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954BF" w14:textId="45295272" w:rsidR="0009286F" w:rsidRPr="00D516E6" w:rsidRDefault="0009286F" w:rsidP="00D516E6">
      <w:pPr>
        <w:spacing w:line="260" w:lineRule="exact"/>
        <w:jc w:val="center"/>
        <w:rPr>
          <w:rFonts w:eastAsia="Calibri" w:cs="Arial"/>
          <w:b/>
          <w:szCs w:val="20"/>
          <w:lang w:val="sl-SI"/>
        </w:rPr>
      </w:pPr>
      <w:bookmarkStart w:id="0" w:name="_Hlk88742354"/>
      <w:r w:rsidRPr="00D516E6">
        <w:rPr>
          <w:rFonts w:eastAsia="Calibri" w:cs="Arial"/>
          <w:b/>
          <w:szCs w:val="20"/>
          <w:lang w:val="sl-SI"/>
        </w:rPr>
        <w:t xml:space="preserve">POGODBA </w:t>
      </w:r>
      <w:r w:rsidR="00290DD3" w:rsidRPr="00D516E6">
        <w:rPr>
          <w:rFonts w:eastAsia="Calibri" w:cs="Arial"/>
          <w:b/>
          <w:szCs w:val="20"/>
          <w:lang w:val="sl-SI"/>
        </w:rPr>
        <w:t xml:space="preserve">ŠT. C1611-22-101000 </w:t>
      </w:r>
      <w:r w:rsidRPr="00D516E6">
        <w:rPr>
          <w:rFonts w:eastAsia="Calibri" w:cs="Arial"/>
          <w:b/>
          <w:szCs w:val="20"/>
          <w:lang w:val="sl-SI"/>
        </w:rPr>
        <w:t>O PLAČILU STROŠKOV</w:t>
      </w:r>
    </w:p>
    <w:p w14:paraId="27150911" w14:textId="77777777" w:rsidR="0009286F" w:rsidRPr="00D516E6" w:rsidRDefault="0009286F" w:rsidP="00D516E6">
      <w:pPr>
        <w:spacing w:line="260" w:lineRule="exact"/>
        <w:jc w:val="center"/>
        <w:rPr>
          <w:rFonts w:eastAsia="Calibri" w:cs="Arial"/>
          <w:b/>
          <w:szCs w:val="20"/>
          <w:lang w:val="sl-SI"/>
        </w:rPr>
      </w:pPr>
      <w:r w:rsidRPr="00D516E6">
        <w:rPr>
          <w:rFonts w:eastAsia="Calibri" w:cs="Arial"/>
          <w:b/>
          <w:szCs w:val="20"/>
          <w:lang w:val="sl-SI"/>
        </w:rPr>
        <w:t xml:space="preserve">ZA UPRAVLJANJE KAPITALSKIH NALOŽB V LASTI REPUBLIKE SLOVENIJE </w:t>
      </w:r>
    </w:p>
    <w:p w14:paraId="6D09974E" w14:textId="77777777" w:rsidR="0009286F" w:rsidRPr="00D516E6" w:rsidRDefault="0009286F" w:rsidP="00D516E6">
      <w:pPr>
        <w:spacing w:line="260" w:lineRule="exact"/>
        <w:jc w:val="center"/>
        <w:rPr>
          <w:rFonts w:eastAsia="Calibri" w:cs="Arial"/>
          <w:b/>
          <w:szCs w:val="20"/>
          <w:lang w:val="sl-SI"/>
        </w:rPr>
      </w:pPr>
      <w:r w:rsidRPr="00D516E6">
        <w:rPr>
          <w:rFonts w:eastAsia="Calibri" w:cs="Arial"/>
          <w:b/>
          <w:szCs w:val="20"/>
          <w:lang w:val="sl-SI"/>
        </w:rPr>
        <w:t>ZA LETO 2022</w:t>
      </w:r>
    </w:p>
    <w:p w14:paraId="23FE8C24" w14:textId="77777777" w:rsidR="0009286F" w:rsidRPr="00D516E6" w:rsidRDefault="0009286F" w:rsidP="00D516E6">
      <w:pPr>
        <w:spacing w:line="260" w:lineRule="exact"/>
        <w:jc w:val="center"/>
        <w:rPr>
          <w:rFonts w:eastAsia="Calibri" w:cs="Arial"/>
          <w:szCs w:val="20"/>
          <w:lang w:val="sl-SI"/>
        </w:rPr>
      </w:pPr>
    </w:p>
    <w:p w14:paraId="7752FDD8" w14:textId="77777777" w:rsidR="0009286F" w:rsidRPr="00D516E6" w:rsidRDefault="0009286F" w:rsidP="00D516E6">
      <w:pPr>
        <w:spacing w:line="260" w:lineRule="exact"/>
        <w:jc w:val="center"/>
        <w:rPr>
          <w:rFonts w:eastAsia="Calibri" w:cs="Arial"/>
          <w:szCs w:val="20"/>
          <w:lang w:val="sl-SI"/>
        </w:rPr>
      </w:pPr>
    </w:p>
    <w:p w14:paraId="45E12D39" w14:textId="77777777" w:rsidR="0009286F" w:rsidRPr="00D516E6" w:rsidRDefault="0009286F" w:rsidP="00D516E6">
      <w:pPr>
        <w:spacing w:line="260" w:lineRule="exact"/>
        <w:jc w:val="both"/>
        <w:rPr>
          <w:rFonts w:eastAsia="Calibri" w:cs="Arial"/>
          <w:szCs w:val="20"/>
          <w:lang w:val="sl-SI"/>
        </w:rPr>
      </w:pPr>
      <w:r w:rsidRPr="00D516E6">
        <w:rPr>
          <w:rFonts w:eastAsia="Calibri" w:cs="Arial"/>
          <w:szCs w:val="20"/>
          <w:lang w:val="sl-SI"/>
        </w:rPr>
        <w:t>ki jo skleneta:</w:t>
      </w:r>
    </w:p>
    <w:p w14:paraId="6A90B0F5" w14:textId="77777777" w:rsidR="0009286F" w:rsidRPr="00D516E6" w:rsidRDefault="0009286F" w:rsidP="00D516E6">
      <w:pPr>
        <w:spacing w:line="260" w:lineRule="exact"/>
        <w:jc w:val="both"/>
        <w:rPr>
          <w:rFonts w:eastAsia="Calibri" w:cs="Arial"/>
          <w:szCs w:val="20"/>
          <w:lang w:val="sl-SI"/>
        </w:rPr>
      </w:pPr>
    </w:p>
    <w:p w14:paraId="4BE18B42" w14:textId="1586B417" w:rsidR="0009286F" w:rsidRPr="00D516E6" w:rsidRDefault="0009286F" w:rsidP="00D516E6">
      <w:pPr>
        <w:spacing w:line="260" w:lineRule="exact"/>
        <w:jc w:val="both"/>
        <w:rPr>
          <w:rFonts w:eastAsia="Calibri" w:cs="Arial"/>
          <w:szCs w:val="20"/>
          <w:lang w:val="sl-SI"/>
        </w:rPr>
      </w:pPr>
      <w:r w:rsidRPr="00D516E6">
        <w:rPr>
          <w:rFonts w:eastAsia="Calibri" w:cs="Arial"/>
          <w:szCs w:val="20"/>
          <w:lang w:val="sl-SI"/>
        </w:rPr>
        <w:t>REPUBLIKA SLOVENIJA, Gregorčičeva ulica 20, 1000 Ljubljana, matična številka: 5854814</w:t>
      </w:r>
      <w:r w:rsidR="0029797B">
        <w:rPr>
          <w:rFonts w:eastAsia="Calibri" w:cs="Arial"/>
          <w:szCs w:val="20"/>
          <w:lang w:val="sl-SI"/>
        </w:rPr>
        <w:t>000</w:t>
      </w:r>
      <w:r w:rsidRPr="00D516E6">
        <w:rPr>
          <w:rFonts w:eastAsia="Calibri" w:cs="Arial"/>
          <w:szCs w:val="20"/>
          <w:lang w:val="sl-SI"/>
        </w:rPr>
        <w:t>, ki jo zastopa Vlada Republike Slovenije oziroma po njenem pooblastilu mag. Andrej Šircelj, minister za finance</w:t>
      </w:r>
      <w:r w:rsidR="005206FD" w:rsidRPr="00D516E6">
        <w:rPr>
          <w:rFonts w:eastAsia="Calibri" w:cs="Arial"/>
          <w:szCs w:val="20"/>
          <w:lang w:val="sl-SI"/>
        </w:rPr>
        <w:t>,</w:t>
      </w:r>
    </w:p>
    <w:p w14:paraId="26A83E2B" w14:textId="77777777" w:rsidR="0009286F" w:rsidRPr="00D516E6" w:rsidRDefault="0009286F" w:rsidP="00D516E6">
      <w:pPr>
        <w:spacing w:line="260" w:lineRule="exact"/>
        <w:jc w:val="both"/>
        <w:rPr>
          <w:rFonts w:eastAsia="Calibri" w:cs="Arial"/>
          <w:szCs w:val="20"/>
          <w:lang w:val="sl-SI"/>
        </w:rPr>
      </w:pPr>
    </w:p>
    <w:p w14:paraId="1F65AD46" w14:textId="77777777" w:rsidR="0009286F" w:rsidRPr="00D516E6" w:rsidRDefault="0009286F" w:rsidP="00D516E6">
      <w:pPr>
        <w:spacing w:line="260" w:lineRule="exact"/>
        <w:jc w:val="both"/>
        <w:rPr>
          <w:rFonts w:eastAsia="Calibri" w:cs="Arial"/>
          <w:szCs w:val="20"/>
          <w:lang w:val="sl-SI"/>
        </w:rPr>
      </w:pPr>
      <w:r w:rsidRPr="00D516E6">
        <w:rPr>
          <w:rFonts w:eastAsia="Calibri" w:cs="Arial"/>
          <w:szCs w:val="20"/>
          <w:lang w:val="sl-SI"/>
        </w:rPr>
        <w:t>in</w:t>
      </w:r>
    </w:p>
    <w:p w14:paraId="1AB50C02" w14:textId="77777777" w:rsidR="0009286F" w:rsidRPr="00D516E6" w:rsidRDefault="0009286F" w:rsidP="00D516E6">
      <w:pPr>
        <w:tabs>
          <w:tab w:val="left" w:pos="2925"/>
        </w:tabs>
        <w:spacing w:line="260" w:lineRule="exact"/>
        <w:jc w:val="both"/>
        <w:rPr>
          <w:rFonts w:eastAsia="Calibri" w:cs="Arial"/>
          <w:szCs w:val="20"/>
          <w:lang w:val="sl-SI"/>
        </w:rPr>
      </w:pPr>
      <w:r w:rsidRPr="00D516E6">
        <w:rPr>
          <w:rFonts w:eastAsia="Calibri" w:cs="Arial"/>
          <w:szCs w:val="20"/>
          <w:lang w:val="sl-SI"/>
        </w:rPr>
        <w:tab/>
      </w:r>
    </w:p>
    <w:p w14:paraId="2E9A5755" w14:textId="2A2507AD" w:rsidR="0009286F" w:rsidRPr="00D516E6" w:rsidRDefault="0009286F" w:rsidP="00D516E6">
      <w:pPr>
        <w:spacing w:line="260" w:lineRule="exact"/>
        <w:jc w:val="both"/>
        <w:rPr>
          <w:rFonts w:eastAsia="Calibri" w:cs="Arial"/>
          <w:szCs w:val="20"/>
          <w:lang w:val="sl-SI"/>
        </w:rPr>
      </w:pPr>
      <w:r w:rsidRPr="00D516E6">
        <w:rPr>
          <w:rFonts w:eastAsia="Calibri" w:cs="Arial"/>
          <w:szCs w:val="20"/>
          <w:lang w:val="sl-SI"/>
        </w:rPr>
        <w:t>SLOVENSKI DRŽAVNI HOLDING, d.</w:t>
      </w:r>
      <w:r w:rsidR="005206FD" w:rsidRPr="00D516E6">
        <w:rPr>
          <w:rFonts w:eastAsia="Calibri" w:cs="Arial"/>
          <w:szCs w:val="20"/>
          <w:lang w:val="sl-SI"/>
        </w:rPr>
        <w:t> </w:t>
      </w:r>
      <w:r w:rsidRPr="00D516E6">
        <w:rPr>
          <w:rFonts w:eastAsia="Calibri" w:cs="Arial"/>
          <w:szCs w:val="20"/>
          <w:lang w:val="sl-SI"/>
        </w:rPr>
        <w:t>d., Mala ulica 5, 1000 Ljubljana, matična številka: 5727847</w:t>
      </w:r>
      <w:r w:rsidR="0029797B">
        <w:rPr>
          <w:rFonts w:eastAsia="Calibri" w:cs="Arial"/>
          <w:szCs w:val="20"/>
          <w:lang w:val="sl-SI"/>
        </w:rPr>
        <w:t>000</w:t>
      </w:r>
      <w:r w:rsidRPr="00D516E6">
        <w:rPr>
          <w:rFonts w:eastAsia="Calibri" w:cs="Arial"/>
          <w:szCs w:val="20"/>
          <w:lang w:val="sl-SI"/>
        </w:rPr>
        <w:t>, ki ga zastopata predsednik uprave dr. Janez Žlak in član uprave Janez Tomšič</w:t>
      </w:r>
      <w:r w:rsidR="005206FD" w:rsidRPr="00D516E6">
        <w:rPr>
          <w:rFonts w:eastAsia="Calibri" w:cs="Arial"/>
          <w:szCs w:val="20"/>
          <w:lang w:val="sl-SI"/>
        </w:rPr>
        <w:t>,</w:t>
      </w:r>
      <w:r w:rsidRPr="00D516E6">
        <w:rPr>
          <w:rFonts w:eastAsia="Calibri" w:cs="Arial"/>
          <w:color w:val="333333"/>
          <w:szCs w:val="20"/>
          <w:lang w:val="sl-SI"/>
        </w:rPr>
        <w:t xml:space="preserve"> </w:t>
      </w:r>
      <w:r w:rsidR="0029797B">
        <w:rPr>
          <w:rFonts w:eastAsia="Calibri" w:cs="Arial"/>
          <w:color w:val="333333"/>
          <w:szCs w:val="20"/>
          <w:lang w:val="sl-SI"/>
        </w:rPr>
        <w:br/>
      </w:r>
      <w:r w:rsidRPr="00D516E6">
        <w:rPr>
          <w:rFonts w:eastAsia="Calibri" w:cs="Arial"/>
          <w:szCs w:val="20"/>
          <w:lang w:val="sl-SI"/>
        </w:rPr>
        <w:t>(v nadaljnjem besedilu: SDH)</w:t>
      </w:r>
    </w:p>
    <w:p w14:paraId="721530F7" w14:textId="77777777" w:rsidR="0009286F" w:rsidRPr="00D516E6" w:rsidRDefault="0009286F" w:rsidP="00D516E6">
      <w:pPr>
        <w:spacing w:line="260" w:lineRule="exact"/>
        <w:jc w:val="both"/>
        <w:rPr>
          <w:rFonts w:eastAsia="Calibri" w:cs="Arial"/>
          <w:szCs w:val="20"/>
          <w:lang w:val="sl-SI"/>
        </w:rPr>
      </w:pPr>
    </w:p>
    <w:p w14:paraId="320472CF" w14:textId="77777777" w:rsidR="0009286F" w:rsidRPr="00D516E6" w:rsidRDefault="0009286F" w:rsidP="00D516E6">
      <w:pPr>
        <w:spacing w:line="260" w:lineRule="exact"/>
        <w:jc w:val="both"/>
        <w:rPr>
          <w:rFonts w:eastAsia="Calibri" w:cs="Arial"/>
          <w:szCs w:val="20"/>
          <w:lang w:val="sl-SI"/>
        </w:rPr>
      </w:pPr>
      <w:r w:rsidRPr="00D516E6">
        <w:rPr>
          <w:rFonts w:eastAsia="Calibri" w:cs="Arial"/>
          <w:szCs w:val="20"/>
          <w:lang w:val="sl-SI"/>
        </w:rPr>
        <w:t>(v nadaljnjem besedilu zgoraj imenovani tudi: Pogodbeni stranki)</w:t>
      </w:r>
    </w:p>
    <w:p w14:paraId="6FB54B6F" w14:textId="77777777" w:rsidR="0009286F" w:rsidRDefault="0009286F" w:rsidP="00D516E6">
      <w:pPr>
        <w:spacing w:line="260" w:lineRule="exact"/>
        <w:jc w:val="both"/>
        <w:rPr>
          <w:rFonts w:eastAsia="Calibri" w:cs="Arial"/>
          <w:szCs w:val="20"/>
          <w:lang w:val="sl-SI"/>
        </w:rPr>
      </w:pPr>
    </w:p>
    <w:p w14:paraId="5CE1D82B" w14:textId="77777777" w:rsidR="00D516E6" w:rsidRPr="00D516E6" w:rsidRDefault="00D516E6" w:rsidP="00D516E6">
      <w:pPr>
        <w:spacing w:line="260" w:lineRule="exact"/>
        <w:jc w:val="both"/>
        <w:rPr>
          <w:rFonts w:eastAsia="Calibri" w:cs="Arial"/>
          <w:szCs w:val="20"/>
          <w:lang w:val="sl-SI"/>
        </w:rPr>
      </w:pPr>
    </w:p>
    <w:p w14:paraId="191BD22B" w14:textId="77777777" w:rsidR="0009286F" w:rsidRPr="00D516E6" w:rsidRDefault="0009286F" w:rsidP="00D516E6">
      <w:pPr>
        <w:spacing w:line="260" w:lineRule="exact"/>
        <w:jc w:val="center"/>
        <w:rPr>
          <w:rFonts w:eastAsia="Calibri" w:cs="Arial"/>
          <w:szCs w:val="20"/>
          <w:lang w:val="sl-SI"/>
        </w:rPr>
      </w:pPr>
      <w:r w:rsidRPr="00D516E6">
        <w:rPr>
          <w:rFonts w:eastAsia="Calibri" w:cs="Arial"/>
          <w:szCs w:val="20"/>
          <w:lang w:val="sl-SI"/>
        </w:rPr>
        <w:t>1. člen</w:t>
      </w:r>
    </w:p>
    <w:p w14:paraId="5B5A8460" w14:textId="77777777" w:rsidR="0009286F" w:rsidRPr="00D516E6" w:rsidRDefault="0009286F" w:rsidP="00D516E6">
      <w:pPr>
        <w:spacing w:line="260" w:lineRule="exact"/>
        <w:jc w:val="center"/>
        <w:rPr>
          <w:rFonts w:eastAsia="Calibri" w:cs="Arial"/>
          <w:szCs w:val="20"/>
          <w:lang w:val="sl-SI"/>
        </w:rPr>
      </w:pPr>
      <w:bookmarkStart w:id="1" w:name="_GoBack"/>
      <w:bookmarkEnd w:id="1"/>
    </w:p>
    <w:p w14:paraId="0A9FB574" w14:textId="3724EF86" w:rsidR="0009286F" w:rsidRPr="00D516E6" w:rsidRDefault="0009286F" w:rsidP="00D516E6">
      <w:pPr>
        <w:spacing w:line="260" w:lineRule="exact"/>
        <w:jc w:val="both"/>
        <w:rPr>
          <w:rFonts w:eastAsia="Calibri" w:cs="Arial"/>
          <w:szCs w:val="20"/>
          <w:lang w:val="sl-SI"/>
        </w:rPr>
      </w:pPr>
      <w:r w:rsidRPr="00D516E6">
        <w:rPr>
          <w:rFonts w:eastAsia="Calibri" w:cs="Arial"/>
          <w:szCs w:val="20"/>
          <w:lang w:val="sl-SI"/>
        </w:rPr>
        <w:t>Pogodbeni stranki uvodoma ugotavljata</w:t>
      </w:r>
      <w:r w:rsidR="005206FD" w:rsidRPr="00D516E6">
        <w:rPr>
          <w:rFonts w:eastAsia="Calibri" w:cs="Arial"/>
          <w:szCs w:val="20"/>
          <w:lang w:val="sl-SI"/>
        </w:rPr>
        <w:t>, da</w:t>
      </w:r>
      <w:r w:rsidRPr="00D516E6">
        <w:rPr>
          <w:rFonts w:eastAsia="Calibri" w:cs="Arial"/>
          <w:szCs w:val="20"/>
          <w:lang w:val="sl-SI"/>
        </w:rPr>
        <w:t>:</w:t>
      </w:r>
    </w:p>
    <w:p w14:paraId="39EAFDE7" w14:textId="325EAAE4" w:rsidR="0009286F" w:rsidRPr="00BE3F5C" w:rsidRDefault="0009286F" w:rsidP="00BE3F5C">
      <w:pPr>
        <w:numPr>
          <w:ilvl w:val="0"/>
          <w:numId w:val="25"/>
        </w:numPr>
        <w:spacing w:line="260" w:lineRule="exact"/>
        <w:ind w:hanging="720"/>
        <w:contextualSpacing/>
        <w:jc w:val="both"/>
        <w:rPr>
          <w:rFonts w:eastAsia="Calibri" w:cs="Arial"/>
          <w:szCs w:val="20"/>
          <w:lang w:val="sl-SI"/>
        </w:rPr>
      </w:pPr>
      <w:r w:rsidRPr="00D516E6">
        <w:rPr>
          <w:rFonts w:eastAsia="Calibri" w:cs="Arial"/>
          <w:szCs w:val="20"/>
          <w:lang w:val="sl-SI"/>
        </w:rPr>
        <w:t xml:space="preserve">je na podlagi prvega odstavka 19. člena Zakona o Slovenskem državnem holdingu (Uradni list RS, št. 25/14; v nadaljnjem besedilu: ZSDH-1) SDH pristojen za upravljanje kapitalskih naložb (v nadaljnjem besedilu: naložbe) Republike Slovenije v imenu in za račun Republike Slovenije po lastni presoji in v skladu z ZSDH-1; </w:t>
      </w:r>
    </w:p>
    <w:p w14:paraId="40EE5D8E" w14:textId="114FFE78" w:rsidR="0009286F" w:rsidRPr="00BE3F5C" w:rsidRDefault="0009286F" w:rsidP="00BE3F5C">
      <w:pPr>
        <w:numPr>
          <w:ilvl w:val="0"/>
          <w:numId w:val="25"/>
        </w:numPr>
        <w:spacing w:line="260" w:lineRule="exact"/>
        <w:ind w:hanging="720"/>
        <w:contextualSpacing/>
        <w:jc w:val="both"/>
        <w:rPr>
          <w:rFonts w:eastAsia="Calibri" w:cs="Arial"/>
          <w:szCs w:val="20"/>
          <w:lang w:val="sl-SI"/>
        </w:rPr>
      </w:pPr>
      <w:r w:rsidRPr="00D516E6">
        <w:rPr>
          <w:rFonts w:eastAsia="Calibri" w:cs="Arial"/>
          <w:szCs w:val="20"/>
          <w:lang w:val="sl-SI"/>
        </w:rPr>
        <w:t xml:space="preserve">SDH upravlja z naložbami po seznamu, ki so bile skladno z 88. členom ZSDH-1 dne </w:t>
      </w:r>
      <w:proofErr w:type="gramStart"/>
      <w:r w:rsidRPr="00D516E6">
        <w:rPr>
          <w:rFonts w:eastAsia="Calibri" w:cs="Arial"/>
          <w:szCs w:val="20"/>
          <w:lang w:val="sl-SI"/>
        </w:rPr>
        <w:t>26. 4. 2014</w:t>
      </w:r>
      <w:proofErr w:type="gramEnd"/>
      <w:r w:rsidRPr="00D516E6">
        <w:rPr>
          <w:rFonts w:eastAsia="Calibri" w:cs="Arial"/>
          <w:szCs w:val="20"/>
          <w:lang w:val="sl-SI"/>
        </w:rPr>
        <w:t xml:space="preserve"> prenesene v upravljanje na SDH, razen če je bilo po tem na zakonski podlagi upravljanje preneseno na drugo osebo, z naložbami, ki jih je Republika Slovenija pridobila iz naslova dedovanja, ter z drugimi naložbami, ki jih je pridobila kasneje in o tem skladno s tretjim odstavkom 19. člena ZSDH-1 obvestila SDH; </w:t>
      </w:r>
    </w:p>
    <w:p w14:paraId="047B8C82" w14:textId="77777777" w:rsidR="00BE3F5C" w:rsidRDefault="0009286F" w:rsidP="00BE3F5C">
      <w:pPr>
        <w:numPr>
          <w:ilvl w:val="0"/>
          <w:numId w:val="25"/>
        </w:numPr>
        <w:spacing w:line="260" w:lineRule="exact"/>
        <w:ind w:hanging="720"/>
        <w:contextualSpacing/>
        <w:jc w:val="both"/>
        <w:rPr>
          <w:rFonts w:eastAsia="Calibri" w:cs="Arial"/>
          <w:szCs w:val="20"/>
          <w:lang w:val="sl-SI"/>
        </w:rPr>
      </w:pPr>
      <w:r w:rsidRPr="00D516E6">
        <w:rPr>
          <w:rFonts w:eastAsia="Calibri" w:cs="Arial"/>
          <w:szCs w:val="20"/>
          <w:lang w:val="sl-SI"/>
        </w:rPr>
        <w:t>je SDH v skladu s prvim odstavkom 27. člena ZSDH-1 za upravljanje naložb, ki niso v njegovi lasti, upravičen do plačila, ki se določi na podlagi dejanskih upravičenih stroškov, povezanih z upravljanjem naložb;</w:t>
      </w:r>
      <w:bookmarkStart w:id="2" w:name="_Hlk62075850"/>
    </w:p>
    <w:p w14:paraId="7EFE54D5" w14:textId="12CA15A5" w:rsidR="0009286F" w:rsidRPr="00BE3F5C" w:rsidRDefault="0009286F" w:rsidP="00BE3F5C">
      <w:pPr>
        <w:numPr>
          <w:ilvl w:val="0"/>
          <w:numId w:val="25"/>
        </w:numPr>
        <w:spacing w:line="260" w:lineRule="exact"/>
        <w:ind w:hanging="720"/>
        <w:contextualSpacing/>
        <w:jc w:val="both"/>
        <w:rPr>
          <w:rFonts w:eastAsia="Calibri" w:cs="Arial"/>
          <w:szCs w:val="20"/>
          <w:lang w:val="sl-SI"/>
        </w:rPr>
      </w:pPr>
      <w:r w:rsidRPr="00BE3F5C">
        <w:rPr>
          <w:rFonts w:eastAsia="Calibri" w:cs="Arial"/>
          <w:szCs w:val="20"/>
          <w:lang w:val="sl-SI"/>
        </w:rPr>
        <w:t xml:space="preserve">se </w:t>
      </w:r>
      <w:proofErr w:type="gramStart"/>
      <w:r w:rsidRPr="00BE3F5C">
        <w:rPr>
          <w:rFonts w:eastAsia="Calibri" w:cs="Arial"/>
          <w:szCs w:val="20"/>
          <w:lang w:val="sl-SI"/>
        </w:rPr>
        <w:t>je</w:t>
      </w:r>
      <w:proofErr w:type="gramEnd"/>
      <w:r w:rsidRPr="00BE3F5C">
        <w:rPr>
          <w:rFonts w:eastAsia="Calibri" w:cs="Arial"/>
          <w:szCs w:val="20"/>
          <w:lang w:val="sl-SI"/>
        </w:rPr>
        <w:t xml:space="preserve"> z 81. členom Zakona o izvrševanju proračunov Republike Slovenije za leti 2021 in 2022 (Uradni list RS, št. 174/20) spremenil 19.a člen Zakona o Slovenskem odškodninskem skladu (Uradni list RS, št. 21/11 – uradno prečiščeno besedilo, </w:t>
      </w:r>
      <w:r w:rsidR="005206FD" w:rsidRPr="00BE3F5C">
        <w:rPr>
          <w:rFonts w:eastAsia="Calibri" w:cs="Arial"/>
          <w:szCs w:val="20"/>
          <w:lang w:val="sl-SI"/>
        </w:rPr>
        <w:br/>
      </w:r>
      <w:r w:rsidRPr="00BE3F5C">
        <w:rPr>
          <w:rFonts w:eastAsia="Calibri" w:cs="Arial"/>
          <w:szCs w:val="20"/>
          <w:lang w:val="sl-SI"/>
        </w:rPr>
        <w:t>9/16 – ZGGLRS in 55/17) tako, da SDH najkasneje do 31. decembra 2022 neodplačno prenese v last Republike Slovenije strateške in pomembne naložbe, ki jih ima v lasti na presečni dan 20. decembra 2022</w:t>
      </w:r>
      <w:bookmarkEnd w:id="2"/>
      <w:r w:rsidRPr="00BE3F5C">
        <w:rPr>
          <w:rFonts w:eastAsia="Calibri" w:cs="Arial"/>
          <w:szCs w:val="20"/>
          <w:lang w:val="sl-SI"/>
        </w:rPr>
        <w:t>;</w:t>
      </w:r>
    </w:p>
    <w:p w14:paraId="492D4E58" w14:textId="5EE63A93" w:rsidR="0009286F" w:rsidRPr="00BE3F5C" w:rsidRDefault="0009286F" w:rsidP="00BE3F5C">
      <w:pPr>
        <w:numPr>
          <w:ilvl w:val="0"/>
          <w:numId w:val="25"/>
        </w:numPr>
        <w:spacing w:line="260" w:lineRule="exact"/>
        <w:ind w:hanging="720"/>
        <w:contextualSpacing/>
        <w:jc w:val="both"/>
        <w:rPr>
          <w:rFonts w:eastAsia="Calibri" w:cs="Arial"/>
          <w:szCs w:val="20"/>
          <w:lang w:val="sl-SI"/>
        </w:rPr>
      </w:pPr>
      <w:r w:rsidRPr="00D516E6">
        <w:rPr>
          <w:rFonts w:eastAsia="Calibri" w:cs="Arial"/>
          <w:szCs w:val="20"/>
          <w:lang w:val="sl-SI"/>
        </w:rPr>
        <w:t>v skladu z drugim odstavkom 27. člena ZSDH-1 višino nadomestila in druga medsebojna razmerja v zvezi z opravljanjem nalog upravljanja naložb Republike Slovenije uredita SDH in Republika Slovenija s pogodbo, ki jo sklene za Republiko Slovenijo Vlada Republike Slovenije na predlog ministra, pristojnega za finance;</w:t>
      </w:r>
    </w:p>
    <w:p w14:paraId="6A25199C" w14:textId="41CB59A8" w:rsidR="0009286F" w:rsidRPr="00BE3F5C" w:rsidRDefault="0009286F" w:rsidP="00BE3F5C">
      <w:pPr>
        <w:numPr>
          <w:ilvl w:val="0"/>
          <w:numId w:val="25"/>
        </w:numPr>
        <w:spacing w:line="260" w:lineRule="exact"/>
        <w:ind w:hanging="720"/>
        <w:contextualSpacing/>
        <w:jc w:val="both"/>
        <w:rPr>
          <w:rFonts w:eastAsia="Calibri" w:cs="Arial"/>
          <w:szCs w:val="20"/>
          <w:lang w:val="sl-SI"/>
        </w:rPr>
      </w:pPr>
      <w:r w:rsidRPr="00D516E6">
        <w:rPr>
          <w:rFonts w:eastAsia="Calibri" w:cs="Arial"/>
          <w:szCs w:val="20"/>
          <w:lang w:val="sl-SI"/>
        </w:rPr>
        <w:t>je SDH, po pridobitvi soglasja nadzornega sveta SDH, Letni načrt upravljanja kapitalskih naložb za leto 2022 (v nadaljnjem besedilu: LNU 2022) poslal na Ministrstvo za finance z namenom, da skladno z ZSDH-1 Vlada Republike Slovenije poda soglasje k LNU 2022</w:t>
      </w:r>
      <w:r w:rsidR="00BE3F5C">
        <w:rPr>
          <w:rFonts w:eastAsia="Calibri" w:cs="Arial"/>
          <w:szCs w:val="20"/>
          <w:lang w:val="sl-SI"/>
        </w:rPr>
        <w:t>;</w:t>
      </w:r>
    </w:p>
    <w:p w14:paraId="2C546D2F" w14:textId="74E43DC6" w:rsidR="0009286F" w:rsidRPr="00D516E6" w:rsidRDefault="0009286F" w:rsidP="00D516E6">
      <w:pPr>
        <w:numPr>
          <w:ilvl w:val="0"/>
          <w:numId w:val="25"/>
        </w:numPr>
        <w:spacing w:line="260" w:lineRule="exact"/>
        <w:ind w:hanging="720"/>
        <w:contextualSpacing/>
        <w:jc w:val="both"/>
        <w:rPr>
          <w:rFonts w:eastAsia="Calibri" w:cs="Arial"/>
          <w:szCs w:val="20"/>
          <w:lang w:val="sl-SI"/>
        </w:rPr>
      </w:pPr>
      <w:r w:rsidRPr="00D516E6">
        <w:rPr>
          <w:rFonts w:eastAsia="Calibri" w:cs="Arial"/>
          <w:szCs w:val="20"/>
          <w:lang w:val="sl-SI"/>
        </w:rPr>
        <w:t xml:space="preserve">so v skladu s četrtim odstavkom 31. člena ZSDH-1 določbe politike upravljanja naložb za organe SDH zavezujoče in da se v primeru, če SDH pridobiva kapitalske naložbe v imenu </w:t>
      </w:r>
      <w:r w:rsidRPr="00D516E6">
        <w:rPr>
          <w:rFonts w:eastAsia="Calibri" w:cs="Arial"/>
          <w:szCs w:val="20"/>
          <w:lang w:val="sl-SI"/>
        </w:rPr>
        <w:lastRenderedPageBreak/>
        <w:t xml:space="preserve">in za račun Republike Slovenije, za pridobivanje oziroma postopek pridobivanja med drugim uporabljajo tudi posebne določbe glede najema finančnih institucij in drugih svetovalcev v postopkih razpolaganja in pridobivanja kapitalskih naložb (oddelek 16.7). </w:t>
      </w:r>
    </w:p>
    <w:p w14:paraId="3DED730D" w14:textId="77777777" w:rsidR="0009286F" w:rsidRDefault="0009286F" w:rsidP="00D516E6">
      <w:pPr>
        <w:spacing w:line="260" w:lineRule="exact"/>
        <w:contextualSpacing/>
        <w:rPr>
          <w:rFonts w:eastAsia="Calibri" w:cs="Arial"/>
          <w:szCs w:val="20"/>
          <w:lang w:val="sl-SI"/>
        </w:rPr>
      </w:pPr>
    </w:p>
    <w:p w14:paraId="5F2ED657" w14:textId="77777777" w:rsidR="00D516E6" w:rsidRPr="00D516E6" w:rsidRDefault="00D516E6" w:rsidP="00D516E6">
      <w:pPr>
        <w:spacing w:line="260" w:lineRule="exact"/>
        <w:contextualSpacing/>
        <w:rPr>
          <w:rFonts w:eastAsia="Calibri" w:cs="Arial"/>
          <w:szCs w:val="20"/>
          <w:lang w:val="sl-SI"/>
        </w:rPr>
      </w:pPr>
    </w:p>
    <w:p w14:paraId="59637E6E" w14:textId="77777777" w:rsidR="0009286F" w:rsidRPr="00D516E6" w:rsidRDefault="0009286F" w:rsidP="00D516E6">
      <w:pPr>
        <w:spacing w:line="260" w:lineRule="exact"/>
        <w:jc w:val="center"/>
        <w:rPr>
          <w:rFonts w:eastAsia="Calibri" w:cs="Arial"/>
          <w:szCs w:val="20"/>
          <w:lang w:val="sl-SI"/>
        </w:rPr>
      </w:pPr>
      <w:r w:rsidRPr="00D516E6">
        <w:rPr>
          <w:rFonts w:eastAsia="Calibri" w:cs="Arial"/>
          <w:szCs w:val="20"/>
          <w:lang w:val="sl-SI"/>
        </w:rPr>
        <w:t>2. člen</w:t>
      </w:r>
    </w:p>
    <w:p w14:paraId="58F63174" w14:textId="77777777" w:rsidR="0009286F" w:rsidRPr="00D516E6" w:rsidRDefault="0009286F" w:rsidP="00D516E6">
      <w:pPr>
        <w:spacing w:line="260" w:lineRule="exact"/>
        <w:jc w:val="both"/>
        <w:rPr>
          <w:rFonts w:eastAsia="Calibri" w:cs="Arial"/>
          <w:szCs w:val="20"/>
          <w:lang w:val="sl-SI"/>
        </w:rPr>
      </w:pPr>
    </w:p>
    <w:p w14:paraId="77D413C4" w14:textId="297D04B5" w:rsidR="0009286F" w:rsidRPr="00D516E6" w:rsidRDefault="0009286F" w:rsidP="00D516E6">
      <w:pPr>
        <w:spacing w:line="260" w:lineRule="exact"/>
        <w:jc w:val="both"/>
        <w:rPr>
          <w:rFonts w:eastAsia="Calibri" w:cs="Arial"/>
          <w:szCs w:val="20"/>
          <w:lang w:val="sl-SI"/>
        </w:rPr>
      </w:pPr>
      <w:r w:rsidRPr="00D516E6">
        <w:rPr>
          <w:rFonts w:eastAsia="Calibri" w:cs="Arial"/>
          <w:szCs w:val="20"/>
          <w:lang w:val="sl-SI"/>
        </w:rPr>
        <w:t xml:space="preserve">Republika Slovenija se zaveže SDH za leto 2022 plačati nadomestilo dejanskih upravičenih stroškov, povezanih z upravljanjem naložb v lasti Republike Slovenije </w:t>
      </w:r>
      <w:r w:rsidR="009C62BB" w:rsidRPr="00D516E6">
        <w:rPr>
          <w:rFonts w:eastAsia="Calibri" w:cs="Arial"/>
          <w:szCs w:val="20"/>
          <w:lang w:val="sl-SI"/>
        </w:rPr>
        <w:t xml:space="preserve">do </w:t>
      </w:r>
      <w:r w:rsidRPr="00D516E6">
        <w:rPr>
          <w:rFonts w:eastAsia="Calibri" w:cs="Arial"/>
          <w:szCs w:val="20"/>
          <w:lang w:val="sl-SI"/>
        </w:rPr>
        <w:t>višin</w:t>
      </w:r>
      <w:r w:rsidR="009C62BB" w:rsidRPr="00D516E6">
        <w:rPr>
          <w:rFonts w:eastAsia="Calibri" w:cs="Arial"/>
          <w:szCs w:val="20"/>
          <w:lang w:val="sl-SI"/>
        </w:rPr>
        <w:t>e</w:t>
      </w:r>
      <w:r w:rsidRPr="00D516E6">
        <w:rPr>
          <w:rFonts w:eastAsia="Calibri" w:cs="Arial"/>
          <w:szCs w:val="20"/>
          <w:lang w:val="sl-SI"/>
        </w:rPr>
        <w:t xml:space="preserve"> </w:t>
      </w:r>
      <w:bookmarkStart w:id="3" w:name="_Hlk90545610"/>
      <w:r w:rsidR="005206FD" w:rsidRPr="00D516E6">
        <w:rPr>
          <w:rFonts w:eastAsia="Calibri" w:cs="Arial"/>
          <w:szCs w:val="20"/>
          <w:lang w:val="sl-SI"/>
        </w:rPr>
        <w:br/>
      </w:r>
      <w:r w:rsidR="009C62BB" w:rsidRPr="00D516E6">
        <w:rPr>
          <w:rFonts w:eastAsia="Calibri" w:cs="Arial"/>
          <w:szCs w:val="20"/>
          <w:lang w:val="sl-SI"/>
        </w:rPr>
        <w:t>5.216.852,46</w:t>
      </w:r>
      <w:r w:rsidRPr="00D516E6">
        <w:rPr>
          <w:rFonts w:eastAsia="Calibri" w:cs="Arial"/>
          <w:szCs w:val="20"/>
          <w:lang w:val="sl-SI"/>
        </w:rPr>
        <w:t xml:space="preserve"> </w:t>
      </w:r>
      <w:bookmarkEnd w:id="3"/>
      <w:r w:rsidRPr="00D516E6">
        <w:rPr>
          <w:rFonts w:eastAsia="Calibri" w:cs="Arial"/>
          <w:szCs w:val="20"/>
          <w:lang w:val="sl-SI"/>
        </w:rPr>
        <w:t>EUR brez DDV</w:t>
      </w:r>
      <w:r w:rsidR="00F948CC" w:rsidRPr="00D516E6">
        <w:rPr>
          <w:rFonts w:eastAsia="Calibri" w:cs="Arial"/>
          <w:szCs w:val="20"/>
          <w:lang w:val="sl-SI"/>
        </w:rPr>
        <w:t xml:space="preserve"> oz. </w:t>
      </w:r>
      <w:bookmarkStart w:id="4" w:name="_Hlk90545878"/>
      <w:bookmarkStart w:id="5" w:name="_Hlk88742065"/>
      <w:r w:rsidR="009C62BB" w:rsidRPr="00D516E6">
        <w:rPr>
          <w:rFonts w:eastAsia="Calibri" w:cs="Arial"/>
          <w:szCs w:val="20"/>
          <w:lang w:val="sl-SI"/>
        </w:rPr>
        <w:t>6.364</w:t>
      </w:r>
      <w:r w:rsidR="00F948CC" w:rsidRPr="00D516E6">
        <w:rPr>
          <w:rFonts w:eastAsia="Calibri" w:cs="Arial"/>
          <w:szCs w:val="20"/>
          <w:lang w:val="sl-SI"/>
        </w:rPr>
        <w:t>.560</w:t>
      </w:r>
      <w:bookmarkEnd w:id="4"/>
      <w:r w:rsidR="00F948CC" w:rsidRPr="00D516E6">
        <w:rPr>
          <w:rFonts w:eastAsia="Calibri" w:cs="Arial"/>
          <w:szCs w:val="20"/>
          <w:lang w:val="sl-SI"/>
        </w:rPr>
        <w:t>,00 EUR z DDV</w:t>
      </w:r>
      <w:bookmarkEnd w:id="5"/>
      <w:r w:rsidR="00F948CC" w:rsidRPr="00D516E6">
        <w:rPr>
          <w:rFonts w:eastAsia="Calibri" w:cs="Arial"/>
          <w:szCs w:val="20"/>
          <w:lang w:val="sl-SI"/>
        </w:rPr>
        <w:t>.</w:t>
      </w:r>
    </w:p>
    <w:p w14:paraId="1E07443C" w14:textId="77777777" w:rsidR="0009286F" w:rsidRPr="00D516E6" w:rsidRDefault="0009286F" w:rsidP="00D516E6">
      <w:pPr>
        <w:spacing w:line="260" w:lineRule="exact"/>
        <w:jc w:val="both"/>
        <w:rPr>
          <w:rFonts w:eastAsia="Calibri" w:cs="Arial"/>
          <w:szCs w:val="20"/>
          <w:lang w:val="sl-SI"/>
        </w:rPr>
      </w:pPr>
    </w:p>
    <w:p w14:paraId="17D1795B" w14:textId="77777777" w:rsidR="0009286F" w:rsidRPr="00D516E6" w:rsidRDefault="0009286F" w:rsidP="00D516E6">
      <w:pPr>
        <w:spacing w:line="260" w:lineRule="exact"/>
        <w:jc w:val="both"/>
        <w:rPr>
          <w:rFonts w:eastAsia="Calibri" w:cs="Arial"/>
          <w:szCs w:val="20"/>
          <w:lang w:val="sl-SI"/>
        </w:rPr>
      </w:pPr>
      <w:r w:rsidRPr="00D516E6">
        <w:rPr>
          <w:rFonts w:eastAsia="Calibri" w:cs="Arial"/>
          <w:szCs w:val="20"/>
          <w:lang w:val="sl-SI"/>
        </w:rPr>
        <w:t>Republika Slovenija bo obveznost iz prejšnjega odstavka poravnavala mesečno, in sicer 30. dan po prejemu računa, ki ga bo izdal SDH za pretekli mesec.</w:t>
      </w:r>
    </w:p>
    <w:p w14:paraId="5A295D71" w14:textId="77777777" w:rsidR="0009286F" w:rsidRDefault="0009286F" w:rsidP="00D516E6">
      <w:pPr>
        <w:spacing w:line="260" w:lineRule="exact"/>
        <w:rPr>
          <w:rFonts w:eastAsia="Calibri" w:cs="Arial"/>
          <w:color w:val="FF0000"/>
          <w:szCs w:val="20"/>
          <w:lang w:val="sl-SI"/>
        </w:rPr>
      </w:pPr>
    </w:p>
    <w:p w14:paraId="22E1B6F3" w14:textId="77777777" w:rsidR="00D516E6" w:rsidRPr="00D516E6" w:rsidRDefault="00D516E6" w:rsidP="00D516E6">
      <w:pPr>
        <w:spacing w:line="260" w:lineRule="exact"/>
        <w:rPr>
          <w:rFonts w:eastAsia="Calibri" w:cs="Arial"/>
          <w:color w:val="FF0000"/>
          <w:szCs w:val="20"/>
          <w:lang w:val="sl-SI"/>
        </w:rPr>
      </w:pPr>
    </w:p>
    <w:p w14:paraId="7FF29987" w14:textId="77777777" w:rsidR="005778DA" w:rsidRPr="00D516E6" w:rsidRDefault="00F948CC" w:rsidP="00D516E6">
      <w:pPr>
        <w:spacing w:line="260" w:lineRule="exact"/>
        <w:jc w:val="center"/>
        <w:rPr>
          <w:rFonts w:eastAsia="Calibri" w:cs="Arial"/>
          <w:szCs w:val="20"/>
          <w:lang w:val="sl-SI"/>
        </w:rPr>
      </w:pPr>
      <w:r w:rsidRPr="00D516E6">
        <w:rPr>
          <w:rFonts w:eastAsia="Calibri" w:cs="Arial"/>
          <w:szCs w:val="20"/>
          <w:lang w:val="sl-SI"/>
        </w:rPr>
        <w:t>3</w:t>
      </w:r>
      <w:r w:rsidR="005778DA" w:rsidRPr="00D516E6">
        <w:rPr>
          <w:rFonts w:eastAsia="Calibri" w:cs="Arial"/>
          <w:szCs w:val="20"/>
          <w:lang w:val="sl-SI"/>
        </w:rPr>
        <w:t>. člen</w:t>
      </w:r>
    </w:p>
    <w:p w14:paraId="18F8DC50" w14:textId="77777777" w:rsidR="005778DA" w:rsidRPr="00D516E6" w:rsidRDefault="005778DA" w:rsidP="00D516E6">
      <w:pPr>
        <w:spacing w:line="260" w:lineRule="exact"/>
        <w:rPr>
          <w:rFonts w:eastAsia="Calibri" w:cs="Arial"/>
          <w:szCs w:val="20"/>
          <w:lang w:val="sl-SI"/>
        </w:rPr>
      </w:pPr>
    </w:p>
    <w:p w14:paraId="1E289DBD" w14:textId="77777777" w:rsidR="005778DA" w:rsidRPr="00D516E6" w:rsidRDefault="005778DA" w:rsidP="00D516E6">
      <w:pPr>
        <w:spacing w:line="260" w:lineRule="exact"/>
        <w:jc w:val="both"/>
        <w:rPr>
          <w:rFonts w:eastAsia="Calibri" w:cs="Arial"/>
          <w:szCs w:val="20"/>
          <w:lang w:val="sl-SI"/>
        </w:rPr>
      </w:pPr>
      <w:r w:rsidRPr="00D516E6">
        <w:rPr>
          <w:rFonts w:eastAsia="Calibri" w:cs="Arial"/>
          <w:szCs w:val="20"/>
          <w:lang w:val="sl-SI"/>
        </w:rPr>
        <w:t xml:space="preserve">Pogodbeni stranki ugotavljata, da je Računsko sodišče Republike Slovenije opravilo revizijo učinkovitosti poslovanja SDH pri upravljanju kapitalskih naložb in </w:t>
      </w:r>
      <w:r w:rsidR="0090037F" w:rsidRPr="00D516E6">
        <w:rPr>
          <w:rFonts w:eastAsia="Calibri" w:cs="Arial"/>
          <w:szCs w:val="20"/>
          <w:lang w:val="sl-SI"/>
        </w:rPr>
        <w:t>SDH</w:t>
      </w:r>
      <w:r w:rsidRPr="00D516E6">
        <w:rPr>
          <w:rFonts w:eastAsia="Calibri" w:cs="Arial"/>
          <w:szCs w:val="20"/>
          <w:lang w:val="sl-SI"/>
        </w:rPr>
        <w:t xml:space="preserve"> podalo priporočila glede ugotavljanja upravičenih stroškov upravljanja ter glede ločenega evidentiranja stroškov SDH, ki se nanašajo na različne dejavnosti.</w:t>
      </w:r>
    </w:p>
    <w:p w14:paraId="173829BD" w14:textId="77777777" w:rsidR="005778DA" w:rsidRPr="00D516E6" w:rsidRDefault="005778DA" w:rsidP="00D516E6">
      <w:pPr>
        <w:spacing w:line="260" w:lineRule="exact"/>
        <w:jc w:val="both"/>
        <w:rPr>
          <w:rFonts w:eastAsia="Calibri" w:cs="Arial"/>
          <w:szCs w:val="20"/>
          <w:lang w:val="sl-SI"/>
        </w:rPr>
      </w:pPr>
    </w:p>
    <w:p w14:paraId="60A5F579" w14:textId="18F6E7DD" w:rsidR="005778DA" w:rsidRPr="00D516E6" w:rsidRDefault="005778DA" w:rsidP="00D516E6">
      <w:pPr>
        <w:spacing w:line="260" w:lineRule="exact"/>
        <w:jc w:val="both"/>
        <w:rPr>
          <w:rFonts w:eastAsia="Calibri" w:cs="Arial"/>
          <w:szCs w:val="20"/>
          <w:lang w:val="sl-SI"/>
        </w:rPr>
      </w:pPr>
      <w:r w:rsidRPr="00D516E6">
        <w:rPr>
          <w:rFonts w:eastAsia="Calibri" w:cs="Arial"/>
          <w:szCs w:val="20"/>
          <w:lang w:val="sl-SI"/>
        </w:rPr>
        <w:t xml:space="preserve">SDH se zavezuje, da bo v sodelovanju z Ministrstvom za finance najpozneje do konca leta 2022 zaključil z aktivnostmi za opredelitev načina uveljavljanja plačila stroškov upravljanja kapitalskih naložb v lasti Republike Slovenije, in sicer za določitev, kateri stroški (vrsta, višina) predstavljajo upravičene stroške, ki so podlaga za določitev plačila SDH za upravljanje kapitalskih naložb v lasti Republike Slovenije, in načina njihovega ugotavljanja (evidence in dokazila, s katerimi bi SDH dokazal nastanek teh stroškov). </w:t>
      </w:r>
    </w:p>
    <w:p w14:paraId="59C71D8A" w14:textId="77777777" w:rsidR="005778DA" w:rsidRPr="00D516E6" w:rsidRDefault="005778DA" w:rsidP="00D516E6">
      <w:pPr>
        <w:spacing w:line="260" w:lineRule="exact"/>
        <w:jc w:val="both"/>
        <w:rPr>
          <w:rFonts w:eastAsia="Calibri" w:cs="Arial"/>
          <w:szCs w:val="20"/>
          <w:lang w:val="sl-SI"/>
        </w:rPr>
      </w:pPr>
    </w:p>
    <w:p w14:paraId="46C51744" w14:textId="1B85D8B6" w:rsidR="005778DA" w:rsidRPr="00D516E6" w:rsidRDefault="005778DA" w:rsidP="00D516E6">
      <w:pPr>
        <w:spacing w:line="260" w:lineRule="exact"/>
        <w:jc w:val="both"/>
        <w:rPr>
          <w:rFonts w:eastAsia="Calibri" w:cs="Arial"/>
          <w:szCs w:val="20"/>
          <w:lang w:val="sl-SI"/>
        </w:rPr>
      </w:pPr>
      <w:r w:rsidRPr="00D516E6">
        <w:rPr>
          <w:rFonts w:eastAsia="Calibri" w:cs="Arial"/>
          <w:szCs w:val="20"/>
          <w:lang w:val="sl-SI"/>
        </w:rPr>
        <w:t>SDH se za</w:t>
      </w:r>
      <w:r w:rsidR="00D516E6">
        <w:rPr>
          <w:rFonts w:eastAsia="Calibri" w:cs="Arial"/>
          <w:szCs w:val="20"/>
          <w:lang w:val="sl-SI"/>
        </w:rPr>
        <w:t>vezuje, da bo najpozneje do 30. 9. </w:t>
      </w:r>
      <w:r w:rsidRPr="00D516E6">
        <w:rPr>
          <w:rFonts w:eastAsia="Calibri" w:cs="Arial"/>
          <w:szCs w:val="20"/>
          <w:lang w:val="sl-SI"/>
        </w:rPr>
        <w:t>2022 sprejel organizacijski predpis, s katerim bo opredelil pravila in postopke za razporejanje stroškov SDH po stroškovnih nosilcih, ter vzpostavil stroškovne nosilce, ki bodo ustrezali posamezni pravni podlagi, in ga poslal Ministrstvu za finance v pregled.</w:t>
      </w:r>
    </w:p>
    <w:p w14:paraId="121A6745" w14:textId="77777777" w:rsidR="0028438A" w:rsidRDefault="0028438A" w:rsidP="00D516E6">
      <w:pPr>
        <w:spacing w:line="260" w:lineRule="exact"/>
        <w:jc w:val="both"/>
        <w:rPr>
          <w:rFonts w:eastAsia="Calibri" w:cs="Arial"/>
          <w:color w:val="FF0000"/>
          <w:szCs w:val="20"/>
          <w:lang w:val="sl-SI"/>
        </w:rPr>
      </w:pPr>
    </w:p>
    <w:p w14:paraId="78D776AF" w14:textId="77777777" w:rsidR="00D516E6" w:rsidRPr="00D516E6" w:rsidRDefault="00D516E6" w:rsidP="00D516E6">
      <w:pPr>
        <w:spacing w:line="260" w:lineRule="exact"/>
        <w:jc w:val="both"/>
        <w:rPr>
          <w:rFonts w:eastAsia="Calibri" w:cs="Arial"/>
          <w:color w:val="FF0000"/>
          <w:szCs w:val="20"/>
          <w:lang w:val="sl-SI"/>
        </w:rPr>
      </w:pPr>
    </w:p>
    <w:p w14:paraId="19F87432" w14:textId="77777777" w:rsidR="0009286F" w:rsidRPr="00D516E6" w:rsidRDefault="00F948CC" w:rsidP="00D516E6">
      <w:pPr>
        <w:spacing w:line="260" w:lineRule="exact"/>
        <w:jc w:val="center"/>
        <w:rPr>
          <w:rFonts w:eastAsia="Calibri" w:cs="Arial"/>
          <w:szCs w:val="20"/>
          <w:lang w:val="sl-SI"/>
        </w:rPr>
      </w:pPr>
      <w:r w:rsidRPr="00D516E6">
        <w:rPr>
          <w:rFonts w:eastAsia="Calibri" w:cs="Arial"/>
          <w:szCs w:val="20"/>
          <w:lang w:val="sl-SI"/>
        </w:rPr>
        <w:t>4</w:t>
      </w:r>
      <w:r w:rsidR="0009286F" w:rsidRPr="00D516E6">
        <w:rPr>
          <w:rFonts w:eastAsia="Calibri" w:cs="Arial"/>
          <w:szCs w:val="20"/>
          <w:lang w:val="sl-SI"/>
        </w:rPr>
        <w:t>. člen</w:t>
      </w:r>
    </w:p>
    <w:p w14:paraId="6B8E697E" w14:textId="77777777" w:rsidR="0009286F" w:rsidRPr="00D516E6" w:rsidRDefault="0009286F" w:rsidP="00D516E6">
      <w:pPr>
        <w:spacing w:line="260" w:lineRule="exact"/>
        <w:jc w:val="both"/>
        <w:rPr>
          <w:rFonts w:eastAsia="Calibri" w:cs="Arial"/>
          <w:szCs w:val="20"/>
          <w:lang w:val="sl-SI"/>
        </w:rPr>
      </w:pPr>
    </w:p>
    <w:p w14:paraId="517203FA" w14:textId="5329C082" w:rsidR="0009286F" w:rsidRPr="00D516E6" w:rsidRDefault="0009286F" w:rsidP="00D516E6">
      <w:pPr>
        <w:spacing w:line="260" w:lineRule="exact"/>
        <w:jc w:val="both"/>
        <w:rPr>
          <w:rFonts w:eastAsia="Calibri" w:cs="Arial"/>
          <w:szCs w:val="20"/>
          <w:lang w:val="sl-SI"/>
        </w:rPr>
      </w:pPr>
      <w:r w:rsidRPr="00D516E6">
        <w:rPr>
          <w:rFonts w:eastAsia="Calibri" w:cs="Arial"/>
          <w:szCs w:val="20"/>
          <w:lang w:val="sl-SI"/>
        </w:rPr>
        <w:t xml:space="preserve">Poleg nadomestila iz </w:t>
      </w:r>
      <w:r w:rsidR="002F0367" w:rsidRPr="00D516E6">
        <w:rPr>
          <w:rFonts w:eastAsia="Calibri" w:cs="Arial"/>
          <w:szCs w:val="20"/>
          <w:lang w:val="sl-SI"/>
        </w:rPr>
        <w:t>2.</w:t>
      </w:r>
      <w:r w:rsidR="005778DA" w:rsidRPr="00D516E6">
        <w:rPr>
          <w:rFonts w:eastAsia="Calibri" w:cs="Arial"/>
          <w:szCs w:val="20"/>
          <w:lang w:val="sl-SI"/>
        </w:rPr>
        <w:t xml:space="preserve"> </w:t>
      </w:r>
      <w:r w:rsidRPr="00D516E6">
        <w:rPr>
          <w:rFonts w:eastAsia="Calibri" w:cs="Arial"/>
          <w:szCs w:val="20"/>
          <w:lang w:val="sl-SI"/>
        </w:rPr>
        <w:t xml:space="preserve">člena </w:t>
      </w:r>
      <w:r w:rsidR="002F0367" w:rsidRPr="00D516E6">
        <w:rPr>
          <w:rFonts w:eastAsia="Calibri" w:cs="Arial"/>
          <w:szCs w:val="20"/>
          <w:lang w:val="sl-SI"/>
        </w:rPr>
        <w:t xml:space="preserve">te pogodbe </w:t>
      </w:r>
      <w:r w:rsidRPr="00D516E6">
        <w:rPr>
          <w:rFonts w:eastAsia="Calibri" w:cs="Arial"/>
          <w:szCs w:val="20"/>
          <w:lang w:val="sl-SI"/>
        </w:rPr>
        <w:t>se Republika Slovenija zaveže plačati sorazmerni del dejanskih upravičenih stroškov zunanjih izvajalcev v postopkih pridobivanja ali razpolaganja z naložbami Republike Slovenije. Uprava SDH je dolžna ravnati pri svojih odločitvah s skrbnostjo dobrega gospodarja.</w:t>
      </w:r>
    </w:p>
    <w:p w14:paraId="1E0F7BBE" w14:textId="77777777" w:rsidR="0009286F" w:rsidRPr="00D516E6" w:rsidRDefault="0009286F" w:rsidP="00D516E6">
      <w:pPr>
        <w:spacing w:line="260" w:lineRule="exact"/>
        <w:jc w:val="both"/>
        <w:rPr>
          <w:rFonts w:eastAsia="Calibri" w:cs="Arial"/>
          <w:szCs w:val="20"/>
          <w:lang w:val="sl-SI"/>
        </w:rPr>
      </w:pPr>
    </w:p>
    <w:p w14:paraId="530AED68" w14:textId="77777777" w:rsidR="0009286F" w:rsidRPr="00D516E6" w:rsidRDefault="0009286F" w:rsidP="00D516E6">
      <w:pPr>
        <w:spacing w:line="260" w:lineRule="exact"/>
        <w:jc w:val="both"/>
        <w:rPr>
          <w:rFonts w:eastAsia="Calibri" w:cs="Arial"/>
          <w:szCs w:val="20"/>
          <w:lang w:val="sl-SI"/>
        </w:rPr>
      </w:pPr>
      <w:r w:rsidRPr="00D516E6">
        <w:rPr>
          <w:rFonts w:eastAsia="Calibri" w:cs="Arial"/>
          <w:szCs w:val="20"/>
          <w:lang w:val="sl-SI"/>
        </w:rPr>
        <w:t>Med dejanske upravičene stroške iz prejšnjega odstavka sodijo: stroški pravnih in finančnih storitev (nadomestila, nagrade za uspešno prodajo ter drugi stroški svetovalcev, potrebni za izvedbo postopkov pridobivanja in razpolaganja, stroški skrbnih pregledov družb, stroški cenitev družb, stroški javnih objav, stroški storitev depozitarjev (</w:t>
      </w:r>
      <w:proofErr w:type="spellStart"/>
      <w:r w:rsidRPr="00D516E6">
        <w:rPr>
          <w:rFonts w:eastAsia="Calibri" w:cs="Arial"/>
          <w:szCs w:val="20"/>
          <w:lang w:val="sl-SI"/>
        </w:rPr>
        <w:t>escrow</w:t>
      </w:r>
      <w:proofErr w:type="spellEnd"/>
      <w:r w:rsidRPr="00D516E6">
        <w:rPr>
          <w:rFonts w:eastAsia="Calibri" w:cs="Arial"/>
          <w:szCs w:val="20"/>
          <w:lang w:val="sl-SI"/>
        </w:rPr>
        <w:t xml:space="preserve">)), stroški podatkovne sobe, prevodov, vpisov v centralni register nematerializiranih vrednostnih papirjev, stroški svetovanja v zvezi s komuniciranjem v zahtevnejših postopkih in drugi nujni stroški, povezani s postopki pridobivanja in razpolaganja (npr. različne takse in pristojbine), vključno z davki in dajatvami v tej zvezi. V primeru, da SDH za opravljanje nalog skladno z ZSDH-1 odloči, da so v zvezi z zunanjimi </w:t>
      </w:r>
      <w:r w:rsidRPr="00D516E6">
        <w:rPr>
          <w:rFonts w:eastAsia="Calibri" w:cs="Arial"/>
          <w:szCs w:val="20"/>
          <w:lang w:val="sl-SI"/>
        </w:rPr>
        <w:lastRenderedPageBreak/>
        <w:t xml:space="preserve">izvajalci potrebni in upravičeni še kakšni drugi stroški, razen prej navedenih, o tem predhodno obvesti in poda pojasnilo skrbniku pogodbe na strani Republike Slovenije. </w:t>
      </w:r>
    </w:p>
    <w:p w14:paraId="6F9E658F" w14:textId="77777777" w:rsidR="00763457" w:rsidRPr="00D516E6" w:rsidRDefault="00763457" w:rsidP="00D516E6">
      <w:pPr>
        <w:spacing w:line="260" w:lineRule="exact"/>
        <w:jc w:val="both"/>
        <w:rPr>
          <w:rFonts w:eastAsia="Calibri" w:cs="Arial"/>
          <w:szCs w:val="20"/>
          <w:lang w:val="sl-SI"/>
        </w:rPr>
      </w:pPr>
    </w:p>
    <w:p w14:paraId="2AAB1364" w14:textId="6F41E0E1" w:rsidR="0009286F" w:rsidRPr="00D516E6" w:rsidRDefault="0009286F" w:rsidP="00D516E6">
      <w:pPr>
        <w:spacing w:line="260" w:lineRule="exact"/>
        <w:jc w:val="both"/>
        <w:rPr>
          <w:rFonts w:eastAsia="Calibri" w:cs="Arial"/>
          <w:color w:val="76923C"/>
          <w:szCs w:val="20"/>
          <w:lang w:val="sl-SI"/>
        </w:rPr>
      </w:pPr>
      <w:r w:rsidRPr="00D516E6">
        <w:rPr>
          <w:rFonts w:eastAsia="Calibri" w:cs="Arial"/>
          <w:szCs w:val="20"/>
          <w:lang w:val="sl-SI"/>
        </w:rPr>
        <w:t xml:space="preserve">Račun za povračilo sorazmernega dela dejanskih upravičenih stroškov iz </w:t>
      </w:r>
      <w:r w:rsidR="009C62BB" w:rsidRPr="00D516E6">
        <w:rPr>
          <w:rFonts w:eastAsia="Calibri" w:cs="Arial"/>
          <w:szCs w:val="20"/>
          <w:lang w:val="sl-SI"/>
        </w:rPr>
        <w:t xml:space="preserve">prejšnjega </w:t>
      </w:r>
      <w:r w:rsidRPr="00D516E6">
        <w:rPr>
          <w:rFonts w:eastAsia="Calibri" w:cs="Arial"/>
          <w:szCs w:val="20"/>
          <w:lang w:val="sl-SI"/>
        </w:rPr>
        <w:t>odstavka tega člena izda SDH praviloma po zaključku postopka pridobivanja ali razpolaganja s posamezno naložbo. SDH računu, ki ga pošlje ministrstvu, pristojnemu za finance, priloži obrazložena dokazila o nastanku stroškov. Republika Slovenija poravna račun 30. dan po prejemu le-tega.</w:t>
      </w:r>
    </w:p>
    <w:p w14:paraId="0013A14C" w14:textId="77777777" w:rsidR="0009286F" w:rsidRPr="00D516E6" w:rsidRDefault="0009286F" w:rsidP="00D516E6">
      <w:pPr>
        <w:spacing w:line="260" w:lineRule="exact"/>
        <w:jc w:val="both"/>
        <w:rPr>
          <w:rFonts w:eastAsia="Calibri" w:cs="Arial"/>
          <w:szCs w:val="20"/>
          <w:lang w:val="sl-SI"/>
        </w:rPr>
      </w:pPr>
    </w:p>
    <w:p w14:paraId="0C1F9C68" w14:textId="4D5CFAA5" w:rsidR="0009286F" w:rsidRPr="00D516E6" w:rsidRDefault="0009286F" w:rsidP="00D516E6">
      <w:pPr>
        <w:spacing w:line="260" w:lineRule="exact"/>
        <w:jc w:val="both"/>
        <w:rPr>
          <w:rFonts w:eastAsia="Calibri" w:cs="Arial"/>
          <w:szCs w:val="20"/>
          <w:lang w:val="sl-SI"/>
        </w:rPr>
      </w:pPr>
      <w:r w:rsidRPr="00D516E6">
        <w:rPr>
          <w:rFonts w:eastAsia="Calibri" w:cs="Arial"/>
          <w:szCs w:val="20"/>
          <w:lang w:val="sl-SI"/>
        </w:rPr>
        <w:t>V primeru, ko se postopek pridobivanja ali razpolaganja ne zaključi s pridobitvijo, odsvojitvijo oziroma s prenosom lastništva naložbe Republike Slovenije na drugo osebo, mora SDH k računu za povračilo vseh dejanskih upravičenih stroškov zunanjih izvajalcev, nastalih v zvezi s postopkom pridobivanja ali razpolaganja, priložiti poročilo o izvedenem postopku z obrazložitvijo izvedenih aktivnosti v postopku in vzrokov za neuspešen zaključek postopka, iz katerega mora biti razvidno strokovno, skrbno in gospodarno ravnanje SDH.</w:t>
      </w:r>
    </w:p>
    <w:p w14:paraId="33BFF350" w14:textId="77777777" w:rsidR="0009286F" w:rsidRDefault="0009286F" w:rsidP="00D516E6">
      <w:pPr>
        <w:spacing w:line="260" w:lineRule="exact"/>
        <w:jc w:val="both"/>
        <w:rPr>
          <w:rFonts w:eastAsia="Calibri" w:cs="Arial"/>
          <w:szCs w:val="20"/>
          <w:lang w:val="sl-SI"/>
        </w:rPr>
      </w:pPr>
    </w:p>
    <w:p w14:paraId="7CF11D18" w14:textId="77777777" w:rsidR="00D516E6" w:rsidRPr="00D516E6" w:rsidRDefault="00D516E6" w:rsidP="00D516E6">
      <w:pPr>
        <w:spacing w:line="260" w:lineRule="exact"/>
        <w:jc w:val="both"/>
        <w:rPr>
          <w:rFonts w:eastAsia="Calibri" w:cs="Arial"/>
          <w:szCs w:val="20"/>
          <w:lang w:val="sl-SI"/>
        </w:rPr>
      </w:pPr>
    </w:p>
    <w:p w14:paraId="65E607AA" w14:textId="77777777" w:rsidR="0009286F" w:rsidRPr="00D516E6" w:rsidRDefault="00F948CC" w:rsidP="00D516E6">
      <w:pPr>
        <w:spacing w:line="260" w:lineRule="exact"/>
        <w:jc w:val="center"/>
        <w:rPr>
          <w:rFonts w:eastAsia="Calibri" w:cs="Arial"/>
          <w:szCs w:val="20"/>
          <w:lang w:val="sl-SI"/>
        </w:rPr>
      </w:pPr>
      <w:r w:rsidRPr="00D516E6">
        <w:rPr>
          <w:rFonts w:eastAsia="Calibri" w:cs="Arial"/>
          <w:szCs w:val="20"/>
          <w:lang w:val="sl-SI"/>
        </w:rPr>
        <w:t>5</w:t>
      </w:r>
      <w:r w:rsidR="0009286F" w:rsidRPr="00D516E6">
        <w:rPr>
          <w:rFonts w:eastAsia="Calibri" w:cs="Arial"/>
          <w:szCs w:val="20"/>
          <w:lang w:val="sl-SI"/>
        </w:rPr>
        <w:t>. člen</w:t>
      </w:r>
    </w:p>
    <w:p w14:paraId="44C0F6F3" w14:textId="77777777" w:rsidR="0009286F" w:rsidRPr="00D516E6" w:rsidRDefault="0009286F" w:rsidP="00D516E6">
      <w:pPr>
        <w:spacing w:line="260" w:lineRule="exact"/>
        <w:jc w:val="both"/>
        <w:rPr>
          <w:rFonts w:eastAsia="Calibri" w:cs="Arial"/>
          <w:szCs w:val="20"/>
          <w:lang w:val="sl-SI"/>
        </w:rPr>
      </w:pPr>
    </w:p>
    <w:p w14:paraId="39CE9B39" w14:textId="77777777" w:rsidR="0009286F" w:rsidRPr="00D516E6" w:rsidRDefault="0009286F" w:rsidP="00D516E6">
      <w:pPr>
        <w:spacing w:line="260" w:lineRule="exact"/>
        <w:jc w:val="both"/>
        <w:rPr>
          <w:rFonts w:eastAsia="Calibri" w:cs="Arial"/>
          <w:szCs w:val="20"/>
          <w:lang w:val="sl-SI"/>
        </w:rPr>
      </w:pPr>
      <w:r w:rsidRPr="00D516E6">
        <w:rPr>
          <w:rFonts w:eastAsia="Calibri" w:cs="Arial"/>
          <w:szCs w:val="20"/>
          <w:lang w:val="sl-SI"/>
        </w:rPr>
        <w:t>Če več prodajalcev sodeluje v skupnem postopku prodaje, katerega predmet je tudi naložba Republike Slovenije, se višina oziroma način delitve stroškov postopka skupne prodaje opredeli v sporazumu med prodajalci. Stroški prodaje naložbe Republike Slovenije so v takem primeru tisti dejanski upravičeni stroški, ki jih je glede na določila sporazuma med prodajalci in glede na morebitna podpisana pisma o nameri dolžna plačati Republika Slovenija. Praviloma je to sorazmerni del stroškov postopka skupne prodaje, ki se izračuna kot razmerje med deležem naložbe v lasti Republike Slovenije, ki je predmet postopka skupne prodaje, in seštevkom deležev v lasti vseh prodajalcev, vključno z deležem v lasti Republike Slovenije, ki sodelujejo v postopku skupne prodaje in so na podlagi sporazuma ali pisma o nameri dolžni kriti stroške.</w:t>
      </w:r>
    </w:p>
    <w:p w14:paraId="4625B678" w14:textId="77777777" w:rsidR="0009286F" w:rsidRDefault="0009286F" w:rsidP="00D516E6">
      <w:pPr>
        <w:spacing w:line="260" w:lineRule="exact"/>
        <w:jc w:val="both"/>
        <w:rPr>
          <w:rFonts w:eastAsia="Calibri" w:cs="Arial"/>
          <w:szCs w:val="20"/>
          <w:lang w:val="sl-SI"/>
        </w:rPr>
      </w:pPr>
    </w:p>
    <w:p w14:paraId="313B57FA" w14:textId="77777777" w:rsidR="00BE3F5C" w:rsidRPr="00D516E6" w:rsidRDefault="00BE3F5C" w:rsidP="00D516E6">
      <w:pPr>
        <w:spacing w:line="260" w:lineRule="exact"/>
        <w:jc w:val="both"/>
        <w:rPr>
          <w:rFonts w:eastAsia="Calibri" w:cs="Arial"/>
          <w:szCs w:val="20"/>
          <w:lang w:val="sl-SI"/>
        </w:rPr>
      </w:pPr>
    </w:p>
    <w:p w14:paraId="2FD5EE7D" w14:textId="77777777" w:rsidR="0009286F" w:rsidRPr="00D516E6" w:rsidRDefault="00966EEF" w:rsidP="00D516E6">
      <w:pPr>
        <w:spacing w:line="260" w:lineRule="exact"/>
        <w:jc w:val="center"/>
        <w:rPr>
          <w:rFonts w:eastAsia="Calibri" w:cs="Arial"/>
          <w:szCs w:val="20"/>
          <w:lang w:val="sl-SI"/>
        </w:rPr>
      </w:pPr>
      <w:bookmarkStart w:id="6" w:name="_Hlk58940813"/>
      <w:r w:rsidRPr="00D516E6">
        <w:rPr>
          <w:rFonts w:eastAsia="Calibri" w:cs="Arial"/>
          <w:szCs w:val="20"/>
          <w:lang w:val="sl-SI"/>
        </w:rPr>
        <w:t>6</w:t>
      </w:r>
      <w:r w:rsidR="0009286F" w:rsidRPr="00D516E6">
        <w:rPr>
          <w:rFonts w:eastAsia="Calibri" w:cs="Arial"/>
          <w:szCs w:val="20"/>
          <w:lang w:val="sl-SI"/>
        </w:rPr>
        <w:t>. člen</w:t>
      </w:r>
    </w:p>
    <w:p w14:paraId="3D2B0388" w14:textId="77777777" w:rsidR="0009286F" w:rsidRPr="00D516E6" w:rsidRDefault="0009286F" w:rsidP="00D516E6">
      <w:pPr>
        <w:spacing w:line="260" w:lineRule="exact"/>
        <w:jc w:val="both"/>
        <w:rPr>
          <w:rFonts w:eastAsia="Calibri" w:cs="Arial"/>
          <w:szCs w:val="20"/>
          <w:lang w:val="sl-SI"/>
        </w:rPr>
      </w:pPr>
    </w:p>
    <w:p w14:paraId="3633553E" w14:textId="77777777" w:rsidR="0009286F" w:rsidRPr="00D516E6" w:rsidRDefault="0009286F" w:rsidP="00D516E6">
      <w:pPr>
        <w:spacing w:line="260" w:lineRule="exact"/>
        <w:jc w:val="both"/>
        <w:rPr>
          <w:rFonts w:eastAsia="Calibri" w:cs="Arial"/>
          <w:szCs w:val="20"/>
          <w:lang w:val="sl-SI"/>
        </w:rPr>
      </w:pPr>
      <w:r w:rsidRPr="00D516E6">
        <w:rPr>
          <w:rFonts w:eastAsia="Calibri" w:cs="Arial"/>
          <w:szCs w:val="20"/>
          <w:lang w:val="sl-SI"/>
        </w:rPr>
        <w:t>SDH najkasneje do konca avgusta posameznega leta seznani skrbnika te pogodbe na strani Republike Slovenije z obrazloženo oceno načrta predvidenih aktivnosti in z ocenjeno vrednostjo stroškov, povezanih z upravljanjem, pridobivanjem in razpolaganjem z naložbami Republike Slovenije za naslednji dve leti.</w:t>
      </w:r>
    </w:p>
    <w:p w14:paraId="6A5A0762" w14:textId="77777777" w:rsidR="0009286F" w:rsidRPr="00D516E6" w:rsidRDefault="0009286F" w:rsidP="00D516E6">
      <w:pPr>
        <w:spacing w:line="260" w:lineRule="exact"/>
        <w:jc w:val="both"/>
        <w:rPr>
          <w:rFonts w:eastAsia="Calibri" w:cs="Arial"/>
          <w:szCs w:val="20"/>
          <w:lang w:val="sl-SI"/>
        </w:rPr>
      </w:pPr>
    </w:p>
    <w:p w14:paraId="1ADA2EF8" w14:textId="77777777" w:rsidR="0009286F" w:rsidRPr="00D516E6" w:rsidRDefault="0009286F" w:rsidP="00D516E6">
      <w:pPr>
        <w:spacing w:line="260" w:lineRule="exact"/>
        <w:jc w:val="both"/>
        <w:rPr>
          <w:rFonts w:eastAsia="Calibri" w:cs="Arial"/>
          <w:szCs w:val="20"/>
          <w:lang w:val="sl-SI"/>
        </w:rPr>
      </w:pPr>
      <w:r w:rsidRPr="00D516E6">
        <w:rPr>
          <w:rFonts w:eastAsia="Calibri" w:cs="Arial"/>
          <w:szCs w:val="20"/>
          <w:lang w:val="sl-SI"/>
        </w:rPr>
        <w:t>SDH o potrditvi svojega poslovnega načrta seznani skrbnika te pogodbe na strani Republike Slovenije z načrtovano vrednostjo in specifikacijo stroškov, povezanih z upravljanjem, pridobivanjem in razpolaganjem z naložbami Republike Slovenije za naslednje leto.</w:t>
      </w:r>
    </w:p>
    <w:p w14:paraId="3F4896F1" w14:textId="77777777" w:rsidR="0009286F" w:rsidRPr="00D516E6" w:rsidRDefault="0009286F" w:rsidP="00D516E6">
      <w:pPr>
        <w:spacing w:line="260" w:lineRule="exact"/>
        <w:jc w:val="both"/>
        <w:rPr>
          <w:rFonts w:eastAsia="Calibri" w:cs="Arial"/>
          <w:szCs w:val="20"/>
          <w:lang w:val="sl-SI"/>
        </w:rPr>
      </w:pPr>
    </w:p>
    <w:p w14:paraId="5ED373E4" w14:textId="77777777" w:rsidR="0009286F" w:rsidRPr="00D516E6" w:rsidRDefault="0009286F" w:rsidP="00D516E6">
      <w:pPr>
        <w:spacing w:line="260" w:lineRule="exact"/>
        <w:jc w:val="both"/>
        <w:rPr>
          <w:rFonts w:eastAsia="Calibri" w:cs="Arial"/>
          <w:szCs w:val="20"/>
          <w:lang w:val="sl-SI"/>
        </w:rPr>
      </w:pPr>
      <w:r w:rsidRPr="00D516E6">
        <w:rPr>
          <w:rFonts w:eastAsia="Calibri" w:cs="Arial"/>
          <w:szCs w:val="20"/>
          <w:lang w:val="sl-SI"/>
        </w:rPr>
        <w:t>SDH pogodbeno dokumentacijo, sklenjeno v imenu in za račun Republike Slovenije, posreduje skrbniku te pogodbe na strani Republike Slovenije.</w:t>
      </w:r>
    </w:p>
    <w:p w14:paraId="7111D195" w14:textId="77777777" w:rsidR="0009286F" w:rsidRPr="00D516E6" w:rsidRDefault="0009286F" w:rsidP="00D516E6">
      <w:pPr>
        <w:spacing w:line="260" w:lineRule="exact"/>
        <w:jc w:val="both"/>
        <w:rPr>
          <w:rFonts w:eastAsia="Calibri" w:cs="Arial"/>
          <w:szCs w:val="20"/>
          <w:lang w:val="sl-SI"/>
        </w:rPr>
      </w:pPr>
    </w:p>
    <w:p w14:paraId="53A24693" w14:textId="77777777" w:rsidR="0009286F" w:rsidRPr="00D516E6" w:rsidRDefault="0009286F" w:rsidP="00D516E6">
      <w:pPr>
        <w:spacing w:line="260" w:lineRule="exact"/>
        <w:jc w:val="both"/>
        <w:rPr>
          <w:rFonts w:eastAsia="Calibri" w:cs="Arial"/>
          <w:szCs w:val="20"/>
          <w:lang w:val="sl-SI"/>
        </w:rPr>
      </w:pPr>
      <w:r w:rsidRPr="00D516E6">
        <w:rPr>
          <w:rFonts w:eastAsia="Calibri" w:cs="Arial"/>
          <w:szCs w:val="20"/>
          <w:lang w:val="sl-SI"/>
        </w:rPr>
        <w:t>SDH o načrtovanih in izvedenih aktivnostih, povezanih z upravljanjem, pridobivanjem in razpolaganjem z naložbami Republike Slovenije, ki vplivajo na proračun Republike Slovenije, mesečno seznanja skrbnika te pogodbe na strani Republike Slovenije, in sicer do dvajsetega dne tekočega meseca za naslednji mesec o načrtovanih aktivnostih oziroma do dvajsetega dne v mesecu za pretekli mesec o izvedenih aktivnostih.</w:t>
      </w:r>
    </w:p>
    <w:bookmarkEnd w:id="6"/>
    <w:p w14:paraId="137A6293" w14:textId="77777777" w:rsidR="0009286F" w:rsidRDefault="0009286F" w:rsidP="00D516E6">
      <w:pPr>
        <w:spacing w:line="260" w:lineRule="exact"/>
        <w:jc w:val="both"/>
        <w:rPr>
          <w:rFonts w:eastAsia="Calibri" w:cs="Arial"/>
          <w:szCs w:val="20"/>
          <w:lang w:val="sl-SI"/>
        </w:rPr>
      </w:pPr>
    </w:p>
    <w:p w14:paraId="48F615EF" w14:textId="77777777" w:rsidR="00D516E6" w:rsidRPr="00D516E6" w:rsidRDefault="00D516E6" w:rsidP="00D516E6">
      <w:pPr>
        <w:spacing w:line="260" w:lineRule="exact"/>
        <w:jc w:val="both"/>
        <w:rPr>
          <w:rFonts w:eastAsia="Calibri" w:cs="Arial"/>
          <w:szCs w:val="20"/>
          <w:lang w:val="sl-SI"/>
        </w:rPr>
      </w:pPr>
    </w:p>
    <w:p w14:paraId="59246DD4" w14:textId="77777777" w:rsidR="0009286F" w:rsidRPr="00D516E6" w:rsidRDefault="00966EEF" w:rsidP="00D516E6">
      <w:pPr>
        <w:spacing w:line="260" w:lineRule="exact"/>
        <w:jc w:val="center"/>
        <w:rPr>
          <w:rFonts w:eastAsia="Calibri" w:cs="Arial"/>
          <w:szCs w:val="20"/>
          <w:lang w:val="sl-SI"/>
        </w:rPr>
      </w:pPr>
      <w:r w:rsidRPr="00D516E6">
        <w:rPr>
          <w:rFonts w:eastAsia="Calibri" w:cs="Arial"/>
          <w:szCs w:val="20"/>
          <w:lang w:val="sl-SI"/>
        </w:rPr>
        <w:lastRenderedPageBreak/>
        <w:t>7</w:t>
      </w:r>
      <w:r w:rsidR="0009286F" w:rsidRPr="00D516E6">
        <w:rPr>
          <w:rFonts w:eastAsia="Calibri" w:cs="Arial"/>
          <w:szCs w:val="20"/>
          <w:lang w:val="sl-SI"/>
        </w:rPr>
        <w:t>. člen</w:t>
      </w:r>
    </w:p>
    <w:p w14:paraId="65964258" w14:textId="77777777" w:rsidR="0009286F" w:rsidRPr="00D516E6" w:rsidRDefault="0009286F" w:rsidP="00D516E6">
      <w:pPr>
        <w:spacing w:line="260" w:lineRule="exact"/>
        <w:jc w:val="both"/>
        <w:rPr>
          <w:rFonts w:eastAsia="Calibri" w:cs="Arial"/>
          <w:szCs w:val="20"/>
          <w:lang w:val="sl-SI"/>
        </w:rPr>
      </w:pPr>
    </w:p>
    <w:p w14:paraId="507C0C20" w14:textId="77777777" w:rsidR="0009286F" w:rsidRPr="00D516E6" w:rsidRDefault="0009286F" w:rsidP="00D516E6">
      <w:pPr>
        <w:spacing w:line="260" w:lineRule="exact"/>
        <w:jc w:val="both"/>
        <w:rPr>
          <w:rFonts w:eastAsia="Calibri" w:cs="Arial"/>
          <w:szCs w:val="20"/>
          <w:lang w:val="sl-SI"/>
        </w:rPr>
      </w:pPr>
      <w:r w:rsidRPr="00D516E6">
        <w:rPr>
          <w:rFonts w:eastAsia="Calibri" w:cs="Arial"/>
          <w:szCs w:val="20"/>
          <w:lang w:val="sl-SI"/>
        </w:rPr>
        <w:t>Skrbnik pogodbe na strani Republike Slovenije je Pija Sidonija Šilc</w:t>
      </w:r>
      <w:r w:rsidR="00F948CC" w:rsidRPr="00D516E6">
        <w:rPr>
          <w:rFonts w:eastAsia="Calibri" w:cs="Arial"/>
          <w:szCs w:val="20"/>
          <w:lang w:val="sl-SI"/>
        </w:rPr>
        <w:t>, v primeru njene odsotnosti pa Romana Oberstar.</w:t>
      </w:r>
    </w:p>
    <w:p w14:paraId="41E9FF84" w14:textId="77777777" w:rsidR="0009286F" w:rsidRPr="00D516E6" w:rsidRDefault="0009286F" w:rsidP="00D516E6">
      <w:pPr>
        <w:spacing w:line="260" w:lineRule="exact"/>
        <w:jc w:val="both"/>
        <w:rPr>
          <w:rFonts w:eastAsia="Calibri" w:cs="Arial"/>
          <w:szCs w:val="20"/>
          <w:lang w:val="sl-SI"/>
        </w:rPr>
      </w:pPr>
    </w:p>
    <w:p w14:paraId="48FC4744" w14:textId="77777777" w:rsidR="0009286F" w:rsidRPr="00D516E6" w:rsidRDefault="0009286F" w:rsidP="00D516E6">
      <w:pPr>
        <w:spacing w:line="260" w:lineRule="exact"/>
        <w:jc w:val="both"/>
        <w:rPr>
          <w:rFonts w:eastAsia="Calibri" w:cs="Arial"/>
          <w:szCs w:val="20"/>
          <w:lang w:val="sl-SI"/>
        </w:rPr>
      </w:pPr>
      <w:r w:rsidRPr="00D516E6">
        <w:rPr>
          <w:rFonts w:eastAsia="Calibri" w:cs="Arial"/>
          <w:szCs w:val="20"/>
          <w:lang w:val="sl-SI"/>
        </w:rPr>
        <w:t>Skrbnik pogodbe na strani SDH je Štefka Kavčič, v primeru njene odsotnosti pa Anja Trebovc.</w:t>
      </w:r>
    </w:p>
    <w:p w14:paraId="1146CD27" w14:textId="77777777" w:rsidR="0009286F" w:rsidRDefault="0009286F" w:rsidP="00D516E6">
      <w:pPr>
        <w:spacing w:line="260" w:lineRule="exact"/>
        <w:jc w:val="both"/>
        <w:rPr>
          <w:rFonts w:eastAsia="Calibri" w:cs="Arial"/>
          <w:szCs w:val="20"/>
          <w:lang w:val="sl-SI"/>
        </w:rPr>
      </w:pPr>
    </w:p>
    <w:p w14:paraId="23B4412D" w14:textId="77777777" w:rsidR="00D516E6" w:rsidRPr="00D516E6" w:rsidRDefault="00D516E6" w:rsidP="00D516E6">
      <w:pPr>
        <w:spacing w:line="260" w:lineRule="exact"/>
        <w:jc w:val="both"/>
        <w:rPr>
          <w:rFonts w:eastAsia="Calibri" w:cs="Arial"/>
          <w:szCs w:val="20"/>
          <w:lang w:val="sl-SI"/>
        </w:rPr>
      </w:pPr>
    </w:p>
    <w:p w14:paraId="643915A7" w14:textId="77777777" w:rsidR="0009286F" w:rsidRPr="00D516E6" w:rsidRDefault="0020316B" w:rsidP="00D516E6">
      <w:pPr>
        <w:spacing w:line="260" w:lineRule="exact"/>
        <w:jc w:val="center"/>
        <w:rPr>
          <w:rFonts w:eastAsia="Calibri" w:cs="Arial"/>
          <w:szCs w:val="20"/>
          <w:lang w:val="sl-SI"/>
        </w:rPr>
      </w:pPr>
      <w:r w:rsidRPr="00D516E6">
        <w:rPr>
          <w:rFonts w:eastAsia="Calibri" w:cs="Arial"/>
          <w:szCs w:val="20"/>
          <w:lang w:val="sl-SI"/>
        </w:rPr>
        <w:t>8</w:t>
      </w:r>
      <w:r w:rsidR="0009286F" w:rsidRPr="00D516E6">
        <w:rPr>
          <w:rFonts w:eastAsia="Calibri" w:cs="Arial"/>
          <w:szCs w:val="20"/>
          <w:lang w:val="sl-SI"/>
        </w:rPr>
        <w:t>. člen</w:t>
      </w:r>
    </w:p>
    <w:p w14:paraId="7D008241" w14:textId="77777777" w:rsidR="0009286F" w:rsidRPr="00D516E6" w:rsidRDefault="0009286F" w:rsidP="00D516E6">
      <w:pPr>
        <w:spacing w:line="260" w:lineRule="exact"/>
        <w:jc w:val="both"/>
        <w:rPr>
          <w:rFonts w:eastAsia="Calibri" w:cs="Arial"/>
          <w:szCs w:val="20"/>
          <w:lang w:val="sl-SI"/>
        </w:rPr>
      </w:pPr>
    </w:p>
    <w:p w14:paraId="1791E89C" w14:textId="77777777" w:rsidR="0009286F" w:rsidRPr="00D516E6" w:rsidRDefault="0009286F" w:rsidP="00D516E6">
      <w:pPr>
        <w:spacing w:line="260" w:lineRule="exact"/>
        <w:jc w:val="both"/>
        <w:rPr>
          <w:rFonts w:eastAsia="Calibri" w:cs="Arial"/>
          <w:szCs w:val="20"/>
          <w:lang w:val="sl-SI"/>
        </w:rPr>
      </w:pPr>
      <w:r w:rsidRPr="00D516E6">
        <w:rPr>
          <w:rFonts w:eastAsia="Calibri" w:cs="Arial"/>
          <w:szCs w:val="20"/>
          <w:lang w:val="sl-SI"/>
        </w:rPr>
        <w:t>Za reševanje morebitnih sporov med Pogodbenima strankama, ki bi izvirali iz te Pogodbe ali v zvezi z njo, in ki jih Pogodbeni stranki ne bi uspeli rešiti na sporazumen način, bo pristojno stvarno pristojno sodišče v Ljubljani.</w:t>
      </w:r>
    </w:p>
    <w:p w14:paraId="539558DA" w14:textId="77777777" w:rsidR="0009286F" w:rsidRPr="00D516E6" w:rsidRDefault="0009286F" w:rsidP="00D516E6">
      <w:pPr>
        <w:spacing w:line="260" w:lineRule="exact"/>
        <w:jc w:val="both"/>
        <w:rPr>
          <w:rFonts w:eastAsia="Calibri" w:cs="Arial"/>
          <w:szCs w:val="20"/>
          <w:lang w:val="sl-SI"/>
        </w:rPr>
      </w:pPr>
    </w:p>
    <w:p w14:paraId="237E752B" w14:textId="77777777" w:rsidR="0009286F" w:rsidRPr="00D516E6" w:rsidRDefault="0009286F" w:rsidP="00D516E6">
      <w:pPr>
        <w:spacing w:line="260" w:lineRule="exact"/>
        <w:jc w:val="both"/>
        <w:rPr>
          <w:rFonts w:eastAsia="Calibri" w:cs="Arial"/>
          <w:szCs w:val="20"/>
          <w:lang w:val="sl-SI"/>
        </w:rPr>
      </w:pPr>
      <w:r w:rsidRPr="00D516E6">
        <w:rPr>
          <w:rFonts w:eastAsia="Calibri" w:cs="Arial"/>
          <w:szCs w:val="20"/>
          <w:lang w:val="sl-SI"/>
        </w:rPr>
        <w:t>Pogodba je sestavljena v dveh izvodih, od katerih prejme vsaka Pogodbena stranka po en izvod.</w:t>
      </w:r>
    </w:p>
    <w:p w14:paraId="4561C185" w14:textId="77777777" w:rsidR="0009286F" w:rsidRPr="00D516E6" w:rsidRDefault="0009286F" w:rsidP="00D516E6">
      <w:pPr>
        <w:spacing w:line="260" w:lineRule="exact"/>
        <w:jc w:val="both"/>
        <w:rPr>
          <w:rFonts w:eastAsia="Calibri" w:cs="Arial"/>
          <w:szCs w:val="20"/>
          <w:lang w:val="sl-SI"/>
        </w:rPr>
      </w:pPr>
    </w:p>
    <w:p w14:paraId="5249EF6B" w14:textId="77777777" w:rsidR="0009286F" w:rsidRPr="00D516E6" w:rsidRDefault="0009286F" w:rsidP="00D516E6">
      <w:pPr>
        <w:spacing w:line="260" w:lineRule="exact"/>
        <w:jc w:val="both"/>
        <w:rPr>
          <w:rFonts w:eastAsia="Calibri" w:cs="Arial"/>
          <w:szCs w:val="20"/>
          <w:lang w:val="sl-SI"/>
        </w:rPr>
      </w:pPr>
      <w:r w:rsidRPr="00D516E6">
        <w:rPr>
          <w:rFonts w:eastAsia="Calibri" w:cs="Arial"/>
          <w:szCs w:val="20"/>
          <w:lang w:val="sl-SI"/>
        </w:rPr>
        <w:t xml:space="preserve">Pogodba začne veljati z dnem, ko jo podpišeta obe Pogodbeni stranki. </w:t>
      </w:r>
    </w:p>
    <w:p w14:paraId="7972CF7B" w14:textId="77777777" w:rsidR="0009286F" w:rsidRPr="00D516E6" w:rsidRDefault="0009286F" w:rsidP="00D516E6">
      <w:pPr>
        <w:spacing w:line="260" w:lineRule="exact"/>
        <w:jc w:val="both"/>
        <w:rPr>
          <w:rFonts w:eastAsia="Calibri" w:cs="Arial"/>
          <w:szCs w:val="20"/>
          <w:lang w:val="sl-SI"/>
        </w:rPr>
      </w:pPr>
    </w:p>
    <w:p w14:paraId="448EAC4D" w14:textId="77777777" w:rsidR="0009286F" w:rsidRPr="00D516E6" w:rsidRDefault="0009286F" w:rsidP="00D516E6">
      <w:pPr>
        <w:spacing w:line="260" w:lineRule="exact"/>
        <w:jc w:val="both"/>
        <w:rPr>
          <w:rFonts w:eastAsia="Calibri" w:cs="Arial"/>
          <w:szCs w:val="20"/>
          <w:lang w:val="sl-SI"/>
        </w:rPr>
      </w:pPr>
      <w:r w:rsidRPr="00D516E6">
        <w:rPr>
          <w:rFonts w:eastAsia="Calibri" w:cs="Arial"/>
          <w:szCs w:val="20"/>
          <w:lang w:val="sl-SI"/>
        </w:rPr>
        <w:t xml:space="preserve">V primeru uveljavitve zakona, s katerim bi se pred iztekom veljavnosti Pogodbe poseglo v veljavnost 19. in 27. člena ZSDH-1, Pogodba preneha veljati z dnem uveljavitve takšnega zakona. </w:t>
      </w:r>
    </w:p>
    <w:p w14:paraId="3074E150" w14:textId="0632E163" w:rsidR="0009286F" w:rsidRDefault="0009286F" w:rsidP="00D516E6">
      <w:pPr>
        <w:spacing w:line="260" w:lineRule="exact"/>
        <w:jc w:val="both"/>
        <w:rPr>
          <w:rFonts w:eastAsia="Calibri" w:cs="Arial"/>
          <w:szCs w:val="20"/>
          <w:lang w:val="sl-SI"/>
        </w:rPr>
      </w:pPr>
    </w:p>
    <w:p w14:paraId="55351C89" w14:textId="77777777" w:rsidR="00D516E6" w:rsidRDefault="00D516E6" w:rsidP="00D516E6">
      <w:pPr>
        <w:spacing w:line="260" w:lineRule="exact"/>
        <w:jc w:val="both"/>
        <w:rPr>
          <w:rFonts w:eastAsia="Calibri" w:cs="Arial"/>
          <w:szCs w:val="20"/>
          <w:lang w:val="sl-SI"/>
        </w:rPr>
      </w:pPr>
    </w:p>
    <w:p w14:paraId="71948EA8" w14:textId="77777777" w:rsidR="00D516E6" w:rsidRPr="00D516E6" w:rsidRDefault="00D516E6" w:rsidP="00D516E6">
      <w:pPr>
        <w:spacing w:line="260" w:lineRule="exact"/>
        <w:jc w:val="both"/>
        <w:rPr>
          <w:rFonts w:eastAsia="Calibri" w:cs="Arial"/>
          <w:szCs w:val="20"/>
          <w:lang w:val="sl-SI"/>
        </w:rPr>
      </w:pPr>
    </w:p>
    <w:p w14:paraId="68FD50A1" w14:textId="77777777" w:rsidR="00EF4753" w:rsidRPr="00D516E6" w:rsidRDefault="00EF4753" w:rsidP="00D516E6">
      <w:pPr>
        <w:spacing w:line="260" w:lineRule="exact"/>
        <w:jc w:val="both"/>
        <w:rPr>
          <w:rFonts w:eastAsia="Calibri" w:cs="Arial"/>
          <w:szCs w:val="20"/>
          <w:lang w:val="sl-SI"/>
        </w:rPr>
      </w:pPr>
    </w:p>
    <w:tbl>
      <w:tblPr>
        <w:tblW w:w="0" w:type="auto"/>
        <w:tblLook w:val="04A0" w:firstRow="1" w:lastRow="0" w:firstColumn="1" w:lastColumn="0" w:noHBand="0" w:noVBand="1"/>
      </w:tblPr>
      <w:tblGrid>
        <w:gridCol w:w="3494"/>
        <w:gridCol w:w="5004"/>
      </w:tblGrid>
      <w:tr w:rsidR="0009286F" w:rsidRPr="0029797B" w14:paraId="0E87BCFA" w14:textId="77777777" w:rsidTr="00AA3BA5">
        <w:trPr>
          <w:trHeight w:val="2138"/>
        </w:trPr>
        <w:tc>
          <w:tcPr>
            <w:tcW w:w="3794" w:type="dxa"/>
            <w:shd w:val="clear" w:color="auto" w:fill="auto"/>
          </w:tcPr>
          <w:p w14:paraId="11B65EB9" w14:textId="77777777" w:rsidR="0009286F" w:rsidRPr="00D516E6" w:rsidRDefault="0009286F" w:rsidP="00D516E6">
            <w:pPr>
              <w:spacing w:line="260" w:lineRule="exact"/>
              <w:rPr>
                <w:rFonts w:eastAsia="Calibri" w:cs="Arial"/>
                <w:szCs w:val="20"/>
                <w:lang w:val="sl-SI"/>
              </w:rPr>
            </w:pPr>
            <w:r w:rsidRPr="00D516E6">
              <w:rPr>
                <w:rFonts w:eastAsia="Calibri" w:cs="Arial"/>
                <w:szCs w:val="20"/>
                <w:lang w:val="sl-SI"/>
              </w:rPr>
              <w:t>Datum:</w:t>
            </w:r>
          </w:p>
        </w:tc>
        <w:tc>
          <w:tcPr>
            <w:tcW w:w="5418" w:type="dxa"/>
            <w:shd w:val="clear" w:color="auto" w:fill="auto"/>
          </w:tcPr>
          <w:p w14:paraId="1C5C8AE5" w14:textId="77777777" w:rsidR="0009286F" w:rsidRPr="00D516E6" w:rsidRDefault="0009286F" w:rsidP="00D516E6">
            <w:pPr>
              <w:spacing w:line="260" w:lineRule="exact"/>
              <w:jc w:val="both"/>
              <w:rPr>
                <w:rFonts w:eastAsia="Calibri" w:cs="Arial"/>
                <w:szCs w:val="20"/>
                <w:lang w:val="sl-SI"/>
              </w:rPr>
            </w:pPr>
            <w:r w:rsidRPr="00D516E6">
              <w:rPr>
                <w:rFonts w:eastAsia="Calibri" w:cs="Arial"/>
                <w:szCs w:val="20"/>
                <w:lang w:val="sl-SI"/>
              </w:rPr>
              <w:t xml:space="preserve">REPUBLIKA SLOVENIJA, </w:t>
            </w:r>
          </w:p>
          <w:p w14:paraId="254922B3" w14:textId="77777777" w:rsidR="0009286F" w:rsidRPr="00D516E6" w:rsidRDefault="0009286F" w:rsidP="00D516E6">
            <w:pPr>
              <w:spacing w:line="260" w:lineRule="exact"/>
              <w:jc w:val="both"/>
              <w:rPr>
                <w:rFonts w:eastAsia="Calibri" w:cs="Arial"/>
                <w:szCs w:val="20"/>
                <w:lang w:val="sl-SI"/>
              </w:rPr>
            </w:pPr>
            <w:r w:rsidRPr="00D516E6">
              <w:rPr>
                <w:rFonts w:eastAsia="Calibri" w:cs="Arial"/>
                <w:szCs w:val="20"/>
                <w:lang w:val="sl-SI"/>
              </w:rPr>
              <w:t xml:space="preserve">ki jo zastopa Vlada Republike Slovenije, </w:t>
            </w:r>
          </w:p>
          <w:p w14:paraId="01C4E6A7" w14:textId="77777777" w:rsidR="0009286F" w:rsidRPr="00D516E6" w:rsidRDefault="0009286F" w:rsidP="00D516E6">
            <w:pPr>
              <w:spacing w:line="260" w:lineRule="exact"/>
              <w:jc w:val="both"/>
              <w:rPr>
                <w:rFonts w:eastAsia="Calibri" w:cs="Arial"/>
                <w:szCs w:val="20"/>
                <w:lang w:val="sl-SI"/>
              </w:rPr>
            </w:pPr>
            <w:r w:rsidRPr="00D516E6">
              <w:rPr>
                <w:rFonts w:eastAsia="Calibri" w:cs="Arial"/>
                <w:szCs w:val="20"/>
                <w:lang w:val="sl-SI"/>
              </w:rPr>
              <w:t xml:space="preserve">po njenem pooblastilu pa </w:t>
            </w:r>
          </w:p>
          <w:p w14:paraId="79D13BED" w14:textId="77777777" w:rsidR="0009286F" w:rsidRPr="00D516E6" w:rsidRDefault="0009286F" w:rsidP="00D516E6">
            <w:pPr>
              <w:spacing w:line="260" w:lineRule="exact"/>
              <w:jc w:val="both"/>
              <w:rPr>
                <w:rFonts w:eastAsia="Calibri" w:cs="Arial"/>
                <w:szCs w:val="20"/>
                <w:lang w:val="sl-SI"/>
              </w:rPr>
            </w:pPr>
            <w:r w:rsidRPr="00D516E6">
              <w:rPr>
                <w:rFonts w:eastAsia="Calibri" w:cs="Arial"/>
                <w:szCs w:val="20"/>
                <w:lang w:val="sl-SI"/>
              </w:rPr>
              <w:t>mag. Andrej Šircelj, minister za finance</w:t>
            </w:r>
          </w:p>
          <w:p w14:paraId="6AF4FA32" w14:textId="77777777" w:rsidR="0009286F" w:rsidRPr="00D516E6" w:rsidRDefault="0009286F" w:rsidP="00D516E6">
            <w:pPr>
              <w:spacing w:line="260" w:lineRule="exact"/>
              <w:jc w:val="both"/>
              <w:rPr>
                <w:rFonts w:eastAsia="Calibri" w:cs="Arial"/>
                <w:szCs w:val="20"/>
                <w:lang w:val="sl-SI"/>
              </w:rPr>
            </w:pPr>
          </w:p>
          <w:p w14:paraId="532F2DC0" w14:textId="77777777" w:rsidR="0009286F" w:rsidRPr="00D516E6" w:rsidRDefault="0009286F" w:rsidP="00D516E6">
            <w:pPr>
              <w:spacing w:line="260" w:lineRule="exact"/>
              <w:jc w:val="both"/>
              <w:rPr>
                <w:rFonts w:eastAsia="Calibri" w:cs="Arial"/>
                <w:szCs w:val="20"/>
                <w:lang w:val="sl-SI"/>
              </w:rPr>
            </w:pPr>
          </w:p>
          <w:p w14:paraId="53FAF3A5" w14:textId="77777777" w:rsidR="0009286F" w:rsidRPr="00D516E6" w:rsidRDefault="0009286F" w:rsidP="00D516E6">
            <w:pPr>
              <w:spacing w:line="260" w:lineRule="exact"/>
              <w:jc w:val="both"/>
              <w:rPr>
                <w:rFonts w:eastAsia="Calibri" w:cs="Arial"/>
                <w:szCs w:val="20"/>
                <w:lang w:val="sl-SI"/>
              </w:rPr>
            </w:pPr>
          </w:p>
          <w:p w14:paraId="7B267C9E" w14:textId="77777777" w:rsidR="0009286F" w:rsidRPr="00D516E6" w:rsidRDefault="0009286F" w:rsidP="00D516E6">
            <w:pPr>
              <w:spacing w:line="260" w:lineRule="exact"/>
              <w:jc w:val="both"/>
              <w:rPr>
                <w:rFonts w:eastAsia="Calibri" w:cs="Arial"/>
                <w:szCs w:val="20"/>
                <w:lang w:val="sl-SI"/>
              </w:rPr>
            </w:pPr>
          </w:p>
        </w:tc>
      </w:tr>
      <w:tr w:rsidR="0009286F" w:rsidRPr="00D516E6" w14:paraId="4878D2FF" w14:textId="77777777" w:rsidTr="00AA3BA5">
        <w:tc>
          <w:tcPr>
            <w:tcW w:w="3794" w:type="dxa"/>
            <w:shd w:val="clear" w:color="auto" w:fill="auto"/>
          </w:tcPr>
          <w:p w14:paraId="086974CD" w14:textId="77777777" w:rsidR="0009286F" w:rsidRPr="00D516E6" w:rsidRDefault="0009286F" w:rsidP="00D516E6">
            <w:pPr>
              <w:spacing w:line="260" w:lineRule="exact"/>
              <w:rPr>
                <w:rFonts w:eastAsia="Calibri" w:cs="Arial"/>
                <w:szCs w:val="20"/>
                <w:lang w:val="sl-SI"/>
              </w:rPr>
            </w:pPr>
            <w:r w:rsidRPr="00D516E6">
              <w:rPr>
                <w:rFonts w:eastAsia="Calibri" w:cs="Arial"/>
                <w:szCs w:val="20"/>
                <w:lang w:val="sl-SI"/>
              </w:rPr>
              <w:t>Datum:</w:t>
            </w:r>
          </w:p>
        </w:tc>
        <w:tc>
          <w:tcPr>
            <w:tcW w:w="5418" w:type="dxa"/>
            <w:shd w:val="clear" w:color="auto" w:fill="auto"/>
          </w:tcPr>
          <w:p w14:paraId="50B295DE" w14:textId="5276428F" w:rsidR="0009286F" w:rsidRPr="00D516E6" w:rsidRDefault="00D516E6" w:rsidP="00D516E6">
            <w:pPr>
              <w:spacing w:line="260" w:lineRule="exact"/>
              <w:jc w:val="both"/>
              <w:rPr>
                <w:rFonts w:eastAsia="Calibri" w:cs="Arial"/>
                <w:szCs w:val="20"/>
                <w:lang w:val="sl-SI"/>
              </w:rPr>
            </w:pPr>
            <w:r>
              <w:rPr>
                <w:rFonts w:eastAsia="Calibri" w:cs="Arial"/>
                <w:szCs w:val="20"/>
                <w:lang w:val="sl-SI"/>
              </w:rPr>
              <w:t>Slovenski državni holding, d. </w:t>
            </w:r>
            <w:r w:rsidR="0009286F" w:rsidRPr="00D516E6">
              <w:rPr>
                <w:rFonts w:eastAsia="Calibri" w:cs="Arial"/>
                <w:szCs w:val="20"/>
                <w:lang w:val="sl-SI"/>
              </w:rPr>
              <w:t xml:space="preserve">d. </w:t>
            </w:r>
          </w:p>
          <w:p w14:paraId="6E2C44BB" w14:textId="77777777" w:rsidR="0009286F" w:rsidRPr="00D516E6" w:rsidRDefault="0009286F" w:rsidP="00D516E6">
            <w:pPr>
              <w:spacing w:line="260" w:lineRule="exact"/>
              <w:jc w:val="both"/>
              <w:rPr>
                <w:rFonts w:eastAsia="Calibri" w:cs="Arial"/>
                <w:szCs w:val="20"/>
                <w:lang w:val="sl-SI"/>
              </w:rPr>
            </w:pPr>
          </w:p>
          <w:p w14:paraId="3355A708" w14:textId="77777777" w:rsidR="0009286F" w:rsidRPr="00D516E6" w:rsidRDefault="0009286F" w:rsidP="00D516E6">
            <w:pPr>
              <w:spacing w:line="260" w:lineRule="exact"/>
              <w:jc w:val="both"/>
              <w:rPr>
                <w:rFonts w:eastAsia="Calibri" w:cs="Arial"/>
                <w:szCs w:val="20"/>
                <w:lang w:val="sl-SI"/>
              </w:rPr>
            </w:pPr>
            <w:r w:rsidRPr="00D516E6">
              <w:rPr>
                <w:rFonts w:eastAsia="Calibri" w:cs="Arial"/>
                <w:szCs w:val="20"/>
                <w:lang w:val="sl-SI"/>
              </w:rPr>
              <w:t>dr. Janez Žlak, predsednik uprave</w:t>
            </w:r>
          </w:p>
          <w:p w14:paraId="77F5A35D" w14:textId="77777777" w:rsidR="0009286F" w:rsidRPr="00D516E6" w:rsidRDefault="0009286F" w:rsidP="00D516E6">
            <w:pPr>
              <w:spacing w:line="260" w:lineRule="exact"/>
              <w:jc w:val="both"/>
              <w:rPr>
                <w:rFonts w:eastAsia="Calibri" w:cs="Arial"/>
                <w:szCs w:val="20"/>
                <w:lang w:val="sl-SI"/>
              </w:rPr>
            </w:pPr>
          </w:p>
          <w:p w14:paraId="25890F3D" w14:textId="77777777" w:rsidR="0009286F" w:rsidRPr="00D516E6" w:rsidRDefault="0009286F" w:rsidP="00D516E6">
            <w:pPr>
              <w:spacing w:line="260" w:lineRule="exact"/>
              <w:jc w:val="both"/>
              <w:rPr>
                <w:rFonts w:eastAsia="Calibri" w:cs="Arial"/>
                <w:szCs w:val="20"/>
                <w:lang w:val="sl-SI"/>
              </w:rPr>
            </w:pPr>
          </w:p>
          <w:p w14:paraId="0AE492EC" w14:textId="77777777" w:rsidR="0009286F" w:rsidRPr="00D516E6" w:rsidRDefault="0009286F" w:rsidP="00D516E6">
            <w:pPr>
              <w:spacing w:line="260" w:lineRule="exact"/>
              <w:jc w:val="both"/>
              <w:rPr>
                <w:rFonts w:eastAsia="Calibri" w:cs="Arial"/>
                <w:szCs w:val="20"/>
                <w:lang w:val="sl-SI"/>
              </w:rPr>
            </w:pPr>
          </w:p>
          <w:p w14:paraId="7DE52A0B" w14:textId="77777777" w:rsidR="0009286F" w:rsidRPr="00D516E6" w:rsidRDefault="0009286F" w:rsidP="00D516E6">
            <w:pPr>
              <w:spacing w:line="260" w:lineRule="exact"/>
              <w:jc w:val="both"/>
              <w:rPr>
                <w:rFonts w:eastAsia="Calibri" w:cs="Arial"/>
                <w:szCs w:val="20"/>
                <w:lang w:val="sl-SI"/>
              </w:rPr>
            </w:pPr>
            <w:r w:rsidRPr="00D516E6">
              <w:rPr>
                <w:rFonts w:eastAsia="Calibri" w:cs="Arial"/>
                <w:szCs w:val="20"/>
                <w:lang w:val="sl-SI"/>
              </w:rPr>
              <w:t>Janez Tomšič, član uprave</w:t>
            </w:r>
          </w:p>
          <w:p w14:paraId="4B70FBCD" w14:textId="77777777" w:rsidR="0009286F" w:rsidRPr="00D516E6" w:rsidRDefault="0009286F" w:rsidP="00D516E6">
            <w:pPr>
              <w:spacing w:line="260" w:lineRule="exact"/>
              <w:jc w:val="both"/>
              <w:rPr>
                <w:rFonts w:eastAsia="Calibri" w:cs="Arial"/>
                <w:szCs w:val="20"/>
                <w:lang w:val="sl-SI"/>
              </w:rPr>
            </w:pPr>
          </w:p>
        </w:tc>
      </w:tr>
      <w:bookmarkEnd w:id="0"/>
    </w:tbl>
    <w:p w14:paraId="15C359FD" w14:textId="77777777" w:rsidR="00A1676B" w:rsidRPr="00D516E6" w:rsidRDefault="00A1676B" w:rsidP="00D516E6">
      <w:pPr>
        <w:tabs>
          <w:tab w:val="left" w:pos="6075"/>
        </w:tabs>
        <w:spacing w:line="260" w:lineRule="exact"/>
        <w:rPr>
          <w:rFonts w:cs="Arial"/>
          <w:szCs w:val="20"/>
          <w:lang w:val="sl-SI"/>
        </w:rPr>
      </w:pPr>
    </w:p>
    <w:sectPr w:rsidR="00A1676B" w:rsidRPr="00D516E6" w:rsidSect="008C79D2">
      <w:headerReference w:type="default" r:id="rId8"/>
      <w:headerReference w:type="first" r:id="rId9"/>
      <w:footerReference w:type="first" r:id="rId10"/>
      <w:pgSz w:w="11900" w:h="16840" w:code="9"/>
      <w:pgMar w:top="990" w:right="1701" w:bottom="1560" w:left="1701" w:header="1880" w:footer="794" w:gutter="0"/>
      <w:pgNumType w:chapStyle="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60497" w14:textId="77777777" w:rsidR="00721F71" w:rsidRDefault="00721F71">
      <w:r>
        <w:separator/>
      </w:r>
    </w:p>
  </w:endnote>
  <w:endnote w:type="continuationSeparator" w:id="0">
    <w:p w14:paraId="31315F2F" w14:textId="77777777" w:rsidR="00721F71" w:rsidRDefault="0072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266687"/>
      <w:docPartObj>
        <w:docPartGallery w:val="Page Numbers (Bottom of Page)"/>
        <w:docPartUnique/>
      </w:docPartObj>
    </w:sdtPr>
    <w:sdtEndPr/>
    <w:sdtContent>
      <w:p w14:paraId="266379D2" w14:textId="67F1A7C3" w:rsidR="008C79D2" w:rsidRDefault="008C79D2">
        <w:pPr>
          <w:pStyle w:val="Noga"/>
          <w:jc w:val="right"/>
        </w:pPr>
        <w:r>
          <w:fldChar w:fldCharType="begin"/>
        </w:r>
        <w:r>
          <w:instrText>PAGE   \* MERGEFORMAT</w:instrText>
        </w:r>
        <w:r>
          <w:fldChar w:fldCharType="separate"/>
        </w:r>
        <w:r w:rsidRPr="008C79D2">
          <w:rPr>
            <w:noProof/>
            <w:lang w:val="sl-SI"/>
          </w:rPr>
          <w:t>1</w:t>
        </w:r>
        <w:r>
          <w:fldChar w:fldCharType="end"/>
        </w:r>
      </w:p>
    </w:sdtContent>
  </w:sdt>
  <w:p w14:paraId="1C746CA9" w14:textId="77777777" w:rsidR="00255E9C" w:rsidRPr="00FD0372" w:rsidRDefault="00255E9C" w:rsidP="00FD037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1D892" w14:textId="77777777" w:rsidR="00721F71" w:rsidRDefault="00721F71">
      <w:r>
        <w:separator/>
      </w:r>
    </w:p>
  </w:footnote>
  <w:footnote w:type="continuationSeparator" w:id="0">
    <w:p w14:paraId="33574EE3" w14:textId="77777777" w:rsidR="00721F71" w:rsidRDefault="00721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FEBC6" w14:textId="77777777" w:rsidR="00092478" w:rsidRPr="00110CBD" w:rsidRDefault="00092478"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92478" w:rsidRPr="008F3500" w14:paraId="6DEE243A" w14:textId="77777777">
      <w:trPr>
        <w:cantSplit/>
        <w:trHeight w:hRule="exact" w:val="847"/>
      </w:trPr>
      <w:tc>
        <w:tcPr>
          <w:tcW w:w="567" w:type="dxa"/>
        </w:tcPr>
        <w:p w14:paraId="06365882" w14:textId="29513E78" w:rsidR="00092478" w:rsidRPr="008F3500" w:rsidRDefault="00D76668"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5" distB="4294967295" distL="114300" distR="114300" simplePos="0" relativeHeight="251656704" behindDoc="0" locked="0" layoutInCell="0" allowOverlap="1" wp14:anchorId="74E35886" wp14:editId="0C29593D">
                    <wp:simplePos x="0" y="0"/>
                    <wp:positionH relativeFrom="column">
                      <wp:posOffset>29845</wp:posOffset>
                    </wp:positionH>
                    <wp:positionV relativeFrom="page">
                      <wp:posOffset>3600449</wp:posOffset>
                    </wp:positionV>
                    <wp:extent cx="215900" cy="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32186B"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3OGY4s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37B7AA03" w14:textId="77777777" w:rsidR="00092478" w:rsidRPr="008F3500" w:rsidRDefault="00092478"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23DD3"/>
    <w:multiLevelType w:val="hybridMultilevel"/>
    <w:tmpl w:val="29E0DE0E"/>
    <w:lvl w:ilvl="0" w:tplc="E9D42A76">
      <w:start w:val="1"/>
      <w:numFmt w:val="bullet"/>
      <w:lvlText w:val=""/>
      <w:lvlJc w:val="left"/>
      <w:pPr>
        <w:ind w:left="720" w:hanging="360"/>
      </w:pPr>
      <w:rPr>
        <w:rFonts w:ascii="Symbol" w:hAnsi="Symbol" w:hint="default"/>
        <w:caps w:val="0"/>
        <w:strike w:val="0"/>
        <w:dstrike w:val="0"/>
        <w:vanish w:val="0"/>
        <w:webHidden w:val="0"/>
        <w:color w:val="auto"/>
        <w:sz w:val="18"/>
        <w:szCs w:val="18"/>
        <w:u w:val="none"/>
        <w:effect w:val="none"/>
        <w:vertAlign w:val="baseline"/>
        <w:specVanish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E342254"/>
    <w:multiLevelType w:val="hybridMultilevel"/>
    <w:tmpl w:val="681A17E8"/>
    <w:lvl w:ilvl="0" w:tplc="0B4CC336">
      <w:numFmt w:val="bullet"/>
      <w:lvlText w:val="-"/>
      <w:lvlJc w:val="left"/>
      <w:pPr>
        <w:ind w:left="720" w:hanging="360"/>
      </w:pPr>
      <w:rPr>
        <w:rFonts w:ascii="Roboto" w:eastAsia="Calibri" w:hAnsi="Roboto"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FD05328"/>
    <w:multiLevelType w:val="hybridMultilevel"/>
    <w:tmpl w:val="D8387BA0"/>
    <w:lvl w:ilvl="0" w:tplc="DC6CD6BE">
      <w:start w:val="100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BF4B2A"/>
    <w:multiLevelType w:val="hybridMultilevel"/>
    <w:tmpl w:val="8C96CD06"/>
    <w:lvl w:ilvl="0" w:tplc="4BE0244E">
      <w:start w:val="7"/>
      <w:numFmt w:val="bullet"/>
      <w:lvlText w:val="-"/>
      <w:lvlJc w:val="left"/>
      <w:pPr>
        <w:ind w:left="720" w:hanging="360"/>
      </w:pPr>
      <w:rPr>
        <w:rFonts w:ascii="Calibri" w:eastAsia="Cambria"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AA5837"/>
    <w:multiLevelType w:val="hybridMultilevel"/>
    <w:tmpl w:val="C24EA474"/>
    <w:lvl w:ilvl="0" w:tplc="6624F11E">
      <w:start w:val="1"/>
      <w:numFmt w:val="upperRoman"/>
      <w:pStyle w:val="Alineazaodstavkom"/>
      <w:lvlText w:val="%1."/>
      <w:lvlJc w:val="left"/>
      <w:pPr>
        <w:ind w:left="1080" w:hanging="72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BD4703"/>
    <w:multiLevelType w:val="hybridMultilevel"/>
    <w:tmpl w:val="0B38AC32"/>
    <w:lvl w:ilvl="0" w:tplc="84ECD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353BBF"/>
    <w:multiLevelType w:val="hybridMultilevel"/>
    <w:tmpl w:val="3CC0E6AA"/>
    <w:lvl w:ilvl="0" w:tplc="04240013">
      <w:start w:val="1"/>
      <w:numFmt w:val="upperRoman"/>
      <w:lvlText w:val="%1."/>
      <w:lvlJc w:val="right"/>
      <w:pPr>
        <w:ind w:left="1440" w:hanging="360"/>
      </w:pPr>
    </w:lvl>
    <w:lvl w:ilvl="1" w:tplc="E0CA45AC">
      <w:start w:val="1"/>
      <w:numFmt w:val="upperRoman"/>
      <w:lvlText w:val="%2."/>
      <w:lvlJc w:val="left"/>
      <w:pPr>
        <w:ind w:left="2160" w:hanging="360"/>
      </w:pPr>
      <w:rPr>
        <w:rFonts w:ascii="Calibri" w:eastAsia="Calibri" w:hAnsi="Calibri" w:hint="default"/>
        <w:sz w:val="22"/>
      </w:rPr>
    </w:lvl>
    <w:lvl w:ilvl="2" w:tplc="BA828EC2">
      <w:start w:val="2"/>
      <w:numFmt w:val="decimal"/>
      <w:lvlText w:val="%3."/>
      <w:lvlJc w:val="left"/>
      <w:pPr>
        <w:ind w:left="3060" w:hanging="360"/>
      </w:pPr>
      <w:rPr>
        <w:rFonts w:hint="default"/>
      </w:r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23C570BD"/>
    <w:multiLevelType w:val="hybridMultilevel"/>
    <w:tmpl w:val="F0EAEC10"/>
    <w:lvl w:ilvl="0" w:tplc="541ADB82">
      <w:start w:val="1"/>
      <w:numFmt w:val="decimal"/>
      <w:lvlText w:val="%1."/>
      <w:lvlJc w:val="left"/>
      <w:pPr>
        <w:ind w:left="720" w:hanging="360"/>
      </w:pPr>
      <w:rPr>
        <w:rFonts w:hint="default"/>
        <w:b w:val="0"/>
      </w:rPr>
    </w:lvl>
    <w:lvl w:ilvl="1" w:tplc="E0CA45AC">
      <w:start w:val="1"/>
      <w:numFmt w:val="upperRoman"/>
      <w:lvlText w:val="%2."/>
      <w:lvlJc w:val="left"/>
      <w:pPr>
        <w:ind w:left="1800" w:hanging="720"/>
      </w:pPr>
      <w:rPr>
        <w:rFonts w:ascii="Calibri" w:eastAsia="Calibri" w:hAnsi="Calibri" w:hint="default"/>
        <w:sz w:val="22"/>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5443417"/>
    <w:multiLevelType w:val="hybridMultilevel"/>
    <w:tmpl w:val="F0EAEC10"/>
    <w:lvl w:ilvl="0" w:tplc="541ADB82">
      <w:start w:val="1"/>
      <w:numFmt w:val="decimal"/>
      <w:lvlText w:val="%1."/>
      <w:lvlJc w:val="left"/>
      <w:pPr>
        <w:ind w:left="720" w:hanging="360"/>
      </w:pPr>
      <w:rPr>
        <w:rFonts w:hint="default"/>
        <w:b w:val="0"/>
      </w:rPr>
    </w:lvl>
    <w:lvl w:ilvl="1" w:tplc="E0CA45AC">
      <w:start w:val="1"/>
      <w:numFmt w:val="upperRoman"/>
      <w:lvlText w:val="%2."/>
      <w:lvlJc w:val="left"/>
      <w:pPr>
        <w:ind w:left="1800" w:hanging="720"/>
      </w:pPr>
      <w:rPr>
        <w:rFonts w:ascii="Calibri" w:eastAsia="Calibri" w:hAnsi="Calibri" w:hint="default"/>
        <w:sz w:val="22"/>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B295275"/>
    <w:multiLevelType w:val="hybridMultilevel"/>
    <w:tmpl w:val="5178F8F8"/>
    <w:lvl w:ilvl="0" w:tplc="84ECD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B8522E8"/>
    <w:multiLevelType w:val="hybridMultilevel"/>
    <w:tmpl w:val="6AD04034"/>
    <w:lvl w:ilvl="0" w:tplc="A3E40C26">
      <w:start w:val="1"/>
      <w:numFmt w:val="decimal"/>
      <w:lvlText w:val="%1."/>
      <w:lvlJc w:val="left"/>
      <w:pPr>
        <w:ind w:left="723" w:hanging="405"/>
      </w:pPr>
      <w:rPr>
        <w:rFonts w:hint="default"/>
      </w:rPr>
    </w:lvl>
    <w:lvl w:ilvl="1" w:tplc="04240019" w:tentative="1">
      <w:start w:val="1"/>
      <w:numFmt w:val="lowerLetter"/>
      <w:lvlText w:val="%2."/>
      <w:lvlJc w:val="left"/>
      <w:pPr>
        <w:ind w:left="1398" w:hanging="360"/>
      </w:pPr>
    </w:lvl>
    <w:lvl w:ilvl="2" w:tplc="0424001B" w:tentative="1">
      <w:start w:val="1"/>
      <w:numFmt w:val="lowerRoman"/>
      <w:lvlText w:val="%3."/>
      <w:lvlJc w:val="right"/>
      <w:pPr>
        <w:ind w:left="2118" w:hanging="180"/>
      </w:pPr>
    </w:lvl>
    <w:lvl w:ilvl="3" w:tplc="0424000F" w:tentative="1">
      <w:start w:val="1"/>
      <w:numFmt w:val="decimal"/>
      <w:lvlText w:val="%4."/>
      <w:lvlJc w:val="left"/>
      <w:pPr>
        <w:ind w:left="2838" w:hanging="360"/>
      </w:pPr>
    </w:lvl>
    <w:lvl w:ilvl="4" w:tplc="04240019" w:tentative="1">
      <w:start w:val="1"/>
      <w:numFmt w:val="lowerLetter"/>
      <w:lvlText w:val="%5."/>
      <w:lvlJc w:val="left"/>
      <w:pPr>
        <w:ind w:left="3558" w:hanging="360"/>
      </w:pPr>
    </w:lvl>
    <w:lvl w:ilvl="5" w:tplc="0424001B" w:tentative="1">
      <w:start w:val="1"/>
      <w:numFmt w:val="lowerRoman"/>
      <w:lvlText w:val="%6."/>
      <w:lvlJc w:val="right"/>
      <w:pPr>
        <w:ind w:left="4278" w:hanging="180"/>
      </w:pPr>
    </w:lvl>
    <w:lvl w:ilvl="6" w:tplc="0424000F" w:tentative="1">
      <w:start w:val="1"/>
      <w:numFmt w:val="decimal"/>
      <w:lvlText w:val="%7."/>
      <w:lvlJc w:val="left"/>
      <w:pPr>
        <w:ind w:left="4998" w:hanging="360"/>
      </w:pPr>
    </w:lvl>
    <w:lvl w:ilvl="7" w:tplc="04240019" w:tentative="1">
      <w:start w:val="1"/>
      <w:numFmt w:val="lowerLetter"/>
      <w:lvlText w:val="%8."/>
      <w:lvlJc w:val="left"/>
      <w:pPr>
        <w:ind w:left="5718" w:hanging="360"/>
      </w:pPr>
    </w:lvl>
    <w:lvl w:ilvl="8" w:tplc="0424001B" w:tentative="1">
      <w:start w:val="1"/>
      <w:numFmt w:val="lowerRoman"/>
      <w:lvlText w:val="%9."/>
      <w:lvlJc w:val="right"/>
      <w:pPr>
        <w:ind w:left="6438" w:hanging="180"/>
      </w:pPr>
    </w:lvl>
  </w:abstractNum>
  <w:abstractNum w:abstractNumId="13" w15:restartNumberingAfterBreak="0">
    <w:nsid w:val="3DB32B04"/>
    <w:multiLevelType w:val="hybridMultilevel"/>
    <w:tmpl w:val="F196B6CE"/>
    <w:lvl w:ilvl="0" w:tplc="4BE0244E">
      <w:start w:val="7"/>
      <w:numFmt w:val="bullet"/>
      <w:lvlText w:val="-"/>
      <w:lvlJc w:val="left"/>
      <w:pPr>
        <w:ind w:left="720" w:hanging="360"/>
      </w:pPr>
      <w:rPr>
        <w:rFonts w:ascii="Calibri" w:eastAsia="Cambria"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EA7042"/>
    <w:multiLevelType w:val="hybridMultilevel"/>
    <w:tmpl w:val="E7CE6C00"/>
    <w:lvl w:ilvl="0" w:tplc="DC6CD6BE">
      <w:start w:val="100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494042"/>
    <w:multiLevelType w:val="hybridMultilevel"/>
    <w:tmpl w:val="CEF28F14"/>
    <w:lvl w:ilvl="0" w:tplc="DC6CD6BE">
      <w:start w:val="100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A320C9"/>
    <w:multiLevelType w:val="hybridMultilevel"/>
    <w:tmpl w:val="07080130"/>
    <w:lvl w:ilvl="0" w:tplc="DC6CD6BE">
      <w:start w:val="100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3B45836"/>
    <w:multiLevelType w:val="hybridMultilevel"/>
    <w:tmpl w:val="C3701D2C"/>
    <w:lvl w:ilvl="0" w:tplc="0FDA6262">
      <w:start w:val="1"/>
      <w:numFmt w:val="decimal"/>
      <w:pStyle w:val="Otevilenseznam"/>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961910"/>
    <w:multiLevelType w:val="hybridMultilevel"/>
    <w:tmpl w:val="F5E60A2C"/>
    <w:lvl w:ilvl="0" w:tplc="C12E8DE4">
      <w:start w:val="1"/>
      <w:numFmt w:val="bullet"/>
      <w:lvlText w:val=""/>
      <w:lvlJc w:val="left"/>
      <w:pPr>
        <w:ind w:left="720" w:hanging="360"/>
      </w:pPr>
      <w:rPr>
        <w:rFonts w:ascii="Symbol" w:eastAsiaTheme="minorHAnsi" w:hAnsi="Symbo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A0551F9"/>
    <w:multiLevelType w:val="hybridMultilevel"/>
    <w:tmpl w:val="F4E0E920"/>
    <w:lvl w:ilvl="0" w:tplc="4BE0244E">
      <w:start w:val="7"/>
      <w:numFmt w:val="bullet"/>
      <w:lvlText w:val="-"/>
      <w:lvlJc w:val="left"/>
      <w:pPr>
        <w:ind w:left="360" w:hanging="360"/>
      </w:pPr>
      <w:rPr>
        <w:rFonts w:ascii="Calibri" w:eastAsia="Cambria" w:hAnsi="Calibri" w:cs="Arial" w:hint="default"/>
      </w:rPr>
    </w:lvl>
    <w:lvl w:ilvl="1" w:tplc="32CAF478">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0"/>
  </w:num>
  <w:num w:numId="2">
    <w:abstractNumId w:val="19"/>
  </w:num>
  <w:num w:numId="3">
    <w:abstractNumId w:val="9"/>
  </w:num>
  <w:num w:numId="4">
    <w:abstractNumId w:val="24"/>
  </w:num>
  <w:num w:numId="5">
    <w:abstractNumId w:val="18"/>
  </w:num>
  <w:num w:numId="6">
    <w:abstractNumId w:val="4"/>
  </w:num>
  <w:num w:numId="7">
    <w:abstractNumId w:val="6"/>
  </w:num>
  <w:num w:numId="8">
    <w:abstractNumId w:val="14"/>
  </w:num>
  <w:num w:numId="9">
    <w:abstractNumId w:val="15"/>
  </w:num>
  <w:num w:numId="10">
    <w:abstractNumId w:val="17"/>
  </w:num>
  <w:num w:numId="11">
    <w:abstractNumId w:val="2"/>
  </w:num>
  <w:num w:numId="12">
    <w:abstractNumId w:val="13"/>
  </w:num>
  <w:num w:numId="13">
    <w:abstractNumId w:val="3"/>
  </w:num>
  <w:num w:numId="14">
    <w:abstractNumId w:val="7"/>
  </w:num>
  <w:num w:numId="15">
    <w:abstractNumId w:val="22"/>
  </w:num>
  <w:num w:numId="16">
    <w:abstractNumId w:val="21"/>
  </w:num>
  <w:num w:numId="17">
    <w:abstractNumId w:val="5"/>
  </w:num>
  <w:num w:numId="18">
    <w:abstractNumId w:val="23"/>
  </w:num>
  <w:num w:numId="19">
    <w:abstractNumId w:val="16"/>
  </w:num>
  <w:num w:numId="20">
    <w:abstractNumId w:val="8"/>
  </w:num>
  <w:num w:numId="21">
    <w:abstractNumId w:val="11"/>
  </w:num>
  <w:num w:numId="22">
    <w:abstractNumId w:val="12"/>
  </w:num>
  <w:num w:numId="23">
    <w:abstractNumId w:val="0"/>
  </w:num>
  <w:num w:numId="24">
    <w:abstractNumId w:val="1"/>
  </w:num>
  <w:num w:numId="2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87"/>
    <w:rsid w:val="00001172"/>
    <w:rsid w:val="000018E6"/>
    <w:rsid w:val="000144B5"/>
    <w:rsid w:val="000163D5"/>
    <w:rsid w:val="00020D58"/>
    <w:rsid w:val="00023A88"/>
    <w:rsid w:val="00023F94"/>
    <w:rsid w:val="00027CC5"/>
    <w:rsid w:val="00032C46"/>
    <w:rsid w:val="00033F8F"/>
    <w:rsid w:val="000523D6"/>
    <w:rsid w:val="00052C5B"/>
    <w:rsid w:val="00053530"/>
    <w:rsid w:val="00055319"/>
    <w:rsid w:val="00060102"/>
    <w:rsid w:val="00077832"/>
    <w:rsid w:val="0008103F"/>
    <w:rsid w:val="00092478"/>
    <w:rsid w:val="0009286F"/>
    <w:rsid w:val="000A7238"/>
    <w:rsid w:val="000A7F4A"/>
    <w:rsid w:val="000B6324"/>
    <w:rsid w:val="000D7F00"/>
    <w:rsid w:val="000F0448"/>
    <w:rsid w:val="000F5DA2"/>
    <w:rsid w:val="000F64D3"/>
    <w:rsid w:val="00100006"/>
    <w:rsid w:val="001035B3"/>
    <w:rsid w:val="00106693"/>
    <w:rsid w:val="00110D48"/>
    <w:rsid w:val="001159A6"/>
    <w:rsid w:val="00115C08"/>
    <w:rsid w:val="00115FDD"/>
    <w:rsid w:val="00132180"/>
    <w:rsid w:val="001357B2"/>
    <w:rsid w:val="001371D9"/>
    <w:rsid w:val="00146387"/>
    <w:rsid w:val="00150044"/>
    <w:rsid w:val="0017295B"/>
    <w:rsid w:val="001741F8"/>
    <w:rsid w:val="0017476C"/>
    <w:rsid w:val="0017478F"/>
    <w:rsid w:val="00180AED"/>
    <w:rsid w:val="001823A7"/>
    <w:rsid w:val="001856C6"/>
    <w:rsid w:val="00193FE7"/>
    <w:rsid w:val="001A31AB"/>
    <w:rsid w:val="001A679E"/>
    <w:rsid w:val="001A7949"/>
    <w:rsid w:val="001B0049"/>
    <w:rsid w:val="001B0ED2"/>
    <w:rsid w:val="001B5C1F"/>
    <w:rsid w:val="001C1089"/>
    <w:rsid w:val="001C2F70"/>
    <w:rsid w:val="001C416D"/>
    <w:rsid w:val="001D1304"/>
    <w:rsid w:val="001D1356"/>
    <w:rsid w:val="001D454F"/>
    <w:rsid w:val="001E1021"/>
    <w:rsid w:val="001E2ED7"/>
    <w:rsid w:val="001E6423"/>
    <w:rsid w:val="001F02E7"/>
    <w:rsid w:val="001F110E"/>
    <w:rsid w:val="001F2D8F"/>
    <w:rsid w:val="00202A77"/>
    <w:rsid w:val="0020316B"/>
    <w:rsid w:val="00212AEF"/>
    <w:rsid w:val="00220262"/>
    <w:rsid w:val="00230D7D"/>
    <w:rsid w:val="0024058A"/>
    <w:rsid w:val="002428E4"/>
    <w:rsid w:val="0024719A"/>
    <w:rsid w:val="00255E9C"/>
    <w:rsid w:val="00271CE5"/>
    <w:rsid w:val="00282020"/>
    <w:rsid w:val="0028438A"/>
    <w:rsid w:val="00290DD3"/>
    <w:rsid w:val="00292495"/>
    <w:rsid w:val="00294B88"/>
    <w:rsid w:val="0029797B"/>
    <w:rsid w:val="002A0241"/>
    <w:rsid w:val="002A115A"/>
    <w:rsid w:val="002A2B69"/>
    <w:rsid w:val="002A58AE"/>
    <w:rsid w:val="002A5A4C"/>
    <w:rsid w:val="002A7DA8"/>
    <w:rsid w:val="002B35B6"/>
    <w:rsid w:val="002B5F38"/>
    <w:rsid w:val="002B7013"/>
    <w:rsid w:val="002C0EF8"/>
    <w:rsid w:val="002C236F"/>
    <w:rsid w:val="002C5B63"/>
    <w:rsid w:val="002D0ABA"/>
    <w:rsid w:val="002D1DA4"/>
    <w:rsid w:val="002E1F35"/>
    <w:rsid w:val="002E3B84"/>
    <w:rsid w:val="002E5490"/>
    <w:rsid w:val="002E7314"/>
    <w:rsid w:val="002F0367"/>
    <w:rsid w:val="002F3E58"/>
    <w:rsid w:val="00304222"/>
    <w:rsid w:val="00307F9D"/>
    <w:rsid w:val="0031073C"/>
    <w:rsid w:val="00310DE5"/>
    <w:rsid w:val="00311136"/>
    <w:rsid w:val="003146D3"/>
    <w:rsid w:val="003157F3"/>
    <w:rsid w:val="00315D21"/>
    <w:rsid w:val="003225A5"/>
    <w:rsid w:val="003244E8"/>
    <w:rsid w:val="00324969"/>
    <w:rsid w:val="0032628D"/>
    <w:rsid w:val="00326ABD"/>
    <w:rsid w:val="003347EB"/>
    <w:rsid w:val="00340275"/>
    <w:rsid w:val="00354F8C"/>
    <w:rsid w:val="0035601B"/>
    <w:rsid w:val="00356D5D"/>
    <w:rsid w:val="00361582"/>
    <w:rsid w:val="003636BF"/>
    <w:rsid w:val="00364FEB"/>
    <w:rsid w:val="00365DC3"/>
    <w:rsid w:val="00366523"/>
    <w:rsid w:val="00371442"/>
    <w:rsid w:val="00371B43"/>
    <w:rsid w:val="0037292B"/>
    <w:rsid w:val="003733DB"/>
    <w:rsid w:val="00375849"/>
    <w:rsid w:val="00376959"/>
    <w:rsid w:val="00380FF5"/>
    <w:rsid w:val="00381681"/>
    <w:rsid w:val="003845B4"/>
    <w:rsid w:val="00385952"/>
    <w:rsid w:val="0038764E"/>
    <w:rsid w:val="00387B1A"/>
    <w:rsid w:val="00392197"/>
    <w:rsid w:val="0039257C"/>
    <w:rsid w:val="003A3681"/>
    <w:rsid w:val="003A5F04"/>
    <w:rsid w:val="003B140E"/>
    <w:rsid w:val="003C4F65"/>
    <w:rsid w:val="003C5EE5"/>
    <w:rsid w:val="003C6169"/>
    <w:rsid w:val="003D3B41"/>
    <w:rsid w:val="003D3E61"/>
    <w:rsid w:val="003E1C74"/>
    <w:rsid w:val="003F0A96"/>
    <w:rsid w:val="003F11C7"/>
    <w:rsid w:val="003F2C0A"/>
    <w:rsid w:val="003F35A4"/>
    <w:rsid w:val="004043CB"/>
    <w:rsid w:val="0040502C"/>
    <w:rsid w:val="00406B7D"/>
    <w:rsid w:val="00425C99"/>
    <w:rsid w:val="00426ED3"/>
    <w:rsid w:val="004412CB"/>
    <w:rsid w:val="00443B37"/>
    <w:rsid w:val="004450D5"/>
    <w:rsid w:val="004467B2"/>
    <w:rsid w:val="00451B9E"/>
    <w:rsid w:val="00452D90"/>
    <w:rsid w:val="004546D8"/>
    <w:rsid w:val="0046167B"/>
    <w:rsid w:val="00463147"/>
    <w:rsid w:val="00463750"/>
    <w:rsid w:val="004657EE"/>
    <w:rsid w:val="00473B90"/>
    <w:rsid w:val="00475813"/>
    <w:rsid w:val="00475A30"/>
    <w:rsid w:val="0048077B"/>
    <w:rsid w:val="00485FC7"/>
    <w:rsid w:val="004920C9"/>
    <w:rsid w:val="00493826"/>
    <w:rsid w:val="00495688"/>
    <w:rsid w:val="004A1781"/>
    <w:rsid w:val="004A2021"/>
    <w:rsid w:val="004A4BE8"/>
    <w:rsid w:val="004A6B8E"/>
    <w:rsid w:val="004A78E0"/>
    <w:rsid w:val="004B2118"/>
    <w:rsid w:val="004C40F7"/>
    <w:rsid w:val="004C57D2"/>
    <w:rsid w:val="004C7D3C"/>
    <w:rsid w:val="004D67A0"/>
    <w:rsid w:val="004D718E"/>
    <w:rsid w:val="004E0F8E"/>
    <w:rsid w:val="004E72D9"/>
    <w:rsid w:val="004F4B70"/>
    <w:rsid w:val="004F4FCF"/>
    <w:rsid w:val="004F5858"/>
    <w:rsid w:val="005050A1"/>
    <w:rsid w:val="0051251E"/>
    <w:rsid w:val="005206FD"/>
    <w:rsid w:val="00520FF1"/>
    <w:rsid w:val="00526246"/>
    <w:rsid w:val="00526C17"/>
    <w:rsid w:val="00533F21"/>
    <w:rsid w:val="005444D3"/>
    <w:rsid w:val="0055364F"/>
    <w:rsid w:val="00555D11"/>
    <w:rsid w:val="00557A7B"/>
    <w:rsid w:val="005612EB"/>
    <w:rsid w:val="00565E33"/>
    <w:rsid w:val="00566216"/>
    <w:rsid w:val="00567106"/>
    <w:rsid w:val="005778DA"/>
    <w:rsid w:val="00580E74"/>
    <w:rsid w:val="00591D83"/>
    <w:rsid w:val="00593E98"/>
    <w:rsid w:val="005A5414"/>
    <w:rsid w:val="005B36ED"/>
    <w:rsid w:val="005B37FE"/>
    <w:rsid w:val="005B7EC2"/>
    <w:rsid w:val="005C2BBA"/>
    <w:rsid w:val="005D0905"/>
    <w:rsid w:val="005D569C"/>
    <w:rsid w:val="005E1D3C"/>
    <w:rsid w:val="005E7615"/>
    <w:rsid w:val="00602687"/>
    <w:rsid w:val="00602859"/>
    <w:rsid w:val="00606D21"/>
    <w:rsid w:val="00607286"/>
    <w:rsid w:val="00607B57"/>
    <w:rsid w:val="00607CE6"/>
    <w:rsid w:val="00621CED"/>
    <w:rsid w:val="0062263E"/>
    <w:rsid w:val="00623474"/>
    <w:rsid w:val="00625AE6"/>
    <w:rsid w:val="00632253"/>
    <w:rsid w:val="00642714"/>
    <w:rsid w:val="00643A4F"/>
    <w:rsid w:val="006455CE"/>
    <w:rsid w:val="0064651C"/>
    <w:rsid w:val="00650A50"/>
    <w:rsid w:val="00655841"/>
    <w:rsid w:val="00662E37"/>
    <w:rsid w:val="006707E1"/>
    <w:rsid w:val="00672A82"/>
    <w:rsid w:val="0067363C"/>
    <w:rsid w:val="00682E01"/>
    <w:rsid w:val="00683C66"/>
    <w:rsid w:val="00687FD7"/>
    <w:rsid w:val="00697E09"/>
    <w:rsid w:val="006A20C2"/>
    <w:rsid w:val="006A63CB"/>
    <w:rsid w:val="006B17B3"/>
    <w:rsid w:val="006B46C7"/>
    <w:rsid w:val="006D0D60"/>
    <w:rsid w:val="006D4966"/>
    <w:rsid w:val="006E6171"/>
    <w:rsid w:val="006E7516"/>
    <w:rsid w:val="006F3A66"/>
    <w:rsid w:val="006F5A2A"/>
    <w:rsid w:val="00721F71"/>
    <w:rsid w:val="0072327C"/>
    <w:rsid w:val="00733017"/>
    <w:rsid w:val="00734045"/>
    <w:rsid w:val="00734EF2"/>
    <w:rsid w:val="00735113"/>
    <w:rsid w:val="00743F35"/>
    <w:rsid w:val="007527A4"/>
    <w:rsid w:val="00760782"/>
    <w:rsid w:val="00763457"/>
    <w:rsid w:val="007653E4"/>
    <w:rsid w:val="00780231"/>
    <w:rsid w:val="00780438"/>
    <w:rsid w:val="00781366"/>
    <w:rsid w:val="00783310"/>
    <w:rsid w:val="007865D3"/>
    <w:rsid w:val="0079164F"/>
    <w:rsid w:val="007A21CF"/>
    <w:rsid w:val="007A4A6D"/>
    <w:rsid w:val="007A7046"/>
    <w:rsid w:val="007B0303"/>
    <w:rsid w:val="007B05E2"/>
    <w:rsid w:val="007B23DF"/>
    <w:rsid w:val="007B4C18"/>
    <w:rsid w:val="007B5106"/>
    <w:rsid w:val="007C5DF5"/>
    <w:rsid w:val="007C6C74"/>
    <w:rsid w:val="007D1BCF"/>
    <w:rsid w:val="007D6C8D"/>
    <w:rsid w:val="007D75CF"/>
    <w:rsid w:val="007E0440"/>
    <w:rsid w:val="007E0B04"/>
    <w:rsid w:val="007E3909"/>
    <w:rsid w:val="007E40D6"/>
    <w:rsid w:val="007E450A"/>
    <w:rsid w:val="007E6DC5"/>
    <w:rsid w:val="007F031A"/>
    <w:rsid w:val="007F4199"/>
    <w:rsid w:val="008064DF"/>
    <w:rsid w:val="008210A1"/>
    <w:rsid w:val="00831DCC"/>
    <w:rsid w:val="008323F8"/>
    <w:rsid w:val="00833C2B"/>
    <w:rsid w:val="008341E8"/>
    <w:rsid w:val="00837A0A"/>
    <w:rsid w:val="00844673"/>
    <w:rsid w:val="00845623"/>
    <w:rsid w:val="00845CFD"/>
    <w:rsid w:val="00846604"/>
    <w:rsid w:val="00847C2D"/>
    <w:rsid w:val="008529D2"/>
    <w:rsid w:val="00874454"/>
    <w:rsid w:val="00875769"/>
    <w:rsid w:val="0088043C"/>
    <w:rsid w:val="00884889"/>
    <w:rsid w:val="00885F06"/>
    <w:rsid w:val="008871C1"/>
    <w:rsid w:val="00887E33"/>
    <w:rsid w:val="008906C9"/>
    <w:rsid w:val="00893763"/>
    <w:rsid w:val="008A4552"/>
    <w:rsid w:val="008A5AB4"/>
    <w:rsid w:val="008B0855"/>
    <w:rsid w:val="008B6227"/>
    <w:rsid w:val="008B7870"/>
    <w:rsid w:val="008C5738"/>
    <w:rsid w:val="008C79D2"/>
    <w:rsid w:val="008D04F0"/>
    <w:rsid w:val="008D5B29"/>
    <w:rsid w:val="008E028E"/>
    <w:rsid w:val="008E1005"/>
    <w:rsid w:val="008F27BF"/>
    <w:rsid w:val="008F3500"/>
    <w:rsid w:val="0090037F"/>
    <w:rsid w:val="0091530A"/>
    <w:rsid w:val="00915B64"/>
    <w:rsid w:val="00923BFD"/>
    <w:rsid w:val="00924950"/>
    <w:rsid w:val="00924E3C"/>
    <w:rsid w:val="0093117C"/>
    <w:rsid w:val="009323E7"/>
    <w:rsid w:val="0093598C"/>
    <w:rsid w:val="0093655D"/>
    <w:rsid w:val="00940575"/>
    <w:rsid w:val="00943F15"/>
    <w:rsid w:val="0094401F"/>
    <w:rsid w:val="00947613"/>
    <w:rsid w:val="00947C11"/>
    <w:rsid w:val="00950524"/>
    <w:rsid w:val="009520F8"/>
    <w:rsid w:val="0095549C"/>
    <w:rsid w:val="00957EF5"/>
    <w:rsid w:val="009612BB"/>
    <w:rsid w:val="0096271F"/>
    <w:rsid w:val="00964A2C"/>
    <w:rsid w:val="009654A7"/>
    <w:rsid w:val="00966EEF"/>
    <w:rsid w:val="009712B8"/>
    <w:rsid w:val="009865F7"/>
    <w:rsid w:val="0099526A"/>
    <w:rsid w:val="009A10B0"/>
    <w:rsid w:val="009A3A26"/>
    <w:rsid w:val="009A4977"/>
    <w:rsid w:val="009A58EE"/>
    <w:rsid w:val="009A60D8"/>
    <w:rsid w:val="009A766A"/>
    <w:rsid w:val="009B04CD"/>
    <w:rsid w:val="009B0E45"/>
    <w:rsid w:val="009B2B0F"/>
    <w:rsid w:val="009B5EDA"/>
    <w:rsid w:val="009B7769"/>
    <w:rsid w:val="009C135E"/>
    <w:rsid w:val="009C55D0"/>
    <w:rsid w:val="009C62BB"/>
    <w:rsid w:val="009C740A"/>
    <w:rsid w:val="009D1543"/>
    <w:rsid w:val="009D255D"/>
    <w:rsid w:val="009D6BD5"/>
    <w:rsid w:val="009E4F0A"/>
    <w:rsid w:val="009E554F"/>
    <w:rsid w:val="009F4387"/>
    <w:rsid w:val="009F4C15"/>
    <w:rsid w:val="009F61A3"/>
    <w:rsid w:val="00A03A06"/>
    <w:rsid w:val="00A10E8F"/>
    <w:rsid w:val="00A125C5"/>
    <w:rsid w:val="00A12C3B"/>
    <w:rsid w:val="00A15161"/>
    <w:rsid w:val="00A1676B"/>
    <w:rsid w:val="00A1786F"/>
    <w:rsid w:val="00A23474"/>
    <w:rsid w:val="00A2451C"/>
    <w:rsid w:val="00A44321"/>
    <w:rsid w:val="00A458FF"/>
    <w:rsid w:val="00A459D1"/>
    <w:rsid w:val="00A5097A"/>
    <w:rsid w:val="00A53520"/>
    <w:rsid w:val="00A53C81"/>
    <w:rsid w:val="00A616CA"/>
    <w:rsid w:val="00A6195E"/>
    <w:rsid w:val="00A62EF0"/>
    <w:rsid w:val="00A6310F"/>
    <w:rsid w:val="00A635D0"/>
    <w:rsid w:val="00A64A16"/>
    <w:rsid w:val="00A65EE7"/>
    <w:rsid w:val="00A70133"/>
    <w:rsid w:val="00A70DF8"/>
    <w:rsid w:val="00A71596"/>
    <w:rsid w:val="00A76436"/>
    <w:rsid w:val="00A770A6"/>
    <w:rsid w:val="00A8097C"/>
    <w:rsid w:val="00A813B1"/>
    <w:rsid w:val="00A85A24"/>
    <w:rsid w:val="00A93BB7"/>
    <w:rsid w:val="00A93C01"/>
    <w:rsid w:val="00A97ADB"/>
    <w:rsid w:val="00AA47DA"/>
    <w:rsid w:val="00AB36C4"/>
    <w:rsid w:val="00AB48F4"/>
    <w:rsid w:val="00AC0895"/>
    <w:rsid w:val="00AC0C78"/>
    <w:rsid w:val="00AC1A7C"/>
    <w:rsid w:val="00AC32B2"/>
    <w:rsid w:val="00AD2185"/>
    <w:rsid w:val="00AD58E4"/>
    <w:rsid w:val="00AD70DB"/>
    <w:rsid w:val="00AE5D07"/>
    <w:rsid w:val="00AE7B87"/>
    <w:rsid w:val="00AF7315"/>
    <w:rsid w:val="00B00F3B"/>
    <w:rsid w:val="00B03D25"/>
    <w:rsid w:val="00B17141"/>
    <w:rsid w:val="00B24A70"/>
    <w:rsid w:val="00B31575"/>
    <w:rsid w:val="00B34274"/>
    <w:rsid w:val="00B3536A"/>
    <w:rsid w:val="00B3672C"/>
    <w:rsid w:val="00B41608"/>
    <w:rsid w:val="00B5197D"/>
    <w:rsid w:val="00B55D78"/>
    <w:rsid w:val="00B62282"/>
    <w:rsid w:val="00B63B92"/>
    <w:rsid w:val="00B649A6"/>
    <w:rsid w:val="00B70751"/>
    <w:rsid w:val="00B74BE6"/>
    <w:rsid w:val="00B75E8C"/>
    <w:rsid w:val="00B829A3"/>
    <w:rsid w:val="00B84BAF"/>
    <w:rsid w:val="00B8547D"/>
    <w:rsid w:val="00B875F5"/>
    <w:rsid w:val="00B96845"/>
    <w:rsid w:val="00BB646D"/>
    <w:rsid w:val="00BC579B"/>
    <w:rsid w:val="00BD197D"/>
    <w:rsid w:val="00BD6E77"/>
    <w:rsid w:val="00BD7D30"/>
    <w:rsid w:val="00BE3F5C"/>
    <w:rsid w:val="00BF0700"/>
    <w:rsid w:val="00BF5787"/>
    <w:rsid w:val="00BF7CA8"/>
    <w:rsid w:val="00C04F43"/>
    <w:rsid w:val="00C06FD5"/>
    <w:rsid w:val="00C20487"/>
    <w:rsid w:val="00C21890"/>
    <w:rsid w:val="00C2204E"/>
    <w:rsid w:val="00C250D5"/>
    <w:rsid w:val="00C26762"/>
    <w:rsid w:val="00C27318"/>
    <w:rsid w:val="00C32CFB"/>
    <w:rsid w:val="00C35666"/>
    <w:rsid w:val="00C541A0"/>
    <w:rsid w:val="00C66A9F"/>
    <w:rsid w:val="00C672F0"/>
    <w:rsid w:val="00C67361"/>
    <w:rsid w:val="00C708E8"/>
    <w:rsid w:val="00C720F0"/>
    <w:rsid w:val="00C75A6E"/>
    <w:rsid w:val="00C84D21"/>
    <w:rsid w:val="00C92898"/>
    <w:rsid w:val="00CA292C"/>
    <w:rsid w:val="00CA4340"/>
    <w:rsid w:val="00CA7555"/>
    <w:rsid w:val="00CC1E6A"/>
    <w:rsid w:val="00CC3F8C"/>
    <w:rsid w:val="00CC4195"/>
    <w:rsid w:val="00CC4B9B"/>
    <w:rsid w:val="00CC59E6"/>
    <w:rsid w:val="00CD2AE2"/>
    <w:rsid w:val="00CE23BF"/>
    <w:rsid w:val="00CE270E"/>
    <w:rsid w:val="00CE5238"/>
    <w:rsid w:val="00CE636F"/>
    <w:rsid w:val="00CE7514"/>
    <w:rsid w:val="00CF7800"/>
    <w:rsid w:val="00CF79E0"/>
    <w:rsid w:val="00D03D65"/>
    <w:rsid w:val="00D0494F"/>
    <w:rsid w:val="00D04A4F"/>
    <w:rsid w:val="00D05725"/>
    <w:rsid w:val="00D0627B"/>
    <w:rsid w:val="00D1334D"/>
    <w:rsid w:val="00D21120"/>
    <w:rsid w:val="00D22DD9"/>
    <w:rsid w:val="00D248DE"/>
    <w:rsid w:val="00D27C9F"/>
    <w:rsid w:val="00D33EE2"/>
    <w:rsid w:val="00D36B28"/>
    <w:rsid w:val="00D377A0"/>
    <w:rsid w:val="00D42A8B"/>
    <w:rsid w:val="00D44A70"/>
    <w:rsid w:val="00D516E6"/>
    <w:rsid w:val="00D539B5"/>
    <w:rsid w:val="00D55BBD"/>
    <w:rsid w:val="00D56B15"/>
    <w:rsid w:val="00D61336"/>
    <w:rsid w:val="00D62101"/>
    <w:rsid w:val="00D66EC9"/>
    <w:rsid w:val="00D73E6F"/>
    <w:rsid w:val="00D73E9D"/>
    <w:rsid w:val="00D76668"/>
    <w:rsid w:val="00D8067B"/>
    <w:rsid w:val="00D80760"/>
    <w:rsid w:val="00D81702"/>
    <w:rsid w:val="00D8542D"/>
    <w:rsid w:val="00D93EEE"/>
    <w:rsid w:val="00DA1C6A"/>
    <w:rsid w:val="00DB3CBD"/>
    <w:rsid w:val="00DB708F"/>
    <w:rsid w:val="00DC29A7"/>
    <w:rsid w:val="00DC6A71"/>
    <w:rsid w:val="00DD1DBC"/>
    <w:rsid w:val="00DE15AD"/>
    <w:rsid w:val="00DE4E7D"/>
    <w:rsid w:val="00DE64AA"/>
    <w:rsid w:val="00DF49F3"/>
    <w:rsid w:val="00E01B6D"/>
    <w:rsid w:val="00E0357D"/>
    <w:rsid w:val="00E118FE"/>
    <w:rsid w:val="00E1701B"/>
    <w:rsid w:val="00E33CF3"/>
    <w:rsid w:val="00E35C7F"/>
    <w:rsid w:val="00E4245B"/>
    <w:rsid w:val="00E42D55"/>
    <w:rsid w:val="00E430AA"/>
    <w:rsid w:val="00E45A74"/>
    <w:rsid w:val="00E50257"/>
    <w:rsid w:val="00E52ACB"/>
    <w:rsid w:val="00E57BDC"/>
    <w:rsid w:val="00E60293"/>
    <w:rsid w:val="00E64CBA"/>
    <w:rsid w:val="00E710C3"/>
    <w:rsid w:val="00E76AAD"/>
    <w:rsid w:val="00E82EF1"/>
    <w:rsid w:val="00E83529"/>
    <w:rsid w:val="00E8563F"/>
    <w:rsid w:val="00E92E9F"/>
    <w:rsid w:val="00E94AE6"/>
    <w:rsid w:val="00EA0513"/>
    <w:rsid w:val="00EA08A8"/>
    <w:rsid w:val="00EA38E4"/>
    <w:rsid w:val="00EA3F75"/>
    <w:rsid w:val="00EB31E9"/>
    <w:rsid w:val="00EB681D"/>
    <w:rsid w:val="00EB6DC8"/>
    <w:rsid w:val="00EB7C0E"/>
    <w:rsid w:val="00EC2F03"/>
    <w:rsid w:val="00ED1C3E"/>
    <w:rsid w:val="00ED37AF"/>
    <w:rsid w:val="00ED475B"/>
    <w:rsid w:val="00ED4D9D"/>
    <w:rsid w:val="00EF4753"/>
    <w:rsid w:val="00EF52F8"/>
    <w:rsid w:val="00EF7D90"/>
    <w:rsid w:val="00F0064E"/>
    <w:rsid w:val="00F016E0"/>
    <w:rsid w:val="00F018DB"/>
    <w:rsid w:val="00F15095"/>
    <w:rsid w:val="00F240BB"/>
    <w:rsid w:val="00F25233"/>
    <w:rsid w:val="00F30BBA"/>
    <w:rsid w:val="00F37A1A"/>
    <w:rsid w:val="00F503FB"/>
    <w:rsid w:val="00F53FA5"/>
    <w:rsid w:val="00F5431B"/>
    <w:rsid w:val="00F57FED"/>
    <w:rsid w:val="00F60655"/>
    <w:rsid w:val="00F61BDF"/>
    <w:rsid w:val="00F768CB"/>
    <w:rsid w:val="00F859EA"/>
    <w:rsid w:val="00F860DF"/>
    <w:rsid w:val="00F948CC"/>
    <w:rsid w:val="00F97DCC"/>
    <w:rsid w:val="00FA0675"/>
    <w:rsid w:val="00FA2517"/>
    <w:rsid w:val="00FA4C22"/>
    <w:rsid w:val="00FA5FCF"/>
    <w:rsid w:val="00FB202C"/>
    <w:rsid w:val="00FB40F8"/>
    <w:rsid w:val="00FC3C69"/>
    <w:rsid w:val="00FC62A3"/>
    <w:rsid w:val="00FD0372"/>
    <w:rsid w:val="00FD48E3"/>
    <w:rsid w:val="00FD6D2A"/>
    <w:rsid w:val="00FE2D77"/>
    <w:rsid w:val="00FE6D80"/>
    <w:rsid w:val="00FF2B1D"/>
    <w:rsid w:val="00FF319A"/>
    <w:rsid w:val="00FF68BC"/>
    <w:rsid w:val="00FF73DA"/>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0A333668"/>
  <w15:docId w15:val="{7686F226-962A-4543-988F-900A6FE8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03D25"/>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04222"/>
    <w:pPr>
      <w:widowControl w:val="0"/>
      <w:tabs>
        <w:tab w:val="left" w:pos="360"/>
      </w:tabs>
      <w:outlineLvl w:val="0"/>
    </w:pPr>
    <w:rPr>
      <w:rFonts w:cs="Arial"/>
      <w:bCs/>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E430AA"/>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E430A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E430AA"/>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E430AA"/>
    <w:rPr>
      <w:rFonts w:ascii="Arial" w:hAnsi="Arial" w:cs="Arial"/>
      <w:b/>
      <w:sz w:val="22"/>
      <w:szCs w:val="22"/>
      <w:lang w:val="sl-SI" w:eastAsia="sl-SI" w:bidi="ar-SA"/>
    </w:rPr>
  </w:style>
  <w:style w:type="paragraph" w:customStyle="1" w:styleId="Poglavje">
    <w:name w:val="Poglavje"/>
    <w:basedOn w:val="Navaden"/>
    <w:qFormat/>
    <w:rsid w:val="00E430AA"/>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E430AA"/>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430AA"/>
    <w:rPr>
      <w:rFonts w:ascii="Arial" w:hAnsi="Arial" w:cs="Arial"/>
      <w:sz w:val="22"/>
      <w:szCs w:val="22"/>
      <w:lang w:val="sl-SI" w:eastAsia="sl-SI" w:bidi="ar-SA"/>
    </w:rPr>
  </w:style>
  <w:style w:type="paragraph" w:customStyle="1" w:styleId="Oddelek">
    <w:name w:val="Oddelek"/>
    <w:basedOn w:val="Navaden"/>
    <w:link w:val="OddelekZnak1"/>
    <w:qFormat/>
    <w:rsid w:val="00E430AA"/>
    <w:pPr>
      <w:numPr>
        <w:numId w:val="1"/>
      </w:numPr>
      <w:suppressAutoHyphens/>
      <w:overflowPunct w:val="0"/>
      <w:autoSpaceDE w:val="0"/>
      <w:autoSpaceDN w:val="0"/>
      <w:adjustRightInd w:val="0"/>
      <w:spacing w:before="280" w:after="60" w:line="200" w:lineRule="exact"/>
      <w:jc w:val="center"/>
      <w:textAlignment w:val="baseline"/>
      <w:outlineLvl w:val="3"/>
    </w:pPr>
    <w:rPr>
      <w:b/>
      <w:sz w:val="22"/>
      <w:szCs w:val="22"/>
    </w:rPr>
  </w:style>
  <w:style w:type="character" w:customStyle="1" w:styleId="OddelekZnak1">
    <w:name w:val="Oddelek Znak1"/>
    <w:link w:val="Oddelek"/>
    <w:rsid w:val="00E430AA"/>
    <w:rPr>
      <w:rFonts w:ascii="Arial" w:hAnsi="Arial"/>
      <w:b/>
      <w:sz w:val="22"/>
      <w:szCs w:val="22"/>
    </w:rPr>
  </w:style>
  <w:style w:type="paragraph" w:customStyle="1" w:styleId="Alineazaodstavkom">
    <w:name w:val="Alinea za odstavkom"/>
    <w:basedOn w:val="Navaden"/>
    <w:link w:val="AlineazaodstavkomZnak"/>
    <w:qFormat/>
    <w:rsid w:val="00E430AA"/>
    <w:pPr>
      <w:numPr>
        <w:numId w:val="6"/>
      </w:numPr>
      <w:overflowPunct w:val="0"/>
      <w:autoSpaceDE w:val="0"/>
      <w:autoSpaceDN w:val="0"/>
      <w:adjustRightInd w:val="0"/>
      <w:spacing w:line="200" w:lineRule="exact"/>
      <w:ind w:left="709" w:hanging="284"/>
      <w:jc w:val="both"/>
      <w:textAlignment w:val="baseline"/>
    </w:pPr>
    <w:rPr>
      <w:sz w:val="22"/>
      <w:szCs w:val="22"/>
    </w:rPr>
  </w:style>
  <w:style w:type="character" w:customStyle="1" w:styleId="AlineazaodstavkomZnak">
    <w:name w:val="Alinea za odstavkom Znak"/>
    <w:link w:val="Alineazaodstavkom"/>
    <w:rsid w:val="00E430AA"/>
    <w:rPr>
      <w:rFonts w:ascii="Arial" w:hAnsi="Arial"/>
      <w:sz w:val="22"/>
      <w:szCs w:val="22"/>
    </w:rPr>
  </w:style>
  <w:style w:type="paragraph" w:customStyle="1" w:styleId="Odstavekseznama1">
    <w:name w:val="Odstavek seznama1"/>
    <w:basedOn w:val="Navaden"/>
    <w:link w:val="OdstavekseznamaZnak"/>
    <w:qFormat/>
    <w:rsid w:val="00E430AA"/>
    <w:pPr>
      <w:ind w:left="708"/>
    </w:pPr>
  </w:style>
  <w:style w:type="character" w:customStyle="1" w:styleId="OdstavekseznamaZnak">
    <w:name w:val="Odstavek seznama Znak"/>
    <w:link w:val="Odstavekseznama1"/>
    <w:rsid w:val="00E430AA"/>
    <w:rPr>
      <w:rFonts w:ascii="Arial" w:hAnsi="Arial"/>
      <w:szCs w:val="24"/>
      <w:lang w:eastAsia="en-US" w:bidi="ar-SA"/>
    </w:rPr>
  </w:style>
  <w:style w:type="paragraph" w:styleId="Otevilenseznam">
    <w:name w:val="List Number"/>
    <w:basedOn w:val="Navaden"/>
    <w:qFormat/>
    <w:rsid w:val="00E430AA"/>
    <w:pPr>
      <w:numPr>
        <w:numId w:val="5"/>
      </w:numPr>
      <w:spacing w:line="240" w:lineRule="auto"/>
    </w:pPr>
    <w:rPr>
      <w:rFonts w:ascii="Times New Roman" w:hAnsi="Times New Roman"/>
      <w:szCs w:val="20"/>
      <w:lang w:val="sl-SI"/>
    </w:rPr>
  </w:style>
  <w:style w:type="paragraph" w:styleId="Besedilooblaka">
    <w:name w:val="Balloon Text"/>
    <w:basedOn w:val="Navaden"/>
    <w:link w:val="BesedilooblakaZnak"/>
    <w:rsid w:val="002A5A4C"/>
    <w:pPr>
      <w:spacing w:line="240" w:lineRule="auto"/>
    </w:pPr>
    <w:rPr>
      <w:rFonts w:ascii="Tahoma" w:hAnsi="Tahoma"/>
      <w:sz w:val="16"/>
      <w:szCs w:val="16"/>
    </w:rPr>
  </w:style>
  <w:style w:type="character" w:customStyle="1" w:styleId="BesedilooblakaZnak">
    <w:name w:val="Besedilo oblačka Znak"/>
    <w:link w:val="Besedilooblaka"/>
    <w:rsid w:val="002A5A4C"/>
    <w:rPr>
      <w:rFonts w:ascii="Tahoma" w:hAnsi="Tahoma" w:cs="Tahoma"/>
      <w:sz w:val="16"/>
      <w:szCs w:val="16"/>
      <w:lang w:val="en-US" w:eastAsia="en-US"/>
    </w:rPr>
  </w:style>
  <w:style w:type="character" w:customStyle="1" w:styleId="NogaZnak">
    <w:name w:val="Noga Znak"/>
    <w:link w:val="Noga"/>
    <w:uiPriority w:val="99"/>
    <w:rsid w:val="00475A30"/>
    <w:rPr>
      <w:rFonts w:ascii="Arial" w:hAnsi="Arial"/>
      <w:szCs w:val="24"/>
      <w:lang w:val="en-US" w:eastAsia="en-US"/>
    </w:rPr>
  </w:style>
  <w:style w:type="paragraph" w:styleId="Odstavekseznama">
    <w:name w:val="List Paragraph"/>
    <w:basedOn w:val="Navaden"/>
    <w:qFormat/>
    <w:rsid w:val="00475A30"/>
    <w:pPr>
      <w:spacing w:line="240" w:lineRule="auto"/>
      <w:ind w:left="720" w:hanging="720"/>
      <w:contextualSpacing/>
      <w:jc w:val="center"/>
    </w:pPr>
    <w:rPr>
      <w:rFonts w:ascii="Calibri" w:eastAsia="Calibri" w:hAnsi="Calibri"/>
      <w:sz w:val="22"/>
      <w:szCs w:val="22"/>
      <w:lang w:val="sl-SI"/>
    </w:rPr>
  </w:style>
  <w:style w:type="paragraph" w:styleId="Telobesedila2">
    <w:name w:val="Body Text 2"/>
    <w:basedOn w:val="Navaden"/>
    <w:link w:val="Telobesedila2Znak"/>
    <w:rsid w:val="00475A30"/>
    <w:pPr>
      <w:spacing w:line="240" w:lineRule="auto"/>
      <w:jc w:val="both"/>
    </w:pPr>
    <w:rPr>
      <w:sz w:val="22"/>
    </w:rPr>
  </w:style>
  <w:style w:type="character" w:customStyle="1" w:styleId="Telobesedila2Znak">
    <w:name w:val="Telo besedila 2 Znak"/>
    <w:link w:val="Telobesedila2"/>
    <w:rsid w:val="00475A30"/>
    <w:rPr>
      <w:rFonts w:ascii="Arial" w:hAnsi="Arial" w:cs="Arial"/>
      <w:sz w:val="22"/>
      <w:szCs w:val="24"/>
    </w:rPr>
  </w:style>
  <w:style w:type="paragraph" w:styleId="Brezrazmikov">
    <w:name w:val="No Spacing"/>
    <w:link w:val="BrezrazmikovZnak"/>
    <w:qFormat/>
    <w:rsid w:val="00475A30"/>
    <w:rPr>
      <w:sz w:val="24"/>
      <w:szCs w:val="24"/>
    </w:rPr>
  </w:style>
  <w:style w:type="paragraph" w:customStyle="1" w:styleId="Slog">
    <w:name w:val="Slog"/>
    <w:rsid w:val="00475A30"/>
    <w:pPr>
      <w:widowControl w:val="0"/>
      <w:autoSpaceDE w:val="0"/>
      <w:autoSpaceDN w:val="0"/>
      <w:adjustRightInd w:val="0"/>
    </w:pPr>
    <w:rPr>
      <w:rFonts w:ascii="Arial" w:hAnsi="Arial" w:cs="Arial"/>
      <w:sz w:val="24"/>
      <w:szCs w:val="24"/>
    </w:rPr>
  </w:style>
  <w:style w:type="paragraph" w:styleId="Telobesedila-zamik">
    <w:name w:val="Body Text Indent"/>
    <w:basedOn w:val="Navaden"/>
    <w:link w:val="Telobesedila-zamikZnak"/>
    <w:unhideWhenUsed/>
    <w:rsid w:val="00475A30"/>
    <w:pPr>
      <w:spacing w:after="120" w:line="240" w:lineRule="auto"/>
      <w:ind w:left="283" w:hanging="720"/>
      <w:jc w:val="center"/>
    </w:pPr>
    <w:rPr>
      <w:rFonts w:ascii="Calibri" w:eastAsia="Calibri" w:hAnsi="Calibri"/>
      <w:sz w:val="22"/>
      <w:szCs w:val="22"/>
    </w:rPr>
  </w:style>
  <w:style w:type="character" w:customStyle="1" w:styleId="Telobesedila-zamikZnak">
    <w:name w:val="Telo besedila - zamik Znak"/>
    <w:link w:val="Telobesedila-zamik"/>
    <w:rsid w:val="00475A30"/>
    <w:rPr>
      <w:rFonts w:ascii="Calibri" w:eastAsia="Calibri" w:hAnsi="Calibri"/>
      <w:sz w:val="22"/>
      <w:szCs w:val="22"/>
      <w:lang w:eastAsia="en-US"/>
    </w:rPr>
  </w:style>
  <w:style w:type="character" w:customStyle="1" w:styleId="BrezrazmikovZnak">
    <w:name w:val="Brez razmikov Znak"/>
    <w:link w:val="Brezrazmikov"/>
    <w:locked/>
    <w:rsid w:val="00475A30"/>
    <w:rPr>
      <w:sz w:val="24"/>
      <w:szCs w:val="24"/>
      <w:lang w:bidi="ar-SA"/>
    </w:rPr>
  </w:style>
  <w:style w:type="paragraph" w:customStyle="1" w:styleId="ListParagraph1">
    <w:name w:val="List Paragraph1"/>
    <w:basedOn w:val="Navaden"/>
    <w:link w:val="ListParagraphChar"/>
    <w:rsid w:val="00475A30"/>
    <w:pPr>
      <w:ind w:left="708"/>
    </w:pPr>
  </w:style>
  <w:style w:type="character" w:customStyle="1" w:styleId="ListParagraphChar">
    <w:name w:val="List Paragraph Char"/>
    <w:link w:val="ListParagraph1"/>
    <w:locked/>
    <w:rsid w:val="00475A30"/>
    <w:rPr>
      <w:rFonts w:ascii="Arial" w:hAnsi="Arial"/>
      <w:szCs w:val="24"/>
      <w:lang w:eastAsia="en-US"/>
    </w:rPr>
  </w:style>
  <w:style w:type="character" w:customStyle="1" w:styleId="GlavaZnak">
    <w:name w:val="Glava Znak"/>
    <w:link w:val="Glava"/>
    <w:uiPriority w:val="99"/>
    <w:rsid w:val="00AC0895"/>
    <w:rPr>
      <w:rFonts w:ascii="Arial" w:hAnsi="Arial"/>
      <w:szCs w:val="24"/>
      <w:lang w:val="en-US" w:eastAsia="en-US"/>
    </w:rPr>
  </w:style>
  <w:style w:type="paragraph" w:styleId="Telobesedila">
    <w:name w:val="Body Text"/>
    <w:basedOn w:val="Navaden"/>
    <w:link w:val="TelobesedilaZnak"/>
    <w:rsid w:val="00B63B92"/>
    <w:pPr>
      <w:spacing w:after="120"/>
    </w:pPr>
  </w:style>
  <w:style w:type="character" w:customStyle="1" w:styleId="TelobesedilaZnak">
    <w:name w:val="Telo besedila Znak"/>
    <w:link w:val="Telobesedila"/>
    <w:rsid w:val="00B63B92"/>
    <w:rPr>
      <w:rFonts w:ascii="Arial" w:hAnsi="Arial"/>
      <w:szCs w:val="24"/>
      <w:lang w:val="en-US" w:eastAsia="en-US"/>
    </w:rPr>
  </w:style>
  <w:style w:type="character" w:styleId="tevilkastrani">
    <w:name w:val="page number"/>
    <w:rsid w:val="00566216"/>
    <w:rPr>
      <w:sz w:val="20"/>
    </w:rPr>
  </w:style>
  <w:style w:type="paragraph" w:styleId="Telobesedila3">
    <w:name w:val="Body Text 3"/>
    <w:basedOn w:val="Navaden"/>
    <w:link w:val="Telobesedila3Znak"/>
    <w:rsid w:val="00566216"/>
    <w:pPr>
      <w:overflowPunct w:val="0"/>
      <w:autoSpaceDE w:val="0"/>
      <w:autoSpaceDN w:val="0"/>
      <w:adjustRightInd w:val="0"/>
      <w:spacing w:line="240" w:lineRule="auto"/>
      <w:jc w:val="both"/>
      <w:textAlignment w:val="baseline"/>
    </w:pPr>
    <w:rPr>
      <w:rFonts w:ascii="Times New Roman" w:hAnsi="Times New Roman"/>
      <w:i/>
      <w:sz w:val="24"/>
      <w:szCs w:val="20"/>
    </w:rPr>
  </w:style>
  <w:style w:type="character" w:customStyle="1" w:styleId="Telobesedila3Znak">
    <w:name w:val="Telo besedila 3 Znak"/>
    <w:link w:val="Telobesedila3"/>
    <w:rsid w:val="00566216"/>
    <w:rPr>
      <w:i/>
      <w:sz w:val="24"/>
    </w:rPr>
  </w:style>
  <w:style w:type="paragraph" w:customStyle="1" w:styleId="BalloonText1">
    <w:name w:val="Balloon Text1"/>
    <w:basedOn w:val="Navaden"/>
    <w:semiHidden/>
    <w:rsid w:val="00566216"/>
    <w:pPr>
      <w:overflowPunct w:val="0"/>
      <w:autoSpaceDE w:val="0"/>
      <w:autoSpaceDN w:val="0"/>
      <w:adjustRightInd w:val="0"/>
      <w:spacing w:line="240" w:lineRule="auto"/>
      <w:textAlignment w:val="baseline"/>
    </w:pPr>
    <w:rPr>
      <w:rFonts w:ascii="Tahoma" w:hAnsi="Tahoma" w:cs="Tahoma"/>
      <w:sz w:val="16"/>
      <w:szCs w:val="16"/>
      <w:lang w:val="sl-SI" w:eastAsia="sl-SI"/>
    </w:rPr>
  </w:style>
  <w:style w:type="character" w:styleId="Pripombasklic">
    <w:name w:val="annotation reference"/>
    <w:rsid w:val="00566216"/>
    <w:rPr>
      <w:sz w:val="16"/>
      <w:szCs w:val="16"/>
    </w:rPr>
  </w:style>
  <w:style w:type="paragraph" w:styleId="Pripombabesedilo">
    <w:name w:val="annotation text"/>
    <w:basedOn w:val="Navaden"/>
    <w:link w:val="PripombabesediloZnak"/>
    <w:rsid w:val="00566216"/>
    <w:pPr>
      <w:overflowPunct w:val="0"/>
      <w:autoSpaceDE w:val="0"/>
      <w:autoSpaceDN w:val="0"/>
      <w:adjustRightInd w:val="0"/>
      <w:spacing w:line="240" w:lineRule="auto"/>
      <w:textAlignment w:val="baseline"/>
    </w:pPr>
    <w:rPr>
      <w:rFonts w:ascii="Times New Roman" w:hAnsi="Times New Roman"/>
      <w:szCs w:val="20"/>
      <w:lang w:val="sl-SI" w:eastAsia="sl-SI"/>
    </w:rPr>
  </w:style>
  <w:style w:type="character" w:customStyle="1" w:styleId="PripombabesediloZnak">
    <w:name w:val="Pripomba – besedilo Znak"/>
    <w:basedOn w:val="Privzetapisavaodstavka"/>
    <w:link w:val="Pripombabesedilo"/>
    <w:rsid w:val="00566216"/>
  </w:style>
  <w:style w:type="paragraph" w:styleId="Zadevapripombe">
    <w:name w:val="annotation subject"/>
    <w:basedOn w:val="Pripombabesedilo"/>
    <w:next w:val="Pripombabesedilo"/>
    <w:link w:val="ZadevapripombeZnak"/>
    <w:rsid w:val="00566216"/>
    <w:rPr>
      <w:b/>
      <w:bCs/>
    </w:rPr>
  </w:style>
  <w:style w:type="character" w:customStyle="1" w:styleId="ZadevapripombeZnak">
    <w:name w:val="Zadeva pripombe Znak"/>
    <w:link w:val="Zadevapripombe"/>
    <w:rsid w:val="005662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5573">
      <w:bodyDiv w:val="1"/>
      <w:marLeft w:val="0"/>
      <w:marRight w:val="0"/>
      <w:marTop w:val="0"/>
      <w:marBottom w:val="0"/>
      <w:divBdr>
        <w:top w:val="none" w:sz="0" w:space="0" w:color="auto"/>
        <w:left w:val="none" w:sz="0" w:space="0" w:color="auto"/>
        <w:bottom w:val="none" w:sz="0" w:space="0" w:color="auto"/>
        <w:right w:val="none" w:sz="0" w:space="0" w:color="auto"/>
      </w:divBdr>
    </w:div>
    <w:div w:id="34000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33009\AppData\Local\Microsoft\Windows\Temporary%20Internet%20Files\Content.Outlook\VR3IP5GI\dokapSOD2%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74D9A-C3A8-4E60-B415-7D4DD4B9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dokapSOD2 doc</Template>
  <TotalTime>9</TotalTime>
  <Pages>4</Pages>
  <Words>1461</Words>
  <Characters>8331</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SVZ</Company>
  <LinksUpToDate>false</LinksUpToDate>
  <CharactersWithSpaces>9773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Sara Pernuš</cp:lastModifiedBy>
  <cp:revision>7</cp:revision>
  <cp:lastPrinted>2020-01-13T09:17:00Z</cp:lastPrinted>
  <dcterms:created xsi:type="dcterms:W3CDTF">2022-01-10T12:18:00Z</dcterms:created>
  <dcterms:modified xsi:type="dcterms:W3CDTF">2022-01-10T13:07:00Z</dcterms:modified>
</cp:coreProperties>
</file>