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DA" w:rsidRPr="00CB6F2B" w:rsidRDefault="003305DA" w:rsidP="003305DA">
      <w:pPr>
        <w:rPr>
          <w:rFonts w:ascii="Arial" w:hAnsi="Arial" w:cs="Arial"/>
          <w:b/>
          <w:color w:val="000000"/>
          <w:sz w:val="20"/>
          <w:szCs w:val="20"/>
        </w:rPr>
      </w:pPr>
      <w:r w:rsidRPr="00CB6F2B">
        <w:rPr>
          <w:rFonts w:ascii="Arial" w:hAnsi="Arial" w:cs="Arial"/>
          <w:b/>
          <w:color w:val="000000"/>
          <w:sz w:val="20"/>
          <w:szCs w:val="20"/>
        </w:rPr>
        <w:t>PRILOGA: Metodologija za izračun višine povračila dela stroškov občinam zaradi povečanega nadzora državne meje</w:t>
      </w:r>
    </w:p>
    <w:p w:rsidR="003305DA" w:rsidRPr="00CB6F2B" w:rsidRDefault="003305DA" w:rsidP="003305DA">
      <w:pPr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3305DA" w:rsidRPr="00CB6F2B" w:rsidRDefault="003305DA" w:rsidP="003305DA">
      <w:pPr>
        <w:numPr>
          <w:ilvl w:val="0"/>
          <w:numId w:val="4"/>
        </w:numPr>
        <w:spacing w:after="0" w:line="260" w:lineRule="exact"/>
        <w:ind w:left="357" w:hanging="357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B6F2B">
        <w:rPr>
          <w:rFonts w:ascii="Arial" w:hAnsi="Arial" w:cs="Arial"/>
          <w:b/>
          <w:color w:val="000000"/>
          <w:sz w:val="20"/>
          <w:szCs w:val="20"/>
        </w:rPr>
        <w:t>Vlada Republike Slovenije s sklepom ugotovi obstoj povečanega nadzora državne meje v preteklem koledarskem letu in 40 % sredstev, ki so v državnem proračunu v tekočem koledarskem letu zagotovljena za povračilo dela stroškov občinam zaradi povečanega nadzora državne meje, med vse občine ob državni meji, na osnovi letno ažuriranih podatkov,</w:t>
      </w:r>
      <w:r w:rsidRPr="00CB6F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CB6F2B">
        <w:rPr>
          <w:rFonts w:ascii="Arial" w:hAnsi="Arial" w:cs="Arial"/>
          <w:b/>
          <w:color w:val="000000"/>
          <w:sz w:val="20"/>
          <w:szCs w:val="20"/>
        </w:rPr>
        <w:t xml:space="preserve">razdeli na naslednji način: </w:t>
      </w:r>
    </w:p>
    <w:p w:rsidR="003305DA" w:rsidRPr="00CB6F2B" w:rsidRDefault="003305DA" w:rsidP="003305DA">
      <w:pPr>
        <w:numPr>
          <w:ilvl w:val="0"/>
          <w:numId w:val="2"/>
        </w:numPr>
        <w:spacing w:before="120" w:after="120" w:line="260" w:lineRule="exact"/>
        <w:ind w:hanging="76"/>
        <w:jc w:val="both"/>
        <w:rPr>
          <w:rFonts w:ascii="Arial" w:hAnsi="Arial" w:cs="Arial"/>
          <w:color w:val="000000"/>
          <w:sz w:val="20"/>
          <w:szCs w:val="20"/>
        </w:rPr>
      </w:pPr>
      <w:r w:rsidRPr="00CB6F2B">
        <w:rPr>
          <w:rFonts w:ascii="Arial" w:hAnsi="Arial" w:cs="Arial"/>
          <w:sz w:val="20"/>
          <w:szCs w:val="20"/>
        </w:rPr>
        <w:t>90 % zneska je znesek glede na delež dolžine meje, ki se izračuna po formuli:</w:t>
      </w:r>
    </w:p>
    <w:p w:rsidR="003305DA" w:rsidRDefault="00BA001D" w:rsidP="003305DA">
      <w:pPr>
        <w:spacing w:before="120" w:after="120" w:line="260" w:lineRule="exact"/>
        <w:ind w:left="360" w:firstLine="349"/>
        <w:jc w:val="both"/>
        <w:rPr>
          <w:rFonts w:ascii="Arial" w:hAnsi="Arial" w:cs="Arial"/>
          <w:sz w:val="20"/>
          <w:szCs w:val="20"/>
        </w:rPr>
      </w:pPr>
      <m:oMath>
        <m:f>
          <m:fPr>
            <m:ctrlPr>
              <w:rPr>
                <w:rFonts w:ascii="Cambria Math" w:hAnsi="Cambria Math" w:cs="Arial"/>
                <w:color w:val="00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 xml:space="preserve">dolžina meje v posamezni občini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skupna dolžina meje</m:t>
            </m:r>
          </m:den>
        </m:f>
      </m:oMath>
      <w:r w:rsidR="003305DA" w:rsidRPr="00CB6F2B">
        <w:rPr>
          <w:rFonts w:ascii="Arial" w:eastAsia="Times New Roman" w:hAnsi="Arial" w:cs="Arial"/>
          <w:color w:val="000000"/>
          <w:sz w:val="20"/>
          <w:szCs w:val="20"/>
        </w:rPr>
        <w:t xml:space="preserve"> x </w:t>
      </w:r>
      <w:r w:rsidR="003305DA" w:rsidRPr="00CB6F2B">
        <w:rPr>
          <w:rFonts w:ascii="Arial" w:hAnsi="Arial" w:cs="Arial"/>
          <w:sz w:val="20"/>
          <w:szCs w:val="20"/>
        </w:rPr>
        <w:t>0,9 x razpoložljiv znesek;</w:t>
      </w:r>
    </w:p>
    <w:p w:rsidR="00E95228" w:rsidRPr="00CB6F2B" w:rsidRDefault="00E95228" w:rsidP="003305DA">
      <w:pPr>
        <w:spacing w:before="120" w:after="120" w:line="260" w:lineRule="exact"/>
        <w:ind w:left="360" w:firstLine="349"/>
        <w:jc w:val="both"/>
        <w:rPr>
          <w:rFonts w:ascii="Arial" w:hAnsi="Arial" w:cs="Arial"/>
          <w:sz w:val="20"/>
          <w:szCs w:val="20"/>
        </w:rPr>
      </w:pPr>
    </w:p>
    <w:p w:rsidR="003305DA" w:rsidRPr="00CB6F2B" w:rsidRDefault="003305DA" w:rsidP="003305DA">
      <w:pPr>
        <w:numPr>
          <w:ilvl w:val="0"/>
          <w:numId w:val="2"/>
        </w:numPr>
        <w:spacing w:before="120" w:after="120" w:line="260" w:lineRule="exact"/>
        <w:ind w:hanging="76"/>
        <w:jc w:val="both"/>
        <w:rPr>
          <w:rFonts w:ascii="Arial" w:hAnsi="Arial" w:cs="Arial"/>
          <w:color w:val="000000"/>
          <w:sz w:val="20"/>
          <w:szCs w:val="20"/>
        </w:rPr>
      </w:pPr>
      <w:r w:rsidRPr="00CB6F2B">
        <w:rPr>
          <w:rFonts w:ascii="Arial" w:hAnsi="Arial" w:cs="Arial"/>
          <w:sz w:val="20"/>
          <w:szCs w:val="20"/>
        </w:rPr>
        <w:t>10 % zneska je znesek glede na faktor obremenitve občine, ki se izračuna po formuli:</w:t>
      </w:r>
      <w:r w:rsidRPr="00CB6F2B" w:rsidDel="00346405">
        <w:rPr>
          <w:rFonts w:ascii="Arial" w:hAnsi="Arial" w:cs="Arial"/>
          <w:sz w:val="20"/>
          <w:szCs w:val="20"/>
        </w:rPr>
        <w:t xml:space="preserve"> </w:t>
      </w:r>
    </w:p>
    <w:p w:rsidR="00E95228" w:rsidRPr="00CB6F2B" w:rsidRDefault="00BA001D" w:rsidP="00E95228">
      <w:pPr>
        <w:spacing w:before="120" w:after="120" w:line="260" w:lineRule="exact"/>
        <w:ind w:left="360" w:firstLine="349"/>
        <w:jc w:val="both"/>
        <w:rPr>
          <w:rFonts w:ascii="Arial" w:hAnsi="Arial" w:cs="Arial"/>
          <w:color w:val="000000"/>
          <w:sz w:val="20"/>
          <w:szCs w:val="20"/>
        </w:rPr>
      </w:pPr>
      <m:oMath>
        <m:f>
          <m:fPr>
            <m:ctrlPr>
              <w:rPr>
                <w:rFonts w:ascii="Cambria Math" w:hAnsi="Cambria Math" w:cs="Arial"/>
                <w:color w:val="00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 xml:space="preserve">Količnik 1 za posamezno občino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>vsota Količnikov 1</m:t>
            </m:r>
          </m:den>
        </m:f>
      </m:oMath>
      <w:r w:rsidR="003305DA" w:rsidRPr="00CB6F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305DA" w:rsidRPr="00CB6F2B">
        <w:rPr>
          <w:rFonts w:ascii="Arial" w:hAnsi="Arial" w:cs="Arial"/>
          <w:color w:val="000000"/>
          <w:sz w:val="20"/>
          <w:szCs w:val="20"/>
        </w:rPr>
        <w:t>x 0,1 x razpoložljiv znesek,</w:t>
      </w:r>
    </w:p>
    <w:p w:rsidR="00E95228" w:rsidRPr="00E95228" w:rsidRDefault="003305DA" w:rsidP="00E95228">
      <w:pPr>
        <w:spacing w:before="120" w:after="120" w:line="260" w:lineRule="exact"/>
        <w:ind w:firstLine="567"/>
        <w:jc w:val="both"/>
        <w:rPr>
          <w:rFonts w:ascii="Arial" w:hAnsi="Arial" w:cs="Arial"/>
          <w:sz w:val="20"/>
          <w:szCs w:val="20"/>
        </w:rPr>
      </w:pPr>
      <w:r w:rsidRPr="00CB6F2B">
        <w:rPr>
          <w:rFonts w:ascii="Arial" w:hAnsi="Arial" w:cs="Arial"/>
          <w:sz w:val="20"/>
          <w:szCs w:val="20"/>
        </w:rPr>
        <w:t>pri čemer se Količnik 1 za posamezno občino izračuna po formuli:</w:t>
      </w:r>
    </w:p>
    <w:p w:rsidR="003305DA" w:rsidRDefault="00BA001D" w:rsidP="003305DA">
      <w:pPr>
        <w:spacing w:before="120" w:after="120" w:line="260" w:lineRule="exact"/>
        <w:ind w:left="567" w:firstLine="142"/>
        <w:jc w:val="both"/>
        <w:rPr>
          <w:rFonts w:ascii="Arial" w:hAnsi="Arial" w:cs="Arial"/>
          <w:color w:val="000000"/>
          <w:sz w:val="20"/>
          <w:szCs w:val="20"/>
        </w:rPr>
      </w:pPr>
      <m:oMath>
        <m:f>
          <m:fPr>
            <m:ctrlPr>
              <w:rPr>
                <w:rFonts w:ascii="Cambria Math" w:hAnsi="Cambria Math" w:cs="Arial"/>
                <w:color w:val="00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 xml:space="preserve">dolžina meje v posamezni občini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število prebivalcev v tej občini</m:t>
            </m:r>
          </m:den>
        </m:f>
      </m:oMath>
      <w:r w:rsidR="003305DA" w:rsidRPr="00CB6F2B">
        <w:rPr>
          <w:rFonts w:ascii="Arial" w:hAnsi="Arial" w:cs="Arial"/>
          <w:color w:val="000000"/>
          <w:sz w:val="20"/>
          <w:szCs w:val="20"/>
        </w:rPr>
        <w:t>.</w:t>
      </w:r>
    </w:p>
    <w:p w:rsidR="00E95228" w:rsidRPr="00CB6F2B" w:rsidRDefault="00E95228" w:rsidP="003305DA">
      <w:pPr>
        <w:spacing w:before="120" w:after="120" w:line="260" w:lineRule="exact"/>
        <w:ind w:left="567" w:firstLine="142"/>
        <w:jc w:val="both"/>
        <w:rPr>
          <w:rFonts w:ascii="Arial" w:hAnsi="Arial" w:cs="Arial"/>
          <w:color w:val="000000"/>
          <w:sz w:val="20"/>
          <w:szCs w:val="20"/>
        </w:rPr>
      </w:pPr>
    </w:p>
    <w:p w:rsidR="003305DA" w:rsidRPr="00CB6F2B" w:rsidRDefault="003305DA" w:rsidP="003305DA">
      <w:pPr>
        <w:numPr>
          <w:ilvl w:val="0"/>
          <w:numId w:val="2"/>
        </w:numPr>
        <w:spacing w:before="120" w:after="120" w:line="26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CB6F2B">
        <w:rPr>
          <w:rFonts w:ascii="Arial" w:hAnsi="Arial" w:cs="Arial"/>
          <w:sz w:val="20"/>
          <w:szCs w:val="20"/>
        </w:rPr>
        <w:t>Če se za izračun višine sredstev upoštevajo tudi druge okoliščine, ki pomembno vplivajo na varnost v lokalnem okolju, se to upošteva v okviru faktorja obremenitve občine. Delež višine sredstev iz naslova drugih okoliščin, ki pomembno vplivajo na varnost v lokalnem okolju, je lahko največ 5 % celotne vrednosti zneska za posamezno občino, pri čemer se v okviru faktorja obremenitve občine ustrezno zmanjša delež zneska faktorja obremenitve iz I. 2. točke te priloge.</w:t>
      </w:r>
      <w:r w:rsidRPr="00CB6F2B" w:rsidDel="00346405">
        <w:rPr>
          <w:rFonts w:ascii="Arial" w:hAnsi="Arial" w:cs="Arial"/>
          <w:sz w:val="20"/>
          <w:szCs w:val="20"/>
        </w:rPr>
        <w:t xml:space="preserve"> </w:t>
      </w:r>
    </w:p>
    <w:p w:rsidR="003305DA" w:rsidRPr="00CB6F2B" w:rsidRDefault="003305DA" w:rsidP="003305DA">
      <w:pPr>
        <w:spacing w:after="0" w:line="260" w:lineRule="atLeast"/>
        <w:ind w:left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3305DA" w:rsidRPr="00CB6F2B" w:rsidRDefault="003305DA" w:rsidP="003305DA">
      <w:pPr>
        <w:numPr>
          <w:ilvl w:val="0"/>
          <w:numId w:val="4"/>
        </w:numPr>
        <w:spacing w:after="0" w:line="260" w:lineRule="exact"/>
        <w:ind w:left="357" w:hanging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B6F2B">
        <w:rPr>
          <w:rFonts w:ascii="Arial" w:hAnsi="Arial" w:cs="Arial"/>
          <w:b/>
          <w:color w:val="000000"/>
          <w:sz w:val="20"/>
          <w:szCs w:val="20"/>
        </w:rPr>
        <w:t>Vlada Republike Slovenije s sklepom ugotovi obstoj povečanega nadzora državne meje v preteklem koledarskem letu in 60 % sredstev, ki so v državnem proračunu v tekočem koledarskem letu zagotovljena za povračilo dela stroškov občinam zaradi povečanega nadzora državne meje, med občine ob dodatno obremenjeni državni meji (npr. nezakoniti prehodi meje), na osnovi letno ažuriranih podatkov,</w:t>
      </w:r>
      <w:r w:rsidRPr="00CB6F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CB6F2B">
        <w:rPr>
          <w:rFonts w:ascii="Arial" w:hAnsi="Arial" w:cs="Arial"/>
          <w:b/>
          <w:color w:val="000000"/>
          <w:sz w:val="20"/>
          <w:szCs w:val="20"/>
        </w:rPr>
        <w:t>razdeli na naslednji način:</w:t>
      </w:r>
    </w:p>
    <w:p w:rsidR="003305DA" w:rsidRPr="00CB6F2B" w:rsidRDefault="003305DA" w:rsidP="003305DA">
      <w:pPr>
        <w:spacing w:after="120" w:line="260" w:lineRule="exact"/>
        <w:ind w:left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3305DA" w:rsidRPr="00CB6F2B" w:rsidRDefault="003305DA" w:rsidP="003305DA">
      <w:pPr>
        <w:numPr>
          <w:ilvl w:val="0"/>
          <w:numId w:val="6"/>
        </w:numPr>
        <w:spacing w:after="0" w:line="260" w:lineRule="exact"/>
        <w:ind w:left="709" w:hanging="283"/>
        <w:jc w:val="both"/>
        <w:rPr>
          <w:rFonts w:ascii="Arial" w:hAnsi="Arial" w:cs="Arial"/>
          <w:sz w:val="20"/>
          <w:szCs w:val="20"/>
        </w:rPr>
      </w:pPr>
      <w:r w:rsidRPr="00CB6F2B">
        <w:rPr>
          <w:rFonts w:ascii="Arial" w:hAnsi="Arial" w:cs="Arial"/>
          <w:sz w:val="20"/>
          <w:szCs w:val="20"/>
        </w:rPr>
        <w:t>V okviru faktorja obremenitve občine se posamezni občini najprej dodeli znesek glede na število mejnih prehodov:</w:t>
      </w:r>
    </w:p>
    <w:p w:rsidR="003305DA" w:rsidRPr="00CB6F2B" w:rsidRDefault="003305DA" w:rsidP="00E95228">
      <w:pPr>
        <w:numPr>
          <w:ilvl w:val="0"/>
          <w:numId w:val="7"/>
        </w:numPr>
        <w:spacing w:after="0" w:line="26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 w:rsidRPr="00CB6F2B">
        <w:rPr>
          <w:rFonts w:ascii="Arial" w:hAnsi="Arial" w:cs="Arial"/>
          <w:sz w:val="20"/>
          <w:szCs w:val="20"/>
        </w:rPr>
        <w:t>občina, na območju katere je cestni mejni prehod (v nadaljnjem besedilu: MP) za mednarodni promet na regionalni cesti, je upravičena do zneska:</w:t>
      </w:r>
    </w:p>
    <w:p w:rsidR="003305DA" w:rsidRPr="00CB6F2B" w:rsidRDefault="003305DA" w:rsidP="00E95228">
      <w:pPr>
        <w:numPr>
          <w:ilvl w:val="0"/>
          <w:numId w:val="3"/>
        </w:numPr>
        <w:spacing w:after="0" w:line="260" w:lineRule="exact"/>
        <w:ind w:left="709" w:firstLine="142"/>
        <w:contextualSpacing/>
        <w:jc w:val="both"/>
        <w:rPr>
          <w:rFonts w:ascii="Arial" w:hAnsi="Arial" w:cs="Arial"/>
          <w:sz w:val="20"/>
          <w:szCs w:val="20"/>
        </w:rPr>
      </w:pPr>
      <w:r w:rsidRPr="00CB6F2B">
        <w:rPr>
          <w:rFonts w:ascii="Arial" w:hAnsi="Arial" w:cs="Arial"/>
          <w:sz w:val="20"/>
          <w:szCs w:val="20"/>
        </w:rPr>
        <w:t>5.000 EUR za vsak MP, na katerem je bilo v preteklem letu manj kot 100.000 prehodov;</w:t>
      </w:r>
    </w:p>
    <w:p w:rsidR="003305DA" w:rsidRPr="00CB6F2B" w:rsidRDefault="003305DA" w:rsidP="00E95228">
      <w:pPr>
        <w:numPr>
          <w:ilvl w:val="0"/>
          <w:numId w:val="3"/>
        </w:numPr>
        <w:spacing w:after="0" w:line="260" w:lineRule="exact"/>
        <w:ind w:left="1418" w:hanging="567"/>
        <w:contextualSpacing/>
        <w:jc w:val="both"/>
        <w:rPr>
          <w:rFonts w:ascii="Arial" w:hAnsi="Arial" w:cs="Arial"/>
          <w:sz w:val="20"/>
          <w:szCs w:val="20"/>
        </w:rPr>
      </w:pPr>
      <w:r w:rsidRPr="00CB6F2B">
        <w:rPr>
          <w:rFonts w:ascii="Arial" w:hAnsi="Arial" w:cs="Arial"/>
          <w:sz w:val="20"/>
          <w:szCs w:val="20"/>
        </w:rPr>
        <w:t>10.000 EUR za vsak MP, na katerem je bilo v preteklem letu več kot 100.000 prehodov in manj kot 500.000 prehodov;</w:t>
      </w:r>
    </w:p>
    <w:p w:rsidR="003305DA" w:rsidRPr="00CB6F2B" w:rsidRDefault="003305DA" w:rsidP="00E95228">
      <w:pPr>
        <w:numPr>
          <w:ilvl w:val="0"/>
          <w:numId w:val="3"/>
        </w:numPr>
        <w:spacing w:after="0" w:line="260" w:lineRule="exact"/>
        <w:ind w:left="709" w:firstLine="142"/>
        <w:contextualSpacing/>
        <w:jc w:val="both"/>
        <w:rPr>
          <w:rFonts w:ascii="Arial" w:hAnsi="Arial" w:cs="Arial"/>
          <w:sz w:val="20"/>
          <w:szCs w:val="20"/>
        </w:rPr>
      </w:pPr>
      <w:r w:rsidRPr="00CB6F2B">
        <w:rPr>
          <w:rFonts w:ascii="Arial" w:hAnsi="Arial" w:cs="Arial"/>
          <w:sz w:val="20"/>
          <w:szCs w:val="20"/>
        </w:rPr>
        <w:t>25.000 EUR za vsak MP, na katerem je bilo v preteklem letu več kot 500.000 prehodov;</w:t>
      </w:r>
    </w:p>
    <w:p w:rsidR="003305DA" w:rsidRPr="00CB6F2B" w:rsidRDefault="003305DA" w:rsidP="00E95228">
      <w:pPr>
        <w:numPr>
          <w:ilvl w:val="0"/>
          <w:numId w:val="7"/>
        </w:numPr>
        <w:spacing w:after="0" w:line="26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 w:rsidRPr="00CB6F2B">
        <w:rPr>
          <w:rFonts w:ascii="Arial" w:hAnsi="Arial" w:cs="Arial"/>
          <w:sz w:val="20"/>
          <w:szCs w:val="20"/>
        </w:rPr>
        <w:t>občina, na območju katere je cestni MP za obmejni promet na regionalni cesti, je upravičena do zneska 10.000 EUR za vsak MP, na katerem je bilo v preteklem letu več kot 100.000 prehodov.</w:t>
      </w:r>
    </w:p>
    <w:p w:rsidR="003305DA" w:rsidRPr="00CB6F2B" w:rsidRDefault="003305DA" w:rsidP="003305DA">
      <w:pPr>
        <w:spacing w:after="0" w:line="260" w:lineRule="exact"/>
        <w:ind w:left="709"/>
        <w:jc w:val="both"/>
        <w:rPr>
          <w:rFonts w:ascii="Arial" w:hAnsi="Arial" w:cs="Arial"/>
          <w:sz w:val="20"/>
          <w:szCs w:val="20"/>
        </w:rPr>
      </w:pPr>
    </w:p>
    <w:p w:rsidR="003305DA" w:rsidRPr="00CB6F2B" w:rsidRDefault="003305DA" w:rsidP="003305DA">
      <w:pPr>
        <w:numPr>
          <w:ilvl w:val="0"/>
          <w:numId w:val="6"/>
        </w:numPr>
        <w:spacing w:after="0" w:line="260" w:lineRule="exact"/>
        <w:ind w:left="709" w:hanging="283"/>
        <w:jc w:val="both"/>
        <w:rPr>
          <w:rFonts w:ascii="Arial" w:hAnsi="Arial" w:cs="Arial"/>
          <w:sz w:val="20"/>
          <w:szCs w:val="20"/>
        </w:rPr>
      </w:pPr>
      <w:r w:rsidRPr="00CB6F2B">
        <w:rPr>
          <w:rFonts w:ascii="Arial" w:hAnsi="Arial" w:cs="Arial"/>
          <w:sz w:val="20"/>
          <w:szCs w:val="20"/>
        </w:rPr>
        <w:t>Vsota dodeljenih zneskov iz II. 1. točke te priloge se odšteje od razpoložljivega zneska, ostanek razpoložljivega zneska pa se nato razdeli na naslednji način:</w:t>
      </w:r>
    </w:p>
    <w:p w:rsidR="003305DA" w:rsidRPr="00CB6F2B" w:rsidRDefault="003305DA" w:rsidP="003305DA">
      <w:pPr>
        <w:numPr>
          <w:ilvl w:val="0"/>
          <w:numId w:val="8"/>
        </w:numPr>
        <w:spacing w:before="120" w:after="120" w:line="260" w:lineRule="exact"/>
        <w:ind w:left="567" w:hanging="142"/>
        <w:jc w:val="both"/>
        <w:rPr>
          <w:rFonts w:ascii="Arial" w:hAnsi="Arial" w:cs="Arial"/>
          <w:sz w:val="20"/>
          <w:szCs w:val="20"/>
        </w:rPr>
      </w:pPr>
      <w:r w:rsidRPr="00CB6F2B">
        <w:rPr>
          <w:rFonts w:ascii="Arial" w:hAnsi="Arial" w:cs="Arial"/>
          <w:sz w:val="20"/>
          <w:szCs w:val="20"/>
        </w:rPr>
        <w:t>60 % zneska je znesek glede na delež dolžine meje, ki se ga izračuna po formuli:</w:t>
      </w:r>
    </w:p>
    <w:p w:rsidR="003305DA" w:rsidRPr="00CB6F2B" w:rsidRDefault="00BA001D" w:rsidP="003305DA">
      <w:pPr>
        <w:spacing w:before="120" w:after="120" w:line="260" w:lineRule="exact"/>
        <w:ind w:left="567" w:firstLine="142"/>
        <w:jc w:val="both"/>
        <w:rPr>
          <w:rFonts w:ascii="Arial" w:hAnsi="Arial" w:cs="Arial"/>
          <w:color w:val="000000"/>
          <w:sz w:val="20"/>
          <w:szCs w:val="20"/>
        </w:rPr>
      </w:pPr>
      <m:oMath>
        <m:f>
          <m:fPr>
            <m:ctrlPr>
              <w:rPr>
                <w:rFonts w:ascii="Cambria Math" w:hAnsi="Cambria Math" w:cs="Arial"/>
                <w:color w:val="00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 xml:space="preserve">dolžina meje v posamezni občini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skupna dolžina obremenjene meje</m:t>
            </m:r>
          </m:den>
        </m:f>
      </m:oMath>
      <w:r w:rsidR="003305DA" w:rsidRPr="00CB6F2B">
        <w:rPr>
          <w:rFonts w:ascii="Arial" w:eastAsia="Times New Roman" w:hAnsi="Arial" w:cs="Arial"/>
          <w:color w:val="000000"/>
          <w:sz w:val="20"/>
          <w:szCs w:val="20"/>
        </w:rPr>
        <w:t xml:space="preserve"> x </w:t>
      </w:r>
      <w:r w:rsidR="003305DA" w:rsidRPr="00CB6F2B">
        <w:rPr>
          <w:rFonts w:ascii="Arial" w:hAnsi="Arial" w:cs="Arial"/>
          <w:sz w:val="20"/>
          <w:szCs w:val="20"/>
        </w:rPr>
        <w:t>0,6 x ostanek razpoložljivega zneska;</w:t>
      </w:r>
    </w:p>
    <w:p w:rsidR="003305DA" w:rsidRPr="00CB6F2B" w:rsidRDefault="003305DA" w:rsidP="003305DA">
      <w:pPr>
        <w:spacing w:before="120" w:after="120" w:line="260" w:lineRule="exact"/>
        <w:ind w:left="567" w:hanging="141"/>
        <w:contextualSpacing/>
        <w:jc w:val="both"/>
        <w:rPr>
          <w:rFonts w:ascii="Arial" w:hAnsi="Arial" w:cs="Arial"/>
          <w:sz w:val="20"/>
          <w:szCs w:val="20"/>
        </w:rPr>
      </w:pPr>
      <w:r w:rsidRPr="00CB6F2B">
        <w:rPr>
          <w:rFonts w:ascii="Arial" w:hAnsi="Arial" w:cs="Arial"/>
          <w:sz w:val="20"/>
          <w:szCs w:val="20"/>
        </w:rPr>
        <w:t>b) 40 % zneska je znesek glede na faktor obremenitve občine, ki je sestavljen iz:</w:t>
      </w:r>
    </w:p>
    <w:p w:rsidR="003305DA" w:rsidRPr="00CB6F2B" w:rsidRDefault="003305DA" w:rsidP="00E95228">
      <w:pPr>
        <w:numPr>
          <w:ilvl w:val="0"/>
          <w:numId w:val="1"/>
        </w:numPr>
        <w:spacing w:after="0" w:line="260" w:lineRule="exact"/>
        <w:ind w:left="709" w:hanging="28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B6F2B">
        <w:rPr>
          <w:rFonts w:ascii="Arial" w:hAnsi="Arial" w:cs="Arial"/>
          <w:color w:val="000000"/>
          <w:sz w:val="20"/>
          <w:szCs w:val="20"/>
        </w:rPr>
        <w:t xml:space="preserve">zneska glede na delež števila nezakonitih prehodov, </w:t>
      </w:r>
      <w:r w:rsidRPr="00CB6F2B">
        <w:rPr>
          <w:rFonts w:ascii="Arial" w:hAnsi="Arial" w:cs="Arial"/>
          <w:sz w:val="20"/>
          <w:szCs w:val="20"/>
        </w:rPr>
        <w:t>ki se ga izračuna po formuli:</w:t>
      </w:r>
    </w:p>
    <w:p w:rsidR="003305DA" w:rsidRPr="00CB6F2B" w:rsidRDefault="00BA001D" w:rsidP="003305DA">
      <w:pPr>
        <w:spacing w:before="120" w:after="120" w:line="260" w:lineRule="exact"/>
        <w:ind w:left="567" w:firstLine="142"/>
        <w:jc w:val="both"/>
        <w:rPr>
          <w:rFonts w:ascii="Arial" w:hAnsi="Arial" w:cs="Arial"/>
          <w:color w:val="000000"/>
          <w:sz w:val="20"/>
          <w:szCs w:val="20"/>
        </w:rPr>
      </w:pPr>
      <m:oMath>
        <m:f>
          <m:fPr>
            <m:ctrlPr>
              <w:rPr>
                <w:rFonts w:ascii="Cambria Math" w:hAnsi="Cambria Math" w:cs="Arial"/>
                <w:color w:val="00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>število nezakonitih prehodov v posamezni občini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>vsota nezakonitih prehodov</m:t>
            </m:r>
          </m:den>
        </m:f>
      </m:oMath>
      <w:r w:rsidR="003305DA" w:rsidRPr="00CB6F2B">
        <w:rPr>
          <w:rFonts w:ascii="Arial" w:eastAsia="Times New Roman" w:hAnsi="Arial" w:cs="Arial"/>
          <w:color w:val="000000"/>
          <w:sz w:val="20"/>
          <w:szCs w:val="20"/>
        </w:rPr>
        <w:t xml:space="preserve"> x</w:t>
      </w:r>
      <w:r w:rsidR="003305DA" w:rsidRPr="00CB6F2B">
        <w:rPr>
          <w:rFonts w:ascii="Arial" w:hAnsi="Arial" w:cs="Arial"/>
          <w:color w:val="000000"/>
          <w:sz w:val="20"/>
          <w:szCs w:val="20"/>
        </w:rPr>
        <w:t xml:space="preserve"> 0,2 x </w:t>
      </w:r>
      <w:r w:rsidR="003305DA" w:rsidRPr="00CB6F2B">
        <w:rPr>
          <w:rFonts w:ascii="Arial" w:hAnsi="Arial" w:cs="Arial"/>
          <w:sz w:val="20"/>
          <w:szCs w:val="20"/>
        </w:rPr>
        <w:t>ostanek razpoložljivega zneska</w:t>
      </w:r>
      <w:r w:rsidR="003305DA" w:rsidRPr="00CB6F2B">
        <w:rPr>
          <w:rFonts w:ascii="Arial" w:hAnsi="Arial" w:cs="Arial"/>
          <w:color w:val="000000"/>
          <w:sz w:val="20"/>
          <w:szCs w:val="20"/>
        </w:rPr>
        <w:t>;</w:t>
      </w:r>
    </w:p>
    <w:p w:rsidR="003305DA" w:rsidRPr="00CB6F2B" w:rsidRDefault="003305DA" w:rsidP="00E95228">
      <w:pPr>
        <w:numPr>
          <w:ilvl w:val="0"/>
          <w:numId w:val="1"/>
        </w:numPr>
        <w:spacing w:after="0" w:line="260" w:lineRule="exact"/>
        <w:ind w:left="709" w:hanging="28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B6F2B">
        <w:rPr>
          <w:rFonts w:ascii="Arial" w:hAnsi="Arial" w:cs="Arial"/>
          <w:color w:val="000000"/>
          <w:sz w:val="20"/>
          <w:szCs w:val="20"/>
        </w:rPr>
        <w:t xml:space="preserve">zneska glede na delež Količnika 1, </w:t>
      </w:r>
      <w:r w:rsidRPr="00CB6F2B">
        <w:rPr>
          <w:rFonts w:ascii="Arial" w:hAnsi="Arial" w:cs="Arial"/>
          <w:sz w:val="20"/>
          <w:szCs w:val="20"/>
        </w:rPr>
        <w:t>ki se ga izračuna po formuli:</w:t>
      </w:r>
    </w:p>
    <w:p w:rsidR="003305DA" w:rsidRPr="00CB6F2B" w:rsidRDefault="00BA001D" w:rsidP="003305DA">
      <w:pPr>
        <w:spacing w:before="120" w:after="120" w:line="260" w:lineRule="exact"/>
        <w:ind w:left="567" w:firstLine="142"/>
        <w:jc w:val="both"/>
        <w:rPr>
          <w:rFonts w:ascii="Arial" w:hAnsi="Arial" w:cs="Arial"/>
          <w:color w:val="000000"/>
          <w:sz w:val="20"/>
          <w:szCs w:val="20"/>
        </w:rPr>
      </w:pPr>
      <m:oMath>
        <m:f>
          <m:fPr>
            <m:ctrlPr>
              <w:rPr>
                <w:rFonts w:ascii="Cambria Math" w:hAnsi="Cambria Math" w:cs="Arial"/>
                <w:color w:val="00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 xml:space="preserve">Količnik 1 za posamezno občino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>vsota Količnikov 1</m:t>
            </m:r>
          </m:den>
        </m:f>
      </m:oMath>
      <w:r w:rsidR="003305DA" w:rsidRPr="00CB6F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305DA" w:rsidRPr="00CB6F2B">
        <w:rPr>
          <w:rFonts w:ascii="Arial" w:hAnsi="Arial" w:cs="Arial"/>
          <w:color w:val="000000"/>
          <w:sz w:val="20"/>
          <w:szCs w:val="20"/>
        </w:rPr>
        <w:t xml:space="preserve">x 0,1 x </w:t>
      </w:r>
      <w:r w:rsidR="003305DA" w:rsidRPr="00CB6F2B">
        <w:rPr>
          <w:rFonts w:ascii="Arial" w:hAnsi="Arial" w:cs="Arial"/>
          <w:sz w:val="20"/>
          <w:szCs w:val="20"/>
        </w:rPr>
        <w:t>ostanek razpoložljivega zneska</w:t>
      </w:r>
      <w:r w:rsidR="003305DA" w:rsidRPr="00CB6F2B">
        <w:rPr>
          <w:rFonts w:ascii="Arial" w:hAnsi="Arial" w:cs="Arial"/>
          <w:color w:val="000000"/>
          <w:sz w:val="20"/>
          <w:szCs w:val="20"/>
        </w:rPr>
        <w:t>,</w:t>
      </w:r>
    </w:p>
    <w:p w:rsidR="003305DA" w:rsidRPr="00CB6F2B" w:rsidRDefault="003305DA" w:rsidP="00E95228">
      <w:pPr>
        <w:spacing w:before="120" w:after="120" w:line="260" w:lineRule="exact"/>
        <w:ind w:left="567" w:firstLine="141"/>
        <w:jc w:val="both"/>
        <w:rPr>
          <w:rFonts w:ascii="Arial" w:hAnsi="Arial" w:cs="Arial"/>
          <w:color w:val="000000"/>
          <w:sz w:val="20"/>
          <w:szCs w:val="20"/>
        </w:rPr>
      </w:pPr>
      <w:r w:rsidRPr="00CB6F2B">
        <w:rPr>
          <w:rFonts w:ascii="Arial" w:hAnsi="Arial" w:cs="Arial"/>
          <w:sz w:val="20"/>
          <w:szCs w:val="20"/>
        </w:rPr>
        <w:t>pri čemer se Količnik 1 za posamezno občino izračuna po formuli:</w:t>
      </w:r>
    </w:p>
    <w:p w:rsidR="003305DA" w:rsidRPr="00CB6F2B" w:rsidRDefault="00BA001D" w:rsidP="003305DA">
      <w:pPr>
        <w:spacing w:before="120" w:after="120" w:line="260" w:lineRule="exact"/>
        <w:ind w:left="567" w:firstLine="142"/>
        <w:jc w:val="both"/>
        <w:rPr>
          <w:rFonts w:ascii="Arial" w:hAnsi="Arial" w:cs="Arial"/>
          <w:color w:val="000000"/>
          <w:sz w:val="20"/>
          <w:szCs w:val="20"/>
        </w:rPr>
      </w:pPr>
      <m:oMath>
        <m:f>
          <m:fPr>
            <m:ctrlPr>
              <w:rPr>
                <w:rFonts w:ascii="Cambria Math" w:hAnsi="Cambria Math" w:cs="Arial"/>
                <w:color w:val="00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 xml:space="preserve">dolžina meje v posamezni občini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število prebivalcev v tej občini</m:t>
            </m:r>
          </m:den>
        </m:f>
      </m:oMath>
      <w:r w:rsidR="003305DA" w:rsidRPr="00CB6F2B">
        <w:rPr>
          <w:rFonts w:ascii="Arial" w:hAnsi="Arial" w:cs="Arial"/>
          <w:color w:val="000000"/>
          <w:sz w:val="20"/>
          <w:szCs w:val="20"/>
        </w:rPr>
        <w:t>;</w:t>
      </w:r>
    </w:p>
    <w:p w:rsidR="003305DA" w:rsidRPr="00CB6F2B" w:rsidRDefault="003305DA" w:rsidP="00E95228">
      <w:pPr>
        <w:numPr>
          <w:ilvl w:val="0"/>
          <w:numId w:val="1"/>
        </w:numPr>
        <w:spacing w:after="0" w:line="260" w:lineRule="exact"/>
        <w:ind w:left="709" w:hanging="28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B6F2B">
        <w:rPr>
          <w:rFonts w:ascii="Arial" w:hAnsi="Arial" w:cs="Arial"/>
          <w:color w:val="000000"/>
          <w:sz w:val="20"/>
          <w:szCs w:val="20"/>
        </w:rPr>
        <w:t xml:space="preserve">zneska glede na delež Količnika 2, </w:t>
      </w:r>
      <w:r w:rsidRPr="00CB6F2B">
        <w:rPr>
          <w:rFonts w:ascii="Arial" w:hAnsi="Arial" w:cs="Arial"/>
          <w:sz w:val="20"/>
          <w:szCs w:val="20"/>
        </w:rPr>
        <w:t>ki se ga izračuna po formuli:</w:t>
      </w:r>
    </w:p>
    <w:p w:rsidR="003305DA" w:rsidRPr="00CB6F2B" w:rsidRDefault="00BA001D" w:rsidP="003305DA">
      <w:pPr>
        <w:spacing w:before="120" w:after="120" w:line="260" w:lineRule="exact"/>
        <w:ind w:left="567" w:firstLine="142"/>
        <w:jc w:val="both"/>
        <w:rPr>
          <w:rFonts w:ascii="Arial" w:hAnsi="Arial" w:cs="Arial"/>
          <w:color w:val="000000"/>
          <w:sz w:val="20"/>
          <w:szCs w:val="20"/>
        </w:rPr>
      </w:pPr>
      <m:oMath>
        <m:f>
          <m:fPr>
            <m:ctrlPr>
              <w:rPr>
                <w:rFonts w:ascii="Cambria Math" w:hAnsi="Cambria Math" w:cs="Arial"/>
                <w:color w:val="00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 xml:space="preserve">Količnik 2 za posamezno občino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>vsota Količnikov 2</m:t>
            </m:r>
          </m:den>
        </m:f>
      </m:oMath>
      <w:r w:rsidR="003305DA" w:rsidRPr="00CB6F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305DA" w:rsidRPr="00CB6F2B">
        <w:rPr>
          <w:rFonts w:ascii="Arial" w:hAnsi="Arial" w:cs="Arial"/>
          <w:color w:val="000000"/>
          <w:sz w:val="20"/>
          <w:szCs w:val="20"/>
        </w:rPr>
        <w:t xml:space="preserve">x 0,1 x </w:t>
      </w:r>
      <w:r w:rsidR="003305DA" w:rsidRPr="00CB6F2B">
        <w:rPr>
          <w:rFonts w:ascii="Arial" w:hAnsi="Arial" w:cs="Arial"/>
          <w:sz w:val="20"/>
          <w:szCs w:val="20"/>
        </w:rPr>
        <w:t>ostanek razpoložljivega zneska</w:t>
      </w:r>
      <w:r w:rsidR="003305DA" w:rsidRPr="00CB6F2B">
        <w:rPr>
          <w:rFonts w:ascii="Arial" w:hAnsi="Arial" w:cs="Arial"/>
          <w:color w:val="000000"/>
          <w:sz w:val="20"/>
          <w:szCs w:val="20"/>
        </w:rPr>
        <w:t>,</w:t>
      </w:r>
    </w:p>
    <w:p w:rsidR="003305DA" w:rsidRPr="00CB6F2B" w:rsidRDefault="003305DA" w:rsidP="003305DA">
      <w:pPr>
        <w:spacing w:before="120" w:after="120" w:line="260" w:lineRule="exact"/>
        <w:ind w:left="567" w:hanging="141"/>
        <w:jc w:val="both"/>
        <w:rPr>
          <w:rFonts w:ascii="Arial" w:hAnsi="Arial" w:cs="Arial"/>
          <w:color w:val="000000"/>
          <w:sz w:val="20"/>
          <w:szCs w:val="20"/>
        </w:rPr>
      </w:pPr>
      <w:r w:rsidRPr="00CB6F2B">
        <w:rPr>
          <w:rFonts w:ascii="Arial" w:hAnsi="Arial" w:cs="Arial"/>
          <w:sz w:val="20"/>
          <w:szCs w:val="20"/>
        </w:rPr>
        <w:t>pri čemer se Količnik 2 za posamezno občino izračuna po formuli:</w:t>
      </w:r>
    </w:p>
    <w:p w:rsidR="003305DA" w:rsidRPr="00CB6F2B" w:rsidRDefault="00BA001D" w:rsidP="003305DA">
      <w:pPr>
        <w:spacing w:before="120" w:after="120" w:line="260" w:lineRule="exact"/>
        <w:ind w:left="567" w:firstLine="142"/>
        <w:jc w:val="both"/>
        <w:rPr>
          <w:rFonts w:ascii="Arial" w:hAnsi="Arial" w:cs="Arial"/>
          <w:color w:val="000000"/>
          <w:sz w:val="20"/>
          <w:szCs w:val="20"/>
        </w:rPr>
      </w:pPr>
      <m:oMath>
        <m:f>
          <m:fPr>
            <m:ctrlPr>
              <w:rPr>
                <w:rFonts w:ascii="Cambria Math" w:hAnsi="Cambria Math" w:cs="Arial"/>
                <w:color w:val="00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 xml:space="preserve">število nezakonitih prehodov v posamezni občini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dolžina meje v tej občini</m:t>
            </m:r>
          </m:den>
        </m:f>
      </m:oMath>
      <w:r w:rsidR="003305DA" w:rsidRPr="00CB6F2B">
        <w:rPr>
          <w:rFonts w:ascii="Arial" w:eastAsia="Times New Roman" w:hAnsi="Arial" w:cs="Arial"/>
          <w:color w:val="000000"/>
          <w:sz w:val="20"/>
          <w:szCs w:val="20"/>
        </w:rPr>
        <w:t xml:space="preserve"> x 100.</w:t>
      </w:r>
    </w:p>
    <w:p w:rsidR="003305DA" w:rsidRPr="00CB6F2B" w:rsidRDefault="003305DA" w:rsidP="003305D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3305DA" w:rsidRPr="00CB6F2B" w:rsidRDefault="003305DA" w:rsidP="003305DA">
      <w:pPr>
        <w:numPr>
          <w:ilvl w:val="0"/>
          <w:numId w:val="6"/>
        </w:numPr>
        <w:spacing w:after="0" w:line="260" w:lineRule="exact"/>
        <w:ind w:left="709" w:hanging="283"/>
        <w:jc w:val="both"/>
        <w:rPr>
          <w:rFonts w:ascii="Arial" w:hAnsi="Arial" w:cs="Arial"/>
          <w:sz w:val="20"/>
          <w:szCs w:val="20"/>
        </w:rPr>
      </w:pPr>
      <w:r w:rsidRPr="00CB6F2B">
        <w:rPr>
          <w:rFonts w:ascii="Arial" w:hAnsi="Arial" w:cs="Arial"/>
          <w:sz w:val="20"/>
          <w:szCs w:val="20"/>
        </w:rPr>
        <w:t>Če se za izračun višine sredstev upoštevajo tudi druge okoliščine, ki pomembno vplivajo na varnost v lokalnem okolju, se to upošteva v okviru faktorja obremenitve občine. Delež višine sredstev iz naslova drugih okoliščin, ki pomembno vplivajo na varnost v lokalnem okolju, je lahko največ 10 % celotne vrednosti zneska za posamezno občino, pri čemer se v okviru faktorja obremenitve občine ustrezno zmanjša delež zneska faktorja obremenitve iz II. 2. b točke te priloge.</w:t>
      </w:r>
    </w:p>
    <w:p w:rsidR="003305DA" w:rsidRPr="00CB6F2B" w:rsidRDefault="003305DA" w:rsidP="003305DA">
      <w:pPr>
        <w:spacing w:after="120" w:line="260" w:lineRule="atLeast"/>
        <w:ind w:left="357"/>
        <w:contextualSpacing/>
        <w:jc w:val="both"/>
        <w:rPr>
          <w:rFonts w:ascii="Arial" w:hAnsi="Arial" w:cs="Arial"/>
          <w:sz w:val="20"/>
          <w:szCs w:val="20"/>
        </w:rPr>
      </w:pPr>
    </w:p>
    <w:p w:rsidR="003305DA" w:rsidRPr="00CB6F2B" w:rsidRDefault="003305DA" w:rsidP="003305DA">
      <w:pPr>
        <w:spacing w:after="0" w:line="260" w:lineRule="atLeast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B6F2B">
        <w:rPr>
          <w:rFonts w:ascii="Arial" w:hAnsi="Arial" w:cs="Arial"/>
          <w:b/>
          <w:color w:val="000000"/>
          <w:sz w:val="20"/>
          <w:szCs w:val="20"/>
          <w:u w:val="single"/>
        </w:rPr>
        <w:t>Pomen izrazov:</w:t>
      </w:r>
    </w:p>
    <w:p w:rsidR="003305DA" w:rsidRPr="00CB6F2B" w:rsidRDefault="003305DA" w:rsidP="00E95228">
      <w:pPr>
        <w:numPr>
          <w:ilvl w:val="0"/>
          <w:numId w:val="5"/>
        </w:numPr>
        <w:spacing w:after="0" w:line="260" w:lineRule="atLeast"/>
        <w:ind w:hanging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B6F2B">
        <w:rPr>
          <w:rFonts w:ascii="Arial" w:hAnsi="Arial" w:cs="Arial"/>
          <w:color w:val="000000"/>
          <w:sz w:val="20"/>
          <w:szCs w:val="20"/>
        </w:rPr>
        <w:t>»razpoložljiv znesek« je 40 % oziroma 60 % sredstev, ki so v državnem proračunu v tekočem koledarskem letu zagotovljena za povračilo dela stroškov občinam zaradi povečanega nadzora državne meje;</w:t>
      </w:r>
    </w:p>
    <w:p w:rsidR="003305DA" w:rsidRPr="00CB6F2B" w:rsidRDefault="003305DA" w:rsidP="00E95228">
      <w:pPr>
        <w:numPr>
          <w:ilvl w:val="0"/>
          <w:numId w:val="5"/>
        </w:numPr>
        <w:spacing w:after="0" w:line="260" w:lineRule="atLeast"/>
        <w:ind w:hanging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B6F2B">
        <w:rPr>
          <w:rFonts w:ascii="Arial" w:hAnsi="Arial" w:cs="Arial"/>
          <w:color w:val="000000"/>
          <w:sz w:val="20"/>
          <w:szCs w:val="20"/>
        </w:rPr>
        <w:t>»vsota Količnikov 1« je vsota Količnikov 1 vseh občin, ki se izračunajo skladno s formulami navedenimi v tej prilogi;</w:t>
      </w:r>
    </w:p>
    <w:p w:rsidR="003305DA" w:rsidRPr="00CB6F2B" w:rsidRDefault="003305DA" w:rsidP="00E95228">
      <w:pPr>
        <w:numPr>
          <w:ilvl w:val="0"/>
          <w:numId w:val="5"/>
        </w:numPr>
        <w:spacing w:after="0" w:line="260" w:lineRule="atLeast"/>
        <w:ind w:hanging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B6F2B">
        <w:rPr>
          <w:rFonts w:ascii="Arial" w:hAnsi="Arial" w:cs="Arial"/>
          <w:color w:val="000000"/>
          <w:sz w:val="20"/>
          <w:szCs w:val="20"/>
        </w:rPr>
        <w:t>»vsota Količnikov 2« je vsota Količnikov 2 vseh občin, ki se izračunajo skladno s formulami navedenimi v tej prilogi;</w:t>
      </w:r>
    </w:p>
    <w:p w:rsidR="003305DA" w:rsidRDefault="003305DA" w:rsidP="00E95228">
      <w:pPr>
        <w:numPr>
          <w:ilvl w:val="0"/>
          <w:numId w:val="5"/>
        </w:numPr>
        <w:spacing w:after="0" w:line="260" w:lineRule="atLeast"/>
        <w:ind w:hanging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B6F2B">
        <w:rPr>
          <w:rFonts w:ascii="Arial" w:hAnsi="Arial" w:cs="Arial"/>
          <w:color w:val="000000"/>
          <w:sz w:val="20"/>
          <w:szCs w:val="20"/>
        </w:rPr>
        <w:t>»skupna dolžina meje« je dolžina državne meje v občinah iz I. točke te priloge;</w:t>
      </w:r>
      <w:r w:rsidRPr="00A4726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305DA" w:rsidRPr="00A47260" w:rsidRDefault="003305DA" w:rsidP="00E95228">
      <w:pPr>
        <w:numPr>
          <w:ilvl w:val="0"/>
          <w:numId w:val="5"/>
        </w:numPr>
        <w:spacing w:after="0" w:line="260" w:lineRule="atLeast"/>
        <w:ind w:hanging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7260">
        <w:rPr>
          <w:rFonts w:ascii="Arial" w:hAnsi="Arial" w:cs="Arial"/>
          <w:color w:val="000000"/>
          <w:sz w:val="20"/>
          <w:szCs w:val="20"/>
        </w:rPr>
        <w:t>»skupna dolžina obremenjene meje« je dolžina državne meje v občinah iz II. točke te priloge.</w:t>
      </w:r>
    </w:p>
    <w:p w:rsidR="003305DA" w:rsidRPr="005B7910" w:rsidRDefault="003305DA" w:rsidP="003305DA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/>
          <w:b/>
          <w:sz w:val="20"/>
          <w:szCs w:val="20"/>
          <w:lang w:eastAsia="sl-SI"/>
        </w:rPr>
      </w:pPr>
    </w:p>
    <w:p w:rsidR="003305DA" w:rsidRDefault="003305DA" w:rsidP="003305DA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AA1D20" w:rsidRDefault="00AA1D20" w:rsidP="003305DA">
      <w:bookmarkStart w:id="0" w:name="_GoBack"/>
      <w:bookmarkEnd w:id="0"/>
    </w:p>
    <w:sectPr w:rsidR="00AA1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64AF"/>
    <w:multiLevelType w:val="hybridMultilevel"/>
    <w:tmpl w:val="A93AB3F0"/>
    <w:lvl w:ilvl="0" w:tplc="C33ED9A8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50" w:hanging="360"/>
      </w:pPr>
    </w:lvl>
    <w:lvl w:ilvl="2" w:tplc="0424001B" w:tentative="1">
      <w:start w:val="1"/>
      <w:numFmt w:val="lowerRoman"/>
      <w:lvlText w:val="%3."/>
      <w:lvlJc w:val="right"/>
      <w:pPr>
        <w:ind w:left="2870" w:hanging="180"/>
      </w:pPr>
    </w:lvl>
    <w:lvl w:ilvl="3" w:tplc="0424000F" w:tentative="1">
      <w:start w:val="1"/>
      <w:numFmt w:val="decimal"/>
      <w:lvlText w:val="%4."/>
      <w:lvlJc w:val="left"/>
      <w:pPr>
        <w:ind w:left="3590" w:hanging="360"/>
      </w:pPr>
    </w:lvl>
    <w:lvl w:ilvl="4" w:tplc="04240019" w:tentative="1">
      <w:start w:val="1"/>
      <w:numFmt w:val="lowerLetter"/>
      <w:lvlText w:val="%5."/>
      <w:lvlJc w:val="left"/>
      <w:pPr>
        <w:ind w:left="4310" w:hanging="360"/>
      </w:pPr>
    </w:lvl>
    <w:lvl w:ilvl="5" w:tplc="0424001B" w:tentative="1">
      <w:start w:val="1"/>
      <w:numFmt w:val="lowerRoman"/>
      <w:lvlText w:val="%6."/>
      <w:lvlJc w:val="right"/>
      <w:pPr>
        <w:ind w:left="5030" w:hanging="180"/>
      </w:pPr>
    </w:lvl>
    <w:lvl w:ilvl="6" w:tplc="0424000F" w:tentative="1">
      <w:start w:val="1"/>
      <w:numFmt w:val="decimal"/>
      <w:lvlText w:val="%7."/>
      <w:lvlJc w:val="left"/>
      <w:pPr>
        <w:ind w:left="5750" w:hanging="360"/>
      </w:pPr>
    </w:lvl>
    <w:lvl w:ilvl="7" w:tplc="04240019" w:tentative="1">
      <w:start w:val="1"/>
      <w:numFmt w:val="lowerLetter"/>
      <w:lvlText w:val="%8."/>
      <w:lvlJc w:val="left"/>
      <w:pPr>
        <w:ind w:left="6470" w:hanging="360"/>
      </w:pPr>
    </w:lvl>
    <w:lvl w:ilvl="8" w:tplc="0424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3363C21"/>
    <w:multiLevelType w:val="hybridMultilevel"/>
    <w:tmpl w:val="2266EA82"/>
    <w:lvl w:ilvl="0" w:tplc="AFD40E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BA13789"/>
    <w:multiLevelType w:val="hybridMultilevel"/>
    <w:tmpl w:val="F7EE0058"/>
    <w:lvl w:ilvl="0" w:tplc="42AAFE96">
      <w:start w:val="1"/>
      <w:numFmt w:val="bullet"/>
      <w:lvlText w:val="–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372C6"/>
    <w:multiLevelType w:val="hybridMultilevel"/>
    <w:tmpl w:val="F6E68B42"/>
    <w:lvl w:ilvl="0" w:tplc="42AAFE96">
      <w:start w:val="1"/>
      <w:numFmt w:val="bullet"/>
      <w:lvlText w:val="–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609FC"/>
    <w:multiLevelType w:val="hybridMultilevel"/>
    <w:tmpl w:val="5F361B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0A7D9F"/>
    <w:multiLevelType w:val="hybridMultilevel"/>
    <w:tmpl w:val="2364087A"/>
    <w:lvl w:ilvl="0" w:tplc="42AAFE96">
      <w:start w:val="1"/>
      <w:numFmt w:val="bullet"/>
      <w:lvlText w:val="–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722D9"/>
    <w:multiLevelType w:val="hybridMultilevel"/>
    <w:tmpl w:val="47B2D1B6"/>
    <w:lvl w:ilvl="0" w:tplc="04240017">
      <w:start w:val="1"/>
      <w:numFmt w:val="lowerLetter"/>
      <w:lvlText w:val="%1)"/>
      <w:lvlJc w:val="left"/>
      <w:pPr>
        <w:ind w:left="2148" w:hanging="360"/>
      </w:pPr>
    </w:lvl>
    <w:lvl w:ilvl="1" w:tplc="04240019" w:tentative="1">
      <w:start w:val="1"/>
      <w:numFmt w:val="lowerLetter"/>
      <w:lvlText w:val="%2."/>
      <w:lvlJc w:val="left"/>
      <w:pPr>
        <w:ind w:left="2868" w:hanging="360"/>
      </w:pPr>
    </w:lvl>
    <w:lvl w:ilvl="2" w:tplc="0424001B" w:tentative="1">
      <w:start w:val="1"/>
      <w:numFmt w:val="lowerRoman"/>
      <w:lvlText w:val="%3."/>
      <w:lvlJc w:val="right"/>
      <w:pPr>
        <w:ind w:left="3588" w:hanging="180"/>
      </w:pPr>
    </w:lvl>
    <w:lvl w:ilvl="3" w:tplc="0424000F" w:tentative="1">
      <w:start w:val="1"/>
      <w:numFmt w:val="decimal"/>
      <w:lvlText w:val="%4."/>
      <w:lvlJc w:val="left"/>
      <w:pPr>
        <w:ind w:left="4308" w:hanging="360"/>
      </w:pPr>
    </w:lvl>
    <w:lvl w:ilvl="4" w:tplc="04240019" w:tentative="1">
      <w:start w:val="1"/>
      <w:numFmt w:val="lowerLetter"/>
      <w:lvlText w:val="%5."/>
      <w:lvlJc w:val="left"/>
      <w:pPr>
        <w:ind w:left="5028" w:hanging="360"/>
      </w:pPr>
    </w:lvl>
    <w:lvl w:ilvl="5" w:tplc="0424001B" w:tentative="1">
      <w:start w:val="1"/>
      <w:numFmt w:val="lowerRoman"/>
      <w:lvlText w:val="%6."/>
      <w:lvlJc w:val="right"/>
      <w:pPr>
        <w:ind w:left="5748" w:hanging="180"/>
      </w:pPr>
    </w:lvl>
    <w:lvl w:ilvl="6" w:tplc="0424000F" w:tentative="1">
      <w:start w:val="1"/>
      <w:numFmt w:val="decimal"/>
      <w:lvlText w:val="%7."/>
      <w:lvlJc w:val="left"/>
      <w:pPr>
        <w:ind w:left="6468" w:hanging="360"/>
      </w:pPr>
    </w:lvl>
    <w:lvl w:ilvl="7" w:tplc="04240019" w:tentative="1">
      <w:start w:val="1"/>
      <w:numFmt w:val="lowerLetter"/>
      <w:lvlText w:val="%8."/>
      <w:lvlJc w:val="left"/>
      <w:pPr>
        <w:ind w:left="7188" w:hanging="360"/>
      </w:pPr>
    </w:lvl>
    <w:lvl w:ilvl="8" w:tplc="0424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 w15:restartNumberingAfterBreak="0">
    <w:nsid w:val="79516149"/>
    <w:multiLevelType w:val="hybridMultilevel"/>
    <w:tmpl w:val="328EB7B2"/>
    <w:lvl w:ilvl="0" w:tplc="C5061E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DA"/>
    <w:rsid w:val="003305DA"/>
    <w:rsid w:val="00AA1D20"/>
    <w:rsid w:val="00BA001D"/>
    <w:rsid w:val="00E9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0D59E-6D71-4199-81A6-DB1F52AB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05D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3</cp:revision>
  <dcterms:created xsi:type="dcterms:W3CDTF">2022-03-31T08:38:00Z</dcterms:created>
  <dcterms:modified xsi:type="dcterms:W3CDTF">2022-03-31T11:50:00Z</dcterms:modified>
</cp:coreProperties>
</file>