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F9" w:rsidRPr="00441804" w:rsidRDefault="00441A0D" w:rsidP="003E1C74">
      <w:pPr>
        <w:pStyle w:val="podpisi"/>
        <w:rPr>
          <w:rFonts w:cs="Arial"/>
          <w:lang w:val="sl-SI"/>
        </w:rPr>
      </w:pPr>
      <w:r>
        <w:rPr>
          <w:rFonts w:cs="Arial"/>
          <w:lang w:val="sl-SI"/>
        </w:rPr>
        <w:t>4</w:t>
      </w:r>
    </w:p>
    <w:p w:rsidR="00B36404" w:rsidRPr="004F0F51" w:rsidRDefault="00B36404" w:rsidP="00B36404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it-IT"/>
        </w:rPr>
      </w:pPr>
      <w:r w:rsidRPr="004F0F51">
        <w:rPr>
          <w:rFonts w:cs="Arial"/>
          <w:sz w:val="16"/>
          <w:lang w:val="it-IT"/>
        </w:rPr>
        <w:t xml:space="preserve">      </w:t>
      </w:r>
      <w:proofErr w:type="spellStart"/>
      <w:r w:rsidRPr="004F0F51">
        <w:rPr>
          <w:rFonts w:cs="Arial"/>
          <w:sz w:val="16"/>
          <w:lang w:val="it-IT"/>
        </w:rPr>
        <w:t>Župančičeva</w:t>
      </w:r>
      <w:proofErr w:type="spellEnd"/>
      <w:r w:rsidRPr="004F0F51">
        <w:rPr>
          <w:rFonts w:cs="Arial"/>
          <w:sz w:val="16"/>
          <w:lang w:val="it-IT"/>
        </w:rPr>
        <w:t xml:space="preserve"> </w:t>
      </w:r>
      <w:proofErr w:type="spellStart"/>
      <w:r w:rsidRPr="004F0F51">
        <w:rPr>
          <w:rFonts w:cs="Arial"/>
          <w:sz w:val="16"/>
          <w:lang w:val="it-IT"/>
        </w:rPr>
        <w:t>ulica</w:t>
      </w:r>
      <w:proofErr w:type="spellEnd"/>
      <w:r w:rsidRPr="004F0F51">
        <w:rPr>
          <w:rFonts w:cs="Arial"/>
          <w:sz w:val="16"/>
          <w:lang w:val="it-IT"/>
        </w:rPr>
        <w:t xml:space="preserve"> 3, p.p. 644a, 1001 </w:t>
      </w:r>
      <w:proofErr w:type="spellStart"/>
      <w:r w:rsidRPr="004F0F51">
        <w:rPr>
          <w:rFonts w:cs="Arial"/>
          <w:sz w:val="16"/>
          <w:lang w:val="it-IT"/>
        </w:rPr>
        <w:t>Ljubljana</w:t>
      </w:r>
      <w:proofErr w:type="spellEnd"/>
      <w:r w:rsidRPr="004F0F51">
        <w:rPr>
          <w:rFonts w:cs="Arial"/>
          <w:sz w:val="16"/>
          <w:lang w:val="it-IT"/>
        </w:rPr>
        <w:tab/>
        <w:t>T: 01-369-6600</w:t>
      </w:r>
    </w:p>
    <w:p w:rsidR="00B36404" w:rsidRPr="004F0F51" w:rsidRDefault="00B36404" w:rsidP="00B36404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it-IT"/>
        </w:rPr>
      </w:pPr>
      <w:r w:rsidRPr="004F0F51">
        <w:rPr>
          <w:rFonts w:cs="Arial"/>
          <w:sz w:val="16"/>
          <w:lang w:val="it-IT"/>
        </w:rPr>
        <w:tab/>
        <w:t>F: 01-369-6609</w:t>
      </w:r>
    </w:p>
    <w:p w:rsidR="00B36404" w:rsidRPr="004F0F51" w:rsidRDefault="00B36404" w:rsidP="00B36404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it-IT"/>
        </w:rPr>
      </w:pPr>
      <w:r w:rsidRPr="004F0F51">
        <w:rPr>
          <w:rFonts w:cs="Arial"/>
          <w:sz w:val="16"/>
          <w:lang w:val="it-IT"/>
        </w:rPr>
        <w:tab/>
        <w:t>E: gp.mf@gov.si</w:t>
      </w:r>
    </w:p>
    <w:p w:rsidR="00B36404" w:rsidRPr="00441804" w:rsidRDefault="00B36404" w:rsidP="00B36404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4F0F51">
        <w:rPr>
          <w:rFonts w:cs="Arial"/>
          <w:sz w:val="16"/>
          <w:lang w:val="it-IT"/>
        </w:rPr>
        <w:tab/>
      </w:r>
      <w:r w:rsidRPr="00441804">
        <w:rPr>
          <w:rFonts w:cs="Arial"/>
          <w:sz w:val="16"/>
        </w:rPr>
        <w:t>www.mf.gov.si</w:t>
      </w:r>
    </w:p>
    <w:p w:rsidR="00351B91" w:rsidRDefault="00351B91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:rsidR="00D731F3" w:rsidRPr="00441804" w:rsidRDefault="004F0F51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 w:rsidRPr="00441804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77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6"/>
        <w:gridCol w:w="451"/>
        <w:gridCol w:w="450"/>
        <w:gridCol w:w="450"/>
        <w:gridCol w:w="2254"/>
        <w:gridCol w:w="1244"/>
        <w:gridCol w:w="499"/>
        <w:gridCol w:w="499"/>
        <w:gridCol w:w="498"/>
        <w:gridCol w:w="1096"/>
      </w:tblGrid>
      <w:tr w:rsidR="00D731F3" w:rsidRPr="00441804" w:rsidTr="00F449FF">
        <w:trPr>
          <w:gridAfter w:val="3"/>
          <w:wAfter w:w="2096" w:type="dxa"/>
          <w:trHeight w:val="152"/>
        </w:trPr>
        <w:tc>
          <w:tcPr>
            <w:tcW w:w="0" w:type="auto"/>
            <w:gridSpan w:val="7"/>
          </w:tcPr>
          <w:p w:rsidR="00D731F3" w:rsidRPr="000C7041" w:rsidRDefault="00D731F3" w:rsidP="004B24E6">
            <w:r w:rsidRPr="000C7041">
              <w:rPr>
                <w:szCs w:val="20"/>
              </w:rPr>
              <w:t>Številka:</w:t>
            </w:r>
            <w:r w:rsidR="00A34832" w:rsidRPr="000C7041">
              <w:rPr>
                <w:szCs w:val="20"/>
              </w:rPr>
              <w:t xml:space="preserve"> </w:t>
            </w:r>
            <w:r w:rsidR="00B57EE5">
              <w:t>4103-6/2021/1</w:t>
            </w:r>
          </w:p>
        </w:tc>
      </w:tr>
      <w:tr w:rsidR="00D731F3" w:rsidRPr="00441804" w:rsidTr="00F449FF">
        <w:trPr>
          <w:gridAfter w:val="3"/>
          <w:wAfter w:w="2096" w:type="dxa"/>
          <w:trHeight w:val="152"/>
        </w:trPr>
        <w:tc>
          <w:tcPr>
            <w:tcW w:w="0" w:type="auto"/>
            <w:gridSpan w:val="7"/>
          </w:tcPr>
          <w:p w:rsidR="00D731F3" w:rsidRPr="000C7041" w:rsidRDefault="00D731F3" w:rsidP="00675D9A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C7041">
              <w:rPr>
                <w:sz w:val="20"/>
                <w:szCs w:val="20"/>
              </w:rPr>
              <w:t xml:space="preserve">Ljubljana, </w:t>
            </w:r>
            <w:r w:rsidR="00B57EE5">
              <w:rPr>
                <w:sz w:val="20"/>
                <w:szCs w:val="20"/>
              </w:rPr>
              <w:t>14. 1. 2021</w:t>
            </w:r>
          </w:p>
        </w:tc>
      </w:tr>
      <w:tr w:rsidR="00D731F3" w:rsidRPr="00441804" w:rsidTr="0018484E">
        <w:trPr>
          <w:gridAfter w:val="3"/>
          <w:wAfter w:w="2096" w:type="dxa"/>
          <w:trHeight w:val="273"/>
        </w:trPr>
        <w:tc>
          <w:tcPr>
            <w:tcW w:w="0" w:type="auto"/>
            <w:gridSpan w:val="7"/>
          </w:tcPr>
          <w:p w:rsidR="00D731F3" w:rsidRPr="00441804" w:rsidRDefault="00D731F3" w:rsidP="00A3483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 xml:space="preserve">EVA </w:t>
            </w:r>
          </w:p>
        </w:tc>
      </w:tr>
      <w:tr w:rsidR="00D731F3" w:rsidRPr="00441804" w:rsidTr="00F449FF">
        <w:trPr>
          <w:gridAfter w:val="3"/>
          <w:wAfter w:w="2096" w:type="dxa"/>
          <w:trHeight w:val="152"/>
        </w:trPr>
        <w:tc>
          <w:tcPr>
            <w:tcW w:w="0" w:type="auto"/>
            <w:gridSpan w:val="7"/>
          </w:tcPr>
          <w:p w:rsidR="00D731F3" w:rsidRPr="00441804" w:rsidRDefault="00D731F3" w:rsidP="005F456B">
            <w:pPr>
              <w:rPr>
                <w:rFonts w:cs="Arial"/>
                <w:szCs w:val="20"/>
              </w:rPr>
            </w:pPr>
            <w:r w:rsidRPr="00441804">
              <w:rPr>
                <w:rFonts w:cs="Arial"/>
                <w:szCs w:val="20"/>
              </w:rPr>
              <w:t>GENERALNI SEKRETARIAT VLADE REPUBLIKE SLOVENIJE</w:t>
            </w:r>
          </w:p>
          <w:p w:rsidR="00D731F3" w:rsidRPr="00441804" w:rsidRDefault="00F6055D" w:rsidP="005F456B">
            <w:pPr>
              <w:rPr>
                <w:rFonts w:cs="Arial"/>
                <w:szCs w:val="20"/>
              </w:rPr>
            </w:pPr>
            <w:hyperlink r:id="rId9" w:history="1">
              <w:r w:rsidR="00D731F3" w:rsidRPr="00441804">
                <w:rPr>
                  <w:rStyle w:val="Hiperpovezava"/>
                  <w:rFonts w:cs="Arial"/>
                  <w:szCs w:val="20"/>
                </w:rPr>
                <w:t>Gp.gs@gov.si</w:t>
              </w:r>
            </w:hyperlink>
          </w:p>
          <w:p w:rsidR="00D731F3" w:rsidRPr="00441804" w:rsidRDefault="00D731F3" w:rsidP="005F456B">
            <w:pPr>
              <w:rPr>
                <w:rFonts w:cs="Arial"/>
                <w:szCs w:val="20"/>
              </w:rPr>
            </w:pPr>
          </w:p>
        </w:tc>
      </w:tr>
      <w:tr w:rsidR="00D731F3" w:rsidRPr="00441804" w:rsidTr="0018484E">
        <w:trPr>
          <w:trHeight w:val="345"/>
        </w:trPr>
        <w:tc>
          <w:tcPr>
            <w:tcW w:w="0" w:type="auto"/>
            <w:gridSpan w:val="10"/>
          </w:tcPr>
          <w:p w:rsidR="00A30B8D" w:rsidRPr="0018484E" w:rsidRDefault="005F571D" w:rsidP="00827553">
            <w:pPr>
              <w:pStyle w:val="Naslovpredpisa"/>
              <w:tabs>
                <w:tab w:val="left" w:pos="1036"/>
              </w:tabs>
              <w:spacing w:before="0" w:after="0" w:line="260" w:lineRule="exact"/>
              <w:ind w:left="1036" w:hanging="992"/>
              <w:jc w:val="both"/>
              <w:rPr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ZADEVA:</w:t>
            </w:r>
            <w:r w:rsidRPr="00441804">
              <w:rPr>
                <w:sz w:val="20"/>
                <w:szCs w:val="20"/>
              </w:rPr>
              <w:tab/>
            </w:r>
            <w:r w:rsidR="00EE23F6" w:rsidRPr="00441804">
              <w:rPr>
                <w:sz w:val="20"/>
                <w:szCs w:val="20"/>
              </w:rPr>
              <w:t>Odprtje proračunsk</w:t>
            </w:r>
            <w:r w:rsidR="00827553">
              <w:rPr>
                <w:sz w:val="20"/>
                <w:szCs w:val="20"/>
              </w:rPr>
              <w:t>e</w:t>
            </w:r>
            <w:r w:rsidR="00EE23F6" w:rsidRPr="00441804">
              <w:rPr>
                <w:sz w:val="20"/>
                <w:szCs w:val="20"/>
              </w:rPr>
              <w:t xml:space="preserve"> postavk</w:t>
            </w:r>
            <w:r w:rsidR="00827553">
              <w:rPr>
                <w:sz w:val="20"/>
                <w:szCs w:val="20"/>
              </w:rPr>
              <w:t>e</w:t>
            </w:r>
            <w:r w:rsidR="003F179A">
              <w:rPr>
                <w:sz w:val="20"/>
                <w:szCs w:val="20"/>
              </w:rPr>
              <w:t xml:space="preserve"> in </w:t>
            </w:r>
            <w:r w:rsidR="006F4F74">
              <w:rPr>
                <w:sz w:val="20"/>
                <w:szCs w:val="20"/>
              </w:rPr>
              <w:t>zagotovitev</w:t>
            </w:r>
            <w:r w:rsidR="003F179A">
              <w:rPr>
                <w:sz w:val="20"/>
                <w:szCs w:val="20"/>
              </w:rPr>
              <w:t xml:space="preserve"> pravic porabe</w:t>
            </w:r>
            <w:r w:rsidR="00EE23F6" w:rsidRPr="00441804">
              <w:rPr>
                <w:sz w:val="20"/>
                <w:szCs w:val="20"/>
              </w:rPr>
              <w:t xml:space="preserve"> – predlog za obravnavo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Pr="00441804" w:rsidRDefault="00D731F3" w:rsidP="005F456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1. Predlog sklepov vlade: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Pr="00441804" w:rsidRDefault="00A30B8D" w:rsidP="00A30B8D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Je v prilogi.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41804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Pr="00441804" w:rsidRDefault="00A30B8D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41804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Default="00612F57" w:rsidP="008F69AA">
            <w:pPr>
              <w:rPr>
                <w:rFonts w:cs="Arial"/>
                <w:iCs/>
                <w:lang w:eastAsia="sl-SI"/>
              </w:rPr>
            </w:pPr>
            <w:r w:rsidRPr="00441804">
              <w:rPr>
                <w:rFonts w:cs="Arial"/>
                <w:iCs/>
                <w:lang w:eastAsia="sl-SI"/>
              </w:rPr>
              <w:t xml:space="preserve">mag. Irena </w:t>
            </w:r>
            <w:r w:rsidR="00B676CB">
              <w:rPr>
                <w:rFonts w:cs="Arial"/>
                <w:iCs/>
                <w:lang w:eastAsia="sl-SI"/>
              </w:rPr>
              <w:t>Drmaž</w:t>
            </w:r>
            <w:r w:rsidR="008F69AA">
              <w:rPr>
                <w:rFonts w:cs="Arial"/>
                <w:iCs/>
                <w:lang w:eastAsia="sl-SI"/>
              </w:rPr>
              <w:t>, generalna direktorica</w:t>
            </w:r>
          </w:p>
          <w:p w:rsidR="005B219F" w:rsidRPr="00441804" w:rsidRDefault="005B219F" w:rsidP="005B219F">
            <w:pPr>
              <w:rPr>
                <w:iCs/>
                <w:szCs w:val="20"/>
              </w:rPr>
            </w:pPr>
            <w:r>
              <w:rPr>
                <w:iCs/>
              </w:rPr>
              <w:t>mag. Rajko Puš, vodja Sektorja za sistem financiranja lokalnih skupnosti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41804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441804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Pr="00441804" w:rsidRDefault="00A30B8D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441804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Pr="00441804" w:rsidRDefault="00A30B8D" w:rsidP="005F456B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Pr="00671432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671432">
              <w:rPr>
                <w:rFonts w:cs="Arial"/>
                <w:sz w:val="20"/>
                <w:szCs w:val="20"/>
                <w:lang w:val="sl-SI" w:eastAsia="sl-SI"/>
              </w:rPr>
              <w:t>5. Kratek povzetek gradiva: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875D6A" w:rsidRPr="00875D6A" w:rsidRDefault="002559EA" w:rsidP="00A12AF9">
            <w:pPr>
              <w:pStyle w:val="Neotevilenodstavek"/>
              <w:spacing w:before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  <w:r w:rsidR="003F179A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</w:tcPr>
          <w:p w:rsidR="00D731F3" w:rsidRPr="00671432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671432">
              <w:rPr>
                <w:rFonts w:cs="Arial"/>
                <w:sz w:val="20"/>
                <w:szCs w:val="20"/>
                <w:lang w:val="sl-SI" w:eastAsia="sl-SI"/>
              </w:rPr>
              <w:t>6. Presoja posledic za: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2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color w:val="000000"/>
                <w:sz w:val="20"/>
                <w:szCs w:val="20"/>
              </w:rPr>
            </w:pPr>
            <w:r w:rsidRPr="00441804">
              <w:rPr>
                <w:i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gridSpan w:val="7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rPr>
                <w:color w:val="000000"/>
                <w:sz w:val="20"/>
                <w:szCs w:val="20"/>
              </w:rPr>
            </w:pPr>
            <w:r w:rsidRPr="00441804">
              <w:rPr>
                <w:color w:val="000000"/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0" w:type="auto"/>
            <w:vAlign w:val="center"/>
          </w:tcPr>
          <w:p w:rsidR="00D731F3" w:rsidRPr="00015651" w:rsidRDefault="00E76CD3" w:rsidP="00A30B8D">
            <w:pPr>
              <w:pStyle w:val="Neotevilenodstavek"/>
              <w:spacing w:before="0" w:after="0" w:line="260" w:lineRule="exact"/>
              <w:jc w:val="center"/>
              <w:rPr>
                <w:iCs/>
                <w:color w:val="000000"/>
                <w:sz w:val="20"/>
                <w:szCs w:val="20"/>
              </w:rPr>
            </w:pPr>
            <w:r w:rsidRPr="00F449FF">
              <w:rPr>
                <w:iCs/>
                <w:color w:val="000000"/>
                <w:sz w:val="20"/>
                <w:szCs w:val="20"/>
              </w:rPr>
              <w:t>DA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2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0" w:type="auto"/>
            <w:gridSpan w:val="7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0" w:type="auto"/>
            <w:vAlign w:val="center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NE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2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0" w:type="auto"/>
            <w:gridSpan w:val="7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0" w:type="auto"/>
            <w:vAlign w:val="center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NE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2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0" w:type="auto"/>
            <w:gridSpan w:val="7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gospodarstvo, zlasti</w:t>
            </w:r>
            <w:r w:rsidRPr="00441804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0" w:type="auto"/>
            <w:vAlign w:val="center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NE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2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0" w:type="auto"/>
            <w:gridSpan w:val="7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41804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0" w:type="auto"/>
            <w:vAlign w:val="center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NE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2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0" w:type="auto"/>
            <w:gridSpan w:val="7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41804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0" w:type="auto"/>
            <w:vAlign w:val="center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NE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41804">
              <w:rPr>
                <w:bCs/>
                <w:sz w:val="20"/>
                <w:szCs w:val="20"/>
              </w:rPr>
              <w:t>dokumente razvojnega načrtovanja:</w:t>
            </w:r>
          </w:p>
          <w:p w:rsidR="00D731F3" w:rsidRPr="00441804" w:rsidRDefault="00D731F3" w:rsidP="00AE3420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41804">
              <w:rPr>
                <w:bCs/>
                <w:sz w:val="20"/>
                <w:szCs w:val="20"/>
              </w:rPr>
              <w:t>nacionalne dokumente razvojnega načrtovanja</w:t>
            </w:r>
          </w:p>
          <w:p w:rsidR="00D731F3" w:rsidRPr="00441804" w:rsidRDefault="00D731F3" w:rsidP="00AE3420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41804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D731F3" w:rsidRPr="00441804" w:rsidRDefault="00D731F3" w:rsidP="00AE3420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441804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731F3" w:rsidRPr="00441804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NE</w:t>
            </w:r>
          </w:p>
        </w:tc>
      </w:tr>
      <w:tr w:rsidR="00D731F3" w:rsidRPr="00441804" w:rsidTr="00F449FF">
        <w:trPr>
          <w:trHeight w:val="152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F3" w:rsidRPr="00671432" w:rsidRDefault="00D731F3" w:rsidP="005F456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671432">
              <w:rPr>
                <w:rFonts w:cs="Arial"/>
                <w:sz w:val="20"/>
                <w:szCs w:val="20"/>
                <w:lang w:val="sl-SI" w:eastAsia="sl-SI"/>
              </w:rPr>
              <w:t>7.a Predstavitev ocene finančnih posledic nad 40.000 EUR:</w:t>
            </w:r>
          </w:p>
          <w:p w:rsidR="00B36EEA" w:rsidRPr="002D0692" w:rsidRDefault="00FB62EF" w:rsidP="00675D9A">
            <w:pPr>
              <w:jc w:val="both"/>
              <w:rPr>
                <w:iCs/>
                <w:szCs w:val="20"/>
              </w:rPr>
            </w:pPr>
            <w:r w:rsidRPr="00875D6A">
              <w:rPr>
                <w:iCs/>
                <w:szCs w:val="20"/>
              </w:rPr>
              <w:t xml:space="preserve">Na podlagi 10. člena </w:t>
            </w:r>
            <w:r w:rsidR="005B219F" w:rsidRPr="005B219F">
              <w:rPr>
                <w:iCs/>
                <w:szCs w:val="20"/>
              </w:rPr>
              <w:t>Zakon</w:t>
            </w:r>
            <w:r w:rsidR="005B219F">
              <w:rPr>
                <w:iCs/>
                <w:szCs w:val="20"/>
              </w:rPr>
              <w:t>a</w:t>
            </w:r>
            <w:r w:rsidR="005B219F" w:rsidRPr="005B219F">
              <w:rPr>
                <w:iCs/>
                <w:szCs w:val="20"/>
              </w:rPr>
              <w:t xml:space="preserve"> o izvrševanju proračunov Republike Slovenije za leti 2021 in 2022 (Uradni list RS, št. 174/20)</w:t>
            </w:r>
            <w:r w:rsidRPr="00875D6A">
              <w:rPr>
                <w:iCs/>
                <w:szCs w:val="20"/>
              </w:rPr>
              <w:t xml:space="preserve"> se v letu 20</w:t>
            </w:r>
            <w:r>
              <w:rPr>
                <w:iCs/>
                <w:szCs w:val="20"/>
              </w:rPr>
              <w:t>2</w:t>
            </w:r>
            <w:r w:rsidR="009D201C">
              <w:rPr>
                <w:iCs/>
                <w:szCs w:val="20"/>
              </w:rPr>
              <w:t>1</w:t>
            </w:r>
            <w:r w:rsidRPr="00875D6A">
              <w:rPr>
                <w:iCs/>
                <w:szCs w:val="20"/>
              </w:rPr>
              <w:t xml:space="preserve"> v finančnem načrtu </w:t>
            </w:r>
            <w:r w:rsidR="00C073D7">
              <w:rPr>
                <w:iCs/>
                <w:szCs w:val="20"/>
              </w:rPr>
              <w:t>Ministrstva za finance Republike Slovenije</w:t>
            </w:r>
            <w:r w:rsidRPr="00FB62EF">
              <w:rPr>
                <w:iCs/>
                <w:szCs w:val="20"/>
              </w:rPr>
              <w:t xml:space="preserve"> </w:t>
            </w:r>
            <w:r>
              <w:rPr>
                <w:iCs/>
                <w:szCs w:val="20"/>
              </w:rPr>
              <w:t xml:space="preserve">odpre </w:t>
            </w:r>
            <w:r w:rsidRPr="00875D6A">
              <w:rPr>
                <w:iCs/>
                <w:szCs w:val="20"/>
              </w:rPr>
              <w:t>proračunsk</w:t>
            </w:r>
            <w:r w:rsidR="0018484E">
              <w:rPr>
                <w:iCs/>
                <w:szCs w:val="20"/>
              </w:rPr>
              <w:t>a</w:t>
            </w:r>
            <w:r w:rsidRPr="00875D6A">
              <w:rPr>
                <w:iCs/>
                <w:szCs w:val="20"/>
              </w:rPr>
              <w:t xml:space="preserve"> postavk</w:t>
            </w:r>
            <w:r w:rsidR="0018484E">
              <w:rPr>
                <w:iCs/>
                <w:szCs w:val="20"/>
              </w:rPr>
              <w:t xml:space="preserve">a </w:t>
            </w:r>
            <w:r w:rsidR="009D201C" w:rsidRPr="009D201C">
              <w:rPr>
                <w:iCs/>
                <w:szCs w:val="20"/>
              </w:rPr>
              <w:t>211101</w:t>
            </w:r>
            <w:r w:rsidR="00827553" w:rsidRPr="00827553">
              <w:rPr>
                <w:iCs/>
                <w:szCs w:val="20"/>
              </w:rPr>
              <w:t xml:space="preserve"> </w:t>
            </w:r>
            <w:r w:rsidR="009D201C" w:rsidRPr="009D201C">
              <w:rPr>
                <w:iCs/>
                <w:szCs w:val="20"/>
              </w:rPr>
              <w:t>Sredstva za uravnoteženje razvitosti občin</w:t>
            </w:r>
            <w:r w:rsidR="00EE7DE8" w:rsidRPr="00F66249">
              <w:rPr>
                <w:iCs/>
                <w:szCs w:val="20"/>
              </w:rPr>
              <w:t>.</w:t>
            </w:r>
            <w:r w:rsidRPr="00F66249">
              <w:rPr>
                <w:iCs/>
                <w:szCs w:val="20"/>
              </w:rPr>
              <w:t xml:space="preserve"> Pravice</w:t>
            </w:r>
            <w:r w:rsidRPr="00875D6A">
              <w:rPr>
                <w:iCs/>
                <w:szCs w:val="20"/>
              </w:rPr>
              <w:t xml:space="preserve"> porabe se na omenjeni proračunski </w:t>
            </w:r>
            <w:r w:rsidRPr="00E320C3">
              <w:rPr>
                <w:iCs/>
                <w:szCs w:val="20"/>
              </w:rPr>
              <w:t>postavk</w:t>
            </w:r>
            <w:r w:rsidR="00C073D7" w:rsidRPr="00E320C3">
              <w:rPr>
                <w:iCs/>
                <w:szCs w:val="20"/>
              </w:rPr>
              <w:t>i</w:t>
            </w:r>
            <w:r w:rsidRPr="00E320C3">
              <w:rPr>
                <w:iCs/>
                <w:szCs w:val="20"/>
              </w:rPr>
              <w:t xml:space="preserve">, kontu </w:t>
            </w:r>
            <w:r w:rsidR="00441A0D" w:rsidRPr="00E320C3">
              <w:rPr>
                <w:iCs/>
                <w:szCs w:val="20"/>
              </w:rPr>
              <w:t>41</w:t>
            </w:r>
            <w:r w:rsidR="009D201C">
              <w:rPr>
                <w:iCs/>
                <w:szCs w:val="20"/>
              </w:rPr>
              <w:t>30</w:t>
            </w:r>
            <w:r w:rsidR="00441A0D" w:rsidRPr="00E320C3">
              <w:rPr>
                <w:iCs/>
                <w:szCs w:val="20"/>
              </w:rPr>
              <w:t xml:space="preserve"> </w:t>
            </w:r>
            <w:r w:rsidR="009D201C">
              <w:rPr>
                <w:iCs/>
                <w:szCs w:val="20"/>
              </w:rPr>
              <w:t>Tekoči transferi občinam</w:t>
            </w:r>
            <w:r w:rsidR="0018484E" w:rsidRPr="00E320C3">
              <w:rPr>
                <w:iCs/>
                <w:szCs w:val="20"/>
              </w:rPr>
              <w:t>,</w:t>
            </w:r>
            <w:r w:rsidRPr="00E320C3">
              <w:rPr>
                <w:iCs/>
                <w:szCs w:val="20"/>
              </w:rPr>
              <w:t xml:space="preserve"> </w:t>
            </w:r>
            <w:r w:rsidR="001D4769" w:rsidRPr="001D4769">
              <w:rPr>
                <w:iCs/>
                <w:szCs w:val="20"/>
              </w:rPr>
              <w:t xml:space="preserve">zagotovijo </w:t>
            </w:r>
            <w:r w:rsidR="001D4769">
              <w:rPr>
                <w:iCs/>
                <w:szCs w:val="20"/>
              </w:rPr>
              <w:t>s</w:t>
            </w:r>
            <w:r w:rsidR="001D4769" w:rsidRPr="001D4769">
              <w:rPr>
                <w:iCs/>
                <w:szCs w:val="20"/>
              </w:rPr>
              <w:t xml:space="preserve"> prerazporeditvijo pravic porabe iz finančnega načrta Ministrstva za gospodarski razvoj in tehnologijo v finančni načrt Ministrstva za finance.</w:t>
            </w:r>
          </w:p>
        </w:tc>
      </w:tr>
      <w:tr w:rsidR="00F449FF" w:rsidRPr="00C4463D" w:rsidTr="00F4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"/>
        </w:trPr>
        <w:tc>
          <w:tcPr>
            <w:tcW w:w="9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449FF" w:rsidRPr="00C4463D" w:rsidRDefault="00F449FF" w:rsidP="008B07FE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C4463D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Tekoče leto (t)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t + 1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t + 2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t + 3</w:t>
            </w: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rPr>
                <w:rFonts w:cs="Arial"/>
                <w:bCs/>
                <w:szCs w:val="20"/>
              </w:rPr>
            </w:pPr>
            <w:r w:rsidRPr="00C4463D">
              <w:rPr>
                <w:rFonts w:cs="Arial"/>
                <w:bCs/>
                <w:szCs w:val="20"/>
              </w:rPr>
              <w:t>Predvideno povečanje (+) ali zmanjšanje (</w:t>
            </w:r>
            <w:r w:rsidRPr="00C4463D">
              <w:rPr>
                <w:rFonts w:cs="Arial"/>
                <w:b/>
                <w:szCs w:val="20"/>
              </w:rPr>
              <w:t>–</w:t>
            </w:r>
            <w:r w:rsidRPr="00C4463D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D66A6A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rPr>
                <w:rFonts w:cs="Arial"/>
                <w:bCs/>
                <w:szCs w:val="20"/>
              </w:rPr>
            </w:pPr>
            <w:r w:rsidRPr="00C4463D">
              <w:rPr>
                <w:rFonts w:cs="Arial"/>
                <w:bCs/>
                <w:szCs w:val="20"/>
              </w:rPr>
              <w:t>Predvideno povečanje (+) ali zmanjšanje (</w:t>
            </w:r>
            <w:r w:rsidRPr="00C4463D">
              <w:rPr>
                <w:rFonts w:cs="Arial"/>
                <w:b/>
                <w:szCs w:val="20"/>
              </w:rPr>
              <w:t>–</w:t>
            </w:r>
            <w:r w:rsidRPr="00C4463D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rPr>
                <w:rFonts w:cs="Arial"/>
                <w:bCs/>
                <w:szCs w:val="20"/>
              </w:rPr>
            </w:pPr>
            <w:r w:rsidRPr="00C4463D">
              <w:rPr>
                <w:rFonts w:cs="Arial"/>
                <w:bCs/>
                <w:szCs w:val="20"/>
              </w:rPr>
              <w:t>Predvideno povečanje (+) ali zmanjšanje (</w:t>
            </w:r>
            <w:r w:rsidRPr="00C4463D">
              <w:rPr>
                <w:rFonts w:cs="Arial"/>
                <w:b/>
                <w:szCs w:val="20"/>
              </w:rPr>
              <w:t>–</w:t>
            </w:r>
            <w:r w:rsidRPr="00C4463D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rPr>
                <w:rFonts w:cs="Arial"/>
                <w:bCs/>
                <w:szCs w:val="20"/>
              </w:rPr>
            </w:pPr>
            <w:r w:rsidRPr="00C4463D">
              <w:rPr>
                <w:rFonts w:cs="Arial"/>
                <w:bCs/>
                <w:szCs w:val="20"/>
              </w:rPr>
              <w:t>Predvideno povečanje (+) ali zmanjšanje (</w:t>
            </w:r>
            <w:r w:rsidRPr="00C4463D">
              <w:rPr>
                <w:rFonts w:cs="Arial"/>
                <w:b/>
                <w:szCs w:val="20"/>
              </w:rPr>
              <w:t>–</w:t>
            </w:r>
            <w:r w:rsidRPr="00C4463D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rPr>
                <w:rFonts w:cs="Arial"/>
                <w:bCs/>
                <w:szCs w:val="20"/>
              </w:rPr>
            </w:pPr>
            <w:r w:rsidRPr="00C4463D">
              <w:rPr>
                <w:rFonts w:cs="Arial"/>
                <w:bCs/>
                <w:szCs w:val="20"/>
              </w:rPr>
              <w:t>Predvideno povečanje (+) ali zmanjšanje (</w:t>
            </w:r>
            <w:r w:rsidRPr="00C4463D">
              <w:rPr>
                <w:rFonts w:cs="Arial"/>
                <w:b/>
                <w:szCs w:val="20"/>
              </w:rPr>
              <w:t>–</w:t>
            </w:r>
            <w:r w:rsidRPr="00C4463D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F449FF" w:rsidRPr="00C4463D" w:rsidTr="00F4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C4463D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F449FF" w:rsidRPr="00C4463D" w:rsidTr="00F4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C4463D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C4463D">
              <w:rPr>
                <w:rFonts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bookmarkStart w:id="0" w:name="_Hlk60922243"/>
            <w:r w:rsidRPr="00C4463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3123D2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3123D2">
              <w:rPr>
                <w:rFonts w:cs="Arial"/>
                <w:color w:val="000000" w:themeColor="text1"/>
                <w:szCs w:val="20"/>
              </w:rPr>
              <w:t>Šifra in naziv ukrepa, projekta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Znesek za t + 1</w:t>
            </w: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9FF" w:rsidRPr="005933B6" w:rsidRDefault="00073150" w:rsidP="0007315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Ministrstvo za finance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9FF" w:rsidRPr="003123D2" w:rsidRDefault="002B066B" w:rsidP="00EE7DE8">
            <w:pPr>
              <w:jc w:val="center"/>
              <w:rPr>
                <w:rFonts w:cs="Arial"/>
              </w:rPr>
            </w:pPr>
            <w:r w:rsidRPr="003123D2">
              <w:rPr>
                <w:rFonts w:cs="Arial"/>
              </w:rPr>
              <w:t>1611-21-0004</w:t>
            </w:r>
          </w:p>
          <w:p w:rsidR="002B066B" w:rsidRPr="003123D2" w:rsidRDefault="002B066B" w:rsidP="00EE7DE8">
            <w:pPr>
              <w:jc w:val="center"/>
              <w:rPr>
                <w:rFonts w:cs="Arial"/>
              </w:rPr>
            </w:pPr>
            <w:r w:rsidRPr="003123D2">
              <w:rPr>
                <w:rFonts w:cs="Arial"/>
              </w:rPr>
              <w:t>Uravnotežen razvoj občin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9FF" w:rsidRPr="002F31A5" w:rsidRDefault="003C3BA5" w:rsidP="003C3BA5">
            <w:pPr>
              <w:rPr>
                <w:rFonts w:cs="Arial"/>
                <w:color w:val="000000"/>
                <w:highlight w:val="yellow"/>
              </w:rPr>
            </w:pPr>
            <w:r w:rsidRPr="003C3BA5">
              <w:rPr>
                <w:iCs/>
                <w:szCs w:val="20"/>
              </w:rPr>
              <w:t xml:space="preserve">211101 </w:t>
            </w:r>
            <w:r>
              <w:rPr>
                <w:iCs/>
                <w:szCs w:val="20"/>
              </w:rPr>
              <w:t xml:space="preserve">- </w:t>
            </w:r>
            <w:r w:rsidRPr="003C3BA5">
              <w:rPr>
                <w:iCs/>
                <w:szCs w:val="20"/>
              </w:rPr>
              <w:t>Sredstva za uravnoteženje razvitosti občin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9FF" w:rsidRPr="00B8713B" w:rsidRDefault="00F61620" w:rsidP="008B07F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bookmarkEnd w:id="0"/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6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C4463D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F449FF" w:rsidRPr="00C4463D" w:rsidTr="00F4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C4463D">
              <w:rPr>
                <w:rFonts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C4463D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bookmarkStart w:id="1" w:name="_Hlk60922274"/>
            <w:r w:rsidRPr="00C4463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 xml:space="preserve">Znesek za t + 1 </w:t>
            </w:r>
          </w:p>
        </w:tc>
      </w:tr>
      <w:tr w:rsidR="00073150" w:rsidRPr="00EE7DE8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150" w:rsidRPr="00EE7DE8" w:rsidRDefault="00073150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Ministrstvo za gospodarski razvoj in tehnologijo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150" w:rsidRPr="00EE7DE8" w:rsidRDefault="00B57EE5" w:rsidP="008B07FE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150" w:rsidRPr="00EE7DE8" w:rsidRDefault="00073150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szCs w:val="20"/>
              </w:rPr>
            </w:pPr>
            <w:r w:rsidRPr="00073150">
              <w:rPr>
                <w:rFonts w:cs="Arial"/>
                <w:szCs w:val="20"/>
              </w:rPr>
              <w:t>953610 – Sofinanciranje investicijskih projektov občin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150" w:rsidRPr="002B066B" w:rsidRDefault="00910E2B" w:rsidP="00F449FF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2B066B">
              <w:rPr>
                <w:rFonts w:cs="Arial"/>
                <w:color w:val="000000" w:themeColor="text1"/>
                <w:szCs w:val="20"/>
              </w:rPr>
              <w:t>48.512.467,00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50" w:rsidRPr="00EE7DE8" w:rsidRDefault="00073150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szCs w:val="20"/>
              </w:rPr>
            </w:pPr>
          </w:p>
        </w:tc>
      </w:tr>
      <w:bookmarkEnd w:id="1"/>
      <w:tr w:rsidR="00F449FF" w:rsidRPr="00EE7DE8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6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EE7DE8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EE7DE8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2B066B" w:rsidRDefault="00753BDE" w:rsidP="00F449FF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/>
                <w:color w:val="000000" w:themeColor="text1"/>
                <w:kern w:val="32"/>
                <w:szCs w:val="20"/>
                <w:lang w:eastAsia="sl-SI"/>
              </w:rPr>
            </w:pPr>
            <w:r w:rsidRPr="002B066B">
              <w:rPr>
                <w:rFonts w:cs="Arial"/>
                <w:b/>
                <w:color w:val="000000" w:themeColor="text1"/>
                <w:szCs w:val="20"/>
              </w:rPr>
              <w:t>4</w:t>
            </w:r>
            <w:r w:rsidR="00910E2B" w:rsidRPr="002B066B">
              <w:rPr>
                <w:rFonts w:cs="Arial"/>
                <w:b/>
                <w:color w:val="000000" w:themeColor="text1"/>
                <w:szCs w:val="20"/>
              </w:rPr>
              <w:t>8</w:t>
            </w:r>
            <w:r w:rsidR="002F54AC" w:rsidRPr="002B066B">
              <w:rPr>
                <w:rFonts w:cs="Arial"/>
                <w:b/>
                <w:color w:val="000000" w:themeColor="text1"/>
                <w:szCs w:val="20"/>
              </w:rPr>
              <w:t>.</w:t>
            </w:r>
            <w:r w:rsidR="00910E2B" w:rsidRPr="002B066B">
              <w:rPr>
                <w:rFonts w:cs="Arial"/>
                <w:b/>
                <w:color w:val="000000" w:themeColor="text1"/>
                <w:szCs w:val="20"/>
              </w:rPr>
              <w:t>512</w:t>
            </w:r>
            <w:r w:rsidR="002F54AC" w:rsidRPr="002B066B">
              <w:rPr>
                <w:rFonts w:cs="Arial"/>
                <w:b/>
                <w:color w:val="000000" w:themeColor="text1"/>
                <w:szCs w:val="20"/>
              </w:rPr>
              <w:t>.</w:t>
            </w:r>
            <w:r w:rsidRPr="002B066B">
              <w:rPr>
                <w:rFonts w:cs="Arial"/>
                <w:b/>
                <w:color w:val="000000" w:themeColor="text1"/>
                <w:szCs w:val="20"/>
              </w:rPr>
              <w:t>4</w:t>
            </w:r>
            <w:r w:rsidR="00D849F6">
              <w:rPr>
                <w:rFonts w:cs="Arial"/>
                <w:b/>
                <w:color w:val="000000" w:themeColor="text1"/>
                <w:szCs w:val="20"/>
              </w:rPr>
              <w:t>6</w:t>
            </w:r>
            <w:r w:rsidRPr="002B066B">
              <w:rPr>
                <w:rFonts w:cs="Arial"/>
                <w:b/>
                <w:color w:val="000000" w:themeColor="text1"/>
                <w:szCs w:val="20"/>
              </w:rPr>
              <w:t>7</w:t>
            </w:r>
            <w:r w:rsidR="002F54AC" w:rsidRPr="002B066B">
              <w:rPr>
                <w:rFonts w:cs="Arial"/>
                <w:b/>
                <w:color w:val="000000" w:themeColor="text1"/>
                <w:szCs w:val="20"/>
              </w:rPr>
              <w:t>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EE7DE8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F449FF" w:rsidRPr="00C4463D" w:rsidTr="00F44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EE7DE8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EE7DE8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Novi prihodki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C4463D">
              <w:rPr>
                <w:rFonts w:cs="Arial"/>
                <w:szCs w:val="20"/>
              </w:rPr>
              <w:t>Znesek za t + 1</w:t>
            </w: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F449FF" w:rsidRPr="00C4463D" w:rsidTr="00753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C4463D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FF" w:rsidRPr="00C4463D" w:rsidRDefault="00F449FF" w:rsidP="008B07FE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F449FF" w:rsidRPr="00441804" w:rsidTr="00F449FF">
        <w:trPr>
          <w:trHeight w:val="2017"/>
        </w:trPr>
        <w:tc>
          <w:tcPr>
            <w:tcW w:w="0" w:type="auto"/>
            <w:gridSpan w:val="10"/>
          </w:tcPr>
          <w:p w:rsidR="00F449FF" w:rsidRDefault="00F449FF" w:rsidP="005F456B">
            <w:pPr>
              <w:widowControl w:val="0"/>
              <w:rPr>
                <w:rFonts w:cs="Arial"/>
                <w:b/>
                <w:szCs w:val="20"/>
              </w:rPr>
            </w:pPr>
          </w:p>
          <w:p w:rsidR="00F449FF" w:rsidRPr="00441804" w:rsidRDefault="00F449FF" w:rsidP="005F456B">
            <w:pPr>
              <w:widowControl w:val="0"/>
              <w:rPr>
                <w:rFonts w:cs="Arial"/>
                <w:b/>
                <w:szCs w:val="20"/>
              </w:rPr>
            </w:pPr>
            <w:r w:rsidRPr="00441804">
              <w:rPr>
                <w:rFonts w:cs="Arial"/>
                <w:b/>
                <w:szCs w:val="20"/>
              </w:rPr>
              <w:t>OBRAZLOŽITEV:</w:t>
            </w:r>
          </w:p>
          <w:p w:rsidR="00F449FF" w:rsidRPr="00441804" w:rsidRDefault="00F449FF" w:rsidP="00AE3420">
            <w:pPr>
              <w:widowControl w:val="0"/>
              <w:numPr>
                <w:ilvl w:val="0"/>
                <w:numId w:val="2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441804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:rsidR="00F449FF" w:rsidRPr="00441804" w:rsidRDefault="00F449FF" w:rsidP="005F456B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441804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:rsidR="00F449FF" w:rsidRPr="00441804" w:rsidRDefault="00F449FF" w:rsidP="00AE3420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cs="Arial"/>
                <w:szCs w:val="20"/>
              </w:rPr>
            </w:pPr>
            <w:r w:rsidRPr="00441804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:rsidR="00F449FF" w:rsidRPr="00441804" w:rsidRDefault="00F449FF" w:rsidP="00AE3420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cs="Arial"/>
                <w:szCs w:val="20"/>
              </w:rPr>
            </w:pPr>
            <w:r w:rsidRPr="00441804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:rsidR="00F449FF" w:rsidRPr="00441804" w:rsidRDefault="00F449FF" w:rsidP="00AE3420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cs="Arial"/>
                <w:szCs w:val="20"/>
              </w:rPr>
            </w:pPr>
            <w:r w:rsidRPr="00441804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:rsidR="00F449FF" w:rsidRPr="00441804" w:rsidRDefault="00F449FF" w:rsidP="005F456B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:rsidR="00F449FF" w:rsidRPr="00441804" w:rsidRDefault="00F449FF" w:rsidP="00AE3420">
            <w:pPr>
              <w:widowControl w:val="0"/>
              <w:numPr>
                <w:ilvl w:val="0"/>
                <w:numId w:val="2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441804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:rsidR="00F449FF" w:rsidRPr="00441804" w:rsidRDefault="00F449FF" w:rsidP="005F456B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441804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:rsidR="00F449FF" w:rsidRPr="00441804" w:rsidRDefault="00F449FF" w:rsidP="005F456B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441804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441804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:rsidR="00F449FF" w:rsidRPr="00441804" w:rsidRDefault="00F449FF" w:rsidP="005F456B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441804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441804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441804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:rsidR="00F449FF" w:rsidRPr="00441804" w:rsidRDefault="00F449FF" w:rsidP="00AE3420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441804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:rsidR="00F449FF" w:rsidRPr="00441804" w:rsidRDefault="00F449FF" w:rsidP="00AE3420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441804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:rsidR="00F449FF" w:rsidRPr="00441804" w:rsidRDefault="00F449FF" w:rsidP="00AE3420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441804">
              <w:rPr>
                <w:rFonts w:cs="Arial"/>
                <w:szCs w:val="20"/>
                <w:lang w:eastAsia="sl-SI"/>
              </w:rPr>
              <w:t>proračunske postavke.</w:t>
            </w:r>
          </w:p>
          <w:p w:rsidR="00F449FF" w:rsidRPr="00441804" w:rsidRDefault="00F449FF" w:rsidP="005F456B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441804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441804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441804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:rsidR="00F449FF" w:rsidRPr="00441804" w:rsidRDefault="00F449FF" w:rsidP="005F456B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441804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441804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:rsidR="00F449FF" w:rsidRPr="00441804" w:rsidRDefault="00F449FF" w:rsidP="005F456B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441804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441804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441804">
              <w:rPr>
                <w:rFonts w:cs="Arial"/>
                <w:szCs w:val="20"/>
                <w:lang w:eastAsia="sl-SI"/>
              </w:rPr>
              <w:t>.</w:t>
            </w:r>
          </w:p>
          <w:p w:rsidR="00F449FF" w:rsidRPr="00441804" w:rsidRDefault="00F449FF" w:rsidP="005F456B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441804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441804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:rsidR="00F449FF" w:rsidRPr="00EB195E" w:rsidRDefault="00F449FF" w:rsidP="00EB195E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441804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441804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441804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441804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441804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</w:t>
            </w:r>
            <w:r w:rsidR="00EB195E">
              <w:rPr>
                <w:rFonts w:cs="Arial"/>
                <w:szCs w:val="20"/>
                <w:lang w:eastAsia="sl-SI"/>
              </w:rPr>
              <w:t>zvrševanje državnega proračuna.</w:t>
            </w:r>
          </w:p>
        </w:tc>
      </w:tr>
      <w:tr w:rsidR="00F449FF" w:rsidRPr="00441804" w:rsidTr="000D02C6">
        <w:trPr>
          <w:trHeight w:val="552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FF" w:rsidRPr="00441804" w:rsidRDefault="00F449FF" w:rsidP="00D731F3">
            <w:pPr>
              <w:rPr>
                <w:rFonts w:cs="Arial"/>
                <w:b/>
                <w:szCs w:val="20"/>
              </w:rPr>
            </w:pPr>
            <w:r w:rsidRPr="00441804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:rsidR="00F449FF" w:rsidRPr="0018484E" w:rsidRDefault="00F449FF" w:rsidP="0018484E">
            <w:pPr>
              <w:rPr>
                <w:rFonts w:cs="Arial"/>
                <w:szCs w:val="20"/>
              </w:rPr>
            </w:pPr>
            <w:r w:rsidRPr="00124D24">
              <w:rPr>
                <w:rFonts w:cs="Arial"/>
                <w:szCs w:val="20"/>
              </w:rPr>
              <w:t>/</w:t>
            </w:r>
          </w:p>
        </w:tc>
      </w:tr>
      <w:tr w:rsidR="00F449FF" w:rsidRPr="00441804" w:rsidTr="00F449FF">
        <w:trPr>
          <w:trHeight w:val="392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FF" w:rsidRPr="00441804" w:rsidRDefault="00F449FF" w:rsidP="005D4B00">
            <w:pPr>
              <w:rPr>
                <w:rFonts w:cs="Arial"/>
                <w:b/>
                <w:szCs w:val="20"/>
              </w:rPr>
            </w:pPr>
            <w:r w:rsidRPr="00441804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F449FF" w:rsidRPr="00441804" w:rsidTr="00F449FF">
        <w:trPr>
          <w:trHeight w:val="152"/>
        </w:trPr>
        <w:tc>
          <w:tcPr>
            <w:tcW w:w="0" w:type="auto"/>
            <w:gridSpan w:val="8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pristojnosti občin,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delovanje občin,</w:t>
            </w:r>
          </w:p>
          <w:p w:rsidR="00F449FF" w:rsidRPr="00EB195E" w:rsidRDefault="00F449FF" w:rsidP="00AE3420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0" w:type="auto"/>
            <w:gridSpan w:val="2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NE</w:t>
            </w:r>
          </w:p>
        </w:tc>
      </w:tr>
      <w:tr w:rsidR="00F449FF" w:rsidRPr="00441804" w:rsidTr="00F449FF">
        <w:trPr>
          <w:trHeight w:val="289"/>
        </w:trPr>
        <w:tc>
          <w:tcPr>
            <w:tcW w:w="0" w:type="auto"/>
            <w:gridSpan w:val="10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Skupnosti občin Slovenije SOS: DA/NE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Združenju občin Slovenije ZOS: DA/NE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Združenju mestnih občin Slovenije ZMOS: DA/NE</w:t>
            </w: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Predlogi in pripombe združenj so bili upoštevani: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lastRenderedPageBreak/>
              <w:t>v celoti,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večinoma,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delno,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niso bili upoštevani.</w:t>
            </w:r>
          </w:p>
          <w:p w:rsidR="00F449FF" w:rsidRPr="00441804" w:rsidRDefault="00F449FF" w:rsidP="0018551D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Bistveni predlogi in pri</w:t>
            </w:r>
            <w:r w:rsidR="00EB195E">
              <w:rPr>
                <w:iCs/>
                <w:sz w:val="20"/>
                <w:szCs w:val="20"/>
              </w:rPr>
              <w:t>pombe, ki niso bili upoštevani.</w:t>
            </w:r>
          </w:p>
        </w:tc>
      </w:tr>
      <w:tr w:rsidR="00F449FF" w:rsidRPr="00441804" w:rsidTr="00F449FF">
        <w:trPr>
          <w:trHeight w:val="152"/>
        </w:trPr>
        <w:tc>
          <w:tcPr>
            <w:tcW w:w="0" w:type="auto"/>
            <w:gridSpan w:val="10"/>
            <w:vAlign w:val="center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41804">
              <w:rPr>
                <w:b/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F449FF" w:rsidRPr="00441804" w:rsidTr="00F449FF">
        <w:trPr>
          <w:trHeight w:val="152"/>
        </w:trPr>
        <w:tc>
          <w:tcPr>
            <w:tcW w:w="0" w:type="auto"/>
            <w:gridSpan w:val="8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0" w:type="auto"/>
            <w:gridSpan w:val="2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NE</w:t>
            </w:r>
          </w:p>
        </w:tc>
      </w:tr>
      <w:tr w:rsidR="00F449FF" w:rsidRPr="00441804" w:rsidTr="00F449FF">
        <w:trPr>
          <w:trHeight w:val="152"/>
        </w:trPr>
        <w:tc>
          <w:tcPr>
            <w:tcW w:w="0" w:type="auto"/>
            <w:gridSpan w:val="10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449FF" w:rsidRPr="00441804" w:rsidTr="00F449FF">
        <w:trPr>
          <w:trHeight w:val="152"/>
        </w:trPr>
        <w:tc>
          <w:tcPr>
            <w:tcW w:w="0" w:type="auto"/>
            <w:gridSpan w:val="10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(Če je odgovor DA, navedite:</w:t>
            </w: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Datum objave: ………</w:t>
            </w: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 xml:space="preserve">V razpravo so bili vključeni: 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 xml:space="preserve">nevladne organizacije, 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predstavniki zainteresirane javnosti,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predstavniki strokovne javnosti.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.</w:t>
            </w: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441804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441804">
              <w:rPr>
                <w:iCs/>
                <w:sz w:val="20"/>
                <w:szCs w:val="20"/>
              </w:rPr>
              <w:t>):</w:t>
            </w: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Upoštevani so bili: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v celoti,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večinoma,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delno,</w:t>
            </w:r>
          </w:p>
          <w:p w:rsidR="00F449FF" w:rsidRPr="00441804" w:rsidRDefault="00F449FF" w:rsidP="00AE3420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niso bili upoštevani.</w:t>
            </w: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Poročilo je bilo dano ……………..</w:t>
            </w: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41804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</w:tc>
      </w:tr>
      <w:tr w:rsidR="00F449FF" w:rsidRPr="00441804" w:rsidTr="00F449FF">
        <w:trPr>
          <w:trHeight w:val="152"/>
        </w:trPr>
        <w:tc>
          <w:tcPr>
            <w:tcW w:w="0" w:type="auto"/>
            <w:gridSpan w:val="8"/>
            <w:vAlign w:val="center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41804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0" w:type="auto"/>
            <w:gridSpan w:val="2"/>
            <w:vAlign w:val="center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NE</w:t>
            </w:r>
          </w:p>
        </w:tc>
      </w:tr>
      <w:tr w:rsidR="00F449FF" w:rsidRPr="00441804" w:rsidTr="00F449FF">
        <w:trPr>
          <w:trHeight w:val="152"/>
        </w:trPr>
        <w:tc>
          <w:tcPr>
            <w:tcW w:w="0" w:type="auto"/>
            <w:gridSpan w:val="8"/>
            <w:vAlign w:val="center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441804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0" w:type="auto"/>
            <w:gridSpan w:val="2"/>
            <w:vAlign w:val="center"/>
          </w:tcPr>
          <w:p w:rsidR="00F449FF" w:rsidRPr="00441804" w:rsidRDefault="00F449FF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441804">
              <w:rPr>
                <w:sz w:val="20"/>
                <w:szCs w:val="20"/>
              </w:rPr>
              <w:t>NE</w:t>
            </w:r>
          </w:p>
        </w:tc>
      </w:tr>
      <w:tr w:rsidR="00F449FF" w:rsidRPr="00441804" w:rsidTr="00F449FF">
        <w:trPr>
          <w:trHeight w:val="152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FF" w:rsidRDefault="00F449FF" w:rsidP="00FB62EF">
            <w:pPr>
              <w:pStyle w:val="Poglavje"/>
              <w:widowControl w:val="0"/>
              <w:tabs>
                <w:tab w:val="center" w:pos="6088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mag. Kristina Šteblaj</w:t>
            </w:r>
          </w:p>
          <w:p w:rsidR="00F449FF" w:rsidRPr="008428CC" w:rsidRDefault="00F449FF" w:rsidP="00FB62EF">
            <w:pPr>
              <w:pStyle w:val="Poglavje"/>
              <w:widowControl w:val="0"/>
              <w:tabs>
                <w:tab w:val="center" w:pos="6088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državna sekretarka</w:t>
            </w:r>
          </w:p>
          <w:p w:rsidR="00F449FF" w:rsidRPr="00441804" w:rsidRDefault="00F449FF" w:rsidP="00DD5B9B">
            <w:pPr>
              <w:pStyle w:val="Poglavje"/>
              <w:widowControl w:val="0"/>
              <w:tabs>
                <w:tab w:val="center" w:pos="6371"/>
              </w:tabs>
              <w:spacing w:before="0" w:after="0" w:line="260" w:lineRule="exact"/>
              <w:ind w:left="-150"/>
              <w:rPr>
                <w:sz w:val="20"/>
                <w:szCs w:val="20"/>
              </w:rPr>
            </w:pPr>
          </w:p>
        </w:tc>
      </w:tr>
    </w:tbl>
    <w:p w:rsidR="00D731F3" w:rsidRPr="00441804" w:rsidRDefault="00D731F3" w:rsidP="00D731F3">
      <w:pPr>
        <w:keepLines/>
        <w:framePr w:w="9962" w:wrap="auto" w:hAnchor="text" w:x="1300"/>
        <w:rPr>
          <w:rFonts w:cs="Arial"/>
          <w:szCs w:val="20"/>
        </w:rPr>
        <w:sectPr w:rsidR="00D731F3" w:rsidRPr="00441804" w:rsidSect="005F456B">
          <w:headerReference w:type="firs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F82202" w:rsidRPr="00441804" w:rsidRDefault="00A30B8D" w:rsidP="00636524">
      <w:pPr>
        <w:ind w:left="7788"/>
        <w:jc w:val="right"/>
        <w:rPr>
          <w:rFonts w:cs="Arial"/>
          <w:b/>
        </w:rPr>
      </w:pPr>
      <w:r w:rsidRPr="00441804">
        <w:rPr>
          <w:rFonts w:cs="Arial"/>
          <w:b/>
          <w:bCs/>
        </w:rPr>
        <w:lastRenderedPageBreak/>
        <w:tab/>
      </w:r>
      <w:r w:rsidR="00F82202" w:rsidRPr="00441804">
        <w:rPr>
          <w:rFonts w:cs="Arial"/>
          <w:b/>
        </w:rPr>
        <w:t>PREDLOG</w:t>
      </w:r>
    </w:p>
    <w:p w:rsidR="003901F6" w:rsidRPr="00441804" w:rsidRDefault="003901F6" w:rsidP="00636524">
      <w:pPr>
        <w:ind w:left="7788"/>
        <w:jc w:val="right"/>
        <w:rPr>
          <w:rFonts w:cs="Arial"/>
          <w:b/>
        </w:rPr>
      </w:pPr>
    </w:p>
    <w:p w:rsidR="00441804" w:rsidRPr="00441804" w:rsidRDefault="00441804" w:rsidP="0030593F">
      <w:pPr>
        <w:autoSpaceDN w:val="0"/>
        <w:jc w:val="both"/>
        <w:rPr>
          <w:rFonts w:cs="Arial"/>
          <w:szCs w:val="20"/>
          <w:lang w:eastAsia="ko-KR"/>
        </w:rPr>
      </w:pPr>
    </w:p>
    <w:p w:rsidR="00441804" w:rsidRPr="00F10BF4" w:rsidRDefault="008D5700" w:rsidP="00441804">
      <w:pPr>
        <w:pStyle w:val="podpisi"/>
        <w:jc w:val="both"/>
        <w:rPr>
          <w:rFonts w:cs="Arial"/>
          <w:szCs w:val="20"/>
          <w:lang w:val="sl-SI" w:bidi="en-US"/>
        </w:rPr>
      </w:pPr>
      <w:r w:rsidRPr="00F10BF4">
        <w:rPr>
          <w:rFonts w:cs="Arial"/>
          <w:szCs w:val="20"/>
          <w:lang w:val="sl-SI" w:bidi="en-US"/>
        </w:rPr>
        <w:t>Vlada Republike Slovenije je na podlagi 10.</w:t>
      </w:r>
      <w:r w:rsidR="001A1CB6" w:rsidRPr="00F10BF4">
        <w:rPr>
          <w:rFonts w:cs="Arial"/>
          <w:szCs w:val="20"/>
          <w:lang w:val="sl-SI" w:bidi="en-US"/>
        </w:rPr>
        <w:t xml:space="preserve"> </w:t>
      </w:r>
      <w:r w:rsidRPr="00F10BF4">
        <w:rPr>
          <w:rFonts w:cs="Arial"/>
          <w:szCs w:val="20"/>
          <w:lang w:val="sl-SI" w:bidi="en-US"/>
        </w:rPr>
        <w:t xml:space="preserve">člena </w:t>
      </w:r>
      <w:r w:rsidR="00CD7062" w:rsidRPr="00F10BF4">
        <w:rPr>
          <w:rFonts w:cs="Arial"/>
          <w:szCs w:val="20"/>
          <w:lang w:val="sl-SI" w:eastAsia="sl-SI"/>
        </w:rPr>
        <w:t xml:space="preserve">Zakona o izvrševanju proračunov Republike Slovenije za leti 2021 in 2022 (Uradni list RS, št. 174/20 – ZIPRS2122) </w:t>
      </w:r>
      <w:r w:rsidR="00675D9A" w:rsidRPr="00F10BF4">
        <w:rPr>
          <w:rFonts w:cs="Arial"/>
          <w:szCs w:val="20"/>
          <w:lang w:val="sl-SI" w:bidi="en-US"/>
        </w:rPr>
        <w:t>in</w:t>
      </w:r>
      <w:r w:rsidR="000D02C6" w:rsidRPr="00F10BF4">
        <w:rPr>
          <w:rFonts w:cs="Arial"/>
          <w:szCs w:val="20"/>
          <w:lang w:val="sl-SI" w:bidi="en-US"/>
        </w:rPr>
        <w:t xml:space="preserve"> 4</w:t>
      </w:r>
      <w:r w:rsidR="00F10BF4" w:rsidRPr="00F10BF4">
        <w:rPr>
          <w:rFonts w:cs="Arial"/>
          <w:szCs w:val="20"/>
          <w:lang w:val="sl-SI" w:bidi="en-US"/>
        </w:rPr>
        <w:t>1</w:t>
      </w:r>
      <w:r w:rsidR="000D02C6" w:rsidRPr="00F10BF4">
        <w:rPr>
          <w:rFonts w:cs="Arial"/>
          <w:szCs w:val="20"/>
          <w:lang w:val="sl-SI" w:bidi="en-US"/>
        </w:rPr>
        <w:t xml:space="preserve">. člena Zakona o javnih financah (Uradni list RS, št. 11/11 – uradno prečiščeno besedilo, 14/13 – </w:t>
      </w:r>
      <w:proofErr w:type="spellStart"/>
      <w:r w:rsidR="000D02C6" w:rsidRPr="00F10BF4">
        <w:rPr>
          <w:rFonts w:cs="Arial"/>
          <w:szCs w:val="20"/>
          <w:lang w:val="sl-SI" w:bidi="en-US"/>
        </w:rPr>
        <w:t>popr</w:t>
      </w:r>
      <w:proofErr w:type="spellEnd"/>
      <w:r w:rsidR="000D02C6" w:rsidRPr="00F10BF4">
        <w:rPr>
          <w:rFonts w:cs="Arial"/>
          <w:szCs w:val="20"/>
          <w:lang w:val="sl-SI" w:bidi="en-US"/>
        </w:rPr>
        <w:t xml:space="preserve">., 101/13, 55/15 – </w:t>
      </w:r>
      <w:proofErr w:type="spellStart"/>
      <w:r w:rsidR="000D02C6" w:rsidRPr="00F10BF4">
        <w:rPr>
          <w:rFonts w:cs="Arial"/>
          <w:szCs w:val="20"/>
          <w:lang w:val="sl-SI" w:bidi="en-US"/>
        </w:rPr>
        <w:t>ZFisP</w:t>
      </w:r>
      <w:proofErr w:type="spellEnd"/>
      <w:r w:rsidR="000D02C6" w:rsidRPr="00F10BF4">
        <w:rPr>
          <w:rFonts w:cs="Arial"/>
          <w:szCs w:val="20"/>
          <w:lang w:val="sl-SI" w:bidi="en-US"/>
        </w:rPr>
        <w:t xml:space="preserve">, 96/15 – ZIPRS1617 in 13/18) </w:t>
      </w:r>
      <w:r w:rsidRPr="00F10BF4">
        <w:rPr>
          <w:rFonts w:cs="Arial"/>
          <w:szCs w:val="20"/>
          <w:lang w:val="sl-SI" w:bidi="en-US"/>
        </w:rPr>
        <w:t>na seji......., dne......... sprejela naslednji</w:t>
      </w:r>
    </w:p>
    <w:p w:rsidR="0030593F" w:rsidRPr="00F10BF4" w:rsidRDefault="0030593F" w:rsidP="0030593F">
      <w:pPr>
        <w:autoSpaceDN w:val="0"/>
        <w:jc w:val="both"/>
        <w:rPr>
          <w:rFonts w:cs="Arial"/>
          <w:szCs w:val="20"/>
          <w:lang w:eastAsia="ko-KR"/>
        </w:rPr>
      </w:pPr>
    </w:p>
    <w:p w:rsidR="00A9055E" w:rsidRPr="00F10BF4" w:rsidRDefault="00A9055E" w:rsidP="0030593F">
      <w:pPr>
        <w:autoSpaceDN w:val="0"/>
        <w:jc w:val="both"/>
        <w:rPr>
          <w:rFonts w:cs="Arial"/>
          <w:szCs w:val="20"/>
          <w:lang w:eastAsia="ko-KR"/>
        </w:rPr>
      </w:pPr>
    </w:p>
    <w:p w:rsidR="0030593F" w:rsidRPr="00F10BF4" w:rsidRDefault="0030593F" w:rsidP="0030593F">
      <w:pPr>
        <w:autoSpaceDN w:val="0"/>
        <w:jc w:val="center"/>
        <w:rPr>
          <w:rFonts w:cs="Arial"/>
          <w:b/>
          <w:bCs/>
          <w:szCs w:val="20"/>
          <w:lang w:eastAsia="ko-KR"/>
        </w:rPr>
      </w:pPr>
      <w:r w:rsidRPr="00F10BF4">
        <w:rPr>
          <w:rFonts w:cs="Arial"/>
          <w:b/>
          <w:bCs/>
          <w:szCs w:val="20"/>
          <w:lang w:eastAsia="ko-KR"/>
        </w:rPr>
        <w:t>SKLEP</w:t>
      </w:r>
    </w:p>
    <w:p w:rsidR="0030593F" w:rsidRPr="00F10BF4" w:rsidRDefault="0030593F" w:rsidP="0030593F">
      <w:pPr>
        <w:autoSpaceDN w:val="0"/>
        <w:jc w:val="center"/>
        <w:rPr>
          <w:rFonts w:cs="Arial"/>
          <w:b/>
          <w:bCs/>
          <w:szCs w:val="20"/>
          <w:lang w:eastAsia="ko-KR"/>
        </w:rPr>
      </w:pPr>
    </w:p>
    <w:p w:rsidR="0030593F" w:rsidRPr="00F10BF4" w:rsidRDefault="0030593F" w:rsidP="009F5125">
      <w:pPr>
        <w:overflowPunct w:val="0"/>
        <w:autoSpaceDE w:val="0"/>
        <w:autoSpaceDN w:val="0"/>
        <w:ind w:left="720"/>
        <w:jc w:val="both"/>
        <w:rPr>
          <w:rFonts w:cs="Arial"/>
          <w:szCs w:val="20"/>
        </w:rPr>
      </w:pPr>
    </w:p>
    <w:p w:rsidR="005B219F" w:rsidRPr="00F10BF4" w:rsidRDefault="002D439A" w:rsidP="00DA332E">
      <w:pPr>
        <w:numPr>
          <w:ilvl w:val="0"/>
          <w:numId w:val="11"/>
        </w:numPr>
        <w:overflowPunct w:val="0"/>
        <w:autoSpaceDE w:val="0"/>
        <w:autoSpaceDN w:val="0"/>
        <w:jc w:val="both"/>
        <w:rPr>
          <w:rFonts w:cs="Arial"/>
          <w:color w:val="000000" w:themeColor="text1"/>
          <w:szCs w:val="20"/>
        </w:rPr>
      </w:pPr>
      <w:r w:rsidRPr="00F10BF4">
        <w:rPr>
          <w:rFonts w:cs="Arial"/>
          <w:color w:val="000000" w:themeColor="text1"/>
          <w:szCs w:val="20"/>
        </w:rPr>
        <w:t xml:space="preserve">Pri proračunskemu uporabniku </w:t>
      </w:r>
      <w:r w:rsidR="00027579" w:rsidRPr="00F10BF4">
        <w:rPr>
          <w:rFonts w:cs="Arial"/>
          <w:color w:val="000000" w:themeColor="text1"/>
          <w:szCs w:val="20"/>
        </w:rPr>
        <w:t>16</w:t>
      </w:r>
      <w:r w:rsidR="005E67FB" w:rsidRPr="00F10BF4">
        <w:rPr>
          <w:rFonts w:cs="Arial"/>
          <w:color w:val="000000" w:themeColor="text1"/>
          <w:szCs w:val="20"/>
        </w:rPr>
        <w:t>11</w:t>
      </w:r>
      <w:r w:rsidR="00027579" w:rsidRPr="00F10BF4">
        <w:rPr>
          <w:rFonts w:cs="Arial"/>
          <w:color w:val="000000" w:themeColor="text1"/>
          <w:szCs w:val="20"/>
        </w:rPr>
        <w:t xml:space="preserve"> </w:t>
      </w:r>
      <w:r w:rsidR="005E67FB" w:rsidRPr="00F10BF4">
        <w:rPr>
          <w:rFonts w:cs="Arial"/>
          <w:color w:val="000000" w:themeColor="text1"/>
        </w:rPr>
        <w:t>Ministrstvo za finance</w:t>
      </w:r>
      <w:r w:rsidR="00027579" w:rsidRPr="00F10BF4">
        <w:rPr>
          <w:rFonts w:cs="Arial"/>
          <w:color w:val="000000" w:themeColor="text1"/>
        </w:rPr>
        <w:t xml:space="preserve"> Republike Slovenije</w:t>
      </w:r>
      <w:r w:rsidR="006C4A5C" w:rsidRPr="00F10BF4">
        <w:rPr>
          <w:rFonts w:cs="Arial"/>
          <w:color w:val="000000" w:themeColor="text1"/>
          <w:szCs w:val="20"/>
        </w:rPr>
        <w:t xml:space="preserve"> </w:t>
      </w:r>
      <w:r w:rsidRPr="00F10BF4">
        <w:rPr>
          <w:rFonts w:cs="Arial"/>
          <w:color w:val="000000" w:themeColor="text1"/>
          <w:szCs w:val="20"/>
        </w:rPr>
        <w:t xml:space="preserve">se v okviru glavnega programa </w:t>
      </w:r>
      <w:r w:rsidR="00CC47E6" w:rsidRPr="00F10BF4">
        <w:rPr>
          <w:rFonts w:cs="Arial"/>
          <w:color w:val="000000" w:themeColor="text1"/>
          <w:szCs w:val="20"/>
        </w:rPr>
        <w:t>0</w:t>
      </w:r>
      <w:r w:rsidR="001817E4" w:rsidRPr="00F10BF4">
        <w:rPr>
          <w:rFonts w:cs="Arial"/>
          <w:color w:val="000000" w:themeColor="text1"/>
          <w:szCs w:val="20"/>
        </w:rPr>
        <w:t>6</w:t>
      </w:r>
      <w:r w:rsidR="00CC47E6" w:rsidRPr="00F10BF4">
        <w:rPr>
          <w:rFonts w:cs="Arial"/>
          <w:color w:val="000000" w:themeColor="text1"/>
          <w:szCs w:val="20"/>
        </w:rPr>
        <w:t>0</w:t>
      </w:r>
      <w:r w:rsidR="001817E4" w:rsidRPr="00F10BF4">
        <w:rPr>
          <w:rFonts w:cs="Arial"/>
          <w:color w:val="000000" w:themeColor="text1"/>
          <w:szCs w:val="20"/>
        </w:rPr>
        <w:t>3</w:t>
      </w:r>
      <w:r w:rsidRPr="00F10BF4">
        <w:rPr>
          <w:rFonts w:cs="Arial"/>
          <w:color w:val="000000" w:themeColor="text1"/>
          <w:szCs w:val="20"/>
        </w:rPr>
        <w:t xml:space="preserve"> – </w:t>
      </w:r>
      <w:r w:rsidR="001817E4" w:rsidRPr="00F10BF4">
        <w:rPr>
          <w:rFonts w:cs="Arial"/>
          <w:color w:val="000000" w:themeColor="text1"/>
          <w:szCs w:val="20"/>
        </w:rPr>
        <w:t xml:space="preserve">Lokalno razvojna infrastruktura in podprograma </w:t>
      </w:r>
      <w:r w:rsidR="00CC47E6" w:rsidRPr="00F10BF4">
        <w:rPr>
          <w:rFonts w:cs="Arial"/>
          <w:color w:val="000000" w:themeColor="text1"/>
          <w:szCs w:val="20"/>
        </w:rPr>
        <w:t>0</w:t>
      </w:r>
      <w:r w:rsidR="001817E4" w:rsidRPr="00F10BF4">
        <w:rPr>
          <w:rFonts w:cs="Arial"/>
          <w:color w:val="000000" w:themeColor="text1"/>
          <w:szCs w:val="20"/>
        </w:rPr>
        <w:t>6</w:t>
      </w:r>
      <w:r w:rsidR="00CC47E6" w:rsidRPr="00F10BF4">
        <w:rPr>
          <w:rFonts w:cs="Arial"/>
          <w:color w:val="000000" w:themeColor="text1"/>
          <w:szCs w:val="20"/>
        </w:rPr>
        <w:t>0</w:t>
      </w:r>
      <w:r w:rsidR="001817E4" w:rsidRPr="00F10BF4">
        <w:rPr>
          <w:rFonts w:cs="Arial"/>
          <w:color w:val="000000" w:themeColor="text1"/>
          <w:szCs w:val="20"/>
        </w:rPr>
        <w:t>3</w:t>
      </w:r>
      <w:r w:rsidR="00CC47E6" w:rsidRPr="00F10BF4">
        <w:rPr>
          <w:rFonts w:cs="Arial"/>
          <w:color w:val="000000" w:themeColor="text1"/>
          <w:szCs w:val="20"/>
        </w:rPr>
        <w:t>01</w:t>
      </w:r>
      <w:r w:rsidRPr="00F10BF4">
        <w:rPr>
          <w:rFonts w:cs="Arial"/>
          <w:color w:val="000000" w:themeColor="text1"/>
          <w:szCs w:val="20"/>
        </w:rPr>
        <w:t xml:space="preserve"> – </w:t>
      </w:r>
      <w:r w:rsidR="001817E4" w:rsidRPr="00F10BF4">
        <w:rPr>
          <w:rFonts w:cs="Arial"/>
          <w:color w:val="000000" w:themeColor="text1"/>
          <w:szCs w:val="20"/>
        </w:rPr>
        <w:t>Lokalno razvojna infrastruktura</w:t>
      </w:r>
      <w:r w:rsidR="00A52D37" w:rsidRPr="00F10BF4">
        <w:rPr>
          <w:rFonts w:cs="Arial"/>
          <w:color w:val="000000" w:themeColor="text1"/>
          <w:szCs w:val="20"/>
        </w:rPr>
        <w:t>,</w:t>
      </w:r>
      <w:r w:rsidR="00CD7062" w:rsidRPr="00F10BF4">
        <w:rPr>
          <w:rFonts w:cs="Arial"/>
          <w:color w:val="000000" w:themeColor="text1"/>
          <w:szCs w:val="20"/>
        </w:rPr>
        <w:t xml:space="preserve"> odpre proračunska postavka</w:t>
      </w:r>
      <w:r w:rsidRPr="00F10BF4">
        <w:rPr>
          <w:rFonts w:cs="Arial"/>
          <w:color w:val="000000" w:themeColor="text1"/>
          <w:szCs w:val="20"/>
        </w:rPr>
        <w:t>:</w:t>
      </w:r>
    </w:p>
    <w:p w:rsidR="002D439A" w:rsidRPr="00F10BF4" w:rsidRDefault="002D439A" w:rsidP="005B219F">
      <w:pPr>
        <w:overflowPunct w:val="0"/>
        <w:autoSpaceDE w:val="0"/>
        <w:autoSpaceDN w:val="0"/>
        <w:ind w:left="720"/>
        <w:jc w:val="both"/>
        <w:rPr>
          <w:rFonts w:cs="Arial"/>
          <w:color w:val="000000" w:themeColor="text1"/>
          <w:szCs w:val="20"/>
        </w:rPr>
      </w:pPr>
      <w:r w:rsidRPr="00F10BF4">
        <w:rPr>
          <w:rFonts w:cs="Arial"/>
          <w:color w:val="000000" w:themeColor="text1"/>
          <w:szCs w:val="20"/>
        </w:rPr>
        <w:t xml:space="preserve"> </w:t>
      </w:r>
    </w:p>
    <w:p w:rsidR="00027579" w:rsidRPr="00F10BF4" w:rsidRDefault="005E67FB" w:rsidP="00EE7DE8">
      <w:pPr>
        <w:numPr>
          <w:ilvl w:val="1"/>
          <w:numId w:val="7"/>
        </w:numPr>
        <w:overflowPunct w:val="0"/>
        <w:autoSpaceDE w:val="0"/>
        <w:autoSpaceDN w:val="0"/>
        <w:jc w:val="both"/>
        <w:rPr>
          <w:rFonts w:cs="Arial"/>
          <w:color w:val="000000" w:themeColor="text1"/>
          <w:szCs w:val="20"/>
        </w:rPr>
      </w:pPr>
      <w:r w:rsidRPr="00F10BF4">
        <w:rPr>
          <w:iCs/>
          <w:color w:val="000000" w:themeColor="text1"/>
          <w:szCs w:val="20"/>
        </w:rPr>
        <w:t>211101 Sredstva za uravnoteženje razvitosti občin</w:t>
      </w:r>
    </w:p>
    <w:p w:rsidR="00EE7DE8" w:rsidRPr="00F10BF4" w:rsidRDefault="00EE7DE8" w:rsidP="00EE7DE8">
      <w:pPr>
        <w:overflowPunct w:val="0"/>
        <w:autoSpaceDE w:val="0"/>
        <w:autoSpaceDN w:val="0"/>
        <w:ind w:left="1440"/>
        <w:jc w:val="both"/>
        <w:rPr>
          <w:rFonts w:cs="Arial"/>
          <w:color w:val="000000" w:themeColor="text1"/>
          <w:szCs w:val="20"/>
        </w:rPr>
      </w:pPr>
    </w:p>
    <w:p w:rsidR="00F6055D" w:rsidRPr="00F6055D" w:rsidRDefault="00F6055D" w:rsidP="00F6055D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 w:bidi="ar-SA"/>
        </w:rPr>
      </w:pPr>
      <w:bookmarkStart w:id="2" w:name="_Hlk61517640"/>
      <w:r w:rsidRPr="00F6055D">
        <w:rPr>
          <w:rFonts w:ascii="Arial" w:hAnsi="Arial" w:cs="Arial"/>
          <w:color w:val="000000" w:themeColor="text1"/>
          <w:sz w:val="20"/>
          <w:szCs w:val="20"/>
          <w:lang w:val="sl-SI" w:bidi="ar-SA"/>
        </w:rPr>
        <w:t>Sredstva za pokrivanje obveznosti na proračunski postavki 211101 Sredstva za uravnoteženje razvitosti občin, konto 4130 Tekoči transferi občinam, se zagotovijo s prerazporeditvijo pravic porabe iz finančnega načrta Ministrstva za gospodarski razvoj in tehnologijo v finančni načrt Ministrstva za finance v skupni višini 48.512.467 EUR.</w:t>
      </w:r>
    </w:p>
    <w:p w:rsidR="00F449FF" w:rsidRPr="00F6055D" w:rsidRDefault="00F449FF" w:rsidP="00F6055D">
      <w:pPr>
        <w:ind w:left="360"/>
        <w:jc w:val="both"/>
        <w:rPr>
          <w:rFonts w:cs="Arial"/>
          <w:szCs w:val="20"/>
        </w:rPr>
      </w:pPr>
      <w:bookmarkStart w:id="3" w:name="_GoBack"/>
      <w:bookmarkEnd w:id="3"/>
    </w:p>
    <w:bookmarkEnd w:id="2"/>
    <w:p w:rsidR="00073F42" w:rsidRDefault="00073F42" w:rsidP="002D439A">
      <w:pPr>
        <w:overflowPunct w:val="0"/>
        <w:autoSpaceDE w:val="0"/>
        <w:autoSpaceDN w:val="0"/>
        <w:ind w:left="720"/>
        <w:jc w:val="both"/>
        <w:rPr>
          <w:rFonts w:cs="Arial"/>
          <w:szCs w:val="20"/>
        </w:rPr>
      </w:pPr>
    </w:p>
    <w:p w:rsidR="00447027" w:rsidRDefault="00447027" w:rsidP="002D439A">
      <w:pPr>
        <w:overflowPunct w:val="0"/>
        <w:autoSpaceDE w:val="0"/>
        <w:autoSpaceDN w:val="0"/>
        <w:ind w:left="720"/>
        <w:jc w:val="both"/>
        <w:rPr>
          <w:rFonts w:cs="Arial"/>
          <w:szCs w:val="20"/>
        </w:rPr>
      </w:pPr>
    </w:p>
    <w:p w:rsidR="002D439A" w:rsidRDefault="002D439A" w:rsidP="002D439A">
      <w:pPr>
        <w:overflowPunct w:val="0"/>
        <w:autoSpaceDE w:val="0"/>
        <w:autoSpaceDN w:val="0"/>
        <w:ind w:left="720"/>
        <w:jc w:val="both"/>
        <w:rPr>
          <w:rFonts w:cs="Arial"/>
          <w:szCs w:val="20"/>
        </w:rPr>
      </w:pPr>
    </w:p>
    <w:p w:rsidR="00FB62EF" w:rsidRDefault="00FB62EF" w:rsidP="00FB62EF">
      <w:pPr>
        <w:tabs>
          <w:tab w:val="left" w:pos="4536"/>
        </w:tabs>
        <w:suppressAutoHyphens/>
        <w:spacing w:line="312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</w:t>
      </w:r>
      <w:r w:rsidR="005B219F">
        <w:rPr>
          <w:rFonts w:cs="Arial"/>
          <w:szCs w:val="20"/>
        </w:rPr>
        <w:t xml:space="preserve">     </w:t>
      </w:r>
      <w:r>
        <w:rPr>
          <w:rFonts w:cs="Arial"/>
          <w:szCs w:val="20"/>
        </w:rPr>
        <w:t xml:space="preserve"> dr. Božo Predalič</w:t>
      </w:r>
    </w:p>
    <w:p w:rsidR="0030593F" w:rsidRPr="00441804" w:rsidRDefault="00FB62EF" w:rsidP="00FB62EF">
      <w:pPr>
        <w:tabs>
          <w:tab w:val="center" w:pos="6804"/>
        </w:tabs>
        <w:overflowPunct w:val="0"/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cs="Arial"/>
          <w:szCs w:val="20"/>
        </w:rPr>
        <w:tab/>
        <w:t xml:space="preserve"> generalni sekretar</w:t>
      </w:r>
    </w:p>
    <w:p w:rsidR="0098337C" w:rsidRPr="00441804" w:rsidRDefault="0098337C" w:rsidP="00AC5FC5">
      <w:pPr>
        <w:jc w:val="center"/>
        <w:rPr>
          <w:rFonts w:eastAsia="Batang" w:cs="Arial"/>
          <w:b/>
          <w:bCs/>
          <w:lang w:eastAsia="ko-KR"/>
        </w:rPr>
      </w:pPr>
    </w:p>
    <w:p w:rsidR="00F449FF" w:rsidRDefault="00F449FF" w:rsidP="00AC5FC5">
      <w:pPr>
        <w:jc w:val="center"/>
        <w:rPr>
          <w:rFonts w:eastAsia="Batang" w:cs="Arial"/>
          <w:b/>
          <w:bCs/>
          <w:lang w:eastAsia="ko-KR"/>
        </w:rPr>
      </w:pPr>
    </w:p>
    <w:p w:rsidR="009B5519" w:rsidRDefault="009B5519" w:rsidP="009B5519">
      <w:pPr>
        <w:pStyle w:val="Neotevilenodstavek"/>
        <w:tabs>
          <w:tab w:val="left" w:pos="142"/>
        </w:tabs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>Prejmejo:</w:t>
      </w:r>
    </w:p>
    <w:p w:rsidR="009B5519" w:rsidRDefault="009B5519" w:rsidP="009B5519">
      <w:pPr>
        <w:pStyle w:val="Neotevilenodstavek"/>
        <w:numPr>
          <w:ilvl w:val="0"/>
          <w:numId w:val="14"/>
        </w:numPr>
        <w:tabs>
          <w:tab w:val="left" w:pos="142"/>
        </w:tabs>
        <w:spacing w:before="0" w:after="0" w:line="260" w:lineRule="exact"/>
        <w:ind w:left="0" w:firstLine="0"/>
        <w:textAlignment w:val="auto"/>
        <w:rPr>
          <w:iCs/>
          <w:sz w:val="20"/>
          <w:szCs w:val="20"/>
        </w:rPr>
      </w:pPr>
      <w:r>
        <w:rPr>
          <w:iCs/>
          <w:sz w:val="20"/>
          <w:szCs w:val="20"/>
        </w:rPr>
        <w:t>Ministrstvo za finance</w:t>
      </w:r>
    </w:p>
    <w:p w:rsidR="009B5519" w:rsidRDefault="009B5519" w:rsidP="009B5519">
      <w:pPr>
        <w:pStyle w:val="Neotevilenodstavek"/>
        <w:numPr>
          <w:ilvl w:val="0"/>
          <w:numId w:val="14"/>
        </w:numPr>
        <w:tabs>
          <w:tab w:val="left" w:pos="142"/>
        </w:tabs>
        <w:spacing w:before="0" w:after="0" w:line="260" w:lineRule="exact"/>
        <w:ind w:left="0" w:firstLine="0"/>
        <w:textAlignment w:val="auto"/>
        <w:rPr>
          <w:iCs/>
          <w:sz w:val="20"/>
          <w:szCs w:val="20"/>
        </w:rPr>
      </w:pPr>
      <w:r w:rsidRPr="003123D2">
        <w:rPr>
          <w:color w:val="000000" w:themeColor="text1"/>
          <w:sz w:val="20"/>
          <w:szCs w:val="20"/>
        </w:rPr>
        <w:t>Ministrstv</w:t>
      </w:r>
      <w:r>
        <w:rPr>
          <w:color w:val="000000" w:themeColor="text1"/>
          <w:sz w:val="20"/>
          <w:szCs w:val="20"/>
        </w:rPr>
        <w:t>o</w:t>
      </w:r>
      <w:r w:rsidRPr="003123D2">
        <w:rPr>
          <w:color w:val="000000" w:themeColor="text1"/>
          <w:sz w:val="20"/>
          <w:szCs w:val="20"/>
        </w:rPr>
        <w:t xml:space="preserve"> za gospodarski razvoj in tehnologijo</w:t>
      </w:r>
    </w:p>
    <w:p w:rsidR="009B5519" w:rsidRDefault="009B5519" w:rsidP="009B5519">
      <w:pPr>
        <w:pStyle w:val="Neotevilenodstavek"/>
        <w:numPr>
          <w:ilvl w:val="0"/>
          <w:numId w:val="14"/>
        </w:numPr>
        <w:tabs>
          <w:tab w:val="left" w:pos="142"/>
        </w:tabs>
        <w:spacing w:before="0" w:after="0" w:line="260" w:lineRule="exact"/>
        <w:ind w:left="0" w:firstLine="0"/>
        <w:textAlignment w:val="auto"/>
        <w:rPr>
          <w:iCs/>
          <w:sz w:val="20"/>
          <w:szCs w:val="20"/>
        </w:rPr>
      </w:pPr>
      <w:r>
        <w:rPr>
          <w:iCs/>
          <w:sz w:val="20"/>
          <w:szCs w:val="20"/>
        </w:rPr>
        <w:t>Urad Vlade Republike Slovenije za komuniciranje</w:t>
      </w:r>
    </w:p>
    <w:p w:rsidR="00F449FF" w:rsidRPr="00F449FF" w:rsidRDefault="00F449FF" w:rsidP="00F449FF">
      <w:pPr>
        <w:rPr>
          <w:rFonts w:eastAsia="Batang" w:cs="Arial"/>
          <w:lang w:eastAsia="ko-KR"/>
        </w:rPr>
      </w:pPr>
    </w:p>
    <w:p w:rsidR="00F449FF" w:rsidRPr="00F449FF" w:rsidRDefault="00F449FF" w:rsidP="00F449FF">
      <w:pPr>
        <w:rPr>
          <w:rFonts w:eastAsia="Batang" w:cs="Arial"/>
          <w:lang w:eastAsia="ko-KR"/>
        </w:rPr>
      </w:pPr>
    </w:p>
    <w:p w:rsidR="00F449FF" w:rsidRPr="00F449FF" w:rsidRDefault="00F449FF" w:rsidP="00F449FF">
      <w:pPr>
        <w:rPr>
          <w:rFonts w:eastAsia="Batang" w:cs="Arial"/>
          <w:lang w:eastAsia="ko-KR"/>
        </w:rPr>
      </w:pPr>
    </w:p>
    <w:p w:rsidR="008B4420" w:rsidRPr="00441804" w:rsidRDefault="00E42F0C" w:rsidP="00AC5FC5">
      <w:pPr>
        <w:jc w:val="center"/>
        <w:rPr>
          <w:rFonts w:eastAsia="Batang" w:cs="Arial"/>
          <w:b/>
          <w:bCs/>
          <w:lang w:eastAsia="ko-KR"/>
        </w:rPr>
      </w:pPr>
      <w:r w:rsidRPr="00F449FF">
        <w:rPr>
          <w:rFonts w:eastAsia="Batang" w:cs="Arial"/>
          <w:lang w:eastAsia="ko-KR"/>
        </w:rPr>
        <w:br w:type="page"/>
      </w:r>
      <w:r w:rsidR="008B4420" w:rsidRPr="00441804">
        <w:rPr>
          <w:rFonts w:eastAsia="Batang" w:cs="Arial"/>
          <w:b/>
          <w:bCs/>
          <w:lang w:eastAsia="ko-KR"/>
        </w:rPr>
        <w:lastRenderedPageBreak/>
        <w:t>OBRAZLOŽITEV</w:t>
      </w:r>
    </w:p>
    <w:p w:rsidR="003225F9" w:rsidRDefault="003225F9" w:rsidP="00AC5FC5">
      <w:pPr>
        <w:jc w:val="center"/>
        <w:rPr>
          <w:rFonts w:eastAsia="Batang" w:cs="Arial"/>
          <w:lang w:eastAsia="ko-KR"/>
        </w:rPr>
      </w:pPr>
    </w:p>
    <w:p w:rsidR="00F66249" w:rsidRDefault="005B219F" w:rsidP="00F66249">
      <w:pPr>
        <w:jc w:val="both"/>
        <w:rPr>
          <w:rFonts w:eastAsia="Batang" w:cs="Arial"/>
          <w:lang w:eastAsia="ko-KR"/>
        </w:rPr>
      </w:pPr>
      <w:r w:rsidRPr="005B219F">
        <w:rPr>
          <w:rFonts w:eastAsia="Batang" w:cs="Arial"/>
          <w:lang w:eastAsia="ko-KR"/>
        </w:rPr>
        <w:t xml:space="preserve">Z Zakonom o finančni razbremenitvi občin (Uradni list RS, št. 189/20, v nadaljevanju: ZFRO), ki je pričel veljati  30.12.2020, uporabljati pa se je pričel s 1.1.2021, so se v Zakonu o financiranju občin (Uradni list RS, št. 123/06, 57/08, 36/11, 14/15 – ZUUJFO, 71/17, 21/18 – </w:t>
      </w:r>
      <w:proofErr w:type="spellStart"/>
      <w:r w:rsidRPr="005B219F">
        <w:rPr>
          <w:rFonts w:eastAsia="Batang" w:cs="Arial"/>
          <w:lang w:eastAsia="ko-KR"/>
        </w:rPr>
        <w:t>popr</w:t>
      </w:r>
      <w:proofErr w:type="spellEnd"/>
      <w:r w:rsidRPr="005B219F">
        <w:rPr>
          <w:rFonts w:eastAsia="Batang" w:cs="Arial"/>
          <w:lang w:eastAsia="ko-KR"/>
        </w:rPr>
        <w:t xml:space="preserve">. in 80/20 – ZIUOOPE,  v nadaljevanju: (ZFO-1)) črtale oz. dodale nekatere določbe. Tako se je z 20. členom ZFRO v ZFO-1 dodal nov 15.a člen, ki določa izračun deleža za zagotavljanje dodatnih sredstev za uravnoteženje razvitosti občin. S 23. členom ZFRO se je črtal drugi odstavek 21. člena ZFO-1, ki je določal odstotek sredstev za sofinanciranje investicij. S 24. členom ZFRO se je črtal 23. člen ZFO-1, ki je določal izračun deleža sredstev občine za sofinanciranje investicij. S 27. členom ZFRO pa se je v Zakonu o spremembah in dopolnitvah Zakona o financiranju občin (Uradni list RS, št. 71/17 in 21/18 – </w:t>
      </w:r>
      <w:proofErr w:type="spellStart"/>
      <w:r w:rsidRPr="005B219F">
        <w:rPr>
          <w:rFonts w:eastAsia="Batang" w:cs="Arial"/>
          <w:lang w:eastAsia="ko-KR"/>
        </w:rPr>
        <w:t>popr</w:t>
      </w:r>
      <w:proofErr w:type="spellEnd"/>
      <w:r w:rsidRPr="005B219F">
        <w:rPr>
          <w:rFonts w:eastAsia="Batang" w:cs="Arial"/>
          <w:lang w:eastAsia="ko-KR"/>
        </w:rPr>
        <w:t>.) črtal 10. člen, ki je določal zagotavljanje sredstev občinam za sofinanciranje investicij.</w:t>
      </w:r>
    </w:p>
    <w:p w:rsidR="005B219F" w:rsidRDefault="005B219F" w:rsidP="00F66249">
      <w:pPr>
        <w:jc w:val="both"/>
        <w:rPr>
          <w:rFonts w:eastAsia="Batang" w:cs="Arial"/>
          <w:lang w:eastAsia="ko-KR"/>
        </w:rPr>
      </w:pPr>
    </w:p>
    <w:p w:rsidR="005B219F" w:rsidRPr="005B219F" w:rsidRDefault="005B219F" w:rsidP="005B219F">
      <w:pPr>
        <w:jc w:val="both"/>
        <w:rPr>
          <w:rFonts w:eastAsia="Batang" w:cs="Arial"/>
          <w:lang w:eastAsia="ko-KR"/>
        </w:rPr>
      </w:pPr>
      <w:r w:rsidRPr="005B219F">
        <w:rPr>
          <w:rFonts w:eastAsia="Batang" w:cs="Arial"/>
          <w:lang w:eastAsia="ko-KR"/>
        </w:rPr>
        <w:t>Skladno z navedenim bodo tako občine, namesto deleža dodatnih sredstev za financiranje investicijskih projektov, prejemale sredstva za uravnoteženje razvitosti občin,</w:t>
      </w:r>
      <w:r w:rsidR="001817E4">
        <w:rPr>
          <w:rFonts w:eastAsia="Batang" w:cs="Arial"/>
          <w:lang w:eastAsia="ko-KR"/>
        </w:rPr>
        <w:t xml:space="preserve"> </w:t>
      </w:r>
      <w:r w:rsidRPr="005B219F">
        <w:rPr>
          <w:rFonts w:eastAsia="Batang" w:cs="Arial"/>
          <w:lang w:eastAsia="ko-KR"/>
        </w:rPr>
        <w:t xml:space="preserve">ki jih bo mesečno zagotavljalo Ministrstvo za finance. </w:t>
      </w:r>
    </w:p>
    <w:p w:rsidR="005B219F" w:rsidRPr="005B219F" w:rsidRDefault="005B219F" w:rsidP="005B219F">
      <w:pPr>
        <w:jc w:val="both"/>
        <w:rPr>
          <w:rFonts w:eastAsia="Batang" w:cs="Arial"/>
          <w:lang w:eastAsia="ko-KR"/>
        </w:rPr>
      </w:pPr>
    </w:p>
    <w:p w:rsidR="005B219F" w:rsidRDefault="005B219F" w:rsidP="005B219F">
      <w:pPr>
        <w:jc w:val="both"/>
        <w:rPr>
          <w:rFonts w:eastAsia="Batang" w:cs="Arial"/>
          <w:lang w:eastAsia="ko-KR"/>
        </w:rPr>
      </w:pPr>
      <w:r w:rsidRPr="005B219F">
        <w:rPr>
          <w:rFonts w:eastAsia="Batang" w:cs="Arial"/>
          <w:lang w:eastAsia="ko-KR"/>
        </w:rPr>
        <w:t xml:space="preserve">Glede na to, da je bil ZFRO sprejet po sprejetih Spremembah proračuna RS za leto 2021 in glede na to, da so bila sredstva za sofinanciranje investicijskih projektov občin načrtovana v okviru finančnega načrta Ministrstva za gospodarski razvoj in tehnologijo </w:t>
      </w:r>
      <w:r>
        <w:rPr>
          <w:rFonts w:eastAsia="Batang" w:cs="Arial"/>
          <w:lang w:eastAsia="ko-KR"/>
        </w:rPr>
        <w:t xml:space="preserve">je potrebno v </w:t>
      </w:r>
      <w:r w:rsidRPr="005B219F">
        <w:rPr>
          <w:rFonts w:eastAsia="Batang" w:cs="Arial"/>
          <w:lang w:eastAsia="ko-KR"/>
        </w:rPr>
        <w:t>finančnem načrtu Ministrstva za finance Republike Slovenije odpre</w:t>
      </w:r>
      <w:r>
        <w:rPr>
          <w:rFonts w:eastAsia="Batang" w:cs="Arial"/>
          <w:lang w:eastAsia="ko-KR"/>
        </w:rPr>
        <w:t>ti novo</w:t>
      </w:r>
      <w:r w:rsidRPr="005B219F">
        <w:rPr>
          <w:rFonts w:eastAsia="Batang" w:cs="Arial"/>
          <w:lang w:eastAsia="ko-KR"/>
        </w:rPr>
        <w:t xml:space="preserve"> proračunsk</w:t>
      </w:r>
      <w:r>
        <w:rPr>
          <w:rFonts w:eastAsia="Batang" w:cs="Arial"/>
          <w:lang w:eastAsia="ko-KR"/>
        </w:rPr>
        <w:t>o</w:t>
      </w:r>
      <w:r w:rsidRPr="005B219F">
        <w:rPr>
          <w:rFonts w:eastAsia="Batang" w:cs="Arial"/>
          <w:lang w:eastAsia="ko-KR"/>
        </w:rPr>
        <w:t xml:space="preserve"> postavk</w:t>
      </w:r>
      <w:r>
        <w:rPr>
          <w:rFonts w:eastAsia="Batang" w:cs="Arial"/>
          <w:lang w:eastAsia="ko-KR"/>
        </w:rPr>
        <w:t>o</w:t>
      </w:r>
      <w:r w:rsidRPr="005B219F">
        <w:rPr>
          <w:rFonts w:eastAsia="Batang" w:cs="Arial"/>
          <w:lang w:eastAsia="ko-KR"/>
        </w:rPr>
        <w:t xml:space="preserve"> 211101 Sredstva za uravnoteženje razvitosti občin</w:t>
      </w:r>
      <w:r w:rsidR="001D4769">
        <w:rPr>
          <w:rFonts w:eastAsia="Batang" w:cs="Arial"/>
          <w:lang w:eastAsia="ko-KR"/>
        </w:rPr>
        <w:t xml:space="preserve"> in zagotoviti sredstva z</w:t>
      </w:r>
      <w:r w:rsidR="00485912">
        <w:rPr>
          <w:rFonts w:eastAsia="Batang" w:cs="Arial"/>
          <w:lang w:eastAsia="ko-KR"/>
        </w:rPr>
        <w:t>a</w:t>
      </w:r>
      <w:r w:rsidR="001D4769">
        <w:rPr>
          <w:rFonts w:eastAsia="Batang" w:cs="Arial"/>
          <w:lang w:eastAsia="ko-KR"/>
        </w:rPr>
        <w:t xml:space="preserve"> pokrivanje teh obveznosti</w:t>
      </w:r>
      <w:r w:rsidR="001817E4">
        <w:rPr>
          <w:rFonts w:eastAsia="Batang" w:cs="Arial"/>
          <w:lang w:eastAsia="ko-KR"/>
        </w:rPr>
        <w:t>.</w:t>
      </w:r>
    </w:p>
    <w:p w:rsidR="005B219F" w:rsidRDefault="005B219F" w:rsidP="005B219F">
      <w:pPr>
        <w:jc w:val="both"/>
        <w:rPr>
          <w:rFonts w:eastAsia="Batang" w:cs="Arial"/>
          <w:lang w:eastAsia="ko-KR"/>
        </w:rPr>
      </w:pPr>
    </w:p>
    <w:p w:rsidR="00F66249" w:rsidRDefault="00D849F6" w:rsidP="00F66249">
      <w:pPr>
        <w:jc w:val="both"/>
        <w:rPr>
          <w:iCs/>
          <w:szCs w:val="20"/>
        </w:rPr>
      </w:pPr>
      <w:r w:rsidRPr="00D849F6">
        <w:rPr>
          <w:iCs/>
          <w:szCs w:val="20"/>
        </w:rPr>
        <w:t xml:space="preserve">Za uravnoteženje razvitosti občin je v letu 2021 potrebno zagotoviti </w:t>
      </w:r>
      <w:r>
        <w:rPr>
          <w:iCs/>
          <w:szCs w:val="20"/>
        </w:rPr>
        <w:t xml:space="preserve">skupaj </w:t>
      </w:r>
      <w:r w:rsidRPr="00D849F6">
        <w:rPr>
          <w:iCs/>
          <w:szCs w:val="20"/>
        </w:rPr>
        <w:t>77.584.501 EUR, od tega bo Ministrstv</w:t>
      </w:r>
      <w:r>
        <w:rPr>
          <w:iCs/>
          <w:szCs w:val="20"/>
        </w:rPr>
        <w:t>o</w:t>
      </w:r>
      <w:r w:rsidRPr="00D849F6">
        <w:rPr>
          <w:iCs/>
          <w:szCs w:val="20"/>
        </w:rPr>
        <w:t xml:space="preserve"> za gospodarski razvoj in tehnologijo</w:t>
      </w:r>
      <w:r>
        <w:rPr>
          <w:iCs/>
          <w:szCs w:val="20"/>
        </w:rPr>
        <w:t xml:space="preserve"> </w:t>
      </w:r>
      <w:r w:rsidRPr="00D849F6">
        <w:rPr>
          <w:iCs/>
          <w:szCs w:val="20"/>
        </w:rPr>
        <w:t>prerazporedilo sredstva višini 48.512.467 EUR.</w:t>
      </w:r>
      <w:r>
        <w:rPr>
          <w:iCs/>
          <w:szCs w:val="20"/>
        </w:rPr>
        <w:t xml:space="preserve"> </w:t>
      </w:r>
      <w:r w:rsidR="001D4769" w:rsidRPr="001D4769">
        <w:rPr>
          <w:iCs/>
          <w:szCs w:val="20"/>
        </w:rPr>
        <w:t xml:space="preserve">Sredstva za pokrivanje obveznosti na proračunski postavki 211101 Sredstva za uravnoteženje razvitosti občin, konto 4130 Tekoči transferi občinam, se zagotovijo </w:t>
      </w:r>
      <w:r w:rsidR="00485912">
        <w:rPr>
          <w:iCs/>
          <w:szCs w:val="20"/>
        </w:rPr>
        <w:t>s</w:t>
      </w:r>
      <w:r w:rsidR="003123D2">
        <w:rPr>
          <w:iCs/>
          <w:szCs w:val="20"/>
        </w:rPr>
        <w:t xml:space="preserve"> </w:t>
      </w:r>
      <w:r w:rsidR="001D4769" w:rsidRPr="001D4769">
        <w:rPr>
          <w:iCs/>
          <w:szCs w:val="20"/>
        </w:rPr>
        <w:t>prerazporeditvijo pravic porabe iz finančnega načrta Ministrstva za gospodarski razvoj in tehnologijo v finančni načrt Ministrstva za finance</w:t>
      </w:r>
      <w:r w:rsidR="00485912">
        <w:rPr>
          <w:iCs/>
          <w:szCs w:val="20"/>
        </w:rPr>
        <w:t xml:space="preserve"> v skladu z drugim odstavkom 27. člena ZIPRS2122.</w:t>
      </w:r>
      <w:r>
        <w:rPr>
          <w:iCs/>
          <w:szCs w:val="20"/>
        </w:rPr>
        <w:t xml:space="preserve"> </w:t>
      </w:r>
    </w:p>
    <w:p w:rsidR="00D849F6" w:rsidRDefault="00D849F6" w:rsidP="00F66249">
      <w:pPr>
        <w:jc w:val="both"/>
        <w:rPr>
          <w:rFonts w:cs="Arial"/>
          <w:szCs w:val="20"/>
        </w:rPr>
      </w:pPr>
    </w:p>
    <w:sectPr w:rsidR="00D849F6" w:rsidSect="004B50CC"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5CA" w:rsidRDefault="000555CA">
      <w:r>
        <w:separator/>
      </w:r>
    </w:p>
  </w:endnote>
  <w:endnote w:type="continuationSeparator" w:id="0">
    <w:p w:rsidR="000555CA" w:rsidRDefault="0005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0CC" w:rsidRPr="001941EA" w:rsidRDefault="004B50CC">
    <w:pPr>
      <w:pStyle w:val="Noga"/>
      <w:jc w:val="right"/>
      <w:rPr>
        <w:rFonts w:cs="Arial"/>
      </w:rPr>
    </w:pPr>
  </w:p>
  <w:p w:rsidR="004B50CC" w:rsidRDefault="004B50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5CA" w:rsidRDefault="000555CA">
      <w:r>
        <w:separator/>
      </w:r>
    </w:p>
  </w:footnote>
  <w:footnote w:type="continuationSeparator" w:id="0">
    <w:p w:rsidR="000555CA" w:rsidRDefault="0005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1F3" w:rsidRPr="00E21FF9" w:rsidRDefault="00D731F3" w:rsidP="005F456B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:rsidR="00D731F3" w:rsidRPr="008F3500" w:rsidRDefault="00D731F3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63625A"/>
    <w:multiLevelType w:val="hybridMultilevel"/>
    <w:tmpl w:val="A0A66922"/>
    <w:lvl w:ilvl="0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8D2A84"/>
    <w:multiLevelType w:val="hybridMultilevel"/>
    <w:tmpl w:val="87E60510"/>
    <w:lvl w:ilvl="0" w:tplc="550AF8E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7E283F"/>
    <w:multiLevelType w:val="hybridMultilevel"/>
    <w:tmpl w:val="30F226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57E61"/>
    <w:multiLevelType w:val="hybridMultilevel"/>
    <w:tmpl w:val="321A927A"/>
    <w:lvl w:ilvl="0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0"/>
  </w:num>
  <w:num w:numId="6">
    <w:abstractNumId w:val="10"/>
  </w:num>
  <w:num w:numId="7">
    <w:abstractNumId w:val="11"/>
  </w:num>
  <w:num w:numId="8">
    <w:abstractNumId w:val="13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  <w:num w:numId="13">
    <w:abstractNumId w:val="12"/>
  </w:num>
  <w:num w:numId="1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8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1082"/>
    <w:rsid w:val="00002ABF"/>
    <w:rsid w:val="00005AF9"/>
    <w:rsid w:val="0000751F"/>
    <w:rsid w:val="000151E4"/>
    <w:rsid w:val="00015651"/>
    <w:rsid w:val="00023A88"/>
    <w:rsid w:val="00023CA7"/>
    <w:rsid w:val="00025D7B"/>
    <w:rsid w:val="00027579"/>
    <w:rsid w:val="000302FE"/>
    <w:rsid w:val="00036784"/>
    <w:rsid w:val="00041F5D"/>
    <w:rsid w:val="00042A7A"/>
    <w:rsid w:val="000447FB"/>
    <w:rsid w:val="000523CB"/>
    <w:rsid w:val="000555CA"/>
    <w:rsid w:val="0005560B"/>
    <w:rsid w:val="0006198A"/>
    <w:rsid w:val="000660AE"/>
    <w:rsid w:val="00066894"/>
    <w:rsid w:val="000676FE"/>
    <w:rsid w:val="000703F6"/>
    <w:rsid w:val="00073150"/>
    <w:rsid w:val="00073F42"/>
    <w:rsid w:val="0007453D"/>
    <w:rsid w:val="000767EF"/>
    <w:rsid w:val="000803BC"/>
    <w:rsid w:val="000816B5"/>
    <w:rsid w:val="00091BBA"/>
    <w:rsid w:val="000A02FB"/>
    <w:rsid w:val="000A464C"/>
    <w:rsid w:val="000A6850"/>
    <w:rsid w:val="000A7238"/>
    <w:rsid w:val="000A7602"/>
    <w:rsid w:val="000A7C92"/>
    <w:rsid w:val="000B1395"/>
    <w:rsid w:val="000C2E45"/>
    <w:rsid w:val="000C4162"/>
    <w:rsid w:val="000C7041"/>
    <w:rsid w:val="000D02C6"/>
    <w:rsid w:val="000D26E7"/>
    <w:rsid w:val="000D2F28"/>
    <w:rsid w:val="000D34B5"/>
    <w:rsid w:val="000D34D9"/>
    <w:rsid w:val="000E0201"/>
    <w:rsid w:val="000E1F78"/>
    <w:rsid w:val="000F0A6B"/>
    <w:rsid w:val="000F0F64"/>
    <w:rsid w:val="000F1807"/>
    <w:rsid w:val="000F554C"/>
    <w:rsid w:val="00102E28"/>
    <w:rsid w:val="0010516D"/>
    <w:rsid w:val="001052FF"/>
    <w:rsid w:val="001123A8"/>
    <w:rsid w:val="00124D24"/>
    <w:rsid w:val="00130F79"/>
    <w:rsid w:val="001319EA"/>
    <w:rsid w:val="00133235"/>
    <w:rsid w:val="001357B2"/>
    <w:rsid w:val="001478DB"/>
    <w:rsid w:val="00152E76"/>
    <w:rsid w:val="00156BE8"/>
    <w:rsid w:val="00156FEA"/>
    <w:rsid w:val="00162312"/>
    <w:rsid w:val="00163451"/>
    <w:rsid w:val="00164422"/>
    <w:rsid w:val="00170318"/>
    <w:rsid w:val="00170BD8"/>
    <w:rsid w:val="00170E87"/>
    <w:rsid w:val="00171E3B"/>
    <w:rsid w:val="0017391C"/>
    <w:rsid w:val="0017449A"/>
    <w:rsid w:val="0017478F"/>
    <w:rsid w:val="001817E4"/>
    <w:rsid w:val="00182108"/>
    <w:rsid w:val="0018484E"/>
    <w:rsid w:val="00185096"/>
    <w:rsid w:val="0018551D"/>
    <w:rsid w:val="001903C2"/>
    <w:rsid w:val="0019610B"/>
    <w:rsid w:val="00197096"/>
    <w:rsid w:val="001A0E15"/>
    <w:rsid w:val="001A1CB6"/>
    <w:rsid w:val="001A7047"/>
    <w:rsid w:val="001B2012"/>
    <w:rsid w:val="001B5B3E"/>
    <w:rsid w:val="001B73A7"/>
    <w:rsid w:val="001C75BB"/>
    <w:rsid w:val="001C76D5"/>
    <w:rsid w:val="001D4769"/>
    <w:rsid w:val="001D52F5"/>
    <w:rsid w:val="001D6EAF"/>
    <w:rsid w:val="001E5A6E"/>
    <w:rsid w:val="001E6F5B"/>
    <w:rsid w:val="001F378F"/>
    <w:rsid w:val="001F5F54"/>
    <w:rsid w:val="001F6198"/>
    <w:rsid w:val="001F7DB0"/>
    <w:rsid w:val="00202A77"/>
    <w:rsid w:val="00203265"/>
    <w:rsid w:val="002136CB"/>
    <w:rsid w:val="0021426C"/>
    <w:rsid w:val="00220F38"/>
    <w:rsid w:val="00221B34"/>
    <w:rsid w:val="002400EF"/>
    <w:rsid w:val="00240390"/>
    <w:rsid w:val="00241885"/>
    <w:rsid w:val="00244437"/>
    <w:rsid w:val="00247153"/>
    <w:rsid w:val="002522DD"/>
    <w:rsid w:val="002530D3"/>
    <w:rsid w:val="00253775"/>
    <w:rsid w:val="002550BA"/>
    <w:rsid w:val="00255536"/>
    <w:rsid w:val="002559EA"/>
    <w:rsid w:val="002578BC"/>
    <w:rsid w:val="002604D5"/>
    <w:rsid w:val="00262061"/>
    <w:rsid w:val="002631BF"/>
    <w:rsid w:val="00263ED0"/>
    <w:rsid w:val="0026511B"/>
    <w:rsid w:val="002668E1"/>
    <w:rsid w:val="002718B6"/>
    <w:rsid w:val="00271CE5"/>
    <w:rsid w:val="00275F22"/>
    <w:rsid w:val="0028175F"/>
    <w:rsid w:val="00282020"/>
    <w:rsid w:val="00285BD5"/>
    <w:rsid w:val="00290B6B"/>
    <w:rsid w:val="0029411E"/>
    <w:rsid w:val="002967E0"/>
    <w:rsid w:val="002A0268"/>
    <w:rsid w:val="002A2B69"/>
    <w:rsid w:val="002A5B52"/>
    <w:rsid w:val="002A6C46"/>
    <w:rsid w:val="002B066B"/>
    <w:rsid w:val="002B3B47"/>
    <w:rsid w:val="002B6352"/>
    <w:rsid w:val="002C1F48"/>
    <w:rsid w:val="002C1FA5"/>
    <w:rsid w:val="002C2184"/>
    <w:rsid w:val="002C369B"/>
    <w:rsid w:val="002C71C1"/>
    <w:rsid w:val="002C7B2B"/>
    <w:rsid w:val="002C7E4D"/>
    <w:rsid w:val="002D066F"/>
    <w:rsid w:val="002D0692"/>
    <w:rsid w:val="002D0E05"/>
    <w:rsid w:val="002D439A"/>
    <w:rsid w:val="002D5EB8"/>
    <w:rsid w:val="002E14F4"/>
    <w:rsid w:val="002E364C"/>
    <w:rsid w:val="002E666F"/>
    <w:rsid w:val="002E7F59"/>
    <w:rsid w:val="002F0B0D"/>
    <w:rsid w:val="002F31A5"/>
    <w:rsid w:val="002F3381"/>
    <w:rsid w:val="002F54AC"/>
    <w:rsid w:val="002F7D6E"/>
    <w:rsid w:val="0030593F"/>
    <w:rsid w:val="003109AD"/>
    <w:rsid w:val="003123D2"/>
    <w:rsid w:val="00312921"/>
    <w:rsid w:val="0032208D"/>
    <w:rsid w:val="003225F9"/>
    <w:rsid w:val="00322627"/>
    <w:rsid w:val="003251E5"/>
    <w:rsid w:val="003252D4"/>
    <w:rsid w:val="00325FB5"/>
    <w:rsid w:val="003264B0"/>
    <w:rsid w:val="00327835"/>
    <w:rsid w:val="00330138"/>
    <w:rsid w:val="00333F8F"/>
    <w:rsid w:val="00334B27"/>
    <w:rsid w:val="00335484"/>
    <w:rsid w:val="00335A13"/>
    <w:rsid w:val="00336855"/>
    <w:rsid w:val="00340F52"/>
    <w:rsid w:val="00347009"/>
    <w:rsid w:val="00351B91"/>
    <w:rsid w:val="003545E8"/>
    <w:rsid w:val="00354AF6"/>
    <w:rsid w:val="00354D74"/>
    <w:rsid w:val="00361F73"/>
    <w:rsid w:val="003636BF"/>
    <w:rsid w:val="00364D06"/>
    <w:rsid w:val="00365CEE"/>
    <w:rsid w:val="00365F42"/>
    <w:rsid w:val="00371442"/>
    <w:rsid w:val="00371992"/>
    <w:rsid w:val="003740A0"/>
    <w:rsid w:val="0037673E"/>
    <w:rsid w:val="00377DC1"/>
    <w:rsid w:val="00383C00"/>
    <w:rsid w:val="003845B4"/>
    <w:rsid w:val="003849A6"/>
    <w:rsid w:val="00387B1A"/>
    <w:rsid w:val="003901F6"/>
    <w:rsid w:val="003902DE"/>
    <w:rsid w:val="00390DBD"/>
    <w:rsid w:val="00391FA4"/>
    <w:rsid w:val="0039214B"/>
    <w:rsid w:val="003943B6"/>
    <w:rsid w:val="003977E3"/>
    <w:rsid w:val="003A4BBA"/>
    <w:rsid w:val="003A66CC"/>
    <w:rsid w:val="003B1756"/>
    <w:rsid w:val="003B238D"/>
    <w:rsid w:val="003B3B65"/>
    <w:rsid w:val="003B3D59"/>
    <w:rsid w:val="003C17A0"/>
    <w:rsid w:val="003C2EEA"/>
    <w:rsid w:val="003C3BA5"/>
    <w:rsid w:val="003C5EE5"/>
    <w:rsid w:val="003C7916"/>
    <w:rsid w:val="003D1FA2"/>
    <w:rsid w:val="003D2295"/>
    <w:rsid w:val="003D4642"/>
    <w:rsid w:val="003D47DD"/>
    <w:rsid w:val="003E17D7"/>
    <w:rsid w:val="003E1C74"/>
    <w:rsid w:val="003E379D"/>
    <w:rsid w:val="003E72BB"/>
    <w:rsid w:val="003F179A"/>
    <w:rsid w:val="003F4D18"/>
    <w:rsid w:val="003F697E"/>
    <w:rsid w:val="00400065"/>
    <w:rsid w:val="00401AD1"/>
    <w:rsid w:val="004071D8"/>
    <w:rsid w:val="00411E39"/>
    <w:rsid w:val="00413904"/>
    <w:rsid w:val="0041787A"/>
    <w:rsid w:val="004215CD"/>
    <w:rsid w:val="0042163E"/>
    <w:rsid w:val="00426734"/>
    <w:rsid w:val="004347A0"/>
    <w:rsid w:val="004347AF"/>
    <w:rsid w:val="00436FE6"/>
    <w:rsid w:val="00441804"/>
    <w:rsid w:val="00441A0D"/>
    <w:rsid w:val="004422FA"/>
    <w:rsid w:val="00442C5B"/>
    <w:rsid w:val="00443783"/>
    <w:rsid w:val="00447027"/>
    <w:rsid w:val="004513DF"/>
    <w:rsid w:val="004529F5"/>
    <w:rsid w:val="0045551C"/>
    <w:rsid w:val="004602D8"/>
    <w:rsid w:val="00464091"/>
    <w:rsid w:val="004654EB"/>
    <w:rsid w:val="004657EE"/>
    <w:rsid w:val="0047045D"/>
    <w:rsid w:val="00472802"/>
    <w:rsid w:val="004740E2"/>
    <w:rsid w:val="00485912"/>
    <w:rsid w:val="00485F29"/>
    <w:rsid w:val="0049286C"/>
    <w:rsid w:val="00493DF8"/>
    <w:rsid w:val="00494A4B"/>
    <w:rsid w:val="004A66D5"/>
    <w:rsid w:val="004A7FEB"/>
    <w:rsid w:val="004B03FA"/>
    <w:rsid w:val="004B24E6"/>
    <w:rsid w:val="004B50CC"/>
    <w:rsid w:val="004C0ED2"/>
    <w:rsid w:val="004C14CB"/>
    <w:rsid w:val="004C20C7"/>
    <w:rsid w:val="004D03BD"/>
    <w:rsid w:val="004E01DA"/>
    <w:rsid w:val="004E362D"/>
    <w:rsid w:val="004E5D03"/>
    <w:rsid w:val="004F0F51"/>
    <w:rsid w:val="004F2B78"/>
    <w:rsid w:val="004F78C9"/>
    <w:rsid w:val="00500006"/>
    <w:rsid w:val="00504426"/>
    <w:rsid w:val="005044EA"/>
    <w:rsid w:val="00505188"/>
    <w:rsid w:val="00510D75"/>
    <w:rsid w:val="00515918"/>
    <w:rsid w:val="0052048B"/>
    <w:rsid w:val="005214CA"/>
    <w:rsid w:val="00526246"/>
    <w:rsid w:val="005515F8"/>
    <w:rsid w:val="00561C92"/>
    <w:rsid w:val="00562001"/>
    <w:rsid w:val="00563DE9"/>
    <w:rsid w:val="00564C66"/>
    <w:rsid w:val="00567106"/>
    <w:rsid w:val="00567ECD"/>
    <w:rsid w:val="005714FE"/>
    <w:rsid w:val="005732A5"/>
    <w:rsid w:val="005759B2"/>
    <w:rsid w:val="00582E3F"/>
    <w:rsid w:val="00583955"/>
    <w:rsid w:val="005873A9"/>
    <w:rsid w:val="005933B6"/>
    <w:rsid w:val="00593FBB"/>
    <w:rsid w:val="0059454D"/>
    <w:rsid w:val="00595136"/>
    <w:rsid w:val="005A358A"/>
    <w:rsid w:val="005A66D8"/>
    <w:rsid w:val="005B05B9"/>
    <w:rsid w:val="005B219F"/>
    <w:rsid w:val="005B6F7C"/>
    <w:rsid w:val="005B7F3E"/>
    <w:rsid w:val="005C16E6"/>
    <w:rsid w:val="005C38DC"/>
    <w:rsid w:val="005C4CFD"/>
    <w:rsid w:val="005D3A14"/>
    <w:rsid w:val="005D4B00"/>
    <w:rsid w:val="005E0121"/>
    <w:rsid w:val="005E027D"/>
    <w:rsid w:val="005E1D3C"/>
    <w:rsid w:val="005E40B2"/>
    <w:rsid w:val="005E67FB"/>
    <w:rsid w:val="005E7DDF"/>
    <w:rsid w:val="005F456B"/>
    <w:rsid w:val="005F571D"/>
    <w:rsid w:val="005F6CDF"/>
    <w:rsid w:val="00603F8B"/>
    <w:rsid w:val="0060664E"/>
    <w:rsid w:val="00612F57"/>
    <w:rsid w:val="0061370B"/>
    <w:rsid w:val="00623527"/>
    <w:rsid w:val="00625AE6"/>
    <w:rsid w:val="0062678A"/>
    <w:rsid w:val="00627E33"/>
    <w:rsid w:val="00627FF6"/>
    <w:rsid w:val="00631D1D"/>
    <w:rsid w:val="00632253"/>
    <w:rsid w:val="00636524"/>
    <w:rsid w:val="00642706"/>
    <w:rsid w:val="00642714"/>
    <w:rsid w:val="006437DA"/>
    <w:rsid w:val="00644D11"/>
    <w:rsid w:val="006455CE"/>
    <w:rsid w:val="00647599"/>
    <w:rsid w:val="0065521C"/>
    <w:rsid w:val="00655841"/>
    <w:rsid w:val="00656FD3"/>
    <w:rsid w:val="006623D8"/>
    <w:rsid w:val="00671432"/>
    <w:rsid w:val="00671CEF"/>
    <w:rsid w:val="00671DDA"/>
    <w:rsid w:val="00675D9A"/>
    <w:rsid w:val="00685ECC"/>
    <w:rsid w:val="006916C6"/>
    <w:rsid w:val="006931FD"/>
    <w:rsid w:val="00695D89"/>
    <w:rsid w:val="00697B4E"/>
    <w:rsid w:val="006A08A7"/>
    <w:rsid w:val="006A4214"/>
    <w:rsid w:val="006A7A9B"/>
    <w:rsid w:val="006A7BD1"/>
    <w:rsid w:val="006B1D84"/>
    <w:rsid w:val="006B50FF"/>
    <w:rsid w:val="006B7935"/>
    <w:rsid w:val="006C1E12"/>
    <w:rsid w:val="006C2B22"/>
    <w:rsid w:val="006C3059"/>
    <w:rsid w:val="006C4A5C"/>
    <w:rsid w:val="006C7F25"/>
    <w:rsid w:val="006D18C9"/>
    <w:rsid w:val="006D743A"/>
    <w:rsid w:val="006E002B"/>
    <w:rsid w:val="006F3D46"/>
    <w:rsid w:val="006F4F74"/>
    <w:rsid w:val="006F621A"/>
    <w:rsid w:val="006F64D0"/>
    <w:rsid w:val="007019E3"/>
    <w:rsid w:val="00703E28"/>
    <w:rsid w:val="007078A8"/>
    <w:rsid w:val="007105D6"/>
    <w:rsid w:val="0071360D"/>
    <w:rsid w:val="007166B0"/>
    <w:rsid w:val="00724161"/>
    <w:rsid w:val="00724F41"/>
    <w:rsid w:val="007323D9"/>
    <w:rsid w:val="00733017"/>
    <w:rsid w:val="00733E24"/>
    <w:rsid w:val="007371D6"/>
    <w:rsid w:val="007402D6"/>
    <w:rsid w:val="007408D8"/>
    <w:rsid w:val="00744394"/>
    <w:rsid w:val="00753BDE"/>
    <w:rsid w:val="00756A6E"/>
    <w:rsid w:val="0076052F"/>
    <w:rsid w:val="0076144B"/>
    <w:rsid w:val="00761D99"/>
    <w:rsid w:val="007639C9"/>
    <w:rsid w:val="0076608D"/>
    <w:rsid w:val="00775217"/>
    <w:rsid w:val="007820EB"/>
    <w:rsid w:val="00783310"/>
    <w:rsid w:val="007873AB"/>
    <w:rsid w:val="00793716"/>
    <w:rsid w:val="00797606"/>
    <w:rsid w:val="007A1A57"/>
    <w:rsid w:val="007A342B"/>
    <w:rsid w:val="007A4634"/>
    <w:rsid w:val="007A4A6D"/>
    <w:rsid w:val="007A78B8"/>
    <w:rsid w:val="007B26C4"/>
    <w:rsid w:val="007B674F"/>
    <w:rsid w:val="007C0617"/>
    <w:rsid w:val="007C3DB4"/>
    <w:rsid w:val="007C46AA"/>
    <w:rsid w:val="007C79F7"/>
    <w:rsid w:val="007D16E8"/>
    <w:rsid w:val="007D1BCF"/>
    <w:rsid w:val="007D75CF"/>
    <w:rsid w:val="007E0440"/>
    <w:rsid w:val="007E4830"/>
    <w:rsid w:val="007E548E"/>
    <w:rsid w:val="007E6DC5"/>
    <w:rsid w:val="007E7A4B"/>
    <w:rsid w:val="007F0F92"/>
    <w:rsid w:val="007F14F5"/>
    <w:rsid w:val="007F3DE4"/>
    <w:rsid w:val="007F6C70"/>
    <w:rsid w:val="008067E8"/>
    <w:rsid w:val="00811FB6"/>
    <w:rsid w:val="008142DB"/>
    <w:rsid w:val="00814FD0"/>
    <w:rsid w:val="00815B5E"/>
    <w:rsid w:val="008165D0"/>
    <w:rsid w:val="00816CD3"/>
    <w:rsid w:val="00821D05"/>
    <w:rsid w:val="00822DDC"/>
    <w:rsid w:val="008247D2"/>
    <w:rsid w:val="00827553"/>
    <w:rsid w:val="008331B3"/>
    <w:rsid w:val="00833698"/>
    <w:rsid w:val="00837BC9"/>
    <w:rsid w:val="00840CAE"/>
    <w:rsid w:val="0084398F"/>
    <w:rsid w:val="00844153"/>
    <w:rsid w:val="0085472B"/>
    <w:rsid w:val="0085605A"/>
    <w:rsid w:val="008621A2"/>
    <w:rsid w:val="0086632A"/>
    <w:rsid w:val="00870497"/>
    <w:rsid w:val="008746B6"/>
    <w:rsid w:val="00875D6A"/>
    <w:rsid w:val="008762A6"/>
    <w:rsid w:val="00876A77"/>
    <w:rsid w:val="0088043C"/>
    <w:rsid w:val="00884889"/>
    <w:rsid w:val="0089025E"/>
    <w:rsid w:val="008906C9"/>
    <w:rsid w:val="008928B5"/>
    <w:rsid w:val="0089571C"/>
    <w:rsid w:val="008974AB"/>
    <w:rsid w:val="008A2D01"/>
    <w:rsid w:val="008A6171"/>
    <w:rsid w:val="008A6F24"/>
    <w:rsid w:val="008B07FE"/>
    <w:rsid w:val="008B1501"/>
    <w:rsid w:val="008B2532"/>
    <w:rsid w:val="008B4420"/>
    <w:rsid w:val="008C3002"/>
    <w:rsid w:val="008C4FA7"/>
    <w:rsid w:val="008C5738"/>
    <w:rsid w:val="008C57AC"/>
    <w:rsid w:val="008D04F0"/>
    <w:rsid w:val="008D5700"/>
    <w:rsid w:val="008E02A5"/>
    <w:rsid w:val="008E226E"/>
    <w:rsid w:val="008E3AC1"/>
    <w:rsid w:val="008E3EE5"/>
    <w:rsid w:val="008F0620"/>
    <w:rsid w:val="008F3363"/>
    <w:rsid w:val="008F3500"/>
    <w:rsid w:val="008F69AA"/>
    <w:rsid w:val="009023E4"/>
    <w:rsid w:val="00903344"/>
    <w:rsid w:val="0090522D"/>
    <w:rsid w:val="00907EFE"/>
    <w:rsid w:val="00910E2B"/>
    <w:rsid w:val="009233C3"/>
    <w:rsid w:val="00924A34"/>
    <w:rsid w:val="00924E3C"/>
    <w:rsid w:val="00926153"/>
    <w:rsid w:val="00927686"/>
    <w:rsid w:val="00936B7C"/>
    <w:rsid w:val="00943A94"/>
    <w:rsid w:val="00952FB5"/>
    <w:rsid w:val="009612BB"/>
    <w:rsid w:val="0096206F"/>
    <w:rsid w:val="00972D48"/>
    <w:rsid w:val="00977874"/>
    <w:rsid w:val="0098028E"/>
    <w:rsid w:val="00980B97"/>
    <w:rsid w:val="00981235"/>
    <w:rsid w:val="0098337C"/>
    <w:rsid w:val="00990B68"/>
    <w:rsid w:val="009914F2"/>
    <w:rsid w:val="00995D19"/>
    <w:rsid w:val="00996683"/>
    <w:rsid w:val="0099687D"/>
    <w:rsid w:val="009A53F9"/>
    <w:rsid w:val="009B3C1C"/>
    <w:rsid w:val="009B4058"/>
    <w:rsid w:val="009B5519"/>
    <w:rsid w:val="009C3993"/>
    <w:rsid w:val="009C740A"/>
    <w:rsid w:val="009D201C"/>
    <w:rsid w:val="009D5DE9"/>
    <w:rsid w:val="009D5EDD"/>
    <w:rsid w:val="009D5FB1"/>
    <w:rsid w:val="009E0204"/>
    <w:rsid w:val="009E0DDA"/>
    <w:rsid w:val="009E24F3"/>
    <w:rsid w:val="009F5125"/>
    <w:rsid w:val="00A0619F"/>
    <w:rsid w:val="00A072B9"/>
    <w:rsid w:val="00A0735A"/>
    <w:rsid w:val="00A125C5"/>
    <w:rsid w:val="00A12A1C"/>
    <w:rsid w:val="00A12AF9"/>
    <w:rsid w:val="00A137A7"/>
    <w:rsid w:val="00A203A8"/>
    <w:rsid w:val="00A21579"/>
    <w:rsid w:val="00A2451C"/>
    <w:rsid w:val="00A30B8D"/>
    <w:rsid w:val="00A314BD"/>
    <w:rsid w:val="00A34000"/>
    <w:rsid w:val="00A34832"/>
    <w:rsid w:val="00A37946"/>
    <w:rsid w:val="00A40469"/>
    <w:rsid w:val="00A422DE"/>
    <w:rsid w:val="00A43208"/>
    <w:rsid w:val="00A44A8F"/>
    <w:rsid w:val="00A50EFC"/>
    <w:rsid w:val="00A52D37"/>
    <w:rsid w:val="00A53AF6"/>
    <w:rsid w:val="00A64A8F"/>
    <w:rsid w:val="00A65EE7"/>
    <w:rsid w:val="00A70133"/>
    <w:rsid w:val="00A746BE"/>
    <w:rsid w:val="00A770A6"/>
    <w:rsid w:val="00A77411"/>
    <w:rsid w:val="00A813B1"/>
    <w:rsid w:val="00A8153E"/>
    <w:rsid w:val="00A84333"/>
    <w:rsid w:val="00A84E17"/>
    <w:rsid w:val="00A9055E"/>
    <w:rsid w:val="00AA0D3A"/>
    <w:rsid w:val="00AA14ED"/>
    <w:rsid w:val="00AA261D"/>
    <w:rsid w:val="00AA29F4"/>
    <w:rsid w:val="00AA46F0"/>
    <w:rsid w:val="00AA478D"/>
    <w:rsid w:val="00AA7805"/>
    <w:rsid w:val="00AB36C4"/>
    <w:rsid w:val="00AB3B4C"/>
    <w:rsid w:val="00AC32B2"/>
    <w:rsid w:val="00AC5FC5"/>
    <w:rsid w:val="00AD194C"/>
    <w:rsid w:val="00AE3420"/>
    <w:rsid w:val="00AE6584"/>
    <w:rsid w:val="00AF4EDD"/>
    <w:rsid w:val="00AF4F39"/>
    <w:rsid w:val="00B01660"/>
    <w:rsid w:val="00B0298B"/>
    <w:rsid w:val="00B02AE0"/>
    <w:rsid w:val="00B046DE"/>
    <w:rsid w:val="00B04A84"/>
    <w:rsid w:val="00B0599D"/>
    <w:rsid w:val="00B0754F"/>
    <w:rsid w:val="00B11495"/>
    <w:rsid w:val="00B12CC0"/>
    <w:rsid w:val="00B15554"/>
    <w:rsid w:val="00B17141"/>
    <w:rsid w:val="00B1771C"/>
    <w:rsid w:val="00B21F6B"/>
    <w:rsid w:val="00B22881"/>
    <w:rsid w:val="00B23131"/>
    <w:rsid w:val="00B24F61"/>
    <w:rsid w:val="00B3103F"/>
    <w:rsid w:val="00B31575"/>
    <w:rsid w:val="00B31B33"/>
    <w:rsid w:val="00B343CA"/>
    <w:rsid w:val="00B3490B"/>
    <w:rsid w:val="00B36404"/>
    <w:rsid w:val="00B36EEA"/>
    <w:rsid w:val="00B378F2"/>
    <w:rsid w:val="00B4723F"/>
    <w:rsid w:val="00B57EE5"/>
    <w:rsid w:val="00B66C3C"/>
    <w:rsid w:val="00B67066"/>
    <w:rsid w:val="00B676CB"/>
    <w:rsid w:val="00B72C3F"/>
    <w:rsid w:val="00B8547D"/>
    <w:rsid w:val="00B86874"/>
    <w:rsid w:val="00B8713B"/>
    <w:rsid w:val="00B91BB5"/>
    <w:rsid w:val="00B95C60"/>
    <w:rsid w:val="00B95D4B"/>
    <w:rsid w:val="00BA2BC1"/>
    <w:rsid w:val="00BA375E"/>
    <w:rsid w:val="00BA4BF6"/>
    <w:rsid w:val="00BA7C88"/>
    <w:rsid w:val="00BA7E2D"/>
    <w:rsid w:val="00BC7FE1"/>
    <w:rsid w:val="00BD1CCE"/>
    <w:rsid w:val="00BD44DB"/>
    <w:rsid w:val="00BD7C4C"/>
    <w:rsid w:val="00BF3248"/>
    <w:rsid w:val="00BF5391"/>
    <w:rsid w:val="00BF5B08"/>
    <w:rsid w:val="00BF7A78"/>
    <w:rsid w:val="00C0309A"/>
    <w:rsid w:val="00C04C5F"/>
    <w:rsid w:val="00C073D7"/>
    <w:rsid w:val="00C16DB3"/>
    <w:rsid w:val="00C22313"/>
    <w:rsid w:val="00C24D9C"/>
    <w:rsid w:val="00C250D5"/>
    <w:rsid w:val="00C27B76"/>
    <w:rsid w:val="00C35666"/>
    <w:rsid w:val="00C3717E"/>
    <w:rsid w:val="00C430D6"/>
    <w:rsid w:val="00C433E2"/>
    <w:rsid w:val="00C44E6A"/>
    <w:rsid w:val="00C55F16"/>
    <w:rsid w:val="00C72CAB"/>
    <w:rsid w:val="00C745A2"/>
    <w:rsid w:val="00C77257"/>
    <w:rsid w:val="00C81754"/>
    <w:rsid w:val="00C83C39"/>
    <w:rsid w:val="00C86477"/>
    <w:rsid w:val="00C86F0D"/>
    <w:rsid w:val="00C90172"/>
    <w:rsid w:val="00C90B55"/>
    <w:rsid w:val="00C92898"/>
    <w:rsid w:val="00C94DE1"/>
    <w:rsid w:val="00C97D7C"/>
    <w:rsid w:val="00C97FDA"/>
    <w:rsid w:val="00CA4340"/>
    <w:rsid w:val="00CA77AE"/>
    <w:rsid w:val="00CB009A"/>
    <w:rsid w:val="00CB1C29"/>
    <w:rsid w:val="00CB2BD1"/>
    <w:rsid w:val="00CB3750"/>
    <w:rsid w:val="00CB575E"/>
    <w:rsid w:val="00CC0CA3"/>
    <w:rsid w:val="00CC47E6"/>
    <w:rsid w:val="00CC55DD"/>
    <w:rsid w:val="00CC5EEB"/>
    <w:rsid w:val="00CC780E"/>
    <w:rsid w:val="00CD0190"/>
    <w:rsid w:val="00CD48BC"/>
    <w:rsid w:val="00CD62CF"/>
    <w:rsid w:val="00CD7062"/>
    <w:rsid w:val="00CE3773"/>
    <w:rsid w:val="00CE3C1A"/>
    <w:rsid w:val="00CE5238"/>
    <w:rsid w:val="00CE7514"/>
    <w:rsid w:val="00CF2704"/>
    <w:rsid w:val="00D01285"/>
    <w:rsid w:val="00D04605"/>
    <w:rsid w:val="00D069DC"/>
    <w:rsid w:val="00D1598F"/>
    <w:rsid w:val="00D24066"/>
    <w:rsid w:val="00D248DE"/>
    <w:rsid w:val="00D4038E"/>
    <w:rsid w:val="00D40BEA"/>
    <w:rsid w:val="00D4179B"/>
    <w:rsid w:val="00D45179"/>
    <w:rsid w:val="00D50CFB"/>
    <w:rsid w:val="00D52A6F"/>
    <w:rsid w:val="00D53E90"/>
    <w:rsid w:val="00D57060"/>
    <w:rsid w:val="00D61902"/>
    <w:rsid w:val="00D63D3A"/>
    <w:rsid w:val="00D65130"/>
    <w:rsid w:val="00D71354"/>
    <w:rsid w:val="00D725B2"/>
    <w:rsid w:val="00D731F3"/>
    <w:rsid w:val="00D740F7"/>
    <w:rsid w:val="00D849F6"/>
    <w:rsid w:val="00D8542D"/>
    <w:rsid w:val="00D94864"/>
    <w:rsid w:val="00DA5433"/>
    <w:rsid w:val="00DA6ED8"/>
    <w:rsid w:val="00DC1F52"/>
    <w:rsid w:val="00DC2BF7"/>
    <w:rsid w:val="00DC2EB3"/>
    <w:rsid w:val="00DC4407"/>
    <w:rsid w:val="00DC6A71"/>
    <w:rsid w:val="00DD0884"/>
    <w:rsid w:val="00DD5B9B"/>
    <w:rsid w:val="00DE6F7D"/>
    <w:rsid w:val="00DE7113"/>
    <w:rsid w:val="00DF11C4"/>
    <w:rsid w:val="00DF2E75"/>
    <w:rsid w:val="00E01330"/>
    <w:rsid w:val="00E0213C"/>
    <w:rsid w:val="00E0357D"/>
    <w:rsid w:val="00E0404E"/>
    <w:rsid w:val="00E06D3B"/>
    <w:rsid w:val="00E13391"/>
    <w:rsid w:val="00E13A22"/>
    <w:rsid w:val="00E15F27"/>
    <w:rsid w:val="00E21FF9"/>
    <w:rsid w:val="00E240EA"/>
    <w:rsid w:val="00E320C3"/>
    <w:rsid w:val="00E32B09"/>
    <w:rsid w:val="00E33914"/>
    <w:rsid w:val="00E42F0C"/>
    <w:rsid w:val="00E52A08"/>
    <w:rsid w:val="00E54256"/>
    <w:rsid w:val="00E55FF4"/>
    <w:rsid w:val="00E57109"/>
    <w:rsid w:val="00E61F93"/>
    <w:rsid w:val="00E70C96"/>
    <w:rsid w:val="00E7695F"/>
    <w:rsid w:val="00E76CD3"/>
    <w:rsid w:val="00E76CDB"/>
    <w:rsid w:val="00E76D6E"/>
    <w:rsid w:val="00E77C71"/>
    <w:rsid w:val="00E827F5"/>
    <w:rsid w:val="00E83827"/>
    <w:rsid w:val="00E83B6F"/>
    <w:rsid w:val="00E9106A"/>
    <w:rsid w:val="00E9353E"/>
    <w:rsid w:val="00E959D0"/>
    <w:rsid w:val="00EA5545"/>
    <w:rsid w:val="00EA6D4A"/>
    <w:rsid w:val="00EB121F"/>
    <w:rsid w:val="00EB195E"/>
    <w:rsid w:val="00EB50D7"/>
    <w:rsid w:val="00EB7B90"/>
    <w:rsid w:val="00EC168A"/>
    <w:rsid w:val="00EC1823"/>
    <w:rsid w:val="00EC3168"/>
    <w:rsid w:val="00EC3554"/>
    <w:rsid w:val="00EC5646"/>
    <w:rsid w:val="00EC757F"/>
    <w:rsid w:val="00ED1414"/>
    <w:rsid w:val="00ED1C3E"/>
    <w:rsid w:val="00ED3A72"/>
    <w:rsid w:val="00ED4C29"/>
    <w:rsid w:val="00EE23F6"/>
    <w:rsid w:val="00EE3ABF"/>
    <w:rsid w:val="00EE7DE8"/>
    <w:rsid w:val="00EF0C51"/>
    <w:rsid w:val="00EF130E"/>
    <w:rsid w:val="00EF2C0A"/>
    <w:rsid w:val="00F03685"/>
    <w:rsid w:val="00F06180"/>
    <w:rsid w:val="00F100B7"/>
    <w:rsid w:val="00F103D5"/>
    <w:rsid w:val="00F10BF4"/>
    <w:rsid w:val="00F1266D"/>
    <w:rsid w:val="00F217E6"/>
    <w:rsid w:val="00F240BB"/>
    <w:rsid w:val="00F24A42"/>
    <w:rsid w:val="00F31E5E"/>
    <w:rsid w:val="00F357A8"/>
    <w:rsid w:val="00F35D0B"/>
    <w:rsid w:val="00F36AEC"/>
    <w:rsid w:val="00F40CC6"/>
    <w:rsid w:val="00F42272"/>
    <w:rsid w:val="00F449FF"/>
    <w:rsid w:val="00F45BB5"/>
    <w:rsid w:val="00F55E51"/>
    <w:rsid w:val="00F57FED"/>
    <w:rsid w:val="00F601E2"/>
    <w:rsid w:val="00F6055D"/>
    <w:rsid w:val="00F61620"/>
    <w:rsid w:val="00F623DD"/>
    <w:rsid w:val="00F6398C"/>
    <w:rsid w:val="00F64594"/>
    <w:rsid w:val="00F66249"/>
    <w:rsid w:val="00F742B2"/>
    <w:rsid w:val="00F76970"/>
    <w:rsid w:val="00F80B7D"/>
    <w:rsid w:val="00F821BE"/>
    <w:rsid w:val="00F82202"/>
    <w:rsid w:val="00F8488D"/>
    <w:rsid w:val="00FA3F2B"/>
    <w:rsid w:val="00FA4DA1"/>
    <w:rsid w:val="00FA6AD5"/>
    <w:rsid w:val="00FA72AC"/>
    <w:rsid w:val="00FA7308"/>
    <w:rsid w:val="00FB15C6"/>
    <w:rsid w:val="00FB3538"/>
    <w:rsid w:val="00FB5509"/>
    <w:rsid w:val="00FB580C"/>
    <w:rsid w:val="00FB62EF"/>
    <w:rsid w:val="00FB7198"/>
    <w:rsid w:val="00FC1D94"/>
    <w:rsid w:val="00FC373A"/>
    <w:rsid w:val="00FC6D2F"/>
    <w:rsid w:val="00FC74A2"/>
    <w:rsid w:val="00FD16A6"/>
    <w:rsid w:val="00FE1B5A"/>
    <w:rsid w:val="00FE40C9"/>
    <w:rsid w:val="00FE4404"/>
    <w:rsid w:val="00FF0810"/>
    <w:rsid w:val="00FF2AE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D1EFC92"/>
  <w15:chartTrackingRefBased/>
  <w15:docId w15:val="{42F85BF2-47E2-48F3-88B9-2C1076B3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12AF9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uiPriority w:val="99"/>
    <w:qFormat/>
    <w:rsid w:val="00D45179"/>
    <w:pPr>
      <w:widowControl w:val="0"/>
      <w:tabs>
        <w:tab w:val="left" w:pos="360"/>
      </w:tabs>
      <w:jc w:val="center"/>
      <w:outlineLvl w:val="0"/>
    </w:pPr>
    <w:rPr>
      <w:color w:val="000000"/>
      <w:kern w:val="32"/>
      <w:szCs w:val="32"/>
      <w:lang w:val="x-none" w:eastAsia="x-none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EC56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EC56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  <w:rPr>
      <w:lang w:val="en-US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  <w:rPr>
      <w:lang w:val="x-none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uiPriority w:val="99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2C2184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2C2184"/>
    <w:pPr>
      <w:numPr>
        <w:numId w:val="5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rsid w:val="000151E4"/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  <w:lang w:val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151E4"/>
    <w:pPr>
      <w:numPr>
        <w:numId w:val="4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basedOn w:val="OddelekZnak1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GlavaZnak">
    <w:name w:val="Glava Znak"/>
    <w:link w:val="Glava"/>
    <w:rsid w:val="00E83827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,Heading 1 Char1 Char1 Znak,Heading 1 Char Char Char1 Znak,Heading 1 Char1 Char1 Char Char Znak,Heading 1 Char Char Char1 Char Char Znak,Heading 1 Char Char1 Znak,Heading 1 Char1 Char1 Char1 Znak"/>
    <w:link w:val="Naslov1"/>
    <w:uiPriority w:val="99"/>
    <w:rsid w:val="00D45179"/>
    <w:rPr>
      <w:rFonts w:ascii="Arial" w:hAnsi="Arial" w:cs="Arial"/>
      <w:color w:val="000000"/>
      <w:kern w:val="32"/>
      <w:szCs w:val="32"/>
    </w:rPr>
  </w:style>
  <w:style w:type="character" w:styleId="Pripombasklic">
    <w:name w:val="annotation reference"/>
    <w:uiPriority w:val="99"/>
    <w:rsid w:val="00D731F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  <w:lang w:val="x-none"/>
    </w:rPr>
  </w:style>
  <w:style w:type="character" w:customStyle="1" w:styleId="PripombabesediloZnak">
    <w:name w:val="Pripomba – besedilo Znak"/>
    <w:link w:val="Pripombabesedilo"/>
    <w:uiPriority w:val="99"/>
    <w:rsid w:val="00D731F3"/>
    <w:rPr>
      <w:lang w:eastAsia="en-US"/>
    </w:rPr>
  </w:style>
  <w:style w:type="paragraph" w:styleId="Besedilooblaka">
    <w:name w:val="Balloon Text"/>
    <w:basedOn w:val="Navaden"/>
    <w:link w:val="BesedilooblakaZnak"/>
    <w:rsid w:val="00D731F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D731F3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rsid w:val="00671DDA"/>
    <w:rPr>
      <w:rFonts w:ascii="Arial" w:hAnsi="Arial"/>
      <w:b/>
      <w:bCs/>
      <w:lang w:eastAsia="en-US"/>
    </w:rPr>
  </w:style>
  <w:style w:type="character" w:customStyle="1" w:styleId="NogaZnak">
    <w:name w:val="Noga Znak"/>
    <w:link w:val="Noga"/>
    <w:uiPriority w:val="99"/>
    <w:locked/>
    <w:rsid w:val="00A30B8D"/>
    <w:rPr>
      <w:rFonts w:ascii="Arial" w:hAnsi="Arial"/>
      <w:szCs w:val="24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F82202"/>
    <w:pPr>
      <w:spacing w:line="240" w:lineRule="auto"/>
    </w:pPr>
    <w:rPr>
      <w:rFonts w:eastAsia="Calibri"/>
      <w:color w:val="1F497D"/>
      <w:szCs w:val="20"/>
      <w:lang w:val="x-none"/>
    </w:rPr>
  </w:style>
  <w:style w:type="character" w:customStyle="1" w:styleId="GolobesediloZnak">
    <w:name w:val="Golo besedilo Znak"/>
    <w:link w:val="Golobesedilo"/>
    <w:uiPriority w:val="99"/>
    <w:rsid w:val="00F82202"/>
    <w:rPr>
      <w:rFonts w:ascii="Arial" w:eastAsia="Calibri" w:hAnsi="Arial" w:cs="Arial"/>
      <w:color w:val="1F497D"/>
      <w:lang w:eastAsia="en-US"/>
    </w:rPr>
  </w:style>
  <w:style w:type="numbering" w:customStyle="1" w:styleId="NoList1">
    <w:name w:val="No List1"/>
    <w:next w:val="Brezseznama"/>
    <w:semiHidden/>
    <w:rsid w:val="00B23131"/>
  </w:style>
  <w:style w:type="character" w:customStyle="1" w:styleId="Absatz-Standardschriftart">
    <w:name w:val="Absatz-Standardschriftart"/>
    <w:rsid w:val="00B23131"/>
  </w:style>
  <w:style w:type="character" w:customStyle="1" w:styleId="WW-Absatz-Standardschriftart">
    <w:name w:val="WW-Absatz-Standardschriftart"/>
    <w:rsid w:val="00B23131"/>
  </w:style>
  <w:style w:type="character" w:customStyle="1" w:styleId="WW-Absatz-Standardschriftart1">
    <w:name w:val="WW-Absatz-Standardschriftart1"/>
    <w:rsid w:val="00B23131"/>
  </w:style>
  <w:style w:type="character" w:customStyle="1" w:styleId="WW-Absatz-Standardschriftart11">
    <w:name w:val="WW-Absatz-Standardschriftart11"/>
    <w:rsid w:val="00B23131"/>
  </w:style>
  <w:style w:type="character" w:customStyle="1" w:styleId="WW-Absatz-Standardschriftart111">
    <w:name w:val="WW-Absatz-Standardschriftart111"/>
    <w:rsid w:val="00B23131"/>
  </w:style>
  <w:style w:type="character" w:customStyle="1" w:styleId="WW-Absatz-Standardschriftart1111">
    <w:name w:val="WW-Absatz-Standardschriftart1111"/>
    <w:rsid w:val="00B23131"/>
  </w:style>
  <w:style w:type="character" w:customStyle="1" w:styleId="WW-Absatz-Standardschriftart11111">
    <w:name w:val="WW-Absatz-Standardschriftart11111"/>
    <w:rsid w:val="00B23131"/>
  </w:style>
  <w:style w:type="character" w:customStyle="1" w:styleId="WW-DefaultParagraphFont">
    <w:name w:val="WW-Default Paragraph Font"/>
    <w:rsid w:val="00B23131"/>
  </w:style>
  <w:style w:type="character" w:customStyle="1" w:styleId="WW-Absatz-Standardschriftart111111">
    <w:name w:val="WW-Absatz-Standardschriftart111111"/>
    <w:rsid w:val="00B23131"/>
  </w:style>
  <w:style w:type="character" w:customStyle="1" w:styleId="WW-Absatz-Standardschriftart1111111">
    <w:name w:val="WW-Absatz-Standardschriftart1111111"/>
    <w:rsid w:val="00B23131"/>
  </w:style>
  <w:style w:type="character" w:customStyle="1" w:styleId="WW-DefaultParagraphFont1">
    <w:name w:val="WW-Default Paragraph Font1"/>
    <w:rsid w:val="00B23131"/>
  </w:style>
  <w:style w:type="character" w:customStyle="1" w:styleId="WW-Absatz-Standardschriftart11111111">
    <w:name w:val="WW-Absatz-Standardschriftart11111111"/>
    <w:rsid w:val="00B23131"/>
  </w:style>
  <w:style w:type="character" w:customStyle="1" w:styleId="WW-DefaultParagraphFont11">
    <w:name w:val="WW-Default Paragraph Font11"/>
    <w:rsid w:val="00B23131"/>
  </w:style>
  <w:style w:type="character" w:customStyle="1" w:styleId="WW-DefaultParagraphFont111">
    <w:name w:val="WW-Default Paragraph Font111"/>
    <w:rsid w:val="00B23131"/>
  </w:style>
  <w:style w:type="character" w:customStyle="1" w:styleId="WW-Absatz-Standardschriftart111111111">
    <w:name w:val="WW-Absatz-Standardschriftart111111111"/>
    <w:rsid w:val="00B23131"/>
  </w:style>
  <w:style w:type="character" w:customStyle="1" w:styleId="WW-Absatz-Standardschriftart1111111111">
    <w:name w:val="WW-Absatz-Standardschriftart1111111111"/>
    <w:rsid w:val="00B23131"/>
  </w:style>
  <w:style w:type="character" w:customStyle="1" w:styleId="WW-Absatz-Standardschriftart11111111111">
    <w:name w:val="WW-Absatz-Standardschriftart11111111111"/>
    <w:rsid w:val="00B23131"/>
  </w:style>
  <w:style w:type="character" w:customStyle="1" w:styleId="WW-Absatz-Standardschriftart111111111111">
    <w:name w:val="WW-Absatz-Standardschriftart111111111111"/>
    <w:rsid w:val="00B23131"/>
  </w:style>
  <w:style w:type="character" w:customStyle="1" w:styleId="WW-DefaultParagraphFont1111">
    <w:name w:val="WW-Default Paragraph Font1111"/>
    <w:rsid w:val="00B23131"/>
  </w:style>
  <w:style w:type="character" w:customStyle="1" w:styleId="WW-DefaultParagraphFont11111">
    <w:name w:val="WW-Default Paragraph Font11111"/>
    <w:rsid w:val="00B23131"/>
  </w:style>
  <w:style w:type="character" w:styleId="tevilkastrani">
    <w:name w:val="page number"/>
    <w:rsid w:val="00B23131"/>
  </w:style>
  <w:style w:type="paragraph" w:customStyle="1" w:styleId="Naslov10">
    <w:name w:val="Naslov1"/>
    <w:basedOn w:val="Navaden"/>
    <w:next w:val="Telobesedila"/>
    <w:rsid w:val="00B23131"/>
    <w:pPr>
      <w:keepNext/>
      <w:suppressAutoHyphens/>
      <w:spacing w:before="240" w:after="120" w:line="276" w:lineRule="auto"/>
    </w:pPr>
    <w:rPr>
      <w:rFonts w:eastAsia="MS Mincho" w:cs="Tahoma"/>
      <w:sz w:val="28"/>
      <w:szCs w:val="28"/>
      <w:lang w:val="en-US" w:bidi="en-US"/>
    </w:rPr>
  </w:style>
  <w:style w:type="paragraph" w:styleId="Telobesedila">
    <w:name w:val="Body Text"/>
    <w:basedOn w:val="Navaden"/>
    <w:link w:val="TelobesedilaZnak"/>
    <w:rsid w:val="00B23131"/>
    <w:pPr>
      <w:suppressAutoHyphens/>
      <w:spacing w:after="120" w:line="276" w:lineRule="auto"/>
    </w:pPr>
    <w:rPr>
      <w:rFonts w:ascii="Cambria" w:hAnsi="Cambria"/>
      <w:sz w:val="22"/>
      <w:szCs w:val="22"/>
      <w:lang w:val="en-US" w:bidi="en-US"/>
    </w:rPr>
  </w:style>
  <w:style w:type="character" w:customStyle="1" w:styleId="TelobesedilaZnak">
    <w:name w:val="Telo besedila Znak"/>
    <w:link w:val="Telobesedila"/>
    <w:rsid w:val="00B23131"/>
    <w:rPr>
      <w:rFonts w:ascii="Cambria" w:hAnsi="Cambria"/>
      <w:sz w:val="22"/>
      <w:szCs w:val="22"/>
      <w:lang w:val="en-US" w:eastAsia="en-US" w:bidi="en-US"/>
    </w:rPr>
  </w:style>
  <w:style w:type="paragraph" w:styleId="Seznam">
    <w:name w:val="List"/>
    <w:basedOn w:val="Telobesedila"/>
    <w:rsid w:val="00B23131"/>
    <w:rPr>
      <w:rFonts w:cs="Tahoma"/>
    </w:rPr>
  </w:style>
  <w:style w:type="paragraph" w:customStyle="1" w:styleId="Napis1">
    <w:name w:val="Napis1"/>
    <w:basedOn w:val="Navaden"/>
    <w:rsid w:val="00B23131"/>
    <w:pPr>
      <w:suppressLineNumbers/>
      <w:suppressAutoHyphens/>
      <w:spacing w:before="120" w:after="120" w:line="276" w:lineRule="auto"/>
    </w:pPr>
    <w:rPr>
      <w:rFonts w:ascii="Cambria" w:hAnsi="Cambria" w:cs="Tahoma"/>
      <w:i/>
      <w:iCs/>
      <w:sz w:val="24"/>
      <w:lang w:val="en-US" w:bidi="en-US"/>
    </w:rPr>
  </w:style>
  <w:style w:type="paragraph" w:customStyle="1" w:styleId="Kazalo">
    <w:name w:val="Kazalo"/>
    <w:basedOn w:val="Navaden"/>
    <w:rsid w:val="00B23131"/>
    <w:pPr>
      <w:suppressLineNumbers/>
      <w:suppressAutoHyphens/>
      <w:spacing w:after="200" w:line="276" w:lineRule="auto"/>
    </w:pPr>
    <w:rPr>
      <w:rFonts w:ascii="Cambria" w:hAnsi="Cambria" w:cs="Tahoma"/>
      <w:sz w:val="22"/>
      <w:szCs w:val="22"/>
      <w:lang w:val="en-US" w:bidi="en-US"/>
    </w:rPr>
  </w:style>
  <w:style w:type="paragraph" w:customStyle="1" w:styleId="Heading">
    <w:name w:val="Heading"/>
    <w:basedOn w:val="Navaden"/>
    <w:next w:val="Telobesedila"/>
    <w:rsid w:val="00B23131"/>
    <w:pPr>
      <w:keepNext/>
      <w:suppressAutoHyphens/>
      <w:spacing w:before="240" w:after="120" w:line="276" w:lineRule="auto"/>
    </w:pPr>
    <w:rPr>
      <w:rFonts w:eastAsia="MS Mincho" w:cs="Tahoma"/>
      <w:sz w:val="28"/>
      <w:szCs w:val="28"/>
      <w:lang w:val="en-US" w:bidi="en-US"/>
    </w:rPr>
  </w:style>
  <w:style w:type="paragraph" w:styleId="Napis">
    <w:name w:val="caption"/>
    <w:basedOn w:val="Navaden"/>
    <w:qFormat/>
    <w:rsid w:val="00B23131"/>
    <w:pPr>
      <w:suppressLineNumbers/>
      <w:suppressAutoHyphens/>
      <w:spacing w:before="120" w:after="120" w:line="276" w:lineRule="auto"/>
    </w:pPr>
    <w:rPr>
      <w:rFonts w:ascii="Cambria" w:hAnsi="Cambria" w:cs="Tahoma"/>
      <w:i/>
      <w:iCs/>
      <w:sz w:val="24"/>
      <w:lang w:val="en-US" w:bidi="en-US"/>
    </w:rPr>
  </w:style>
  <w:style w:type="paragraph" w:customStyle="1" w:styleId="Index">
    <w:name w:val="Index"/>
    <w:basedOn w:val="Navaden"/>
    <w:rsid w:val="00B23131"/>
    <w:pPr>
      <w:suppressLineNumbers/>
      <w:suppressAutoHyphens/>
      <w:spacing w:after="200" w:line="276" w:lineRule="auto"/>
    </w:pPr>
    <w:rPr>
      <w:rFonts w:ascii="Cambria" w:hAnsi="Cambria" w:cs="Tahoma"/>
      <w:sz w:val="22"/>
      <w:szCs w:val="22"/>
      <w:lang w:val="en-US" w:bidi="en-US"/>
    </w:rPr>
  </w:style>
  <w:style w:type="paragraph" w:styleId="Odstavekseznama">
    <w:name w:val="List Paragraph"/>
    <w:basedOn w:val="Navaden"/>
    <w:uiPriority w:val="34"/>
    <w:qFormat/>
    <w:rsid w:val="00B23131"/>
    <w:pPr>
      <w:suppressAutoHyphens/>
      <w:spacing w:after="200" w:line="276" w:lineRule="auto"/>
      <w:ind w:left="720"/>
    </w:pPr>
    <w:rPr>
      <w:rFonts w:ascii="Cambria" w:hAnsi="Cambria"/>
      <w:sz w:val="22"/>
      <w:szCs w:val="22"/>
      <w:lang w:val="en-US" w:bidi="en-US"/>
    </w:rPr>
  </w:style>
  <w:style w:type="paragraph" w:customStyle="1" w:styleId="TableContents">
    <w:name w:val="Table Contents"/>
    <w:basedOn w:val="Navaden"/>
    <w:rsid w:val="00B23131"/>
    <w:pPr>
      <w:suppressLineNumbers/>
      <w:suppressAutoHyphens/>
      <w:spacing w:after="200" w:line="276" w:lineRule="auto"/>
    </w:pPr>
    <w:rPr>
      <w:rFonts w:ascii="Cambria" w:hAnsi="Cambria"/>
      <w:sz w:val="22"/>
      <w:szCs w:val="22"/>
      <w:lang w:val="en-US" w:bidi="en-US"/>
    </w:rPr>
  </w:style>
  <w:style w:type="paragraph" w:customStyle="1" w:styleId="TableHeading">
    <w:name w:val="Table Heading"/>
    <w:basedOn w:val="TableContents"/>
    <w:rsid w:val="00B23131"/>
    <w:pPr>
      <w:jc w:val="center"/>
    </w:pPr>
    <w:rPr>
      <w:b/>
      <w:bCs/>
    </w:rPr>
  </w:style>
  <w:style w:type="paragraph" w:customStyle="1" w:styleId="Vsebinatabele">
    <w:name w:val="Vsebina tabele"/>
    <w:basedOn w:val="Navaden"/>
    <w:rsid w:val="00B23131"/>
    <w:pPr>
      <w:suppressLineNumbers/>
      <w:suppressAutoHyphens/>
      <w:spacing w:after="200" w:line="276" w:lineRule="auto"/>
    </w:pPr>
    <w:rPr>
      <w:rFonts w:ascii="Cambria" w:hAnsi="Cambria"/>
      <w:sz w:val="22"/>
      <w:szCs w:val="22"/>
      <w:lang w:val="en-US" w:bidi="en-US"/>
    </w:rPr>
  </w:style>
  <w:style w:type="paragraph" w:customStyle="1" w:styleId="Naslovtabele">
    <w:name w:val="Naslov tabele"/>
    <w:basedOn w:val="Vsebinatabele"/>
    <w:rsid w:val="00B23131"/>
    <w:pPr>
      <w:jc w:val="center"/>
    </w:pPr>
    <w:rPr>
      <w:b/>
      <w:bCs/>
    </w:rPr>
  </w:style>
  <w:style w:type="numbering" w:customStyle="1" w:styleId="NoList2">
    <w:name w:val="No List2"/>
    <w:next w:val="Brezseznama"/>
    <w:semiHidden/>
    <w:rsid w:val="006E002B"/>
  </w:style>
  <w:style w:type="character" w:customStyle="1" w:styleId="st1">
    <w:name w:val="st1"/>
    <w:rsid w:val="00EC757F"/>
  </w:style>
  <w:style w:type="character" w:customStyle="1" w:styleId="Naslov2Znak">
    <w:name w:val="Naslov 2 Znak"/>
    <w:link w:val="Naslov2"/>
    <w:semiHidden/>
    <w:rsid w:val="00EC564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4Znak">
    <w:name w:val="Naslov 4 Znak"/>
    <w:link w:val="Naslov4"/>
    <w:semiHidden/>
    <w:rsid w:val="00EC564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avadensplet">
    <w:name w:val="Normal (Web)"/>
    <w:basedOn w:val="Navaden"/>
    <w:uiPriority w:val="99"/>
    <w:unhideWhenUsed/>
    <w:rsid w:val="00EC564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86FFA-DAF5-42B6-BC15-AB2AAC0A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1548</Words>
  <Characters>9564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11090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Barbara Peternelj</dc:creator>
  <cp:keywords/>
  <cp:lastModifiedBy>Marija Podlipnik</cp:lastModifiedBy>
  <cp:revision>3</cp:revision>
  <cp:lastPrinted>2019-08-21T12:15:00Z</cp:lastPrinted>
  <dcterms:created xsi:type="dcterms:W3CDTF">2021-01-15T08:26:00Z</dcterms:created>
  <dcterms:modified xsi:type="dcterms:W3CDTF">2021-01-15T09:39:00Z</dcterms:modified>
</cp:coreProperties>
</file>