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4A" w:rsidRDefault="00CF7C0B" w:rsidP="00B26B4A">
      <w:pPr>
        <w:tabs>
          <w:tab w:val="left" w:pos="5112"/>
        </w:tabs>
        <w:spacing w:before="120" w:after="0" w:line="240" w:lineRule="exact"/>
        <w:rPr>
          <w:rFonts w:ascii="Arial" w:eastAsia="Times New Roman" w:hAnsi="Arial" w:cs="Arial"/>
          <w:sz w:val="16"/>
          <w:szCs w:val="24"/>
          <w:lang w:val="it-IT"/>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366582" w:rsidRDefault="00366582" w:rsidP="00B26B4A">
      <w:pPr>
        <w:tabs>
          <w:tab w:val="left" w:pos="5112"/>
        </w:tabs>
        <w:spacing w:before="120" w:after="0" w:line="240" w:lineRule="exact"/>
        <w:ind w:firstLine="284"/>
        <w:rPr>
          <w:rFonts w:ascii="Arial" w:eastAsia="Times New Roman" w:hAnsi="Arial" w:cs="Arial"/>
          <w:sz w:val="16"/>
          <w:szCs w:val="24"/>
        </w:rPr>
      </w:pPr>
    </w:p>
    <w:p w:rsidR="00B26B4A" w:rsidRPr="00B26B4A" w:rsidRDefault="00B26B4A" w:rsidP="00B26B4A">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B26B4A" w:rsidRPr="00B26B4A" w:rsidRDefault="00B26B4A" w:rsidP="00B26B4A">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B26B4A" w:rsidRDefault="00B26B4A" w:rsidP="00B26B4A">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8" w:history="1">
        <w:r w:rsidRPr="002D35F1">
          <w:rPr>
            <w:rStyle w:val="Hiperpovezava"/>
            <w:rFonts w:ascii="Arial" w:eastAsia="Times New Roman" w:hAnsi="Arial" w:cs="Arial"/>
            <w:sz w:val="16"/>
            <w:szCs w:val="24"/>
          </w:rPr>
          <w:t>www.mk.gov.si</w:t>
        </w:r>
      </w:hyperlink>
    </w:p>
    <w:p w:rsidR="00B26B4A" w:rsidRDefault="00B26B4A" w:rsidP="00B26B4A">
      <w:pPr>
        <w:tabs>
          <w:tab w:val="left" w:pos="5112"/>
        </w:tabs>
        <w:spacing w:after="0" w:line="240" w:lineRule="exact"/>
        <w:ind w:left="284"/>
        <w:rPr>
          <w:rFonts w:ascii="Arial" w:eastAsia="Times New Roman" w:hAnsi="Arial" w:cs="Arial"/>
          <w:sz w:val="16"/>
          <w:szCs w:val="24"/>
        </w:rPr>
      </w:pPr>
    </w:p>
    <w:p w:rsidR="00366582" w:rsidRPr="00B26B4A" w:rsidRDefault="00366582" w:rsidP="00B26B4A">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BE1D17" w:rsidRPr="00BE1D17">
              <w:rPr>
                <w:rFonts w:ascii="Arial" w:eastAsia="Times New Roman" w:hAnsi="Arial" w:cs="Arial"/>
                <w:sz w:val="20"/>
                <w:szCs w:val="20"/>
                <w:lang w:eastAsia="sl-SI"/>
              </w:rPr>
              <w:t>0070-9/2020/</w:t>
            </w:r>
            <w:r w:rsidR="00FC7B51">
              <w:rPr>
                <w:rFonts w:ascii="Arial" w:eastAsia="Times New Roman" w:hAnsi="Arial" w:cs="Arial"/>
                <w:sz w:val="20"/>
                <w:szCs w:val="20"/>
                <w:lang w:eastAsia="sl-SI"/>
              </w:rPr>
              <w:t>100</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FC7B51">
              <w:rPr>
                <w:rFonts w:ascii="Arial" w:eastAsia="Times New Roman" w:hAnsi="Arial" w:cs="Arial"/>
                <w:sz w:val="20"/>
                <w:szCs w:val="20"/>
                <w:lang w:eastAsia="sl-SI"/>
              </w:rPr>
              <w:t>17</w:t>
            </w:r>
            <w:r w:rsidR="00D13E06">
              <w:rPr>
                <w:rFonts w:ascii="Arial" w:eastAsia="Times New Roman" w:hAnsi="Arial" w:cs="Arial"/>
                <w:sz w:val="20"/>
                <w:szCs w:val="20"/>
                <w:lang w:eastAsia="sl-SI"/>
              </w:rPr>
              <w:t xml:space="preserve">. </w:t>
            </w:r>
            <w:r w:rsidR="0073781E">
              <w:rPr>
                <w:rFonts w:ascii="Arial" w:eastAsia="Times New Roman" w:hAnsi="Arial" w:cs="Arial"/>
                <w:sz w:val="20"/>
                <w:szCs w:val="20"/>
                <w:lang w:eastAsia="sl-SI"/>
              </w:rPr>
              <w:t>2</w:t>
            </w:r>
            <w:r w:rsidR="00D13E06">
              <w:rPr>
                <w:rFonts w:ascii="Arial" w:eastAsia="Times New Roman" w:hAnsi="Arial" w:cs="Arial"/>
                <w:sz w:val="20"/>
                <w:szCs w:val="20"/>
                <w:lang w:eastAsia="sl-SI"/>
              </w:rPr>
              <w:t>. 2021</w:t>
            </w:r>
          </w:p>
        </w:tc>
      </w:tr>
      <w:tr w:rsidR="00AE1F83" w:rsidRPr="008369EA" w:rsidTr="005940FE">
        <w:trPr>
          <w:gridAfter w:val="2"/>
          <w:wAfter w:w="3067" w:type="dxa"/>
        </w:trPr>
        <w:tc>
          <w:tcPr>
            <w:tcW w:w="6096" w:type="dxa"/>
            <w:gridSpan w:val="2"/>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BE1D17" w:rsidRPr="00BE1D17">
              <w:rPr>
                <w:rFonts w:ascii="Arial" w:eastAsia="Times New Roman" w:hAnsi="Arial" w:cs="Arial"/>
                <w:iCs/>
                <w:sz w:val="20"/>
                <w:szCs w:val="20"/>
                <w:lang w:eastAsia="sl-SI"/>
              </w:rPr>
              <w:t>2019-3340-0016</w:t>
            </w:r>
          </w:p>
        </w:tc>
      </w:tr>
      <w:tr w:rsidR="00AE1F83" w:rsidRPr="008369EA" w:rsidTr="005940FE">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185354" w:rsidP="00AE1F83">
            <w:pPr>
              <w:spacing w:after="0" w:line="260" w:lineRule="exact"/>
              <w:rPr>
                <w:rFonts w:ascii="Arial" w:eastAsia="Times New Roman" w:hAnsi="Arial" w:cs="Arial"/>
                <w:sz w:val="20"/>
                <w:szCs w:val="20"/>
              </w:rPr>
            </w:pPr>
            <w:hyperlink r:id="rId9" w:history="1">
              <w:r w:rsidR="00D13E06" w:rsidRPr="00D13E06">
                <w:rPr>
                  <w:rStyle w:val="Hiperpovezava"/>
                  <w:rFonts w:ascii="Arial" w:eastAsia="Times New Roman" w:hAnsi="Arial" w:cs="Arial"/>
                  <w:sz w:val="20"/>
                  <w:szCs w:val="20"/>
                </w:rPr>
                <w:t>g</w:t>
              </w:r>
              <w:r w:rsidR="00D13E06" w:rsidRPr="00D13E06">
                <w:rPr>
                  <w:rStyle w:val="Hiperpovezava"/>
                  <w:rFonts w:ascii="Arial" w:hAnsi="Arial" w:cs="Arial"/>
                  <w:sz w:val="20"/>
                  <w:szCs w:val="20"/>
                </w:rPr>
                <w:t>p</w:t>
              </w:r>
              <w:r w:rsidR="00D13E06" w:rsidRPr="00D13E06">
                <w:rPr>
                  <w:rStyle w:val="Hiperpovezava"/>
                  <w:rFonts w:ascii="Arial" w:eastAsia="Times New Roman" w:hAnsi="Arial" w:cs="Arial"/>
                  <w:sz w:val="20"/>
                  <w:szCs w:val="20"/>
                </w:rPr>
                <w:t>.</w:t>
              </w:r>
              <w:r w:rsidR="00D13E06" w:rsidRPr="00E7192A">
                <w:rPr>
                  <w:rStyle w:val="Hiperpovezava"/>
                  <w:rFonts w:ascii="Arial" w:eastAsia="Times New Roman" w:hAnsi="Arial"/>
                  <w:sz w:val="20"/>
                  <w:szCs w:val="20"/>
                </w:rPr>
                <w:t>gs@gov.si</w:t>
              </w:r>
            </w:hyperlink>
          </w:p>
          <w:p w:rsidR="00AE1F83" w:rsidRDefault="00AE1F83" w:rsidP="00AE1F83">
            <w:pPr>
              <w:spacing w:after="0" w:line="260" w:lineRule="exact"/>
              <w:rPr>
                <w:rFonts w:ascii="Arial" w:eastAsia="Times New Roman" w:hAnsi="Arial" w:cs="Arial"/>
                <w:sz w:val="20"/>
                <w:szCs w:val="20"/>
              </w:rPr>
            </w:pPr>
          </w:p>
          <w:p w:rsidR="001B2B27" w:rsidRPr="00AE1F83" w:rsidRDefault="001B2B27" w:rsidP="00AE1F83">
            <w:pPr>
              <w:spacing w:after="0" w:line="260" w:lineRule="exact"/>
              <w:rPr>
                <w:rFonts w:ascii="Arial" w:eastAsia="Times New Roman" w:hAnsi="Arial" w:cs="Arial"/>
                <w:sz w:val="20"/>
                <w:szCs w:val="20"/>
              </w:rPr>
            </w:pPr>
          </w:p>
        </w:tc>
      </w:tr>
      <w:tr w:rsidR="00AE1F83" w:rsidRPr="008369EA" w:rsidTr="005940FE">
        <w:tc>
          <w:tcPr>
            <w:tcW w:w="9163" w:type="dxa"/>
            <w:gridSpan w:val="4"/>
          </w:tcPr>
          <w:p w:rsid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D13E06" w:rsidRPr="00D13E06">
              <w:rPr>
                <w:rFonts w:ascii="Arial" w:eastAsia="Times New Roman" w:hAnsi="Arial" w:cs="Arial"/>
                <w:b/>
                <w:sz w:val="20"/>
                <w:szCs w:val="20"/>
                <w:lang w:eastAsia="sl-SI"/>
              </w:rPr>
              <w:t>Predlog Zakona o spremembah in dopolnitvah Zakona o avdiovizualnih medijskih storitvah (EVA 2019-3340-0016)</w:t>
            </w:r>
            <w:r w:rsidRPr="00AE1F83">
              <w:rPr>
                <w:rFonts w:ascii="Arial" w:eastAsia="Times New Roman" w:hAnsi="Arial" w:cs="Arial"/>
                <w:b/>
                <w:sz w:val="20"/>
                <w:szCs w:val="20"/>
                <w:lang w:eastAsia="sl-SI"/>
              </w:rPr>
              <w:t xml:space="preserve"> </w:t>
            </w:r>
          </w:p>
          <w:p w:rsidR="001B2B27" w:rsidRPr="00AE1F83" w:rsidRDefault="001B2B27"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8369EA" w:rsidTr="005940FE">
        <w:tc>
          <w:tcPr>
            <w:tcW w:w="9163" w:type="dxa"/>
            <w:gridSpan w:val="4"/>
          </w:tcPr>
          <w:p w:rsidR="00BE1D17" w:rsidRPr="00DF0D6D" w:rsidRDefault="00BE1D17" w:rsidP="00BE1D17">
            <w:pPr>
              <w:suppressAutoHyphens/>
              <w:spacing w:after="0" w:line="288" w:lineRule="auto"/>
              <w:jc w:val="both"/>
              <w:rPr>
                <w:rFonts w:ascii="Arial" w:eastAsia="Times New Roman" w:hAnsi="Arial" w:cs="Arial"/>
                <w:sz w:val="20"/>
                <w:szCs w:val="24"/>
              </w:rPr>
            </w:pPr>
            <w:r w:rsidRPr="00DF0D6D">
              <w:rPr>
                <w:rFonts w:ascii="Arial" w:eastAsia="Times New Roman" w:hAnsi="Arial" w:cs="Arial"/>
                <w:sz w:val="20"/>
                <w:szCs w:val="20"/>
                <w:lang w:eastAsia="ar-SA"/>
              </w:rPr>
              <w:t xml:space="preserve">Na podlagi </w:t>
            </w:r>
            <w:r w:rsidRPr="00DF0D6D">
              <w:rPr>
                <w:rFonts w:ascii="Arial" w:eastAsia="Times New Roman" w:hAnsi="Arial" w:cs="Arial"/>
                <w:sz w:val="20"/>
                <w:szCs w:val="20"/>
              </w:rPr>
              <w:t xml:space="preserve">drugega odstavka 2. člena </w:t>
            </w:r>
            <w:r w:rsidRPr="00DF0D6D">
              <w:rPr>
                <w:rFonts w:ascii="Arial" w:eastAsia="Times New Roman" w:hAnsi="Arial" w:cs="Arial"/>
                <w:sz w:val="20"/>
                <w:szCs w:val="20"/>
                <w:lang w:eastAsia="ar-SA"/>
              </w:rPr>
              <w:t xml:space="preserve">Zakona o Vladi Republike Slovenije </w:t>
            </w:r>
            <w:r w:rsidRPr="00DF0D6D">
              <w:rPr>
                <w:rFonts w:ascii="Arial" w:eastAsia="Times New Roman" w:hAnsi="Arial" w:cs="Arial"/>
                <w:sz w:val="20"/>
                <w:szCs w:val="20"/>
              </w:rPr>
              <w:t xml:space="preserve">(Uradni list RS, št. 24/05 – uradno prečiščeno besedilo, 109/08, 38/10 – ZUKN, 8/12, 21/13, 47/13 – ZDU-1G, 65/14 in 55/17) </w:t>
            </w:r>
            <w:r w:rsidRPr="00DF0D6D">
              <w:rPr>
                <w:rFonts w:ascii="Arial" w:eastAsia="Times New Roman" w:hAnsi="Arial" w:cs="Arial"/>
                <w:sz w:val="20"/>
                <w:szCs w:val="20"/>
                <w:lang w:eastAsia="ar-SA"/>
              </w:rPr>
              <w:t>je Vlada Republike Slovenije na .....seji dne......sprejela naslednji:</w:t>
            </w:r>
          </w:p>
          <w:p w:rsidR="00BE1D17" w:rsidRPr="00DF0D6D" w:rsidRDefault="00BE1D17" w:rsidP="00BE1D17">
            <w:pPr>
              <w:spacing w:after="0" w:line="288" w:lineRule="auto"/>
              <w:jc w:val="both"/>
              <w:rPr>
                <w:rFonts w:ascii="Arial" w:eastAsia="Times New Roman" w:hAnsi="Arial" w:cs="Arial"/>
                <w:color w:val="FF0000"/>
                <w:sz w:val="20"/>
                <w:szCs w:val="20"/>
              </w:rPr>
            </w:pPr>
          </w:p>
          <w:p w:rsidR="00BE1D17" w:rsidRPr="00DF0D6D" w:rsidRDefault="00BE1D17" w:rsidP="00BE1D17">
            <w:pPr>
              <w:spacing w:after="0" w:line="288" w:lineRule="auto"/>
              <w:jc w:val="center"/>
              <w:rPr>
                <w:rFonts w:ascii="Arial" w:eastAsia="Times New Roman" w:hAnsi="Arial" w:cs="Arial"/>
                <w:sz w:val="20"/>
                <w:szCs w:val="20"/>
              </w:rPr>
            </w:pPr>
            <w:r w:rsidRPr="00DF0D6D">
              <w:rPr>
                <w:rFonts w:ascii="Arial" w:eastAsia="Times New Roman" w:hAnsi="Arial" w:cs="Arial"/>
                <w:sz w:val="20"/>
                <w:szCs w:val="20"/>
              </w:rPr>
              <w:t>SKLEP</w:t>
            </w:r>
          </w:p>
          <w:p w:rsidR="00BE1D17" w:rsidRPr="00DF0D6D" w:rsidRDefault="00BE1D17" w:rsidP="00BE1D17">
            <w:pPr>
              <w:spacing w:after="0" w:line="288" w:lineRule="auto"/>
              <w:jc w:val="center"/>
              <w:rPr>
                <w:rFonts w:ascii="Arial" w:eastAsia="Times New Roman" w:hAnsi="Arial" w:cs="Arial"/>
                <w:color w:val="FF0000"/>
                <w:sz w:val="20"/>
                <w:szCs w:val="20"/>
              </w:rPr>
            </w:pPr>
          </w:p>
          <w:p w:rsidR="00BE1D17" w:rsidRPr="00DF0D6D" w:rsidRDefault="00BE1D17" w:rsidP="00BE1D17">
            <w:pPr>
              <w:spacing w:after="0" w:line="288" w:lineRule="auto"/>
              <w:jc w:val="both"/>
              <w:rPr>
                <w:rFonts w:ascii="Arial" w:eastAsia="Times New Roman" w:hAnsi="Arial" w:cs="Arial"/>
                <w:sz w:val="20"/>
                <w:szCs w:val="20"/>
              </w:rPr>
            </w:pPr>
            <w:r w:rsidRPr="00DF0D6D">
              <w:rPr>
                <w:rFonts w:ascii="Arial" w:eastAsia="Times New Roman" w:hAnsi="Arial" w:cs="Arial"/>
                <w:sz w:val="20"/>
                <w:szCs w:val="20"/>
              </w:rPr>
              <w:t xml:space="preserve">Vlada Republike Slovenije je določila besedilo Predloga Zakona o spremembah in dopolnitvah Zakona </w:t>
            </w:r>
            <w:r w:rsidR="007A1645" w:rsidRPr="007A1645">
              <w:rPr>
                <w:rFonts w:ascii="Arial" w:eastAsia="Times New Roman" w:hAnsi="Arial" w:cs="Arial"/>
                <w:sz w:val="20"/>
                <w:szCs w:val="20"/>
              </w:rPr>
              <w:t xml:space="preserve">o avdiovizualnih medijskih storitvah </w:t>
            </w:r>
            <w:r w:rsidRPr="00DF0D6D">
              <w:rPr>
                <w:rFonts w:ascii="Arial" w:eastAsia="Times New Roman" w:hAnsi="Arial" w:cs="Arial"/>
                <w:sz w:val="20"/>
                <w:szCs w:val="20"/>
              </w:rPr>
              <w:t>(EVA 2019-3340-00</w:t>
            </w:r>
            <w:r w:rsidR="007A1645">
              <w:rPr>
                <w:rFonts w:ascii="Arial" w:eastAsia="Times New Roman" w:hAnsi="Arial" w:cs="Arial"/>
                <w:sz w:val="20"/>
                <w:szCs w:val="20"/>
              </w:rPr>
              <w:t>16</w:t>
            </w:r>
            <w:r w:rsidRPr="00DF0D6D">
              <w:rPr>
                <w:rFonts w:ascii="Arial" w:eastAsia="Times New Roman" w:hAnsi="Arial" w:cs="Arial"/>
                <w:sz w:val="20"/>
                <w:szCs w:val="20"/>
              </w:rPr>
              <w:t>) in ga pošlje Državnemu zboru Republike Slovenije v obravnavo po</w:t>
            </w:r>
            <w:r>
              <w:rPr>
                <w:rFonts w:ascii="Arial" w:eastAsia="Times New Roman" w:hAnsi="Arial" w:cs="Arial"/>
                <w:sz w:val="20"/>
                <w:szCs w:val="20"/>
              </w:rPr>
              <w:t xml:space="preserve"> rednem postopku</w:t>
            </w:r>
            <w:r w:rsidRPr="00DF0D6D">
              <w:rPr>
                <w:rFonts w:ascii="Arial" w:eastAsia="Times New Roman" w:hAnsi="Arial" w:cs="Arial"/>
                <w:sz w:val="20"/>
                <w:szCs w:val="20"/>
              </w:rPr>
              <w:t>.</w:t>
            </w:r>
          </w:p>
          <w:p w:rsidR="00BE1D17" w:rsidRPr="00DF0D6D" w:rsidRDefault="00BE1D17" w:rsidP="00BE1D17">
            <w:pPr>
              <w:spacing w:after="0" w:line="288" w:lineRule="auto"/>
              <w:ind w:firstLine="720"/>
              <w:jc w:val="both"/>
              <w:rPr>
                <w:rFonts w:ascii="Arial" w:eastAsia="Times New Roman" w:hAnsi="Arial" w:cs="Arial"/>
                <w:sz w:val="20"/>
                <w:szCs w:val="20"/>
                <w:lang w:eastAsia="sl-SI"/>
              </w:rPr>
            </w:pPr>
          </w:p>
          <w:p w:rsidR="00BE1D17" w:rsidRPr="00DF0D6D" w:rsidRDefault="00BE1D17" w:rsidP="00BE1D17">
            <w:pPr>
              <w:suppressAutoHyphens/>
              <w:spacing w:after="0" w:line="288" w:lineRule="auto"/>
              <w:jc w:val="center"/>
              <w:rPr>
                <w:rFonts w:ascii="Arial" w:eastAsia="Times New Roman" w:hAnsi="Arial" w:cs="Arial"/>
                <w:bCs/>
                <w:sz w:val="20"/>
                <w:szCs w:val="20"/>
                <w:lang w:eastAsia="ar-SA"/>
              </w:rPr>
            </w:pPr>
          </w:p>
          <w:p w:rsidR="00BE1D17" w:rsidRPr="00DF0D6D" w:rsidRDefault="00FC7B51" w:rsidP="00BE1D17">
            <w:pPr>
              <w:suppressAutoHyphens/>
              <w:spacing w:after="0" w:line="288"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 xml:space="preserve"> mag. Janja Garvas Hočevar</w:t>
            </w:r>
            <w:r w:rsidR="00BE1D17" w:rsidRPr="00DF0D6D">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                          v. d. generalne sekretarke</w:t>
            </w:r>
          </w:p>
          <w:p w:rsidR="00BE1D17" w:rsidRPr="0014744D" w:rsidRDefault="00BE1D17" w:rsidP="00BE1D17">
            <w:pPr>
              <w:pStyle w:val="Neotevilenodstavek"/>
              <w:rPr>
                <w:color w:val="000000"/>
                <w:sz w:val="20"/>
                <w:szCs w:val="20"/>
              </w:rPr>
            </w:pPr>
            <w:r w:rsidRPr="0014744D">
              <w:rPr>
                <w:color w:val="000000"/>
                <w:sz w:val="20"/>
                <w:szCs w:val="20"/>
              </w:rPr>
              <w:t xml:space="preserve">                                                                                                                                                                                            </w:t>
            </w:r>
          </w:p>
          <w:p w:rsidR="00BE1D17" w:rsidRPr="0014744D" w:rsidRDefault="00BE1D17" w:rsidP="00BE1D17">
            <w:pPr>
              <w:pStyle w:val="Neotevilenodstavek"/>
              <w:rPr>
                <w:color w:val="000000"/>
                <w:sz w:val="20"/>
                <w:szCs w:val="20"/>
              </w:rPr>
            </w:pPr>
          </w:p>
          <w:p w:rsidR="00BE1D17" w:rsidRPr="0014744D" w:rsidRDefault="00BE1D17" w:rsidP="00BE1D17">
            <w:pPr>
              <w:pStyle w:val="Neotevilenodstavek"/>
              <w:rPr>
                <w:color w:val="000000"/>
                <w:sz w:val="20"/>
                <w:szCs w:val="20"/>
              </w:rPr>
            </w:pPr>
            <w:r w:rsidRPr="0014744D">
              <w:rPr>
                <w:color w:val="000000"/>
                <w:sz w:val="20"/>
                <w:szCs w:val="20"/>
              </w:rPr>
              <w:t xml:space="preserve">  </w:t>
            </w:r>
          </w:p>
          <w:p w:rsidR="00BE1D17" w:rsidRPr="0014744D" w:rsidRDefault="00BE1D17" w:rsidP="00BE1D17">
            <w:pPr>
              <w:pStyle w:val="Neotevilenodstavek"/>
              <w:rPr>
                <w:color w:val="000000"/>
                <w:sz w:val="20"/>
                <w:szCs w:val="20"/>
              </w:rPr>
            </w:pPr>
            <w:r w:rsidRPr="0014744D">
              <w:rPr>
                <w:color w:val="000000"/>
                <w:sz w:val="20"/>
                <w:szCs w:val="20"/>
              </w:rPr>
              <w:t>Prejmejo:</w:t>
            </w:r>
          </w:p>
          <w:p w:rsidR="00185354" w:rsidRDefault="00185354" w:rsidP="00185354">
            <w:pPr>
              <w:pStyle w:val="Neotevilenodstavek"/>
              <w:numPr>
                <w:ilvl w:val="0"/>
                <w:numId w:val="24"/>
              </w:numPr>
              <w:rPr>
                <w:color w:val="000000"/>
                <w:sz w:val="20"/>
                <w:szCs w:val="20"/>
              </w:rPr>
            </w:pPr>
            <w:r>
              <w:rPr>
                <w:color w:val="000000"/>
                <w:sz w:val="20"/>
                <w:szCs w:val="20"/>
              </w:rPr>
              <w:t>Generalni sekretariat vlade</w:t>
            </w:r>
          </w:p>
          <w:p w:rsidR="00BE1D17" w:rsidRPr="00185354" w:rsidRDefault="00185354" w:rsidP="00185354">
            <w:pPr>
              <w:pStyle w:val="Neotevilenodstavek"/>
              <w:numPr>
                <w:ilvl w:val="0"/>
                <w:numId w:val="24"/>
              </w:numPr>
              <w:rPr>
                <w:color w:val="000000"/>
                <w:sz w:val="20"/>
                <w:szCs w:val="20"/>
              </w:rPr>
            </w:pPr>
            <w:r>
              <w:rPr>
                <w:color w:val="000000"/>
                <w:sz w:val="20"/>
                <w:szCs w:val="20"/>
              </w:rPr>
              <w:t>M</w:t>
            </w:r>
            <w:r w:rsidR="00BE1D17" w:rsidRPr="0014744D">
              <w:rPr>
                <w:color w:val="000000"/>
                <w:sz w:val="20"/>
                <w:szCs w:val="20"/>
              </w:rPr>
              <w:t>inistrstv</w:t>
            </w:r>
            <w:r>
              <w:rPr>
                <w:color w:val="000000"/>
                <w:sz w:val="20"/>
                <w:szCs w:val="20"/>
              </w:rPr>
              <w:t>o za kulturo</w:t>
            </w:r>
          </w:p>
          <w:p w:rsidR="007A1645" w:rsidRDefault="007A1645" w:rsidP="00BE1D17">
            <w:pPr>
              <w:pStyle w:val="Neotevilenodstavek"/>
              <w:numPr>
                <w:ilvl w:val="0"/>
                <w:numId w:val="24"/>
              </w:numPr>
              <w:rPr>
                <w:color w:val="000000"/>
                <w:sz w:val="20"/>
                <w:szCs w:val="20"/>
              </w:rPr>
            </w:pPr>
            <w:r>
              <w:rPr>
                <w:color w:val="000000"/>
                <w:sz w:val="20"/>
                <w:szCs w:val="20"/>
              </w:rPr>
              <w:t>Agencija za komunikacijska omrežja in storitve Republike Slovenije</w:t>
            </w:r>
          </w:p>
          <w:p w:rsidR="001B2B27" w:rsidRPr="00AE1F83" w:rsidRDefault="001B2B27" w:rsidP="001B2B2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GoBack"/>
            <w:bookmarkEnd w:id="0"/>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8369EA" w:rsidTr="005940FE">
        <w:tc>
          <w:tcPr>
            <w:tcW w:w="9163" w:type="dxa"/>
            <w:gridSpan w:val="4"/>
          </w:tcPr>
          <w:p w:rsidR="001B2B27" w:rsidRPr="00AE1F83"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8369EA" w:rsidTr="005940FE">
        <w:tc>
          <w:tcPr>
            <w:tcW w:w="9163" w:type="dxa"/>
            <w:gridSpan w:val="4"/>
          </w:tcPr>
          <w:p w:rsidR="001A24EE" w:rsidRPr="00084E99" w:rsidRDefault="001A24EE" w:rsidP="001A24EE">
            <w:pPr>
              <w:pStyle w:val="Odsek"/>
              <w:numPr>
                <w:ilvl w:val="0"/>
                <w:numId w:val="25"/>
              </w:numPr>
              <w:spacing w:before="0" w:after="0" w:line="260" w:lineRule="exact"/>
              <w:jc w:val="left"/>
              <w:rPr>
                <w:b w:val="0"/>
                <w:bCs/>
                <w:sz w:val="20"/>
                <w:szCs w:val="20"/>
              </w:rPr>
            </w:pPr>
            <w:r w:rsidRPr="00084E99">
              <w:rPr>
                <w:b w:val="0"/>
                <w:bCs/>
                <w:sz w:val="20"/>
                <w:szCs w:val="20"/>
              </w:rPr>
              <w:t>dr. Vasko Simoniti, minister</w:t>
            </w:r>
          </w:p>
          <w:p w:rsidR="001B2B27" w:rsidRPr="00F650E1" w:rsidRDefault="000E10F7" w:rsidP="00F650E1">
            <w:pPr>
              <w:pStyle w:val="Odsek"/>
              <w:numPr>
                <w:ilvl w:val="0"/>
                <w:numId w:val="25"/>
              </w:numPr>
              <w:spacing w:before="0" w:after="0" w:line="260" w:lineRule="exact"/>
              <w:jc w:val="left"/>
              <w:rPr>
                <w:b w:val="0"/>
                <w:bCs/>
                <w:sz w:val="20"/>
                <w:szCs w:val="20"/>
              </w:rPr>
            </w:pPr>
            <w:r>
              <w:rPr>
                <w:b w:val="0"/>
                <w:bCs/>
                <w:sz w:val="20"/>
                <w:szCs w:val="20"/>
              </w:rPr>
              <w:t>Uršula Menih Dokl</w:t>
            </w:r>
            <w:r w:rsidR="001A24EE" w:rsidRPr="00084E99">
              <w:rPr>
                <w:b w:val="0"/>
                <w:bCs/>
                <w:sz w:val="20"/>
                <w:szCs w:val="20"/>
              </w:rPr>
              <w:t>, v. d. generalne direktor</w:t>
            </w:r>
            <w:r>
              <w:rPr>
                <w:b w:val="0"/>
                <w:bCs/>
                <w:sz w:val="20"/>
                <w:szCs w:val="20"/>
              </w:rPr>
              <w:t>ice</w:t>
            </w:r>
            <w:r w:rsidR="001A24EE" w:rsidRPr="00084E99">
              <w:rPr>
                <w:b w:val="0"/>
                <w:bCs/>
                <w:sz w:val="20"/>
                <w:szCs w:val="20"/>
              </w:rPr>
              <w:t xml:space="preserve"> Direktorata za medije</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8369EA" w:rsidTr="005940FE">
        <w:tc>
          <w:tcPr>
            <w:tcW w:w="9163" w:type="dxa"/>
            <w:gridSpan w:val="4"/>
          </w:tcPr>
          <w:p w:rsidR="001B2B27" w:rsidRPr="00AE1F83"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8369EA" w:rsidTr="005940FE">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8369EA" w:rsidTr="005940FE">
        <w:tc>
          <w:tcPr>
            <w:tcW w:w="9163" w:type="dxa"/>
            <w:gridSpan w:val="4"/>
          </w:tcPr>
          <w:p w:rsidR="001A24EE" w:rsidRDefault="001A24EE" w:rsidP="001A24EE">
            <w:pPr>
              <w:pStyle w:val="Odsek"/>
              <w:numPr>
                <w:ilvl w:val="0"/>
                <w:numId w:val="25"/>
              </w:numPr>
              <w:spacing w:before="0" w:after="0" w:line="260" w:lineRule="exact"/>
              <w:jc w:val="left"/>
              <w:rPr>
                <w:b w:val="0"/>
                <w:bCs/>
                <w:sz w:val="20"/>
                <w:szCs w:val="20"/>
              </w:rPr>
            </w:pPr>
            <w:r w:rsidRPr="00084E99">
              <w:rPr>
                <w:b w:val="0"/>
                <w:bCs/>
                <w:sz w:val="20"/>
                <w:szCs w:val="20"/>
              </w:rPr>
              <w:t>dr. Vasko Simoniti, minister</w:t>
            </w:r>
          </w:p>
          <w:p w:rsidR="00F650E1" w:rsidRPr="00F3581F" w:rsidRDefault="00F650E1" w:rsidP="00F650E1">
            <w:pPr>
              <w:pStyle w:val="Odsek"/>
              <w:numPr>
                <w:ilvl w:val="0"/>
                <w:numId w:val="25"/>
              </w:numPr>
              <w:spacing w:before="0" w:after="0" w:line="260" w:lineRule="exact"/>
              <w:jc w:val="left"/>
              <w:rPr>
                <w:b w:val="0"/>
                <w:bCs/>
                <w:sz w:val="20"/>
                <w:szCs w:val="20"/>
              </w:rPr>
            </w:pPr>
            <w:r w:rsidRPr="00F3581F">
              <w:rPr>
                <w:b w:val="0"/>
                <w:bCs/>
                <w:sz w:val="20"/>
                <w:szCs w:val="20"/>
              </w:rPr>
              <w:t>dr. Ignacija Fridl Jarc, državna sekretarka</w:t>
            </w:r>
          </w:p>
          <w:p w:rsidR="001B2B27" w:rsidRPr="00AE1F83" w:rsidRDefault="000E10F7" w:rsidP="00000C9B">
            <w:pPr>
              <w:pStyle w:val="Odsek"/>
              <w:numPr>
                <w:ilvl w:val="0"/>
                <w:numId w:val="25"/>
              </w:numPr>
              <w:spacing w:before="0" w:after="0" w:line="260" w:lineRule="exact"/>
              <w:jc w:val="left"/>
              <w:rPr>
                <w:b w:val="0"/>
                <w:sz w:val="20"/>
                <w:szCs w:val="20"/>
              </w:rPr>
            </w:pPr>
            <w:r>
              <w:rPr>
                <w:b w:val="0"/>
                <w:bCs/>
                <w:sz w:val="20"/>
                <w:szCs w:val="20"/>
              </w:rPr>
              <w:lastRenderedPageBreak/>
              <w:t>Uršula Menih Dokl</w:t>
            </w:r>
            <w:r w:rsidRPr="00084E99">
              <w:rPr>
                <w:b w:val="0"/>
                <w:bCs/>
                <w:sz w:val="20"/>
                <w:szCs w:val="20"/>
              </w:rPr>
              <w:t>, v. d. generalne direktor</w:t>
            </w:r>
            <w:r>
              <w:rPr>
                <w:b w:val="0"/>
                <w:bCs/>
                <w:sz w:val="20"/>
                <w:szCs w:val="20"/>
              </w:rPr>
              <w:t>ice</w:t>
            </w:r>
            <w:r w:rsidRPr="00084E99">
              <w:rPr>
                <w:b w:val="0"/>
                <w:bCs/>
                <w:sz w:val="20"/>
                <w:szCs w:val="20"/>
              </w:rPr>
              <w:t xml:space="preserve"> Direktorata za medije</w:t>
            </w: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5. Kratek povzetek gradiva:</w:t>
            </w:r>
          </w:p>
        </w:tc>
      </w:tr>
      <w:tr w:rsidR="00AE1F83" w:rsidRPr="008369EA" w:rsidTr="005940FE">
        <w:tc>
          <w:tcPr>
            <w:tcW w:w="9163" w:type="dxa"/>
            <w:gridSpan w:val="4"/>
          </w:tcPr>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S predlogom zakona se v slovenski pravni red prenaša Direktiva (EU) 2018/1808 Evropskega parlamenta in Sveta z dne 14. novembra 2018 o spremembi Direktive 2010/13/EU o usklajevanju nekaterih zakonov in drugih predpisov držav članic o opravljanju avdiovizualnih medijskih storitev (Direktiva o avdiovizualnih medijskih storitvah) glede na spreminjajoče se tržne razmere (UL L 303, z dne 28. 11. 2018, str. 69–92).</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Konec leta 2011 je bila z Zakonom o avdiovizualnih medijskih storitvah (Uradni list RS, št. 87/11 in 84/15; v nadaljnjem besedilu: ZAvMS) v slovenski pravni red prenesena Direktiva 2010/13/EU Evropskega parlamenta in Sveta z dne 10. marca 2010 o usklajevanju nekaterih zakonov in drugih predpisov držav članic o opravljanju avdiovizualnih medijskih storitev (Direktiva o avdiovizualnih medijskih storitvah) (kodificirana različica) (UL L št. 95, z dne 15. 4. 2010, str. 1–24).</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Prva direktiva na tem področju je bila sprejeta leta 1989, in sicer Direktiva Sveta 89/552//EGS – Direktiva o televiziji brez meja, ki je bila spremenjena leta 1997 z Direktivo Evropskega parlamenta in Sveta 97/36/ES z dne 30. junija 1997 o spremembi Direktive 89/552/EGS o usklajevanju nekaterih zakonov in drugih predpisov držav članic o opravljanju dejavnosti razširjanja televizijskih programov.</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Zadnja bistvena sprememba Direktive Sveta 89/552/EGS, ki je bila naknadno kodificirana v Direktivi 2010/13/EU, je bila izvedena leta 2007 s sprejetjem Direktive 2007/65/ES Evropskega parlamenta in Sveta z dne 11. decembra 2007 o spremembi Direktive Sveta 89/552/EGS o usklajevanju nekaterih zakonov in drugih predpisov držav članic o opravljanju dejavnosti razširjanja televizijskih programov.</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Trg avdiovizualnih medijskih storitev se je od takrat precej in zelo hitro spremenil zaradi stalne konvergence televizije in internetnih storitev. Tehnološki razvoj je omogočil nove vrste storitev in uporabniških izkušenj. Gledalske navade, zlasti mlajših generacij, so se znatno spremenile. Medtem ko glavni televizijski zasloni ostajajo pomembno orodje za deljenje avdiovizualnih izkušenj, so mnogi gledalci začeli uporabljati druge, prenosne naprave za gledanje avdiovizualnih vsebin. Kljub temu tradicionalne televizijske vsebine še vedno predstavljajo velik delež povprečnega dnevnega časa gledanja.</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Vendar so nove vrste vsebin, na primer video posnetki ali vsebine, ki jih ustvarijo uporabniki, vedno pomembnejše, novi udeleženci na trgu, vključno s ponudniki storitev videa na zahtevo in platform za izmenjavo videov, pa so zdaj že uveljavljeni. Ta medijska konvergenca zahteva posodobljen pravni okvir, ki bo odražal razvoj na trgu in omogočil doseganje ravnovesja med dostopom do storitev spletnih vsebin, varstvom potrošnikov in konkurenčnostjo.</w:t>
            </w: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1A24EE" w:rsidRPr="001A24EE" w:rsidRDefault="001A24EE"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A24EE">
              <w:rPr>
                <w:rFonts w:ascii="Arial" w:eastAsia="Times New Roman" w:hAnsi="Arial" w:cs="Arial"/>
                <w:iCs/>
                <w:sz w:val="20"/>
                <w:szCs w:val="20"/>
                <w:lang w:eastAsia="sl-SI"/>
              </w:rPr>
              <w:t xml:space="preserve">Evropska komisija je 6. maja 2015 sprejela sporočilo z naslovom »Strategija za enotni digitalni trg za Evropo«, v kateri je napovedala pregled Direktive 2010/13/EU. Z namenom pridobitve stališč vseh zainteresiranih strani o tem, kako evropsko avdiovizualno medijsko krajino prilagoditi digitalni dobi, je Evropska komisija organizirala javno posvetovanje, ki je potekalo od julija do septembra 2015. Evropska komisija je maja 2016 predlagala spremenjeno direktivo o avdiovizualnih medijskih storitvah, ki je vključevala nov pristop k spletnim platformam za širjenje avdiovizualnih vsebin. Od takrat je bila spremenjena direktiva predmet intenzivnih pogajanj med so-zakonodajalci, ki so bila s podporo Evropske komisije zaključena z neuradnim dogovorom o predlaganih pravilih, doseženim 6. junija 2018. 6. novembra 2018 je Svet sprejel spremenjeno direktivo o avdiovizualnih medijskih storitvah (Direktiva (EU) 2018/1808), kar je bil zadnji korak v zakonodajnem postopku. </w:t>
            </w:r>
          </w:p>
          <w:p w:rsidR="001B2B27" w:rsidRPr="00AE1F83" w:rsidRDefault="001B2B27" w:rsidP="001A24E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8369EA" w:rsidTr="005940FE">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C81319"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1A24EE"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w:t>
            </w:r>
          </w:p>
        </w:tc>
      </w:tr>
      <w:tr w:rsidR="00AE1F83" w:rsidRPr="008369EA" w:rsidTr="005940FE">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8369EA" w:rsidTr="005940FE">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81319" w:rsidRDefault="00C81319" w:rsidP="00C81319">
            <w:pPr>
              <w:pStyle w:val="Oddelek"/>
              <w:numPr>
                <w:ilvl w:val="0"/>
                <w:numId w:val="0"/>
              </w:numPr>
              <w:spacing w:before="0" w:after="0" w:line="240" w:lineRule="auto"/>
              <w:jc w:val="both"/>
              <w:rPr>
                <w:b w:val="0"/>
                <w:bCs/>
              </w:rPr>
            </w:pPr>
            <w:r w:rsidRPr="00112EF7">
              <w:rPr>
                <w:b w:val="0"/>
                <w:bCs/>
              </w:rPr>
              <w:t xml:space="preserve">Predlog zakona </w:t>
            </w:r>
            <w:r>
              <w:rPr>
                <w:b w:val="0"/>
                <w:bCs/>
              </w:rPr>
              <w:t xml:space="preserve">ima posledice </w:t>
            </w:r>
            <w:r w:rsidRPr="00112EF7">
              <w:rPr>
                <w:b w:val="0"/>
                <w:bCs/>
              </w:rPr>
              <w:t xml:space="preserve">za državni proračun. </w:t>
            </w:r>
            <w:r>
              <w:rPr>
                <w:b w:val="0"/>
                <w:bCs/>
              </w:rPr>
              <w:t>Z 16.</w:t>
            </w:r>
            <w:r w:rsidR="004E287B">
              <w:rPr>
                <w:b w:val="0"/>
                <w:bCs/>
              </w:rPr>
              <w:t>b</w:t>
            </w:r>
            <w:r>
              <w:rPr>
                <w:b w:val="0"/>
                <w:bCs/>
              </w:rPr>
              <w:t xml:space="preserve"> členom se ustanavlja proračunski sklad – Sklad za evropsko avdiovizualno produkcijo. S skladom bo upravljalo ministrstvo, pristojno za medije. Sklad sicer ne bo ustanovljen takoj z uveljavitvijo tega zakona, ampak šele s pripoznavo le-tega ter namenskega prihodka v Zakonu o izvrševanju proračunov Republike Slovenije. V prehodni določbi je navedeno, da se členi 16.a, 16.b in 16.c pričnejo uporabljati šele z dnem uveljavitve proračuna oziroma rebalansa proračuna v katerem je pripoznan namenski prihodek sklada in sam sklad.</w:t>
            </w:r>
          </w:p>
          <w:p w:rsidR="00C81319" w:rsidRDefault="00C81319" w:rsidP="00C81319">
            <w:pPr>
              <w:pStyle w:val="Oddelek"/>
              <w:numPr>
                <w:ilvl w:val="0"/>
                <w:numId w:val="0"/>
              </w:numPr>
              <w:spacing w:before="0" w:after="0" w:line="240" w:lineRule="auto"/>
              <w:jc w:val="both"/>
              <w:rPr>
                <w:b w:val="0"/>
                <w:bCs/>
              </w:rPr>
            </w:pPr>
          </w:p>
          <w:p w:rsidR="00C81319" w:rsidRPr="00112EF7" w:rsidRDefault="00C81319" w:rsidP="00C81319">
            <w:pPr>
              <w:pStyle w:val="Oddelek"/>
              <w:numPr>
                <w:ilvl w:val="0"/>
                <w:numId w:val="0"/>
              </w:numPr>
              <w:spacing w:before="0" w:after="0" w:line="240" w:lineRule="auto"/>
              <w:jc w:val="both"/>
              <w:rPr>
                <w:b w:val="0"/>
                <w:bCs/>
              </w:rPr>
            </w:pPr>
            <w:r>
              <w:rPr>
                <w:b w:val="0"/>
                <w:bCs/>
              </w:rPr>
              <w:t>Po pričetku izvrševanja členov 16.a, 16.b in 16.c se predvideva, da se bo v skladu zbralo okrog 200.000 evrov letno. Ocenjeno je, da bo zavezancev 20 in da bo vsak izmed njih v sklad povprečno prispeval 10.000 evrov letno. S sredstvi bo upravljalo ministrstvo, pristojno za medije in sicer jih bo po postopku javnih razpisov namenilo za produkcijo evropskih avdiovizualnih del.</w:t>
            </w:r>
          </w:p>
          <w:p w:rsidR="00C81319" w:rsidRPr="00112EF7" w:rsidRDefault="00C81319" w:rsidP="00C81319">
            <w:pPr>
              <w:pStyle w:val="Oddelek"/>
              <w:numPr>
                <w:ilvl w:val="0"/>
                <w:numId w:val="0"/>
              </w:numPr>
              <w:spacing w:before="0" w:after="0" w:line="240" w:lineRule="auto"/>
              <w:jc w:val="both"/>
            </w:pPr>
          </w:p>
          <w:p w:rsidR="001B2B27" w:rsidRPr="00C81319" w:rsidRDefault="00C81319" w:rsidP="00C81319">
            <w:pPr>
              <w:pStyle w:val="Oddelek"/>
              <w:numPr>
                <w:ilvl w:val="0"/>
                <w:numId w:val="0"/>
              </w:numPr>
              <w:spacing w:before="0" w:after="0" w:line="240" w:lineRule="auto"/>
              <w:jc w:val="both"/>
              <w:rPr>
                <w:b w:val="0"/>
                <w:bCs/>
              </w:rPr>
            </w:pPr>
            <w:r w:rsidRPr="00112EF7">
              <w:rPr>
                <w:b w:val="0"/>
                <w:bCs/>
              </w:rPr>
              <w:t>Predlog zakona ima posledice na javna finančna sredstva, s katerimi se financira Agencija za komunikacijska omrežja in storitve (AKOS). Ta pridobiva z letni</w:t>
            </w:r>
            <w:r>
              <w:rPr>
                <w:b w:val="0"/>
                <w:bCs/>
              </w:rPr>
              <w:t xml:space="preserve">mi </w:t>
            </w:r>
            <w:r w:rsidRPr="00112EF7">
              <w:rPr>
                <w:b w:val="0"/>
                <w:bCs/>
              </w:rPr>
              <w:t>plačil</w:t>
            </w:r>
            <w:r>
              <w:rPr>
                <w:b w:val="0"/>
                <w:bCs/>
              </w:rPr>
              <w:t>i</w:t>
            </w:r>
            <w:r w:rsidRPr="00112EF7">
              <w:rPr>
                <w:b w:val="0"/>
                <w:bCs/>
              </w:rPr>
              <w:t xml:space="preserve"> ponudnikov avdiovizualnih medijskih storitev sredstva, potrebna za kritje strošk</w:t>
            </w:r>
            <w:r>
              <w:rPr>
                <w:b w:val="0"/>
                <w:bCs/>
              </w:rPr>
              <w:t>ov</w:t>
            </w:r>
            <w:r w:rsidRPr="00112EF7">
              <w:rPr>
                <w:b w:val="0"/>
                <w:bCs/>
              </w:rPr>
              <w:t>, ki jih ima z izvrševanjem svojih pristojnosti po ZAvMS. S predlogom zakona se krog zavezancev za letno plačilo širi tudi na ponudnike storitev platform za izmenjavo videov.</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6"/>
        <w:gridCol w:w="1410"/>
        <w:gridCol w:w="166"/>
        <w:gridCol w:w="1190"/>
        <w:gridCol w:w="682"/>
        <w:gridCol w:w="384"/>
        <w:gridCol w:w="302"/>
        <w:gridCol w:w="2119"/>
      </w:tblGrid>
      <w:tr w:rsidR="00AE1F83" w:rsidRPr="008369EA" w:rsidTr="005940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8369EA" w:rsidTr="00C81319">
        <w:trPr>
          <w:cantSplit/>
          <w:trHeight w:val="276"/>
        </w:trPr>
        <w:tc>
          <w:tcPr>
            <w:tcW w:w="294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190"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r>
              <w:rPr>
                <w:rFonts w:ascii="Arial" w:eastAsia="Times New Roman" w:hAnsi="Arial" w:cs="Arial"/>
                <w:kern w:val="32"/>
                <w:sz w:val="20"/>
                <w:szCs w:val="20"/>
                <w:lang w:eastAsia="sl-SI"/>
              </w:rPr>
              <w:t>+ 200.000</w:t>
            </w:r>
          </w:p>
        </w:tc>
      </w:tr>
      <w:tr w:rsidR="0073781E" w:rsidRPr="008369EA" w:rsidTr="00C81319">
        <w:trPr>
          <w:cantSplit/>
          <w:trHeight w:val="6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p>
        </w:tc>
      </w:tr>
      <w:tr w:rsidR="0073781E" w:rsidRPr="008369EA" w:rsidTr="00C81319">
        <w:trPr>
          <w:cantSplit/>
          <w:trHeight w:val="423"/>
        </w:trPr>
        <w:tc>
          <w:tcPr>
            <w:tcW w:w="2947"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57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90"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73781E"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73781E" w:rsidRPr="008369EA" w:rsidTr="005940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73781E" w:rsidRPr="008369EA" w:rsidTr="00C81319">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3781E" w:rsidRPr="008369EA" w:rsidTr="00C81319">
        <w:trPr>
          <w:cantSplit/>
          <w:trHeight w:val="328"/>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73781E" w:rsidRPr="008369EA" w:rsidTr="00C81319">
        <w:trPr>
          <w:cantSplit/>
          <w:trHeight w:val="100"/>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2061"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5713" w:type="dxa"/>
            <w:gridSpan w:val="5"/>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3781E" w:rsidRPr="00AE1F83" w:rsidRDefault="0073781E" w:rsidP="0073781E">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73781E" w:rsidRPr="008369EA" w:rsidTr="00C81319">
        <w:trPr>
          <w:cantSplit/>
          <w:trHeight w:val="100"/>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73781E" w:rsidRPr="008369EA" w:rsidTr="00C81319">
        <w:trPr>
          <w:cantSplit/>
          <w:trHeight w:val="95"/>
        </w:trPr>
        <w:tc>
          <w:tcPr>
            <w:tcW w:w="4357"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73781E" w:rsidRPr="00AE1F83" w:rsidRDefault="0073781E" w:rsidP="0073781E">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3781E" w:rsidRPr="00AE1F83" w:rsidRDefault="0073781E" w:rsidP="0073781E">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73781E" w:rsidRPr="00AE1F83" w:rsidRDefault="0073781E" w:rsidP="0073781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73781E" w:rsidRPr="00C81319" w:rsidRDefault="0073781E" w:rsidP="0073781E">
            <w:pPr>
              <w:widowControl w:val="0"/>
              <w:spacing w:after="0" w:line="260" w:lineRule="exact"/>
              <w:ind w:left="360" w:hanging="76"/>
              <w:jc w:val="both"/>
              <w:rPr>
                <w:rFonts w:ascii="Arial" w:eastAsia="Times New Roman" w:hAnsi="Arial" w:cs="Arial"/>
                <w:i/>
                <w:iCs/>
                <w:sz w:val="20"/>
                <w:szCs w:val="20"/>
                <w:lang w:eastAsia="sl-SI"/>
              </w:rPr>
            </w:pPr>
            <w:r w:rsidRPr="00C81319">
              <w:rPr>
                <w:rFonts w:ascii="Arial" w:eastAsia="Times New Roman" w:hAnsi="Arial" w:cs="Arial"/>
                <w:i/>
                <w:iCs/>
                <w:sz w:val="20"/>
                <w:szCs w:val="20"/>
                <w:lang w:eastAsia="sl-SI"/>
              </w:rPr>
              <w:t>V zvezi s predlaganim vladnim gradivom se navedejo predvidene spremembe (povečanje, zmanjšanje):</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prihodkov državnega proračuna in občinskih proračunov,</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odhodkov državnega proračuna, ki niso načrtovani na ukrepih oziroma projektih sprejetih proračunov,</w:t>
            </w:r>
          </w:p>
          <w:p w:rsidR="0073781E" w:rsidRPr="00C81319" w:rsidRDefault="0073781E" w:rsidP="0073781E">
            <w:pPr>
              <w:widowControl w:val="0"/>
              <w:numPr>
                <w:ilvl w:val="0"/>
                <w:numId w:val="4"/>
              </w:numPr>
              <w:suppressAutoHyphens/>
              <w:spacing w:after="0" w:line="260" w:lineRule="exact"/>
              <w:jc w:val="both"/>
              <w:rPr>
                <w:rFonts w:ascii="Arial" w:eastAsia="Times New Roman" w:hAnsi="Arial" w:cs="Arial"/>
                <w:i/>
                <w:iCs/>
                <w:sz w:val="20"/>
                <w:szCs w:val="20"/>
              </w:rPr>
            </w:pPr>
            <w:r w:rsidRPr="00C81319">
              <w:rPr>
                <w:rFonts w:ascii="Arial" w:eastAsia="Times New Roman" w:hAnsi="Arial" w:cs="Arial"/>
                <w:i/>
                <w:iCs/>
                <w:sz w:val="20"/>
                <w:szCs w:val="20"/>
                <w:lang w:eastAsia="sl-SI"/>
              </w:rPr>
              <w:t>obveznosti za druga javnofinančna sredstva (drugi viri), ki niso načrtovana na ukrepih oziroma projektih sprejetih proračunov.</w:t>
            </w:r>
          </w:p>
          <w:p w:rsidR="0073781E" w:rsidRPr="00AE1F83" w:rsidRDefault="0073781E" w:rsidP="0073781E">
            <w:pPr>
              <w:widowControl w:val="0"/>
              <w:suppressAutoHyphens/>
              <w:spacing w:after="0" w:line="260" w:lineRule="exact"/>
              <w:ind w:left="360"/>
              <w:jc w:val="both"/>
              <w:rPr>
                <w:rFonts w:ascii="Arial" w:eastAsia="Times New Roman" w:hAnsi="Arial" w:cs="Arial"/>
                <w:sz w:val="20"/>
                <w:szCs w:val="20"/>
              </w:rPr>
            </w:pPr>
          </w:p>
          <w:p w:rsidR="0073781E" w:rsidRDefault="0073781E" w:rsidP="0073781E">
            <w:pPr>
              <w:widowControl w:val="0"/>
              <w:spacing w:after="0" w:line="260" w:lineRule="exact"/>
              <w:ind w:left="284"/>
              <w:jc w:val="both"/>
              <w:rPr>
                <w:rFonts w:ascii="Arial" w:eastAsia="Times New Roman" w:hAnsi="Arial" w:cs="Arial"/>
                <w:sz w:val="20"/>
                <w:szCs w:val="20"/>
                <w:lang w:eastAsia="sl-SI"/>
              </w:rPr>
            </w:pPr>
            <w:r w:rsidRPr="00C81319">
              <w:rPr>
                <w:rFonts w:ascii="Arial" w:eastAsia="Times New Roman" w:hAnsi="Arial" w:cs="Arial"/>
                <w:sz w:val="20"/>
                <w:szCs w:val="20"/>
                <w:lang w:eastAsia="sl-SI"/>
              </w:rPr>
              <w:t xml:space="preserve">Predlog zakona sicer ima posledice za državni proračun, vendar ne predvideva porabe </w:t>
            </w:r>
            <w:r w:rsidRPr="00C81319">
              <w:rPr>
                <w:rFonts w:ascii="Arial" w:eastAsia="Times New Roman" w:hAnsi="Arial" w:cs="Arial"/>
                <w:sz w:val="20"/>
                <w:szCs w:val="20"/>
                <w:lang w:eastAsia="sl-SI"/>
              </w:rPr>
              <w:lastRenderedPageBreak/>
              <w:t>proračunskih sredstev v obdobju, za katero je bil državni proračun že sprejet.</w:t>
            </w:r>
          </w:p>
          <w:p w:rsidR="0073781E" w:rsidRPr="00AE1F83" w:rsidRDefault="0073781E" w:rsidP="0073781E">
            <w:pPr>
              <w:widowControl w:val="0"/>
              <w:spacing w:after="0" w:line="260" w:lineRule="exact"/>
              <w:ind w:left="284"/>
              <w:rPr>
                <w:rFonts w:ascii="Arial" w:eastAsia="Times New Roman" w:hAnsi="Arial" w:cs="Arial"/>
                <w:sz w:val="20"/>
                <w:szCs w:val="20"/>
                <w:lang w:eastAsia="sl-SI"/>
              </w:rPr>
            </w:pPr>
          </w:p>
          <w:p w:rsidR="0073781E" w:rsidRPr="00AE1F83" w:rsidRDefault="0073781E" w:rsidP="0073781E">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3781E" w:rsidRPr="00AE1F83" w:rsidRDefault="0073781E" w:rsidP="0073781E">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73781E" w:rsidRPr="00AE1F83" w:rsidRDefault="0073781E" w:rsidP="0073781E">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3781E" w:rsidRPr="00AE1F83" w:rsidRDefault="0073781E" w:rsidP="0073781E">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rsidR="0073781E" w:rsidRPr="00AE1F83" w:rsidRDefault="0073781E" w:rsidP="0073781E">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73781E" w:rsidRPr="00AE1F83" w:rsidRDefault="0073781E" w:rsidP="0073781E">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3781E" w:rsidRPr="00AE1F83" w:rsidRDefault="0073781E" w:rsidP="0073781E">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73781E" w:rsidRPr="00AE1F83" w:rsidRDefault="0073781E" w:rsidP="0073781E">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73781E" w:rsidRPr="00AE1F83" w:rsidRDefault="0073781E" w:rsidP="0073781E">
            <w:pPr>
              <w:spacing w:after="0" w:line="260" w:lineRule="exact"/>
              <w:rPr>
                <w:rFonts w:ascii="Arial" w:eastAsia="Times New Roman" w:hAnsi="Arial" w:cs="Arial"/>
                <w:b/>
                <w:sz w:val="20"/>
                <w:szCs w:val="20"/>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3781E" w:rsidRPr="00AE1F83" w:rsidRDefault="0073781E" w:rsidP="0073781E">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73781E" w:rsidRPr="00AE1F83" w:rsidRDefault="0073781E" w:rsidP="0073781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73781E" w:rsidRPr="00AE1F83" w:rsidRDefault="0073781E" w:rsidP="0073781E">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73781E" w:rsidRPr="00AE1F83" w:rsidRDefault="0073781E" w:rsidP="0073781E">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73781E" w:rsidRPr="00AE1F83" w:rsidRDefault="0073781E" w:rsidP="0073781E">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21" w:type="dxa"/>
            <w:gridSpan w:val="2"/>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73781E" w:rsidRPr="00AE1F83" w:rsidRDefault="0073781E" w:rsidP="0073781E">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73781E" w:rsidRPr="00AE1F83" w:rsidRDefault="0073781E" w:rsidP="0073781E">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73781E" w:rsidRPr="00AE1F83" w:rsidRDefault="0073781E" w:rsidP="0073781E">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lastRenderedPageBreak/>
              <w:t>Gradivo je bilo predhodno objavljeno na spletni strani predlagatelja:</w:t>
            </w:r>
          </w:p>
        </w:tc>
        <w:tc>
          <w:tcPr>
            <w:tcW w:w="2421" w:type="dxa"/>
            <w:gridSpan w:val="2"/>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Predlog zakona je bil poslan v javno obravnavo dne 6. 7. 2020, in sicer je bil objavljen na  e-demokracija. Do 5. 8. 2020 so na pripombe oziroma predloge k besedilu predloga zakona podali naslednji deležniki:</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Agencija za komunikacijska omrežja in storitve Republike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Delovna skupina Programskega sveta RTV za spremljanje in analizo sprememb medijske zakonodaje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Društvo novinarjev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Nacionalni svet invalidskih organizacij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Radiotelevizija Slovenije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Slovenska oglaševalska zbornica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Svet za radiodifuzijo</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Telemach d.o.o.</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United Media S.a.r.l.</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Zagovornik načela enakih možnosti</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Združenje kabelskih operaterjev Slovenije - GIZ in Združenje slovenskih operaterjev digitalnih televizijskih storitev – GIZ</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Združenje radiodifuznih medijev pri GZS-MZ</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w:t>
            </w:r>
            <w:r w:rsidRPr="0073781E">
              <w:rPr>
                <w:rFonts w:ascii="Arial" w:eastAsia="Times New Roman" w:hAnsi="Arial" w:cs="Arial"/>
                <w:iCs/>
                <w:sz w:val="20"/>
                <w:szCs w:val="20"/>
                <w:lang w:eastAsia="sl-SI"/>
              </w:rPr>
              <w:tab/>
              <w:t>Zveza društev slovenskih filmskih ustvarjalcev</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Večina izmed zgoraj navedenih organizacij je izpostavila nesorazmerno obremenitev ponudnikov avdiovizualnih medijskih storitev z novo dajatvijo v predlaganem 16.a členu. Opozorili so tudi na težave, ki bodo nastopile pri izvedbi predvidenega preverjanja obveznosti ponudnikov in pri izterjavi naloženih obveznosti. Pripombe so izpostavljale tudi neustavnost predlagane rešitve. Predlagatelj je pripombe v večjem delu upošteval ter 16.a člen spremenil na način, da bo lažje izvedljiv. Prav tako so dodane nekatere nove izjeme ter odstranjena nevarnost za dvojno obremenitev gospodarskih družb, na kar so opozarjali deležniki. Dodana sta tudi nova člena (16.b in 16.c), ki natančneje določata postopek, po katerem se bodo določale obveznosti iz 16.a člena.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Številne pripombe so se nanašale tudi na predlagano brisanje drugega in tretjega odstavka 32. člena ter na ta način vzpostavljeno izenačitev Radiotelevizije Slovenije z ostalimi ponudniki televizijskih programov pri omejitvah glede količine komercialnih sporočil znotraj programa. Ministrstvo je sledilo pripombam ter svoj predlog zakona spremenilo. Tako se drugi odstavek 32. člena zgolj spreminja na način, da omejitve glede komercialnega sporočanja, ki jim je podvržena Radiotelevizije Slovenije še naprej ostajajo strožje, kot za ostale ponudnike. Tudi te omejitve pa se seveda prilagajajo določbi direktive, ki na obračun količine dovoljenega komercialnega sporočanja ureja na nov način. Tretji odstavek 32. člena, ki v času med 18. in 23. uro Radioteleviziji Slovenija prepoveduje predvajanje TV prodajnih oken ostaja nespremenjen.</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V zvezi s povečanim deležem evropskih del (iz 10 na 30%), ki ga bodo dolžni zagotavljati ponudniki avdiovizualnih medijskih storitev, so se pojavili predlogi, da bi bilo potrebno predpisati tudi minimalni delež slovenskih del. Predlagatelj ugotavlja, da je minimalen delež slovenskih del, ki ga morajo zagotavljati izdajatelji televizijskih programov določen že v Zakonu o medijih ter da bi zato tovrstna določba v tem zakonu predstavljala nepotrebno podvajanje.</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t>Razen zgoraj navedenega je predlagatelj zakona sledil številnim predlogom. Primeroma navajamo: definicija komercialnega sporočanja je bila dosledno usklajena z definicijo iz evropske direktive; jasneje je bila zapisana definicija letnega dohodka ter kinematografskega dela; brisana je bila prepoved prekinjanja avdiovizualnih medijskih storitev s komercialnimi sporočili; v predlogu zakona se dosledno uporablja uveljavljen izraz invalidi in ne več osebe z invalidnostmi, kot je bilo predhodno predlagano; v zvezi z zaščito otrok pred neprimernimi vsebinami se je dodala izjema za nepričakovane vsebine med prenosi v živo; pri načinu določanja višine plačila za dovoljenje oziroma vpis ponudnikov se je iz letnih dohodkov ponudnikov izpustilo vsa javna sredstva.</w:t>
            </w:r>
          </w:p>
          <w:p w:rsidR="0073781E" w:rsidRP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3781E"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3781E">
              <w:rPr>
                <w:rFonts w:ascii="Arial" w:eastAsia="Times New Roman" w:hAnsi="Arial" w:cs="Arial"/>
                <w:iCs/>
                <w:sz w:val="20"/>
                <w:szCs w:val="20"/>
                <w:lang w:eastAsia="sl-SI"/>
              </w:rPr>
              <w:lastRenderedPageBreak/>
              <w:t>Na podlagi prispelih pripomb in predlogov javnosti je bil dne 28. 10. 2020 predlog zakona dopolnjen in posredovan v medresorsko usklajevanje ministrstvom in nekaterim drugim organom. Z namenom zagotavljanja transparentnosti zakonodajnega postopka je bil tudi ta predlog zakona objavljen na portalu e-demokracija. Kljub temu, da v tej fazi javnost izrecno ni bila pozvana k sodelovanju, so svoje predloge podali: Slovenska oglaševalska zbornica, Združenje radiodifuznih medijev pri GZS, Grayling d.o.o, Apple Distribution International Limited, Telemach d.o.o., United media S.a.r.l., Zveza društev slovenskih filmskih ustvarjalcev, Nacionalni svet invalidskih organizacij Slovenije, Inštitut Digitas, RTV Slovenija in Svet za radiofuzijo. Predlogi navedenih deležnikov so se v veliki meri skladali s pripombami, ki so jih na predlog zakona posredovala ministrstva, tako da so bili v veliki meri upoštevani.</w:t>
            </w:r>
          </w:p>
          <w:p w:rsidR="0073781E" w:rsidRPr="00AE1F83" w:rsidRDefault="0073781E" w:rsidP="0073781E">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vAlign w:val="center"/>
          </w:tcPr>
          <w:p w:rsidR="0073781E"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21" w:type="dxa"/>
            <w:gridSpan w:val="2"/>
            <w:vAlign w:val="center"/>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73781E" w:rsidRPr="008369EA" w:rsidTr="00C813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9" w:type="dxa"/>
            <w:gridSpan w:val="7"/>
            <w:vAlign w:val="center"/>
          </w:tcPr>
          <w:p w:rsidR="0073781E"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73781E" w:rsidRPr="00AE1F83" w:rsidRDefault="0073781E" w:rsidP="0073781E">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21" w:type="dxa"/>
            <w:gridSpan w:val="2"/>
            <w:vAlign w:val="center"/>
          </w:tcPr>
          <w:p w:rsidR="0073781E" w:rsidRPr="00AE1F83" w:rsidRDefault="0073781E" w:rsidP="0073781E">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73781E" w:rsidRPr="008369EA" w:rsidTr="005940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3781E" w:rsidRDefault="0073781E" w:rsidP="0073781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3781E" w:rsidRDefault="0073781E" w:rsidP="0073781E">
            <w:pPr>
              <w:pStyle w:val="Poglavje"/>
              <w:widowControl w:val="0"/>
              <w:spacing w:before="0" w:after="0" w:line="260" w:lineRule="exact"/>
              <w:ind w:left="3400"/>
              <w:jc w:val="left"/>
              <w:rPr>
                <w:sz w:val="20"/>
                <w:szCs w:val="20"/>
              </w:rPr>
            </w:pPr>
            <w:r>
              <w:rPr>
                <w:sz w:val="20"/>
                <w:szCs w:val="20"/>
              </w:rPr>
              <w:t xml:space="preserve">      </w:t>
            </w:r>
            <w:r w:rsidR="00FC7B51">
              <w:rPr>
                <w:sz w:val="20"/>
                <w:szCs w:val="20"/>
              </w:rPr>
              <w:t>d</w:t>
            </w:r>
            <w:r>
              <w:rPr>
                <w:sz w:val="20"/>
                <w:szCs w:val="20"/>
              </w:rPr>
              <w:t>r. Vasko Simoniti</w:t>
            </w:r>
          </w:p>
          <w:p w:rsidR="0073781E" w:rsidRDefault="0073781E" w:rsidP="0073781E">
            <w:pPr>
              <w:pStyle w:val="Poglavje"/>
              <w:widowControl w:val="0"/>
              <w:spacing w:before="0" w:after="0" w:line="260" w:lineRule="exact"/>
              <w:ind w:left="3400"/>
              <w:jc w:val="left"/>
              <w:rPr>
                <w:sz w:val="20"/>
                <w:szCs w:val="20"/>
              </w:rPr>
            </w:pPr>
            <w:r>
              <w:rPr>
                <w:sz w:val="20"/>
                <w:szCs w:val="20"/>
              </w:rPr>
              <w:t xml:space="preserve">             MINISTER</w:t>
            </w:r>
          </w:p>
          <w:p w:rsidR="0073781E" w:rsidRDefault="0073781E" w:rsidP="0073781E">
            <w:pPr>
              <w:pStyle w:val="Poglavje"/>
              <w:widowControl w:val="0"/>
              <w:spacing w:before="0" w:after="0" w:line="260" w:lineRule="exact"/>
              <w:ind w:left="3400"/>
              <w:jc w:val="left"/>
              <w:rPr>
                <w:sz w:val="20"/>
                <w:szCs w:val="20"/>
              </w:rPr>
            </w:pPr>
          </w:p>
          <w:p w:rsidR="0073781E" w:rsidRPr="00AE1F83" w:rsidRDefault="0073781E" w:rsidP="0073781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Pr="00B26B4A" w:rsidRDefault="00FB397B">
      <w:pPr>
        <w:rPr>
          <w:rFonts w:ascii="Arial" w:hAnsi="Arial" w:cs="Arial"/>
        </w:rPr>
      </w:pPr>
    </w:p>
    <w:p w:rsidR="00B26B4A" w:rsidRDefault="00B26B4A">
      <w:pPr>
        <w:rPr>
          <w:rFonts w:ascii="Arial" w:hAnsi="Arial" w:cs="Arial"/>
        </w:rPr>
      </w:pPr>
      <w:r w:rsidRPr="00B26B4A">
        <w:rPr>
          <w:rFonts w:ascii="Arial" w:hAnsi="Arial" w:cs="Arial"/>
        </w:rPr>
        <w:t>Priloge:</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xml:space="preserve">- </w:t>
      </w:r>
      <w:r w:rsidR="00FC7B51">
        <w:rPr>
          <w:rFonts w:ascii="Arial" w:eastAsia="Times New Roman" w:hAnsi="Arial" w:cs="Arial"/>
          <w:iCs/>
          <w:sz w:val="20"/>
          <w:szCs w:val="20"/>
          <w:lang w:eastAsia="sl-SI"/>
        </w:rPr>
        <w:t>ZAMS – B (</w:t>
      </w:r>
      <w:r w:rsidRPr="00CF7C0B">
        <w:rPr>
          <w:rFonts w:ascii="Arial" w:eastAsia="Times New Roman" w:hAnsi="Arial" w:cs="Arial"/>
          <w:iCs/>
          <w:sz w:val="20"/>
          <w:szCs w:val="20"/>
          <w:lang w:eastAsia="sl-SI"/>
        </w:rPr>
        <w:t xml:space="preserve">predlog Zakona o spremembah in dopolnitvah </w:t>
      </w:r>
      <w:r w:rsidRPr="00DF0D6D">
        <w:rPr>
          <w:rFonts w:ascii="Arial" w:eastAsia="Times New Roman" w:hAnsi="Arial" w:cs="Arial"/>
          <w:sz w:val="20"/>
          <w:szCs w:val="20"/>
        </w:rPr>
        <w:t xml:space="preserve">Zakona </w:t>
      </w:r>
      <w:r w:rsidRPr="007A1645">
        <w:rPr>
          <w:rFonts w:ascii="Arial" w:eastAsia="Times New Roman" w:hAnsi="Arial" w:cs="Arial"/>
          <w:sz w:val="20"/>
          <w:szCs w:val="20"/>
        </w:rPr>
        <w:t>o avdiovizualnih medijskih storitvah</w:t>
      </w:r>
      <w:r w:rsidR="00FC7B51">
        <w:rPr>
          <w:rFonts w:ascii="Arial" w:eastAsia="Times New Roman" w:hAnsi="Arial" w:cs="Arial"/>
          <w:sz w:val="20"/>
          <w:szCs w:val="20"/>
        </w:rPr>
        <w:t>)</w:t>
      </w:r>
      <w:r>
        <w:rPr>
          <w:rFonts w:ascii="Arial" w:eastAsia="Times New Roman" w:hAnsi="Arial" w:cs="Arial"/>
          <w:sz w:val="20"/>
          <w:szCs w:val="20"/>
        </w:rPr>
        <w:t>;</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priloga 2</w:t>
      </w:r>
      <w:r>
        <w:rPr>
          <w:rFonts w:ascii="Arial" w:eastAsia="Times New Roman" w:hAnsi="Arial" w:cs="Arial"/>
          <w:iCs/>
          <w:sz w:val="20"/>
          <w:szCs w:val="20"/>
          <w:lang w:eastAsia="sl-SI"/>
        </w:rPr>
        <w:t>;</w:t>
      </w:r>
    </w:p>
    <w:p w:rsidR="00CF7C0B" w:rsidRPr="00CF7C0B" w:rsidRDefault="00CF7C0B" w:rsidP="00CF7C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MSP test</w:t>
      </w:r>
      <w:r>
        <w:rPr>
          <w:rFonts w:ascii="Arial" w:eastAsia="Times New Roman" w:hAnsi="Arial" w:cs="Arial"/>
          <w:iCs/>
          <w:sz w:val="20"/>
          <w:szCs w:val="20"/>
          <w:lang w:eastAsia="sl-SI"/>
        </w:rPr>
        <w:t>;</w:t>
      </w:r>
    </w:p>
    <w:p w:rsidR="00B965BB" w:rsidRPr="00AB5728" w:rsidRDefault="00CF7C0B" w:rsidP="00AB572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CF7C0B">
        <w:rPr>
          <w:rFonts w:ascii="Arial" w:eastAsia="Times New Roman" w:hAnsi="Arial" w:cs="Arial"/>
          <w:iCs/>
          <w:sz w:val="20"/>
          <w:szCs w:val="20"/>
          <w:lang w:eastAsia="sl-SI"/>
        </w:rPr>
        <w:t xml:space="preserve">- </w:t>
      </w:r>
      <w:r w:rsidR="00B965BB">
        <w:rPr>
          <w:rFonts w:ascii="Arial" w:eastAsia="Times New Roman" w:hAnsi="Arial" w:cs="Arial"/>
          <w:iCs/>
          <w:sz w:val="20"/>
          <w:szCs w:val="20"/>
          <w:lang w:eastAsia="sl-SI"/>
        </w:rPr>
        <w:t>osnutki podzakonskih aktov.</w:t>
      </w:r>
    </w:p>
    <w:sectPr w:rsidR="00B965BB" w:rsidRPr="00AB5728" w:rsidSect="00490B5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D17" w:rsidRDefault="00BE1D17" w:rsidP="00B26B4A">
      <w:pPr>
        <w:spacing w:after="0" w:line="240" w:lineRule="auto"/>
      </w:pPr>
      <w:r>
        <w:separator/>
      </w:r>
    </w:p>
  </w:endnote>
  <w:endnote w:type="continuationSeparator" w:id="0">
    <w:p w:rsidR="00BE1D17" w:rsidRDefault="00BE1D17" w:rsidP="00B2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D17" w:rsidRDefault="00BE1D17" w:rsidP="00B26B4A">
      <w:pPr>
        <w:spacing w:after="0" w:line="240" w:lineRule="auto"/>
      </w:pPr>
      <w:r>
        <w:separator/>
      </w:r>
    </w:p>
  </w:footnote>
  <w:footnote w:type="continuationSeparator" w:id="0">
    <w:p w:rsidR="00BE1D17" w:rsidRDefault="00BE1D17" w:rsidP="00B2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717C4"/>
    <w:multiLevelType w:val="hybridMultilevel"/>
    <w:tmpl w:val="0708F82E"/>
    <w:lvl w:ilvl="0" w:tplc="849E05B4">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15:restartNumberingAfterBreak="0">
    <w:nsid w:val="1BDE39DC"/>
    <w:multiLevelType w:val="hybridMultilevel"/>
    <w:tmpl w:val="96548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15:restartNumberingAfterBreak="0">
    <w:nsid w:val="273B43E8"/>
    <w:multiLevelType w:val="hybridMultilevel"/>
    <w:tmpl w:val="A75AA30A"/>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CC33447"/>
    <w:multiLevelType w:val="hybridMultilevel"/>
    <w:tmpl w:val="6812068C"/>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F03FC5"/>
    <w:multiLevelType w:val="hybridMultilevel"/>
    <w:tmpl w:val="6BF27AC6"/>
    <w:lvl w:ilvl="0" w:tplc="84C851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B75A9B"/>
    <w:multiLevelType w:val="hybridMultilevel"/>
    <w:tmpl w:val="68B43710"/>
    <w:lvl w:ilvl="0" w:tplc="74F202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9F0840"/>
    <w:multiLevelType w:val="hybridMultilevel"/>
    <w:tmpl w:val="3A0A2112"/>
    <w:lvl w:ilvl="0" w:tplc="2C58A668">
      <w:start w:val="1"/>
      <w:numFmt w:val="decimal"/>
      <w:lvlText w:val="%1."/>
      <w:lvlJc w:val="left"/>
      <w:pPr>
        <w:ind w:left="720" w:hanging="360"/>
      </w:pPr>
      <w:rPr>
        <w:rFonts w:ascii="Arial" w:eastAsia="Calibri" w:hAnsi="Arial"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9"/>
  </w:num>
  <w:num w:numId="4">
    <w:abstractNumId w:val="24"/>
  </w:num>
  <w:num w:numId="5">
    <w:abstractNumId w:val="26"/>
  </w:num>
  <w:num w:numId="6">
    <w:abstractNumId w:val="14"/>
  </w:num>
  <w:num w:numId="7">
    <w:abstractNumId w:val="8"/>
  </w:num>
  <w:num w:numId="8">
    <w:abstractNumId w:val="15"/>
  </w:num>
  <w:num w:numId="9">
    <w:abstractNumId w:val="12"/>
  </w:num>
  <w:num w:numId="10">
    <w:abstractNumId w:val="10"/>
  </w:num>
  <w:num w:numId="11">
    <w:abstractNumId w:val="11"/>
    <w:lvlOverride w:ilvl="0">
      <w:startOverride w:val="1"/>
    </w:lvlOverride>
  </w:num>
  <w:num w:numId="12">
    <w:abstractNumId w:val="6"/>
  </w:num>
  <w:num w:numId="13">
    <w:abstractNumId w:val="0"/>
  </w:num>
  <w:num w:numId="14">
    <w:abstractNumId w:val="16"/>
  </w:num>
  <w:num w:numId="15">
    <w:abstractNumId w:val="21"/>
  </w:num>
  <w:num w:numId="16">
    <w:abstractNumId w:val="2"/>
  </w:num>
  <w:num w:numId="17">
    <w:abstractNumId w:val="25"/>
  </w:num>
  <w:num w:numId="18">
    <w:abstractNumId w:val="9"/>
  </w:num>
  <w:num w:numId="19">
    <w:abstractNumId w:val="18"/>
  </w:num>
  <w:num w:numId="20">
    <w:abstractNumId w:val="22"/>
  </w:num>
  <w:num w:numId="21">
    <w:abstractNumId w:val="3"/>
  </w:num>
  <w:num w:numId="22">
    <w:abstractNumId w:val="4"/>
  </w:num>
  <w:num w:numId="23">
    <w:abstractNumId w:val="1"/>
  </w:num>
  <w:num w:numId="24">
    <w:abstractNumId w:val="20"/>
  </w:num>
  <w:num w:numId="25">
    <w:abstractNumId w:val="17"/>
  </w:num>
  <w:num w:numId="26">
    <w:abstractNumId w:val="13"/>
  </w:num>
  <w:num w:numId="27">
    <w:abstractNumId w:val="7"/>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17"/>
    <w:rsid w:val="00000C9B"/>
    <w:rsid w:val="000E10F7"/>
    <w:rsid w:val="0011424A"/>
    <w:rsid w:val="00185354"/>
    <w:rsid w:val="001973E4"/>
    <w:rsid w:val="001A24EE"/>
    <w:rsid w:val="001B2B27"/>
    <w:rsid w:val="002969C4"/>
    <w:rsid w:val="002A375D"/>
    <w:rsid w:val="00321A64"/>
    <w:rsid w:val="00366582"/>
    <w:rsid w:val="0039762A"/>
    <w:rsid w:val="00490B55"/>
    <w:rsid w:val="004E287B"/>
    <w:rsid w:val="0050364A"/>
    <w:rsid w:val="005254E7"/>
    <w:rsid w:val="005940FE"/>
    <w:rsid w:val="00597BDE"/>
    <w:rsid w:val="0067289A"/>
    <w:rsid w:val="00695EC3"/>
    <w:rsid w:val="00700512"/>
    <w:rsid w:val="0073781E"/>
    <w:rsid w:val="007A1645"/>
    <w:rsid w:val="008369EA"/>
    <w:rsid w:val="008733F8"/>
    <w:rsid w:val="008F210F"/>
    <w:rsid w:val="00990888"/>
    <w:rsid w:val="00991424"/>
    <w:rsid w:val="00A03790"/>
    <w:rsid w:val="00AB5728"/>
    <w:rsid w:val="00AE1F83"/>
    <w:rsid w:val="00B16C3F"/>
    <w:rsid w:val="00B26B4A"/>
    <w:rsid w:val="00B379A0"/>
    <w:rsid w:val="00B52ED9"/>
    <w:rsid w:val="00B965BB"/>
    <w:rsid w:val="00BA6C32"/>
    <w:rsid w:val="00BC10BB"/>
    <w:rsid w:val="00BC1355"/>
    <w:rsid w:val="00BC1430"/>
    <w:rsid w:val="00BD2AA7"/>
    <w:rsid w:val="00BE1D17"/>
    <w:rsid w:val="00C24B2C"/>
    <w:rsid w:val="00C44250"/>
    <w:rsid w:val="00C44C5F"/>
    <w:rsid w:val="00C81319"/>
    <w:rsid w:val="00CF7C0B"/>
    <w:rsid w:val="00D046E9"/>
    <w:rsid w:val="00D13E06"/>
    <w:rsid w:val="00F3581F"/>
    <w:rsid w:val="00F650E1"/>
    <w:rsid w:val="00FB397B"/>
    <w:rsid w:val="00FC7849"/>
    <w:rsid w:val="00FC7B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48350A"/>
  <w15:chartTrackingRefBased/>
  <w15:docId w15:val="{87BBB45B-E673-48FF-8388-3F121C6F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26B4A"/>
    <w:pPr>
      <w:tabs>
        <w:tab w:val="center" w:pos="4536"/>
        <w:tab w:val="right" w:pos="9072"/>
      </w:tabs>
    </w:pPr>
  </w:style>
  <w:style w:type="character" w:customStyle="1" w:styleId="GlavaZnak">
    <w:name w:val="Glava Znak"/>
    <w:link w:val="Glava"/>
    <w:rsid w:val="00B26B4A"/>
    <w:rPr>
      <w:sz w:val="22"/>
      <w:szCs w:val="22"/>
      <w:lang w:eastAsia="en-US"/>
    </w:rPr>
  </w:style>
  <w:style w:type="paragraph" w:styleId="Noga">
    <w:name w:val="footer"/>
    <w:basedOn w:val="Navaden"/>
    <w:link w:val="NogaZnak"/>
    <w:uiPriority w:val="99"/>
    <w:unhideWhenUsed/>
    <w:rsid w:val="00B26B4A"/>
    <w:pPr>
      <w:tabs>
        <w:tab w:val="center" w:pos="4536"/>
        <w:tab w:val="right" w:pos="9072"/>
      </w:tabs>
    </w:pPr>
  </w:style>
  <w:style w:type="character" w:customStyle="1" w:styleId="NogaZnak">
    <w:name w:val="Noga Znak"/>
    <w:link w:val="Noga"/>
    <w:uiPriority w:val="99"/>
    <w:rsid w:val="00B26B4A"/>
    <w:rPr>
      <w:sz w:val="22"/>
      <w:szCs w:val="22"/>
      <w:lang w:eastAsia="en-US"/>
    </w:rPr>
  </w:style>
  <w:style w:type="paragraph" w:customStyle="1" w:styleId="Odstavekseznama1">
    <w:name w:val="Odstavek seznama1"/>
    <w:basedOn w:val="Navaden"/>
    <w:qFormat/>
    <w:rsid w:val="00B26B4A"/>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qFormat/>
    <w:rsid w:val="00B26B4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6B4A"/>
    <w:rPr>
      <w:color w:val="0563C1"/>
      <w:u w:val="single"/>
    </w:rPr>
  </w:style>
  <w:style w:type="paragraph" w:customStyle="1" w:styleId="Naslovpredpisa">
    <w:name w:val="Naslov_predpisa"/>
    <w:basedOn w:val="Navaden"/>
    <w:link w:val="NaslovpredpisaZnak"/>
    <w:qFormat/>
    <w:rsid w:val="00B16C3F"/>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16C3F"/>
    <w:rPr>
      <w:rFonts w:ascii="Arial" w:eastAsia="Times New Roman" w:hAnsi="Arial" w:cs="Arial"/>
      <w:b/>
      <w:sz w:val="22"/>
      <w:szCs w:val="22"/>
    </w:rPr>
  </w:style>
  <w:style w:type="paragraph" w:customStyle="1" w:styleId="Neotevilenodstavek">
    <w:name w:val="Neoštevilčen odstavek"/>
    <w:basedOn w:val="Navaden"/>
    <w:link w:val="NeotevilenodstavekZnak"/>
    <w:qFormat/>
    <w:rsid w:val="00B16C3F"/>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16C3F"/>
    <w:rPr>
      <w:rFonts w:ascii="Arial" w:eastAsia="Times New Roman" w:hAnsi="Arial" w:cs="Arial"/>
      <w:sz w:val="22"/>
      <w:szCs w:val="22"/>
    </w:rPr>
  </w:style>
  <w:style w:type="paragraph" w:customStyle="1" w:styleId="Oddelek">
    <w:name w:val="Oddelek"/>
    <w:basedOn w:val="Navaden"/>
    <w:link w:val="OddelekZnak1"/>
    <w:qFormat/>
    <w:rsid w:val="00B16C3F"/>
    <w:pPr>
      <w:numPr>
        <w:numId w:val="10"/>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16C3F"/>
    <w:rPr>
      <w:rFonts w:ascii="Arial" w:eastAsia="Times New Roman" w:hAnsi="Arial" w:cs="Arial"/>
      <w:b/>
      <w:sz w:val="22"/>
      <w:szCs w:val="22"/>
    </w:rPr>
  </w:style>
  <w:style w:type="paragraph" w:customStyle="1" w:styleId="Alineazaodstavkom">
    <w:name w:val="Alinea za odstavkom"/>
    <w:basedOn w:val="Navaden"/>
    <w:link w:val="AlineazaodstavkomZnak"/>
    <w:qFormat/>
    <w:rsid w:val="00B16C3F"/>
    <w:pPr>
      <w:numPr>
        <w:numId w:val="17"/>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16C3F"/>
    <w:rPr>
      <w:rFonts w:ascii="Arial" w:eastAsia="Times New Roman" w:hAnsi="Arial" w:cs="Arial"/>
      <w:sz w:val="22"/>
      <w:szCs w:val="22"/>
    </w:rPr>
  </w:style>
  <w:style w:type="paragraph" w:customStyle="1" w:styleId="Alineazatoko">
    <w:name w:val="Alinea za točko"/>
    <w:basedOn w:val="Navaden"/>
    <w:link w:val="AlineazatokoZnak"/>
    <w:qFormat/>
    <w:rsid w:val="00B16C3F"/>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16C3F"/>
    <w:rPr>
      <w:rFonts w:ascii="Arial" w:eastAsia="Times New Roman" w:hAnsi="Arial" w:cs="Arial"/>
      <w:sz w:val="22"/>
      <w:szCs w:val="22"/>
    </w:rPr>
  </w:style>
  <w:style w:type="character" w:customStyle="1" w:styleId="rkovnatokazaodstavkomZnak">
    <w:name w:val="Črkovna točka_za odstavkom Znak"/>
    <w:link w:val="rkovnatokazaodstavkom"/>
    <w:rsid w:val="00B16C3F"/>
    <w:rPr>
      <w:rFonts w:ascii="Arial" w:hAnsi="Arial"/>
    </w:rPr>
  </w:style>
  <w:style w:type="paragraph" w:customStyle="1" w:styleId="rkovnatokazaodstavkom">
    <w:name w:val="Črkovna točka_za odstavkom"/>
    <w:basedOn w:val="Navaden"/>
    <w:link w:val="rkovnatokazaodstavkomZnak"/>
    <w:qFormat/>
    <w:rsid w:val="00B16C3F"/>
    <w:pPr>
      <w:numPr>
        <w:numId w:val="11"/>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B16C3F"/>
  </w:style>
  <w:style w:type="character" w:customStyle="1" w:styleId="OdsekZnak">
    <w:name w:val="Odsek Znak"/>
    <w:link w:val="Odsek"/>
    <w:rsid w:val="00B16C3F"/>
    <w:rPr>
      <w:rFonts w:ascii="Arial" w:eastAsia="Times New Roman" w:hAnsi="Arial" w:cs="Arial"/>
      <w:b/>
      <w:sz w:val="22"/>
      <w:szCs w:val="22"/>
    </w:rPr>
  </w:style>
  <w:style w:type="paragraph" w:styleId="Odstavekseznama">
    <w:name w:val="List Paragraph"/>
    <w:basedOn w:val="Navaden"/>
    <w:uiPriority w:val="34"/>
    <w:qFormat/>
    <w:rsid w:val="00B16C3F"/>
    <w:pPr>
      <w:ind w:left="720"/>
      <w:contextualSpacing/>
    </w:pPr>
  </w:style>
  <w:style w:type="paragraph" w:customStyle="1" w:styleId="vrstapredpisa1">
    <w:name w:val="vrstapredpisa1"/>
    <w:basedOn w:val="Navaden"/>
    <w:rsid w:val="00B16C3F"/>
    <w:pPr>
      <w:spacing w:before="480" w:after="0" w:line="240" w:lineRule="auto"/>
      <w:jc w:val="center"/>
    </w:pPr>
    <w:rPr>
      <w:rFonts w:ascii="Arial" w:eastAsia="Times New Roman" w:hAnsi="Arial" w:cs="Arial"/>
      <w:b/>
      <w:bCs/>
      <w:color w:val="000000"/>
      <w:spacing w:val="40"/>
      <w:lang w:eastAsia="sl-SI"/>
    </w:rPr>
  </w:style>
  <w:style w:type="character" w:styleId="Nerazreenaomemba">
    <w:name w:val="Unresolved Mention"/>
    <w:basedOn w:val="Privzetapisavaodstavka"/>
    <w:uiPriority w:val="99"/>
    <w:semiHidden/>
    <w:unhideWhenUsed/>
    <w:rsid w:val="00BE1D17"/>
    <w:rPr>
      <w:color w:val="605E5C"/>
      <w:shd w:val="clear" w:color="auto" w:fill="E1DFDD"/>
    </w:rPr>
  </w:style>
  <w:style w:type="paragraph" w:styleId="Brezrazmikov">
    <w:name w:val="No Spacing"/>
    <w:uiPriority w:val="1"/>
    <w:qFormat/>
    <w:rsid w:val="001A24EE"/>
    <w:rPr>
      <w:sz w:val="22"/>
      <w:szCs w:val="22"/>
      <w:lang w:val="en-GB" w:eastAsia="en-US"/>
    </w:rPr>
  </w:style>
  <w:style w:type="paragraph" w:styleId="Besedilooblaka">
    <w:name w:val="Balloon Text"/>
    <w:basedOn w:val="Navaden"/>
    <w:link w:val="BesedilooblakaZnak"/>
    <w:uiPriority w:val="99"/>
    <w:semiHidden/>
    <w:unhideWhenUsed/>
    <w:rsid w:val="00AB572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B57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vl_gr-zakon</Template>
  <TotalTime>67</TotalTime>
  <Pages>7</Pages>
  <Words>2629</Words>
  <Characters>14988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17582</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4194393</vt:i4>
      </vt:variant>
      <vt:variant>
        <vt:i4>0</vt:i4>
      </vt:variant>
      <vt:variant>
        <vt:i4>0</vt:i4>
      </vt:variant>
      <vt:variant>
        <vt:i4>5</vt:i4>
      </vt:variant>
      <vt:variant>
        <vt:lpwstr>http://www.mk.gov.si/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Nabergoj</dc:creator>
  <cp:keywords/>
  <cp:lastModifiedBy>Luka Nabergoj</cp:lastModifiedBy>
  <cp:revision>5</cp:revision>
  <cp:lastPrinted>2020-10-14T14:23:00Z</cp:lastPrinted>
  <dcterms:created xsi:type="dcterms:W3CDTF">2021-02-10T07:29:00Z</dcterms:created>
  <dcterms:modified xsi:type="dcterms:W3CDTF">2021-02-17T09:24:00Z</dcterms:modified>
</cp:coreProperties>
</file>