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19" w:rsidRDefault="00A37ABC" w:rsidP="000E0F19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ument Cover Page.&#10;Document Number: 12126/20 ADD 1.&#10;Subject Codes: PECHE 332.&#10;Heading: PREDLOG.&#10;Originator: za generalno sekretarko Evropske komisije: direktorica Martine DEPREZ.&#10;Recipient: generalni sekretar Sveta Evropske unije Jeppe TRANHOLM-MIKKELSEN.&#10;Subject: PRILOGA k predlogu za UREDBO SVETA o določitvi ribolovnih možnosti za ribiška plovila Unije za določene staleže globokomorskih rib za leti 2021 in 2022.&#10;Commission Document Number: COM(2020) 666 final - ANNEX.&#10;Preceeding Document Number: Not Set.&#10;Location: Bruselj.&#10;Date: 22. oktober 2020.&#10;Interinstitutional Files: 2020/0301(NLE).&#10;Institutional Framework: Svet Evropske unije.&#10;Language: SL.&#10;Distribution Code: PUBLIC.&#10;GUID: 4746372269572626628_0" style="width:568.8pt;height:396pt">
            <v:imagedata r:id="rId8" o:title=""/>
          </v:shape>
        </w:pict>
      </w:r>
      <w:bookmarkEnd w:id="0"/>
    </w:p>
    <w:p w:rsidR="000E0F19" w:rsidRDefault="000E0F19" w:rsidP="000E0F19">
      <w:pPr>
        <w:pStyle w:val="EntText"/>
        <w:spacing w:before="480"/>
      </w:pPr>
      <w:bookmarkStart w:id="1" w:name="_GoBack"/>
      <w:bookmarkEnd w:id="1"/>
      <w:r w:rsidRPr="000E0F19">
        <w:t xml:space="preserve">Delegacije prejmejo priloženi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0E0F19">
        <w:instrText>COM(2020) 666 final - ANNEX</w:instrText>
      </w:r>
      <w:r>
        <w:instrText xml:space="preserve">" </w:instrText>
      </w:r>
      <w:r>
        <w:fldChar w:fldCharType="separate"/>
      </w:r>
      <w:r w:rsidRPr="000E0F19">
        <w:t>COM(2020) 666 final - ANNEX</w:t>
      </w:r>
      <w:r>
        <w:fldChar w:fldCharType="end"/>
      </w:r>
      <w:r w:rsidRPr="000E0F19">
        <w:t>.</w:t>
      </w:r>
    </w:p>
    <w:p w:rsidR="000E0F19" w:rsidRDefault="000E0F19" w:rsidP="000E0F19">
      <w:pPr>
        <w:pStyle w:val="Lignefinal"/>
      </w:pPr>
    </w:p>
    <w:p w:rsidR="000E0F19" w:rsidRDefault="000E0F19" w:rsidP="000E0F19">
      <w:pPr>
        <w:pStyle w:val="pj"/>
        <w:spacing w:before="120"/>
      </w:pPr>
      <w:r w:rsidRPr="000E0F19">
        <w:t xml:space="preserve">Priloga: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0E0F19">
        <w:instrText>COM(2020) 666 final - ANNEX</w:instrText>
      </w:r>
      <w:r>
        <w:instrText xml:space="preserve">" </w:instrText>
      </w:r>
      <w:r>
        <w:fldChar w:fldCharType="separate"/>
      </w:r>
      <w:r w:rsidRPr="000E0F19">
        <w:t>COM(2020) 666 final - ANNEX</w:t>
      </w:r>
      <w:r>
        <w:fldChar w:fldCharType="end"/>
      </w:r>
    </w:p>
    <w:p w:rsidR="000E0F19" w:rsidRPr="000E0F19" w:rsidRDefault="000E0F19" w:rsidP="000E0F19"/>
    <w:p w:rsidR="000E0F19" w:rsidRDefault="000E0F19" w:rsidP="000E0F19">
      <w:pPr>
        <w:rPr>
          <w:noProof/>
        </w:rPr>
        <w:sectPr w:rsidR="000E0F19" w:rsidSect="000E0F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695CDA" w:rsidRDefault="00A37ABC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2FD4FE63-0F6B-4300-8DF3-7827EF622250" style="width:450pt;height:410.4pt">
            <v:imagedata r:id="rId15" o:title=""/>
          </v:shape>
        </w:pict>
      </w:r>
    </w:p>
    <w:p w:rsidR="00695CDA" w:rsidRDefault="00695CDA">
      <w:pPr>
        <w:rPr>
          <w:noProof/>
        </w:rPr>
        <w:sectPr w:rsidR="00695CD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695CDA" w:rsidRDefault="000E0F19">
      <w:pPr>
        <w:pStyle w:val="Annexetitre"/>
        <w:rPr>
          <w:noProof/>
        </w:rPr>
      </w:pPr>
      <w:r>
        <w:rPr>
          <w:noProof/>
        </w:rPr>
        <w:lastRenderedPageBreak/>
        <w:t xml:space="preserve">PRILOGA </w:t>
      </w:r>
    </w:p>
    <w:p w:rsidR="00695CDA" w:rsidRDefault="000E0F19">
      <w:pPr>
        <w:jc w:val="center"/>
        <w:rPr>
          <w:rFonts w:eastAsia="Calibri"/>
          <w:noProof/>
        </w:rPr>
      </w:pPr>
      <w:r>
        <w:rPr>
          <w:noProof/>
        </w:rPr>
        <w:t>Če ni določeno drugače, so ribolovna območja iz te priloge območja ICES.</w:t>
      </w:r>
    </w:p>
    <w:p w:rsidR="00695CDA" w:rsidRDefault="000E0F19">
      <w:pPr>
        <w:jc w:val="center"/>
        <w:rPr>
          <w:rFonts w:eastAsia="Calibri"/>
          <w:b/>
          <w:noProof/>
        </w:rPr>
      </w:pPr>
      <w:r>
        <w:rPr>
          <w:b/>
          <w:noProof/>
        </w:rPr>
        <w:t>DEL 1</w:t>
      </w:r>
    </w:p>
    <w:p w:rsidR="00695CDA" w:rsidRDefault="000E0F19">
      <w:pPr>
        <w:jc w:val="center"/>
        <w:rPr>
          <w:rFonts w:eastAsia="Calibri"/>
          <w:b/>
          <w:noProof/>
        </w:rPr>
      </w:pPr>
      <w:r>
        <w:rPr>
          <w:b/>
          <w:noProof/>
        </w:rPr>
        <w:t>Primerjalna tabela splošnih in znanstvenih imen rib in opredelitev</w:t>
      </w:r>
    </w:p>
    <w:p w:rsidR="00695CDA" w:rsidRDefault="00695CDA">
      <w:pPr>
        <w:jc w:val="center"/>
        <w:rPr>
          <w:rFonts w:eastAsia="Calibri"/>
          <w:b/>
          <w:noProof/>
          <w:lang w:eastAsia="en-GB"/>
        </w:rPr>
      </w:pPr>
    </w:p>
    <w:p w:rsidR="00695CDA" w:rsidRDefault="000E0F19">
      <w:pPr>
        <w:ind w:left="850" w:hanging="850"/>
        <w:rPr>
          <w:rFonts w:eastAsia="Calibri"/>
          <w:noProof/>
        </w:rPr>
      </w:pPr>
      <w:r>
        <w:rPr>
          <w:noProof/>
        </w:rPr>
        <w:t>1.</w:t>
      </w:r>
      <w:r>
        <w:rPr>
          <w:noProof/>
        </w:rPr>
        <w:tab/>
        <w:t>Na seznamu iz dela 2 te priloge so staleži rib navedeni po abecednem redu latinskih imen vrst. Za namene te uredbe se uporablja v nadaljevanju prikazana primerjalna tabela splošnih in znanstvenih imen: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08"/>
        <w:gridCol w:w="2005"/>
        <w:gridCol w:w="3976"/>
      </w:tblGrid>
      <w:tr w:rsidR="00695CDA">
        <w:tc>
          <w:tcPr>
            <w:tcW w:w="178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CDA" w:rsidRDefault="000E0F19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Splošno ime</w:t>
            </w:r>
          </w:p>
        </w:tc>
        <w:tc>
          <w:tcPr>
            <w:tcW w:w="10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5CDA" w:rsidRDefault="000E0F19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Tričrkovna koda</w:t>
            </w:r>
          </w:p>
        </w:tc>
        <w:tc>
          <w:tcPr>
            <w:tcW w:w="2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95CDA" w:rsidRDefault="000E0F19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Znanstveno ime</w:t>
            </w:r>
          </w:p>
        </w:tc>
      </w:tr>
      <w:tr w:rsidR="00695CDA">
        <w:tc>
          <w:tcPr>
            <w:tcW w:w="1781" w:type="pct"/>
            <w:tcBorders>
              <w:top w:val="single" w:sz="2" w:space="0" w:color="auto"/>
            </w:tcBorders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Črni morski meč</w:t>
            </w:r>
          </w:p>
        </w:tc>
        <w:tc>
          <w:tcPr>
            <w:tcW w:w="1079" w:type="pct"/>
            <w:tcBorders>
              <w:top w:val="single" w:sz="2" w:space="0" w:color="auto"/>
            </w:tcBorders>
          </w:tcPr>
          <w:p w:rsidR="00695CDA" w:rsidRDefault="000E0F19">
            <w:pPr>
              <w:rPr>
                <w:rFonts w:eastAsia="Calibri"/>
                <w:i/>
                <w:iCs/>
                <w:noProof/>
                <w:sz w:val="22"/>
              </w:rPr>
            </w:pPr>
            <w:r>
              <w:rPr>
                <w:noProof/>
                <w:sz w:val="22"/>
              </w:rPr>
              <w:t>BSF</w:t>
            </w:r>
          </w:p>
        </w:tc>
        <w:tc>
          <w:tcPr>
            <w:tcW w:w="2140" w:type="pct"/>
            <w:tcBorders>
              <w:top w:val="single" w:sz="2" w:space="0" w:color="auto"/>
            </w:tcBorders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i/>
                <w:iCs/>
                <w:noProof/>
                <w:sz w:val="22"/>
              </w:rPr>
              <w:t>Aphanopus carbo</w:t>
            </w:r>
          </w:p>
        </w:tc>
      </w:tr>
      <w:tr w:rsidR="00695CDA">
        <w:tc>
          <w:tcPr>
            <w:tcW w:w="1781" w:type="pct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Sluzoglavke</w:t>
            </w:r>
          </w:p>
        </w:tc>
        <w:tc>
          <w:tcPr>
            <w:tcW w:w="1079" w:type="pct"/>
          </w:tcPr>
          <w:p w:rsidR="00695CDA" w:rsidRDefault="000E0F19">
            <w:pPr>
              <w:rPr>
                <w:rFonts w:eastAsia="Calibri"/>
                <w:i/>
                <w:iCs/>
                <w:noProof/>
                <w:sz w:val="22"/>
              </w:rPr>
            </w:pPr>
            <w:r>
              <w:rPr>
                <w:noProof/>
                <w:sz w:val="22"/>
              </w:rPr>
              <w:t>ALF</w:t>
            </w:r>
          </w:p>
        </w:tc>
        <w:tc>
          <w:tcPr>
            <w:tcW w:w="2140" w:type="pct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i/>
                <w:iCs/>
                <w:noProof/>
                <w:sz w:val="22"/>
              </w:rPr>
              <w:t>Beryx</w:t>
            </w:r>
            <w:r>
              <w:rPr>
                <w:noProof/>
                <w:sz w:val="22"/>
              </w:rPr>
              <w:t xml:space="preserve"> spp.</w:t>
            </w:r>
          </w:p>
        </w:tc>
      </w:tr>
      <w:tr w:rsidR="00695CDA">
        <w:tc>
          <w:tcPr>
            <w:tcW w:w="1781" w:type="pct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Okroglonosi repak</w:t>
            </w:r>
          </w:p>
        </w:tc>
        <w:tc>
          <w:tcPr>
            <w:tcW w:w="1079" w:type="pct"/>
          </w:tcPr>
          <w:p w:rsidR="00695CDA" w:rsidRDefault="000E0F19">
            <w:pPr>
              <w:rPr>
                <w:rFonts w:eastAsia="Calibri"/>
                <w:i/>
                <w:iCs/>
                <w:noProof/>
                <w:sz w:val="22"/>
              </w:rPr>
            </w:pPr>
            <w:r>
              <w:rPr>
                <w:noProof/>
                <w:sz w:val="22"/>
              </w:rPr>
              <w:t>RNG</w:t>
            </w:r>
          </w:p>
        </w:tc>
        <w:tc>
          <w:tcPr>
            <w:tcW w:w="2140" w:type="pct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i/>
                <w:iCs/>
                <w:noProof/>
                <w:sz w:val="22"/>
              </w:rPr>
              <w:t>Coryphaenoides rupestris</w:t>
            </w:r>
          </w:p>
        </w:tc>
      </w:tr>
      <w:tr w:rsidR="00695CDA">
        <w:tc>
          <w:tcPr>
            <w:tcW w:w="1781" w:type="pct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Čebulastooki repak</w:t>
            </w:r>
          </w:p>
        </w:tc>
        <w:tc>
          <w:tcPr>
            <w:tcW w:w="1079" w:type="pct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RHG</w:t>
            </w:r>
          </w:p>
        </w:tc>
        <w:tc>
          <w:tcPr>
            <w:tcW w:w="2140" w:type="pct"/>
          </w:tcPr>
          <w:p w:rsidR="00695CDA" w:rsidRDefault="000E0F19">
            <w:pPr>
              <w:rPr>
                <w:rFonts w:eastAsia="Calibri"/>
                <w:i/>
                <w:iCs/>
                <w:noProof/>
                <w:sz w:val="22"/>
              </w:rPr>
            </w:pPr>
            <w:r>
              <w:rPr>
                <w:i/>
                <w:iCs/>
                <w:noProof/>
                <w:sz w:val="22"/>
              </w:rPr>
              <w:t>Macrourus berglax</w:t>
            </w:r>
          </w:p>
        </w:tc>
      </w:tr>
      <w:tr w:rsidR="00695CDA">
        <w:tc>
          <w:tcPr>
            <w:tcW w:w="1781" w:type="pct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Okati ribon</w:t>
            </w:r>
          </w:p>
        </w:tc>
        <w:tc>
          <w:tcPr>
            <w:tcW w:w="1079" w:type="pct"/>
          </w:tcPr>
          <w:p w:rsidR="00695CDA" w:rsidRDefault="000E0F19">
            <w:pPr>
              <w:rPr>
                <w:rFonts w:eastAsia="Calibri"/>
                <w:i/>
                <w:iCs/>
                <w:noProof/>
                <w:sz w:val="22"/>
              </w:rPr>
            </w:pPr>
            <w:r>
              <w:rPr>
                <w:noProof/>
                <w:sz w:val="22"/>
              </w:rPr>
              <w:t>SBR</w:t>
            </w:r>
          </w:p>
        </w:tc>
        <w:tc>
          <w:tcPr>
            <w:tcW w:w="2140" w:type="pct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i/>
                <w:iCs/>
                <w:noProof/>
                <w:sz w:val="22"/>
              </w:rPr>
              <w:t>Pagellus bogaraveo</w:t>
            </w:r>
          </w:p>
        </w:tc>
      </w:tr>
      <w:tr w:rsidR="00695CDA">
        <w:tc>
          <w:tcPr>
            <w:tcW w:w="1781" w:type="pct"/>
            <w:tcBorders>
              <w:bottom w:val="single" w:sz="2" w:space="0" w:color="auto"/>
            </w:tcBorders>
          </w:tcPr>
          <w:p w:rsidR="00695CDA" w:rsidRDefault="00695CDA">
            <w:pPr>
              <w:rPr>
                <w:rFonts w:eastAsia="Calibri"/>
                <w:noProof/>
                <w:sz w:val="22"/>
                <w:lang w:eastAsia="en-GB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</w:tcPr>
          <w:p w:rsidR="00695CDA" w:rsidRDefault="00695CDA">
            <w:pPr>
              <w:rPr>
                <w:rFonts w:eastAsia="Calibri"/>
                <w:i/>
                <w:iCs/>
                <w:noProof/>
                <w:sz w:val="22"/>
                <w:lang w:eastAsia="en-GB"/>
              </w:rPr>
            </w:pPr>
          </w:p>
        </w:tc>
        <w:tc>
          <w:tcPr>
            <w:tcW w:w="2140" w:type="pct"/>
            <w:tcBorders>
              <w:bottom w:val="single" w:sz="2" w:space="0" w:color="auto"/>
            </w:tcBorders>
          </w:tcPr>
          <w:p w:rsidR="00695CDA" w:rsidRDefault="00695CDA">
            <w:pPr>
              <w:rPr>
                <w:rFonts w:eastAsia="Calibri"/>
                <w:noProof/>
                <w:sz w:val="22"/>
                <w:lang w:eastAsia="en-GB"/>
              </w:rPr>
            </w:pPr>
          </w:p>
        </w:tc>
      </w:tr>
    </w:tbl>
    <w:p w:rsidR="00695CDA" w:rsidRDefault="000E0F19">
      <w:pPr>
        <w:spacing w:before="360"/>
        <w:ind w:left="851" w:hanging="851"/>
        <w:rPr>
          <w:rFonts w:eastAsia="Calibri"/>
          <w:noProof/>
        </w:rPr>
      </w:pPr>
      <w:r>
        <w:rPr>
          <w:noProof/>
        </w:rPr>
        <w:t>2.</w:t>
      </w:r>
      <w:r>
        <w:rPr>
          <w:noProof/>
        </w:rPr>
        <w:tab/>
        <w:t>V tej uredbi izraz „globokomorski morski psi“ pomeni naslednje: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27"/>
        <w:gridCol w:w="1194"/>
        <w:gridCol w:w="3068"/>
      </w:tblGrid>
      <w:tr w:rsidR="00695CDA">
        <w:tc>
          <w:tcPr>
            <w:tcW w:w="2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DA" w:rsidRDefault="000E0F19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Splošno ime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DA" w:rsidRDefault="000E0F19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Tričrkovna koda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CDA" w:rsidRDefault="000E0F19">
            <w:pPr>
              <w:jc w:val="center"/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Znanstveno ime</w:t>
            </w:r>
          </w:p>
        </w:tc>
      </w:tr>
      <w:tr w:rsidR="00695CDA">
        <w:trPr>
          <w:trHeight w:val="86"/>
        </w:trPr>
        <w:tc>
          <w:tcPr>
            <w:tcW w:w="2790" w:type="pct"/>
            <w:tcBorders>
              <w:top w:val="single" w:sz="4" w:space="0" w:color="auto"/>
            </w:tcBorders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Globokomorske morske mačke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API</w:t>
            </w:r>
          </w:p>
        </w:tc>
        <w:tc>
          <w:tcPr>
            <w:tcW w:w="1735" w:type="pct"/>
            <w:tcBorders>
              <w:top w:val="single" w:sz="4" w:space="0" w:color="auto"/>
            </w:tcBorders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Apristurus </w:t>
            </w:r>
            <w:r>
              <w:rPr>
                <w:noProof/>
                <w:sz w:val="22"/>
              </w:rPr>
              <w:t>spp.</w:t>
            </w:r>
          </w:p>
        </w:tc>
      </w:tr>
      <w:tr w:rsidR="00695CDA">
        <w:tc>
          <w:tcPr>
            <w:tcW w:w="2790" w:type="pct"/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Ovratničarski šesteroškrgar</w:t>
            </w:r>
          </w:p>
        </w:tc>
        <w:tc>
          <w:tcPr>
            <w:tcW w:w="475" w:type="pct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HXC</w:t>
            </w:r>
          </w:p>
        </w:tc>
        <w:tc>
          <w:tcPr>
            <w:tcW w:w="1735" w:type="pct"/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Chlamydoselachus anguineus</w:t>
            </w:r>
          </w:p>
        </w:tc>
      </w:tr>
      <w:tr w:rsidR="00695CDA">
        <w:tc>
          <w:tcPr>
            <w:tcW w:w="2790" w:type="pct"/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Hlastavi globokomorski trnež</w:t>
            </w:r>
          </w:p>
        </w:tc>
        <w:tc>
          <w:tcPr>
            <w:tcW w:w="475" w:type="pct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noProof/>
                <w:sz w:val="22"/>
              </w:rPr>
              <w:t>CWO</w:t>
            </w:r>
          </w:p>
        </w:tc>
        <w:tc>
          <w:tcPr>
            <w:tcW w:w="1735" w:type="pct"/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 xml:space="preserve">Centrophorus </w:t>
            </w:r>
            <w:r>
              <w:rPr>
                <w:noProof/>
                <w:sz w:val="22"/>
              </w:rPr>
              <w:t>spp.</w:t>
            </w:r>
          </w:p>
        </w:tc>
      </w:tr>
      <w:tr w:rsidR="00695CDA">
        <w:tc>
          <w:tcPr>
            <w:tcW w:w="2790" w:type="pct"/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Portugalski trnež</w:t>
            </w:r>
          </w:p>
        </w:tc>
        <w:tc>
          <w:tcPr>
            <w:tcW w:w="475" w:type="pct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noProof/>
                <w:sz w:val="22"/>
              </w:rPr>
              <w:t>CYO</w:t>
            </w:r>
          </w:p>
        </w:tc>
        <w:tc>
          <w:tcPr>
            <w:tcW w:w="1735" w:type="pct"/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Centroscymnus coelolepis</w:t>
            </w:r>
          </w:p>
        </w:tc>
      </w:tr>
      <w:tr w:rsidR="00695CDA">
        <w:tc>
          <w:tcPr>
            <w:tcW w:w="2790" w:type="pct"/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Dolgonosi žametasti trnež</w:t>
            </w:r>
          </w:p>
        </w:tc>
        <w:tc>
          <w:tcPr>
            <w:tcW w:w="475" w:type="pct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noProof/>
                <w:sz w:val="22"/>
              </w:rPr>
              <w:t>CYP</w:t>
            </w:r>
          </w:p>
        </w:tc>
        <w:tc>
          <w:tcPr>
            <w:tcW w:w="1735" w:type="pct"/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Centroscymnus crepidater</w:t>
            </w:r>
          </w:p>
        </w:tc>
      </w:tr>
      <w:tr w:rsidR="00695CDA">
        <w:tc>
          <w:tcPr>
            <w:tcW w:w="2790" w:type="pct"/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Fabriciusov črni trnež</w:t>
            </w:r>
          </w:p>
        </w:tc>
        <w:tc>
          <w:tcPr>
            <w:tcW w:w="475" w:type="pct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noProof/>
                <w:sz w:val="22"/>
              </w:rPr>
              <w:t>CFB</w:t>
            </w:r>
          </w:p>
        </w:tc>
        <w:tc>
          <w:tcPr>
            <w:tcW w:w="1735" w:type="pct"/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Centroscyllium fabricii</w:t>
            </w:r>
          </w:p>
        </w:tc>
      </w:tr>
      <w:tr w:rsidR="00695CDA">
        <w:tc>
          <w:tcPr>
            <w:tcW w:w="2790" w:type="pct"/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Kljunati morski pes</w:t>
            </w:r>
          </w:p>
        </w:tc>
        <w:tc>
          <w:tcPr>
            <w:tcW w:w="475" w:type="pct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noProof/>
                <w:sz w:val="22"/>
              </w:rPr>
              <w:t>DCA</w:t>
            </w:r>
          </w:p>
        </w:tc>
        <w:tc>
          <w:tcPr>
            <w:tcW w:w="1735" w:type="pct"/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Deania calcea</w:t>
            </w:r>
          </w:p>
        </w:tc>
      </w:tr>
      <w:tr w:rsidR="00695CDA">
        <w:tc>
          <w:tcPr>
            <w:tcW w:w="2790" w:type="pct"/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Temni morski pes</w:t>
            </w:r>
          </w:p>
        </w:tc>
        <w:tc>
          <w:tcPr>
            <w:tcW w:w="475" w:type="pct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noProof/>
                <w:sz w:val="22"/>
              </w:rPr>
              <w:t>SCK</w:t>
            </w:r>
          </w:p>
        </w:tc>
        <w:tc>
          <w:tcPr>
            <w:tcW w:w="1735" w:type="pct"/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Dalatias licha</w:t>
            </w:r>
          </w:p>
        </w:tc>
      </w:tr>
      <w:tr w:rsidR="00695CDA">
        <w:tc>
          <w:tcPr>
            <w:tcW w:w="2790" w:type="pct"/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Veliki svetilec</w:t>
            </w:r>
          </w:p>
        </w:tc>
        <w:tc>
          <w:tcPr>
            <w:tcW w:w="475" w:type="pct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noProof/>
                <w:sz w:val="22"/>
              </w:rPr>
              <w:t>ETR</w:t>
            </w:r>
          </w:p>
        </w:tc>
        <w:tc>
          <w:tcPr>
            <w:tcW w:w="1735" w:type="pct"/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Etmopterus princeps</w:t>
            </w:r>
          </w:p>
        </w:tc>
      </w:tr>
      <w:tr w:rsidR="00695CDA">
        <w:tc>
          <w:tcPr>
            <w:tcW w:w="2790" w:type="pct"/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Črni svetilec</w:t>
            </w:r>
          </w:p>
        </w:tc>
        <w:tc>
          <w:tcPr>
            <w:tcW w:w="475" w:type="pct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noProof/>
                <w:sz w:val="22"/>
              </w:rPr>
              <w:t>ETX</w:t>
            </w:r>
          </w:p>
        </w:tc>
        <w:tc>
          <w:tcPr>
            <w:tcW w:w="1735" w:type="pct"/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Etmopterus spinax</w:t>
            </w:r>
          </w:p>
        </w:tc>
      </w:tr>
      <w:tr w:rsidR="00695CDA">
        <w:tc>
          <w:tcPr>
            <w:tcW w:w="2790" w:type="pct"/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Islandska morska mačka</w:t>
            </w:r>
          </w:p>
        </w:tc>
        <w:tc>
          <w:tcPr>
            <w:tcW w:w="475" w:type="pct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noProof/>
                <w:sz w:val="22"/>
              </w:rPr>
              <w:t>GAM</w:t>
            </w:r>
          </w:p>
        </w:tc>
        <w:tc>
          <w:tcPr>
            <w:tcW w:w="1735" w:type="pct"/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Galeus murinus</w:t>
            </w:r>
          </w:p>
        </w:tc>
      </w:tr>
      <w:tr w:rsidR="00695CDA">
        <w:tc>
          <w:tcPr>
            <w:tcW w:w="2790" w:type="pct"/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Morski pes šesteroškrgar</w:t>
            </w:r>
          </w:p>
        </w:tc>
        <w:tc>
          <w:tcPr>
            <w:tcW w:w="475" w:type="pct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noProof/>
                <w:sz w:val="22"/>
              </w:rPr>
              <w:t>SBL</w:t>
            </w:r>
          </w:p>
        </w:tc>
        <w:tc>
          <w:tcPr>
            <w:tcW w:w="1735" w:type="pct"/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Hexanchus griseus</w:t>
            </w:r>
          </w:p>
        </w:tc>
      </w:tr>
      <w:tr w:rsidR="00695CDA">
        <w:tc>
          <w:tcPr>
            <w:tcW w:w="2790" w:type="pct"/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Jadrniški morski prašič</w:t>
            </w:r>
          </w:p>
        </w:tc>
        <w:tc>
          <w:tcPr>
            <w:tcW w:w="475" w:type="pct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noProof/>
                <w:sz w:val="22"/>
              </w:rPr>
              <w:t>OXN</w:t>
            </w:r>
          </w:p>
        </w:tc>
        <w:tc>
          <w:tcPr>
            <w:tcW w:w="1735" w:type="pct"/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Oxynotus paradoxus</w:t>
            </w:r>
          </w:p>
        </w:tc>
      </w:tr>
      <w:tr w:rsidR="00695CDA">
        <w:tc>
          <w:tcPr>
            <w:tcW w:w="2790" w:type="pct"/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Ostrozobi trnež</w:t>
            </w:r>
          </w:p>
        </w:tc>
        <w:tc>
          <w:tcPr>
            <w:tcW w:w="475" w:type="pct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noProof/>
                <w:sz w:val="22"/>
              </w:rPr>
              <w:t>SYR</w:t>
            </w:r>
          </w:p>
        </w:tc>
        <w:tc>
          <w:tcPr>
            <w:tcW w:w="1735" w:type="pct"/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Scymnodon ringens</w:t>
            </w:r>
          </w:p>
        </w:tc>
      </w:tr>
      <w:tr w:rsidR="00695CDA">
        <w:tc>
          <w:tcPr>
            <w:tcW w:w="2790" w:type="pct"/>
            <w:tcBorders>
              <w:bottom w:val="single" w:sz="4" w:space="0" w:color="auto"/>
            </w:tcBorders>
            <w:vAlign w:val="center"/>
          </w:tcPr>
          <w:p w:rsidR="00695CDA" w:rsidRDefault="000E0F19">
            <w:pPr>
              <w:rPr>
                <w:rFonts w:eastAsia="Calibri"/>
                <w:noProof/>
                <w:sz w:val="22"/>
              </w:rPr>
            </w:pPr>
            <w:r>
              <w:rPr>
                <w:noProof/>
                <w:sz w:val="22"/>
              </w:rPr>
              <w:t>Grenlandski morski pes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noProof/>
                <w:sz w:val="22"/>
              </w:rPr>
              <w:t>GSK</w:t>
            </w:r>
          </w:p>
        </w:tc>
        <w:tc>
          <w:tcPr>
            <w:tcW w:w="1735" w:type="pct"/>
            <w:tcBorders>
              <w:bottom w:val="single" w:sz="4" w:space="0" w:color="auto"/>
            </w:tcBorders>
            <w:vAlign w:val="center"/>
          </w:tcPr>
          <w:p w:rsidR="00695CDA" w:rsidRDefault="000E0F19">
            <w:pPr>
              <w:rPr>
                <w:rFonts w:eastAsia="Calibri"/>
                <w:i/>
                <w:noProof/>
                <w:sz w:val="22"/>
              </w:rPr>
            </w:pPr>
            <w:r>
              <w:rPr>
                <w:i/>
                <w:noProof/>
                <w:sz w:val="22"/>
              </w:rPr>
              <w:t>Sonmnousus microcephalus</w:t>
            </w:r>
          </w:p>
        </w:tc>
      </w:tr>
    </w:tbl>
    <w:p w:rsidR="00695CDA" w:rsidRDefault="00695CDA">
      <w:pPr>
        <w:rPr>
          <w:rFonts w:eastAsia="Calibri"/>
          <w:noProof/>
          <w:lang w:eastAsia="en-GB"/>
        </w:rPr>
        <w:sectPr w:rsidR="00695CDA">
          <w:footerReference w:type="default" r:id="rId22"/>
          <w:footerReference w:type="first" r:id="rId23"/>
          <w:pgSz w:w="11907" w:h="16839"/>
          <w:pgMar w:top="1134" w:right="1417" w:bottom="1134" w:left="1417" w:header="709" w:footer="709" w:gutter="0"/>
          <w:cols w:space="720"/>
          <w:docGrid w:linePitch="360"/>
        </w:sectPr>
      </w:pPr>
    </w:p>
    <w:p w:rsidR="00695CDA" w:rsidRDefault="000E0F19">
      <w:pPr>
        <w:jc w:val="center"/>
        <w:rPr>
          <w:rFonts w:eastAsia="Calibri"/>
          <w:b/>
          <w:noProof/>
        </w:rPr>
      </w:pPr>
      <w:r>
        <w:rPr>
          <w:b/>
          <w:noProof/>
        </w:rPr>
        <w:t>DEL 2</w:t>
      </w:r>
    </w:p>
    <w:p w:rsidR="00695CDA" w:rsidRDefault="000E0F19">
      <w:pPr>
        <w:jc w:val="center"/>
        <w:rPr>
          <w:rFonts w:eastAsia="Calibri"/>
          <w:b/>
          <w:noProof/>
        </w:rPr>
      </w:pPr>
      <w:r>
        <w:rPr>
          <w:b/>
          <w:noProof/>
        </w:rPr>
        <w:t>Letne ribolovne možnosti (v tonah žive teže)</w:t>
      </w:r>
    </w:p>
    <w:tbl>
      <w:tblPr>
        <w:tblW w:w="31586" w:type="dxa"/>
        <w:tblInd w:w="93" w:type="dxa"/>
        <w:tblLook w:val="04A0" w:firstRow="1" w:lastRow="0" w:firstColumn="1" w:lastColumn="0" w:noHBand="0" w:noVBand="1"/>
      </w:tblPr>
      <w:tblGrid>
        <w:gridCol w:w="1294"/>
        <w:gridCol w:w="1396"/>
        <w:gridCol w:w="636"/>
        <w:gridCol w:w="105"/>
        <w:gridCol w:w="162"/>
        <w:gridCol w:w="890"/>
        <w:gridCol w:w="69"/>
        <w:gridCol w:w="567"/>
        <w:gridCol w:w="926"/>
        <w:gridCol w:w="380"/>
        <w:gridCol w:w="3907"/>
        <w:gridCol w:w="380"/>
        <w:gridCol w:w="3444"/>
        <w:gridCol w:w="3409"/>
        <w:gridCol w:w="3428"/>
        <w:gridCol w:w="3419"/>
        <w:gridCol w:w="3404"/>
        <w:gridCol w:w="3770"/>
      </w:tblGrid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200" w:line="288" w:lineRule="auto"/>
              <w:jc w:val="lef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200" w:line="288" w:lineRule="auto"/>
              <w:jc w:val="left"/>
              <w:rPr>
                <w:rFonts w:ascii="Calibri" w:eastAsia="Times New Roman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95CDA" w:rsidRDefault="00695CDA">
            <w:pPr>
              <w:spacing w:before="0" w:after="200" w:line="288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200" w:line="288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200" w:line="288" w:lineRule="auto"/>
              <w:jc w:val="left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200" w:line="288" w:lineRule="auto"/>
              <w:jc w:val="left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200" w:line="288" w:lineRule="auto"/>
              <w:jc w:val="left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695CDA">
        <w:trPr>
          <w:trHeight w:val="312"/>
        </w:trPr>
        <w:tc>
          <w:tcPr>
            <w:tcW w:w="10621" w:type="dxa"/>
            <w:gridSpan w:val="12"/>
            <w:tcBorders>
              <w:left w:val="nil"/>
              <w:bottom w:val="single" w:sz="4" w:space="0" w:color="auto"/>
              <w:right w:val="nil"/>
            </w:tcBorders>
            <w:noWrap/>
          </w:tcPr>
          <w:p w:rsidR="00695CDA" w:rsidRDefault="00695CDA">
            <w:pPr>
              <w:spacing w:before="0" w:after="200" w:line="288" w:lineRule="auto"/>
              <w:jc w:val="left"/>
              <w:rPr>
                <w:rFonts w:eastAsia="Times New Roman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59" w:type="dxa"/>
          </w:tcPr>
          <w:p w:rsidR="00695CDA" w:rsidRDefault="00695CDA">
            <w:pPr>
              <w:spacing w:before="0" w:after="200" w:line="288" w:lineRule="auto"/>
              <w:jc w:val="left"/>
              <w:rPr>
                <w:rFonts w:ascii="Calibri" w:eastAsia="Times New Roman" w:hAnsi="Calibri" w:cs="Calibri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424" w:type="dxa"/>
          </w:tcPr>
          <w:p w:rsidR="00695CDA" w:rsidRDefault="00695CDA">
            <w:pPr>
              <w:spacing w:before="0" w:after="200" w:line="288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43" w:type="dxa"/>
          </w:tcPr>
          <w:p w:rsidR="00695CDA" w:rsidRDefault="00695CDA">
            <w:pPr>
              <w:spacing w:before="0" w:after="200" w:line="288" w:lineRule="auto"/>
              <w:jc w:val="right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4" w:type="dxa"/>
          </w:tcPr>
          <w:p w:rsidR="00695CDA" w:rsidRDefault="00695CDA">
            <w:pPr>
              <w:spacing w:before="0" w:after="200" w:line="288" w:lineRule="auto"/>
              <w:jc w:val="left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19" w:type="dxa"/>
          </w:tcPr>
          <w:p w:rsidR="00695CDA" w:rsidRDefault="00695CDA">
            <w:pPr>
              <w:spacing w:before="0" w:after="200" w:line="288" w:lineRule="auto"/>
              <w:jc w:val="left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786" w:type="dxa"/>
          </w:tcPr>
          <w:p w:rsidR="00695CDA" w:rsidRDefault="00695CDA">
            <w:pPr>
              <w:spacing w:before="0" w:after="200" w:line="288" w:lineRule="auto"/>
              <w:jc w:val="left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Vrsta:</w:t>
            </w:r>
          </w:p>
        </w:tc>
        <w:tc>
          <w:tcPr>
            <w:tcW w:w="3825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črni morski meč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noWrap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Območje:</w:t>
            </w:r>
          </w:p>
        </w:tc>
        <w:tc>
          <w:tcPr>
            <w:tcW w:w="428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vode Unije in mednarodne vode območij 5, 6, 7 in 12</w:t>
            </w: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Aphanopus carbo</w:t>
            </w: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000000"/>
            </w:tcBorders>
            <w:noWrap/>
          </w:tcPr>
          <w:p w:rsidR="00695CDA" w:rsidRDefault="00695CDA"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(BSF/56712-)</w:t>
            </w: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Leto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2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Previdnostni TAC</w:t>
            </w: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Nemčija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Estonija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Irska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Španija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Francija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Latvija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Litva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Poljska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Drugo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Unija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noProof/>
                <w:color w:val="000000"/>
                <w:sz w:val="18"/>
                <w:szCs w:val="18"/>
              </w:rPr>
              <w:t>Združeno kraljestvo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TAC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 w:line="360" w:lineRule="auto"/>
              <w:jc w:val="left"/>
              <w:rPr>
                <w:rFonts w:eastAsia="Times New Roman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Izključno za prilov. Usmerjeni ribolov v okviru te kvote ni dovoljen. Ulovi, ki se vštevajo v</w:t>
            </w:r>
            <w:r>
              <w:rPr>
                <w:noProof/>
                <w:vertAlign w:val="superscript"/>
              </w:rPr>
              <w:t xml:space="preserve"> </w:t>
            </w:r>
            <w:r>
              <w:rPr>
                <w:noProof/>
                <w:sz w:val="18"/>
                <w:szCs w:val="18"/>
                <w:vertAlign w:val="superscript"/>
              </w:rPr>
              <w:t>to skupno kvoto, se sporočijo ločeno (BSF/56712_AMS).</w:t>
            </w: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Vrsta:</w:t>
            </w:r>
          </w:p>
        </w:tc>
        <w:tc>
          <w:tcPr>
            <w:tcW w:w="3825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črni morski meč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noWrap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Območje:</w:t>
            </w:r>
          </w:p>
        </w:tc>
        <w:tc>
          <w:tcPr>
            <w:tcW w:w="428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vode Unije in mednarodne vode območij 8, 9 in 10</w:t>
            </w: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Aphanopus carbo</w:t>
            </w: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  <w:bottom w:val="single" w:sz="8" w:space="0" w:color="auto"/>
            </w:tcBorders>
            <w:noWrap/>
          </w:tcPr>
          <w:p w:rsidR="00695CDA" w:rsidRDefault="00695CDA"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(BSF/8910-)</w:t>
            </w: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Leto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2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Previdnostni TAC</w:t>
            </w: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Španija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Francija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Portugalska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2 089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2 089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Unija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2 113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2 113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TAC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2 113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2 113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463"/>
        </w:trPr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Vrsta:</w:t>
            </w:r>
          </w:p>
        </w:tc>
        <w:tc>
          <w:tcPr>
            <w:tcW w:w="3825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črni morski meč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noWrap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Območje:</w:t>
            </w:r>
          </w:p>
        </w:tc>
        <w:tc>
          <w:tcPr>
            <w:tcW w:w="428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 vode Unije in mednarodne vode območja CECAF 34.1.2</w:t>
            </w: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Aphanopus carbo</w:t>
            </w:r>
          </w:p>
        </w:tc>
        <w:tc>
          <w:tcPr>
            <w:tcW w:w="836" w:type="dxa"/>
            <w:tcBorders>
              <w:left w:val="single" w:sz="8" w:space="0" w:color="auto"/>
            </w:tcBorders>
            <w:noWrap/>
          </w:tcPr>
          <w:p w:rsidR="00695CDA" w:rsidRDefault="00695CDA"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(BSF/C3412-)</w:t>
            </w: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Leto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23" w:type="dxa"/>
            <w:gridSpan w:val="3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Previdnostni TAC</w:t>
            </w:r>
          </w:p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Uporablja se člen 4 te uredbe.</w:t>
            </w: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Portugalska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Se določi naknadno.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Se določi naknadno.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Unija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Se določi naknadno.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Se določi naknadno.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TAC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Se določi naknadno.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Se določi naknadno.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  <w:p w:rsidR="00695CDA" w:rsidRDefault="00695CDA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95CDA" w:rsidRDefault="00695CDA">
            <w:pPr>
              <w:spacing w:before="0" w:after="0" w:line="276" w:lineRule="auto"/>
              <w:jc w:val="left"/>
              <w:rPr>
                <w:rFonts w:eastAsia="Times New Roman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Določeno pri isti količini kot za Portugalsko.</w:t>
            </w: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48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Vrsta:</w:t>
            </w:r>
          </w:p>
        </w:tc>
        <w:tc>
          <w:tcPr>
            <w:tcW w:w="3825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sluzoglavke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Območje:</w:t>
            </w:r>
          </w:p>
        </w:tc>
        <w:tc>
          <w:tcPr>
            <w:tcW w:w="428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vode Unije in mednarodne vode območij 3, 4, 5, 6, 7, 8, 9, 10, 12 in 14</w:t>
            </w: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 xml:space="preserve">Beryx </w:t>
            </w:r>
            <w:r>
              <w:rPr>
                <w:noProof/>
                <w:sz w:val="18"/>
                <w:szCs w:val="18"/>
              </w:rPr>
              <w:t>spp.</w:t>
            </w: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6" w:type="dxa"/>
            <w:tcBorders>
              <w:left w:val="single" w:sz="8" w:space="0" w:color="auto"/>
            </w:tcBorders>
            <w:noWrap/>
          </w:tcPr>
          <w:p w:rsidR="00695CDA" w:rsidRDefault="00695CDA"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(ALF/3X14-)</w:t>
            </w: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Leto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center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2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Previdnostni TAC</w:t>
            </w: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Irska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Španija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Francija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Portugalska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Unija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Združeno kraljestvo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TAC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695CDA">
        <w:trPr>
          <w:gridAfter w:val="7"/>
          <w:wAfter w:w="21345" w:type="dxa"/>
          <w:trHeight w:val="312"/>
        </w:trPr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89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Izključno za prilov. Usmerjeni ribolov v okviru te kvote ni dovoljen.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062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Vrsta: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okroglonosi repak</w:t>
            </w:r>
          </w:p>
        </w:tc>
        <w:tc>
          <w:tcPr>
            <w:tcW w:w="636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auto"/>
              <w:right w:val="single" w:sz="8" w:space="0" w:color="auto"/>
            </w:tcBorders>
            <w:noWrap/>
          </w:tcPr>
          <w:p w:rsidR="00695CDA" w:rsidRDefault="00695CDA"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Območje:</w:t>
            </w:r>
          </w:p>
        </w:tc>
        <w:tc>
          <w:tcPr>
            <w:tcW w:w="428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vode Unije in mednarodne vode območja 3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i/>
                <w:iCs/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sz w:val="18"/>
                <w:szCs w:val="18"/>
              </w:rPr>
              <w:t>Coryphaenoides rupestris</w:t>
            </w:r>
          </w:p>
        </w:tc>
        <w:tc>
          <w:tcPr>
            <w:tcW w:w="636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6" w:type="dxa"/>
            <w:gridSpan w:val="2"/>
            <w:tcBorders>
              <w:bottom w:val="single" w:sz="8" w:space="0" w:color="auto"/>
              <w:right w:val="single" w:sz="8" w:space="0" w:color="auto"/>
            </w:tcBorders>
            <w:noWrap/>
          </w:tcPr>
          <w:p w:rsidR="00695CDA" w:rsidRDefault="00695CDA"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1216" w:type="dxa"/>
            <w:gridSpan w:val="2"/>
            <w:tcBorders>
              <w:left w:val="single" w:sz="8" w:space="0" w:color="auto"/>
              <w:bottom w:val="single" w:sz="8" w:space="0" w:color="auto"/>
            </w:tcBorders>
            <w:noWrap/>
          </w:tcPr>
          <w:p w:rsidR="00695CDA" w:rsidRDefault="00695CDA"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(RNG/03-)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Leto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55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</w:rPr>
            </w:pPr>
            <w:r>
              <w:rPr>
                <w:noProof/>
                <w:color w:val="000000"/>
                <w:sz w:val="18"/>
                <w:szCs w:val="18"/>
              </w:rPr>
              <w:t>Previdnostni TAC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Danska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Nemčija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695CDA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695CDA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Švedska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Unija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TAC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 w:line="276" w:lineRule="auto"/>
              <w:jc w:val="left"/>
              <w:rPr>
                <w:rFonts w:eastAsia="Times New Roman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0" w:line="276" w:lineRule="auto"/>
              <w:jc w:val="left"/>
              <w:rPr>
                <w:noProof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Usmerjeni ribolov okroglonosega repaka v 3a ni dovoljen.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32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Usmerjeni ribolov čebulastookega repaka ni dovoljen. Prilov čebulastookega repaka (RHG/03-) je treba</w:t>
            </w:r>
            <w:r>
              <w:rPr>
                <w:i/>
                <w:noProof/>
                <w:sz w:val="18"/>
                <w:szCs w:val="18"/>
                <w:vertAlign w:val="superscript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>odšteti od te kvote. Prilov ne sme preseči 1 % kvote.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06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Vrsta:</w:t>
            </w:r>
          </w:p>
        </w:tc>
        <w:tc>
          <w:tcPr>
            <w:tcW w:w="3825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okroglonosi repak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Območje:</w:t>
            </w:r>
          </w:p>
        </w:tc>
        <w:tc>
          <w:tcPr>
            <w:tcW w:w="428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vode Unije in mednarodne vode območij 5b, 6 in 7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 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left"/>
              <w:rPr>
                <w:noProof/>
              </w:rPr>
            </w:pPr>
            <w:r>
              <w:rPr>
                <w:i/>
                <w:iCs/>
                <w:noProof/>
                <w:sz w:val="18"/>
                <w:szCs w:val="18"/>
              </w:rPr>
              <w:t>Coryphaenoides rupestris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left w:val="single" w:sz="8" w:space="0" w:color="auto"/>
              <w:bottom w:val="single" w:sz="8" w:space="0" w:color="auto"/>
            </w:tcBorders>
            <w:noWrap/>
          </w:tcPr>
          <w:p w:rsidR="00695CDA" w:rsidRDefault="00695CDA"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(RNG/5B67-)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Leto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2022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5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Previdnostni TAC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Nemčija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Estonija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Irska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Španija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Francija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Litva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Poljska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Drugo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 (3)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(1)(2(3)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Združeno kraljestvo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TAC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 w:line="276" w:lineRule="auto"/>
              <w:jc w:val="left"/>
              <w:rPr>
                <w:rFonts w:eastAsia="Times New Roman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0" w:line="276" w:lineRule="auto"/>
              <w:jc w:val="left"/>
              <w:rPr>
                <w:noProof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Največ 10 % vsake kvote se lahko lovi v vodah Unije in mednarodnih vodah območij 8, 9, 10, 12 in 14 (RNG/*8X14- za prilov okroglonosega repaka; RHG/*8X14- za prilov čebulastookega repaka).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 w:line="276" w:lineRule="auto"/>
              <w:jc w:val="left"/>
              <w:rPr>
                <w:noProof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Usmerjeni ribolov čebulastookega repaka ni dovoljen. Prilov čebulastookega repaka (RHG/5B67-) je treba odšteti od te kvote. Prilov ne sme preseči 1 % kvote.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932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  <w:vertAlign w:val="superscript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Izključno za prilov. Usmerjeni ribolov ni dovoljen. Ulovi, ki se vštevajo v to skupno kvoto, se sporočijo ločeno (RNG/5B67_AMS za okroglonosega repaka; RHG/5B67_AMS za čebulastookega repaka).</w:t>
            </w:r>
          </w:p>
          <w:p w:rsidR="00695CDA" w:rsidRDefault="00695CDA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06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Vrsta:</w:t>
            </w:r>
          </w:p>
        </w:tc>
        <w:tc>
          <w:tcPr>
            <w:tcW w:w="3825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okroglonosi repak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Območje:</w:t>
            </w:r>
          </w:p>
        </w:tc>
        <w:tc>
          <w:tcPr>
            <w:tcW w:w="428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vode Unije in mednarodne vode območij 8, 9, 10, 12 in 14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t xml:space="preserve"> 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noProof/>
              </w:rPr>
            </w:pPr>
            <w:r>
              <w:rPr>
                <w:i/>
                <w:iCs/>
                <w:noProof/>
                <w:sz w:val="18"/>
                <w:szCs w:val="18"/>
              </w:rPr>
              <w:t>Coryphaenoides rupestris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left w:val="single" w:sz="8" w:space="0" w:color="auto"/>
              <w:bottom w:val="single" w:sz="8" w:space="0" w:color="auto"/>
            </w:tcBorders>
            <w:noWrap/>
          </w:tcPr>
          <w:p w:rsidR="00695CDA" w:rsidRDefault="00695CDA"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t>(RNG/8X14-)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Leto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2022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55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Previdnostni TAC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contextualSpacing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Nemčija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contextualSpacing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Irska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contextualSpacing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Španija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contextualSpacing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Francija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contextualSpacing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Latvija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contextualSpacing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Litva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contextualSpacing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Poljska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Združeno kraljestvo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contextualSpacing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TAC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CDA" w:rsidRDefault="000E0F19">
            <w:pPr>
              <w:spacing w:before="0" w:after="0"/>
              <w:contextualSpacing/>
              <w:jc w:val="righ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contextualSpacing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contextualSpacing/>
              <w:jc w:val="left"/>
              <w:rPr>
                <w:rFonts w:eastAsia="Times New Roman"/>
                <w:noProof/>
                <w:sz w:val="18"/>
                <w:szCs w:val="18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0" w:line="276" w:lineRule="auto"/>
              <w:jc w:val="left"/>
              <w:rPr>
                <w:rFonts w:eastAsia="Times New Roman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0" w:line="276" w:lineRule="auto"/>
              <w:jc w:val="left"/>
              <w:rPr>
                <w:noProof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Največ 10 % vsake kvote se lahko lovi v vodah Unije in mednarodnih vodah območij 5b, 6 in 7 (RNG/*5B67- za prilov okroglonosega repaka; RHG/*5B67- za prilov čebulastookega repaka).</w:t>
            </w:r>
          </w:p>
        </w:tc>
      </w:tr>
      <w:tr w:rsidR="00695CDA">
        <w:trPr>
          <w:gridAfter w:val="6"/>
          <w:wAfter w:w="20965" w:type="dxa"/>
          <w:trHeight w:val="312"/>
        </w:trPr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32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Usmerjeni ribolov čebulastookega repaka ni dovoljen. Prilov čebulastookega repaka (RHG/8X14-) je treba odšteti od te kvote. Prilov ne sme preseči 1 % kvote.</w:t>
            </w:r>
          </w:p>
        </w:tc>
      </w:tr>
      <w:tr w:rsidR="00695CDA">
        <w:trPr>
          <w:gridAfter w:val="6"/>
          <w:wAfter w:w="20965" w:type="dxa"/>
          <w:trHeight w:val="375"/>
        </w:trPr>
        <w:tc>
          <w:tcPr>
            <w:tcW w:w="106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270"/>
        </w:trPr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Vrsta:</w:t>
            </w:r>
          </w:p>
        </w:tc>
        <w:tc>
          <w:tcPr>
            <w:tcW w:w="3825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okati ribon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Območje:</w:t>
            </w:r>
          </w:p>
        </w:tc>
        <w:tc>
          <w:tcPr>
            <w:tcW w:w="42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vode Unije in mednarodne vode območij 6, 7 in 8</w:t>
            </w:r>
          </w:p>
        </w:tc>
      </w:tr>
      <w:tr w:rsidR="00695CDA">
        <w:trPr>
          <w:gridAfter w:val="6"/>
          <w:wAfter w:w="20965" w:type="dxa"/>
          <w:trHeight w:val="315"/>
        </w:trPr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noProof/>
              </w:rPr>
            </w:pPr>
            <w:r>
              <w:rPr>
                <w:i/>
                <w:iCs/>
                <w:noProof/>
                <w:sz w:val="18"/>
                <w:szCs w:val="18"/>
              </w:rPr>
              <w:t>Pagellus bogaraveo</w:t>
            </w: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left w:val="single" w:sz="8" w:space="0" w:color="auto"/>
              <w:bottom w:val="single" w:sz="8" w:space="0" w:color="000000"/>
            </w:tcBorders>
            <w:noWrap/>
          </w:tcPr>
          <w:p w:rsidR="00695CDA" w:rsidRDefault="00695CDA"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(SBR/678-)</w:t>
            </w:r>
          </w:p>
        </w:tc>
      </w:tr>
      <w:tr w:rsidR="00695CDA">
        <w:trPr>
          <w:gridAfter w:val="6"/>
          <w:wAfter w:w="20965" w:type="dxa"/>
          <w:trHeight w:val="28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Leto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Previdnostni TAC</w:t>
            </w:r>
          </w:p>
        </w:tc>
      </w:tr>
      <w:tr w:rsidR="00695CDA">
        <w:trPr>
          <w:gridAfter w:val="6"/>
          <w:wAfter w:w="20965" w:type="dxa"/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Irska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Španija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Francija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Drugo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Unija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Združeno kraljestvo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TAC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285"/>
        </w:trPr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32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695CDA">
            <w:pPr>
              <w:spacing w:before="0" w:after="200" w:line="276" w:lineRule="auto"/>
              <w:jc w:val="left"/>
              <w:rPr>
                <w:rFonts w:eastAsia="Times New Roman"/>
                <w:noProof/>
                <w:sz w:val="18"/>
                <w:szCs w:val="18"/>
                <w:vertAlign w:val="superscript"/>
                <w:lang w:eastAsia="en-GB"/>
              </w:rPr>
            </w:pPr>
          </w:p>
          <w:p w:rsidR="00695CDA" w:rsidRDefault="000E0F19">
            <w:pPr>
              <w:spacing w:before="0" w:after="200" w:line="276" w:lineRule="auto"/>
              <w:jc w:val="left"/>
              <w:rPr>
                <w:rFonts w:eastAsia="Times New Roman"/>
                <w:noProof/>
                <w:sz w:val="18"/>
                <w:szCs w:val="18"/>
                <w:vertAlign w:val="superscript"/>
              </w:rPr>
            </w:pPr>
            <w:r>
              <w:rPr>
                <w:noProof/>
                <w:sz w:val="18"/>
                <w:szCs w:val="18"/>
                <w:vertAlign w:val="superscript"/>
              </w:rPr>
              <w:t>Izključno za prilov. Usmerjeni ribolov v okviru te kvote ni dovoljen. Ulovi, ki se vštevajo v to skupno kvoto, se sporočijo ločeno (SBR/678_AMS).</w:t>
            </w:r>
          </w:p>
        </w:tc>
      </w:tr>
      <w:tr w:rsidR="00695CDA">
        <w:trPr>
          <w:gridAfter w:val="6"/>
          <w:wAfter w:w="20965" w:type="dxa"/>
          <w:trHeight w:val="375"/>
        </w:trPr>
        <w:tc>
          <w:tcPr>
            <w:tcW w:w="106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270"/>
        </w:trPr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Vrsta:</w:t>
            </w:r>
          </w:p>
        </w:tc>
        <w:tc>
          <w:tcPr>
            <w:tcW w:w="3825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okati ribon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Območje:</w:t>
            </w:r>
          </w:p>
        </w:tc>
        <w:tc>
          <w:tcPr>
            <w:tcW w:w="42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vode Unije in mednarodne vode območja 9</w:t>
            </w:r>
          </w:p>
        </w:tc>
      </w:tr>
      <w:tr w:rsidR="00695CDA">
        <w:trPr>
          <w:gridAfter w:val="6"/>
          <w:wAfter w:w="20965" w:type="dxa"/>
          <w:trHeight w:val="270"/>
        </w:trPr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noProof/>
              </w:rPr>
            </w:pPr>
            <w:r>
              <w:rPr>
                <w:i/>
                <w:iCs/>
                <w:noProof/>
                <w:sz w:val="18"/>
                <w:szCs w:val="18"/>
              </w:rPr>
              <w:t>Pagellus bogaraveo</w:t>
            </w: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left w:val="single" w:sz="8" w:space="0" w:color="auto"/>
              <w:bottom w:val="single" w:sz="8" w:space="0" w:color="000000"/>
            </w:tcBorders>
            <w:noWrap/>
          </w:tcPr>
          <w:p w:rsidR="00695CDA" w:rsidRDefault="00695CDA"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(SBR/09-)</w:t>
            </w:r>
          </w:p>
        </w:tc>
      </w:tr>
      <w:tr w:rsidR="00695CDA">
        <w:trPr>
          <w:gridAfter w:val="6"/>
          <w:wAfter w:w="20965" w:type="dxa"/>
          <w:trHeight w:val="28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Leto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Previdnostni TAC</w:t>
            </w:r>
          </w:p>
        </w:tc>
      </w:tr>
      <w:tr w:rsidR="00695CDA">
        <w:trPr>
          <w:gridAfter w:val="6"/>
          <w:wAfter w:w="20965" w:type="dxa"/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Španija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93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93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Portugalska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0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Unija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00"/>
        </w:trPr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TAC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285"/>
        </w:trPr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2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noProof/>
              </w:rPr>
            </w:pPr>
          </w:p>
        </w:tc>
      </w:tr>
      <w:tr w:rsidR="00695CDA">
        <w:trPr>
          <w:gridAfter w:val="6"/>
          <w:wAfter w:w="20965" w:type="dxa"/>
          <w:trHeight w:val="375"/>
        </w:trPr>
        <w:tc>
          <w:tcPr>
            <w:tcW w:w="1062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270"/>
        </w:trPr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Vrsta:</w:t>
            </w:r>
          </w:p>
        </w:tc>
        <w:tc>
          <w:tcPr>
            <w:tcW w:w="3825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okati ribon</w:t>
            </w: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Območje:</w:t>
            </w:r>
          </w:p>
        </w:tc>
        <w:tc>
          <w:tcPr>
            <w:tcW w:w="4287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vode Unije in mednarodne vode območja 10</w:t>
            </w:r>
          </w:p>
        </w:tc>
      </w:tr>
      <w:tr w:rsidR="00695CDA">
        <w:trPr>
          <w:gridAfter w:val="6"/>
          <w:wAfter w:w="20965" w:type="dxa"/>
          <w:trHeight w:val="315"/>
        </w:trPr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noProof/>
              </w:rPr>
            </w:pPr>
            <w:r>
              <w:rPr>
                <w:i/>
                <w:iCs/>
                <w:noProof/>
                <w:sz w:val="18"/>
                <w:szCs w:val="18"/>
              </w:rPr>
              <w:t>Pagellus bogaraveo</w:t>
            </w: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left w:val="single" w:sz="8" w:space="0" w:color="auto"/>
              <w:bottom w:val="single" w:sz="8" w:space="0" w:color="000000"/>
            </w:tcBorders>
            <w:noWrap/>
          </w:tcPr>
          <w:p w:rsidR="00695CDA" w:rsidRDefault="00695CDA">
            <w:pPr>
              <w:spacing w:before="0" w:after="200" w:line="276" w:lineRule="auto"/>
              <w:jc w:val="left"/>
              <w:rPr>
                <w:noProof/>
              </w:rPr>
            </w:pPr>
          </w:p>
        </w:tc>
        <w:tc>
          <w:tcPr>
            <w:tcW w:w="42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200" w:line="276" w:lineRule="auto"/>
              <w:jc w:val="left"/>
              <w:rPr>
                <w:noProof/>
              </w:rPr>
            </w:pPr>
            <w:r>
              <w:rPr>
                <w:noProof/>
                <w:color w:val="000000"/>
                <w:sz w:val="18"/>
                <w:szCs w:val="18"/>
              </w:rPr>
              <w:t>(SBR/10-)</w:t>
            </w:r>
          </w:p>
        </w:tc>
      </w:tr>
      <w:tr w:rsidR="00695CDA">
        <w:trPr>
          <w:gridAfter w:val="6"/>
          <w:wAfter w:w="20965" w:type="dxa"/>
          <w:trHeight w:val="28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Leto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2021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b/>
                <w:bCs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0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Previdnostni TAC</w:t>
            </w:r>
          </w:p>
        </w:tc>
      </w:tr>
      <w:tr w:rsidR="00695CDA">
        <w:trPr>
          <w:gridAfter w:val="6"/>
          <w:wAfter w:w="20965" w:type="dxa"/>
          <w:trHeight w:val="36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Španija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6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Portugalska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285"/>
        </w:trPr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Unija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36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  <w:highlight w:val="cyan"/>
              </w:rPr>
            </w:pPr>
            <w:r>
              <w:rPr>
                <w:noProof/>
                <w:color w:val="000000"/>
                <w:sz w:val="18"/>
                <w:szCs w:val="18"/>
              </w:rPr>
              <w:t>Združeno kraljestvo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eastAsia="Times New Roman"/>
                <w:noProof/>
                <w:sz w:val="22"/>
                <w:lang w:eastAsia="en-GB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  <w:tc>
          <w:tcPr>
            <w:tcW w:w="4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jc w:val="left"/>
              <w:rPr>
                <w:rFonts w:ascii="Calibri" w:eastAsia="Times New Roman" w:hAnsi="Calibri" w:cs="Arial"/>
                <w:noProof/>
                <w:sz w:val="22"/>
                <w:lang w:eastAsia="en-GB"/>
              </w:rPr>
            </w:pPr>
          </w:p>
        </w:tc>
      </w:tr>
      <w:tr w:rsidR="00695CDA">
        <w:trPr>
          <w:gridAfter w:val="6"/>
          <w:wAfter w:w="20965" w:type="dxa"/>
          <w:trHeight w:val="285"/>
        </w:trPr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TAC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jc w:val="righ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pm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0E0F19">
            <w:pPr>
              <w:spacing w:before="0" w:after="0"/>
              <w:jc w:val="left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DA" w:rsidRDefault="000E0F19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5CDA" w:rsidRDefault="00695CDA">
            <w:pPr>
              <w:spacing w:before="0" w:after="0"/>
              <w:rPr>
                <w:rFonts w:eastAsia="Times New Roman"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695CDA" w:rsidRDefault="00695CDA">
      <w:pPr>
        <w:rPr>
          <w:noProof/>
        </w:rPr>
      </w:pPr>
    </w:p>
    <w:sectPr w:rsidR="00695CDA"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DA" w:rsidRDefault="000E0F19">
      <w:pPr>
        <w:spacing w:before="0" w:after="0"/>
      </w:pPr>
      <w:r>
        <w:separator/>
      </w:r>
    </w:p>
  </w:endnote>
  <w:endnote w:type="continuationSeparator" w:id="0">
    <w:p w:rsidR="00695CDA" w:rsidRDefault="000E0F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DA" w:rsidRPr="000E0F19" w:rsidRDefault="00695CDA" w:rsidP="000E0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0E0F19" w:rsidRPr="00D94637" w:rsidTr="000E0F19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0E0F19" w:rsidRPr="00D94637" w:rsidRDefault="000E0F19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0E0F19" w:rsidRPr="00B310DC" w:rsidTr="000E0F19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0E0F19" w:rsidRPr="00AD7BF2" w:rsidRDefault="000E0F19" w:rsidP="004F54B2">
          <w:pPr>
            <w:pStyle w:val="FooterText"/>
          </w:pPr>
          <w:r>
            <w:t>12126/20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0E0F19" w:rsidRPr="00AD7BF2" w:rsidRDefault="000E0F19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0E0F19" w:rsidRPr="002511D8" w:rsidRDefault="000E0F19" w:rsidP="00D94637">
          <w:pPr>
            <w:pStyle w:val="FooterText"/>
            <w:jc w:val="center"/>
          </w:pPr>
          <w:r>
            <w:t>ako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0E0F19" w:rsidRPr="00B310DC" w:rsidRDefault="000E0F19" w:rsidP="000E0F19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37ABC">
            <w:rPr>
              <w:noProof/>
            </w:rPr>
            <w:t>0</w:t>
          </w:r>
          <w:r>
            <w:fldChar w:fldCharType="end"/>
          </w:r>
        </w:p>
      </w:tc>
    </w:tr>
    <w:tr w:rsidR="000E0F19" w:rsidRPr="00D94637" w:rsidTr="000E0F19">
      <w:trPr>
        <w:jc w:val="center"/>
      </w:trPr>
      <w:tc>
        <w:tcPr>
          <w:tcW w:w="1774" w:type="pct"/>
          <w:shd w:val="clear" w:color="auto" w:fill="auto"/>
        </w:tcPr>
        <w:p w:rsidR="000E0F19" w:rsidRPr="00AD7BF2" w:rsidRDefault="000E0F19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0E0F19" w:rsidRPr="00AD7BF2" w:rsidRDefault="000E0F19" w:rsidP="00D204D6">
          <w:pPr>
            <w:pStyle w:val="FooterText"/>
            <w:spacing w:before="40"/>
            <w:jc w:val="center"/>
          </w:pPr>
          <w:r>
            <w:t>LIFE.2</w:t>
          </w:r>
        </w:p>
      </w:tc>
      <w:tc>
        <w:tcPr>
          <w:tcW w:w="742" w:type="pct"/>
          <w:shd w:val="clear" w:color="auto" w:fill="auto"/>
        </w:tcPr>
        <w:p w:rsidR="000E0F19" w:rsidRPr="00D94637" w:rsidRDefault="000E0F19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0E0F19" w:rsidRPr="000310C2" w:rsidRDefault="000E0F19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  <w:bookmarkEnd w:id="2"/>
  </w:tbl>
  <w:p w:rsidR="00695CDA" w:rsidRPr="000E0F19" w:rsidRDefault="00695CDA" w:rsidP="000E0F19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0E0F19" w:rsidRPr="00D94637" w:rsidTr="000E0F19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0E0F19" w:rsidRPr="00D94637" w:rsidRDefault="000E0F19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0E0F19" w:rsidRPr="00B310DC" w:rsidTr="000E0F19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0E0F19" w:rsidRPr="00AD7BF2" w:rsidRDefault="000E0F19" w:rsidP="004F54B2">
          <w:pPr>
            <w:pStyle w:val="FooterText"/>
          </w:pPr>
          <w:r>
            <w:t>12126/20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0E0F19" w:rsidRPr="00AD7BF2" w:rsidRDefault="000E0F19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0E0F19" w:rsidRPr="002511D8" w:rsidRDefault="000E0F19" w:rsidP="00D94637">
          <w:pPr>
            <w:pStyle w:val="FooterText"/>
            <w:jc w:val="center"/>
          </w:pPr>
          <w:r>
            <w:t>ako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0E0F19" w:rsidRPr="00B310DC" w:rsidRDefault="000E0F19" w:rsidP="00D94637">
          <w:pPr>
            <w:pStyle w:val="FooterText"/>
            <w:jc w:val="right"/>
          </w:pPr>
        </w:p>
      </w:tc>
    </w:tr>
    <w:tr w:rsidR="000E0F19" w:rsidRPr="00D94637" w:rsidTr="000E0F19">
      <w:trPr>
        <w:jc w:val="center"/>
      </w:trPr>
      <w:tc>
        <w:tcPr>
          <w:tcW w:w="1774" w:type="pct"/>
          <w:shd w:val="clear" w:color="auto" w:fill="auto"/>
        </w:tcPr>
        <w:p w:rsidR="000E0F19" w:rsidRPr="00AD7BF2" w:rsidRDefault="000E0F19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0E0F19" w:rsidRPr="00AD7BF2" w:rsidRDefault="000E0F19" w:rsidP="00D204D6">
          <w:pPr>
            <w:pStyle w:val="FooterText"/>
            <w:spacing w:before="40"/>
            <w:jc w:val="center"/>
          </w:pPr>
          <w:r>
            <w:t>LIFE.2</w:t>
          </w:r>
        </w:p>
      </w:tc>
      <w:tc>
        <w:tcPr>
          <w:tcW w:w="742" w:type="pct"/>
          <w:shd w:val="clear" w:color="auto" w:fill="auto"/>
        </w:tcPr>
        <w:p w:rsidR="000E0F19" w:rsidRPr="00D94637" w:rsidRDefault="000E0F19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0E0F19" w:rsidRPr="000310C2" w:rsidRDefault="000E0F19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</w:tbl>
  <w:p w:rsidR="00695CDA" w:rsidRPr="000E0F19" w:rsidRDefault="00695CDA" w:rsidP="000E0F19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19" w:rsidRDefault="000E0F1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19" w:rsidRDefault="000E0F19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19" w:rsidRDefault="000E0F1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DA" w:rsidRDefault="000E0F19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37ABC"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DA" w:rsidRDefault="00695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DA" w:rsidRDefault="000E0F19">
      <w:pPr>
        <w:spacing w:before="0" w:after="0"/>
      </w:pPr>
      <w:r>
        <w:separator/>
      </w:r>
    </w:p>
  </w:footnote>
  <w:footnote w:type="continuationSeparator" w:id="0">
    <w:p w:rsidR="00695CDA" w:rsidRDefault="000E0F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DA" w:rsidRPr="000E0F19" w:rsidRDefault="00695CDA" w:rsidP="000E0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DA" w:rsidRPr="000E0F19" w:rsidRDefault="000E0F19" w:rsidP="000E0F19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DA" w:rsidRPr="000E0F19" w:rsidRDefault="000E0F19" w:rsidP="000E0F19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19" w:rsidRDefault="000E0F1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19" w:rsidRDefault="000E0F1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19" w:rsidRDefault="000E0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6E41F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727C73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09A9E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F6E69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C46637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B34F7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F3831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990EA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overPageOnWordDoc" w:val="false"/>
    <w:docVar w:name="CR_RefLast" w:val="0"/>
    <w:docVar w:name="DocuWriteMetaData" w:val="&lt;metadataset docuwriteversion=&quot;4.4.1&quot; technicalblockguid=&quot;4746372269572626628&quot;&gt;_x000d__x000a_  &lt;metadata key=&quot;md_DocumentLanguages&quot;&gt;_x000d__x000a_    &lt;basicdatatypelist&gt;_x000d__x000a_      &lt;language key=&quot;SL&quot; text=&quot;S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5&quot; text=&quot;PREDLOG&quot; /&gt;_x000d__x000a_    &lt;/basicdatatype&gt;_x000d__x000a_  &lt;/metadata&gt;_x000d__x000a_  &lt;metadata key=&quot;md_HeadingText&quot;&gt;_x000d__x000a_    &lt;headingtext text=&quot;PREDLOG&quot;&gt;_x000d__x000a_      &lt;formattedtext&gt;_x000d__x000a_        &lt;xaml text=&quot;PREDLOG&quot;&gt;&amp;lt;FlowDocument xmlns=&quot;http://schemas.microsoft.com/winfx/2006/xaml/presentation&quot;&amp;gt;&amp;lt;Paragraph&amp;gt;PREDLOG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Svet Evropske unij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j&quot; /&gt;_x000d__x000a_    &lt;/basicdatatype&gt;_x000d__x000a_  &lt;/metadata&gt;_x000d__x000a_  &lt;metadata key=&quot;md_DocumentDate&quot;&gt;_x000d__x000a_    &lt;text&gt;2020-10-22&lt;/text&gt;_x000d__x000a_  &lt;/metadata&gt;_x000d__x000a_  &lt;metadata key=&quot;md_Prefix&quot;&gt;_x000d__x000a_    &lt;text&gt;&lt;/text&gt;_x000d__x000a_  &lt;/metadata&gt;_x000d__x000a_  &lt;metadata key=&quot;md_DocumentNumber&quot;&gt;_x000d__x000a_    &lt;text&gt;12126&lt;/text&gt;_x000d__x000a_  &lt;/metadata&gt;_x000d__x000a_  &lt;metadata key=&quot;md_YearDocumentNumber&quot;&gt;_x000d__x000a_    &lt;text&gt;2020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PECHE 332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20/0301(NLE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33&quot; text=&quot;za generalno sekretarko Evropske komisije: direktorica Martine DEPREZ&quot; /&gt;_x000d__x000a_    &lt;/basicdatatype&gt;_x000d__x000a_  &lt;/metadata&gt;_x000d__x000a_  &lt;metadata key=&quot;md_Recipient&quot;&gt;_x000d__x000a_    &lt;basicdatatype&gt;_x000d__x000a_      &lt;recipient key=&quot;re_02&quot; text=&quot;generalni sekretar Sveta Evropske unije Jeppe TRANHOLM-MIKKELSEN&quot; /&gt;_x000d__x000a_    &lt;/basicdatatype&gt;_x000d__x000a_  &lt;/metadata&gt;_x000d__x000a_  &lt;metadata key=&quot;md_DateOfReceipt&quot;&gt;_x000d__x000a_    &lt;text&gt;2020-10-22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20) 666 final - ANNEX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PRILOGA k predlogu za UREDBO SVETA o dolo&amp;#269;itvi ribolovnih mo&amp;#382;nosti za ribi&amp;#353;ka plovila Unije za dolo&amp;#269;ene stale&amp;#382;e globokomorskih rib za leti 2021 in 2022&quot;&gt;&amp;lt;FlowDocument FontFamily=&quot;Segoe UI&quot; FontSize=&quot;12&quot; PagePadding=&quot;2,2,2,2&quot; AllowDrop=&quot;False&quot; xmlns=&quot;http://schemas.microsoft.com/winfx/2006/xaml/presentation&quot;&amp;gt;&amp;lt;Paragraph&amp;gt;PRILOGA k predlogu za UREDBO SVETA o dolo&amp;#269;itvi ribolovnih mo&amp;#382;nosti za ribi&amp;#353;ka plovila Unije za dolo&amp;#269;ene stale&amp;#382;e globokomorskih rib za leti 2021 in 2022&amp;lt;/Paragraph&amp;gt;&amp;lt;/FlowDocument&amp;gt;&lt;/xaml&gt;_x000d__x000a_  &lt;/metadata&gt;_x000d__x000a_  &lt;metadata key=&quot;md_SubjectFootnote&quot; /&gt;_x000d__x000a_  &lt;metadata key=&quot;md_DG&quot;&gt;_x000d__x000a_    &lt;text&gt;LIFE.2&lt;/text&gt;_x000d__x000a_  &lt;/metadata&gt;_x000d__x000a_  &lt;metadata key=&quot;md_Initials&quot;&gt;_x000d__x000a_    &lt;text&gt;ako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SL&lt;/text&gt;_x000d__x000a_  &lt;/metadata&gt;_x000d__x000a_  &lt;metadata key=&quot;md_SourceDocType&quot;&gt;_x000d__x000a_    &lt;text&gt;PRILOGA&lt;/text&gt;_x000d__x000a_  &lt;/metadata&gt;_x000d__x000a_  &lt;metadata key=&quot;md_SourceDocTitle&quot;&gt;_x000d__x000a_    &lt;text&gt;k _x000d__x000a_predlogu za_x000d__x000a__x000d__x000a_UREDBO SVETA _x000d__x000a_o dolo&amp;#269;itvi ribolovnih mo&amp;#382;nosti za ribi&amp;#353;ka plovila Unije za dolo&amp;#269;ene stale&amp;#382;e globokomorskih rib za leti 2021 in 2022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CustomNB&quot; /&gt;_x000d__x000a_  &lt;metadata key=&quot;md_Meetings&quot; /&gt;_x000d__x000a_  &lt;metadata key=&quot;md_VisualRepresentation&quot;&gt;_x000d__x000a_    &lt;basicdatatype&gt;_x000d__x000a_      &lt;originator key=&quot;visrep_02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 /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QCDateTime" w:val="2020-10-21 12:31:40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2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FD4FE63-0F6B-4300-8DF3-7827EF622250"/>
    <w:docVar w:name="LW_COVERPAGE_TYPE" w:val="1"/>
    <w:docVar w:name="LW_CROSSREFERENCE" w:val="&lt;UNUSED&gt;"/>
    <w:docVar w:name="LW_DocType" w:val="ANNEX"/>
    <w:docVar w:name="LW_EMISSION" w:val="22.10.2020"/>
    <w:docVar w:name="LW_EMISSION_ISODATE" w:val="2020-10-22"/>
    <w:docVar w:name="LW_EMISSION_LOCATION" w:val="BRX"/>
    <w:docVar w:name="LW_EMISSION_PREFIX" w:val="Bruselj, 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dolo\u269?itvi ribolovnih mo\u382?nosti za ribi\u353?ka plovila Unije za dolo\u269?ene stale\u382?e globokomorskih rib za leti 2021 in 2022"/>
    <w:docVar w:name="LW_OBJETACTEPRINCIPAL.CP" w:val="o dolo\u269?itvi ribolovnih mo\u382?nosti za ribi\u353?ka plovila Unije za dolo\u269?ene stale\u382?e globokomorskih rib za leti 2021 in 2022"/>
    <w:docVar w:name="LW_PART_NBR" w:val="1"/>
    <w:docVar w:name="LW_PART_NBR_TOTAL" w:val="1"/>
    <w:docVar w:name="LW_REF.INST.NEW" w:val="COM"/>
    <w:docVar w:name="LW_REF.INST.NEW_ADOPTED" w:val="final"/>
    <w:docVar w:name="LW_REF.INST.NEW_TEXT" w:val="(2020) 666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PRILOGA"/>
    <w:docVar w:name="LW_TYPE.DOC.CP" w:val="PRILOGA"/>
    <w:docVar w:name="LW_TYPEACTEPRINCIPAL" w:val="predlogu za_x000b__x000b_UREDBO SVETA "/>
    <w:docVar w:name="LW_TYPEACTEPRINCIPAL.CP" w:val="predlogu za_x000b__x000b_UREDBO SVETA "/>
  </w:docVars>
  <w:rsids>
    <w:rsidRoot w:val="00695CDA"/>
    <w:rsid w:val="000E0F19"/>
    <w:rsid w:val="00695CDA"/>
    <w:rsid w:val="00A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CD0C091-2628-486E-9A55-EBEA4F24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5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5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5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5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l-SI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4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4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4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4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0E0F19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6"/>
      </w:numPr>
    </w:pPr>
  </w:style>
  <w:style w:type="paragraph" w:customStyle="1" w:styleId="Point1number">
    <w:name w:val="Point 1 (number)"/>
    <w:basedOn w:val="Normal"/>
    <w:pPr>
      <w:numPr>
        <w:ilvl w:val="2"/>
        <w:numId w:val="16"/>
      </w:numPr>
    </w:pPr>
  </w:style>
  <w:style w:type="paragraph" w:customStyle="1" w:styleId="Point2number">
    <w:name w:val="Point 2 (number)"/>
    <w:basedOn w:val="Normal"/>
    <w:pPr>
      <w:numPr>
        <w:ilvl w:val="4"/>
        <w:numId w:val="16"/>
      </w:numPr>
    </w:pPr>
  </w:style>
  <w:style w:type="paragraph" w:customStyle="1" w:styleId="Point3number">
    <w:name w:val="Point 3 (number)"/>
    <w:basedOn w:val="Normal"/>
    <w:pPr>
      <w:numPr>
        <w:ilvl w:val="6"/>
        <w:numId w:val="16"/>
      </w:numPr>
    </w:pPr>
  </w:style>
  <w:style w:type="paragraph" w:customStyle="1" w:styleId="Point0letter">
    <w:name w:val="Point 0 (letter)"/>
    <w:basedOn w:val="Normal"/>
    <w:pPr>
      <w:numPr>
        <w:ilvl w:val="1"/>
        <w:numId w:val="16"/>
      </w:numPr>
    </w:pPr>
  </w:style>
  <w:style w:type="paragraph" w:customStyle="1" w:styleId="Point1letter">
    <w:name w:val="Point 1 (letter)"/>
    <w:basedOn w:val="Normal"/>
    <w:pPr>
      <w:numPr>
        <w:ilvl w:val="3"/>
        <w:numId w:val="16"/>
      </w:numPr>
    </w:pPr>
  </w:style>
  <w:style w:type="paragraph" w:customStyle="1" w:styleId="Point2letter">
    <w:name w:val="Point 2 (letter)"/>
    <w:basedOn w:val="Normal"/>
    <w:pPr>
      <w:numPr>
        <w:ilvl w:val="5"/>
        <w:numId w:val="16"/>
      </w:numPr>
    </w:pPr>
  </w:style>
  <w:style w:type="paragraph" w:customStyle="1" w:styleId="Point3letter">
    <w:name w:val="Point 3 (letter)"/>
    <w:basedOn w:val="Normal"/>
    <w:pPr>
      <w:numPr>
        <w:ilvl w:val="7"/>
        <w:numId w:val="16"/>
      </w:numPr>
    </w:pPr>
  </w:style>
  <w:style w:type="paragraph" w:customStyle="1" w:styleId="Point4letter">
    <w:name w:val="Point 4 (letter)"/>
    <w:basedOn w:val="Normal"/>
    <w:pPr>
      <w:numPr>
        <w:ilvl w:val="8"/>
        <w:numId w:val="16"/>
      </w:numPr>
    </w:pPr>
  </w:style>
  <w:style w:type="paragraph" w:customStyle="1" w:styleId="Bullet0">
    <w:name w:val="Bullet 0"/>
    <w:basedOn w:val="Normal"/>
    <w:pPr>
      <w:numPr>
        <w:numId w:val="17"/>
      </w:numPr>
    </w:pPr>
  </w:style>
  <w:style w:type="paragraph" w:customStyle="1" w:styleId="Bullet1">
    <w:name w:val="Bullet 1"/>
    <w:basedOn w:val="Normal"/>
    <w:pPr>
      <w:numPr>
        <w:numId w:val="18"/>
      </w:numPr>
    </w:pPr>
  </w:style>
  <w:style w:type="paragraph" w:customStyle="1" w:styleId="Bullet2">
    <w:name w:val="Bullet 2"/>
    <w:basedOn w:val="Normal"/>
    <w:pPr>
      <w:numPr>
        <w:numId w:val="19"/>
      </w:numPr>
    </w:pPr>
  </w:style>
  <w:style w:type="paragraph" w:customStyle="1" w:styleId="Bullet3">
    <w:name w:val="Bullet 3"/>
    <w:basedOn w:val="Normal"/>
    <w:pPr>
      <w:numPr>
        <w:numId w:val="20"/>
      </w:numPr>
    </w:pPr>
  </w:style>
  <w:style w:type="paragraph" w:customStyle="1" w:styleId="Bullet4">
    <w:name w:val="Bullet 4"/>
    <w:basedOn w:val="Normal"/>
    <w:pPr>
      <w:numPr>
        <w:numId w:val="21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2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0E0F19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0E0F19"/>
    <w:rPr>
      <w:rFonts w:ascii="Times New Roman" w:hAnsi="Times New Roman" w:cs="Times New Roman"/>
      <w:sz w:val="24"/>
      <w:lang w:val="sl-SI"/>
    </w:rPr>
  </w:style>
  <w:style w:type="paragraph" w:customStyle="1" w:styleId="Lignefinal">
    <w:name w:val="Ligne final"/>
    <w:basedOn w:val="Normal"/>
    <w:next w:val="Normal"/>
    <w:rsid w:val="000E0F19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</w:rPr>
  </w:style>
  <w:style w:type="paragraph" w:customStyle="1" w:styleId="EntText">
    <w:name w:val="EntText"/>
    <w:basedOn w:val="Normal"/>
    <w:rsid w:val="000E0F19"/>
    <w:pPr>
      <w:spacing w:line="360" w:lineRule="auto"/>
      <w:jc w:val="left"/>
    </w:pPr>
  </w:style>
  <w:style w:type="paragraph" w:customStyle="1" w:styleId="pj">
    <w:name w:val="p.j."/>
    <w:basedOn w:val="Normal"/>
    <w:link w:val="pjChar"/>
    <w:rsid w:val="000E0F19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0E0F19"/>
    <w:rPr>
      <w:rFonts w:ascii="Times New Roman" w:hAnsi="Times New Roman" w:cs="Times New Roman"/>
      <w:sz w:val="24"/>
      <w:lang w:val="sl-SI"/>
    </w:rPr>
  </w:style>
  <w:style w:type="paragraph" w:customStyle="1" w:styleId="nbbordered">
    <w:name w:val="nb bordered"/>
    <w:basedOn w:val="Normal"/>
    <w:link w:val="nbborderedChar"/>
    <w:rsid w:val="000E0F1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spacing w:after="160"/>
      <w:ind w:left="480" w:hanging="480"/>
    </w:pPr>
    <w:rPr>
      <w:b/>
    </w:rPr>
  </w:style>
  <w:style w:type="character" w:customStyle="1" w:styleId="nbborderedChar">
    <w:name w:val="nb bordered Char"/>
    <w:basedOn w:val="TechnicalBlockChar"/>
    <w:link w:val="nbbordered"/>
    <w:rsid w:val="000E0F19"/>
    <w:rPr>
      <w:rFonts w:ascii="Times New Roman" w:hAnsi="Times New Roman" w:cs="Times New Roman"/>
      <w:b/>
      <w:sz w:val="24"/>
      <w:lang w:val="sl-SI"/>
    </w:rPr>
  </w:style>
  <w:style w:type="paragraph" w:customStyle="1" w:styleId="HeaderCouncil">
    <w:name w:val="Header Council"/>
    <w:basedOn w:val="Normal"/>
    <w:link w:val="HeaderCouncilChar"/>
    <w:rsid w:val="000E0F19"/>
    <w:pPr>
      <w:spacing w:before="0" w:after="0"/>
    </w:pPr>
    <w:rPr>
      <w:sz w:val="2"/>
    </w:rPr>
  </w:style>
  <w:style w:type="character" w:customStyle="1" w:styleId="HeaderCouncilChar">
    <w:name w:val="Header Council Char"/>
    <w:basedOn w:val="DefaultParagraphFont"/>
    <w:link w:val="HeaderCouncil"/>
    <w:rsid w:val="000E0F19"/>
    <w:rPr>
      <w:rFonts w:ascii="Times New Roman" w:hAnsi="Times New Roman" w:cs="Times New Roman"/>
      <w:sz w:val="2"/>
      <w:lang w:val="sl-SI"/>
    </w:rPr>
  </w:style>
  <w:style w:type="paragraph" w:customStyle="1" w:styleId="HeaderCouncilLarge">
    <w:name w:val="Header Council Large"/>
    <w:basedOn w:val="Normal"/>
    <w:link w:val="HeaderCouncilLargeChar"/>
    <w:rsid w:val="000E0F19"/>
    <w:pPr>
      <w:spacing w:before="0" w:after="440"/>
    </w:pPr>
    <w:rPr>
      <w:sz w:val="2"/>
    </w:rPr>
  </w:style>
  <w:style w:type="character" w:customStyle="1" w:styleId="HeaderCouncilLargeChar">
    <w:name w:val="Header Council Large Char"/>
    <w:basedOn w:val="DefaultParagraphFont"/>
    <w:link w:val="HeaderCouncilLarge"/>
    <w:rsid w:val="000E0F19"/>
    <w:rPr>
      <w:rFonts w:ascii="Times New Roman" w:hAnsi="Times New Roman" w:cs="Times New Roman"/>
      <w:sz w:val="2"/>
      <w:lang w:val="sl-SI"/>
    </w:rPr>
  </w:style>
  <w:style w:type="paragraph" w:customStyle="1" w:styleId="FooterCouncil">
    <w:name w:val="Footer Council"/>
    <w:basedOn w:val="Normal"/>
    <w:link w:val="FooterCouncilChar"/>
    <w:rsid w:val="000E0F19"/>
    <w:pPr>
      <w:spacing w:before="0" w:after="0"/>
    </w:pPr>
    <w:rPr>
      <w:sz w:val="2"/>
    </w:rPr>
  </w:style>
  <w:style w:type="character" w:customStyle="1" w:styleId="FooterCouncilChar">
    <w:name w:val="Footer Council Char"/>
    <w:basedOn w:val="DefaultParagraphFont"/>
    <w:link w:val="FooterCouncil"/>
    <w:rsid w:val="000E0F19"/>
    <w:rPr>
      <w:rFonts w:ascii="Times New Roman" w:hAnsi="Times New Roman" w:cs="Times New Roman"/>
      <w:sz w:val="2"/>
      <w:lang w:val="sl-SI"/>
    </w:rPr>
  </w:style>
  <w:style w:type="paragraph" w:customStyle="1" w:styleId="FooterText">
    <w:name w:val="Footer Text"/>
    <w:basedOn w:val="Normal"/>
    <w:rsid w:val="000E0F19"/>
    <w:pPr>
      <w:spacing w:before="0" w:after="0"/>
      <w:jc w:val="left"/>
    </w:pPr>
    <w:rPr>
      <w:rFonts w:eastAsia="Times New Roman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E0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518B-BB57-46D7-A72A-3A71DFAB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RAINERI Veronique (MARE)</dc:creator>
  <cp:keywords/>
  <dc:description/>
  <cp:lastModifiedBy>KOZELNIK Alenka</cp:lastModifiedBy>
  <cp:revision>3</cp:revision>
  <dcterms:created xsi:type="dcterms:W3CDTF">2020-10-23T07:06:00Z</dcterms:created>
  <dcterms:modified xsi:type="dcterms:W3CDTF">2020-10-23T07:06:00Z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7.0.8.0</vt:lpwstr>
  </property>
  <property fmtid="{D5CDD505-2E9C-101B-9397-08002B2CF9AE}" pid="4" name="Last edited using">
    <vt:lpwstr>DocuWrite 4.4.1, Build 20200729</vt:lpwstr>
  </property>
  <property fmtid="{D5CDD505-2E9C-101B-9397-08002B2CF9AE}" pid="5" name="Created using">
    <vt:lpwstr>DocuWrite 4.4.1, Build 20200729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Unique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evel of sensitivity">
    <vt:lpwstr>Standard treatment</vt:lpwstr>
  </property>
  <property fmtid="{D5CDD505-2E9C-101B-9397-08002B2CF9AE}" pid="12" name="LWTemplateID">
    <vt:lpwstr>SG-017</vt:lpwstr>
  </property>
  <property fmtid="{D5CDD505-2E9C-101B-9397-08002B2CF9AE}" pid="13" name="DQCStatus">
    <vt:lpwstr>Green (DQC version 03)</vt:lpwstr>
  </property>
</Properties>
</file>