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7A7" w:rsidRPr="00E158FA" w:rsidRDefault="00D427A7" w:rsidP="00D427A7">
      <w:pPr>
        <w:pStyle w:val="Naslovpredpisa"/>
        <w:spacing w:before="0" w:after="0" w:line="276" w:lineRule="auto"/>
        <w:jc w:val="both"/>
      </w:pPr>
    </w:p>
    <w:p w:rsidR="00D427A7" w:rsidRPr="00E158FA" w:rsidRDefault="00D427A7" w:rsidP="00D427A7">
      <w:pPr>
        <w:jc w:val="center"/>
        <w:rPr>
          <w:rFonts w:ascii="Arial" w:hAnsi="Arial" w:cs="Arial"/>
          <w:b/>
        </w:rPr>
      </w:pPr>
      <w:r w:rsidRPr="00E158FA">
        <w:rPr>
          <w:rFonts w:ascii="Arial" w:hAnsi="Arial" w:cs="Arial"/>
          <w:b/>
        </w:rPr>
        <w:t xml:space="preserve">Poročilo </w:t>
      </w:r>
      <w:r w:rsidRPr="00E158FA">
        <w:rPr>
          <w:rFonts w:ascii="Arial" w:hAnsi="Arial" w:cs="Arial"/>
          <w:b/>
        </w:rPr>
        <w:br/>
        <w:t>o delu Stalne medresorske koordinacijske skupine za spremljanje in usmerjanje implementacije ukrepov na področju vojaške mobilnosti za leto 2021</w:t>
      </w:r>
    </w:p>
    <w:p w:rsidR="00D427A7" w:rsidRPr="00E158FA" w:rsidRDefault="00D427A7" w:rsidP="00D427A7">
      <w:pPr>
        <w:keepNext/>
        <w:keepLines/>
        <w:spacing w:before="240" w:after="0"/>
        <w:jc w:val="both"/>
        <w:outlineLvl w:val="0"/>
        <w:rPr>
          <w:rFonts w:ascii="Arial" w:eastAsia="Times New Roman" w:hAnsi="Arial" w:cs="Arial"/>
          <w:b/>
        </w:rPr>
      </w:pPr>
      <w:r w:rsidRPr="00E158FA">
        <w:rPr>
          <w:rFonts w:ascii="Arial" w:eastAsia="Times New Roman" w:hAnsi="Arial" w:cs="Arial"/>
          <w:b/>
        </w:rPr>
        <w:t>1.  Uvod</w:t>
      </w:r>
    </w:p>
    <w:p w:rsidR="00D427A7" w:rsidRPr="00E158FA" w:rsidRDefault="00D427A7" w:rsidP="00D427A7">
      <w:pPr>
        <w:spacing w:after="160"/>
        <w:jc w:val="both"/>
        <w:rPr>
          <w:rFonts w:ascii="Arial" w:hAnsi="Arial" w:cs="Arial"/>
        </w:rPr>
      </w:pPr>
      <w:r w:rsidRPr="00E158FA">
        <w:rPr>
          <w:rFonts w:ascii="Arial" w:hAnsi="Arial" w:cs="Arial"/>
        </w:rPr>
        <w:t>Področje vojaške mobilnosti pridobiva vse večji pomen tako v EU (v nadaljevanju EU), kot v Natu. V zadnjih mesecih je prišlo do realizacije in uskladitve več dogovorov, ki bodo olajšali vojaško mobilnost. Kljub Covid-19 situaciji, je bilo na področju vojaške mobilnosti v letu 2021 precej aktivnosti, kar je mogoče videti v napredku tako na normativnem kot na infrastrukturnem področju.</w:t>
      </w:r>
    </w:p>
    <w:p w:rsidR="00D427A7" w:rsidRPr="00E158FA" w:rsidRDefault="00D427A7" w:rsidP="00D427A7">
      <w:pPr>
        <w:spacing w:after="160"/>
        <w:jc w:val="both"/>
        <w:rPr>
          <w:rFonts w:ascii="Arial" w:hAnsi="Arial" w:cs="Arial"/>
        </w:rPr>
      </w:pPr>
      <w:r w:rsidRPr="00E158FA">
        <w:rPr>
          <w:rFonts w:ascii="Arial" w:hAnsi="Arial" w:cs="Arial"/>
        </w:rPr>
        <w:t>Osma seja Stalne medresorske koordinacijske skupine za spremljanje in usmerjanje implementacije ukrepov na področju vojaške mobilnosti (v nadaljevanju: medresorska skupina), ki je bila sklicana maja 2021, je bila namenjena predstavitvi novega vodje medresorske skupine in novih članov, seznanitvi s presekom dela stanja na področju spremljanja in usmerjanja implementacije ukrepov na področju vojaške mobilnost, ter sprejetje načrtov dela medresorske skupine za v prihodnje. Deveta seja medresorske skupine je bila sklicana 29. 11. 2021. Medresorska skupina je na seji pregledala predlog</w:t>
      </w:r>
      <w:r w:rsidRPr="00E158FA">
        <w:rPr>
          <w:rFonts w:ascii="Arial" w:hAnsi="Arial" w:cs="Arial"/>
          <w:color w:val="C00000"/>
        </w:rPr>
        <w:t xml:space="preserve"> </w:t>
      </w:r>
      <w:r w:rsidRPr="00E158FA">
        <w:rPr>
          <w:rFonts w:ascii="Arial" w:hAnsi="Arial" w:cs="Arial"/>
        </w:rPr>
        <w:t>Načrt vojaške mobilnosti v Republiki Sloveniji (v nadaljevanju: načrt vojaške mobilnosti), ki so ga člani predhodno dopisno usklajevali. Na seji je bila tako sprejeta osnova za oblikovanje končne verzije načrta vojaške mobilnosti.</w:t>
      </w:r>
    </w:p>
    <w:p w:rsidR="00D427A7" w:rsidRPr="00E158FA" w:rsidRDefault="00D427A7" w:rsidP="00D427A7">
      <w:pPr>
        <w:keepNext/>
        <w:keepLines/>
        <w:spacing w:before="240" w:after="0"/>
        <w:jc w:val="both"/>
        <w:outlineLvl w:val="0"/>
        <w:rPr>
          <w:rFonts w:ascii="Arial" w:eastAsia="Times New Roman" w:hAnsi="Arial" w:cs="Arial"/>
          <w:b/>
        </w:rPr>
      </w:pPr>
      <w:r w:rsidRPr="00E158FA">
        <w:rPr>
          <w:rFonts w:ascii="Arial" w:eastAsia="Times New Roman" w:hAnsi="Arial" w:cs="Arial"/>
          <w:b/>
        </w:rPr>
        <w:t>2. Kadrovske spremembe v medresorski skupini</w:t>
      </w:r>
    </w:p>
    <w:p w:rsidR="00D427A7" w:rsidRPr="00E158FA" w:rsidRDefault="00D427A7" w:rsidP="00D427A7">
      <w:pPr>
        <w:spacing w:after="160"/>
        <w:jc w:val="both"/>
        <w:rPr>
          <w:rFonts w:ascii="Arial" w:hAnsi="Arial" w:cs="Arial"/>
          <w:strike/>
        </w:rPr>
      </w:pPr>
      <w:r w:rsidRPr="00E158FA">
        <w:rPr>
          <w:rFonts w:ascii="Arial" w:hAnsi="Arial" w:cs="Arial"/>
        </w:rPr>
        <w:t>Vlada Republike Slovenije je ustanovila medresorsko skupino (sklepi Vlade RS, št. 02401-22/2018/5 z dne 22. 11. 2018, 02401-22/2018/9 z dne 7. 11. 2019 in 02401-11/2020/4 z dne 24. 6. 2020). Zaradi kadrovskih sprememb na položaju generalnega direktorja Direktorata za obrambne zadeve (v nadaljevanju: DOZ) na Ministrstvu za obrambo (v nadaljevanju: MO), ki vodi delovno skupino, in spremembe namestnika člana z Ministrstva za infrastrukturo (v nadaljevanju: MZI), je Vlada Republike Slovenije s sklepom, št. 02401-11/2020/8, z dne 28. 4. 2021, sprejela Spremembo sklepa o ustanovitvi Stalne medresorske koordinacijske skupine za spremljanje in usmerjanje implementacije ukrepov na področju vojaške mobilnosti.</w:t>
      </w:r>
    </w:p>
    <w:p w:rsidR="00D427A7" w:rsidRPr="00E158FA" w:rsidRDefault="00D427A7" w:rsidP="00D427A7">
      <w:pPr>
        <w:keepNext/>
        <w:keepLines/>
        <w:spacing w:before="240" w:after="0"/>
        <w:jc w:val="both"/>
        <w:outlineLvl w:val="0"/>
        <w:rPr>
          <w:rFonts w:ascii="Arial" w:eastAsia="Times New Roman" w:hAnsi="Arial" w:cs="Arial"/>
          <w:b/>
        </w:rPr>
      </w:pPr>
      <w:r w:rsidRPr="00E158FA">
        <w:rPr>
          <w:rFonts w:ascii="Arial" w:eastAsia="Times New Roman" w:hAnsi="Arial" w:cs="Arial"/>
          <w:b/>
        </w:rPr>
        <w:t>3. Aktivnosti na področju vojaške mobilnosti</w:t>
      </w:r>
    </w:p>
    <w:p w:rsidR="00D427A7" w:rsidRPr="00E158FA" w:rsidRDefault="00D427A7" w:rsidP="00D427A7">
      <w:pPr>
        <w:spacing w:after="160"/>
        <w:jc w:val="both"/>
        <w:rPr>
          <w:rFonts w:ascii="Arial" w:hAnsi="Arial" w:cs="Arial"/>
        </w:rPr>
      </w:pPr>
      <w:r w:rsidRPr="00E158FA">
        <w:rPr>
          <w:rFonts w:ascii="Arial" w:hAnsi="Arial" w:cs="Arial"/>
        </w:rPr>
        <w:t>Poročilo zajema tudi pregled drugih aktivnosti s področja vojaške mobilnosti na ravni EU, ki vplivajo na delo medresorske skupine.</w:t>
      </w:r>
    </w:p>
    <w:p w:rsidR="00D427A7" w:rsidRPr="00E158FA" w:rsidRDefault="00D427A7" w:rsidP="00D427A7">
      <w:pPr>
        <w:numPr>
          <w:ilvl w:val="0"/>
          <w:numId w:val="4"/>
        </w:numPr>
        <w:spacing w:after="160"/>
        <w:contextualSpacing/>
        <w:jc w:val="both"/>
        <w:rPr>
          <w:rFonts w:ascii="Arial" w:hAnsi="Arial" w:cs="Arial"/>
          <w:b/>
        </w:rPr>
      </w:pPr>
      <w:r w:rsidRPr="00E158FA">
        <w:rPr>
          <w:rFonts w:ascii="Arial" w:hAnsi="Arial" w:cs="Arial"/>
          <w:b/>
        </w:rPr>
        <w:t>Načrt vojaške mobilnosti Republike Slovenije</w:t>
      </w:r>
    </w:p>
    <w:p w:rsidR="00D427A7" w:rsidRPr="00E158FA" w:rsidRDefault="00D427A7" w:rsidP="00D427A7">
      <w:pPr>
        <w:spacing w:after="160"/>
        <w:jc w:val="both"/>
        <w:rPr>
          <w:rFonts w:ascii="Arial" w:hAnsi="Arial" w:cs="Arial"/>
        </w:rPr>
      </w:pPr>
      <w:r w:rsidRPr="00E158FA">
        <w:rPr>
          <w:rFonts w:ascii="Arial" w:hAnsi="Arial" w:cs="Arial"/>
        </w:rPr>
        <w:t xml:space="preserve">MO je pripravilo in dalo v usklajevanje članom medresorske skupine predlog načrta vojaške mobilnosti. V predlaganem načrtu vojaške mobilnosti so predstavljene dosedanje aktivnosti, temeljni cilji Republike Slovenije (v nadaljevanju: RS) in pot naprej. Načrt vojaške mobilnosti prav tako zajema seznam »zrelih« projektov, ki ga je medresorska skupina potrdila na svoji 7. seji, ter ga kasneje dopolnila z aktualnimi predlogi. Seznam zajema infrastrukturne projekte z dvojno rabo, ki so primerni za financiranje iz Instrumenta za povezovanje Evrope (angl. Connecting Europe Facility - CEF). Predlog načrta vojaške mobilnosti, ki ga je uskladila medresorska skupina, je priloga tega poročila. Ključni poudarki bodo prevedeni v angleški jezik in nato posredovani v Evropsko obrambno agencijo (v nadaljevanju EDA) in na Stalno strukturno sodelovanje EU (v nadaljevanju PESCO). Načrt vojaške mobilnosti je bil pripravljen </w:t>
      </w:r>
      <w:r w:rsidRPr="00E158FA">
        <w:rPr>
          <w:rFonts w:ascii="Arial" w:hAnsi="Arial" w:cs="Arial"/>
        </w:rPr>
        <w:lastRenderedPageBreak/>
        <w:t>in potrjen v medresorski  skupini in je s tem letnim poročilom posredovan Vladi RS v seznanitev.</w:t>
      </w:r>
    </w:p>
    <w:p w:rsidR="00D427A7" w:rsidRPr="00E158FA" w:rsidRDefault="00D427A7" w:rsidP="00D427A7">
      <w:pPr>
        <w:numPr>
          <w:ilvl w:val="0"/>
          <w:numId w:val="4"/>
        </w:numPr>
        <w:spacing w:after="160"/>
        <w:contextualSpacing/>
        <w:jc w:val="both"/>
        <w:rPr>
          <w:rFonts w:ascii="Arial" w:hAnsi="Arial" w:cs="Arial"/>
          <w:b/>
        </w:rPr>
      </w:pPr>
      <w:r w:rsidRPr="00E158FA">
        <w:rPr>
          <w:rFonts w:ascii="Arial" w:hAnsi="Arial" w:cs="Arial"/>
          <w:b/>
        </w:rPr>
        <w:t>Instrument za povezovanje Evrope</w:t>
      </w:r>
    </w:p>
    <w:p w:rsidR="00D427A7" w:rsidRPr="00E158FA" w:rsidRDefault="00D427A7" w:rsidP="00D427A7">
      <w:pPr>
        <w:spacing w:after="160"/>
        <w:jc w:val="both"/>
        <w:rPr>
          <w:rFonts w:ascii="Arial" w:hAnsi="Arial" w:cs="Arial"/>
        </w:rPr>
      </w:pPr>
      <w:r w:rsidRPr="00E158FA">
        <w:rPr>
          <w:rFonts w:ascii="Arial" w:hAnsi="Arial" w:cs="Arial"/>
        </w:rPr>
        <w:t>Evropska komisija je 16. 9. 2021 objavila razpis v okviru Instrumenta za povezovanje Evrope (v nadaljevanju: IPE). Od tega je za prilagoditev Vseevropskega prometnega omrežja (angl. Trans-European Transport Network, v nadaljevanju: TEN-T) dvojni civilno-vojaški uporabi za obdobje 2021-2027 namenjenih 1,5 milijarde evrov (v trenutni vrednosti 1,69 milijard evrov). Za letošnje leto je za področje vojaške mobilnosti namenjenih 330 milijonov evrov. Razpis financira tako študije kot same infrastrukturne projekte v višini 50 % vrednosti projekta. Rok za prijavo na razpis je 19. 1. 2022. Projekti bodo ocenjevani s strani Službe za mobilnost in promet (angl. DG MOVE) – civilni del, in Vojaškega odbora EU  (angl. EUMS) – vojaški del Glavna kriterija za ocenjevanje bosta:</w:t>
      </w:r>
    </w:p>
    <w:p w:rsidR="00D427A7" w:rsidRPr="00E158FA" w:rsidRDefault="00D427A7" w:rsidP="00D427A7">
      <w:pPr>
        <w:numPr>
          <w:ilvl w:val="0"/>
          <w:numId w:val="3"/>
        </w:numPr>
        <w:spacing w:after="160"/>
        <w:contextualSpacing/>
        <w:jc w:val="both"/>
        <w:rPr>
          <w:rFonts w:ascii="Arial" w:hAnsi="Arial" w:cs="Arial"/>
        </w:rPr>
      </w:pPr>
      <w:r w:rsidRPr="00E158FA">
        <w:rPr>
          <w:rFonts w:ascii="Arial" w:hAnsi="Arial" w:cs="Arial"/>
        </w:rPr>
        <w:t>V kolikšni meri predlagani projekt prispeva k okrepljeni strateški razporeditvi vojaških sil v EU za misije, operacije in rutinske dejavnosti?</w:t>
      </w:r>
    </w:p>
    <w:p w:rsidR="00D427A7" w:rsidRPr="00E158FA" w:rsidRDefault="00D427A7" w:rsidP="00D427A7">
      <w:pPr>
        <w:numPr>
          <w:ilvl w:val="0"/>
          <w:numId w:val="3"/>
        </w:numPr>
        <w:spacing w:after="160"/>
        <w:contextualSpacing/>
        <w:jc w:val="both"/>
        <w:rPr>
          <w:rFonts w:ascii="Arial" w:hAnsi="Arial" w:cs="Arial"/>
        </w:rPr>
      </w:pPr>
      <w:r w:rsidRPr="00E158FA">
        <w:rPr>
          <w:rFonts w:ascii="Arial" w:hAnsi="Arial" w:cs="Arial"/>
        </w:rPr>
        <w:t>V kolikšni meri projekt odpravlja ugotovljene vrzeli v infrastrukturnem omrežju države članice, vključno z ozkimi grli, ki trenutno spodkopavajo vojaška gibanja?</w:t>
      </w:r>
    </w:p>
    <w:p w:rsidR="00D427A7" w:rsidRPr="00E158FA" w:rsidRDefault="00D427A7" w:rsidP="00D427A7">
      <w:pPr>
        <w:spacing w:after="160"/>
        <w:jc w:val="both"/>
        <w:rPr>
          <w:rFonts w:ascii="Arial" w:hAnsi="Arial" w:cs="Arial"/>
        </w:rPr>
      </w:pPr>
      <w:r w:rsidRPr="00E158FA">
        <w:rPr>
          <w:rFonts w:ascii="Arial" w:hAnsi="Arial" w:cs="Arial"/>
        </w:rPr>
        <w:t>Prav tako je bil na temo razreševanja postopkovnih vprašanj glede izpolnjevanja obrazcev in potrjevanja vlog za IPE izveden sestanek predstavnikov MO in MZI. Vlagatelj projekta bo tako moral pridobiti »Letter of agreement«, ki ga bo na podlagi pregleda vloge pripravilo in podpisalo Ministrstvo za infrastrukturo, medtem ko bo »Military network map declaration« pripravilo in podpisalo MO.</w:t>
      </w:r>
    </w:p>
    <w:p w:rsidR="00D427A7" w:rsidRPr="00E158FA" w:rsidRDefault="00D427A7" w:rsidP="00D427A7">
      <w:pPr>
        <w:spacing w:after="160"/>
        <w:jc w:val="both"/>
        <w:rPr>
          <w:rFonts w:ascii="Arial" w:hAnsi="Arial" w:cs="Arial"/>
        </w:rPr>
      </w:pPr>
      <w:r w:rsidRPr="00E158FA">
        <w:rPr>
          <w:rFonts w:ascii="Arial" w:hAnsi="Arial" w:cs="Arial"/>
        </w:rPr>
        <w:t>Na razpis se lahko prijavijo vsi, ki so navedeni na t. i. seznamu »zrelih« projektov. V letu 2022 bosta na razpisu sodelovala Luka Koper d. d. in DARS d. d. s projektom ACCESS2KOPERPORT, ki zajema izgradnjo novega RO-RO priveza in ureditev avtocestnega priključka po Srminski vpadnici v pristanišče Koper. Ostali zreli projekti bodo lahko financirani v naslednjem letu ali pa iz drugih projektov.</w:t>
      </w:r>
    </w:p>
    <w:p w:rsidR="00D427A7" w:rsidRPr="00E158FA" w:rsidRDefault="00D427A7" w:rsidP="00D427A7">
      <w:pPr>
        <w:numPr>
          <w:ilvl w:val="0"/>
          <w:numId w:val="3"/>
        </w:numPr>
        <w:spacing w:after="160"/>
        <w:contextualSpacing/>
        <w:jc w:val="both"/>
        <w:rPr>
          <w:rFonts w:ascii="Arial" w:hAnsi="Arial" w:cs="Arial"/>
          <w:b/>
        </w:rPr>
      </w:pPr>
      <w:r w:rsidRPr="00E158FA">
        <w:rPr>
          <w:rFonts w:ascii="Arial" w:hAnsi="Arial" w:cs="Arial"/>
          <w:b/>
        </w:rPr>
        <w:t>Bilateralne konzultacije z Madžarsko</w:t>
      </w:r>
    </w:p>
    <w:p w:rsidR="00D427A7" w:rsidRPr="00E158FA" w:rsidRDefault="00D427A7" w:rsidP="00D427A7">
      <w:pPr>
        <w:spacing w:after="160"/>
        <w:jc w:val="both"/>
        <w:rPr>
          <w:rFonts w:ascii="Arial" w:hAnsi="Arial" w:cs="Arial"/>
        </w:rPr>
      </w:pPr>
      <w:r w:rsidRPr="00E158FA">
        <w:rPr>
          <w:rFonts w:ascii="Arial" w:hAnsi="Arial" w:cs="Arial"/>
        </w:rPr>
        <w:t>Bilateralne konzultacije z Madžarsko na področju vojaške mobilnosti so bile izvedene v novembru 2021 z namenom seznanitve glede projektov vojaške mobilnosti na skupnih TEN-T koridorjih, možnosti usklajenega nastopa in medsebojne podpore pri prijavljanju projektov za pridobitev EU sredstev za sofinanciranje dvonamenske infrastrukture.</w:t>
      </w:r>
    </w:p>
    <w:p w:rsidR="00D427A7" w:rsidRPr="00E158FA" w:rsidRDefault="00D427A7" w:rsidP="00D427A7">
      <w:pPr>
        <w:spacing w:after="160"/>
        <w:jc w:val="both"/>
        <w:rPr>
          <w:rFonts w:ascii="Arial" w:hAnsi="Arial" w:cs="Arial"/>
        </w:rPr>
      </w:pPr>
      <w:r w:rsidRPr="00E158FA">
        <w:rPr>
          <w:rFonts w:ascii="Arial" w:hAnsi="Arial" w:cs="Arial"/>
        </w:rPr>
        <w:t>Slovensko delegacijo so predstavljali člani medresorske skupine iz MO, MZZ in Ministrstva za zunanje zadeve.</w:t>
      </w:r>
    </w:p>
    <w:p w:rsidR="00D427A7" w:rsidRPr="00E158FA" w:rsidRDefault="00D427A7" w:rsidP="00D427A7">
      <w:pPr>
        <w:spacing w:after="160"/>
        <w:jc w:val="both"/>
        <w:rPr>
          <w:rFonts w:ascii="Arial" w:hAnsi="Arial" w:cs="Arial"/>
        </w:rPr>
      </w:pPr>
      <w:r w:rsidRPr="00E158FA">
        <w:rPr>
          <w:rFonts w:ascii="Arial" w:hAnsi="Arial" w:cs="Arial"/>
        </w:rPr>
        <w:t xml:space="preserve">Konzultacije so bile seznanitvene narave, z namenom, da bi lahko omogočili večje sodelovanje med državama na področju vojaške mobilnosti. RS je predstavila vlogo medresorske skupine, načrt vojaške mobilnosti do leta 2025 in željo, da se izboljša obstoječa infrastruktura, ki ne ustreza TEN-T kriterijem in kriterijem dvojne rabe. Madžarska stran je predstavila svoj pristop k vojaški mobilnosti in samemu oblikovanju t. i. </w:t>
      </w:r>
      <w:r w:rsidRPr="00E158FA">
        <w:rPr>
          <w:rFonts w:ascii="Arial" w:hAnsi="Arial" w:cs="Arial"/>
          <w:i/>
        </w:rPr>
        <w:t>masterplana</w:t>
      </w:r>
      <w:r w:rsidRPr="00E158FA">
        <w:rPr>
          <w:rFonts w:ascii="Arial" w:hAnsi="Arial" w:cs="Arial"/>
        </w:rPr>
        <w:t>, ki se bo fokusiral zgolj na železnice.</w:t>
      </w:r>
    </w:p>
    <w:p w:rsidR="00D427A7" w:rsidRPr="00E158FA" w:rsidRDefault="00D427A7" w:rsidP="00D427A7">
      <w:pPr>
        <w:spacing w:after="160"/>
        <w:jc w:val="both"/>
        <w:rPr>
          <w:rFonts w:ascii="Arial" w:hAnsi="Arial" w:cs="Arial"/>
        </w:rPr>
      </w:pPr>
      <w:r w:rsidRPr="00E158FA">
        <w:rPr>
          <w:rFonts w:ascii="Arial" w:hAnsi="Arial" w:cs="Arial"/>
        </w:rPr>
        <w:t>Obe delegaciji sta izrazili medsebojno podporo pri prijavi projektov in morebitno sodelovanje s podpisom pisma o nameri, kjer bi se državi zavezali k uresničitvi TEN-T kriterijev in kriterijev za dvojno rabo na relaciji Luka Koper – Budimpešta.</w:t>
      </w:r>
      <w:r w:rsidRPr="00E158FA">
        <w:rPr>
          <w:rFonts w:ascii="Arial" w:eastAsia="Times New Roman" w:hAnsi="Arial" w:cs="Arial"/>
        </w:rPr>
        <w:t xml:space="preserve"> </w:t>
      </w:r>
      <w:r w:rsidRPr="00E158FA">
        <w:rPr>
          <w:rFonts w:ascii="Arial" w:hAnsi="Arial" w:cs="Arial"/>
        </w:rPr>
        <w:t>Pri tem je bil predlagan tudi bolj splošen dogovor med državama, ki ne bi zajemal samo infrastrukture, ampak bi celovito zajemal tudi vojaško mobilnost, alternativna goriva, zeleno mobilnost in EU-Nato sodelovanje.</w:t>
      </w:r>
    </w:p>
    <w:p w:rsidR="00D427A7" w:rsidRPr="00E158FA" w:rsidRDefault="00D427A7" w:rsidP="00D427A7">
      <w:pPr>
        <w:spacing w:after="160"/>
        <w:jc w:val="both"/>
        <w:rPr>
          <w:rFonts w:ascii="Arial" w:hAnsi="Arial" w:cs="Arial"/>
          <w:color w:val="C00000"/>
        </w:rPr>
      </w:pPr>
      <w:r w:rsidRPr="00E158FA">
        <w:rPr>
          <w:rFonts w:ascii="Arial" w:hAnsi="Arial" w:cs="Arial"/>
        </w:rPr>
        <w:lastRenderedPageBreak/>
        <w:t>Konzultacije so zaključile krog posvetov (predhodno z Italijansko republiko in Republiko Avstrijo v letu 2019) na podlagi sklepov medresorske skupine o sodelovanju z posameznimi državami članicami EU, predvsem z državami, ki mejijo na RS</w:t>
      </w:r>
      <w:r w:rsidRPr="00E158FA">
        <w:rPr>
          <w:rFonts w:ascii="Arial" w:hAnsi="Arial" w:cs="Arial"/>
          <w:color w:val="C00000"/>
        </w:rPr>
        <w:t>.</w:t>
      </w:r>
      <w:r w:rsidRPr="00E158FA">
        <w:rPr>
          <w:rFonts w:ascii="Arial" w:hAnsi="Arial" w:cs="Arial"/>
        </w:rPr>
        <w:t xml:space="preserve"> Namen pogovorov je bil ugotoviti v kolikšni meri se pogledi na TEN-T koridorje, dvojno rabo infrastrukture in vojaško mobilnost nasploh ujemajo in v katerih točkah so različni.</w:t>
      </w:r>
    </w:p>
    <w:p w:rsidR="00D427A7" w:rsidRPr="00E158FA" w:rsidRDefault="00D427A7" w:rsidP="00D427A7">
      <w:pPr>
        <w:numPr>
          <w:ilvl w:val="0"/>
          <w:numId w:val="3"/>
        </w:numPr>
        <w:spacing w:after="160"/>
        <w:contextualSpacing/>
        <w:jc w:val="both"/>
        <w:rPr>
          <w:rFonts w:ascii="Arial" w:hAnsi="Arial" w:cs="Arial"/>
          <w:b/>
        </w:rPr>
      </w:pPr>
      <w:r w:rsidRPr="00E158FA">
        <w:rPr>
          <w:rFonts w:ascii="Arial" w:hAnsi="Arial" w:cs="Arial"/>
          <w:b/>
        </w:rPr>
        <w:t>DRM2EX21</w:t>
      </w:r>
    </w:p>
    <w:p w:rsidR="00D427A7" w:rsidRPr="00E158FA" w:rsidRDefault="00D427A7" w:rsidP="00D427A7">
      <w:pPr>
        <w:spacing w:after="160"/>
        <w:jc w:val="both"/>
        <w:rPr>
          <w:rFonts w:ascii="Arial" w:hAnsi="Arial" w:cs="Arial"/>
        </w:rPr>
      </w:pPr>
      <w:r w:rsidRPr="00E158FA">
        <w:rPr>
          <w:rFonts w:ascii="Arial" w:hAnsi="Arial" w:cs="Arial"/>
        </w:rPr>
        <w:t>V sklopu predsedovanja RS Svetu Evropske unije je Slovenska vojska organizirala mednarodno vojaško vajo DRM2EX21 na temo ukrepanja ob naravnih in drugih nesrečah, ter mobilnosti.</w:t>
      </w:r>
    </w:p>
    <w:p w:rsidR="00D427A7" w:rsidRPr="00E158FA" w:rsidRDefault="00D427A7" w:rsidP="00D427A7">
      <w:pPr>
        <w:spacing w:after="160"/>
        <w:jc w:val="both"/>
        <w:rPr>
          <w:rFonts w:ascii="Arial" w:hAnsi="Arial" w:cs="Arial"/>
        </w:rPr>
      </w:pPr>
      <w:r w:rsidRPr="00E158FA">
        <w:rPr>
          <w:rFonts w:ascii="Arial" w:hAnsi="Arial" w:cs="Arial"/>
        </w:rPr>
        <w:t>V delu vaje, ki se je nanašal na področje vojaške mobilnosti so poleg nacionalnih vojsk in MO, sodelovale tudi gospodarske družbe (DARS, Luka Koper, Intereuropa) in institucije (Inštitut Jožef Štefan). Na vaji sta sodelovala tudi Center za koordinacijo gibanja Evrope (angl. MCCE) in Vojaški odbor Evropske unije. Sodelujoči so izpostavili pomen izmenjave informacij in zmogljivosti, zmanjšanja časovnega okvira pridobivanja dovoljenj za premike, ter sodelovanja med državami. Izpostavljena je bila tudi potrebna civilno-vojaška interakcija na področju vojaške mobilnosti.</w:t>
      </w:r>
    </w:p>
    <w:p w:rsidR="00D427A7" w:rsidRPr="00E158FA" w:rsidRDefault="00D427A7" w:rsidP="00D427A7">
      <w:pPr>
        <w:spacing w:after="160"/>
        <w:jc w:val="both"/>
        <w:rPr>
          <w:rFonts w:ascii="Arial" w:hAnsi="Arial" w:cs="Arial"/>
          <w:i/>
        </w:rPr>
      </w:pPr>
      <w:r w:rsidRPr="00E158FA">
        <w:rPr>
          <w:rFonts w:ascii="Arial" w:hAnsi="Arial" w:cs="Arial"/>
        </w:rPr>
        <w:t xml:space="preserve">Skupina za vojaško mobilnost je preko diskusije z eksperti in izvedbe miselne vaje </w:t>
      </w:r>
      <w:r w:rsidRPr="00E158FA">
        <w:rPr>
          <w:rFonts w:ascii="Arial" w:hAnsi="Arial" w:cs="Arial"/>
          <w:i/>
        </w:rPr>
        <w:t xml:space="preserve">(table-top exercise) </w:t>
      </w:r>
      <w:r w:rsidRPr="00E158FA">
        <w:rPr>
          <w:rFonts w:ascii="Arial" w:hAnsi="Arial" w:cs="Arial"/>
        </w:rPr>
        <w:t>prišla do 15 glavnih zaključkov:</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Oblikovati spletno stran za nacionalne centre za koordinacijo premikov (NMCC) – vsebovati mora kontakte NMCC, nacionalne regulacije in omejitve, ter obrazce, ki morajo biti predloženi pri premikih;</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Omogočiti večji mandat NMCC na nacionalnih ozemljih;</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Na EU/Nato nivoju definirati, kako koordinirati ali zmanjšati konfliktne premike v izvedbeni fazi, ko NMCC ne more več koordinirati, ker nima več pristojnosti;</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Unificirati, standardizirati in digitalizirati obrazce;</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Na EU nivoju vzpostaviti varen način za izmenjavo informacij;</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Za nezahtevne, enostavne premike (tudi s potniki) z vojaškimi vozili dovoljenja ne bi bila potrebna, dovolj bi bila notifikacija;</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Države bi morale zmanjšati časovni okvir, ki ga potrebujejo za izdajanje dovoljenj (vključno za diplomatskimi dovoljenji) za vse načine transporta pri vstopu ali prehajanju države;</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Države članice EU/zaveznice zveze Nato bi morale dovoliti partnerskim državam uporabo obstoječih rešitev za vojaško mobilnost;</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Razširiti uporabo Natov LOGFAS (Logistics Functional Area Services) na EU raven in najti rešitev, kako to razširiti na vse nečlanice EU;</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Izvesti usposabljanja glede uporabe LOGFAS;</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Izvesti letne konference za NMCC poveljnike ali podobne entitete (EU, Nato, partnerske države);</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Na nacionalni in mednarodni ravni razširiti razumevanje vojaške mobilnosti</w:t>
      </w:r>
      <w:r w:rsidRPr="00E158FA">
        <w:rPr>
          <w:rFonts w:ascii="Arial" w:hAnsi="Arial" w:cs="Arial"/>
          <w:color w:val="C00000"/>
        </w:rPr>
        <w:t xml:space="preserve"> </w:t>
      </w:r>
      <w:r w:rsidRPr="00E158FA">
        <w:rPr>
          <w:rFonts w:ascii="Arial" w:hAnsi="Arial" w:cs="Arial"/>
        </w:rPr>
        <w:t>in celovitosti medresorskega pristopa;</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Izogibati se podvajanju rešitev ali združiti podobne rešitve;</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Za prihodnje vaje je potrebno načrtovati bolj realen scenarij z dogajanjem v mednarodnem okolju. Rešitve se predlagajo za standardiziranje operativnih postopkov;</w:t>
      </w:r>
    </w:p>
    <w:p w:rsidR="00D427A7" w:rsidRPr="00E158FA" w:rsidRDefault="00D427A7" w:rsidP="00D427A7">
      <w:pPr>
        <w:numPr>
          <w:ilvl w:val="0"/>
          <w:numId w:val="5"/>
        </w:numPr>
        <w:spacing w:after="0"/>
        <w:ind w:left="714" w:hanging="357"/>
        <w:jc w:val="both"/>
        <w:rPr>
          <w:rFonts w:ascii="Arial" w:hAnsi="Arial" w:cs="Arial"/>
        </w:rPr>
      </w:pPr>
      <w:r w:rsidRPr="00E158FA">
        <w:rPr>
          <w:rFonts w:ascii="Arial" w:hAnsi="Arial" w:cs="Arial"/>
        </w:rPr>
        <w:t>Povezljivost in sodelovanje s civilnimi akterji/organizacijami je ključna pri izvajanju vojaških premikov. Njihovo znanje in izkušnje so povečale kvaliteto vaje.</w:t>
      </w:r>
    </w:p>
    <w:p w:rsidR="00D427A7" w:rsidRPr="00E158FA" w:rsidRDefault="00D427A7" w:rsidP="00D427A7">
      <w:pPr>
        <w:spacing w:after="160"/>
        <w:jc w:val="both"/>
        <w:rPr>
          <w:rFonts w:ascii="Arial" w:hAnsi="Arial" w:cs="Arial"/>
        </w:rPr>
      </w:pPr>
      <w:r w:rsidRPr="00E158FA">
        <w:rPr>
          <w:rFonts w:ascii="Arial" w:hAnsi="Arial" w:cs="Arial"/>
        </w:rPr>
        <w:lastRenderedPageBreak/>
        <w:t>Zaključki vaje so bili posredovani na Vojaški odbor Evropske unije. Na vaji je Inštitut Jožef Štefan predstavil tudi prototip interaktivnega zemljevida v realnem času, ki omogoča vnos incidentov in s pomočjo umetne inteligence ponuja alternativne rešitve</w:t>
      </w:r>
      <w:r w:rsidRPr="00E158FA">
        <w:rPr>
          <w:rFonts w:ascii="Arial" w:hAnsi="Arial" w:cs="Arial"/>
          <w:color w:val="C00000"/>
        </w:rPr>
        <w:t xml:space="preserve"> </w:t>
      </w:r>
      <w:r w:rsidRPr="00E158FA">
        <w:rPr>
          <w:rFonts w:ascii="Arial" w:hAnsi="Arial" w:cs="Arial"/>
        </w:rPr>
        <w:t>načrtovanja nadaljnjih postopkov (na podlagi nosilnosti, širine in drugih parametrov infrastrukture).</w:t>
      </w:r>
    </w:p>
    <w:p w:rsidR="00D427A7" w:rsidRPr="00E158FA" w:rsidRDefault="00D427A7" w:rsidP="00D427A7">
      <w:pPr>
        <w:spacing w:after="160"/>
        <w:jc w:val="both"/>
        <w:rPr>
          <w:rFonts w:ascii="Arial" w:hAnsi="Arial" w:cs="Arial"/>
        </w:rPr>
      </w:pPr>
      <w:r w:rsidRPr="00E158FA">
        <w:rPr>
          <w:rFonts w:ascii="Arial" w:hAnsi="Arial" w:cs="Arial"/>
          <w:b/>
        </w:rPr>
        <w:t>e) Pregled aplikacij povezanih z vojaško mobilnostjo</w:t>
      </w:r>
    </w:p>
    <w:p w:rsidR="00D427A7" w:rsidRPr="00E158FA" w:rsidRDefault="00D427A7" w:rsidP="00D427A7">
      <w:pPr>
        <w:spacing w:after="160"/>
        <w:jc w:val="both"/>
        <w:rPr>
          <w:rFonts w:ascii="Arial" w:hAnsi="Arial" w:cs="Arial"/>
        </w:rPr>
      </w:pPr>
      <w:r w:rsidRPr="00E158FA">
        <w:rPr>
          <w:rFonts w:ascii="Arial" w:hAnsi="Arial" w:cs="Arial"/>
        </w:rPr>
        <w:t>EDA je pripravila pregled pobud za digitalizacijo na področju vojaške mobilnosti, da bi preverila, kakšno je dejansko stanje in preprečila podvajanje digitalnih rešitev. Tako je bilo ugotovljeno, da dve državi članici EU (Nemčija in Nizozemska) skupaj razvijata program za digitalizacijo načrtovanja čezmejnih premikov. Prav tako Norveška razvija svojo idejo za digitalizacijo na nacionalni ravni. Na ravni EU potekajo štiri pobude – dve pobudi v okviru Evropske komisije s strani DG TAXUD in DG DEFIS, vključene v delovni paket evropskega obrambnega sklada, in dve v okviru EDA.</w:t>
      </w:r>
    </w:p>
    <w:p w:rsidR="00D427A7" w:rsidRPr="00E158FA" w:rsidRDefault="00D427A7" w:rsidP="00D427A7">
      <w:pPr>
        <w:spacing w:after="160"/>
        <w:jc w:val="both"/>
        <w:rPr>
          <w:rFonts w:ascii="Arial" w:hAnsi="Arial" w:cs="Arial"/>
        </w:rPr>
      </w:pPr>
      <w:r w:rsidRPr="00E158FA">
        <w:rPr>
          <w:rFonts w:ascii="Arial" w:hAnsi="Arial" w:cs="Arial"/>
        </w:rPr>
        <w:t>V okviru Programskega dogovora med ministrstvi za obrambo in Evropsko obrambno agencijo o optimizaciji postopkov, povezanih z dovoljenji za čezmejne premike v Evropi (sklep Vlade RS, št. 51002-28/2019/3 z dne 9. 5. 2019, v nadaljevanju: programski dogovor) je potrebno zagotoviti usklajene postopke in način izmenjave podatkov, za pridobitev zahtevanih dovoljenj za čezmejne premike. Naslednji korak v tej smeri bi lahko bil razvoj informacijskega (kibernetsko odpornega) sistema za dejavnosti čezmejnih premikov, ki bi vključeval načrtovanje in usklajevanje za vsakodnevno poslovanje, vaje in misije. S tem bi se izognili podvajanju prizadevanj in pospešili celoten postopek. Preprečevanje morebitnega podvajanja prizadevanj je odvisno od možnosti uporabe že obstoječih delovnih sklopov in novih pobud pri razvoju novih programov ali orodij.</w:t>
      </w:r>
    </w:p>
    <w:p w:rsidR="00D427A7" w:rsidRPr="00E158FA" w:rsidRDefault="00D427A7" w:rsidP="00D427A7">
      <w:pPr>
        <w:spacing w:after="160"/>
        <w:jc w:val="both"/>
        <w:rPr>
          <w:rFonts w:ascii="Arial" w:hAnsi="Arial" w:cs="Arial"/>
        </w:rPr>
      </w:pPr>
      <w:r w:rsidRPr="00E158FA">
        <w:rPr>
          <w:rFonts w:ascii="Arial" w:hAnsi="Arial" w:cs="Arial"/>
        </w:rPr>
        <w:t>Na podlagi sklepa 9. seje se bo medresorska skupina v prihodnjem letu seznanila z izhodišči projektov digitalnih orodij, ki omogočajo povezljivost z Natovim LOGFAS-om. Nato poziva članice k čim večji in čim širši nacionalni uporabi LOGFAS-a, prav z namenom ne podvajanja nekaterih rešitev. Na podlagi seznanitev bo medresorska skupina preučila možnost uporabe enakega orodja tudi v RS.</w:t>
      </w:r>
    </w:p>
    <w:p w:rsidR="00D427A7" w:rsidRPr="00E158FA" w:rsidRDefault="00D427A7" w:rsidP="00D427A7">
      <w:pPr>
        <w:keepNext/>
        <w:keepLines/>
        <w:spacing w:before="240" w:after="0"/>
        <w:jc w:val="both"/>
        <w:outlineLvl w:val="0"/>
        <w:rPr>
          <w:rFonts w:ascii="Arial" w:eastAsia="Times New Roman" w:hAnsi="Arial" w:cs="Arial"/>
          <w:b/>
        </w:rPr>
      </w:pPr>
      <w:r w:rsidRPr="00E158FA">
        <w:rPr>
          <w:rFonts w:ascii="Arial" w:eastAsia="Times New Roman" w:hAnsi="Arial" w:cs="Arial"/>
          <w:b/>
        </w:rPr>
        <w:t>4. Napredek na normativnem področju vojaške mobilnosti</w:t>
      </w:r>
    </w:p>
    <w:p w:rsidR="00D427A7" w:rsidRPr="00E158FA" w:rsidRDefault="00D427A7" w:rsidP="00D427A7">
      <w:pPr>
        <w:spacing w:after="160"/>
        <w:jc w:val="both"/>
        <w:rPr>
          <w:rFonts w:ascii="Arial" w:hAnsi="Arial" w:cs="Arial"/>
        </w:rPr>
      </w:pPr>
      <w:r w:rsidRPr="00E158FA">
        <w:rPr>
          <w:rFonts w:ascii="Arial" w:hAnsi="Arial" w:cs="Arial"/>
        </w:rPr>
        <w:t>Medresorska skupina se je na 8. in 9. seji seznanila z aktivnostmi, ki so bile storjene na normativnem področju glede vojaške mobilnosti.</w:t>
      </w:r>
    </w:p>
    <w:p w:rsidR="00D427A7" w:rsidRPr="00E158FA" w:rsidRDefault="00D427A7" w:rsidP="00D427A7">
      <w:pPr>
        <w:numPr>
          <w:ilvl w:val="0"/>
          <w:numId w:val="1"/>
        </w:numPr>
        <w:spacing w:after="160"/>
        <w:contextualSpacing/>
        <w:jc w:val="both"/>
        <w:rPr>
          <w:rFonts w:ascii="Arial" w:hAnsi="Arial" w:cs="Arial"/>
          <w:b/>
        </w:rPr>
      </w:pPr>
      <w:r w:rsidRPr="00E158FA">
        <w:rPr>
          <w:rFonts w:ascii="Arial" w:hAnsi="Arial" w:cs="Arial"/>
          <w:b/>
        </w:rPr>
        <w:t>Optimizacija postopkov za izdajo dovoljenj za čezmejne premike v Evropi:</w:t>
      </w:r>
    </w:p>
    <w:p w:rsidR="00D427A7" w:rsidRPr="00E158FA" w:rsidRDefault="00D427A7" w:rsidP="00D427A7">
      <w:pPr>
        <w:spacing w:after="160"/>
        <w:contextualSpacing/>
        <w:jc w:val="both"/>
        <w:rPr>
          <w:rFonts w:ascii="Arial" w:hAnsi="Arial" w:cs="Arial"/>
        </w:rPr>
      </w:pPr>
      <w:r w:rsidRPr="00E158FA">
        <w:rPr>
          <w:rFonts w:ascii="Arial" w:hAnsi="Arial" w:cs="Arial"/>
        </w:rPr>
        <w:t>V okviru EDA sta bila pod okriljem podpisanega programskega dogovora</w:t>
      </w:r>
      <w:r w:rsidRPr="00E158FA">
        <w:rPr>
          <w:rFonts w:ascii="Arial" w:hAnsi="Arial" w:cs="Arial"/>
          <w:vertAlign w:val="superscript"/>
        </w:rPr>
        <w:footnoteReference w:id="1"/>
      </w:r>
      <w:r w:rsidRPr="00E158FA">
        <w:rPr>
          <w:rFonts w:ascii="Arial" w:hAnsi="Arial" w:cs="Arial"/>
        </w:rPr>
        <w:t>, pripravljena dva tehnična sporazuma za optimizacijo čezmejnih premikov vojaškega osebja in opreme po kopne: tehnični dogovor št. A. PRG.CAP672.S, sklenjenega v okviru programskega dogovora št. A.PRG.CAP672, med ministrstvi za obrambo in Evropsko obrambno agencijo o postopkih v zvezi z dovoljenjem za čezmejne premike za premike po površju v Evropi in tehnični dogovor št. A.PRG.CAP.672A, sklenjenega v okviru programskega dogovora št. A.PRG.CAP672, med ministrstvi za obrambo in Evropsko obrambno agencijo o postopkih v zvezi z dovoljenjem za čezmejne premike po zraku v Evropi.</w:t>
      </w:r>
    </w:p>
    <w:p w:rsidR="00D427A7" w:rsidRPr="00E158FA" w:rsidRDefault="00D427A7" w:rsidP="00D427A7">
      <w:pPr>
        <w:spacing w:after="160"/>
        <w:contextualSpacing/>
        <w:jc w:val="both"/>
        <w:rPr>
          <w:rFonts w:ascii="Arial" w:hAnsi="Arial" w:cs="Arial"/>
        </w:rPr>
      </w:pPr>
      <w:r w:rsidRPr="00E158FA">
        <w:rPr>
          <w:rFonts w:ascii="Arial" w:hAnsi="Arial" w:cs="Arial"/>
        </w:rPr>
        <w:lastRenderedPageBreak/>
        <w:t>Na 8. seji medresorske skupine so bili člani seznanjeni s ključnimi sporočili tehničnih sporazumov, in sicer, da:</w:t>
      </w:r>
    </w:p>
    <w:p w:rsidR="00D427A7" w:rsidRPr="00E158FA" w:rsidRDefault="00D427A7" w:rsidP="00D427A7">
      <w:pPr>
        <w:numPr>
          <w:ilvl w:val="0"/>
          <w:numId w:val="2"/>
        </w:numPr>
        <w:spacing w:after="160"/>
        <w:contextualSpacing/>
        <w:jc w:val="both"/>
        <w:rPr>
          <w:rFonts w:ascii="Arial" w:hAnsi="Arial" w:cs="Arial"/>
        </w:rPr>
      </w:pPr>
      <w:r w:rsidRPr="00E158FA">
        <w:rPr>
          <w:rFonts w:ascii="Arial" w:hAnsi="Arial" w:cs="Arial"/>
        </w:rPr>
        <w:t>sta zapisana v obliki smernic in priporočil za države podpisnice sporazuma;</w:t>
      </w:r>
    </w:p>
    <w:p w:rsidR="00D427A7" w:rsidRPr="00E158FA" w:rsidRDefault="00D427A7" w:rsidP="00D427A7">
      <w:pPr>
        <w:numPr>
          <w:ilvl w:val="0"/>
          <w:numId w:val="2"/>
        </w:numPr>
        <w:spacing w:after="160"/>
        <w:contextualSpacing/>
        <w:jc w:val="both"/>
        <w:rPr>
          <w:rFonts w:ascii="Arial" w:hAnsi="Arial" w:cs="Arial"/>
        </w:rPr>
      </w:pPr>
      <w:r w:rsidRPr="00E158FA">
        <w:rPr>
          <w:rFonts w:ascii="Arial" w:hAnsi="Arial" w:cs="Arial"/>
        </w:rPr>
        <w:t>ne posegata v suverenost in integriteto držav, ter ne omejujeta članic pri izdajanju letnih dovoljenj za izvajanje premikov;</w:t>
      </w:r>
    </w:p>
    <w:p w:rsidR="00D427A7" w:rsidRPr="00E158FA" w:rsidRDefault="00D427A7" w:rsidP="00D427A7">
      <w:pPr>
        <w:numPr>
          <w:ilvl w:val="0"/>
          <w:numId w:val="2"/>
        </w:numPr>
        <w:spacing w:after="160"/>
        <w:contextualSpacing/>
        <w:jc w:val="both"/>
        <w:rPr>
          <w:rFonts w:ascii="Arial" w:hAnsi="Arial" w:cs="Arial"/>
        </w:rPr>
      </w:pPr>
      <w:r w:rsidRPr="00E158FA">
        <w:rPr>
          <w:rFonts w:ascii="Arial" w:hAnsi="Arial" w:cs="Arial"/>
        </w:rPr>
        <w:t>upoštevata do sedaj sprejete mednarodne sporazume;</w:t>
      </w:r>
    </w:p>
    <w:p w:rsidR="00D427A7" w:rsidRPr="00E158FA" w:rsidRDefault="00D427A7" w:rsidP="00D427A7">
      <w:pPr>
        <w:numPr>
          <w:ilvl w:val="0"/>
          <w:numId w:val="2"/>
        </w:numPr>
        <w:spacing w:after="160"/>
        <w:contextualSpacing/>
        <w:jc w:val="both"/>
        <w:rPr>
          <w:rFonts w:ascii="Arial" w:hAnsi="Arial" w:cs="Arial"/>
        </w:rPr>
      </w:pPr>
      <w:r w:rsidRPr="00E158FA">
        <w:rPr>
          <w:rFonts w:ascii="Arial" w:hAnsi="Arial" w:cs="Arial"/>
        </w:rPr>
        <w:t>se države neodvisno odločajo o izdaji letnih dovoljenj z dvo-dnevno notifikacijo;</w:t>
      </w:r>
    </w:p>
    <w:p w:rsidR="00D427A7" w:rsidRPr="00E158FA" w:rsidRDefault="00D427A7" w:rsidP="00D427A7">
      <w:pPr>
        <w:numPr>
          <w:ilvl w:val="0"/>
          <w:numId w:val="2"/>
        </w:numPr>
        <w:spacing w:after="160"/>
        <w:contextualSpacing/>
        <w:jc w:val="both"/>
        <w:rPr>
          <w:rFonts w:ascii="Arial" w:hAnsi="Arial" w:cs="Arial"/>
        </w:rPr>
      </w:pPr>
      <w:r w:rsidRPr="00E158FA">
        <w:rPr>
          <w:rFonts w:ascii="Arial" w:hAnsi="Arial" w:cs="Arial"/>
        </w:rPr>
        <w:t>je končni cilj, da se zmanjšajo administrativne in časovne omejitve ter da se določijo nacionalne kontaktne točke (NPOC), ki sta v slovenskem primeru Združeni operativni center in Nacionalni center za krizno upravljanje.</w:t>
      </w:r>
    </w:p>
    <w:p w:rsidR="00D427A7" w:rsidRPr="00E158FA" w:rsidRDefault="00D427A7" w:rsidP="00D427A7">
      <w:pPr>
        <w:spacing w:after="160"/>
        <w:jc w:val="both"/>
        <w:rPr>
          <w:rFonts w:ascii="Arial" w:hAnsi="Arial" w:cs="Arial"/>
        </w:rPr>
      </w:pPr>
      <w:r w:rsidRPr="00E158FA">
        <w:rPr>
          <w:rFonts w:ascii="Arial" w:hAnsi="Arial" w:cs="Arial"/>
        </w:rPr>
        <w:t xml:space="preserve">RS je aktivno sodelovala pri pripravi in usklajevanju obeh sporazumov. Obe verziji besedila sta na voljo za podpis držav članic. Nekatere države so izrazile zadržke in niso podpisale obeh sporazumov. V RS je podpis načrtovan v začetku leta 2022. </w:t>
      </w:r>
    </w:p>
    <w:p w:rsidR="00D427A7" w:rsidRPr="00E158FA" w:rsidRDefault="00D427A7" w:rsidP="00D427A7">
      <w:pPr>
        <w:numPr>
          <w:ilvl w:val="0"/>
          <w:numId w:val="1"/>
        </w:numPr>
        <w:spacing w:after="160"/>
        <w:contextualSpacing/>
        <w:jc w:val="both"/>
        <w:rPr>
          <w:rFonts w:ascii="Arial" w:hAnsi="Arial" w:cs="Arial"/>
          <w:b/>
        </w:rPr>
      </w:pPr>
      <w:r w:rsidRPr="00E158FA">
        <w:rPr>
          <w:rFonts w:ascii="Arial" w:hAnsi="Arial" w:cs="Arial"/>
          <w:b/>
        </w:rPr>
        <w:t>Carina</w:t>
      </w:r>
    </w:p>
    <w:p w:rsidR="00D427A7" w:rsidRPr="00E158FA" w:rsidRDefault="00D427A7" w:rsidP="00D427A7">
      <w:pPr>
        <w:spacing w:after="160"/>
        <w:jc w:val="both"/>
        <w:rPr>
          <w:rFonts w:ascii="Arial" w:hAnsi="Arial" w:cs="Arial"/>
        </w:rPr>
      </w:pPr>
      <w:r w:rsidRPr="00E158FA">
        <w:rPr>
          <w:rFonts w:ascii="Arial" w:hAnsi="Arial" w:cs="Arial"/>
        </w:rPr>
        <w:t>V začetku leta 2021 je bil podpisan Programski dogovor št. A.PRG.CAP.671 o usklajevanju vojaških zahtev, povezanih s carino (carina) (sklep Vlade RS, št. 51002-41/2020/3 z dne 3. 12. 2020), ki bo razen ukrepov za racionalizacijo in poenostavitev carinskih formalnosti, vključno z informacijskimi rešitvami za čezmejne vojaške premike, imel za države članice tudi finančne posledice, zaradi razvoja ustrezne aplikacije, ki bo namenjena tako civilnim carinskim organom kot vojskam. Obrazec EU FORM 302 bo digitaliziran, kar bo olajšalo poslovanje in preglednost transporta tovora preko posamezne države. Članice podpisnice tega sporazuma so se strinjale, da se izvede digitalizacija carinskih postopkov namenjenih za vojaške potrebe. V ta namen bo najprej izdelana raziskava, da se natančno opredelijo potrebe po digitalizaciji. V skladu s tem je EDA, dne 23. 6. 2021 izdelala osnutek dokumenta »</w:t>
      </w:r>
      <w:r w:rsidRPr="00E158FA">
        <w:rPr>
          <w:rFonts w:ascii="Arial" w:hAnsi="Arial" w:cs="Arial"/>
          <w:lang w:val="en-GB"/>
        </w:rPr>
        <w:t xml:space="preserve">Assessment process for digitalised system capability to facilitate military customs related activities – Assessment of needs, gains and risks for the development of a Military Customs Systems (MCS)« </w:t>
      </w:r>
      <w:r w:rsidRPr="00E158FA">
        <w:rPr>
          <w:rFonts w:ascii="Arial" w:hAnsi="Arial" w:cs="Arial"/>
        </w:rPr>
        <w:t>in ga poslala državam članicam v pregled. Gre za prvi osnutek oz. prvi korak k digitalizaciji carinskih vojaških postopkov.</w:t>
      </w:r>
    </w:p>
    <w:p w:rsidR="00D427A7" w:rsidRPr="00E158FA" w:rsidRDefault="00D427A7" w:rsidP="00D427A7">
      <w:pPr>
        <w:spacing w:after="160"/>
        <w:jc w:val="both"/>
        <w:rPr>
          <w:rFonts w:ascii="Arial" w:hAnsi="Arial" w:cs="Arial"/>
        </w:rPr>
      </w:pPr>
      <w:r w:rsidRPr="00E158FA">
        <w:rPr>
          <w:rFonts w:ascii="Arial" w:hAnsi="Arial" w:cs="Arial"/>
        </w:rPr>
        <w:t>Prav tako je Evropska komisija (DG TAXUD) pripravila smernice glede carinskih postopkov v povezavi z vojaško mobilnostjo, ki bodo kot delovni pripomoček služile vsem uporabnikom.</w:t>
      </w:r>
    </w:p>
    <w:p w:rsidR="00D427A7" w:rsidRPr="00E158FA" w:rsidRDefault="00D427A7" w:rsidP="00D427A7">
      <w:pPr>
        <w:numPr>
          <w:ilvl w:val="0"/>
          <w:numId w:val="1"/>
        </w:numPr>
        <w:spacing w:after="160"/>
        <w:contextualSpacing/>
        <w:jc w:val="both"/>
        <w:rPr>
          <w:rFonts w:ascii="Arial" w:hAnsi="Arial" w:cs="Arial"/>
          <w:b/>
        </w:rPr>
      </w:pPr>
      <w:r w:rsidRPr="00E158FA">
        <w:rPr>
          <w:rFonts w:ascii="Arial" w:hAnsi="Arial" w:cs="Arial"/>
          <w:b/>
        </w:rPr>
        <w:t>Davek na dodano vrednost in trošarine</w:t>
      </w:r>
    </w:p>
    <w:p w:rsidR="00D427A7" w:rsidRPr="00E158FA" w:rsidRDefault="00D427A7" w:rsidP="00D427A7">
      <w:pPr>
        <w:spacing w:after="160"/>
        <w:contextualSpacing/>
        <w:jc w:val="both"/>
        <w:rPr>
          <w:rFonts w:ascii="Arial" w:hAnsi="Arial" w:cs="Arial"/>
        </w:rPr>
      </w:pPr>
      <w:r w:rsidRPr="00E158FA">
        <w:rPr>
          <w:rFonts w:ascii="Arial" w:hAnsi="Arial" w:cs="Arial"/>
        </w:rPr>
        <w:t>Pomemben napredek je narejen tudi na področju oprostitve plačila davka na dodano vrednost (v nadaljevanju DDV) in trošarin za države članice v času izvajanja vaj in drugih aktivnosti v okviru skupnih obrambnih prizadevanj EU. Tako je bila sprejeta Direktiva Sveta (EU) 2019/2235 o spremembi Direktive 2006/112/ES o skupnem sistemu davka na dodano vrednost in Direktive 2008/118/ES o splošnem režimu za trošarino v zvezi z obrambnimi prizadevanji v okviru Unije, ki omogoča enako obravnavo obrambnih prizadevanj v okviru Unije in v okviru Nata. Oprostitev velja za nabavo oboroženih sil v gostujočih državah članicah. V skladu s tem so potrebne zakonske spremembe. Ukrepi se bodo začeli uporabljati s 1. 7. 2022. Tako na področju trošarin kot tudi davka na dodano vrednost so bile z Zakonom o spremembah in dopolnitvah Zakona o trošarinah (Uradni list RS, št. 92/2021, z dne 8. 6. 2021; ZTro-1A) in Zakonom o spremembah in dopolnitvah Zakona o davku na dodano vrednost (Uradni list RS, št. 3/22, z dne 7. 1. 2022; ZDDV-1M) potrebne zakonske spremembe že realizirane.</w:t>
      </w:r>
    </w:p>
    <w:p w:rsidR="00D427A7" w:rsidRPr="00E158FA" w:rsidRDefault="00D427A7" w:rsidP="00D427A7">
      <w:pPr>
        <w:spacing w:after="160"/>
        <w:contextualSpacing/>
        <w:jc w:val="both"/>
        <w:rPr>
          <w:rFonts w:ascii="Arial" w:hAnsi="Arial" w:cs="Arial"/>
        </w:rPr>
      </w:pPr>
    </w:p>
    <w:p w:rsidR="00D427A7" w:rsidRPr="00E158FA" w:rsidRDefault="00D427A7" w:rsidP="00D427A7">
      <w:pPr>
        <w:numPr>
          <w:ilvl w:val="0"/>
          <w:numId w:val="1"/>
        </w:numPr>
        <w:spacing w:after="160"/>
        <w:contextualSpacing/>
        <w:jc w:val="both"/>
        <w:rPr>
          <w:rFonts w:ascii="Arial" w:hAnsi="Arial" w:cs="Arial"/>
          <w:b/>
        </w:rPr>
      </w:pPr>
      <w:r w:rsidRPr="00E158FA">
        <w:rPr>
          <w:rFonts w:ascii="Arial" w:hAnsi="Arial" w:cs="Arial"/>
          <w:b/>
        </w:rPr>
        <w:t>PESCO projekt Vojaška mobilnost</w:t>
      </w:r>
    </w:p>
    <w:p w:rsidR="00D427A7" w:rsidRPr="00E158FA" w:rsidRDefault="00D427A7" w:rsidP="00D427A7">
      <w:pPr>
        <w:spacing w:after="160"/>
        <w:jc w:val="both"/>
        <w:rPr>
          <w:rFonts w:ascii="Arial" w:hAnsi="Arial" w:cs="Arial"/>
        </w:rPr>
      </w:pPr>
      <w:r w:rsidRPr="00E158FA">
        <w:rPr>
          <w:rFonts w:ascii="Arial" w:hAnsi="Arial" w:cs="Arial"/>
        </w:rPr>
        <w:lastRenderedPageBreak/>
        <w:t>V sklopu PESCO projekta Vojaška mobilnost je v fazi podpisovanja Projektni dogovor med članicami projekta, ki se nanaša na projekt Vojaška mobilnost v okviru stalnega strukturnega sodelovanje EU (PESCO) (sklep Vlade RS, št. 51002-101/2021/3 z dne 13. 1. 2022), v nadaljevanju: projektni dogovor. S tem se vzpostavlja platforma za usklajevanje in usmerjanje dela na področju vojaške mobilnosti s ciljem izboljšanja vojaške mobilnosti v EU. Osrednja politična platforma združuje politično-strateško raven s strokovnjaki s področja vojaške mobilnosti. V skladu z nacionalnimi postopki se bo pospešilo postopke prehoda meja in izdaje dovoljenj za rutinske dejavnosti v 5 delovnih dneh, prav tako se bo pospešila in olajšala komunikacija.</w:t>
      </w:r>
    </w:p>
    <w:p w:rsidR="00D427A7" w:rsidRPr="00E158FA" w:rsidRDefault="00D427A7" w:rsidP="00D427A7">
      <w:pPr>
        <w:spacing w:after="160"/>
        <w:jc w:val="both"/>
        <w:rPr>
          <w:rFonts w:ascii="Arial" w:hAnsi="Arial" w:cs="Arial"/>
        </w:rPr>
      </w:pPr>
      <w:r w:rsidRPr="00E158FA">
        <w:rPr>
          <w:rFonts w:ascii="Arial" w:hAnsi="Arial" w:cs="Arial"/>
        </w:rPr>
        <w:t>Projektni dogovor bo omogočil vzpostavitev platforme, ki bo redno spremljala stanje na področju vojaške mobilnosti, identifikacijo vrzeli in njihovo odpravo.  Projektni dogovor bo omogočil bistven napredek in uresničitev sklepov Sveta EU. V projektnem dogovoru so določene vloge in dolžnosti sodelujočih držav, ter samo upravljanje projekta. Postopek podpisovanja  s strani držav članic se je začel decembra 2021. V RS se je Vlada RS seznanila z njegovim nameravanim podpisom.</w:t>
      </w:r>
    </w:p>
    <w:p w:rsidR="00D427A7" w:rsidRPr="00E158FA" w:rsidRDefault="00D427A7" w:rsidP="00D427A7">
      <w:pPr>
        <w:spacing w:after="160"/>
        <w:jc w:val="both"/>
        <w:rPr>
          <w:rFonts w:ascii="Arial" w:hAnsi="Arial" w:cs="Arial"/>
        </w:rPr>
      </w:pPr>
      <w:r w:rsidRPr="00E158FA">
        <w:rPr>
          <w:rFonts w:ascii="Arial" w:hAnsi="Arial" w:cs="Arial"/>
        </w:rPr>
        <w:t>Medresorska skupina se je na 8. seji seznanila z informacijo, da je 6. maja potekal simpozij na visoki ravni o vojaški mobilnosti, ki sta ga soorganizirala portugalsko predsedstvo Svetu EU in EDA. Na simpoziju je kot govorec sodeloval tudi minister za obrambo mag. Matej Tonin. Na tem simpoziju je bilo dogovorjeno, da se bodo k projektu vojaška mobilnost pridružile še Združene države Amerike, Norveška in Kanada. Za polno sodelovanje je potrebno z vsako od teh treh držav skleniti Upravne dogovore med članicami projekta in Združenimi državami Amerike, Kanado in Norveško, ki se nanašajo na projekt Vojaška mobilnost v okviru stalnega strukturnega sodelovanja (PESCO) (sklep Vlade RS, št. 51002-101/2021/3 z dne 13. 1. 2022), v nadaljevanju: upravni dogovori. Postopek podpisovanja  s strani držav članic se je začel decembra 2021. Upravni dogovori bodo podpisani skupaj s prej omenjenim projektnim dogovorom. Na 8. sestanku PESCO projektne skupine za vojaško mobilnost je bila informativno predstavljena tudi prošnja Turčije za pridobitev statusa »tretje države«. Pri tem je Turčija obvestila nizozemskega veleposlanika pri EU, da bo pripravila razširjeno pisno utemeljitev svoje prošnje. Nekaj članic projektne skupine je že na tem sestanku izrazilo dvome, da Turčija izpolnjuje splošna merila v skladu z odločitvijo Sveta (Council Decision (CFSP) 2020/1639, z dne 5. 11. 2020) za pridobitev tega statusa.</w:t>
      </w:r>
    </w:p>
    <w:p w:rsidR="00D427A7" w:rsidRPr="00E158FA" w:rsidRDefault="00D427A7" w:rsidP="00D427A7">
      <w:pPr>
        <w:spacing w:after="160"/>
        <w:jc w:val="both"/>
        <w:rPr>
          <w:rFonts w:ascii="Arial" w:hAnsi="Arial" w:cs="Arial"/>
        </w:rPr>
      </w:pPr>
      <w:r w:rsidRPr="00E158FA">
        <w:rPr>
          <w:rFonts w:ascii="Arial" w:hAnsi="Arial" w:cs="Arial"/>
        </w:rPr>
        <w:t>Na 9. sestanku PESCO projekta Vojaška mobilnost so bile Kanada, Norveška in ZDA sprejete kot članice projekta. Tako je to prvi PESCO projekt, ki ima za članice države zunaj meja EU. Na sestanku so bile države članice informirane, da je Evropska komisija, dne 14. 12. 2021 objavila predlog uredbe o revidiranju smernic za TEN-T omrežje (</w:t>
      </w:r>
      <w:r w:rsidRPr="00E158FA">
        <w:rPr>
          <w:rFonts w:ascii="Arial" w:hAnsi="Arial" w:cs="Arial"/>
          <w:lang w:val="en-GB"/>
        </w:rPr>
        <w:t>Proposal for a regulation of the European Parliament and of the Council on Union guidelines for the development of the trans-European transport network, amending Regulation (EU) 2021/1153 and Regulation (EU) No 913/2010 and repealing regulation (EU) 1315/2013; EK: 14. 12. 2021</w:t>
      </w:r>
      <w:r w:rsidRPr="00E158FA">
        <w:rPr>
          <w:rFonts w:ascii="Arial" w:hAnsi="Arial" w:cs="Arial"/>
        </w:rPr>
        <w:t>). Po sprejetju te direktive bodo morale članice postopno prilagoditi svojo infrastrukturo v skladu s sprejeto direktivo. Nizozemska je kot koordinatorka in vodja tega projekta seznanila države članice, da namerava vzpostaviti dve strokovni delovni skupini, ki bosta kot skrbnici izvajanja, postopkov delovali na dveh področjih za lažjo implementacijo:</w:t>
      </w:r>
    </w:p>
    <w:p w:rsidR="00D427A7" w:rsidRPr="00E158FA" w:rsidRDefault="00D427A7" w:rsidP="00D427A7">
      <w:pPr>
        <w:numPr>
          <w:ilvl w:val="0"/>
          <w:numId w:val="13"/>
        </w:numPr>
        <w:spacing w:after="160"/>
        <w:contextualSpacing/>
        <w:jc w:val="both"/>
        <w:rPr>
          <w:rFonts w:ascii="Arial" w:hAnsi="Arial" w:cs="Arial"/>
        </w:rPr>
      </w:pPr>
      <w:r w:rsidRPr="00E158FA">
        <w:rPr>
          <w:rFonts w:ascii="Arial" w:hAnsi="Arial" w:cs="Arial"/>
        </w:rPr>
        <w:t>Strokovna delovna skupina za vzpostavitev nacionalnega omrežja NPOC (kratkoročno).</w:t>
      </w:r>
    </w:p>
    <w:p w:rsidR="00D427A7" w:rsidRPr="00E158FA" w:rsidRDefault="00D427A7" w:rsidP="00D427A7">
      <w:pPr>
        <w:numPr>
          <w:ilvl w:val="0"/>
          <w:numId w:val="13"/>
        </w:numPr>
        <w:spacing w:after="160"/>
        <w:contextualSpacing/>
        <w:jc w:val="both"/>
        <w:rPr>
          <w:rFonts w:ascii="Arial" w:hAnsi="Arial" w:cs="Arial"/>
        </w:rPr>
      </w:pPr>
      <w:r w:rsidRPr="00E158FA">
        <w:rPr>
          <w:rFonts w:ascii="Arial" w:hAnsi="Arial" w:cs="Arial"/>
        </w:rPr>
        <w:lastRenderedPageBreak/>
        <w:t>Strokovna delovna skupina za operacionalizacijo ciljev iz dokumenta za razmislek, ki je bil napisan s strani Nizozemske v tesnem sodelovanju z Nemčijo in podprt s strani 16 držav članic in bil predstavljen Svetu EU 5. 5. 2021.</w:t>
      </w:r>
    </w:p>
    <w:p w:rsidR="00D427A7" w:rsidRPr="00E158FA" w:rsidRDefault="00D427A7" w:rsidP="00D427A7">
      <w:pPr>
        <w:spacing w:after="160"/>
        <w:jc w:val="both"/>
        <w:rPr>
          <w:rFonts w:ascii="Arial" w:hAnsi="Arial" w:cs="Arial"/>
        </w:rPr>
      </w:pPr>
      <w:r w:rsidRPr="00E158FA">
        <w:rPr>
          <w:rFonts w:ascii="Arial" w:hAnsi="Arial" w:cs="Arial"/>
        </w:rPr>
        <w:t>RS je izrazila interes, da bi sodelovala v skupini, ki se ukvarja z operacionalizacijo ciljev.</w:t>
      </w:r>
    </w:p>
    <w:p w:rsidR="00D427A7" w:rsidRPr="00E158FA" w:rsidRDefault="00D427A7" w:rsidP="00D427A7">
      <w:pPr>
        <w:numPr>
          <w:ilvl w:val="0"/>
          <w:numId w:val="1"/>
        </w:numPr>
        <w:spacing w:after="160"/>
        <w:contextualSpacing/>
        <w:jc w:val="both"/>
        <w:rPr>
          <w:rFonts w:ascii="Arial" w:hAnsi="Arial" w:cs="Arial"/>
          <w:b/>
        </w:rPr>
      </w:pPr>
      <w:r w:rsidRPr="00E158FA">
        <w:rPr>
          <w:rFonts w:ascii="Arial" w:hAnsi="Arial" w:cs="Arial"/>
        </w:rPr>
        <w:t xml:space="preserve"> </w:t>
      </w:r>
      <w:r w:rsidRPr="00E158FA">
        <w:rPr>
          <w:rFonts w:ascii="Arial" w:hAnsi="Arial" w:cs="Arial"/>
          <w:b/>
        </w:rPr>
        <w:t>PESCO projekt Mreža logističnih vozlišč v Evropi in podpora operacijam</w:t>
      </w:r>
    </w:p>
    <w:p w:rsidR="00D427A7" w:rsidRPr="00E158FA" w:rsidRDefault="00D427A7" w:rsidP="00D427A7">
      <w:pPr>
        <w:spacing w:after="160"/>
        <w:jc w:val="both"/>
        <w:rPr>
          <w:rFonts w:ascii="Arial" w:hAnsi="Arial" w:cs="Arial"/>
        </w:rPr>
      </w:pPr>
      <w:r w:rsidRPr="00E158FA">
        <w:rPr>
          <w:rFonts w:ascii="Arial" w:hAnsi="Arial" w:cs="Arial"/>
        </w:rPr>
        <w:t>RS aktivno sodeluje v EU PESCO projektu Mreža logističnih vozlišč v Evropi in podpora operacijam (angl. Network of logisticts hubs and support to operations). Cilj je vzpostaviti večnacionalno omrežje, ki bo temeljilo na obstoječi logistični vojaški infrastrukturi, kjer bo mogoče pripraviti vojaško opremo za transport na območja delovanja, izvajati pretovore, uporabiti skladiščne prostore tako za splošni tovor kot tudi za nevarno blago, izvajati procese uskladitve premikov in transporta, ter začasne kratke namestitve vojaških oseb.</w:t>
      </w:r>
    </w:p>
    <w:p w:rsidR="00D427A7" w:rsidRPr="00E158FA" w:rsidRDefault="00D427A7" w:rsidP="00D427A7">
      <w:pPr>
        <w:autoSpaceDE w:val="0"/>
        <w:autoSpaceDN w:val="0"/>
        <w:adjustRightInd w:val="0"/>
        <w:spacing w:after="160"/>
        <w:jc w:val="both"/>
        <w:rPr>
          <w:rFonts w:ascii="Arial" w:hAnsi="Arial" w:cs="Arial"/>
        </w:rPr>
      </w:pPr>
      <w:r w:rsidRPr="00E158FA">
        <w:rPr>
          <w:rFonts w:ascii="Arial" w:hAnsi="Arial" w:cs="Arial"/>
        </w:rPr>
        <w:t>RS je 14. 1. 2021 podpisala  Dogovor o vodenju projekta PESCO Mreža logističnih vozlišč v Evropi in podpora za operacije (sklep Vlade RS, št. 51002-33/2020/3 z dne 5. 11. 2020), ki vzpostavlja delovanje nadzornega odbora (angl. Project management Committee – PMC), ki upravlja  ta projekt.</w:t>
      </w:r>
      <w:r w:rsidRPr="00E158FA">
        <w:rPr>
          <w:rFonts w:ascii="Arial" w:hAnsi="Arial" w:cs="Arial"/>
        </w:rPr>
        <w:footnoteReference w:id="2"/>
      </w:r>
      <w:r w:rsidRPr="00E158FA">
        <w:rPr>
          <w:rFonts w:ascii="Arial" w:hAnsi="Arial" w:cs="Arial"/>
        </w:rPr>
        <w:t xml:space="preserve">  </w:t>
      </w:r>
    </w:p>
    <w:p w:rsidR="00D427A7" w:rsidRPr="00E158FA" w:rsidRDefault="00D427A7" w:rsidP="00D427A7">
      <w:pPr>
        <w:autoSpaceDE w:val="0"/>
        <w:autoSpaceDN w:val="0"/>
        <w:adjustRightInd w:val="0"/>
        <w:spacing w:after="160"/>
        <w:jc w:val="both"/>
        <w:rPr>
          <w:rFonts w:ascii="Arial" w:hAnsi="Arial" w:cs="Arial"/>
        </w:rPr>
      </w:pPr>
      <w:r w:rsidRPr="00E158FA">
        <w:rPr>
          <w:rFonts w:ascii="Arial" w:hAnsi="Arial" w:cs="Arial"/>
        </w:rPr>
        <w:t xml:space="preserve">V okviru projekta so štiri države že 2 leti opazovalke, zato je vodilna država poslala opazovalkam pismo s prošnjo, da se dokončno opredelijo o njihovem pristopu v projekt. </w:t>
      </w:r>
    </w:p>
    <w:p w:rsidR="00D427A7" w:rsidRPr="00E158FA" w:rsidRDefault="00D427A7" w:rsidP="00D427A7">
      <w:pPr>
        <w:autoSpaceDE w:val="0"/>
        <w:autoSpaceDN w:val="0"/>
        <w:adjustRightInd w:val="0"/>
        <w:spacing w:after="160"/>
        <w:jc w:val="both"/>
        <w:rPr>
          <w:rFonts w:ascii="Arial" w:hAnsi="Arial" w:cs="Arial"/>
        </w:rPr>
      </w:pPr>
      <w:r w:rsidRPr="00E158FA">
        <w:rPr>
          <w:rFonts w:ascii="Arial" w:hAnsi="Arial" w:cs="Arial"/>
        </w:rPr>
        <w:t>RS je v okviru projekta opredelila vojašnico Postojna s skladiščem Mačkovec, skladišče Kidričevo in vojašnico Cerklje ob Krki z bodočim skladiščnim kompleksom Gazice. V oddelku za infrastrukturo bodo v naslednjih letih pričeli z načrtovanjem posodobitve teh vozlišč, skladno z zavezniškimi standardi.</w:t>
      </w:r>
    </w:p>
    <w:p w:rsidR="00D427A7" w:rsidRPr="00E158FA" w:rsidRDefault="00D427A7" w:rsidP="00D427A7">
      <w:pPr>
        <w:keepNext/>
        <w:keepLines/>
        <w:spacing w:before="240" w:after="0"/>
        <w:jc w:val="both"/>
        <w:outlineLvl w:val="0"/>
        <w:rPr>
          <w:rFonts w:ascii="Arial" w:hAnsi="Arial" w:cs="Arial"/>
        </w:rPr>
      </w:pPr>
      <w:r w:rsidRPr="00E158FA">
        <w:rPr>
          <w:rFonts w:ascii="Arial" w:hAnsi="Arial" w:cs="Arial"/>
        </w:rPr>
        <w:t>Nemčija je formacijsko oblikovala Joint Coordination Centre (JCC) v okviru Logističnega Centra v Wilhelshavenu z namenom upravljanja s projektom.</w:t>
      </w:r>
    </w:p>
    <w:p w:rsidR="00D427A7" w:rsidRPr="00E158FA" w:rsidRDefault="00D427A7" w:rsidP="00D427A7">
      <w:pPr>
        <w:keepNext/>
        <w:keepLines/>
        <w:spacing w:before="240" w:after="0"/>
        <w:jc w:val="both"/>
        <w:outlineLvl w:val="0"/>
        <w:rPr>
          <w:rFonts w:ascii="Arial" w:eastAsia="Times New Roman" w:hAnsi="Arial" w:cs="Arial"/>
          <w:b/>
        </w:rPr>
      </w:pPr>
      <w:r w:rsidRPr="00E158FA">
        <w:rPr>
          <w:rFonts w:ascii="Arial" w:eastAsia="Times New Roman" w:hAnsi="Arial" w:cs="Arial"/>
          <w:b/>
        </w:rPr>
        <w:t>5. Zaključek</w:t>
      </w:r>
    </w:p>
    <w:p w:rsidR="00D427A7" w:rsidRPr="00E158FA" w:rsidRDefault="00D427A7" w:rsidP="00D427A7">
      <w:pPr>
        <w:spacing w:after="160"/>
        <w:jc w:val="both"/>
        <w:rPr>
          <w:rFonts w:ascii="Arial" w:hAnsi="Arial" w:cs="Arial"/>
        </w:rPr>
      </w:pPr>
      <w:r w:rsidRPr="00E158FA">
        <w:rPr>
          <w:rFonts w:ascii="Arial" w:hAnsi="Arial" w:cs="Arial"/>
        </w:rPr>
        <w:t>Medresorska skupina je seznanjena s presekom stanja in izvedenimi ključnimi aktivnostmi v zvezi z implementacijo ukrepov na področju vojaške mobilnosti, s stanjem podpisa tehničnih sporazumov za optimizacijo čezmejnih premikov, projektnega dogovora v sklopu PESCO in upravnih dogovorov. RS aktivno sodeluje v delovnih skupinah EDA, v okviru katerih so se pripravljali partnerski dogovori in tehnični sporazumi namenjeni izboljšanju administrativnega vidika vojaške mobilnosti. Medresorska skupina je</w:t>
      </w:r>
      <w:r w:rsidRPr="00E158FA">
        <w:rPr>
          <w:rFonts w:ascii="Arial" w:hAnsi="Arial" w:cs="Arial"/>
          <w:color w:val="C00000"/>
        </w:rPr>
        <w:t xml:space="preserve"> </w:t>
      </w:r>
      <w:r w:rsidRPr="00E158FA">
        <w:rPr>
          <w:rFonts w:ascii="Arial" w:hAnsi="Arial" w:cs="Arial"/>
        </w:rPr>
        <w:t xml:space="preserve">med člani uskladila besedilo predloga načrta vojaške mobilnosti, ki bo temeljni dokument za prijavo projektov dvojne rabe za financiranje iz Instrumenta povezovanje Evrope. </w:t>
      </w:r>
    </w:p>
    <w:p w:rsidR="00D427A7" w:rsidRPr="00E158FA" w:rsidRDefault="00D427A7" w:rsidP="00D427A7">
      <w:pPr>
        <w:spacing w:after="160"/>
        <w:jc w:val="both"/>
        <w:rPr>
          <w:rFonts w:ascii="Arial" w:hAnsi="Arial" w:cs="Arial"/>
        </w:rPr>
      </w:pPr>
      <w:r w:rsidRPr="00E158FA">
        <w:rPr>
          <w:rFonts w:ascii="Arial" w:hAnsi="Arial" w:cs="Arial"/>
        </w:rPr>
        <w:t>V letu 2022 se bo medresorska delovna skupina osredotočila na naslednje aktivnosti ali naloge:</w:t>
      </w:r>
    </w:p>
    <w:p w:rsidR="00D427A7" w:rsidRPr="00E158FA" w:rsidRDefault="00D427A7" w:rsidP="00D427A7">
      <w:pPr>
        <w:spacing w:after="160"/>
        <w:jc w:val="both"/>
        <w:rPr>
          <w:rFonts w:ascii="Arial" w:hAnsi="Arial" w:cs="Arial"/>
        </w:rPr>
      </w:pPr>
      <w:r w:rsidRPr="00E158FA">
        <w:rPr>
          <w:rFonts w:ascii="Arial" w:hAnsi="Arial" w:cs="Arial"/>
        </w:rPr>
        <w:lastRenderedPageBreak/>
        <w:t>- podpis projektnega dogovora o projektu vojaška mobilnost v okviru PESCO in upravnih dogovorov,</w:t>
      </w:r>
    </w:p>
    <w:p w:rsidR="00D427A7" w:rsidRPr="00E158FA" w:rsidRDefault="00D427A7" w:rsidP="00D427A7">
      <w:pPr>
        <w:spacing w:after="160"/>
        <w:jc w:val="both"/>
        <w:rPr>
          <w:rFonts w:ascii="Arial" w:hAnsi="Arial" w:cs="Arial"/>
        </w:rPr>
      </w:pPr>
      <w:r w:rsidRPr="00E158FA">
        <w:rPr>
          <w:rFonts w:ascii="Arial" w:hAnsi="Arial" w:cs="Arial"/>
        </w:rPr>
        <w:t>- sodelovanje v EDA in PESCO,</w:t>
      </w:r>
    </w:p>
    <w:p w:rsidR="00D427A7" w:rsidRPr="00E158FA" w:rsidRDefault="00D427A7" w:rsidP="00D427A7">
      <w:pPr>
        <w:spacing w:after="160"/>
        <w:jc w:val="both"/>
        <w:rPr>
          <w:rFonts w:ascii="Arial" w:hAnsi="Arial" w:cs="Arial"/>
        </w:rPr>
      </w:pPr>
      <w:r w:rsidRPr="00E158FA">
        <w:rPr>
          <w:rFonts w:ascii="Arial" w:hAnsi="Arial" w:cs="Arial"/>
        </w:rPr>
        <w:t xml:space="preserve">- kandidiranje »zrelih« projektov na razpisu Instrument za povezovanje Evrope. </w:t>
      </w:r>
    </w:p>
    <w:p w:rsidR="00D427A7" w:rsidRPr="00E158FA" w:rsidRDefault="00D427A7" w:rsidP="00D427A7">
      <w:pPr>
        <w:spacing w:after="160"/>
        <w:jc w:val="both"/>
        <w:rPr>
          <w:rFonts w:ascii="Arial" w:hAnsi="Arial" w:cs="Arial"/>
        </w:rPr>
      </w:pPr>
      <w:r w:rsidRPr="00E158FA">
        <w:rPr>
          <w:rFonts w:ascii="Arial" w:hAnsi="Arial" w:cs="Arial"/>
        </w:rPr>
        <w:t xml:space="preserve">Trenutno sta v postopku oba tehnična sporazuma za optimizacijo čezmejnih premikov (CBMP Air in Surface). Načrt vojaške mobilnosti je v prilogi tega poročila posredovan Vladi RS v seznanitev.  </w:t>
      </w:r>
    </w:p>
    <w:p w:rsidR="00D427A7" w:rsidRPr="00E158FA" w:rsidRDefault="00D427A7" w:rsidP="00D427A7">
      <w:pPr>
        <w:spacing w:after="160"/>
        <w:jc w:val="both"/>
        <w:rPr>
          <w:rFonts w:ascii="Arial" w:hAnsi="Arial" w:cs="Arial"/>
        </w:rPr>
      </w:pPr>
      <w:r w:rsidRPr="00E158FA">
        <w:rPr>
          <w:rFonts w:ascii="Arial" w:hAnsi="Arial" w:cs="Arial"/>
        </w:rPr>
        <w:t xml:space="preserve">MO bo do leta 2023 izvedlo posodobitev Načrta za zagotavljanja podpore države gostiteljice v Republiki Sloveniji (sklep Vlade RS, št. 802-03/2001-11 z dne 16. 10. 2003 in 80100-1/2014/5 z dne 17. 6. 2015) in ga v največji možni meri povezalo s področjem vojaške mobilnosti. V tem načrtu bodo operacionalizirani tudi posamezni postopki v RS. Medresorska skupina bo v sodelovanju z MZI v prihodnosti dograjevala  seznam »zrelih« projektov in ga prilagajala spremenjenim okoliščinam. </w:t>
      </w:r>
    </w:p>
    <w:p w:rsidR="00D427A7" w:rsidRPr="00E158FA" w:rsidRDefault="00D427A7" w:rsidP="00D427A7">
      <w:pPr>
        <w:spacing w:after="160"/>
        <w:jc w:val="both"/>
        <w:rPr>
          <w:rFonts w:ascii="Arial" w:hAnsi="Arial" w:cs="Arial"/>
        </w:rPr>
      </w:pPr>
    </w:p>
    <w:p w:rsidR="00D427A7" w:rsidRPr="00E158FA" w:rsidRDefault="00D427A7" w:rsidP="00D427A7">
      <w:pPr>
        <w:spacing w:after="160"/>
        <w:jc w:val="both"/>
        <w:rPr>
          <w:rFonts w:ascii="Arial" w:hAnsi="Arial" w:cs="Arial"/>
        </w:rPr>
      </w:pPr>
    </w:p>
    <w:p w:rsidR="00D427A7" w:rsidRPr="00E158FA" w:rsidRDefault="00D427A7" w:rsidP="00D427A7">
      <w:pPr>
        <w:tabs>
          <w:tab w:val="left" w:pos="7020"/>
        </w:tabs>
        <w:spacing w:after="160"/>
        <w:jc w:val="right"/>
        <w:rPr>
          <w:rFonts w:ascii="Arial" w:hAnsi="Arial" w:cs="Arial"/>
        </w:rPr>
      </w:pPr>
      <w:r w:rsidRPr="00E158FA">
        <w:rPr>
          <w:rFonts w:ascii="Arial" w:hAnsi="Arial" w:cs="Arial"/>
        </w:rPr>
        <w:t>MINISTRSTVO ZA OBRAMBO</w:t>
      </w:r>
    </w:p>
    <w:p w:rsidR="00D427A7" w:rsidRPr="00E158FA" w:rsidRDefault="00D427A7" w:rsidP="00D427A7">
      <w:pPr>
        <w:tabs>
          <w:tab w:val="left" w:pos="7020"/>
        </w:tabs>
        <w:spacing w:after="160"/>
        <w:jc w:val="both"/>
        <w:rPr>
          <w:rFonts w:ascii="Arial" w:hAnsi="Arial" w:cs="Arial"/>
        </w:rPr>
      </w:pPr>
      <w:r w:rsidRPr="00E158FA">
        <w:rPr>
          <w:rFonts w:ascii="Arial" w:hAnsi="Arial" w:cs="Arial"/>
        </w:rPr>
        <w:t>Priloga 1: načrt vojaške mobilnosti.</w:t>
      </w:r>
    </w:p>
    <w:p w:rsidR="00D427A7" w:rsidRPr="00E158FA" w:rsidRDefault="00D427A7" w:rsidP="00D427A7">
      <w:pPr>
        <w:spacing w:after="160"/>
        <w:rPr>
          <w:rFonts w:ascii="Arial" w:hAnsi="Arial" w:cs="Arial"/>
        </w:rPr>
      </w:pPr>
      <w:r w:rsidRPr="00E158FA">
        <w:rPr>
          <w:rFonts w:ascii="Arial" w:hAnsi="Arial" w:cs="Arial"/>
        </w:rPr>
        <w:br w:type="page"/>
      </w:r>
      <w:r w:rsidRPr="00E158FA">
        <w:rPr>
          <w:rFonts w:ascii="Arial" w:hAnsi="Arial" w:cs="Arial"/>
        </w:rPr>
        <w:lastRenderedPageBreak/>
        <w:t>Priloga 1</w:t>
      </w: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tabs>
          <w:tab w:val="left" w:pos="7020"/>
        </w:tabs>
        <w:spacing w:after="160"/>
        <w:jc w:val="center"/>
        <w:rPr>
          <w:rFonts w:ascii="Arial" w:hAnsi="Arial" w:cs="Arial"/>
          <w:b/>
        </w:rPr>
      </w:pPr>
      <w:r w:rsidRPr="00E158FA">
        <w:rPr>
          <w:rFonts w:ascii="Arial" w:hAnsi="Arial" w:cs="Arial"/>
          <w:b/>
        </w:rPr>
        <w:t>NAČRT VOJAŠKE MOBILNOSTI REPUBLIKE SLOVENIJE</w:t>
      </w:r>
    </w:p>
    <w:p w:rsidR="00D427A7" w:rsidRPr="00E158FA" w:rsidRDefault="00D427A7" w:rsidP="00D427A7">
      <w:pPr>
        <w:tabs>
          <w:tab w:val="left" w:pos="7020"/>
        </w:tabs>
        <w:spacing w:after="160"/>
        <w:jc w:val="both"/>
        <w:rPr>
          <w:rFonts w:ascii="Arial" w:hAnsi="Arial" w:cs="Arial"/>
        </w:rPr>
      </w:pPr>
    </w:p>
    <w:p w:rsidR="00D427A7" w:rsidRPr="00E158FA" w:rsidRDefault="00D427A7" w:rsidP="00D427A7">
      <w:pPr>
        <w:spacing w:after="160"/>
        <w:rPr>
          <w:rFonts w:ascii="Arial" w:hAnsi="Arial" w:cs="Arial"/>
        </w:rPr>
      </w:pPr>
      <w:r w:rsidRPr="00E158FA">
        <w:rPr>
          <w:rFonts w:ascii="Arial" w:hAnsi="Arial" w:cs="Arial"/>
        </w:rPr>
        <w:br w:type="page"/>
      </w:r>
      <w:r w:rsidRPr="00E158FA">
        <w:rPr>
          <w:rFonts w:ascii="Arial" w:hAnsi="Arial" w:cs="Arial"/>
          <w:b/>
          <w:lang w:eastAsia="sl-SI"/>
        </w:rPr>
        <w:lastRenderedPageBreak/>
        <w:t xml:space="preserve">VOJAŠKA MOBILNOST </w:t>
      </w:r>
    </w:p>
    <w:p w:rsidR="00D427A7" w:rsidRPr="00E158FA" w:rsidRDefault="00D427A7" w:rsidP="00D427A7">
      <w:pPr>
        <w:spacing w:after="0"/>
        <w:jc w:val="both"/>
        <w:rPr>
          <w:rFonts w:ascii="Arial" w:hAnsi="Arial" w:cs="Arial"/>
          <w:b/>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 xml:space="preserve">Vojaška mobilnost je ena izmed številnih pobud v okviru novih ciljev in ambicij glede varnosti in obrambe Evropske unije (v nadaljevanju EU), ki se vsebinsko navezuje na Nato. Pobuda si prizadeva, da bi državam članicam omogočila hitrejše in učinkovitejše ukrepanje za izboljšanje mobilnosti vojaškega osebja, materiala in opreme znotraj ozemlja EU in zunaj nje, v primeru rednih dejavnosti, kot tudi v krizah in konfliktih, ob upoštevanju civilno-vojaških sinergij. </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Republika Slovenija (v nadaljevanju: RS) bo aktivno prispevala k ureditvi vojaške mobilnosti v Evropi tudi s prilagoditvijo in vključitvijo slovenske prometne infrastrukture v mrežo infrastrukture za vojaško mobilnost.</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Vlada Republike Slovenije je s sklepom, št. 54000-6/2017/3 z dne 9. 11. 2017 potrdila namero in sprejela odločitev o vključitvi RS v Stalno strukturno sodelovanje na področju varnosti in obrambe EU (angl. Permanent Structured Cooperation – PESCO, v nadaljevanju PESCO), kar je potrdila s podpisom Notifikacijske listine</w:t>
      </w:r>
      <w:r w:rsidRPr="00E158FA">
        <w:rPr>
          <w:rFonts w:ascii="Arial" w:hAnsi="Arial" w:cs="Arial"/>
        </w:rPr>
        <w:t xml:space="preserve"> </w:t>
      </w:r>
      <w:r w:rsidRPr="00E158FA">
        <w:rPr>
          <w:rFonts w:ascii="Arial" w:hAnsi="Arial" w:cs="Arial"/>
          <w:lang w:eastAsia="sl-SI"/>
        </w:rPr>
        <w:t>Stalnega strukturnega sodelovanja na področju varnosti in obrambe EU (v nadaljevanju notifikacijska listina)</w:t>
      </w:r>
      <w:r w:rsidRPr="00E158FA">
        <w:rPr>
          <w:rFonts w:ascii="Arial" w:eastAsia="Times New Roman" w:hAnsi="Arial" w:cs="Arial"/>
          <w:lang w:eastAsia="sl-SI"/>
        </w:rPr>
        <w:t>, na zasedanju Sveta za zunanje zadeve (angl. Foreign Affairs Council – FAC), z dne 13. 11. 2017. S sprejetjem Sklepa Sveta EU o vzpostavitvi PESCO (SZVP2017/2315 z dne 11. 12. 2017) (Ur. list EU, št. L331/57) je RS postala njegova članica. Notifikacijska listina je s tem postala zavezujoča in države članice so dolžne spoštovati in izvrševati sprejete zaveze in kriterije. Notifikacijska listina sledi ambicijam določenih z Globalno strategijo EU, ciljem in zavezam, ki temeljijo na 10. Protokolu Pogodbe o EU in v okviru petih sklopov obsegajo zaveze glede obrambnih izdatkov, usklajenega razvoja zmogljivosti, razpoložljivosti sil in povezljivosti sil (vključno s preverjanjem nacionalnih postopkov odločanja ter poenostavitvijo in standardizacijo prehodov znotraj meja EU za vojaške premike), sodelovanja v večstranskih EU projektih razvoja kritičnih zmogljivosti ter krepitve konkurenčnosti in tehnološkega razvoja obrambne industrije.</w:t>
      </w:r>
    </w:p>
    <w:p w:rsidR="00D427A7" w:rsidRPr="00E158FA" w:rsidRDefault="00D427A7" w:rsidP="00D427A7">
      <w:pPr>
        <w:autoSpaceDE w:val="0"/>
        <w:autoSpaceDN w:val="0"/>
        <w:adjustRightInd w:val="0"/>
        <w:spacing w:after="0"/>
        <w:jc w:val="both"/>
        <w:rPr>
          <w:rFonts w:ascii="Arial" w:eastAsia="Times New Roman" w:hAnsi="Arial" w:cs="Arial"/>
          <w:lang w:eastAsia="sl-SI"/>
        </w:rPr>
      </w:pPr>
    </w:p>
    <w:p w:rsidR="00D427A7" w:rsidRPr="00E158FA" w:rsidRDefault="00D427A7" w:rsidP="00D427A7">
      <w:pPr>
        <w:autoSpaceDE w:val="0"/>
        <w:autoSpaceDN w:val="0"/>
        <w:adjustRightInd w:val="0"/>
        <w:spacing w:after="0"/>
        <w:jc w:val="both"/>
        <w:rPr>
          <w:rFonts w:ascii="Arial" w:hAnsi="Arial" w:cs="Arial"/>
          <w:lang w:eastAsia="sl-SI"/>
        </w:rPr>
      </w:pPr>
      <w:r w:rsidRPr="00E158FA">
        <w:rPr>
          <w:rFonts w:ascii="Arial" w:eastAsia="Times New Roman" w:hAnsi="Arial" w:cs="Arial"/>
          <w:lang w:eastAsia="sl-SI"/>
        </w:rPr>
        <w:t xml:space="preserve">RS je članica dveh PESCO projektov, in sicer projekta </w:t>
      </w:r>
      <w:r w:rsidRPr="00E158FA">
        <w:rPr>
          <w:rFonts w:ascii="Arial" w:hAnsi="Arial" w:cs="Arial"/>
          <w:bCs/>
          <w:lang w:eastAsia="sl-SI"/>
        </w:rPr>
        <w:t xml:space="preserve">Vojaška mobilnost </w:t>
      </w:r>
      <w:r w:rsidRPr="00E158FA">
        <w:rPr>
          <w:rFonts w:ascii="Arial" w:hAnsi="Arial" w:cs="Arial"/>
        </w:rPr>
        <w:t xml:space="preserve">(angl. </w:t>
      </w:r>
      <w:r w:rsidRPr="00E158FA">
        <w:rPr>
          <w:rFonts w:ascii="Arial" w:hAnsi="Arial" w:cs="Arial"/>
          <w:bCs/>
          <w:lang w:eastAsia="sl-SI"/>
        </w:rPr>
        <w:t xml:space="preserve">Military Mobility), kjer sodeluje 25 držav članic, z vodilno Nizozemsko, in projekta </w:t>
      </w:r>
      <w:r w:rsidRPr="00E158FA">
        <w:rPr>
          <w:rFonts w:ascii="Arial" w:hAnsi="Arial" w:cs="Arial"/>
        </w:rPr>
        <w:t>Mreža logističnih vozlišč v Evropi in podpora operacijam (</w:t>
      </w:r>
      <w:r w:rsidRPr="00E158FA">
        <w:rPr>
          <w:rFonts w:ascii="Arial" w:eastAsia="Times New Roman" w:hAnsi="Arial" w:cs="Arial"/>
          <w:lang w:eastAsia="sl-SI"/>
        </w:rPr>
        <w:t xml:space="preserve">angl. </w:t>
      </w:r>
      <w:r w:rsidRPr="00E158FA">
        <w:rPr>
          <w:rFonts w:ascii="Arial" w:hAnsi="Arial" w:cs="Arial"/>
          <w:bCs/>
          <w:lang w:eastAsia="sl-SI"/>
        </w:rPr>
        <w:t>Network of logistic Hubs in Europe and support to Operations), ki</w:t>
      </w:r>
      <w:r w:rsidRPr="00E158FA">
        <w:rPr>
          <w:rFonts w:ascii="Arial" w:hAnsi="Arial" w:cs="Arial"/>
          <w:lang w:eastAsia="sl-SI"/>
        </w:rPr>
        <w:t xml:space="preserve"> se navezuje na vojaško mobilnost, kjer je vodilna država projekta Nemčija, v sodelovanju s Francijo in Ciprom.</w:t>
      </w:r>
    </w:p>
    <w:p w:rsidR="00D427A7" w:rsidRPr="00E158FA" w:rsidRDefault="00D427A7" w:rsidP="00D427A7">
      <w:pPr>
        <w:autoSpaceDE w:val="0"/>
        <w:autoSpaceDN w:val="0"/>
        <w:adjustRightInd w:val="0"/>
        <w:spacing w:after="0"/>
        <w:jc w:val="both"/>
        <w:rPr>
          <w:rFonts w:ascii="Arial" w:hAnsi="Arial" w:cs="Arial"/>
          <w:lang w:eastAsia="sl-SI"/>
        </w:rPr>
      </w:pPr>
    </w:p>
    <w:p w:rsidR="00D427A7" w:rsidRPr="00E158FA" w:rsidRDefault="00D427A7" w:rsidP="00D427A7">
      <w:pPr>
        <w:autoSpaceDE w:val="0"/>
        <w:autoSpaceDN w:val="0"/>
        <w:adjustRightInd w:val="0"/>
        <w:spacing w:after="0"/>
        <w:jc w:val="both"/>
        <w:rPr>
          <w:rFonts w:ascii="Arial" w:hAnsi="Arial" w:cs="Arial"/>
          <w:lang w:eastAsia="sl-SI"/>
        </w:rPr>
      </w:pPr>
      <w:r w:rsidRPr="00E158FA">
        <w:rPr>
          <w:rFonts w:ascii="Arial" w:hAnsi="Arial" w:cs="Arial"/>
          <w:lang w:eastAsia="sl-SI"/>
        </w:rPr>
        <w:t>EU in Nato sta 10. 7. 2018 podpisala Skupno izjavo o sodelovanju (Joint Declaration on EU-NATO Cooperation by the President of the European Council, the President of the European Commision, and the Secretary General of the North Atlantic Treaty Organization), s katero sta se zavezala, da bosta dodatno poglobila sodelovanje na določenih področjih. Eno izmed teh področij je tudi vojaška mobilnost.</w:t>
      </w:r>
    </w:p>
    <w:p w:rsidR="00D427A7" w:rsidRPr="00E158FA" w:rsidRDefault="00D427A7" w:rsidP="00D427A7">
      <w:pPr>
        <w:spacing w:after="0"/>
        <w:jc w:val="both"/>
        <w:rPr>
          <w:rFonts w:ascii="Arial" w:eastAsia="Times New Roman" w:hAnsi="Arial" w:cs="Arial"/>
          <w:lang w:eastAsia="sl-SI"/>
        </w:rPr>
      </w:pPr>
    </w:p>
    <w:p w:rsidR="00D427A7" w:rsidRPr="00E158FA" w:rsidRDefault="00D427A7" w:rsidP="00D427A7">
      <w:pPr>
        <w:autoSpaceDE w:val="0"/>
        <w:autoSpaceDN w:val="0"/>
        <w:adjustRightInd w:val="0"/>
        <w:spacing w:after="0"/>
        <w:jc w:val="both"/>
        <w:rPr>
          <w:rFonts w:ascii="Arial" w:hAnsi="Arial" w:cs="Arial"/>
          <w:color w:val="000000"/>
          <w:lang w:eastAsia="sl-SI"/>
        </w:rPr>
      </w:pPr>
      <w:r w:rsidRPr="00E158FA">
        <w:rPr>
          <w:rFonts w:ascii="Arial" w:hAnsi="Arial" w:cs="Arial"/>
          <w:lang w:eastAsia="sl-SI"/>
        </w:rPr>
        <w:t xml:space="preserve">Skladno z aktivnostmi na področju vojaške mobilnosti na ravni EU in Nata in pridružitvijo RS v PESCO </w:t>
      </w:r>
      <w:r w:rsidRPr="00E158FA">
        <w:rPr>
          <w:rFonts w:ascii="Arial" w:hAnsi="Arial" w:cs="Arial"/>
          <w:bCs/>
          <w:lang w:eastAsia="sl-SI"/>
        </w:rPr>
        <w:t xml:space="preserve">je vlada RS </w:t>
      </w:r>
      <w:r w:rsidRPr="00E158FA">
        <w:rPr>
          <w:rFonts w:ascii="Arial" w:hAnsi="Arial" w:cs="Arial"/>
          <w:lang w:eastAsia="sl-SI"/>
        </w:rPr>
        <w:t xml:space="preserve">ustanovila Stalno medresorsko koordinacijsko skupino za spremljanje in usmerjanje implementacije ukrepov na področju vojaške mobilnosti (sklepi Vlade RS, št. 02401-22/2018/5 z dne 22. 11. 2018, 02401-22/2018/9 z dne 7. 11. 2019, 02401-11/2020/4 z dne 24. 6. 2020 in 02401-11/2020/8 z dne 28. 4. 2021). V Stalno medresorsko koordinacijsko skupino za spremljanje in usmerjanje implementacije ukrepov na področju vojaške mobilnosti (v nadaljevanju stalna medresorska skupina) so vključeni predstavniki Ministrstva za obrambo </w:t>
      </w:r>
      <w:r w:rsidRPr="00E158FA">
        <w:rPr>
          <w:rFonts w:ascii="Arial" w:hAnsi="Arial" w:cs="Arial"/>
          <w:lang w:eastAsia="sl-SI"/>
        </w:rPr>
        <w:lastRenderedPageBreak/>
        <w:t xml:space="preserve">(MO), Ministrstva za zunanje zadeve (MZZ), </w:t>
      </w:r>
      <w:r w:rsidRPr="00E158FA">
        <w:rPr>
          <w:rFonts w:ascii="Arial" w:hAnsi="Arial" w:cs="Arial"/>
          <w:color w:val="000000"/>
          <w:lang w:eastAsia="sl-SI"/>
        </w:rPr>
        <w:t>Ministrstva za infrastrukturo (MZI), Ministrstva za finance (MF), Ministrstva za notranje zadeve (MNZ), Ministrstva za okolje in prostor (MOP) in Ministrstva za zdravje (MZ).</w:t>
      </w:r>
    </w:p>
    <w:p w:rsidR="00D427A7" w:rsidRPr="00E158FA" w:rsidRDefault="00D427A7" w:rsidP="00D427A7">
      <w:pPr>
        <w:spacing w:after="160"/>
        <w:rPr>
          <w:rFonts w:ascii="Arial" w:hAnsi="Arial" w:cs="Arial"/>
          <w:color w:val="000000"/>
          <w:lang w:eastAsia="sl-SI"/>
        </w:rPr>
      </w:pPr>
      <w:r w:rsidRPr="00E158FA">
        <w:rPr>
          <w:rFonts w:ascii="Arial" w:hAnsi="Arial" w:cs="Arial"/>
          <w:color w:val="000000"/>
          <w:lang w:eastAsia="sl-SI"/>
        </w:rPr>
        <w:br w:type="page"/>
      </w:r>
      <w:bookmarkStart w:id="0" w:name="_Toc88470271"/>
      <w:bookmarkStart w:id="1" w:name="_Toc89781880"/>
      <w:r w:rsidRPr="00E158FA">
        <w:rPr>
          <w:rFonts w:ascii="Arial" w:eastAsia="Times New Roman" w:hAnsi="Arial" w:cs="Arial"/>
          <w:b/>
          <w:bCs/>
          <w:lang w:eastAsia="sl-SI"/>
        </w:rPr>
        <w:lastRenderedPageBreak/>
        <w:t>1 Vojaška mobilnost</w:t>
      </w:r>
      <w:bookmarkEnd w:id="0"/>
      <w:r w:rsidRPr="00E158FA">
        <w:rPr>
          <w:rFonts w:ascii="Arial" w:eastAsia="Times New Roman" w:hAnsi="Arial" w:cs="Arial"/>
          <w:b/>
          <w:bCs/>
          <w:lang w:eastAsia="sl-SI"/>
        </w:rPr>
        <w:t xml:space="preserve"> EU</w:t>
      </w:r>
      <w:bookmarkEnd w:id="1"/>
      <w:r w:rsidRPr="00E158FA">
        <w:rPr>
          <w:rFonts w:ascii="Arial" w:eastAsia="Times New Roman" w:hAnsi="Arial" w:cs="Arial"/>
          <w:b/>
          <w:bCs/>
          <w:lang w:eastAsia="sl-SI"/>
        </w:rPr>
        <w:t xml:space="preserve"> </w:t>
      </w:r>
      <w:r w:rsidRPr="00E158FA">
        <w:rPr>
          <w:rFonts w:ascii="Arial" w:eastAsia="Times New Roman" w:hAnsi="Arial" w:cs="Arial"/>
          <w:bCs/>
          <w:color w:val="FF0000"/>
          <w:lang w:eastAsia="sl-SI"/>
        </w:rPr>
        <w:t xml:space="preserve"> </w:t>
      </w:r>
    </w:p>
    <w:p w:rsidR="00D427A7" w:rsidRPr="00E158FA" w:rsidRDefault="00D427A7" w:rsidP="00D427A7">
      <w:pPr>
        <w:spacing w:after="0"/>
        <w:rPr>
          <w:rFonts w:ascii="Arial" w:hAnsi="Arial" w:cs="Arial"/>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 xml:space="preserve">Za odpravo različnih fizičnih, postopkovnih in regulativnih ovir, ki ovirajo vojaško mobilnost, je bila sprejeta vrsta operativnih ukrepov in aktivnosti v okviru Skupnega sporočila Evropskemu parlamentu in Svetu o akcijskem načrtu za vojaško mobilnost – t. i. Akcijski načrt za vojaško mobilnost (angl. Joint Communication to the European Parliament and the Council on the Action Plan on Military Mobility; EK 28. 3. 2018). Z akcijskim načrtom za vojaško mobilnost, ki je oblikovan v okviru Evropske obrambne agencije (angl. European Defence Agency, v nadaljevanju EDA), ter upošteva tudi projekte vojaške mobilnosti PESCO, se prepoznavajo ukrepi na treh glavnih področjih vojaške mobilnosti: vojaške zahteve, transportna infrastruktura in pravno področje, ki zajema vprašanja predpisov in postopkov, vključno s carinami in davki. </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V okviru aktivnosti Akcijskega načrta za vojaško mobilnost:</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bCs/>
          <w:color w:val="000000"/>
          <w:lang w:eastAsia="sl-SI"/>
        </w:rPr>
        <w:t>morajo države članice določiti kontaktno točko za vojaško mobilnost;</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 xml:space="preserve">se je Svet EU izrekel o vojaških zahtevah, </w:t>
      </w:r>
      <w:r w:rsidRPr="00E158FA">
        <w:rPr>
          <w:rFonts w:ascii="Arial" w:hAnsi="Arial" w:cs="Arial"/>
          <w:lang w:eastAsia="sl-SI"/>
        </w:rPr>
        <w:t xml:space="preserve">vključno z infrastrukturo, ki je potrebna za vojaško mobilnost, in </w:t>
      </w:r>
      <w:r w:rsidRPr="00E158FA">
        <w:rPr>
          <w:rFonts w:ascii="Arial" w:hAnsi="Arial" w:cs="Arial"/>
          <w:color w:val="000000"/>
          <w:lang w:eastAsia="sl-SI"/>
        </w:rPr>
        <w:t xml:space="preserve">ki jih je identificirala Evropska služba za zunanje delovanje (European External Action Service, v nadaljevanju EEAS), skupaj z državami članicami, Evropsko komisijo in </w:t>
      </w:r>
      <w:r w:rsidRPr="00E158FA">
        <w:rPr>
          <w:rFonts w:ascii="Arial" w:hAnsi="Arial" w:cs="Arial"/>
          <w:lang w:eastAsia="sl-SI"/>
        </w:rPr>
        <w:t>EDA;</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 xml:space="preserve">je Evropska komisija, skupaj z državami članicami, EEAS delovanje in </w:t>
      </w:r>
      <w:r w:rsidRPr="00E158FA">
        <w:rPr>
          <w:rFonts w:ascii="Arial" w:hAnsi="Arial" w:cs="Arial"/>
          <w:lang w:eastAsia="sl-SI"/>
        </w:rPr>
        <w:t>EDA,</w:t>
      </w:r>
      <w:r w:rsidRPr="00E158FA">
        <w:rPr>
          <w:rFonts w:ascii="Arial" w:hAnsi="Arial" w:cs="Arial"/>
          <w:color w:val="000000"/>
          <w:lang w:eastAsia="sl-SI"/>
        </w:rPr>
        <w:t xml:space="preserve"> identificirala vrzeli med vojaškimi zahtevami in stanjem infrastrukture </w:t>
      </w:r>
      <w:r w:rsidRPr="00E158FA">
        <w:rPr>
          <w:rFonts w:ascii="Arial" w:hAnsi="Arial" w:cs="Arial"/>
          <w:lang w:eastAsia="sl-SI"/>
        </w:rPr>
        <w:t>vseevropskega prometnega omrežja (angl. Trans-European Transport Network – TEN-T);</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so bili na nacionalnem nivoju identificirani projekti za dvojno uporabo (angl. dual use projects), vključno s potrebnimi posodobitvami obstoječe infrastrukture. Oblikovan je bil seznam prednostnih projektov. Komisija bo morebitno dodatno finančno podporo za te projekte upoštevala v večletnem finančnem okviru;</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je Evropska komisija preučila potrebe po prilagoditvi TEN-T uredbe, zlasti tehničnih standardov in preučila možnost povezave vojaških in civilnih t. i. TENtec podatkovnih zbirk;</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bodo Evropska komisija in države članice preučile potrebne ukrepe na področju prevoza nevarnega blaga, vključno z zračnim prevozom;</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so bile države članice povabljene, da ocenijo potrebo po razvoju elektronskega sistema za upravljanje carinskih aktivnosti vezano na obrambne sile;</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so bile države članice povabljene, da identificirajo nacionalne specifike glede na vojaške premike in razvijejo nacionalne (pravne) procedure, ki bodo lajšale in harmonizirale prehode.</w:t>
      </w:r>
      <w:r w:rsidRPr="00E158FA">
        <w:rPr>
          <w:rFonts w:ascii="Arial" w:hAnsi="Arial" w:cs="Arial"/>
          <w:lang w:eastAsia="sl-SI"/>
        </w:rPr>
        <w:t xml:space="preserve"> Hkrati bo EDA podpirala države članice pri pripravi ureditev o dovoljenjih za čezmejne premike;</w:t>
      </w:r>
    </w:p>
    <w:p w:rsidR="00D427A7" w:rsidRPr="00E158FA" w:rsidRDefault="00D427A7" w:rsidP="00D427A7">
      <w:pPr>
        <w:numPr>
          <w:ilvl w:val="0"/>
          <w:numId w:val="6"/>
        </w:numPr>
        <w:spacing w:after="0"/>
        <w:jc w:val="both"/>
        <w:rPr>
          <w:rFonts w:ascii="Arial" w:hAnsi="Arial" w:cs="Arial"/>
          <w:color w:val="000000"/>
          <w:lang w:eastAsia="sl-SI"/>
        </w:rPr>
      </w:pPr>
      <w:r w:rsidRPr="00E158FA">
        <w:rPr>
          <w:rFonts w:ascii="Arial" w:hAnsi="Arial" w:cs="Arial"/>
          <w:color w:val="000000"/>
          <w:lang w:eastAsia="sl-SI"/>
        </w:rPr>
        <w:t>so bile države članice povabljene k implementaciji Sporazuma med državami članicami Evropske unije o statusu dodeljenega vojaškega in civilnega osebja pri institucijah Evropske unije, ki jih ima lahko na voljo Evropska unija v okviru priprave in izvajanja nalog iz člena 17(2) Pogodbe o Evropski uniji, tudi med vojaškimi vajami, ter o vojaškem in civilnem osebju držav članic, s katerim razpolaga Evropska unija za ukrepanje v tem okviru (EU SOFA), ki je začel veljati aprila 2019.</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 xml:space="preserve">V 18. odstavku Sklepov Sveta o varnosti in obrambi v kontekstu globalne strategije EU – Sklepi sveta (25. junij 2018) se poziva države članice, da ukrepajo na nacionalni ravni za izboljšanje učinkovitosti vojaške mobilnosti, ter poenostavijo in standardizirajo ustrezna pravila in postopke v skladu z Akcijskim načrtom in vojaškimi zahtevami za vojaško mobilnost znotraj in </w:t>
      </w:r>
      <w:r w:rsidRPr="00E158FA">
        <w:rPr>
          <w:rFonts w:ascii="Arial" w:hAnsi="Arial" w:cs="Arial"/>
          <w:lang w:eastAsia="sl-SI"/>
        </w:rPr>
        <w:lastRenderedPageBreak/>
        <w:t xml:space="preserve">zunaj EU, v skladu z nacionalnimi zakonodajami držav članic čim prej, vendar najkasneje do leta 2024. Prvi koraki so: </w:t>
      </w:r>
    </w:p>
    <w:p w:rsidR="00D427A7" w:rsidRPr="00E158FA" w:rsidRDefault="00D427A7" w:rsidP="00D427A7">
      <w:pPr>
        <w:numPr>
          <w:ilvl w:val="0"/>
          <w:numId w:val="12"/>
        </w:numPr>
        <w:spacing w:after="0"/>
        <w:contextualSpacing/>
        <w:jc w:val="both"/>
        <w:rPr>
          <w:rFonts w:ascii="Arial" w:hAnsi="Arial" w:cs="Arial"/>
          <w:lang w:eastAsia="sl-SI"/>
        </w:rPr>
      </w:pPr>
      <w:r w:rsidRPr="00E158FA">
        <w:rPr>
          <w:rFonts w:ascii="Arial" w:hAnsi="Arial" w:cs="Arial"/>
          <w:lang w:eastAsia="sl-SI"/>
        </w:rPr>
        <w:t xml:space="preserve">razviti nacionalne načrte za vojaško mobilnost in dati prednost njihovemu izvajanju; </w:t>
      </w:r>
    </w:p>
    <w:p w:rsidR="00D427A7" w:rsidRPr="00E158FA" w:rsidRDefault="00D427A7" w:rsidP="00D427A7">
      <w:pPr>
        <w:numPr>
          <w:ilvl w:val="0"/>
          <w:numId w:val="12"/>
        </w:numPr>
        <w:spacing w:after="0"/>
        <w:contextualSpacing/>
        <w:jc w:val="both"/>
        <w:rPr>
          <w:rFonts w:ascii="Arial" w:hAnsi="Arial" w:cs="Arial"/>
          <w:lang w:eastAsia="sl-SI"/>
        </w:rPr>
      </w:pPr>
      <w:r w:rsidRPr="00E158FA">
        <w:rPr>
          <w:rFonts w:ascii="Arial" w:hAnsi="Arial" w:cs="Arial"/>
          <w:lang w:eastAsia="sl-SI"/>
        </w:rPr>
        <w:t xml:space="preserve">v skladu z ustreznimi standardiziranimi postopki pospešiti postopke prehoda meja in v ta namen sodelovati z nacionalnimi organi za izdajo dovoljenj za čezmejno gibanje, za vse vrste premikov (kopno, zrak in morje) in transporta za rutinske dejavnosti v petih (5) delovnih dneh, ter razmisliti o nadaljnjem skrajšanju tega obdobja; </w:t>
      </w:r>
    </w:p>
    <w:p w:rsidR="00D427A7" w:rsidRPr="00E158FA" w:rsidRDefault="00D427A7" w:rsidP="00D427A7">
      <w:pPr>
        <w:numPr>
          <w:ilvl w:val="0"/>
          <w:numId w:val="12"/>
        </w:numPr>
        <w:spacing w:after="0"/>
        <w:contextualSpacing/>
        <w:jc w:val="both"/>
        <w:rPr>
          <w:rFonts w:ascii="Arial" w:hAnsi="Arial" w:cs="Arial"/>
          <w:lang w:eastAsia="sl-SI"/>
        </w:rPr>
      </w:pPr>
      <w:r w:rsidRPr="00E158FA">
        <w:rPr>
          <w:rFonts w:ascii="Arial" w:hAnsi="Arial" w:cs="Arial"/>
          <w:lang w:eastAsia="sl-SI"/>
        </w:rPr>
        <w:t xml:space="preserve">olajšati in pospešiti komunikacijo in v ta namen ustvariti enotno medsebojno povezano mrežo nacionalnih kontaktnih točk, da bi med drugim lahko hitro obravnavali prošnje za čezmejne premike; </w:t>
      </w:r>
    </w:p>
    <w:p w:rsidR="00D427A7" w:rsidRPr="00E158FA" w:rsidRDefault="00D427A7" w:rsidP="00D427A7">
      <w:pPr>
        <w:numPr>
          <w:ilvl w:val="0"/>
          <w:numId w:val="12"/>
        </w:numPr>
        <w:spacing w:after="0"/>
        <w:contextualSpacing/>
        <w:jc w:val="both"/>
        <w:rPr>
          <w:rFonts w:ascii="Arial" w:hAnsi="Arial" w:cs="Arial"/>
          <w:lang w:eastAsia="sl-SI"/>
        </w:rPr>
      </w:pPr>
      <w:r w:rsidRPr="00E158FA">
        <w:rPr>
          <w:rFonts w:ascii="Arial" w:hAnsi="Arial" w:cs="Arial"/>
          <w:lang w:eastAsia="sl-SI"/>
        </w:rPr>
        <w:t xml:space="preserve">uporabljati ustrezne obstoječe nacionalne in večnacionalne vaje za bolj redno vadbo vojaške mobilnosti. </w:t>
      </w:r>
    </w:p>
    <w:p w:rsidR="00D427A7" w:rsidRPr="00E158FA" w:rsidRDefault="00D427A7" w:rsidP="00D427A7">
      <w:pPr>
        <w:spacing w:after="0"/>
        <w:jc w:val="both"/>
        <w:rPr>
          <w:rFonts w:ascii="Arial" w:hAnsi="Arial" w:cs="Arial"/>
          <w:color w:val="000000"/>
          <w:lang w:eastAsia="sl-SI"/>
        </w:rPr>
      </w:pPr>
    </w:p>
    <w:p w:rsidR="00D427A7" w:rsidRPr="00E158FA" w:rsidRDefault="00D427A7" w:rsidP="00D427A7">
      <w:pPr>
        <w:keepNext/>
        <w:keepLines/>
        <w:spacing w:after="0"/>
        <w:jc w:val="both"/>
        <w:outlineLvl w:val="0"/>
        <w:rPr>
          <w:rFonts w:ascii="Arial" w:eastAsia="Times New Roman" w:hAnsi="Arial" w:cs="Arial"/>
          <w:b/>
          <w:bCs/>
          <w:lang w:eastAsia="sl-SI"/>
        </w:rPr>
      </w:pPr>
      <w:bookmarkStart w:id="2" w:name="_Toc88470272"/>
      <w:bookmarkStart w:id="3" w:name="_Toc89781881"/>
      <w:r w:rsidRPr="00E158FA">
        <w:rPr>
          <w:rFonts w:ascii="Arial" w:eastAsia="Times New Roman" w:hAnsi="Arial" w:cs="Arial"/>
          <w:b/>
          <w:bCs/>
          <w:lang w:eastAsia="sl-SI"/>
        </w:rPr>
        <w:t>2 Nacionalne aktivnosti</w:t>
      </w:r>
      <w:bookmarkEnd w:id="2"/>
      <w:bookmarkEnd w:id="3"/>
    </w:p>
    <w:p w:rsidR="00D427A7" w:rsidRPr="00E158FA" w:rsidRDefault="00D427A7" w:rsidP="00D427A7">
      <w:pPr>
        <w:spacing w:after="0"/>
        <w:jc w:val="both"/>
        <w:rPr>
          <w:rFonts w:ascii="Arial" w:eastAsia="Times New Roman" w:hAnsi="Arial" w:cs="Arial"/>
          <w:bCs/>
          <w:lang w:eastAsia="sl-SI"/>
        </w:rPr>
      </w:pPr>
    </w:p>
    <w:p w:rsidR="00D427A7" w:rsidRPr="00E158FA" w:rsidRDefault="00D427A7" w:rsidP="00D427A7">
      <w:pPr>
        <w:spacing w:after="0"/>
        <w:jc w:val="both"/>
        <w:rPr>
          <w:rFonts w:ascii="Arial" w:hAnsi="Arial" w:cs="Arial"/>
          <w:lang w:eastAsia="sl-SI"/>
        </w:rPr>
      </w:pPr>
      <w:r w:rsidRPr="00E158FA">
        <w:rPr>
          <w:rFonts w:ascii="Arial" w:eastAsia="Times New Roman" w:hAnsi="Arial" w:cs="Arial"/>
          <w:bCs/>
          <w:lang w:eastAsia="sl-SI"/>
        </w:rPr>
        <w:t xml:space="preserve">RS z </w:t>
      </w:r>
      <w:r w:rsidRPr="00E158FA">
        <w:rPr>
          <w:rFonts w:ascii="Arial" w:hAnsi="Arial" w:cs="Arial"/>
          <w:lang w:eastAsia="sl-SI"/>
        </w:rPr>
        <w:t xml:space="preserve">vključitvijo slovenske prometne infrastrukture v mrežo infrastrukture za vojaško mobilnost sledi smernicam </w:t>
      </w:r>
      <w:r w:rsidRPr="00E158FA">
        <w:rPr>
          <w:rFonts w:ascii="Arial" w:eastAsia="Times New Roman" w:hAnsi="Arial" w:cs="Arial"/>
          <w:bCs/>
          <w:lang w:eastAsia="sl-SI"/>
        </w:rPr>
        <w:t xml:space="preserve">Evropske komisije o dvojni rabi prometne infrastrukture. </w:t>
      </w:r>
      <w:r w:rsidRPr="00E158FA">
        <w:rPr>
          <w:rFonts w:ascii="Arial" w:hAnsi="Arial" w:cs="Arial"/>
          <w:lang w:eastAsia="sl-SI"/>
        </w:rPr>
        <w:t>EU Akcijski načrt za vojaško mobilnost določa nosilce za izvedbo ukrepov v določenem časovnem okviru. Zaradi tega morajo države članice za nacionalni in skupni razvoj vojaške mobilnosti vključiti vse pristojne nacionalne inštitucije.</w:t>
      </w:r>
    </w:p>
    <w:p w:rsidR="00D427A7" w:rsidRPr="00E158FA" w:rsidRDefault="00D427A7" w:rsidP="00D427A7">
      <w:pPr>
        <w:spacing w:after="0"/>
        <w:jc w:val="both"/>
        <w:rPr>
          <w:rFonts w:ascii="Arial" w:eastAsia="Times New Roman" w:hAnsi="Arial" w:cs="Arial"/>
          <w:bCs/>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Evropski Svet je v juliju 2020 sprejel posodobljeno analizo</w:t>
      </w:r>
      <w:r w:rsidRPr="00E158FA">
        <w:rPr>
          <w:rFonts w:ascii="Arial" w:hAnsi="Arial" w:cs="Arial"/>
          <w:vertAlign w:val="superscript"/>
          <w:lang w:eastAsia="sl-SI"/>
        </w:rPr>
        <w:footnoteReference w:id="3"/>
      </w:r>
      <w:r w:rsidRPr="00E158FA">
        <w:rPr>
          <w:rFonts w:ascii="Arial" w:hAnsi="Arial" w:cs="Arial"/>
          <w:lang w:eastAsia="sl-SI"/>
        </w:rPr>
        <w:t xml:space="preserve"> vrzeli med vojaškimi zahtevami in civilnimi TEN-T zahtevami (Joint Staff Working Document on the updated Gap Analysis between the Military Requirements and the Trans-European Transport Network Requirements, dokument št. 9805/20 z dne 17. 7. 2020). Z odobritvijo vojaških zahtev je bilo zagotovljeno izhodišče za delo na področju prometne infrastrukture za dvojno uporabo. Posodobljene vojaške zahteve so podlaga za naslednje korake pri izvajanju Akcijskega načrta EU za vojaško mobilnost na področju financiranja projektov prometne infrastrukture za dvojno rabo iz Instrumenta za povezovanje Evrope 2021 – 2027 in v naslednjih finančnih perspektivah. Evropski svet je dne 21. 7. 2020 dosegel dogovor o novem dolgoročnem proračunu EU, v okviru katerega je za vojaško mobilnost namenjene 1,5 milijarde evrov (v trenutni vrednosti 1,69 milijarde evrov) v finančnem obdobju 2021 – 2027. </w:t>
      </w:r>
    </w:p>
    <w:p w:rsidR="00D427A7" w:rsidRPr="00E158FA" w:rsidRDefault="00D427A7" w:rsidP="00D427A7">
      <w:pPr>
        <w:autoSpaceDE w:val="0"/>
        <w:autoSpaceDN w:val="0"/>
        <w:adjustRightInd w:val="0"/>
        <w:spacing w:after="0"/>
        <w:jc w:val="both"/>
        <w:rPr>
          <w:rFonts w:ascii="Arial" w:hAnsi="Arial" w:cs="Arial"/>
          <w:lang w:eastAsia="sl-SI"/>
        </w:rPr>
      </w:pPr>
    </w:p>
    <w:p w:rsidR="00D427A7" w:rsidRPr="00E158FA" w:rsidRDefault="00D427A7" w:rsidP="00D427A7">
      <w:pPr>
        <w:autoSpaceDE w:val="0"/>
        <w:autoSpaceDN w:val="0"/>
        <w:adjustRightInd w:val="0"/>
        <w:spacing w:after="0"/>
        <w:jc w:val="both"/>
        <w:rPr>
          <w:rFonts w:ascii="Arial" w:hAnsi="Arial" w:cs="Arial"/>
          <w:lang w:eastAsia="sl-SI"/>
        </w:rPr>
      </w:pPr>
      <w:r w:rsidRPr="00E158FA">
        <w:rPr>
          <w:rFonts w:ascii="Arial" w:hAnsi="Arial" w:cs="Arial"/>
          <w:lang w:eastAsia="sl-SI"/>
        </w:rPr>
        <w:t>Posodobljena analiza vrzeli predstavlja ključni dokument za opredelitev nacionalnih izhodišč za pripravo infrastrukturnega dela nacionalnega načrta za vojaško mobilnost. MO in MZI sta proučila posodobljen seznam »ustreznih</w:t>
      </w:r>
      <w:r w:rsidRPr="00E158FA">
        <w:rPr>
          <w:rFonts w:ascii="Arial" w:hAnsi="Arial" w:cs="Arial"/>
          <w:vertAlign w:val="superscript"/>
          <w:lang w:eastAsia="sl-SI"/>
        </w:rPr>
        <w:footnoteReference w:id="4"/>
      </w:r>
      <w:r w:rsidRPr="00E158FA">
        <w:rPr>
          <w:rFonts w:ascii="Arial" w:hAnsi="Arial" w:cs="Arial"/>
          <w:lang w:eastAsia="sl-SI"/>
        </w:rPr>
        <w:t>« projektov prometne infrastrukture za dvojno rabo, seznam investicij IZOOPIZG</w:t>
      </w:r>
      <w:r w:rsidRPr="00E158FA">
        <w:rPr>
          <w:rFonts w:ascii="Arial" w:hAnsi="Arial" w:cs="Arial"/>
          <w:vertAlign w:val="superscript"/>
          <w:lang w:eastAsia="sl-SI"/>
        </w:rPr>
        <w:footnoteReference w:id="5"/>
      </w:r>
      <w:r w:rsidRPr="00E158FA">
        <w:rPr>
          <w:rFonts w:ascii="Arial" w:hAnsi="Arial" w:cs="Arial"/>
          <w:lang w:eastAsia="sl-SI"/>
        </w:rPr>
        <w:t xml:space="preserve">, ki bi bile zanimive za izboljšanje vojaške mobilnost, ter posodobljeno analizo vrzeli med vojaškimi zahtevami in civilnimi TEN-T zahtevami. Na podlagi </w:t>
      </w:r>
      <w:r w:rsidRPr="00E158FA">
        <w:rPr>
          <w:rFonts w:ascii="Arial" w:hAnsi="Arial" w:cs="Arial"/>
          <w:lang w:eastAsia="sl-SI"/>
        </w:rPr>
        <w:lastRenderedPageBreak/>
        <w:t xml:space="preserve">navedenega sta zavzela skupna delovna nacionalna izhodišča glede infrastrukturnega dela vojaške mobilnosti. </w:t>
      </w:r>
    </w:p>
    <w:p w:rsidR="00D427A7" w:rsidRPr="00E158FA" w:rsidRDefault="00D427A7" w:rsidP="00D427A7">
      <w:pPr>
        <w:spacing w:after="0"/>
        <w:jc w:val="both"/>
        <w:rPr>
          <w:rFonts w:ascii="Arial" w:eastAsia="Times New Roman" w:hAnsi="Arial" w:cs="Arial"/>
          <w:bCs/>
          <w:lang w:eastAsia="sl-SI"/>
        </w:rPr>
      </w:pP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Za celovito in učinkovito obravnavo vojaške mobilnosti oziroma izvedbo rešitev v okviru EU in Nata se bodo v RS v projekte na tem področju aktivno vključevali državni organi skladno s pristojnostmi. RS bo pri tem sodelovala tudi z drugimi, zlasti sosednjimi državami.</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contextualSpacing/>
        <w:jc w:val="both"/>
        <w:rPr>
          <w:rFonts w:ascii="Arial" w:hAnsi="Arial" w:cs="Arial"/>
          <w:b/>
        </w:rPr>
      </w:pPr>
      <w:r w:rsidRPr="00E158FA">
        <w:rPr>
          <w:rFonts w:ascii="Arial" w:hAnsi="Arial" w:cs="Arial"/>
          <w:b/>
        </w:rPr>
        <w:t>2.1 Pregled stanja prometnega omrežja v Republiki Sloveniji</w:t>
      </w:r>
    </w:p>
    <w:p w:rsidR="00D427A7" w:rsidRPr="00E158FA" w:rsidRDefault="00D427A7" w:rsidP="00D427A7">
      <w:pPr>
        <w:spacing w:after="0"/>
        <w:jc w:val="both"/>
        <w:rPr>
          <w:rFonts w:ascii="Arial" w:hAnsi="Arial" w:cs="Arial"/>
          <w:b/>
        </w:rPr>
      </w:pPr>
    </w:p>
    <w:p w:rsidR="00D427A7" w:rsidRPr="00E158FA" w:rsidRDefault="00D427A7" w:rsidP="00D427A7">
      <w:pPr>
        <w:spacing w:after="0"/>
        <w:jc w:val="both"/>
        <w:rPr>
          <w:rFonts w:ascii="Arial" w:hAnsi="Arial" w:cs="Arial"/>
          <w:lang w:eastAsia="sl-SI"/>
        </w:rPr>
      </w:pPr>
      <w:r w:rsidRPr="00E158FA">
        <w:rPr>
          <w:rFonts w:ascii="Arial" w:hAnsi="Arial" w:cs="Arial"/>
        </w:rPr>
        <w:t>Za izpolnjevanje</w:t>
      </w:r>
      <w:r w:rsidRPr="00E158FA">
        <w:rPr>
          <w:rFonts w:ascii="Arial" w:eastAsia="Times New Roman" w:hAnsi="Arial" w:cs="Arial"/>
          <w:lang w:eastAsia="sl-SI"/>
        </w:rPr>
        <w:t xml:space="preserve"> zavez in projektov h katerim je pristopila RS v okviru EDA in PESCO, so</w:t>
      </w:r>
      <w:r w:rsidRPr="00E158FA">
        <w:rPr>
          <w:rFonts w:ascii="Arial" w:hAnsi="Arial" w:cs="Arial"/>
          <w:lang w:eastAsia="sl-SI"/>
        </w:rPr>
        <w:t xml:space="preserve"> podane osnovne smernice in opredeljene </w:t>
      </w:r>
      <w:r w:rsidRPr="00E158FA">
        <w:rPr>
          <w:rFonts w:ascii="Arial" w:hAnsi="Arial" w:cs="Arial"/>
          <w:bCs/>
          <w:lang w:eastAsia="sl-SI"/>
        </w:rPr>
        <w:t>aktivnosti z</w:t>
      </w:r>
      <w:r w:rsidRPr="00E158FA">
        <w:rPr>
          <w:rFonts w:ascii="Arial" w:hAnsi="Arial" w:cs="Arial"/>
          <w:lang w:eastAsia="sl-SI"/>
        </w:rPr>
        <w:t xml:space="preserve">a izboljšanje vojaške mobilnosti </w:t>
      </w:r>
      <w:r w:rsidRPr="00E158FA">
        <w:rPr>
          <w:rFonts w:ascii="Arial" w:hAnsi="Arial" w:cs="Arial"/>
          <w:bCs/>
          <w:lang w:eastAsia="sl-SI"/>
        </w:rPr>
        <w:t xml:space="preserve">na ozemlju RS, temelječe na obstoječem </w:t>
      </w:r>
      <w:r w:rsidRPr="00E158FA">
        <w:rPr>
          <w:rFonts w:ascii="Arial" w:hAnsi="Arial" w:cs="Arial"/>
          <w:lang w:eastAsia="sl-SI"/>
        </w:rPr>
        <w:t>vseevropskem prometnem omrežju (TEN-T) in že načrtovanih infrastrukturnih projektih in prilagoditvah. Čez RS potekajo evropski koridorji po železniški infrastrukturi in cestni infrastrukturi, prav tako v sklop TEN-T sodijo tudi letališča in pristanišče. Upošteva se sklep Evropskega parlamenta z dne 28. 3. 2018 o dvojni rabi (dual use) TEN-T omrežja, pregled stanja prometne infrastrukture v RS, vojaške zahteve za vojaško mobilnost v EU (Draft Military Requirements for Military Mobility within and beyond the EU, EEAS(2018) 537 REV 3 z dne 7. 6. 2018), kakor tudi predlog projektov na področju prometne infrastrukture za potrebe oziroma z vidika vojaške mobilnosti, skladno z Resolucijo o nacionalnem programu razvoja prometa v Republiki Sloveniji do leta 2030 (Uradni list RS, št. 75/2016 z dne 30. 11. 2016) in Strategijo razvoja prometa v Republiki Sloveniji do leta 2030 (sklep Vlade RS, št.: 37000-3/2015/8 z dne 29. 7. 2015).</w:t>
      </w:r>
    </w:p>
    <w:p w:rsidR="00D427A7" w:rsidRPr="00E158FA" w:rsidRDefault="00D427A7" w:rsidP="00D427A7">
      <w:pPr>
        <w:spacing w:after="0"/>
        <w:rPr>
          <w:rFonts w:ascii="Arial" w:hAnsi="Arial" w:cs="Arial"/>
          <w:b/>
        </w:rPr>
      </w:pPr>
    </w:p>
    <w:p w:rsidR="00D427A7" w:rsidRPr="00E158FA" w:rsidRDefault="00D427A7" w:rsidP="00D427A7">
      <w:pPr>
        <w:spacing w:after="0"/>
        <w:rPr>
          <w:rFonts w:ascii="Arial" w:hAnsi="Arial" w:cs="Arial"/>
        </w:rPr>
      </w:pPr>
      <w:r w:rsidRPr="00E158FA">
        <w:rPr>
          <w:rFonts w:ascii="Arial" w:hAnsi="Arial" w:cs="Arial"/>
          <w:b/>
        </w:rPr>
        <w:t>2.1.1 Cestno omrežje</w:t>
      </w:r>
    </w:p>
    <w:p w:rsidR="00D427A7" w:rsidRPr="00E158FA" w:rsidRDefault="00D427A7" w:rsidP="00D427A7">
      <w:pPr>
        <w:spacing w:after="0"/>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Cestno omrežje RS, vključeno v vseevropsko prometno omrežje (TEN-T), zajema pet avtocest (v nadaljevanju: AC) in šest hitrih cest (v nadaljevanju: HC) skupne dolžine 612 km. Za lažjo implementacijo vseevropskega prometnega omrežja (TEN-T) pa je bilo v Uredbi EU 1316/2013 oblikovanih 9 koridorjev jedrnega TEN-T omrežja. Čez RS potekata dva takšna koridorja (vključujeta cestno, železniško, pristaniško in letališko infrastrukturo ter železniško-cestne terminale) in sicer »Baltsko – Jadranski« koridor ter »Sredozemski« koridor.</w:t>
      </w:r>
    </w:p>
    <w:p w:rsidR="00D427A7" w:rsidRPr="00E158FA" w:rsidRDefault="00D427A7" w:rsidP="00D427A7">
      <w:pPr>
        <w:keepNext/>
        <w:keepLines/>
        <w:spacing w:after="0"/>
        <w:ind w:left="360"/>
        <w:jc w:val="both"/>
        <w:outlineLvl w:val="0"/>
        <w:rPr>
          <w:rFonts w:ascii="Arial" w:eastAsia="Times New Roman" w:hAnsi="Arial" w:cs="Arial"/>
          <w:b/>
          <w:bCs/>
        </w:rPr>
      </w:pPr>
    </w:p>
    <w:p w:rsidR="00D427A7" w:rsidRPr="00E158FA" w:rsidRDefault="00D427A7" w:rsidP="00D427A7">
      <w:pPr>
        <w:spacing w:after="0"/>
        <w:jc w:val="both"/>
        <w:rPr>
          <w:rFonts w:ascii="Arial" w:hAnsi="Arial" w:cs="Arial"/>
        </w:rPr>
      </w:pPr>
      <w:r w:rsidRPr="00E158FA">
        <w:rPr>
          <w:rFonts w:ascii="Arial" w:hAnsi="Arial" w:cs="Arial"/>
          <w:noProof/>
          <w:lang w:eastAsia="sl-SI"/>
        </w:rPr>
        <w:drawing>
          <wp:inline distT="0" distB="0" distL="0" distR="0">
            <wp:extent cx="5975985" cy="5010150"/>
            <wp:effectExtent l="19050" t="19050" r="24765" b="1905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985" cy="5010150"/>
                    </a:xfrm>
                    <a:prstGeom prst="rect">
                      <a:avLst/>
                    </a:prstGeom>
                    <a:noFill/>
                    <a:ln w="19050" cmpd="sng">
                      <a:solidFill>
                        <a:srgbClr val="000000"/>
                      </a:solidFill>
                      <a:miter lim="800000"/>
                      <a:headEnd/>
                      <a:tailEnd/>
                    </a:ln>
                    <a:effectLst/>
                  </pic:spPr>
                </pic:pic>
              </a:graphicData>
            </a:graphic>
          </wp:inline>
        </w:drawing>
      </w:r>
    </w:p>
    <w:p w:rsidR="00D427A7" w:rsidRPr="00E158FA" w:rsidRDefault="00D427A7" w:rsidP="00D427A7">
      <w:pPr>
        <w:spacing w:after="0"/>
        <w:jc w:val="both"/>
        <w:rPr>
          <w:rFonts w:ascii="Arial" w:hAnsi="Arial" w:cs="Arial"/>
          <w:b/>
          <w:bCs/>
        </w:rPr>
      </w:pPr>
      <w:r w:rsidRPr="00E158FA">
        <w:rPr>
          <w:rFonts w:ascii="Arial" w:hAnsi="Arial" w:cs="Arial"/>
          <w:b/>
          <w:bCs/>
        </w:rPr>
        <w:t xml:space="preserve">Slika </w:t>
      </w:r>
      <w:r w:rsidRPr="00E158FA">
        <w:rPr>
          <w:rFonts w:ascii="Arial" w:hAnsi="Arial" w:cs="Arial"/>
          <w:b/>
          <w:bCs/>
        </w:rPr>
        <w:fldChar w:fldCharType="begin"/>
      </w:r>
      <w:r w:rsidRPr="00E158FA">
        <w:rPr>
          <w:rFonts w:ascii="Arial" w:hAnsi="Arial" w:cs="Arial"/>
          <w:b/>
          <w:bCs/>
        </w:rPr>
        <w:instrText>SEQ Slika \* ARABIC</w:instrText>
      </w:r>
      <w:r w:rsidRPr="00E158FA">
        <w:rPr>
          <w:rFonts w:ascii="Arial" w:hAnsi="Arial" w:cs="Arial"/>
          <w:b/>
          <w:bCs/>
        </w:rPr>
        <w:fldChar w:fldCharType="separate"/>
      </w:r>
      <w:r>
        <w:rPr>
          <w:rFonts w:ascii="Arial" w:hAnsi="Arial" w:cs="Arial"/>
          <w:b/>
          <w:bCs/>
          <w:noProof/>
        </w:rPr>
        <w:t>1</w:t>
      </w:r>
      <w:r w:rsidRPr="00E158FA">
        <w:rPr>
          <w:rFonts w:ascii="Arial" w:hAnsi="Arial" w:cs="Arial"/>
          <w:b/>
          <w:bCs/>
        </w:rPr>
        <w:fldChar w:fldCharType="end"/>
      </w:r>
      <w:r w:rsidRPr="00E158FA">
        <w:rPr>
          <w:rFonts w:ascii="Arial" w:hAnsi="Arial" w:cs="Arial"/>
          <w:b/>
          <w:bCs/>
        </w:rPr>
        <w:t xml:space="preserve">: Koridorji jedrnega TEN-T omrežja </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»Baltik – Jadran«</w:t>
      </w:r>
    </w:p>
    <w:p w:rsidR="00D427A7" w:rsidRPr="00E158FA" w:rsidRDefault="00D427A7" w:rsidP="00D427A7">
      <w:pPr>
        <w:spacing w:after="0"/>
        <w:jc w:val="both"/>
        <w:rPr>
          <w:rFonts w:ascii="Arial" w:hAnsi="Arial" w:cs="Arial"/>
        </w:rPr>
      </w:pPr>
      <w:r w:rsidRPr="00E158FA">
        <w:rPr>
          <w:rFonts w:ascii="Arial" w:hAnsi="Arial" w:cs="Arial"/>
        </w:rPr>
        <w:t>Baltsko – Jadranski Koridor zajema 4600 km železniškega omrežja, 3600 km cestnega omrežja, 13 urbanih vozlišč in letališč, 10 pristanišč (vključno s pristaniščem v Kopru) in 24 železniško – cestnih terminalov ter poteka od poljskega pristanišča Gdansk, preko Češke, Slovaške in Avstrije do slovenskega pristanišča Koper in italijanskih pristanišč Trst, Ravena in Benetke.</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 xml:space="preserve">V RS koridor poteka od mejnega prehoda Šentilj z Republiko Avstrijo preko Maribora, Celja, Ljubljane, Postojne, do Kopra oziroma preko mejnega prehoda Sežana v Republiko Italijo. Koridor torej do mejnega prehoda Šentilj poteka po avtocesti A1 od mejnega prehoda Sežana in Luke Koper, preko Ljubljane in Celja.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noProof/>
          <w:lang w:eastAsia="sl-SI"/>
        </w:rPr>
        <w:lastRenderedPageBreak/>
        <w:drawing>
          <wp:inline distT="0" distB="0" distL="0" distR="0">
            <wp:extent cx="5975985" cy="4237355"/>
            <wp:effectExtent l="0" t="0" r="571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985" cy="4237355"/>
                    </a:xfrm>
                    <a:prstGeom prst="rect">
                      <a:avLst/>
                    </a:prstGeom>
                    <a:noFill/>
                    <a:ln>
                      <a:noFill/>
                    </a:ln>
                  </pic:spPr>
                </pic:pic>
              </a:graphicData>
            </a:graphic>
          </wp:inline>
        </w:drawing>
      </w:r>
    </w:p>
    <w:p w:rsidR="00D427A7" w:rsidRPr="00E158FA" w:rsidRDefault="00D427A7" w:rsidP="00D427A7">
      <w:pPr>
        <w:spacing w:after="0"/>
        <w:jc w:val="both"/>
        <w:rPr>
          <w:rFonts w:ascii="Arial" w:hAnsi="Arial" w:cs="Arial"/>
          <w:b/>
          <w:bCs/>
        </w:rPr>
      </w:pPr>
      <w:r w:rsidRPr="00E158FA">
        <w:rPr>
          <w:rFonts w:ascii="Arial" w:hAnsi="Arial" w:cs="Arial"/>
          <w:b/>
          <w:bCs/>
        </w:rPr>
        <w:t xml:space="preserve">Slika </w:t>
      </w:r>
      <w:r w:rsidRPr="00E158FA">
        <w:rPr>
          <w:rFonts w:ascii="Arial" w:hAnsi="Arial" w:cs="Arial"/>
          <w:b/>
          <w:bCs/>
        </w:rPr>
        <w:fldChar w:fldCharType="begin"/>
      </w:r>
      <w:r w:rsidRPr="00E158FA">
        <w:rPr>
          <w:rFonts w:ascii="Arial" w:hAnsi="Arial" w:cs="Arial"/>
          <w:b/>
          <w:bCs/>
        </w:rPr>
        <w:instrText>SEQ Slika \* ARABIC</w:instrText>
      </w:r>
      <w:r w:rsidRPr="00E158FA">
        <w:rPr>
          <w:rFonts w:ascii="Arial" w:hAnsi="Arial" w:cs="Arial"/>
          <w:b/>
          <w:bCs/>
        </w:rPr>
        <w:fldChar w:fldCharType="separate"/>
      </w:r>
      <w:r>
        <w:rPr>
          <w:rFonts w:ascii="Arial" w:hAnsi="Arial" w:cs="Arial"/>
          <w:b/>
          <w:bCs/>
          <w:noProof/>
        </w:rPr>
        <w:t>2</w:t>
      </w:r>
      <w:r w:rsidRPr="00E158FA">
        <w:rPr>
          <w:rFonts w:ascii="Arial" w:hAnsi="Arial" w:cs="Arial"/>
          <w:b/>
          <w:bCs/>
        </w:rPr>
        <w:fldChar w:fldCharType="end"/>
      </w:r>
      <w:r w:rsidRPr="00E158FA">
        <w:rPr>
          <w:rFonts w:ascii="Arial" w:hAnsi="Arial" w:cs="Arial"/>
          <w:b/>
          <w:bCs/>
        </w:rPr>
        <w:t>:  Sredozemski koridor – cestni del</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Sredozemski koridor</w:t>
      </w:r>
    </w:p>
    <w:p w:rsidR="00D427A7" w:rsidRPr="00E158FA" w:rsidRDefault="00D427A7" w:rsidP="00D427A7">
      <w:pPr>
        <w:spacing w:after="0"/>
        <w:jc w:val="both"/>
        <w:rPr>
          <w:rFonts w:ascii="Arial" w:hAnsi="Arial" w:cs="Arial"/>
        </w:rPr>
      </w:pPr>
      <w:r w:rsidRPr="00E158FA">
        <w:rPr>
          <w:rFonts w:ascii="Arial" w:hAnsi="Arial" w:cs="Arial"/>
        </w:rPr>
        <w:t>»Sredozemski« koridor je dolg približno 3000 km in poteka od Španije, preko Francije, Italije, Slovenije in Madžarske do meje z Ukrajino. Z vstopom Hrvaške v EU je del tega koridorja postala tudi Hrvaška. V RS cestni del koridorja poteka od mejnega prehoda Sežana iz Republike Italije oz. pristanišča v Kopru, preko Ljubljane in Maribora do meje z Republiko Madžarsko pri Pincah, železniški pa od mejnega prehoda Sežana iz Republike Italije oz. pristanišča v Kopru, preko Ljubljane, Zidanega Mosta in Pragerskega do meje z Republiko Madžarsko pri Hodošu.</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Pan-evropski koridor X in Xa</w:t>
      </w:r>
    </w:p>
    <w:p w:rsidR="00D427A7" w:rsidRPr="00E158FA" w:rsidRDefault="00D427A7" w:rsidP="00D427A7">
      <w:pPr>
        <w:keepNext/>
        <w:keepLines/>
        <w:spacing w:after="0"/>
        <w:jc w:val="both"/>
        <w:outlineLvl w:val="2"/>
        <w:rPr>
          <w:rFonts w:ascii="Arial" w:eastAsia="Times New Roman" w:hAnsi="Arial" w:cs="Arial"/>
          <w:b/>
          <w:bCs/>
        </w:rPr>
      </w:pPr>
    </w:p>
    <w:p w:rsidR="00D427A7" w:rsidRPr="00E158FA" w:rsidRDefault="00D427A7" w:rsidP="00D427A7">
      <w:pPr>
        <w:spacing w:after="0"/>
        <w:jc w:val="both"/>
        <w:rPr>
          <w:rFonts w:ascii="Arial" w:hAnsi="Arial" w:cs="Arial"/>
        </w:rPr>
      </w:pPr>
      <w:r w:rsidRPr="00E158FA">
        <w:rPr>
          <w:rFonts w:ascii="Arial" w:hAnsi="Arial" w:cs="Arial"/>
        </w:rPr>
        <w:t>Cestni del kraka A »pan-evropskega koridorja X« v RS vstopi iz Republike Avstrije na mejnem prehodu Šentilj in nadaljuje pot proti razcepu Dragučova, kjer se priključi na avtocesto A1 in nadaljuje pot do razcepa Slivnica, kjer se odcepi na avtocesto A4 in nadaljuje vse do mejnega prehoda Gruškovje z Republiko Hrvaško. Osnovni potek cestnega dela »pan-evropskega koridorja X« pa vstopi v RS na mejnem prehodu predora Karavanke z Republiko Avstrijo, ter nadaljuje po avtocesti A2 preko Ljubljane vse do mejnega prehoda Obrežje z Republiko Hrvaško. Skupna dolžina »pan-evropskega koridorja X« v RS je 298 kilometrov.</w:t>
      </w:r>
    </w:p>
    <w:p w:rsidR="00D427A7" w:rsidRPr="00E158FA" w:rsidRDefault="00D427A7" w:rsidP="00D427A7">
      <w:pPr>
        <w:spacing w:after="0"/>
        <w:jc w:val="both"/>
        <w:rPr>
          <w:rFonts w:ascii="Arial" w:hAnsi="Arial" w:cs="Arial"/>
        </w:rPr>
      </w:pPr>
    </w:p>
    <w:p w:rsidR="00D427A7" w:rsidRPr="00E158FA" w:rsidRDefault="00D427A7" w:rsidP="00D427A7">
      <w:pPr>
        <w:keepNext/>
        <w:spacing w:after="0"/>
        <w:jc w:val="both"/>
        <w:rPr>
          <w:rFonts w:ascii="Arial" w:hAnsi="Arial" w:cs="Arial"/>
        </w:rPr>
      </w:pPr>
      <w:r w:rsidRPr="00E158FA">
        <w:rPr>
          <w:rFonts w:ascii="Arial" w:hAnsi="Arial" w:cs="Arial"/>
          <w:noProof/>
          <w:lang w:eastAsia="sl-SI"/>
        </w:rPr>
        <w:lastRenderedPageBreak/>
        <w:drawing>
          <wp:inline distT="0" distB="0" distL="0" distR="0">
            <wp:extent cx="5949950" cy="3992245"/>
            <wp:effectExtent l="0" t="0" r="0" b="825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950" cy="3992245"/>
                    </a:xfrm>
                    <a:prstGeom prst="rect">
                      <a:avLst/>
                    </a:prstGeom>
                    <a:noFill/>
                    <a:ln>
                      <a:noFill/>
                    </a:ln>
                  </pic:spPr>
                </pic:pic>
              </a:graphicData>
            </a:graphic>
          </wp:inline>
        </w:drawing>
      </w:r>
    </w:p>
    <w:p w:rsidR="00D427A7" w:rsidRPr="00E158FA" w:rsidRDefault="00D427A7" w:rsidP="00D427A7">
      <w:pPr>
        <w:tabs>
          <w:tab w:val="left" w:pos="5235"/>
        </w:tabs>
        <w:spacing w:after="0"/>
        <w:jc w:val="both"/>
        <w:rPr>
          <w:rFonts w:ascii="Arial" w:hAnsi="Arial" w:cs="Arial"/>
          <w:b/>
          <w:bCs/>
        </w:rPr>
      </w:pPr>
      <w:r w:rsidRPr="00E158FA">
        <w:rPr>
          <w:rFonts w:ascii="Arial" w:hAnsi="Arial" w:cs="Arial"/>
          <w:b/>
          <w:bCs/>
        </w:rPr>
        <w:t xml:space="preserve">Slika </w:t>
      </w:r>
      <w:r w:rsidRPr="00E158FA">
        <w:rPr>
          <w:rFonts w:ascii="Arial" w:hAnsi="Arial" w:cs="Arial"/>
          <w:b/>
          <w:bCs/>
        </w:rPr>
        <w:fldChar w:fldCharType="begin"/>
      </w:r>
      <w:r w:rsidRPr="00E158FA">
        <w:rPr>
          <w:rFonts w:ascii="Arial" w:hAnsi="Arial" w:cs="Arial"/>
          <w:b/>
          <w:bCs/>
        </w:rPr>
        <w:instrText>SEQ Slika \* ARABIC</w:instrText>
      </w:r>
      <w:r w:rsidRPr="00E158FA">
        <w:rPr>
          <w:rFonts w:ascii="Arial" w:hAnsi="Arial" w:cs="Arial"/>
          <w:b/>
          <w:bCs/>
        </w:rPr>
        <w:fldChar w:fldCharType="separate"/>
      </w:r>
      <w:r>
        <w:rPr>
          <w:rFonts w:ascii="Arial" w:hAnsi="Arial" w:cs="Arial"/>
          <w:b/>
          <w:bCs/>
          <w:noProof/>
        </w:rPr>
        <w:t>3</w:t>
      </w:r>
      <w:r w:rsidRPr="00E158FA">
        <w:rPr>
          <w:rFonts w:ascii="Arial" w:hAnsi="Arial" w:cs="Arial"/>
          <w:b/>
          <w:bCs/>
        </w:rPr>
        <w:fldChar w:fldCharType="end"/>
      </w:r>
      <w:r w:rsidRPr="00E158FA">
        <w:rPr>
          <w:rFonts w:ascii="Arial" w:hAnsi="Arial" w:cs="Arial"/>
          <w:b/>
          <w:bCs/>
        </w:rPr>
        <w:t>: pan-evropski koridor X in X.a. - ceste</w:t>
      </w:r>
      <w:r w:rsidRPr="00E158FA">
        <w:rPr>
          <w:rFonts w:ascii="Arial" w:hAnsi="Arial" w:cs="Arial"/>
          <w:b/>
          <w:bCs/>
        </w:rPr>
        <w:tab/>
      </w:r>
    </w:p>
    <w:p w:rsidR="00D427A7" w:rsidRPr="00E158FA" w:rsidRDefault="00D427A7" w:rsidP="00D427A7">
      <w:pPr>
        <w:tabs>
          <w:tab w:val="left" w:pos="5235"/>
        </w:tabs>
        <w:spacing w:after="0"/>
        <w:jc w:val="both"/>
        <w:rPr>
          <w:rFonts w:ascii="Arial" w:hAnsi="Arial" w:cs="Arial"/>
        </w:rPr>
      </w:pPr>
    </w:p>
    <w:p w:rsidR="00D427A7" w:rsidRPr="00E158FA" w:rsidRDefault="00D427A7" w:rsidP="00D427A7">
      <w:pPr>
        <w:tabs>
          <w:tab w:val="left" w:pos="5235"/>
        </w:tabs>
        <w:spacing w:after="0"/>
        <w:jc w:val="both"/>
        <w:rPr>
          <w:rFonts w:ascii="Arial" w:hAnsi="Arial" w:cs="Arial"/>
        </w:rPr>
      </w:pPr>
    </w:p>
    <w:p w:rsidR="00D427A7" w:rsidRPr="00E158FA" w:rsidRDefault="00D427A7" w:rsidP="00D427A7">
      <w:pPr>
        <w:keepNext/>
        <w:keepLines/>
        <w:spacing w:after="0"/>
        <w:jc w:val="both"/>
        <w:outlineLvl w:val="1"/>
        <w:rPr>
          <w:rFonts w:ascii="Arial" w:eastAsia="Times New Roman" w:hAnsi="Arial" w:cs="Arial"/>
          <w:b/>
          <w:bCs/>
        </w:rPr>
      </w:pPr>
      <w:r w:rsidRPr="00E158FA">
        <w:rPr>
          <w:rFonts w:ascii="Arial" w:eastAsia="Times New Roman" w:hAnsi="Arial" w:cs="Arial"/>
          <w:b/>
          <w:bCs/>
        </w:rPr>
        <w:t>2.1.2 Železniško omrežje</w:t>
      </w:r>
    </w:p>
    <w:p w:rsidR="00D427A7" w:rsidRPr="00E158FA" w:rsidRDefault="00D427A7" w:rsidP="00D427A7">
      <w:pPr>
        <w:keepNext/>
        <w:keepLines/>
        <w:spacing w:after="0"/>
        <w:ind w:left="795"/>
        <w:jc w:val="both"/>
        <w:outlineLvl w:val="1"/>
        <w:rPr>
          <w:rFonts w:ascii="Arial" w:eastAsia="Times New Roman" w:hAnsi="Arial" w:cs="Arial"/>
          <w:b/>
          <w:bCs/>
        </w:rPr>
      </w:pPr>
    </w:p>
    <w:p w:rsidR="00D427A7" w:rsidRPr="00E158FA" w:rsidRDefault="00D427A7" w:rsidP="00D427A7">
      <w:pPr>
        <w:spacing w:after="0"/>
        <w:jc w:val="both"/>
        <w:rPr>
          <w:rFonts w:ascii="Arial" w:hAnsi="Arial" w:cs="Arial"/>
        </w:rPr>
      </w:pPr>
      <w:r w:rsidRPr="00E158FA">
        <w:rPr>
          <w:rFonts w:ascii="Arial" w:hAnsi="Arial" w:cs="Arial"/>
        </w:rPr>
        <w:t>Z Uredbo o evropskem železniškem omrežju za konkurenčen tovorni promet (Uredba EU št. 913/2010), želita Evropski parlament in Svet Evropske unije izboljšati storitve, ki jih nudijo upravljavci infrastrukture izvajalcem prevoznih storitev v mednarodnem tovornem železniškem prometu. Na vzpostavitev koncepta koridorjev in</w:t>
      </w:r>
      <w:r w:rsidRPr="00E158FA">
        <w:rPr>
          <w:rFonts w:ascii="Arial" w:hAnsi="Arial" w:cs="Arial"/>
          <w:b/>
        </w:rPr>
        <w:t xml:space="preserve"> </w:t>
      </w:r>
      <w:r w:rsidRPr="00E158FA">
        <w:rPr>
          <w:rFonts w:ascii="Arial" w:hAnsi="Arial" w:cs="Arial"/>
        </w:rPr>
        <w:t xml:space="preserve">programa TEN-T vpliva povezovanje držav članic s čimer zagotavlja enoten sistem za vodenje železniškega prometa. V RS imamo enotirne in dvotirne proge, dolžina enotirnih prog znaša 874,2 kilometra, dvotirnih pa 333,5 kilometra. </w:t>
      </w:r>
    </w:p>
    <w:p w:rsidR="00D427A7" w:rsidRPr="00E158FA" w:rsidRDefault="00D427A7" w:rsidP="00D427A7">
      <w:pPr>
        <w:keepNext/>
        <w:keepLines/>
        <w:spacing w:after="0"/>
        <w:jc w:val="both"/>
        <w:outlineLvl w:val="2"/>
        <w:rPr>
          <w:rFonts w:ascii="Arial" w:eastAsia="Times New Roman" w:hAnsi="Arial" w:cs="Arial"/>
          <w:bCs/>
        </w:rPr>
      </w:pPr>
    </w:p>
    <w:p w:rsidR="00D427A7" w:rsidRPr="00E158FA" w:rsidRDefault="00D427A7" w:rsidP="00D427A7">
      <w:pPr>
        <w:keepNext/>
        <w:keepLines/>
        <w:spacing w:after="0"/>
        <w:jc w:val="both"/>
        <w:outlineLvl w:val="2"/>
        <w:rPr>
          <w:rFonts w:ascii="Arial" w:eastAsia="Times New Roman" w:hAnsi="Arial" w:cs="Arial"/>
          <w:bCs/>
        </w:rPr>
      </w:pPr>
      <w:r w:rsidRPr="00E158FA">
        <w:rPr>
          <w:rFonts w:ascii="Arial" w:eastAsia="Times New Roman" w:hAnsi="Arial" w:cs="Arial"/>
          <w:bCs/>
        </w:rPr>
        <w:t>RS v RFC (Rail Freight Corridors) sodeluje s štirimi železniškimi koridorji, in sicer Koridor 5 »Baltik – Jadran (RFC 5)«, Koridor 6 »Sredozemlje (RFC 6)«, Koridor 10 »Alpsko – Zahodno - Balkanski (RFC 10)« in Koridor 11 »Jantarni (RFC 11)«.</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p>
    <w:p w:rsidR="00D427A7" w:rsidRPr="00E158FA" w:rsidRDefault="00D427A7" w:rsidP="00D427A7">
      <w:pPr>
        <w:keepNext/>
        <w:spacing w:after="0"/>
        <w:jc w:val="both"/>
        <w:rPr>
          <w:rFonts w:ascii="Arial" w:hAnsi="Arial" w:cs="Arial"/>
        </w:rPr>
      </w:pPr>
      <w:r w:rsidRPr="00E158FA">
        <w:rPr>
          <w:rFonts w:ascii="Arial" w:hAnsi="Arial" w:cs="Arial"/>
          <w:noProof/>
          <w:lang w:eastAsia="sl-SI"/>
        </w:rPr>
        <w:lastRenderedPageBreak/>
        <w:drawing>
          <wp:inline distT="0" distB="0" distL="0" distR="0">
            <wp:extent cx="5975985" cy="4069715"/>
            <wp:effectExtent l="0" t="0" r="5715" b="698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5985" cy="4069715"/>
                    </a:xfrm>
                    <a:prstGeom prst="rect">
                      <a:avLst/>
                    </a:prstGeom>
                    <a:noFill/>
                    <a:ln>
                      <a:noFill/>
                    </a:ln>
                  </pic:spPr>
                </pic:pic>
              </a:graphicData>
            </a:graphic>
          </wp:inline>
        </w:drawing>
      </w:r>
    </w:p>
    <w:p w:rsidR="00D427A7" w:rsidRPr="00E158FA" w:rsidRDefault="00D427A7" w:rsidP="00D427A7">
      <w:pPr>
        <w:spacing w:after="0"/>
        <w:jc w:val="both"/>
        <w:rPr>
          <w:rFonts w:ascii="Arial" w:hAnsi="Arial" w:cs="Arial"/>
          <w:b/>
          <w:bCs/>
        </w:rPr>
      </w:pPr>
      <w:r w:rsidRPr="00E158FA">
        <w:rPr>
          <w:rFonts w:ascii="Arial" w:hAnsi="Arial" w:cs="Arial"/>
          <w:b/>
          <w:bCs/>
        </w:rPr>
        <w:t xml:space="preserve">Slika </w:t>
      </w:r>
      <w:r w:rsidRPr="00E158FA">
        <w:rPr>
          <w:rFonts w:ascii="Arial" w:hAnsi="Arial" w:cs="Arial"/>
          <w:b/>
          <w:bCs/>
        </w:rPr>
        <w:fldChar w:fldCharType="begin"/>
      </w:r>
      <w:r w:rsidRPr="00E158FA">
        <w:rPr>
          <w:rFonts w:ascii="Arial" w:hAnsi="Arial" w:cs="Arial"/>
          <w:b/>
          <w:bCs/>
        </w:rPr>
        <w:instrText>SEQ Slika \* ARABIC</w:instrText>
      </w:r>
      <w:r w:rsidRPr="00E158FA">
        <w:rPr>
          <w:rFonts w:ascii="Arial" w:hAnsi="Arial" w:cs="Arial"/>
          <w:b/>
          <w:bCs/>
        </w:rPr>
        <w:fldChar w:fldCharType="separate"/>
      </w:r>
      <w:r>
        <w:rPr>
          <w:rFonts w:ascii="Arial" w:hAnsi="Arial" w:cs="Arial"/>
          <w:b/>
          <w:bCs/>
          <w:noProof/>
        </w:rPr>
        <w:t>4</w:t>
      </w:r>
      <w:r w:rsidRPr="00E158FA">
        <w:rPr>
          <w:rFonts w:ascii="Arial" w:hAnsi="Arial" w:cs="Arial"/>
          <w:b/>
          <w:bCs/>
        </w:rPr>
        <w:fldChar w:fldCharType="end"/>
      </w:r>
      <w:r w:rsidRPr="00E158FA">
        <w:rPr>
          <w:rFonts w:ascii="Arial" w:hAnsi="Arial" w:cs="Arial"/>
          <w:b/>
          <w:bCs/>
        </w:rPr>
        <w:t xml:space="preserve">: Železniški koridorji v Evropi po delitvi RNE (Rail Net Europe) – združenje evropskih infrastrukturnih upravljavcev </w:t>
      </w:r>
    </w:p>
    <w:p w:rsidR="00D427A7" w:rsidRPr="00E158FA" w:rsidRDefault="00D427A7" w:rsidP="00D427A7">
      <w:pPr>
        <w:spacing w:after="0"/>
        <w:jc w:val="both"/>
        <w:rPr>
          <w:rFonts w:ascii="Arial" w:hAnsi="Arial" w:cs="Arial"/>
          <w:b/>
          <w:bCs/>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Železniški tovorni Koridor  “Baltik – Jadran (RFC 5)”</w:t>
      </w:r>
    </w:p>
    <w:p w:rsidR="00D427A7" w:rsidRPr="00E158FA" w:rsidRDefault="00D427A7" w:rsidP="00D427A7">
      <w:pPr>
        <w:keepNext/>
        <w:keepLines/>
        <w:spacing w:after="0"/>
        <w:jc w:val="both"/>
        <w:outlineLvl w:val="2"/>
        <w:rPr>
          <w:rFonts w:ascii="Arial" w:eastAsia="Times New Roman" w:hAnsi="Arial" w:cs="Arial"/>
          <w:b/>
          <w:bCs/>
        </w:rPr>
      </w:pPr>
    </w:p>
    <w:p w:rsidR="00D427A7" w:rsidRPr="00E158FA" w:rsidRDefault="00D427A7" w:rsidP="00D427A7">
      <w:pPr>
        <w:spacing w:after="0"/>
        <w:jc w:val="both"/>
        <w:rPr>
          <w:rFonts w:ascii="Arial" w:hAnsi="Arial" w:cs="Arial"/>
        </w:rPr>
      </w:pPr>
      <w:r w:rsidRPr="00E158FA">
        <w:rPr>
          <w:rFonts w:ascii="Arial" w:hAnsi="Arial" w:cs="Arial"/>
        </w:rPr>
        <w:t>Železniški tovorni koridor Baltik - Jadran (RFC 5) poteka od Republike Poljske preko Republik Češke, Slovaške, Avstrije, RS in Italije. Začetne točke koridorja so pristanišče Gdansk in Ščečin ob Baltskem morju, od koder poteka do Katovic preko Ostrave in Breclava do Dunaja. Od Dunaja se koridor z eno vejo nadaljuje proti Celovcu, Beljaku in Vidmu do Trsta, z drugo vejo pa preko Gradca, Maribora, Ljubljane in Divače do Kopra oz. Sežane do slovensko/italijanske meje. V Italiji se koridor nadaljuje do Bolonje, Benetk in Ravene.</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p>
    <w:p w:rsidR="00D427A7" w:rsidRPr="00E158FA" w:rsidRDefault="00D427A7" w:rsidP="00D427A7">
      <w:pPr>
        <w:keepNext/>
        <w:spacing w:after="0"/>
        <w:jc w:val="both"/>
        <w:rPr>
          <w:rFonts w:ascii="Arial" w:hAnsi="Arial" w:cs="Arial"/>
        </w:rPr>
      </w:pPr>
      <w:r w:rsidRPr="00E158FA">
        <w:rPr>
          <w:rFonts w:ascii="Arial" w:hAnsi="Arial" w:cs="Arial"/>
          <w:noProof/>
          <w:lang w:eastAsia="sl-SI"/>
        </w:rPr>
        <w:lastRenderedPageBreak/>
        <w:drawing>
          <wp:inline distT="0" distB="0" distL="0" distR="0">
            <wp:extent cx="5975985" cy="4198620"/>
            <wp:effectExtent l="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985" cy="4198620"/>
                    </a:xfrm>
                    <a:prstGeom prst="rect">
                      <a:avLst/>
                    </a:prstGeom>
                    <a:noFill/>
                    <a:ln>
                      <a:noFill/>
                    </a:ln>
                  </pic:spPr>
                </pic:pic>
              </a:graphicData>
            </a:graphic>
          </wp:inline>
        </w:drawing>
      </w:r>
    </w:p>
    <w:p w:rsidR="00D427A7" w:rsidRPr="00E158FA" w:rsidRDefault="00D427A7" w:rsidP="00D427A7">
      <w:pPr>
        <w:spacing w:after="0"/>
        <w:jc w:val="both"/>
        <w:rPr>
          <w:rFonts w:ascii="Arial" w:hAnsi="Arial" w:cs="Arial"/>
          <w:b/>
          <w:bCs/>
        </w:rPr>
      </w:pPr>
      <w:r w:rsidRPr="00E158FA">
        <w:rPr>
          <w:rFonts w:ascii="Arial" w:hAnsi="Arial" w:cs="Arial"/>
          <w:b/>
          <w:bCs/>
        </w:rPr>
        <w:t xml:space="preserve">Slika </w:t>
      </w:r>
      <w:r w:rsidRPr="00E158FA">
        <w:rPr>
          <w:rFonts w:ascii="Arial" w:hAnsi="Arial" w:cs="Arial"/>
          <w:b/>
          <w:bCs/>
        </w:rPr>
        <w:fldChar w:fldCharType="begin"/>
      </w:r>
      <w:r w:rsidRPr="00E158FA">
        <w:rPr>
          <w:rFonts w:ascii="Arial" w:hAnsi="Arial" w:cs="Arial"/>
          <w:b/>
          <w:bCs/>
        </w:rPr>
        <w:instrText>SEQ Slika \* ARABIC</w:instrText>
      </w:r>
      <w:r w:rsidRPr="00E158FA">
        <w:rPr>
          <w:rFonts w:ascii="Arial" w:hAnsi="Arial" w:cs="Arial"/>
          <w:b/>
          <w:bCs/>
        </w:rPr>
        <w:fldChar w:fldCharType="separate"/>
      </w:r>
      <w:r>
        <w:rPr>
          <w:rFonts w:ascii="Arial" w:hAnsi="Arial" w:cs="Arial"/>
          <w:b/>
          <w:bCs/>
          <w:noProof/>
        </w:rPr>
        <w:t>5</w:t>
      </w:r>
      <w:r w:rsidRPr="00E158FA">
        <w:rPr>
          <w:rFonts w:ascii="Arial" w:hAnsi="Arial" w:cs="Arial"/>
          <w:b/>
          <w:bCs/>
        </w:rPr>
        <w:fldChar w:fldCharType="end"/>
      </w:r>
      <w:r w:rsidRPr="00E158FA">
        <w:rPr>
          <w:rFonts w:ascii="Arial" w:hAnsi="Arial" w:cs="Arial"/>
          <w:b/>
          <w:bCs/>
        </w:rPr>
        <w:t>: koridor 5, koridor 6, koridor 10 in koridor 11 v Republiki Sloveniji</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Železniški tovorni Koridor “Sredozemlje (RFC 6)”</w:t>
      </w:r>
    </w:p>
    <w:p w:rsidR="00D427A7" w:rsidRPr="00E158FA" w:rsidRDefault="00D427A7" w:rsidP="00D427A7">
      <w:pPr>
        <w:spacing w:after="0"/>
        <w:jc w:val="both"/>
        <w:rPr>
          <w:rFonts w:ascii="Arial" w:hAnsi="Arial" w:cs="Arial"/>
        </w:rPr>
      </w:pPr>
      <w:r w:rsidRPr="00E158FA">
        <w:rPr>
          <w:rFonts w:ascii="Arial" w:hAnsi="Arial" w:cs="Arial"/>
        </w:rPr>
        <w:t>Prednostni tovorni koridor Sredozemlje (RFC 6) poteka od Španije preko Francije, Italije, RS, Hrvaške in Madžarske. Začetna točka koridorja je špansko pristanišče Almeria (alternativa začetka poti je pristanišče Algeciras ob Gibraltarski ožini). Koridor nato poteka z enim krakom preko Valencie do Barcelone, z drugim krakom pa preko Madrida in Zaragoze.</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Od Barcelone v Španiji se koridor nadaljuje preko Marseilla in Lyona v Franciji, Torina, Milana, Verone, Padove in Benetk v Italiji, Ljubljane v RS do Budimpešte na Madžarskem.</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Med Benetkami in Ljubljano se koridorju priključita veji iz Trsta in iz Kopra. Poleg teh poteka koridor do Budimpešte in naprej do mesta Zahony na madžarsko-ukrajinski meji tudi iz hrvaškega pristanišča Reka preko Zagreba.</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color w:val="4F81BD"/>
        </w:rPr>
      </w:pPr>
      <w:r w:rsidRPr="00E158FA">
        <w:rPr>
          <w:rFonts w:ascii="Arial" w:eastAsia="Times New Roman" w:hAnsi="Arial" w:cs="Arial"/>
          <w:b/>
          <w:bCs/>
        </w:rPr>
        <w:t>Razdelitev Koridorja Sredozemlje (RFC 6) po odsekih</w:t>
      </w:r>
    </w:p>
    <w:p w:rsidR="00D427A7" w:rsidRPr="00E158FA" w:rsidRDefault="00D427A7" w:rsidP="00D427A7">
      <w:pPr>
        <w:spacing w:after="0"/>
        <w:jc w:val="both"/>
        <w:rPr>
          <w:rFonts w:ascii="Arial" w:hAnsi="Arial" w:cs="Arial"/>
        </w:rPr>
      </w:pPr>
      <w:r w:rsidRPr="00E158FA">
        <w:rPr>
          <w:rFonts w:ascii="Arial" w:hAnsi="Arial" w:cs="Arial"/>
        </w:rPr>
        <w:t xml:space="preserve">Koridor poteka od mejnega prehoda z Madžarsko Hodoša preko Ljutomera, Pragerskega, Celja, Zidanega Mosta, Ljubljane do Divače. V Zidanem Mostu se Koridor RFC 6 loči v smeri Ljubljane in v smeri proti Dobovi (mejni prehod s Hrvaško). V Divači se železniška proga Koridorja RFC 6 loči na pristanišče v Kopru ali na mejni prehod Sežana. </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Alpsko – Zahodno Balkanski železniški tovorni koridor (RFC10)</w:t>
      </w:r>
    </w:p>
    <w:p w:rsidR="00D427A7" w:rsidRPr="00E158FA" w:rsidRDefault="00D427A7" w:rsidP="00D427A7">
      <w:pPr>
        <w:spacing w:after="0"/>
        <w:jc w:val="both"/>
        <w:rPr>
          <w:rFonts w:ascii="Arial" w:hAnsi="Arial" w:cs="Arial"/>
        </w:rPr>
      </w:pPr>
      <w:r w:rsidRPr="00E158FA">
        <w:rPr>
          <w:rFonts w:ascii="Arial" w:hAnsi="Arial" w:cs="Arial"/>
        </w:rPr>
        <w:t>Tovorni železniški koridor 10 (RFC10) poteka na relaciji Salzburg – Beljak – Ljubljana / Wels / Linz – Gradec – Maribor – Zagreb – Vinkovci / Vukovar – Tovarnik – Beograd – Sofija – Svilengrad (bolgarsko – turška meja).</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Namen vzpostavitve novega tovornega koridorja je izboljšanje medsebojne povezanosti držav članic in evropskih tretjih držav, saj vključuje tudi Srbijo in omogoča povezavo s Turčijo na bolgarsko - turški meji, s čimer nudi neposredno povezavo med zahodno in srednjo Evropo ter Turčijo. RFC10 zadosti velikemu povpraševanju po intermodalnih storitvah železniškega tovornega prometa med Evropsko unijo in Turčijo in zaokroži geografsko pokritje celotne Evrope s koridorji konkurenčnega tovornega prometa.</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Jantarni železniški tovorni koridor (RFC11)</w:t>
      </w:r>
    </w:p>
    <w:p w:rsidR="00D427A7" w:rsidRPr="00E158FA" w:rsidRDefault="00D427A7" w:rsidP="00D427A7">
      <w:pPr>
        <w:spacing w:after="0"/>
        <w:jc w:val="both"/>
        <w:rPr>
          <w:rFonts w:ascii="Arial" w:hAnsi="Arial" w:cs="Arial"/>
        </w:rPr>
      </w:pPr>
      <w:r w:rsidRPr="00E158FA">
        <w:rPr>
          <w:rFonts w:ascii="Arial" w:hAnsi="Arial" w:cs="Arial"/>
        </w:rPr>
        <w:t>Tovorni železniški koridor 11 (RFC11) poteka na relaciji Koper – Ljubljana – Zalaszentiván – Sopron / Csorna (madžarsko – srbska meja) – Kelebia – Budimpešta / Komárom – Leopoldov / Rajka – Bratislava – Žilina – Katowice / Krakov – Varšava / Łuków – Terespol (poljsko – beloruska meja). Namen vzpostavitve tovornega koridorja RFC11 je povezava vzhodne meje Evropske unije z Jadranskim morjem za povečanje tržnega deleža železniškega prevoza na tej pomembni transportni osi. Jantarni koridor v RS poteka enako kot koridor 6 oziroma Koridor Mediteran.</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1"/>
        <w:rPr>
          <w:rFonts w:ascii="Arial" w:eastAsia="Times New Roman" w:hAnsi="Arial" w:cs="Arial"/>
          <w:b/>
          <w:bCs/>
        </w:rPr>
      </w:pPr>
      <w:r w:rsidRPr="00E158FA">
        <w:rPr>
          <w:rFonts w:ascii="Arial" w:eastAsia="Times New Roman" w:hAnsi="Arial" w:cs="Arial"/>
          <w:b/>
          <w:bCs/>
        </w:rPr>
        <w:t>2.1.3 Pristanišča in pristaniška infrastruktura v RS</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Pristanišče Koper je eno najpomembnejših strateških platform in ima ugodno geostrateško lego za oskrbovanje trgov srednje in vzhodne Evrope, je najkrajša vez med Srednjim in Daljnim Vzhodom ter srednjo Evropo. Osnovna dejavnost pristanišča je pretovor in skladiščenje vseh vrst blaga ter vrsta dopolnilnih storitev na blagu in drugih storitvah. Območje pristanišča obsega 274 hektarjev kopenskih površin, ki vključujejo 50,7 hektarja pokritih skladišč in 109 hektarjev odprtih skladiščnih površin. Ob 179 hektarjih morske površine in 3.282 metrih obale je 28 ladijskih privezov.</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1"/>
        <w:rPr>
          <w:rFonts w:ascii="Arial" w:eastAsia="Times New Roman" w:hAnsi="Arial" w:cs="Arial"/>
          <w:b/>
          <w:bCs/>
        </w:rPr>
      </w:pPr>
      <w:r w:rsidRPr="00E158FA">
        <w:rPr>
          <w:rFonts w:ascii="Arial" w:eastAsia="Times New Roman" w:hAnsi="Arial" w:cs="Arial"/>
          <w:b/>
          <w:bCs/>
        </w:rPr>
        <w:t>2.1.4 Letališka infrastruktura</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 xml:space="preserve">Tri javna letališča so namenjena mednarodnemu zračnemu prometu, in sicer letališče Jožeta Pučnika Ljubljana, Letališče Edvarda Rusjana Maribor in Letališče Portorož. Osrednje vojaško letališče je Letališče Cerklje ob Krki. </w:t>
      </w:r>
    </w:p>
    <w:p w:rsidR="00D427A7" w:rsidRPr="00E158FA" w:rsidRDefault="00D427A7" w:rsidP="00D427A7">
      <w:pPr>
        <w:spacing w:after="0"/>
        <w:jc w:val="both"/>
        <w:rPr>
          <w:rFonts w:ascii="Arial" w:hAnsi="Arial" w:cs="Arial"/>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Letališče Jožeta Pučnika Ljubljana</w:t>
      </w:r>
    </w:p>
    <w:p w:rsidR="00D427A7" w:rsidRPr="00E158FA" w:rsidRDefault="00D427A7" w:rsidP="00D427A7">
      <w:pPr>
        <w:spacing w:after="0"/>
        <w:jc w:val="both"/>
        <w:rPr>
          <w:rFonts w:ascii="Arial" w:hAnsi="Arial" w:cs="Arial"/>
        </w:rPr>
      </w:pPr>
      <w:r w:rsidRPr="00E158FA">
        <w:rPr>
          <w:rFonts w:ascii="Arial" w:hAnsi="Arial" w:cs="Arial"/>
        </w:rPr>
        <w:t xml:space="preserve">Letališče Jožeta Pučnika Ljubljana je osrednje slovensko letališče. Letališče se sestoji iz potniškega in tovornega terminala. </w:t>
      </w:r>
      <w:r w:rsidRPr="00E158FA">
        <w:rPr>
          <w:rFonts w:ascii="Arial" w:hAnsi="Arial" w:cs="Arial"/>
          <w:lang w:eastAsia="sl-SI"/>
        </w:rPr>
        <w:t>Na glavni ploščadi letališča je v osnovi na voljo 25 parkirnih mest, razporejenih v dveh vrstah. V prvi vrsti parkiranja (bliže potniškemu terminalu) so parkirna mesta od PSN 1 do PSN 15, v drugi vrsti parkiranja (bliže TWY A) pa parkirna mesta PSN 31 do PSN 40.</w:t>
      </w:r>
      <w:r w:rsidRPr="00E158FA">
        <w:rPr>
          <w:rFonts w:ascii="Arial" w:hAnsi="Arial" w:cs="Arial"/>
        </w:rPr>
        <w:t xml:space="preserve"> </w:t>
      </w:r>
      <w:r w:rsidRPr="00E158FA">
        <w:rPr>
          <w:rFonts w:ascii="Arial" w:hAnsi="Arial" w:cs="Arial"/>
          <w:lang w:eastAsia="sl-SI"/>
        </w:rPr>
        <w:t xml:space="preserve">Letala na parkirnih mestih v prvi vrsti parkirajo po t. i. načinu nose-in/push-back, zrakoplovi v drugi vrsti pa po načinu t. i. samostojnega parkiranja zrakoplovi parkirajo in odidejo s parkirnih mest popolnoma samostojno, z lastnim pogonom. </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rPr>
      </w:pPr>
      <w:r w:rsidRPr="00E158FA">
        <w:rPr>
          <w:rFonts w:ascii="Arial" w:hAnsi="Arial" w:cs="Arial"/>
        </w:rPr>
        <w:t xml:space="preserve">Ploščad splošnega letalstva je namenjena vsem aktivnostim zrakoplovov splošnega letalstva na letališču in oskrbi vseh komercialnih, poslovnih in zasebnih zrakoplovov, če ne presegajo teže 44 ton in je na letalu manj kot 19 sedežev. Na ploščadi je na voljo šest območij za parkiranje letal. Območja so omejena z rdečo barvo, na posameznih območjih so zaradi boljše orientacije označena tudi parkirna mesta od PSN G9 do PSN G21. Na ploščadi splošnega letalstva je tudi ločeno območje za izključno helikopterske operacije. Posebej so za </w:t>
      </w:r>
      <w:r w:rsidRPr="00E158FA">
        <w:rPr>
          <w:rFonts w:ascii="Arial" w:hAnsi="Arial" w:cs="Arial"/>
        </w:rPr>
        <w:lastRenderedPageBreak/>
        <w:t>helikopterje pripravljena tri parkirna mesta, dostop pa je mogoč prek zračne spojnice »AirTWY V«. Trenutno se ATWY V lahko dnevno uporablja le pod pogoji VMC.</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rPr>
      </w:pPr>
      <w:r w:rsidRPr="00E158FA">
        <w:rPr>
          <w:rFonts w:ascii="Arial" w:hAnsi="Arial" w:cs="Arial"/>
        </w:rPr>
        <w:t>Za pristajanje letal se v glavnem uporablja steza 30, ki je ustrezno opremljena in omogoča pristajanje zrakoplovov v pogojih CAT IIIb. V pogojih instrumentalnega prileta so na voljo prilet ILS 30 in prilet VOR/DME 30. Po pristanku zrakoplovi načelno zapuščajo VPS prek spojnice TWY G, za vstop na glavno ploščad pa so na voljo spojnice TWY N, TWY P in TWY M.</w:t>
      </w:r>
    </w:p>
    <w:p w:rsidR="00D427A7" w:rsidRPr="00E158FA" w:rsidRDefault="00D427A7" w:rsidP="00D427A7">
      <w:pPr>
        <w:spacing w:after="0"/>
        <w:jc w:val="both"/>
        <w:rPr>
          <w:rFonts w:ascii="Arial" w:hAnsi="Arial" w:cs="Arial"/>
          <w:lang w:eastAsia="sl-SI"/>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Letališče Edvarda Rusjana Maribor</w:t>
      </w:r>
    </w:p>
    <w:p w:rsidR="00D427A7" w:rsidRPr="00E158FA" w:rsidRDefault="00D427A7" w:rsidP="00D427A7">
      <w:pPr>
        <w:spacing w:after="0"/>
        <w:jc w:val="both"/>
        <w:rPr>
          <w:rFonts w:ascii="Arial" w:hAnsi="Arial" w:cs="Arial"/>
        </w:rPr>
      </w:pPr>
      <w:r w:rsidRPr="00E158FA">
        <w:rPr>
          <w:rFonts w:ascii="Arial" w:hAnsi="Arial" w:cs="Arial"/>
        </w:rPr>
        <w:t xml:space="preserve">Letališče Edvarda Rusjana Maribor je drugo največje letališče v Sloveniji, leži pa na severnem robu Dravsko-Ptujskega polja v občini Hoče - Slivnica. Letališče se nahaja 9 kilometrov od mesta Maribor. Prav tako ima letališče priključek na avtocesto A1 in priključek na/iz avtoceste A4. Letališče razpolaga s 4.100 m² skladiščnih prostorov ter 580 parkirnimi mesti za avtomobile in 10 parkirni mesti za avtobuse, </w:t>
      </w:r>
      <w:r w:rsidRPr="00E158FA">
        <w:rPr>
          <w:rFonts w:ascii="Arial" w:eastAsia="Times New Roman" w:hAnsi="Arial" w:cs="Arial"/>
          <w:lang w:eastAsia="sl-SI"/>
        </w:rPr>
        <w:t>vozili za čiščenje snega in drugih nečistoč z manevrskih površin, vozili za razledenitev in zaščito letal pred zamrzovanjem, nakladalno-razkladalno rampo za pretovor blaga ter ostalimi sredstvi za oskrbo letal.</w:t>
      </w:r>
    </w:p>
    <w:p w:rsidR="00D427A7" w:rsidRPr="00E158FA" w:rsidRDefault="00D427A7" w:rsidP="00D427A7">
      <w:pPr>
        <w:spacing w:after="0"/>
        <w:jc w:val="both"/>
        <w:rPr>
          <w:rFonts w:ascii="Arial" w:hAnsi="Arial" w:cs="Arial"/>
          <w:lang w:eastAsia="sl-SI"/>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Letališče Portorož</w:t>
      </w:r>
    </w:p>
    <w:p w:rsidR="00D427A7" w:rsidRPr="00E158FA" w:rsidRDefault="00D427A7" w:rsidP="00D427A7">
      <w:pPr>
        <w:spacing w:after="0"/>
        <w:jc w:val="both"/>
        <w:rPr>
          <w:rFonts w:ascii="Arial" w:eastAsia="Times New Roman" w:hAnsi="Arial" w:cs="Arial"/>
          <w:lang w:eastAsia="sl-SI"/>
        </w:rPr>
      </w:pPr>
      <w:r w:rsidRPr="00E158FA">
        <w:rPr>
          <w:rFonts w:ascii="Arial" w:eastAsia="Times New Roman" w:hAnsi="Arial" w:cs="Arial"/>
          <w:lang w:eastAsia="sl-SI"/>
        </w:rPr>
        <w:t>Letališče Portorož (oznaka IATA: POW, oznaka ICAO: LJPZ) je tretje mednarodno letališče v RS. Ima strateško lego, saj je geografsko dobro umeščeno v srednjo Evropo ter ima dobre cestne povezave s središčem države in sosednjimi regijami. Od Portoroža je oddaljeno le 5 km, 15 km od hrvaškega Umaga in 20 km od italijanskega Trsta. Osnovna dejavnost letališča obsega upravljanje letališča z zagotavljanjem pristankov in vzletov letal, uporabo infrastrukture in potniškega terminala, izvajanje zemeljske oskrbe letal, potnikov in prtljage ter komercialne dejavnosti.</w:t>
      </w:r>
    </w:p>
    <w:p w:rsidR="00D427A7" w:rsidRPr="00E158FA" w:rsidRDefault="00D427A7" w:rsidP="00D427A7">
      <w:pPr>
        <w:spacing w:after="0"/>
        <w:jc w:val="both"/>
        <w:rPr>
          <w:rFonts w:ascii="Arial" w:hAnsi="Arial" w:cs="Arial"/>
          <w:lang w:eastAsia="sl-SI"/>
        </w:rPr>
      </w:pPr>
    </w:p>
    <w:p w:rsidR="00D427A7" w:rsidRPr="00E158FA" w:rsidRDefault="00D427A7" w:rsidP="00D427A7">
      <w:pPr>
        <w:keepNext/>
        <w:keepLines/>
        <w:spacing w:after="0"/>
        <w:jc w:val="both"/>
        <w:outlineLvl w:val="2"/>
        <w:rPr>
          <w:rFonts w:ascii="Arial" w:eastAsia="Times New Roman" w:hAnsi="Arial" w:cs="Arial"/>
          <w:b/>
          <w:bCs/>
        </w:rPr>
      </w:pPr>
      <w:r w:rsidRPr="00E158FA">
        <w:rPr>
          <w:rFonts w:ascii="Arial" w:eastAsia="Times New Roman" w:hAnsi="Arial" w:cs="Arial"/>
          <w:b/>
          <w:bCs/>
        </w:rPr>
        <w:t>Letališče Cerklje ob Krki</w:t>
      </w:r>
    </w:p>
    <w:p w:rsidR="00D427A7" w:rsidRPr="00E158FA" w:rsidRDefault="00D427A7" w:rsidP="00D427A7">
      <w:pPr>
        <w:spacing w:after="0"/>
        <w:jc w:val="both"/>
        <w:rPr>
          <w:rFonts w:ascii="Arial" w:hAnsi="Arial" w:cs="Arial"/>
          <w:lang w:eastAsia="sl-SI"/>
        </w:rPr>
      </w:pPr>
      <w:r w:rsidRPr="00E158FA">
        <w:rPr>
          <w:rFonts w:ascii="Arial" w:hAnsi="Arial" w:cs="Arial"/>
          <w:lang w:eastAsia="sl-SI"/>
        </w:rPr>
        <w:t>S tehnološko prenovo in rekonstrukcijo je Letališče Cerklje ob Krki osrednje vojaško letališče v Sloveniji, obnovljeno in opremljeno predvsem za potrebe Slovenske vojske in NATA. Prenovljeno je v skladu z vojaškimi in civilnimi standardi, saj je namenjeno tudi civilnemu zračnemu prometu.</w:t>
      </w:r>
    </w:p>
    <w:p w:rsidR="00D427A7" w:rsidRPr="00E158FA" w:rsidRDefault="00D427A7" w:rsidP="00D427A7">
      <w:pPr>
        <w:spacing w:after="0"/>
        <w:jc w:val="both"/>
        <w:rPr>
          <w:rFonts w:ascii="Arial" w:hAnsi="Arial" w:cs="Arial"/>
          <w:lang w:eastAsia="sl-SI"/>
        </w:rPr>
      </w:pPr>
    </w:p>
    <w:p w:rsidR="00D427A7" w:rsidRPr="00E158FA" w:rsidRDefault="00D427A7" w:rsidP="00D427A7">
      <w:pPr>
        <w:spacing w:after="0"/>
        <w:jc w:val="both"/>
        <w:rPr>
          <w:rFonts w:ascii="Arial" w:hAnsi="Arial" w:cs="Arial"/>
        </w:rPr>
      </w:pPr>
      <w:r w:rsidRPr="00E158FA">
        <w:rPr>
          <w:rFonts w:ascii="Arial" w:hAnsi="Arial" w:cs="Arial"/>
        </w:rPr>
        <w:t>Travnata steza ob osrednji vzletno-pristajalni stezi bo ohranjena, vendar zaradi namestitve navigacijskih sredstev skrajšana na 1100 m.</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b/>
        </w:rPr>
      </w:pPr>
      <w:r w:rsidRPr="00E158FA">
        <w:rPr>
          <w:rFonts w:ascii="Arial" w:hAnsi="Arial" w:cs="Arial"/>
          <w:b/>
        </w:rPr>
        <w:t>2.2 Pregled projektov iz naslova dvojne rabe</w:t>
      </w:r>
    </w:p>
    <w:p w:rsidR="00D427A7" w:rsidRPr="00E158FA" w:rsidRDefault="00D427A7" w:rsidP="00D427A7">
      <w:pPr>
        <w:spacing w:after="0"/>
        <w:jc w:val="both"/>
        <w:rPr>
          <w:rFonts w:ascii="Arial" w:hAnsi="Arial" w:cs="Arial"/>
          <w:b/>
        </w:rPr>
      </w:pPr>
    </w:p>
    <w:p w:rsidR="00D427A7" w:rsidRPr="00E158FA" w:rsidRDefault="00D427A7" w:rsidP="00D427A7">
      <w:pPr>
        <w:spacing w:after="0"/>
        <w:jc w:val="both"/>
        <w:rPr>
          <w:rFonts w:ascii="Arial" w:hAnsi="Arial" w:cs="Arial"/>
        </w:rPr>
      </w:pPr>
      <w:r w:rsidRPr="00E158FA">
        <w:rPr>
          <w:rFonts w:ascii="Arial" w:hAnsi="Arial" w:cs="Arial"/>
        </w:rPr>
        <w:t xml:space="preserve">Stalna medresorska koordinacijska skupina je oblikovala seznam prednostnih projektov s katerimi bi RS lahko zagotovila boljšo vojaško mobilnost. RS bo s temi projekti lahko kandidirala za sredstva namenjena sofinanciranju civilno-vojaških projektov za dvojno rabo v okviru Instrumenta za povezovanje Evrope za obdobje 2021–2027, saj bo to prispevalo k hitrejši realizaciji nalog države.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PODROČJE AVTOCEST:</w:t>
      </w:r>
    </w:p>
    <w:p w:rsidR="00D427A7" w:rsidRPr="00E158FA" w:rsidRDefault="00D427A7" w:rsidP="00D427A7">
      <w:pPr>
        <w:numPr>
          <w:ilvl w:val="0"/>
          <w:numId w:val="9"/>
        </w:numPr>
        <w:spacing w:after="0"/>
        <w:contextualSpacing/>
        <w:jc w:val="both"/>
        <w:rPr>
          <w:rFonts w:ascii="Arial" w:hAnsi="Arial" w:cs="Arial"/>
        </w:rPr>
      </w:pPr>
      <w:r w:rsidRPr="00E158FA">
        <w:rPr>
          <w:rFonts w:ascii="Arial" w:hAnsi="Arial" w:cs="Arial"/>
        </w:rPr>
        <w:t>rekonstrukcija odsekov A1 med Domžalami in Zadobrovo,</w:t>
      </w:r>
    </w:p>
    <w:p w:rsidR="00D427A7" w:rsidRPr="00E158FA" w:rsidRDefault="00D427A7" w:rsidP="00D427A7">
      <w:pPr>
        <w:numPr>
          <w:ilvl w:val="0"/>
          <w:numId w:val="9"/>
        </w:numPr>
        <w:spacing w:after="0"/>
        <w:contextualSpacing/>
        <w:jc w:val="both"/>
        <w:rPr>
          <w:rFonts w:ascii="Arial" w:hAnsi="Arial" w:cs="Arial"/>
        </w:rPr>
      </w:pPr>
      <w:r w:rsidRPr="00E158FA">
        <w:rPr>
          <w:rFonts w:ascii="Arial" w:hAnsi="Arial" w:cs="Arial"/>
        </w:rPr>
        <w:t>gradnja nadomestnega premostitvenega objekta na Dolgem mostu (Ljubljana),</w:t>
      </w:r>
    </w:p>
    <w:p w:rsidR="00D427A7" w:rsidRPr="00E158FA" w:rsidRDefault="00D427A7" w:rsidP="00D427A7">
      <w:pPr>
        <w:numPr>
          <w:ilvl w:val="0"/>
          <w:numId w:val="9"/>
        </w:numPr>
        <w:spacing w:after="0"/>
        <w:contextualSpacing/>
        <w:jc w:val="both"/>
        <w:rPr>
          <w:rFonts w:ascii="Arial" w:hAnsi="Arial" w:cs="Arial"/>
        </w:rPr>
      </w:pPr>
      <w:r w:rsidRPr="00E158FA">
        <w:rPr>
          <w:rFonts w:ascii="Arial" w:hAnsi="Arial" w:cs="Arial"/>
        </w:rPr>
        <w:t>gradnja nadomestnega viadukta Slatina (odsek Slovenske Konjice–Dramlje),</w:t>
      </w:r>
    </w:p>
    <w:p w:rsidR="00D427A7" w:rsidRPr="00E158FA" w:rsidRDefault="00D427A7" w:rsidP="00D427A7">
      <w:pPr>
        <w:numPr>
          <w:ilvl w:val="0"/>
          <w:numId w:val="9"/>
        </w:numPr>
        <w:spacing w:after="0"/>
        <w:contextualSpacing/>
        <w:jc w:val="both"/>
        <w:rPr>
          <w:rFonts w:ascii="Arial" w:hAnsi="Arial" w:cs="Arial"/>
        </w:rPr>
      </w:pPr>
      <w:r w:rsidRPr="00E158FA">
        <w:rPr>
          <w:rFonts w:ascii="Arial" w:hAnsi="Arial" w:cs="Arial"/>
        </w:rPr>
        <w:t>ureditev avtocestnega priključka po serminski vpadnici v pristanišče Koper,</w:t>
      </w:r>
    </w:p>
    <w:p w:rsidR="00D427A7" w:rsidRPr="00E158FA" w:rsidRDefault="00D427A7" w:rsidP="00D427A7">
      <w:pPr>
        <w:numPr>
          <w:ilvl w:val="0"/>
          <w:numId w:val="9"/>
        </w:numPr>
        <w:spacing w:after="0"/>
        <w:contextualSpacing/>
        <w:jc w:val="both"/>
        <w:rPr>
          <w:rFonts w:ascii="Arial" w:hAnsi="Arial" w:cs="Arial"/>
        </w:rPr>
      </w:pPr>
      <w:r w:rsidRPr="00E158FA">
        <w:rPr>
          <w:rFonts w:ascii="Arial" w:hAnsi="Arial" w:cs="Arial"/>
        </w:rPr>
        <w:lastRenderedPageBreak/>
        <w:t>rekonstrukcija odsekov A1 od razcepa Kozarje do Vrhnike.</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PODROČJE ŽELEZNIC:</w:t>
      </w:r>
    </w:p>
    <w:p w:rsidR="00D427A7" w:rsidRPr="00E158FA" w:rsidRDefault="00D427A7" w:rsidP="00D427A7">
      <w:pPr>
        <w:numPr>
          <w:ilvl w:val="0"/>
          <w:numId w:val="8"/>
        </w:numPr>
        <w:spacing w:after="0"/>
        <w:contextualSpacing/>
        <w:jc w:val="both"/>
        <w:rPr>
          <w:rFonts w:ascii="Arial" w:hAnsi="Arial" w:cs="Arial"/>
        </w:rPr>
      </w:pPr>
      <w:r w:rsidRPr="00E158FA">
        <w:rPr>
          <w:rFonts w:ascii="Arial" w:hAnsi="Arial" w:cs="Arial"/>
        </w:rPr>
        <w:t xml:space="preserve">nadgradnja železniške postaje Sežana, </w:t>
      </w:r>
    </w:p>
    <w:p w:rsidR="00D427A7" w:rsidRPr="00E158FA" w:rsidRDefault="00D427A7" w:rsidP="00D427A7">
      <w:pPr>
        <w:numPr>
          <w:ilvl w:val="0"/>
          <w:numId w:val="8"/>
        </w:numPr>
        <w:spacing w:after="0"/>
        <w:contextualSpacing/>
        <w:jc w:val="both"/>
        <w:rPr>
          <w:rFonts w:ascii="Arial" w:hAnsi="Arial" w:cs="Arial"/>
        </w:rPr>
      </w:pPr>
      <w:r w:rsidRPr="00E158FA">
        <w:rPr>
          <w:rFonts w:ascii="Arial" w:hAnsi="Arial" w:cs="Arial"/>
        </w:rPr>
        <w:t>nadgradnja železniškega odseka Sežana – d.m..</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PODROČJE POMORSTVA:</w:t>
      </w:r>
    </w:p>
    <w:p w:rsidR="00D427A7" w:rsidRPr="00E158FA" w:rsidRDefault="00D427A7" w:rsidP="00D427A7">
      <w:pPr>
        <w:numPr>
          <w:ilvl w:val="0"/>
          <w:numId w:val="10"/>
        </w:numPr>
        <w:spacing w:after="0"/>
        <w:contextualSpacing/>
        <w:jc w:val="both"/>
        <w:rPr>
          <w:rFonts w:ascii="Arial" w:hAnsi="Arial" w:cs="Arial"/>
        </w:rPr>
      </w:pPr>
      <w:r w:rsidRPr="00E158FA">
        <w:rPr>
          <w:rFonts w:ascii="Arial" w:hAnsi="Arial" w:cs="Arial"/>
        </w:rPr>
        <w:t>izgradnja 12. veza in Ro-RO veza na pomolu II s poglobitvijo morskega dna ob 1. vezu in vzdolž obale Pomola II in v Bazenu II,</w:t>
      </w:r>
    </w:p>
    <w:p w:rsidR="00D427A7" w:rsidRPr="00E158FA" w:rsidRDefault="00D427A7" w:rsidP="00D427A7">
      <w:pPr>
        <w:numPr>
          <w:ilvl w:val="0"/>
          <w:numId w:val="10"/>
        </w:numPr>
        <w:spacing w:after="0"/>
        <w:contextualSpacing/>
        <w:jc w:val="both"/>
        <w:rPr>
          <w:rFonts w:ascii="Arial" w:hAnsi="Arial" w:cs="Arial"/>
        </w:rPr>
      </w:pPr>
      <w:r w:rsidRPr="00E158FA">
        <w:rPr>
          <w:rFonts w:ascii="Arial" w:hAnsi="Arial" w:cs="Arial"/>
        </w:rPr>
        <w:t>gradnja tirov 21 in 52 na južni obali pomola II,</w:t>
      </w:r>
    </w:p>
    <w:p w:rsidR="00D427A7" w:rsidRPr="00E158FA" w:rsidRDefault="00D427A7" w:rsidP="00D427A7">
      <w:pPr>
        <w:numPr>
          <w:ilvl w:val="0"/>
          <w:numId w:val="10"/>
        </w:numPr>
        <w:spacing w:after="0"/>
        <w:contextualSpacing/>
        <w:jc w:val="both"/>
        <w:rPr>
          <w:rFonts w:ascii="Arial" w:hAnsi="Arial" w:cs="Arial"/>
        </w:rPr>
      </w:pPr>
      <w:r w:rsidRPr="00E158FA">
        <w:rPr>
          <w:rFonts w:ascii="Arial" w:hAnsi="Arial" w:cs="Arial"/>
        </w:rPr>
        <w:t>izgradnja kasete na čelu pomola II,</w:t>
      </w:r>
    </w:p>
    <w:p w:rsidR="00D427A7" w:rsidRPr="00E158FA" w:rsidRDefault="00D427A7" w:rsidP="00D427A7">
      <w:pPr>
        <w:numPr>
          <w:ilvl w:val="0"/>
          <w:numId w:val="10"/>
        </w:numPr>
        <w:spacing w:after="0"/>
        <w:contextualSpacing/>
        <w:jc w:val="both"/>
        <w:rPr>
          <w:rFonts w:ascii="Arial" w:hAnsi="Arial" w:cs="Arial"/>
        </w:rPr>
      </w:pPr>
      <w:r w:rsidRPr="00E158FA">
        <w:rPr>
          <w:rFonts w:ascii="Arial" w:hAnsi="Arial" w:cs="Arial"/>
        </w:rPr>
        <w:t>dvojni privez na območju VNT s poglabljanjem na -13m,</w:t>
      </w:r>
    </w:p>
    <w:p w:rsidR="00D427A7" w:rsidRPr="00E158FA" w:rsidRDefault="00D427A7" w:rsidP="00D427A7">
      <w:pPr>
        <w:numPr>
          <w:ilvl w:val="0"/>
          <w:numId w:val="10"/>
        </w:numPr>
        <w:spacing w:after="0"/>
        <w:contextualSpacing/>
        <w:jc w:val="both"/>
        <w:rPr>
          <w:rFonts w:ascii="Arial" w:hAnsi="Arial" w:cs="Arial"/>
        </w:rPr>
      </w:pPr>
      <w:r w:rsidRPr="00E158FA">
        <w:rPr>
          <w:rFonts w:ascii="Arial" w:hAnsi="Arial" w:cs="Arial"/>
        </w:rPr>
        <w:t>pridobitev in ureditev kasete 7A,</w:t>
      </w:r>
    </w:p>
    <w:p w:rsidR="00D427A7" w:rsidRPr="00E158FA" w:rsidRDefault="00D427A7" w:rsidP="00D427A7">
      <w:pPr>
        <w:numPr>
          <w:ilvl w:val="0"/>
          <w:numId w:val="10"/>
        </w:numPr>
        <w:spacing w:after="0"/>
        <w:contextualSpacing/>
        <w:jc w:val="both"/>
        <w:rPr>
          <w:rFonts w:ascii="Arial" w:hAnsi="Arial" w:cs="Arial"/>
        </w:rPr>
      </w:pPr>
      <w:r w:rsidRPr="00E158FA">
        <w:rPr>
          <w:rFonts w:ascii="Arial" w:hAnsi="Arial" w:cs="Arial"/>
        </w:rPr>
        <w:t>ureditev površin na območju kasete 6A.</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 xml:space="preserve">PODROČJE MREŽE LOGISTIČNIH VOZLIŠČ V EVROPI IN PODPORA OPERACIJAM: </w:t>
      </w:r>
    </w:p>
    <w:p w:rsidR="00D427A7" w:rsidRPr="00E158FA" w:rsidRDefault="00D427A7" w:rsidP="00D427A7">
      <w:pPr>
        <w:numPr>
          <w:ilvl w:val="0"/>
          <w:numId w:val="11"/>
        </w:numPr>
        <w:spacing w:after="0"/>
        <w:contextualSpacing/>
        <w:jc w:val="both"/>
        <w:rPr>
          <w:rFonts w:ascii="Arial" w:hAnsi="Arial" w:cs="Arial"/>
        </w:rPr>
      </w:pPr>
      <w:r w:rsidRPr="00E158FA">
        <w:rPr>
          <w:rFonts w:ascii="Arial" w:hAnsi="Arial" w:cs="Arial"/>
        </w:rPr>
        <w:t>Ministrstvo za obrambo je identificiralo, da so to:</w:t>
      </w:r>
    </w:p>
    <w:p w:rsidR="00D427A7" w:rsidRPr="00E158FA" w:rsidRDefault="00D427A7" w:rsidP="00D427A7">
      <w:pPr>
        <w:numPr>
          <w:ilvl w:val="0"/>
          <w:numId w:val="11"/>
        </w:numPr>
        <w:spacing w:after="0"/>
        <w:contextualSpacing/>
        <w:jc w:val="both"/>
        <w:rPr>
          <w:rFonts w:ascii="Arial" w:hAnsi="Arial" w:cs="Arial"/>
        </w:rPr>
      </w:pPr>
      <w:r w:rsidRPr="00E158FA">
        <w:rPr>
          <w:rFonts w:ascii="Arial" w:hAnsi="Arial" w:cs="Arial"/>
        </w:rPr>
        <w:t>skladiščne kapacitete za strelivo Mačkovec pri Postojni,</w:t>
      </w:r>
    </w:p>
    <w:p w:rsidR="00D427A7" w:rsidRPr="00E158FA" w:rsidRDefault="00D427A7" w:rsidP="00D427A7">
      <w:pPr>
        <w:numPr>
          <w:ilvl w:val="0"/>
          <w:numId w:val="11"/>
        </w:numPr>
        <w:spacing w:after="0"/>
        <w:contextualSpacing/>
        <w:jc w:val="both"/>
        <w:rPr>
          <w:rFonts w:ascii="Arial" w:hAnsi="Arial" w:cs="Arial"/>
        </w:rPr>
      </w:pPr>
      <w:r w:rsidRPr="00E158FA">
        <w:rPr>
          <w:rFonts w:ascii="Arial" w:hAnsi="Arial" w:cs="Arial"/>
        </w:rPr>
        <w:t>skladišče za splošni tovor Kidričevo,</w:t>
      </w:r>
    </w:p>
    <w:p w:rsidR="00D427A7" w:rsidRPr="00E158FA" w:rsidRDefault="00D427A7" w:rsidP="00D427A7">
      <w:pPr>
        <w:numPr>
          <w:ilvl w:val="0"/>
          <w:numId w:val="11"/>
        </w:numPr>
        <w:spacing w:after="0"/>
        <w:contextualSpacing/>
        <w:jc w:val="both"/>
        <w:rPr>
          <w:rFonts w:ascii="Arial" w:hAnsi="Arial" w:cs="Arial"/>
        </w:rPr>
      </w:pPr>
      <w:r w:rsidRPr="00E158FA">
        <w:rPr>
          <w:rFonts w:ascii="Arial" w:hAnsi="Arial" w:cs="Arial"/>
        </w:rPr>
        <w:t>vojaško letališče in oskrbovalna postaja za zrakoplove Cerklje ob Krki z njenim bodočimi novimi skladiščnim kapacitetami (Gazice).</w:t>
      </w:r>
    </w:p>
    <w:p w:rsidR="00D427A7" w:rsidRPr="00E158FA" w:rsidRDefault="00D427A7" w:rsidP="00D427A7">
      <w:pPr>
        <w:autoSpaceDE w:val="0"/>
        <w:autoSpaceDN w:val="0"/>
        <w:adjustRightInd w:val="0"/>
        <w:spacing w:after="0"/>
        <w:jc w:val="both"/>
        <w:rPr>
          <w:rFonts w:ascii="Arial" w:hAnsi="Arial" w:cs="Arial"/>
          <w:b/>
          <w:lang w:eastAsia="sl-SI"/>
        </w:rPr>
      </w:pPr>
    </w:p>
    <w:p w:rsidR="00D427A7" w:rsidRPr="00E158FA" w:rsidRDefault="00D427A7" w:rsidP="00D427A7">
      <w:pPr>
        <w:autoSpaceDE w:val="0"/>
        <w:autoSpaceDN w:val="0"/>
        <w:adjustRightInd w:val="0"/>
        <w:spacing w:after="0"/>
        <w:contextualSpacing/>
        <w:jc w:val="both"/>
        <w:rPr>
          <w:rFonts w:ascii="Arial" w:hAnsi="Arial" w:cs="Arial"/>
          <w:b/>
          <w:lang w:eastAsia="sl-SI"/>
        </w:rPr>
      </w:pPr>
      <w:bookmarkStart w:id="4" w:name="_Toc88470274"/>
      <w:r w:rsidRPr="00E158FA">
        <w:rPr>
          <w:rFonts w:ascii="Arial" w:hAnsi="Arial" w:cs="Arial"/>
          <w:b/>
          <w:lang w:eastAsia="sl-SI"/>
        </w:rPr>
        <w:t>2.3 Aktivnosti Republike Slovenije v sklopu EDA in PESCO</w:t>
      </w:r>
    </w:p>
    <w:p w:rsidR="00D427A7" w:rsidRPr="00E158FA" w:rsidRDefault="00D427A7" w:rsidP="00D427A7">
      <w:pPr>
        <w:autoSpaceDE w:val="0"/>
        <w:autoSpaceDN w:val="0"/>
        <w:adjustRightInd w:val="0"/>
        <w:spacing w:after="0"/>
        <w:ind w:left="720"/>
        <w:contextualSpacing/>
        <w:jc w:val="both"/>
        <w:rPr>
          <w:rFonts w:ascii="Arial" w:hAnsi="Arial" w:cs="Arial"/>
          <w:b/>
          <w:lang w:eastAsia="sl-SI"/>
        </w:rPr>
      </w:pPr>
    </w:p>
    <w:p w:rsidR="00D427A7" w:rsidRPr="00E158FA" w:rsidRDefault="00D427A7" w:rsidP="00D427A7">
      <w:pPr>
        <w:autoSpaceDE w:val="0"/>
        <w:autoSpaceDN w:val="0"/>
        <w:adjustRightInd w:val="0"/>
        <w:spacing w:after="0"/>
        <w:jc w:val="both"/>
        <w:rPr>
          <w:rFonts w:ascii="Arial" w:hAnsi="Arial" w:cs="Arial"/>
          <w:lang w:eastAsia="sl-SI"/>
        </w:rPr>
      </w:pPr>
      <w:r w:rsidRPr="00E158FA">
        <w:rPr>
          <w:rFonts w:ascii="Arial" w:hAnsi="Arial" w:cs="Arial"/>
          <w:lang w:eastAsia="sl-SI"/>
        </w:rPr>
        <w:t>RS obravnava vojaško mobilnost EU v sklopu EDA in PESCO:</w:t>
      </w:r>
    </w:p>
    <w:p w:rsidR="00D427A7" w:rsidRPr="00E158FA" w:rsidRDefault="00D427A7" w:rsidP="00D427A7">
      <w:pPr>
        <w:autoSpaceDE w:val="0"/>
        <w:autoSpaceDN w:val="0"/>
        <w:adjustRightInd w:val="0"/>
        <w:spacing w:after="0"/>
        <w:jc w:val="both"/>
        <w:rPr>
          <w:rFonts w:ascii="Arial" w:hAnsi="Arial" w:cs="Arial"/>
          <w:lang w:eastAsia="sl-SI"/>
        </w:rPr>
      </w:pPr>
    </w:p>
    <w:p w:rsidR="00D427A7" w:rsidRPr="00E158FA" w:rsidRDefault="00D427A7" w:rsidP="00D427A7">
      <w:pPr>
        <w:autoSpaceDE w:val="0"/>
        <w:autoSpaceDN w:val="0"/>
        <w:adjustRightInd w:val="0"/>
        <w:spacing w:after="0"/>
        <w:contextualSpacing/>
        <w:jc w:val="both"/>
        <w:rPr>
          <w:rFonts w:ascii="Arial" w:hAnsi="Arial" w:cs="Arial"/>
          <w:b/>
          <w:lang w:eastAsia="sl-SI"/>
        </w:rPr>
      </w:pPr>
      <w:r w:rsidRPr="00E158FA">
        <w:rPr>
          <w:rFonts w:ascii="Arial" w:hAnsi="Arial" w:cs="Arial"/>
          <w:b/>
          <w:lang w:eastAsia="sl-SI"/>
        </w:rPr>
        <w:t>2.3.1 Aktivnosti Republike Slovenije v sklopu EDA</w:t>
      </w:r>
    </w:p>
    <w:p w:rsidR="00D427A7" w:rsidRPr="00E158FA" w:rsidRDefault="00D427A7" w:rsidP="00D427A7">
      <w:pPr>
        <w:autoSpaceDE w:val="0"/>
        <w:autoSpaceDN w:val="0"/>
        <w:adjustRightInd w:val="0"/>
        <w:spacing w:after="0"/>
        <w:ind w:left="720"/>
        <w:contextualSpacing/>
        <w:jc w:val="both"/>
        <w:rPr>
          <w:rFonts w:ascii="Arial" w:hAnsi="Arial" w:cs="Arial"/>
          <w:b/>
          <w:lang w:eastAsia="sl-SI"/>
        </w:rPr>
      </w:pPr>
    </w:p>
    <w:p w:rsidR="00D427A7" w:rsidRPr="00E158FA" w:rsidRDefault="00D427A7" w:rsidP="00D427A7">
      <w:pPr>
        <w:autoSpaceDE w:val="0"/>
        <w:autoSpaceDN w:val="0"/>
        <w:adjustRightInd w:val="0"/>
        <w:spacing w:after="0"/>
        <w:jc w:val="both"/>
        <w:rPr>
          <w:rFonts w:ascii="Arial" w:hAnsi="Arial" w:cs="Arial"/>
          <w:b/>
          <w:color w:val="FF0000"/>
        </w:rPr>
      </w:pPr>
      <w:r w:rsidRPr="00E158FA">
        <w:rPr>
          <w:rFonts w:ascii="Arial" w:hAnsi="Arial" w:cs="Arial"/>
          <w:b/>
        </w:rPr>
        <w:t>Carina</w:t>
      </w:r>
      <w:bookmarkEnd w:id="4"/>
      <w:r w:rsidRPr="00E158FA">
        <w:rPr>
          <w:rFonts w:ascii="Arial" w:hAnsi="Arial" w:cs="Arial"/>
          <w:b/>
        </w:rPr>
        <w:t xml:space="preserve"> </w:t>
      </w:r>
    </w:p>
    <w:p w:rsidR="00D427A7" w:rsidRPr="00E158FA" w:rsidRDefault="00D427A7" w:rsidP="00D427A7">
      <w:pPr>
        <w:spacing w:after="0"/>
        <w:ind w:left="360"/>
        <w:rPr>
          <w:rFonts w:ascii="Arial" w:hAnsi="Arial" w:cs="Arial"/>
          <w:b/>
        </w:rPr>
      </w:pPr>
    </w:p>
    <w:p w:rsidR="00D427A7" w:rsidRPr="00E158FA" w:rsidRDefault="00D427A7" w:rsidP="00D427A7">
      <w:pPr>
        <w:spacing w:after="0"/>
        <w:jc w:val="both"/>
        <w:rPr>
          <w:rFonts w:ascii="Arial" w:hAnsi="Arial" w:cs="Arial"/>
        </w:rPr>
      </w:pPr>
      <w:r w:rsidRPr="00E158FA">
        <w:rPr>
          <w:rFonts w:ascii="Arial" w:hAnsi="Arial" w:cs="Arial"/>
        </w:rPr>
        <w:t xml:space="preserve">Na zagotavljanje vojaške mobilnosti pomembno vpliva poenotenje in optimizacija carinskih postopkov za čezmejne vojaške premike.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Posebni ukrepi, opredeljeni v akcijskem načrtu za poenotenje carinskih formalnosti za čezmejne vojaške premike, ob hkratnem zagotavljanju sinergij z Natom, so bili vključeni v spremembe dveh uredb Komisije, vezanih na carinsko zakonodajo EU (Delegirana uredba Komisije (EU) 2015/2446 z dne 28. 7. 2015 o dopolnitvi Uredbe (EU) št. 952/2013 Evropskega parlamenta in Sveta o podrobnih pravilih v zvezi z nekaterimi določbami carinskega zakonika Unija ter Izvedbena uredba Komisije (EU) 2015/2447 z dne 24. 11. 2015 o določitvi podrobnih pravil za izvajanje nekaterih Uredb (EU) št. 952/2013 Evropskega parlamenta in Sveta o carinskem zakoniku Unije).</w:t>
      </w:r>
    </w:p>
    <w:p w:rsidR="00D427A7" w:rsidRPr="00E158FA" w:rsidRDefault="00D427A7" w:rsidP="00D427A7">
      <w:pPr>
        <w:spacing w:after="0"/>
        <w:jc w:val="both"/>
        <w:rPr>
          <w:rFonts w:ascii="Arial" w:hAnsi="Arial" w:cs="Arial"/>
        </w:rPr>
      </w:pPr>
    </w:p>
    <w:p w:rsidR="00D427A7" w:rsidRPr="00E158FA" w:rsidRDefault="00D427A7" w:rsidP="00D427A7">
      <w:pPr>
        <w:spacing w:after="0"/>
        <w:contextualSpacing/>
        <w:jc w:val="both"/>
        <w:rPr>
          <w:rFonts w:ascii="Arial" w:hAnsi="Arial" w:cs="Arial"/>
        </w:rPr>
      </w:pPr>
      <w:r w:rsidRPr="00E158FA">
        <w:rPr>
          <w:rFonts w:ascii="Arial" w:hAnsi="Arial" w:cs="Arial"/>
        </w:rPr>
        <w:t xml:space="preserve">Obrazec EU Form 302 je bil v celoti pripravljen v dialogu z Natom in je uradno postal obvezujoč del EU zakonodaje (Delegirana uredba 2015/2446, priloga 52–06). Evropska komisija je v sodelovanju z državami članicami pripravila in na spletnih straneh TAXUD objavila smernice glede carinskih postopkov v povezavi z vojaško mobilnostjo, ki bodo služile kot pripomoček vsem uporabnikom. Nadgradnja tega dokumenta je njegova digitalizacija. V nadaljevanju </w:t>
      </w:r>
      <w:r w:rsidRPr="00E158FA">
        <w:rPr>
          <w:rFonts w:ascii="Arial" w:hAnsi="Arial" w:cs="Arial"/>
        </w:rPr>
        <w:lastRenderedPageBreak/>
        <w:t>razvoja tega področja je v okviru EDA oblikovana delovna skupina »Ad Hoc Working Group on Harmonizing Military Requirement relating to Customs«, ki v sodelovanju s strokovnimi nosilci sodelujočih držav pripravlja vse potrebno za razvoj posebne informacijske aplikacije, ki bo omogočila digitalizacijo obrazca EU Form 302. Za potrebe digitalizacije je treba opraviti študijo in opredeliti tehnične specifikacije ustreznega vojaškega informacijskega sistema, povezljivega s carinskim sistemom, kot okvirja za prihodnje korake v digitalizaciji. Cilj navedenega je neposreden pregled carinskih organov EU nad tovorom, ki se prevaža v okviru vojaškega transporta.</w:t>
      </w:r>
    </w:p>
    <w:p w:rsidR="00D427A7" w:rsidRPr="00E158FA" w:rsidRDefault="00D427A7" w:rsidP="00D427A7">
      <w:pPr>
        <w:spacing w:after="0"/>
        <w:contextualSpacing/>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Namen podpisanega Programskega dogovora št. A.PRG.CAP.671 o usklajevanju vojaških zahtev, povezanih s carino (sklep Vlade RS, št. 51002-41/2020/3 z dne 3. 12. 2020)</w:t>
      </w:r>
      <w:r w:rsidRPr="00E158FA">
        <w:rPr>
          <w:rFonts w:ascii="Arial" w:eastAsia="Times New Roman" w:hAnsi="Arial" w:cs="Arial"/>
          <w:lang w:eastAsia="sl-SI"/>
        </w:rPr>
        <w:t xml:space="preserve"> je  poenostavitvi in poenotiti vojaške carinske postopke, ki so sprejemljivi za države članice EU in institucije EU. V nadaljevanju razvoja področja je njihova digitalizacija, ki bi zagotovila večjo preglednost carinskih organov držav članic nad transporti vojaških materialnih sredstev, orožja, streliva in minsko eksplozivnih sredstev kot tudi hitrejša izvedba vseh potrebnih carinskih postopkov. S podpisom tega programskega dogovora se je RS zavezala, da bo skupaj s članicami EU, pod vodstvom EDA, nadaljevala z iskanjem ustreznih rešitev za to področje. EDA je pričela s pripravo tehničnega sporazuma, ki bo opredeljeval naslednje korake v smislu digitalizacije carinskih postopkov. Vsi osnutki novega sporazuma se bodo sproti medresorsko usklajevali. </w:t>
      </w:r>
      <w:r w:rsidRPr="00E158FA">
        <w:rPr>
          <w:rFonts w:ascii="Arial" w:hAnsi="Arial" w:cs="Arial"/>
        </w:rPr>
        <w:t>S podpisom se je RS zavezala k izvedbi digitalizacije carinskih postopkov namenjenih za vojaške potrebe.</w:t>
      </w:r>
    </w:p>
    <w:p w:rsidR="00D427A7" w:rsidRPr="00E158FA" w:rsidRDefault="00D427A7" w:rsidP="00D427A7">
      <w:pPr>
        <w:spacing w:after="0"/>
        <w:jc w:val="both"/>
        <w:rPr>
          <w:rFonts w:ascii="Arial" w:hAnsi="Arial" w:cs="Arial"/>
          <w:b/>
        </w:rPr>
      </w:pPr>
    </w:p>
    <w:p w:rsidR="00D427A7" w:rsidRPr="00E158FA" w:rsidRDefault="00D427A7" w:rsidP="00D427A7">
      <w:pPr>
        <w:spacing w:after="0"/>
        <w:jc w:val="both"/>
        <w:rPr>
          <w:rFonts w:ascii="Arial" w:hAnsi="Arial" w:cs="Arial"/>
        </w:rPr>
      </w:pPr>
      <w:r w:rsidRPr="00E158FA">
        <w:rPr>
          <w:rFonts w:ascii="Arial" w:hAnsi="Arial" w:cs="Arial"/>
          <w:b/>
        </w:rPr>
        <w:t>Davek na dodano vrednost in trošarine</w:t>
      </w:r>
    </w:p>
    <w:p w:rsidR="00D427A7" w:rsidRPr="00E158FA" w:rsidRDefault="00D427A7" w:rsidP="00D427A7">
      <w:pPr>
        <w:spacing w:after="0"/>
        <w:jc w:val="both"/>
        <w:rPr>
          <w:rFonts w:ascii="Arial" w:eastAsia="Times New Roman" w:hAnsi="Arial" w:cs="Arial"/>
          <w:bCs/>
        </w:rPr>
      </w:pPr>
    </w:p>
    <w:p w:rsidR="00D427A7" w:rsidRPr="00E158FA" w:rsidRDefault="00D427A7" w:rsidP="00D427A7">
      <w:pPr>
        <w:spacing w:after="0"/>
        <w:jc w:val="both"/>
        <w:rPr>
          <w:rFonts w:ascii="Arial" w:hAnsi="Arial" w:cs="Arial"/>
        </w:rPr>
      </w:pPr>
      <w:r w:rsidRPr="00E158FA">
        <w:rPr>
          <w:rFonts w:ascii="Arial" w:hAnsi="Arial" w:cs="Arial"/>
        </w:rPr>
        <w:t xml:space="preserve">Na področju davka na dodano vrednost in trošarin je sprejeta Direktiva Sveta (EU) 2019/2235 o spremembi Direktive 2006/112/ES o skupnem sistemu davka na dodano vrednost in Direktive 2008/118/ES o splošnem režimu za trošarino v zvezi z obrambnimi prizadevanji v okviru Unije, ki omogoča enako obravnavo obrambnih prizadevanj v okviru EU in v okviru Nata. Z davčnega vidika je na ravni EU usklajena oprostitev davka na dodano vrednost za dobave blaga in storitev ter oprostitev trošarine za dobave trošarinskega blaga oboroženim silam, kadar so te sile razporejene zunaj države članice pošiljateljice in sodelujejo v obrambnih prizadevanjih v okviru </w:t>
      </w:r>
      <w:r w:rsidRPr="00E158FA">
        <w:rPr>
          <w:rFonts w:ascii="Arial" w:eastAsia="Times New Roman" w:hAnsi="Arial" w:cs="Arial"/>
          <w:bCs/>
        </w:rPr>
        <w:t>Skupne varnostne in obrambne politike (v nadaljevanju SVOP).</w:t>
      </w:r>
      <w:r w:rsidRPr="00E158FA">
        <w:rPr>
          <w:rFonts w:ascii="Arial" w:hAnsi="Arial" w:cs="Arial"/>
        </w:rPr>
        <w:t xml:space="preserve"> Takšna izjema že obstaja za dobave oboroženim silam, ki sodelujejo v Natovih obrambnih prizadevanjih zunaj svoje države.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V okviru prenosa Direktive  Sveta (EU) 2019/2235 z dne 16. 12. 2019 o spremembi Direktive 2006/112/ES o skupnem sistemu davka na dodano vrednost in Direktive 2008/118/ES o splošnem režimu za trošarino v zvezi z obrambnimi prizadevanji Unije v nacionalni pravni red je bil sprejet Zakon o spremembah in dopolnitvah Zakona o trošarinah - ZTro-1A (Uradni list RS, št. 92/21, z dne 8. 6. 2021; ZTro-1A) ) in Zakon o spremembah in dopolnitvah Zakona o davku na dodano vrednost (Uradni list RS, št. 3/22, z dne 7. 1. 2022; ZDDV-1M). Potrebne zakonske spremembe so torej že realizirane, tako da se bodo lahko ti ukrepi uporabljali od 1. 7. 2022.</w:t>
      </w:r>
    </w:p>
    <w:p w:rsidR="00D427A7" w:rsidRPr="00E158FA" w:rsidRDefault="00D427A7" w:rsidP="00D427A7">
      <w:pPr>
        <w:spacing w:after="0"/>
        <w:jc w:val="both"/>
        <w:rPr>
          <w:rFonts w:ascii="Arial" w:hAnsi="Arial" w:cs="Arial"/>
        </w:rPr>
      </w:pPr>
    </w:p>
    <w:p w:rsidR="00D427A7" w:rsidRPr="00E158FA" w:rsidRDefault="00D427A7" w:rsidP="00D427A7">
      <w:pPr>
        <w:spacing w:after="0"/>
        <w:rPr>
          <w:rFonts w:ascii="Arial" w:hAnsi="Arial" w:cs="Arial"/>
          <w:b/>
        </w:rPr>
      </w:pPr>
      <w:bookmarkStart w:id="5" w:name="_Toc88470276"/>
      <w:r w:rsidRPr="00E158FA">
        <w:rPr>
          <w:rFonts w:ascii="Arial" w:hAnsi="Arial" w:cs="Arial"/>
          <w:b/>
        </w:rPr>
        <w:t>Optimizacija čezmejnih premikov</w:t>
      </w:r>
      <w:bookmarkEnd w:id="5"/>
    </w:p>
    <w:p w:rsidR="00D427A7" w:rsidRPr="00E158FA" w:rsidRDefault="00D427A7" w:rsidP="00D427A7">
      <w:pPr>
        <w:spacing w:after="0"/>
        <w:ind w:left="720"/>
        <w:contextualSpacing/>
        <w:rPr>
          <w:rFonts w:ascii="Arial" w:hAnsi="Arial" w:cs="Arial"/>
          <w:b/>
        </w:rPr>
      </w:pPr>
    </w:p>
    <w:p w:rsidR="00D427A7" w:rsidRPr="00E158FA" w:rsidRDefault="00D427A7" w:rsidP="00D427A7">
      <w:pPr>
        <w:spacing w:after="0"/>
        <w:jc w:val="both"/>
        <w:rPr>
          <w:rFonts w:ascii="Arial" w:hAnsi="Arial" w:cs="Arial"/>
        </w:rPr>
      </w:pPr>
      <w:r w:rsidRPr="00E158FA">
        <w:rPr>
          <w:rFonts w:ascii="Arial" w:hAnsi="Arial" w:cs="Arial"/>
        </w:rPr>
        <w:t xml:space="preserve">Aktivnosti na tem področju in optimizacija postopkov za izdajo dovoljenj za čezmejne premike v Evropi potekajo v okviru EDA pod okriljem programa Optimizacija postopkov za izdajo </w:t>
      </w:r>
      <w:r w:rsidRPr="00E158FA">
        <w:rPr>
          <w:rFonts w:ascii="Arial" w:hAnsi="Arial" w:cs="Arial"/>
        </w:rPr>
        <w:lastRenderedPageBreak/>
        <w:t xml:space="preserve">dovoljenj za čezmejne premike v Evropi (v nadaljevanju: program) v okviru katerega je bil podpisan Programski dogovor med ministrstvi za obrambo in Evropsko obrambno agencijo o optimizaciji postopkov, povezanih z dovoljenji za čezmejne premike v Evropi (sklep Vlade RS, št. 51002-28/2019/3 z dne 5. 9. 2019, v nadaljevanju: programski dogovor). V programu sodeluje 25 držav članic EU ter Norveška v okviru posebnega dogovora z EDA. Posamezne vrste premikov se podrobneje urejajo z izvedeni dogovori, sklenjenimi na podlagi programskega dogovora. . Program  gradi na že obstoječih projektih in dejavnostih EDA. Tako sta bila podpisana Tehnični sporazum št. B.PRJ.CAP.179 o vojaških prehodih meja in premikih po kopnem v Evropi (sklep Vlade RS, št. 51002-46/2019/3 z dne 18. 7. 2019) in Tehnični dogovor o diplomatskih dovoljenjih za vojaška transportna letala udeležencev v njihovem nacionalnem zračnem prostoru ali na ozemlju (sklepa Vlade RS, št. 51002-22/2018/3 z dne 12. 4. 2018 in št. 51002-25/2020/3 z dne 23. 7. 2020) Tehnična ureditev dovoljuje oziroma omogoča državam podpisnicam, da preletijo in/ali pristanejo njihova vojaška transportna letala na ozemljih drugih držav na osnovi letnih izdanih diplomatskih dovoljenj. S tehničnim sporazumom so harmonizirani upravni postopki (obrazci in roki) kot tudi letno izdana diplomatska dovoljenja. Vse zadevne države članice so se odločile za podelitev dovoljenja, tako da je tehnični sporazum postal učinkovito sredstvo, ki omogoča vsakodnevne hitre vojaške zračne prevoze za rutinske zadeve.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Na podlagi programskega dogovora bosta sklenjena dva tehnična dogovora med ministrstvi za obrambo in Evropsko obrambno agencijo o postopkih v zvezi z dovoljenji za čezmejne premike za premike po površju in premike po zraku v Evropi, za katera se v RS trenutno vodijo predpisani postopki za njun podpis.</w:t>
      </w:r>
    </w:p>
    <w:p w:rsidR="00D427A7" w:rsidRPr="00E158FA" w:rsidRDefault="00D427A7" w:rsidP="00D427A7">
      <w:pPr>
        <w:keepNext/>
        <w:keepLines/>
        <w:spacing w:after="0"/>
        <w:jc w:val="both"/>
        <w:outlineLvl w:val="0"/>
        <w:rPr>
          <w:rFonts w:ascii="Arial" w:eastAsia="Times New Roman" w:hAnsi="Arial" w:cs="Arial"/>
          <w:b/>
          <w:bCs/>
        </w:rPr>
      </w:pPr>
    </w:p>
    <w:p w:rsidR="00D427A7" w:rsidRPr="00E158FA" w:rsidRDefault="00D427A7" w:rsidP="00D427A7">
      <w:pPr>
        <w:keepNext/>
        <w:keepLines/>
        <w:spacing w:after="0"/>
        <w:jc w:val="both"/>
        <w:outlineLvl w:val="0"/>
        <w:rPr>
          <w:rFonts w:ascii="Arial" w:eastAsia="Times New Roman" w:hAnsi="Arial" w:cs="Arial"/>
          <w:b/>
          <w:bCs/>
        </w:rPr>
      </w:pPr>
      <w:r w:rsidRPr="00E158FA">
        <w:rPr>
          <w:rFonts w:ascii="Arial" w:eastAsia="Times New Roman" w:hAnsi="Arial" w:cs="Arial"/>
          <w:b/>
          <w:bCs/>
        </w:rPr>
        <w:t>2.3.2 Aktivnosti Republike Slovenije v sklopu PESCO</w:t>
      </w:r>
      <w:bookmarkStart w:id="6" w:name="_Toc88470277"/>
    </w:p>
    <w:p w:rsidR="00D427A7" w:rsidRPr="00E158FA" w:rsidRDefault="00D427A7" w:rsidP="00D427A7">
      <w:pPr>
        <w:keepNext/>
        <w:keepLines/>
        <w:spacing w:after="0"/>
        <w:jc w:val="both"/>
        <w:outlineLvl w:val="0"/>
        <w:rPr>
          <w:rFonts w:ascii="Arial" w:eastAsia="Times New Roman" w:hAnsi="Arial" w:cs="Arial"/>
          <w:b/>
          <w:bCs/>
        </w:rPr>
      </w:pPr>
    </w:p>
    <w:p w:rsidR="00D427A7" w:rsidRPr="00E158FA" w:rsidRDefault="00D427A7" w:rsidP="00D427A7">
      <w:pPr>
        <w:keepNext/>
        <w:keepLines/>
        <w:spacing w:after="0"/>
        <w:jc w:val="both"/>
        <w:outlineLvl w:val="0"/>
        <w:rPr>
          <w:rFonts w:ascii="Arial" w:eastAsia="Times New Roman" w:hAnsi="Arial" w:cs="Arial"/>
          <w:b/>
          <w:bCs/>
        </w:rPr>
      </w:pPr>
      <w:r w:rsidRPr="00E158FA">
        <w:rPr>
          <w:rFonts w:ascii="Arial" w:eastAsia="Times New Roman" w:hAnsi="Arial" w:cs="Arial"/>
          <w:b/>
          <w:bCs/>
        </w:rPr>
        <w:t>Projekt vojaška mobilnost</w:t>
      </w:r>
      <w:bookmarkEnd w:id="6"/>
    </w:p>
    <w:p w:rsidR="00D427A7" w:rsidRPr="00E158FA" w:rsidRDefault="00D427A7" w:rsidP="00D427A7">
      <w:pPr>
        <w:spacing w:after="0"/>
        <w:ind w:left="720"/>
        <w:contextualSpacing/>
        <w:rPr>
          <w:rFonts w:ascii="Arial" w:hAnsi="Arial" w:cs="Arial"/>
          <w:b/>
        </w:rPr>
      </w:pPr>
    </w:p>
    <w:p w:rsidR="00D427A7" w:rsidRPr="00E158FA" w:rsidRDefault="00D427A7" w:rsidP="00D427A7">
      <w:pPr>
        <w:spacing w:after="0"/>
        <w:jc w:val="both"/>
        <w:rPr>
          <w:rFonts w:ascii="Arial" w:hAnsi="Arial" w:cs="Arial"/>
        </w:rPr>
      </w:pPr>
      <w:r w:rsidRPr="00E158FA">
        <w:rPr>
          <w:rFonts w:ascii="Arial" w:hAnsi="Arial" w:cs="Arial"/>
        </w:rPr>
        <w:t xml:space="preserve">PESCO projekt Vojaška mobilnost povezuje države članice, ki so se zavezale, da bodo poenostavile in </w:t>
      </w:r>
      <w:r w:rsidRPr="00E158FA">
        <w:rPr>
          <w:rFonts w:ascii="Arial" w:hAnsi="Arial" w:cs="Arial"/>
          <w:bCs/>
          <w:lang w:eastAsia="sl-SI"/>
        </w:rPr>
        <w:t>standardizirale čezmejne vojaške premike v EU</w:t>
      </w:r>
      <w:r w:rsidRPr="00E158FA">
        <w:rPr>
          <w:rFonts w:ascii="Arial" w:hAnsi="Arial" w:cs="Arial"/>
        </w:rPr>
        <w:t xml:space="preserve"> s ciljem izboljšanja vojaške mobilnosti v Evropi. Kratkoročno in srednjeročno se v okviru projekta razpravlja in ocenjuje napredek in izvajanje zaveze Sveta za zunanje zadeve EU (v nadaljnjem besedilu: FAC) z dne 25. 6. 2018.</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Projektni dogovor med državam članicami projekta, ki se nanaša na projekt Vojaška mobilnost v okviru stalnega strukturnega sodelovanja EU (PESCO) (sklep Vlade RS, št. 51002/101/2021/3 z dne 13. 1. 2021) določa usmeritve sodelovanja v projektu in omogoča vzpostavitev platforme, ki redno spremljala stanje na področju vojaške mobilnosti, identificira vrzeli in jih poskuša odpraviti. Dogovor tako zajema predvsem določitev vlog in dolžnosti sodelujočih držav, upravljanje, možne finančne vplive (predvsem carinski postopki), pravne ter varnostne aspekte. Predpisani postopki za podpis projektnega dogovora med državam članicami projekta, ki se nanaša na projekt Vojaška mobilnost v okviru PESCO, s strani RS, so v zaključni fazi.</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 xml:space="preserve">V okviru PESCO projekta Vojaška mobilnost bo v skladu s Pravilnikom za mrežo nacionalnih kontaktnih točk Evropske unije v zvezi z omogočanjem medsebojno povezane komunikacije med sodelujočimi državami članicami EU (Terms of Reference for European Union National </w:t>
      </w:r>
      <w:r w:rsidRPr="00E158FA">
        <w:rPr>
          <w:rFonts w:ascii="Arial" w:hAnsi="Arial" w:cs="Arial"/>
        </w:rPr>
        <w:lastRenderedPageBreak/>
        <w:t>Point of Contacts Network Concerning Facilitating Interconnected Communication Between Participating EU Member States) vzpostavljena mreža nacionalnih vstopnih točk držav članic.</w:t>
      </w:r>
    </w:p>
    <w:p w:rsidR="00D427A7" w:rsidRPr="00E158FA" w:rsidRDefault="00D427A7" w:rsidP="00D427A7">
      <w:pPr>
        <w:spacing w:after="0"/>
        <w:jc w:val="both"/>
        <w:rPr>
          <w:rFonts w:ascii="Arial" w:hAnsi="Arial" w:cs="Arial"/>
          <w:color w:val="FF0000"/>
        </w:rPr>
      </w:pPr>
    </w:p>
    <w:p w:rsidR="00D427A7" w:rsidRPr="00E158FA" w:rsidRDefault="00D427A7" w:rsidP="00D427A7">
      <w:pPr>
        <w:spacing w:after="0"/>
        <w:rPr>
          <w:rFonts w:ascii="Arial" w:hAnsi="Arial" w:cs="Arial"/>
          <w:b/>
        </w:rPr>
      </w:pPr>
      <w:bookmarkStart w:id="7" w:name="_Toc88470278"/>
      <w:r w:rsidRPr="00E158FA">
        <w:rPr>
          <w:rFonts w:ascii="Arial" w:hAnsi="Arial" w:cs="Arial"/>
          <w:b/>
        </w:rPr>
        <w:t>PESCO Mreža logističnih vozlišč</w:t>
      </w:r>
      <w:bookmarkEnd w:id="7"/>
      <w:r w:rsidRPr="00E158FA">
        <w:rPr>
          <w:rFonts w:ascii="Arial" w:hAnsi="Arial" w:cs="Arial"/>
          <w:b/>
        </w:rPr>
        <w:t xml:space="preserve"> v Evropi in podpora za operacije</w:t>
      </w:r>
    </w:p>
    <w:p w:rsidR="00D427A7" w:rsidRPr="00E158FA" w:rsidRDefault="00D427A7" w:rsidP="00D427A7">
      <w:pPr>
        <w:spacing w:after="0"/>
        <w:jc w:val="both"/>
        <w:rPr>
          <w:rFonts w:ascii="Arial" w:hAnsi="Arial" w:cs="Arial"/>
        </w:rPr>
      </w:pPr>
    </w:p>
    <w:p w:rsidR="00D427A7" w:rsidRPr="00E158FA" w:rsidRDefault="00D427A7" w:rsidP="00D427A7">
      <w:pPr>
        <w:autoSpaceDE w:val="0"/>
        <w:autoSpaceDN w:val="0"/>
        <w:adjustRightInd w:val="0"/>
        <w:spacing w:after="160"/>
        <w:jc w:val="both"/>
        <w:rPr>
          <w:rFonts w:ascii="Arial" w:hAnsi="Arial" w:cs="Arial"/>
        </w:rPr>
      </w:pPr>
      <w:r w:rsidRPr="00E158FA">
        <w:rPr>
          <w:rFonts w:ascii="Arial" w:hAnsi="Arial" w:cs="Arial"/>
        </w:rPr>
        <w:t xml:space="preserve">Slovenija je k projektu pristopila na način »ne podvajanja resursov«, kar pomeni, da so bila v okviru projekta opredeljena tista logistična vozlišča, ki so že bila opredeljena  v okviru Nato projekta HNS Capability Catalogue in Main Supply Routes, kjer se letno poroča v SHAPE /J4. 12 držav od 15 v projektu je že opredelilologistična vozlišča. </w:t>
      </w:r>
    </w:p>
    <w:p w:rsidR="00D427A7" w:rsidRPr="00E158FA" w:rsidRDefault="00D427A7" w:rsidP="00D427A7">
      <w:pPr>
        <w:keepNext/>
        <w:keepLines/>
        <w:spacing w:after="0"/>
        <w:jc w:val="both"/>
        <w:outlineLvl w:val="0"/>
        <w:rPr>
          <w:rFonts w:ascii="Arial" w:hAnsi="Arial" w:cs="Arial"/>
        </w:rPr>
      </w:pPr>
      <w:r w:rsidRPr="00E158FA">
        <w:rPr>
          <w:rFonts w:ascii="Arial" w:hAnsi="Arial" w:cs="Arial"/>
        </w:rPr>
        <w:t>RS je v okviru projekta opredelila vojašnico Postojno s skladiščem Mačkovec, skladišče Kidričevo in vojašnico Cerklje ob Krki z bodočim skladiščnim kompleksom Gazice.</w:t>
      </w:r>
    </w:p>
    <w:p w:rsidR="00D427A7" w:rsidRPr="00E158FA" w:rsidRDefault="00D427A7" w:rsidP="00D427A7">
      <w:pPr>
        <w:keepNext/>
        <w:keepLines/>
        <w:spacing w:after="0"/>
        <w:jc w:val="both"/>
        <w:outlineLvl w:val="0"/>
        <w:rPr>
          <w:rFonts w:ascii="Arial" w:hAnsi="Arial" w:cs="Arial"/>
        </w:rPr>
      </w:pPr>
    </w:p>
    <w:p w:rsidR="00D427A7" w:rsidRPr="00E158FA" w:rsidRDefault="00D427A7" w:rsidP="00D427A7">
      <w:pPr>
        <w:autoSpaceDE w:val="0"/>
        <w:autoSpaceDN w:val="0"/>
        <w:adjustRightInd w:val="0"/>
        <w:spacing w:after="160"/>
        <w:jc w:val="both"/>
        <w:rPr>
          <w:rFonts w:ascii="Arial" w:hAnsi="Arial" w:cs="Arial"/>
        </w:rPr>
      </w:pPr>
      <w:r w:rsidRPr="00E158FA">
        <w:rPr>
          <w:rFonts w:ascii="Arial" w:hAnsi="Arial" w:cs="Arial"/>
        </w:rPr>
        <w:t>V okviru časovnice projekta je načrtovano, da projekt do 2024 doseže končne zmogljivosti (angl. Full operation Capability – FOC), pri čemer pa niso opredeljeni kriteriji za dosego FOC.</w:t>
      </w:r>
    </w:p>
    <w:p w:rsidR="00D427A7" w:rsidRPr="00E158FA" w:rsidRDefault="00D427A7" w:rsidP="00D427A7">
      <w:pPr>
        <w:autoSpaceDE w:val="0"/>
        <w:autoSpaceDN w:val="0"/>
        <w:adjustRightInd w:val="0"/>
        <w:spacing w:after="160"/>
        <w:jc w:val="both"/>
        <w:rPr>
          <w:rFonts w:ascii="Arial" w:hAnsi="Arial" w:cs="Arial"/>
        </w:rPr>
      </w:pPr>
      <w:r w:rsidRPr="00E158FA">
        <w:rPr>
          <w:rFonts w:ascii="Arial" w:hAnsi="Arial" w:cs="Arial"/>
        </w:rPr>
        <w:t>Cilj  Dogovora o vodenju projekta PESCO Mreža logističnih vozlišč v Evropi in podpora za operacije (sklep VRS, št. 51002-33/2020/3 z dne 5. 11. 2020) je zagotovitvi večje stopnje povezljivosti in nudenja podpora oboroženim silam članicam projekta pri podpori svojih sil na mednarodnih misijah in operacijam.</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Projekt Mreža logističnih vozlišč v Evropi in podpora za operacije je komplementaren PESCO projektu Vojaška mobilnost. Vzpostavlja večnacionalno omrežje, ki temelji na obstoječi logistični vojaški infrastrukturi, kjer bo mogoče pripraviti vojaško opremo za transport na območja delovanja, izvajati pretovore med različnimi vrstami transporta, uporabiti skladiščne prostore tako za splošni tovor kot tudi nevarno blago ter izvajati procese za uskladitev dejavnosti premikov in transporta ter začasno kratko namestitev vojaških oseb. Na ta način se bo zmanjšal odzivni čas EU na krizna stanja ali v podporo EU misijam.</w:t>
      </w:r>
    </w:p>
    <w:p w:rsidR="00D427A7" w:rsidRPr="00E158FA" w:rsidRDefault="00D427A7" w:rsidP="00D427A7">
      <w:pPr>
        <w:keepNext/>
        <w:keepLines/>
        <w:spacing w:after="0"/>
        <w:jc w:val="both"/>
        <w:outlineLvl w:val="0"/>
        <w:rPr>
          <w:rFonts w:ascii="Arial" w:hAnsi="Arial" w:cs="Arial"/>
        </w:rPr>
      </w:pPr>
    </w:p>
    <w:p w:rsidR="00D427A7" w:rsidRPr="00E158FA" w:rsidRDefault="00D427A7" w:rsidP="00D427A7">
      <w:pPr>
        <w:keepNext/>
        <w:keepLines/>
        <w:spacing w:after="0"/>
        <w:ind w:left="360"/>
        <w:jc w:val="both"/>
        <w:outlineLvl w:val="0"/>
        <w:rPr>
          <w:rFonts w:ascii="Arial" w:eastAsia="Times New Roman" w:hAnsi="Arial" w:cs="Arial"/>
          <w:b/>
          <w:bCs/>
        </w:rPr>
      </w:pPr>
      <w:bookmarkStart w:id="8" w:name="_Toc89781882"/>
      <w:r w:rsidRPr="00E158FA">
        <w:rPr>
          <w:rFonts w:ascii="Arial" w:eastAsia="Times New Roman" w:hAnsi="Arial" w:cs="Arial"/>
          <w:b/>
          <w:bCs/>
        </w:rPr>
        <w:t xml:space="preserve"> 2.4 Ključne aktivnosti</w:t>
      </w:r>
      <w:bookmarkEnd w:id="8"/>
      <w:r w:rsidRPr="00E158FA">
        <w:rPr>
          <w:rFonts w:ascii="Arial" w:eastAsia="Times New Roman" w:hAnsi="Arial" w:cs="Arial"/>
          <w:b/>
          <w:bCs/>
        </w:rPr>
        <w:t xml:space="preserve">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Z načrtom vojaške mobilnosti se predstavljajo ključne zaveze h katerim pristopa RS na področju vojaške mobilnosti EU. Uresničevanje zavez in načrtovanih aktivnosti s področja vojaške mobilnosti v RS zahteva medresorski pristop.</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RS se zavzema za tesno in produktivno sodelovanje tako z državam članicam EU kot tudi z državami Zahodnega Balkana in nečlanicami EU. Le povečanje čezmejnih sinergij bo omogočilo izboljšano mobilnost vojaških oseb, materiala in opreme.</w:t>
      </w:r>
    </w:p>
    <w:p w:rsidR="00D427A7" w:rsidRPr="00E158FA" w:rsidRDefault="00D427A7" w:rsidP="00D427A7">
      <w:pPr>
        <w:spacing w:after="0"/>
        <w:ind w:left="360"/>
        <w:contextualSpacing/>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rPr>
        <w:t>RS bo v smislu krepitve vojaške mobilnosti EU in Nata uporabila in nadgradila že obstoječe nacionalne zmogljivosti in rešitve v okviru zagotavljanja podpore države gostiteljice.</w:t>
      </w:r>
    </w:p>
    <w:p w:rsidR="00D427A7" w:rsidRPr="00E158FA" w:rsidRDefault="00D427A7" w:rsidP="00D427A7">
      <w:pPr>
        <w:keepNext/>
        <w:keepLines/>
        <w:spacing w:after="0"/>
        <w:jc w:val="both"/>
        <w:outlineLvl w:val="0"/>
        <w:rPr>
          <w:rFonts w:ascii="Arial" w:eastAsia="Times New Roman" w:hAnsi="Arial" w:cs="Arial"/>
          <w:b/>
          <w:bCs/>
        </w:rPr>
      </w:pPr>
    </w:p>
    <w:p w:rsidR="00D427A7" w:rsidRPr="00E158FA" w:rsidRDefault="00D427A7" w:rsidP="00D427A7">
      <w:pPr>
        <w:spacing w:after="0"/>
        <w:jc w:val="both"/>
        <w:rPr>
          <w:rFonts w:ascii="Arial" w:hAnsi="Arial" w:cs="Arial"/>
        </w:rPr>
      </w:pPr>
      <w:r w:rsidRPr="00E158FA">
        <w:rPr>
          <w:rFonts w:ascii="Arial" w:hAnsi="Arial" w:cs="Arial"/>
        </w:rPr>
        <w:t>RS bo v okviru zavez s področja vojaške mobilnosti v EU izvedla naslednje ključne aktivnosti:</w:t>
      </w:r>
    </w:p>
    <w:p w:rsidR="00D427A7" w:rsidRPr="00E158FA" w:rsidRDefault="00D427A7" w:rsidP="00D427A7">
      <w:pPr>
        <w:spacing w:after="0"/>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 xml:space="preserve">za potrebe izboljšanja vojaške mobilnosti se gradi oziroma prilagodi prometno infrastrukturo skladno z zahtevami TENT-T oz. skladno z vojaškimi zahtevami, ki se ne razlikujejo od TEN-T zahtev, kar pomeni, da se obstoječa prometna infrastruktura, ki več ne dosega TEN-T standardov, prilagodi zahtevam. </w:t>
      </w:r>
    </w:p>
    <w:p w:rsidR="00D427A7" w:rsidRPr="00E158FA" w:rsidRDefault="00D427A7" w:rsidP="00D427A7">
      <w:pPr>
        <w:spacing w:after="0"/>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lang w:eastAsia="sl-SI"/>
        </w:rPr>
        <w:t>skladno z Resolucijo o nacionalnem programu razvoja prometa v Republiki Sloveniji do leta 2030 (Uradni list RS, št. 75/2016 z dne 30. 11. 2016) in Strategijo razvoja prometa v Republiki Sloveniji do leta 2030 (Sklep Vlade RS št.: 37000-3/2015/8 z dne, 29. 7. 2015) m</w:t>
      </w:r>
      <w:r w:rsidRPr="00E158FA">
        <w:rPr>
          <w:rFonts w:ascii="Arial" w:hAnsi="Arial" w:cs="Arial"/>
        </w:rPr>
        <w:t xml:space="preserve">inistrstvo pristojno za infrastrukturo s ciljem postopne odprave vrzeli, ki vplivajo na vojaško mobilnost na ozemlju RS, na podlagi opredeljenih minimalnih vojaških infrastrukturnih zahtev (Joint Staff Working Document on the updated Gap Analysis between the Military Requirements and the Trans-European Transport Network Requirements, dokument št. 9805/20 z dne 17. 7. 2020), nadaljuje vrednotenje stanja obstoječih prometnih infrastrukturnih objektov na TEN-T koridorjih v RS. Po ovrednotenju odstopanj  obstoječih objektov prometne infrastrukturne (vojaške zahteve in obstoječi infrastrukturni objekti), izdeluje noveliran prioritetni seznam potrebnih nadgradenj/prilagoditev prometne infrastrukture, ki jih vključi v nacionalni načrt posodobitve prometne infrastrukture. </w:t>
      </w:r>
    </w:p>
    <w:p w:rsidR="00D427A7" w:rsidRPr="00E158FA" w:rsidRDefault="00D427A7" w:rsidP="00D427A7">
      <w:pPr>
        <w:spacing w:after="0"/>
        <w:ind w:left="720"/>
        <w:contextualSpacing/>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 xml:space="preserve">za pridobitev EU sredstev za dvojno rabo se pripravi prijava projektov, ki so realno izvedljivi in so vezani na odpravo najnujnejših vrzeli na prometni infrastrukturi in za katera še niso zagotovljeni drugi razpoložljivi finančni viri. </w:t>
      </w:r>
    </w:p>
    <w:p w:rsidR="00D427A7" w:rsidRPr="00E158FA" w:rsidRDefault="00D427A7" w:rsidP="00D427A7">
      <w:pPr>
        <w:spacing w:after="0"/>
        <w:ind w:left="720"/>
        <w:contextualSpacing/>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 xml:space="preserve">RS bo v skladu z aktivnostmi na ravni EU sodelovala pri iskanju ustreznih rešitev v smislu  digitalizacije carinskih postopkov vezanih na vojaško mobilnost. </w:t>
      </w:r>
    </w:p>
    <w:p w:rsidR="00D427A7" w:rsidRPr="00E158FA" w:rsidRDefault="00D427A7" w:rsidP="00D427A7">
      <w:pPr>
        <w:spacing w:after="0"/>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PESCO projekt Mreža logističnih vozlišč v Evropi in za podporo operacij od držav članic predvideva premislek in načrtovanje posodabljanja in povečanja zmogljivosti delov obstoječih vozlišč ali načrtovanje gradnje novih v okviru vseevropske mreže logističnih vozlišč. RS ovrednoti tudi potrebe in izvedljivost dograditve pretovornih točk, ki bodo omogočale multimodalni transport za civilno-vojaške namene v RS.</w:t>
      </w:r>
      <w:r w:rsidRPr="00E158FA">
        <w:rPr>
          <w:rFonts w:ascii="Arial" w:hAnsi="Arial" w:cs="Arial"/>
          <w:color w:val="FF0000"/>
        </w:rPr>
        <w:t xml:space="preserve"> </w:t>
      </w:r>
    </w:p>
    <w:p w:rsidR="00D427A7" w:rsidRPr="00E158FA" w:rsidRDefault="00D427A7" w:rsidP="00D427A7">
      <w:pPr>
        <w:spacing w:after="0"/>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RS se bo povezovala s sosednjimi državami, skozi katere potekajo isti TEN-T koridorji kot v RS.</w:t>
      </w:r>
    </w:p>
    <w:p w:rsidR="00D427A7" w:rsidRPr="00E158FA" w:rsidRDefault="00D427A7" w:rsidP="00D427A7">
      <w:pPr>
        <w:spacing w:after="0"/>
        <w:contextualSpacing/>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po potrebi se prilagodi nacionalna zakonodaja skladno s sprejetimi mednarodnimi sporazumi.</w:t>
      </w:r>
    </w:p>
    <w:p w:rsidR="00D427A7" w:rsidRPr="00E158FA" w:rsidRDefault="00D427A7" w:rsidP="00D427A7">
      <w:pPr>
        <w:spacing w:after="0"/>
        <w:ind w:left="720"/>
        <w:contextualSpacing/>
        <w:jc w:val="both"/>
        <w:rPr>
          <w:rFonts w:ascii="Arial" w:hAnsi="Arial" w:cs="Arial"/>
        </w:rPr>
      </w:pPr>
    </w:p>
    <w:p w:rsidR="00D427A7" w:rsidRPr="00E158FA" w:rsidRDefault="00D427A7" w:rsidP="00D427A7">
      <w:pPr>
        <w:numPr>
          <w:ilvl w:val="0"/>
          <w:numId w:val="7"/>
        </w:numPr>
        <w:spacing w:after="0"/>
        <w:contextualSpacing/>
        <w:jc w:val="both"/>
        <w:rPr>
          <w:rFonts w:ascii="Arial" w:hAnsi="Arial" w:cs="Arial"/>
        </w:rPr>
      </w:pPr>
      <w:r w:rsidRPr="00E158FA">
        <w:rPr>
          <w:rFonts w:ascii="Arial" w:hAnsi="Arial" w:cs="Arial"/>
        </w:rPr>
        <w:t xml:space="preserve">zagotovi se izdaja dovoljenj tujim oboroženim silam za premike v/preko ozemlja ali zračnega prostora RS v roku petih (5) delovnih dni. </w:t>
      </w:r>
    </w:p>
    <w:p w:rsidR="005D6AEA" w:rsidRDefault="005D6AEA">
      <w:bookmarkStart w:id="9" w:name="_GoBack"/>
      <w:bookmarkEnd w:id="9"/>
    </w:p>
    <w:sectPr w:rsidR="005D6A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7A7" w:rsidRDefault="00D427A7" w:rsidP="00D427A7">
      <w:pPr>
        <w:spacing w:after="0" w:line="240" w:lineRule="auto"/>
      </w:pPr>
      <w:r>
        <w:separator/>
      </w:r>
    </w:p>
  </w:endnote>
  <w:endnote w:type="continuationSeparator" w:id="0">
    <w:p w:rsidR="00D427A7" w:rsidRDefault="00D427A7" w:rsidP="00D4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7A7" w:rsidRDefault="00D427A7" w:rsidP="00D427A7">
      <w:pPr>
        <w:spacing w:after="0" w:line="240" w:lineRule="auto"/>
      </w:pPr>
      <w:r>
        <w:separator/>
      </w:r>
    </w:p>
  </w:footnote>
  <w:footnote w:type="continuationSeparator" w:id="0">
    <w:p w:rsidR="00D427A7" w:rsidRDefault="00D427A7" w:rsidP="00D427A7">
      <w:pPr>
        <w:spacing w:after="0" w:line="240" w:lineRule="auto"/>
      </w:pPr>
      <w:r>
        <w:continuationSeparator/>
      </w:r>
    </w:p>
  </w:footnote>
  <w:footnote w:id="1">
    <w:p w:rsidR="00D427A7" w:rsidRDefault="00D427A7" w:rsidP="00D427A7">
      <w:pPr>
        <w:pStyle w:val="Sprotnaopomba-besedilo"/>
        <w:jc w:val="both"/>
      </w:pPr>
      <w:r>
        <w:rPr>
          <w:rStyle w:val="Sprotnaopomba-sklic"/>
        </w:rPr>
        <w:footnoteRef/>
      </w:r>
      <w:r>
        <w:t xml:space="preserve"> Predtem sta bila </w:t>
      </w:r>
      <w:r w:rsidRPr="00F66A64">
        <w:t>po</w:t>
      </w:r>
      <w:r>
        <w:t>dpisana Tehnični sporazum št. B.PRJ.CAP.179</w:t>
      </w:r>
      <w:r w:rsidRPr="00F66A64">
        <w:t xml:space="preserve"> o vojaških prehodih meja in premikih po kopnem (</w:t>
      </w:r>
      <w:r>
        <w:t>sklep Vlade RS, št. 51002-46/2019/3 z dne 18. 7. 2019) in Nota o pristopu k Tehničnemu dogovoru</w:t>
      </w:r>
      <w:r w:rsidRPr="00F66A64">
        <w:t xml:space="preserve"> o dip</w:t>
      </w:r>
      <w:r>
        <w:t>lomatskih dovoljenjih za vojaška transportna letala</w:t>
      </w:r>
      <w:r w:rsidRPr="00F66A64">
        <w:t xml:space="preserve"> udeležencev v njihovem nacionalnem zračnem prostoru ali na ozemlju (</w:t>
      </w:r>
      <w:r>
        <w:t>sklep Vlade RS, št. 51002-22/2018/3 z dne 14. 4. 2018 in 51002-25/2020/3 z dne 23. 7. 2020).</w:t>
      </w:r>
    </w:p>
  </w:footnote>
  <w:footnote w:id="2">
    <w:p w:rsidR="00D427A7" w:rsidRPr="00C80775" w:rsidRDefault="00D427A7" w:rsidP="00D427A7">
      <w:pPr>
        <w:autoSpaceDE w:val="0"/>
        <w:autoSpaceDN w:val="0"/>
        <w:adjustRightInd w:val="0"/>
        <w:spacing w:line="240" w:lineRule="auto"/>
        <w:jc w:val="both"/>
        <w:rPr>
          <w:rFonts w:ascii="Arial" w:hAnsi="Arial" w:cs="Arial"/>
          <w:sz w:val="20"/>
          <w:szCs w:val="20"/>
          <w:lang w:eastAsia="sl-SI"/>
        </w:rPr>
      </w:pPr>
      <w:r w:rsidRPr="00C80775">
        <w:rPr>
          <w:rStyle w:val="Sprotnaopomba-sklic"/>
          <w:sz w:val="20"/>
          <w:szCs w:val="20"/>
        </w:rPr>
        <w:footnoteRef/>
      </w:r>
      <w:r w:rsidRPr="00C80775">
        <w:rPr>
          <w:rFonts w:ascii="Arial" w:hAnsi="Arial" w:cs="Arial"/>
          <w:sz w:val="20"/>
          <w:szCs w:val="20"/>
        </w:rPr>
        <w:t xml:space="preserve"> N</w:t>
      </w:r>
      <w:r w:rsidRPr="00C80775">
        <w:rPr>
          <w:rFonts w:ascii="Arial" w:hAnsi="Arial" w:cs="Arial"/>
          <w:sz w:val="20"/>
          <w:szCs w:val="20"/>
          <w:lang w:eastAsia="sl-SI"/>
        </w:rPr>
        <w:t xml:space="preserve">adzorni odbor </w:t>
      </w:r>
      <w:r>
        <w:rPr>
          <w:rFonts w:ascii="Arial" w:hAnsi="Arial" w:cs="Arial"/>
          <w:sz w:val="20"/>
          <w:szCs w:val="20"/>
          <w:lang w:eastAsia="sl-SI"/>
        </w:rPr>
        <w:t>je oblikoval</w:t>
      </w:r>
      <w:r w:rsidRPr="00C80775">
        <w:rPr>
          <w:rFonts w:ascii="Arial" w:hAnsi="Arial" w:cs="Arial"/>
          <w:sz w:val="20"/>
          <w:szCs w:val="20"/>
          <w:lang w:eastAsia="sl-SI"/>
        </w:rPr>
        <w:t xml:space="preserve"> potrebna delovna telesa za delovanje projekta. Tako je bilo vzpostavljenih petih delovnih teles (Workstrand - WS). PMC prav tako usklajuje delo vseh podskupin, potrjuje njihove predloge, izdelane dokumente in poročila. Prvi sestanek upravnega odbora PMC je bil 1. 6. 2021, kjer je bilo potrjeno delo podskupin WS. Na tem sestanku so bili potrjeni ključni standardni postopki delovanja za projekt »Policy, Doctrine and Concept«.</w:t>
      </w:r>
    </w:p>
    <w:p w:rsidR="00D427A7" w:rsidRDefault="00D427A7" w:rsidP="00D427A7">
      <w:pPr>
        <w:pStyle w:val="Sprotnaopomba-besedilo"/>
      </w:pPr>
    </w:p>
  </w:footnote>
  <w:footnote w:id="3">
    <w:p w:rsidR="00D427A7" w:rsidRPr="00DD51B6" w:rsidRDefault="00D427A7" w:rsidP="00D427A7">
      <w:pPr>
        <w:pStyle w:val="Sprotnaopomba-besedilo"/>
        <w:jc w:val="both"/>
        <w:rPr>
          <w:rFonts w:ascii="Arial" w:hAnsi="Arial" w:cs="Arial"/>
          <w:sz w:val="18"/>
          <w:szCs w:val="18"/>
        </w:rPr>
      </w:pPr>
      <w:r w:rsidRPr="00DD51B6">
        <w:rPr>
          <w:rStyle w:val="Sprotnaopomba-sklic"/>
          <w:sz w:val="18"/>
          <w:szCs w:val="18"/>
        </w:rPr>
        <w:footnoteRef/>
      </w:r>
      <w:r w:rsidRPr="00DD51B6">
        <w:rPr>
          <w:rFonts w:ascii="Arial" w:hAnsi="Arial" w:cs="Arial"/>
          <w:sz w:val="18"/>
          <w:szCs w:val="18"/>
        </w:rPr>
        <w:t xml:space="preserve"> Razhajanje med TEN-T tehničnimi zahtevami in minimalnimi vojaškimi tehničnimi zahtevami</w:t>
      </w:r>
      <w:r>
        <w:rPr>
          <w:rFonts w:ascii="Arial" w:hAnsi="Arial" w:cs="Arial"/>
          <w:sz w:val="18"/>
          <w:szCs w:val="18"/>
        </w:rPr>
        <w:t>,</w:t>
      </w:r>
      <w:r w:rsidRPr="00DD51B6">
        <w:rPr>
          <w:rFonts w:ascii="Arial" w:hAnsi="Arial" w:cs="Arial"/>
          <w:sz w:val="18"/>
          <w:szCs w:val="18"/>
        </w:rPr>
        <w:t xml:space="preserve"> opredeljenimi v dokumentu »Joint Staff Working Document on the updated Gap Analysis between the Military Requirements and the Trans-European Transport Network Requirements«, št</w:t>
      </w:r>
      <w:r>
        <w:rPr>
          <w:rFonts w:ascii="Arial" w:hAnsi="Arial" w:cs="Arial"/>
          <w:sz w:val="18"/>
          <w:szCs w:val="18"/>
        </w:rPr>
        <w:t>.</w:t>
      </w:r>
      <w:r w:rsidRPr="00DD51B6">
        <w:rPr>
          <w:rFonts w:ascii="Arial" w:hAnsi="Arial" w:cs="Arial"/>
          <w:sz w:val="18"/>
          <w:szCs w:val="18"/>
        </w:rPr>
        <w:t xml:space="preserve"> 9805/20 z dne </w:t>
      </w:r>
      <w:r>
        <w:rPr>
          <w:rFonts w:ascii="Arial" w:hAnsi="Arial" w:cs="Arial"/>
          <w:sz w:val="18"/>
          <w:szCs w:val="18"/>
        </w:rPr>
        <w:br/>
      </w:r>
      <w:r w:rsidRPr="00DD51B6">
        <w:rPr>
          <w:rFonts w:ascii="Arial" w:hAnsi="Arial" w:cs="Arial"/>
          <w:sz w:val="18"/>
          <w:szCs w:val="18"/>
        </w:rPr>
        <w:t>17. 7. 2020.</w:t>
      </w:r>
    </w:p>
  </w:footnote>
  <w:footnote w:id="4">
    <w:p w:rsidR="00D427A7" w:rsidRPr="00DD51B6" w:rsidRDefault="00D427A7" w:rsidP="00D427A7">
      <w:pPr>
        <w:pStyle w:val="Sprotnaopomba-besedilo"/>
        <w:jc w:val="both"/>
        <w:rPr>
          <w:rFonts w:ascii="Arial" w:hAnsi="Arial" w:cs="Arial"/>
          <w:sz w:val="18"/>
          <w:szCs w:val="18"/>
        </w:rPr>
      </w:pPr>
      <w:r w:rsidRPr="00DD51B6">
        <w:rPr>
          <w:rStyle w:val="Sprotnaopomba-sklic"/>
          <w:sz w:val="18"/>
          <w:szCs w:val="18"/>
        </w:rPr>
        <w:footnoteRef/>
      </w:r>
      <w:r w:rsidRPr="00DD51B6">
        <w:rPr>
          <w:rFonts w:ascii="Arial" w:hAnsi="Arial" w:cs="Arial"/>
          <w:sz w:val="18"/>
          <w:szCs w:val="18"/>
        </w:rPr>
        <w:t xml:space="preserve"> »</w:t>
      </w:r>
      <w:r>
        <w:rPr>
          <w:rFonts w:ascii="Arial" w:hAnsi="Arial" w:cs="Arial"/>
          <w:sz w:val="18"/>
          <w:szCs w:val="18"/>
        </w:rPr>
        <w:t>Ustrezni</w:t>
      </w:r>
      <w:r w:rsidRPr="00DD51B6">
        <w:rPr>
          <w:rFonts w:ascii="Arial" w:hAnsi="Arial" w:cs="Arial"/>
          <w:sz w:val="18"/>
          <w:szCs w:val="18"/>
        </w:rPr>
        <w:t xml:space="preserve">« </w:t>
      </w:r>
      <w:r>
        <w:rPr>
          <w:rFonts w:ascii="Arial" w:hAnsi="Arial" w:cs="Arial"/>
          <w:sz w:val="18"/>
          <w:szCs w:val="18"/>
        </w:rPr>
        <w:t xml:space="preserve">ali tudi 'zreli' </w:t>
      </w:r>
      <w:r w:rsidRPr="00DD51B6">
        <w:rPr>
          <w:rFonts w:ascii="Arial" w:hAnsi="Arial" w:cs="Arial"/>
          <w:sz w:val="18"/>
          <w:szCs w:val="18"/>
        </w:rPr>
        <w:t>projekti so že v nacionalnem načrtu izgradnje prometne infr</w:t>
      </w:r>
      <w:r>
        <w:rPr>
          <w:rFonts w:ascii="Arial" w:hAnsi="Arial" w:cs="Arial"/>
          <w:sz w:val="18"/>
          <w:szCs w:val="18"/>
        </w:rPr>
        <w:t>a</w:t>
      </w:r>
      <w:r w:rsidRPr="00DD51B6">
        <w:rPr>
          <w:rFonts w:ascii="Arial" w:hAnsi="Arial" w:cs="Arial"/>
          <w:sz w:val="18"/>
          <w:szCs w:val="18"/>
        </w:rPr>
        <w:t>strukture, imajo izdelano ustrezno dokumentacijo in so z vidika načrtovanja pripravljeni za kandidiranje za EU sredstva.</w:t>
      </w:r>
    </w:p>
  </w:footnote>
  <w:footnote w:id="5">
    <w:p w:rsidR="00D427A7" w:rsidRPr="007B19AB" w:rsidRDefault="00D427A7" w:rsidP="00D427A7">
      <w:pPr>
        <w:pStyle w:val="Sprotnaopomba-besedilo"/>
        <w:jc w:val="both"/>
      </w:pPr>
      <w:r w:rsidRPr="00DD51B6">
        <w:rPr>
          <w:rStyle w:val="Sprotnaopomba-sklic"/>
          <w:sz w:val="18"/>
          <w:szCs w:val="18"/>
        </w:rPr>
        <w:footnoteRef/>
      </w:r>
      <w:r w:rsidRPr="00DD51B6">
        <w:rPr>
          <w:rFonts w:ascii="Arial" w:hAnsi="Arial" w:cs="Arial"/>
          <w:sz w:val="18"/>
          <w:szCs w:val="18"/>
        </w:rPr>
        <w:t xml:space="preserve"> Interventni zakon za odpravo ovir pri izvedbi pomembnih investicij za zagon gospodarstva po epidemiji COVID-19 (IZOOPIZG), Uradni list RS, št.80/2020 z dne 30.</w:t>
      </w:r>
      <w:r>
        <w:rPr>
          <w:rFonts w:ascii="Arial" w:hAnsi="Arial" w:cs="Arial"/>
          <w:sz w:val="18"/>
          <w:szCs w:val="18"/>
        </w:rPr>
        <w:t> </w:t>
      </w:r>
      <w:r w:rsidRPr="00DD51B6">
        <w:rPr>
          <w:rFonts w:ascii="Arial" w:hAnsi="Arial" w:cs="Arial"/>
          <w:sz w:val="18"/>
          <w:szCs w:val="18"/>
        </w:rPr>
        <w:t>5</w:t>
      </w:r>
      <w:r>
        <w:rPr>
          <w:rFonts w:ascii="Arial" w:hAnsi="Arial" w:cs="Arial"/>
          <w:sz w:val="18"/>
          <w:szCs w:val="18"/>
        </w:rPr>
        <w:t xml:space="preserve"> 2020</w:t>
      </w:r>
      <w:r w:rsidRPr="00DD51B6">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553D3"/>
    <w:multiLevelType w:val="hybridMultilevel"/>
    <w:tmpl w:val="3264B6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283060"/>
    <w:multiLevelType w:val="hybridMultilevel"/>
    <w:tmpl w:val="6AB2B8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BB66C9"/>
    <w:multiLevelType w:val="hybridMultilevel"/>
    <w:tmpl w:val="DB98FD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6EE1558"/>
    <w:multiLevelType w:val="hybridMultilevel"/>
    <w:tmpl w:val="D1B491FE"/>
    <w:lvl w:ilvl="0" w:tplc="FFFFFFFF">
      <w:start w:val="1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C1949F9"/>
    <w:multiLevelType w:val="hybridMultilevel"/>
    <w:tmpl w:val="19E255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2847BC6"/>
    <w:multiLevelType w:val="hybridMultilevel"/>
    <w:tmpl w:val="779C060A"/>
    <w:lvl w:ilvl="0" w:tplc="FFFFFFFF">
      <w:numFmt w:val="bullet"/>
      <w:lvlText w:val="–"/>
      <w:lvlJc w:val="left"/>
      <w:pPr>
        <w:ind w:left="360" w:hanging="360"/>
      </w:pPr>
      <w:rPr>
        <w:rFonts w:ascii="Georgia" w:eastAsia="Times New Roman" w:hAnsi="Georg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3BD6950"/>
    <w:multiLevelType w:val="hybridMultilevel"/>
    <w:tmpl w:val="C7D6F8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B63BD7"/>
    <w:multiLevelType w:val="hybridMultilevel"/>
    <w:tmpl w:val="A9C6ABEC"/>
    <w:lvl w:ilvl="0" w:tplc="FFFFFFFF">
      <w:start w:val="1"/>
      <w:numFmt w:val="lowerLetter"/>
      <w:lvlText w:val="%1)"/>
      <w:lvlJc w:val="left"/>
      <w:pPr>
        <w:ind w:left="720" w:hanging="360"/>
      </w:pPr>
      <w:rPr>
        <w:rFonts w:hint="default"/>
      </w:rPr>
    </w:lvl>
    <w:lvl w:ilvl="1" w:tplc="FFFFFFFF">
      <w:start w:val="1"/>
      <w:numFmt w:val="decimal"/>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F31A5A"/>
    <w:multiLevelType w:val="hybridMultilevel"/>
    <w:tmpl w:val="53461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7AC4877"/>
    <w:multiLevelType w:val="hybridMultilevel"/>
    <w:tmpl w:val="112AD4EA"/>
    <w:lvl w:ilvl="0" w:tplc="FFFFFFFF">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262278"/>
    <w:multiLevelType w:val="hybridMultilevel"/>
    <w:tmpl w:val="00724E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8397F63"/>
    <w:multiLevelType w:val="hybridMultilevel"/>
    <w:tmpl w:val="F0D24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9F3881"/>
    <w:multiLevelType w:val="hybridMultilevel"/>
    <w:tmpl w:val="F3A0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1"/>
  </w:num>
  <w:num w:numId="2">
    <w:abstractNumId w:val="3"/>
  </w:num>
  <w:num w:numId="3">
    <w:abstractNumId w:val="6"/>
  </w:num>
  <w:num w:numId="4">
    <w:abstractNumId w:val="7"/>
  </w:num>
  <w:num w:numId="5">
    <w:abstractNumId w:val="12"/>
  </w:num>
  <w:num w:numId="6">
    <w:abstractNumId w:val="5"/>
  </w:num>
  <w:num w:numId="7">
    <w:abstractNumId w:val="9"/>
  </w:num>
  <w:num w:numId="8">
    <w:abstractNumId w:val="10"/>
  </w:num>
  <w:num w:numId="9">
    <w:abstractNumId w:val="2"/>
  </w:num>
  <w:num w:numId="10">
    <w:abstractNumId w:val="0"/>
  </w:num>
  <w:num w:numId="11">
    <w:abstractNumId w:val="4"/>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A7"/>
    <w:rsid w:val="005D6AEA"/>
    <w:rsid w:val="00D427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16CB4-DF7C-4C96-A402-612EAAA1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427A7"/>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D427A7"/>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427A7"/>
    <w:rPr>
      <w:rFonts w:ascii="Arial" w:eastAsia="Times New Roman" w:hAnsi="Arial" w:cs="Arial"/>
      <w:b/>
      <w:lang w:eastAsia="sl-SI"/>
    </w:rPr>
  </w:style>
  <w:style w:type="paragraph" w:styleId="Sprotnaopomba-besedilo">
    <w:name w:val="footnote text"/>
    <w:basedOn w:val="Navaden"/>
    <w:link w:val="Sprotnaopomba-besediloZnak"/>
    <w:rsid w:val="00D427A7"/>
    <w:rPr>
      <w:sz w:val="20"/>
      <w:szCs w:val="20"/>
    </w:rPr>
  </w:style>
  <w:style w:type="character" w:customStyle="1" w:styleId="Sprotnaopomba-besediloZnak">
    <w:name w:val="Sprotna opomba - besedilo Znak"/>
    <w:basedOn w:val="Privzetapisavaodstavka"/>
    <w:link w:val="Sprotnaopomba-besedilo"/>
    <w:rsid w:val="00D427A7"/>
    <w:rPr>
      <w:rFonts w:ascii="Calibri" w:eastAsia="Calibri" w:hAnsi="Calibri" w:cs="Times New Roman"/>
      <w:sz w:val="20"/>
      <w:szCs w:val="20"/>
    </w:rPr>
  </w:style>
  <w:style w:type="character" w:styleId="Sprotnaopomba-sklic">
    <w:name w:val="footnote reference"/>
    <w:rsid w:val="00D427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9121</Words>
  <Characters>51992</Characters>
  <Application>Microsoft Office Word</Application>
  <DocSecurity>0</DocSecurity>
  <Lines>433</Lines>
  <Paragraphs>121</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60992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2022-01-27T14:04:00Z</dcterms:created>
  <dcterms:modified xsi:type="dcterms:W3CDTF">2022-01-27T14:04:00Z</dcterms:modified>
</cp:coreProperties>
</file>