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9D0FAD" w:rsidRPr="00100821" w14:paraId="493700E8" w14:textId="77777777" w:rsidTr="00663C29">
        <w:trPr>
          <w:gridAfter w:val="2"/>
          <w:wAfter w:w="3067" w:type="dxa"/>
        </w:trPr>
        <w:tc>
          <w:tcPr>
            <w:tcW w:w="6096" w:type="dxa"/>
            <w:gridSpan w:val="2"/>
          </w:tcPr>
          <w:p w14:paraId="791C2EA9" w14:textId="3F7C170C" w:rsidR="009D0FAD" w:rsidRPr="00144D56" w:rsidRDefault="009D0FAD" w:rsidP="00F04F8F">
            <w:pPr>
              <w:overflowPunct w:val="0"/>
              <w:autoSpaceDE w:val="0"/>
              <w:autoSpaceDN w:val="0"/>
              <w:adjustRightInd w:val="0"/>
              <w:spacing w:line="260" w:lineRule="exact"/>
              <w:jc w:val="both"/>
              <w:textAlignment w:val="baseline"/>
              <w:rPr>
                <w:rFonts w:cs="Arial"/>
                <w:szCs w:val="20"/>
                <w:lang w:eastAsia="sl-SI"/>
              </w:rPr>
            </w:pPr>
            <w:r w:rsidRPr="00144D56">
              <w:rPr>
                <w:rFonts w:cs="Arial"/>
                <w:szCs w:val="20"/>
                <w:lang w:eastAsia="sl-SI"/>
              </w:rPr>
              <w:t>Številka:</w:t>
            </w:r>
            <w:r w:rsidR="004659AB" w:rsidRPr="00144D56">
              <w:rPr>
                <w:rFonts w:cs="Arial"/>
                <w:szCs w:val="20"/>
                <w:lang w:eastAsia="sl-SI"/>
              </w:rPr>
              <w:t xml:space="preserve"> </w:t>
            </w:r>
            <w:r w:rsidR="00DE0E3D">
              <w:rPr>
                <w:rFonts w:cs="Arial"/>
                <w:szCs w:val="20"/>
                <w:lang w:eastAsia="sl-SI"/>
              </w:rPr>
              <w:t xml:space="preserve">  </w:t>
            </w:r>
            <w:r w:rsidR="004F23D2">
              <w:rPr>
                <w:rFonts w:cs="Arial"/>
                <w:szCs w:val="20"/>
                <w:lang w:eastAsia="sl-SI"/>
              </w:rPr>
              <w:t>303-12/2017/8</w:t>
            </w:r>
            <w:r w:rsidR="00144D56" w:rsidRPr="00144D56">
              <w:rPr>
                <w:rFonts w:cs="Arial"/>
                <w:szCs w:val="20"/>
                <w:lang w:eastAsia="sl-SI"/>
              </w:rPr>
              <w:t>2</w:t>
            </w:r>
          </w:p>
        </w:tc>
      </w:tr>
      <w:tr w:rsidR="009D0FAD" w:rsidRPr="00100821" w14:paraId="2262EF8F" w14:textId="77777777" w:rsidTr="00663C29">
        <w:trPr>
          <w:gridAfter w:val="2"/>
          <w:wAfter w:w="3067" w:type="dxa"/>
        </w:trPr>
        <w:tc>
          <w:tcPr>
            <w:tcW w:w="6096" w:type="dxa"/>
            <w:gridSpan w:val="2"/>
          </w:tcPr>
          <w:p w14:paraId="5E2A9354" w14:textId="6C6212A2" w:rsidR="009D0FAD" w:rsidRPr="00144D56" w:rsidRDefault="009D0FAD" w:rsidP="00F04F8F">
            <w:pPr>
              <w:overflowPunct w:val="0"/>
              <w:autoSpaceDE w:val="0"/>
              <w:autoSpaceDN w:val="0"/>
              <w:adjustRightInd w:val="0"/>
              <w:spacing w:line="260" w:lineRule="exact"/>
              <w:textAlignment w:val="baseline"/>
              <w:rPr>
                <w:rFonts w:cs="Arial"/>
                <w:szCs w:val="20"/>
                <w:lang w:eastAsia="sl-SI"/>
              </w:rPr>
            </w:pPr>
            <w:r w:rsidRPr="00144D56">
              <w:rPr>
                <w:rFonts w:cs="Arial"/>
                <w:szCs w:val="20"/>
                <w:lang w:eastAsia="sl-SI"/>
              </w:rPr>
              <w:t xml:space="preserve">Ljubljana, </w:t>
            </w:r>
            <w:r w:rsidR="003F3255">
              <w:rPr>
                <w:rFonts w:cs="Arial"/>
                <w:szCs w:val="20"/>
                <w:lang w:eastAsia="sl-SI"/>
              </w:rPr>
              <w:t>19</w:t>
            </w:r>
            <w:bookmarkStart w:id="0" w:name="_GoBack"/>
            <w:bookmarkEnd w:id="0"/>
            <w:r w:rsidR="00801B67">
              <w:rPr>
                <w:rFonts w:cs="Arial"/>
                <w:szCs w:val="20"/>
                <w:lang w:eastAsia="sl-SI"/>
              </w:rPr>
              <w:t>.4</w:t>
            </w:r>
            <w:r w:rsidR="00144D56" w:rsidRPr="00144D56">
              <w:rPr>
                <w:rFonts w:cs="Arial"/>
                <w:szCs w:val="20"/>
                <w:lang w:eastAsia="sl-SI"/>
              </w:rPr>
              <w:t>.2021</w:t>
            </w:r>
          </w:p>
        </w:tc>
      </w:tr>
      <w:tr w:rsidR="009D0FAD" w:rsidRPr="00100821" w14:paraId="652A6D01" w14:textId="77777777" w:rsidTr="00663C29">
        <w:trPr>
          <w:gridAfter w:val="2"/>
          <w:wAfter w:w="3067" w:type="dxa"/>
        </w:trPr>
        <w:tc>
          <w:tcPr>
            <w:tcW w:w="6096" w:type="dxa"/>
            <w:gridSpan w:val="2"/>
          </w:tcPr>
          <w:p w14:paraId="488D05F5" w14:textId="77777777" w:rsidR="009D0FAD" w:rsidRPr="00100821" w:rsidRDefault="009D0FAD" w:rsidP="00133AD7">
            <w:pPr>
              <w:overflowPunct w:val="0"/>
              <w:autoSpaceDE w:val="0"/>
              <w:autoSpaceDN w:val="0"/>
              <w:adjustRightInd w:val="0"/>
              <w:spacing w:line="260" w:lineRule="exact"/>
              <w:textAlignment w:val="baseline"/>
              <w:rPr>
                <w:rFonts w:cs="Arial"/>
                <w:szCs w:val="20"/>
                <w:lang w:eastAsia="sl-SI"/>
              </w:rPr>
            </w:pPr>
          </w:p>
        </w:tc>
      </w:tr>
      <w:tr w:rsidR="009D0FAD" w:rsidRPr="00100821" w14:paraId="21CAFAE8" w14:textId="77777777" w:rsidTr="00663C29">
        <w:trPr>
          <w:gridAfter w:val="2"/>
          <w:wAfter w:w="3067" w:type="dxa"/>
        </w:trPr>
        <w:tc>
          <w:tcPr>
            <w:tcW w:w="6096" w:type="dxa"/>
            <w:gridSpan w:val="2"/>
          </w:tcPr>
          <w:p w14:paraId="27A4B9DF" w14:textId="77777777" w:rsidR="009D0FAD" w:rsidRPr="00100821" w:rsidRDefault="009D0FAD" w:rsidP="00133AD7">
            <w:pPr>
              <w:rPr>
                <w:rFonts w:cs="Arial"/>
                <w:b/>
                <w:szCs w:val="20"/>
              </w:rPr>
            </w:pPr>
          </w:p>
          <w:p w14:paraId="757B792C" w14:textId="77777777" w:rsidR="009D0FAD" w:rsidRPr="00100821" w:rsidRDefault="009D0FAD" w:rsidP="00133AD7">
            <w:pPr>
              <w:rPr>
                <w:rFonts w:cs="Arial"/>
                <w:b/>
                <w:szCs w:val="20"/>
              </w:rPr>
            </w:pPr>
            <w:r w:rsidRPr="00100821">
              <w:rPr>
                <w:rFonts w:cs="Arial"/>
                <w:b/>
                <w:szCs w:val="20"/>
              </w:rPr>
              <w:t>GENERALNI SEKRETARIAT VLADE REPUBLIKE SLOVENIJE</w:t>
            </w:r>
          </w:p>
          <w:p w14:paraId="1CE49309" w14:textId="1CA069F9" w:rsidR="009D0FAD" w:rsidRPr="00100821" w:rsidRDefault="003F3255" w:rsidP="00133AD7">
            <w:pPr>
              <w:rPr>
                <w:rFonts w:cs="Arial"/>
                <w:b/>
                <w:szCs w:val="20"/>
              </w:rPr>
            </w:pPr>
            <w:hyperlink r:id="rId8" w:history="1">
              <w:r w:rsidR="00DE0E3D" w:rsidRPr="007E728B">
                <w:rPr>
                  <w:rStyle w:val="Hiperpovezava"/>
                  <w:rFonts w:cs="Arial"/>
                  <w:szCs w:val="20"/>
                </w:rPr>
                <w:t>gp.gs@gov.si</w:t>
              </w:r>
            </w:hyperlink>
          </w:p>
          <w:p w14:paraId="07E9721A" w14:textId="77777777" w:rsidR="009D0FAD" w:rsidRPr="00100821" w:rsidRDefault="009D0FAD" w:rsidP="00133AD7">
            <w:pPr>
              <w:jc w:val="both"/>
              <w:rPr>
                <w:rFonts w:cs="Arial"/>
                <w:b/>
                <w:szCs w:val="20"/>
              </w:rPr>
            </w:pPr>
          </w:p>
        </w:tc>
      </w:tr>
      <w:tr w:rsidR="009D0FAD" w:rsidRPr="00100821" w14:paraId="7207D1DE" w14:textId="77777777" w:rsidTr="00663C29">
        <w:tc>
          <w:tcPr>
            <w:tcW w:w="9163" w:type="dxa"/>
            <w:gridSpan w:val="4"/>
          </w:tcPr>
          <w:p w14:paraId="03085740" w14:textId="77777777" w:rsidR="009D0FAD" w:rsidRPr="00100821" w:rsidRDefault="009D0FAD" w:rsidP="004A0EAB">
            <w:pPr>
              <w:pStyle w:val="Naslovpredpisa"/>
              <w:spacing w:line="260" w:lineRule="exact"/>
              <w:jc w:val="left"/>
              <w:rPr>
                <w:sz w:val="20"/>
                <w:szCs w:val="20"/>
              </w:rPr>
            </w:pPr>
            <w:r w:rsidRPr="00100821">
              <w:rPr>
                <w:szCs w:val="20"/>
              </w:rPr>
              <w:t xml:space="preserve">ZADEVA: Sprememba </w:t>
            </w:r>
            <w:r w:rsidRPr="00100821">
              <w:t xml:space="preserve">Ključnih elementov finančnih instrumentov v programskem obdobju 2014-2020 </w:t>
            </w:r>
            <w:r w:rsidR="004A0EAB">
              <w:t xml:space="preserve">za </w:t>
            </w:r>
            <w:r w:rsidR="00DB71B2">
              <w:t>operacij</w:t>
            </w:r>
            <w:r w:rsidR="004A0EAB">
              <w:t>o</w:t>
            </w:r>
            <w:r w:rsidR="00DB71B2">
              <w:t xml:space="preserve"> Finančni instrumenti </w:t>
            </w:r>
            <w:r w:rsidR="004A0EAB">
              <w:t>v programskem obdobju 2014-2020</w:t>
            </w:r>
            <w:r w:rsidR="00DB71B2">
              <w:t xml:space="preserve"> </w:t>
            </w:r>
            <w:r w:rsidRPr="00100821">
              <w:t>– predlog za obravnavo</w:t>
            </w:r>
            <w:r w:rsidRPr="00100821">
              <w:rPr>
                <w:sz w:val="20"/>
                <w:szCs w:val="20"/>
              </w:rPr>
              <w:t xml:space="preserve"> </w:t>
            </w:r>
          </w:p>
        </w:tc>
      </w:tr>
      <w:tr w:rsidR="009D0FAD" w:rsidRPr="00100821" w14:paraId="1384B7E5" w14:textId="77777777" w:rsidTr="00663C29">
        <w:tc>
          <w:tcPr>
            <w:tcW w:w="9163" w:type="dxa"/>
            <w:gridSpan w:val="4"/>
          </w:tcPr>
          <w:p w14:paraId="310B2484" w14:textId="77777777" w:rsidR="009D0FAD" w:rsidRPr="00100821" w:rsidRDefault="009D0FAD" w:rsidP="00133AD7">
            <w:pPr>
              <w:suppressAutoHyphens/>
              <w:overflowPunct w:val="0"/>
              <w:autoSpaceDE w:val="0"/>
              <w:autoSpaceDN w:val="0"/>
              <w:adjustRightInd w:val="0"/>
              <w:spacing w:line="260" w:lineRule="exact"/>
              <w:textAlignment w:val="baseline"/>
              <w:outlineLvl w:val="3"/>
              <w:rPr>
                <w:rFonts w:cs="Arial"/>
                <w:b/>
                <w:szCs w:val="20"/>
                <w:lang w:eastAsia="sl-SI"/>
              </w:rPr>
            </w:pPr>
            <w:r w:rsidRPr="00100821">
              <w:rPr>
                <w:rFonts w:cs="Arial"/>
                <w:b/>
                <w:szCs w:val="20"/>
                <w:lang w:eastAsia="sl-SI"/>
              </w:rPr>
              <w:t>1. Predlog sklepov vlade:</w:t>
            </w:r>
          </w:p>
        </w:tc>
      </w:tr>
      <w:tr w:rsidR="009D0FAD" w:rsidRPr="00100821" w14:paraId="00C2B4C8" w14:textId="77777777" w:rsidTr="00663C29">
        <w:tc>
          <w:tcPr>
            <w:tcW w:w="9163" w:type="dxa"/>
            <w:gridSpan w:val="4"/>
          </w:tcPr>
          <w:p w14:paraId="658F7ACB" w14:textId="77777777" w:rsidR="009D0FAD" w:rsidRPr="00DB71B2" w:rsidRDefault="009D0FAD" w:rsidP="00133AD7">
            <w:pPr>
              <w:autoSpaceDE w:val="0"/>
              <w:autoSpaceDN w:val="0"/>
              <w:adjustRightInd w:val="0"/>
              <w:spacing w:line="240" w:lineRule="auto"/>
              <w:jc w:val="both"/>
              <w:rPr>
                <w:rFonts w:eastAsiaTheme="minorHAnsi" w:cs="Arial"/>
                <w:bCs/>
                <w:szCs w:val="20"/>
              </w:rPr>
            </w:pPr>
          </w:p>
          <w:p w14:paraId="4C66BD33" w14:textId="43036673" w:rsidR="009D0FAD" w:rsidRDefault="009D0FAD" w:rsidP="00133AD7">
            <w:pPr>
              <w:autoSpaceDE w:val="0"/>
              <w:autoSpaceDN w:val="0"/>
              <w:adjustRightInd w:val="0"/>
              <w:spacing w:line="240" w:lineRule="auto"/>
              <w:jc w:val="both"/>
              <w:rPr>
                <w:rFonts w:eastAsiaTheme="minorHAnsi" w:cs="Arial"/>
                <w:bCs/>
                <w:szCs w:val="20"/>
              </w:rPr>
            </w:pPr>
            <w:r w:rsidRPr="00DB71B2">
              <w:rPr>
                <w:rFonts w:eastAsiaTheme="minorHAnsi" w:cs="Arial"/>
                <w:bCs/>
                <w:szCs w:val="20"/>
              </w:rPr>
              <w:t xml:space="preserve">Na podlagi šestega odstavka 21. člena </w:t>
            </w:r>
            <w:r w:rsidRPr="00AD6613">
              <w:rPr>
                <w:rFonts w:eastAsiaTheme="minorHAnsi" w:cs="Arial"/>
                <w:bCs/>
                <w:szCs w:val="20"/>
              </w:rPr>
              <w:t>Zakona o Vladi Republike</w:t>
            </w:r>
            <w:r w:rsidRPr="00DB71B2">
              <w:rPr>
                <w:rFonts w:eastAsiaTheme="minorHAnsi" w:cs="Arial"/>
                <w:bCs/>
                <w:szCs w:val="20"/>
              </w:rPr>
              <w:t xml:space="preserve"> Slovenije (Uradni list RS, št. 24/05 - uradno prečiščeno besedilo, 109/08, 38/10 </w:t>
            </w:r>
            <w:r w:rsidRPr="00100821">
              <w:rPr>
                <w:rFonts w:cs="Arial"/>
                <w:b/>
                <w:bCs/>
                <w:color w:val="626060"/>
                <w:sz w:val="18"/>
                <w:szCs w:val="18"/>
                <w:shd w:val="clear" w:color="auto" w:fill="FFFFFF"/>
              </w:rPr>
              <w:t>–</w:t>
            </w:r>
            <w:r w:rsidRPr="00DB71B2">
              <w:rPr>
                <w:rFonts w:eastAsiaTheme="minorHAnsi" w:cs="Arial"/>
                <w:bCs/>
                <w:szCs w:val="20"/>
              </w:rPr>
              <w:t xml:space="preserve"> ZUKN, 8/12, 21/13, 47/13 </w:t>
            </w:r>
            <w:r w:rsidRPr="00100821">
              <w:rPr>
                <w:rFonts w:cs="Arial"/>
                <w:b/>
                <w:bCs/>
                <w:color w:val="626060"/>
                <w:sz w:val="18"/>
                <w:szCs w:val="18"/>
                <w:shd w:val="clear" w:color="auto" w:fill="FFFFFF"/>
              </w:rPr>
              <w:t xml:space="preserve">– </w:t>
            </w:r>
            <w:r w:rsidRPr="00DB71B2">
              <w:rPr>
                <w:rFonts w:eastAsiaTheme="minorHAnsi" w:cs="Arial"/>
                <w:bCs/>
                <w:szCs w:val="20"/>
              </w:rPr>
              <w:t xml:space="preserve">ZDU-1G, 65/14 in 55/17), drugega odstavka 17. člena </w:t>
            </w:r>
            <w:r w:rsidRPr="00AD6613">
              <w:rPr>
                <w:rFonts w:eastAsiaTheme="minorHAnsi" w:cs="Arial"/>
                <w:bCs/>
                <w:szCs w:val="20"/>
              </w:rPr>
              <w:t>Uredbe o postopku, merilih</w:t>
            </w:r>
            <w:r w:rsidRPr="00DB71B2">
              <w:rPr>
                <w:rFonts w:eastAsiaTheme="minorHAnsi" w:cs="Arial"/>
                <w:bCs/>
                <w:szCs w:val="20"/>
              </w:rPr>
              <w:t xml:space="preserve"> in načinih dodeljevanja sredstev za spodbujanje razvojnih programov in prednostnih nalog (Uradni list RS, št. 56/11) v zvezi z drugim odstavkom 106.j člena </w:t>
            </w:r>
            <w:r w:rsidRPr="00AD6613">
              <w:rPr>
                <w:rFonts w:eastAsiaTheme="minorHAnsi" w:cs="Arial"/>
                <w:bCs/>
                <w:szCs w:val="20"/>
              </w:rPr>
              <w:t>Zakona o javnih financah</w:t>
            </w:r>
            <w:r w:rsidRPr="00DB71B2">
              <w:rPr>
                <w:rFonts w:eastAsiaTheme="minorHAnsi" w:cs="Arial"/>
                <w:bCs/>
                <w:szCs w:val="20"/>
              </w:rPr>
              <w:t xml:space="preserve"> (Uradni list RS, št. 11/11 – uradno prečiščeno besedilo, 14/13 – popr., 101/13 in 55/15 – ZfisP in 96/15</w:t>
            </w:r>
            <w:r w:rsidRPr="00100821">
              <w:rPr>
                <w:rFonts w:cs="Arial"/>
                <w:b/>
                <w:bCs/>
                <w:color w:val="626060"/>
                <w:sz w:val="18"/>
                <w:szCs w:val="18"/>
                <w:shd w:val="clear" w:color="auto" w:fill="FFFFFF"/>
              </w:rPr>
              <w:t xml:space="preserve"> – </w:t>
            </w:r>
            <w:r w:rsidR="00AD6613">
              <w:rPr>
                <w:rFonts w:eastAsiaTheme="minorHAnsi" w:cs="Arial"/>
                <w:bCs/>
                <w:szCs w:val="20"/>
              </w:rPr>
              <w:t>ZIPRS1617,</w:t>
            </w:r>
            <w:r w:rsidRPr="00DB71B2">
              <w:rPr>
                <w:rFonts w:eastAsiaTheme="minorHAnsi" w:cs="Arial"/>
                <w:bCs/>
                <w:szCs w:val="20"/>
              </w:rPr>
              <w:t xml:space="preserve"> 13/18</w:t>
            </w:r>
            <w:r w:rsidR="00AD6613">
              <w:rPr>
                <w:rFonts w:eastAsiaTheme="minorHAnsi" w:cs="Arial"/>
                <w:bCs/>
                <w:szCs w:val="20"/>
              </w:rPr>
              <w:t xml:space="preserve"> </w:t>
            </w:r>
            <w:r w:rsidR="00AD6613" w:rsidRPr="00AD6613">
              <w:rPr>
                <w:rFonts w:eastAsiaTheme="minorHAnsi" w:cs="Arial"/>
                <w:bCs/>
                <w:szCs w:val="20"/>
              </w:rPr>
              <w:t>in 195/20 – odl. US</w:t>
            </w:r>
            <w:r w:rsidRPr="00DB71B2">
              <w:rPr>
                <w:rFonts w:eastAsiaTheme="minorHAnsi" w:cs="Arial"/>
                <w:bCs/>
                <w:szCs w:val="20"/>
              </w:rPr>
              <w:t>)</w:t>
            </w:r>
            <w:r w:rsidR="00801B67">
              <w:rPr>
                <w:rFonts w:eastAsiaTheme="minorHAnsi" w:cs="Arial"/>
                <w:bCs/>
                <w:szCs w:val="20"/>
              </w:rPr>
              <w:t xml:space="preserve"> in prvim odstavkom</w:t>
            </w:r>
            <w:r w:rsidR="00133AD7" w:rsidRPr="00DB71B2">
              <w:rPr>
                <w:rFonts w:eastAsiaTheme="minorHAnsi" w:cs="Arial"/>
                <w:bCs/>
                <w:szCs w:val="20"/>
              </w:rPr>
              <w:t xml:space="preserve"> 37. a člena </w:t>
            </w:r>
            <w:r w:rsidR="00133AD7" w:rsidRPr="00680591">
              <w:rPr>
                <w:rFonts w:eastAsiaTheme="minorHAnsi" w:cs="Arial"/>
                <w:bCs/>
                <w:szCs w:val="20"/>
              </w:rPr>
              <w:t>Uredbe o porabi sredstev evropske</w:t>
            </w:r>
            <w:r w:rsidR="00133AD7" w:rsidRPr="00DB71B2">
              <w:rPr>
                <w:rFonts w:eastAsiaTheme="minorHAnsi" w:cs="Arial"/>
                <w:bCs/>
                <w:szCs w:val="20"/>
              </w:rPr>
              <w:t xml:space="preserve"> kohezijske politike v Republiki Sloveniji v programskem obdobju 2014-2020 za cilj naložbe za rast in delovna mesta (Uradni list RS št. 29/15, 36/16, 58/16, 69/16 – popr.,</w:t>
            </w:r>
            <w:r w:rsidR="00133AD7" w:rsidRPr="00100821">
              <w:rPr>
                <w:rFonts w:cs="Arial"/>
              </w:rPr>
              <w:t xml:space="preserve"> </w:t>
            </w:r>
            <w:r w:rsidR="00133AD7" w:rsidRPr="00DB71B2">
              <w:rPr>
                <w:rFonts w:eastAsiaTheme="minorHAnsi" w:cs="Arial"/>
                <w:bCs/>
                <w:szCs w:val="20"/>
              </w:rPr>
              <w:t>15/17, 69/17</w:t>
            </w:r>
            <w:r w:rsidR="007C5FDB">
              <w:rPr>
                <w:rFonts w:eastAsiaTheme="minorHAnsi" w:cs="Arial"/>
                <w:bCs/>
                <w:szCs w:val="20"/>
              </w:rPr>
              <w:t>,</w:t>
            </w:r>
            <w:r w:rsidR="00133AD7" w:rsidRPr="00100821">
              <w:rPr>
                <w:rFonts w:cs="Arial"/>
              </w:rPr>
              <w:t xml:space="preserve"> </w:t>
            </w:r>
            <w:r w:rsidR="00133AD7" w:rsidRPr="00DB71B2">
              <w:rPr>
                <w:rFonts w:eastAsiaTheme="minorHAnsi" w:cs="Arial"/>
                <w:bCs/>
                <w:szCs w:val="20"/>
              </w:rPr>
              <w:t>67/18</w:t>
            </w:r>
            <w:r w:rsidR="00801B67">
              <w:rPr>
                <w:rFonts w:eastAsiaTheme="minorHAnsi" w:cs="Arial"/>
                <w:bCs/>
                <w:szCs w:val="20"/>
              </w:rPr>
              <w:t xml:space="preserve"> in 15/21</w:t>
            </w:r>
            <w:r w:rsidR="00133AD7" w:rsidRPr="00DB71B2">
              <w:rPr>
                <w:rFonts w:eastAsiaTheme="minorHAnsi" w:cs="Arial"/>
                <w:bCs/>
                <w:szCs w:val="20"/>
              </w:rPr>
              <w:t>)</w:t>
            </w:r>
            <w:r w:rsidRPr="00DB71B2">
              <w:rPr>
                <w:rFonts w:eastAsiaTheme="minorHAnsi" w:cs="Arial"/>
                <w:bCs/>
                <w:szCs w:val="20"/>
              </w:rPr>
              <w:t xml:space="preserve"> je Vlada Republike Slovenije na seji dne _____ pod točko ___ dnevnega reda sprejela naslednji</w:t>
            </w:r>
          </w:p>
          <w:p w14:paraId="1C75263F" w14:textId="77777777" w:rsidR="00DB71B2" w:rsidRDefault="00DB71B2" w:rsidP="00133AD7">
            <w:pPr>
              <w:autoSpaceDE w:val="0"/>
              <w:autoSpaceDN w:val="0"/>
              <w:adjustRightInd w:val="0"/>
              <w:spacing w:line="240" w:lineRule="auto"/>
              <w:jc w:val="both"/>
              <w:rPr>
                <w:rFonts w:eastAsiaTheme="minorHAnsi" w:cs="Arial"/>
                <w:bCs/>
                <w:szCs w:val="20"/>
              </w:rPr>
            </w:pPr>
          </w:p>
          <w:p w14:paraId="5548F4C2" w14:textId="77777777" w:rsidR="00DB71B2" w:rsidRPr="00DB71B2" w:rsidRDefault="00DB71B2" w:rsidP="00DB71B2">
            <w:pPr>
              <w:autoSpaceDE w:val="0"/>
              <w:autoSpaceDN w:val="0"/>
              <w:adjustRightInd w:val="0"/>
              <w:spacing w:line="240" w:lineRule="auto"/>
              <w:jc w:val="center"/>
              <w:rPr>
                <w:rFonts w:eastAsiaTheme="minorHAnsi" w:cs="Arial"/>
                <w:bCs/>
                <w:szCs w:val="20"/>
              </w:rPr>
            </w:pPr>
            <w:r>
              <w:rPr>
                <w:rFonts w:eastAsiaTheme="minorHAnsi" w:cs="Arial"/>
                <w:bCs/>
                <w:szCs w:val="20"/>
              </w:rPr>
              <w:t>SKLEP</w:t>
            </w:r>
          </w:p>
          <w:p w14:paraId="6AE2A751" w14:textId="77777777" w:rsidR="009D0FAD" w:rsidRPr="00DB71B2" w:rsidRDefault="009D0FAD" w:rsidP="00133AD7">
            <w:pPr>
              <w:autoSpaceDE w:val="0"/>
              <w:autoSpaceDN w:val="0"/>
              <w:adjustRightInd w:val="0"/>
              <w:ind w:left="59"/>
              <w:jc w:val="both"/>
              <w:rPr>
                <w:rFonts w:eastAsiaTheme="minorHAnsi" w:cs="Arial"/>
                <w:bCs/>
                <w:szCs w:val="20"/>
              </w:rPr>
            </w:pPr>
          </w:p>
          <w:p w14:paraId="1439BD66" w14:textId="77777777" w:rsidR="009D0FAD" w:rsidRPr="00DB71B2" w:rsidRDefault="009D0FAD" w:rsidP="00133AD7">
            <w:pPr>
              <w:autoSpaceDE w:val="0"/>
              <w:autoSpaceDN w:val="0"/>
              <w:adjustRightInd w:val="0"/>
              <w:ind w:left="596"/>
              <w:rPr>
                <w:rFonts w:eastAsiaTheme="minorHAnsi" w:cs="Arial"/>
                <w:bCs/>
                <w:szCs w:val="20"/>
              </w:rPr>
            </w:pPr>
          </w:p>
          <w:p w14:paraId="0623A5FC" w14:textId="7FCCE711" w:rsidR="009D0FAD" w:rsidRPr="00DB71B2" w:rsidRDefault="009D0FAD" w:rsidP="00E72F8C">
            <w:pPr>
              <w:autoSpaceDE w:val="0"/>
              <w:autoSpaceDN w:val="0"/>
              <w:adjustRightInd w:val="0"/>
              <w:ind w:left="59"/>
              <w:jc w:val="both"/>
              <w:rPr>
                <w:rFonts w:eastAsiaTheme="minorHAnsi" w:cs="Arial"/>
                <w:bCs/>
                <w:szCs w:val="20"/>
              </w:rPr>
            </w:pPr>
            <w:r w:rsidRPr="00DB71B2">
              <w:rPr>
                <w:rFonts w:eastAsiaTheme="minorHAnsi" w:cs="Arial"/>
                <w:bCs/>
                <w:szCs w:val="20"/>
              </w:rPr>
              <w:t xml:space="preserve">Vlada Republike Slovenije daje soglasje </w:t>
            </w:r>
            <w:r w:rsidR="00074998">
              <w:rPr>
                <w:rFonts w:eastAsiaTheme="minorHAnsi" w:cs="Arial"/>
                <w:bCs/>
                <w:szCs w:val="20"/>
              </w:rPr>
              <w:t>h</w:t>
            </w:r>
            <w:r w:rsidRPr="00DB71B2">
              <w:rPr>
                <w:rFonts w:eastAsiaTheme="minorHAnsi" w:cs="Arial"/>
                <w:bCs/>
                <w:szCs w:val="20"/>
              </w:rPr>
              <w:t xml:space="preserve"> </w:t>
            </w:r>
            <w:r w:rsidRPr="00100821">
              <w:rPr>
                <w:rFonts w:cs="Arial"/>
              </w:rPr>
              <w:t>Ključni</w:t>
            </w:r>
            <w:r w:rsidR="00074998">
              <w:rPr>
                <w:rFonts w:cs="Arial"/>
              </w:rPr>
              <w:t>m</w:t>
            </w:r>
            <w:r w:rsidRPr="00861D11">
              <w:rPr>
                <w:rFonts w:cs="Arial"/>
              </w:rPr>
              <w:t xml:space="preserve"> </w:t>
            </w:r>
            <w:r w:rsidRPr="00C00CDE">
              <w:rPr>
                <w:rFonts w:cs="Arial"/>
              </w:rPr>
              <w:t>element</w:t>
            </w:r>
            <w:r w:rsidRPr="00D4259F">
              <w:rPr>
                <w:rFonts w:cs="Arial"/>
              </w:rPr>
              <w:t>o</w:t>
            </w:r>
            <w:r w:rsidR="00074998">
              <w:rPr>
                <w:rFonts w:cs="Arial"/>
              </w:rPr>
              <w:t>m</w:t>
            </w:r>
            <w:r w:rsidRPr="00D4259F">
              <w:rPr>
                <w:rFonts w:cs="Arial"/>
              </w:rPr>
              <w:t xml:space="preserve"> finančnih instrumentov v programskem obdobju 2014-2020</w:t>
            </w:r>
            <w:r w:rsidR="00C3736E">
              <w:rPr>
                <w:rFonts w:cs="Arial"/>
              </w:rPr>
              <w:t>, različica 1.2, marec 2021,</w:t>
            </w:r>
            <w:r w:rsidR="0029428D">
              <w:rPr>
                <w:rFonts w:cs="Arial"/>
              </w:rPr>
              <w:t xml:space="preserve"> za operacijo Finančni instrumenti v programskem obdobju 2014-2020</w:t>
            </w:r>
            <w:r w:rsidRPr="00D4259F">
              <w:rPr>
                <w:rFonts w:cs="Arial"/>
              </w:rPr>
              <w:t>.</w:t>
            </w:r>
          </w:p>
          <w:p w14:paraId="20A3634E" w14:textId="77777777" w:rsidR="009D0FAD" w:rsidRPr="00DB71B2" w:rsidRDefault="009D0FAD" w:rsidP="00133AD7">
            <w:pPr>
              <w:autoSpaceDE w:val="0"/>
              <w:autoSpaceDN w:val="0"/>
              <w:adjustRightInd w:val="0"/>
              <w:ind w:left="596"/>
              <w:rPr>
                <w:rFonts w:eastAsiaTheme="minorHAnsi" w:cs="Arial"/>
                <w:bCs/>
                <w:szCs w:val="20"/>
              </w:rPr>
            </w:pPr>
          </w:p>
          <w:p w14:paraId="37256800" w14:textId="33D52E33" w:rsidR="009D0FAD" w:rsidRPr="00DB71B2" w:rsidRDefault="004659AB" w:rsidP="00133AD7">
            <w:pPr>
              <w:autoSpaceDE w:val="0"/>
              <w:autoSpaceDN w:val="0"/>
              <w:adjustRightInd w:val="0"/>
              <w:spacing w:line="240" w:lineRule="auto"/>
              <w:rPr>
                <w:rFonts w:eastAsiaTheme="minorHAnsi" w:cs="Arial"/>
                <w:bCs/>
                <w:szCs w:val="20"/>
              </w:rPr>
            </w:pPr>
            <w:r>
              <w:rPr>
                <w:rFonts w:eastAsiaTheme="minorHAnsi" w:cs="Arial"/>
                <w:bCs/>
                <w:szCs w:val="20"/>
              </w:rPr>
              <w:t xml:space="preserve">                                                        </w:t>
            </w:r>
            <w:r w:rsidR="00BC6CCC" w:rsidRPr="00BC6CCC">
              <w:rPr>
                <w:rFonts w:eastAsiaTheme="minorHAnsi" w:cs="Arial"/>
                <w:bCs/>
                <w:szCs w:val="20"/>
              </w:rPr>
              <w:t>mag. Janja Garvas Hočevar</w:t>
            </w:r>
          </w:p>
          <w:p w14:paraId="31139879" w14:textId="0BC320DC" w:rsidR="009D0FAD" w:rsidRPr="00DB71B2" w:rsidRDefault="004659AB" w:rsidP="00133AD7">
            <w:pPr>
              <w:autoSpaceDE w:val="0"/>
              <w:autoSpaceDN w:val="0"/>
              <w:adjustRightInd w:val="0"/>
              <w:spacing w:line="240" w:lineRule="auto"/>
              <w:rPr>
                <w:rFonts w:eastAsiaTheme="minorHAnsi" w:cs="Arial"/>
                <w:bCs/>
                <w:szCs w:val="20"/>
              </w:rPr>
            </w:pPr>
            <w:r>
              <w:rPr>
                <w:rFonts w:eastAsiaTheme="minorHAnsi" w:cs="Arial"/>
                <w:bCs/>
                <w:szCs w:val="20"/>
              </w:rPr>
              <w:t xml:space="preserve">                                                    </w:t>
            </w:r>
            <w:r w:rsidR="009D0FAD" w:rsidRPr="00DB71B2">
              <w:rPr>
                <w:rFonts w:eastAsiaTheme="minorHAnsi" w:cs="Arial"/>
                <w:bCs/>
                <w:szCs w:val="20"/>
              </w:rPr>
              <w:t xml:space="preserve"> </w:t>
            </w:r>
            <w:r w:rsidR="00801B67">
              <w:rPr>
                <w:rFonts w:eastAsiaTheme="minorHAnsi" w:cs="Arial"/>
                <w:bCs/>
                <w:szCs w:val="20"/>
              </w:rPr>
              <w:t>v.d. GENERALNEGA</w:t>
            </w:r>
            <w:r w:rsidR="009D0FAD" w:rsidRPr="00DB71B2">
              <w:rPr>
                <w:rFonts w:eastAsiaTheme="minorHAnsi" w:cs="Arial"/>
                <w:bCs/>
                <w:szCs w:val="20"/>
              </w:rPr>
              <w:t xml:space="preserve"> SEKRETAR</w:t>
            </w:r>
            <w:r w:rsidR="00801B67">
              <w:rPr>
                <w:rFonts w:eastAsiaTheme="minorHAnsi" w:cs="Arial"/>
                <w:bCs/>
                <w:szCs w:val="20"/>
              </w:rPr>
              <w:t>JA</w:t>
            </w:r>
          </w:p>
          <w:p w14:paraId="57CD36F1" w14:textId="77777777" w:rsidR="009D0FAD" w:rsidRPr="00DB71B2" w:rsidRDefault="009D0FAD" w:rsidP="00133AD7">
            <w:pPr>
              <w:autoSpaceDE w:val="0"/>
              <w:autoSpaceDN w:val="0"/>
              <w:adjustRightInd w:val="0"/>
              <w:ind w:left="596"/>
              <w:rPr>
                <w:rFonts w:eastAsiaTheme="minorHAnsi" w:cs="Arial"/>
                <w:bCs/>
                <w:szCs w:val="20"/>
              </w:rPr>
            </w:pPr>
          </w:p>
          <w:p w14:paraId="76C1A559" w14:textId="77777777" w:rsidR="009D0FAD" w:rsidRPr="00DB71B2" w:rsidRDefault="009D0FAD" w:rsidP="00133AD7">
            <w:pPr>
              <w:autoSpaceDE w:val="0"/>
              <w:autoSpaceDN w:val="0"/>
              <w:adjustRightInd w:val="0"/>
              <w:ind w:left="596"/>
              <w:rPr>
                <w:rFonts w:eastAsiaTheme="minorHAnsi" w:cs="Arial"/>
                <w:bCs/>
                <w:szCs w:val="20"/>
              </w:rPr>
            </w:pPr>
          </w:p>
          <w:p w14:paraId="7DF13373" w14:textId="01D8DCB7" w:rsidR="009D0FAD" w:rsidRPr="00DB71B2" w:rsidRDefault="009D0FAD" w:rsidP="00133AD7">
            <w:pPr>
              <w:autoSpaceDE w:val="0"/>
              <w:autoSpaceDN w:val="0"/>
              <w:adjustRightInd w:val="0"/>
              <w:rPr>
                <w:rFonts w:eastAsiaTheme="minorHAnsi" w:cs="Arial"/>
                <w:bCs/>
                <w:szCs w:val="20"/>
              </w:rPr>
            </w:pPr>
            <w:r w:rsidRPr="00DB71B2">
              <w:rPr>
                <w:rFonts w:eastAsiaTheme="minorHAnsi" w:cs="Arial"/>
                <w:bCs/>
                <w:szCs w:val="20"/>
              </w:rPr>
              <w:t>Prilog</w:t>
            </w:r>
            <w:r w:rsidR="00F02CBA">
              <w:rPr>
                <w:rFonts w:eastAsiaTheme="minorHAnsi" w:cs="Arial"/>
                <w:bCs/>
                <w:szCs w:val="20"/>
              </w:rPr>
              <w:t>i</w:t>
            </w:r>
            <w:r w:rsidRPr="00DB71B2">
              <w:rPr>
                <w:rFonts w:eastAsiaTheme="minorHAnsi" w:cs="Arial"/>
                <w:bCs/>
                <w:szCs w:val="20"/>
              </w:rPr>
              <w:t xml:space="preserve">: </w:t>
            </w:r>
          </w:p>
          <w:p w14:paraId="4D1C915C" w14:textId="2E9AB806" w:rsidR="00F02CBA" w:rsidRDefault="009D0FAD" w:rsidP="00E72F8C">
            <w:pPr>
              <w:pStyle w:val="Odstavekseznama"/>
              <w:numPr>
                <w:ilvl w:val="0"/>
                <w:numId w:val="2"/>
              </w:numPr>
              <w:autoSpaceDE w:val="0"/>
              <w:autoSpaceDN w:val="0"/>
              <w:adjustRightInd w:val="0"/>
              <w:jc w:val="both"/>
              <w:rPr>
                <w:rFonts w:ascii="Arial" w:hAnsi="Arial" w:cs="Arial"/>
                <w:bCs/>
                <w:sz w:val="20"/>
                <w:szCs w:val="20"/>
              </w:rPr>
            </w:pPr>
            <w:r w:rsidRPr="00DB71B2">
              <w:rPr>
                <w:rFonts w:ascii="Arial" w:hAnsi="Arial" w:cs="Arial"/>
                <w:bCs/>
                <w:sz w:val="20"/>
                <w:szCs w:val="20"/>
              </w:rPr>
              <w:t>Ključni element</w:t>
            </w:r>
            <w:r w:rsidR="00472329" w:rsidRPr="00DB71B2">
              <w:rPr>
                <w:rFonts w:ascii="Arial" w:hAnsi="Arial" w:cs="Arial"/>
                <w:bCs/>
                <w:sz w:val="20"/>
                <w:szCs w:val="20"/>
              </w:rPr>
              <w:t>i</w:t>
            </w:r>
            <w:r w:rsidRPr="00DB71B2">
              <w:rPr>
                <w:rFonts w:ascii="Arial" w:hAnsi="Arial" w:cs="Arial"/>
                <w:bCs/>
                <w:sz w:val="20"/>
                <w:szCs w:val="20"/>
              </w:rPr>
              <w:t xml:space="preserve"> finančnih instrumentov v programskem obdobju 2014-2020</w:t>
            </w:r>
            <w:r w:rsidR="00982FF6" w:rsidRPr="00DB71B2">
              <w:rPr>
                <w:rFonts w:ascii="Arial" w:hAnsi="Arial" w:cs="Arial"/>
                <w:bCs/>
                <w:sz w:val="20"/>
                <w:szCs w:val="20"/>
              </w:rPr>
              <w:t xml:space="preserve">, različica </w:t>
            </w:r>
            <w:r w:rsidR="00434A47" w:rsidRPr="00DB71B2">
              <w:rPr>
                <w:rFonts w:ascii="Arial" w:hAnsi="Arial" w:cs="Arial"/>
                <w:bCs/>
                <w:sz w:val="20"/>
                <w:szCs w:val="20"/>
              </w:rPr>
              <w:t>1</w:t>
            </w:r>
            <w:r w:rsidR="00982FF6" w:rsidRPr="00DB71B2">
              <w:rPr>
                <w:rFonts w:ascii="Arial" w:hAnsi="Arial" w:cs="Arial"/>
                <w:bCs/>
                <w:sz w:val="20"/>
                <w:szCs w:val="20"/>
              </w:rPr>
              <w:t>.</w:t>
            </w:r>
            <w:r w:rsidR="003613B3" w:rsidRPr="00DB71B2">
              <w:rPr>
                <w:rFonts w:ascii="Arial" w:hAnsi="Arial" w:cs="Arial"/>
                <w:bCs/>
                <w:sz w:val="20"/>
                <w:szCs w:val="20"/>
              </w:rPr>
              <w:t>2</w:t>
            </w:r>
            <w:r w:rsidR="00982FF6" w:rsidRPr="00DB71B2">
              <w:rPr>
                <w:rFonts w:ascii="Arial" w:hAnsi="Arial" w:cs="Arial"/>
                <w:bCs/>
                <w:sz w:val="20"/>
                <w:szCs w:val="20"/>
              </w:rPr>
              <w:t xml:space="preserve">, </w:t>
            </w:r>
            <w:r w:rsidR="00F04F8F">
              <w:rPr>
                <w:rFonts w:ascii="Arial" w:hAnsi="Arial" w:cs="Arial"/>
                <w:bCs/>
                <w:sz w:val="20"/>
                <w:szCs w:val="20"/>
              </w:rPr>
              <w:t>marec</w:t>
            </w:r>
            <w:r w:rsidR="009F337A" w:rsidRPr="00DB71B2">
              <w:rPr>
                <w:rFonts w:ascii="Arial" w:hAnsi="Arial" w:cs="Arial"/>
                <w:bCs/>
                <w:sz w:val="20"/>
                <w:szCs w:val="20"/>
              </w:rPr>
              <w:t xml:space="preserve"> </w:t>
            </w:r>
            <w:r w:rsidR="00982FF6" w:rsidRPr="00DB71B2">
              <w:rPr>
                <w:rFonts w:ascii="Arial" w:hAnsi="Arial" w:cs="Arial"/>
                <w:bCs/>
                <w:sz w:val="20"/>
                <w:szCs w:val="20"/>
              </w:rPr>
              <w:t>20</w:t>
            </w:r>
            <w:r w:rsidR="00F04F8F">
              <w:rPr>
                <w:rFonts w:ascii="Arial" w:hAnsi="Arial" w:cs="Arial"/>
                <w:bCs/>
                <w:sz w:val="20"/>
                <w:szCs w:val="20"/>
              </w:rPr>
              <w:t>21</w:t>
            </w:r>
            <w:r w:rsidR="00F02CBA">
              <w:rPr>
                <w:rFonts w:ascii="Arial" w:hAnsi="Arial" w:cs="Arial"/>
                <w:bCs/>
                <w:sz w:val="20"/>
                <w:szCs w:val="20"/>
              </w:rPr>
              <w:t>;</w:t>
            </w:r>
          </w:p>
          <w:p w14:paraId="294FC72D" w14:textId="00928A29" w:rsidR="009D0FAD" w:rsidRPr="00F04F8F" w:rsidRDefault="00F02CBA" w:rsidP="00E72F8C">
            <w:pPr>
              <w:pStyle w:val="Odstavekseznama"/>
              <w:numPr>
                <w:ilvl w:val="0"/>
                <w:numId w:val="2"/>
              </w:numPr>
              <w:autoSpaceDE w:val="0"/>
              <w:autoSpaceDN w:val="0"/>
              <w:adjustRightInd w:val="0"/>
              <w:jc w:val="both"/>
              <w:rPr>
                <w:rFonts w:ascii="Arial" w:hAnsi="Arial" w:cs="Arial"/>
                <w:bCs/>
                <w:sz w:val="20"/>
                <w:szCs w:val="20"/>
              </w:rPr>
            </w:pPr>
            <w:r w:rsidRPr="00F02CBA">
              <w:rPr>
                <w:rFonts w:ascii="Arial" w:hAnsi="Arial" w:cs="Arial"/>
                <w:bCs/>
                <w:sz w:val="20"/>
                <w:szCs w:val="20"/>
              </w:rPr>
              <w:t>Dokumentacija Javnega poziva</w:t>
            </w:r>
            <w:r>
              <w:rPr>
                <w:rFonts w:ascii="Arial" w:hAnsi="Arial" w:cs="Arial"/>
                <w:bCs/>
                <w:sz w:val="20"/>
                <w:szCs w:val="20"/>
              </w:rPr>
              <w:t xml:space="preserve"> za i</w:t>
            </w:r>
            <w:r w:rsidRPr="00F02CBA">
              <w:rPr>
                <w:rFonts w:ascii="Arial" w:hAnsi="Arial" w:cs="Arial"/>
                <w:bCs/>
                <w:sz w:val="20"/>
                <w:szCs w:val="20"/>
              </w:rPr>
              <w:t>zbor finančnih institucij za podeljevanje kreditov z</w:t>
            </w:r>
            <w:r>
              <w:rPr>
                <w:rFonts w:ascii="Arial" w:hAnsi="Arial" w:cs="Arial"/>
                <w:bCs/>
                <w:sz w:val="20"/>
                <w:szCs w:val="20"/>
              </w:rPr>
              <w:t xml:space="preserve"> </w:t>
            </w:r>
            <w:r w:rsidRPr="00F02CBA">
              <w:rPr>
                <w:rFonts w:ascii="Arial" w:hAnsi="Arial" w:cs="Arial"/>
                <w:bCs/>
                <w:sz w:val="20"/>
                <w:szCs w:val="20"/>
              </w:rPr>
              <w:t>jamstvom iz finančnega inštrumenta »EKP portfeljske garancije za RRI za velika podjetja</w:t>
            </w:r>
            <w:r>
              <w:rPr>
                <w:rFonts w:ascii="Arial" w:hAnsi="Arial" w:cs="Arial"/>
                <w:bCs/>
                <w:sz w:val="20"/>
                <w:szCs w:val="20"/>
              </w:rPr>
              <w:t xml:space="preserve"> </w:t>
            </w:r>
            <w:r w:rsidRPr="00F02CBA">
              <w:rPr>
                <w:rFonts w:ascii="Arial" w:hAnsi="Arial" w:cs="Arial"/>
                <w:bCs/>
                <w:sz w:val="20"/>
                <w:szCs w:val="20"/>
              </w:rPr>
              <w:t>(2014-2020)«</w:t>
            </w:r>
            <w:r w:rsidR="00DC7689">
              <w:rPr>
                <w:rFonts w:ascii="Arial" w:hAnsi="Arial" w:cs="Arial"/>
                <w:bCs/>
                <w:sz w:val="20"/>
                <w:szCs w:val="20"/>
              </w:rPr>
              <w:t>,</w:t>
            </w:r>
            <w:r w:rsidRPr="00F02CBA">
              <w:rPr>
                <w:rFonts w:ascii="Arial" w:hAnsi="Arial" w:cs="Arial"/>
                <w:bCs/>
                <w:sz w:val="20"/>
                <w:szCs w:val="20"/>
              </w:rPr>
              <w:t xml:space="preserve"> številka: JP 02-RRIVP/02</w:t>
            </w:r>
          </w:p>
          <w:p w14:paraId="7498E1AF" w14:textId="77777777" w:rsidR="009D0FAD" w:rsidRPr="00DB71B2" w:rsidRDefault="009D0FAD" w:rsidP="00133AD7">
            <w:pPr>
              <w:autoSpaceDE w:val="0"/>
              <w:autoSpaceDN w:val="0"/>
              <w:adjustRightInd w:val="0"/>
              <w:ind w:left="596"/>
              <w:rPr>
                <w:rFonts w:eastAsiaTheme="minorHAnsi" w:cs="Arial"/>
                <w:bCs/>
                <w:szCs w:val="20"/>
              </w:rPr>
            </w:pPr>
          </w:p>
          <w:p w14:paraId="2816FCB3" w14:textId="77777777" w:rsidR="009D0FAD" w:rsidRPr="00DB71B2" w:rsidRDefault="009D0FAD" w:rsidP="00133AD7">
            <w:pPr>
              <w:autoSpaceDE w:val="0"/>
              <w:autoSpaceDN w:val="0"/>
              <w:adjustRightInd w:val="0"/>
              <w:rPr>
                <w:rFonts w:eastAsiaTheme="minorHAnsi" w:cs="Arial"/>
                <w:bCs/>
                <w:szCs w:val="20"/>
              </w:rPr>
            </w:pPr>
            <w:r w:rsidRPr="00DB71B2">
              <w:rPr>
                <w:rFonts w:eastAsiaTheme="minorHAnsi" w:cs="Arial"/>
                <w:bCs/>
                <w:szCs w:val="20"/>
              </w:rPr>
              <w:t>Prejmejo:</w:t>
            </w:r>
          </w:p>
          <w:p w14:paraId="14E917E7" w14:textId="77777777" w:rsidR="000A4F01" w:rsidRPr="00DB71B2" w:rsidRDefault="000A4F01" w:rsidP="000A4F01">
            <w:pPr>
              <w:numPr>
                <w:ilvl w:val="0"/>
                <w:numId w:val="2"/>
              </w:numPr>
              <w:jc w:val="both"/>
              <w:rPr>
                <w:rFonts w:eastAsiaTheme="minorHAnsi" w:cs="Arial"/>
                <w:bCs/>
                <w:szCs w:val="20"/>
              </w:rPr>
            </w:pPr>
            <w:r w:rsidRPr="00DB71B2">
              <w:rPr>
                <w:rFonts w:eastAsiaTheme="minorHAnsi" w:cs="Arial"/>
                <w:bCs/>
                <w:szCs w:val="20"/>
              </w:rPr>
              <w:t>Ministrstvo za gospodarski razvoj in tehnologijo, Kotnikova 5, 1000 Ljubljana,</w:t>
            </w:r>
          </w:p>
          <w:p w14:paraId="4D46A739" w14:textId="77777777" w:rsidR="000A4F01" w:rsidRPr="00DB71B2" w:rsidRDefault="000A4F01" w:rsidP="000A4F01">
            <w:pPr>
              <w:numPr>
                <w:ilvl w:val="0"/>
                <w:numId w:val="2"/>
              </w:numPr>
              <w:spacing w:line="240" w:lineRule="auto"/>
              <w:jc w:val="both"/>
              <w:rPr>
                <w:rFonts w:eastAsiaTheme="minorHAnsi" w:cs="Arial"/>
                <w:bCs/>
                <w:szCs w:val="20"/>
              </w:rPr>
            </w:pPr>
            <w:r w:rsidRPr="00DB71B2">
              <w:rPr>
                <w:rFonts w:eastAsiaTheme="minorHAnsi" w:cs="Arial"/>
                <w:bCs/>
                <w:szCs w:val="20"/>
              </w:rPr>
              <w:t>Ministrstvo za finance, Župančičeva 3, 1000 Ljubljana,</w:t>
            </w:r>
          </w:p>
          <w:p w14:paraId="2A8A194A" w14:textId="77777777" w:rsidR="000A4F01" w:rsidRPr="00DB71B2" w:rsidRDefault="000A4F01" w:rsidP="000A4F01">
            <w:pPr>
              <w:numPr>
                <w:ilvl w:val="0"/>
                <w:numId w:val="2"/>
              </w:numPr>
              <w:spacing w:line="240" w:lineRule="auto"/>
              <w:jc w:val="both"/>
              <w:rPr>
                <w:rFonts w:eastAsiaTheme="minorHAnsi" w:cs="Arial"/>
                <w:bCs/>
                <w:szCs w:val="20"/>
              </w:rPr>
            </w:pPr>
            <w:r w:rsidRPr="00DB71B2">
              <w:rPr>
                <w:rFonts w:eastAsiaTheme="minorHAnsi" w:cs="Arial"/>
                <w:bCs/>
                <w:szCs w:val="20"/>
              </w:rPr>
              <w:t>Ministrstvo za infrastrukturo, Langusova ulica 4, 1000 Ljubljana,</w:t>
            </w:r>
          </w:p>
          <w:p w14:paraId="0EF8EEB9" w14:textId="77777777" w:rsidR="000A4F01" w:rsidRPr="00DB71B2" w:rsidRDefault="000A4F01" w:rsidP="000A4F01">
            <w:pPr>
              <w:numPr>
                <w:ilvl w:val="0"/>
                <w:numId w:val="2"/>
              </w:numPr>
              <w:spacing w:line="240" w:lineRule="auto"/>
              <w:jc w:val="both"/>
              <w:rPr>
                <w:rFonts w:eastAsiaTheme="minorHAnsi" w:cs="Arial"/>
                <w:bCs/>
                <w:szCs w:val="20"/>
              </w:rPr>
            </w:pPr>
            <w:r w:rsidRPr="00DB71B2">
              <w:rPr>
                <w:rFonts w:eastAsiaTheme="minorHAnsi" w:cs="Arial"/>
                <w:bCs/>
                <w:szCs w:val="20"/>
              </w:rPr>
              <w:t>Ministrstvo za okolje in prostor, Dunajska cesta 48, 1000 Ljubljana,</w:t>
            </w:r>
          </w:p>
          <w:p w14:paraId="7EEAE394" w14:textId="77777777" w:rsidR="000A4F01" w:rsidRPr="00DB71B2" w:rsidRDefault="000A4F01" w:rsidP="000A4F01">
            <w:pPr>
              <w:numPr>
                <w:ilvl w:val="0"/>
                <w:numId w:val="2"/>
              </w:numPr>
              <w:spacing w:line="276" w:lineRule="auto"/>
              <w:rPr>
                <w:rFonts w:eastAsiaTheme="minorHAnsi" w:cs="Arial"/>
                <w:bCs/>
                <w:szCs w:val="20"/>
              </w:rPr>
            </w:pPr>
            <w:r w:rsidRPr="00DB71B2">
              <w:rPr>
                <w:rFonts w:eastAsiaTheme="minorHAnsi" w:cs="Arial"/>
                <w:bCs/>
                <w:szCs w:val="20"/>
              </w:rPr>
              <w:t>Služba Vlade Republike Slovenije za zakonodajo, Mestni trg 4, 1000 Ljubljana,</w:t>
            </w:r>
          </w:p>
          <w:p w14:paraId="1429A3B2" w14:textId="77777777" w:rsidR="000A4F01" w:rsidRPr="00DB71B2" w:rsidRDefault="000A4F01" w:rsidP="000A4F01">
            <w:pPr>
              <w:numPr>
                <w:ilvl w:val="0"/>
                <w:numId w:val="2"/>
              </w:numPr>
              <w:spacing w:line="240" w:lineRule="auto"/>
              <w:jc w:val="both"/>
              <w:rPr>
                <w:rFonts w:eastAsiaTheme="minorHAnsi" w:cs="Arial"/>
                <w:bCs/>
                <w:szCs w:val="20"/>
              </w:rPr>
            </w:pPr>
            <w:bookmarkStart w:id="1" w:name="_Hlk491371824"/>
            <w:r w:rsidRPr="00DB71B2">
              <w:rPr>
                <w:rFonts w:eastAsiaTheme="minorHAnsi" w:cs="Arial"/>
                <w:bCs/>
                <w:szCs w:val="20"/>
              </w:rPr>
              <w:t>Služba Vlade RS za razvoj in evropsko kohezijsko politiko, Kotnikova 5, 1000 Ljubljana,</w:t>
            </w:r>
          </w:p>
          <w:bookmarkEnd w:id="1"/>
          <w:p w14:paraId="1C79B21E" w14:textId="77777777" w:rsidR="000A4F01" w:rsidRPr="00DB71B2" w:rsidRDefault="000A4F01" w:rsidP="000A4F01">
            <w:pPr>
              <w:numPr>
                <w:ilvl w:val="0"/>
                <w:numId w:val="2"/>
              </w:numPr>
              <w:jc w:val="both"/>
              <w:rPr>
                <w:rFonts w:eastAsiaTheme="minorHAnsi" w:cs="Arial"/>
                <w:bCs/>
                <w:szCs w:val="20"/>
              </w:rPr>
            </w:pPr>
            <w:r w:rsidRPr="00DB71B2">
              <w:rPr>
                <w:rFonts w:eastAsiaTheme="minorHAnsi" w:cs="Arial"/>
                <w:bCs/>
                <w:szCs w:val="20"/>
              </w:rPr>
              <w:t>Generalni sekretariat Vlade Republike Slovenije, Gregorčičeva 20, Ljubljana,</w:t>
            </w:r>
          </w:p>
          <w:p w14:paraId="03B2E332" w14:textId="77777777" w:rsidR="009D0FAD" w:rsidRPr="00DB71B2" w:rsidRDefault="000A4F01" w:rsidP="000A4F01">
            <w:pPr>
              <w:numPr>
                <w:ilvl w:val="0"/>
                <w:numId w:val="2"/>
              </w:numPr>
              <w:jc w:val="both"/>
              <w:rPr>
                <w:rFonts w:eastAsiaTheme="minorHAnsi" w:cs="Arial"/>
                <w:bCs/>
                <w:szCs w:val="20"/>
              </w:rPr>
            </w:pPr>
            <w:r w:rsidRPr="00DB71B2">
              <w:rPr>
                <w:rFonts w:eastAsiaTheme="minorHAnsi" w:cs="Arial"/>
                <w:bCs/>
                <w:szCs w:val="20"/>
              </w:rPr>
              <w:lastRenderedPageBreak/>
              <w:t>Urad Vlade Republike Slovenije za komuniciranje, Gregorčičeva 25, 1000 Ljubljana.</w:t>
            </w:r>
          </w:p>
        </w:tc>
      </w:tr>
      <w:tr w:rsidR="009D0FAD" w:rsidRPr="00100821" w14:paraId="74170BED" w14:textId="77777777" w:rsidTr="00663C29">
        <w:tc>
          <w:tcPr>
            <w:tcW w:w="9163" w:type="dxa"/>
            <w:gridSpan w:val="4"/>
          </w:tcPr>
          <w:p w14:paraId="489E184D" w14:textId="77777777" w:rsidR="009D0FAD" w:rsidRPr="00100821" w:rsidRDefault="009D0FAD" w:rsidP="00133AD7">
            <w:pPr>
              <w:overflowPunct w:val="0"/>
              <w:autoSpaceDE w:val="0"/>
              <w:autoSpaceDN w:val="0"/>
              <w:adjustRightInd w:val="0"/>
              <w:spacing w:line="260" w:lineRule="exact"/>
              <w:jc w:val="both"/>
              <w:textAlignment w:val="baseline"/>
              <w:rPr>
                <w:rFonts w:cs="Arial"/>
                <w:b/>
                <w:iCs/>
                <w:szCs w:val="20"/>
                <w:lang w:eastAsia="sl-SI"/>
              </w:rPr>
            </w:pPr>
            <w:r w:rsidRPr="00100821">
              <w:rPr>
                <w:rFonts w:cs="Arial"/>
                <w:b/>
                <w:szCs w:val="20"/>
                <w:lang w:eastAsia="sl-SI"/>
              </w:rPr>
              <w:lastRenderedPageBreak/>
              <w:t>2. Predlog za obravnavo predloga zakona po nujnem ali skrajšanem postopku v državnem zboru z obrazložitvijo razlogov:</w:t>
            </w:r>
          </w:p>
        </w:tc>
      </w:tr>
      <w:tr w:rsidR="009D0FAD" w:rsidRPr="00100821" w14:paraId="0B1A0EA8" w14:textId="77777777" w:rsidTr="00663C29">
        <w:tc>
          <w:tcPr>
            <w:tcW w:w="9163" w:type="dxa"/>
            <w:gridSpan w:val="4"/>
          </w:tcPr>
          <w:p w14:paraId="3331731E" w14:textId="77777777" w:rsidR="009D0FAD" w:rsidRPr="007322CF" w:rsidRDefault="009D0FAD" w:rsidP="00133AD7">
            <w:pPr>
              <w:spacing w:after="240"/>
              <w:jc w:val="both"/>
              <w:rPr>
                <w:rFonts w:cs="Arial"/>
              </w:rPr>
            </w:pPr>
          </w:p>
        </w:tc>
      </w:tr>
      <w:tr w:rsidR="009D0FAD" w:rsidRPr="00100821" w14:paraId="7F12B232" w14:textId="77777777" w:rsidTr="00663C29">
        <w:tc>
          <w:tcPr>
            <w:tcW w:w="9163" w:type="dxa"/>
            <w:gridSpan w:val="4"/>
          </w:tcPr>
          <w:p w14:paraId="01B104D3" w14:textId="77777777" w:rsidR="009D0FAD" w:rsidRPr="00100821" w:rsidRDefault="009D0FAD" w:rsidP="00133AD7">
            <w:pPr>
              <w:overflowPunct w:val="0"/>
              <w:autoSpaceDE w:val="0"/>
              <w:autoSpaceDN w:val="0"/>
              <w:adjustRightInd w:val="0"/>
              <w:spacing w:line="260" w:lineRule="exact"/>
              <w:jc w:val="both"/>
              <w:textAlignment w:val="baseline"/>
              <w:rPr>
                <w:rFonts w:cs="Arial"/>
                <w:b/>
                <w:iCs/>
                <w:szCs w:val="20"/>
                <w:lang w:eastAsia="sl-SI"/>
              </w:rPr>
            </w:pPr>
            <w:r w:rsidRPr="00100821">
              <w:rPr>
                <w:rFonts w:cs="Arial"/>
                <w:b/>
                <w:szCs w:val="20"/>
                <w:lang w:eastAsia="sl-SI"/>
              </w:rPr>
              <w:t>3.a Osebe, odgovorne za strokovno pripravo in usklajenost gradiva:</w:t>
            </w:r>
          </w:p>
        </w:tc>
      </w:tr>
      <w:tr w:rsidR="009D0FAD" w:rsidRPr="00100821" w14:paraId="2296F4D0" w14:textId="77777777" w:rsidTr="00663C29">
        <w:tc>
          <w:tcPr>
            <w:tcW w:w="9163" w:type="dxa"/>
            <w:gridSpan w:val="4"/>
          </w:tcPr>
          <w:p w14:paraId="0B4B1411" w14:textId="77777777" w:rsidR="000A4F01" w:rsidRPr="00100821" w:rsidRDefault="000A4F01" w:rsidP="000A4F01">
            <w:pPr>
              <w:numPr>
                <w:ilvl w:val="0"/>
                <w:numId w:val="9"/>
              </w:numPr>
              <w:overflowPunct w:val="0"/>
              <w:autoSpaceDE w:val="0"/>
              <w:autoSpaceDN w:val="0"/>
              <w:adjustRightInd w:val="0"/>
              <w:spacing w:line="260" w:lineRule="exact"/>
              <w:jc w:val="both"/>
              <w:textAlignment w:val="baseline"/>
              <w:rPr>
                <w:rFonts w:cs="Arial"/>
                <w:iCs/>
                <w:szCs w:val="20"/>
                <w:lang w:eastAsia="sl-SI"/>
              </w:rPr>
            </w:pPr>
            <w:r w:rsidRPr="00100821">
              <w:rPr>
                <w:rFonts w:cs="Arial"/>
                <w:iCs/>
                <w:szCs w:val="20"/>
                <w:lang w:eastAsia="sl-SI"/>
              </w:rPr>
              <w:t>Simon Zajc, državni sekretar, Ministrstvo za gospodarski razvoj in tehnologijo</w:t>
            </w:r>
          </w:p>
          <w:p w14:paraId="5A4D89F2" w14:textId="77777777" w:rsidR="000A4F01" w:rsidRPr="00100821" w:rsidRDefault="000A4F01" w:rsidP="000A4F01">
            <w:pPr>
              <w:numPr>
                <w:ilvl w:val="0"/>
                <w:numId w:val="9"/>
              </w:numPr>
              <w:overflowPunct w:val="0"/>
              <w:autoSpaceDE w:val="0"/>
              <w:autoSpaceDN w:val="0"/>
              <w:adjustRightInd w:val="0"/>
              <w:spacing w:line="260" w:lineRule="exact"/>
              <w:jc w:val="both"/>
              <w:textAlignment w:val="baseline"/>
              <w:rPr>
                <w:rFonts w:cs="Arial"/>
                <w:iCs/>
                <w:szCs w:val="20"/>
                <w:lang w:eastAsia="sl-SI"/>
              </w:rPr>
            </w:pPr>
            <w:r w:rsidRPr="00100821">
              <w:rPr>
                <w:rFonts w:cs="Arial"/>
                <w:iCs/>
                <w:szCs w:val="20"/>
                <w:lang w:eastAsia="sl-SI"/>
              </w:rPr>
              <w:t>Sibil Klančar, Ministrstvo za gospodarski razvoj in tehnologijo</w:t>
            </w:r>
          </w:p>
          <w:p w14:paraId="6BB1E479" w14:textId="77777777" w:rsidR="009D0FAD" w:rsidRPr="00100821" w:rsidRDefault="00434A47" w:rsidP="005E655D">
            <w:pPr>
              <w:numPr>
                <w:ilvl w:val="0"/>
                <w:numId w:val="9"/>
              </w:numPr>
              <w:overflowPunct w:val="0"/>
              <w:autoSpaceDE w:val="0"/>
              <w:autoSpaceDN w:val="0"/>
              <w:adjustRightInd w:val="0"/>
              <w:spacing w:line="260" w:lineRule="exact"/>
              <w:jc w:val="both"/>
              <w:textAlignment w:val="baseline"/>
              <w:rPr>
                <w:rFonts w:cs="Arial"/>
                <w:iCs/>
                <w:szCs w:val="20"/>
                <w:lang w:eastAsia="sl-SI"/>
              </w:rPr>
            </w:pPr>
            <w:r w:rsidRPr="00100821">
              <w:rPr>
                <w:rFonts w:cs="Arial"/>
                <w:iCs/>
                <w:szCs w:val="20"/>
                <w:lang w:eastAsia="sl-SI"/>
              </w:rPr>
              <w:t>Jernej Salecl</w:t>
            </w:r>
            <w:r w:rsidR="000A4F01" w:rsidRPr="00100821">
              <w:rPr>
                <w:rFonts w:cs="Arial"/>
                <w:iCs/>
                <w:szCs w:val="20"/>
                <w:lang w:eastAsia="sl-SI"/>
              </w:rPr>
              <w:t>, Ministrstvo za gospodarski razvoj in tehnologijo</w:t>
            </w:r>
          </w:p>
        </w:tc>
      </w:tr>
      <w:tr w:rsidR="009D0FAD" w:rsidRPr="00100821" w14:paraId="26BE85E8" w14:textId="77777777" w:rsidTr="00663C29">
        <w:tc>
          <w:tcPr>
            <w:tcW w:w="9163" w:type="dxa"/>
            <w:gridSpan w:val="4"/>
          </w:tcPr>
          <w:p w14:paraId="143A96F9" w14:textId="77777777" w:rsidR="009D0FAD" w:rsidRPr="00100821" w:rsidRDefault="009D0FAD" w:rsidP="00133AD7">
            <w:pPr>
              <w:overflowPunct w:val="0"/>
              <w:autoSpaceDE w:val="0"/>
              <w:autoSpaceDN w:val="0"/>
              <w:adjustRightInd w:val="0"/>
              <w:spacing w:line="260" w:lineRule="exact"/>
              <w:jc w:val="both"/>
              <w:textAlignment w:val="baseline"/>
              <w:rPr>
                <w:rFonts w:cs="Arial"/>
                <w:b/>
                <w:iCs/>
                <w:szCs w:val="20"/>
                <w:lang w:eastAsia="sl-SI"/>
              </w:rPr>
            </w:pPr>
            <w:r w:rsidRPr="00100821">
              <w:rPr>
                <w:rFonts w:cs="Arial"/>
                <w:b/>
                <w:iCs/>
                <w:szCs w:val="20"/>
                <w:lang w:eastAsia="sl-SI"/>
              </w:rPr>
              <w:t xml:space="preserve">3.b Zunanji strokovnjaki, ki so </w:t>
            </w:r>
            <w:r w:rsidRPr="00100821">
              <w:rPr>
                <w:rFonts w:cs="Arial"/>
                <w:b/>
                <w:szCs w:val="20"/>
                <w:lang w:eastAsia="sl-SI"/>
              </w:rPr>
              <w:t>sodelovali pri pripravi dela ali celotnega gradiva:</w:t>
            </w:r>
          </w:p>
        </w:tc>
      </w:tr>
      <w:tr w:rsidR="009D0FAD" w:rsidRPr="00100821" w14:paraId="583AF0BB" w14:textId="77777777" w:rsidTr="00663C29">
        <w:tc>
          <w:tcPr>
            <w:tcW w:w="9163" w:type="dxa"/>
            <w:gridSpan w:val="4"/>
          </w:tcPr>
          <w:p w14:paraId="7623D8A4" w14:textId="77777777" w:rsidR="009D0FAD" w:rsidRPr="00100821" w:rsidRDefault="009D0FAD" w:rsidP="00133AD7">
            <w:pPr>
              <w:overflowPunct w:val="0"/>
              <w:autoSpaceDE w:val="0"/>
              <w:autoSpaceDN w:val="0"/>
              <w:adjustRightInd w:val="0"/>
              <w:spacing w:line="260" w:lineRule="exact"/>
              <w:jc w:val="both"/>
              <w:textAlignment w:val="baseline"/>
              <w:rPr>
                <w:rFonts w:cs="Arial"/>
                <w:iCs/>
                <w:szCs w:val="20"/>
                <w:lang w:eastAsia="sl-SI"/>
              </w:rPr>
            </w:pPr>
            <w:r w:rsidRPr="00100821">
              <w:rPr>
                <w:rFonts w:cs="Arial"/>
                <w:iCs/>
                <w:szCs w:val="20"/>
                <w:lang w:eastAsia="sl-SI"/>
              </w:rPr>
              <w:t>/</w:t>
            </w:r>
          </w:p>
        </w:tc>
      </w:tr>
      <w:tr w:rsidR="009D0FAD" w:rsidRPr="00100821" w14:paraId="64D5E21D" w14:textId="77777777" w:rsidTr="00663C29">
        <w:tc>
          <w:tcPr>
            <w:tcW w:w="9163" w:type="dxa"/>
            <w:gridSpan w:val="4"/>
          </w:tcPr>
          <w:p w14:paraId="6832182A" w14:textId="77777777" w:rsidR="009D0FAD" w:rsidRPr="00100821" w:rsidRDefault="009D0FAD" w:rsidP="00133AD7">
            <w:pPr>
              <w:overflowPunct w:val="0"/>
              <w:autoSpaceDE w:val="0"/>
              <w:autoSpaceDN w:val="0"/>
              <w:adjustRightInd w:val="0"/>
              <w:spacing w:line="260" w:lineRule="exact"/>
              <w:jc w:val="both"/>
              <w:textAlignment w:val="baseline"/>
              <w:rPr>
                <w:rFonts w:cs="Arial"/>
                <w:b/>
                <w:iCs/>
                <w:szCs w:val="20"/>
                <w:lang w:eastAsia="sl-SI"/>
              </w:rPr>
            </w:pPr>
            <w:r w:rsidRPr="00100821">
              <w:rPr>
                <w:rFonts w:cs="Arial"/>
                <w:b/>
                <w:szCs w:val="20"/>
                <w:lang w:eastAsia="sl-SI"/>
              </w:rPr>
              <w:t>4. Predstavniki vlade, ki bodo sodelovali pri delu državnega zbora:</w:t>
            </w:r>
          </w:p>
        </w:tc>
      </w:tr>
      <w:tr w:rsidR="009D0FAD" w:rsidRPr="00100821" w14:paraId="350F512E" w14:textId="77777777" w:rsidTr="00663C29">
        <w:tc>
          <w:tcPr>
            <w:tcW w:w="9163" w:type="dxa"/>
            <w:gridSpan w:val="4"/>
          </w:tcPr>
          <w:p w14:paraId="7C507116" w14:textId="77777777" w:rsidR="009D0FAD" w:rsidRPr="00100821" w:rsidRDefault="009D0FAD" w:rsidP="00133AD7">
            <w:pPr>
              <w:overflowPunct w:val="0"/>
              <w:autoSpaceDE w:val="0"/>
              <w:autoSpaceDN w:val="0"/>
              <w:adjustRightInd w:val="0"/>
              <w:spacing w:line="260" w:lineRule="exact"/>
              <w:jc w:val="both"/>
              <w:textAlignment w:val="baseline"/>
              <w:rPr>
                <w:rFonts w:cs="Arial"/>
                <w:b/>
                <w:szCs w:val="20"/>
                <w:lang w:eastAsia="sl-SI"/>
              </w:rPr>
            </w:pPr>
            <w:r w:rsidRPr="00100821">
              <w:rPr>
                <w:rFonts w:cs="Arial"/>
                <w:iCs/>
                <w:szCs w:val="20"/>
                <w:lang w:eastAsia="sl-SI"/>
              </w:rPr>
              <w:t>/</w:t>
            </w:r>
          </w:p>
        </w:tc>
      </w:tr>
      <w:tr w:rsidR="009D0FAD" w:rsidRPr="00100821" w14:paraId="429B3CD5" w14:textId="77777777" w:rsidTr="00663C29">
        <w:tc>
          <w:tcPr>
            <w:tcW w:w="9163" w:type="dxa"/>
            <w:gridSpan w:val="4"/>
          </w:tcPr>
          <w:p w14:paraId="27AA12AD" w14:textId="77777777" w:rsidR="009D0FAD" w:rsidRPr="00100821" w:rsidRDefault="009D0FAD" w:rsidP="00133AD7">
            <w:pPr>
              <w:suppressAutoHyphens/>
              <w:overflowPunct w:val="0"/>
              <w:autoSpaceDE w:val="0"/>
              <w:autoSpaceDN w:val="0"/>
              <w:adjustRightInd w:val="0"/>
              <w:spacing w:line="260" w:lineRule="exact"/>
              <w:textAlignment w:val="baseline"/>
              <w:outlineLvl w:val="3"/>
              <w:rPr>
                <w:rFonts w:cs="Arial"/>
                <w:b/>
                <w:szCs w:val="20"/>
                <w:lang w:eastAsia="sl-SI"/>
              </w:rPr>
            </w:pPr>
            <w:r w:rsidRPr="00100821">
              <w:rPr>
                <w:rFonts w:cs="Arial"/>
                <w:b/>
                <w:szCs w:val="20"/>
                <w:lang w:eastAsia="sl-SI"/>
              </w:rPr>
              <w:t>5. Kratek povzetek gradiva:</w:t>
            </w:r>
          </w:p>
        </w:tc>
      </w:tr>
      <w:tr w:rsidR="009D0FAD" w:rsidRPr="00100821" w14:paraId="34BC15FD" w14:textId="77777777" w:rsidTr="00663C29">
        <w:tc>
          <w:tcPr>
            <w:tcW w:w="9163" w:type="dxa"/>
            <w:gridSpan w:val="4"/>
          </w:tcPr>
          <w:p w14:paraId="587983E1" w14:textId="77777777" w:rsidR="000A4F01" w:rsidRPr="00403C65" w:rsidRDefault="00472329" w:rsidP="000A4F01">
            <w:pPr>
              <w:spacing w:after="160" w:line="276" w:lineRule="auto"/>
              <w:jc w:val="both"/>
              <w:rPr>
                <w:rFonts w:cs="Arial"/>
                <w:iCs/>
                <w:szCs w:val="20"/>
              </w:rPr>
            </w:pPr>
            <w:r w:rsidRPr="007322CF">
              <w:rPr>
                <w:rFonts w:cs="Arial"/>
                <w:iCs/>
                <w:szCs w:val="20"/>
              </w:rPr>
              <w:t>15.6.</w:t>
            </w:r>
            <w:r w:rsidR="000A4F01" w:rsidRPr="007322CF">
              <w:rPr>
                <w:rFonts w:cs="Arial"/>
                <w:iCs/>
                <w:szCs w:val="20"/>
              </w:rPr>
              <w:t xml:space="preserve">2017 </w:t>
            </w:r>
            <w:r w:rsidR="001311E3" w:rsidRPr="007322CF">
              <w:rPr>
                <w:rFonts w:cs="Arial"/>
                <w:iCs/>
                <w:szCs w:val="20"/>
              </w:rPr>
              <w:t>je</w:t>
            </w:r>
            <w:r w:rsidR="000A4F01" w:rsidRPr="007322CF">
              <w:rPr>
                <w:rFonts w:cs="Arial"/>
                <w:iCs/>
                <w:szCs w:val="20"/>
              </w:rPr>
              <w:t xml:space="preserve"> Vlad</w:t>
            </w:r>
            <w:r w:rsidR="00434A47" w:rsidRPr="00972620">
              <w:rPr>
                <w:rFonts w:cs="Arial"/>
                <w:iCs/>
                <w:szCs w:val="20"/>
              </w:rPr>
              <w:t>a</w:t>
            </w:r>
            <w:r w:rsidR="000A4F01" w:rsidRPr="00972620">
              <w:rPr>
                <w:rFonts w:cs="Arial"/>
                <w:iCs/>
                <w:szCs w:val="20"/>
              </w:rPr>
              <w:t xml:space="preserve"> RS </w:t>
            </w:r>
            <w:r w:rsidR="0029428D">
              <w:rPr>
                <w:rFonts w:cs="Arial"/>
                <w:iCs/>
                <w:szCs w:val="20"/>
              </w:rPr>
              <w:t xml:space="preserve">s sklepom št. 30300-4/2017/4 </w:t>
            </w:r>
            <w:r w:rsidR="001311E3" w:rsidRPr="00972620">
              <w:rPr>
                <w:rFonts w:cs="Arial"/>
                <w:iCs/>
                <w:szCs w:val="20"/>
              </w:rPr>
              <w:t>dala soglasje h</w:t>
            </w:r>
            <w:r w:rsidR="000A4F01" w:rsidRPr="00B66C67">
              <w:rPr>
                <w:rFonts w:cs="Arial"/>
                <w:iCs/>
                <w:szCs w:val="20"/>
              </w:rPr>
              <w:t xml:space="preserve"> Ključni</w:t>
            </w:r>
            <w:r w:rsidR="001311E3" w:rsidRPr="008F08DE">
              <w:rPr>
                <w:rFonts w:cs="Arial"/>
                <w:iCs/>
                <w:szCs w:val="20"/>
              </w:rPr>
              <w:t>m</w:t>
            </w:r>
            <w:r w:rsidR="000A4F01" w:rsidRPr="008F08DE">
              <w:rPr>
                <w:rFonts w:cs="Arial"/>
                <w:iCs/>
                <w:szCs w:val="20"/>
              </w:rPr>
              <w:t xml:space="preserve"> element</w:t>
            </w:r>
            <w:r w:rsidR="001311E3" w:rsidRPr="008F08DE">
              <w:rPr>
                <w:rFonts w:cs="Arial"/>
                <w:iCs/>
                <w:szCs w:val="20"/>
              </w:rPr>
              <w:t>om</w:t>
            </w:r>
            <w:r w:rsidR="000A4F01" w:rsidRPr="008F08DE">
              <w:rPr>
                <w:rFonts w:cs="Arial"/>
                <w:iCs/>
                <w:szCs w:val="20"/>
              </w:rPr>
              <w:t xml:space="preserve"> finančnih instrumentov v programskem obdobju 2014-2020</w:t>
            </w:r>
            <w:r w:rsidR="001311E3" w:rsidRPr="00403C65">
              <w:rPr>
                <w:rFonts w:cs="Arial"/>
                <w:iCs/>
                <w:szCs w:val="20"/>
              </w:rPr>
              <w:t xml:space="preserve"> z dne 12.6.2017</w:t>
            </w:r>
            <w:r w:rsidR="004A3DA0">
              <w:rPr>
                <w:rFonts w:cs="Arial"/>
                <w:iCs/>
                <w:szCs w:val="20"/>
              </w:rPr>
              <w:t xml:space="preserve"> (različica 1.0)</w:t>
            </w:r>
            <w:r w:rsidR="000A4F01" w:rsidRPr="00403C65">
              <w:rPr>
                <w:rFonts w:cs="Arial"/>
                <w:iCs/>
                <w:szCs w:val="20"/>
              </w:rPr>
              <w:t>, na podlagi katerih je MGRT izbral upravljavca sklada skladov za izvajanje operacije F</w:t>
            </w:r>
            <w:r w:rsidRPr="001912C5">
              <w:rPr>
                <w:rFonts w:cs="Arial"/>
                <w:iCs/>
                <w:szCs w:val="20"/>
              </w:rPr>
              <w:t xml:space="preserve">inančni </w:t>
            </w:r>
            <w:r w:rsidR="00953218">
              <w:rPr>
                <w:rFonts w:cs="Arial"/>
                <w:iCs/>
                <w:szCs w:val="20"/>
              </w:rPr>
              <w:t>i</w:t>
            </w:r>
            <w:r w:rsidRPr="001912C5">
              <w:rPr>
                <w:rFonts w:cs="Arial"/>
                <w:iCs/>
                <w:szCs w:val="20"/>
              </w:rPr>
              <w:t xml:space="preserve">nstrumenti </w:t>
            </w:r>
            <w:r w:rsidR="00953218">
              <w:rPr>
                <w:rFonts w:cs="Arial"/>
                <w:iCs/>
                <w:szCs w:val="20"/>
              </w:rPr>
              <w:t xml:space="preserve">v programskem obdobju </w:t>
            </w:r>
            <w:r w:rsidRPr="001912C5">
              <w:rPr>
                <w:rFonts w:cs="Arial"/>
                <w:iCs/>
                <w:szCs w:val="20"/>
              </w:rPr>
              <w:t>2014-2020</w:t>
            </w:r>
            <w:r w:rsidR="000A4F01" w:rsidRPr="001912C5">
              <w:rPr>
                <w:rFonts w:cs="Arial"/>
                <w:iCs/>
                <w:szCs w:val="20"/>
              </w:rPr>
              <w:t>, za katero je na voljo 253 mio EUR sredstev evropske kohezijske politike</w:t>
            </w:r>
            <w:r w:rsidR="00222FF0" w:rsidRPr="00ED7AEF">
              <w:rPr>
                <w:rFonts w:cs="Arial"/>
                <w:iCs/>
                <w:szCs w:val="20"/>
              </w:rPr>
              <w:t xml:space="preserve"> za rast, razvoj, investicijskih vlaganja in tekoče poslovanje končnih prejemnikov</w:t>
            </w:r>
            <w:r w:rsidR="000A4F01" w:rsidRPr="00ED7AEF">
              <w:rPr>
                <w:rFonts w:cs="Arial"/>
                <w:iCs/>
                <w:szCs w:val="20"/>
              </w:rPr>
              <w:t>. Z izbranim upravljavcem sklada skladov SID</w:t>
            </w:r>
            <w:r w:rsidR="00434A47" w:rsidRPr="00ED7AEF">
              <w:rPr>
                <w:rFonts w:cs="Arial"/>
                <w:iCs/>
                <w:szCs w:val="20"/>
              </w:rPr>
              <w:t xml:space="preserve"> </w:t>
            </w:r>
            <w:r w:rsidRPr="00ED7AEF">
              <w:rPr>
                <w:rFonts w:cs="Arial"/>
                <w:iCs/>
                <w:szCs w:val="20"/>
              </w:rPr>
              <w:t>- Slovensko izvozno in razvojno</w:t>
            </w:r>
            <w:r w:rsidR="000A4F01" w:rsidRPr="00ED7AEF">
              <w:rPr>
                <w:rFonts w:cs="Arial"/>
                <w:iCs/>
                <w:szCs w:val="20"/>
              </w:rPr>
              <w:t xml:space="preserve"> banko</w:t>
            </w:r>
            <w:r w:rsidR="00434A47" w:rsidRPr="00ED7AEF">
              <w:rPr>
                <w:rFonts w:cs="Arial"/>
                <w:iCs/>
                <w:szCs w:val="20"/>
              </w:rPr>
              <w:t>, d.d., Ljubljana,</w:t>
            </w:r>
            <w:r w:rsidR="000A4F01" w:rsidRPr="00ED7AEF">
              <w:rPr>
                <w:rFonts w:cs="Arial"/>
                <w:iCs/>
                <w:szCs w:val="20"/>
              </w:rPr>
              <w:t xml:space="preserve"> je M</w:t>
            </w:r>
            <w:r w:rsidRPr="00ED7AEF">
              <w:rPr>
                <w:rFonts w:cs="Arial"/>
                <w:iCs/>
                <w:szCs w:val="20"/>
              </w:rPr>
              <w:t>inistrstvo za gospodarski razvoj in tehnologijo</w:t>
            </w:r>
            <w:r w:rsidR="000A4F01" w:rsidRPr="00ED7AEF">
              <w:rPr>
                <w:rFonts w:cs="Arial"/>
                <w:iCs/>
                <w:szCs w:val="20"/>
              </w:rPr>
              <w:t xml:space="preserve"> podpisal</w:t>
            </w:r>
            <w:r w:rsidRPr="00ED7AEF">
              <w:rPr>
                <w:rFonts w:cs="Arial"/>
                <w:iCs/>
                <w:szCs w:val="20"/>
              </w:rPr>
              <w:t>o</w:t>
            </w:r>
            <w:r w:rsidR="000A4F01" w:rsidRPr="00ED7AEF">
              <w:rPr>
                <w:rFonts w:cs="Arial"/>
                <w:iCs/>
                <w:szCs w:val="20"/>
              </w:rPr>
              <w:t xml:space="preserve"> Sporazum o financiranju</w:t>
            </w:r>
            <w:r w:rsidRPr="00ED7AEF">
              <w:rPr>
                <w:rFonts w:cs="Arial"/>
                <w:iCs/>
                <w:szCs w:val="20"/>
              </w:rPr>
              <w:t xml:space="preserve"> za operacijo </w:t>
            </w:r>
            <w:r w:rsidR="00953218" w:rsidRPr="00403C65">
              <w:rPr>
                <w:rFonts w:cs="Arial"/>
                <w:iCs/>
                <w:szCs w:val="20"/>
              </w:rPr>
              <w:t>F</w:t>
            </w:r>
            <w:r w:rsidR="00953218" w:rsidRPr="001912C5">
              <w:rPr>
                <w:rFonts w:cs="Arial"/>
                <w:iCs/>
                <w:szCs w:val="20"/>
              </w:rPr>
              <w:t xml:space="preserve">inančni </w:t>
            </w:r>
            <w:r w:rsidR="00953218">
              <w:rPr>
                <w:rFonts w:cs="Arial"/>
                <w:iCs/>
                <w:szCs w:val="20"/>
              </w:rPr>
              <w:t>i</w:t>
            </w:r>
            <w:r w:rsidR="00953218" w:rsidRPr="001912C5">
              <w:rPr>
                <w:rFonts w:cs="Arial"/>
                <w:iCs/>
                <w:szCs w:val="20"/>
              </w:rPr>
              <w:t xml:space="preserve">nstrumenti </w:t>
            </w:r>
            <w:r w:rsidR="00953218">
              <w:rPr>
                <w:rFonts w:cs="Arial"/>
                <w:iCs/>
                <w:szCs w:val="20"/>
              </w:rPr>
              <w:t xml:space="preserve">v </w:t>
            </w:r>
            <w:r w:rsidR="00953218" w:rsidRPr="0029428D">
              <w:rPr>
                <w:rFonts w:cs="Arial"/>
                <w:iCs/>
                <w:szCs w:val="20"/>
              </w:rPr>
              <w:t>programskem obdobju 2014-2020</w:t>
            </w:r>
            <w:r w:rsidR="00403C65" w:rsidRPr="0029428D">
              <w:rPr>
                <w:rFonts w:cs="Arial"/>
                <w:iCs/>
                <w:szCs w:val="20"/>
              </w:rPr>
              <w:t xml:space="preserve"> (v nadaljevanju: S</w:t>
            </w:r>
            <w:r w:rsidR="00953218" w:rsidRPr="0029428D">
              <w:rPr>
                <w:rFonts w:cs="Arial"/>
                <w:iCs/>
                <w:szCs w:val="20"/>
              </w:rPr>
              <w:t>o</w:t>
            </w:r>
            <w:r w:rsidR="00403C65" w:rsidRPr="0029428D">
              <w:rPr>
                <w:rFonts w:cs="Arial"/>
                <w:iCs/>
                <w:szCs w:val="20"/>
              </w:rPr>
              <w:t xml:space="preserve">F 2014-2020 ter </w:t>
            </w:r>
            <w:r w:rsidR="00953218" w:rsidRPr="0029428D">
              <w:rPr>
                <w:rFonts w:cs="Arial"/>
                <w:iCs/>
                <w:szCs w:val="20"/>
              </w:rPr>
              <w:t>operacija FI 2014</w:t>
            </w:r>
            <w:r w:rsidR="00403C65" w:rsidRPr="0029428D">
              <w:rPr>
                <w:rFonts w:cs="Arial"/>
                <w:iCs/>
                <w:szCs w:val="20"/>
              </w:rPr>
              <w:t>-2020)</w:t>
            </w:r>
            <w:r w:rsidR="000A4F01" w:rsidRPr="0029428D">
              <w:rPr>
                <w:rFonts w:cs="Arial"/>
                <w:iCs/>
                <w:szCs w:val="20"/>
              </w:rPr>
              <w:t>.</w:t>
            </w:r>
            <w:r w:rsidR="00C91410" w:rsidRPr="0029428D">
              <w:rPr>
                <w:rFonts w:cs="Arial"/>
                <w:iCs/>
                <w:szCs w:val="20"/>
              </w:rPr>
              <w:t xml:space="preserve"> Dne 24.8.2017 so bili Ključni elementi finančnih instrumentov v programskem obdobju 2014-2020 sprem</w:t>
            </w:r>
            <w:r w:rsidR="001311E3" w:rsidRPr="0029428D">
              <w:rPr>
                <w:rFonts w:cs="Arial"/>
                <w:iCs/>
                <w:szCs w:val="20"/>
              </w:rPr>
              <w:t>e</w:t>
            </w:r>
            <w:r w:rsidR="00C91410" w:rsidRPr="0029428D">
              <w:rPr>
                <w:rFonts w:cs="Arial"/>
                <w:iCs/>
                <w:szCs w:val="20"/>
              </w:rPr>
              <w:t>njeni</w:t>
            </w:r>
            <w:r w:rsidR="004A3DA0" w:rsidRPr="0029428D">
              <w:rPr>
                <w:rFonts w:cs="Arial"/>
                <w:iCs/>
                <w:szCs w:val="20"/>
              </w:rPr>
              <w:t xml:space="preserve"> (različica</w:t>
            </w:r>
            <w:r w:rsidR="004A3DA0">
              <w:rPr>
                <w:rFonts w:cs="Arial"/>
                <w:iCs/>
                <w:szCs w:val="20"/>
              </w:rPr>
              <w:t xml:space="preserve"> 1.1)</w:t>
            </w:r>
            <w:r w:rsidR="0029428D">
              <w:rPr>
                <w:rFonts w:cs="Arial"/>
                <w:iCs/>
                <w:szCs w:val="20"/>
              </w:rPr>
              <w:t xml:space="preserve"> in 28.9.2017 potrjeni s sklepom Vlade RS št. 30300-4/2017/8</w:t>
            </w:r>
            <w:r w:rsidR="00C91410" w:rsidRPr="00403C65">
              <w:rPr>
                <w:rFonts w:cs="Arial"/>
                <w:iCs/>
                <w:szCs w:val="20"/>
              </w:rPr>
              <w:t>.</w:t>
            </w:r>
          </w:p>
          <w:p w14:paraId="48C53A09" w14:textId="77777777" w:rsidR="000A4F01" w:rsidRPr="00403C65" w:rsidRDefault="000A4F01" w:rsidP="000A4F01">
            <w:pPr>
              <w:spacing w:after="160" w:line="276" w:lineRule="auto"/>
              <w:jc w:val="both"/>
              <w:rPr>
                <w:rFonts w:cs="Arial"/>
                <w:iCs/>
                <w:szCs w:val="20"/>
              </w:rPr>
            </w:pPr>
            <w:r w:rsidRPr="00403C65">
              <w:rPr>
                <w:rFonts w:cs="Arial"/>
                <w:iCs/>
                <w:szCs w:val="20"/>
              </w:rPr>
              <w:t>V okviru operacije</w:t>
            </w:r>
            <w:r w:rsidR="00403C65">
              <w:rPr>
                <w:rFonts w:cs="Arial"/>
                <w:iCs/>
                <w:szCs w:val="20"/>
              </w:rPr>
              <w:t xml:space="preserve"> FI 2014-2020 </w:t>
            </w:r>
            <w:r w:rsidRPr="00403C65">
              <w:rPr>
                <w:rFonts w:cs="Arial"/>
                <w:iCs/>
                <w:szCs w:val="20"/>
              </w:rPr>
              <w:t xml:space="preserve">so </w:t>
            </w:r>
            <w:r w:rsidR="00222FF0" w:rsidRPr="00403C65">
              <w:rPr>
                <w:rFonts w:cs="Arial"/>
                <w:iCs/>
                <w:szCs w:val="20"/>
              </w:rPr>
              <w:t xml:space="preserve">za končne prejemnike </w:t>
            </w:r>
            <w:r w:rsidRPr="00403C65">
              <w:rPr>
                <w:rFonts w:cs="Arial"/>
                <w:iCs/>
                <w:szCs w:val="20"/>
              </w:rPr>
              <w:t xml:space="preserve">na voljo različni finančni produkti za </w:t>
            </w:r>
            <w:r w:rsidR="00953218">
              <w:rPr>
                <w:rFonts w:cs="Arial"/>
                <w:iCs/>
                <w:szCs w:val="20"/>
              </w:rPr>
              <w:t>naložbena področja</w:t>
            </w:r>
            <w:r w:rsidR="00403C65">
              <w:rPr>
                <w:rFonts w:cs="Arial"/>
                <w:iCs/>
                <w:szCs w:val="20"/>
              </w:rPr>
              <w:t xml:space="preserve"> </w:t>
            </w:r>
            <w:r w:rsidR="00953218">
              <w:rPr>
                <w:rFonts w:cs="Arial"/>
                <w:iCs/>
                <w:szCs w:val="20"/>
              </w:rPr>
              <w:t>MSP, RRI, energetska</w:t>
            </w:r>
            <w:r w:rsidRPr="00403C65">
              <w:rPr>
                <w:rFonts w:cs="Arial"/>
                <w:iCs/>
                <w:szCs w:val="20"/>
              </w:rPr>
              <w:t xml:space="preserve"> učinkovitost in urbani razvoj, v obliki mikrokreditov, posojil in portfeljskih garancij. Slednje </w:t>
            </w:r>
            <w:r w:rsidR="007529DD" w:rsidRPr="00403C65">
              <w:rPr>
                <w:rFonts w:cs="Arial"/>
                <w:iCs/>
                <w:szCs w:val="20"/>
              </w:rPr>
              <w:t>se izvaja</w:t>
            </w:r>
            <w:r w:rsidR="00222FF0" w:rsidRPr="00403C65">
              <w:rPr>
                <w:rFonts w:cs="Arial"/>
                <w:iCs/>
                <w:szCs w:val="20"/>
              </w:rPr>
              <w:t>jo</w:t>
            </w:r>
            <w:r w:rsidR="007529DD" w:rsidRPr="00403C65">
              <w:rPr>
                <w:rFonts w:cs="Arial"/>
                <w:iCs/>
                <w:szCs w:val="20"/>
              </w:rPr>
              <w:t xml:space="preserve"> </w:t>
            </w:r>
            <w:r w:rsidRPr="00403C65">
              <w:rPr>
                <w:rFonts w:cs="Arial"/>
                <w:iCs/>
                <w:szCs w:val="20"/>
              </w:rPr>
              <w:t>kot portfeljske garancije za MSP (65 mio EUR</w:t>
            </w:r>
            <w:r w:rsidR="007529DD" w:rsidRPr="00403C65">
              <w:rPr>
                <w:rFonts w:cs="Arial"/>
                <w:iCs/>
                <w:szCs w:val="20"/>
              </w:rPr>
              <w:t>, EU del</w:t>
            </w:r>
            <w:r w:rsidRPr="00403C65">
              <w:rPr>
                <w:rFonts w:cs="Arial"/>
                <w:iCs/>
                <w:szCs w:val="20"/>
              </w:rPr>
              <w:t>), portfeljske garancije za RRI za velika podjetja (10 mio EUR</w:t>
            </w:r>
            <w:r w:rsidR="007529DD" w:rsidRPr="00403C65">
              <w:rPr>
                <w:rFonts w:cs="Arial"/>
                <w:iCs/>
                <w:szCs w:val="20"/>
              </w:rPr>
              <w:t>, EU del</w:t>
            </w:r>
            <w:r w:rsidRPr="00403C65">
              <w:rPr>
                <w:rFonts w:cs="Arial"/>
                <w:iCs/>
                <w:szCs w:val="20"/>
              </w:rPr>
              <w:t>) in portfeljske garancije za RRI za MSP (20 mio EUR</w:t>
            </w:r>
            <w:r w:rsidR="007529DD" w:rsidRPr="00403C65">
              <w:rPr>
                <w:rFonts w:cs="Arial"/>
                <w:iCs/>
                <w:szCs w:val="20"/>
              </w:rPr>
              <w:t>, EU del</w:t>
            </w:r>
            <w:r w:rsidRPr="00403C65">
              <w:rPr>
                <w:rFonts w:cs="Arial"/>
                <w:iCs/>
                <w:szCs w:val="20"/>
              </w:rPr>
              <w:t>).</w:t>
            </w:r>
          </w:p>
          <w:p w14:paraId="5150494E" w14:textId="3186F143" w:rsidR="000A4F01" w:rsidRPr="00403C65" w:rsidRDefault="000A4F01" w:rsidP="000A4F01">
            <w:pPr>
              <w:spacing w:after="160" w:line="276" w:lineRule="auto"/>
              <w:jc w:val="both"/>
              <w:rPr>
                <w:rFonts w:cs="Arial"/>
                <w:iCs/>
                <w:szCs w:val="20"/>
              </w:rPr>
            </w:pPr>
            <w:r w:rsidRPr="00403C65">
              <w:rPr>
                <w:rFonts w:cs="Arial"/>
                <w:iCs/>
                <w:szCs w:val="20"/>
              </w:rPr>
              <w:t xml:space="preserve">Vsi instrumenti razen portfeljskih garancij </w:t>
            </w:r>
            <w:r w:rsidR="00960CF2">
              <w:rPr>
                <w:rFonts w:cs="Arial"/>
                <w:iCs/>
                <w:szCs w:val="20"/>
              </w:rPr>
              <w:t xml:space="preserve">za RRI za velika podjetja </w:t>
            </w:r>
            <w:r w:rsidRPr="00403C65">
              <w:rPr>
                <w:rFonts w:cs="Arial"/>
                <w:iCs/>
                <w:szCs w:val="20"/>
              </w:rPr>
              <w:t>se že tržijo</w:t>
            </w:r>
            <w:r w:rsidR="00E042A8">
              <w:rPr>
                <w:rFonts w:cs="Arial"/>
                <w:iCs/>
                <w:szCs w:val="20"/>
              </w:rPr>
              <w:t xml:space="preserve"> (sredstva se dodeljujejo končnim prejemnikom)</w:t>
            </w:r>
            <w:r w:rsidRPr="00403C65">
              <w:rPr>
                <w:rFonts w:cs="Arial"/>
                <w:iCs/>
                <w:szCs w:val="20"/>
              </w:rPr>
              <w:t xml:space="preserve">. Portfeljske garancije za MSP </w:t>
            </w:r>
            <w:r w:rsidR="001A544B">
              <w:rPr>
                <w:rFonts w:cs="Arial"/>
                <w:iCs/>
                <w:szCs w:val="20"/>
              </w:rPr>
              <w:t xml:space="preserve">in portfeljske garancije za RRI za MSP </w:t>
            </w:r>
            <w:r w:rsidRPr="00403C65">
              <w:rPr>
                <w:rFonts w:cs="Arial"/>
                <w:iCs/>
                <w:szCs w:val="20"/>
              </w:rPr>
              <w:t xml:space="preserve">izvaja </w:t>
            </w:r>
            <w:r w:rsidR="0047086D" w:rsidRPr="00403C65">
              <w:rPr>
                <w:rFonts w:cs="Arial"/>
                <w:iCs/>
                <w:szCs w:val="20"/>
              </w:rPr>
              <w:t xml:space="preserve">upravljavec </w:t>
            </w:r>
            <w:r w:rsidRPr="00403C65">
              <w:rPr>
                <w:rFonts w:cs="Arial"/>
                <w:iCs/>
                <w:szCs w:val="20"/>
              </w:rPr>
              <w:t>sklad</w:t>
            </w:r>
            <w:r w:rsidR="0047086D" w:rsidRPr="00403C65">
              <w:rPr>
                <w:rFonts w:cs="Arial"/>
                <w:iCs/>
                <w:szCs w:val="20"/>
              </w:rPr>
              <w:t>a</w:t>
            </w:r>
            <w:r w:rsidR="001A544B">
              <w:rPr>
                <w:rFonts w:cs="Arial"/>
                <w:iCs/>
                <w:szCs w:val="20"/>
              </w:rPr>
              <w:t xml:space="preserve"> skladov neposredno</w:t>
            </w:r>
            <w:r w:rsidRPr="00403C65">
              <w:rPr>
                <w:rFonts w:cs="Arial"/>
                <w:iCs/>
                <w:szCs w:val="20"/>
              </w:rPr>
              <w:t>.</w:t>
            </w:r>
            <w:r w:rsidR="00960CF2">
              <w:rPr>
                <w:rFonts w:cs="Arial"/>
                <w:iCs/>
                <w:szCs w:val="20"/>
              </w:rPr>
              <w:t xml:space="preserve"> </w:t>
            </w:r>
          </w:p>
          <w:p w14:paraId="10190D9B" w14:textId="72C969F7" w:rsidR="000A4F01" w:rsidRPr="00403C65" w:rsidRDefault="000A4F01" w:rsidP="000A4F01">
            <w:pPr>
              <w:spacing w:after="160" w:line="276" w:lineRule="auto"/>
              <w:jc w:val="both"/>
              <w:rPr>
                <w:rFonts w:cs="Arial"/>
                <w:iCs/>
                <w:szCs w:val="20"/>
              </w:rPr>
            </w:pPr>
            <w:r w:rsidRPr="00403C65">
              <w:rPr>
                <w:rFonts w:cs="Arial"/>
                <w:iCs/>
                <w:szCs w:val="20"/>
              </w:rPr>
              <w:t xml:space="preserve">Interes finančnih institucij za izvajanje produkta portfeljskih garancij za RRI za velika podjetja je upravljavec sklada skladov preveril 31.3.2020 z javnim pozivom za izbor finančnih institucij za podeljevanje kreditov z jamstvom iz finančnega instrumenta. Ker do roka 21.4.2020 ni prispela nobena prijava, je </w:t>
            </w:r>
            <w:r w:rsidR="00C91410" w:rsidRPr="00403C65">
              <w:rPr>
                <w:rFonts w:cs="Arial"/>
                <w:iCs/>
                <w:szCs w:val="20"/>
              </w:rPr>
              <w:t xml:space="preserve">upravljavec sklada skladov </w:t>
            </w:r>
            <w:r w:rsidR="00953218" w:rsidRPr="00403C65">
              <w:rPr>
                <w:rFonts w:cs="Arial"/>
                <w:iCs/>
                <w:szCs w:val="20"/>
              </w:rPr>
              <w:t xml:space="preserve">skladno </w:t>
            </w:r>
            <w:r w:rsidR="001A544B">
              <w:rPr>
                <w:rFonts w:cs="Arial"/>
                <w:iCs/>
                <w:szCs w:val="20"/>
              </w:rPr>
              <w:t xml:space="preserve">z določili </w:t>
            </w:r>
            <w:r w:rsidR="00953218" w:rsidRPr="00403C65">
              <w:rPr>
                <w:rFonts w:cs="Arial"/>
                <w:iCs/>
                <w:szCs w:val="20"/>
              </w:rPr>
              <w:t>S</w:t>
            </w:r>
            <w:r w:rsidR="00953218">
              <w:rPr>
                <w:rFonts w:cs="Arial"/>
                <w:iCs/>
                <w:szCs w:val="20"/>
              </w:rPr>
              <w:t xml:space="preserve">oF 2014-2020 </w:t>
            </w:r>
            <w:r w:rsidRPr="00403C65">
              <w:rPr>
                <w:rFonts w:cs="Arial"/>
                <w:iCs/>
                <w:szCs w:val="20"/>
              </w:rPr>
              <w:t>na MGRT</w:t>
            </w:r>
            <w:r w:rsidR="00C91410" w:rsidRPr="00403C65">
              <w:rPr>
                <w:rFonts w:cs="Arial"/>
                <w:iCs/>
                <w:szCs w:val="20"/>
              </w:rPr>
              <w:t xml:space="preserve"> </w:t>
            </w:r>
            <w:r w:rsidRPr="00403C65">
              <w:rPr>
                <w:rFonts w:cs="Arial"/>
                <w:iCs/>
                <w:szCs w:val="20"/>
              </w:rPr>
              <w:t xml:space="preserve">dne 26.6.2020 naslovil pisni predlog za trajno </w:t>
            </w:r>
            <w:r w:rsidR="00C14808">
              <w:rPr>
                <w:rFonts w:cs="Arial"/>
                <w:iCs/>
                <w:szCs w:val="20"/>
              </w:rPr>
              <w:t>dodelitev</w:t>
            </w:r>
            <w:r w:rsidR="00DC7689" w:rsidRPr="00403C65">
              <w:rPr>
                <w:rFonts w:cs="Arial"/>
                <w:iCs/>
                <w:szCs w:val="20"/>
              </w:rPr>
              <w:t xml:space="preserve"> </w:t>
            </w:r>
            <w:r w:rsidRPr="00403C65">
              <w:rPr>
                <w:rFonts w:cs="Arial"/>
                <w:iCs/>
                <w:szCs w:val="20"/>
              </w:rPr>
              <w:t xml:space="preserve">10 mio EUR (EU del) sredstev </w:t>
            </w:r>
            <w:r w:rsidR="00C14808">
              <w:rPr>
                <w:rFonts w:cs="Arial"/>
                <w:iCs/>
                <w:szCs w:val="20"/>
              </w:rPr>
              <w:t xml:space="preserve">prvotno </w:t>
            </w:r>
            <w:r w:rsidRPr="00403C65">
              <w:rPr>
                <w:rFonts w:cs="Arial"/>
                <w:iCs/>
                <w:szCs w:val="20"/>
              </w:rPr>
              <w:t>namenjenih izvajanju portfeljskih garancij za RRI za velika podjetja na produkt posojila za RRI.</w:t>
            </w:r>
          </w:p>
          <w:p w14:paraId="2C2BA5BD" w14:textId="33F30D0F" w:rsidR="000A4F01" w:rsidRPr="001912C5" w:rsidRDefault="000A4F01" w:rsidP="000A4F01">
            <w:pPr>
              <w:spacing w:after="160" w:line="276" w:lineRule="auto"/>
              <w:jc w:val="both"/>
              <w:rPr>
                <w:rFonts w:cs="Arial"/>
                <w:iCs/>
                <w:szCs w:val="20"/>
              </w:rPr>
            </w:pPr>
            <w:r w:rsidRPr="00403C65">
              <w:rPr>
                <w:rFonts w:cs="Arial"/>
                <w:iCs/>
                <w:szCs w:val="20"/>
              </w:rPr>
              <w:t xml:space="preserve">Za izvedbo </w:t>
            </w:r>
            <w:r w:rsidR="001A544B">
              <w:rPr>
                <w:rFonts w:cs="Arial"/>
                <w:iCs/>
                <w:szCs w:val="20"/>
              </w:rPr>
              <w:t xml:space="preserve">trajne </w:t>
            </w:r>
            <w:r w:rsidR="00C14808">
              <w:rPr>
                <w:rFonts w:cs="Arial"/>
                <w:iCs/>
                <w:szCs w:val="20"/>
              </w:rPr>
              <w:t>dodelitve sredstev</w:t>
            </w:r>
            <w:r w:rsidR="00DC7689" w:rsidRPr="00403C65">
              <w:rPr>
                <w:rFonts w:cs="Arial"/>
                <w:iCs/>
                <w:szCs w:val="20"/>
              </w:rPr>
              <w:t xml:space="preserve"> </w:t>
            </w:r>
            <w:r w:rsidR="00C14808" w:rsidRPr="00403C65">
              <w:rPr>
                <w:rFonts w:cs="Arial"/>
                <w:iCs/>
                <w:szCs w:val="20"/>
              </w:rPr>
              <w:t xml:space="preserve">na produkt posojila za RRI </w:t>
            </w:r>
            <w:r w:rsidRPr="00403C65">
              <w:rPr>
                <w:rFonts w:cs="Arial"/>
                <w:iCs/>
                <w:szCs w:val="20"/>
              </w:rPr>
              <w:t>je potrebna sprememba Ključnih dokumentov finančnih instrumentov v programskem obdobju 2014-2020, naložbene strategije, poslovnega in finančnega načrta sklada skladov</w:t>
            </w:r>
            <w:r w:rsidR="001A544B">
              <w:rPr>
                <w:rFonts w:cs="Arial"/>
                <w:iCs/>
                <w:szCs w:val="20"/>
              </w:rPr>
              <w:t>, letnega načrta 2021, izvedbenega načrta finančnih instrumentov</w:t>
            </w:r>
            <w:r w:rsidRPr="00403C65">
              <w:rPr>
                <w:rFonts w:cs="Arial"/>
                <w:iCs/>
                <w:szCs w:val="20"/>
              </w:rPr>
              <w:t xml:space="preserve"> ter sklenitev aneksa k S</w:t>
            </w:r>
            <w:r w:rsidR="00953218">
              <w:rPr>
                <w:rFonts w:cs="Arial"/>
                <w:iCs/>
                <w:szCs w:val="20"/>
              </w:rPr>
              <w:t>o</w:t>
            </w:r>
            <w:r w:rsidR="001912C5">
              <w:rPr>
                <w:rFonts w:cs="Arial"/>
                <w:iCs/>
                <w:szCs w:val="20"/>
              </w:rPr>
              <w:t>F 2014-2020</w:t>
            </w:r>
            <w:r w:rsidRPr="00403C65">
              <w:rPr>
                <w:rFonts w:cs="Arial"/>
                <w:iCs/>
                <w:szCs w:val="20"/>
              </w:rPr>
              <w:t>.</w:t>
            </w:r>
          </w:p>
          <w:p w14:paraId="21820081" w14:textId="0E48DAAF" w:rsidR="009D0FAD" w:rsidRPr="001912C5" w:rsidRDefault="000A4F01" w:rsidP="00133AD7">
            <w:pPr>
              <w:spacing w:after="160" w:line="276" w:lineRule="auto"/>
              <w:jc w:val="both"/>
              <w:rPr>
                <w:rFonts w:cs="Arial"/>
                <w:iCs/>
                <w:szCs w:val="20"/>
              </w:rPr>
            </w:pPr>
            <w:r w:rsidRPr="001912C5">
              <w:rPr>
                <w:rFonts w:cs="Arial"/>
                <w:iCs/>
                <w:szCs w:val="20"/>
              </w:rPr>
              <w:t xml:space="preserve">Sprememba Ključnih elementov finančnih instrumentov v programskem obdobju 2014-2020 ne zahteva dodatnih sredstev državnega proračuna, saj gre le za trajno </w:t>
            </w:r>
            <w:r w:rsidR="00C14808">
              <w:rPr>
                <w:rFonts w:cs="Arial"/>
                <w:iCs/>
                <w:szCs w:val="20"/>
              </w:rPr>
              <w:t>dodelitev</w:t>
            </w:r>
            <w:r w:rsidR="00DC7689" w:rsidRPr="001912C5">
              <w:rPr>
                <w:rFonts w:cs="Arial"/>
                <w:iCs/>
                <w:szCs w:val="20"/>
              </w:rPr>
              <w:t xml:space="preserve"> </w:t>
            </w:r>
            <w:r w:rsidRPr="001912C5">
              <w:rPr>
                <w:rFonts w:cs="Arial"/>
                <w:iCs/>
                <w:szCs w:val="20"/>
              </w:rPr>
              <w:t>10 mio EUR (EU del) sredstev iz finančnega instrumenta portfeljske garancije za RRI za vel</w:t>
            </w:r>
            <w:r w:rsidR="0051097A" w:rsidRPr="001912C5">
              <w:rPr>
                <w:rFonts w:cs="Arial"/>
                <w:iCs/>
                <w:szCs w:val="20"/>
              </w:rPr>
              <w:t>ika podjetja na posojila za RRI,</w:t>
            </w:r>
            <w:r w:rsidR="00C91410" w:rsidRPr="00ED7AEF">
              <w:rPr>
                <w:rFonts w:cs="Arial"/>
                <w:iCs/>
                <w:szCs w:val="20"/>
              </w:rPr>
              <w:t xml:space="preserve"> ki </w:t>
            </w:r>
            <w:r w:rsidR="00EF27ED">
              <w:rPr>
                <w:rFonts w:cs="Arial"/>
                <w:iCs/>
                <w:szCs w:val="20"/>
              </w:rPr>
              <w:t>so že bila dodeljena</w:t>
            </w:r>
            <w:r w:rsidR="00C91410" w:rsidRPr="00ED7AEF">
              <w:rPr>
                <w:rFonts w:cs="Arial"/>
                <w:iCs/>
                <w:szCs w:val="20"/>
              </w:rPr>
              <w:t xml:space="preserve"> skladu skladov,</w:t>
            </w:r>
            <w:r w:rsidR="0051097A" w:rsidRPr="00ED7AEF">
              <w:rPr>
                <w:rFonts w:cs="Arial"/>
                <w:iCs/>
                <w:szCs w:val="20"/>
              </w:rPr>
              <w:t xml:space="preserve"> z njo pa se omogoči plasma sredstev, </w:t>
            </w:r>
            <w:r w:rsidR="004F362A" w:rsidRPr="00ED7AEF">
              <w:rPr>
                <w:rFonts w:cs="Arial"/>
                <w:iCs/>
                <w:szCs w:val="20"/>
              </w:rPr>
              <w:t xml:space="preserve">s katerimi </w:t>
            </w:r>
            <w:r w:rsidR="0051097A" w:rsidRPr="00ED7AEF">
              <w:rPr>
                <w:rFonts w:cs="Arial"/>
                <w:iCs/>
                <w:szCs w:val="20"/>
              </w:rPr>
              <w:t>sklad skladov</w:t>
            </w:r>
            <w:r w:rsidR="00C91410" w:rsidRPr="00ED7AEF">
              <w:rPr>
                <w:rFonts w:cs="Arial"/>
                <w:iCs/>
                <w:szCs w:val="20"/>
              </w:rPr>
              <w:t xml:space="preserve"> torej</w:t>
            </w:r>
            <w:r w:rsidR="0051097A" w:rsidRPr="00ED7AEF">
              <w:rPr>
                <w:rFonts w:cs="Arial"/>
                <w:iCs/>
                <w:szCs w:val="20"/>
              </w:rPr>
              <w:t xml:space="preserve"> že </w:t>
            </w:r>
            <w:r w:rsidR="004F362A" w:rsidRPr="00ED7AEF">
              <w:rPr>
                <w:rFonts w:cs="Arial"/>
                <w:iCs/>
                <w:szCs w:val="20"/>
              </w:rPr>
              <w:t>razpolaga</w:t>
            </w:r>
            <w:r w:rsidR="001912C5">
              <w:rPr>
                <w:rFonts w:cs="Arial"/>
                <w:iCs/>
                <w:szCs w:val="20"/>
              </w:rPr>
              <w:t xml:space="preserve"> in sicer s produkta, kjer ni izkazanega povpraševanja s strani finančnih institucij</w:t>
            </w:r>
            <w:r w:rsidR="00073866">
              <w:rPr>
                <w:rFonts w:cs="Arial"/>
                <w:iCs/>
                <w:szCs w:val="20"/>
              </w:rPr>
              <w:t>,</w:t>
            </w:r>
            <w:r w:rsidR="001912C5">
              <w:rPr>
                <w:rFonts w:cs="Arial"/>
                <w:iCs/>
                <w:szCs w:val="20"/>
              </w:rPr>
              <w:t xml:space="preserve"> na produkt, kjer je </w:t>
            </w:r>
            <w:r w:rsidR="00482076">
              <w:rPr>
                <w:rFonts w:cs="Arial"/>
                <w:iCs/>
                <w:szCs w:val="20"/>
              </w:rPr>
              <w:t>potreba trga izkazana</w:t>
            </w:r>
            <w:r w:rsidR="001912C5">
              <w:rPr>
                <w:rFonts w:cs="Arial"/>
                <w:iCs/>
                <w:szCs w:val="20"/>
              </w:rPr>
              <w:t>.</w:t>
            </w:r>
          </w:p>
          <w:p w14:paraId="02D322B1" w14:textId="77777777" w:rsidR="001912C5" w:rsidRPr="004A3DA0" w:rsidRDefault="001912C5" w:rsidP="00234798">
            <w:pPr>
              <w:spacing w:after="160" w:line="276" w:lineRule="auto"/>
              <w:jc w:val="both"/>
              <w:rPr>
                <w:rFonts w:cs="Arial"/>
                <w:iCs/>
                <w:szCs w:val="20"/>
              </w:rPr>
            </w:pPr>
            <w:r>
              <w:rPr>
                <w:rFonts w:cs="Arial"/>
                <w:iCs/>
                <w:szCs w:val="20"/>
              </w:rPr>
              <w:lastRenderedPageBreak/>
              <w:t xml:space="preserve">S tem </w:t>
            </w:r>
            <w:r w:rsidRPr="004A3DA0">
              <w:rPr>
                <w:rFonts w:cs="Arial"/>
                <w:iCs/>
                <w:szCs w:val="20"/>
              </w:rPr>
              <w:t>gradivom torej želimo pridobiti soglasje k spremembam Ključnih elementov finančnih instrumentov v programskem obdobju 2014-2020, na podlagi katerih bo:</w:t>
            </w:r>
          </w:p>
          <w:p w14:paraId="40475066" w14:textId="6F4E7763" w:rsidR="00482076" w:rsidRPr="00663C29" w:rsidRDefault="004A3DA0" w:rsidP="001A544B">
            <w:pPr>
              <w:pStyle w:val="Odstavekseznama"/>
              <w:numPr>
                <w:ilvl w:val="0"/>
                <w:numId w:val="43"/>
              </w:numPr>
              <w:spacing w:after="160" w:line="276" w:lineRule="auto"/>
              <w:jc w:val="both"/>
              <w:rPr>
                <w:rFonts w:ascii="Arial" w:hAnsi="Arial" w:cs="Arial"/>
                <w:iCs/>
                <w:sz w:val="20"/>
                <w:szCs w:val="20"/>
              </w:rPr>
            </w:pPr>
            <w:r w:rsidRPr="004A3DA0">
              <w:rPr>
                <w:rFonts w:ascii="Arial" w:hAnsi="Arial" w:cs="Arial"/>
                <w:iCs/>
                <w:sz w:val="20"/>
                <w:szCs w:val="20"/>
              </w:rPr>
              <w:t>t</w:t>
            </w:r>
            <w:r w:rsidR="001912C5" w:rsidRPr="004A3DA0">
              <w:rPr>
                <w:rFonts w:ascii="Arial" w:hAnsi="Arial" w:cs="Arial"/>
                <w:iCs/>
                <w:sz w:val="20"/>
                <w:szCs w:val="20"/>
              </w:rPr>
              <w:t xml:space="preserve">rajno </w:t>
            </w:r>
            <w:r w:rsidR="00C14808">
              <w:rPr>
                <w:rFonts w:ascii="Arial" w:hAnsi="Arial" w:cs="Arial"/>
                <w:iCs/>
                <w:sz w:val="20"/>
                <w:szCs w:val="20"/>
              </w:rPr>
              <w:t>dodeljenih</w:t>
            </w:r>
            <w:r w:rsidR="00C14808" w:rsidRPr="004A3DA0">
              <w:rPr>
                <w:rFonts w:ascii="Arial" w:hAnsi="Arial" w:cs="Arial"/>
                <w:iCs/>
                <w:sz w:val="20"/>
                <w:szCs w:val="20"/>
              </w:rPr>
              <w:t xml:space="preserve"> </w:t>
            </w:r>
            <w:r w:rsidR="001912C5" w:rsidRPr="004A3DA0">
              <w:rPr>
                <w:rFonts w:ascii="Arial" w:hAnsi="Arial" w:cs="Arial"/>
                <w:iCs/>
                <w:sz w:val="20"/>
                <w:szCs w:val="20"/>
              </w:rPr>
              <w:t xml:space="preserve">10 mio EUR </w:t>
            </w:r>
            <w:r w:rsidR="001A544B">
              <w:rPr>
                <w:rFonts w:ascii="Arial" w:hAnsi="Arial" w:cs="Arial"/>
                <w:iCs/>
                <w:sz w:val="20"/>
                <w:szCs w:val="20"/>
              </w:rPr>
              <w:t>sredstev evropske kohezijske politike</w:t>
            </w:r>
            <w:r w:rsidR="001A544B" w:rsidRPr="004A3DA0">
              <w:rPr>
                <w:rFonts w:ascii="Arial" w:hAnsi="Arial" w:cs="Arial"/>
                <w:iCs/>
                <w:sz w:val="20"/>
                <w:szCs w:val="20"/>
              </w:rPr>
              <w:t xml:space="preserve"> </w:t>
            </w:r>
            <w:r w:rsidR="001912C5" w:rsidRPr="004A3DA0">
              <w:rPr>
                <w:rFonts w:ascii="Arial" w:hAnsi="Arial" w:cs="Arial"/>
                <w:iCs/>
                <w:sz w:val="20"/>
                <w:szCs w:val="20"/>
              </w:rPr>
              <w:t>iz produkta portfeljskih garancij za RRI za velika podjetja</w:t>
            </w:r>
            <w:r w:rsidR="00482076" w:rsidRPr="004A3DA0">
              <w:rPr>
                <w:rFonts w:ascii="Arial" w:hAnsi="Arial" w:cs="Arial"/>
                <w:iCs/>
                <w:sz w:val="20"/>
                <w:szCs w:val="20"/>
              </w:rPr>
              <w:t xml:space="preserve"> na produkt posojila za RRI, torej znotraj naložbenega področja RRI, s čimer bo v okviru operacije FI 2014-2020 na voljo več sredstev za posojila za RRI</w:t>
            </w:r>
            <w:r w:rsidRPr="00663C29">
              <w:rPr>
                <w:rFonts w:ascii="Arial" w:hAnsi="Arial" w:cs="Arial"/>
                <w:iCs/>
                <w:sz w:val="20"/>
                <w:szCs w:val="20"/>
              </w:rPr>
              <w:t>.</w:t>
            </w:r>
          </w:p>
          <w:p w14:paraId="0AE436CB" w14:textId="77777777" w:rsidR="009D0FAD" w:rsidRPr="00ED7AEF" w:rsidRDefault="007F2F83" w:rsidP="007F2F83">
            <w:pPr>
              <w:spacing w:after="160" w:line="276" w:lineRule="auto"/>
              <w:jc w:val="both"/>
              <w:rPr>
                <w:rFonts w:cs="Arial"/>
                <w:bCs/>
                <w:iCs/>
              </w:rPr>
            </w:pPr>
            <w:r w:rsidRPr="004A3DA0">
              <w:rPr>
                <w:rFonts w:cs="Arial"/>
                <w:iCs/>
                <w:szCs w:val="20"/>
              </w:rPr>
              <w:t>Seznam sprememb dokumenta Ključni elementi</w:t>
            </w:r>
            <w:r w:rsidR="009D0FAD" w:rsidRPr="004A3DA0">
              <w:rPr>
                <w:rFonts w:cs="Arial"/>
                <w:iCs/>
                <w:szCs w:val="20"/>
              </w:rPr>
              <w:t xml:space="preserve"> finančnih instrume</w:t>
            </w:r>
            <w:r w:rsidR="00073866" w:rsidRPr="004A3DA0">
              <w:rPr>
                <w:rFonts w:cs="Arial"/>
                <w:iCs/>
                <w:szCs w:val="20"/>
              </w:rPr>
              <w:t>ntov v programskem obdobju 2014</w:t>
            </w:r>
            <w:r w:rsidR="009D0FAD" w:rsidRPr="004A3DA0">
              <w:rPr>
                <w:rFonts w:cs="Arial"/>
                <w:iCs/>
                <w:szCs w:val="20"/>
              </w:rPr>
              <w:t>–2020 (</w:t>
            </w:r>
            <w:r w:rsidRPr="004A3DA0">
              <w:rPr>
                <w:rFonts w:cs="Arial"/>
                <w:iCs/>
                <w:szCs w:val="20"/>
              </w:rPr>
              <w:t>glede</w:t>
            </w:r>
            <w:r w:rsidRPr="001912C5">
              <w:rPr>
                <w:rFonts w:cs="Arial"/>
                <w:iCs/>
                <w:szCs w:val="20"/>
              </w:rPr>
              <w:t xml:space="preserve"> na različico</w:t>
            </w:r>
            <w:r w:rsidR="00C91410" w:rsidRPr="001912C5">
              <w:rPr>
                <w:rFonts w:cs="Arial"/>
                <w:iCs/>
                <w:szCs w:val="20"/>
              </w:rPr>
              <w:t xml:space="preserve"> </w:t>
            </w:r>
            <w:r w:rsidR="00155905" w:rsidRPr="00482076">
              <w:rPr>
                <w:rFonts w:cs="Arial"/>
                <w:iCs/>
                <w:szCs w:val="20"/>
              </w:rPr>
              <w:t xml:space="preserve">1.1 </w:t>
            </w:r>
            <w:r w:rsidR="00C91410" w:rsidRPr="00482076">
              <w:rPr>
                <w:rFonts w:cs="Arial"/>
                <w:iCs/>
                <w:szCs w:val="20"/>
              </w:rPr>
              <w:t xml:space="preserve">z </w:t>
            </w:r>
            <w:r w:rsidR="00C91410" w:rsidRPr="0029428D">
              <w:rPr>
                <w:rFonts w:cs="Arial"/>
                <w:iCs/>
                <w:szCs w:val="20"/>
              </w:rPr>
              <w:t>dne</w:t>
            </w:r>
            <w:r w:rsidR="004659AB">
              <w:rPr>
                <w:rFonts w:cs="Arial"/>
                <w:iCs/>
                <w:szCs w:val="20"/>
              </w:rPr>
              <w:t xml:space="preserve"> </w:t>
            </w:r>
            <w:r w:rsidR="0029428D" w:rsidRPr="0029428D">
              <w:rPr>
                <w:rFonts w:cs="Arial"/>
                <w:iCs/>
                <w:szCs w:val="20"/>
              </w:rPr>
              <w:t>24.8</w:t>
            </w:r>
            <w:r w:rsidR="009D0FAD" w:rsidRPr="0029428D">
              <w:rPr>
                <w:rFonts w:cs="Arial"/>
                <w:iCs/>
                <w:szCs w:val="20"/>
              </w:rPr>
              <w:t xml:space="preserve">.2017) </w:t>
            </w:r>
            <w:r w:rsidRPr="0029428D">
              <w:rPr>
                <w:rFonts w:cs="Arial"/>
                <w:iCs/>
                <w:szCs w:val="20"/>
              </w:rPr>
              <w:t>je v nadaljevanju</w:t>
            </w:r>
            <w:r w:rsidRPr="00482076">
              <w:rPr>
                <w:rFonts w:cs="Arial"/>
                <w:iCs/>
                <w:szCs w:val="20"/>
              </w:rPr>
              <w:t>.</w:t>
            </w:r>
            <w:r w:rsidR="002643F4" w:rsidRPr="00482076">
              <w:rPr>
                <w:rFonts w:cs="Arial"/>
                <w:iCs/>
                <w:szCs w:val="20"/>
              </w:rPr>
              <w:t xml:space="preserve"> Soglasje k spremembam se daje v obliki soglasja k novi različici Ključnih elementov finančnih instrumentov v programskem obdobju 2014-2020, ne kot k sprememba</w:t>
            </w:r>
            <w:r w:rsidR="002643F4" w:rsidRPr="00ED7AEF">
              <w:rPr>
                <w:rFonts w:cs="Arial"/>
                <w:iCs/>
                <w:szCs w:val="20"/>
              </w:rPr>
              <w:t>m in dopolnitvam stare različice.</w:t>
            </w:r>
          </w:p>
          <w:p w14:paraId="7016C623" w14:textId="77777777" w:rsidR="009D0FAD" w:rsidRPr="00960CF2" w:rsidRDefault="009D0FAD" w:rsidP="00073866">
            <w:pPr>
              <w:spacing w:after="240" w:line="320" w:lineRule="exact"/>
              <w:jc w:val="both"/>
              <w:rPr>
                <w:rFonts w:cs="Arial"/>
                <w:bCs/>
              </w:rPr>
            </w:pPr>
            <w:r w:rsidRPr="00AE6351">
              <w:rPr>
                <w:rFonts w:cs="Arial"/>
                <w:iCs/>
                <w:szCs w:val="20"/>
              </w:rPr>
              <w:t>V ostalem se Ključni elementi finančnih instrumentov v programskem obdobju 2014–2020 ne spreminjajo.</w:t>
            </w:r>
          </w:p>
        </w:tc>
      </w:tr>
      <w:tr w:rsidR="009D0FAD" w:rsidRPr="00100821" w14:paraId="74EA9DB6" w14:textId="77777777" w:rsidTr="00663C29">
        <w:tc>
          <w:tcPr>
            <w:tcW w:w="9163" w:type="dxa"/>
            <w:gridSpan w:val="4"/>
          </w:tcPr>
          <w:p w14:paraId="2EA46CB1" w14:textId="77777777" w:rsidR="009D0FAD" w:rsidRPr="00100821" w:rsidRDefault="009D0FAD" w:rsidP="00133AD7">
            <w:pPr>
              <w:suppressAutoHyphens/>
              <w:overflowPunct w:val="0"/>
              <w:autoSpaceDE w:val="0"/>
              <w:autoSpaceDN w:val="0"/>
              <w:adjustRightInd w:val="0"/>
              <w:spacing w:line="260" w:lineRule="exact"/>
              <w:textAlignment w:val="baseline"/>
              <w:outlineLvl w:val="3"/>
              <w:rPr>
                <w:rFonts w:cs="Arial"/>
                <w:b/>
                <w:szCs w:val="20"/>
                <w:lang w:eastAsia="sl-SI"/>
              </w:rPr>
            </w:pPr>
            <w:r w:rsidRPr="00100821">
              <w:rPr>
                <w:rFonts w:cs="Arial"/>
                <w:b/>
                <w:szCs w:val="20"/>
                <w:lang w:eastAsia="sl-SI"/>
              </w:rPr>
              <w:lastRenderedPageBreak/>
              <w:t>6. Presoja posledic za:</w:t>
            </w:r>
          </w:p>
        </w:tc>
      </w:tr>
      <w:tr w:rsidR="009D0FAD" w:rsidRPr="00100821" w14:paraId="68A858BA" w14:textId="77777777" w:rsidTr="00663C29">
        <w:tc>
          <w:tcPr>
            <w:tcW w:w="1448" w:type="dxa"/>
          </w:tcPr>
          <w:p w14:paraId="67B14008" w14:textId="77777777" w:rsidR="009D0FAD" w:rsidRPr="00100821" w:rsidRDefault="009D0FAD" w:rsidP="00133AD7">
            <w:pPr>
              <w:overflowPunct w:val="0"/>
              <w:autoSpaceDE w:val="0"/>
              <w:autoSpaceDN w:val="0"/>
              <w:adjustRightInd w:val="0"/>
              <w:spacing w:line="260" w:lineRule="exact"/>
              <w:ind w:left="360"/>
              <w:jc w:val="both"/>
              <w:textAlignment w:val="baseline"/>
              <w:rPr>
                <w:rFonts w:cs="Arial"/>
                <w:iCs/>
                <w:szCs w:val="20"/>
                <w:lang w:eastAsia="sl-SI"/>
              </w:rPr>
            </w:pPr>
            <w:r w:rsidRPr="00100821">
              <w:rPr>
                <w:rFonts w:cs="Arial"/>
                <w:iCs/>
                <w:szCs w:val="20"/>
                <w:lang w:eastAsia="sl-SI"/>
              </w:rPr>
              <w:t>a)</w:t>
            </w:r>
          </w:p>
        </w:tc>
        <w:tc>
          <w:tcPr>
            <w:tcW w:w="5444" w:type="dxa"/>
            <w:gridSpan w:val="2"/>
          </w:tcPr>
          <w:p w14:paraId="15F268EC" w14:textId="77777777" w:rsidR="009D0FAD" w:rsidRPr="00100821" w:rsidRDefault="009D0FAD" w:rsidP="00133AD7">
            <w:pPr>
              <w:overflowPunct w:val="0"/>
              <w:autoSpaceDE w:val="0"/>
              <w:autoSpaceDN w:val="0"/>
              <w:adjustRightInd w:val="0"/>
              <w:spacing w:line="260" w:lineRule="exact"/>
              <w:jc w:val="both"/>
              <w:textAlignment w:val="baseline"/>
              <w:rPr>
                <w:rFonts w:cs="Arial"/>
                <w:szCs w:val="20"/>
                <w:lang w:eastAsia="sl-SI"/>
              </w:rPr>
            </w:pPr>
            <w:r w:rsidRPr="00100821">
              <w:rPr>
                <w:rFonts w:cs="Arial"/>
                <w:szCs w:val="20"/>
                <w:lang w:eastAsia="sl-SI"/>
              </w:rPr>
              <w:t>javnofinančna sredstva nad 40.000 EUR v tekočem in naslednjih treh letih</w:t>
            </w:r>
          </w:p>
        </w:tc>
        <w:tc>
          <w:tcPr>
            <w:tcW w:w="2271" w:type="dxa"/>
            <w:vAlign w:val="center"/>
          </w:tcPr>
          <w:p w14:paraId="0FAFDC6F" w14:textId="77777777" w:rsidR="009D0FAD" w:rsidRPr="00100821" w:rsidRDefault="009D0FAD" w:rsidP="00133AD7">
            <w:pPr>
              <w:overflowPunct w:val="0"/>
              <w:autoSpaceDE w:val="0"/>
              <w:autoSpaceDN w:val="0"/>
              <w:adjustRightInd w:val="0"/>
              <w:spacing w:line="260" w:lineRule="exact"/>
              <w:jc w:val="center"/>
              <w:textAlignment w:val="baseline"/>
              <w:rPr>
                <w:rFonts w:cs="Arial"/>
                <w:iCs/>
                <w:szCs w:val="20"/>
                <w:lang w:eastAsia="sl-SI"/>
              </w:rPr>
            </w:pPr>
            <w:r w:rsidRPr="00100821">
              <w:rPr>
                <w:rFonts w:cs="Arial"/>
                <w:szCs w:val="20"/>
                <w:lang w:eastAsia="sl-SI"/>
              </w:rPr>
              <w:t>DA/</w:t>
            </w:r>
            <w:r w:rsidRPr="00100821">
              <w:rPr>
                <w:rFonts w:cs="Arial"/>
                <w:b/>
                <w:szCs w:val="20"/>
                <w:lang w:eastAsia="sl-SI"/>
              </w:rPr>
              <w:t>NE</w:t>
            </w:r>
          </w:p>
        </w:tc>
      </w:tr>
      <w:tr w:rsidR="009D0FAD" w:rsidRPr="00100821" w14:paraId="088CF0FA" w14:textId="77777777" w:rsidTr="00663C29">
        <w:tc>
          <w:tcPr>
            <w:tcW w:w="1448" w:type="dxa"/>
          </w:tcPr>
          <w:p w14:paraId="1D60BF93" w14:textId="77777777" w:rsidR="009D0FAD" w:rsidRPr="00100821" w:rsidRDefault="009D0FAD" w:rsidP="00133AD7">
            <w:pPr>
              <w:overflowPunct w:val="0"/>
              <w:autoSpaceDE w:val="0"/>
              <w:autoSpaceDN w:val="0"/>
              <w:adjustRightInd w:val="0"/>
              <w:spacing w:line="260" w:lineRule="exact"/>
              <w:ind w:left="360"/>
              <w:jc w:val="both"/>
              <w:textAlignment w:val="baseline"/>
              <w:rPr>
                <w:rFonts w:cs="Arial"/>
                <w:iCs/>
                <w:szCs w:val="20"/>
                <w:lang w:eastAsia="sl-SI"/>
              </w:rPr>
            </w:pPr>
            <w:r w:rsidRPr="00100821">
              <w:rPr>
                <w:rFonts w:cs="Arial"/>
                <w:iCs/>
                <w:szCs w:val="20"/>
                <w:lang w:eastAsia="sl-SI"/>
              </w:rPr>
              <w:t>b)</w:t>
            </w:r>
          </w:p>
        </w:tc>
        <w:tc>
          <w:tcPr>
            <w:tcW w:w="5444" w:type="dxa"/>
            <w:gridSpan w:val="2"/>
          </w:tcPr>
          <w:p w14:paraId="23A22260" w14:textId="77777777" w:rsidR="009D0FAD" w:rsidRPr="00100821" w:rsidRDefault="009D0FAD" w:rsidP="00133AD7">
            <w:pPr>
              <w:overflowPunct w:val="0"/>
              <w:autoSpaceDE w:val="0"/>
              <w:autoSpaceDN w:val="0"/>
              <w:adjustRightInd w:val="0"/>
              <w:spacing w:line="260" w:lineRule="exact"/>
              <w:jc w:val="both"/>
              <w:textAlignment w:val="baseline"/>
              <w:rPr>
                <w:rFonts w:cs="Arial"/>
                <w:iCs/>
                <w:szCs w:val="20"/>
                <w:lang w:eastAsia="sl-SI"/>
              </w:rPr>
            </w:pPr>
            <w:r w:rsidRPr="00100821">
              <w:rPr>
                <w:rFonts w:cs="Arial"/>
                <w:bCs/>
                <w:szCs w:val="20"/>
                <w:lang w:eastAsia="sl-SI"/>
              </w:rPr>
              <w:t>usklajenost slovenskega pravnega reda s pravnim redom Evropske unije</w:t>
            </w:r>
          </w:p>
        </w:tc>
        <w:tc>
          <w:tcPr>
            <w:tcW w:w="2271" w:type="dxa"/>
            <w:vAlign w:val="center"/>
          </w:tcPr>
          <w:p w14:paraId="1E0D8AA7" w14:textId="77777777" w:rsidR="009D0FAD" w:rsidRPr="00100821" w:rsidRDefault="009D0FAD" w:rsidP="00133AD7">
            <w:pPr>
              <w:overflowPunct w:val="0"/>
              <w:autoSpaceDE w:val="0"/>
              <w:autoSpaceDN w:val="0"/>
              <w:adjustRightInd w:val="0"/>
              <w:spacing w:line="260" w:lineRule="exact"/>
              <w:jc w:val="center"/>
              <w:textAlignment w:val="baseline"/>
              <w:rPr>
                <w:rFonts w:cs="Arial"/>
                <w:iCs/>
                <w:szCs w:val="20"/>
                <w:lang w:eastAsia="sl-SI"/>
              </w:rPr>
            </w:pPr>
            <w:r w:rsidRPr="00100821">
              <w:rPr>
                <w:rFonts w:cs="Arial"/>
                <w:szCs w:val="20"/>
                <w:lang w:eastAsia="sl-SI"/>
              </w:rPr>
              <w:t>DA/</w:t>
            </w:r>
            <w:r w:rsidRPr="00100821">
              <w:rPr>
                <w:rFonts w:cs="Arial"/>
                <w:b/>
                <w:szCs w:val="20"/>
                <w:lang w:eastAsia="sl-SI"/>
              </w:rPr>
              <w:t>NE</w:t>
            </w:r>
          </w:p>
        </w:tc>
      </w:tr>
      <w:tr w:rsidR="009D0FAD" w:rsidRPr="00100821" w14:paraId="09B0CC7D" w14:textId="77777777" w:rsidTr="00663C29">
        <w:tc>
          <w:tcPr>
            <w:tcW w:w="1448" w:type="dxa"/>
          </w:tcPr>
          <w:p w14:paraId="2205652A" w14:textId="77777777" w:rsidR="009D0FAD" w:rsidRPr="00100821" w:rsidRDefault="009D0FAD" w:rsidP="00133AD7">
            <w:pPr>
              <w:overflowPunct w:val="0"/>
              <w:autoSpaceDE w:val="0"/>
              <w:autoSpaceDN w:val="0"/>
              <w:adjustRightInd w:val="0"/>
              <w:spacing w:line="260" w:lineRule="exact"/>
              <w:ind w:left="360"/>
              <w:jc w:val="both"/>
              <w:textAlignment w:val="baseline"/>
              <w:rPr>
                <w:rFonts w:cs="Arial"/>
                <w:iCs/>
                <w:szCs w:val="20"/>
                <w:lang w:eastAsia="sl-SI"/>
              </w:rPr>
            </w:pPr>
            <w:r w:rsidRPr="00100821">
              <w:rPr>
                <w:rFonts w:cs="Arial"/>
                <w:iCs/>
                <w:szCs w:val="20"/>
                <w:lang w:eastAsia="sl-SI"/>
              </w:rPr>
              <w:t>c)</w:t>
            </w:r>
          </w:p>
        </w:tc>
        <w:tc>
          <w:tcPr>
            <w:tcW w:w="5444" w:type="dxa"/>
            <w:gridSpan w:val="2"/>
          </w:tcPr>
          <w:p w14:paraId="4406B487" w14:textId="77777777" w:rsidR="009D0FAD" w:rsidRPr="00100821" w:rsidRDefault="009D0FAD" w:rsidP="00133AD7">
            <w:pPr>
              <w:overflowPunct w:val="0"/>
              <w:autoSpaceDE w:val="0"/>
              <w:autoSpaceDN w:val="0"/>
              <w:adjustRightInd w:val="0"/>
              <w:spacing w:line="260" w:lineRule="exact"/>
              <w:jc w:val="both"/>
              <w:textAlignment w:val="baseline"/>
              <w:rPr>
                <w:rFonts w:cs="Arial"/>
                <w:iCs/>
                <w:szCs w:val="20"/>
                <w:lang w:eastAsia="sl-SI"/>
              </w:rPr>
            </w:pPr>
            <w:r w:rsidRPr="00100821">
              <w:rPr>
                <w:rFonts w:cs="Arial"/>
                <w:szCs w:val="20"/>
                <w:lang w:eastAsia="sl-SI"/>
              </w:rPr>
              <w:t>administrativne posledice</w:t>
            </w:r>
          </w:p>
        </w:tc>
        <w:tc>
          <w:tcPr>
            <w:tcW w:w="2271" w:type="dxa"/>
            <w:vAlign w:val="center"/>
          </w:tcPr>
          <w:p w14:paraId="504888B1" w14:textId="77777777" w:rsidR="009D0FAD" w:rsidRPr="00100821" w:rsidRDefault="009D0FAD" w:rsidP="00133AD7">
            <w:pPr>
              <w:overflowPunct w:val="0"/>
              <w:autoSpaceDE w:val="0"/>
              <w:autoSpaceDN w:val="0"/>
              <w:adjustRightInd w:val="0"/>
              <w:spacing w:line="260" w:lineRule="exact"/>
              <w:jc w:val="center"/>
              <w:textAlignment w:val="baseline"/>
              <w:rPr>
                <w:rFonts w:cs="Arial"/>
                <w:szCs w:val="20"/>
                <w:lang w:eastAsia="sl-SI"/>
              </w:rPr>
            </w:pPr>
            <w:r w:rsidRPr="00100821">
              <w:rPr>
                <w:rFonts w:cs="Arial"/>
                <w:szCs w:val="20"/>
                <w:lang w:eastAsia="sl-SI"/>
              </w:rPr>
              <w:t>DA/</w:t>
            </w:r>
            <w:r w:rsidRPr="00100821">
              <w:rPr>
                <w:rFonts w:cs="Arial"/>
                <w:b/>
                <w:szCs w:val="20"/>
                <w:lang w:eastAsia="sl-SI"/>
              </w:rPr>
              <w:t>NE</w:t>
            </w:r>
          </w:p>
        </w:tc>
      </w:tr>
      <w:tr w:rsidR="009D0FAD" w:rsidRPr="00100821" w14:paraId="2AA83081" w14:textId="77777777" w:rsidTr="00663C29">
        <w:tc>
          <w:tcPr>
            <w:tcW w:w="1448" w:type="dxa"/>
          </w:tcPr>
          <w:p w14:paraId="5EA1973F" w14:textId="77777777" w:rsidR="009D0FAD" w:rsidRPr="00100821" w:rsidRDefault="009D0FAD" w:rsidP="00133AD7">
            <w:pPr>
              <w:overflowPunct w:val="0"/>
              <w:autoSpaceDE w:val="0"/>
              <w:autoSpaceDN w:val="0"/>
              <w:adjustRightInd w:val="0"/>
              <w:spacing w:line="260" w:lineRule="exact"/>
              <w:ind w:left="360"/>
              <w:jc w:val="both"/>
              <w:textAlignment w:val="baseline"/>
              <w:rPr>
                <w:rFonts w:cs="Arial"/>
                <w:iCs/>
                <w:szCs w:val="20"/>
                <w:lang w:eastAsia="sl-SI"/>
              </w:rPr>
            </w:pPr>
            <w:r w:rsidRPr="00100821">
              <w:rPr>
                <w:rFonts w:cs="Arial"/>
                <w:iCs/>
                <w:szCs w:val="20"/>
                <w:lang w:eastAsia="sl-SI"/>
              </w:rPr>
              <w:t>č)</w:t>
            </w:r>
          </w:p>
        </w:tc>
        <w:tc>
          <w:tcPr>
            <w:tcW w:w="5444" w:type="dxa"/>
            <w:gridSpan w:val="2"/>
          </w:tcPr>
          <w:p w14:paraId="783442CB" w14:textId="77777777" w:rsidR="009D0FAD" w:rsidRPr="00100821" w:rsidRDefault="009D0FAD" w:rsidP="00133AD7">
            <w:pPr>
              <w:overflowPunct w:val="0"/>
              <w:autoSpaceDE w:val="0"/>
              <w:autoSpaceDN w:val="0"/>
              <w:adjustRightInd w:val="0"/>
              <w:spacing w:line="260" w:lineRule="exact"/>
              <w:jc w:val="both"/>
              <w:textAlignment w:val="baseline"/>
              <w:rPr>
                <w:rFonts w:cs="Arial"/>
                <w:bCs/>
                <w:szCs w:val="20"/>
                <w:lang w:eastAsia="sl-SI"/>
              </w:rPr>
            </w:pPr>
            <w:r w:rsidRPr="00100821">
              <w:rPr>
                <w:rFonts w:cs="Arial"/>
                <w:szCs w:val="20"/>
                <w:lang w:eastAsia="sl-SI"/>
              </w:rPr>
              <w:t>gospodarstvo, zlasti</w:t>
            </w:r>
            <w:r w:rsidRPr="00100821">
              <w:rPr>
                <w:rFonts w:cs="Arial"/>
                <w:bCs/>
                <w:szCs w:val="20"/>
                <w:lang w:eastAsia="sl-SI"/>
              </w:rPr>
              <w:t xml:space="preserve"> mala in srednja podjetja ter konkurenčnost podjetij</w:t>
            </w:r>
          </w:p>
          <w:p w14:paraId="07F37011" w14:textId="2FACE457" w:rsidR="009D0FAD" w:rsidRDefault="00E042A8" w:rsidP="009741F2">
            <w:pPr>
              <w:overflowPunct w:val="0"/>
              <w:autoSpaceDE w:val="0"/>
              <w:autoSpaceDN w:val="0"/>
              <w:adjustRightInd w:val="0"/>
              <w:spacing w:before="60" w:after="60" w:line="240" w:lineRule="auto"/>
              <w:jc w:val="both"/>
              <w:textAlignment w:val="baseline"/>
              <w:rPr>
                <w:rFonts w:cs="Arial"/>
                <w:bCs/>
                <w:szCs w:val="20"/>
                <w:lang w:eastAsia="sl-SI"/>
              </w:rPr>
            </w:pPr>
            <w:r>
              <w:rPr>
                <w:rFonts w:cs="Arial"/>
                <w:bCs/>
                <w:szCs w:val="20"/>
                <w:lang w:eastAsia="sl-SI"/>
              </w:rPr>
              <w:t>Sprememba</w:t>
            </w:r>
            <w:r w:rsidRPr="00100821">
              <w:rPr>
                <w:rFonts w:cs="Arial"/>
                <w:bCs/>
                <w:szCs w:val="20"/>
                <w:lang w:eastAsia="sl-SI"/>
              </w:rPr>
              <w:t xml:space="preserve"> </w:t>
            </w:r>
            <w:r w:rsidR="009D0FAD" w:rsidRPr="00100821">
              <w:rPr>
                <w:rFonts w:cs="Arial"/>
                <w:bCs/>
                <w:szCs w:val="20"/>
                <w:lang w:eastAsia="sl-SI"/>
              </w:rPr>
              <w:t>bo imel</w:t>
            </w:r>
            <w:r>
              <w:rPr>
                <w:rFonts w:cs="Arial"/>
                <w:bCs/>
                <w:szCs w:val="20"/>
                <w:lang w:eastAsia="sl-SI"/>
              </w:rPr>
              <w:t>a</w:t>
            </w:r>
            <w:r w:rsidR="009D0FAD" w:rsidRPr="00100821">
              <w:rPr>
                <w:rFonts w:cs="Arial"/>
                <w:bCs/>
                <w:szCs w:val="20"/>
                <w:lang w:eastAsia="sl-SI"/>
              </w:rPr>
              <w:t xml:space="preserve"> pozitivne posledice na gospodarstvo, saj predstavlja podlago </w:t>
            </w:r>
            <w:r w:rsidR="009741F2" w:rsidRPr="00100821">
              <w:rPr>
                <w:rFonts w:cs="Arial"/>
                <w:bCs/>
                <w:szCs w:val="20"/>
                <w:lang w:eastAsia="sl-SI"/>
              </w:rPr>
              <w:t xml:space="preserve">za </w:t>
            </w:r>
            <w:r w:rsidR="009D0FAD" w:rsidRPr="00100821">
              <w:rPr>
                <w:rFonts w:cs="Arial"/>
                <w:bCs/>
                <w:szCs w:val="20"/>
                <w:lang w:eastAsia="sl-SI"/>
              </w:rPr>
              <w:t xml:space="preserve">sklenitev </w:t>
            </w:r>
            <w:r w:rsidR="009741F2" w:rsidRPr="00100821">
              <w:rPr>
                <w:rFonts w:cs="Arial"/>
                <w:bCs/>
                <w:szCs w:val="20"/>
                <w:lang w:eastAsia="sl-SI"/>
              </w:rPr>
              <w:t>aneksa k sporazumu o financiranju, s katerim se bo 10 mio EUR (EU del) skladu skladov dodeljenih sredstev lahko pričelo tržiti končnim prejemnikom v obliki posojil za RRI</w:t>
            </w:r>
            <w:r w:rsidR="009D0FAD" w:rsidRPr="00100821">
              <w:rPr>
                <w:rFonts w:cs="Arial"/>
                <w:bCs/>
                <w:szCs w:val="20"/>
                <w:lang w:eastAsia="sl-SI"/>
              </w:rPr>
              <w:t>.</w:t>
            </w:r>
          </w:p>
          <w:p w14:paraId="211EFBA4" w14:textId="61BF399B" w:rsidR="00FB359A" w:rsidRPr="00100821" w:rsidRDefault="00DC7689" w:rsidP="00E042A8">
            <w:pPr>
              <w:overflowPunct w:val="0"/>
              <w:autoSpaceDE w:val="0"/>
              <w:autoSpaceDN w:val="0"/>
              <w:adjustRightInd w:val="0"/>
              <w:spacing w:before="60" w:after="60" w:line="240" w:lineRule="auto"/>
              <w:jc w:val="both"/>
              <w:textAlignment w:val="baseline"/>
              <w:rPr>
                <w:rFonts w:cs="Arial"/>
                <w:bCs/>
                <w:szCs w:val="22"/>
                <w:lang w:eastAsia="sl-SI"/>
              </w:rPr>
            </w:pPr>
            <w:r w:rsidRPr="00663C29">
              <w:rPr>
                <w:rFonts w:cs="Arial"/>
                <w:bCs/>
                <w:szCs w:val="20"/>
                <w:lang w:eastAsia="sl-SI"/>
              </w:rPr>
              <w:t xml:space="preserve">Zaradi spremembe </w:t>
            </w:r>
            <w:r w:rsidR="00E042A8">
              <w:rPr>
                <w:rFonts w:cs="Arial"/>
                <w:bCs/>
                <w:szCs w:val="20"/>
                <w:lang w:eastAsia="sl-SI"/>
              </w:rPr>
              <w:t>K</w:t>
            </w:r>
            <w:r w:rsidRPr="00663C29">
              <w:rPr>
                <w:rFonts w:cs="Arial"/>
                <w:bCs/>
                <w:szCs w:val="20"/>
                <w:lang w:eastAsia="sl-SI"/>
              </w:rPr>
              <w:t xml:space="preserve">ljučnih elementov finančnih instrumentov v programskem obdobju 2014-2020 ni potrebno zagotoviti dodatnih sredstev iz državnega proračuna, saj gre le za </w:t>
            </w:r>
            <w:r w:rsidR="00E042A8">
              <w:rPr>
                <w:rFonts w:cs="Arial"/>
                <w:bCs/>
                <w:szCs w:val="20"/>
                <w:lang w:eastAsia="sl-SI"/>
              </w:rPr>
              <w:t xml:space="preserve">trajno </w:t>
            </w:r>
            <w:r w:rsidR="00C14808">
              <w:rPr>
                <w:rFonts w:cs="Arial"/>
                <w:bCs/>
                <w:szCs w:val="20"/>
                <w:lang w:eastAsia="sl-SI"/>
              </w:rPr>
              <w:t>dodelitev</w:t>
            </w:r>
            <w:r w:rsidRPr="00663C29">
              <w:rPr>
                <w:rFonts w:cs="Arial"/>
                <w:bCs/>
                <w:szCs w:val="20"/>
                <w:lang w:eastAsia="sl-SI"/>
              </w:rPr>
              <w:t xml:space="preserve"> 10 mio EUR (EU del) sredstev </w:t>
            </w:r>
            <w:r w:rsidR="00C14808">
              <w:rPr>
                <w:rFonts w:cs="Arial"/>
                <w:bCs/>
                <w:szCs w:val="20"/>
                <w:lang w:eastAsia="sl-SI"/>
              </w:rPr>
              <w:t xml:space="preserve">prvotno namenjenih </w:t>
            </w:r>
            <w:r w:rsidR="00C14808" w:rsidRPr="00C14808">
              <w:rPr>
                <w:rFonts w:cs="Arial"/>
                <w:bCs/>
                <w:szCs w:val="20"/>
                <w:lang w:eastAsia="sl-SI"/>
              </w:rPr>
              <w:t>finančnemu instrumentu</w:t>
            </w:r>
            <w:r w:rsidRPr="00663C29">
              <w:rPr>
                <w:rFonts w:cs="Arial"/>
                <w:bCs/>
                <w:szCs w:val="20"/>
                <w:lang w:eastAsia="sl-SI"/>
              </w:rPr>
              <w:t xml:space="preserve"> portfeljske garancije za RRI za velika podjetja na posojila za RRI, ki so že bila dodeljena skladu skladov.</w:t>
            </w:r>
          </w:p>
        </w:tc>
        <w:tc>
          <w:tcPr>
            <w:tcW w:w="2271" w:type="dxa"/>
            <w:vAlign w:val="center"/>
          </w:tcPr>
          <w:p w14:paraId="3CA896A6" w14:textId="77777777" w:rsidR="009D0FAD" w:rsidRPr="00100821" w:rsidRDefault="009D0FAD" w:rsidP="00133AD7">
            <w:pPr>
              <w:overflowPunct w:val="0"/>
              <w:autoSpaceDE w:val="0"/>
              <w:autoSpaceDN w:val="0"/>
              <w:adjustRightInd w:val="0"/>
              <w:spacing w:line="260" w:lineRule="exact"/>
              <w:jc w:val="center"/>
              <w:textAlignment w:val="baseline"/>
              <w:rPr>
                <w:rFonts w:cs="Arial"/>
                <w:iCs/>
                <w:szCs w:val="20"/>
                <w:lang w:eastAsia="sl-SI"/>
              </w:rPr>
            </w:pPr>
            <w:r w:rsidRPr="00100821">
              <w:rPr>
                <w:rFonts w:cs="Arial"/>
                <w:b/>
                <w:szCs w:val="20"/>
                <w:lang w:eastAsia="sl-SI"/>
              </w:rPr>
              <w:t>DA</w:t>
            </w:r>
            <w:r w:rsidRPr="00100821">
              <w:rPr>
                <w:rFonts w:cs="Arial"/>
                <w:szCs w:val="20"/>
                <w:lang w:eastAsia="sl-SI"/>
              </w:rPr>
              <w:t>/NE</w:t>
            </w:r>
          </w:p>
        </w:tc>
      </w:tr>
      <w:tr w:rsidR="009D0FAD" w:rsidRPr="00100821" w14:paraId="0D4B3845" w14:textId="77777777" w:rsidTr="00663C29">
        <w:tc>
          <w:tcPr>
            <w:tcW w:w="1448" w:type="dxa"/>
          </w:tcPr>
          <w:p w14:paraId="1159824F" w14:textId="77777777" w:rsidR="009D0FAD" w:rsidRPr="00100821" w:rsidRDefault="009D0FAD" w:rsidP="00133AD7">
            <w:pPr>
              <w:overflowPunct w:val="0"/>
              <w:autoSpaceDE w:val="0"/>
              <w:autoSpaceDN w:val="0"/>
              <w:adjustRightInd w:val="0"/>
              <w:spacing w:line="260" w:lineRule="exact"/>
              <w:ind w:left="360"/>
              <w:jc w:val="both"/>
              <w:textAlignment w:val="baseline"/>
              <w:rPr>
                <w:rFonts w:cs="Arial"/>
                <w:iCs/>
                <w:szCs w:val="20"/>
                <w:lang w:eastAsia="sl-SI"/>
              </w:rPr>
            </w:pPr>
            <w:r w:rsidRPr="00100821">
              <w:rPr>
                <w:rFonts w:cs="Arial"/>
                <w:iCs/>
                <w:szCs w:val="20"/>
                <w:lang w:eastAsia="sl-SI"/>
              </w:rPr>
              <w:t>d)</w:t>
            </w:r>
          </w:p>
        </w:tc>
        <w:tc>
          <w:tcPr>
            <w:tcW w:w="5444" w:type="dxa"/>
            <w:gridSpan w:val="2"/>
          </w:tcPr>
          <w:p w14:paraId="31E8C214" w14:textId="77777777" w:rsidR="009D0FAD" w:rsidRPr="00100821" w:rsidRDefault="009D0FAD" w:rsidP="00133AD7">
            <w:pPr>
              <w:overflowPunct w:val="0"/>
              <w:autoSpaceDE w:val="0"/>
              <w:autoSpaceDN w:val="0"/>
              <w:adjustRightInd w:val="0"/>
              <w:spacing w:line="260" w:lineRule="exact"/>
              <w:jc w:val="both"/>
              <w:textAlignment w:val="baseline"/>
              <w:rPr>
                <w:rFonts w:cs="Arial"/>
                <w:bCs/>
                <w:szCs w:val="20"/>
                <w:lang w:eastAsia="sl-SI"/>
              </w:rPr>
            </w:pPr>
            <w:r w:rsidRPr="00100821">
              <w:rPr>
                <w:rFonts w:cs="Arial"/>
                <w:bCs/>
                <w:szCs w:val="20"/>
                <w:lang w:eastAsia="sl-SI"/>
              </w:rPr>
              <w:t>okolje, vključno s prostorskimi in varstvenimi vidiki</w:t>
            </w:r>
          </w:p>
        </w:tc>
        <w:tc>
          <w:tcPr>
            <w:tcW w:w="2271" w:type="dxa"/>
            <w:vAlign w:val="center"/>
          </w:tcPr>
          <w:p w14:paraId="496A47A4" w14:textId="77777777" w:rsidR="009D0FAD" w:rsidRPr="00100821" w:rsidRDefault="009D0FAD" w:rsidP="00133AD7">
            <w:pPr>
              <w:overflowPunct w:val="0"/>
              <w:autoSpaceDE w:val="0"/>
              <w:autoSpaceDN w:val="0"/>
              <w:adjustRightInd w:val="0"/>
              <w:spacing w:line="260" w:lineRule="exact"/>
              <w:jc w:val="center"/>
              <w:textAlignment w:val="baseline"/>
              <w:rPr>
                <w:rFonts w:cs="Arial"/>
                <w:iCs/>
                <w:szCs w:val="20"/>
                <w:lang w:eastAsia="sl-SI"/>
              </w:rPr>
            </w:pPr>
            <w:r w:rsidRPr="00100821">
              <w:rPr>
                <w:rFonts w:cs="Arial"/>
                <w:szCs w:val="20"/>
                <w:lang w:eastAsia="sl-SI"/>
              </w:rPr>
              <w:t>DA/</w:t>
            </w:r>
            <w:r w:rsidRPr="00100821">
              <w:rPr>
                <w:rFonts w:cs="Arial"/>
                <w:b/>
                <w:szCs w:val="20"/>
                <w:lang w:eastAsia="sl-SI"/>
              </w:rPr>
              <w:t>NE</w:t>
            </w:r>
          </w:p>
        </w:tc>
      </w:tr>
      <w:tr w:rsidR="009D0FAD" w:rsidRPr="00100821" w14:paraId="7C0EBC50" w14:textId="77777777" w:rsidTr="00663C29">
        <w:tc>
          <w:tcPr>
            <w:tcW w:w="1448" w:type="dxa"/>
          </w:tcPr>
          <w:p w14:paraId="19BA72CE" w14:textId="77777777" w:rsidR="009D0FAD" w:rsidRPr="00100821" w:rsidRDefault="009D0FAD" w:rsidP="00133AD7">
            <w:pPr>
              <w:overflowPunct w:val="0"/>
              <w:autoSpaceDE w:val="0"/>
              <w:autoSpaceDN w:val="0"/>
              <w:adjustRightInd w:val="0"/>
              <w:spacing w:line="260" w:lineRule="exact"/>
              <w:ind w:left="360"/>
              <w:jc w:val="both"/>
              <w:textAlignment w:val="baseline"/>
              <w:rPr>
                <w:rFonts w:cs="Arial"/>
                <w:iCs/>
                <w:szCs w:val="20"/>
                <w:lang w:eastAsia="sl-SI"/>
              </w:rPr>
            </w:pPr>
            <w:r w:rsidRPr="00100821">
              <w:rPr>
                <w:rFonts w:cs="Arial"/>
                <w:iCs/>
                <w:szCs w:val="20"/>
                <w:lang w:eastAsia="sl-SI"/>
              </w:rPr>
              <w:t>e)</w:t>
            </w:r>
          </w:p>
        </w:tc>
        <w:tc>
          <w:tcPr>
            <w:tcW w:w="5444" w:type="dxa"/>
            <w:gridSpan w:val="2"/>
          </w:tcPr>
          <w:p w14:paraId="20D3041B" w14:textId="77777777" w:rsidR="009D0FAD" w:rsidRPr="00100821" w:rsidRDefault="009D0FAD" w:rsidP="00133AD7">
            <w:pPr>
              <w:overflowPunct w:val="0"/>
              <w:autoSpaceDE w:val="0"/>
              <w:autoSpaceDN w:val="0"/>
              <w:adjustRightInd w:val="0"/>
              <w:spacing w:line="260" w:lineRule="exact"/>
              <w:jc w:val="both"/>
              <w:textAlignment w:val="baseline"/>
              <w:rPr>
                <w:rFonts w:cs="Arial"/>
                <w:bCs/>
                <w:szCs w:val="20"/>
                <w:lang w:eastAsia="sl-SI"/>
              </w:rPr>
            </w:pPr>
            <w:r w:rsidRPr="00100821">
              <w:rPr>
                <w:rFonts w:cs="Arial"/>
                <w:bCs/>
                <w:szCs w:val="20"/>
                <w:lang w:eastAsia="sl-SI"/>
              </w:rPr>
              <w:t>socialno področje</w:t>
            </w:r>
          </w:p>
        </w:tc>
        <w:tc>
          <w:tcPr>
            <w:tcW w:w="2271" w:type="dxa"/>
            <w:vAlign w:val="center"/>
          </w:tcPr>
          <w:p w14:paraId="5A514D48" w14:textId="77777777" w:rsidR="009D0FAD" w:rsidRPr="00100821" w:rsidRDefault="009D0FAD" w:rsidP="00133AD7">
            <w:pPr>
              <w:overflowPunct w:val="0"/>
              <w:autoSpaceDE w:val="0"/>
              <w:autoSpaceDN w:val="0"/>
              <w:adjustRightInd w:val="0"/>
              <w:spacing w:line="260" w:lineRule="exact"/>
              <w:jc w:val="center"/>
              <w:textAlignment w:val="baseline"/>
              <w:rPr>
                <w:rFonts w:cs="Arial"/>
                <w:iCs/>
                <w:szCs w:val="20"/>
                <w:lang w:eastAsia="sl-SI"/>
              </w:rPr>
            </w:pPr>
            <w:r w:rsidRPr="00100821">
              <w:rPr>
                <w:rFonts w:cs="Arial"/>
                <w:szCs w:val="20"/>
                <w:lang w:eastAsia="sl-SI"/>
              </w:rPr>
              <w:t>DA/</w:t>
            </w:r>
            <w:r w:rsidRPr="00100821">
              <w:rPr>
                <w:rFonts w:cs="Arial"/>
                <w:b/>
                <w:szCs w:val="20"/>
                <w:lang w:eastAsia="sl-SI"/>
              </w:rPr>
              <w:t>NE</w:t>
            </w:r>
          </w:p>
        </w:tc>
      </w:tr>
      <w:tr w:rsidR="009D0FAD" w:rsidRPr="00100821" w14:paraId="6FAE192E" w14:textId="77777777" w:rsidTr="00663C29">
        <w:tc>
          <w:tcPr>
            <w:tcW w:w="1448" w:type="dxa"/>
            <w:tcBorders>
              <w:bottom w:val="single" w:sz="4" w:space="0" w:color="auto"/>
            </w:tcBorders>
          </w:tcPr>
          <w:p w14:paraId="5C5B3E40" w14:textId="77777777" w:rsidR="009D0FAD" w:rsidRPr="00100821" w:rsidRDefault="009D0FAD" w:rsidP="00133AD7">
            <w:pPr>
              <w:overflowPunct w:val="0"/>
              <w:autoSpaceDE w:val="0"/>
              <w:autoSpaceDN w:val="0"/>
              <w:adjustRightInd w:val="0"/>
              <w:spacing w:line="260" w:lineRule="exact"/>
              <w:ind w:left="360"/>
              <w:jc w:val="both"/>
              <w:textAlignment w:val="baseline"/>
              <w:rPr>
                <w:rFonts w:cs="Arial"/>
                <w:iCs/>
                <w:szCs w:val="20"/>
                <w:lang w:eastAsia="sl-SI"/>
              </w:rPr>
            </w:pPr>
            <w:r w:rsidRPr="00100821">
              <w:rPr>
                <w:rFonts w:cs="Arial"/>
                <w:iCs/>
                <w:szCs w:val="20"/>
                <w:lang w:eastAsia="sl-SI"/>
              </w:rPr>
              <w:t>f)</w:t>
            </w:r>
          </w:p>
        </w:tc>
        <w:tc>
          <w:tcPr>
            <w:tcW w:w="5444" w:type="dxa"/>
            <w:gridSpan w:val="2"/>
            <w:tcBorders>
              <w:bottom w:val="single" w:sz="4" w:space="0" w:color="auto"/>
            </w:tcBorders>
          </w:tcPr>
          <w:p w14:paraId="336FFA63" w14:textId="77777777" w:rsidR="009D0FAD" w:rsidRPr="00100821" w:rsidRDefault="009D0FAD" w:rsidP="00133AD7">
            <w:pPr>
              <w:overflowPunct w:val="0"/>
              <w:autoSpaceDE w:val="0"/>
              <w:autoSpaceDN w:val="0"/>
              <w:adjustRightInd w:val="0"/>
              <w:spacing w:line="260" w:lineRule="exact"/>
              <w:jc w:val="both"/>
              <w:textAlignment w:val="baseline"/>
              <w:rPr>
                <w:rFonts w:cs="Arial"/>
                <w:bCs/>
                <w:szCs w:val="20"/>
                <w:lang w:eastAsia="sl-SI"/>
              </w:rPr>
            </w:pPr>
            <w:r w:rsidRPr="00100821">
              <w:rPr>
                <w:rFonts w:cs="Arial"/>
                <w:bCs/>
                <w:szCs w:val="20"/>
                <w:lang w:eastAsia="sl-SI"/>
              </w:rPr>
              <w:t>dokumente razvojnega načrtovanja:</w:t>
            </w:r>
          </w:p>
          <w:p w14:paraId="69E57956" w14:textId="77777777" w:rsidR="009D0FAD" w:rsidRPr="00100821" w:rsidRDefault="009D0FAD" w:rsidP="009D0FAD">
            <w:pPr>
              <w:numPr>
                <w:ilvl w:val="0"/>
                <w:numId w:val="3"/>
              </w:numPr>
              <w:overflowPunct w:val="0"/>
              <w:autoSpaceDE w:val="0"/>
              <w:autoSpaceDN w:val="0"/>
              <w:adjustRightInd w:val="0"/>
              <w:spacing w:after="160" w:line="260" w:lineRule="exact"/>
              <w:jc w:val="both"/>
              <w:textAlignment w:val="baseline"/>
              <w:rPr>
                <w:rFonts w:cs="Arial"/>
                <w:bCs/>
                <w:szCs w:val="20"/>
                <w:lang w:eastAsia="sl-SI"/>
              </w:rPr>
            </w:pPr>
            <w:r w:rsidRPr="00100821">
              <w:rPr>
                <w:rFonts w:cs="Arial"/>
                <w:bCs/>
                <w:szCs w:val="20"/>
                <w:lang w:eastAsia="sl-SI"/>
              </w:rPr>
              <w:t>nacionalne dokumente razvojnega načrtovanja</w:t>
            </w:r>
          </w:p>
          <w:p w14:paraId="236CBC20" w14:textId="77777777" w:rsidR="009D0FAD" w:rsidRPr="00100821" w:rsidRDefault="009D0FAD" w:rsidP="009D0FAD">
            <w:pPr>
              <w:numPr>
                <w:ilvl w:val="0"/>
                <w:numId w:val="3"/>
              </w:numPr>
              <w:overflowPunct w:val="0"/>
              <w:autoSpaceDE w:val="0"/>
              <w:autoSpaceDN w:val="0"/>
              <w:adjustRightInd w:val="0"/>
              <w:spacing w:after="160" w:line="260" w:lineRule="exact"/>
              <w:jc w:val="both"/>
              <w:textAlignment w:val="baseline"/>
              <w:rPr>
                <w:rFonts w:cs="Arial"/>
                <w:bCs/>
                <w:szCs w:val="20"/>
                <w:lang w:eastAsia="sl-SI"/>
              </w:rPr>
            </w:pPr>
            <w:r w:rsidRPr="00100821">
              <w:rPr>
                <w:rFonts w:cs="Arial"/>
                <w:bCs/>
                <w:szCs w:val="20"/>
                <w:lang w:eastAsia="sl-SI"/>
              </w:rPr>
              <w:t>razvojne politike na ravni programov po strukturi razvojne klasifikacije programskega proračuna</w:t>
            </w:r>
          </w:p>
          <w:p w14:paraId="1D79CFF9" w14:textId="77777777" w:rsidR="009D0FAD" w:rsidRPr="00100821" w:rsidRDefault="009D0FAD" w:rsidP="009D0FAD">
            <w:pPr>
              <w:numPr>
                <w:ilvl w:val="0"/>
                <w:numId w:val="3"/>
              </w:numPr>
              <w:overflowPunct w:val="0"/>
              <w:autoSpaceDE w:val="0"/>
              <w:autoSpaceDN w:val="0"/>
              <w:adjustRightInd w:val="0"/>
              <w:spacing w:after="160" w:line="260" w:lineRule="exact"/>
              <w:jc w:val="both"/>
              <w:textAlignment w:val="baseline"/>
              <w:rPr>
                <w:rFonts w:cs="Arial"/>
                <w:bCs/>
                <w:szCs w:val="20"/>
                <w:lang w:eastAsia="sl-SI"/>
              </w:rPr>
            </w:pPr>
            <w:r w:rsidRPr="00100821">
              <w:rPr>
                <w:rFonts w:cs="Arial"/>
                <w:bCs/>
                <w:szCs w:val="20"/>
                <w:lang w:eastAsia="sl-SI"/>
              </w:rPr>
              <w:t>razvojne dokumente Evropske unije in mednarodnih organizacij</w:t>
            </w:r>
          </w:p>
        </w:tc>
        <w:tc>
          <w:tcPr>
            <w:tcW w:w="2271" w:type="dxa"/>
            <w:tcBorders>
              <w:bottom w:val="single" w:sz="4" w:space="0" w:color="auto"/>
            </w:tcBorders>
            <w:vAlign w:val="center"/>
          </w:tcPr>
          <w:p w14:paraId="652C4DB6" w14:textId="77777777" w:rsidR="009D0FAD" w:rsidRPr="00100821" w:rsidRDefault="009D0FAD" w:rsidP="00133AD7">
            <w:pPr>
              <w:overflowPunct w:val="0"/>
              <w:autoSpaceDE w:val="0"/>
              <w:autoSpaceDN w:val="0"/>
              <w:adjustRightInd w:val="0"/>
              <w:spacing w:line="260" w:lineRule="exact"/>
              <w:jc w:val="center"/>
              <w:textAlignment w:val="baseline"/>
              <w:rPr>
                <w:rFonts w:cs="Arial"/>
                <w:iCs/>
                <w:szCs w:val="20"/>
                <w:lang w:eastAsia="sl-SI"/>
              </w:rPr>
            </w:pPr>
            <w:r w:rsidRPr="00100821">
              <w:rPr>
                <w:rFonts w:cs="Arial"/>
                <w:szCs w:val="20"/>
                <w:lang w:eastAsia="sl-SI"/>
              </w:rPr>
              <w:t>DA/</w:t>
            </w:r>
            <w:r w:rsidRPr="00100821">
              <w:rPr>
                <w:rFonts w:cs="Arial"/>
                <w:b/>
                <w:szCs w:val="20"/>
                <w:lang w:eastAsia="sl-SI"/>
              </w:rPr>
              <w:t>NE</w:t>
            </w:r>
          </w:p>
        </w:tc>
      </w:tr>
      <w:tr w:rsidR="009D0FAD" w:rsidRPr="00100821" w14:paraId="1FE9F0DE" w14:textId="77777777" w:rsidTr="00663C29">
        <w:tc>
          <w:tcPr>
            <w:tcW w:w="9163" w:type="dxa"/>
            <w:gridSpan w:val="4"/>
            <w:tcBorders>
              <w:top w:val="single" w:sz="4" w:space="0" w:color="auto"/>
              <w:left w:val="single" w:sz="4" w:space="0" w:color="auto"/>
              <w:bottom w:val="single" w:sz="4" w:space="0" w:color="auto"/>
              <w:right w:val="single" w:sz="4" w:space="0" w:color="auto"/>
            </w:tcBorders>
          </w:tcPr>
          <w:p w14:paraId="0508E04B" w14:textId="77777777" w:rsidR="009D0FAD" w:rsidRPr="00100821" w:rsidRDefault="009D0FAD" w:rsidP="00133AD7">
            <w:pPr>
              <w:widowControl w:val="0"/>
              <w:suppressAutoHyphens/>
              <w:overflowPunct w:val="0"/>
              <w:autoSpaceDE w:val="0"/>
              <w:autoSpaceDN w:val="0"/>
              <w:adjustRightInd w:val="0"/>
              <w:spacing w:line="260" w:lineRule="exact"/>
              <w:textAlignment w:val="baseline"/>
              <w:outlineLvl w:val="3"/>
              <w:rPr>
                <w:rFonts w:cs="Arial"/>
                <w:b/>
                <w:szCs w:val="20"/>
                <w:lang w:eastAsia="sl-SI"/>
              </w:rPr>
            </w:pPr>
            <w:r w:rsidRPr="00100821">
              <w:rPr>
                <w:rFonts w:cs="Arial"/>
                <w:b/>
                <w:szCs w:val="20"/>
                <w:lang w:eastAsia="sl-SI"/>
              </w:rPr>
              <w:t>7.a Predstavitev ocene finančnih posledic nad 40.000 EUR:</w:t>
            </w:r>
          </w:p>
          <w:p w14:paraId="409143FC" w14:textId="77777777" w:rsidR="009D0FAD" w:rsidRPr="00100821" w:rsidRDefault="009D0FAD" w:rsidP="00133AD7">
            <w:pPr>
              <w:widowControl w:val="0"/>
              <w:suppressAutoHyphens/>
              <w:overflowPunct w:val="0"/>
              <w:autoSpaceDE w:val="0"/>
              <w:autoSpaceDN w:val="0"/>
              <w:adjustRightInd w:val="0"/>
              <w:spacing w:line="260" w:lineRule="exact"/>
              <w:textAlignment w:val="baseline"/>
              <w:outlineLvl w:val="3"/>
              <w:rPr>
                <w:rFonts w:cs="Arial"/>
                <w:szCs w:val="20"/>
                <w:lang w:eastAsia="sl-SI"/>
              </w:rPr>
            </w:pPr>
            <w:r w:rsidRPr="00100821">
              <w:rPr>
                <w:rFonts w:cs="Arial"/>
                <w:szCs w:val="20"/>
                <w:lang w:eastAsia="sl-SI"/>
              </w:rPr>
              <w:t>(Samo če izberete DA pod točko 6.a.)</w:t>
            </w:r>
          </w:p>
        </w:tc>
      </w:tr>
    </w:tbl>
    <w:p w14:paraId="6CCA31B6" w14:textId="77777777" w:rsidR="009D0FAD" w:rsidRPr="00100821" w:rsidRDefault="009D0FAD" w:rsidP="009D0FAD">
      <w:pPr>
        <w:spacing w:line="260" w:lineRule="exact"/>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5"/>
        <w:gridCol w:w="1215"/>
        <w:gridCol w:w="1478"/>
        <w:gridCol w:w="326"/>
        <w:gridCol w:w="1741"/>
        <w:gridCol w:w="404"/>
        <w:gridCol w:w="1092"/>
        <w:gridCol w:w="1339"/>
      </w:tblGrid>
      <w:tr w:rsidR="009D0FAD" w:rsidRPr="00100821" w14:paraId="3342A028" w14:textId="77777777" w:rsidTr="00133AD7">
        <w:trPr>
          <w:cantSplit/>
          <w:trHeight w:val="35"/>
        </w:trPr>
        <w:tc>
          <w:tcPr>
            <w:tcW w:w="9200" w:type="dxa"/>
            <w:gridSpan w:val="8"/>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23E214BF" w14:textId="77777777" w:rsidR="009D0FAD" w:rsidRPr="00100821" w:rsidRDefault="009D0FAD" w:rsidP="00133AD7">
            <w:pPr>
              <w:pageBreakBefore/>
              <w:widowControl w:val="0"/>
              <w:tabs>
                <w:tab w:val="left" w:pos="2340"/>
              </w:tabs>
              <w:spacing w:line="260" w:lineRule="exact"/>
              <w:ind w:left="142" w:hanging="142"/>
              <w:outlineLvl w:val="0"/>
              <w:rPr>
                <w:rFonts w:cs="Arial"/>
                <w:b/>
                <w:kern w:val="32"/>
                <w:szCs w:val="20"/>
                <w:lang w:eastAsia="sl-SI"/>
              </w:rPr>
            </w:pPr>
            <w:bookmarkStart w:id="2" w:name="_Toc51673410"/>
            <w:r w:rsidRPr="00100821">
              <w:rPr>
                <w:rFonts w:cs="Arial"/>
                <w:b/>
                <w:kern w:val="32"/>
                <w:szCs w:val="20"/>
                <w:lang w:eastAsia="sl-SI"/>
              </w:rPr>
              <w:lastRenderedPageBreak/>
              <w:t>I. Ocena finančnih posledic, ki niso načrtovane v sprejetem proračunu</w:t>
            </w:r>
            <w:bookmarkEnd w:id="2"/>
          </w:p>
        </w:tc>
      </w:tr>
      <w:tr w:rsidR="009D0FAD" w:rsidRPr="00100821" w14:paraId="62C56721" w14:textId="77777777" w:rsidTr="00133AD7">
        <w:trPr>
          <w:cantSplit/>
          <w:trHeight w:val="276"/>
        </w:trPr>
        <w:tc>
          <w:tcPr>
            <w:tcW w:w="2820" w:type="dxa"/>
            <w:gridSpan w:val="2"/>
            <w:tcBorders>
              <w:top w:val="single" w:sz="4" w:space="0" w:color="auto"/>
              <w:left w:val="single" w:sz="4" w:space="0" w:color="auto"/>
              <w:bottom w:val="single" w:sz="4" w:space="0" w:color="auto"/>
              <w:right w:val="single" w:sz="4" w:space="0" w:color="auto"/>
            </w:tcBorders>
            <w:vAlign w:val="center"/>
          </w:tcPr>
          <w:p w14:paraId="1E06DDEC" w14:textId="77777777" w:rsidR="009D0FAD" w:rsidRPr="00100821" w:rsidRDefault="009D0FAD" w:rsidP="00133AD7">
            <w:pPr>
              <w:widowControl w:val="0"/>
              <w:spacing w:line="260" w:lineRule="exact"/>
              <w:ind w:left="-122" w:right="-112"/>
              <w:jc w:val="center"/>
              <w:rPr>
                <w:rFonts w:cs="Arial"/>
                <w:szCs w:val="20"/>
              </w:rPr>
            </w:pPr>
          </w:p>
        </w:tc>
        <w:tc>
          <w:tcPr>
            <w:tcW w:w="1804" w:type="dxa"/>
            <w:gridSpan w:val="2"/>
            <w:tcBorders>
              <w:top w:val="single" w:sz="4" w:space="0" w:color="auto"/>
              <w:left w:val="single" w:sz="4" w:space="0" w:color="auto"/>
              <w:bottom w:val="single" w:sz="4" w:space="0" w:color="auto"/>
              <w:right w:val="single" w:sz="4" w:space="0" w:color="auto"/>
            </w:tcBorders>
            <w:vAlign w:val="center"/>
          </w:tcPr>
          <w:p w14:paraId="087C73D7" w14:textId="77777777" w:rsidR="009D0FAD" w:rsidRPr="00100821" w:rsidRDefault="009D0FAD" w:rsidP="00133AD7">
            <w:pPr>
              <w:widowControl w:val="0"/>
              <w:spacing w:line="260" w:lineRule="exact"/>
              <w:jc w:val="center"/>
              <w:rPr>
                <w:rFonts w:cs="Arial"/>
                <w:szCs w:val="20"/>
              </w:rPr>
            </w:pPr>
            <w:r w:rsidRPr="00100821">
              <w:rPr>
                <w:rFonts w:cs="Arial"/>
                <w:szCs w:val="20"/>
              </w:rPr>
              <w:t>Tekoče leto (t)</w:t>
            </w:r>
          </w:p>
        </w:tc>
        <w:tc>
          <w:tcPr>
            <w:tcW w:w="1741" w:type="dxa"/>
            <w:tcBorders>
              <w:top w:val="single" w:sz="4" w:space="0" w:color="auto"/>
              <w:left w:val="single" w:sz="4" w:space="0" w:color="auto"/>
              <w:bottom w:val="single" w:sz="4" w:space="0" w:color="auto"/>
              <w:right w:val="single" w:sz="4" w:space="0" w:color="auto"/>
            </w:tcBorders>
            <w:vAlign w:val="center"/>
          </w:tcPr>
          <w:p w14:paraId="2974AF10" w14:textId="77777777" w:rsidR="009D0FAD" w:rsidRPr="00100821" w:rsidRDefault="009D0FAD" w:rsidP="00133AD7">
            <w:pPr>
              <w:widowControl w:val="0"/>
              <w:spacing w:line="260" w:lineRule="exact"/>
              <w:jc w:val="center"/>
              <w:rPr>
                <w:rFonts w:cs="Arial"/>
                <w:szCs w:val="20"/>
              </w:rPr>
            </w:pPr>
            <w:r w:rsidRPr="00100821">
              <w:rPr>
                <w:rFonts w:cs="Arial"/>
                <w:szCs w:val="20"/>
              </w:rPr>
              <w:t>t + 1</w:t>
            </w:r>
          </w:p>
        </w:tc>
        <w:tc>
          <w:tcPr>
            <w:tcW w:w="1496" w:type="dxa"/>
            <w:gridSpan w:val="2"/>
            <w:tcBorders>
              <w:top w:val="single" w:sz="4" w:space="0" w:color="auto"/>
              <w:left w:val="single" w:sz="4" w:space="0" w:color="auto"/>
              <w:bottom w:val="single" w:sz="4" w:space="0" w:color="auto"/>
              <w:right w:val="single" w:sz="4" w:space="0" w:color="auto"/>
            </w:tcBorders>
            <w:vAlign w:val="center"/>
          </w:tcPr>
          <w:p w14:paraId="7C6CB5E0" w14:textId="77777777" w:rsidR="009D0FAD" w:rsidRPr="00100821" w:rsidRDefault="009D0FAD" w:rsidP="00133AD7">
            <w:pPr>
              <w:widowControl w:val="0"/>
              <w:spacing w:line="260" w:lineRule="exact"/>
              <w:jc w:val="center"/>
              <w:rPr>
                <w:rFonts w:cs="Arial"/>
                <w:szCs w:val="20"/>
              </w:rPr>
            </w:pPr>
            <w:r w:rsidRPr="00100821">
              <w:rPr>
                <w:rFonts w:cs="Arial"/>
                <w:szCs w:val="20"/>
              </w:rPr>
              <w:t>t + 2</w:t>
            </w:r>
          </w:p>
        </w:tc>
        <w:tc>
          <w:tcPr>
            <w:tcW w:w="1339" w:type="dxa"/>
            <w:tcBorders>
              <w:top w:val="single" w:sz="4" w:space="0" w:color="auto"/>
              <w:left w:val="single" w:sz="4" w:space="0" w:color="auto"/>
              <w:bottom w:val="single" w:sz="4" w:space="0" w:color="auto"/>
              <w:right w:val="single" w:sz="4" w:space="0" w:color="auto"/>
            </w:tcBorders>
            <w:vAlign w:val="center"/>
          </w:tcPr>
          <w:p w14:paraId="718A5400" w14:textId="77777777" w:rsidR="009D0FAD" w:rsidRPr="00100821" w:rsidRDefault="009D0FAD" w:rsidP="00133AD7">
            <w:pPr>
              <w:widowControl w:val="0"/>
              <w:spacing w:line="260" w:lineRule="exact"/>
              <w:jc w:val="center"/>
              <w:rPr>
                <w:rFonts w:cs="Arial"/>
                <w:szCs w:val="20"/>
              </w:rPr>
            </w:pPr>
            <w:r w:rsidRPr="00100821">
              <w:rPr>
                <w:rFonts w:cs="Arial"/>
                <w:szCs w:val="20"/>
              </w:rPr>
              <w:t>t + 3</w:t>
            </w:r>
          </w:p>
        </w:tc>
      </w:tr>
      <w:tr w:rsidR="009D0FAD" w:rsidRPr="00100821" w14:paraId="287E384D" w14:textId="77777777" w:rsidTr="00133AD7">
        <w:trPr>
          <w:cantSplit/>
          <w:trHeight w:val="423"/>
        </w:trPr>
        <w:tc>
          <w:tcPr>
            <w:tcW w:w="2820" w:type="dxa"/>
            <w:gridSpan w:val="2"/>
            <w:tcBorders>
              <w:top w:val="single" w:sz="4" w:space="0" w:color="auto"/>
              <w:left w:val="single" w:sz="4" w:space="0" w:color="auto"/>
              <w:bottom w:val="single" w:sz="4" w:space="0" w:color="auto"/>
              <w:right w:val="single" w:sz="4" w:space="0" w:color="auto"/>
            </w:tcBorders>
            <w:vAlign w:val="center"/>
          </w:tcPr>
          <w:p w14:paraId="4A1242D1" w14:textId="77777777" w:rsidR="009D0FAD" w:rsidRPr="00100821" w:rsidRDefault="009D0FAD" w:rsidP="00133AD7">
            <w:pPr>
              <w:widowControl w:val="0"/>
              <w:spacing w:line="260" w:lineRule="exact"/>
              <w:rPr>
                <w:rFonts w:cs="Arial"/>
                <w:bCs/>
                <w:szCs w:val="20"/>
              </w:rPr>
            </w:pPr>
            <w:r w:rsidRPr="00100821">
              <w:rPr>
                <w:rFonts w:cs="Arial"/>
                <w:bCs/>
                <w:szCs w:val="20"/>
              </w:rPr>
              <w:t>Predvideno povečanje (+) ali zmanjšanje (</w:t>
            </w:r>
            <w:r w:rsidRPr="00100821">
              <w:rPr>
                <w:rFonts w:cs="Arial"/>
                <w:b/>
                <w:szCs w:val="20"/>
              </w:rPr>
              <w:t>–</w:t>
            </w:r>
            <w:r w:rsidRPr="00100821">
              <w:rPr>
                <w:rFonts w:cs="Arial"/>
                <w:bCs/>
                <w:szCs w:val="20"/>
              </w:rPr>
              <w:t xml:space="preserve">) prihodkov državnega proračuna </w:t>
            </w:r>
          </w:p>
        </w:tc>
        <w:tc>
          <w:tcPr>
            <w:tcW w:w="1804" w:type="dxa"/>
            <w:gridSpan w:val="2"/>
            <w:tcBorders>
              <w:top w:val="single" w:sz="4" w:space="0" w:color="auto"/>
              <w:left w:val="single" w:sz="4" w:space="0" w:color="auto"/>
              <w:bottom w:val="single" w:sz="4" w:space="0" w:color="auto"/>
              <w:right w:val="single" w:sz="4" w:space="0" w:color="auto"/>
            </w:tcBorders>
            <w:vAlign w:val="center"/>
          </w:tcPr>
          <w:p w14:paraId="399A1FFF" w14:textId="77777777" w:rsidR="009D0FAD" w:rsidRPr="00100821" w:rsidRDefault="009D0FAD" w:rsidP="00133AD7">
            <w:pPr>
              <w:widowControl w:val="0"/>
              <w:tabs>
                <w:tab w:val="left" w:pos="360"/>
              </w:tabs>
              <w:spacing w:line="260" w:lineRule="exact"/>
              <w:jc w:val="center"/>
              <w:outlineLvl w:val="0"/>
              <w:rPr>
                <w:rFonts w:cs="Arial"/>
                <w:bCs/>
                <w:kern w:val="32"/>
                <w:szCs w:val="20"/>
                <w:lang w:eastAsia="sl-SI"/>
              </w:rPr>
            </w:pPr>
          </w:p>
        </w:tc>
        <w:tc>
          <w:tcPr>
            <w:tcW w:w="1741" w:type="dxa"/>
            <w:tcBorders>
              <w:top w:val="single" w:sz="4" w:space="0" w:color="auto"/>
              <w:left w:val="single" w:sz="4" w:space="0" w:color="auto"/>
              <w:bottom w:val="single" w:sz="4" w:space="0" w:color="auto"/>
              <w:right w:val="single" w:sz="4" w:space="0" w:color="auto"/>
            </w:tcBorders>
            <w:vAlign w:val="center"/>
          </w:tcPr>
          <w:p w14:paraId="68CA4BD5" w14:textId="77777777" w:rsidR="009D0FAD" w:rsidRPr="00100821" w:rsidRDefault="009D0FAD" w:rsidP="00133AD7">
            <w:pPr>
              <w:widowControl w:val="0"/>
              <w:tabs>
                <w:tab w:val="left" w:pos="360"/>
              </w:tabs>
              <w:spacing w:line="260" w:lineRule="exact"/>
              <w:jc w:val="center"/>
              <w:outlineLvl w:val="0"/>
              <w:rPr>
                <w:rFonts w:cs="Arial"/>
                <w:bCs/>
                <w:kern w:val="32"/>
                <w:szCs w:val="20"/>
                <w:lang w:eastAsia="sl-SI"/>
              </w:rPr>
            </w:pPr>
          </w:p>
        </w:tc>
        <w:tc>
          <w:tcPr>
            <w:tcW w:w="1496" w:type="dxa"/>
            <w:gridSpan w:val="2"/>
            <w:tcBorders>
              <w:top w:val="single" w:sz="4" w:space="0" w:color="auto"/>
              <w:left w:val="single" w:sz="4" w:space="0" w:color="auto"/>
              <w:bottom w:val="single" w:sz="4" w:space="0" w:color="auto"/>
              <w:right w:val="single" w:sz="4" w:space="0" w:color="auto"/>
            </w:tcBorders>
            <w:vAlign w:val="center"/>
          </w:tcPr>
          <w:p w14:paraId="33CC0E2F" w14:textId="77777777" w:rsidR="009D0FAD" w:rsidRPr="00100821" w:rsidRDefault="009D0FAD" w:rsidP="00133AD7">
            <w:pPr>
              <w:widowControl w:val="0"/>
              <w:tabs>
                <w:tab w:val="left" w:pos="360"/>
              </w:tabs>
              <w:spacing w:line="260" w:lineRule="exact"/>
              <w:jc w:val="center"/>
              <w:outlineLvl w:val="0"/>
              <w:rPr>
                <w:rFonts w:cs="Arial"/>
                <w:kern w:val="32"/>
                <w:szCs w:val="20"/>
                <w:lang w:eastAsia="sl-SI"/>
              </w:rPr>
            </w:pPr>
          </w:p>
        </w:tc>
        <w:tc>
          <w:tcPr>
            <w:tcW w:w="1339" w:type="dxa"/>
            <w:tcBorders>
              <w:top w:val="single" w:sz="4" w:space="0" w:color="auto"/>
              <w:left w:val="single" w:sz="4" w:space="0" w:color="auto"/>
              <w:bottom w:val="single" w:sz="4" w:space="0" w:color="auto"/>
              <w:right w:val="single" w:sz="4" w:space="0" w:color="auto"/>
            </w:tcBorders>
            <w:vAlign w:val="center"/>
          </w:tcPr>
          <w:p w14:paraId="3648F8D1" w14:textId="77777777" w:rsidR="009D0FAD" w:rsidRPr="00100821" w:rsidRDefault="009D0FAD" w:rsidP="00133AD7">
            <w:pPr>
              <w:widowControl w:val="0"/>
              <w:tabs>
                <w:tab w:val="left" w:pos="360"/>
              </w:tabs>
              <w:spacing w:line="260" w:lineRule="exact"/>
              <w:jc w:val="center"/>
              <w:outlineLvl w:val="0"/>
              <w:rPr>
                <w:rFonts w:cs="Arial"/>
                <w:kern w:val="32"/>
                <w:szCs w:val="20"/>
                <w:lang w:eastAsia="sl-SI"/>
              </w:rPr>
            </w:pPr>
          </w:p>
        </w:tc>
      </w:tr>
      <w:tr w:rsidR="009D0FAD" w:rsidRPr="00100821" w14:paraId="0CA40EC2" w14:textId="77777777" w:rsidTr="00133AD7">
        <w:trPr>
          <w:cantSplit/>
          <w:trHeight w:val="423"/>
        </w:trPr>
        <w:tc>
          <w:tcPr>
            <w:tcW w:w="2820" w:type="dxa"/>
            <w:gridSpan w:val="2"/>
            <w:tcBorders>
              <w:top w:val="single" w:sz="4" w:space="0" w:color="auto"/>
              <w:left w:val="single" w:sz="4" w:space="0" w:color="auto"/>
              <w:bottom w:val="single" w:sz="4" w:space="0" w:color="auto"/>
              <w:right w:val="single" w:sz="4" w:space="0" w:color="auto"/>
            </w:tcBorders>
            <w:vAlign w:val="center"/>
          </w:tcPr>
          <w:p w14:paraId="0D42BBAA" w14:textId="77777777" w:rsidR="009D0FAD" w:rsidRPr="00100821" w:rsidRDefault="009D0FAD" w:rsidP="00133AD7">
            <w:pPr>
              <w:widowControl w:val="0"/>
              <w:spacing w:line="260" w:lineRule="exact"/>
              <w:rPr>
                <w:rFonts w:cs="Arial"/>
                <w:bCs/>
                <w:szCs w:val="20"/>
              </w:rPr>
            </w:pPr>
            <w:r w:rsidRPr="00100821">
              <w:rPr>
                <w:rFonts w:cs="Arial"/>
                <w:bCs/>
                <w:szCs w:val="20"/>
              </w:rPr>
              <w:t>Predvideno povečanje (+) ali zmanjšanje (</w:t>
            </w:r>
            <w:r w:rsidRPr="00100821">
              <w:rPr>
                <w:rFonts w:cs="Arial"/>
                <w:b/>
                <w:szCs w:val="20"/>
              </w:rPr>
              <w:t>–</w:t>
            </w:r>
            <w:r w:rsidRPr="00100821">
              <w:rPr>
                <w:rFonts w:cs="Arial"/>
                <w:bCs/>
                <w:szCs w:val="20"/>
              </w:rPr>
              <w:t xml:space="preserve">) prihodkov občinskih proračunov </w:t>
            </w:r>
          </w:p>
        </w:tc>
        <w:tc>
          <w:tcPr>
            <w:tcW w:w="1804" w:type="dxa"/>
            <w:gridSpan w:val="2"/>
            <w:tcBorders>
              <w:top w:val="single" w:sz="4" w:space="0" w:color="auto"/>
              <w:left w:val="single" w:sz="4" w:space="0" w:color="auto"/>
              <w:bottom w:val="single" w:sz="4" w:space="0" w:color="auto"/>
              <w:right w:val="single" w:sz="4" w:space="0" w:color="auto"/>
            </w:tcBorders>
            <w:vAlign w:val="center"/>
          </w:tcPr>
          <w:p w14:paraId="54262C7E" w14:textId="77777777" w:rsidR="009D0FAD" w:rsidRPr="00100821" w:rsidRDefault="009D0FAD" w:rsidP="00133AD7">
            <w:pPr>
              <w:widowControl w:val="0"/>
              <w:tabs>
                <w:tab w:val="left" w:pos="360"/>
              </w:tabs>
              <w:spacing w:line="260" w:lineRule="exact"/>
              <w:jc w:val="center"/>
              <w:outlineLvl w:val="0"/>
              <w:rPr>
                <w:rFonts w:cs="Arial"/>
                <w:bCs/>
                <w:kern w:val="32"/>
                <w:szCs w:val="20"/>
                <w:lang w:eastAsia="sl-SI"/>
              </w:rPr>
            </w:pPr>
          </w:p>
        </w:tc>
        <w:tc>
          <w:tcPr>
            <w:tcW w:w="1741" w:type="dxa"/>
            <w:tcBorders>
              <w:top w:val="single" w:sz="4" w:space="0" w:color="auto"/>
              <w:left w:val="single" w:sz="4" w:space="0" w:color="auto"/>
              <w:bottom w:val="single" w:sz="4" w:space="0" w:color="auto"/>
              <w:right w:val="single" w:sz="4" w:space="0" w:color="auto"/>
            </w:tcBorders>
            <w:vAlign w:val="center"/>
          </w:tcPr>
          <w:p w14:paraId="5785BF67" w14:textId="77777777" w:rsidR="009D0FAD" w:rsidRPr="00100821" w:rsidRDefault="009D0FAD" w:rsidP="00133AD7">
            <w:pPr>
              <w:widowControl w:val="0"/>
              <w:tabs>
                <w:tab w:val="left" w:pos="360"/>
              </w:tabs>
              <w:spacing w:line="260" w:lineRule="exact"/>
              <w:jc w:val="center"/>
              <w:outlineLvl w:val="0"/>
              <w:rPr>
                <w:rFonts w:cs="Arial"/>
                <w:bCs/>
                <w:kern w:val="32"/>
                <w:szCs w:val="20"/>
                <w:lang w:eastAsia="sl-SI"/>
              </w:rPr>
            </w:pPr>
          </w:p>
        </w:tc>
        <w:tc>
          <w:tcPr>
            <w:tcW w:w="1496" w:type="dxa"/>
            <w:gridSpan w:val="2"/>
            <w:tcBorders>
              <w:top w:val="single" w:sz="4" w:space="0" w:color="auto"/>
              <w:left w:val="single" w:sz="4" w:space="0" w:color="auto"/>
              <w:bottom w:val="single" w:sz="4" w:space="0" w:color="auto"/>
              <w:right w:val="single" w:sz="4" w:space="0" w:color="auto"/>
            </w:tcBorders>
            <w:vAlign w:val="center"/>
          </w:tcPr>
          <w:p w14:paraId="410CC642" w14:textId="77777777" w:rsidR="009D0FAD" w:rsidRPr="00100821" w:rsidRDefault="009D0FAD" w:rsidP="00133AD7">
            <w:pPr>
              <w:widowControl w:val="0"/>
              <w:tabs>
                <w:tab w:val="left" w:pos="360"/>
              </w:tabs>
              <w:spacing w:line="260" w:lineRule="exact"/>
              <w:jc w:val="center"/>
              <w:outlineLvl w:val="0"/>
              <w:rPr>
                <w:rFonts w:cs="Arial"/>
                <w:kern w:val="32"/>
                <w:szCs w:val="20"/>
                <w:lang w:eastAsia="sl-SI"/>
              </w:rPr>
            </w:pPr>
          </w:p>
        </w:tc>
        <w:tc>
          <w:tcPr>
            <w:tcW w:w="1339" w:type="dxa"/>
            <w:tcBorders>
              <w:top w:val="single" w:sz="4" w:space="0" w:color="auto"/>
              <w:left w:val="single" w:sz="4" w:space="0" w:color="auto"/>
              <w:bottom w:val="single" w:sz="4" w:space="0" w:color="auto"/>
              <w:right w:val="single" w:sz="4" w:space="0" w:color="auto"/>
            </w:tcBorders>
            <w:vAlign w:val="center"/>
          </w:tcPr>
          <w:p w14:paraId="221EA4C6" w14:textId="77777777" w:rsidR="009D0FAD" w:rsidRPr="00100821" w:rsidRDefault="009D0FAD" w:rsidP="00133AD7">
            <w:pPr>
              <w:widowControl w:val="0"/>
              <w:tabs>
                <w:tab w:val="left" w:pos="360"/>
              </w:tabs>
              <w:spacing w:line="260" w:lineRule="exact"/>
              <w:jc w:val="center"/>
              <w:outlineLvl w:val="0"/>
              <w:rPr>
                <w:rFonts w:cs="Arial"/>
                <w:kern w:val="32"/>
                <w:szCs w:val="20"/>
                <w:lang w:eastAsia="sl-SI"/>
              </w:rPr>
            </w:pPr>
          </w:p>
        </w:tc>
      </w:tr>
      <w:tr w:rsidR="009D0FAD" w:rsidRPr="00100821" w14:paraId="6F3845C7" w14:textId="77777777" w:rsidTr="00133AD7">
        <w:trPr>
          <w:cantSplit/>
          <w:trHeight w:val="423"/>
        </w:trPr>
        <w:tc>
          <w:tcPr>
            <w:tcW w:w="2820" w:type="dxa"/>
            <w:gridSpan w:val="2"/>
            <w:tcBorders>
              <w:top w:val="single" w:sz="4" w:space="0" w:color="auto"/>
              <w:left w:val="single" w:sz="4" w:space="0" w:color="auto"/>
              <w:bottom w:val="single" w:sz="4" w:space="0" w:color="auto"/>
              <w:right w:val="single" w:sz="4" w:space="0" w:color="auto"/>
            </w:tcBorders>
            <w:vAlign w:val="center"/>
          </w:tcPr>
          <w:p w14:paraId="0CD6DF41" w14:textId="77777777" w:rsidR="009D0FAD" w:rsidRPr="00100821" w:rsidRDefault="009D0FAD" w:rsidP="00133AD7">
            <w:pPr>
              <w:widowControl w:val="0"/>
              <w:spacing w:line="260" w:lineRule="exact"/>
              <w:rPr>
                <w:rFonts w:cs="Arial"/>
                <w:bCs/>
                <w:szCs w:val="20"/>
              </w:rPr>
            </w:pPr>
            <w:r w:rsidRPr="00100821">
              <w:rPr>
                <w:rFonts w:cs="Arial"/>
                <w:bCs/>
                <w:szCs w:val="20"/>
              </w:rPr>
              <w:t>Predvideno povečanje (+) ali zmanjšanje (</w:t>
            </w:r>
            <w:r w:rsidRPr="00100821">
              <w:rPr>
                <w:rFonts w:cs="Arial"/>
                <w:b/>
                <w:szCs w:val="20"/>
              </w:rPr>
              <w:t>–</w:t>
            </w:r>
            <w:r w:rsidRPr="00100821">
              <w:rPr>
                <w:rFonts w:cs="Arial"/>
                <w:bCs/>
                <w:szCs w:val="20"/>
              </w:rPr>
              <w:t xml:space="preserve">) odhodkov državnega proračuna </w:t>
            </w:r>
          </w:p>
        </w:tc>
        <w:tc>
          <w:tcPr>
            <w:tcW w:w="1804" w:type="dxa"/>
            <w:gridSpan w:val="2"/>
            <w:tcBorders>
              <w:top w:val="single" w:sz="4" w:space="0" w:color="auto"/>
              <w:left w:val="single" w:sz="4" w:space="0" w:color="auto"/>
              <w:bottom w:val="single" w:sz="4" w:space="0" w:color="auto"/>
              <w:right w:val="single" w:sz="4" w:space="0" w:color="auto"/>
            </w:tcBorders>
            <w:vAlign w:val="center"/>
          </w:tcPr>
          <w:p w14:paraId="2A3F6BA0" w14:textId="77777777" w:rsidR="009D0FAD" w:rsidRPr="00100821" w:rsidRDefault="009D0FAD" w:rsidP="00133AD7">
            <w:pPr>
              <w:widowControl w:val="0"/>
              <w:spacing w:line="260" w:lineRule="exact"/>
              <w:jc w:val="center"/>
              <w:rPr>
                <w:rFonts w:cs="Arial"/>
                <w:szCs w:val="20"/>
              </w:rPr>
            </w:pPr>
          </w:p>
        </w:tc>
        <w:tc>
          <w:tcPr>
            <w:tcW w:w="1741" w:type="dxa"/>
            <w:tcBorders>
              <w:top w:val="single" w:sz="4" w:space="0" w:color="auto"/>
              <w:left w:val="single" w:sz="4" w:space="0" w:color="auto"/>
              <w:bottom w:val="single" w:sz="4" w:space="0" w:color="auto"/>
              <w:right w:val="single" w:sz="4" w:space="0" w:color="auto"/>
            </w:tcBorders>
            <w:vAlign w:val="center"/>
          </w:tcPr>
          <w:p w14:paraId="5E1096A4" w14:textId="77777777" w:rsidR="009D0FAD" w:rsidRPr="00100821" w:rsidRDefault="009D0FAD" w:rsidP="00133AD7">
            <w:pPr>
              <w:widowControl w:val="0"/>
              <w:spacing w:line="260" w:lineRule="exact"/>
              <w:jc w:val="center"/>
              <w:rPr>
                <w:rFonts w:cs="Arial"/>
                <w:szCs w:val="20"/>
              </w:rPr>
            </w:pPr>
          </w:p>
        </w:tc>
        <w:tc>
          <w:tcPr>
            <w:tcW w:w="1496" w:type="dxa"/>
            <w:gridSpan w:val="2"/>
            <w:tcBorders>
              <w:top w:val="single" w:sz="4" w:space="0" w:color="auto"/>
              <w:left w:val="single" w:sz="4" w:space="0" w:color="auto"/>
              <w:bottom w:val="single" w:sz="4" w:space="0" w:color="auto"/>
              <w:right w:val="single" w:sz="4" w:space="0" w:color="auto"/>
            </w:tcBorders>
            <w:vAlign w:val="center"/>
          </w:tcPr>
          <w:p w14:paraId="3D6FF04A" w14:textId="77777777" w:rsidR="009D0FAD" w:rsidRPr="00100821" w:rsidRDefault="009D0FAD" w:rsidP="00133AD7">
            <w:pPr>
              <w:widowControl w:val="0"/>
              <w:spacing w:line="260" w:lineRule="exact"/>
              <w:jc w:val="center"/>
              <w:rPr>
                <w:rFonts w:cs="Arial"/>
                <w:szCs w:val="20"/>
              </w:rPr>
            </w:pPr>
          </w:p>
        </w:tc>
        <w:tc>
          <w:tcPr>
            <w:tcW w:w="1339" w:type="dxa"/>
            <w:tcBorders>
              <w:top w:val="single" w:sz="4" w:space="0" w:color="auto"/>
              <w:left w:val="single" w:sz="4" w:space="0" w:color="auto"/>
              <w:bottom w:val="single" w:sz="4" w:space="0" w:color="auto"/>
              <w:right w:val="single" w:sz="4" w:space="0" w:color="auto"/>
            </w:tcBorders>
            <w:vAlign w:val="center"/>
          </w:tcPr>
          <w:p w14:paraId="0A621124" w14:textId="77777777" w:rsidR="009D0FAD" w:rsidRPr="00100821" w:rsidRDefault="009D0FAD" w:rsidP="00133AD7">
            <w:pPr>
              <w:widowControl w:val="0"/>
              <w:spacing w:line="260" w:lineRule="exact"/>
              <w:jc w:val="center"/>
              <w:rPr>
                <w:rFonts w:cs="Arial"/>
                <w:szCs w:val="20"/>
              </w:rPr>
            </w:pPr>
          </w:p>
        </w:tc>
      </w:tr>
      <w:tr w:rsidR="009D0FAD" w:rsidRPr="00100821" w14:paraId="037D2AD2" w14:textId="77777777" w:rsidTr="00133AD7">
        <w:trPr>
          <w:cantSplit/>
          <w:trHeight w:val="623"/>
        </w:trPr>
        <w:tc>
          <w:tcPr>
            <w:tcW w:w="2820" w:type="dxa"/>
            <w:gridSpan w:val="2"/>
            <w:tcBorders>
              <w:top w:val="single" w:sz="4" w:space="0" w:color="auto"/>
              <w:left w:val="single" w:sz="4" w:space="0" w:color="auto"/>
              <w:bottom w:val="single" w:sz="4" w:space="0" w:color="auto"/>
              <w:right w:val="single" w:sz="4" w:space="0" w:color="auto"/>
            </w:tcBorders>
            <w:vAlign w:val="center"/>
          </w:tcPr>
          <w:p w14:paraId="5CD9C9DE" w14:textId="77777777" w:rsidR="009D0FAD" w:rsidRPr="00100821" w:rsidRDefault="009D0FAD" w:rsidP="00133AD7">
            <w:pPr>
              <w:widowControl w:val="0"/>
              <w:spacing w:line="260" w:lineRule="exact"/>
              <w:rPr>
                <w:rFonts w:cs="Arial"/>
                <w:bCs/>
                <w:szCs w:val="20"/>
              </w:rPr>
            </w:pPr>
            <w:r w:rsidRPr="00100821">
              <w:rPr>
                <w:rFonts w:cs="Arial"/>
                <w:bCs/>
                <w:szCs w:val="20"/>
              </w:rPr>
              <w:t>Predvideno povečanje (+) ali zmanjšanje (</w:t>
            </w:r>
            <w:r w:rsidRPr="00100821">
              <w:rPr>
                <w:rFonts w:cs="Arial"/>
                <w:b/>
                <w:szCs w:val="20"/>
              </w:rPr>
              <w:t>–</w:t>
            </w:r>
            <w:r w:rsidRPr="00100821">
              <w:rPr>
                <w:rFonts w:cs="Arial"/>
                <w:bCs/>
                <w:szCs w:val="20"/>
              </w:rPr>
              <w:t>) odhodkov občinskih proračunov</w:t>
            </w:r>
          </w:p>
        </w:tc>
        <w:tc>
          <w:tcPr>
            <w:tcW w:w="1804" w:type="dxa"/>
            <w:gridSpan w:val="2"/>
            <w:tcBorders>
              <w:top w:val="single" w:sz="4" w:space="0" w:color="auto"/>
              <w:left w:val="single" w:sz="4" w:space="0" w:color="auto"/>
              <w:bottom w:val="single" w:sz="4" w:space="0" w:color="auto"/>
              <w:right w:val="single" w:sz="4" w:space="0" w:color="auto"/>
            </w:tcBorders>
            <w:vAlign w:val="center"/>
          </w:tcPr>
          <w:p w14:paraId="2A223D1D" w14:textId="77777777" w:rsidR="009D0FAD" w:rsidRPr="00100821" w:rsidRDefault="009D0FAD" w:rsidP="00133AD7">
            <w:pPr>
              <w:widowControl w:val="0"/>
              <w:spacing w:line="260" w:lineRule="exact"/>
              <w:jc w:val="center"/>
              <w:rPr>
                <w:rFonts w:cs="Arial"/>
                <w:szCs w:val="20"/>
              </w:rPr>
            </w:pPr>
          </w:p>
        </w:tc>
        <w:tc>
          <w:tcPr>
            <w:tcW w:w="1741" w:type="dxa"/>
            <w:tcBorders>
              <w:top w:val="single" w:sz="4" w:space="0" w:color="auto"/>
              <w:left w:val="single" w:sz="4" w:space="0" w:color="auto"/>
              <w:bottom w:val="single" w:sz="4" w:space="0" w:color="auto"/>
              <w:right w:val="single" w:sz="4" w:space="0" w:color="auto"/>
            </w:tcBorders>
            <w:vAlign w:val="center"/>
          </w:tcPr>
          <w:p w14:paraId="7E8F57D9" w14:textId="77777777" w:rsidR="009D0FAD" w:rsidRPr="00100821" w:rsidRDefault="009D0FAD" w:rsidP="00133AD7">
            <w:pPr>
              <w:widowControl w:val="0"/>
              <w:spacing w:line="260" w:lineRule="exact"/>
              <w:jc w:val="center"/>
              <w:rPr>
                <w:rFonts w:cs="Arial"/>
                <w:szCs w:val="20"/>
              </w:rPr>
            </w:pPr>
          </w:p>
        </w:tc>
        <w:tc>
          <w:tcPr>
            <w:tcW w:w="1496" w:type="dxa"/>
            <w:gridSpan w:val="2"/>
            <w:tcBorders>
              <w:top w:val="single" w:sz="4" w:space="0" w:color="auto"/>
              <w:left w:val="single" w:sz="4" w:space="0" w:color="auto"/>
              <w:bottom w:val="single" w:sz="4" w:space="0" w:color="auto"/>
              <w:right w:val="single" w:sz="4" w:space="0" w:color="auto"/>
            </w:tcBorders>
            <w:vAlign w:val="center"/>
          </w:tcPr>
          <w:p w14:paraId="5C2A29A0" w14:textId="77777777" w:rsidR="009D0FAD" w:rsidRPr="00100821" w:rsidRDefault="009D0FAD" w:rsidP="00133AD7">
            <w:pPr>
              <w:widowControl w:val="0"/>
              <w:spacing w:line="260" w:lineRule="exact"/>
              <w:jc w:val="center"/>
              <w:rPr>
                <w:rFonts w:cs="Arial"/>
                <w:szCs w:val="20"/>
              </w:rPr>
            </w:pPr>
          </w:p>
        </w:tc>
        <w:tc>
          <w:tcPr>
            <w:tcW w:w="1339" w:type="dxa"/>
            <w:tcBorders>
              <w:top w:val="single" w:sz="4" w:space="0" w:color="auto"/>
              <w:left w:val="single" w:sz="4" w:space="0" w:color="auto"/>
              <w:bottom w:val="single" w:sz="4" w:space="0" w:color="auto"/>
              <w:right w:val="single" w:sz="4" w:space="0" w:color="auto"/>
            </w:tcBorders>
            <w:vAlign w:val="center"/>
          </w:tcPr>
          <w:p w14:paraId="588BBA76" w14:textId="77777777" w:rsidR="009D0FAD" w:rsidRPr="00100821" w:rsidRDefault="009D0FAD" w:rsidP="00133AD7">
            <w:pPr>
              <w:widowControl w:val="0"/>
              <w:spacing w:line="260" w:lineRule="exact"/>
              <w:jc w:val="center"/>
              <w:rPr>
                <w:rFonts w:cs="Arial"/>
                <w:szCs w:val="20"/>
              </w:rPr>
            </w:pPr>
          </w:p>
        </w:tc>
      </w:tr>
      <w:tr w:rsidR="009D0FAD" w:rsidRPr="00100821" w14:paraId="26A68D6E" w14:textId="77777777" w:rsidTr="00133AD7">
        <w:trPr>
          <w:cantSplit/>
          <w:trHeight w:val="423"/>
        </w:trPr>
        <w:tc>
          <w:tcPr>
            <w:tcW w:w="2820" w:type="dxa"/>
            <w:gridSpan w:val="2"/>
            <w:tcBorders>
              <w:top w:val="single" w:sz="4" w:space="0" w:color="auto"/>
              <w:left w:val="single" w:sz="4" w:space="0" w:color="auto"/>
              <w:bottom w:val="single" w:sz="4" w:space="0" w:color="auto"/>
              <w:right w:val="single" w:sz="4" w:space="0" w:color="auto"/>
            </w:tcBorders>
            <w:vAlign w:val="center"/>
          </w:tcPr>
          <w:p w14:paraId="73E0679E" w14:textId="77777777" w:rsidR="009D0FAD" w:rsidRPr="00100821" w:rsidRDefault="009D0FAD" w:rsidP="00133AD7">
            <w:pPr>
              <w:widowControl w:val="0"/>
              <w:spacing w:line="260" w:lineRule="exact"/>
              <w:rPr>
                <w:rFonts w:cs="Arial"/>
                <w:bCs/>
                <w:szCs w:val="20"/>
              </w:rPr>
            </w:pPr>
            <w:r w:rsidRPr="00100821">
              <w:rPr>
                <w:rFonts w:cs="Arial"/>
                <w:bCs/>
                <w:szCs w:val="20"/>
              </w:rPr>
              <w:t>Predvideno povečanje (+) ali zmanjšanje (</w:t>
            </w:r>
            <w:r w:rsidRPr="00100821">
              <w:rPr>
                <w:rFonts w:cs="Arial"/>
                <w:b/>
                <w:szCs w:val="20"/>
              </w:rPr>
              <w:t>–</w:t>
            </w:r>
            <w:r w:rsidRPr="00100821">
              <w:rPr>
                <w:rFonts w:cs="Arial"/>
                <w:bCs/>
                <w:szCs w:val="20"/>
              </w:rPr>
              <w:t>) obveznosti za druga javnofinančna sredstva</w:t>
            </w:r>
          </w:p>
        </w:tc>
        <w:tc>
          <w:tcPr>
            <w:tcW w:w="1804" w:type="dxa"/>
            <w:gridSpan w:val="2"/>
            <w:tcBorders>
              <w:top w:val="single" w:sz="4" w:space="0" w:color="auto"/>
              <w:left w:val="single" w:sz="4" w:space="0" w:color="auto"/>
              <w:bottom w:val="single" w:sz="4" w:space="0" w:color="auto"/>
              <w:right w:val="single" w:sz="4" w:space="0" w:color="auto"/>
            </w:tcBorders>
            <w:vAlign w:val="center"/>
          </w:tcPr>
          <w:p w14:paraId="02F4147C" w14:textId="77777777" w:rsidR="009D0FAD" w:rsidRPr="00100821" w:rsidRDefault="009D0FAD" w:rsidP="00133AD7">
            <w:pPr>
              <w:widowControl w:val="0"/>
              <w:tabs>
                <w:tab w:val="left" w:pos="360"/>
              </w:tabs>
              <w:spacing w:line="260" w:lineRule="exact"/>
              <w:jc w:val="center"/>
              <w:outlineLvl w:val="0"/>
              <w:rPr>
                <w:rFonts w:cs="Arial"/>
                <w:bCs/>
                <w:kern w:val="32"/>
                <w:szCs w:val="20"/>
                <w:lang w:eastAsia="sl-SI"/>
              </w:rPr>
            </w:pPr>
          </w:p>
        </w:tc>
        <w:tc>
          <w:tcPr>
            <w:tcW w:w="1741" w:type="dxa"/>
            <w:tcBorders>
              <w:top w:val="single" w:sz="4" w:space="0" w:color="auto"/>
              <w:left w:val="single" w:sz="4" w:space="0" w:color="auto"/>
              <w:bottom w:val="single" w:sz="4" w:space="0" w:color="auto"/>
              <w:right w:val="single" w:sz="4" w:space="0" w:color="auto"/>
            </w:tcBorders>
            <w:vAlign w:val="center"/>
          </w:tcPr>
          <w:p w14:paraId="68C284BA" w14:textId="77777777" w:rsidR="009D0FAD" w:rsidRPr="00100821" w:rsidRDefault="009D0FAD" w:rsidP="00133AD7">
            <w:pPr>
              <w:widowControl w:val="0"/>
              <w:tabs>
                <w:tab w:val="left" w:pos="360"/>
              </w:tabs>
              <w:spacing w:line="260" w:lineRule="exact"/>
              <w:jc w:val="center"/>
              <w:outlineLvl w:val="0"/>
              <w:rPr>
                <w:rFonts w:cs="Arial"/>
                <w:bCs/>
                <w:kern w:val="32"/>
                <w:szCs w:val="20"/>
                <w:lang w:eastAsia="sl-SI"/>
              </w:rPr>
            </w:pPr>
          </w:p>
        </w:tc>
        <w:tc>
          <w:tcPr>
            <w:tcW w:w="1496" w:type="dxa"/>
            <w:gridSpan w:val="2"/>
            <w:tcBorders>
              <w:top w:val="single" w:sz="4" w:space="0" w:color="auto"/>
              <w:left w:val="single" w:sz="4" w:space="0" w:color="auto"/>
              <w:bottom w:val="single" w:sz="4" w:space="0" w:color="auto"/>
              <w:right w:val="single" w:sz="4" w:space="0" w:color="auto"/>
            </w:tcBorders>
            <w:vAlign w:val="center"/>
          </w:tcPr>
          <w:p w14:paraId="096ACFCF" w14:textId="77777777" w:rsidR="009D0FAD" w:rsidRPr="00100821" w:rsidRDefault="009D0FAD" w:rsidP="00133AD7">
            <w:pPr>
              <w:widowControl w:val="0"/>
              <w:tabs>
                <w:tab w:val="left" w:pos="360"/>
              </w:tabs>
              <w:spacing w:line="260" w:lineRule="exact"/>
              <w:jc w:val="center"/>
              <w:outlineLvl w:val="0"/>
              <w:rPr>
                <w:rFonts w:cs="Arial"/>
                <w:kern w:val="32"/>
                <w:szCs w:val="20"/>
                <w:lang w:eastAsia="sl-SI"/>
              </w:rPr>
            </w:pPr>
          </w:p>
        </w:tc>
        <w:tc>
          <w:tcPr>
            <w:tcW w:w="1339" w:type="dxa"/>
            <w:tcBorders>
              <w:top w:val="single" w:sz="4" w:space="0" w:color="auto"/>
              <w:left w:val="single" w:sz="4" w:space="0" w:color="auto"/>
              <w:bottom w:val="single" w:sz="4" w:space="0" w:color="auto"/>
              <w:right w:val="single" w:sz="4" w:space="0" w:color="auto"/>
            </w:tcBorders>
            <w:vAlign w:val="center"/>
          </w:tcPr>
          <w:p w14:paraId="61B2E275" w14:textId="77777777" w:rsidR="009D0FAD" w:rsidRPr="00100821" w:rsidRDefault="009D0FAD" w:rsidP="00133AD7">
            <w:pPr>
              <w:widowControl w:val="0"/>
              <w:tabs>
                <w:tab w:val="left" w:pos="360"/>
              </w:tabs>
              <w:spacing w:line="260" w:lineRule="exact"/>
              <w:jc w:val="center"/>
              <w:outlineLvl w:val="0"/>
              <w:rPr>
                <w:rFonts w:cs="Arial"/>
                <w:kern w:val="32"/>
                <w:szCs w:val="20"/>
                <w:lang w:eastAsia="sl-SI"/>
              </w:rPr>
            </w:pPr>
          </w:p>
        </w:tc>
      </w:tr>
      <w:tr w:rsidR="009D0FAD" w:rsidRPr="00100821" w14:paraId="4CB7750A" w14:textId="77777777" w:rsidTr="00133AD7">
        <w:trPr>
          <w:cantSplit/>
          <w:trHeight w:val="257"/>
        </w:trPr>
        <w:tc>
          <w:tcPr>
            <w:tcW w:w="9200" w:type="dxa"/>
            <w:gridSpan w:val="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E8C7027" w14:textId="77777777" w:rsidR="009D0FAD" w:rsidRPr="00100821" w:rsidRDefault="009D0FAD" w:rsidP="00133AD7">
            <w:pPr>
              <w:widowControl w:val="0"/>
              <w:tabs>
                <w:tab w:val="left" w:pos="2340"/>
              </w:tabs>
              <w:spacing w:line="260" w:lineRule="exact"/>
              <w:ind w:left="142" w:hanging="142"/>
              <w:outlineLvl w:val="0"/>
              <w:rPr>
                <w:rFonts w:cs="Arial"/>
                <w:b/>
                <w:kern w:val="32"/>
                <w:szCs w:val="20"/>
                <w:lang w:eastAsia="sl-SI"/>
              </w:rPr>
            </w:pPr>
            <w:bookmarkStart w:id="3" w:name="_Toc51673411"/>
            <w:r w:rsidRPr="00100821">
              <w:rPr>
                <w:rFonts w:cs="Arial"/>
                <w:b/>
                <w:kern w:val="32"/>
                <w:szCs w:val="20"/>
                <w:lang w:eastAsia="sl-SI"/>
              </w:rPr>
              <w:t>II. Finančne posledice za državni proračun</w:t>
            </w:r>
            <w:bookmarkEnd w:id="3"/>
          </w:p>
        </w:tc>
      </w:tr>
      <w:tr w:rsidR="009D0FAD" w:rsidRPr="00100821" w14:paraId="08870AAD" w14:textId="77777777" w:rsidTr="00133AD7">
        <w:trPr>
          <w:cantSplit/>
          <w:trHeight w:val="257"/>
        </w:trPr>
        <w:tc>
          <w:tcPr>
            <w:tcW w:w="9200" w:type="dxa"/>
            <w:gridSpan w:val="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511D78D" w14:textId="77777777" w:rsidR="009D0FAD" w:rsidRPr="00100821" w:rsidRDefault="009D0FAD" w:rsidP="00133AD7">
            <w:pPr>
              <w:widowControl w:val="0"/>
              <w:tabs>
                <w:tab w:val="left" w:pos="2340"/>
              </w:tabs>
              <w:spacing w:line="260" w:lineRule="exact"/>
              <w:ind w:left="142" w:hanging="142"/>
              <w:outlineLvl w:val="0"/>
              <w:rPr>
                <w:rFonts w:cs="Arial"/>
                <w:b/>
                <w:kern w:val="32"/>
                <w:szCs w:val="20"/>
                <w:lang w:eastAsia="sl-SI"/>
              </w:rPr>
            </w:pPr>
            <w:bookmarkStart w:id="4" w:name="_Toc51673412"/>
            <w:r w:rsidRPr="00100821">
              <w:rPr>
                <w:rFonts w:cs="Arial"/>
                <w:b/>
                <w:kern w:val="32"/>
                <w:szCs w:val="20"/>
                <w:lang w:eastAsia="sl-SI"/>
              </w:rPr>
              <w:t>II.a Pravice porabe za izvedbo predlaganih rešitev so zagotovljene:</w:t>
            </w:r>
            <w:bookmarkEnd w:id="4"/>
          </w:p>
        </w:tc>
      </w:tr>
      <w:tr w:rsidR="009D0FAD" w:rsidRPr="00100821" w14:paraId="64EF1854" w14:textId="77777777" w:rsidTr="00133AD7">
        <w:trPr>
          <w:cantSplit/>
          <w:trHeight w:val="100"/>
        </w:trPr>
        <w:tc>
          <w:tcPr>
            <w:tcW w:w="1605" w:type="dxa"/>
            <w:tcBorders>
              <w:top w:val="single" w:sz="4" w:space="0" w:color="auto"/>
              <w:left w:val="single" w:sz="4" w:space="0" w:color="auto"/>
              <w:bottom w:val="single" w:sz="4" w:space="0" w:color="auto"/>
              <w:right w:val="single" w:sz="4" w:space="0" w:color="auto"/>
            </w:tcBorders>
            <w:vAlign w:val="center"/>
          </w:tcPr>
          <w:p w14:paraId="3FB14924" w14:textId="77777777" w:rsidR="009D0FAD" w:rsidRPr="00100821" w:rsidRDefault="009D0FAD" w:rsidP="00133AD7">
            <w:pPr>
              <w:widowControl w:val="0"/>
              <w:spacing w:line="260" w:lineRule="exact"/>
              <w:jc w:val="center"/>
              <w:rPr>
                <w:rFonts w:cs="Arial"/>
                <w:szCs w:val="20"/>
              </w:rPr>
            </w:pPr>
            <w:r w:rsidRPr="00100821">
              <w:rPr>
                <w:rFonts w:cs="Arial"/>
                <w:szCs w:val="20"/>
              </w:rPr>
              <w:t xml:space="preserve">Ime proračunskega uporabnika </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0F4FD00F" w14:textId="77777777" w:rsidR="009D0FAD" w:rsidRPr="00100821" w:rsidRDefault="009D0FAD" w:rsidP="00133AD7">
            <w:pPr>
              <w:widowControl w:val="0"/>
              <w:spacing w:line="260" w:lineRule="exact"/>
              <w:jc w:val="center"/>
              <w:rPr>
                <w:rFonts w:cs="Arial"/>
                <w:szCs w:val="20"/>
              </w:rPr>
            </w:pPr>
            <w:r w:rsidRPr="00100821">
              <w:rPr>
                <w:rFonts w:cs="Arial"/>
                <w:szCs w:val="20"/>
              </w:rPr>
              <w:t>Šifra in naziv ukrepa, projekta</w:t>
            </w:r>
          </w:p>
        </w:tc>
        <w:tc>
          <w:tcPr>
            <w:tcW w:w="2067" w:type="dxa"/>
            <w:gridSpan w:val="2"/>
            <w:tcBorders>
              <w:top w:val="single" w:sz="4" w:space="0" w:color="auto"/>
              <w:left w:val="single" w:sz="4" w:space="0" w:color="auto"/>
              <w:bottom w:val="single" w:sz="4" w:space="0" w:color="auto"/>
              <w:right w:val="single" w:sz="4" w:space="0" w:color="auto"/>
            </w:tcBorders>
            <w:vAlign w:val="center"/>
          </w:tcPr>
          <w:p w14:paraId="03ED8B19" w14:textId="77777777" w:rsidR="009D0FAD" w:rsidRPr="00100821" w:rsidRDefault="009D0FAD" w:rsidP="00133AD7">
            <w:pPr>
              <w:widowControl w:val="0"/>
              <w:spacing w:line="260" w:lineRule="exact"/>
              <w:jc w:val="center"/>
              <w:rPr>
                <w:rFonts w:cs="Arial"/>
                <w:szCs w:val="20"/>
              </w:rPr>
            </w:pPr>
            <w:r w:rsidRPr="00100821">
              <w:rPr>
                <w:rFonts w:cs="Arial"/>
                <w:szCs w:val="20"/>
              </w:rPr>
              <w:t>Šifra in naziv proračunske postavke</w:t>
            </w:r>
          </w:p>
        </w:tc>
        <w:tc>
          <w:tcPr>
            <w:tcW w:w="1496" w:type="dxa"/>
            <w:gridSpan w:val="2"/>
            <w:tcBorders>
              <w:top w:val="single" w:sz="4" w:space="0" w:color="auto"/>
              <w:left w:val="single" w:sz="4" w:space="0" w:color="auto"/>
              <w:bottom w:val="single" w:sz="4" w:space="0" w:color="auto"/>
              <w:right w:val="single" w:sz="4" w:space="0" w:color="auto"/>
            </w:tcBorders>
            <w:vAlign w:val="center"/>
          </w:tcPr>
          <w:p w14:paraId="4AFDE1AC" w14:textId="77777777" w:rsidR="009D0FAD" w:rsidRPr="00100821" w:rsidRDefault="009D0FAD" w:rsidP="00133AD7">
            <w:pPr>
              <w:widowControl w:val="0"/>
              <w:spacing w:line="260" w:lineRule="exact"/>
              <w:jc w:val="center"/>
              <w:rPr>
                <w:rFonts w:cs="Arial"/>
                <w:szCs w:val="20"/>
              </w:rPr>
            </w:pPr>
            <w:r w:rsidRPr="00100821">
              <w:rPr>
                <w:rFonts w:cs="Arial"/>
                <w:szCs w:val="20"/>
              </w:rPr>
              <w:t>Znesek za tekoče leto (t)</w:t>
            </w:r>
          </w:p>
        </w:tc>
        <w:tc>
          <w:tcPr>
            <w:tcW w:w="1339" w:type="dxa"/>
            <w:tcBorders>
              <w:top w:val="single" w:sz="4" w:space="0" w:color="auto"/>
              <w:left w:val="single" w:sz="4" w:space="0" w:color="auto"/>
              <w:bottom w:val="single" w:sz="4" w:space="0" w:color="auto"/>
              <w:right w:val="single" w:sz="4" w:space="0" w:color="auto"/>
            </w:tcBorders>
            <w:vAlign w:val="center"/>
          </w:tcPr>
          <w:p w14:paraId="08C7680B" w14:textId="77777777" w:rsidR="009D0FAD" w:rsidRPr="00100821" w:rsidRDefault="009D0FAD" w:rsidP="00133AD7">
            <w:pPr>
              <w:widowControl w:val="0"/>
              <w:spacing w:line="260" w:lineRule="exact"/>
              <w:jc w:val="center"/>
              <w:rPr>
                <w:rFonts w:cs="Arial"/>
                <w:szCs w:val="20"/>
              </w:rPr>
            </w:pPr>
            <w:r w:rsidRPr="00100821">
              <w:rPr>
                <w:rFonts w:cs="Arial"/>
                <w:szCs w:val="20"/>
              </w:rPr>
              <w:t>Znesek za t + 1</w:t>
            </w:r>
          </w:p>
        </w:tc>
      </w:tr>
      <w:tr w:rsidR="009D0FAD" w:rsidRPr="00100821" w14:paraId="7A590A37" w14:textId="77777777" w:rsidTr="00133AD7">
        <w:trPr>
          <w:cantSplit/>
          <w:trHeight w:val="328"/>
        </w:trPr>
        <w:tc>
          <w:tcPr>
            <w:tcW w:w="1605" w:type="dxa"/>
            <w:tcBorders>
              <w:top w:val="single" w:sz="4" w:space="0" w:color="auto"/>
              <w:left w:val="single" w:sz="4" w:space="0" w:color="auto"/>
              <w:bottom w:val="single" w:sz="4" w:space="0" w:color="auto"/>
              <w:right w:val="single" w:sz="4" w:space="0" w:color="auto"/>
            </w:tcBorders>
            <w:vAlign w:val="center"/>
          </w:tcPr>
          <w:p w14:paraId="43854068" w14:textId="77777777" w:rsidR="009D0FAD" w:rsidRPr="00100821" w:rsidRDefault="009D0FAD" w:rsidP="00133AD7">
            <w:pPr>
              <w:widowControl w:val="0"/>
              <w:tabs>
                <w:tab w:val="left" w:pos="360"/>
              </w:tabs>
              <w:spacing w:line="260" w:lineRule="exact"/>
              <w:outlineLvl w:val="0"/>
              <w:rPr>
                <w:rFonts w:cs="Arial"/>
                <w:bCs/>
                <w:kern w:val="32"/>
                <w:szCs w:val="20"/>
                <w:lang w:eastAsia="sl-SI"/>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6A04B337" w14:textId="77777777" w:rsidR="009D0FAD" w:rsidRPr="00100821" w:rsidRDefault="009D0FAD" w:rsidP="00133AD7">
            <w:pPr>
              <w:widowControl w:val="0"/>
              <w:tabs>
                <w:tab w:val="left" w:pos="360"/>
              </w:tabs>
              <w:spacing w:line="260" w:lineRule="exact"/>
              <w:outlineLvl w:val="0"/>
              <w:rPr>
                <w:rFonts w:cs="Arial"/>
                <w:bCs/>
                <w:kern w:val="32"/>
                <w:szCs w:val="20"/>
                <w:lang w:eastAsia="sl-SI"/>
              </w:rPr>
            </w:pPr>
          </w:p>
        </w:tc>
        <w:tc>
          <w:tcPr>
            <w:tcW w:w="2067" w:type="dxa"/>
            <w:gridSpan w:val="2"/>
            <w:tcBorders>
              <w:top w:val="single" w:sz="4" w:space="0" w:color="auto"/>
              <w:left w:val="single" w:sz="4" w:space="0" w:color="auto"/>
              <w:bottom w:val="single" w:sz="4" w:space="0" w:color="auto"/>
              <w:right w:val="single" w:sz="4" w:space="0" w:color="auto"/>
            </w:tcBorders>
            <w:vAlign w:val="center"/>
          </w:tcPr>
          <w:p w14:paraId="515C323A" w14:textId="77777777" w:rsidR="009D0FAD" w:rsidRPr="00100821" w:rsidRDefault="009D0FAD" w:rsidP="00133AD7">
            <w:pPr>
              <w:widowControl w:val="0"/>
              <w:tabs>
                <w:tab w:val="left" w:pos="360"/>
              </w:tabs>
              <w:spacing w:line="260" w:lineRule="exact"/>
              <w:outlineLvl w:val="0"/>
              <w:rPr>
                <w:rFonts w:cs="Arial"/>
                <w:bCs/>
                <w:kern w:val="32"/>
                <w:szCs w:val="20"/>
                <w:lang w:eastAsia="sl-SI"/>
              </w:rPr>
            </w:pPr>
          </w:p>
        </w:tc>
        <w:tc>
          <w:tcPr>
            <w:tcW w:w="1496" w:type="dxa"/>
            <w:gridSpan w:val="2"/>
            <w:tcBorders>
              <w:top w:val="single" w:sz="4" w:space="0" w:color="auto"/>
              <w:left w:val="single" w:sz="4" w:space="0" w:color="auto"/>
              <w:bottom w:val="single" w:sz="4" w:space="0" w:color="auto"/>
              <w:right w:val="single" w:sz="4" w:space="0" w:color="auto"/>
            </w:tcBorders>
            <w:vAlign w:val="center"/>
          </w:tcPr>
          <w:p w14:paraId="58FFAE77" w14:textId="77777777" w:rsidR="009D0FAD" w:rsidRPr="00100821" w:rsidRDefault="009D0FAD" w:rsidP="00133AD7">
            <w:pPr>
              <w:widowControl w:val="0"/>
              <w:tabs>
                <w:tab w:val="left" w:pos="360"/>
              </w:tabs>
              <w:spacing w:line="260" w:lineRule="exact"/>
              <w:jc w:val="right"/>
              <w:outlineLvl w:val="0"/>
              <w:rPr>
                <w:rFonts w:cs="Arial"/>
                <w:bCs/>
                <w:kern w:val="32"/>
                <w:szCs w:val="20"/>
                <w:lang w:eastAsia="sl-SI"/>
              </w:rPr>
            </w:pPr>
          </w:p>
        </w:tc>
        <w:tc>
          <w:tcPr>
            <w:tcW w:w="1339" w:type="dxa"/>
            <w:tcBorders>
              <w:top w:val="single" w:sz="4" w:space="0" w:color="auto"/>
              <w:left w:val="single" w:sz="4" w:space="0" w:color="auto"/>
              <w:bottom w:val="single" w:sz="4" w:space="0" w:color="auto"/>
              <w:right w:val="single" w:sz="4" w:space="0" w:color="auto"/>
            </w:tcBorders>
            <w:vAlign w:val="center"/>
          </w:tcPr>
          <w:p w14:paraId="63D4EB70" w14:textId="77777777" w:rsidR="009D0FAD" w:rsidRPr="00100821" w:rsidRDefault="009D0FAD" w:rsidP="00133AD7">
            <w:pPr>
              <w:widowControl w:val="0"/>
              <w:tabs>
                <w:tab w:val="left" w:pos="360"/>
              </w:tabs>
              <w:spacing w:line="260" w:lineRule="exact"/>
              <w:outlineLvl w:val="0"/>
              <w:rPr>
                <w:rFonts w:cs="Arial"/>
                <w:bCs/>
                <w:kern w:val="32"/>
                <w:szCs w:val="20"/>
                <w:lang w:eastAsia="sl-SI"/>
              </w:rPr>
            </w:pPr>
          </w:p>
        </w:tc>
      </w:tr>
      <w:tr w:rsidR="009D0FAD" w:rsidRPr="00100821" w14:paraId="218D9F16" w14:textId="77777777" w:rsidTr="00133AD7">
        <w:trPr>
          <w:cantSplit/>
          <w:trHeight w:val="95"/>
        </w:trPr>
        <w:tc>
          <w:tcPr>
            <w:tcW w:w="1605" w:type="dxa"/>
            <w:tcBorders>
              <w:top w:val="single" w:sz="4" w:space="0" w:color="auto"/>
              <w:left w:val="single" w:sz="4" w:space="0" w:color="auto"/>
              <w:bottom w:val="single" w:sz="4" w:space="0" w:color="auto"/>
              <w:right w:val="single" w:sz="4" w:space="0" w:color="auto"/>
            </w:tcBorders>
            <w:vAlign w:val="center"/>
          </w:tcPr>
          <w:p w14:paraId="44E9DAB7" w14:textId="77777777" w:rsidR="009D0FAD" w:rsidRPr="00100821" w:rsidRDefault="009D0FAD" w:rsidP="00133AD7">
            <w:pPr>
              <w:widowControl w:val="0"/>
              <w:tabs>
                <w:tab w:val="left" w:pos="360"/>
              </w:tabs>
              <w:spacing w:line="260" w:lineRule="exact"/>
              <w:outlineLvl w:val="0"/>
              <w:rPr>
                <w:rFonts w:cs="Arial"/>
                <w:szCs w:val="20"/>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5A786656" w14:textId="77777777" w:rsidR="009D0FAD" w:rsidRPr="00100821" w:rsidRDefault="009D0FAD" w:rsidP="00133AD7">
            <w:pPr>
              <w:widowControl w:val="0"/>
              <w:tabs>
                <w:tab w:val="left" w:pos="360"/>
              </w:tabs>
              <w:spacing w:line="260" w:lineRule="exact"/>
              <w:outlineLvl w:val="0"/>
              <w:rPr>
                <w:rFonts w:cs="Arial"/>
                <w:bCs/>
                <w:kern w:val="32"/>
                <w:szCs w:val="20"/>
                <w:lang w:eastAsia="sl-SI"/>
              </w:rPr>
            </w:pPr>
          </w:p>
        </w:tc>
        <w:tc>
          <w:tcPr>
            <w:tcW w:w="2067" w:type="dxa"/>
            <w:gridSpan w:val="2"/>
            <w:tcBorders>
              <w:top w:val="single" w:sz="4" w:space="0" w:color="auto"/>
              <w:left w:val="single" w:sz="4" w:space="0" w:color="auto"/>
              <w:bottom w:val="single" w:sz="4" w:space="0" w:color="auto"/>
              <w:right w:val="single" w:sz="4" w:space="0" w:color="auto"/>
            </w:tcBorders>
            <w:vAlign w:val="center"/>
          </w:tcPr>
          <w:p w14:paraId="57FAD27F" w14:textId="77777777" w:rsidR="009D0FAD" w:rsidRPr="00100821" w:rsidRDefault="009D0FAD" w:rsidP="00133AD7">
            <w:pPr>
              <w:pStyle w:val="Naslov1"/>
              <w:tabs>
                <w:tab w:val="left" w:pos="360"/>
              </w:tabs>
              <w:spacing w:before="0" w:after="0"/>
              <w:rPr>
                <w:rFonts w:cs="Arial"/>
                <w:b w:val="0"/>
                <w:sz w:val="20"/>
                <w:szCs w:val="20"/>
              </w:rPr>
            </w:pPr>
          </w:p>
        </w:tc>
        <w:tc>
          <w:tcPr>
            <w:tcW w:w="1496" w:type="dxa"/>
            <w:gridSpan w:val="2"/>
            <w:tcBorders>
              <w:top w:val="single" w:sz="4" w:space="0" w:color="auto"/>
              <w:left w:val="single" w:sz="4" w:space="0" w:color="auto"/>
              <w:bottom w:val="single" w:sz="4" w:space="0" w:color="auto"/>
              <w:right w:val="single" w:sz="4" w:space="0" w:color="auto"/>
            </w:tcBorders>
            <w:vAlign w:val="center"/>
          </w:tcPr>
          <w:p w14:paraId="4C6A497F" w14:textId="77777777" w:rsidR="009D0FAD" w:rsidRPr="00100821" w:rsidRDefault="009D0FAD" w:rsidP="00133AD7">
            <w:pPr>
              <w:widowControl w:val="0"/>
              <w:tabs>
                <w:tab w:val="left" w:pos="360"/>
              </w:tabs>
              <w:spacing w:line="260" w:lineRule="exact"/>
              <w:jc w:val="right"/>
              <w:outlineLvl w:val="0"/>
              <w:rPr>
                <w:rFonts w:cs="Arial"/>
                <w:szCs w:val="20"/>
              </w:rPr>
            </w:pPr>
          </w:p>
        </w:tc>
        <w:tc>
          <w:tcPr>
            <w:tcW w:w="1339" w:type="dxa"/>
            <w:tcBorders>
              <w:top w:val="single" w:sz="4" w:space="0" w:color="auto"/>
              <w:left w:val="single" w:sz="4" w:space="0" w:color="auto"/>
              <w:bottom w:val="single" w:sz="4" w:space="0" w:color="auto"/>
              <w:right w:val="single" w:sz="4" w:space="0" w:color="auto"/>
            </w:tcBorders>
            <w:vAlign w:val="center"/>
          </w:tcPr>
          <w:p w14:paraId="2492748A" w14:textId="77777777" w:rsidR="009D0FAD" w:rsidRPr="00100821" w:rsidRDefault="009D0FAD" w:rsidP="00133AD7">
            <w:pPr>
              <w:widowControl w:val="0"/>
              <w:tabs>
                <w:tab w:val="left" w:pos="360"/>
              </w:tabs>
              <w:spacing w:line="260" w:lineRule="exact"/>
              <w:outlineLvl w:val="0"/>
              <w:rPr>
                <w:rFonts w:cs="Arial"/>
                <w:bCs/>
                <w:kern w:val="32"/>
                <w:szCs w:val="20"/>
                <w:lang w:eastAsia="sl-SI"/>
              </w:rPr>
            </w:pPr>
          </w:p>
        </w:tc>
      </w:tr>
      <w:tr w:rsidR="009D0FAD" w:rsidRPr="00100821" w14:paraId="64BE3084" w14:textId="77777777" w:rsidTr="00133AD7">
        <w:trPr>
          <w:cantSplit/>
          <w:trHeight w:val="95"/>
        </w:trPr>
        <w:tc>
          <w:tcPr>
            <w:tcW w:w="6365" w:type="dxa"/>
            <w:gridSpan w:val="5"/>
            <w:tcBorders>
              <w:top w:val="single" w:sz="4" w:space="0" w:color="auto"/>
              <w:left w:val="single" w:sz="4" w:space="0" w:color="auto"/>
              <w:bottom w:val="single" w:sz="4" w:space="0" w:color="auto"/>
              <w:right w:val="single" w:sz="4" w:space="0" w:color="auto"/>
            </w:tcBorders>
            <w:vAlign w:val="center"/>
          </w:tcPr>
          <w:p w14:paraId="511CD75F" w14:textId="77777777" w:rsidR="009D0FAD" w:rsidRPr="00100821" w:rsidRDefault="009D0FAD" w:rsidP="00133AD7">
            <w:pPr>
              <w:widowControl w:val="0"/>
              <w:tabs>
                <w:tab w:val="left" w:pos="360"/>
              </w:tabs>
              <w:spacing w:line="260" w:lineRule="exact"/>
              <w:outlineLvl w:val="0"/>
              <w:rPr>
                <w:rFonts w:cs="Arial"/>
                <w:b/>
                <w:kern w:val="32"/>
                <w:szCs w:val="20"/>
                <w:lang w:eastAsia="sl-SI"/>
              </w:rPr>
            </w:pPr>
            <w:bookmarkStart w:id="5" w:name="_Toc51673413"/>
            <w:r w:rsidRPr="00100821">
              <w:rPr>
                <w:rFonts w:cs="Arial"/>
                <w:b/>
                <w:kern w:val="32"/>
                <w:szCs w:val="20"/>
                <w:lang w:eastAsia="sl-SI"/>
              </w:rPr>
              <w:t>SKUPAJ</w:t>
            </w:r>
            <w:bookmarkEnd w:id="5"/>
          </w:p>
        </w:tc>
        <w:tc>
          <w:tcPr>
            <w:tcW w:w="1496" w:type="dxa"/>
            <w:gridSpan w:val="2"/>
            <w:tcBorders>
              <w:top w:val="single" w:sz="4" w:space="0" w:color="auto"/>
              <w:left w:val="single" w:sz="4" w:space="0" w:color="auto"/>
              <w:bottom w:val="single" w:sz="4" w:space="0" w:color="auto"/>
              <w:right w:val="single" w:sz="4" w:space="0" w:color="auto"/>
            </w:tcBorders>
            <w:vAlign w:val="center"/>
          </w:tcPr>
          <w:p w14:paraId="5A7F432F" w14:textId="77777777" w:rsidR="009D0FAD" w:rsidRPr="00100821" w:rsidRDefault="009D0FAD" w:rsidP="00133AD7">
            <w:pPr>
              <w:widowControl w:val="0"/>
              <w:spacing w:line="260" w:lineRule="exact"/>
              <w:jc w:val="center"/>
              <w:rPr>
                <w:rFonts w:cs="Arial"/>
                <w:b/>
                <w:szCs w:val="20"/>
              </w:rPr>
            </w:pPr>
          </w:p>
        </w:tc>
        <w:tc>
          <w:tcPr>
            <w:tcW w:w="1339" w:type="dxa"/>
            <w:tcBorders>
              <w:top w:val="single" w:sz="4" w:space="0" w:color="auto"/>
              <w:left w:val="single" w:sz="4" w:space="0" w:color="auto"/>
              <w:bottom w:val="single" w:sz="4" w:space="0" w:color="auto"/>
              <w:right w:val="single" w:sz="4" w:space="0" w:color="auto"/>
            </w:tcBorders>
            <w:vAlign w:val="center"/>
          </w:tcPr>
          <w:p w14:paraId="5F413C96" w14:textId="77777777" w:rsidR="009D0FAD" w:rsidRPr="00100821" w:rsidRDefault="009D0FAD" w:rsidP="00133AD7">
            <w:pPr>
              <w:widowControl w:val="0"/>
              <w:tabs>
                <w:tab w:val="left" w:pos="360"/>
              </w:tabs>
              <w:spacing w:line="260" w:lineRule="exact"/>
              <w:outlineLvl w:val="0"/>
              <w:rPr>
                <w:rFonts w:cs="Arial"/>
                <w:b/>
                <w:kern w:val="32"/>
                <w:szCs w:val="20"/>
                <w:lang w:eastAsia="sl-SI"/>
              </w:rPr>
            </w:pPr>
          </w:p>
        </w:tc>
      </w:tr>
      <w:tr w:rsidR="009D0FAD" w:rsidRPr="00100821" w14:paraId="20CF08FF" w14:textId="77777777" w:rsidTr="00133AD7">
        <w:trPr>
          <w:cantSplit/>
          <w:trHeight w:val="294"/>
        </w:trPr>
        <w:tc>
          <w:tcPr>
            <w:tcW w:w="9200" w:type="dxa"/>
            <w:gridSpan w:val="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F58129D" w14:textId="77777777" w:rsidR="009D0FAD" w:rsidRPr="00100821" w:rsidRDefault="009D0FAD" w:rsidP="00133AD7">
            <w:pPr>
              <w:widowControl w:val="0"/>
              <w:tabs>
                <w:tab w:val="left" w:pos="2340"/>
              </w:tabs>
              <w:spacing w:line="260" w:lineRule="exact"/>
              <w:outlineLvl w:val="0"/>
              <w:rPr>
                <w:rFonts w:cs="Arial"/>
                <w:b/>
                <w:kern w:val="32"/>
                <w:szCs w:val="20"/>
                <w:lang w:eastAsia="sl-SI"/>
              </w:rPr>
            </w:pPr>
            <w:bookmarkStart w:id="6" w:name="_Toc51673414"/>
            <w:r w:rsidRPr="00100821">
              <w:rPr>
                <w:rFonts w:cs="Arial"/>
                <w:b/>
                <w:kern w:val="32"/>
                <w:szCs w:val="20"/>
                <w:lang w:eastAsia="sl-SI"/>
              </w:rPr>
              <w:t>II.b Manjkajoče pravice porabe bodo zagotovljene s prerazporeditvijo:</w:t>
            </w:r>
            <w:bookmarkEnd w:id="6"/>
          </w:p>
        </w:tc>
      </w:tr>
      <w:tr w:rsidR="009D0FAD" w:rsidRPr="00100821" w14:paraId="1439F91F" w14:textId="77777777" w:rsidTr="00133AD7">
        <w:trPr>
          <w:cantSplit/>
          <w:trHeight w:val="100"/>
        </w:trPr>
        <w:tc>
          <w:tcPr>
            <w:tcW w:w="1605" w:type="dxa"/>
            <w:tcBorders>
              <w:top w:val="single" w:sz="4" w:space="0" w:color="auto"/>
              <w:left w:val="single" w:sz="4" w:space="0" w:color="auto"/>
              <w:bottom w:val="single" w:sz="4" w:space="0" w:color="auto"/>
              <w:right w:val="single" w:sz="4" w:space="0" w:color="auto"/>
            </w:tcBorders>
            <w:vAlign w:val="center"/>
          </w:tcPr>
          <w:p w14:paraId="4198F122" w14:textId="77777777" w:rsidR="009D0FAD" w:rsidRPr="00100821" w:rsidRDefault="009D0FAD" w:rsidP="00133AD7">
            <w:pPr>
              <w:widowControl w:val="0"/>
              <w:spacing w:line="260" w:lineRule="exact"/>
              <w:jc w:val="center"/>
              <w:rPr>
                <w:rFonts w:cs="Arial"/>
                <w:szCs w:val="20"/>
              </w:rPr>
            </w:pPr>
            <w:r w:rsidRPr="00100821">
              <w:rPr>
                <w:rFonts w:cs="Arial"/>
                <w:szCs w:val="20"/>
              </w:rPr>
              <w:t xml:space="preserve">Ime proračunskega uporabnika </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23677EAB" w14:textId="77777777" w:rsidR="009D0FAD" w:rsidRPr="00100821" w:rsidRDefault="009D0FAD" w:rsidP="00133AD7">
            <w:pPr>
              <w:widowControl w:val="0"/>
              <w:spacing w:line="260" w:lineRule="exact"/>
              <w:jc w:val="center"/>
              <w:rPr>
                <w:rFonts w:cs="Arial"/>
                <w:szCs w:val="20"/>
              </w:rPr>
            </w:pPr>
            <w:r w:rsidRPr="00100821">
              <w:rPr>
                <w:rFonts w:cs="Arial"/>
                <w:szCs w:val="20"/>
              </w:rPr>
              <w:t>Šifra in naziv ukrepa, projekta</w:t>
            </w:r>
          </w:p>
        </w:tc>
        <w:tc>
          <w:tcPr>
            <w:tcW w:w="2067" w:type="dxa"/>
            <w:gridSpan w:val="2"/>
            <w:tcBorders>
              <w:top w:val="single" w:sz="4" w:space="0" w:color="auto"/>
              <w:left w:val="single" w:sz="4" w:space="0" w:color="auto"/>
              <w:bottom w:val="single" w:sz="4" w:space="0" w:color="auto"/>
              <w:right w:val="single" w:sz="4" w:space="0" w:color="auto"/>
            </w:tcBorders>
            <w:vAlign w:val="center"/>
          </w:tcPr>
          <w:p w14:paraId="54732D61" w14:textId="77777777" w:rsidR="009D0FAD" w:rsidRPr="00100821" w:rsidRDefault="009D0FAD" w:rsidP="00133AD7">
            <w:pPr>
              <w:widowControl w:val="0"/>
              <w:spacing w:line="260" w:lineRule="exact"/>
              <w:jc w:val="center"/>
              <w:rPr>
                <w:rFonts w:cs="Arial"/>
                <w:szCs w:val="20"/>
              </w:rPr>
            </w:pPr>
            <w:r w:rsidRPr="00100821">
              <w:rPr>
                <w:rFonts w:cs="Arial"/>
                <w:szCs w:val="20"/>
              </w:rPr>
              <w:t xml:space="preserve">Šifra in naziv proračunske postavke </w:t>
            </w:r>
          </w:p>
        </w:tc>
        <w:tc>
          <w:tcPr>
            <w:tcW w:w="1496" w:type="dxa"/>
            <w:gridSpan w:val="2"/>
            <w:tcBorders>
              <w:top w:val="single" w:sz="4" w:space="0" w:color="auto"/>
              <w:left w:val="single" w:sz="4" w:space="0" w:color="auto"/>
              <w:bottom w:val="single" w:sz="4" w:space="0" w:color="auto"/>
              <w:right w:val="single" w:sz="4" w:space="0" w:color="auto"/>
            </w:tcBorders>
            <w:vAlign w:val="center"/>
          </w:tcPr>
          <w:p w14:paraId="61A0B21C" w14:textId="77777777" w:rsidR="009D0FAD" w:rsidRPr="00100821" w:rsidRDefault="009D0FAD" w:rsidP="00133AD7">
            <w:pPr>
              <w:widowControl w:val="0"/>
              <w:spacing w:line="260" w:lineRule="exact"/>
              <w:jc w:val="center"/>
              <w:rPr>
                <w:rFonts w:cs="Arial"/>
                <w:szCs w:val="20"/>
              </w:rPr>
            </w:pPr>
            <w:r w:rsidRPr="00100821">
              <w:rPr>
                <w:rFonts w:cs="Arial"/>
                <w:szCs w:val="20"/>
              </w:rPr>
              <w:t>Znesek za tekoče leto (t)</w:t>
            </w:r>
          </w:p>
        </w:tc>
        <w:tc>
          <w:tcPr>
            <w:tcW w:w="1339" w:type="dxa"/>
            <w:tcBorders>
              <w:top w:val="single" w:sz="4" w:space="0" w:color="auto"/>
              <w:left w:val="single" w:sz="4" w:space="0" w:color="auto"/>
              <w:bottom w:val="single" w:sz="4" w:space="0" w:color="auto"/>
              <w:right w:val="single" w:sz="4" w:space="0" w:color="auto"/>
            </w:tcBorders>
            <w:vAlign w:val="center"/>
          </w:tcPr>
          <w:p w14:paraId="6CDDCE23" w14:textId="77777777" w:rsidR="009D0FAD" w:rsidRPr="00100821" w:rsidRDefault="009D0FAD" w:rsidP="00133AD7">
            <w:pPr>
              <w:widowControl w:val="0"/>
              <w:spacing w:line="260" w:lineRule="exact"/>
              <w:jc w:val="center"/>
              <w:rPr>
                <w:rFonts w:cs="Arial"/>
                <w:szCs w:val="20"/>
              </w:rPr>
            </w:pPr>
            <w:r w:rsidRPr="00100821">
              <w:rPr>
                <w:rFonts w:cs="Arial"/>
                <w:szCs w:val="20"/>
              </w:rPr>
              <w:t xml:space="preserve">Znesek za t + 1 </w:t>
            </w:r>
          </w:p>
        </w:tc>
      </w:tr>
      <w:tr w:rsidR="009D0FAD" w:rsidRPr="00100821" w14:paraId="07C8F3CA" w14:textId="77777777" w:rsidTr="00133AD7">
        <w:trPr>
          <w:cantSplit/>
          <w:trHeight w:val="95"/>
        </w:trPr>
        <w:tc>
          <w:tcPr>
            <w:tcW w:w="1605" w:type="dxa"/>
            <w:tcBorders>
              <w:top w:val="single" w:sz="4" w:space="0" w:color="auto"/>
              <w:left w:val="single" w:sz="4" w:space="0" w:color="auto"/>
              <w:bottom w:val="single" w:sz="4" w:space="0" w:color="auto"/>
              <w:right w:val="single" w:sz="4" w:space="0" w:color="auto"/>
            </w:tcBorders>
            <w:vAlign w:val="center"/>
          </w:tcPr>
          <w:p w14:paraId="0F16DD07" w14:textId="77777777" w:rsidR="009D0FAD" w:rsidRPr="00100821" w:rsidRDefault="009D0FAD" w:rsidP="00133AD7">
            <w:pPr>
              <w:widowControl w:val="0"/>
              <w:tabs>
                <w:tab w:val="left" w:pos="360"/>
              </w:tabs>
              <w:spacing w:line="260" w:lineRule="exact"/>
              <w:outlineLvl w:val="0"/>
              <w:rPr>
                <w:rFonts w:cs="Arial"/>
                <w:bCs/>
                <w:kern w:val="32"/>
                <w:szCs w:val="20"/>
                <w:lang w:eastAsia="sl-SI"/>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7B2A02F2" w14:textId="77777777" w:rsidR="009D0FAD" w:rsidRPr="00100821" w:rsidRDefault="009D0FAD" w:rsidP="00133AD7">
            <w:pPr>
              <w:widowControl w:val="0"/>
              <w:tabs>
                <w:tab w:val="left" w:pos="360"/>
              </w:tabs>
              <w:spacing w:line="260" w:lineRule="exact"/>
              <w:outlineLvl w:val="0"/>
              <w:rPr>
                <w:rFonts w:cs="Arial"/>
                <w:bCs/>
                <w:kern w:val="32"/>
                <w:szCs w:val="20"/>
                <w:lang w:eastAsia="sl-SI"/>
              </w:rPr>
            </w:pPr>
          </w:p>
        </w:tc>
        <w:tc>
          <w:tcPr>
            <w:tcW w:w="2067" w:type="dxa"/>
            <w:gridSpan w:val="2"/>
            <w:tcBorders>
              <w:top w:val="single" w:sz="4" w:space="0" w:color="auto"/>
              <w:left w:val="single" w:sz="4" w:space="0" w:color="auto"/>
              <w:bottom w:val="single" w:sz="4" w:space="0" w:color="auto"/>
              <w:right w:val="single" w:sz="4" w:space="0" w:color="auto"/>
            </w:tcBorders>
            <w:vAlign w:val="center"/>
          </w:tcPr>
          <w:p w14:paraId="15C000F7" w14:textId="77777777" w:rsidR="009D0FAD" w:rsidRPr="00100821" w:rsidRDefault="009D0FAD" w:rsidP="00133AD7">
            <w:pPr>
              <w:widowControl w:val="0"/>
              <w:tabs>
                <w:tab w:val="left" w:pos="360"/>
              </w:tabs>
              <w:spacing w:line="260" w:lineRule="exact"/>
              <w:outlineLvl w:val="0"/>
              <w:rPr>
                <w:rFonts w:cs="Arial"/>
                <w:bCs/>
                <w:kern w:val="32"/>
                <w:szCs w:val="20"/>
                <w:lang w:eastAsia="sl-SI"/>
              </w:rPr>
            </w:pPr>
          </w:p>
        </w:tc>
        <w:tc>
          <w:tcPr>
            <w:tcW w:w="1496" w:type="dxa"/>
            <w:gridSpan w:val="2"/>
            <w:tcBorders>
              <w:top w:val="single" w:sz="4" w:space="0" w:color="auto"/>
              <w:left w:val="single" w:sz="4" w:space="0" w:color="auto"/>
              <w:bottom w:val="single" w:sz="4" w:space="0" w:color="auto"/>
              <w:right w:val="single" w:sz="4" w:space="0" w:color="auto"/>
            </w:tcBorders>
            <w:vAlign w:val="center"/>
          </w:tcPr>
          <w:p w14:paraId="01F1D1BC" w14:textId="77777777" w:rsidR="009D0FAD" w:rsidRPr="00100821" w:rsidRDefault="009D0FAD" w:rsidP="00133AD7">
            <w:pPr>
              <w:widowControl w:val="0"/>
              <w:tabs>
                <w:tab w:val="left" w:pos="360"/>
              </w:tabs>
              <w:spacing w:line="260" w:lineRule="exact"/>
              <w:outlineLvl w:val="0"/>
              <w:rPr>
                <w:rFonts w:cs="Arial"/>
                <w:bCs/>
                <w:kern w:val="32"/>
                <w:szCs w:val="20"/>
                <w:lang w:eastAsia="sl-SI"/>
              </w:rPr>
            </w:pPr>
          </w:p>
        </w:tc>
        <w:tc>
          <w:tcPr>
            <w:tcW w:w="1339" w:type="dxa"/>
            <w:tcBorders>
              <w:top w:val="single" w:sz="4" w:space="0" w:color="auto"/>
              <w:left w:val="single" w:sz="4" w:space="0" w:color="auto"/>
              <w:bottom w:val="single" w:sz="4" w:space="0" w:color="auto"/>
              <w:right w:val="single" w:sz="4" w:space="0" w:color="auto"/>
            </w:tcBorders>
            <w:vAlign w:val="center"/>
          </w:tcPr>
          <w:p w14:paraId="3507D025" w14:textId="77777777" w:rsidR="009D0FAD" w:rsidRPr="00100821" w:rsidRDefault="009D0FAD" w:rsidP="00133AD7">
            <w:pPr>
              <w:widowControl w:val="0"/>
              <w:tabs>
                <w:tab w:val="left" w:pos="360"/>
              </w:tabs>
              <w:spacing w:line="260" w:lineRule="exact"/>
              <w:outlineLvl w:val="0"/>
              <w:rPr>
                <w:rFonts w:cs="Arial"/>
                <w:bCs/>
                <w:kern w:val="32"/>
                <w:szCs w:val="20"/>
                <w:lang w:eastAsia="sl-SI"/>
              </w:rPr>
            </w:pPr>
          </w:p>
        </w:tc>
      </w:tr>
      <w:tr w:rsidR="009D0FAD" w:rsidRPr="00100821" w14:paraId="3928B577" w14:textId="77777777" w:rsidTr="00133AD7">
        <w:trPr>
          <w:cantSplit/>
          <w:trHeight w:val="95"/>
        </w:trPr>
        <w:tc>
          <w:tcPr>
            <w:tcW w:w="1605" w:type="dxa"/>
            <w:tcBorders>
              <w:top w:val="single" w:sz="4" w:space="0" w:color="auto"/>
              <w:left w:val="single" w:sz="4" w:space="0" w:color="auto"/>
              <w:bottom w:val="single" w:sz="4" w:space="0" w:color="auto"/>
              <w:right w:val="single" w:sz="4" w:space="0" w:color="auto"/>
            </w:tcBorders>
            <w:vAlign w:val="center"/>
          </w:tcPr>
          <w:p w14:paraId="433D366B" w14:textId="77777777" w:rsidR="009D0FAD" w:rsidRPr="00100821" w:rsidRDefault="009D0FAD" w:rsidP="00133AD7">
            <w:pPr>
              <w:widowControl w:val="0"/>
              <w:tabs>
                <w:tab w:val="left" w:pos="360"/>
              </w:tabs>
              <w:spacing w:line="260" w:lineRule="exact"/>
              <w:outlineLvl w:val="0"/>
              <w:rPr>
                <w:rFonts w:cs="Arial"/>
                <w:bCs/>
                <w:kern w:val="32"/>
                <w:szCs w:val="20"/>
                <w:lang w:eastAsia="sl-SI"/>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1E5D7CE4" w14:textId="77777777" w:rsidR="009D0FAD" w:rsidRPr="00100821" w:rsidRDefault="009D0FAD" w:rsidP="00133AD7">
            <w:pPr>
              <w:widowControl w:val="0"/>
              <w:tabs>
                <w:tab w:val="left" w:pos="360"/>
              </w:tabs>
              <w:spacing w:line="260" w:lineRule="exact"/>
              <w:outlineLvl w:val="0"/>
              <w:rPr>
                <w:rFonts w:cs="Arial"/>
                <w:bCs/>
                <w:kern w:val="32"/>
                <w:szCs w:val="20"/>
                <w:lang w:eastAsia="sl-SI"/>
              </w:rPr>
            </w:pPr>
          </w:p>
        </w:tc>
        <w:tc>
          <w:tcPr>
            <w:tcW w:w="2067" w:type="dxa"/>
            <w:gridSpan w:val="2"/>
            <w:tcBorders>
              <w:top w:val="single" w:sz="4" w:space="0" w:color="auto"/>
              <w:left w:val="single" w:sz="4" w:space="0" w:color="auto"/>
              <w:bottom w:val="single" w:sz="4" w:space="0" w:color="auto"/>
              <w:right w:val="single" w:sz="4" w:space="0" w:color="auto"/>
            </w:tcBorders>
            <w:vAlign w:val="center"/>
          </w:tcPr>
          <w:p w14:paraId="038CFE63" w14:textId="77777777" w:rsidR="009D0FAD" w:rsidRPr="00100821" w:rsidRDefault="009D0FAD" w:rsidP="00133AD7">
            <w:pPr>
              <w:widowControl w:val="0"/>
              <w:tabs>
                <w:tab w:val="left" w:pos="360"/>
              </w:tabs>
              <w:spacing w:line="260" w:lineRule="exact"/>
              <w:outlineLvl w:val="0"/>
              <w:rPr>
                <w:rFonts w:cs="Arial"/>
                <w:bCs/>
                <w:kern w:val="32"/>
                <w:szCs w:val="20"/>
                <w:lang w:eastAsia="sl-SI"/>
              </w:rPr>
            </w:pPr>
          </w:p>
        </w:tc>
        <w:tc>
          <w:tcPr>
            <w:tcW w:w="1496" w:type="dxa"/>
            <w:gridSpan w:val="2"/>
            <w:tcBorders>
              <w:top w:val="single" w:sz="4" w:space="0" w:color="auto"/>
              <w:left w:val="single" w:sz="4" w:space="0" w:color="auto"/>
              <w:bottom w:val="single" w:sz="4" w:space="0" w:color="auto"/>
              <w:right w:val="single" w:sz="4" w:space="0" w:color="auto"/>
            </w:tcBorders>
            <w:vAlign w:val="center"/>
          </w:tcPr>
          <w:p w14:paraId="5307E159" w14:textId="77777777" w:rsidR="009D0FAD" w:rsidRPr="00100821" w:rsidRDefault="009D0FAD" w:rsidP="00133AD7">
            <w:pPr>
              <w:widowControl w:val="0"/>
              <w:tabs>
                <w:tab w:val="left" w:pos="360"/>
              </w:tabs>
              <w:spacing w:line="260" w:lineRule="exact"/>
              <w:outlineLvl w:val="0"/>
              <w:rPr>
                <w:rFonts w:cs="Arial"/>
                <w:bCs/>
                <w:kern w:val="32"/>
                <w:szCs w:val="20"/>
                <w:lang w:eastAsia="sl-SI"/>
              </w:rPr>
            </w:pPr>
          </w:p>
        </w:tc>
        <w:tc>
          <w:tcPr>
            <w:tcW w:w="1339" w:type="dxa"/>
            <w:tcBorders>
              <w:top w:val="single" w:sz="4" w:space="0" w:color="auto"/>
              <w:left w:val="single" w:sz="4" w:space="0" w:color="auto"/>
              <w:bottom w:val="single" w:sz="4" w:space="0" w:color="auto"/>
              <w:right w:val="single" w:sz="4" w:space="0" w:color="auto"/>
            </w:tcBorders>
            <w:vAlign w:val="center"/>
          </w:tcPr>
          <w:p w14:paraId="705CF4D0" w14:textId="77777777" w:rsidR="009D0FAD" w:rsidRPr="00100821" w:rsidRDefault="009D0FAD" w:rsidP="00133AD7">
            <w:pPr>
              <w:widowControl w:val="0"/>
              <w:tabs>
                <w:tab w:val="left" w:pos="360"/>
              </w:tabs>
              <w:spacing w:line="260" w:lineRule="exact"/>
              <w:outlineLvl w:val="0"/>
              <w:rPr>
                <w:rFonts w:cs="Arial"/>
                <w:bCs/>
                <w:kern w:val="32"/>
                <w:szCs w:val="20"/>
                <w:lang w:eastAsia="sl-SI"/>
              </w:rPr>
            </w:pPr>
          </w:p>
        </w:tc>
      </w:tr>
      <w:tr w:rsidR="009D0FAD" w:rsidRPr="00100821" w14:paraId="5A367F45" w14:textId="77777777" w:rsidTr="00133AD7">
        <w:trPr>
          <w:cantSplit/>
          <w:trHeight w:val="95"/>
        </w:trPr>
        <w:tc>
          <w:tcPr>
            <w:tcW w:w="6365" w:type="dxa"/>
            <w:gridSpan w:val="5"/>
            <w:tcBorders>
              <w:top w:val="single" w:sz="4" w:space="0" w:color="auto"/>
              <w:left w:val="single" w:sz="4" w:space="0" w:color="auto"/>
              <w:bottom w:val="single" w:sz="4" w:space="0" w:color="auto"/>
              <w:right w:val="single" w:sz="4" w:space="0" w:color="auto"/>
            </w:tcBorders>
            <w:vAlign w:val="center"/>
          </w:tcPr>
          <w:p w14:paraId="69C67144" w14:textId="77777777" w:rsidR="009D0FAD" w:rsidRPr="00100821" w:rsidRDefault="009D0FAD" w:rsidP="00133AD7">
            <w:pPr>
              <w:widowControl w:val="0"/>
              <w:tabs>
                <w:tab w:val="left" w:pos="360"/>
              </w:tabs>
              <w:spacing w:line="260" w:lineRule="exact"/>
              <w:outlineLvl w:val="0"/>
              <w:rPr>
                <w:rFonts w:cs="Arial"/>
                <w:b/>
                <w:kern w:val="32"/>
                <w:szCs w:val="20"/>
                <w:lang w:eastAsia="sl-SI"/>
              </w:rPr>
            </w:pPr>
            <w:bookmarkStart w:id="7" w:name="_Toc51673415"/>
            <w:r w:rsidRPr="00100821">
              <w:rPr>
                <w:rFonts w:cs="Arial"/>
                <w:b/>
                <w:kern w:val="32"/>
                <w:szCs w:val="20"/>
                <w:lang w:eastAsia="sl-SI"/>
              </w:rPr>
              <w:t>SKUPAJ</w:t>
            </w:r>
            <w:bookmarkEnd w:id="7"/>
          </w:p>
        </w:tc>
        <w:tc>
          <w:tcPr>
            <w:tcW w:w="1496" w:type="dxa"/>
            <w:gridSpan w:val="2"/>
            <w:tcBorders>
              <w:top w:val="single" w:sz="4" w:space="0" w:color="auto"/>
              <w:left w:val="single" w:sz="4" w:space="0" w:color="auto"/>
              <w:bottom w:val="single" w:sz="4" w:space="0" w:color="auto"/>
              <w:right w:val="single" w:sz="4" w:space="0" w:color="auto"/>
            </w:tcBorders>
            <w:vAlign w:val="center"/>
          </w:tcPr>
          <w:p w14:paraId="7CF43223" w14:textId="77777777" w:rsidR="009D0FAD" w:rsidRPr="00100821" w:rsidRDefault="009D0FAD" w:rsidP="00133AD7">
            <w:pPr>
              <w:widowControl w:val="0"/>
              <w:tabs>
                <w:tab w:val="left" w:pos="360"/>
              </w:tabs>
              <w:spacing w:line="260" w:lineRule="exact"/>
              <w:outlineLvl w:val="0"/>
              <w:rPr>
                <w:rFonts w:cs="Arial"/>
                <w:b/>
                <w:kern w:val="32"/>
                <w:szCs w:val="20"/>
                <w:lang w:eastAsia="sl-SI"/>
              </w:rPr>
            </w:pPr>
          </w:p>
        </w:tc>
        <w:tc>
          <w:tcPr>
            <w:tcW w:w="1339" w:type="dxa"/>
            <w:tcBorders>
              <w:top w:val="single" w:sz="4" w:space="0" w:color="auto"/>
              <w:left w:val="single" w:sz="4" w:space="0" w:color="auto"/>
              <w:bottom w:val="single" w:sz="4" w:space="0" w:color="auto"/>
              <w:right w:val="single" w:sz="4" w:space="0" w:color="auto"/>
            </w:tcBorders>
            <w:vAlign w:val="center"/>
          </w:tcPr>
          <w:p w14:paraId="3F347342" w14:textId="77777777" w:rsidR="009D0FAD" w:rsidRPr="00100821" w:rsidRDefault="009D0FAD" w:rsidP="00133AD7">
            <w:pPr>
              <w:widowControl w:val="0"/>
              <w:tabs>
                <w:tab w:val="left" w:pos="360"/>
              </w:tabs>
              <w:spacing w:line="260" w:lineRule="exact"/>
              <w:outlineLvl w:val="0"/>
              <w:rPr>
                <w:rFonts w:cs="Arial"/>
                <w:b/>
                <w:kern w:val="32"/>
                <w:szCs w:val="20"/>
                <w:lang w:eastAsia="sl-SI"/>
              </w:rPr>
            </w:pPr>
          </w:p>
        </w:tc>
      </w:tr>
      <w:tr w:rsidR="009D0FAD" w:rsidRPr="00100821" w14:paraId="37458610" w14:textId="77777777" w:rsidTr="00133AD7">
        <w:trPr>
          <w:cantSplit/>
          <w:trHeight w:val="207"/>
        </w:trPr>
        <w:tc>
          <w:tcPr>
            <w:tcW w:w="9200" w:type="dxa"/>
            <w:gridSpan w:val="8"/>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77BD612A" w14:textId="77777777" w:rsidR="009D0FAD" w:rsidRPr="00100821" w:rsidRDefault="009D0FAD" w:rsidP="00133AD7">
            <w:pPr>
              <w:widowControl w:val="0"/>
              <w:tabs>
                <w:tab w:val="left" w:pos="2340"/>
              </w:tabs>
              <w:spacing w:line="260" w:lineRule="exact"/>
              <w:outlineLvl w:val="0"/>
              <w:rPr>
                <w:rFonts w:cs="Arial"/>
                <w:b/>
                <w:kern w:val="32"/>
                <w:szCs w:val="20"/>
                <w:lang w:eastAsia="sl-SI"/>
              </w:rPr>
            </w:pPr>
            <w:bookmarkStart w:id="8" w:name="_Toc51673416"/>
            <w:r w:rsidRPr="00100821">
              <w:rPr>
                <w:rFonts w:cs="Arial"/>
                <w:b/>
                <w:kern w:val="32"/>
                <w:szCs w:val="20"/>
                <w:lang w:eastAsia="sl-SI"/>
              </w:rPr>
              <w:t>II.c Načrtovana nadomestitev zmanjšanih prihodkov in povečanih odhodkov proračuna:</w:t>
            </w:r>
            <w:bookmarkEnd w:id="8"/>
          </w:p>
        </w:tc>
      </w:tr>
      <w:tr w:rsidR="009D0FAD" w:rsidRPr="00100821" w14:paraId="42F1A0E5" w14:textId="77777777" w:rsidTr="00133AD7">
        <w:trPr>
          <w:cantSplit/>
          <w:trHeight w:val="100"/>
        </w:trPr>
        <w:tc>
          <w:tcPr>
            <w:tcW w:w="4298" w:type="dxa"/>
            <w:gridSpan w:val="3"/>
            <w:tcBorders>
              <w:top w:val="single" w:sz="4" w:space="0" w:color="auto"/>
              <w:left w:val="single" w:sz="4" w:space="0" w:color="auto"/>
              <w:bottom w:val="single" w:sz="4" w:space="0" w:color="auto"/>
              <w:right w:val="single" w:sz="4" w:space="0" w:color="auto"/>
            </w:tcBorders>
            <w:vAlign w:val="center"/>
          </w:tcPr>
          <w:p w14:paraId="0134ECC2" w14:textId="77777777" w:rsidR="009D0FAD" w:rsidRPr="00100821" w:rsidRDefault="009D0FAD" w:rsidP="00133AD7">
            <w:pPr>
              <w:widowControl w:val="0"/>
              <w:spacing w:line="260" w:lineRule="exact"/>
              <w:ind w:left="-122" w:right="-112"/>
              <w:jc w:val="center"/>
              <w:rPr>
                <w:rFonts w:cs="Arial"/>
                <w:szCs w:val="20"/>
              </w:rPr>
            </w:pPr>
            <w:r w:rsidRPr="00100821">
              <w:rPr>
                <w:rFonts w:cs="Arial"/>
                <w:szCs w:val="20"/>
              </w:rPr>
              <w:t>Novi prihodki</w:t>
            </w:r>
          </w:p>
        </w:tc>
        <w:tc>
          <w:tcPr>
            <w:tcW w:w="2067" w:type="dxa"/>
            <w:gridSpan w:val="2"/>
            <w:tcBorders>
              <w:top w:val="single" w:sz="4" w:space="0" w:color="auto"/>
              <w:left w:val="single" w:sz="4" w:space="0" w:color="auto"/>
              <w:bottom w:val="single" w:sz="4" w:space="0" w:color="auto"/>
              <w:right w:val="single" w:sz="4" w:space="0" w:color="auto"/>
            </w:tcBorders>
            <w:vAlign w:val="center"/>
          </w:tcPr>
          <w:p w14:paraId="666B72E4" w14:textId="77777777" w:rsidR="009D0FAD" w:rsidRPr="00100821" w:rsidRDefault="009D0FAD" w:rsidP="00133AD7">
            <w:pPr>
              <w:widowControl w:val="0"/>
              <w:spacing w:line="260" w:lineRule="exact"/>
              <w:ind w:left="-122" w:right="-112"/>
              <w:jc w:val="center"/>
              <w:rPr>
                <w:rFonts w:cs="Arial"/>
                <w:szCs w:val="20"/>
              </w:rPr>
            </w:pPr>
            <w:r w:rsidRPr="00100821">
              <w:rPr>
                <w:rFonts w:cs="Arial"/>
                <w:szCs w:val="20"/>
              </w:rPr>
              <w:t>Znesek za tekoče leto (t)</w:t>
            </w: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4323794F" w14:textId="77777777" w:rsidR="009D0FAD" w:rsidRPr="00100821" w:rsidRDefault="009D0FAD" w:rsidP="00133AD7">
            <w:pPr>
              <w:widowControl w:val="0"/>
              <w:spacing w:line="260" w:lineRule="exact"/>
              <w:ind w:left="-122" w:right="-112"/>
              <w:jc w:val="center"/>
              <w:rPr>
                <w:rFonts w:cs="Arial"/>
                <w:szCs w:val="20"/>
              </w:rPr>
            </w:pPr>
            <w:r w:rsidRPr="00100821">
              <w:rPr>
                <w:rFonts w:cs="Arial"/>
                <w:szCs w:val="20"/>
              </w:rPr>
              <w:t>Znesek za t + 1</w:t>
            </w:r>
          </w:p>
        </w:tc>
      </w:tr>
      <w:tr w:rsidR="009D0FAD" w:rsidRPr="00100821" w14:paraId="4C82D17C" w14:textId="77777777" w:rsidTr="00133AD7">
        <w:trPr>
          <w:cantSplit/>
          <w:trHeight w:val="95"/>
        </w:trPr>
        <w:tc>
          <w:tcPr>
            <w:tcW w:w="4298" w:type="dxa"/>
            <w:gridSpan w:val="3"/>
            <w:tcBorders>
              <w:top w:val="single" w:sz="4" w:space="0" w:color="auto"/>
              <w:left w:val="single" w:sz="4" w:space="0" w:color="auto"/>
              <w:bottom w:val="single" w:sz="4" w:space="0" w:color="auto"/>
              <w:right w:val="single" w:sz="4" w:space="0" w:color="auto"/>
            </w:tcBorders>
            <w:vAlign w:val="center"/>
          </w:tcPr>
          <w:p w14:paraId="4AB638D3" w14:textId="77777777" w:rsidR="009D0FAD" w:rsidRPr="00100821" w:rsidRDefault="009D0FAD" w:rsidP="00133AD7">
            <w:pPr>
              <w:widowControl w:val="0"/>
              <w:tabs>
                <w:tab w:val="left" w:pos="360"/>
              </w:tabs>
              <w:spacing w:line="260" w:lineRule="exact"/>
              <w:outlineLvl w:val="0"/>
              <w:rPr>
                <w:rFonts w:cs="Arial"/>
                <w:bCs/>
                <w:kern w:val="32"/>
                <w:szCs w:val="20"/>
                <w:lang w:eastAsia="sl-SI"/>
              </w:rPr>
            </w:pPr>
          </w:p>
        </w:tc>
        <w:tc>
          <w:tcPr>
            <w:tcW w:w="2067" w:type="dxa"/>
            <w:gridSpan w:val="2"/>
            <w:tcBorders>
              <w:top w:val="single" w:sz="4" w:space="0" w:color="auto"/>
              <w:left w:val="single" w:sz="4" w:space="0" w:color="auto"/>
              <w:bottom w:val="single" w:sz="4" w:space="0" w:color="auto"/>
              <w:right w:val="single" w:sz="4" w:space="0" w:color="auto"/>
            </w:tcBorders>
            <w:vAlign w:val="center"/>
          </w:tcPr>
          <w:p w14:paraId="4BAEC301" w14:textId="77777777" w:rsidR="009D0FAD" w:rsidRPr="00100821" w:rsidRDefault="009D0FAD" w:rsidP="00133AD7">
            <w:pPr>
              <w:widowControl w:val="0"/>
              <w:tabs>
                <w:tab w:val="left" w:pos="360"/>
              </w:tabs>
              <w:spacing w:line="260" w:lineRule="exact"/>
              <w:outlineLvl w:val="0"/>
              <w:rPr>
                <w:rFonts w:cs="Arial"/>
                <w:bCs/>
                <w:kern w:val="32"/>
                <w:szCs w:val="20"/>
                <w:lang w:eastAsia="sl-SI"/>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0A7BDABA" w14:textId="77777777" w:rsidR="009D0FAD" w:rsidRPr="00100821" w:rsidRDefault="009D0FAD" w:rsidP="00133AD7">
            <w:pPr>
              <w:widowControl w:val="0"/>
              <w:tabs>
                <w:tab w:val="left" w:pos="360"/>
              </w:tabs>
              <w:spacing w:line="260" w:lineRule="exact"/>
              <w:outlineLvl w:val="0"/>
              <w:rPr>
                <w:rFonts w:cs="Arial"/>
                <w:bCs/>
                <w:kern w:val="32"/>
                <w:szCs w:val="20"/>
                <w:lang w:eastAsia="sl-SI"/>
              </w:rPr>
            </w:pPr>
          </w:p>
        </w:tc>
      </w:tr>
      <w:tr w:rsidR="009D0FAD" w:rsidRPr="00100821" w14:paraId="482AA8BF" w14:textId="77777777" w:rsidTr="00133AD7">
        <w:trPr>
          <w:cantSplit/>
          <w:trHeight w:val="95"/>
        </w:trPr>
        <w:tc>
          <w:tcPr>
            <w:tcW w:w="4298" w:type="dxa"/>
            <w:gridSpan w:val="3"/>
            <w:tcBorders>
              <w:top w:val="single" w:sz="4" w:space="0" w:color="auto"/>
              <w:left w:val="single" w:sz="4" w:space="0" w:color="auto"/>
              <w:bottom w:val="single" w:sz="4" w:space="0" w:color="auto"/>
              <w:right w:val="single" w:sz="4" w:space="0" w:color="auto"/>
            </w:tcBorders>
            <w:vAlign w:val="center"/>
          </w:tcPr>
          <w:p w14:paraId="51AB5990" w14:textId="77777777" w:rsidR="009D0FAD" w:rsidRPr="00100821" w:rsidRDefault="009D0FAD" w:rsidP="00133AD7">
            <w:pPr>
              <w:widowControl w:val="0"/>
              <w:tabs>
                <w:tab w:val="left" w:pos="360"/>
              </w:tabs>
              <w:spacing w:line="260" w:lineRule="exact"/>
              <w:outlineLvl w:val="0"/>
              <w:rPr>
                <w:rFonts w:cs="Arial"/>
                <w:bCs/>
                <w:kern w:val="32"/>
                <w:szCs w:val="20"/>
                <w:lang w:eastAsia="sl-SI"/>
              </w:rPr>
            </w:pPr>
          </w:p>
        </w:tc>
        <w:tc>
          <w:tcPr>
            <w:tcW w:w="2067" w:type="dxa"/>
            <w:gridSpan w:val="2"/>
            <w:tcBorders>
              <w:top w:val="single" w:sz="4" w:space="0" w:color="auto"/>
              <w:left w:val="single" w:sz="4" w:space="0" w:color="auto"/>
              <w:bottom w:val="single" w:sz="4" w:space="0" w:color="auto"/>
              <w:right w:val="single" w:sz="4" w:space="0" w:color="auto"/>
            </w:tcBorders>
            <w:vAlign w:val="center"/>
          </w:tcPr>
          <w:p w14:paraId="3597C926" w14:textId="77777777" w:rsidR="009D0FAD" w:rsidRPr="00100821" w:rsidRDefault="009D0FAD" w:rsidP="00133AD7">
            <w:pPr>
              <w:widowControl w:val="0"/>
              <w:tabs>
                <w:tab w:val="left" w:pos="360"/>
              </w:tabs>
              <w:spacing w:line="260" w:lineRule="exact"/>
              <w:outlineLvl w:val="0"/>
              <w:rPr>
                <w:rFonts w:cs="Arial"/>
                <w:bCs/>
                <w:kern w:val="32"/>
                <w:szCs w:val="20"/>
                <w:lang w:eastAsia="sl-SI"/>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1B0C767F" w14:textId="77777777" w:rsidR="009D0FAD" w:rsidRPr="00100821" w:rsidRDefault="009D0FAD" w:rsidP="00133AD7">
            <w:pPr>
              <w:widowControl w:val="0"/>
              <w:tabs>
                <w:tab w:val="left" w:pos="360"/>
              </w:tabs>
              <w:spacing w:line="260" w:lineRule="exact"/>
              <w:outlineLvl w:val="0"/>
              <w:rPr>
                <w:rFonts w:cs="Arial"/>
                <w:bCs/>
                <w:kern w:val="32"/>
                <w:szCs w:val="20"/>
                <w:lang w:eastAsia="sl-SI"/>
              </w:rPr>
            </w:pPr>
          </w:p>
        </w:tc>
      </w:tr>
      <w:tr w:rsidR="009D0FAD" w:rsidRPr="00100821" w14:paraId="23F3D36A" w14:textId="77777777" w:rsidTr="00133AD7">
        <w:trPr>
          <w:cantSplit/>
          <w:trHeight w:val="95"/>
        </w:trPr>
        <w:tc>
          <w:tcPr>
            <w:tcW w:w="4298" w:type="dxa"/>
            <w:gridSpan w:val="3"/>
            <w:tcBorders>
              <w:top w:val="single" w:sz="4" w:space="0" w:color="auto"/>
              <w:left w:val="single" w:sz="4" w:space="0" w:color="auto"/>
              <w:bottom w:val="single" w:sz="4" w:space="0" w:color="auto"/>
              <w:right w:val="single" w:sz="4" w:space="0" w:color="auto"/>
            </w:tcBorders>
            <w:vAlign w:val="center"/>
          </w:tcPr>
          <w:p w14:paraId="27989396" w14:textId="77777777" w:rsidR="009D0FAD" w:rsidRPr="00100821" w:rsidRDefault="009D0FAD" w:rsidP="00133AD7">
            <w:pPr>
              <w:widowControl w:val="0"/>
              <w:tabs>
                <w:tab w:val="left" w:pos="360"/>
              </w:tabs>
              <w:spacing w:line="260" w:lineRule="exact"/>
              <w:outlineLvl w:val="0"/>
              <w:rPr>
                <w:rFonts w:cs="Arial"/>
                <w:bCs/>
                <w:kern w:val="32"/>
                <w:szCs w:val="20"/>
                <w:lang w:eastAsia="sl-SI"/>
              </w:rPr>
            </w:pPr>
          </w:p>
        </w:tc>
        <w:tc>
          <w:tcPr>
            <w:tcW w:w="2067" w:type="dxa"/>
            <w:gridSpan w:val="2"/>
            <w:tcBorders>
              <w:top w:val="single" w:sz="4" w:space="0" w:color="auto"/>
              <w:left w:val="single" w:sz="4" w:space="0" w:color="auto"/>
              <w:bottom w:val="single" w:sz="4" w:space="0" w:color="auto"/>
              <w:right w:val="single" w:sz="4" w:space="0" w:color="auto"/>
            </w:tcBorders>
            <w:vAlign w:val="center"/>
          </w:tcPr>
          <w:p w14:paraId="2362A00F" w14:textId="77777777" w:rsidR="009D0FAD" w:rsidRPr="00100821" w:rsidRDefault="009D0FAD" w:rsidP="00133AD7">
            <w:pPr>
              <w:widowControl w:val="0"/>
              <w:tabs>
                <w:tab w:val="left" w:pos="360"/>
              </w:tabs>
              <w:spacing w:line="260" w:lineRule="exact"/>
              <w:outlineLvl w:val="0"/>
              <w:rPr>
                <w:rFonts w:cs="Arial"/>
                <w:bCs/>
                <w:kern w:val="32"/>
                <w:szCs w:val="20"/>
                <w:lang w:eastAsia="sl-SI"/>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19A32CA1" w14:textId="77777777" w:rsidR="009D0FAD" w:rsidRPr="00100821" w:rsidRDefault="009D0FAD" w:rsidP="00133AD7">
            <w:pPr>
              <w:widowControl w:val="0"/>
              <w:tabs>
                <w:tab w:val="left" w:pos="360"/>
              </w:tabs>
              <w:spacing w:line="260" w:lineRule="exact"/>
              <w:outlineLvl w:val="0"/>
              <w:rPr>
                <w:rFonts w:cs="Arial"/>
                <w:bCs/>
                <w:kern w:val="32"/>
                <w:szCs w:val="20"/>
                <w:lang w:eastAsia="sl-SI"/>
              </w:rPr>
            </w:pPr>
          </w:p>
        </w:tc>
      </w:tr>
      <w:tr w:rsidR="009D0FAD" w:rsidRPr="00100821" w14:paraId="66542B52" w14:textId="77777777" w:rsidTr="00133AD7">
        <w:trPr>
          <w:cantSplit/>
          <w:trHeight w:val="95"/>
        </w:trPr>
        <w:tc>
          <w:tcPr>
            <w:tcW w:w="4298" w:type="dxa"/>
            <w:gridSpan w:val="3"/>
            <w:tcBorders>
              <w:top w:val="single" w:sz="4" w:space="0" w:color="auto"/>
              <w:left w:val="single" w:sz="4" w:space="0" w:color="auto"/>
              <w:bottom w:val="single" w:sz="4" w:space="0" w:color="auto"/>
              <w:right w:val="single" w:sz="4" w:space="0" w:color="auto"/>
            </w:tcBorders>
            <w:vAlign w:val="center"/>
          </w:tcPr>
          <w:p w14:paraId="5C024274" w14:textId="77777777" w:rsidR="009D0FAD" w:rsidRPr="00100821" w:rsidRDefault="009D0FAD" w:rsidP="00133AD7">
            <w:pPr>
              <w:widowControl w:val="0"/>
              <w:tabs>
                <w:tab w:val="left" w:pos="360"/>
              </w:tabs>
              <w:spacing w:line="260" w:lineRule="exact"/>
              <w:outlineLvl w:val="0"/>
              <w:rPr>
                <w:rFonts w:cs="Arial"/>
                <w:b/>
                <w:kern w:val="32"/>
                <w:szCs w:val="20"/>
                <w:lang w:eastAsia="sl-SI"/>
              </w:rPr>
            </w:pPr>
            <w:bookmarkStart w:id="9" w:name="_Toc51673417"/>
            <w:r w:rsidRPr="00100821">
              <w:rPr>
                <w:rFonts w:cs="Arial"/>
                <w:b/>
                <w:kern w:val="32"/>
                <w:szCs w:val="20"/>
                <w:lang w:eastAsia="sl-SI"/>
              </w:rPr>
              <w:t>SKUPAJ</w:t>
            </w:r>
            <w:bookmarkEnd w:id="9"/>
          </w:p>
        </w:tc>
        <w:tc>
          <w:tcPr>
            <w:tcW w:w="2067" w:type="dxa"/>
            <w:gridSpan w:val="2"/>
            <w:tcBorders>
              <w:top w:val="single" w:sz="4" w:space="0" w:color="auto"/>
              <w:left w:val="single" w:sz="4" w:space="0" w:color="auto"/>
              <w:bottom w:val="single" w:sz="4" w:space="0" w:color="auto"/>
              <w:right w:val="single" w:sz="4" w:space="0" w:color="auto"/>
            </w:tcBorders>
            <w:vAlign w:val="center"/>
          </w:tcPr>
          <w:p w14:paraId="5DBC37C7" w14:textId="77777777" w:rsidR="009D0FAD" w:rsidRPr="00100821" w:rsidRDefault="009D0FAD" w:rsidP="00133AD7">
            <w:pPr>
              <w:widowControl w:val="0"/>
              <w:tabs>
                <w:tab w:val="left" w:pos="360"/>
              </w:tabs>
              <w:spacing w:line="260" w:lineRule="exact"/>
              <w:outlineLvl w:val="0"/>
              <w:rPr>
                <w:rFonts w:cs="Arial"/>
                <w:b/>
                <w:kern w:val="32"/>
                <w:szCs w:val="20"/>
                <w:lang w:eastAsia="sl-SI"/>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18B4ACC1" w14:textId="77777777" w:rsidR="009D0FAD" w:rsidRPr="00100821" w:rsidRDefault="009D0FAD" w:rsidP="00133AD7">
            <w:pPr>
              <w:widowControl w:val="0"/>
              <w:tabs>
                <w:tab w:val="left" w:pos="360"/>
              </w:tabs>
              <w:spacing w:line="260" w:lineRule="exact"/>
              <w:outlineLvl w:val="0"/>
              <w:rPr>
                <w:rFonts w:cs="Arial"/>
                <w:b/>
                <w:kern w:val="32"/>
                <w:szCs w:val="20"/>
                <w:lang w:eastAsia="sl-SI"/>
              </w:rPr>
            </w:pPr>
          </w:p>
        </w:tc>
      </w:tr>
      <w:tr w:rsidR="009D0FAD" w:rsidRPr="00100821" w14:paraId="3EB32A17" w14:textId="77777777" w:rsidTr="00133A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8"/>
          </w:tcPr>
          <w:p w14:paraId="460EE65E" w14:textId="77777777" w:rsidR="009D0FAD" w:rsidRPr="00100821" w:rsidRDefault="009D0FAD" w:rsidP="00133AD7">
            <w:pPr>
              <w:widowControl w:val="0"/>
              <w:spacing w:line="260" w:lineRule="exact"/>
              <w:rPr>
                <w:rFonts w:cs="Arial"/>
                <w:b/>
                <w:szCs w:val="20"/>
              </w:rPr>
            </w:pPr>
          </w:p>
          <w:p w14:paraId="44A88E79" w14:textId="77777777" w:rsidR="009D0FAD" w:rsidRPr="00100821" w:rsidRDefault="009D0FAD" w:rsidP="00133AD7">
            <w:pPr>
              <w:widowControl w:val="0"/>
              <w:spacing w:line="260" w:lineRule="exact"/>
              <w:rPr>
                <w:rFonts w:cs="Arial"/>
                <w:b/>
                <w:szCs w:val="20"/>
              </w:rPr>
            </w:pPr>
            <w:r w:rsidRPr="00100821">
              <w:rPr>
                <w:rFonts w:cs="Arial"/>
                <w:b/>
                <w:szCs w:val="20"/>
              </w:rPr>
              <w:t>OBRAZLOŽITEV:</w:t>
            </w:r>
          </w:p>
          <w:p w14:paraId="116E8822" w14:textId="77777777" w:rsidR="009D0FAD" w:rsidRPr="00100821" w:rsidRDefault="009D0FAD" w:rsidP="009D0FAD">
            <w:pPr>
              <w:widowControl w:val="0"/>
              <w:numPr>
                <w:ilvl w:val="0"/>
                <w:numId w:val="1"/>
              </w:numPr>
              <w:suppressAutoHyphens/>
              <w:spacing w:after="160" w:line="260" w:lineRule="exact"/>
              <w:ind w:left="284" w:hanging="284"/>
              <w:jc w:val="both"/>
              <w:rPr>
                <w:rFonts w:cs="Arial"/>
                <w:b/>
                <w:szCs w:val="20"/>
                <w:lang w:eastAsia="sl-SI"/>
              </w:rPr>
            </w:pPr>
            <w:r w:rsidRPr="00100821">
              <w:rPr>
                <w:rFonts w:cs="Arial"/>
                <w:b/>
                <w:szCs w:val="20"/>
                <w:lang w:eastAsia="sl-SI"/>
              </w:rPr>
              <w:t>Ocena finančnih posledic, ki niso načrtovane v sprejetem proračunu</w:t>
            </w:r>
          </w:p>
          <w:p w14:paraId="58694177" w14:textId="77777777" w:rsidR="009D0FAD" w:rsidRPr="00100821" w:rsidRDefault="009D0FAD" w:rsidP="00133AD7">
            <w:pPr>
              <w:widowControl w:val="0"/>
              <w:spacing w:line="260" w:lineRule="exact"/>
              <w:ind w:left="360" w:hanging="76"/>
              <w:jc w:val="both"/>
              <w:rPr>
                <w:rFonts w:cs="Arial"/>
                <w:szCs w:val="20"/>
                <w:lang w:eastAsia="sl-SI"/>
              </w:rPr>
            </w:pPr>
            <w:r w:rsidRPr="00100821">
              <w:rPr>
                <w:rFonts w:cs="Arial"/>
                <w:szCs w:val="20"/>
                <w:lang w:eastAsia="sl-SI"/>
              </w:rPr>
              <w:t>V zvezi s predlaganim vladnim gradivom se navedejo predvidene spremembe (povečanje, zmanjšanje):</w:t>
            </w:r>
          </w:p>
          <w:p w14:paraId="59014626" w14:textId="77777777" w:rsidR="009D0FAD" w:rsidRPr="00100821" w:rsidRDefault="009D0FAD" w:rsidP="009D0FAD">
            <w:pPr>
              <w:widowControl w:val="0"/>
              <w:numPr>
                <w:ilvl w:val="0"/>
                <w:numId w:val="4"/>
              </w:numPr>
              <w:suppressAutoHyphens/>
              <w:spacing w:after="160" w:line="260" w:lineRule="exact"/>
              <w:jc w:val="both"/>
              <w:rPr>
                <w:rFonts w:cs="Arial"/>
                <w:szCs w:val="20"/>
              </w:rPr>
            </w:pPr>
            <w:r w:rsidRPr="00100821">
              <w:rPr>
                <w:rFonts w:cs="Arial"/>
                <w:szCs w:val="20"/>
                <w:lang w:eastAsia="sl-SI"/>
              </w:rPr>
              <w:t>prihodkov državnega proračuna in občinskih proračunov,</w:t>
            </w:r>
          </w:p>
          <w:p w14:paraId="20ED0A6E" w14:textId="77777777" w:rsidR="009D0FAD" w:rsidRPr="00100821" w:rsidRDefault="009D0FAD" w:rsidP="009D0FAD">
            <w:pPr>
              <w:widowControl w:val="0"/>
              <w:numPr>
                <w:ilvl w:val="0"/>
                <w:numId w:val="4"/>
              </w:numPr>
              <w:suppressAutoHyphens/>
              <w:spacing w:after="160" w:line="260" w:lineRule="exact"/>
              <w:jc w:val="both"/>
              <w:rPr>
                <w:rFonts w:cs="Arial"/>
                <w:szCs w:val="20"/>
              </w:rPr>
            </w:pPr>
            <w:r w:rsidRPr="00100821">
              <w:rPr>
                <w:rFonts w:cs="Arial"/>
                <w:szCs w:val="20"/>
                <w:lang w:eastAsia="sl-SI"/>
              </w:rPr>
              <w:t>odhodkov državnega proračuna, ki niso načrtovani na ukrepih oziroma projektih sprejetih proračunov,</w:t>
            </w:r>
          </w:p>
          <w:p w14:paraId="40B5E3A5" w14:textId="77777777" w:rsidR="009D0FAD" w:rsidRPr="00100821" w:rsidRDefault="009D0FAD" w:rsidP="009D0FAD">
            <w:pPr>
              <w:widowControl w:val="0"/>
              <w:numPr>
                <w:ilvl w:val="0"/>
                <w:numId w:val="4"/>
              </w:numPr>
              <w:suppressAutoHyphens/>
              <w:spacing w:after="160" w:line="260" w:lineRule="exact"/>
              <w:jc w:val="both"/>
              <w:rPr>
                <w:rFonts w:cs="Arial"/>
                <w:szCs w:val="20"/>
              </w:rPr>
            </w:pPr>
            <w:r w:rsidRPr="00100821">
              <w:rPr>
                <w:rFonts w:cs="Arial"/>
                <w:szCs w:val="20"/>
                <w:lang w:eastAsia="sl-SI"/>
              </w:rPr>
              <w:t xml:space="preserve">obveznosti za druga javnofinančna sredstva (drugi viri), ki niso načrtovana na ukrepih oziroma </w:t>
            </w:r>
            <w:r w:rsidRPr="00100821">
              <w:rPr>
                <w:rFonts w:cs="Arial"/>
                <w:szCs w:val="20"/>
                <w:lang w:eastAsia="sl-SI"/>
              </w:rPr>
              <w:lastRenderedPageBreak/>
              <w:t>projektih sprejetih proračunov.</w:t>
            </w:r>
          </w:p>
          <w:p w14:paraId="1CEB07F0" w14:textId="77777777" w:rsidR="009D0FAD" w:rsidRPr="00100821" w:rsidRDefault="009D0FAD" w:rsidP="00133AD7">
            <w:pPr>
              <w:widowControl w:val="0"/>
              <w:spacing w:line="260" w:lineRule="exact"/>
              <w:ind w:left="284"/>
              <w:rPr>
                <w:rFonts w:cs="Arial"/>
                <w:szCs w:val="20"/>
                <w:lang w:eastAsia="sl-SI"/>
              </w:rPr>
            </w:pPr>
          </w:p>
          <w:p w14:paraId="7F9C313D" w14:textId="77777777" w:rsidR="009D0FAD" w:rsidRPr="00100821" w:rsidRDefault="009D0FAD" w:rsidP="009D0FAD">
            <w:pPr>
              <w:widowControl w:val="0"/>
              <w:numPr>
                <w:ilvl w:val="0"/>
                <w:numId w:val="1"/>
              </w:numPr>
              <w:suppressAutoHyphens/>
              <w:spacing w:after="160" w:line="260" w:lineRule="exact"/>
              <w:ind w:left="284" w:hanging="284"/>
              <w:jc w:val="both"/>
              <w:rPr>
                <w:rFonts w:cs="Arial"/>
                <w:b/>
                <w:szCs w:val="20"/>
                <w:lang w:eastAsia="sl-SI"/>
              </w:rPr>
            </w:pPr>
            <w:r w:rsidRPr="00100821">
              <w:rPr>
                <w:rFonts w:cs="Arial"/>
                <w:b/>
                <w:szCs w:val="20"/>
                <w:lang w:eastAsia="sl-SI"/>
              </w:rPr>
              <w:t>Finančne posledice za državni proračun</w:t>
            </w:r>
          </w:p>
          <w:p w14:paraId="2619F410" w14:textId="77777777" w:rsidR="009D0FAD" w:rsidRPr="00100821" w:rsidRDefault="009D0FAD" w:rsidP="00133AD7">
            <w:pPr>
              <w:widowControl w:val="0"/>
              <w:spacing w:line="260" w:lineRule="exact"/>
              <w:ind w:left="284"/>
              <w:jc w:val="both"/>
              <w:rPr>
                <w:rFonts w:cs="Arial"/>
                <w:szCs w:val="20"/>
                <w:lang w:eastAsia="sl-SI"/>
              </w:rPr>
            </w:pPr>
            <w:r w:rsidRPr="00100821">
              <w:rPr>
                <w:rFonts w:cs="Arial"/>
                <w:szCs w:val="20"/>
                <w:lang w:eastAsia="sl-SI"/>
              </w:rPr>
              <w:t>Prikazane morajo biti finančne posledice za državni proračun, ki so na proračunskih postavkah načrtovane v dinamiki projektov oziroma ukrepov:</w:t>
            </w:r>
          </w:p>
          <w:p w14:paraId="4CB4C9E0" w14:textId="77777777" w:rsidR="009D0FAD" w:rsidRPr="00100821" w:rsidRDefault="009D0FAD" w:rsidP="00133AD7">
            <w:pPr>
              <w:widowControl w:val="0"/>
              <w:suppressAutoHyphens/>
              <w:spacing w:line="260" w:lineRule="exact"/>
              <w:ind w:left="720"/>
              <w:jc w:val="both"/>
              <w:rPr>
                <w:rFonts w:cs="Arial"/>
                <w:b/>
                <w:szCs w:val="20"/>
                <w:lang w:eastAsia="sl-SI"/>
              </w:rPr>
            </w:pPr>
            <w:r w:rsidRPr="00100821">
              <w:rPr>
                <w:rFonts w:cs="Arial"/>
                <w:b/>
                <w:szCs w:val="20"/>
                <w:lang w:eastAsia="sl-SI"/>
              </w:rPr>
              <w:t>II.a Pravice porabe za izvedbo predlaganih rešitev so zagotovljene:</w:t>
            </w:r>
          </w:p>
          <w:p w14:paraId="4EB17BD4" w14:textId="77777777" w:rsidR="009D0FAD" w:rsidRPr="00100821" w:rsidRDefault="009D0FAD" w:rsidP="00133AD7">
            <w:pPr>
              <w:widowControl w:val="0"/>
              <w:spacing w:line="260" w:lineRule="exact"/>
              <w:ind w:left="284"/>
              <w:jc w:val="both"/>
              <w:rPr>
                <w:rFonts w:cs="Arial"/>
                <w:szCs w:val="20"/>
                <w:lang w:eastAsia="sl-SI"/>
              </w:rPr>
            </w:pPr>
            <w:r w:rsidRPr="00100821">
              <w:rPr>
                <w:rFonts w:cs="Arial"/>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09E84B9C" w14:textId="77777777" w:rsidR="009D0FAD" w:rsidRPr="00100821" w:rsidRDefault="009D0FAD" w:rsidP="009D0FAD">
            <w:pPr>
              <w:widowControl w:val="0"/>
              <w:numPr>
                <w:ilvl w:val="0"/>
                <w:numId w:val="5"/>
              </w:numPr>
              <w:suppressAutoHyphens/>
              <w:spacing w:after="160" w:line="260" w:lineRule="exact"/>
              <w:jc w:val="both"/>
              <w:rPr>
                <w:rFonts w:cs="Arial"/>
                <w:szCs w:val="20"/>
                <w:lang w:eastAsia="sl-SI"/>
              </w:rPr>
            </w:pPr>
            <w:r w:rsidRPr="00100821">
              <w:rPr>
                <w:rFonts w:cs="Arial"/>
                <w:szCs w:val="20"/>
                <w:lang w:eastAsia="sl-SI"/>
              </w:rPr>
              <w:t>proračunski uporabnik, ki bo financiral novi projekt oziroma ukrep,</w:t>
            </w:r>
          </w:p>
          <w:p w14:paraId="2FA9601D" w14:textId="77777777" w:rsidR="009D0FAD" w:rsidRPr="00100821" w:rsidRDefault="009D0FAD" w:rsidP="009D0FAD">
            <w:pPr>
              <w:widowControl w:val="0"/>
              <w:numPr>
                <w:ilvl w:val="0"/>
                <w:numId w:val="5"/>
              </w:numPr>
              <w:suppressAutoHyphens/>
              <w:spacing w:after="160" w:line="260" w:lineRule="exact"/>
              <w:jc w:val="both"/>
              <w:rPr>
                <w:rFonts w:cs="Arial"/>
                <w:szCs w:val="20"/>
                <w:lang w:eastAsia="sl-SI"/>
              </w:rPr>
            </w:pPr>
            <w:r w:rsidRPr="00100821">
              <w:rPr>
                <w:rFonts w:cs="Arial"/>
                <w:szCs w:val="20"/>
                <w:lang w:eastAsia="sl-SI"/>
              </w:rPr>
              <w:t xml:space="preserve">projekt oziroma ukrep, s katerim se bodo dosegli cilji vladnega gradiva, in </w:t>
            </w:r>
          </w:p>
          <w:p w14:paraId="0FD8F41B" w14:textId="77777777" w:rsidR="009D0FAD" w:rsidRPr="00100821" w:rsidRDefault="009D0FAD" w:rsidP="009D0FAD">
            <w:pPr>
              <w:widowControl w:val="0"/>
              <w:numPr>
                <w:ilvl w:val="0"/>
                <w:numId w:val="5"/>
              </w:numPr>
              <w:suppressAutoHyphens/>
              <w:spacing w:after="160" w:line="260" w:lineRule="exact"/>
              <w:jc w:val="both"/>
              <w:rPr>
                <w:rFonts w:cs="Arial"/>
                <w:szCs w:val="20"/>
                <w:lang w:eastAsia="sl-SI"/>
              </w:rPr>
            </w:pPr>
            <w:r w:rsidRPr="00100821">
              <w:rPr>
                <w:rFonts w:cs="Arial"/>
                <w:szCs w:val="20"/>
                <w:lang w:eastAsia="sl-SI"/>
              </w:rPr>
              <w:t>proračunske postavke.</w:t>
            </w:r>
          </w:p>
          <w:p w14:paraId="111972CC" w14:textId="77777777" w:rsidR="009D0FAD" w:rsidRPr="00100821" w:rsidRDefault="009D0FAD" w:rsidP="00133AD7">
            <w:pPr>
              <w:widowControl w:val="0"/>
              <w:spacing w:line="260" w:lineRule="exact"/>
              <w:ind w:left="284"/>
              <w:jc w:val="both"/>
              <w:rPr>
                <w:rFonts w:cs="Arial"/>
                <w:szCs w:val="20"/>
                <w:lang w:eastAsia="sl-SI"/>
              </w:rPr>
            </w:pPr>
            <w:r w:rsidRPr="00100821">
              <w:rPr>
                <w:rFonts w:cs="Arial"/>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1855BE6C" w14:textId="77777777" w:rsidR="009D0FAD" w:rsidRPr="00100821" w:rsidRDefault="009D0FAD" w:rsidP="00133AD7">
            <w:pPr>
              <w:widowControl w:val="0"/>
              <w:suppressAutoHyphens/>
              <w:spacing w:line="260" w:lineRule="exact"/>
              <w:ind w:left="714"/>
              <w:jc w:val="both"/>
              <w:rPr>
                <w:rFonts w:cs="Arial"/>
                <w:b/>
                <w:szCs w:val="20"/>
                <w:lang w:eastAsia="sl-SI"/>
              </w:rPr>
            </w:pPr>
            <w:r w:rsidRPr="00100821">
              <w:rPr>
                <w:rFonts w:cs="Arial"/>
                <w:b/>
                <w:szCs w:val="20"/>
                <w:lang w:eastAsia="sl-SI"/>
              </w:rPr>
              <w:t>II.b Manjkajoče pravice porabe bodo zagotovljene s prerazporeditvijo:</w:t>
            </w:r>
          </w:p>
          <w:p w14:paraId="2C77058F" w14:textId="77777777" w:rsidR="009D0FAD" w:rsidRPr="00100821" w:rsidRDefault="009D0FAD" w:rsidP="00133AD7">
            <w:pPr>
              <w:widowControl w:val="0"/>
              <w:spacing w:line="260" w:lineRule="exact"/>
              <w:ind w:left="284"/>
              <w:jc w:val="both"/>
              <w:rPr>
                <w:rFonts w:cs="Arial"/>
                <w:szCs w:val="20"/>
                <w:lang w:eastAsia="sl-SI"/>
              </w:rPr>
            </w:pPr>
            <w:r w:rsidRPr="00100821">
              <w:rPr>
                <w:rFonts w:cs="Arial"/>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6D1D0DFF" w14:textId="77777777" w:rsidR="009D0FAD" w:rsidRPr="00100821" w:rsidRDefault="009D0FAD" w:rsidP="00133AD7">
            <w:pPr>
              <w:widowControl w:val="0"/>
              <w:suppressAutoHyphens/>
              <w:spacing w:line="260" w:lineRule="exact"/>
              <w:ind w:left="714"/>
              <w:jc w:val="both"/>
              <w:rPr>
                <w:rFonts w:cs="Arial"/>
                <w:b/>
                <w:szCs w:val="20"/>
                <w:lang w:eastAsia="sl-SI"/>
              </w:rPr>
            </w:pPr>
            <w:r w:rsidRPr="00100821">
              <w:rPr>
                <w:rFonts w:cs="Arial"/>
                <w:b/>
                <w:szCs w:val="20"/>
                <w:lang w:eastAsia="sl-SI"/>
              </w:rPr>
              <w:t>II.c Načrtovana nadomestitev zmanjšanih prihodkov in povečanih odhodkov proračuna:</w:t>
            </w:r>
          </w:p>
          <w:p w14:paraId="0EAEE1AE" w14:textId="77777777" w:rsidR="009D0FAD" w:rsidRPr="00100821" w:rsidRDefault="009D0FAD" w:rsidP="00133AD7">
            <w:pPr>
              <w:widowControl w:val="0"/>
              <w:spacing w:line="260" w:lineRule="exact"/>
              <w:ind w:left="284"/>
              <w:jc w:val="both"/>
              <w:rPr>
                <w:rFonts w:cs="Arial"/>
                <w:szCs w:val="20"/>
                <w:lang w:eastAsia="sl-SI"/>
              </w:rPr>
            </w:pPr>
            <w:r w:rsidRPr="00100821">
              <w:rPr>
                <w:rFonts w:cs="Arial"/>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6614955E" w14:textId="77777777" w:rsidR="009D0FAD" w:rsidRPr="00100821" w:rsidRDefault="009D0FAD" w:rsidP="00133AD7">
            <w:pPr>
              <w:widowControl w:val="0"/>
              <w:suppressAutoHyphens/>
              <w:overflowPunct w:val="0"/>
              <w:autoSpaceDE w:val="0"/>
              <w:autoSpaceDN w:val="0"/>
              <w:adjustRightInd w:val="0"/>
              <w:spacing w:line="260" w:lineRule="exact"/>
              <w:jc w:val="both"/>
              <w:textAlignment w:val="baseline"/>
              <w:rPr>
                <w:rFonts w:cs="Arial"/>
                <w:b/>
                <w:bCs/>
                <w:spacing w:val="40"/>
                <w:szCs w:val="20"/>
                <w:lang w:eastAsia="sl-SI"/>
              </w:rPr>
            </w:pPr>
          </w:p>
        </w:tc>
      </w:tr>
      <w:tr w:rsidR="009D0FAD" w:rsidRPr="00100821" w14:paraId="5EF4CCDC" w14:textId="77777777" w:rsidTr="00133A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8"/>
            <w:tcBorders>
              <w:top w:val="single" w:sz="4" w:space="0" w:color="000000"/>
              <w:left w:val="single" w:sz="4" w:space="0" w:color="000000"/>
              <w:bottom w:val="single" w:sz="4" w:space="0" w:color="000000"/>
              <w:right w:val="single" w:sz="4" w:space="0" w:color="000000"/>
            </w:tcBorders>
          </w:tcPr>
          <w:p w14:paraId="7A628041" w14:textId="77777777" w:rsidR="009D0FAD" w:rsidRPr="00100821" w:rsidRDefault="009D0FAD" w:rsidP="00133AD7">
            <w:pPr>
              <w:spacing w:line="260" w:lineRule="exact"/>
              <w:rPr>
                <w:rFonts w:cs="Arial"/>
                <w:b/>
                <w:szCs w:val="20"/>
              </w:rPr>
            </w:pPr>
            <w:r w:rsidRPr="00100821">
              <w:rPr>
                <w:rFonts w:cs="Arial"/>
                <w:b/>
                <w:szCs w:val="20"/>
              </w:rPr>
              <w:lastRenderedPageBreak/>
              <w:t>7.b Predstavitev ocene finančnih posledic pod 40.000 EUR:</w:t>
            </w:r>
          </w:p>
          <w:p w14:paraId="2FDF3DE4" w14:textId="77777777" w:rsidR="009D0FAD" w:rsidRPr="00100821" w:rsidRDefault="009D0FAD" w:rsidP="00133AD7">
            <w:pPr>
              <w:spacing w:line="260" w:lineRule="exact"/>
              <w:rPr>
                <w:rFonts w:cs="Arial"/>
                <w:szCs w:val="20"/>
              </w:rPr>
            </w:pPr>
            <w:r w:rsidRPr="00100821">
              <w:rPr>
                <w:rFonts w:cs="Arial"/>
                <w:szCs w:val="20"/>
              </w:rPr>
              <w:t>(Samo če izberete NE pod točko 6.a.)</w:t>
            </w:r>
          </w:p>
          <w:p w14:paraId="22562C78" w14:textId="77777777" w:rsidR="009D0FAD" w:rsidRPr="00100821" w:rsidRDefault="009D0FAD" w:rsidP="00133AD7">
            <w:pPr>
              <w:spacing w:line="260" w:lineRule="exact"/>
              <w:rPr>
                <w:rFonts w:cs="Arial"/>
                <w:b/>
                <w:szCs w:val="20"/>
              </w:rPr>
            </w:pPr>
            <w:r w:rsidRPr="00100821">
              <w:rPr>
                <w:rFonts w:cs="Arial"/>
                <w:b/>
                <w:szCs w:val="20"/>
              </w:rPr>
              <w:t>Kratka obrazložitev</w:t>
            </w:r>
          </w:p>
        </w:tc>
      </w:tr>
      <w:tr w:rsidR="009D0FAD" w:rsidRPr="00100821" w14:paraId="48B5B4B2" w14:textId="77777777" w:rsidTr="00133A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8"/>
            <w:tcBorders>
              <w:top w:val="single" w:sz="4" w:space="0" w:color="000000"/>
              <w:left w:val="single" w:sz="4" w:space="0" w:color="000000"/>
              <w:bottom w:val="single" w:sz="4" w:space="0" w:color="000000"/>
              <w:right w:val="single" w:sz="4" w:space="0" w:color="000000"/>
            </w:tcBorders>
          </w:tcPr>
          <w:p w14:paraId="706408E2" w14:textId="77777777" w:rsidR="009D0FAD" w:rsidRPr="00100821" w:rsidRDefault="009D0FAD" w:rsidP="00133AD7">
            <w:pPr>
              <w:spacing w:line="260" w:lineRule="exact"/>
              <w:rPr>
                <w:rFonts w:cs="Arial"/>
                <w:b/>
                <w:szCs w:val="20"/>
              </w:rPr>
            </w:pPr>
            <w:r w:rsidRPr="00100821">
              <w:rPr>
                <w:rFonts w:cs="Arial"/>
                <w:b/>
                <w:szCs w:val="20"/>
              </w:rPr>
              <w:t>8. Predstavitev sodelovanja z združenji občin:</w:t>
            </w:r>
          </w:p>
        </w:tc>
      </w:tr>
      <w:tr w:rsidR="009D0FAD" w:rsidRPr="00100821" w14:paraId="1E51DECE" w14:textId="77777777" w:rsidTr="00133A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6"/>
          </w:tcPr>
          <w:p w14:paraId="7DE1EE65" w14:textId="77777777" w:rsidR="009D0FAD" w:rsidRPr="00100821" w:rsidRDefault="009D0FAD" w:rsidP="00133AD7">
            <w:pPr>
              <w:widowControl w:val="0"/>
              <w:overflowPunct w:val="0"/>
              <w:autoSpaceDE w:val="0"/>
              <w:autoSpaceDN w:val="0"/>
              <w:adjustRightInd w:val="0"/>
              <w:spacing w:line="260" w:lineRule="exact"/>
              <w:jc w:val="both"/>
              <w:textAlignment w:val="baseline"/>
              <w:rPr>
                <w:rFonts w:cs="Arial"/>
                <w:iCs/>
                <w:szCs w:val="20"/>
                <w:lang w:eastAsia="sl-SI"/>
              </w:rPr>
            </w:pPr>
            <w:r w:rsidRPr="00100821">
              <w:rPr>
                <w:rFonts w:cs="Arial"/>
                <w:iCs/>
                <w:szCs w:val="20"/>
                <w:lang w:eastAsia="sl-SI"/>
              </w:rPr>
              <w:t>Vsebina predloženega gradiva (predpisa) vpliva na:</w:t>
            </w:r>
          </w:p>
          <w:p w14:paraId="5F83A1CF" w14:textId="77777777" w:rsidR="009D0FAD" w:rsidRPr="00100821" w:rsidRDefault="009D0FAD" w:rsidP="00133AD7">
            <w:pPr>
              <w:widowControl w:val="0"/>
              <w:overflowPunct w:val="0"/>
              <w:autoSpaceDE w:val="0"/>
              <w:autoSpaceDN w:val="0"/>
              <w:adjustRightInd w:val="0"/>
              <w:spacing w:line="260" w:lineRule="exact"/>
              <w:jc w:val="both"/>
              <w:textAlignment w:val="baseline"/>
              <w:rPr>
                <w:rFonts w:cs="Arial"/>
                <w:iCs/>
                <w:szCs w:val="20"/>
                <w:lang w:eastAsia="sl-SI"/>
              </w:rPr>
            </w:pPr>
          </w:p>
          <w:p w14:paraId="57E36B9F" w14:textId="77777777" w:rsidR="009D0FAD" w:rsidRPr="00100821" w:rsidRDefault="009D0FAD" w:rsidP="009D0FAD">
            <w:pPr>
              <w:widowControl w:val="0"/>
              <w:numPr>
                <w:ilvl w:val="1"/>
                <w:numId w:val="8"/>
              </w:numPr>
              <w:overflowPunct w:val="0"/>
              <w:autoSpaceDE w:val="0"/>
              <w:autoSpaceDN w:val="0"/>
              <w:adjustRightInd w:val="0"/>
              <w:spacing w:line="260" w:lineRule="exact"/>
              <w:ind w:left="418" w:hanging="426"/>
              <w:jc w:val="both"/>
              <w:textAlignment w:val="baseline"/>
              <w:rPr>
                <w:rFonts w:cs="Arial"/>
                <w:iCs/>
                <w:szCs w:val="20"/>
                <w:lang w:eastAsia="sl-SI"/>
              </w:rPr>
            </w:pPr>
            <w:r w:rsidRPr="00100821">
              <w:rPr>
                <w:rFonts w:cs="Arial"/>
                <w:iCs/>
                <w:szCs w:val="20"/>
                <w:lang w:eastAsia="sl-SI"/>
              </w:rPr>
              <w:t>pristojnosti občin,</w:t>
            </w:r>
          </w:p>
          <w:p w14:paraId="4AA4A268" w14:textId="77777777" w:rsidR="009D0FAD" w:rsidRPr="00100821" w:rsidRDefault="009D0FAD" w:rsidP="009D0FAD">
            <w:pPr>
              <w:widowControl w:val="0"/>
              <w:numPr>
                <w:ilvl w:val="1"/>
                <w:numId w:val="8"/>
              </w:numPr>
              <w:overflowPunct w:val="0"/>
              <w:autoSpaceDE w:val="0"/>
              <w:autoSpaceDN w:val="0"/>
              <w:adjustRightInd w:val="0"/>
              <w:spacing w:line="260" w:lineRule="exact"/>
              <w:ind w:left="418" w:hanging="426"/>
              <w:jc w:val="both"/>
              <w:textAlignment w:val="baseline"/>
              <w:rPr>
                <w:rFonts w:cs="Arial"/>
                <w:iCs/>
                <w:szCs w:val="20"/>
                <w:lang w:eastAsia="sl-SI"/>
              </w:rPr>
            </w:pPr>
            <w:r w:rsidRPr="00100821">
              <w:rPr>
                <w:rFonts w:cs="Arial"/>
                <w:iCs/>
                <w:szCs w:val="20"/>
                <w:lang w:eastAsia="sl-SI"/>
              </w:rPr>
              <w:t>delovanje občin,</w:t>
            </w:r>
          </w:p>
          <w:p w14:paraId="28F73BFC" w14:textId="77777777" w:rsidR="009D0FAD" w:rsidRPr="00100821" w:rsidRDefault="009D0FAD" w:rsidP="009D0FAD">
            <w:pPr>
              <w:widowControl w:val="0"/>
              <w:numPr>
                <w:ilvl w:val="1"/>
                <w:numId w:val="4"/>
              </w:numPr>
              <w:overflowPunct w:val="0"/>
              <w:autoSpaceDE w:val="0"/>
              <w:autoSpaceDN w:val="0"/>
              <w:adjustRightInd w:val="0"/>
              <w:spacing w:line="260" w:lineRule="exact"/>
              <w:ind w:left="418" w:hanging="426"/>
              <w:jc w:val="both"/>
              <w:textAlignment w:val="baseline"/>
              <w:rPr>
                <w:rFonts w:cs="Arial"/>
                <w:iCs/>
                <w:szCs w:val="20"/>
                <w:lang w:eastAsia="sl-SI"/>
              </w:rPr>
            </w:pPr>
            <w:r w:rsidRPr="00100821">
              <w:rPr>
                <w:rFonts w:cs="Arial"/>
                <w:iCs/>
                <w:szCs w:val="20"/>
                <w:lang w:eastAsia="sl-SI"/>
              </w:rPr>
              <w:t>financiranje občin.</w:t>
            </w:r>
          </w:p>
          <w:p w14:paraId="2FC501F9" w14:textId="77777777" w:rsidR="009D0FAD" w:rsidRPr="00100821" w:rsidRDefault="009D0FAD" w:rsidP="00133AD7">
            <w:pPr>
              <w:widowControl w:val="0"/>
              <w:overflowPunct w:val="0"/>
              <w:autoSpaceDE w:val="0"/>
              <w:autoSpaceDN w:val="0"/>
              <w:adjustRightInd w:val="0"/>
              <w:spacing w:line="260" w:lineRule="exact"/>
              <w:ind w:left="1440"/>
              <w:jc w:val="both"/>
              <w:textAlignment w:val="baseline"/>
              <w:rPr>
                <w:rFonts w:cs="Arial"/>
                <w:iCs/>
                <w:szCs w:val="20"/>
                <w:lang w:eastAsia="sl-SI"/>
              </w:rPr>
            </w:pPr>
          </w:p>
        </w:tc>
        <w:tc>
          <w:tcPr>
            <w:tcW w:w="2431" w:type="dxa"/>
            <w:gridSpan w:val="2"/>
          </w:tcPr>
          <w:p w14:paraId="33E9759D" w14:textId="77777777" w:rsidR="009D0FAD" w:rsidRPr="00100821" w:rsidRDefault="009D0FAD" w:rsidP="00133AD7">
            <w:pPr>
              <w:widowControl w:val="0"/>
              <w:overflowPunct w:val="0"/>
              <w:autoSpaceDE w:val="0"/>
              <w:autoSpaceDN w:val="0"/>
              <w:adjustRightInd w:val="0"/>
              <w:spacing w:line="260" w:lineRule="exact"/>
              <w:jc w:val="center"/>
              <w:textAlignment w:val="baseline"/>
              <w:rPr>
                <w:rFonts w:cs="Arial"/>
                <w:szCs w:val="20"/>
                <w:lang w:eastAsia="sl-SI"/>
              </w:rPr>
            </w:pPr>
            <w:r w:rsidRPr="00100821">
              <w:rPr>
                <w:rFonts w:cs="Arial"/>
                <w:szCs w:val="20"/>
                <w:lang w:eastAsia="sl-SI"/>
              </w:rPr>
              <w:t>DA/</w:t>
            </w:r>
            <w:r w:rsidRPr="00100821">
              <w:rPr>
                <w:rFonts w:cs="Arial"/>
                <w:b/>
                <w:szCs w:val="20"/>
                <w:lang w:eastAsia="sl-SI"/>
              </w:rPr>
              <w:t>NE</w:t>
            </w:r>
          </w:p>
        </w:tc>
      </w:tr>
      <w:tr w:rsidR="009D0FAD" w:rsidRPr="00100821" w14:paraId="7D983AC9" w14:textId="77777777" w:rsidTr="00133A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8"/>
          </w:tcPr>
          <w:p w14:paraId="45DD4559" w14:textId="77777777" w:rsidR="009D0FAD" w:rsidRPr="00100821" w:rsidRDefault="009D0FAD" w:rsidP="00133AD7">
            <w:pPr>
              <w:widowControl w:val="0"/>
              <w:overflowPunct w:val="0"/>
              <w:autoSpaceDE w:val="0"/>
              <w:autoSpaceDN w:val="0"/>
              <w:adjustRightInd w:val="0"/>
              <w:spacing w:line="260" w:lineRule="exact"/>
              <w:jc w:val="both"/>
              <w:textAlignment w:val="baseline"/>
              <w:rPr>
                <w:rFonts w:cs="Arial"/>
                <w:iCs/>
                <w:szCs w:val="20"/>
                <w:lang w:eastAsia="sl-SI"/>
              </w:rPr>
            </w:pPr>
            <w:r w:rsidRPr="00100821">
              <w:rPr>
                <w:rFonts w:cs="Arial"/>
                <w:iCs/>
                <w:szCs w:val="20"/>
                <w:lang w:eastAsia="sl-SI"/>
              </w:rPr>
              <w:t xml:space="preserve">Gradivo (predpis) je bilo poslano v mnenje: </w:t>
            </w:r>
          </w:p>
          <w:p w14:paraId="54BA503B" w14:textId="77777777" w:rsidR="009D0FAD" w:rsidRPr="00100821" w:rsidRDefault="009D0FAD" w:rsidP="009D0FAD">
            <w:pPr>
              <w:widowControl w:val="0"/>
              <w:numPr>
                <w:ilvl w:val="0"/>
                <w:numId w:val="6"/>
              </w:numPr>
              <w:overflowPunct w:val="0"/>
              <w:autoSpaceDE w:val="0"/>
              <w:autoSpaceDN w:val="0"/>
              <w:adjustRightInd w:val="0"/>
              <w:spacing w:line="260" w:lineRule="exact"/>
              <w:jc w:val="both"/>
              <w:textAlignment w:val="baseline"/>
              <w:rPr>
                <w:rFonts w:cs="Arial"/>
                <w:iCs/>
                <w:szCs w:val="20"/>
                <w:lang w:eastAsia="sl-SI"/>
              </w:rPr>
            </w:pPr>
            <w:r w:rsidRPr="00100821">
              <w:rPr>
                <w:rFonts w:cs="Arial"/>
                <w:iCs/>
                <w:szCs w:val="20"/>
                <w:lang w:eastAsia="sl-SI"/>
              </w:rPr>
              <w:t>Skupnosti občin Slovenije SOS: DA/</w:t>
            </w:r>
            <w:r w:rsidRPr="00100821">
              <w:rPr>
                <w:rFonts w:cs="Arial"/>
                <w:b/>
                <w:iCs/>
                <w:szCs w:val="20"/>
                <w:lang w:eastAsia="sl-SI"/>
              </w:rPr>
              <w:t>NE</w:t>
            </w:r>
          </w:p>
          <w:p w14:paraId="0AA4CCAA" w14:textId="77777777" w:rsidR="009D0FAD" w:rsidRPr="00100821" w:rsidRDefault="009D0FAD" w:rsidP="009D0FAD">
            <w:pPr>
              <w:widowControl w:val="0"/>
              <w:numPr>
                <w:ilvl w:val="0"/>
                <w:numId w:val="6"/>
              </w:numPr>
              <w:overflowPunct w:val="0"/>
              <w:autoSpaceDE w:val="0"/>
              <w:autoSpaceDN w:val="0"/>
              <w:adjustRightInd w:val="0"/>
              <w:spacing w:line="260" w:lineRule="exact"/>
              <w:jc w:val="both"/>
              <w:textAlignment w:val="baseline"/>
              <w:rPr>
                <w:rFonts w:cs="Arial"/>
                <w:iCs/>
                <w:szCs w:val="20"/>
                <w:lang w:eastAsia="sl-SI"/>
              </w:rPr>
            </w:pPr>
            <w:r w:rsidRPr="00100821">
              <w:rPr>
                <w:rFonts w:cs="Arial"/>
                <w:iCs/>
                <w:szCs w:val="20"/>
                <w:lang w:eastAsia="sl-SI"/>
              </w:rPr>
              <w:t>Združenju občin Slovenije ZOS: DA/</w:t>
            </w:r>
            <w:r w:rsidRPr="00100821">
              <w:rPr>
                <w:rFonts w:cs="Arial"/>
                <w:b/>
                <w:iCs/>
                <w:szCs w:val="20"/>
                <w:lang w:eastAsia="sl-SI"/>
              </w:rPr>
              <w:t>NE</w:t>
            </w:r>
          </w:p>
          <w:p w14:paraId="6F4C5871" w14:textId="77777777" w:rsidR="009D0FAD" w:rsidRPr="00100821" w:rsidRDefault="009D0FAD" w:rsidP="009D0FAD">
            <w:pPr>
              <w:widowControl w:val="0"/>
              <w:numPr>
                <w:ilvl w:val="0"/>
                <w:numId w:val="6"/>
              </w:numPr>
              <w:overflowPunct w:val="0"/>
              <w:autoSpaceDE w:val="0"/>
              <w:autoSpaceDN w:val="0"/>
              <w:adjustRightInd w:val="0"/>
              <w:spacing w:line="260" w:lineRule="exact"/>
              <w:jc w:val="both"/>
              <w:textAlignment w:val="baseline"/>
              <w:rPr>
                <w:rFonts w:cs="Arial"/>
                <w:iCs/>
                <w:szCs w:val="20"/>
                <w:lang w:eastAsia="sl-SI"/>
              </w:rPr>
            </w:pPr>
            <w:r w:rsidRPr="00100821">
              <w:rPr>
                <w:rFonts w:cs="Arial"/>
                <w:iCs/>
                <w:szCs w:val="20"/>
                <w:lang w:eastAsia="sl-SI"/>
              </w:rPr>
              <w:t>Združenju mestnih občin Slovenije ZMOS: DA/</w:t>
            </w:r>
            <w:r w:rsidRPr="00100821">
              <w:rPr>
                <w:rFonts w:cs="Arial"/>
                <w:b/>
                <w:iCs/>
                <w:szCs w:val="20"/>
                <w:lang w:eastAsia="sl-SI"/>
              </w:rPr>
              <w:t>NE</w:t>
            </w:r>
          </w:p>
          <w:p w14:paraId="5EE9DA37" w14:textId="77777777" w:rsidR="009D0FAD" w:rsidRPr="00100821" w:rsidRDefault="009D0FAD" w:rsidP="00133AD7">
            <w:pPr>
              <w:widowControl w:val="0"/>
              <w:overflowPunct w:val="0"/>
              <w:autoSpaceDE w:val="0"/>
              <w:autoSpaceDN w:val="0"/>
              <w:adjustRightInd w:val="0"/>
              <w:spacing w:line="260" w:lineRule="exact"/>
              <w:jc w:val="both"/>
              <w:textAlignment w:val="baseline"/>
              <w:rPr>
                <w:rFonts w:cs="Arial"/>
                <w:iCs/>
                <w:szCs w:val="20"/>
                <w:lang w:eastAsia="sl-SI"/>
              </w:rPr>
            </w:pPr>
          </w:p>
          <w:p w14:paraId="4C6550DD" w14:textId="77777777" w:rsidR="009D0FAD" w:rsidRPr="00100821" w:rsidRDefault="009D0FAD" w:rsidP="00133AD7">
            <w:pPr>
              <w:widowControl w:val="0"/>
              <w:overflowPunct w:val="0"/>
              <w:autoSpaceDE w:val="0"/>
              <w:autoSpaceDN w:val="0"/>
              <w:adjustRightInd w:val="0"/>
              <w:spacing w:line="260" w:lineRule="exact"/>
              <w:jc w:val="both"/>
              <w:textAlignment w:val="baseline"/>
              <w:rPr>
                <w:rFonts w:cs="Arial"/>
                <w:iCs/>
                <w:szCs w:val="20"/>
                <w:lang w:eastAsia="sl-SI"/>
              </w:rPr>
            </w:pPr>
            <w:r w:rsidRPr="00100821">
              <w:rPr>
                <w:rFonts w:cs="Arial"/>
                <w:iCs/>
                <w:szCs w:val="20"/>
                <w:lang w:eastAsia="sl-SI"/>
              </w:rPr>
              <w:t>Predlogi in pripombe združenj so bili upoštevani:</w:t>
            </w:r>
          </w:p>
          <w:p w14:paraId="65DC02CD" w14:textId="77777777" w:rsidR="009D0FAD" w:rsidRPr="00100821" w:rsidRDefault="009D0FAD" w:rsidP="009D0FAD">
            <w:pPr>
              <w:widowControl w:val="0"/>
              <w:numPr>
                <w:ilvl w:val="0"/>
                <w:numId w:val="7"/>
              </w:numPr>
              <w:overflowPunct w:val="0"/>
              <w:autoSpaceDE w:val="0"/>
              <w:autoSpaceDN w:val="0"/>
              <w:adjustRightInd w:val="0"/>
              <w:spacing w:line="260" w:lineRule="exact"/>
              <w:jc w:val="both"/>
              <w:textAlignment w:val="baseline"/>
              <w:rPr>
                <w:rFonts w:cs="Arial"/>
                <w:iCs/>
                <w:szCs w:val="20"/>
                <w:lang w:eastAsia="sl-SI"/>
              </w:rPr>
            </w:pPr>
            <w:r w:rsidRPr="00100821">
              <w:rPr>
                <w:rFonts w:cs="Arial"/>
                <w:iCs/>
                <w:szCs w:val="20"/>
                <w:lang w:eastAsia="sl-SI"/>
              </w:rPr>
              <w:t>v celoti,</w:t>
            </w:r>
          </w:p>
          <w:p w14:paraId="44646E7B" w14:textId="77777777" w:rsidR="009D0FAD" w:rsidRPr="00100821" w:rsidRDefault="009D0FAD" w:rsidP="009D0FAD">
            <w:pPr>
              <w:widowControl w:val="0"/>
              <w:numPr>
                <w:ilvl w:val="0"/>
                <w:numId w:val="7"/>
              </w:numPr>
              <w:overflowPunct w:val="0"/>
              <w:autoSpaceDE w:val="0"/>
              <w:autoSpaceDN w:val="0"/>
              <w:adjustRightInd w:val="0"/>
              <w:spacing w:line="260" w:lineRule="exact"/>
              <w:jc w:val="both"/>
              <w:textAlignment w:val="baseline"/>
              <w:rPr>
                <w:rFonts w:cs="Arial"/>
                <w:iCs/>
                <w:szCs w:val="20"/>
                <w:lang w:eastAsia="sl-SI"/>
              </w:rPr>
            </w:pPr>
            <w:r w:rsidRPr="00100821">
              <w:rPr>
                <w:rFonts w:cs="Arial"/>
                <w:iCs/>
                <w:szCs w:val="20"/>
                <w:lang w:eastAsia="sl-SI"/>
              </w:rPr>
              <w:t>večinoma,</w:t>
            </w:r>
          </w:p>
          <w:p w14:paraId="5BEF2FC3" w14:textId="77777777" w:rsidR="009D0FAD" w:rsidRPr="00100821" w:rsidRDefault="009D0FAD" w:rsidP="009D0FAD">
            <w:pPr>
              <w:widowControl w:val="0"/>
              <w:numPr>
                <w:ilvl w:val="0"/>
                <w:numId w:val="7"/>
              </w:numPr>
              <w:overflowPunct w:val="0"/>
              <w:autoSpaceDE w:val="0"/>
              <w:autoSpaceDN w:val="0"/>
              <w:adjustRightInd w:val="0"/>
              <w:spacing w:line="260" w:lineRule="exact"/>
              <w:jc w:val="both"/>
              <w:textAlignment w:val="baseline"/>
              <w:rPr>
                <w:rFonts w:cs="Arial"/>
                <w:iCs/>
                <w:szCs w:val="20"/>
                <w:lang w:eastAsia="sl-SI"/>
              </w:rPr>
            </w:pPr>
            <w:r w:rsidRPr="00100821">
              <w:rPr>
                <w:rFonts w:cs="Arial"/>
                <w:iCs/>
                <w:szCs w:val="20"/>
                <w:lang w:eastAsia="sl-SI"/>
              </w:rPr>
              <w:lastRenderedPageBreak/>
              <w:t>delno,</w:t>
            </w:r>
          </w:p>
          <w:p w14:paraId="020825D5" w14:textId="77777777" w:rsidR="009D0FAD" w:rsidRPr="00100821" w:rsidRDefault="009D0FAD" w:rsidP="009D0FAD">
            <w:pPr>
              <w:widowControl w:val="0"/>
              <w:numPr>
                <w:ilvl w:val="0"/>
                <w:numId w:val="7"/>
              </w:numPr>
              <w:overflowPunct w:val="0"/>
              <w:autoSpaceDE w:val="0"/>
              <w:autoSpaceDN w:val="0"/>
              <w:adjustRightInd w:val="0"/>
              <w:spacing w:line="260" w:lineRule="exact"/>
              <w:jc w:val="both"/>
              <w:textAlignment w:val="baseline"/>
              <w:rPr>
                <w:rFonts w:cs="Arial"/>
                <w:iCs/>
                <w:szCs w:val="20"/>
                <w:lang w:eastAsia="sl-SI"/>
              </w:rPr>
            </w:pPr>
            <w:r w:rsidRPr="00100821">
              <w:rPr>
                <w:rFonts w:cs="Arial"/>
                <w:iCs/>
                <w:szCs w:val="20"/>
                <w:lang w:eastAsia="sl-SI"/>
              </w:rPr>
              <w:t>niso bili upoštevani.</w:t>
            </w:r>
          </w:p>
          <w:p w14:paraId="0DA015A1" w14:textId="77777777" w:rsidR="009D0FAD" w:rsidRPr="00100821" w:rsidRDefault="009D0FAD" w:rsidP="00133AD7">
            <w:pPr>
              <w:widowControl w:val="0"/>
              <w:overflowPunct w:val="0"/>
              <w:autoSpaceDE w:val="0"/>
              <w:autoSpaceDN w:val="0"/>
              <w:adjustRightInd w:val="0"/>
              <w:spacing w:line="260" w:lineRule="exact"/>
              <w:ind w:left="360"/>
              <w:jc w:val="both"/>
              <w:textAlignment w:val="baseline"/>
              <w:rPr>
                <w:rFonts w:cs="Arial"/>
                <w:iCs/>
                <w:szCs w:val="20"/>
                <w:lang w:eastAsia="sl-SI"/>
              </w:rPr>
            </w:pPr>
          </w:p>
          <w:p w14:paraId="516A6C46" w14:textId="77777777" w:rsidR="009D0FAD" w:rsidRPr="00100821" w:rsidRDefault="009D0FAD" w:rsidP="00133AD7">
            <w:pPr>
              <w:widowControl w:val="0"/>
              <w:overflowPunct w:val="0"/>
              <w:autoSpaceDE w:val="0"/>
              <w:autoSpaceDN w:val="0"/>
              <w:adjustRightInd w:val="0"/>
              <w:spacing w:line="260" w:lineRule="exact"/>
              <w:jc w:val="both"/>
              <w:textAlignment w:val="baseline"/>
              <w:rPr>
                <w:rFonts w:cs="Arial"/>
                <w:iCs/>
                <w:szCs w:val="20"/>
                <w:lang w:eastAsia="sl-SI"/>
              </w:rPr>
            </w:pPr>
            <w:r w:rsidRPr="00100821">
              <w:rPr>
                <w:rFonts w:cs="Arial"/>
                <w:iCs/>
                <w:szCs w:val="20"/>
                <w:lang w:eastAsia="sl-SI"/>
              </w:rPr>
              <w:t>Bistveni predlogi in pripombe, ki niso bili upoštevani.</w:t>
            </w:r>
          </w:p>
          <w:p w14:paraId="7AC89F67" w14:textId="77777777" w:rsidR="009D0FAD" w:rsidRPr="00100821" w:rsidRDefault="009D0FAD" w:rsidP="00133AD7">
            <w:pPr>
              <w:widowControl w:val="0"/>
              <w:overflowPunct w:val="0"/>
              <w:autoSpaceDE w:val="0"/>
              <w:autoSpaceDN w:val="0"/>
              <w:adjustRightInd w:val="0"/>
              <w:spacing w:line="260" w:lineRule="exact"/>
              <w:jc w:val="both"/>
              <w:textAlignment w:val="baseline"/>
              <w:rPr>
                <w:rFonts w:cs="Arial"/>
                <w:iCs/>
                <w:szCs w:val="20"/>
                <w:lang w:eastAsia="sl-SI"/>
              </w:rPr>
            </w:pPr>
          </w:p>
        </w:tc>
      </w:tr>
      <w:tr w:rsidR="009D0FAD" w:rsidRPr="00100821" w14:paraId="234FC4DF" w14:textId="77777777" w:rsidTr="00133A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8"/>
            <w:vAlign w:val="center"/>
          </w:tcPr>
          <w:p w14:paraId="54142156" w14:textId="77777777" w:rsidR="009D0FAD" w:rsidRPr="00100821" w:rsidRDefault="009D0FAD" w:rsidP="00133AD7">
            <w:pPr>
              <w:widowControl w:val="0"/>
              <w:overflowPunct w:val="0"/>
              <w:autoSpaceDE w:val="0"/>
              <w:autoSpaceDN w:val="0"/>
              <w:adjustRightInd w:val="0"/>
              <w:spacing w:line="260" w:lineRule="exact"/>
              <w:textAlignment w:val="baseline"/>
              <w:rPr>
                <w:rFonts w:cs="Arial"/>
                <w:b/>
                <w:szCs w:val="20"/>
                <w:lang w:eastAsia="sl-SI"/>
              </w:rPr>
            </w:pPr>
            <w:r w:rsidRPr="00100821">
              <w:rPr>
                <w:rFonts w:cs="Arial"/>
                <w:b/>
                <w:szCs w:val="20"/>
                <w:lang w:eastAsia="sl-SI"/>
              </w:rPr>
              <w:lastRenderedPageBreak/>
              <w:t>9. Predstavitev sodelovanja javnosti:</w:t>
            </w:r>
          </w:p>
        </w:tc>
      </w:tr>
      <w:tr w:rsidR="009D0FAD" w:rsidRPr="00100821" w14:paraId="06586336" w14:textId="77777777" w:rsidTr="00133A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6"/>
          </w:tcPr>
          <w:p w14:paraId="464076AE" w14:textId="77777777" w:rsidR="009D0FAD" w:rsidRPr="00100821" w:rsidRDefault="009D0FAD" w:rsidP="00133AD7">
            <w:pPr>
              <w:widowControl w:val="0"/>
              <w:overflowPunct w:val="0"/>
              <w:autoSpaceDE w:val="0"/>
              <w:autoSpaceDN w:val="0"/>
              <w:adjustRightInd w:val="0"/>
              <w:spacing w:line="260" w:lineRule="exact"/>
              <w:jc w:val="both"/>
              <w:textAlignment w:val="baseline"/>
              <w:rPr>
                <w:rFonts w:cs="Arial"/>
                <w:szCs w:val="20"/>
                <w:lang w:eastAsia="sl-SI"/>
              </w:rPr>
            </w:pPr>
            <w:r w:rsidRPr="00100821">
              <w:rPr>
                <w:rFonts w:cs="Arial"/>
                <w:iCs/>
                <w:szCs w:val="20"/>
                <w:lang w:eastAsia="sl-SI"/>
              </w:rPr>
              <w:t>Gradivo je bilo predhodno objavljeno na spletni strani predlagatelja:</w:t>
            </w:r>
          </w:p>
        </w:tc>
        <w:tc>
          <w:tcPr>
            <w:tcW w:w="2431" w:type="dxa"/>
            <w:gridSpan w:val="2"/>
          </w:tcPr>
          <w:p w14:paraId="3215B89E" w14:textId="77777777" w:rsidR="009D0FAD" w:rsidRPr="00100821" w:rsidRDefault="009D0FAD" w:rsidP="00133AD7">
            <w:pPr>
              <w:widowControl w:val="0"/>
              <w:overflowPunct w:val="0"/>
              <w:autoSpaceDE w:val="0"/>
              <w:autoSpaceDN w:val="0"/>
              <w:adjustRightInd w:val="0"/>
              <w:spacing w:line="260" w:lineRule="exact"/>
              <w:jc w:val="center"/>
              <w:textAlignment w:val="baseline"/>
              <w:rPr>
                <w:rFonts w:cs="Arial"/>
                <w:iCs/>
                <w:szCs w:val="20"/>
                <w:lang w:eastAsia="sl-SI"/>
              </w:rPr>
            </w:pPr>
            <w:r w:rsidRPr="00100821">
              <w:rPr>
                <w:rFonts w:cs="Arial"/>
                <w:szCs w:val="20"/>
                <w:lang w:eastAsia="sl-SI"/>
              </w:rPr>
              <w:t>DA/</w:t>
            </w:r>
            <w:r w:rsidRPr="00100821">
              <w:rPr>
                <w:rFonts w:cs="Arial"/>
                <w:b/>
                <w:szCs w:val="20"/>
                <w:lang w:eastAsia="sl-SI"/>
              </w:rPr>
              <w:t>NE</w:t>
            </w:r>
          </w:p>
        </w:tc>
      </w:tr>
      <w:tr w:rsidR="009D0FAD" w:rsidRPr="00100821" w14:paraId="7A38310D" w14:textId="77777777" w:rsidTr="00133A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8"/>
          </w:tcPr>
          <w:p w14:paraId="07E2D1FB" w14:textId="77777777" w:rsidR="009D0FAD" w:rsidRPr="00100821" w:rsidRDefault="009D0FAD" w:rsidP="00133AD7">
            <w:pPr>
              <w:widowControl w:val="0"/>
              <w:overflowPunct w:val="0"/>
              <w:autoSpaceDE w:val="0"/>
              <w:autoSpaceDN w:val="0"/>
              <w:adjustRightInd w:val="0"/>
              <w:spacing w:line="260" w:lineRule="exact"/>
              <w:jc w:val="both"/>
              <w:textAlignment w:val="baseline"/>
              <w:rPr>
                <w:rFonts w:cs="Arial"/>
                <w:iCs/>
                <w:szCs w:val="20"/>
                <w:lang w:eastAsia="sl-SI"/>
              </w:rPr>
            </w:pPr>
            <w:r w:rsidRPr="00100821">
              <w:rPr>
                <w:rFonts w:cs="Arial"/>
                <w:iCs/>
                <w:szCs w:val="20"/>
                <w:lang w:eastAsia="sl-SI"/>
              </w:rPr>
              <w:t>(Če je odgovor NE, navedite, zakaj ni bilo objavljeno.)</w:t>
            </w:r>
          </w:p>
          <w:p w14:paraId="239E48FA" w14:textId="77777777" w:rsidR="009D0FAD" w:rsidRPr="00100821" w:rsidRDefault="009D0FAD" w:rsidP="00133AD7">
            <w:pPr>
              <w:widowControl w:val="0"/>
              <w:overflowPunct w:val="0"/>
              <w:autoSpaceDE w:val="0"/>
              <w:autoSpaceDN w:val="0"/>
              <w:adjustRightInd w:val="0"/>
              <w:spacing w:line="260" w:lineRule="exact"/>
              <w:jc w:val="both"/>
              <w:textAlignment w:val="baseline"/>
              <w:rPr>
                <w:rFonts w:cs="Arial"/>
                <w:iCs/>
                <w:szCs w:val="20"/>
                <w:lang w:eastAsia="sl-SI"/>
              </w:rPr>
            </w:pPr>
            <w:r w:rsidRPr="007322CF">
              <w:rPr>
                <w:rFonts w:cs="Arial"/>
                <w:iCs/>
                <w:szCs w:val="20"/>
              </w:rPr>
              <w:t>Ministrstvo za gospodarski razvoj in tehnologijo upoštevaje 9. člen Poslovnika Vlade RS ocenjuje, da ni potrebe po sodelovanju javnosti.</w:t>
            </w:r>
          </w:p>
          <w:p w14:paraId="0A625A8B" w14:textId="77777777" w:rsidR="009D0FAD" w:rsidRPr="00100821" w:rsidRDefault="009D0FAD" w:rsidP="00133AD7">
            <w:pPr>
              <w:widowControl w:val="0"/>
              <w:overflowPunct w:val="0"/>
              <w:autoSpaceDE w:val="0"/>
              <w:autoSpaceDN w:val="0"/>
              <w:adjustRightInd w:val="0"/>
              <w:spacing w:line="260" w:lineRule="exact"/>
              <w:jc w:val="both"/>
              <w:textAlignment w:val="baseline"/>
              <w:rPr>
                <w:rFonts w:cs="Arial"/>
                <w:iCs/>
                <w:szCs w:val="20"/>
                <w:lang w:eastAsia="sl-SI"/>
              </w:rPr>
            </w:pPr>
          </w:p>
        </w:tc>
      </w:tr>
      <w:tr w:rsidR="009D0FAD" w:rsidRPr="00100821" w14:paraId="2251C8F1" w14:textId="77777777" w:rsidTr="00133A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8"/>
          </w:tcPr>
          <w:p w14:paraId="58BEC684" w14:textId="77777777" w:rsidR="009D0FAD" w:rsidRPr="00100821" w:rsidRDefault="009D0FAD" w:rsidP="00133AD7">
            <w:pPr>
              <w:widowControl w:val="0"/>
              <w:overflowPunct w:val="0"/>
              <w:autoSpaceDE w:val="0"/>
              <w:autoSpaceDN w:val="0"/>
              <w:adjustRightInd w:val="0"/>
              <w:spacing w:line="260" w:lineRule="exact"/>
              <w:jc w:val="both"/>
              <w:textAlignment w:val="baseline"/>
              <w:rPr>
                <w:rFonts w:cs="Arial"/>
                <w:iCs/>
                <w:szCs w:val="20"/>
                <w:lang w:eastAsia="sl-SI"/>
              </w:rPr>
            </w:pPr>
            <w:r w:rsidRPr="00100821">
              <w:rPr>
                <w:rFonts w:cs="Arial"/>
                <w:iCs/>
                <w:szCs w:val="20"/>
                <w:lang w:eastAsia="sl-SI"/>
              </w:rPr>
              <w:t>(Če je odgovor DA, navedite:</w:t>
            </w:r>
          </w:p>
          <w:p w14:paraId="29D2AD77" w14:textId="77777777" w:rsidR="009D0FAD" w:rsidRPr="00100821" w:rsidRDefault="009D0FAD" w:rsidP="00133AD7">
            <w:pPr>
              <w:widowControl w:val="0"/>
              <w:overflowPunct w:val="0"/>
              <w:autoSpaceDE w:val="0"/>
              <w:autoSpaceDN w:val="0"/>
              <w:adjustRightInd w:val="0"/>
              <w:spacing w:line="260" w:lineRule="exact"/>
              <w:jc w:val="both"/>
              <w:textAlignment w:val="baseline"/>
              <w:rPr>
                <w:rFonts w:cs="Arial"/>
                <w:iCs/>
                <w:szCs w:val="20"/>
                <w:lang w:eastAsia="sl-SI"/>
              </w:rPr>
            </w:pPr>
            <w:r w:rsidRPr="00100821">
              <w:rPr>
                <w:rFonts w:cs="Arial"/>
                <w:iCs/>
                <w:szCs w:val="20"/>
                <w:lang w:eastAsia="sl-SI"/>
              </w:rPr>
              <w:t>Datum objave: ………</w:t>
            </w:r>
          </w:p>
          <w:p w14:paraId="12557D35" w14:textId="77777777" w:rsidR="009D0FAD" w:rsidRPr="00100821" w:rsidRDefault="009D0FAD" w:rsidP="00133AD7">
            <w:pPr>
              <w:widowControl w:val="0"/>
              <w:overflowPunct w:val="0"/>
              <w:autoSpaceDE w:val="0"/>
              <w:autoSpaceDN w:val="0"/>
              <w:adjustRightInd w:val="0"/>
              <w:spacing w:line="260" w:lineRule="exact"/>
              <w:jc w:val="both"/>
              <w:textAlignment w:val="baseline"/>
              <w:rPr>
                <w:rFonts w:cs="Arial"/>
                <w:iCs/>
                <w:szCs w:val="20"/>
                <w:lang w:eastAsia="sl-SI"/>
              </w:rPr>
            </w:pPr>
            <w:r w:rsidRPr="00100821">
              <w:rPr>
                <w:rFonts w:cs="Arial"/>
                <w:iCs/>
                <w:szCs w:val="20"/>
                <w:lang w:eastAsia="sl-SI"/>
              </w:rPr>
              <w:t xml:space="preserve">V razpravo so bili vključeni: </w:t>
            </w:r>
          </w:p>
          <w:p w14:paraId="74B11EF6" w14:textId="77777777" w:rsidR="009D0FAD" w:rsidRPr="00100821" w:rsidRDefault="009D0FAD" w:rsidP="009D0FAD">
            <w:pPr>
              <w:widowControl w:val="0"/>
              <w:numPr>
                <w:ilvl w:val="0"/>
                <w:numId w:val="6"/>
              </w:numPr>
              <w:overflowPunct w:val="0"/>
              <w:autoSpaceDE w:val="0"/>
              <w:autoSpaceDN w:val="0"/>
              <w:adjustRightInd w:val="0"/>
              <w:spacing w:line="260" w:lineRule="exact"/>
              <w:jc w:val="both"/>
              <w:textAlignment w:val="baseline"/>
              <w:rPr>
                <w:rFonts w:cs="Arial"/>
                <w:iCs/>
                <w:szCs w:val="20"/>
                <w:lang w:eastAsia="sl-SI"/>
              </w:rPr>
            </w:pPr>
            <w:r w:rsidRPr="00100821">
              <w:rPr>
                <w:rFonts w:cs="Arial"/>
                <w:iCs/>
                <w:szCs w:val="20"/>
                <w:lang w:eastAsia="sl-SI"/>
              </w:rPr>
              <w:t xml:space="preserve">nevladne organizacije, </w:t>
            </w:r>
          </w:p>
          <w:p w14:paraId="49FDB2DC" w14:textId="77777777" w:rsidR="009D0FAD" w:rsidRPr="00100821" w:rsidRDefault="009D0FAD" w:rsidP="009D0FAD">
            <w:pPr>
              <w:widowControl w:val="0"/>
              <w:numPr>
                <w:ilvl w:val="0"/>
                <w:numId w:val="6"/>
              </w:numPr>
              <w:overflowPunct w:val="0"/>
              <w:autoSpaceDE w:val="0"/>
              <w:autoSpaceDN w:val="0"/>
              <w:adjustRightInd w:val="0"/>
              <w:spacing w:line="260" w:lineRule="exact"/>
              <w:jc w:val="both"/>
              <w:textAlignment w:val="baseline"/>
              <w:rPr>
                <w:rFonts w:cs="Arial"/>
                <w:iCs/>
                <w:szCs w:val="20"/>
                <w:lang w:eastAsia="sl-SI"/>
              </w:rPr>
            </w:pPr>
            <w:r w:rsidRPr="00100821">
              <w:rPr>
                <w:rFonts w:cs="Arial"/>
                <w:iCs/>
                <w:szCs w:val="20"/>
                <w:lang w:eastAsia="sl-SI"/>
              </w:rPr>
              <w:t>predstavniki zainteresirane javnosti,</w:t>
            </w:r>
          </w:p>
          <w:p w14:paraId="24C3868D" w14:textId="77777777" w:rsidR="009D0FAD" w:rsidRPr="00100821" w:rsidRDefault="009D0FAD" w:rsidP="009D0FAD">
            <w:pPr>
              <w:widowControl w:val="0"/>
              <w:numPr>
                <w:ilvl w:val="0"/>
                <w:numId w:val="6"/>
              </w:numPr>
              <w:overflowPunct w:val="0"/>
              <w:autoSpaceDE w:val="0"/>
              <w:autoSpaceDN w:val="0"/>
              <w:adjustRightInd w:val="0"/>
              <w:spacing w:line="260" w:lineRule="exact"/>
              <w:jc w:val="both"/>
              <w:textAlignment w:val="baseline"/>
              <w:rPr>
                <w:rFonts w:cs="Arial"/>
                <w:iCs/>
                <w:szCs w:val="20"/>
                <w:lang w:eastAsia="sl-SI"/>
              </w:rPr>
            </w:pPr>
            <w:r w:rsidRPr="00100821">
              <w:rPr>
                <w:rFonts w:cs="Arial"/>
                <w:iCs/>
                <w:szCs w:val="20"/>
                <w:lang w:eastAsia="sl-SI"/>
              </w:rPr>
              <w:t>predstavniki strokovne javnosti.</w:t>
            </w:r>
          </w:p>
          <w:p w14:paraId="7C0DA6E3" w14:textId="77777777" w:rsidR="009D0FAD" w:rsidRPr="00100821" w:rsidRDefault="009D0FAD" w:rsidP="00F7104F">
            <w:pPr>
              <w:widowControl w:val="0"/>
              <w:overflowPunct w:val="0"/>
              <w:autoSpaceDE w:val="0"/>
              <w:autoSpaceDN w:val="0"/>
              <w:adjustRightInd w:val="0"/>
              <w:spacing w:line="260" w:lineRule="exact"/>
              <w:ind w:left="360"/>
              <w:jc w:val="both"/>
              <w:textAlignment w:val="baseline"/>
              <w:rPr>
                <w:rFonts w:cs="Arial"/>
                <w:iCs/>
                <w:szCs w:val="20"/>
                <w:lang w:eastAsia="sl-SI"/>
              </w:rPr>
            </w:pPr>
          </w:p>
          <w:p w14:paraId="32C8403C" w14:textId="77777777" w:rsidR="009D0FAD" w:rsidRPr="00100821" w:rsidRDefault="009D0FAD" w:rsidP="00133AD7">
            <w:pPr>
              <w:widowControl w:val="0"/>
              <w:overflowPunct w:val="0"/>
              <w:autoSpaceDE w:val="0"/>
              <w:autoSpaceDN w:val="0"/>
              <w:adjustRightInd w:val="0"/>
              <w:spacing w:line="260" w:lineRule="exact"/>
              <w:jc w:val="both"/>
              <w:textAlignment w:val="baseline"/>
              <w:rPr>
                <w:rFonts w:cs="Arial"/>
                <w:iCs/>
                <w:szCs w:val="20"/>
                <w:lang w:eastAsia="sl-SI"/>
              </w:rPr>
            </w:pPr>
            <w:r w:rsidRPr="00100821">
              <w:rPr>
                <w:rFonts w:cs="Arial"/>
                <w:iCs/>
                <w:szCs w:val="20"/>
                <w:lang w:eastAsia="sl-SI"/>
              </w:rPr>
              <w:t xml:space="preserve">Mnenja, predlogi in pripombe z navedbo predlagateljev </w:t>
            </w:r>
            <w:r w:rsidRPr="00100821">
              <w:rPr>
                <w:rFonts w:cs="Arial"/>
                <w:color w:val="000000"/>
                <w:szCs w:val="20"/>
                <w:lang w:eastAsia="sl-SI"/>
              </w:rPr>
              <w:t>(imen in priimkov fizičnih oseb, ki niso poslovni subjekti, ne navajajte</w:t>
            </w:r>
            <w:r w:rsidRPr="00100821">
              <w:rPr>
                <w:rFonts w:cs="Arial"/>
                <w:iCs/>
                <w:szCs w:val="20"/>
                <w:lang w:eastAsia="sl-SI"/>
              </w:rPr>
              <w:t>):</w:t>
            </w:r>
          </w:p>
          <w:p w14:paraId="47551BAF" w14:textId="77777777" w:rsidR="009D0FAD" w:rsidRPr="00100821" w:rsidRDefault="009D0FAD" w:rsidP="00133AD7">
            <w:pPr>
              <w:widowControl w:val="0"/>
              <w:overflowPunct w:val="0"/>
              <w:autoSpaceDE w:val="0"/>
              <w:autoSpaceDN w:val="0"/>
              <w:adjustRightInd w:val="0"/>
              <w:spacing w:line="260" w:lineRule="exact"/>
              <w:jc w:val="both"/>
              <w:textAlignment w:val="baseline"/>
              <w:rPr>
                <w:rFonts w:cs="Arial"/>
                <w:iCs/>
                <w:szCs w:val="20"/>
                <w:lang w:eastAsia="sl-SI"/>
              </w:rPr>
            </w:pPr>
            <w:r w:rsidRPr="00100821">
              <w:rPr>
                <w:rFonts w:cs="Arial"/>
                <w:iCs/>
                <w:szCs w:val="20"/>
                <w:lang w:eastAsia="sl-SI"/>
              </w:rPr>
              <w:t>Upoštevani so bili:</w:t>
            </w:r>
          </w:p>
          <w:p w14:paraId="2713D2E8" w14:textId="77777777" w:rsidR="009D0FAD" w:rsidRPr="00100821" w:rsidRDefault="009D0FAD" w:rsidP="009D0FAD">
            <w:pPr>
              <w:widowControl w:val="0"/>
              <w:numPr>
                <w:ilvl w:val="0"/>
                <w:numId w:val="7"/>
              </w:numPr>
              <w:overflowPunct w:val="0"/>
              <w:autoSpaceDE w:val="0"/>
              <w:autoSpaceDN w:val="0"/>
              <w:adjustRightInd w:val="0"/>
              <w:spacing w:line="260" w:lineRule="exact"/>
              <w:jc w:val="both"/>
              <w:textAlignment w:val="baseline"/>
              <w:rPr>
                <w:rFonts w:cs="Arial"/>
                <w:iCs/>
                <w:szCs w:val="20"/>
                <w:lang w:eastAsia="sl-SI"/>
              </w:rPr>
            </w:pPr>
            <w:r w:rsidRPr="00100821">
              <w:rPr>
                <w:rFonts w:cs="Arial"/>
                <w:iCs/>
                <w:szCs w:val="20"/>
                <w:lang w:eastAsia="sl-SI"/>
              </w:rPr>
              <w:t>v celoti,</w:t>
            </w:r>
          </w:p>
          <w:p w14:paraId="3E8EC8F3" w14:textId="77777777" w:rsidR="009D0FAD" w:rsidRPr="00100821" w:rsidRDefault="009D0FAD" w:rsidP="009D0FAD">
            <w:pPr>
              <w:widowControl w:val="0"/>
              <w:numPr>
                <w:ilvl w:val="0"/>
                <w:numId w:val="7"/>
              </w:numPr>
              <w:overflowPunct w:val="0"/>
              <w:autoSpaceDE w:val="0"/>
              <w:autoSpaceDN w:val="0"/>
              <w:adjustRightInd w:val="0"/>
              <w:spacing w:line="260" w:lineRule="exact"/>
              <w:jc w:val="both"/>
              <w:textAlignment w:val="baseline"/>
              <w:rPr>
                <w:rFonts w:cs="Arial"/>
                <w:iCs/>
                <w:szCs w:val="20"/>
                <w:lang w:eastAsia="sl-SI"/>
              </w:rPr>
            </w:pPr>
            <w:r w:rsidRPr="00100821">
              <w:rPr>
                <w:rFonts w:cs="Arial"/>
                <w:iCs/>
                <w:szCs w:val="20"/>
                <w:lang w:eastAsia="sl-SI"/>
              </w:rPr>
              <w:t>večinoma,</w:t>
            </w:r>
          </w:p>
          <w:p w14:paraId="06BFF4BD" w14:textId="77777777" w:rsidR="009D0FAD" w:rsidRPr="00100821" w:rsidRDefault="009D0FAD" w:rsidP="009D0FAD">
            <w:pPr>
              <w:widowControl w:val="0"/>
              <w:numPr>
                <w:ilvl w:val="0"/>
                <w:numId w:val="7"/>
              </w:numPr>
              <w:overflowPunct w:val="0"/>
              <w:autoSpaceDE w:val="0"/>
              <w:autoSpaceDN w:val="0"/>
              <w:adjustRightInd w:val="0"/>
              <w:spacing w:line="260" w:lineRule="exact"/>
              <w:jc w:val="both"/>
              <w:textAlignment w:val="baseline"/>
              <w:rPr>
                <w:rFonts w:cs="Arial"/>
                <w:iCs/>
                <w:szCs w:val="20"/>
                <w:lang w:eastAsia="sl-SI"/>
              </w:rPr>
            </w:pPr>
            <w:r w:rsidRPr="00100821">
              <w:rPr>
                <w:rFonts w:cs="Arial"/>
                <w:iCs/>
                <w:szCs w:val="20"/>
                <w:lang w:eastAsia="sl-SI"/>
              </w:rPr>
              <w:t>delno,</w:t>
            </w:r>
          </w:p>
          <w:p w14:paraId="0D1C9DB4" w14:textId="77777777" w:rsidR="009D0FAD" w:rsidRPr="00100821" w:rsidRDefault="009D0FAD" w:rsidP="009D0FAD">
            <w:pPr>
              <w:widowControl w:val="0"/>
              <w:numPr>
                <w:ilvl w:val="0"/>
                <w:numId w:val="7"/>
              </w:numPr>
              <w:overflowPunct w:val="0"/>
              <w:autoSpaceDE w:val="0"/>
              <w:autoSpaceDN w:val="0"/>
              <w:adjustRightInd w:val="0"/>
              <w:spacing w:line="260" w:lineRule="exact"/>
              <w:jc w:val="both"/>
              <w:textAlignment w:val="baseline"/>
              <w:rPr>
                <w:rFonts w:cs="Arial"/>
                <w:iCs/>
                <w:szCs w:val="20"/>
                <w:lang w:eastAsia="sl-SI"/>
              </w:rPr>
            </w:pPr>
            <w:r w:rsidRPr="00100821">
              <w:rPr>
                <w:rFonts w:cs="Arial"/>
                <w:iCs/>
                <w:szCs w:val="20"/>
                <w:lang w:eastAsia="sl-SI"/>
              </w:rPr>
              <w:t>niso bili upoštevani.</w:t>
            </w:r>
          </w:p>
          <w:p w14:paraId="1DDAA7DB" w14:textId="77777777" w:rsidR="009D0FAD" w:rsidRPr="00100821" w:rsidRDefault="009D0FAD" w:rsidP="00133AD7">
            <w:pPr>
              <w:widowControl w:val="0"/>
              <w:overflowPunct w:val="0"/>
              <w:autoSpaceDE w:val="0"/>
              <w:autoSpaceDN w:val="0"/>
              <w:adjustRightInd w:val="0"/>
              <w:spacing w:line="260" w:lineRule="exact"/>
              <w:jc w:val="both"/>
              <w:textAlignment w:val="baseline"/>
              <w:rPr>
                <w:rFonts w:cs="Arial"/>
                <w:iCs/>
                <w:szCs w:val="20"/>
                <w:lang w:eastAsia="sl-SI"/>
              </w:rPr>
            </w:pPr>
            <w:r w:rsidRPr="00100821">
              <w:rPr>
                <w:rFonts w:cs="Arial"/>
                <w:iCs/>
                <w:szCs w:val="20"/>
                <w:lang w:eastAsia="sl-SI"/>
              </w:rPr>
              <w:t>Bistvena mnenja, predlogi in pripombe, ki niso bili upoštevani, ter razlogi za neupoštevanje:</w:t>
            </w:r>
          </w:p>
          <w:p w14:paraId="68664F81" w14:textId="77777777" w:rsidR="009D0FAD" w:rsidRPr="00100821" w:rsidRDefault="009D0FAD" w:rsidP="00133AD7">
            <w:pPr>
              <w:widowControl w:val="0"/>
              <w:overflowPunct w:val="0"/>
              <w:autoSpaceDE w:val="0"/>
              <w:autoSpaceDN w:val="0"/>
              <w:adjustRightInd w:val="0"/>
              <w:spacing w:line="260" w:lineRule="exact"/>
              <w:jc w:val="both"/>
              <w:textAlignment w:val="baseline"/>
              <w:rPr>
                <w:rFonts w:cs="Arial"/>
                <w:iCs/>
                <w:szCs w:val="20"/>
                <w:lang w:eastAsia="sl-SI"/>
              </w:rPr>
            </w:pPr>
            <w:r w:rsidRPr="00100821">
              <w:rPr>
                <w:rFonts w:cs="Arial"/>
                <w:iCs/>
                <w:szCs w:val="20"/>
                <w:lang w:eastAsia="sl-SI"/>
              </w:rPr>
              <w:t>Poročilo je bilo dano ……………..</w:t>
            </w:r>
          </w:p>
          <w:p w14:paraId="3804E4A0" w14:textId="77777777" w:rsidR="009D0FAD" w:rsidRPr="00100821" w:rsidRDefault="009D0FAD" w:rsidP="00133AD7">
            <w:pPr>
              <w:widowControl w:val="0"/>
              <w:overflowPunct w:val="0"/>
              <w:autoSpaceDE w:val="0"/>
              <w:autoSpaceDN w:val="0"/>
              <w:adjustRightInd w:val="0"/>
              <w:spacing w:line="260" w:lineRule="exact"/>
              <w:jc w:val="both"/>
              <w:textAlignment w:val="baseline"/>
              <w:rPr>
                <w:rFonts w:cs="Arial"/>
                <w:iCs/>
                <w:szCs w:val="20"/>
                <w:lang w:eastAsia="sl-SI"/>
              </w:rPr>
            </w:pPr>
          </w:p>
          <w:p w14:paraId="2EC3A305" w14:textId="77777777" w:rsidR="009D0FAD" w:rsidRPr="00100821" w:rsidRDefault="009D0FAD" w:rsidP="00133AD7">
            <w:pPr>
              <w:widowControl w:val="0"/>
              <w:overflowPunct w:val="0"/>
              <w:autoSpaceDE w:val="0"/>
              <w:autoSpaceDN w:val="0"/>
              <w:adjustRightInd w:val="0"/>
              <w:spacing w:line="260" w:lineRule="exact"/>
              <w:jc w:val="both"/>
              <w:textAlignment w:val="baseline"/>
              <w:rPr>
                <w:rFonts w:cs="Arial"/>
                <w:iCs/>
                <w:szCs w:val="20"/>
                <w:lang w:eastAsia="sl-SI"/>
              </w:rPr>
            </w:pPr>
            <w:r w:rsidRPr="00100821">
              <w:rPr>
                <w:rFonts w:cs="Arial"/>
                <w:iCs/>
                <w:szCs w:val="20"/>
                <w:lang w:eastAsia="sl-SI"/>
              </w:rPr>
              <w:t>Javnost je bila vključena v pripravo gradiva v skladu z Zakonom o …, kar je navedeno v predlogu predpisa.)</w:t>
            </w:r>
          </w:p>
        </w:tc>
      </w:tr>
      <w:tr w:rsidR="009D0FAD" w:rsidRPr="00100821" w14:paraId="738D49FE" w14:textId="77777777" w:rsidTr="00133A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6"/>
            <w:vAlign w:val="center"/>
          </w:tcPr>
          <w:p w14:paraId="36967C06" w14:textId="77777777" w:rsidR="009D0FAD" w:rsidRPr="00100821" w:rsidRDefault="009D0FAD" w:rsidP="00133AD7">
            <w:pPr>
              <w:widowControl w:val="0"/>
              <w:overflowPunct w:val="0"/>
              <w:autoSpaceDE w:val="0"/>
              <w:autoSpaceDN w:val="0"/>
              <w:adjustRightInd w:val="0"/>
              <w:spacing w:line="260" w:lineRule="exact"/>
              <w:textAlignment w:val="baseline"/>
              <w:rPr>
                <w:rFonts w:cs="Arial"/>
                <w:szCs w:val="20"/>
                <w:lang w:eastAsia="sl-SI"/>
              </w:rPr>
            </w:pPr>
            <w:r w:rsidRPr="00100821">
              <w:rPr>
                <w:rFonts w:cs="Arial"/>
                <w:b/>
                <w:szCs w:val="20"/>
                <w:lang w:eastAsia="sl-SI"/>
              </w:rPr>
              <w:t>10. Pri pripravi gradiva so bile upoštevane zahteve iz Resolucije o normativni dejavnosti:</w:t>
            </w:r>
          </w:p>
        </w:tc>
        <w:tc>
          <w:tcPr>
            <w:tcW w:w="2431" w:type="dxa"/>
            <w:gridSpan w:val="2"/>
            <w:vAlign w:val="center"/>
          </w:tcPr>
          <w:p w14:paraId="4620CE0B" w14:textId="77777777" w:rsidR="009D0FAD" w:rsidRPr="00100821" w:rsidRDefault="009D0FAD" w:rsidP="00133AD7">
            <w:pPr>
              <w:widowControl w:val="0"/>
              <w:overflowPunct w:val="0"/>
              <w:autoSpaceDE w:val="0"/>
              <w:autoSpaceDN w:val="0"/>
              <w:adjustRightInd w:val="0"/>
              <w:spacing w:line="260" w:lineRule="exact"/>
              <w:jc w:val="center"/>
              <w:textAlignment w:val="baseline"/>
              <w:rPr>
                <w:rFonts w:cs="Arial"/>
                <w:iCs/>
                <w:szCs w:val="20"/>
                <w:lang w:eastAsia="sl-SI"/>
              </w:rPr>
            </w:pPr>
            <w:r w:rsidRPr="00100821">
              <w:rPr>
                <w:rFonts w:cs="Arial"/>
                <w:szCs w:val="20"/>
                <w:lang w:eastAsia="sl-SI"/>
              </w:rPr>
              <w:t>DA/</w:t>
            </w:r>
            <w:r w:rsidRPr="00100821">
              <w:rPr>
                <w:rFonts w:cs="Arial"/>
                <w:b/>
                <w:szCs w:val="20"/>
                <w:lang w:eastAsia="sl-SI"/>
              </w:rPr>
              <w:t>NE</w:t>
            </w:r>
          </w:p>
        </w:tc>
      </w:tr>
      <w:tr w:rsidR="009D0FAD" w:rsidRPr="00100821" w14:paraId="414798BE" w14:textId="77777777" w:rsidTr="00133A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6"/>
            <w:vAlign w:val="center"/>
          </w:tcPr>
          <w:p w14:paraId="0E5C98DA" w14:textId="77777777" w:rsidR="009D0FAD" w:rsidRPr="00100821" w:rsidRDefault="009D0FAD" w:rsidP="00133AD7">
            <w:pPr>
              <w:widowControl w:val="0"/>
              <w:overflowPunct w:val="0"/>
              <w:autoSpaceDE w:val="0"/>
              <w:autoSpaceDN w:val="0"/>
              <w:adjustRightInd w:val="0"/>
              <w:spacing w:line="260" w:lineRule="exact"/>
              <w:textAlignment w:val="baseline"/>
              <w:rPr>
                <w:rFonts w:cs="Arial"/>
                <w:b/>
                <w:szCs w:val="20"/>
                <w:lang w:eastAsia="sl-SI"/>
              </w:rPr>
            </w:pPr>
            <w:r w:rsidRPr="00100821">
              <w:rPr>
                <w:rFonts w:cs="Arial"/>
                <w:b/>
                <w:szCs w:val="20"/>
                <w:lang w:eastAsia="sl-SI"/>
              </w:rPr>
              <w:t>11. Gradivo je uvrščeno v delovni program vlade:</w:t>
            </w:r>
          </w:p>
        </w:tc>
        <w:tc>
          <w:tcPr>
            <w:tcW w:w="2431" w:type="dxa"/>
            <w:gridSpan w:val="2"/>
            <w:vAlign w:val="center"/>
          </w:tcPr>
          <w:p w14:paraId="1160952D" w14:textId="77777777" w:rsidR="009D0FAD" w:rsidRPr="00100821" w:rsidRDefault="009D0FAD" w:rsidP="00133AD7">
            <w:pPr>
              <w:widowControl w:val="0"/>
              <w:overflowPunct w:val="0"/>
              <w:autoSpaceDE w:val="0"/>
              <w:autoSpaceDN w:val="0"/>
              <w:adjustRightInd w:val="0"/>
              <w:spacing w:line="260" w:lineRule="exact"/>
              <w:jc w:val="center"/>
              <w:textAlignment w:val="baseline"/>
              <w:rPr>
                <w:rFonts w:cs="Arial"/>
                <w:szCs w:val="20"/>
                <w:lang w:eastAsia="sl-SI"/>
              </w:rPr>
            </w:pPr>
            <w:r w:rsidRPr="00100821">
              <w:rPr>
                <w:rFonts w:cs="Arial"/>
                <w:szCs w:val="20"/>
                <w:lang w:eastAsia="sl-SI"/>
              </w:rPr>
              <w:t>DA/</w:t>
            </w:r>
            <w:r w:rsidRPr="00100821">
              <w:rPr>
                <w:rFonts w:cs="Arial"/>
                <w:b/>
                <w:szCs w:val="20"/>
                <w:lang w:eastAsia="sl-SI"/>
              </w:rPr>
              <w:t>NE</w:t>
            </w:r>
          </w:p>
        </w:tc>
      </w:tr>
      <w:tr w:rsidR="009D0FAD" w:rsidRPr="00100821" w14:paraId="13A51600" w14:textId="77777777" w:rsidTr="00133A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8"/>
            <w:tcBorders>
              <w:top w:val="single" w:sz="4" w:space="0" w:color="000000"/>
              <w:left w:val="single" w:sz="4" w:space="0" w:color="000000"/>
              <w:bottom w:val="single" w:sz="4" w:space="0" w:color="000000"/>
              <w:right w:val="single" w:sz="4" w:space="0" w:color="000000"/>
            </w:tcBorders>
          </w:tcPr>
          <w:p w14:paraId="72BB901B" w14:textId="77777777" w:rsidR="009D0FAD" w:rsidRPr="00100821" w:rsidRDefault="009D0FAD" w:rsidP="00133AD7">
            <w:pPr>
              <w:widowControl w:val="0"/>
              <w:suppressAutoHyphens/>
              <w:overflowPunct w:val="0"/>
              <w:autoSpaceDE w:val="0"/>
              <w:autoSpaceDN w:val="0"/>
              <w:adjustRightInd w:val="0"/>
              <w:spacing w:line="260" w:lineRule="exact"/>
              <w:ind w:left="3400"/>
              <w:textAlignment w:val="baseline"/>
              <w:outlineLvl w:val="3"/>
              <w:rPr>
                <w:rFonts w:cs="Arial"/>
                <w:b/>
                <w:szCs w:val="20"/>
                <w:lang w:eastAsia="sl-SI"/>
              </w:rPr>
            </w:pPr>
          </w:p>
          <w:p w14:paraId="209448E8" w14:textId="77777777" w:rsidR="009D0FAD" w:rsidRPr="00100821" w:rsidRDefault="009D0FAD" w:rsidP="00133AD7">
            <w:pPr>
              <w:widowControl w:val="0"/>
              <w:suppressAutoHyphens/>
              <w:overflowPunct w:val="0"/>
              <w:autoSpaceDE w:val="0"/>
              <w:autoSpaceDN w:val="0"/>
              <w:adjustRightInd w:val="0"/>
              <w:spacing w:line="260" w:lineRule="exact"/>
              <w:ind w:left="3400"/>
              <w:textAlignment w:val="baseline"/>
              <w:outlineLvl w:val="3"/>
              <w:rPr>
                <w:rFonts w:cs="Arial"/>
                <w:b/>
                <w:szCs w:val="20"/>
                <w:lang w:eastAsia="sl-SI"/>
              </w:rPr>
            </w:pPr>
          </w:p>
          <w:p w14:paraId="73BDB1BD" w14:textId="77777777" w:rsidR="009D0FAD" w:rsidRPr="00100821" w:rsidRDefault="009D0FAD" w:rsidP="00133AD7">
            <w:pPr>
              <w:widowControl w:val="0"/>
              <w:suppressAutoHyphens/>
              <w:overflowPunct w:val="0"/>
              <w:autoSpaceDE w:val="0"/>
              <w:autoSpaceDN w:val="0"/>
              <w:adjustRightInd w:val="0"/>
              <w:spacing w:line="260" w:lineRule="exact"/>
              <w:ind w:left="5834"/>
              <w:textAlignment w:val="baseline"/>
              <w:outlineLvl w:val="3"/>
              <w:rPr>
                <w:rFonts w:cs="Arial"/>
                <w:b/>
                <w:szCs w:val="20"/>
                <w:lang w:eastAsia="sl-SI"/>
              </w:rPr>
            </w:pPr>
          </w:p>
          <w:p w14:paraId="4F58881C" w14:textId="77777777" w:rsidR="009D0FAD" w:rsidRPr="00100821" w:rsidRDefault="004659AB" w:rsidP="00133AD7">
            <w:pPr>
              <w:widowControl w:val="0"/>
              <w:suppressAutoHyphens/>
              <w:overflowPunct w:val="0"/>
              <w:autoSpaceDE w:val="0"/>
              <w:autoSpaceDN w:val="0"/>
              <w:adjustRightInd w:val="0"/>
              <w:spacing w:line="260" w:lineRule="exact"/>
              <w:ind w:left="5834"/>
              <w:textAlignment w:val="baseline"/>
              <w:outlineLvl w:val="3"/>
              <w:rPr>
                <w:rFonts w:cs="Arial"/>
                <w:szCs w:val="20"/>
                <w:lang w:eastAsia="sl-SI"/>
              </w:rPr>
            </w:pPr>
            <w:r>
              <w:rPr>
                <w:rFonts w:cs="Arial"/>
                <w:b/>
                <w:szCs w:val="20"/>
                <w:lang w:eastAsia="sl-SI"/>
              </w:rPr>
              <w:t xml:space="preserve">    </w:t>
            </w:r>
            <w:r w:rsidR="009D0FAD" w:rsidRPr="00100821">
              <w:rPr>
                <w:rFonts w:cs="Arial"/>
                <w:szCs w:val="20"/>
                <w:lang w:eastAsia="sl-SI"/>
              </w:rPr>
              <w:t>Minister</w:t>
            </w:r>
          </w:p>
          <w:p w14:paraId="126A7C1B" w14:textId="77777777" w:rsidR="009D0FAD" w:rsidRPr="00100821" w:rsidRDefault="009D0FAD" w:rsidP="00133AD7">
            <w:pPr>
              <w:widowControl w:val="0"/>
              <w:suppressAutoHyphens/>
              <w:overflowPunct w:val="0"/>
              <w:autoSpaceDE w:val="0"/>
              <w:autoSpaceDN w:val="0"/>
              <w:adjustRightInd w:val="0"/>
              <w:spacing w:line="260" w:lineRule="exact"/>
              <w:ind w:left="5834"/>
              <w:textAlignment w:val="baseline"/>
              <w:outlineLvl w:val="3"/>
              <w:rPr>
                <w:rFonts w:cs="Arial"/>
                <w:szCs w:val="20"/>
                <w:lang w:eastAsia="sl-SI"/>
              </w:rPr>
            </w:pPr>
            <w:r w:rsidRPr="00100821">
              <w:rPr>
                <w:rFonts w:cs="Arial"/>
                <w:szCs w:val="20"/>
                <w:lang w:eastAsia="sl-SI"/>
              </w:rPr>
              <w:t>Zdravko Počivalšek</w:t>
            </w:r>
          </w:p>
          <w:p w14:paraId="1A27DACC" w14:textId="77777777" w:rsidR="009D0FAD" w:rsidRPr="00100821" w:rsidRDefault="009D0FAD" w:rsidP="00133AD7">
            <w:pPr>
              <w:widowControl w:val="0"/>
              <w:suppressAutoHyphens/>
              <w:overflowPunct w:val="0"/>
              <w:autoSpaceDE w:val="0"/>
              <w:autoSpaceDN w:val="0"/>
              <w:adjustRightInd w:val="0"/>
              <w:spacing w:line="260" w:lineRule="exact"/>
              <w:ind w:left="3400"/>
              <w:textAlignment w:val="baseline"/>
              <w:outlineLvl w:val="3"/>
              <w:rPr>
                <w:rFonts w:cs="Arial"/>
                <w:b/>
                <w:szCs w:val="20"/>
                <w:lang w:eastAsia="sl-SI"/>
              </w:rPr>
            </w:pPr>
          </w:p>
          <w:p w14:paraId="0601866D" w14:textId="77777777" w:rsidR="009D0FAD" w:rsidRPr="00100821" w:rsidRDefault="009D0FAD" w:rsidP="00133AD7">
            <w:pPr>
              <w:widowControl w:val="0"/>
              <w:suppressAutoHyphens/>
              <w:overflowPunct w:val="0"/>
              <w:autoSpaceDE w:val="0"/>
              <w:autoSpaceDN w:val="0"/>
              <w:adjustRightInd w:val="0"/>
              <w:spacing w:line="260" w:lineRule="exact"/>
              <w:textAlignment w:val="baseline"/>
              <w:outlineLvl w:val="3"/>
              <w:rPr>
                <w:rFonts w:cs="Arial"/>
                <w:b/>
                <w:szCs w:val="20"/>
                <w:lang w:eastAsia="sl-SI"/>
              </w:rPr>
            </w:pPr>
          </w:p>
          <w:p w14:paraId="038EAD90" w14:textId="77777777" w:rsidR="009D0FAD" w:rsidRPr="00100821" w:rsidRDefault="009D0FAD" w:rsidP="00133AD7">
            <w:pPr>
              <w:widowControl w:val="0"/>
              <w:suppressAutoHyphens/>
              <w:overflowPunct w:val="0"/>
              <w:autoSpaceDE w:val="0"/>
              <w:autoSpaceDN w:val="0"/>
              <w:adjustRightInd w:val="0"/>
              <w:spacing w:line="260" w:lineRule="exact"/>
              <w:textAlignment w:val="baseline"/>
              <w:outlineLvl w:val="3"/>
              <w:rPr>
                <w:rFonts w:cs="Arial"/>
                <w:b/>
                <w:szCs w:val="20"/>
                <w:lang w:eastAsia="sl-SI"/>
              </w:rPr>
            </w:pPr>
          </w:p>
        </w:tc>
      </w:tr>
    </w:tbl>
    <w:p w14:paraId="3F49C9AE" w14:textId="77777777" w:rsidR="009D0FAD" w:rsidRPr="004A3DA0" w:rsidRDefault="009D0FAD" w:rsidP="009D0FAD">
      <w:pPr>
        <w:spacing w:after="160" w:line="259" w:lineRule="auto"/>
        <w:rPr>
          <w:rFonts w:eastAsia="Calibri" w:cs="Arial"/>
          <w:sz w:val="22"/>
          <w:szCs w:val="22"/>
        </w:rPr>
      </w:pPr>
    </w:p>
    <w:p w14:paraId="0CCADD39" w14:textId="77777777" w:rsidR="009D0FAD" w:rsidRPr="004A3DA0" w:rsidRDefault="009D0FAD" w:rsidP="009D0FAD">
      <w:pPr>
        <w:spacing w:after="160" w:line="259" w:lineRule="auto"/>
        <w:rPr>
          <w:rFonts w:eastAsia="Calibri" w:cs="Arial"/>
          <w:sz w:val="22"/>
          <w:szCs w:val="22"/>
        </w:rPr>
      </w:pPr>
    </w:p>
    <w:p w14:paraId="5D959258" w14:textId="77777777" w:rsidR="009D0FAD" w:rsidRPr="004A3DA0" w:rsidRDefault="009D0FAD" w:rsidP="009D0FAD">
      <w:pPr>
        <w:spacing w:line="240" w:lineRule="auto"/>
        <w:rPr>
          <w:rFonts w:eastAsia="Calibri" w:cs="Arial"/>
          <w:sz w:val="22"/>
          <w:szCs w:val="22"/>
        </w:rPr>
      </w:pPr>
      <w:r w:rsidRPr="004A3DA0">
        <w:rPr>
          <w:rFonts w:eastAsia="Calibri" w:cs="Arial"/>
          <w:sz w:val="22"/>
          <w:szCs w:val="22"/>
        </w:rPr>
        <w:br w:type="page"/>
      </w:r>
    </w:p>
    <w:p w14:paraId="4E1C347A" w14:textId="4D4151F9" w:rsidR="004A0EAB" w:rsidRDefault="004A0EAB" w:rsidP="004A0EAB">
      <w:pPr>
        <w:autoSpaceDE w:val="0"/>
        <w:autoSpaceDN w:val="0"/>
        <w:adjustRightInd w:val="0"/>
        <w:spacing w:line="240" w:lineRule="auto"/>
        <w:jc w:val="both"/>
        <w:rPr>
          <w:rFonts w:eastAsiaTheme="minorHAnsi" w:cs="Arial"/>
          <w:bCs/>
          <w:sz w:val="22"/>
          <w:szCs w:val="22"/>
        </w:rPr>
      </w:pPr>
      <w:r w:rsidRPr="004A0EAB">
        <w:rPr>
          <w:rFonts w:eastAsiaTheme="minorHAnsi" w:cs="Arial"/>
          <w:bCs/>
          <w:sz w:val="22"/>
          <w:szCs w:val="22"/>
        </w:rPr>
        <w:lastRenderedPageBreak/>
        <w:t xml:space="preserve">Na podlagi šestega odstavka 21. člena Zakona o Vladi Republike Slovenije (Uradni list RS, št. 24/05 - uradno prečiščeno besedilo, 109/08, 38/10 </w:t>
      </w:r>
      <w:r w:rsidRPr="004A0EAB">
        <w:rPr>
          <w:rFonts w:cs="Arial"/>
          <w:b/>
          <w:bCs/>
          <w:color w:val="626060"/>
          <w:sz w:val="22"/>
          <w:szCs w:val="22"/>
          <w:shd w:val="clear" w:color="auto" w:fill="FFFFFF"/>
        </w:rPr>
        <w:t>–</w:t>
      </w:r>
      <w:r w:rsidRPr="004A0EAB">
        <w:rPr>
          <w:rFonts w:eastAsiaTheme="minorHAnsi" w:cs="Arial"/>
          <w:bCs/>
          <w:sz w:val="22"/>
          <w:szCs w:val="22"/>
        </w:rPr>
        <w:t xml:space="preserve"> ZUKN, 8/12, 21/13, 47/13 </w:t>
      </w:r>
      <w:r w:rsidRPr="004A0EAB">
        <w:rPr>
          <w:rFonts w:cs="Arial"/>
          <w:b/>
          <w:bCs/>
          <w:color w:val="626060"/>
          <w:sz w:val="22"/>
          <w:szCs w:val="22"/>
          <w:shd w:val="clear" w:color="auto" w:fill="FFFFFF"/>
        </w:rPr>
        <w:t xml:space="preserve">– </w:t>
      </w:r>
      <w:r w:rsidRPr="004A0EAB">
        <w:rPr>
          <w:rFonts w:eastAsiaTheme="minorHAnsi" w:cs="Arial"/>
          <w:bCs/>
          <w:sz w:val="22"/>
          <w:szCs w:val="22"/>
        </w:rPr>
        <w:t>ZDU-1G, 65/14 in 55/17), drugega odstavka 17. člena Uredbe o postopku, merilih in načinih dodeljevanja sredstev za spodbujanje razvojnih programov in prednostnih nalog (Uradni list RS, št. 56/11) v zvezi z drugim odstavkom 106.j člena Zakona o javnih financah (Uradni list RS, št. 11/11 – uradno prečiščeno besedilo, 14/13 – popr., 101/13 in 55/15 – ZfisP in 96/15</w:t>
      </w:r>
      <w:r w:rsidRPr="004A0EAB">
        <w:rPr>
          <w:rFonts w:cs="Arial"/>
          <w:b/>
          <w:bCs/>
          <w:color w:val="626060"/>
          <w:sz w:val="22"/>
          <w:szCs w:val="22"/>
          <w:shd w:val="clear" w:color="auto" w:fill="FFFFFF"/>
        </w:rPr>
        <w:t xml:space="preserve"> – </w:t>
      </w:r>
      <w:r w:rsidRPr="004A0EAB">
        <w:rPr>
          <w:rFonts w:eastAsiaTheme="minorHAnsi" w:cs="Arial"/>
          <w:bCs/>
          <w:sz w:val="22"/>
          <w:szCs w:val="22"/>
        </w:rPr>
        <w:t>ZIPRS1617</w:t>
      </w:r>
      <w:r w:rsidR="00883E4D" w:rsidRPr="00883E4D">
        <w:rPr>
          <w:rFonts w:eastAsiaTheme="minorHAnsi" w:cs="Arial"/>
          <w:bCs/>
          <w:sz w:val="22"/>
          <w:szCs w:val="22"/>
        </w:rPr>
        <w:t>, 13/18 in 195/20 – odl. US</w:t>
      </w:r>
      <w:r w:rsidR="00946F25">
        <w:rPr>
          <w:rFonts w:eastAsiaTheme="minorHAnsi" w:cs="Arial"/>
          <w:bCs/>
          <w:sz w:val="22"/>
          <w:szCs w:val="22"/>
        </w:rPr>
        <w:t>) in prvim odstavkom</w:t>
      </w:r>
      <w:r w:rsidRPr="004A0EAB">
        <w:rPr>
          <w:rFonts w:eastAsiaTheme="minorHAnsi" w:cs="Arial"/>
          <w:bCs/>
          <w:sz w:val="22"/>
          <w:szCs w:val="22"/>
        </w:rPr>
        <w:t xml:space="preserve"> 37. a člena Uredbe o porabi sredstev evropske kohezijske politike v Republiki Sloveniji v programskem obdobju 2014-2020 za cilj naložbe za rast in delovna mesta (Uradni list RS št. 29/15, 36/16, 58/16, 69/16 – popr.,</w:t>
      </w:r>
      <w:r w:rsidRPr="004A0EAB">
        <w:rPr>
          <w:rFonts w:cs="Arial"/>
          <w:sz w:val="22"/>
          <w:szCs w:val="22"/>
        </w:rPr>
        <w:t xml:space="preserve"> </w:t>
      </w:r>
      <w:r w:rsidRPr="004A0EAB">
        <w:rPr>
          <w:rFonts w:eastAsiaTheme="minorHAnsi" w:cs="Arial"/>
          <w:bCs/>
          <w:sz w:val="22"/>
          <w:szCs w:val="22"/>
        </w:rPr>
        <w:t>15/17, 69/17</w:t>
      </w:r>
      <w:r w:rsidR="00946F25">
        <w:rPr>
          <w:rFonts w:cs="Arial"/>
          <w:sz w:val="22"/>
          <w:szCs w:val="22"/>
        </w:rPr>
        <w:t xml:space="preserve">, </w:t>
      </w:r>
      <w:r w:rsidRPr="004A0EAB">
        <w:rPr>
          <w:rFonts w:eastAsiaTheme="minorHAnsi" w:cs="Arial"/>
          <w:bCs/>
          <w:sz w:val="22"/>
          <w:szCs w:val="22"/>
        </w:rPr>
        <w:t>67/18</w:t>
      </w:r>
      <w:r w:rsidR="00946F25">
        <w:rPr>
          <w:rFonts w:eastAsiaTheme="minorHAnsi" w:cs="Arial"/>
          <w:bCs/>
          <w:sz w:val="22"/>
          <w:szCs w:val="22"/>
        </w:rPr>
        <w:t xml:space="preserve"> in 15/21</w:t>
      </w:r>
      <w:r w:rsidRPr="004A0EAB">
        <w:rPr>
          <w:rFonts w:eastAsiaTheme="minorHAnsi" w:cs="Arial"/>
          <w:bCs/>
          <w:sz w:val="22"/>
          <w:szCs w:val="22"/>
        </w:rPr>
        <w:t xml:space="preserve">) je Vlada Republike Slovenije na </w:t>
      </w:r>
      <w:r>
        <w:rPr>
          <w:rFonts w:eastAsiaTheme="minorHAnsi" w:cs="Arial"/>
          <w:bCs/>
          <w:sz w:val="22"/>
          <w:szCs w:val="22"/>
        </w:rPr>
        <w:t xml:space="preserve">…… redni </w:t>
      </w:r>
      <w:r w:rsidRPr="004A0EAB">
        <w:rPr>
          <w:rFonts w:eastAsiaTheme="minorHAnsi" w:cs="Arial"/>
          <w:bCs/>
          <w:sz w:val="22"/>
          <w:szCs w:val="22"/>
        </w:rPr>
        <w:t xml:space="preserve">seji dne </w:t>
      </w:r>
      <w:r>
        <w:rPr>
          <w:rFonts w:eastAsiaTheme="minorHAnsi" w:cs="Arial"/>
          <w:bCs/>
          <w:sz w:val="22"/>
          <w:szCs w:val="22"/>
        </w:rPr>
        <w:t>……..</w:t>
      </w:r>
      <w:r w:rsidRPr="004A0EAB">
        <w:rPr>
          <w:rFonts w:eastAsiaTheme="minorHAnsi" w:cs="Arial"/>
          <w:bCs/>
          <w:sz w:val="22"/>
          <w:szCs w:val="22"/>
        </w:rPr>
        <w:t xml:space="preserve"> pod točko </w:t>
      </w:r>
      <w:r>
        <w:rPr>
          <w:rFonts w:eastAsiaTheme="minorHAnsi" w:cs="Arial"/>
          <w:bCs/>
          <w:sz w:val="22"/>
          <w:szCs w:val="22"/>
        </w:rPr>
        <w:t>…….</w:t>
      </w:r>
      <w:r w:rsidRPr="004A0EAB">
        <w:rPr>
          <w:rFonts w:eastAsiaTheme="minorHAnsi" w:cs="Arial"/>
          <w:bCs/>
          <w:sz w:val="22"/>
          <w:szCs w:val="22"/>
        </w:rPr>
        <w:t xml:space="preserve"> dnevnega reda sprejela naslednji</w:t>
      </w:r>
    </w:p>
    <w:p w14:paraId="2B16057D" w14:textId="77777777" w:rsidR="004A0EAB" w:rsidRPr="004A0EAB" w:rsidRDefault="004A0EAB" w:rsidP="004A0EAB">
      <w:pPr>
        <w:autoSpaceDE w:val="0"/>
        <w:autoSpaceDN w:val="0"/>
        <w:adjustRightInd w:val="0"/>
        <w:spacing w:line="240" w:lineRule="auto"/>
        <w:jc w:val="both"/>
        <w:rPr>
          <w:rFonts w:eastAsiaTheme="minorHAnsi" w:cs="Arial"/>
          <w:bCs/>
          <w:sz w:val="22"/>
          <w:szCs w:val="22"/>
        </w:rPr>
      </w:pPr>
    </w:p>
    <w:p w14:paraId="06DD45BC" w14:textId="77777777" w:rsidR="004A0EAB" w:rsidRPr="004A0EAB" w:rsidRDefault="004A0EAB" w:rsidP="004A0EAB">
      <w:pPr>
        <w:autoSpaceDE w:val="0"/>
        <w:autoSpaceDN w:val="0"/>
        <w:adjustRightInd w:val="0"/>
        <w:spacing w:line="240" w:lineRule="auto"/>
        <w:jc w:val="both"/>
        <w:rPr>
          <w:rFonts w:eastAsiaTheme="minorHAnsi" w:cs="Arial"/>
          <w:bCs/>
          <w:sz w:val="22"/>
          <w:szCs w:val="22"/>
        </w:rPr>
      </w:pPr>
    </w:p>
    <w:p w14:paraId="71C8EF0C" w14:textId="77777777" w:rsidR="004A0EAB" w:rsidRPr="004A0EAB" w:rsidRDefault="004A0EAB" w:rsidP="004A0EAB">
      <w:pPr>
        <w:widowControl w:val="0"/>
        <w:suppressAutoHyphens/>
        <w:spacing w:line="240" w:lineRule="auto"/>
        <w:jc w:val="center"/>
        <w:rPr>
          <w:rFonts w:eastAsiaTheme="minorHAnsi" w:cs="Arial"/>
          <w:bCs/>
          <w:sz w:val="22"/>
          <w:szCs w:val="22"/>
        </w:rPr>
      </w:pPr>
      <w:r w:rsidRPr="004A0EAB">
        <w:rPr>
          <w:rFonts w:cs="Arial"/>
          <w:b/>
          <w:sz w:val="22"/>
          <w:szCs w:val="22"/>
          <w:lang w:eastAsia="ar-SA"/>
        </w:rPr>
        <w:t>SKLEP</w:t>
      </w:r>
    </w:p>
    <w:p w14:paraId="44879093" w14:textId="77777777" w:rsidR="004A0EAB" w:rsidRPr="004A0EAB" w:rsidRDefault="004A0EAB" w:rsidP="004A0EAB">
      <w:pPr>
        <w:autoSpaceDE w:val="0"/>
        <w:autoSpaceDN w:val="0"/>
        <w:adjustRightInd w:val="0"/>
        <w:ind w:left="59"/>
        <w:jc w:val="both"/>
        <w:rPr>
          <w:rFonts w:eastAsiaTheme="minorHAnsi" w:cs="Arial"/>
          <w:bCs/>
          <w:sz w:val="22"/>
          <w:szCs w:val="22"/>
        </w:rPr>
      </w:pPr>
    </w:p>
    <w:p w14:paraId="1FC242ED" w14:textId="77777777" w:rsidR="004A0EAB" w:rsidRPr="004A0EAB" w:rsidRDefault="004A0EAB" w:rsidP="004A0EAB">
      <w:pPr>
        <w:autoSpaceDE w:val="0"/>
        <w:autoSpaceDN w:val="0"/>
        <w:adjustRightInd w:val="0"/>
        <w:ind w:left="596"/>
        <w:rPr>
          <w:rFonts w:eastAsiaTheme="minorHAnsi" w:cs="Arial"/>
          <w:bCs/>
          <w:sz w:val="22"/>
          <w:szCs w:val="22"/>
        </w:rPr>
      </w:pPr>
    </w:p>
    <w:p w14:paraId="7A8E4AAC" w14:textId="6F129972" w:rsidR="004A0EAB" w:rsidRPr="004A0EAB" w:rsidRDefault="004A0EAB" w:rsidP="004A0EAB">
      <w:pPr>
        <w:autoSpaceDE w:val="0"/>
        <w:autoSpaceDN w:val="0"/>
        <w:adjustRightInd w:val="0"/>
        <w:ind w:left="59"/>
        <w:jc w:val="both"/>
        <w:rPr>
          <w:rFonts w:eastAsiaTheme="minorHAnsi" w:cs="Arial"/>
          <w:bCs/>
          <w:sz w:val="22"/>
          <w:szCs w:val="22"/>
        </w:rPr>
      </w:pPr>
      <w:r w:rsidRPr="004A0EAB">
        <w:rPr>
          <w:rFonts w:eastAsiaTheme="minorHAnsi" w:cs="Arial"/>
          <w:bCs/>
          <w:sz w:val="22"/>
          <w:szCs w:val="22"/>
        </w:rPr>
        <w:t xml:space="preserve">Vlada Republike Slovenije daje soglasje </w:t>
      </w:r>
      <w:r w:rsidR="00883E4D">
        <w:rPr>
          <w:rFonts w:eastAsiaTheme="minorHAnsi" w:cs="Arial"/>
          <w:bCs/>
          <w:sz w:val="22"/>
          <w:szCs w:val="22"/>
        </w:rPr>
        <w:t>h</w:t>
      </w:r>
      <w:r w:rsidRPr="004A0EAB">
        <w:rPr>
          <w:rFonts w:eastAsiaTheme="minorHAnsi" w:cs="Arial"/>
          <w:bCs/>
          <w:sz w:val="22"/>
          <w:szCs w:val="22"/>
        </w:rPr>
        <w:t xml:space="preserve"> </w:t>
      </w:r>
      <w:r w:rsidRPr="004A0EAB">
        <w:rPr>
          <w:rFonts w:cs="Arial"/>
          <w:sz w:val="22"/>
          <w:szCs w:val="22"/>
        </w:rPr>
        <w:t>Ključni</w:t>
      </w:r>
      <w:r w:rsidR="00883E4D">
        <w:rPr>
          <w:rFonts w:cs="Arial"/>
          <w:sz w:val="22"/>
          <w:szCs w:val="22"/>
        </w:rPr>
        <w:t>m</w:t>
      </w:r>
      <w:r w:rsidRPr="004A0EAB">
        <w:rPr>
          <w:rFonts w:cs="Arial"/>
          <w:sz w:val="22"/>
          <w:szCs w:val="22"/>
        </w:rPr>
        <w:t xml:space="preserve"> elemento</w:t>
      </w:r>
      <w:r w:rsidR="00883E4D">
        <w:rPr>
          <w:rFonts w:cs="Arial"/>
          <w:sz w:val="22"/>
          <w:szCs w:val="22"/>
        </w:rPr>
        <w:t>m</w:t>
      </w:r>
      <w:r w:rsidRPr="004A0EAB">
        <w:rPr>
          <w:rFonts w:cs="Arial"/>
          <w:sz w:val="22"/>
          <w:szCs w:val="22"/>
        </w:rPr>
        <w:t xml:space="preserve"> finančnih instrumentov v programskem obdobju 2014-2020</w:t>
      </w:r>
      <w:r w:rsidR="00883E4D">
        <w:rPr>
          <w:rFonts w:cs="Arial"/>
          <w:sz w:val="22"/>
          <w:szCs w:val="22"/>
        </w:rPr>
        <w:t>, različica 1.2, marec 2021,</w:t>
      </w:r>
      <w:r w:rsidRPr="004A0EAB">
        <w:rPr>
          <w:rFonts w:cs="Arial"/>
          <w:sz w:val="22"/>
          <w:szCs w:val="22"/>
        </w:rPr>
        <w:t xml:space="preserve"> za operacijo Finančni instrumenti v programskem obdobju 2014-2020.</w:t>
      </w:r>
    </w:p>
    <w:p w14:paraId="3FD39AC0" w14:textId="77777777" w:rsidR="004A0EAB" w:rsidRDefault="004A0EAB" w:rsidP="004A0EAB">
      <w:pPr>
        <w:autoSpaceDE w:val="0"/>
        <w:autoSpaceDN w:val="0"/>
        <w:adjustRightInd w:val="0"/>
        <w:rPr>
          <w:rFonts w:eastAsiaTheme="minorHAnsi" w:cs="Arial"/>
          <w:bCs/>
          <w:sz w:val="22"/>
          <w:szCs w:val="22"/>
        </w:rPr>
      </w:pPr>
    </w:p>
    <w:p w14:paraId="33E491BD" w14:textId="77777777" w:rsidR="004A0EAB" w:rsidRPr="004A0EAB" w:rsidRDefault="004A0EAB" w:rsidP="004A0EAB">
      <w:pPr>
        <w:autoSpaceDE w:val="0"/>
        <w:autoSpaceDN w:val="0"/>
        <w:adjustRightInd w:val="0"/>
        <w:rPr>
          <w:rFonts w:eastAsiaTheme="minorHAnsi" w:cs="Arial"/>
          <w:bCs/>
          <w:sz w:val="22"/>
          <w:szCs w:val="22"/>
        </w:rPr>
      </w:pPr>
    </w:p>
    <w:p w14:paraId="5C3DC921" w14:textId="77777777" w:rsidR="00E014AD" w:rsidRPr="00DB71B2" w:rsidRDefault="004659AB" w:rsidP="00E014AD">
      <w:pPr>
        <w:autoSpaceDE w:val="0"/>
        <w:autoSpaceDN w:val="0"/>
        <w:adjustRightInd w:val="0"/>
        <w:spacing w:line="240" w:lineRule="auto"/>
        <w:rPr>
          <w:rFonts w:eastAsiaTheme="minorHAnsi" w:cs="Arial"/>
          <w:bCs/>
          <w:szCs w:val="20"/>
        </w:rPr>
      </w:pPr>
      <w:r>
        <w:rPr>
          <w:rFonts w:eastAsiaTheme="minorHAnsi" w:cs="Arial"/>
          <w:bCs/>
          <w:sz w:val="22"/>
          <w:szCs w:val="22"/>
        </w:rPr>
        <w:t xml:space="preserve">                                              </w:t>
      </w:r>
      <w:r w:rsidR="00E014AD" w:rsidRPr="00BC6CCC">
        <w:rPr>
          <w:rFonts w:eastAsiaTheme="minorHAnsi" w:cs="Arial"/>
          <w:bCs/>
          <w:szCs w:val="20"/>
        </w:rPr>
        <w:t>mag. Janja Garvas Hočevar</w:t>
      </w:r>
    </w:p>
    <w:p w14:paraId="4959E954" w14:textId="592E7FB1" w:rsidR="00E014AD" w:rsidRPr="00DB71B2" w:rsidRDefault="00E014AD" w:rsidP="00E014AD">
      <w:pPr>
        <w:autoSpaceDE w:val="0"/>
        <w:autoSpaceDN w:val="0"/>
        <w:adjustRightInd w:val="0"/>
        <w:spacing w:line="240" w:lineRule="auto"/>
        <w:rPr>
          <w:rFonts w:eastAsiaTheme="minorHAnsi" w:cs="Arial"/>
          <w:bCs/>
          <w:szCs w:val="20"/>
        </w:rPr>
      </w:pPr>
      <w:r>
        <w:rPr>
          <w:rFonts w:eastAsiaTheme="minorHAnsi" w:cs="Arial"/>
          <w:bCs/>
          <w:szCs w:val="20"/>
        </w:rPr>
        <w:t xml:space="preserve">                                              </w:t>
      </w:r>
      <w:r w:rsidRPr="00DB71B2">
        <w:rPr>
          <w:rFonts w:eastAsiaTheme="minorHAnsi" w:cs="Arial"/>
          <w:bCs/>
          <w:szCs w:val="20"/>
        </w:rPr>
        <w:t xml:space="preserve"> </w:t>
      </w:r>
      <w:r w:rsidR="00946F25">
        <w:rPr>
          <w:rFonts w:eastAsiaTheme="minorHAnsi" w:cs="Arial"/>
          <w:bCs/>
          <w:szCs w:val="20"/>
        </w:rPr>
        <w:t>v.d. GENERALNEGA</w:t>
      </w:r>
      <w:r w:rsidRPr="00DB71B2">
        <w:rPr>
          <w:rFonts w:eastAsiaTheme="minorHAnsi" w:cs="Arial"/>
          <w:bCs/>
          <w:szCs w:val="20"/>
        </w:rPr>
        <w:t xml:space="preserve"> SEKRETAR</w:t>
      </w:r>
      <w:r w:rsidR="00946F25">
        <w:rPr>
          <w:rFonts w:eastAsiaTheme="minorHAnsi" w:cs="Arial"/>
          <w:bCs/>
          <w:szCs w:val="20"/>
        </w:rPr>
        <w:t>JA</w:t>
      </w:r>
    </w:p>
    <w:p w14:paraId="42FD2B37" w14:textId="53E03AD4" w:rsidR="004A0EAB" w:rsidRPr="004A0EAB" w:rsidRDefault="004A0EAB" w:rsidP="00E014AD">
      <w:pPr>
        <w:autoSpaceDE w:val="0"/>
        <w:autoSpaceDN w:val="0"/>
        <w:adjustRightInd w:val="0"/>
        <w:spacing w:line="240" w:lineRule="auto"/>
        <w:rPr>
          <w:rFonts w:eastAsiaTheme="minorHAnsi" w:cs="Arial"/>
          <w:bCs/>
          <w:sz w:val="22"/>
          <w:szCs w:val="22"/>
        </w:rPr>
      </w:pPr>
    </w:p>
    <w:p w14:paraId="056FABF5" w14:textId="77777777" w:rsidR="004A0EAB" w:rsidRPr="004A0EAB" w:rsidRDefault="004A0EAB" w:rsidP="004A0EAB">
      <w:pPr>
        <w:autoSpaceDE w:val="0"/>
        <w:autoSpaceDN w:val="0"/>
        <w:adjustRightInd w:val="0"/>
        <w:ind w:left="596"/>
        <w:rPr>
          <w:rFonts w:eastAsiaTheme="minorHAnsi" w:cs="Arial"/>
          <w:bCs/>
          <w:sz w:val="22"/>
          <w:szCs w:val="22"/>
        </w:rPr>
      </w:pPr>
    </w:p>
    <w:p w14:paraId="28249AB7" w14:textId="77777777" w:rsidR="004A0EAB" w:rsidRPr="004A0EAB" w:rsidRDefault="004A0EAB" w:rsidP="004A0EAB">
      <w:pPr>
        <w:autoSpaceDE w:val="0"/>
        <w:autoSpaceDN w:val="0"/>
        <w:adjustRightInd w:val="0"/>
        <w:ind w:left="596"/>
        <w:rPr>
          <w:rFonts w:eastAsiaTheme="minorHAnsi" w:cs="Arial"/>
          <w:bCs/>
          <w:sz w:val="22"/>
          <w:szCs w:val="22"/>
        </w:rPr>
      </w:pPr>
    </w:p>
    <w:p w14:paraId="1F50279D" w14:textId="77777777" w:rsidR="004A0EAB" w:rsidRDefault="004A0EAB" w:rsidP="004A0EAB">
      <w:pPr>
        <w:autoSpaceDE w:val="0"/>
        <w:autoSpaceDN w:val="0"/>
        <w:adjustRightInd w:val="0"/>
        <w:rPr>
          <w:rFonts w:eastAsiaTheme="minorHAnsi" w:cs="Arial"/>
          <w:bCs/>
          <w:sz w:val="22"/>
          <w:szCs w:val="22"/>
        </w:rPr>
      </w:pPr>
    </w:p>
    <w:p w14:paraId="610C704D" w14:textId="37958A9F" w:rsidR="004A0EAB" w:rsidRPr="004A0EAB" w:rsidRDefault="004A0EAB" w:rsidP="004A0EAB">
      <w:pPr>
        <w:autoSpaceDE w:val="0"/>
        <w:autoSpaceDN w:val="0"/>
        <w:adjustRightInd w:val="0"/>
        <w:rPr>
          <w:rFonts w:eastAsiaTheme="minorHAnsi" w:cs="Arial"/>
          <w:bCs/>
          <w:sz w:val="22"/>
          <w:szCs w:val="22"/>
        </w:rPr>
      </w:pPr>
      <w:r w:rsidRPr="004A0EAB">
        <w:rPr>
          <w:rFonts w:eastAsiaTheme="minorHAnsi" w:cs="Arial"/>
          <w:bCs/>
          <w:sz w:val="22"/>
          <w:szCs w:val="22"/>
        </w:rPr>
        <w:t>Prilog</w:t>
      </w:r>
      <w:r w:rsidR="009F337A">
        <w:rPr>
          <w:rFonts w:eastAsiaTheme="minorHAnsi" w:cs="Arial"/>
          <w:bCs/>
          <w:sz w:val="22"/>
          <w:szCs w:val="22"/>
        </w:rPr>
        <w:t>i</w:t>
      </w:r>
      <w:r w:rsidRPr="004A0EAB">
        <w:rPr>
          <w:rFonts w:eastAsiaTheme="minorHAnsi" w:cs="Arial"/>
          <w:bCs/>
          <w:sz w:val="22"/>
          <w:szCs w:val="22"/>
        </w:rPr>
        <w:t xml:space="preserve">: </w:t>
      </w:r>
    </w:p>
    <w:p w14:paraId="344E4C24" w14:textId="2483B81A" w:rsidR="009F337A" w:rsidRPr="009F337A" w:rsidRDefault="009F337A" w:rsidP="00883E4D">
      <w:pPr>
        <w:autoSpaceDE w:val="0"/>
        <w:autoSpaceDN w:val="0"/>
        <w:adjustRightInd w:val="0"/>
        <w:jc w:val="both"/>
        <w:rPr>
          <w:rFonts w:eastAsiaTheme="minorHAnsi" w:cs="Arial"/>
          <w:bCs/>
          <w:sz w:val="22"/>
          <w:szCs w:val="22"/>
        </w:rPr>
      </w:pPr>
      <w:r>
        <w:rPr>
          <w:rFonts w:eastAsiaTheme="minorHAnsi" w:cs="Arial"/>
          <w:bCs/>
          <w:sz w:val="22"/>
          <w:szCs w:val="22"/>
        </w:rPr>
        <w:t xml:space="preserve">- </w:t>
      </w:r>
      <w:r w:rsidRPr="009F337A">
        <w:rPr>
          <w:rFonts w:eastAsiaTheme="minorHAnsi" w:cs="Arial"/>
          <w:bCs/>
          <w:sz w:val="22"/>
          <w:szCs w:val="22"/>
        </w:rPr>
        <w:t xml:space="preserve">Ključni elementi finančnih instrumentov v programskem obdobju 2014-2020, različica 1.2, </w:t>
      </w:r>
      <w:r w:rsidR="00E014AD">
        <w:rPr>
          <w:rFonts w:eastAsiaTheme="minorHAnsi" w:cs="Arial"/>
          <w:bCs/>
          <w:sz w:val="22"/>
          <w:szCs w:val="22"/>
        </w:rPr>
        <w:t>marec</w:t>
      </w:r>
      <w:r w:rsidRPr="009F337A">
        <w:rPr>
          <w:rFonts w:eastAsiaTheme="minorHAnsi" w:cs="Arial"/>
          <w:bCs/>
          <w:sz w:val="22"/>
          <w:szCs w:val="22"/>
        </w:rPr>
        <w:t xml:space="preserve"> 202</w:t>
      </w:r>
      <w:r w:rsidR="00E014AD">
        <w:rPr>
          <w:rFonts w:eastAsiaTheme="minorHAnsi" w:cs="Arial"/>
          <w:bCs/>
          <w:sz w:val="22"/>
          <w:szCs w:val="22"/>
        </w:rPr>
        <w:t>1</w:t>
      </w:r>
      <w:r w:rsidRPr="009F337A">
        <w:rPr>
          <w:rFonts w:eastAsiaTheme="minorHAnsi" w:cs="Arial"/>
          <w:bCs/>
          <w:sz w:val="22"/>
          <w:szCs w:val="22"/>
        </w:rPr>
        <w:t>;</w:t>
      </w:r>
    </w:p>
    <w:p w14:paraId="02DA87FD" w14:textId="6B990BE1" w:rsidR="004A0EAB" w:rsidRPr="004A0EAB" w:rsidRDefault="009F337A" w:rsidP="00663C29">
      <w:pPr>
        <w:autoSpaceDE w:val="0"/>
        <w:autoSpaceDN w:val="0"/>
        <w:adjustRightInd w:val="0"/>
        <w:jc w:val="both"/>
        <w:rPr>
          <w:rFonts w:eastAsiaTheme="minorHAnsi" w:cs="Arial"/>
          <w:bCs/>
          <w:sz w:val="22"/>
          <w:szCs w:val="22"/>
        </w:rPr>
      </w:pPr>
      <w:r>
        <w:rPr>
          <w:rFonts w:cs="Arial"/>
          <w:bCs/>
          <w:sz w:val="22"/>
          <w:szCs w:val="22"/>
        </w:rPr>
        <w:t xml:space="preserve">- </w:t>
      </w:r>
      <w:r w:rsidRPr="009F337A">
        <w:rPr>
          <w:rFonts w:cs="Arial"/>
          <w:bCs/>
          <w:sz w:val="22"/>
          <w:szCs w:val="22"/>
        </w:rPr>
        <w:t>Dokumentacija Javnega poziva za izbor finančnih institucij za podeljevanje kreditov z jamstvom iz finančnega inštrumenta »EKP portfeljske garancije za RRI za velika podjetja (2014-2020)«, številka: JP 02-RRIVP/02</w:t>
      </w:r>
      <w:r>
        <w:rPr>
          <w:rFonts w:cs="Arial"/>
          <w:bCs/>
          <w:sz w:val="22"/>
          <w:szCs w:val="22"/>
        </w:rPr>
        <w:t>.</w:t>
      </w:r>
    </w:p>
    <w:p w14:paraId="149FAC5C" w14:textId="77777777" w:rsidR="004A0EAB" w:rsidRDefault="004A0EAB" w:rsidP="004A0EAB">
      <w:pPr>
        <w:autoSpaceDE w:val="0"/>
        <w:autoSpaceDN w:val="0"/>
        <w:adjustRightInd w:val="0"/>
        <w:rPr>
          <w:rFonts w:eastAsiaTheme="minorHAnsi" w:cs="Arial"/>
          <w:bCs/>
          <w:sz w:val="22"/>
          <w:szCs w:val="22"/>
        </w:rPr>
      </w:pPr>
    </w:p>
    <w:p w14:paraId="4CA408C9" w14:textId="77777777" w:rsidR="004A0EAB" w:rsidRDefault="004A0EAB" w:rsidP="004A0EAB">
      <w:pPr>
        <w:autoSpaceDE w:val="0"/>
        <w:autoSpaceDN w:val="0"/>
        <w:adjustRightInd w:val="0"/>
        <w:rPr>
          <w:rFonts w:eastAsiaTheme="minorHAnsi" w:cs="Arial"/>
          <w:bCs/>
          <w:sz w:val="22"/>
          <w:szCs w:val="22"/>
        </w:rPr>
      </w:pPr>
    </w:p>
    <w:p w14:paraId="4BF1DCD0" w14:textId="77777777" w:rsidR="004A0EAB" w:rsidRPr="004A0EAB" w:rsidRDefault="004A0EAB" w:rsidP="004A0EAB">
      <w:pPr>
        <w:autoSpaceDE w:val="0"/>
        <w:autoSpaceDN w:val="0"/>
        <w:adjustRightInd w:val="0"/>
        <w:rPr>
          <w:rFonts w:eastAsiaTheme="minorHAnsi" w:cs="Arial"/>
          <w:bCs/>
          <w:sz w:val="22"/>
          <w:szCs w:val="22"/>
        </w:rPr>
      </w:pPr>
      <w:r w:rsidRPr="004A0EAB">
        <w:rPr>
          <w:rFonts w:eastAsiaTheme="minorHAnsi" w:cs="Arial"/>
          <w:bCs/>
          <w:sz w:val="22"/>
          <w:szCs w:val="22"/>
        </w:rPr>
        <w:t>Prejmejo:</w:t>
      </w:r>
    </w:p>
    <w:p w14:paraId="18B0F094" w14:textId="77777777" w:rsidR="004A0EAB" w:rsidRPr="004A0EAB" w:rsidRDefault="004A0EAB" w:rsidP="004A0EAB">
      <w:pPr>
        <w:numPr>
          <w:ilvl w:val="0"/>
          <w:numId w:val="2"/>
        </w:numPr>
        <w:jc w:val="both"/>
        <w:rPr>
          <w:rFonts w:eastAsiaTheme="minorHAnsi" w:cs="Arial"/>
          <w:bCs/>
          <w:sz w:val="22"/>
          <w:szCs w:val="22"/>
        </w:rPr>
      </w:pPr>
      <w:r w:rsidRPr="004A0EAB">
        <w:rPr>
          <w:rFonts w:eastAsiaTheme="minorHAnsi" w:cs="Arial"/>
          <w:bCs/>
          <w:sz w:val="22"/>
          <w:szCs w:val="22"/>
        </w:rPr>
        <w:t>Ministrstvo za gospodarski razvoj in tehnologijo, Kotnikova 5, 1000 Ljubljana,</w:t>
      </w:r>
    </w:p>
    <w:p w14:paraId="570A2F83" w14:textId="77777777" w:rsidR="004A0EAB" w:rsidRPr="004A0EAB" w:rsidRDefault="004A0EAB" w:rsidP="004A0EAB">
      <w:pPr>
        <w:numPr>
          <w:ilvl w:val="0"/>
          <w:numId w:val="2"/>
        </w:numPr>
        <w:spacing w:line="240" w:lineRule="auto"/>
        <w:jc w:val="both"/>
        <w:rPr>
          <w:rFonts w:eastAsiaTheme="minorHAnsi" w:cs="Arial"/>
          <w:bCs/>
          <w:sz w:val="22"/>
          <w:szCs w:val="22"/>
        </w:rPr>
      </w:pPr>
      <w:r w:rsidRPr="004A0EAB">
        <w:rPr>
          <w:rFonts w:eastAsiaTheme="minorHAnsi" w:cs="Arial"/>
          <w:bCs/>
          <w:sz w:val="22"/>
          <w:szCs w:val="22"/>
        </w:rPr>
        <w:t>Ministrstvo za finance, Župančičeva 3, 1000 Ljubljana,</w:t>
      </w:r>
    </w:p>
    <w:p w14:paraId="3CCD94F3" w14:textId="77777777" w:rsidR="004A0EAB" w:rsidRPr="004A0EAB" w:rsidRDefault="004A0EAB" w:rsidP="004A0EAB">
      <w:pPr>
        <w:numPr>
          <w:ilvl w:val="0"/>
          <w:numId w:val="2"/>
        </w:numPr>
        <w:spacing w:line="240" w:lineRule="auto"/>
        <w:jc w:val="both"/>
        <w:rPr>
          <w:rFonts w:eastAsiaTheme="minorHAnsi" w:cs="Arial"/>
          <w:bCs/>
          <w:sz w:val="22"/>
          <w:szCs w:val="22"/>
        </w:rPr>
      </w:pPr>
      <w:r w:rsidRPr="004A0EAB">
        <w:rPr>
          <w:rFonts w:eastAsiaTheme="minorHAnsi" w:cs="Arial"/>
          <w:bCs/>
          <w:sz w:val="22"/>
          <w:szCs w:val="22"/>
        </w:rPr>
        <w:t>Ministrstvo za infrastrukturo, Langusova ulica 4, 1000 Ljubljana,</w:t>
      </w:r>
    </w:p>
    <w:p w14:paraId="35D7F862" w14:textId="77777777" w:rsidR="004A0EAB" w:rsidRPr="004A0EAB" w:rsidRDefault="004A0EAB" w:rsidP="004A0EAB">
      <w:pPr>
        <w:numPr>
          <w:ilvl w:val="0"/>
          <w:numId w:val="2"/>
        </w:numPr>
        <w:spacing w:line="240" w:lineRule="auto"/>
        <w:jc w:val="both"/>
        <w:rPr>
          <w:rFonts w:eastAsiaTheme="minorHAnsi" w:cs="Arial"/>
          <w:bCs/>
          <w:sz w:val="22"/>
          <w:szCs w:val="22"/>
        </w:rPr>
      </w:pPr>
      <w:r w:rsidRPr="004A0EAB">
        <w:rPr>
          <w:rFonts w:eastAsiaTheme="minorHAnsi" w:cs="Arial"/>
          <w:bCs/>
          <w:sz w:val="22"/>
          <w:szCs w:val="22"/>
        </w:rPr>
        <w:t>Ministrstvo za okolje in prostor, Dunajska cesta 48, 1000 Ljubljana,</w:t>
      </w:r>
    </w:p>
    <w:p w14:paraId="396093BB" w14:textId="77777777" w:rsidR="004A0EAB" w:rsidRPr="004A0EAB" w:rsidRDefault="004A0EAB" w:rsidP="004A0EAB">
      <w:pPr>
        <w:numPr>
          <w:ilvl w:val="0"/>
          <w:numId w:val="2"/>
        </w:numPr>
        <w:spacing w:line="276" w:lineRule="auto"/>
        <w:rPr>
          <w:rFonts w:eastAsiaTheme="minorHAnsi" w:cs="Arial"/>
          <w:bCs/>
          <w:sz w:val="22"/>
          <w:szCs w:val="22"/>
        </w:rPr>
      </w:pPr>
      <w:r w:rsidRPr="004A0EAB">
        <w:rPr>
          <w:rFonts w:eastAsiaTheme="minorHAnsi" w:cs="Arial"/>
          <w:bCs/>
          <w:sz w:val="22"/>
          <w:szCs w:val="22"/>
        </w:rPr>
        <w:t>Služba Vlade Republike Slovenije za zakonodajo, Mestni trg 4, 1000 Ljubljana,</w:t>
      </w:r>
    </w:p>
    <w:p w14:paraId="49103564" w14:textId="77777777" w:rsidR="004A0EAB" w:rsidRPr="004A0EAB" w:rsidRDefault="004A0EAB" w:rsidP="004A0EAB">
      <w:pPr>
        <w:numPr>
          <w:ilvl w:val="0"/>
          <w:numId w:val="2"/>
        </w:numPr>
        <w:spacing w:line="240" w:lineRule="auto"/>
        <w:jc w:val="both"/>
        <w:rPr>
          <w:rFonts w:eastAsiaTheme="minorHAnsi" w:cs="Arial"/>
          <w:bCs/>
          <w:sz w:val="22"/>
          <w:szCs w:val="22"/>
        </w:rPr>
      </w:pPr>
      <w:r w:rsidRPr="004A0EAB">
        <w:rPr>
          <w:rFonts w:eastAsiaTheme="minorHAnsi" w:cs="Arial"/>
          <w:bCs/>
          <w:sz w:val="22"/>
          <w:szCs w:val="22"/>
        </w:rPr>
        <w:t>Služba Vlade RS za razvoj in evropsko kohezijsko politiko, Kotnikova 5, 1000 Ljubljana,</w:t>
      </w:r>
    </w:p>
    <w:p w14:paraId="0DDD099C" w14:textId="77777777" w:rsidR="004A0EAB" w:rsidRDefault="004A0EAB" w:rsidP="006975AA">
      <w:pPr>
        <w:numPr>
          <w:ilvl w:val="0"/>
          <w:numId w:val="2"/>
        </w:numPr>
        <w:suppressAutoHyphens/>
        <w:overflowPunct w:val="0"/>
        <w:autoSpaceDE w:val="0"/>
        <w:autoSpaceDN w:val="0"/>
        <w:adjustRightInd w:val="0"/>
        <w:spacing w:line="240" w:lineRule="auto"/>
        <w:jc w:val="both"/>
        <w:textAlignment w:val="baseline"/>
        <w:rPr>
          <w:rFonts w:eastAsiaTheme="minorHAnsi" w:cs="Arial"/>
          <w:bCs/>
          <w:sz w:val="22"/>
          <w:szCs w:val="22"/>
        </w:rPr>
      </w:pPr>
      <w:r w:rsidRPr="004A0EAB">
        <w:rPr>
          <w:rFonts w:eastAsiaTheme="minorHAnsi" w:cs="Arial"/>
          <w:bCs/>
          <w:sz w:val="22"/>
          <w:szCs w:val="22"/>
        </w:rPr>
        <w:t>Generalni sekretariat Vlade Republike Slovenije, Gregorčičeva 20, Ljubljana,</w:t>
      </w:r>
    </w:p>
    <w:p w14:paraId="73C655B3" w14:textId="77777777" w:rsidR="004A0EAB" w:rsidRPr="004A0EAB" w:rsidRDefault="004A0EAB" w:rsidP="006975AA">
      <w:pPr>
        <w:numPr>
          <w:ilvl w:val="0"/>
          <w:numId w:val="2"/>
        </w:numPr>
        <w:suppressAutoHyphens/>
        <w:overflowPunct w:val="0"/>
        <w:autoSpaceDE w:val="0"/>
        <w:autoSpaceDN w:val="0"/>
        <w:adjustRightInd w:val="0"/>
        <w:spacing w:line="240" w:lineRule="auto"/>
        <w:jc w:val="both"/>
        <w:textAlignment w:val="baseline"/>
        <w:rPr>
          <w:rFonts w:eastAsiaTheme="minorHAnsi" w:cs="Arial"/>
          <w:bCs/>
          <w:sz w:val="22"/>
          <w:szCs w:val="22"/>
        </w:rPr>
      </w:pPr>
      <w:r w:rsidRPr="004A0EAB">
        <w:rPr>
          <w:rFonts w:eastAsiaTheme="minorHAnsi" w:cs="Arial"/>
          <w:bCs/>
          <w:sz w:val="22"/>
          <w:szCs w:val="22"/>
        </w:rPr>
        <w:t>Urad Vlade Republike Slovenije za komuniciranje, Gregorčičeva 25, 1000 Ljubljana.</w:t>
      </w:r>
    </w:p>
    <w:p w14:paraId="1AD29E6E" w14:textId="77777777" w:rsidR="004A0EAB" w:rsidRDefault="004A0EAB">
      <w:pPr>
        <w:spacing w:after="160" w:line="259" w:lineRule="auto"/>
        <w:rPr>
          <w:rFonts w:eastAsiaTheme="minorHAnsi" w:cs="Arial"/>
          <w:bCs/>
          <w:szCs w:val="20"/>
        </w:rPr>
      </w:pPr>
      <w:r>
        <w:rPr>
          <w:rFonts w:eastAsiaTheme="minorHAnsi" w:cs="Arial"/>
          <w:bCs/>
          <w:szCs w:val="20"/>
        </w:rPr>
        <w:br w:type="page"/>
      </w:r>
    </w:p>
    <w:p w14:paraId="1D1492BE" w14:textId="77777777" w:rsidR="009D0FAD" w:rsidRPr="00C00CDE" w:rsidRDefault="009D0FAD" w:rsidP="004A0EAB">
      <w:pPr>
        <w:suppressAutoHyphens/>
        <w:overflowPunct w:val="0"/>
        <w:autoSpaceDE w:val="0"/>
        <w:autoSpaceDN w:val="0"/>
        <w:adjustRightInd w:val="0"/>
        <w:spacing w:line="240" w:lineRule="auto"/>
        <w:textAlignment w:val="baseline"/>
        <w:rPr>
          <w:rFonts w:cs="Arial"/>
          <w:b/>
          <w:color w:val="000000"/>
          <w:szCs w:val="20"/>
          <w:lang w:eastAsia="sl-SI"/>
        </w:rPr>
      </w:pPr>
      <w:r w:rsidRPr="00100821">
        <w:rPr>
          <w:rFonts w:cs="Arial"/>
          <w:b/>
          <w:color w:val="000000"/>
          <w:szCs w:val="20"/>
          <w:lang w:eastAsia="sl-SI"/>
        </w:rPr>
        <w:lastRenderedPageBreak/>
        <w:t>OBR</w:t>
      </w:r>
      <w:r w:rsidRPr="00861D11">
        <w:rPr>
          <w:rFonts w:cs="Arial"/>
          <w:b/>
          <w:color w:val="000000"/>
          <w:szCs w:val="20"/>
          <w:lang w:eastAsia="sl-SI"/>
        </w:rPr>
        <w:t>AZLOŽITEV</w:t>
      </w:r>
    </w:p>
    <w:p w14:paraId="394E4004" w14:textId="77777777" w:rsidR="00C00CDE" w:rsidRDefault="00C00CDE" w:rsidP="004A3DA0">
      <w:pPr>
        <w:spacing w:line="240" w:lineRule="auto"/>
        <w:jc w:val="both"/>
        <w:rPr>
          <w:rFonts w:cs="Arial"/>
          <w:bCs/>
          <w:iCs/>
        </w:rPr>
      </w:pPr>
    </w:p>
    <w:p w14:paraId="09FAADC0" w14:textId="69699A04" w:rsidR="009D0FAD" w:rsidRDefault="00B14C10" w:rsidP="004A3DA0">
      <w:pPr>
        <w:spacing w:line="240" w:lineRule="auto"/>
        <w:jc w:val="both"/>
        <w:rPr>
          <w:rFonts w:cs="Arial"/>
          <w:bCs/>
          <w:iCs/>
        </w:rPr>
      </w:pPr>
      <w:r w:rsidRPr="00C00CDE">
        <w:rPr>
          <w:rFonts w:cs="Arial"/>
          <w:bCs/>
          <w:iCs/>
        </w:rPr>
        <w:t>V skladu z obstoječim</w:t>
      </w:r>
      <w:r w:rsidR="006015FB">
        <w:rPr>
          <w:rFonts w:cs="Arial"/>
          <w:bCs/>
          <w:iCs/>
        </w:rPr>
        <w:t>a</w:t>
      </w:r>
      <w:r w:rsidRPr="00C00CDE">
        <w:rPr>
          <w:rFonts w:cs="Arial"/>
          <w:bCs/>
          <w:iCs/>
        </w:rPr>
        <w:t xml:space="preserve"> Ključnimi elementi finančnih instrumentov v programskem obdobju 2014-2020 (v nadaljevanju: KEFI</w:t>
      </w:r>
      <w:r w:rsidR="00ED7AEF">
        <w:rPr>
          <w:rFonts w:cs="Arial"/>
          <w:bCs/>
          <w:iCs/>
        </w:rPr>
        <w:t xml:space="preserve"> 2014-2020</w:t>
      </w:r>
      <w:r w:rsidRPr="00C00CDE">
        <w:rPr>
          <w:rFonts w:cs="Arial"/>
          <w:bCs/>
          <w:iCs/>
        </w:rPr>
        <w:t xml:space="preserve">) in </w:t>
      </w:r>
      <w:r w:rsidR="001A124E">
        <w:rPr>
          <w:rFonts w:cs="Arial"/>
          <w:bCs/>
          <w:iCs/>
        </w:rPr>
        <w:t xml:space="preserve">Sporazumom o financiranju (v nadaljevanju: </w:t>
      </w:r>
      <w:r w:rsidRPr="00C00CDE">
        <w:rPr>
          <w:rFonts w:cs="Arial"/>
          <w:bCs/>
          <w:iCs/>
        </w:rPr>
        <w:t>S</w:t>
      </w:r>
      <w:r w:rsidR="004A3DA0">
        <w:rPr>
          <w:rFonts w:cs="Arial"/>
          <w:bCs/>
          <w:iCs/>
        </w:rPr>
        <w:t>o</w:t>
      </w:r>
      <w:r w:rsidR="00ED7AEF">
        <w:rPr>
          <w:rFonts w:cs="Arial"/>
          <w:bCs/>
          <w:iCs/>
        </w:rPr>
        <w:t>F 2014-2020</w:t>
      </w:r>
      <w:r w:rsidR="001A124E">
        <w:rPr>
          <w:rFonts w:cs="Arial"/>
          <w:bCs/>
          <w:iCs/>
        </w:rPr>
        <w:t>)</w:t>
      </w:r>
      <w:r w:rsidRPr="00D4259F">
        <w:rPr>
          <w:rFonts w:cs="Arial"/>
          <w:bCs/>
          <w:iCs/>
        </w:rPr>
        <w:t xml:space="preserve">, sklenjenim med posredniškim organom MGRT </w:t>
      </w:r>
      <w:r w:rsidR="00FD4269" w:rsidRPr="008E460F">
        <w:rPr>
          <w:rFonts w:cs="Arial"/>
          <w:bCs/>
          <w:iCs/>
        </w:rPr>
        <w:t xml:space="preserve">(v nadaljevanju: PO-MGRT) </w:t>
      </w:r>
      <w:r w:rsidRPr="007B65FA">
        <w:rPr>
          <w:rFonts w:cs="Arial"/>
          <w:bCs/>
          <w:iCs/>
        </w:rPr>
        <w:t>in izbranim upravljavcem sklada skladov SID banko, d.d., Ljubljana</w:t>
      </w:r>
      <w:r w:rsidR="00B232A6" w:rsidRPr="00681167">
        <w:rPr>
          <w:rFonts w:cs="Arial"/>
          <w:bCs/>
          <w:iCs/>
        </w:rPr>
        <w:t xml:space="preserve"> (v nadaljevanju: sklad skladov</w:t>
      </w:r>
      <w:r w:rsidR="00ED7AEF">
        <w:rPr>
          <w:rFonts w:cs="Arial"/>
          <w:bCs/>
          <w:iCs/>
        </w:rPr>
        <w:t xml:space="preserve"> FI 2014-2020</w:t>
      </w:r>
      <w:r w:rsidR="00B232A6" w:rsidRPr="00681167">
        <w:rPr>
          <w:rFonts w:cs="Arial"/>
          <w:bCs/>
          <w:iCs/>
        </w:rPr>
        <w:t>)</w:t>
      </w:r>
      <w:r w:rsidRPr="00285AEA">
        <w:rPr>
          <w:rFonts w:cs="Arial"/>
          <w:bCs/>
          <w:iCs/>
        </w:rPr>
        <w:t xml:space="preserve"> je v okviru prednostne naložbe 1.2 RRI </w:t>
      </w:r>
      <w:r w:rsidR="00B232A6" w:rsidRPr="007D18E8">
        <w:rPr>
          <w:rFonts w:cs="Arial"/>
          <w:bCs/>
          <w:iCs/>
        </w:rPr>
        <w:t>predvideno izvajanje</w:t>
      </w:r>
      <w:r w:rsidRPr="007D18E8">
        <w:rPr>
          <w:rFonts w:cs="Arial"/>
          <w:bCs/>
          <w:iCs/>
        </w:rPr>
        <w:t xml:space="preserve"> treh finančnih instrumentov: posojil za RRI, portfeljskih garancij za RRI za velika podjetja in portfeljskih garancij za RRI za MSP. Za neposredno izvajanje portfeljskih garancij za RRI za velika podjetja in portfeljskih garancij za MSP je bil skladu skladov </w:t>
      </w:r>
      <w:r w:rsidR="001A124E">
        <w:rPr>
          <w:rFonts w:cs="Arial"/>
          <w:bCs/>
          <w:iCs/>
        </w:rPr>
        <w:t xml:space="preserve">FI 2014-2020 </w:t>
      </w:r>
      <w:r w:rsidR="002B2BCD" w:rsidRPr="007322CF">
        <w:rPr>
          <w:rFonts w:cs="Arial"/>
          <w:bCs/>
          <w:iCs/>
        </w:rPr>
        <w:t>mandat</w:t>
      </w:r>
      <w:r w:rsidR="00C91410" w:rsidRPr="007322CF">
        <w:rPr>
          <w:rFonts w:cs="Arial"/>
          <w:bCs/>
          <w:iCs/>
        </w:rPr>
        <w:t xml:space="preserve"> za neposredno izvajanje</w:t>
      </w:r>
      <w:r w:rsidR="002B2BCD" w:rsidRPr="00972620">
        <w:rPr>
          <w:rFonts w:cs="Arial"/>
          <w:bCs/>
          <w:iCs/>
        </w:rPr>
        <w:t xml:space="preserve"> podeljen </w:t>
      </w:r>
      <w:r w:rsidRPr="008F08DE">
        <w:rPr>
          <w:rFonts w:cs="Arial"/>
          <w:bCs/>
          <w:iCs/>
        </w:rPr>
        <w:t xml:space="preserve">že </w:t>
      </w:r>
      <w:r w:rsidR="002B2BCD" w:rsidRPr="008F08DE">
        <w:rPr>
          <w:rFonts w:cs="Arial"/>
          <w:bCs/>
          <w:iCs/>
        </w:rPr>
        <w:t>v</w:t>
      </w:r>
      <w:r w:rsidRPr="008F08DE">
        <w:rPr>
          <w:rFonts w:cs="Arial"/>
          <w:bCs/>
          <w:iCs/>
        </w:rPr>
        <w:t xml:space="preserve"> SoF</w:t>
      </w:r>
      <w:r w:rsidR="00ED7AEF">
        <w:rPr>
          <w:rFonts w:cs="Arial"/>
          <w:bCs/>
          <w:iCs/>
        </w:rPr>
        <w:t xml:space="preserve"> 2014-2020</w:t>
      </w:r>
      <w:r w:rsidRPr="008F08DE">
        <w:rPr>
          <w:rFonts w:cs="Arial"/>
          <w:bCs/>
          <w:iCs/>
        </w:rPr>
        <w:t xml:space="preserve">, medtem ko se je neposredno izvajanje posojil za RRI uredilo s sklenitvijo aneksa 1 </w:t>
      </w:r>
      <w:r w:rsidR="001A124E">
        <w:rPr>
          <w:rFonts w:cs="Arial"/>
          <w:bCs/>
          <w:iCs/>
        </w:rPr>
        <w:t xml:space="preserve">in neposredno izvajanje portfeljskih garancij za RRI za MSP z aneksom 3 </w:t>
      </w:r>
      <w:r w:rsidRPr="008F08DE">
        <w:rPr>
          <w:rFonts w:cs="Arial"/>
          <w:bCs/>
          <w:iCs/>
        </w:rPr>
        <w:t>k SoF</w:t>
      </w:r>
      <w:r w:rsidR="00ED7AEF">
        <w:rPr>
          <w:rFonts w:cs="Arial"/>
          <w:bCs/>
          <w:iCs/>
        </w:rPr>
        <w:t xml:space="preserve"> 2014-2020</w:t>
      </w:r>
      <w:r w:rsidRPr="008F08DE">
        <w:rPr>
          <w:rFonts w:cs="Arial"/>
          <w:bCs/>
          <w:iCs/>
        </w:rPr>
        <w:t>.</w:t>
      </w:r>
    </w:p>
    <w:p w14:paraId="70E85F7C" w14:textId="77777777" w:rsidR="00C00CDE" w:rsidRPr="00C00CDE" w:rsidRDefault="00C00CDE" w:rsidP="004A3DA0">
      <w:pPr>
        <w:spacing w:line="240" w:lineRule="auto"/>
        <w:jc w:val="both"/>
        <w:rPr>
          <w:rFonts w:cs="Arial"/>
          <w:bCs/>
          <w:iCs/>
        </w:rPr>
      </w:pPr>
    </w:p>
    <w:p w14:paraId="1DA415DB" w14:textId="2BA53439" w:rsidR="00FD4269" w:rsidRPr="00285AEA" w:rsidRDefault="00FD4269" w:rsidP="004A3DA0">
      <w:pPr>
        <w:spacing w:line="240" w:lineRule="auto"/>
        <w:jc w:val="both"/>
        <w:rPr>
          <w:rFonts w:cs="Arial"/>
          <w:bCs/>
          <w:iCs/>
        </w:rPr>
      </w:pPr>
      <w:r w:rsidRPr="00D4259F">
        <w:rPr>
          <w:rFonts w:cs="Arial"/>
          <w:bCs/>
          <w:iCs/>
        </w:rPr>
        <w:t xml:space="preserve">Sklad skladov je na </w:t>
      </w:r>
      <w:r w:rsidR="00AC0851" w:rsidRPr="00D4259F">
        <w:rPr>
          <w:rFonts w:cs="Arial"/>
          <w:bCs/>
          <w:iCs/>
        </w:rPr>
        <w:t>PO-MGRT dne 26.6.2020 naslovil</w:t>
      </w:r>
      <w:r w:rsidRPr="00D4259F">
        <w:rPr>
          <w:rFonts w:cs="Arial"/>
          <w:bCs/>
          <w:iCs/>
        </w:rPr>
        <w:t xml:space="preserve"> pisno pobudo za trajno </w:t>
      </w:r>
      <w:r w:rsidR="009F337A">
        <w:rPr>
          <w:rFonts w:cs="Arial"/>
          <w:bCs/>
          <w:iCs/>
        </w:rPr>
        <w:t>dodelitev</w:t>
      </w:r>
      <w:r w:rsidR="00DC7689" w:rsidRPr="00D4259F">
        <w:rPr>
          <w:rFonts w:cs="Arial"/>
          <w:bCs/>
          <w:iCs/>
        </w:rPr>
        <w:t xml:space="preserve"> </w:t>
      </w:r>
      <w:r w:rsidRPr="00D4259F">
        <w:rPr>
          <w:rFonts w:cs="Arial"/>
          <w:bCs/>
          <w:iCs/>
        </w:rPr>
        <w:t xml:space="preserve">sredstev </w:t>
      </w:r>
      <w:r w:rsidR="009F337A">
        <w:rPr>
          <w:rFonts w:cs="Arial"/>
          <w:bCs/>
          <w:iCs/>
        </w:rPr>
        <w:t>prvotno namenjenih</w:t>
      </w:r>
      <w:r w:rsidR="009F337A" w:rsidRPr="00D4259F">
        <w:rPr>
          <w:rFonts w:cs="Arial"/>
          <w:bCs/>
          <w:iCs/>
        </w:rPr>
        <w:t xml:space="preserve"> </w:t>
      </w:r>
      <w:r w:rsidRPr="00D4259F">
        <w:rPr>
          <w:rFonts w:cs="Arial"/>
          <w:bCs/>
          <w:iCs/>
        </w:rPr>
        <w:t>finančne</w:t>
      </w:r>
      <w:r w:rsidR="009F337A">
        <w:rPr>
          <w:rFonts w:cs="Arial"/>
          <w:bCs/>
          <w:iCs/>
        </w:rPr>
        <w:t>mu</w:t>
      </w:r>
      <w:r w:rsidRPr="00D4259F">
        <w:rPr>
          <w:rFonts w:cs="Arial"/>
          <w:bCs/>
          <w:iCs/>
        </w:rPr>
        <w:t xml:space="preserve"> produkt</w:t>
      </w:r>
      <w:r w:rsidR="009F337A">
        <w:rPr>
          <w:rFonts w:cs="Arial"/>
          <w:bCs/>
          <w:iCs/>
        </w:rPr>
        <w:t>u</w:t>
      </w:r>
      <w:r w:rsidRPr="00D4259F">
        <w:rPr>
          <w:rFonts w:cs="Arial"/>
          <w:bCs/>
          <w:iCs/>
        </w:rPr>
        <w:t xml:space="preserve"> portfeljske garancije za RRI za velika podjetja na finančni produkt posojila za RRI v celotni kvoti 10 mio EUR (EU del)</w:t>
      </w:r>
      <w:r w:rsidRPr="008E460F">
        <w:rPr>
          <w:rFonts w:cs="Arial"/>
          <w:bCs/>
          <w:iCs/>
        </w:rPr>
        <w:t>. Pobuda je bila</w:t>
      </w:r>
      <w:r w:rsidR="002643F4" w:rsidRPr="007B65FA">
        <w:rPr>
          <w:rFonts w:cs="Arial"/>
          <w:bCs/>
          <w:iCs/>
        </w:rPr>
        <w:t xml:space="preserve"> na podlagi SoF</w:t>
      </w:r>
      <w:r w:rsidRPr="00681167">
        <w:rPr>
          <w:rFonts w:cs="Arial"/>
          <w:bCs/>
          <w:iCs/>
        </w:rPr>
        <w:t xml:space="preserve"> </w:t>
      </w:r>
      <w:r w:rsidR="00ED7AEF">
        <w:rPr>
          <w:rFonts w:cs="Arial"/>
          <w:bCs/>
          <w:iCs/>
        </w:rPr>
        <w:t xml:space="preserve">2014-2020 </w:t>
      </w:r>
      <w:r w:rsidRPr="00681167">
        <w:rPr>
          <w:rFonts w:cs="Arial"/>
          <w:bCs/>
          <w:iCs/>
        </w:rPr>
        <w:t>utemeljena z neobstojem interesa finančnih institucij za izvajanje finančnega produkta portfeljskih garancij za RRI za velika podjetja. Sklad skladov na dne</w:t>
      </w:r>
      <w:r w:rsidRPr="00285AEA">
        <w:rPr>
          <w:rFonts w:cs="Arial"/>
          <w:bCs/>
          <w:iCs/>
        </w:rPr>
        <w:t xml:space="preserve"> 31.3.2020 objavljen javni poziv za izbor finančnih institucij za podeljevanje kreditov z jamstvom iz finančnega instrumenta portfeljske garancije za RRI za velika podjetja do roka za prijavo, </w:t>
      </w:r>
      <w:r w:rsidR="00ED7AEF">
        <w:rPr>
          <w:rFonts w:cs="Arial"/>
          <w:bCs/>
          <w:iCs/>
        </w:rPr>
        <w:t xml:space="preserve">to je do </w:t>
      </w:r>
      <w:r w:rsidRPr="00285AEA">
        <w:rPr>
          <w:rFonts w:cs="Arial"/>
          <w:bCs/>
          <w:iCs/>
        </w:rPr>
        <w:t>21.4.2020, namreč ni prejel nobene prijave.</w:t>
      </w:r>
    </w:p>
    <w:p w14:paraId="3AE72523" w14:textId="77777777" w:rsidR="00C00CDE" w:rsidRDefault="00C00CDE" w:rsidP="004A3DA0">
      <w:pPr>
        <w:spacing w:line="240" w:lineRule="auto"/>
        <w:jc w:val="both"/>
        <w:rPr>
          <w:rFonts w:cs="Arial"/>
          <w:bCs/>
          <w:iCs/>
        </w:rPr>
      </w:pPr>
    </w:p>
    <w:p w14:paraId="50887A7E" w14:textId="261B3D12" w:rsidR="00145F12" w:rsidRDefault="00145F12" w:rsidP="004A3DA0">
      <w:pPr>
        <w:spacing w:line="240" w:lineRule="auto"/>
        <w:jc w:val="both"/>
        <w:rPr>
          <w:rFonts w:cs="Arial"/>
          <w:bCs/>
          <w:iCs/>
        </w:rPr>
      </w:pPr>
      <w:r w:rsidRPr="00C00CDE">
        <w:rPr>
          <w:rFonts w:cs="Arial"/>
          <w:bCs/>
          <w:iCs/>
        </w:rPr>
        <w:t xml:space="preserve">Po izvedbi trajne </w:t>
      </w:r>
      <w:r w:rsidR="009F337A">
        <w:rPr>
          <w:rFonts w:cs="Arial"/>
          <w:bCs/>
          <w:iCs/>
        </w:rPr>
        <w:t>dodelitve</w:t>
      </w:r>
      <w:r w:rsidR="009F337A" w:rsidRPr="00C00CDE">
        <w:rPr>
          <w:rFonts w:cs="Arial"/>
          <w:bCs/>
          <w:iCs/>
        </w:rPr>
        <w:t xml:space="preserve"> </w:t>
      </w:r>
      <w:r w:rsidRPr="00C00CDE">
        <w:rPr>
          <w:rFonts w:cs="Arial"/>
          <w:bCs/>
          <w:iCs/>
        </w:rPr>
        <w:t>bo za posojila za RRI na voljo 10 mio EUR (EU del) več</w:t>
      </w:r>
      <w:r w:rsidR="00D33C12" w:rsidRPr="00C00CDE">
        <w:rPr>
          <w:rFonts w:cs="Arial"/>
          <w:bCs/>
          <w:iCs/>
        </w:rPr>
        <w:t xml:space="preserve"> kot je bilo prvotno načrtovano</w:t>
      </w:r>
      <w:r w:rsidRPr="00D4259F">
        <w:rPr>
          <w:rFonts w:cs="Arial"/>
          <w:bCs/>
          <w:iCs/>
        </w:rPr>
        <w:t>, torej skupaj 68 mio EUR (EU del</w:t>
      </w:r>
      <w:r w:rsidR="00ED7AEF">
        <w:rPr>
          <w:rFonts w:cs="Arial"/>
          <w:bCs/>
          <w:iCs/>
        </w:rPr>
        <w:t xml:space="preserve">), kar je vrednost </w:t>
      </w:r>
      <w:r w:rsidRPr="00D4259F">
        <w:rPr>
          <w:rFonts w:cs="Arial"/>
          <w:bCs/>
          <w:iCs/>
        </w:rPr>
        <w:t xml:space="preserve">brez pričakovanega vzvoda, provizija upravljavca sklada skladov in finančnih posrednikov </w:t>
      </w:r>
      <w:r w:rsidR="00ED7AEF">
        <w:rPr>
          <w:rFonts w:cs="Arial"/>
          <w:bCs/>
          <w:iCs/>
        </w:rPr>
        <w:t xml:space="preserve">pa </w:t>
      </w:r>
      <w:r w:rsidR="004A3DA0">
        <w:rPr>
          <w:rFonts w:cs="Arial"/>
          <w:bCs/>
          <w:iCs/>
        </w:rPr>
        <w:t>ni odšteta</w:t>
      </w:r>
      <w:r w:rsidRPr="00D4259F">
        <w:rPr>
          <w:rFonts w:cs="Arial"/>
          <w:bCs/>
          <w:iCs/>
        </w:rPr>
        <w:t>.</w:t>
      </w:r>
    </w:p>
    <w:p w14:paraId="1ED01841" w14:textId="77777777" w:rsidR="00ED7AEF" w:rsidRPr="00D4259F" w:rsidRDefault="00ED7AEF" w:rsidP="004A3DA0">
      <w:pPr>
        <w:spacing w:line="240" w:lineRule="auto"/>
        <w:jc w:val="both"/>
        <w:rPr>
          <w:rFonts w:cs="Arial"/>
          <w:bCs/>
          <w:iCs/>
        </w:rPr>
      </w:pPr>
    </w:p>
    <w:p w14:paraId="303F3F58" w14:textId="7E029202" w:rsidR="00463877" w:rsidRDefault="00133F3F" w:rsidP="004A3DA0">
      <w:pPr>
        <w:spacing w:line="240" w:lineRule="auto"/>
        <w:jc w:val="both"/>
        <w:rPr>
          <w:rFonts w:cs="Arial"/>
          <w:bCs/>
          <w:iCs/>
        </w:rPr>
      </w:pPr>
      <w:r w:rsidRPr="00D4259F">
        <w:rPr>
          <w:rFonts w:cs="Arial"/>
          <w:bCs/>
          <w:iCs/>
        </w:rPr>
        <w:t>V SoF</w:t>
      </w:r>
      <w:r w:rsidR="004659AB">
        <w:rPr>
          <w:rFonts w:cs="Arial"/>
          <w:bCs/>
          <w:iCs/>
        </w:rPr>
        <w:t xml:space="preserve"> </w:t>
      </w:r>
      <w:r w:rsidR="00ED7AEF">
        <w:rPr>
          <w:rFonts w:cs="Arial"/>
          <w:bCs/>
          <w:iCs/>
        </w:rPr>
        <w:t xml:space="preserve">2014-2020 </w:t>
      </w:r>
      <w:r w:rsidRPr="00D4259F">
        <w:rPr>
          <w:rFonts w:cs="Arial"/>
          <w:bCs/>
          <w:iCs/>
        </w:rPr>
        <w:t xml:space="preserve">določeni kazalniki </w:t>
      </w:r>
      <w:r w:rsidR="00463877" w:rsidRPr="00D4259F">
        <w:rPr>
          <w:rFonts w:cs="Arial"/>
          <w:bCs/>
          <w:iCs/>
        </w:rPr>
        <w:t xml:space="preserve">se </w:t>
      </w:r>
      <w:r w:rsidR="00ED7AEF">
        <w:rPr>
          <w:rFonts w:cs="Arial"/>
          <w:bCs/>
          <w:iCs/>
        </w:rPr>
        <w:t xml:space="preserve">posledično ustrezno </w:t>
      </w:r>
      <w:r w:rsidR="00463877" w:rsidRPr="00D4259F">
        <w:rPr>
          <w:rFonts w:cs="Arial"/>
          <w:bCs/>
          <w:iCs/>
        </w:rPr>
        <w:t>korigirajo, in sicer se kazalnik učinka CO01, ki se nanaša na finančn</w:t>
      </w:r>
      <w:r w:rsidR="001A124E">
        <w:rPr>
          <w:rFonts w:cs="Arial"/>
          <w:bCs/>
          <w:iCs/>
        </w:rPr>
        <w:t>a</w:t>
      </w:r>
      <w:r w:rsidR="00463877" w:rsidRPr="00D4259F">
        <w:rPr>
          <w:rFonts w:cs="Arial"/>
          <w:bCs/>
          <w:iCs/>
        </w:rPr>
        <w:t xml:space="preserve"> produkt</w:t>
      </w:r>
      <w:r w:rsidR="001A124E">
        <w:rPr>
          <w:rFonts w:cs="Arial"/>
          <w:bCs/>
          <w:iCs/>
        </w:rPr>
        <w:t>a</w:t>
      </w:r>
      <w:r w:rsidR="00463877" w:rsidRPr="00D4259F">
        <w:rPr>
          <w:rFonts w:cs="Arial"/>
          <w:bCs/>
          <w:iCs/>
        </w:rPr>
        <w:t xml:space="preserve"> portfeljskih garancij za RRI za velika podjetja</w:t>
      </w:r>
      <w:r w:rsidR="001A124E">
        <w:rPr>
          <w:rFonts w:cs="Arial"/>
          <w:bCs/>
          <w:iCs/>
        </w:rPr>
        <w:t xml:space="preserve"> in portfeljskih garancij za RRI za MSP</w:t>
      </w:r>
      <w:r w:rsidR="004A3DA0">
        <w:rPr>
          <w:rFonts w:cs="Arial"/>
          <w:bCs/>
          <w:iCs/>
        </w:rPr>
        <w:t>,</w:t>
      </w:r>
      <w:r w:rsidR="00463877" w:rsidRPr="00D4259F">
        <w:rPr>
          <w:rFonts w:cs="Arial"/>
          <w:bCs/>
          <w:iCs/>
        </w:rPr>
        <w:t xml:space="preserve"> zniža iz 187 na 100 podprtih podjetij, pri čemer se isti kazalnik zviša iz 362 na 449 podprtih podjetij za finančni produkt posojila za RRI.</w:t>
      </w:r>
    </w:p>
    <w:p w14:paraId="056DE29F" w14:textId="77777777" w:rsidR="00ED7AEF" w:rsidRPr="00D4259F" w:rsidRDefault="00ED7AEF" w:rsidP="004A3DA0">
      <w:pPr>
        <w:spacing w:line="240" w:lineRule="auto"/>
        <w:jc w:val="both"/>
        <w:rPr>
          <w:rFonts w:cs="Arial"/>
          <w:bCs/>
          <w:iCs/>
        </w:rPr>
      </w:pPr>
    </w:p>
    <w:p w14:paraId="639BA475" w14:textId="30242782" w:rsidR="009D0FAD" w:rsidRDefault="00421679" w:rsidP="004A3DA0">
      <w:pPr>
        <w:spacing w:line="240" w:lineRule="auto"/>
        <w:jc w:val="both"/>
        <w:rPr>
          <w:rFonts w:cs="Arial"/>
          <w:bCs/>
          <w:iCs/>
        </w:rPr>
      </w:pPr>
      <w:r w:rsidRPr="008E460F">
        <w:rPr>
          <w:rFonts w:cs="Arial"/>
          <w:bCs/>
          <w:iCs/>
        </w:rPr>
        <w:t xml:space="preserve">Sprememba KEFI </w:t>
      </w:r>
      <w:r w:rsidR="00ED7AEF">
        <w:rPr>
          <w:rFonts w:cs="Arial"/>
          <w:bCs/>
          <w:iCs/>
        </w:rPr>
        <w:t xml:space="preserve">2014-2020 </w:t>
      </w:r>
      <w:r w:rsidRPr="008E460F">
        <w:rPr>
          <w:rFonts w:cs="Arial"/>
          <w:bCs/>
          <w:iCs/>
        </w:rPr>
        <w:t xml:space="preserve">ne zahteva dodatnih sredstev državnega proračuna, saj se uporabijo obstoječa sredstva </w:t>
      </w:r>
      <w:r w:rsidR="00D33C12" w:rsidRPr="007B65FA">
        <w:rPr>
          <w:rFonts w:cs="Arial"/>
          <w:bCs/>
          <w:iCs/>
        </w:rPr>
        <w:t xml:space="preserve">evropske </w:t>
      </w:r>
      <w:r w:rsidRPr="00681167">
        <w:rPr>
          <w:rFonts w:cs="Arial"/>
          <w:bCs/>
          <w:iCs/>
        </w:rPr>
        <w:t xml:space="preserve">kohezijske politike, </w:t>
      </w:r>
      <w:r w:rsidR="00ED7AEF">
        <w:rPr>
          <w:rFonts w:cs="Arial"/>
          <w:bCs/>
          <w:iCs/>
        </w:rPr>
        <w:t xml:space="preserve">ki so že dodeljena operaciji FI 2014-2020, </w:t>
      </w:r>
      <w:r w:rsidRPr="00681167">
        <w:rPr>
          <w:rFonts w:cs="Arial"/>
          <w:bCs/>
          <w:iCs/>
        </w:rPr>
        <w:t>omogoča pa</w:t>
      </w:r>
      <w:r w:rsidR="009D0FAD" w:rsidRPr="00681167">
        <w:rPr>
          <w:rFonts w:cs="Arial"/>
          <w:bCs/>
          <w:iCs/>
        </w:rPr>
        <w:t xml:space="preserve">, da se </w:t>
      </w:r>
      <w:r w:rsidRPr="00681167">
        <w:rPr>
          <w:rFonts w:cs="Arial"/>
          <w:bCs/>
          <w:iCs/>
        </w:rPr>
        <w:t xml:space="preserve">celotna kvota 10 mio EUR (EU del) trajno </w:t>
      </w:r>
      <w:r w:rsidR="001A124E">
        <w:rPr>
          <w:rFonts w:cs="Arial"/>
          <w:bCs/>
          <w:iCs/>
        </w:rPr>
        <w:t>dodeli</w:t>
      </w:r>
      <w:r w:rsidR="001A124E" w:rsidRPr="00681167">
        <w:rPr>
          <w:rFonts w:cs="Arial"/>
          <w:bCs/>
          <w:iCs/>
        </w:rPr>
        <w:t xml:space="preserve"> </w:t>
      </w:r>
      <w:r w:rsidR="001A124E">
        <w:rPr>
          <w:rFonts w:cs="Arial"/>
          <w:bCs/>
          <w:iCs/>
        </w:rPr>
        <w:t>na že obstoječ</w:t>
      </w:r>
      <w:r w:rsidRPr="00681167">
        <w:rPr>
          <w:rFonts w:cs="Arial"/>
          <w:bCs/>
          <w:iCs/>
        </w:rPr>
        <w:t xml:space="preserve"> finančni pro</w:t>
      </w:r>
      <w:r w:rsidRPr="00285AEA">
        <w:rPr>
          <w:rFonts w:cs="Arial"/>
          <w:bCs/>
          <w:iCs/>
        </w:rPr>
        <w:t xml:space="preserve">dukt znotraj istega naložbenega področja in namena (posojila za raziskave, razvoj in inovacije) </w:t>
      </w:r>
      <w:r w:rsidR="00F4697C">
        <w:rPr>
          <w:rFonts w:cs="Arial"/>
          <w:bCs/>
          <w:iCs/>
        </w:rPr>
        <w:t>isti</w:t>
      </w:r>
      <w:r w:rsidR="00F4697C" w:rsidRPr="00285AEA">
        <w:rPr>
          <w:rFonts w:cs="Arial"/>
          <w:bCs/>
          <w:iCs/>
        </w:rPr>
        <w:t xml:space="preserve"> </w:t>
      </w:r>
      <w:r w:rsidRPr="00285AEA">
        <w:rPr>
          <w:rFonts w:cs="Arial"/>
          <w:bCs/>
          <w:iCs/>
        </w:rPr>
        <w:t>skupini končnih prejemnikov (</w:t>
      </w:r>
      <w:r w:rsidR="00F4697C">
        <w:rPr>
          <w:rFonts w:cs="Arial"/>
          <w:bCs/>
          <w:iCs/>
        </w:rPr>
        <w:t>MSP in</w:t>
      </w:r>
      <w:r w:rsidR="00F4697C" w:rsidRPr="00285AEA">
        <w:rPr>
          <w:rFonts w:cs="Arial"/>
          <w:bCs/>
          <w:iCs/>
        </w:rPr>
        <w:t xml:space="preserve"> </w:t>
      </w:r>
      <w:r w:rsidRPr="00285AEA">
        <w:rPr>
          <w:rFonts w:cs="Arial"/>
          <w:bCs/>
          <w:iCs/>
        </w:rPr>
        <w:t>veliki</w:t>
      </w:r>
      <w:r w:rsidR="00F4697C">
        <w:rPr>
          <w:rFonts w:cs="Arial"/>
          <w:bCs/>
          <w:iCs/>
        </w:rPr>
        <w:t>m</w:t>
      </w:r>
      <w:r w:rsidRPr="00285AEA">
        <w:rPr>
          <w:rFonts w:cs="Arial"/>
          <w:bCs/>
          <w:iCs/>
        </w:rPr>
        <w:t xml:space="preserve"> podjet</w:t>
      </w:r>
      <w:r w:rsidR="00F4697C">
        <w:rPr>
          <w:rFonts w:cs="Arial"/>
          <w:bCs/>
          <w:iCs/>
        </w:rPr>
        <w:t>jem</w:t>
      </w:r>
      <w:r w:rsidR="004A3DA0">
        <w:rPr>
          <w:rFonts w:cs="Arial"/>
          <w:bCs/>
          <w:iCs/>
        </w:rPr>
        <w:t>)</w:t>
      </w:r>
      <w:r w:rsidRPr="00285AEA">
        <w:rPr>
          <w:rFonts w:cs="Arial"/>
          <w:bCs/>
          <w:iCs/>
        </w:rPr>
        <w:t xml:space="preserve">, s tem pa se gospodarstvu za posojila za RRI daje na voljo </w:t>
      </w:r>
      <w:r w:rsidR="00D33C12" w:rsidRPr="00285AEA">
        <w:rPr>
          <w:rFonts w:cs="Arial"/>
          <w:bCs/>
          <w:iCs/>
        </w:rPr>
        <w:t xml:space="preserve">(dodatna) </w:t>
      </w:r>
      <w:r w:rsidRPr="007D18E8">
        <w:rPr>
          <w:rFonts w:cs="Arial"/>
          <w:bCs/>
          <w:iCs/>
        </w:rPr>
        <w:t xml:space="preserve">kvota 10 mio EUR (EU del) sredstev, </w:t>
      </w:r>
      <w:r w:rsidR="00EF27ED">
        <w:rPr>
          <w:rFonts w:cs="Arial"/>
          <w:bCs/>
          <w:iCs/>
        </w:rPr>
        <w:t xml:space="preserve">dodeljenih </w:t>
      </w:r>
      <w:r w:rsidRPr="007D18E8">
        <w:rPr>
          <w:rFonts w:cs="Arial"/>
          <w:bCs/>
          <w:iCs/>
        </w:rPr>
        <w:t>sklad</w:t>
      </w:r>
      <w:r w:rsidR="00EF27ED">
        <w:rPr>
          <w:rFonts w:cs="Arial"/>
          <w:bCs/>
          <w:iCs/>
        </w:rPr>
        <w:t>u</w:t>
      </w:r>
      <w:r w:rsidRPr="007D18E8">
        <w:rPr>
          <w:rFonts w:cs="Arial"/>
          <w:bCs/>
          <w:iCs/>
        </w:rPr>
        <w:t xml:space="preserve"> skladov.</w:t>
      </w:r>
    </w:p>
    <w:p w14:paraId="65010D45" w14:textId="77777777" w:rsidR="00C00CDE" w:rsidRPr="00C00CDE" w:rsidRDefault="00C00CDE" w:rsidP="004A3DA0">
      <w:pPr>
        <w:spacing w:line="240" w:lineRule="auto"/>
        <w:jc w:val="both"/>
        <w:rPr>
          <w:rFonts w:cs="Arial"/>
          <w:bCs/>
          <w:iCs/>
        </w:rPr>
      </w:pPr>
    </w:p>
    <w:p w14:paraId="72671476" w14:textId="025B75DB" w:rsidR="00234798" w:rsidRPr="00681167" w:rsidRDefault="00234798" w:rsidP="004A3DA0">
      <w:pPr>
        <w:spacing w:line="240" w:lineRule="auto"/>
        <w:jc w:val="both"/>
        <w:rPr>
          <w:rFonts w:cs="Arial"/>
          <w:bCs/>
          <w:iCs/>
        </w:rPr>
      </w:pPr>
      <w:r w:rsidRPr="00D4259F">
        <w:rPr>
          <w:rFonts w:cs="Arial"/>
          <w:bCs/>
          <w:iCs/>
        </w:rPr>
        <w:t xml:space="preserve">Za izvedbo </w:t>
      </w:r>
      <w:r w:rsidR="001A124E">
        <w:rPr>
          <w:rFonts w:cs="Arial"/>
          <w:bCs/>
          <w:iCs/>
        </w:rPr>
        <w:t>trajne dodelitve</w:t>
      </w:r>
      <w:r w:rsidR="001A124E" w:rsidRPr="00D4259F">
        <w:rPr>
          <w:rFonts w:cs="Arial"/>
          <w:bCs/>
          <w:iCs/>
        </w:rPr>
        <w:t xml:space="preserve"> </w:t>
      </w:r>
      <w:r w:rsidR="001A124E">
        <w:rPr>
          <w:rFonts w:cs="Arial"/>
          <w:bCs/>
          <w:iCs/>
        </w:rPr>
        <w:t xml:space="preserve">sredstev na </w:t>
      </w:r>
      <w:r w:rsidR="00074744" w:rsidRPr="00D4259F">
        <w:rPr>
          <w:rFonts w:cs="Arial"/>
          <w:bCs/>
          <w:iCs/>
        </w:rPr>
        <w:t>posojil</w:t>
      </w:r>
      <w:r w:rsidR="001A124E">
        <w:rPr>
          <w:rFonts w:cs="Arial"/>
          <w:bCs/>
          <w:iCs/>
        </w:rPr>
        <w:t>a</w:t>
      </w:r>
      <w:r w:rsidR="00074744" w:rsidRPr="00D4259F">
        <w:rPr>
          <w:rFonts w:cs="Arial"/>
          <w:bCs/>
          <w:iCs/>
        </w:rPr>
        <w:t xml:space="preserve"> za </w:t>
      </w:r>
      <w:r w:rsidRPr="00D4259F">
        <w:rPr>
          <w:rFonts w:cs="Arial"/>
          <w:bCs/>
          <w:iCs/>
        </w:rPr>
        <w:t xml:space="preserve">RRI </w:t>
      </w:r>
      <w:r w:rsidRPr="008E460F">
        <w:rPr>
          <w:rFonts w:cs="Arial"/>
          <w:bCs/>
          <w:iCs/>
        </w:rPr>
        <w:t>je potrebna sprememba K</w:t>
      </w:r>
      <w:r w:rsidR="00A31844">
        <w:rPr>
          <w:rFonts w:cs="Arial"/>
          <w:bCs/>
          <w:iCs/>
        </w:rPr>
        <w:t xml:space="preserve">EFI </w:t>
      </w:r>
      <w:r w:rsidRPr="008E460F">
        <w:rPr>
          <w:rFonts w:cs="Arial"/>
          <w:bCs/>
          <w:iCs/>
        </w:rPr>
        <w:t>2014-2020, naložbene strategije</w:t>
      </w:r>
      <w:r w:rsidR="00A31844">
        <w:rPr>
          <w:rFonts w:cs="Arial"/>
          <w:bCs/>
          <w:iCs/>
        </w:rPr>
        <w:t xml:space="preserve"> FI 2014-2020</w:t>
      </w:r>
      <w:r w:rsidRPr="008E460F">
        <w:rPr>
          <w:rFonts w:cs="Arial"/>
          <w:bCs/>
          <w:iCs/>
        </w:rPr>
        <w:t>, poslovnega in f</w:t>
      </w:r>
      <w:r w:rsidRPr="007B65FA">
        <w:rPr>
          <w:rFonts w:cs="Arial"/>
          <w:bCs/>
          <w:iCs/>
        </w:rPr>
        <w:t>inanč</w:t>
      </w:r>
      <w:r w:rsidRPr="00681167">
        <w:rPr>
          <w:rFonts w:cs="Arial"/>
          <w:bCs/>
          <w:iCs/>
        </w:rPr>
        <w:t>nega načrta sklada skladov</w:t>
      </w:r>
      <w:r w:rsidR="00A31844">
        <w:rPr>
          <w:rFonts w:cs="Arial"/>
          <w:bCs/>
          <w:iCs/>
        </w:rPr>
        <w:t xml:space="preserve"> FI 2014-2020</w:t>
      </w:r>
      <w:r w:rsidR="00C76131">
        <w:rPr>
          <w:rFonts w:cs="Arial"/>
          <w:bCs/>
          <w:iCs/>
        </w:rPr>
        <w:t>,</w:t>
      </w:r>
      <w:r w:rsidRPr="00681167">
        <w:rPr>
          <w:rFonts w:cs="Arial"/>
          <w:bCs/>
          <w:iCs/>
        </w:rPr>
        <w:t xml:space="preserve"> letnega načrta 202</w:t>
      </w:r>
      <w:r w:rsidR="00C76131">
        <w:rPr>
          <w:rFonts w:cs="Arial"/>
          <w:bCs/>
          <w:iCs/>
        </w:rPr>
        <w:t>1</w:t>
      </w:r>
      <w:r w:rsidRPr="00681167">
        <w:rPr>
          <w:rFonts w:cs="Arial"/>
          <w:bCs/>
          <w:iCs/>
        </w:rPr>
        <w:t xml:space="preserve"> </w:t>
      </w:r>
      <w:r w:rsidR="00A31844">
        <w:rPr>
          <w:rFonts w:cs="Arial"/>
          <w:bCs/>
          <w:iCs/>
        </w:rPr>
        <w:t>za FI 2014-2020</w:t>
      </w:r>
      <w:r w:rsidR="00C76131">
        <w:rPr>
          <w:rFonts w:cs="Arial"/>
          <w:bCs/>
          <w:iCs/>
        </w:rPr>
        <w:t>, načrta izvajanja FI 2014-2020</w:t>
      </w:r>
      <w:r w:rsidR="00A31844">
        <w:rPr>
          <w:rFonts w:cs="Arial"/>
          <w:bCs/>
          <w:iCs/>
        </w:rPr>
        <w:t xml:space="preserve"> </w:t>
      </w:r>
      <w:r w:rsidRPr="00681167">
        <w:rPr>
          <w:rFonts w:cs="Arial"/>
          <w:bCs/>
          <w:iCs/>
        </w:rPr>
        <w:t>ter sklenitev aneksa k S</w:t>
      </w:r>
      <w:r w:rsidR="00AF2065">
        <w:rPr>
          <w:rFonts w:cs="Arial"/>
          <w:bCs/>
          <w:iCs/>
        </w:rPr>
        <w:t>o</w:t>
      </w:r>
      <w:r w:rsidR="00A31844">
        <w:rPr>
          <w:rFonts w:cs="Arial"/>
          <w:bCs/>
          <w:iCs/>
        </w:rPr>
        <w:t>F 2014-2020</w:t>
      </w:r>
      <w:r w:rsidRPr="00681167">
        <w:rPr>
          <w:rFonts w:cs="Arial"/>
          <w:bCs/>
          <w:iCs/>
        </w:rPr>
        <w:t>.</w:t>
      </w:r>
    </w:p>
    <w:p w14:paraId="7788E2CF" w14:textId="77777777" w:rsidR="009D0FAD" w:rsidRPr="00285AEA" w:rsidRDefault="009D0FAD" w:rsidP="009D0FAD">
      <w:pPr>
        <w:spacing w:line="240" w:lineRule="auto"/>
        <w:rPr>
          <w:rFonts w:cs="Arial"/>
          <w:b/>
          <w:szCs w:val="20"/>
        </w:rPr>
      </w:pPr>
      <w:r w:rsidRPr="00285AEA">
        <w:rPr>
          <w:rFonts w:cs="Arial"/>
          <w:b/>
          <w:szCs w:val="20"/>
        </w:rPr>
        <w:br w:type="page"/>
      </w:r>
    </w:p>
    <w:p w14:paraId="5972076C" w14:textId="39BEB44F" w:rsidR="009D0FAD" w:rsidRPr="007D18E8" w:rsidRDefault="009D0FAD" w:rsidP="009D0FAD">
      <w:pPr>
        <w:spacing w:line="276" w:lineRule="auto"/>
        <w:jc w:val="both"/>
        <w:outlineLvl w:val="0"/>
        <w:rPr>
          <w:rFonts w:cs="Arial"/>
          <w:b/>
          <w:szCs w:val="20"/>
        </w:rPr>
      </w:pPr>
      <w:bookmarkStart w:id="10" w:name="_Toc51673418"/>
      <w:r w:rsidRPr="00285AEA">
        <w:rPr>
          <w:rFonts w:cs="Arial"/>
          <w:b/>
          <w:szCs w:val="20"/>
        </w:rPr>
        <w:lastRenderedPageBreak/>
        <w:t>S</w:t>
      </w:r>
      <w:r w:rsidR="006E2294">
        <w:rPr>
          <w:rFonts w:cs="Arial"/>
          <w:b/>
          <w:szCs w:val="20"/>
        </w:rPr>
        <w:t>eznam s</w:t>
      </w:r>
      <w:r w:rsidRPr="00285AEA">
        <w:rPr>
          <w:rFonts w:cs="Arial"/>
          <w:b/>
          <w:szCs w:val="20"/>
        </w:rPr>
        <w:t xml:space="preserve">prememb </w:t>
      </w:r>
      <w:r w:rsidR="006E2294">
        <w:rPr>
          <w:rFonts w:cs="Arial"/>
          <w:b/>
          <w:szCs w:val="20"/>
        </w:rPr>
        <w:t>dokumenta</w:t>
      </w:r>
      <w:r w:rsidRPr="00285AEA">
        <w:rPr>
          <w:rFonts w:cs="Arial"/>
          <w:b/>
          <w:szCs w:val="20"/>
        </w:rPr>
        <w:t xml:space="preserve"> Ključni element</w:t>
      </w:r>
      <w:r w:rsidR="006E2294">
        <w:rPr>
          <w:rFonts w:cs="Arial"/>
          <w:b/>
          <w:szCs w:val="20"/>
        </w:rPr>
        <w:t>i</w:t>
      </w:r>
      <w:r w:rsidRPr="00285AEA">
        <w:rPr>
          <w:rFonts w:cs="Arial"/>
          <w:b/>
          <w:szCs w:val="20"/>
        </w:rPr>
        <w:t xml:space="preserve"> finančnih elementov v programskem obdobju 2014-2020</w:t>
      </w:r>
      <w:r w:rsidR="00C209E6" w:rsidRPr="00285AEA">
        <w:rPr>
          <w:rFonts w:cs="Arial"/>
          <w:b/>
          <w:szCs w:val="20"/>
        </w:rPr>
        <w:t>, različica 1.2</w:t>
      </w:r>
      <w:r w:rsidR="000236FF">
        <w:rPr>
          <w:rFonts w:cs="Arial"/>
          <w:b/>
          <w:szCs w:val="20"/>
        </w:rPr>
        <w:t>, marec 2021</w:t>
      </w:r>
      <w:r w:rsidR="00421679" w:rsidRPr="007D18E8">
        <w:rPr>
          <w:rFonts w:cs="Arial"/>
          <w:b/>
          <w:szCs w:val="20"/>
        </w:rPr>
        <w:t xml:space="preserve"> (</w:t>
      </w:r>
      <w:r w:rsidR="007F2F83" w:rsidRPr="007D18E8">
        <w:rPr>
          <w:rFonts w:cs="Arial"/>
          <w:b/>
          <w:szCs w:val="20"/>
        </w:rPr>
        <w:t>glede na različico</w:t>
      </w:r>
      <w:r w:rsidR="00C209E6" w:rsidRPr="007D18E8">
        <w:rPr>
          <w:rFonts w:cs="Arial"/>
          <w:b/>
          <w:szCs w:val="20"/>
        </w:rPr>
        <w:t xml:space="preserve"> 1.1</w:t>
      </w:r>
      <w:r w:rsidR="00F857E0" w:rsidRPr="007D18E8">
        <w:rPr>
          <w:rFonts w:cs="Arial"/>
          <w:b/>
          <w:szCs w:val="20"/>
        </w:rPr>
        <w:t xml:space="preserve"> </w:t>
      </w:r>
      <w:r w:rsidR="002643F4" w:rsidRPr="007D18E8">
        <w:rPr>
          <w:rFonts w:cs="Arial"/>
          <w:b/>
          <w:szCs w:val="20"/>
        </w:rPr>
        <w:t xml:space="preserve">z </w:t>
      </w:r>
      <w:r w:rsidR="002643F4" w:rsidRPr="0029428D">
        <w:rPr>
          <w:rFonts w:cs="Arial"/>
          <w:b/>
          <w:szCs w:val="20"/>
        </w:rPr>
        <w:t xml:space="preserve">dne </w:t>
      </w:r>
      <w:r w:rsidR="0029428D" w:rsidRPr="0029428D">
        <w:rPr>
          <w:rFonts w:cs="Arial"/>
          <w:b/>
          <w:szCs w:val="20"/>
        </w:rPr>
        <w:t>24</w:t>
      </w:r>
      <w:r w:rsidR="007F2F83" w:rsidRPr="0029428D">
        <w:rPr>
          <w:rFonts w:cs="Arial"/>
          <w:b/>
          <w:szCs w:val="20"/>
        </w:rPr>
        <w:t>.</w:t>
      </w:r>
      <w:r w:rsidR="0029428D" w:rsidRPr="0029428D">
        <w:rPr>
          <w:rFonts w:cs="Arial"/>
          <w:b/>
          <w:szCs w:val="20"/>
        </w:rPr>
        <w:t>8</w:t>
      </w:r>
      <w:r w:rsidR="007F2F83" w:rsidRPr="0029428D">
        <w:rPr>
          <w:rFonts w:cs="Arial"/>
          <w:b/>
          <w:szCs w:val="20"/>
        </w:rPr>
        <w:t>.2017</w:t>
      </w:r>
      <w:r w:rsidR="00421679" w:rsidRPr="0029428D">
        <w:rPr>
          <w:rFonts w:cs="Arial"/>
          <w:b/>
          <w:szCs w:val="20"/>
        </w:rPr>
        <w:t>)</w:t>
      </w:r>
      <w:bookmarkEnd w:id="10"/>
    </w:p>
    <w:p w14:paraId="0693AD8E" w14:textId="77777777" w:rsidR="009D0FAD" w:rsidRPr="007D18E8" w:rsidRDefault="009D0FAD" w:rsidP="009D0FAD">
      <w:pPr>
        <w:spacing w:line="276" w:lineRule="auto"/>
        <w:jc w:val="both"/>
        <w:outlineLvl w:val="0"/>
        <w:rPr>
          <w:rFonts w:cs="Arial"/>
          <w:b/>
          <w:szCs w:val="20"/>
        </w:rPr>
      </w:pPr>
    </w:p>
    <w:p w14:paraId="6A75C29A" w14:textId="77777777" w:rsidR="00174CDF" w:rsidRPr="00AF2065" w:rsidRDefault="00174CDF" w:rsidP="00B31792">
      <w:pPr>
        <w:pStyle w:val="Odstavekseznama"/>
        <w:numPr>
          <w:ilvl w:val="0"/>
          <w:numId w:val="10"/>
        </w:numPr>
        <w:spacing w:line="276" w:lineRule="auto"/>
        <w:jc w:val="both"/>
        <w:outlineLvl w:val="0"/>
        <w:rPr>
          <w:rFonts w:ascii="Arial" w:hAnsi="Arial" w:cs="Arial"/>
          <w:b/>
          <w:bCs/>
          <w:iCs/>
        </w:rPr>
      </w:pPr>
      <w:bookmarkStart w:id="11" w:name="_Toc51673419"/>
      <w:r w:rsidRPr="00AF2065">
        <w:rPr>
          <w:rFonts w:ascii="Arial" w:hAnsi="Arial" w:cs="Arial"/>
          <w:b/>
          <w:bCs/>
          <w:iCs/>
        </w:rPr>
        <w:t>P</w:t>
      </w:r>
      <w:r w:rsidR="00735F79" w:rsidRPr="00AF2065">
        <w:rPr>
          <w:rFonts w:ascii="Arial" w:hAnsi="Arial" w:cs="Arial"/>
          <w:b/>
          <w:bCs/>
          <w:iCs/>
        </w:rPr>
        <w:t>oglavje P</w:t>
      </w:r>
      <w:r w:rsidRPr="00AF2065">
        <w:rPr>
          <w:rFonts w:ascii="Arial" w:hAnsi="Arial" w:cs="Arial"/>
          <w:b/>
          <w:bCs/>
          <w:iCs/>
        </w:rPr>
        <w:t>ovzetek</w:t>
      </w:r>
      <w:bookmarkEnd w:id="11"/>
    </w:p>
    <w:p w14:paraId="42B7799E" w14:textId="0F3E2498" w:rsidR="00502CD7" w:rsidRPr="004000CE" w:rsidRDefault="00174CDF" w:rsidP="004000CE">
      <w:pPr>
        <w:spacing w:line="276" w:lineRule="auto"/>
        <w:jc w:val="both"/>
        <w:outlineLvl w:val="0"/>
        <w:rPr>
          <w:rFonts w:cs="Arial"/>
          <w:bCs/>
          <w:i/>
          <w:iCs/>
          <w:szCs w:val="20"/>
        </w:rPr>
      </w:pPr>
      <w:bookmarkStart w:id="12" w:name="_Toc51673420"/>
      <w:r w:rsidRPr="004000CE">
        <w:rPr>
          <w:rFonts w:cs="Arial"/>
          <w:bCs/>
          <w:iCs/>
          <w:szCs w:val="20"/>
        </w:rPr>
        <w:t>S</w:t>
      </w:r>
      <w:r w:rsidR="00E27A49" w:rsidRPr="004000CE">
        <w:rPr>
          <w:rFonts w:cs="Arial"/>
          <w:bCs/>
          <w:iCs/>
          <w:szCs w:val="20"/>
        </w:rPr>
        <w:t xml:space="preserve"> posodobitvijo pravne podlage za pripravo dokumenta </w:t>
      </w:r>
      <w:r w:rsidR="0095184E">
        <w:rPr>
          <w:rFonts w:cs="Arial"/>
          <w:bCs/>
          <w:iCs/>
          <w:szCs w:val="20"/>
        </w:rPr>
        <w:t xml:space="preserve">v čistopisu </w:t>
      </w:r>
      <w:r w:rsidR="00502CD7" w:rsidRPr="004000CE">
        <w:rPr>
          <w:rFonts w:cs="Arial"/>
          <w:bCs/>
          <w:iCs/>
          <w:szCs w:val="20"/>
        </w:rPr>
        <w:t xml:space="preserve">dopolni prvi stavek prvega odstavka, tako da </w:t>
      </w:r>
      <w:r w:rsidR="0095184E">
        <w:rPr>
          <w:rFonts w:cs="Arial"/>
          <w:bCs/>
          <w:iCs/>
          <w:szCs w:val="20"/>
        </w:rPr>
        <w:t>se</w:t>
      </w:r>
      <w:r w:rsidR="00502CD7" w:rsidRPr="004000CE">
        <w:rPr>
          <w:rFonts w:cs="Arial"/>
          <w:bCs/>
          <w:iCs/>
          <w:szCs w:val="20"/>
        </w:rPr>
        <w:t xml:space="preserve"> glasi</w:t>
      </w:r>
      <w:r w:rsidR="00502CD7" w:rsidRPr="004000CE">
        <w:rPr>
          <w:rFonts w:cs="Arial"/>
          <w:bCs/>
          <w:i/>
          <w:iCs/>
          <w:szCs w:val="20"/>
        </w:rPr>
        <w:t>:</w:t>
      </w:r>
      <w:bookmarkEnd w:id="12"/>
    </w:p>
    <w:p w14:paraId="13C17CEA" w14:textId="2048C524" w:rsidR="00502CD7" w:rsidRPr="004000CE" w:rsidRDefault="00502CD7" w:rsidP="004000CE">
      <w:pPr>
        <w:spacing w:line="276" w:lineRule="auto"/>
        <w:jc w:val="both"/>
        <w:outlineLvl w:val="0"/>
        <w:rPr>
          <w:rFonts w:cs="Arial"/>
          <w:bCs/>
          <w:iCs/>
          <w:szCs w:val="20"/>
        </w:rPr>
      </w:pPr>
      <w:bookmarkStart w:id="13" w:name="_Toc51673421"/>
      <w:r w:rsidRPr="004000CE">
        <w:rPr>
          <w:rFonts w:cs="Arial"/>
          <w:bCs/>
          <w:iCs/>
          <w:szCs w:val="20"/>
        </w:rPr>
        <w:t>»Ključni elementi finančnih instrument</w:t>
      </w:r>
      <w:r w:rsidR="00906890">
        <w:rPr>
          <w:rFonts w:cs="Arial"/>
          <w:bCs/>
          <w:iCs/>
          <w:szCs w:val="20"/>
        </w:rPr>
        <w:t>ov v programskem obdobju 2014–</w:t>
      </w:r>
      <w:r w:rsidRPr="004000CE">
        <w:rPr>
          <w:rFonts w:cs="Arial"/>
          <w:bCs/>
          <w:iCs/>
          <w:szCs w:val="20"/>
        </w:rPr>
        <w:t xml:space="preserve">2020 so pripravljeni skladno s četrtim odstavkom 13. člena in drugim odstavkom 106.j člena Zakona o javnih financah, z drugim odstavkom 17. člena Uredbe o postopku, merilih in načinih dodeljevanja sredstev za spodbujanje razvojnih programov in prednostnih nalog in </w:t>
      </w:r>
      <w:r w:rsidR="00037797" w:rsidRPr="004000CE">
        <w:rPr>
          <w:rFonts w:cs="Arial"/>
          <w:bCs/>
          <w:iCs/>
          <w:szCs w:val="20"/>
        </w:rPr>
        <w:t xml:space="preserve">prvim odstavkom 37.a člena </w:t>
      </w:r>
      <w:r w:rsidRPr="004000CE">
        <w:rPr>
          <w:rFonts w:cs="Arial"/>
          <w:bCs/>
          <w:iCs/>
          <w:szCs w:val="20"/>
        </w:rPr>
        <w:t>Uredbe o porabi sredstev evropske kohezijske politike v Republiki Sloveniji v programskem obdobju 2014–2020 za cilj naložbe za rast in delovna mesta.«</w:t>
      </w:r>
      <w:bookmarkEnd w:id="13"/>
    </w:p>
    <w:p w14:paraId="00E1E0AC" w14:textId="77777777" w:rsidR="00502CD7" w:rsidRPr="004000CE" w:rsidRDefault="00502CD7" w:rsidP="004000CE">
      <w:pPr>
        <w:spacing w:line="276" w:lineRule="auto"/>
        <w:jc w:val="both"/>
        <w:outlineLvl w:val="0"/>
        <w:rPr>
          <w:rFonts w:cs="Arial"/>
          <w:bCs/>
          <w:iCs/>
          <w:szCs w:val="20"/>
        </w:rPr>
      </w:pPr>
    </w:p>
    <w:p w14:paraId="7474DAC8" w14:textId="70516267" w:rsidR="00405923" w:rsidRPr="004000CE" w:rsidRDefault="00405923" w:rsidP="004000CE">
      <w:pPr>
        <w:spacing w:line="276" w:lineRule="auto"/>
        <w:jc w:val="both"/>
        <w:outlineLvl w:val="0"/>
        <w:rPr>
          <w:rFonts w:cs="Arial"/>
          <w:bCs/>
          <w:iCs/>
          <w:szCs w:val="20"/>
        </w:rPr>
      </w:pPr>
      <w:bookmarkStart w:id="14" w:name="_Toc51673422"/>
      <w:r w:rsidRPr="004000CE">
        <w:rPr>
          <w:rFonts w:cs="Arial"/>
          <w:bCs/>
          <w:iCs/>
          <w:szCs w:val="20"/>
        </w:rPr>
        <w:t xml:space="preserve">V prvi tabeli se spremenijo okvirne višine sredstev in ciljne skupine za finančna produkta posojila in portfeljske garancije v okviru področja RRI – TC 1, tako da </w:t>
      </w:r>
      <w:r w:rsidR="0095184E">
        <w:rPr>
          <w:rFonts w:cs="Arial"/>
          <w:bCs/>
          <w:iCs/>
          <w:szCs w:val="20"/>
        </w:rPr>
        <w:t xml:space="preserve">se </w:t>
      </w:r>
      <w:r w:rsidRPr="004000CE">
        <w:rPr>
          <w:rFonts w:cs="Arial"/>
          <w:bCs/>
          <w:iCs/>
          <w:szCs w:val="20"/>
        </w:rPr>
        <w:t>v čistopisu glasijo:</w:t>
      </w:r>
      <w:bookmarkEnd w:id="14"/>
    </w:p>
    <w:tbl>
      <w:tblPr>
        <w:tblStyle w:val="Tabelamrea"/>
        <w:tblW w:w="5000" w:type="pct"/>
        <w:tblLook w:val="04A0" w:firstRow="1" w:lastRow="0" w:firstColumn="1" w:lastColumn="0" w:noHBand="0" w:noVBand="1"/>
      </w:tblPr>
      <w:tblGrid>
        <w:gridCol w:w="1696"/>
        <w:gridCol w:w="2268"/>
        <w:gridCol w:w="4524"/>
      </w:tblGrid>
      <w:tr w:rsidR="00405923" w:rsidRPr="004000CE" w14:paraId="0EB798A6" w14:textId="77777777" w:rsidTr="00405923">
        <w:tc>
          <w:tcPr>
            <w:tcW w:w="999" w:type="pct"/>
          </w:tcPr>
          <w:p w14:paraId="41FA229E" w14:textId="77777777" w:rsidR="00405923" w:rsidRPr="004000CE" w:rsidRDefault="00405923" w:rsidP="004000CE">
            <w:pPr>
              <w:spacing w:line="276" w:lineRule="auto"/>
              <w:jc w:val="both"/>
              <w:rPr>
                <w:rFonts w:eastAsia="Calibri" w:cs="Arial"/>
                <w:szCs w:val="20"/>
              </w:rPr>
            </w:pPr>
            <w:r w:rsidRPr="004000CE">
              <w:rPr>
                <w:rFonts w:eastAsia="Calibri" w:cs="Arial"/>
                <w:szCs w:val="20"/>
              </w:rPr>
              <w:t>Finančni produkt</w:t>
            </w:r>
          </w:p>
        </w:tc>
        <w:tc>
          <w:tcPr>
            <w:tcW w:w="1336" w:type="pct"/>
          </w:tcPr>
          <w:p w14:paraId="340EE56F" w14:textId="77777777" w:rsidR="00405923" w:rsidRPr="004000CE" w:rsidRDefault="00405923" w:rsidP="004000CE">
            <w:pPr>
              <w:spacing w:line="276" w:lineRule="auto"/>
              <w:jc w:val="both"/>
              <w:rPr>
                <w:rFonts w:eastAsia="Calibri" w:cs="Arial"/>
                <w:szCs w:val="20"/>
              </w:rPr>
            </w:pPr>
            <w:r w:rsidRPr="004000CE">
              <w:rPr>
                <w:rFonts w:eastAsia="Calibri" w:cs="Arial"/>
                <w:szCs w:val="20"/>
              </w:rPr>
              <w:t>Okvirna višina sredstev</w:t>
            </w:r>
          </w:p>
        </w:tc>
        <w:tc>
          <w:tcPr>
            <w:tcW w:w="2665" w:type="pct"/>
          </w:tcPr>
          <w:p w14:paraId="3A84AB97" w14:textId="77777777" w:rsidR="00405923" w:rsidRPr="004000CE" w:rsidRDefault="00405923" w:rsidP="004000CE">
            <w:pPr>
              <w:spacing w:line="276" w:lineRule="auto"/>
              <w:jc w:val="both"/>
              <w:rPr>
                <w:rFonts w:eastAsia="Calibri" w:cs="Arial"/>
                <w:szCs w:val="20"/>
              </w:rPr>
            </w:pPr>
            <w:r w:rsidRPr="004000CE">
              <w:rPr>
                <w:rFonts w:eastAsia="Calibri" w:cs="Arial"/>
                <w:szCs w:val="20"/>
              </w:rPr>
              <w:t>Ciljna skupina</w:t>
            </w:r>
          </w:p>
        </w:tc>
      </w:tr>
      <w:tr w:rsidR="00405923" w:rsidRPr="004000CE" w14:paraId="0E68D92A" w14:textId="77777777" w:rsidTr="00405923">
        <w:tc>
          <w:tcPr>
            <w:tcW w:w="5000" w:type="pct"/>
            <w:gridSpan w:val="3"/>
            <w:shd w:val="clear" w:color="auto" w:fill="BDD6EE" w:themeFill="accent1" w:themeFillTint="66"/>
          </w:tcPr>
          <w:p w14:paraId="3467D526" w14:textId="77777777" w:rsidR="00405923" w:rsidRPr="004000CE" w:rsidRDefault="00405923" w:rsidP="004000CE">
            <w:pPr>
              <w:spacing w:line="276" w:lineRule="auto"/>
              <w:jc w:val="center"/>
              <w:rPr>
                <w:rFonts w:eastAsia="Calibri" w:cs="Arial"/>
                <w:szCs w:val="20"/>
              </w:rPr>
            </w:pPr>
            <w:r w:rsidRPr="004000CE">
              <w:rPr>
                <w:rFonts w:eastAsia="Calibri" w:cs="Arial"/>
                <w:szCs w:val="20"/>
              </w:rPr>
              <w:t>Področje: RRI - TC 1</w:t>
            </w:r>
          </w:p>
        </w:tc>
      </w:tr>
      <w:tr w:rsidR="00405923" w:rsidRPr="004000CE" w14:paraId="77924215" w14:textId="77777777" w:rsidTr="00405923">
        <w:tc>
          <w:tcPr>
            <w:tcW w:w="999" w:type="pct"/>
          </w:tcPr>
          <w:p w14:paraId="675FE93C" w14:textId="77777777" w:rsidR="00405923" w:rsidRPr="004000CE" w:rsidRDefault="00405923" w:rsidP="004000CE">
            <w:pPr>
              <w:spacing w:line="276" w:lineRule="auto"/>
              <w:jc w:val="both"/>
              <w:rPr>
                <w:rFonts w:eastAsia="Calibri" w:cs="Arial"/>
                <w:szCs w:val="20"/>
              </w:rPr>
            </w:pPr>
            <w:r w:rsidRPr="004000CE">
              <w:rPr>
                <w:rFonts w:eastAsia="Calibri" w:cs="Arial"/>
                <w:szCs w:val="20"/>
              </w:rPr>
              <w:t>Posojila</w:t>
            </w:r>
          </w:p>
        </w:tc>
        <w:tc>
          <w:tcPr>
            <w:tcW w:w="1336" w:type="pct"/>
          </w:tcPr>
          <w:p w14:paraId="65839FDA" w14:textId="77777777" w:rsidR="00405923" w:rsidRPr="004000CE" w:rsidRDefault="00405923" w:rsidP="004000CE">
            <w:pPr>
              <w:spacing w:line="276" w:lineRule="auto"/>
              <w:jc w:val="both"/>
              <w:rPr>
                <w:rFonts w:eastAsia="Calibri" w:cs="Arial"/>
                <w:szCs w:val="20"/>
              </w:rPr>
            </w:pPr>
            <w:r w:rsidRPr="004000CE">
              <w:rPr>
                <w:rFonts w:eastAsia="Calibri" w:cs="Arial"/>
                <w:szCs w:val="20"/>
              </w:rPr>
              <w:t>68 mio EUR</w:t>
            </w:r>
          </w:p>
        </w:tc>
        <w:tc>
          <w:tcPr>
            <w:tcW w:w="2665" w:type="pct"/>
          </w:tcPr>
          <w:p w14:paraId="05984E1B" w14:textId="77777777" w:rsidR="00405923" w:rsidRPr="004000CE" w:rsidRDefault="00405923" w:rsidP="004000CE">
            <w:pPr>
              <w:spacing w:line="276" w:lineRule="auto"/>
              <w:jc w:val="both"/>
              <w:rPr>
                <w:rFonts w:eastAsia="Calibri" w:cs="Arial"/>
                <w:szCs w:val="20"/>
              </w:rPr>
            </w:pPr>
            <w:r w:rsidRPr="004000CE">
              <w:rPr>
                <w:rFonts w:eastAsia="Calibri" w:cs="Arial"/>
                <w:szCs w:val="20"/>
              </w:rPr>
              <w:t xml:space="preserve">Vsa podjetja </w:t>
            </w:r>
          </w:p>
          <w:p w14:paraId="3EF92877" w14:textId="77777777" w:rsidR="00405923" w:rsidRPr="004000CE" w:rsidRDefault="00405923" w:rsidP="004000CE">
            <w:pPr>
              <w:spacing w:line="276" w:lineRule="auto"/>
              <w:jc w:val="both"/>
              <w:rPr>
                <w:rFonts w:eastAsia="Calibri" w:cs="Arial"/>
                <w:szCs w:val="20"/>
              </w:rPr>
            </w:pPr>
            <w:r w:rsidRPr="004000CE">
              <w:rPr>
                <w:rFonts w:eastAsia="Calibri" w:cs="Arial"/>
                <w:szCs w:val="20"/>
              </w:rPr>
              <w:t>(45 mio EUR MSP, 23 mio EUR velika podjetja)</w:t>
            </w:r>
          </w:p>
        </w:tc>
      </w:tr>
      <w:tr w:rsidR="00405923" w:rsidRPr="004000CE" w14:paraId="066AE41F" w14:textId="77777777" w:rsidTr="00405923">
        <w:tc>
          <w:tcPr>
            <w:tcW w:w="999" w:type="pct"/>
          </w:tcPr>
          <w:p w14:paraId="40FE0C33" w14:textId="77777777" w:rsidR="00405923" w:rsidRPr="004000CE" w:rsidRDefault="00405923" w:rsidP="004000CE">
            <w:pPr>
              <w:spacing w:line="276" w:lineRule="auto"/>
              <w:jc w:val="both"/>
              <w:rPr>
                <w:rFonts w:eastAsia="Calibri" w:cs="Arial"/>
                <w:szCs w:val="20"/>
              </w:rPr>
            </w:pPr>
            <w:r w:rsidRPr="004000CE">
              <w:rPr>
                <w:rFonts w:eastAsia="Calibri" w:cs="Arial"/>
                <w:szCs w:val="20"/>
              </w:rPr>
              <w:t>Portfeljske garancije</w:t>
            </w:r>
          </w:p>
        </w:tc>
        <w:tc>
          <w:tcPr>
            <w:tcW w:w="1336" w:type="pct"/>
          </w:tcPr>
          <w:p w14:paraId="6D26E202" w14:textId="77777777" w:rsidR="00405923" w:rsidRPr="004000CE" w:rsidRDefault="00405923" w:rsidP="004000CE">
            <w:pPr>
              <w:spacing w:line="276" w:lineRule="auto"/>
              <w:jc w:val="both"/>
              <w:rPr>
                <w:rFonts w:eastAsia="Calibri" w:cs="Arial"/>
                <w:szCs w:val="20"/>
              </w:rPr>
            </w:pPr>
            <w:r w:rsidRPr="004000CE">
              <w:rPr>
                <w:rFonts w:eastAsia="Calibri" w:cs="Arial"/>
                <w:szCs w:val="20"/>
              </w:rPr>
              <w:t>20 mio EUR</w:t>
            </w:r>
          </w:p>
        </w:tc>
        <w:tc>
          <w:tcPr>
            <w:tcW w:w="2665" w:type="pct"/>
          </w:tcPr>
          <w:p w14:paraId="07B94CA2" w14:textId="77777777" w:rsidR="00405923" w:rsidRPr="004000CE" w:rsidRDefault="00405923" w:rsidP="004000CE">
            <w:pPr>
              <w:spacing w:line="276" w:lineRule="auto"/>
              <w:jc w:val="both"/>
              <w:rPr>
                <w:rFonts w:eastAsia="Calibri" w:cs="Arial"/>
                <w:szCs w:val="20"/>
              </w:rPr>
            </w:pPr>
            <w:r w:rsidRPr="004000CE">
              <w:rPr>
                <w:rFonts w:eastAsia="Calibri" w:cs="Arial"/>
                <w:szCs w:val="20"/>
              </w:rPr>
              <w:t>MSP</w:t>
            </w:r>
          </w:p>
          <w:p w14:paraId="6ABD9786" w14:textId="77777777" w:rsidR="00405923" w:rsidRPr="004000CE" w:rsidRDefault="00405923" w:rsidP="004000CE">
            <w:pPr>
              <w:spacing w:line="276" w:lineRule="auto"/>
              <w:jc w:val="both"/>
              <w:rPr>
                <w:rFonts w:eastAsia="Calibri" w:cs="Arial"/>
                <w:szCs w:val="20"/>
              </w:rPr>
            </w:pPr>
            <w:r w:rsidRPr="004000CE">
              <w:rPr>
                <w:rFonts w:eastAsia="Calibri" w:cs="Arial"/>
                <w:szCs w:val="20"/>
              </w:rPr>
              <w:t>(20 mio EUR)</w:t>
            </w:r>
          </w:p>
        </w:tc>
      </w:tr>
    </w:tbl>
    <w:p w14:paraId="4DBE3714" w14:textId="77777777" w:rsidR="00405923" w:rsidRPr="004000CE" w:rsidRDefault="00405923" w:rsidP="004000CE">
      <w:pPr>
        <w:spacing w:line="276" w:lineRule="auto"/>
        <w:jc w:val="both"/>
        <w:outlineLvl w:val="0"/>
        <w:rPr>
          <w:rFonts w:cs="Arial"/>
          <w:szCs w:val="20"/>
        </w:rPr>
      </w:pPr>
    </w:p>
    <w:p w14:paraId="1553CE7D" w14:textId="77777777" w:rsidR="00405923" w:rsidRPr="004000CE" w:rsidRDefault="00174CDF" w:rsidP="004000CE">
      <w:pPr>
        <w:spacing w:line="276" w:lineRule="auto"/>
        <w:jc w:val="both"/>
        <w:outlineLvl w:val="0"/>
        <w:rPr>
          <w:rFonts w:cs="Arial"/>
          <w:bCs/>
          <w:iCs/>
          <w:szCs w:val="20"/>
        </w:rPr>
      </w:pPr>
      <w:bookmarkStart w:id="15" w:name="_Toc51673423"/>
      <w:r w:rsidRPr="004000CE">
        <w:rPr>
          <w:rFonts w:cs="Arial"/>
          <w:bCs/>
          <w:iCs/>
          <w:szCs w:val="20"/>
        </w:rPr>
        <w:t>Na k</w:t>
      </w:r>
      <w:r w:rsidR="006975AA" w:rsidRPr="004000CE">
        <w:rPr>
          <w:rFonts w:cs="Arial"/>
          <w:bCs/>
          <w:iCs/>
          <w:szCs w:val="20"/>
        </w:rPr>
        <w:t xml:space="preserve">oncu poglavja se dodata nova </w:t>
      </w:r>
      <w:r w:rsidR="00456DE3" w:rsidRPr="004000CE">
        <w:rPr>
          <w:rFonts w:cs="Arial"/>
          <w:bCs/>
          <w:iCs/>
          <w:szCs w:val="20"/>
        </w:rPr>
        <w:t>odstavka</w:t>
      </w:r>
      <w:r w:rsidRPr="004000CE">
        <w:rPr>
          <w:rFonts w:cs="Arial"/>
          <w:bCs/>
          <w:iCs/>
          <w:szCs w:val="20"/>
        </w:rPr>
        <w:t>:</w:t>
      </w:r>
      <w:bookmarkEnd w:id="15"/>
    </w:p>
    <w:p w14:paraId="4B254B2E" w14:textId="2900A50D" w:rsidR="00074F68" w:rsidRPr="004000CE" w:rsidRDefault="00174CDF" w:rsidP="004000CE">
      <w:pPr>
        <w:spacing w:after="240" w:line="276" w:lineRule="auto"/>
        <w:jc w:val="both"/>
        <w:outlineLvl w:val="0"/>
        <w:rPr>
          <w:rFonts w:cs="Arial"/>
          <w:bCs/>
          <w:iCs/>
          <w:szCs w:val="20"/>
        </w:rPr>
      </w:pPr>
      <w:bookmarkStart w:id="16" w:name="_Toc51673424"/>
      <w:r w:rsidRPr="004000CE">
        <w:rPr>
          <w:rFonts w:cs="Arial"/>
          <w:bCs/>
          <w:iCs/>
          <w:szCs w:val="20"/>
        </w:rPr>
        <w:t>»Vlada Republike Slovenije je na 139. redni seji , 15.6.2017, s sklepom št. 30300-4/2017/4 dala soglasje h Ključnim elementom finančnih instrumentov v programskem obdobju 2014–2020 (</w:t>
      </w:r>
      <w:r w:rsidR="00FE6A2F">
        <w:rPr>
          <w:rFonts w:cs="Arial"/>
          <w:bCs/>
          <w:iCs/>
          <w:szCs w:val="20"/>
        </w:rPr>
        <w:t>različica</w:t>
      </w:r>
      <w:r w:rsidR="00155905" w:rsidRPr="004000CE">
        <w:rPr>
          <w:rFonts w:cs="Arial"/>
          <w:bCs/>
          <w:iCs/>
          <w:szCs w:val="20"/>
        </w:rPr>
        <w:t xml:space="preserve"> 1.0,</w:t>
      </w:r>
      <w:r w:rsidRPr="004000CE">
        <w:rPr>
          <w:rFonts w:cs="Arial"/>
          <w:bCs/>
          <w:iCs/>
          <w:szCs w:val="20"/>
        </w:rPr>
        <w:t xml:space="preserve"> 12.6.2017) in na 150. redni seji, 28.9.2017, s sklepom 30300-4/2017/8 sprejela še spremembo dokumenta (</w:t>
      </w:r>
      <w:r w:rsidR="00FE6A2F">
        <w:rPr>
          <w:rFonts w:cs="Arial"/>
          <w:bCs/>
          <w:iCs/>
          <w:szCs w:val="20"/>
        </w:rPr>
        <w:t>različica</w:t>
      </w:r>
      <w:r w:rsidR="00155905" w:rsidRPr="004000CE">
        <w:rPr>
          <w:rFonts w:cs="Arial"/>
          <w:bCs/>
          <w:iCs/>
          <w:szCs w:val="20"/>
        </w:rPr>
        <w:t xml:space="preserve"> 1.1, </w:t>
      </w:r>
      <w:r w:rsidR="0029428D" w:rsidRPr="004000CE">
        <w:rPr>
          <w:rFonts w:cs="Arial"/>
          <w:bCs/>
          <w:iCs/>
          <w:szCs w:val="20"/>
        </w:rPr>
        <w:t>24</w:t>
      </w:r>
      <w:r w:rsidRPr="004000CE">
        <w:rPr>
          <w:rFonts w:cs="Arial"/>
          <w:bCs/>
          <w:iCs/>
          <w:szCs w:val="20"/>
        </w:rPr>
        <w:t>.</w:t>
      </w:r>
      <w:r w:rsidR="0029428D" w:rsidRPr="004000CE">
        <w:rPr>
          <w:rFonts w:cs="Arial"/>
          <w:bCs/>
          <w:iCs/>
          <w:szCs w:val="20"/>
        </w:rPr>
        <w:t>8</w:t>
      </w:r>
      <w:r w:rsidRPr="004000CE">
        <w:rPr>
          <w:rFonts w:cs="Arial"/>
          <w:bCs/>
          <w:iCs/>
          <w:szCs w:val="20"/>
        </w:rPr>
        <w:t>.2017).</w:t>
      </w:r>
      <w:bookmarkStart w:id="17" w:name="_Toc51673425"/>
      <w:bookmarkEnd w:id="16"/>
    </w:p>
    <w:p w14:paraId="70C1FF45" w14:textId="3EA1810F" w:rsidR="00174CDF" w:rsidRPr="004000CE" w:rsidRDefault="006C4996" w:rsidP="004000CE">
      <w:pPr>
        <w:spacing w:line="276" w:lineRule="auto"/>
        <w:jc w:val="both"/>
        <w:outlineLvl w:val="0"/>
        <w:rPr>
          <w:rFonts w:cs="Arial"/>
          <w:bCs/>
          <w:iCs/>
          <w:szCs w:val="20"/>
        </w:rPr>
      </w:pPr>
      <w:r w:rsidRPr="004000CE">
        <w:rPr>
          <w:rFonts w:cs="Arial"/>
          <w:bCs/>
          <w:iCs/>
          <w:szCs w:val="20"/>
        </w:rPr>
        <w:t>Skladno s sprejetimi Ključnimi elementi FI in po izdaji Odločitve o podpori neposredni potrditvi operacije Finančni instrumenti v programskem obdobju 2014-2020, s katero je bilo za upravljanje sklada skladov potrjeno financiranje iz sredstev evropske kohezijske politike, je bil s SID banko, d.d., Ljubljana, 24.11.2017 sklenjen Sporazum o financiranju operacije Finančni instrumenti v programskem obdobju 2014-2020, s katerim ji je bilo zaupano upravljanje sklada skladov.</w:t>
      </w:r>
      <w:r w:rsidR="00174CDF" w:rsidRPr="004000CE">
        <w:rPr>
          <w:rFonts w:cs="Arial"/>
          <w:bCs/>
          <w:iCs/>
          <w:szCs w:val="20"/>
        </w:rPr>
        <w:t>«</w:t>
      </w:r>
      <w:bookmarkEnd w:id="17"/>
    </w:p>
    <w:p w14:paraId="5D6AF8EB" w14:textId="77777777" w:rsidR="00405923" w:rsidRPr="00100821" w:rsidRDefault="00405923" w:rsidP="009D0FAD">
      <w:pPr>
        <w:spacing w:line="276" w:lineRule="auto"/>
        <w:jc w:val="both"/>
        <w:outlineLvl w:val="0"/>
        <w:rPr>
          <w:rFonts w:cs="Arial"/>
          <w:szCs w:val="20"/>
        </w:rPr>
      </w:pPr>
    </w:p>
    <w:p w14:paraId="6BDC3D24" w14:textId="77777777" w:rsidR="00735F79" w:rsidRPr="002D7AEA" w:rsidRDefault="00735F79" w:rsidP="00B31792">
      <w:pPr>
        <w:pStyle w:val="Odstavekseznama"/>
        <w:numPr>
          <w:ilvl w:val="0"/>
          <w:numId w:val="10"/>
        </w:numPr>
        <w:spacing w:line="276" w:lineRule="auto"/>
        <w:jc w:val="both"/>
        <w:outlineLvl w:val="0"/>
        <w:rPr>
          <w:rFonts w:ascii="Arial" w:hAnsi="Arial" w:cs="Arial"/>
          <w:szCs w:val="20"/>
        </w:rPr>
      </w:pPr>
      <w:bookmarkStart w:id="18" w:name="_Toc51673426"/>
      <w:r w:rsidRPr="002D7AEA">
        <w:rPr>
          <w:rFonts w:ascii="Arial" w:hAnsi="Arial" w:cs="Arial"/>
          <w:b/>
          <w:szCs w:val="20"/>
        </w:rPr>
        <w:t>Poglavje</w:t>
      </w:r>
      <w:r w:rsidR="009D0FAD" w:rsidRPr="002D7AEA">
        <w:rPr>
          <w:rFonts w:ascii="Arial" w:hAnsi="Arial" w:cs="Arial"/>
          <w:szCs w:val="20"/>
        </w:rPr>
        <w:t xml:space="preserve"> </w:t>
      </w:r>
      <w:r w:rsidRPr="002D7AEA">
        <w:rPr>
          <w:rFonts w:ascii="Arial" w:hAnsi="Arial" w:cs="Arial"/>
          <w:b/>
          <w:szCs w:val="20"/>
        </w:rPr>
        <w:t>1</w:t>
      </w:r>
      <w:r w:rsidR="009D0FAD" w:rsidRPr="002D7AEA">
        <w:rPr>
          <w:rFonts w:ascii="Arial" w:hAnsi="Arial" w:cs="Arial"/>
          <w:b/>
          <w:szCs w:val="20"/>
        </w:rPr>
        <w:t xml:space="preserve">. </w:t>
      </w:r>
      <w:r w:rsidRPr="002D7AEA">
        <w:rPr>
          <w:rFonts w:ascii="Arial" w:hAnsi="Arial" w:cs="Arial"/>
          <w:b/>
          <w:szCs w:val="20"/>
        </w:rPr>
        <w:t>Uvod</w:t>
      </w:r>
      <w:bookmarkEnd w:id="18"/>
    </w:p>
    <w:p w14:paraId="7B226BE3" w14:textId="25E0EAFD" w:rsidR="009D0FAD" w:rsidRPr="004000CE" w:rsidRDefault="00735F79" w:rsidP="004000CE">
      <w:pPr>
        <w:spacing w:line="276" w:lineRule="auto"/>
        <w:jc w:val="both"/>
        <w:outlineLvl w:val="0"/>
        <w:rPr>
          <w:rFonts w:cs="Arial"/>
          <w:szCs w:val="20"/>
        </w:rPr>
      </w:pPr>
      <w:bookmarkStart w:id="19" w:name="_Toc51673427"/>
      <w:r w:rsidRPr="004000CE">
        <w:rPr>
          <w:rFonts w:cs="Arial"/>
          <w:szCs w:val="20"/>
        </w:rPr>
        <w:t xml:space="preserve">V prvem stavku zadnjega odstavka se spremeni besedilo, da </w:t>
      </w:r>
      <w:r w:rsidR="0095184E">
        <w:rPr>
          <w:rFonts w:cs="Arial"/>
          <w:szCs w:val="20"/>
        </w:rPr>
        <w:t xml:space="preserve">se </w:t>
      </w:r>
      <w:r w:rsidR="00456DE3" w:rsidRPr="004000CE">
        <w:rPr>
          <w:rFonts w:cs="Arial"/>
          <w:szCs w:val="20"/>
        </w:rPr>
        <w:t xml:space="preserve">stavek </w:t>
      </w:r>
      <w:r w:rsidRPr="004000CE">
        <w:rPr>
          <w:rFonts w:cs="Arial"/>
          <w:szCs w:val="20"/>
        </w:rPr>
        <w:t>v čistopisu glasi:</w:t>
      </w:r>
      <w:bookmarkEnd w:id="19"/>
    </w:p>
    <w:p w14:paraId="7291CD30" w14:textId="77777777" w:rsidR="00735F79" w:rsidRPr="004000CE" w:rsidRDefault="00735F79" w:rsidP="004000CE">
      <w:pPr>
        <w:spacing w:line="276" w:lineRule="auto"/>
        <w:jc w:val="both"/>
        <w:outlineLvl w:val="0"/>
        <w:rPr>
          <w:rFonts w:cs="Arial"/>
          <w:szCs w:val="20"/>
        </w:rPr>
      </w:pPr>
      <w:bookmarkStart w:id="20" w:name="_Toc51673428"/>
      <w:r w:rsidRPr="004000CE">
        <w:rPr>
          <w:rFonts w:cs="Arial"/>
          <w:szCs w:val="20"/>
        </w:rPr>
        <w:t>»Skladno s prvim odstavkom 37.a člena Uredbe o porabi sredstev evropske kohezijske politike v Republiki Sloveniji v programskem obdobju 2014–2020 za cilj naložbe za rast in delovna mesta gre pri Ključnih elementih FI za elemente, ki so opredeljeni v drugem odstavku 106.j člena Zakona o javnih financah, h katerim pa mora PO skladno s podzakonskim predpisom pridobiti soglasje Vlade RS.«</w:t>
      </w:r>
      <w:bookmarkEnd w:id="20"/>
    </w:p>
    <w:p w14:paraId="5E798FAA" w14:textId="77777777" w:rsidR="00735F79" w:rsidRPr="00285AEA" w:rsidRDefault="00735F79" w:rsidP="009D0FAD">
      <w:pPr>
        <w:spacing w:line="276" w:lineRule="auto"/>
        <w:jc w:val="both"/>
        <w:outlineLvl w:val="0"/>
        <w:rPr>
          <w:rFonts w:cs="Arial"/>
          <w:szCs w:val="20"/>
        </w:rPr>
      </w:pPr>
    </w:p>
    <w:p w14:paraId="788955E1" w14:textId="77777777" w:rsidR="00735F79" w:rsidRPr="00B75A2B" w:rsidRDefault="00735F79" w:rsidP="00B31792">
      <w:pPr>
        <w:pStyle w:val="Odstavekseznama"/>
        <w:numPr>
          <w:ilvl w:val="0"/>
          <w:numId w:val="10"/>
        </w:numPr>
        <w:spacing w:line="276" w:lineRule="auto"/>
        <w:jc w:val="both"/>
        <w:outlineLvl w:val="0"/>
        <w:rPr>
          <w:rFonts w:ascii="Arial" w:hAnsi="Arial" w:cs="Arial"/>
          <w:szCs w:val="20"/>
        </w:rPr>
      </w:pPr>
      <w:bookmarkStart w:id="21" w:name="_Toc51673429"/>
      <w:r w:rsidRPr="00B75A2B">
        <w:rPr>
          <w:rFonts w:ascii="Arial" w:hAnsi="Arial" w:cs="Arial"/>
          <w:b/>
          <w:szCs w:val="20"/>
        </w:rPr>
        <w:t>Poglavje 2. Izhodišča</w:t>
      </w:r>
      <w:bookmarkEnd w:id="21"/>
    </w:p>
    <w:p w14:paraId="13DD615A" w14:textId="7809E478" w:rsidR="00851E60" w:rsidRPr="00663C29" w:rsidRDefault="00735F79" w:rsidP="00663C29">
      <w:pPr>
        <w:spacing w:line="276" w:lineRule="auto"/>
        <w:jc w:val="both"/>
        <w:outlineLvl w:val="0"/>
        <w:rPr>
          <w:rFonts w:cs="Arial"/>
          <w:szCs w:val="20"/>
        </w:rPr>
      </w:pPr>
      <w:bookmarkStart w:id="22" w:name="_Toc51673430"/>
      <w:r w:rsidRPr="004E5BE8">
        <w:rPr>
          <w:rFonts w:cs="Arial"/>
          <w:szCs w:val="20"/>
        </w:rPr>
        <w:t xml:space="preserve">Posodobijo </w:t>
      </w:r>
      <w:r w:rsidR="00E446A3" w:rsidRPr="00E97B14">
        <w:rPr>
          <w:rFonts w:cs="Arial"/>
          <w:szCs w:val="20"/>
        </w:rPr>
        <w:t xml:space="preserve">se </w:t>
      </w:r>
      <w:r w:rsidRPr="00663C29">
        <w:rPr>
          <w:rFonts w:cs="Arial"/>
          <w:szCs w:val="20"/>
        </w:rPr>
        <w:t>pravne podlage</w:t>
      </w:r>
      <w:r w:rsidR="006975AA" w:rsidRPr="00663C29" w:rsidDel="003D186F">
        <w:rPr>
          <w:rFonts w:cs="Arial"/>
          <w:szCs w:val="20"/>
        </w:rPr>
        <w:t xml:space="preserve"> za izvajanje finančnih instrumentov</w:t>
      </w:r>
      <w:r w:rsidR="007D18E8" w:rsidRPr="00663C29">
        <w:rPr>
          <w:rFonts w:cs="Arial"/>
          <w:szCs w:val="20"/>
        </w:rPr>
        <w:t>.</w:t>
      </w:r>
      <w:r w:rsidR="00285AEA" w:rsidRPr="00663C29">
        <w:rPr>
          <w:rFonts w:cs="Arial"/>
          <w:szCs w:val="20"/>
        </w:rPr>
        <w:t xml:space="preserve"> </w:t>
      </w:r>
      <w:bookmarkEnd w:id="22"/>
    </w:p>
    <w:p w14:paraId="2EEC6741" w14:textId="77777777" w:rsidR="00747D13" w:rsidRPr="004000CE" w:rsidRDefault="00747D13" w:rsidP="004000CE">
      <w:pPr>
        <w:spacing w:line="276" w:lineRule="auto"/>
        <w:jc w:val="both"/>
        <w:outlineLvl w:val="0"/>
        <w:rPr>
          <w:rFonts w:cs="Arial"/>
          <w:szCs w:val="20"/>
        </w:rPr>
      </w:pPr>
    </w:p>
    <w:p w14:paraId="3E4203E0" w14:textId="070CAAA9" w:rsidR="00851E60" w:rsidRPr="004000CE" w:rsidRDefault="00851E60" w:rsidP="004000CE">
      <w:pPr>
        <w:spacing w:line="276" w:lineRule="auto"/>
        <w:jc w:val="both"/>
        <w:outlineLvl w:val="0"/>
        <w:rPr>
          <w:rFonts w:cs="Arial"/>
          <w:szCs w:val="20"/>
        </w:rPr>
      </w:pPr>
      <w:bookmarkStart w:id="23" w:name="_Toc51673431"/>
      <w:r w:rsidRPr="004000CE">
        <w:rPr>
          <w:rFonts w:cs="Arial"/>
          <w:szCs w:val="20"/>
        </w:rPr>
        <w:t>V podpoglavju 2.2 Tržne vrzeli na področju finančnih instrumentov se pri zadnji alineji prvega odstavka v oklepaju doda kratic</w:t>
      </w:r>
      <w:r w:rsidR="0002198B" w:rsidRPr="004000CE">
        <w:rPr>
          <w:rFonts w:cs="Arial"/>
          <w:szCs w:val="20"/>
        </w:rPr>
        <w:t>a UR, tako da</w:t>
      </w:r>
      <w:r w:rsidR="00456DE3" w:rsidRPr="004000CE">
        <w:rPr>
          <w:rFonts w:cs="Arial"/>
          <w:szCs w:val="20"/>
        </w:rPr>
        <w:t xml:space="preserve"> </w:t>
      </w:r>
      <w:r w:rsidR="0095184E">
        <w:rPr>
          <w:rFonts w:cs="Arial"/>
          <w:szCs w:val="20"/>
        </w:rPr>
        <w:t xml:space="preserve">se </w:t>
      </w:r>
      <w:r w:rsidR="00456DE3" w:rsidRPr="004000CE">
        <w:rPr>
          <w:rFonts w:cs="Arial"/>
          <w:szCs w:val="20"/>
        </w:rPr>
        <w:t xml:space="preserve">besedilo alineje </w:t>
      </w:r>
      <w:r w:rsidR="0002198B" w:rsidRPr="004000CE">
        <w:rPr>
          <w:rFonts w:cs="Arial"/>
          <w:szCs w:val="20"/>
        </w:rPr>
        <w:t>v čistopisu glasi:</w:t>
      </w:r>
      <w:bookmarkEnd w:id="23"/>
    </w:p>
    <w:p w14:paraId="059B8B5C" w14:textId="77777777" w:rsidR="00851E60" w:rsidRPr="004000CE" w:rsidRDefault="00851E60" w:rsidP="004000CE">
      <w:pPr>
        <w:spacing w:line="276" w:lineRule="auto"/>
        <w:jc w:val="both"/>
        <w:outlineLvl w:val="0"/>
        <w:rPr>
          <w:rFonts w:cs="Arial"/>
          <w:szCs w:val="20"/>
        </w:rPr>
      </w:pPr>
      <w:bookmarkStart w:id="24" w:name="_Toc51673432"/>
      <w:r w:rsidRPr="004000CE">
        <w:rPr>
          <w:rFonts w:cs="Arial"/>
          <w:szCs w:val="20"/>
        </w:rPr>
        <w:t>»-</w:t>
      </w:r>
      <w:r w:rsidRPr="004000CE">
        <w:rPr>
          <w:rFonts w:cs="Arial"/>
          <w:szCs w:val="20"/>
        </w:rPr>
        <w:tab/>
        <w:t>urbanega razvoja (UR).«</w:t>
      </w:r>
      <w:bookmarkEnd w:id="24"/>
    </w:p>
    <w:p w14:paraId="3B3DF9E0" w14:textId="77777777" w:rsidR="00851E60" w:rsidRPr="007B65FA" w:rsidRDefault="00851E60" w:rsidP="009D0FAD">
      <w:pPr>
        <w:spacing w:line="276" w:lineRule="auto"/>
        <w:jc w:val="both"/>
        <w:outlineLvl w:val="0"/>
        <w:rPr>
          <w:rFonts w:cs="Arial"/>
          <w:szCs w:val="20"/>
        </w:rPr>
      </w:pPr>
    </w:p>
    <w:p w14:paraId="53A7DBB8" w14:textId="77777777" w:rsidR="00F75EB9" w:rsidRPr="00747D13" w:rsidRDefault="00F75EB9" w:rsidP="00B31792">
      <w:pPr>
        <w:pStyle w:val="Odstavekseznama"/>
        <w:numPr>
          <w:ilvl w:val="0"/>
          <w:numId w:val="10"/>
        </w:numPr>
        <w:spacing w:line="276" w:lineRule="auto"/>
        <w:jc w:val="both"/>
        <w:outlineLvl w:val="0"/>
        <w:rPr>
          <w:rFonts w:ascii="Arial" w:hAnsi="Arial" w:cs="Arial"/>
          <w:szCs w:val="20"/>
        </w:rPr>
      </w:pPr>
      <w:bookmarkStart w:id="25" w:name="_Toc51673433"/>
      <w:r w:rsidRPr="00747D13">
        <w:rPr>
          <w:rFonts w:ascii="Arial" w:hAnsi="Arial" w:cs="Arial"/>
          <w:b/>
          <w:szCs w:val="20"/>
        </w:rPr>
        <w:t>Podpoglavje</w:t>
      </w:r>
      <w:r w:rsidRPr="00747D13">
        <w:rPr>
          <w:rFonts w:ascii="Arial" w:hAnsi="Arial" w:cs="Arial"/>
          <w:szCs w:val="20"/>
        </w:rPr>
        <w:t xml:space="preserve"> </w:t>
      </w:r>
      <w:r w:rsidRPr="00747D13">
        <w:rPr>
          <w:rFonts w:ascii="Arial" w:hAnsi="Arial" w:cs="Arial"/>
          <w:b/>
          <w:szCs w:val="20"/>
        </w:rPr>
        <w:t>3.2 Načrtovani finančni produkti in ciljne skupine</w:t>
      </w:r>
      <w:bookmarkEnd w:id="25"/>
    </w:p>
    <w:p w14:paraId="69A4F769" w14:textId="33D96182" w:rsidR="00F75EB9" w:rsidRPr="004000CE" w:rsidRDefault="00CD3162" w:rsidP="004000CE">
      <w:pPr>
        <w:spacing w:line="276" w:lineRule="auto"/>
        <w:jc w:val="both"/>
        <w:outlineLvl w:val="0"/>
        <w:rPr>
          <w:rFonts w:cs="Arial"/>
          <w:szCs w:val="20"/>
        </w:rPr>
      </w:pPr>
      <w:bookmarkStart w:id="26" w:name="_Toc51673434"/>
      <w:r w:rsidRPr="004000CE">
        <w:rPr>
          <w:rFonts w:cs="Arial"/>
          <w:szCs w:val="20"/>
        </w:rPr>
        <w:t>D</w:t>
      </w:r>
      <w:r w:rsidR="00AA6080" w:rsidRPr="004000CE">
        <w:rPr>
          <w:rFonts w:cs="Arial"/>
          <w:szCs w:val="20"/>
        </w:rPr>
        <w:t>rug</w:t>
      </w:r>
      <w:r w:rsidRPr="004000CE">
        <w:rPr>
          <w:rFonts w:cs="Arial"/>
          <w:szCs w:val="20"/>
        </w:rPr>
        <w:t>a</w:t>
      </w:r>
      <w:r w:rsidR="00AA6080" w:rsidRPr="004000CE">
        <w:rPr>
          <w:rFonts w:cs="Arial"/>
          <w:szCs w:val="20"/>
        </w:rPr>
        <w:t xml:space="preserve"> alinej</w:t>
      </w:r>
      <w:r w:rsidRPr="004000CE">
        <w:rPr>
          <w:rFonts w:cs="Arial"/>
          <w:szCs w:val="20"/>
        </w:rPr>
        <w:t>a</w:t>
      </w:r>
      <w:r w:rsidR="00AA6080" w:rsidRPr="004000CE">
        <w:rPr>
          <w:rFonts w:cs="Arial"/>
          <w:szCs w:val="20"/>
        </w:rPr>
        <w:t xml:space="preserve"> točke a) prvega odstavka se spremeni, tako da </w:t>
      </w:r>
      <w:r w:rsidR="0095184E">
        <w:rPr>
          <w:rFonts w:cs="Arial"/>
          <w:szCs w:val="20"/>
        </w:rPr>
        <w:t xml:space="preserve">se </w:t>
      </w:r>
      <w:r w:rsidR="00AA6080" w:rsidRPr="004000CE">
        <w:rPr>
          <w:rFonts w:cs="Arial"/>
          <w:szCs w:val="20"/>
        </w:rPr>
        <w:t>besedilo v čistopisu glasi:</w:t>
      </w:r>
      <w:bookmarkEnd w:id="26"/>
    </w:p>
    <w:p w14:paraId="78B4619D" w14:textId="68D1A5E2" w:rsidR="00AA6080" w:rsidRDefault="00AA6080" w:rsidP="004000CE">
      <w:pPr>
        <w:spacing w:line="276" w:lineRule="auto"/>
        <w:jc w:val="both"/>
        <w:outlineLvl w:val="0"/>
        <w:rPr>
          <w:rFonts w:cs="Arial"/>
          <w:szCs w:val="20"/>
        </w:rPr>
      </w:pPr>
      <w:bookmarkStart w:id="27" w:name="_Toc51673435"/>
      <w:r w:rsidRPr="004000CE">
        <w:rPr>
          <w:rFonts w:cs="Arial"/>
          <w:szCs w:val="20"/>
        </w:rPr>
        <w:t xml:space="preserve">»- portfeljske garancije finančnim </w:t>
      </w:r>
      <w:r w:rsidR="00681167" w:rsidRPr="004000CE">
        <w:rPr>
          <w:rFonts w:cs="Arial"/>
          <w:szCs w:val="20"/>
        </w:rPr>
        <w:t xml:space="preserve">institucijam </w:t>
      </w:r>
      <w:r w:rsidRPr="004000CE">
        <w:rPr>
          <w:rFonts w:cs="Arial"/>
          <w:szCs w:val="20"/>
        </w:rPr>
        <w:t>za financiranje</w:t>
      </w:r>
      <w:r w:rsidR="00285AEA" w:rsidRPr="004000CE">
        <w:rPr>
          <w:rFonts w:cs="Arial"/>
          <w:szCs w:val="20"/>
        </w:rPr>
        <w:t xml:space="preserve"> RRI v</w:t>
      </w:r>
      <w:r w:rsidRPr="004000CE">
        <w:rPr>
          <w:rFonts w:cs="Arial"/>
          <w:szCs w:val="20"/>
        </w:rPr>
        <w:t xml:space="preserve"> MSP.«</w:t>
      </w:r>
      <w:bookmarkEnd w:id="27"/>
    </w:p>
    <w:p w14:paraId="4DD5ABDD" w14:textId="77777777" w:rsidR="00EF27ED" w:rsidRPr="004000CE" w:rsidRDefault="00EF27ED" w:rsidP="004000CE">
      <w:pPr>
        <w:spacing w:line="276" w:lineRule="auto"/>
        <w:jc w:val="both"/>
        <w:outlineLvl w:val="0"/>
        <w:rPr>
          <w:rFonts w:cs="Arial"/>
          <w:szCs w:val="20"/>
        </w:rPr>
      </w:pPr>
    </w:p>
    <w:p w14:paraId="3B11C882" w14:textId="1C49DE84" w:rsidR="00AA6080" w:rsidRPr="004000CE" w:rsidRDefault="008449CC" w:rsidP="004000CE">
      <w:pPr>
        <w:spacing w:line="276" w:lineRule="auto"/>
        <w:jc w:val="both"/>
        <w:outlineLvl w:val="0"/>
        <w:rPr>
          <w:rFonts w:cs="Arial"/>
          <w:szCs w:val="20"/>
        </w:rPr>
      </w:pPr>
      <w:bookmarkStart w:id="28" w:name="_Toc51673436"/>
      <w:r w:rsidRPr="004000CE">
        <w:rPr>
          <w:rFonts w:cs="Arial"/>
          <w:szCs w:val="20"/>
        </w:rPr>
        <w:lastRenderedPageBreak/>
        <w:t>V Tabeli 9 se spremenijo predlagane višine sredstev in predlagane ciljne skupine za finančna produkta RRI posojila in RRI portfeljske garancije</w:t>
      </w:r>
      <w:r w:rsidR="00643D25" w:rsidRPr="004000CE">
        <w:rPr>
          <w:rFonts w:cs="Arial"/>
          <w:szCs w:val="20"/>
        </w:rPr>
        <w:t xml:space="preserve">, tako da </w:t>
      </w:r>
      <w:r w:rsidR="0095184E">
        <w:rPr>
          <w:rFonts w:cs="Arial"/>
          <w:szCs w:val="20"/>
        </w:rPr>
        <w:t xml:space="preserve">se </w:t>
      </w:r>
      <w:r w:rsidR="00643D25" w:rsidRPr="004000CE">
        <w:rPr>
          <w:rFonts w:cs="Arial"/>
          <w:szCs w:val="20"/>
        </w:rPr>
        <w:t>v čistopisu glasijo:</w:t>
      </w:r>
      <w:bookmarkEnd w:id="28"/>
    </w:p>
    <w:tbl>
      <w:tblPr>
        <w:tblStyle w:val="Tabelamrea"/>
        <w:tblW w:w="5000" w:type="pct"/>
        <w:tblLook w:val="04A0" w:firstRow="1" w:lastRow="0" w:firstColumn="1" w:lastColumn="0" w:noHBand="0" w:noVBand="1"/>
      </w:tblPr>
      <w:tblGrid>
        <w:gridCol w:w="561"/>
        <w:gridCol w:w="1150"/>
        <w:gridCol w:w="930"/>
        <w:gridCol w:w="1150"/>
        <w:gridCol w:w="1762"/>
        <w:gridCol w:w="1101"/>
        <w:gridCol w:w="917"/>
        <w:gridCol w:w="917"/>
      </w:tblGrid>
      <w:tr w:rsidR="00643D25" w:rsidRPr="004000CE" w14:paraId="5422B405" w14:textId="77777777" w:rsidTr="004000CE">
        <w:trPr>
          <w:trHeight w:val="1405"/>
        </w:trPr>
        <w:tc>
          <w:tcPr>
            <w:tcW w:w="330" w:type="pct"/>
            <w:vMerge w:val="restart"/>
          </w:tcPr>
          <w:p w14:paraId="34460276" w14:textId="77777777" w:rsidR="00643D25" w:rsidRPr="004000CE" w:rsidRDefault="00643D25" w:rsidP="004000CE">
            <w:pPr>
              <w:autoSpaceDE w:val="0"/>
              <w:autoSpaceDN w:val="0"/>
              <w:adjustRightInd w:val="0"/>
              <w:spacing w:line="276" w:lineRule="auto"/>
              <w:rPr>
                <w:rFonts w:eastAsia="Calibri" w:cs="Arial"/>
                <w:color w:val="000000"/>
                <w:szCs w:val="20"/>
              </w:rPr>
            </w:pPr>
            <w:r w:rsidRPr="004000CE">
              <w:rPr>
                <w:rFonts w:eastAsia="Calibri" w:cs="Arial"/>
                <w:color w:val="000000"/>
                <w:szCs w:val="20"/>
              </w:rPr>
              <w:t>RRI</w:t>
            </w:r>
          </w:p>
        </w:tc>
        <w:tc>
          <w:tcPr>
            <w:tcW w:w="677" w:type="pct"/>
          </w:tcPr>
          <w:p w14:paraId="7CD93D88" w14:textId="77777777" w:rsidR="00643D25" w:rsidRPr="004000CE" w:rsidRDefault="00643D25" w:rsidP="004000CE">
            <w:pPr>
              <w:autoSpaceDE w:val="0"/>
              <w:autoSpaceDN w:val="0"/>
              <w:adjustRightInd w:val="0"/>
              <w:spacing w:line="276" w:lineRule="auto"/>
              <w:rPr>
                <w:rFonts w:eastAsia="Calibri" w:cs="Arial"/>
                <w:color w:val="000000"/>
                <w:szCs w:val="20"/>
              </w:rPr>
            </w:pPr>
            <w:r w:rsidRPr="004000CE">
              <w:rPr>
                <w:rFonts w:eastAsia="Calibri" w:cs="Arial"/>
                <w:color w:val="000000"/>
                <w:szCs w:val="20"/>
              </w:rPr>
              <w:t>Posojila</w:t>
            </w:r>
          </w:p>
        </w:tc>
        <w:tc>
          <w:tcPr>
            <w:tcW w:w="576" w:type="pct"/>
          </w:tcPr>
          <w:p w14:paraId="351A945A" w14:textId="77777777" w:rsidR="00643D25" w:rsidRPr="004000CE" w:rsidRDefault="00643D25" w:rsidP="004000CE">
            <w:pPr>
              <w:autoSpaceDE w:val="0"/>
              <w:autoSpaceDN w:val="0"/>
              <w:adjustRightInd w:val="0"/>
              <w:spacing w:line="276" w:lineRule="auto"/>
              <w:rPr>
                <w:rFonts w:eastAsia="Calibri" w:cs="Arial"/>
                <w:color w:val="000000"/>
                <w:szCs w:val="20"/>
              </w:rPr>
            </w:pPr>
            <w:r w:rsidRPr="004000CE">
              <w:rPr>
                <w:rFonts w:eastAsia="Calibri" w:cs="Arial"/>
                <w:bCs/>
                <w:color w:val="000000"/>
                <w:szCs w:val="20"/>
              </w:rPr>
              <w:t xml:space="preserve">0 – 247 </w:t>
            </w:r>
          </w:p>
          <w:p w14:paraId="57BA039B" w14:textId="77777777" w:rsidR="00643D25" w:rsidRPr="004000CE" w:rsidRDefault="00643D25" w:rsidP="004000CE">
            <w:pPr>
              <w:autoSpaceDE w:val="0"/>
              <w:autoSpaceDN w:val="0"/>
              <w:adjustRightInd w:val="0"/>
              <w:spacing w:line="276" w:lineRule="auto"/>
              <w:rPr>
                <w:rFonts w:eastAsia="Calibri" w:cs="Arial"/>
                <w:color w:val="000000"/>
                <w:szCs w:val="20"/>
              </w:rPr>
            </w:pPr>
          </w:p>
        </w:tc>
        <w:tc>
          <w:tcPr>
            <w:tcW w:w="594" w:type="pct"/>
            <w:shd w:val="clear" w:color="auto" w:fill="BDD6EE" w:themeFill="accent1" w:themeFillTint="66"/>
          </w:tcPr>
          <w:p w14:paraId="16293305" w14:textId="77777777" w:rsidR="00643D25" w:rsidRPr="004000CE" w:rsidRDefault="00643D25" w:rsidP="004000CE">
            <w:pPr>
              <w:autoSpaceDE w:val="0"/>
              <w:autoSpaceDN w:val="0"/>
              <w:adjustRightInd w:val="0"/>
              <w:spacing w:line="276" w:lineRule="auto"/>
              <w:rPr>
                <w:rFonts w:eastAsia="Calibri" w:cs="Arial"/>
                <w:color w:val="000000"/>
                <w:szCs w:val="20"/>
              </w:rPr>
            </w:pPr>
            <w:r w:rsidRPr="004000CE">
              <w:rPr>
                <w:rFonts w:eastAsia="Calibri" w:cs="Arial"/>
                <w:color w:val="000000"/>
                <w:szCs w:val="20"/>
              </w:rPr>
              <w:t>Posojila</w:t>
            </w:r>
          </w:p>
        </w:tc>
        <w:tc>
          <w:tcPr>
            <w:tcW w:w="1066" w:type="pct"/>
            <w:shd w:val="clear" w:color="auto" w:fill="auto"/>
          </w:tcPr>
          <w:p w14:paraId="4596F4E6" w14:textId="77777777" w:rsidR="00643D25" w:rsidRPr="004000CE" w:rsidRDefault="00643D25" w:rsidP="004000CE">
            <w:pPr>
              <w:autoSpaceDE w:val="0"/>
              <w:autoSpaceDN w:val="0"/>
              <w:adjustRightInd w:val="0"/>
              <w:spacing w:after="240" w:line="276" w:lineRule="auto"/>
              <w:rPr>
                <w:rFonts w:eastAsia="Calibri" w:cs="Arial"/>
                <w:color w:val="000000"/>
                <w:szCs w:val="20"/>
              </w:rPr>
            </w:pPr>
            <w:r w:rsidRPr="004000CE">
              <w:rPr>
                <w:rFonts w:eastAsia="Calibri" w:cs="Arial"/>
                <w:color w:val="000000"/>
                <w:szCs w:val="20"/>
              </w:rPr>
              <w:t>20 mio EUR (start up, MSP)</w:t>
            </w:r>
          </w:p>
          <w:p w14:paraId="4B3DEA3B" w14:textId="77777777" w:rsidR="00643D25" w:rsidRPr="004000CE" w:rsidRDefault="00643D25" w:rsidP="004000CE">
            <w:pPr>
              <w:autoSpaceDE w:val="0"/>
              <w:autoSpaceDN w:val="0"/>
              <w:adjustRightInd w:val="0"/>
              <w:spacing w:line="276" w:lineRule="auto"/>
              <w:rPr>
                <w:rFonts w:eastAsia="Calibri" w:cs="Arial"/>
                <w:color w:val="000000"/>
                <w:szCs w:val="20"/>
              </w:rPr>
            </w:pPr>
            <w:r w:rsidRPr="004000CE">
              <w:rPr>
                <w:rFonts w:eastAsia="Calibri" w:cs="Arial"/>
                <w:color w:val="000000"/>
                <w:szCs w:val="20"/>
              </w:rPr>
              <w:t>10 mio EUR (VP)</w:t>
            </w:r>
          </w:p>
        </w:tc>
        <w:tc>
          <w:tcPr>
            <w:tcW w:w="676" w:type="pct"/>
            <w:shd w:val="clear" w:color="auto" w:fill="BDD6EE" w:themeFill="accent1" w:themeFillTint="66"/>
          </w:tcPr>
          <w:p w14:paraId="214FA8A3" w14:textId="77777777" w:rsidR="00643D25" w:rsidRPr="004000CE" w:rsidRDefault="00643D25" w:rsidP="004000CE">
            <w:pPr>
              <w:autoSpaceDE w:val="0"/>
              <w:autoSpaceDN w:val="0"/>
              <w:adjustRightInd w:val="0"/>
              <w:spacing w:line="276" w:lineRule="auto"/>
              <w:rPr>
                <w:rFonts w:eastAsia="Calibri" w:cs="Arial"/>
                <w:color w:val="000000"/>
                <w:szCs w:val="20"/>
              </w:rPr>
            </w:pPr>
            <w:r w:rsidRPr="004000CE">
              <w:rPr>
                <w:rFonts w:eastAsia="Calibri" w:cs="Arial"/>
                <w:color w:val="000000"/>
                <w:szCs w:val="20"/>
              </w:rPr>
              <w:t>45 mio EUR</w:t>
            </w:r>
          </w:p>
          <w:p w14:paraId="08052878" w14:textId="77777777" w:rsidR="00643D25" w:rsidRPr="004000CE" w:rsidRDefault="00643D25" w:rsidP="004000CE">
            <w:pPr>
              <w:autoSpaceDE w:val="0"/>
              <w:autoSpaceDN w:val="0"/>
              <w:adjustRightInd w:val="0"/>
              <w:spacing w:after="120" w:line="276" w:lineRule="auto"/>
              <w:rPr>
                <w:rFonts w:eastAsia="Calibri" w:cs="Arial"/>
                <w:color w:val="000000"/>
                <w:szCs w:val="20"/>
              </w:rPr>
            </w:pPr>
            <w:r w:rsidRPr="004000CE">
              <w:rPr>
                <w:rFonts w:eastAsia="Calibri" w:cs="Arial"/>
                <w:color w:val="000000"/>
                <w:szCs w:val="20"/>
              </w:rPr>
              <w:t>(MSP)</w:t>
            </w:r>
          </w:p>
          <w:p w14:paraId="48EE405C" w14:textId="77777777" w:rsidR="00643D25" w:rsidRPr="004000CE" w:rsidRDefault="00643D25" w:rsidP="004000CE">
            <w:pPr>
              <w:autoSpaceDE w:val="0"/>
              <w:autoSpaceDN w:val="0"/>
              <w:adjustRightInd w:val="0"/>
              <w:spacing w:line="276" w:lineRule="auto"/>
              <w:rPr>
                <w:rFonts w:eastAsia="Calibri" w:cs="Arial"/>
                <w:color w:val="000000"/>
                <w:szCs w:val="20"/>
              </w:rPr>
            </w:pPr>
            <w:r w:rsidRPr="004000CE">
              <w:rPr>
                <w:rFonts w:eastAsia="Calibri" w:cs="Arial"/>
                <w:color w:val="000000"/>
                <w:szCs w:val="20"/>
              </w:rPr>
              <w:t>23 mio EUR</w:t>
            </w:r>
          </w:p>
          <w:p w14:paraId="7727EF2C" w14:textId="77777777" w:rsidR="00643D25" w:rsidRPr="004000CE" w:rsidRDefault="00643D25" w:rsidP="004000CE">
            <w:pPr>
              <w:autoSpaceDE w:val="0"/>
              <w:autoSpaceDN w:val="0"/>
              <w:adjustRightInd w:val="0"/>
              <w:spacing w:line="276" w:lineRule="auto"/>
              <w:rPr>
                <w:rFonts w:eastAsia="Calibri" w:cs="Arial"/>
                <w:color w:val="000000"/>
                <w:szCs w:val="20"/>
              </w:rPr>
            </w:pPr>
            <w:r w:rsidRPr="004000CE">
              <w:rPr>
                <w:rFonts w:eastAsia="Calibri" w:cs="Arial"/>
                <w:color w:val="000000"/>
                <w:szCs w:val="20"/>
              </w:rPr>
              <w:t>(VP)</w:t>
            </w:r>
          </w:p>
        </w:tc>
        <w:tc>
          <w:tcPr>
            <w:tcW w:w="540" w:type="pct"/>
            <w:shd w:val="clear" w:color="auto" w:fill="auto"/>
          </w:tcPr>
          <w:p w14:paraId="520F5E73" w14:textId="77777777" w:rsidR="00643D25" w:rsidRPr="004000CE" w:rsidRDefault="00643D25" w:rsidP="004000CE">
            <w:pPr>
              <w:autoSpaceDE w:val="0"/>
              <w:autoSpaceDN w:val="0"/>
              <w:adjustRightInd w:val="0"/>
              <w:spacing w:after="120" w:line="276" w:lineRule="auto"/>
              <w:rPr>
                <w:rFonts w:eastAsia="Calibri" w:cs="Arial"/>
                <w:color w:val="000000"/>
                <w:szCs w:val="20"/>
              </w:rPr>
            </w:pPr>
            <w:r w:rsidRPr="004000CE">
              <w:rPr>
                <w:rFonts w:eastAsia="Calibri" w:cs="Arial"/>
                <w:color w:val="000000"/>
                <w:szCs w:val="20"/>
              </w:rPr>
              <w:t>Vsa podjetja</w:t>
            </w:r>
          </w:p>
        </w:tc>
        <w:tc>
          <w:tcPr>
            <w:tcW w:w="540" w:type="pct"/>
            <w:shd w:val="clear" w:color="auto" w:fill="BDD6EE" w:themeFill="accent1" w:themeFillTint="66"/>
          </w:tcPr>
          <w:p w14:paraId="32A7382C" w14:textId="77777777" w:rsidR="00643D25" w:rsidRPr="004000CE" w:rsidRDefault="00643D25" w:rsidP="004000CE">
            <w:pPr>
              <w:autoSpaceDE w:val="0"/>
              <w:autoSpaceDN w:val="0"/>
              <w:adjustRightInd w:val="0"/>
              <w:spacing w:after="120" w:line="276" w:lineRule="auto"/>
              <w:rPr>
                <w:rFonts w:eastAsia="Calibri" w:cs="Arial"/>
                <w:color w:val="000000"/>
                <w:szCs w:val="20"/>
              </w:rPr>
            </w:pPr>
            <w:r w:rsidRPr="004000CE">
              <w:rPr>
                <w:rFonts w:eastAsia="Calibri" w:cs="Arial"/>
                <w:color w:val="000000"/>
                <w:szCs w:val="20"/>
              </w:rPr>
              <w:t>Vsa podjetja</w:t>
            </w:r>
          </w:p>
        </w:tc>
      </w:tr>
      <w:tr w:rsidR="00643D25" w:rsidRPr="004000CE" w14:paraId="627FCAF4" w14:textId="77777777" w:rsidTr="004000CE">
        <w:trPr>
          <w:trHeight w:val="820"/>
        </w:trPr>
        <w:tc>
          <w:tcPr>
            <w:tcW w:w="330" w:type="pct"/>
            <w:vMerge/>
          </w:tcPr>
          <w:p w14:paraId="5260FAF5" w14:textId="77777777" w:rsidR="00643D25" w:rsidRPr="004000CE" w:rsidRDefault="00643D25" w:rsidP="004000CE">
            <w:pPr>
              <w:autoSpaceDE w:val="0"/>
              <w:autoSpaceDN w:val="0"/>
              <w:adjustRightInd w:val="0"/>
              <w:spacing w:line="276" w:lineRule="auto"/>
              <w:rPr>
                <w:rFonts w:eastAsia="Calibri" w:cs="Arial"/>
                <w:color w:val="000000"/>
                <w:szCs w:val="20"/>
              </w:rPr>
            </w:pPr>
          </w:p>
        </w:tc>
        <w:tc>
          <w:tcPr>
            <w:tcW w:w="677" w:type="pct"/>
          </w:tcPr>
          <w:p w14:paraId="6D886C5B" w14:textId="77777777" w:rsidR="00643D25" w:rsidRPr="004000CE" w:rsidRDefault="00643D25" w:rsidP="004000CE">
            <w:pPr>
              <w:autoSpaceDE w:val="0"/>
              <w:autoSpaceDN w:val="0"/>
              <w:adjustRightInd w:val="0"/>
              <w:spacing w:line="276" w:lineRule="auto"/>
              <w:rPr>
                <w:rFonts w:eastAsia="Calibri" w:cs="Arial"/>
                <w:color w:val="000000"/>
                <w:szCs w:val="20"/>
              </w:rPr>
            </w:pPr>
            <w:r w:rsidRPr="004000CE">
              <w:rPr>
                <w:rFonts w:eastAsia="Calibri" w:cs="Arial"/>
                <w:color w:val="000000"/>
                <w:szCs w:val="20"/>
              </w:rPr>
              <w:t>Portfeljske garancije</w:t>
            </w:r>
          </w:p>
        </w:tc>
        <w:tc>
          <w:tcPr>
            <w:tcW w:w="576" w:type="pct"/>
          </w:tcPr>
          <w:p w14:paraId="25B1D9B8" w14:textId="77777777" w:rsidR="00643D25" w:rsidRPr="004000CE" w:rsidRDefault="00643D25" w:rsidP="004000CE">
            <w:pPr>
              <w:autoSpaceDE w:val="0"/>
              <w:autoSpaceDN w:val="0"/>
              <w:adjustRightInd w:val="0"/>
              <w:spacing w:line="276" w:lineRule="auto"/>
              <w:rPr>
                <w:rFonts w:eastAsia="Calibri" w:cs="Arial"/>
                <w:bCs/>
                <w:color w:val="000000"/>
                <w:szCs w:val="20"/>
              </w:rPr>
            </w:pPr>
          </w:p>
        </w:tc>
        <w:tc>
          <w:tcPr>
            <w:tcW w:w="594" w:type="pct"/>
            <w:shd w:val="clear" w:color="auto" w:fill="BDD6EE" w:themeFill="accent1" w:themeFillTint="66"/>
          </w:tcPr>
          <w:p w14:paraId="32FA28A8" w14:textId="77777777" w:rsidR="00643D25" w:rsidRPr="004000CE" w:rsidRDefault="00643D25" w:rsidP="004000CE">
            <w:pPr>
              <w:autoSpaceDE w:val="0"/>
              <w:autoSpaceDN w:val="0"/>
              <w:adjustRightInd w:val="0"/>
              <w:spacing w:line="276" w:lineRule="auto"/>
              <w:rPr>
                <w:rFonts w:eastAsia="Calibri" w:cs="Arial"/>
                <w:color w:val="000000"/>
                <w:szCs w:val="20"/>
              </w:rPr>
            </w:pPr>
            <w:r w:rsidRPr="004000CE">
              <w:rPr>
                <w:rFonts w:eastAsia="Calibri" w:cs="Arial"/>
                <w:color w:val="000000"/>
                <w:szCs w:val="20"/>
              </w:rPr>
              <w:t>Portfeljske garancije</w:t>
            </w:r>
          </w:p>
        </w:tc>
        <w:tc>
          <w:tcPr>
            <w:tcW w:w="1066" w:type="pct"/>
            <w:shd w:val="clear" w:color="auto" w:fill="auto"/>
          </w:tcPr>
          <w:p w14:paraId="41F69371" w14:textId="77777777" w:rsidR="00643D25" w:rsidRPr="004000CE" w:rsidRDefault="00643D25" w:rsidP="004000CE">
            <w:pPr>
              <w:autoSpaceDE w:val="0"/>
              <w:autoSpaceDN w:val="0"/>
              <w:adjustRightInd w:val="0"/>
              <w:spacing w:line="276" w:lineRule="auto"/>
              <w:rPr>
                <w:rFonts w:eastAsia="Calibri" w:cs="Arial"/>
                <w:color w:val="000000"/>
                <w:szCs w:val="20"/>
              </w:rPr>
            </w:pPr>
            <w:r w:rsidRPr="004000CE">
              <w:rPr>
                <w:rFonts w:eastAsia="Calibri" w:cs="Arial"/>
                <w:color w:val="000000"/>
                <w:szCs w:val="20"/>
              </w:rPr>
              <w:t>58 mio EUR (MSP)</w:t>
            </w:r>
          </w:p>
          <w:p w14:paraId="2B832ACC" w14:textId="77777777" w:rsidR="00643D25" w:rsidRPr="004000CE" w:rsidRDefault="00643D25" w:rsidP="004000CE">
            <w:pPr>
              <w:autoSpaceDE w:val="0"/>
              <w:autoSpaceDN w:val="0"/>
              <w:adjustRightInd w:val="0"/>
              <w:spacing w:line="276" w:lineRule="auto"/>
              <w:rPr>
                <w:rFonts w:eastAsia="Calibri" w:cs="Arial"/>
                <w:color w:val="000000"/>
                <w:szCs w:val="20"/>
              </w:rPr>
            </w:pPr>
          </w:p>
          <w:p w14:paraId="620D984B" w14:textId="77777777" w:rsidR="00643D25" w:rsidRPr="004000CE" w:rsidRDefault="00643D25" w:rsidP="004000CE">
            <w:pPr>
              <w:autoSpaceDE w:val="0"/>
              <w:autoSpaceDN w:val="0"/>
              <w:adjustRightInd w:val="0"/>
              <w:spacing w:line="276" w:lineRule="auto"/>
              <w:rPr>
                <w:rFonts w:eastAsia="Calibri" w:cs="Arial"/>
                <w:color w:val="000000"/>
                <w:szCs w:val="20"/>
              </w:rPr>
            </w:pPr>
            <w:r w:rsidRPr="004000CE">
              <w:rPr>
                <w:rFonts w:eastAsia="Calibri" w:cs="Arial"/>
                <w:color w:val="000000"/>
                <w:szCs w:val="20"/>
              </w:rPr>
              <w:t>30 mio EUR (VP)</w:t>
            </w:r>
          </w:p>
        </w:tc>
        <w:tc>
          <w:tcPr>
            <w:tcW w:w="676" w:type="pct"/>
            <w:shd w:val="clear" w:color="auto" w:fill="BDD6EE" w:themeFill="accent1" w:themeFillTint="66"/>
          </w:tcPr>
          <w:p w14:paraId="3E985A53" w14:textId="77777777" w:rsidR="00643D25" w:rsidRPr="004000CE" w:rsidRDefault="00643D25" w:rsidP="004000CE">
            <w:pPr>
              <w:autoSpaceDE w:val="0"/>
              <w:autoSpaceDN w:val="0"/>
              <w:adjustRightInd w:val="0"/>
              <w:spacing w:line="276" w:lineRule="auto"/>
              <w:rPr>
                <w:rFonts w:eastAsia="Calibri" w:cs="Arial"/>
                <w:color w:val="000000"/>
                <w:szCs w:val="20"/>
              </w:rPr>
            </w:pPr>
            <w:r w:rsidRPr="004000CE">
              <w:rPr>
                <w:rFonts w:eastAsia="Calibri" w:cs="Arial"/>
                <w:color w:val="000000"/>
                <w:szCs w:val="20"/>
              </w:rPr>
              <w:t>20 mio EUR</w:t>
            </w:r>
          </w:p>
          <w:p w14:paraId="75CDFD43" w14:textId="77777777" w:rsidR="00643D25" w:rsidRPr="004000CE" w:rsidRDefault="00643D25" w:rsidP="004000CE">
            <w:pPr>
              <w:autoSpaceDE w:val="0"/>
              <w:autoSpaceDN w:val="0"/>
              <w:adjustRightInd w:val="0"/>
              <w:spacing w:after="120" w:line="276" w:lineRule="auto"/>
              <w:rPr>
                <w:rFonts w:eastAsia="Calibri" w:cs="Arial"/>
                <w:color w:val="000000"/>
                <w:szCs w:val="20"/>
              </w:rPr>
            </w:pPr>
            <w:r w:rsidRPr="004000CE">
              <w:rPr>
                <w:rFonts w:eastAsia="Calibri" w:cs="Arial"/>
                <w:color w:val="000000"/>
                <w:szCs w:val="20"/>
              </w:rPr>
              <w:t>(MSP)</w:t>
            </w:r>
            <w:r w:rsidRPr="004000CE" w:rsidDel="00FE62E8">
              <w:rPr>
                <w:rFonts w:eastAsia="Calibri" w:cs="Arial"/>
                <w:color w:val="000000"/>
                <w:szCs w:val="20"/>
              </w:rPr>
              <w:t xml:space="preserve"> </w:t>
            </w:r>
          </w:p>
        </w:tc>
        <w:tc>
          <w:tcPr>
            <w:tcW w:w="540" w:type="pct"/>
            <w:shd w:val="clear" w:color="auto" w:fill="auto"/>
          </w:tcPr>
          <w:p w14:paraId="7A79EEBE" w14:textId="77777777" w:rsidR="00643D25" w:rsidRPr="004000CE" w:rsidRDefault="00643D25" w:rsidP="004000CE">
            <w:pPr>
              <w:autoSpaceDE w:val="0"/>
              <w:autoSpaceDN w:val="0"/>
              <w:adjustRightInd w:val="0"/>
              <w:spacing w:after="120" w:line="276" w:lineRule="auto"/>
              <w:rPr>
                <w:rFonts w:eastAsia="Calibri" w:cs="Arial"/>
                <w:color w:val="000000"/>
                <w:szCs w:val="20"/>
              </w:rPr>
            </w:pPr>
            <w:r w:rsidRPr="004000CE">
              <w:rPr>
                <w:rFonts w:eastAsia="Calibri" w:cs="Arial"/>
                <w:color w:val="000000"/>
                <w:szCs w:val="20"/>
              </w:rPr>
              <w:t>Vsa podjetja</w:t>
            </w:r>
          </w:p>
        </w:tc>
        <w:tc>
          <w:tcPr>
            <w:tcW w:w="540" w:type="pct"/>
            <w:shd w:val="clear" w:color="auto" w:fill="BDD6EE" w:themeFill="accent1" w:themeFillTint="66"/>
          </w:tcPr>
          <w:p w14:paraId="32C8F585" w14:textId="77777777" w:rsidR="00643D25" w:rsidRPr="004000CE" w:rsidRDefault="00643D25" w:rsidP="004000CE">
            <w:pPr>
              <w:autoSpaceDE w:val="0"/>
              <w:autoSpaceDN w:val="0"/>
              <w:adjustRightInd w:val="0"/>
              <w:spacing w:after="120" w:line="276" w:lineRule="auto"/>
              <w:rPr>
                <w:rFonts w:eastAsia="Calibri" w:cs="Arial"/>
                <w:color w:val="000000"/>
                <w:szCs w:val="20"/>
              </w:rPr>
            </w:pPr>
            <w:r w:rsidRPr="004000CE">
              <w:rPr>
                <w:rFonts w:eastAsia="Calibri" w:cs="Arial"/>
                <w:color w:val="000000"/>
                <w:szCs w:val="20"/>
              </w:rPr>
              <w:t>MSP</w:t>
            </w:r>
          </w:p>
        </w:tc>
      </w:tr>
    </w:tbl>
    <w:p w14:paraId="5B99D219" w14:textId="77777777" w:rsidR="00643D25" w:rsidRPr="00100821" w:rsidRDefault="00643D25" w:rsidP="008449CC">
      <w:pPr>
        <w:spacing w:line="276" w:lineRule="auto"/>
        <w:jc w:val="both"/>
        <w:outlineLvl w:val="0"/>
        <w:rPr>
          <w:rFonts w:cs="Arial"/>
          <w:szCs w:val="20"/>
        </w:rPr>
      </w:pPr>
    </w:p>
    <w:p w14:paraId="371DF2A8" w14:textId="77777777" w:rsidR="00B30DC4" w:rsidRPr="00343CE2" w:rsidRDefault="00B30DC4" w:rsidP="00B31792">
      <w:pPr>
        <w:pStyle w:val="Odstavekseznama"/>
        <w:numPr>
          <w:ilvl w:val="0"/>
          <w:numId w:val="10"/>
        </w:numPr>
        <w:spacing w:line="276" w:lineRule="auto"/>
        <w:jc w:val="both"/>
        <w:outlineLvl w:val="0"/>
        <w:rPr>
          <w:rFonts w:ascii="Arial" w:hAnsi="Arial" w:cs="Arial"/>
          <w:szCs w:val="20"/>
        </w:rPr>
      </w:pPr>
      <w:bookmarkStart w:id="29" w:name="_Toc51673437"/>
      <w:r w:rsidRPr="00343CE2">
        <w:rPr>
          <w:rFonts w:ascii="Arial" w:hAnsi="Arial" w:cs="Arial"/>
          <w:b/>
          <w:szCs w:val="20"/>
        </w:rPr>
        <w:t xml:space="preserve">Podpoglavje </w:t>
      </w:r>
      <w:r w:rsidR="003B46F3" w:rsidRPr="00343CE2">
        <w:rPr>
          <w:rFonts w:ascii="Arial" w:hAnsi="Arial" w:cs="Arial"/>
          <w:b/>
          <w:szCs w:val="20"/>
        </w:rPr>
        <w:t>3.2</w:t>
      </w:r>
      <w:r w:rsidRPr="00343CE2">
        <w:rPr>
          <w:rFonts w:ascii="Arial" w:hAnsi="Arial" w:cs="Arial"/>
          <w:b/>
          <w:szCs w:val="20"/>
        </w:rPr>
        <w:t>.1. Finančni instrumenti za RRI</w:t>
      </w:r>
      <w:bookmarkEnd w:id="29"/>
    </w:p>
    <w:p w14:paraId="12F2EE40" w14:textId="6C03B3C6" w:rsidR="00643D25" w:rsidRPr="00861D11" w:rsidRDefault="00B30DC4" w:rsidP="008449CC">
      <w:pPr>
        <w:spacing w:line="276" w:lineRule="auto"/>
        <w:jc w:val="both"/>
        <w:outlineLvl w:val="0"/>
        <w:rPr>
          <w:rFonts w:cs="Arial"/>
          <w:szCs w:val="20"/>
        </w:rPr>
      </w:pPr>
      <w:bookmarkStart w:id="30" w:name="_Toc51673438"/>
      <w:r w:rsidRPr="00100821">
        <w:rPr>
          <w:rFonts w:cs="Arial"/>
          <w:szCs w:val="20"/>
        </w:rPr>
        <w:t xml:space="preserve">V naslovu podpoglavja </w:t>
      </w:r>
      <w:r w:rsidR="00577C40" w:rsidRPr="00100821">
        <w:rPr>
          <w:rFonts w:cs="Arial"/>
          <w:szCs w:val="20"/>
        </w:rPr>
        <w:t>3.2</w:t>
      </w:r>
      <w:r w:rsidR="003B46F3" w:rsidRPr="00861D11">
        <w:rPr>
          <w:rFonts w:cs="Arial"/>
          <w:szCs w:val="20"/>
        </w:rPr>
        <w:t xml:space="preserve">.1.1 </w:t>
      </w:r>
      <w:r w:rsidRPr="00861D11">
        <w:rPr>
          <w:rFonts w:cs="Arial"/>
          <w:szCs w:val="20"/>
        </w:rPr>
        <w:t xml:space="preserve">se dodata besedi »za RRI«, tako da </w:t>
      </w:r>
      <w:r w:rsidR="0095184E">
        <w:rPr>
          <w:rFonts w:cs="Arial"/>
          <w:szCs w:val="20"/>
        </w:rPr>
        <w:t xml:space="preserve">se </w:t>
      </w:r>
      <w:r w:rsidRPr="00861D11">
        <w:rPr>
          <w:rFonts w:cs="Arial"/>
          <w:szCs w:val="20"/>
        </w:rPr>
        <w:t>naslov v čistopisu glasi:</w:t>
      </w:r>
      <w:bookmarkEnd w:id="30"/>
    </w:p>
    <w:p w14:paraId="0CAAD137" w14:textId="77777777" w:rsidR="00B30DC4" w:rsidRPr="00861D11" w:rsidRDefault="00B30DC4" w:rsidP="008449CC">
      <w:pPr>
        <w:spacing w:line="276" w:lineRule="auto"/>
        <w:jc w:val="both"/>
        <w:outlineLvl w:val="0"/>
        <w:rPr>
          <w:rFonts w:cs="Arial"/>
          <w:szCs w:val="20"/>
        </w:rPr>
      </w:pPr>
      <w:bookmarkStart w:id="31" w:name="_Toc51673439"/>
      <w:r w:rsidRPr="00861D11">
        <w:rPr>
          <w:rFonts w:cs="Arial"/>
          <w:szCs w:val="20"/>
        </w:rPr>
        <w:t>»</w:t>
      </w:r>
      <w:r w:rsidR="003B46F3" w:rsidRPr="00861D11">
        <w:rPr>
          <w:rFonts w:cs="Arial"/>
          <w:szCs w:val="20"/>
        </w:rPr>
        <w:t>3.2</w:t>
      </w:r>
      <w:r w:rsidRPr="00861D11">
        <w:rPr>
          <w:rFonts w:cs="Arial"/>
          <w:szCs w:val="20"/>
        </w:rPr>
        <w:t>.1.1 Posojila za RRI za MSP in velika podjetja«</w:t>
      </w:r>
      <w:bookmarkEnd w:id="31"/>
    </w:p>
    <w:p w14:paraId="1028D4CB" w14:textId="77777777" w:rsidR="00B30DC4" w:rsidRPr="00D4259F" w:rsidRDefault="00B30DC4" w:rsidP="008449CC">
      <w:pPr>
        <w:spacing w:line="276" w:lineRule="auto"/>
        <w:jc w:val="both"/>
        <w:outlineLvl w:val="0"/>
        <w:rPr>
          <w:rFonts w:cs="Arial"/>
          <w:szCs w:val="20"/>
        </w:rPr>
      </w:pPr>
    </w:p>
    <w:p w14:paraId="097830DD" w14:textId="3B378A63" w:rsidR="00735F79" w:rsidRPr="008E460F" w:rsidRDefault="00577C40" w:rsidP="009D0FAD">
      <w:pPr>
        <w:spacing w:line="276" w:lineRule="auto"/>
        <w:jc w:val="both"/>
        <w:outlineLvl w:val="0"/>
        <w:rPr>
          <w:rFonts w:cs="Arial"/>
          <w:szCs w:val="20"/>
        </w:rPr>
      </w:pPr>
      <w:bookmarkStart w:id="32" w:name="_Toc51673440"/>
      <w:r w:rsidRPr="00D4259F">
        <w:rPr>
          <w:rFonts w:cs="Arial"/>
          <w:szCs w:val="20"/>
        </w:rPr>
        <w:t>Drugi odstavek podpoglavja 3.2</w:t>
      </w:r>
      <w:r w:rsidR="00043E74" w:rsidRPr="00D4259F">
        <w:rPr>
          <w:rFonts w:cs="Arial"/>
          <w:szCs w:val="20"/>
        </w:rPr>
        <w:t xml:space="preserve">.1.1 Posojila za RRI za MSP in velika podjetja se spremeni, tako da </w:t>
      </w:r>
      <w:r w:rsidR="0095184E">
        <w:rPr>
          <w:rFonts w:cs="Arial"/>
          <w:szCs w:val="20"/>
        </w:rPr>
        <w:t xml:space="preserve">se </w:t>
      </w:r>
      <w:r w:rsidR="00043E74" w:rsidRPr="00D4259F">
        <w:rPr>
          <w:rFonts w:cs="Arial"/>
          <w:szCs w:val="20"/>
        </w:rPr>
        <w:t>v čistopisu glasi:</w:t>
      </w:r>
      <w:bookmarkEnd w:id="32"/>
    </w:p>
    <w:p w14:paraId="62F73BD7" w14:textId="77777777" w:rsidR="00043E74" w:rsidRPr="007B65FA" w:rsidRDefault="00043E74" w:rsidP="00043E74">
      <w:pPr>
        <w:spacing w:line="276" w:lineRule="auto"/>
        <w:jc w:val="both"/>
        <w:outlineLvl w:val="0"/>
        <w:rPr>
          <w:rFonts w:cs="Arial"/>
          <w:szCs w:val="20"/>
        </w:rPr>
      </w:pPr>
      <w:bookmarkStart w:id="33" w:name="_Toc51673441"/>
      <w:r w:rsidRPr="007B65FA">
        <w:rPr>
          <w:rFonts w:cs="Arial"/>
          <w:szCs w:val="20"/>
        </w:rPr>
        <w:t>»Za posojila je namenjenih 68 mio EUR, ki izhajajo iz TC 1:</w:t>
      </w:r>
      <w:bookmarkEnd w:id="33"/>
      <w:r w:rsidRPr="007B65FA">
        <w:rPr>
          <w:rFonts w:cs="Arial"/>
          <w:szCs w:val="20"/>
        </w:rPr>
        <w:t xml:space="preserve"> </w:t>
      </w:r>
    </w:p>
    <w:p w14:paraId="41BF91BB" w14:textId="77777777" w:rsidR="00043E74" w:rsidRPr="00285AEA" w:rsidRDefault="00043E74" w:rsidP="00043E74">
      <w:pPr>
        <w:spacing w:line="276" w:lineRule="auto"/>
        <w:ind w:firstLine="708"/>
        <w:jc w:val="both"/>
        <w:outlineLvl w:val="0"/>
        <w:rPr>
          <w:rFonts w:cs="Arial"/>
          <w:szCs w:val="20"/>
        </w:rPr>
      </w:pPr>
      <w:bookmarkStart w:id="34" w:name="_Toc51673442"/>
      <w:r w:rsidRPr="00285AEA">
        <w:rPr>
          <w:rFonts w:cs="Arial"/>
          <w:szCs w:val="20"/>
        </w:rPr>
        <w:t>- 23 mio EUR za velika podjetja;</w:t>
      </w:r>
      <w:bookmarkEnd w:id="34"/>
      <w:r w:rsidRPr="00285AEA">
        <w:rPr>
          <w:rFonts w:cs="Arial"/>
          <w:szCs w:val="20"/>
        </w:rPr>
        <w:t xml:space="preserve"> </w:t>
      </w:r>
    </w:p>
    <w:p w14:paraId="6D46789D" w14:textId="77777777" w:rsidR="00043E74" w:rsidRPr="00285AEA" w:rsidRDefault="00043E74" w:rsidP="00043E74">
      <w:pPr>
        <w:spacing w:line="276" w:lineRule="auto"/>
        <w:ind w:firstLine="708"/>
        <w:jc w:val="both"/>
        <w:outlineLvl w:val="0"/>
        <w:rPr>
          <w:rFonts w:cs="Arial"/>
          <w:szCs w:val="20"/>
        </w:rPr>
      </w:pPr>
      <w:bookmarkStart w:id="35" w:name="_Toc51673443"/>
      <w:r w:rsidRPr="00285AEA">
        <w:rPr>
          <w:rFonts w:cs="Arial"/>
          <w:szCs w:val="20"/>
        </w:rPr>
        <w:t>- 45 mio EUR za MSP.«</w:t>
      </w:r>
      <w:bookmarkEnd w:id="35"/>
    </w:p>
    <w:p w14:paraId="438E1C64" w14:textId="77777777" w:rsidR="000344B2" w:rsidRPr="007D18E8" w:rsidRDefault="000344B2" w:rsidP="009D0FAD">
      <w:pPr>
        <w:spacing w:line="276" w:lineRule="auto"/>
        <w:jc w:val="both"/>
        <w:outlineLvl w:val="0"/>
        <w:rPr>
          <w:rFonts w:cs="Arial"/>
          <w:szCs w:val="20"/>
        </w:rPr>
      </w:pPr>
    </w:p>
    <w:p w14:paraId="3DE3FDD2" w14:textId="77777777" w:rsidR="00043E74" w:rsidRPr="00100821" w:rsidRDefault="000344B2" w:rsidP="009D0FAD">
      <w:pPr>
        <w:spacing w:line="276" w:lineRule="auto"/>
        <w:jc w:val="both"/>
        <w:outlineLvl w:val="0"/>
        <w:rPr>
          <w:rFonts w:cs="Arial"/>
          <w:szCs w:val="20"/>
        </w:rPr>
      </w:pPr>
      <w:bookmarkStart w:id="36" w:name="_Toc51673444"/>
      <w:r w:rsidRPr="00100821">
        <w:rPr>
          <w:rFonts w:cs="Arial"/>
          <w:szCs w:val="20"/>
        </w:rPr>
        <w:t>Četrti odstavek</w:t>
      </w:r>
      <w:r w:rsidRPr="007322CF">
        <w:rPr>
          <w:rFonts w:cs="Arial"/>
        </w:rPr>
        <w:t xml:space="preserve"> </w:t>
      </w:r>
      <w:r w:rsidRPr="00100821">
        <w:rPr>
          <w:rFonts w:cs="Arial"/>
          <w:szCs w:val="20"/>
        </w:rPr>
        <w:t>podpoglavja 3.2.1.1 Posojila za RRI za MSP in velika podjetja se spremeni, tako da</w:t>
      </w:r>
      <w:r w:rsidR="001A4781" w:rsidRPr="00100821">
        <w:rPr>
          <w:rFonts w:cs="Arial"/>
          <w:szCs w:val="20"/>
        </w:rPr>
        <w:t xml:space="preserve"> se</w:t>
      </w:r>
      <w:r w:rsidRPr="00100821">
        <w:rPr>
          <w:rFonts w:cs="Arial"/>
          <w:szCs w:val="20"/>
        </w:rPr>
        <w:t xml:space="preserve"> v čistopisu glasi:</w:t>
      </w:r>
      <w:bookmarkEnd w:id="36"/>
    </w:p>
    <w:p w14:paraId="6E8D44CB" w14:textId="3739BD45" w:rsidR="000344B2" w:rsidRPr="00100821" w:rsidRDefault="00C209E6" w:rsidP="003B46F3">
      <w:pPr>
        <w:spacing w:line="276" w:lineRule="auto"/>
        <w:jc w:val="both"/>
        <w:outlineLvl w:val="0"/>
        <w:rPr>
          <w:rFonts w:cs="Arial"/>
          <w:szCs w:val="20"/>
        </w:rPr>
      </w:pPr>
      <w:bookmarkStart w:id="37" w:name="_Toc51673445"/>
      <w:r w:rsidRPr="00100821">
        <w:rPr>
          <w:rFonts w:cs="Arial"/>
          <w:szCs w:val="20"/>
        </w:rPr>
        <w:t>»</w:t>
      </w:r>
      <w:r w:rsidR="000344B2" w:rsidRPr="00100821">
        <w:rPr>
          <w:rFonts w:cs="Arial"/>
          <w:szCs w:val="20"/>
        </w:rPr>
        <w:t>Posojila lahko pokrivajo investicije (opredmetene in neopredmetene).</w:t>
      </w:r>
      <w:r w:rsidRPr="00100821">
        <w:rPr>
          <w:rFonts w:cs="Arial"/>
          <w:szCs w:val="20"/>
        </w:rPr>
        <w:t>«</w:t>
      </w:r>
      <w:bookmarkEnd w:id="37"/>
    </w:p>
    <w:p w14:paraId="3C9501FA" w14:textId="77777777" w:rsidR="000344B2" w:rsidRPr="00100821" w:rsidRDefault="000344B2" w:rsidP="003B46F3">
      <w:pPr>
        <w:spacing w:line="276" w:lineRule="auto"/>
        <w:jc w:val="both"/>
        <w:outlineLvl w:val="0"/>
        <w:rPr>
          <w:rFonts w:cs="Arial"/>
          <w:szCs w:val="20"/>
        </w:rPr>
      </w:pPr>
    </w:p>
    <w:p w14:paraId="3B79B2C1" w14:textId="56804917" w:rsidR="003B46F3" w:rsidRPr="00100821" w:rsidRDefault="003B46F3" w:rsidP="003B46F3">
      <w:pPr>
        <w:spacing w:line="276" w:lineRule="auto"/>
        <w:jc w:val="both"/>
        <w:outlineLvl w:val="0"/>
        <w:rPr>
          <w:rFonts w:cs="Arial"/>
          <w:szCs w:val="20"/>
        </w:rPr>
      </w:pPr>
      <w:bookmarkStart w:id="38" w:name="_Toc51673446"/>
      <w:r w:rsidRPr="00100821">
        <w:rPr>
          <w:rFonts w:cs="Arial"/>
          <w:szCs w:val="20"/>
        </w:rPr>
        <w:t>V naslovu podpoglavja 3.2.</w:t>
      </w:r>
      <w:r w:rsidR="006406F8" w:rsidRPr="00100821">
        <w:rPr>
          <w:rFonts w:cs="Arial"/>
          <w:szCs w:val="20"/>
        </w:rPr>
        <w:t>2</w:t>
      </w:r>
      <w:r w:rsidRPr="00100821">
        <w:rPr>
          <w:rFonts w:cs="Arial"/>
          <w:szCs w:val="20"/>
        </w:rPr>
        <w:t xml:space="preserve">.2 se </w:t>
      </w:r>
      <w:r w:rsidR="00601373">
        <w:rPr>
          <w:rFonts w:cs="Arial"/>
          <w:szCs w:val="20"/>
        </w:rPr>
        <w:t xml:space="preserve">za besedo </w:t>
      </w:r>
      <w:r w:rsidR="00A74AC6">
        <w:rPr>
          <w:rFonts w:cs="Arial"/>
          <w:szCs w:val="20"/>
        </w:rPr>
        <w:t>»</w:t>
      </w:r>
      <w:r w:rsidR="00372B91">
        <w:rPr>
          <w:rFonts w:cs="Arial"/>
          <w:szCs w:val="20"/>
        </w:rPr>
        <w:t>podporo</w:t>
      </w:r>
      <w:r w:rsidR="00A74AC6">
        <w:rPr>
          <w:rFonts w:cs="Arial"/>
          <w:szCs w:val="20"/>
        </w:rPr>
        <w:t>«</w:t>
      </w:r>
      <w:r w:rsidR="00601373">
        <w:rPr>
          <w:rFonts w:cs="Arial"/>
          <w:szCs w:val="20"/>
        </w:rPr>
        <w:t xml:space="preserve"> doda »RRI</w:t>
      </w:r>
      <w:r w:rsidR="00372B91">
        <w:rPr>
          <w:rFonts w:cs="Arial"/>
          <w:szCs w:val="20"/>
        </w:rPr>
        <w:t xml:space="preserve"> v</w:t>
      </w:r>
      <w:r w:rsidR="00601373">
        <w:rPr>
          <w:rFonts w:cs="Arial"/>
          <w:szCs w:val="20"/>
        </w:rPr>
        <w:t>«</w:t>
      </w:r>
      <w:r w:rsidR="00A74AC6">
        <w:rPr>
          <w:rFonts w:cs="Arial"/>
          <w:szCs w:val="20"/>
        </w:rPr>
        <w:t>,</w:t>
      </w:r>
      <w:r w:rsidR="00601373">
        <w:rPr>
          <w:rFonts w:cs="Arial"/>
          <w:szCs w:val="20"/>
        </w:rPr>
        <w:t xml:space="preserve"> </w:t>
      </w:r>
      <w:r w:rsidRPr="00100821">
        <w:rPr>
          <w:rFonts w:cs="Arial"/>
          <w:szCs w:val="20"/>
        </w:rPr>
        <w:t>briše besedna zveza »in velikih podjetij«</w:t>
      </w:r>
      <w:r w:rsidR="006406F8" w:rsidRPr="00100821">
        <w:rPr>
          <w:rFonts w:cs="Arial"/>
          <w:szCs w:val="20"/>
        </w:rPr>
        <w:t xml:space="preserve"> in popravi številka podpoglavja,</w:t>
      </w:r>
      <w:r w:rsidRPr="00100821">
        <w:rPr>
          <w:rFonts w:cs="Arial"/>
          <w:szCs w:val="20"/>
        </w:rPr>
        <w:t xml:space="preserve"> tako da</w:t>
      </w:r>
      <w:r w:rsidR="00601373">
        <w:rPr>
          <w:rFonts w:cs="Arial"/>
          <w:szCs w:val="20"/>
        </w:rPr>
        <w:t xml:space="preserve"> se</w:t>
      </w:r>
      <w:r w:rsidRPr="00100821">
        <w:rPr>
          <w:rFonts w:cs="Arial"/>
          <w:szCs w:val="20"/>
        </w:rPr>
        <w:t xml:space="preserve"> naslov v čistopisu glasi:</w:t>
      </w:r>
      <w:bookmarkEnd w:id="38"/>
    </w:p>
    <w:p w14:paraId="46CB7546" w14:textId="77777777" w:rsidR="003B46F3" w:rsidRPr="00100821" w:rsidRDefault="003B46F3" w:rsidP="003B46F3">
      <w:pPr>
        <w:spacing w:line="276" w:lineRule="auto"/>
        <w:jc w:val="both"/>
        <w:outlineLvl w:val="0"/>
        <w:rPr>
          <w:rFonts w:cs="Arial"/>
          <w:szCs w:val="20"/>
        </w:rPr>
      </w:pPr>
      <w:bookmarkStart w:id="39" w:name="_Toc51673447"/>
      <w:r w:rsidRPr="00100821">
        <w:rPr>
          <w:rFonts w:cs="Arial"/>
          <w:szCs w:val="20"/>
        </w:rPr>
        <w:t xml:space="preserve">»3.2.1.2 </w:t>
      </w:r>
      <w:r w:rsidR="00577C40" w:rsidRPr="00100821">
        <w:rPr>
          <w:rFonts w:cs="Arial"/>
          <w:szCs w:val="20"/>
        </w:rPr>
        <w:t xml:space="preserve">Portfeljske garancije za podporo </w:t>
      </w:r>
      <w:r w:rsidR="00601373">
        <w:rPr>
          <w:rFonts w:cs="Arial"/>
          <w:szCs w:val="20"/>
        </w:rPr>
        <w:t xml:space="preserve">RRI v </w:t>
      </w:r>
      <w:r w:rsidR="00577C40" w:rsidRPr="00100821">
        <w:rPr>
          <w:rFonts w:cs="Arial"/>
          <w:szCs w:val="20"/>
        </w:rPr>
        <w:t>MSP</w:t>
      </w:r>
      <w:r w:rsidRPr="00100821">
        <w:rPr>
          <w:rFonts w:cs="Arial"/>
          <w:szCs w:val="20"/>
        </w:rPr>
        <w:t>«</w:t>
      </w:r>
      <w:bookmarkEnd w:id="39"/>
    </w:p>
    <w:p w14:paraId="065ECC22" w14:textId="77777777" w:rsidR="00043E74" w:rsidRPr="00100821" w:rsidRDefault="00043E74" w:rsidP="009D0FAD">
      <w:pPr>
        <w:spacing w:line="276" w:lineRule="auto"/>
        <w:jc w:val="both"/>
        <w:outlineLvl w:val="0"/>
        <w:rPr>
          <w:rFonts w:cs="Arial"/>
          <w:szCs w:val="20"/>
        </w:rPr>
      </w:pPr>
    </w:p>
    <w:p w14:paraId="7DC9F5B0" w14:textId="27624F9F" w:rsidR="009D0FAD" w:rsidRPr="00100821" w:rsidRDefault="00880648" w:rsidP="009D0FAD">
      <w:pPr>
        <w:spacing w:line="276" w:lineRule="auto"/>
        <w:jc w:val="both"/>
        <w:outlineLvl w:val="0"/>
        <w:rPr>
          <w:rFonts w:cs="Arial"/>
          <w:szCs w:val="20"/>
        </w:rPr>
      </w:pPr>
      <w:bookmarkStart w:id="40" w:name="_Toc51673448"/>
      <w:r w:rsidRPr="00100821">
        <w:rPr>
          <w:rFonts w:cs="Arial"/>
          <w:szCs w:val="20"/>
        </w:rPr>
        <w:t xml:space="preserve">Peti odstavek podpoglavja 3.2.1.2 se spremeni tako, da </w:t>
      </w:r>
      <w:r w:rsidR="0095184E">
        <w:rPr>
          <w:rFonts w:cs="Arial"/>
          <w:szCs w:val="20"/>
        </w:rPr>
        <w:t xml:space="preserve">se </w:t>
      </w:r>
      <w:r w:rsidRPr="00100821">
        <w:rPr>
          <w:rFonts w:cs="Arial"/>
          <w:szCs w:val="20"/>
        </w:rPr>
        <w:t>v čistopisu glasi:</w:t>
      </w:r>
      <w:bookmarkEnd w:id="40"/>
    </w:p>
    <w:p w14:paraId="47E349C3" w14:textId="77777777" w:rsidR="00880648" w:rsidRPr="00100821" w:rsidRDefault="00880648" w:rsidP="00880648">
      <w:pPr>
        <w:spacing w:line="276" w:lineRule="auto"/>
        <w:jc w:val="both"/>
        <w:outlineLvl w:val="0"/>
        <w:rPr>
          <w:rFonts w:cs="Arial"/>
          <w:szCs w:val="20"/>
        </w:rPr>
      </w:pPr>
      <w:bookmarkStart w:id="41" w:name="_Toc51673449"/>
      <w:r w:rsidRPr="00100821">
        <w:rPr>
          <w:rFonts w:cs="Arial"/>
          <w:szCs w:val="20"/>
        </w:rPr>
        <w:t>»Predvidena je izdaja portfeljskih garancij v višini 20 mio EUR iz TC 1:</w:t>
      </w:r>
      <w:bookmarkEnd w:id="41"/>
      <w:r w:rsidRPr="00100821">
        <w:rPr>
          <w:rFonts w:cs="Arial"/>
          <w:szCs w:val="20"/>
        </w:rPr>
        <w:t xml:space="preserve"> </w:t>
      </w:r>
    </w:p>
    <w:p w14:paraId="75919C2C" w14:textId="77777777" w:rsidR="00880648" w:rsidRPr="00343CE2" w:rsidRDefault="00880648" w:rsidP="00CF2C84">
      <w:pPr>
        <w:pStyle w:val="Odstavekseznama"/>
        <w:numPr>
          <w:ilvl w:val="0"/>
          <w:numId w:val="44"/>
        </w:numPr>
        <w:spacing w:line="276" w:lineRule="auto"/>
        <w:jc w:val="both"/>
        <w:outlineLvl w:val="0"/>
        <w:rPr>
          <w:rFonts w:ascii="Arial" w:hAnsi="Arial" w:cs="Arial"/>
          <w:sz w:val="20"/>
          <w:szCs w:val="20"/>
        </w:rPr>
      </w:pPr>
      <w:bookmarkStart w:id="42" w:name="_Toc51673450"/>
      <w:r w:rsidRPr="00343CE2">
        <w:rPr>
          <w:rFonts w:ascii="Arial" w:hAnsi="Arial" w:cs="Arial"/>
          <w:sz w:val="20"/>
          <w:szCs w:val="20"/>
        </w:rPr>
        <w:t>20 mio EUR pod TC 1 za MSP.«</w:t>
      </w:r>
      <w:bookmarkEnd w:id="42"/>
    </w:p>
    <w:p w14:paraId="6E21381F" w14:textId="77777777" w:rsidR="00880648" w:rsidRPr="00100821" w:rsidRDefault="00880648" w:rsidP="00880648">
      <w:pPr>
        <w:spacing w:line="276" w:lineRule="auto"/>
        <w:jc w:val="both"/>
        <w:outlineLvl w:val="0"/>
        <w:rPr>
          <w:rFonts w:cs="Arial"/>
          <w:szCs w:val="20"/>
        </w:rPr>
      </w:pPr>
    </w:p>
    <w:p w14:paraId="0B72EC16" w14:textId="77777777" w:rsidR="006E1277" w:rsidRPr="00100821" w:rsidRDefault="00331A0E" w:rsidP="00331A0E">
      <w:pPr>
        <w:spacing w:line="276" w:lineRule="auto"/>
        <w:jc w:val="both"/>
        <w:outlineLvl w:val="0"/>
        <w:rPr>
          <w:rFonts w:cs="Arial"/>
          <w:szCs w:val="20"/>
        </w:rPr>
      </w:pPr>
      <w:bookmarkStart w:id="43" w:name="_Toc51673451"/>
      <w:r w:rsidRPr="00100821">
        <w:rPr>
          <w:rFonts w:cs="Arial"/>
          <w:szCs w:val="20"/>
        </w:rPr>
        <w:t xml:space="preserve">V devetem odstavku (Ciljna skupina) podpoglavja 3.2.1.2 se briše besedna zveza »in velika podjetja«, tako da </w:t>
      </w:r>
      <w:r w:rsidR="006E1277" w:rsidRPr="00100821">
        <w:rPr>
          <w:rFonts w:cs="Arial"/>
          <w:szCs w:val="20"/>
        </w:rPr>
        <w:t>se v čistopisu glasi:</w:t>
      </w:r>
      <w:bookmarkEnd w:id="43"/>
    </w:p>
    <w:p w14:paraId="52D7ADFB" w14:textId="77777777" w:rsidR="00331A0E" w:rsidRPr="00100821" w:rsidRDefault="001A4781" w:rsidP="00331A0E">
      <w:pPr>
        <w:spacing w:line="276" w:lineRule="auto"/>
        <w:jc w:val="both"/>
        <w:outlineLvl w:val="0"/>
        <w:rPr>
          <w:rFonts w:cs="Arial"/>
          <w:szCs w:val="20"/>
        </w:rPr>
      </w:pPr>
      <w:bookmarkStart w:id="44" w:name="_Toc51673452"/>
      <w:r w:rsidRPr="00100821">
        <w:rPr>
          <w:rFonts w:cs="Arial"/>
          <w:szCs w:val="20"/>
        </w:rPr>
        <w:t>»</w:t>
      </w:r>
      <w:r w:rsidR="006E1277" w:rsidRPr="00100821">
        <w:rPr>
          <w:rFonts w:cs="Arial"/>
          <w:szCs w:val="20"/>
        </w:rPr>
        <w:t>Ciljna skupina so: MSP</w:t>
      </w:r>
      <w:r w:rsidR="00331A0E" w:rsidRPr="00100821">
        <w:rPr>
          <w:rFonts w:cs="Arial"/>
          <w:szCs w:val="20"/>
        </w:rPr>
        <w:t>.</w:t>
      </w:r>
      <w:r w:rsidRPr="00100821">
        <w:rPr>
          <w:rFonts w:cs="Arial"/>
          <w:szCs w:val="20"/>
        </w:rPr>
        <w:t>«</w:t>
      </w:r>
      <w:bookmarkEnd w:id="44"/>
    </w:p>
    <w:p w14:paraId="373A538C" w14:textId="77777777" w:rsidR="00331A0E" w:rsidRPr="00100821" w:rsidRDefault="00331A0E" w:rsidP="00331A0E">
      <w:pPr>
        <w:spacing w:line="276" w:lineRule="auto"/>
        <w:jc w:val="both"/>
        <w:outlineLvl w:val="0"/>
        <w:rPr>
          <w:rFonts w:cs="Arial"/>
          <w:szCs w:val="20"/>
        </w:rPr>
      </w:pPr>
    </w:p>
    <w:p w14:paraId="53A3E1C6" w14:textId="77777777" w:rsidR="006E1277" w:rsidRPr="00100821" w:rsidRDefault="00331A0E" w:rsidP="00331A0E">
      <w:pPr>
        <w:spacing w:line="276" w:lineRule="auto"/>
        <w:jc w:val="both"/>
        <w:outlineLvl w:val="0"/>
        <w:rPr>
          <w:rFonts w:cs="Arial"/>
          <w:szCs w:val="20"/>
        </w:rPr>
      </w:pPr>
      <w:bookmarkStart w:id="45" w:name="_Toc51673453"/>
      <w:r w:rsidRPr="00100821">
        <w:rPr>
          <w:rFonts w:cs="Arial"/>
          <w:szCs w:val="20"/>
        </w:rPr>
        <w:t xml:space="preserve">V enajstem odstavku (Kazalniki) podpoglavja 3.2.1.2 se v prvi alineji brišeta besedni zvezi »in velika podjetja« </w:t>
      </w:r>
      <w:r w:rsidR="00577C40" w:rsidRPr="00100821">
        <w:rPr>
          <w:rFonts w:cs="Arial"/>
          <w:szCs w:val="20"/>
        </w:rPr>
        <w:t xml:space="preserve">pred </w:t>
      </w:r>
      <w:r w:rsidRPr="00100821">
        <w:rPr>
          <w:rFonts w:cs="Arial"/>
          <w:szCs w:val="20"/>
        </w:rPr>
        <w:t>in »ter velika podjetja«</w:t>
      </w:r>
      <w:r w:rsidR="00577C40" w:rsidRPr="00100821">
        <w:rPr>
          <w:rFonts w:cs="Arial"/>
          <w:szCs w:val="20"/>
        </w:rPr>
        <w:t xml:space="preserve"> v oklepaju</w:t>
      </w:r>
      <w:r w:rsidRPr="00100821">
        <w:rPr>
          <w:rFonts w:cs="Arial"/>
          <w:szCs w:val="20"/>
        </w:rPr>
        <w:t>, tako da se</w:t>
      </w:r>
      <w:r w:rsidR="006E1277" w:rsidRPr="00100821">
        <w:rPr>
          <w:rFonts w:cs="Arial"/>
          <w:szCs w:val="20"/>
        </w:rPr>
        <w:t xml:space="preserve"> prva alineja v čistopisu glasi:</w:t>
      </w:r>
      <w:bookmarkEnd w:id="45"/>
    </w:p>
    <w:p w14:paraId="51194072" w14:textId="77777777" w:rsidR="00331A0E" w:rsidRPr="00100821" w:rsidRDefault="00331A0E" w:rsidP="00331A0E">
      <w:pPr>
        <w:spacing w:line="276" w:lineRule="auto"/>
        <w:jc w:val="both"/>
        <w:outlineLvl w:val="0"/>
        <w:rPr>
          <w:rFonts w:cs="Arial"/>
          <w:szCs w:val="20"/>
        </w:rPr>
      </w:pPr>
      <w:r w:rsidRPr="00100821">
        <w:rPr>
          <w:rFonts w:cs="Arial"/>
          <w:szCs w:val="20"/>
        </w:rPr>
        <w:t xml:space="preserve"> </w:t>
      </w:r>
      <w:bookmarkStart w:id="46" w:name="_Toc51673454"/>
      <w:r w:rsidR="001A4781" w:rsidRPr="00100821">
        <w:rPr>
          <w:rFonts w:cs="Arial"/>
          <w:szCs w:val="20"/>
        </w:rPr>
        <w:t>»</w:t>
      </w:r>
      <w:r w:rsidR="006E1277" w:rsidRPr="00100821">
        <w:rPr>
          <w:rFonts w:cs="Arial"/>
          <w:szCs w:val="20"/>
        </w:rPr>
        <w:t xml:space="preserve">– število podprtih </w:t>
      </w:r>
      <w:r w:rsidRPr="00100821">
        <w:rPr>
          <w:rFonts w:cs="Arial"/>
          <w:szCs w:val="20"/>
        </w:rPr>
        <w:t>MSP</w:t>
      </w:r>
      <w:r w:rsidR="006E1277" w:rsidRPr="00100821">
        <w:rPr>
          <w:rFonts w:cs="Arial"/>
          <w:szCs w:val="20"/>
        </w:rPr>
        <w:t xml:space="preserve"> (z razdelitvijo na </w:t>
      </w:r>
      <w:r w:rsidR="000B640D" w:rsidRPr="00100821">
        <w:rPr>
          <w:rFonts w:cs="Arial"/>
          <w:szCs w:val="20"/>
        </w:rPr>
        <w:t>mikr</w:t>
      </w:r>
      <w:r w:rsidR="006E1277" w:rsidRPr="00100821">
        <w:rPr>
          <w:rFonts w:cs="Arial"/>
          <w:szCs w:val="20"/>
        </w:rPr>
        <w:t xml:space="preserve">o, mala </w:t>
      </w:r>
      <w:r w:rsidR="00C209E6" w:rsidRPr="00100821">
        <w:rPr>
          <w:rFonts w:cs="Arial"/>
          <w:szCs w:val="20"/>
        </w:rPr>
        <w:t xml:space="preserve">in </w:t>
      </w:r>
      <w:r w:rsidR="006E1277" w:rsidRPr="00100821">
        <w:rPr>
          <w:rFonts w:cs="Arial"/>
          <w:szCs w:val="20"/>
        </w:rPr>
        <w:t>srednj</w:t>
      </w:r>
      <w:r w:rsidR="006406F8" w:rsidRPr="00100821">
        <w:rPr>
          <w:rFonts w:cs="Arial"/>
          <w:szCs w:val="20"/>
        </w:rPr>
        <w:t>a velika podjetja) in podjetnikov</w:t>
      </w:r>
      <w:r w:rsidR="006E1277" w:rsidRPr="00100821">
        <w:rPr>
          <w:rFonts w:cs="Arial"/>
          <w:szCs w:val="20"/>
        </w:rPr>
        <w:t>;</w:t>
      </w:r>
      <w:r w:rsidR="001A4781" w:rsidRPr="00100821">
        <w:rPr>
          <w:rFonts w:cs="Arial"/>
          <w:szCs w:val="20"/>
        </w:rPr>
        <w:t>«</w:t>
      </w:r>
      <w:bookmarkEnd w:id="46"/>
    </w:p>
    <w:p w14:paraId="50CA353F" w14:textId="77777777" w:rsidR="00C218F8" w:rsidRPr="00100821" w:rsidRDefault="00C218F8" w:rsidP="00331A0E">
      <w:pPr>
        <w:spacing w:line="276" w:lineRule="auto"/>
        <w:jc w:val="both"/>
        <w:outlineLvl w:val="0"/>
        <w:rPr>
          <w:rFonts w:cs="Arial"/>
          <w:szCs w:val="20"/>
        </w:rPr>
      </w:pPr>
    </w:p>
    <w:p w14:paraId="786997F0" w14:textId="77777777" w:rsidR="00331A0E" w:rsidRPr="00343CE2" w:rsidRDefault="00C218F8" w:rsidP="00B31792">
      <w:pPr>
        <w:pStyle w:val="Odstavekseznama"/>
        <w:numPr>
          <w:ilvl w:val="0"/>
          <w:numId w:val="10"/>
        </w:numPr>
        <w:spacing w:line="276" w:lineRule="auto"/>
        <w:jc w:val="both"/>
        <w:outlineLvl w:val="0"/>
        <w:rPr>
          <w:rFonts w:ascii="Arial" w:hAnsi="Arial" w:cs="Arial"/>
          <w:szCs w:val="20"/>
        </w:rPr>
      </w:pPr>
      <w:bookmarkStart w:id="47" w:name="_Toc51673455"/>
      <w:r w:rsidRPr="00343CE2">
        <w:rPr>
          <w:rFonts w:ascii="Arial" w:hAnsi="Arial" w:cs="Arial"/>
          <w:b/>
          <w:szCs w:val="20"/>
        </w:rPr>
        <w:t>Podpoglavje</w:t>
      </w:r>
      <w:r w:rsidRPr="00343CE2">
        <w:rPr>
          <w:rFonts w:ascii="Arial" w:hAnsi="Arial" w:cs="Arial"/>
          <w:szCs w:val="20"/>
        </w:rPr>
        <w:t xml:space="preserve"> </w:t>
      </w:r>
      <w:r w:rsidRPr="00343CE2">
        <w:rPr>
          <w:rFonts w:ascii="Arial" w:hAnsi="Arial" w:cs="Arial"/>
          <w:b/>
          <w:szCs w:val="20"/>
        </w:rPr>
        <w:t>3.2.2. Finančni instrumenti za MSP</w:t>
      </w:r>
      <w:bookmarkEnd w:id="47"/>
    </w:p>
    <w:p w14:paraId="05F6BB2A" w14:textId="39D51752" w:rsidR="00272273" w:rsidRPr="004000CE" w:rsidRDefault="00272273" w:rsidP="00272273">
      <w:pPr>
        <w:spacing w:line="276" w:lineRule="auto"/>
        <w:jc w:val="both"/>
        <w:outlineLvl w:val="0"/>
        <w:rPr>
          <w:rFonts w:cs="Arial"/>
          <w:szCs w:val="20"/>
        </w:rPr>
      </w:pPr>
      <w:bookmarkStart w:id="48" w:name="_Toc51673456"/>
      <w:r w:rsidRPr="004000CE">
        <w:rPr>
          <w:rFonts w:cs="Arial"/>
          <w:szCs w:val="20"/>
        </w:rPr>
        <w:t>V naslovu podpoglavja 3.2.2.1 se briše besedilo »</w:t>
      </w:r>
      <w:r w:rsidR="00C218F8" w:rsidRPr="004000CE">
        <w:rPr>
          <w:rFonts w:cs="Arial"/>
          <w:szCs w:val="20"/>
        </w:rPr>
        <w:t>, vključno z mikrogarancijami za posojila pod vrednostjo 25.000 EUR</w:t>
      </w:r>
      <w:r w:rsidRPr="004000CE">
        <w:rPr>
          <w:rFonts w:cs="Arial"/>
          <w:szCs w:val="20"/>
        </w:rPr>
        <w:t xml:space="preserve">«, tako da </w:t>
      </w:r>
      <w:r w:rsidR="0095184E">
        <w:rPr>
          <w:rFonts w:cs="Arial"/>
          <w:szCs w:val="20"/>
        </w:rPr>
        <w:t xml:space="preserve">se </w:t>
      </w:r>
      <w:r w:rsidRPr="004000CE">
        <w:rPr>
          <w:rFonts w:cs="Arial"/>
          <w:szCs w:val="20"/>
        </w:rPr>
        <w:t>naslov v čistopisu glasi:</w:t>
      </w:r>
      <w:bookmarkEnd w:id="48"/>
    </w:p>
    <w:p w14:paraId="6577002A" w14:textId="77777777" w:rsidR="00272273" w:rsidRPr="004000CE" w:rsidRDefault="00272273" w:rsidP="00272273">
      <w:pPr>
        <w:spacing w:line="276" w:lineRule="auto"/>
        <w:jc w:val="both"/>
        <w:outlineLvl w:val="0"/>
        <w:rPr>
          <w:rFonts w:cs="Arial"/>
          <w:szCs w:val="20"/>
        </w:rPr>
      </w:pPr>
      <w:bookmarkStart w:id="49" w:name="_Toc51673457"/>
      <w:r w:rsidRPr="004000CE">
        <w:rPr>
          <w:rFonts w:cs="Arial"/>
          <w:szCs w:val="20"/>
        </w:rPr>
        <w:t>»3.2.2.1 Portfeljske garancije za podporo MSP«</w:t>
      </w:r>
      <w:bookmarkEnd w:id="49"/>
    </w:p>
    <w:p w14:paraId="214E3728" w14:textId="77777777" w:rsidR="00331A0E" w:rsidRPr="004000CE" w:rsidRDefault="00331A0E" w:rsidP="00331A0E">
      <w:pPr>
        <w:spacing w:line="276" w:lineRule="auto"/>
        <w:jc w:val="both"/>
        <w:outlineLvl w:val="0"/>
        <w:rPr>
          <w:rFonts w:cs="Arial"/>
          <w:szCs w:val="20"/>
        </w:rPr>
      </w:pPr>
    </w:p>
    <w:p w14:paraId="50A6C296" w14:textId="4B1E2890" w:rsidR="00A644FD" w:rsidRPr="00343CE2" w:rsidRDefault="00A644FD" w:rsidP="001E5C6C">
      <w:pPr>
        <w:pStyle w:val="Odstavekseznama"/>
        <w:numPr>
          <w:ilvl w:val="0"/>
          <w:numId w:val="10"/>
        </w:numPr>
        <w:spacing w:line="276" w:lineRule="auto"/>
        <w:jc w:val="both"/>
        <w:outlineLvl w:val="0"/>
        <w:rPr>
          <w:rFonts w:ascii="Arial" w:hAnsi="Arial" w:cs="Arial"/>
          <w:szCs w:val="20"/>
        </w:rPr>
      </w:pPr>
      <w:bookmarkStart w:id="50" w:name="_Toc51673458"/>
      <w:r w:rsidRPr="00343CE2">
        <w:rPr>
          <w:rFonts w:ascii="Arial" w:hAnsi="Arial" w:cs="Arial"/>
          <w:b/>
          <w:szCs w:val="20"/>
        </w:rPr>
        <w:t xml:space="preserve">Podpoglavje </w:t>
      </w:r>
      <w:r w:rsidR="001E5C6C" w:rsidRPr="001E5C6C">
        <w:rPr>
          <w:rFonts w:ascii="Arial" w:hAnsi="Arial" w:cs="Arial"/>
          <w:b/>
          <w:szCs w:val="20"/>
        </w:rPr>
        <w:t>9.1 Učinek finančnega vzvoda (»leverage effect«)</w:t>
      </w:r>
      <w:bookmarkEnd w:id="50"/>
    </w:p>
    <w:p w14:paraId="30D4DBBF" w14:textId="77777777" w:rsidR="001E5C6C" w:rsidRPr="004000CE" w:rsidRDefault="001E5C6C" w:rsidP="001E5C6C">
      <w:pPr>
        <w:spacing w:line="276" w:lineRule="auto"/>
        <w:jc w:val="both"/>
        <w:outlineLvl w:val="0"/>
        <w:rPr>
          <w:rFonts w:cs="Arial"/>
          <w:szCs w:val="20"/>
        </w:rPr>
      </w:pPr>
      <w:r w:rsidRPr="004000CE">
        <w:rPr>
          <w:rFonts w:cs="Arial"/>
          <w:szCs w:val="20"/>
        </w:rPr>
        <w:t>V naslovu Tabele 13 se beseda »predvideni« nadomesti z besedo »pričakovani«.</w:t>
      </w:r>
    </w:p>
    <w:p w14:paraId="6CBF71E6" w14:textId="77777777" w:rsidR="00A644FD" w:rsidRPr="00D4259F" w:rsidRDefault="00A644FD" w:rsidP="00A644FD">
      <w:pPr>
        <w:spacing w:line="276" w:lineRule="auto"/>
        <w:jc w:val="both"/>
        <w:outlineLvl w:val="0"/>
        <w:rPr>
          <w:rFonts w:cs="Arial"/>
          <w:szCs w:val="20"/>
        </w:rPr>
      </w:pPr>
    </w:p>
    <w:p w14:paraId="078169DD" w14:textId="77777777" w:rsidR="00CC2D5B" w:rsidRPr="00343CE2" w:rsidRDefault="00CC2D5B" w:rsidP="00B31792">
      <w:pPr>
        <w:pStyle w:val="Odstavekseznama"/>
        <w:numPr>
          <w:ilvl w:val="0"/>
          <w:numId w:val="10"/>
        </w:numPr>
        <w:spacing w:line="276" w:lineRule="auto"/>
        <w:jc w:val="both"/>
        <w:outlineLvl w:val="0"/>
        <w:rPr>
          <w:rFonts w:ascii="Arial" w:hAnsi="Arial" w:cs="Arial"/>
          <w:szCs w:val="20"/>
        </w:rPr>
      </w:pPr>
      <w:bookmarkStart w:id="51" w:name="_Toc51673460"/>
      <w:r w:rsidRPr="00343CE2">
        <w:rPr>
          <w:rFonts w:ascii="Arial" w:hAnsi="Arial" w:cs="Arial"/>
          <w:szCs w:val="20"/>
        </w:rPr>
        <w:t xml:space="preserve">Podpoglavje </w:t>
      </w:r>
      <w:r w:rsidRPr="00343CE2">
        <w:rPr>
          <w:rFonts w:ascii="Arial" w:hAnsi="Arial" w:cs="Arial"/>
          <w:b/>
          <w:szCs w:val="20"/>
        </w:rPr>
        <w:t>9.5 Spremljanje ciljev in kazalnikov</w:t>
      </w:r>
      <w:bookmarkEnd w:id="51"/>
    </w:p>
    <w:p w14:paraId="0AC6E694" w14:textId="6F960BA7" w:rsidR="009D0FAD" w:rsidRPr="004F3904" w:rsidRDefault="00073F10" w:rsidP="004000CE">
      <w:pPr>
        <w:spacing w:line="276" w:lineRule="auto"/>
        <w:jc w:val="both"/>
        <w:outlineLvl w:val="0"/>
        <w:rPr>
          <w:rFonts w:eastAsia="Calibri" w:cs="Arial"/>
          <w:color w:val="000000"/>
          <w:szCs w:val="20"/>
        </w:rPr>
      </w:pPr>
      <w:bookmarkStart w:id="52" w:name="_Toc51673461"/>
      <w:r w:rsidRPr="00100821">
        <w:rPr>
          <w:rFonts w:cs="Arial"/>
          <w:szCs w:val="20"/>
        </w:rPr>
        <w:lastRenderedPageBreak/>
        <w:t>V Tabeli</w:t>
      </w:r>
      <w:r w:rsidRPr="00861D11">
        <w:rPr>
          <w:rFonts w:cs="Arial"/>
          <w:szCs w:val="20"/>
        </w:rPr>
        <w:t xml:space="preserve"> 14: Kvantitativni cilji po prednostnih naložbah in finančnih instrumentih se spremenita vrednosti </w:t>
      </w:r>
      <w:r w:rsidR="00CC2D5B" w:rsidRPr="00D4259F">
        <w:rPr>
          <w:rFonts w:eastAsia="Calibri" w:cs="Arial"/>
          <w:color w:val="000000"/>
          <w:szCs w:val="20"/>
        </w:rPr>
        <w:t>kazalnika – prispevek k OP 2014 – 2020 (zadnji stolpec) za finančna instrumenta posojila za RRI in portfeljske garancije za RRI na prednostni naložbi 1.2 RRI, in sicer pri posojilih iz 362 na 449 ter pri portfeljskih garancijah iz 187 na 100 podjetij. Obema vrednostma se pripiše beseda »podjetij«</w:t>
      </w:r>
      <w:r w:rsidR="006A3871" w:rsidRPr="008E460F">
        <w:rPr>
          <w:rFonts w:eastAsia="Calibri" w:cs="Arial"/>
          <w:color w:val="000000"/>
          <w:szCs w:val="20"/>
        </w:rPr>
        <w:t xml:space="preserve">. </w:t>
      </w:r>
      <w:r w:rsidR="00372B91">
        <w:rPr>
          <w:rFonts w:eastAsia="Calibri" w:cs="Arial"/>
          <w:color w:val="000000"/>
          <w:szCs w:val="20"/>
        </w:rPr>
        <w:t xml:space="preserve">Beseda »MSP« v stolpcu Vrednosti kazalnika </w:t>
      </w:r>
      <w:r w:rsidR="000005A2">
        <w:rPr>
          <w:rFonts w:eastAsia="Calibri" w:cs="Arial"/>
          <w:color w:val="000000"/>
          <w:szCs w:val="20"/>
        </w:rPr>
        <w:t>vrstice</w:t>
      </w:r>
      <w:r w:rsidR="00372B91">
        <w:rPr>
          <w:rFonts w:eastAsia="Calibri" w:cs="Arial"/>
          <w:color w:val="000000"/>
          <w:szCs w:val="20"/>
        </w:rPr>
        <w:t xml:space="preserve"> Posojila 1.2 RRI se zamenja z besedo »podjetij«. </w:t>
      </w:r>
      <w:r w:rsidR="006A3871" w:rsidRPr="008E460F">
        <w:rPr>
          <w:rFonts w:eastAsia="Calibri" w:cs="Arial"/>
          <w:color w:val="000000"/>
          <w:szCs w:val="20"/>
        </w:rPr>
        <w:t xml:space="preserve">Vrstica 1.2 RRI </w:t>
      </w:r>
      <w:r w:rsidR="00601373">
        <w:rPr>
          <w:rFonts w:eastAsia="Calibri" w:cs="Arial"/>
          <w:color w:val="000000"/>
          <w:szCs w:val="20"/>
        </w:rPr>
        <w:t xml:space="preserve">se </w:t>
      </w:r>
      <w:r w:rsidR="006A3871" w:rsidRPr="008E460F">
        <w:rPr>
          <w:rFonts w:eastAsia="Calibri" w:cs="Arial"/>
          <w:color w:val="000000"/>
          <w:szCs w:val="20"/>
        </w:rPr>
        <w:t>v čistopisu glasi:</w:t>
      </w:r>
      <w:bookmarkEnd w:id="52"/>
    </w:p>
    <w:tbl>
      <w:tblPr>
        <w:tblStyle w:val="Tabelamrea"/>
        <w:tblW w:w="5000" w:type="pct"/>
        <w:tblLook w:val="04A0" w:firstRow="1" w:lastRow="0" w:firstColumn="1" w:lastColumn="0" w:noHBand="0" w:noVBand="1"/>
      </w:tblPr>
      <w:tblGrid>
        <w:gridCol w:w="1077"/>
        <w:gridCol w:w="1150"/>
        <w:gridCol w:w="972"/>
        <w:gridCol w:w="695"/>
        <w:gridCol w:w="1880"/>
        <w:gridCol w:w="1311"/>
        <w:gridCol w:w="1403"/>
      </w:tblGrid>
      <w:tr w:rsidR="006A3871" w:rsidRPr="00100821" w14:paraId="6DC998BA" w14:textId="77777777" w:rsidTr="006A3871">
        <w:tc>
          <w:tcPr>
            <w:tcW w:w="647" w:type="pct"/>
            <w:vMerge w:val="restart"/>
          </w:tcPr>
          <w:p w14:paraId="0B888473" w14:textId="77777777" w:rsidR="006A3871" w:rsidRPr="007B65FA" w:rsidRDefault="006A3871" w:rsidP="004000CE">
            <w:pPr>
              <w:suppressAutoHyphens/>
              <w:spacing w:line="276" w:lineRule="auto"/>
              <w:jc w:val="both"/>
              <w:rPr>
                <w:rFonts w:eastAsia="Calibri" w:cs="Arial"/>
                <w:color w:val="000000"/>
                <w:szCs w:val="20"/>
              </w:rPr>
            </w:pPr>
            <w:r w:rsidRPr="007B65FA">
              <w:rPr>
                <w:rFonts w:eastAsia="Calibri" w:cs="Arial"/>
                <w:color w:val="000000"/>
                <w:szCs w:val="20"/>
              </w:rPr>
              <w:t>1.2 RRI</w:t>
            </w:r>
          </w:p>
        </w:tc>
        <w:tc>
          <w:tcPr>
            <w:tcW w:w="653" w:type="pct"/>
          </w:tcPr>
          <w:p w14:paraId="0F4DEA99" w14:textId="77777777" w:rsidR="006A3871" w:rsidRPr="006748DC" w:rsidRDefault="006A3871" w:rsidP="004000CE">
            <w:pPr>
              <w:suppressAutoHyphens/>
              <w:spacing w:line="276" w:lineRule="auto"/>
              <w:jc w:val="both"/>
              <w:rPr>
                <w:rFonts w:eastAsia="Calibri" w:cs="Arial"/>
                <w:color w:val="000000"/>
                <w:szCs w:val="20"/>
              </w:rPr>
            </w:pPr>
            <w:r w:rsidRPr="006748DC">
              <w:rPr>
                <w:rFonts w:eastAsia="Calibri" w:cs="Arial"/>
                <w:color w:val="000000"/>
                <w:szCs w:val="20"/>
              </w:rPr>
              <w:t>Posojila</w:t>
            </w:r>
          </w:p>
        </w:tc>
        <w:tc>
          <w:tcPr>
            <w:tcW w:w="565" w:type="pct"/>
          </w:tcPr>
          <w:p w14:paraId="3B2DB99D" w14:textId="77777777" w:rsidR="006A3871" w:rsidRPr="00285AEA" w:rsidRDefault="006A3871" w:rsidP="004000CE">
            <w:pPr>
              <w:suppressAutoHyphens/>
              <w:spacing w:line="276" w:lineRule="auto"/>
              <w:jc w:val="both"/>
              <w:rPr>
                <w:rFonts w:eastAsia="Calibri" w:cs="Arial"/>
                <w:color w:val="000000"/>
                <w:szCs w:val="20"/>
              </w:rPr>
            </w:pPr>
            <w:r w:rsidRPr="00285AEA">
              <w:rPr>
                <w:rFonts w:eastAsia="Calibri" w:cs="Arial"/>
                <w:color w:val="000000"/>
                <w:szCs w:val="20"/>
              </w:rPr>
              <w:t>Kazalnik učinka</w:t>
            </w:r>
          </w:p>
        </w:tc>
        <w:tc>
          <w:tcPr>
            <w:tcW w:w="393" w:type="pct"/>
          </w:tcPr>
          <w:p w14:paraId="64368131" w14:textId="77777777" w:rsidR="006A3871" w:rsidRPr="00285AEA" w:rsidRDefault="006A3871" w:rsidP="004000CE">
            <w:pPr>
              <w:suppressAutoHyphens/>
              <w:spacing w:line="276" w:lineRule="auto"/>
              <w:jc w:val="both"/>
              <w:rPr>
                <w:rFonts w:eastAsia="Calibri" w:cs="Arial"/>
                <w:color w:val="000000"/>
                <w:szCs w:val="20"/>
              </w:rPr>
            </w:pPr>
            <w:r w:rsidRPr="00285AEA">
              <w:rPr>
                <w:rFonts w:eastAsia="Calibri" w:cs="Arial"/>
                <w:color w:val="000000"/>
                <w:szCs w:val="20"/>
              </w:rPr>
              <w:t>C001</w:t>
            </w:r>
          </w:p>
        </w:tc>
        <w:tc>
          <w:tcPr>
            <w:tcW w:w="1119" w:type="pct"/>
          </w:tcPr>
          <w:p w14:paraId="1A0727BE" w14:textId="77777777" w:rsidR="006A3871" w:rsidRPr="007D18E8" w:rsidRDefault="006A3871" w:rsidP="004000CE">
            <w:pPr>
              <w:suppressAutoHyphens/>
              <w:spacing w:line="276" w:lineRule="auto"/>
              <w:jc w:val="both"/>
              <w:rPr>
                <w:rFonts w:eastAsia="Calibri" w:cs="Arial"/>
                <w:color w:val="000000"/>
                <w:szCs w:val="20"/>
              </w:rPr>
            </w:pPr>
            <w:r w:rsidRPr="007D18E8">
              <w:rPr>
                <w:rFonts w:eastAsia="Calibri" w:cs="Arial"/>
                <w:color w:val="000000"/>
                <w:szCs w:val="20"/>
              </w:rPr>
              <w:t>Število podprtih podjetij</w:t>
            </w:r>
          </w:p>
        </w:tc>
        <w:tc>
          <w:tcPr>
            <w:tcW w:w="784" w:type="pct"/>
          </w:tcPr>
          <w:p w14:paraId="1F8C6FEE" w14:textId="1BE8C931" w:rsidR="006A3871" w:rsidRPr="00100821" w:rsidRDefault="006A3871" w:rsidP="004000CE">
            <w:pPr>
              <w:suppressAutoHyphens/>
              <w:spacing w:line="276" w:lineRule="auto"/>
              <w:jc w:val="both"/>
              <w:rPr>
                <w:rFonts w:eastAsia="Calibri" w:cs="Arial"/>
                <w:color w:val="000000"/>
                <w:szCs w:val="20"/>
              </w:rPr>
            </w:pPr>
            <w:r w:rsidRPr="00100821">
              <w:rPr>
                <w:rFonts w:eastAsia="Calibri" w:cs="Arial"/>
                <w:color w:val="000000"/>
                <w:szCs w:val="20"/>
              </w:rPr>
              <w:t xml:space="preserve">5 </w:t>
            </w:r>
            <w:r w:rsidR="00372B91">
              <w:rPr>
                <w:rFonts w:eastAsia="Calibri" w:cs="Arial"/>
                <w:color w:val="000000"/>
                <w:szCs w:val="20"/>
              </w:rPr>
              <w:t>podjetij</w:t>
            </w:r>
            <w:r w:rsidRPr="00100821">
              <w:rPr>
                <w:rFonts w:eastAsia="Calibri" w:cs="Arial"/>
                <w:color w:val="000000"/>
                <w:szCs w:val="20"/>
              </w:rPr>
              <w:t>/1 mio EUR</w:t>
            </w:r>
          </w:p>
        </w:tc>
        <w:tc>
          <w:tcPr>
            <w:tcW w:w="838" w:type="pct"/>
          </w:tcPr>
          <w:p w14:paraId="69AEB102" w14:textId="77777777" w:rsidR="006A3871" w:rsidRPr="00100821" w:rsidRDefault="006A3871" w:rsidP="004000CE">
            <w:pPr>
              <w:suppressAutoHyphens/>
              <w:spacing w:line="276" w:lineRule="auto"/>
              <w:jc w:val="both"/>
              <w:rPr>
                <w:rFonts w:eastAsia="Calibri" w:cs="Arial"/>
                <w:color w:val="000000"/>
                <w:szCs w:val="20"/>
              </w:rPr>
            </w:pPr>
            <w:r w:rsidRPr="00100821">
              <w:rPr>
                <w:rFonts w:eastAsia="Calibri" w:cs="Arial"/>
                <w:color w:val="000000"/>
                <w:szCs w:val="20"/>
              </w:rPr>
              <w:t>449 podjetij</w:t>
            </w:r>
          </w:p>
        </w:tc>
      </w:tr>
      <w:tr w:rsidR="006A3871" w:rsidRPr="00100821" w14:paraId="67103562" w14:textId="77777777" w:rsidTr="006A3871">
        <w:tc>
          <w:tcPr>
            <w:tcW w:w="647" w:type="pct"/>
            <w:vMerge/>
          </w:tcPr>
          <w:p w14:paraId="69F51333" w14:textId="77777777" w:rsidR="006A3871" w:rsidRPr="00100821" w:rsidRDefault="006A3871" w:rsidP="004000CE">
            <w:pPr>
              <w:suppressAutoHyphens/>
              <w:spacing w:line="276" w:lineRule="auto"/>
              <w:jc w:val="both"/>
              <w:rPr>
                <w:rFonts w:eastAsia="Calibri" w:cs="Arial"/>
                <w:color w:val="000000"/>
                <w:szCs w:val="20"/>
              </w:rPr>
            </w:pPr>
          </w:p>
        </w:tc>
        <w:tc>
          <w:tcPr>
            <w:tcW w:w="653" w:type="pct"/>
          </w:tcPr>
          <w:p w14:paraId="79EE80A3" w14:textId="77777777" w:rsidR="006A3871" w:rsidRPr="00100821" w:rsidRDefault="006A3871" w:rsidP="004000CE">
            <w:pPr>
              <w:suppressAutoHyphens/>
              <w:spacing w:line="276" w:lineRule="auto"/>
              <w:jc w:val="both"/>
              <w:rPr>
                <w:rFonts w:eastAsia="Calibri" w:cs="Arial"/>
                <w:color w:val="000000"/>
                <w:szCs w:val="20"/>
              </w:rPr>
            </w:pPr>
            <w:r w:rsidRPr="00100821">
              <w:rPr>
                <w:rFonts w:eastAsia="Calibri" w:cs="Arial"/>
                <w:color w:val="000000"/>
                <w:szCs w:val="20"/>
              </w:rPr>
              <w:t>Portfeljske garancije</w:t>
            </w:r>
          </w:p>
        </w:tc>
        <w:tc>
          <w:tcPr>
            <w:tcW w:w="565" w:type="pct"/>
          </w:tcPr>
          <w:p w14:paraId="4DC9E9BF" w14:textId="77777777" w:rsidR="006A3871" w:rsidRPr="00100821" w:rsidRDefault="006A3871" w:rsidP="004000CE">
            <w:pPr>
              <w:suppressAutoHyphens/>
              <w:spacing w:line="276" w:lineRule="auto"/>
              <w:jc w:val="both"/>
              <w:rPr>
                <w:rFonts w:eastAsia="Calibri" w:cs="Arial"/>
                <w:color w:val="000000"/>
                <w:szCs w:val="20"/>
              </w:rPr>
            </w:pPr>
            <w:r w:rsidRPr="00100821">
              <w:rPr>
                <w:rFonts w:eastAsia="Calibri" w:cs="Arial"/>
                <w:color w:val="000000"/>
                <w:szCs w:val="20"/>
              </w:rPr>
              <w:t>Kazalnik učinka</w:t>
            </w:r>
          </w:p>
        </w:tc>
        <w:tc>
          <w:tcPr>
            <w:tcW w:w="393" w:type="pct"/>
          </w:tcPr>
          <w:p w14:paraId="56191A07" w14:textId="77777777" w:rsidR="006A3871" w:rsidRPr="00100821" w:rsidRDefault="006A3871" w:rsidP="004000CE">
            <w:pPr>
              <w:suppressAutoHyphens/>
              <w:spacing w:line="276" w:lineRule="auto"/>
              <w:jc w:val="both"/>
              <w:rPr>
                <w:rFonts w:eastAsia="Calibri" w:cs="Arial"/>
                <w:color w:val="000000"/>
                <w:szCs w:val="20"/>
              </w:rPr>
            </w:pPr>
            <w:r w:rsidRPr="00100821">
              <w:rPr>
                <w:rFonts w:eastAsia="Calibri" w:cs="Arial"/>
                <w:color w:val="000000"/>
                <w:szCs w:val="20"/>
              </w:rPr>
              <w:t>C001</w:t>
            </w:r>
          </w:p>
        </w:tc>
        <w:tc>
          <w:tcPr>
            <w:tcW w:w="1119" w:type="pct"/>
          </w:tcPr>
          <w:p w14:paraId="1C086FFD" w14:textId="77777777" w:rsidR="006A3871" w:rsidRPr="00100821" w:rsidRDefault="006A3871" w:rsidP="004000CE">
            <w:pPr>
              <w:suppressAutoHyphens/>
              <w:spacing w:line="276" w:lineRule="auto"/>
              <w:jc w:val="both"/>
              <w:rPr>
                <w:rFonts w:eastAsia="Calibri" w:cs="Arial"/>
                <w:color w:val="000000"/>
                <w:szCs w:val="20"/>
              </w:rPr>
            </w:pPr>
            <w:r w:rsidRPr="00100821">
              <w:rPr>
                <w:rFonts w:eastAsia="Calibri" w:cs="Arial"/>
                <w:color w:val="000000"/>
                <w:szCs w:val="20"/>
              </w:rPr>
              <w:t>Število podprtih podjetij</w:t>
            </w:r>
          </w:p>
        </w:tc>
        <w:tc>
          <w:tcPr>
            <w:tcW w:w="784" w:type="pct"/>
          </w:tcPr>
          <w:p w14:paraId="0ABCF08A" w14:textId="77777777" w:rsidR="006A3871" w:rsidRPr="00100821" w:rsidRDefault="006A3871" w:rsidP="004000CE">
            <w:pPr>
              <w:suppressAutoHyphens/>
              <w:spacing w:line="276" w:lineRule="auto"/>
              <w:jc w:val="both"/>
              <w:rPr>
                <w:rFonts w:eastAsia="Calibri" w:cs="Arial"/>
                <w:color w:val="000000"/>
                <w:szCs w:val="20"/>
              </w:rPr>
            </w:pPr>
            <w:r w:rsidRPr="00100821">
              <w:rPr>
                <w:rFonts w:eastAsia="Calibri" w:cs="Arial"/>
                <w:color w:val="000000"/>
                <w:szCs w:val="20"/>
              </w:rPr>
              <w:t>5 MSP/1 mio EUR</w:t>
            </w:r>
          </w:p>
        </w:tc>
        <w:tc>
          <w:tcPr>
            <w:tcW w:w="838" w:type="pct"/>
          </w:tcPr>
          <w:p w14:paraId="0D649762" w14:textId="77777777" w:rsidR="006A3871" w:rsidRPr="00100821" w:rsidRDefault="006A3871" w:rsidP="004000CE">
            <w:pPr>
              <w:suppressAutoHyphens/>
              <w:spacing w:line="276" w:lineRule="auto"/>
              <w:jc w:val="both"/>
              <w:rPr>
                <w:rFonts w:eastAsia="Calibri" w:cs="Arial"/>
                <w:color w:val="000000"/>
                <w:szCs w:val="20"/>
              </w:rPr>
            </w:pPr>
            <w:r w:rsidRPr="00100821">
              <w:rPr>
                <w:rFonts w:eastAsia="Calibri" w:cs="Arial"/>
                <w:color w:val="000000"/>
                <w:szCs w:val="20"/>
              </w:rPr>
              <w:t>100 podjetij</w:t>
            </w:r>
          </w:p>
        </w:tc>
      </w:tr>
    </w:tbl>
    <w:p w14:paraId="73DCE5F0" w14:textId="77777777" w:rsidR="006A3871" w:rsidRPr="00100821" w:rsidRDefault="006A3871" w:rsidP="004000CE">
      <w:pPr>
        <w:spacing w:line="276" w:lineRule="auto"/>
        <w:jc w:val="both"/>
        <w:outlineLvl w:val="0"/>
        <w:rPr>
          <w:rFonts w:cs="Arial"/>
          <w:szCs w:val="20"/>
        </w:rPr>
      </w:pPr>
    </w:p>
    <w:p w14:paraId="7C6E1342" w14:textId="77777777" w:rsidR="00B31792" w:rsidRPr="00100821" w:rsidRDefault="00B31792" w:rsidP="004000CE">
      <w:pPr>
        <w:spacing w:line="276" w:lineRule="auto"/>
        <w:jc w:val="right"/>
        <w:outlineLvl w:val="0"/>
        <w:rPr>
          <w:rFonts w:cs="Arial"/>
          <w:b/>
          <w:szCs w:val="20"/>
        </w:rPr>
      </w:pPr>
    </w:p>
    <w:p w14:paraId="28A15FDB" w14:textId="10815511" w:rsidR="004000CE" w:rsidRDefault="004000CE" w:rsidP="004000CE">
      <w:pPr>
        <w:pStyle w:val="Odstavekseznama"/>
        <w:numPr>
          <w:ilvl w:val="0"/>
          <w:numId w:val="42"/>
        </w:numPr>
        <w:spacing w:after="240" w:line="276" w:lineRule="auto"/>
        <w:ind w:left="714" w:hanging="357"/>
        <w:contextualSpacing w:val="0"/>
        <w:jc w:val="both"/>
        <w:outlineLvl w:val="0"/>
        <w:rPr>
          <w:rFonts w:ascii="Arial" w:hAnsi="Arial" w:cs="Arial"/>
          <w:sz w:val="20"/>
          <w:szCs w:val="20"/>
        </w:rPr>
      </w:pPr>
      <w:r>
        <w:rPr>
          <w:rFonts w:ascii="Arial" w:hAnsi="Arial" w:cs="Arial"/>
          <w:sz w:val="20"/>
          <w:szCs w:val="20"/>
        </w:rPr>
        <w:t>Dodani sta kazali tabel in slik.</w:t>
      </w:r>
    </w:p>
    <w:p w14:paraId="4CA92718" w14:textId="1348179E" w:rsidR="004000CE" w:rsidRPr="00343CE2" w:rsidRDefault="004000CE" w:rsidP="004000CE">
      <w:pPr>
        <w:pStyle w:val="Odstavekseznama"/>
        <w:numPr>
          <w:ilvl w:val="0"/>
          <w:numId w:val="42"/>
        </w:numPr>
        <w:spacing w:line="276" w:lineRule="auto"/>
        <w:jc w:val="both"/>
        <w:outlineLvl w:val="0"/>
        <w:rPr>
          <w:rFonts w:ascii="Arial" w:hAnsi="Arial" w:cs="Arial"/>
          <w:sz w:val="20"/>
          <w:szCs w:val="20"/>
        </w:rPr>
      </w:pPr>
      <w:r>
        <w:rPr>
          <w:rFonts w:ascii="Arial" w:hAnsi="Arial" w:cs="Arial"/>
          <w:sz w:val="20"/>
          <w:szCs w:val="20"/>
        </w:rPr>
        <w:t>Izvedeni so manjši pravopisni popravki.</w:t>
      </w:r>
    </w:p>
    <w:p w14:paraId="7932522A" w14:textId="77777777" w:rsidR="00D8019E" w:rsidRPr="00343CE2" w:rsidRDefault="00D8019E" w:rsidP="009D0FAD">
      <w:pPr>
        <w:spacing w:line="260" w:lineRule="exact"/>
        <w:jc w:val="right"/>
        <w:outlineLvl w:val="0"/>
        <w:rPr>
          <w:rFonts w:cs="Arial"/>
          <w:szCs w:val="20"/>
        </w:rPr>
      </w:pPr>
    </w:p>
    <w:p w14:paraId="1A871623" w14:textId="77777777" w:rsidR="00D8019E" w:rsidRPr="00343CE2" w:rsidRDefault="00D8019E" w:rsidP="009D0FAD">
      <w:pPr>
        <w:spacing w:line="260" w:lineRule="exact"/>
        <w:jc w:val="right"/>
        <w:outlineLvl w:val="0"/>
        <w:rPr>
          <w:rFonts w:cs="Arial"/>
          <w:szCs w:val="20"/>
        </w:rPr>
      </w:pPr>
    </w:p>
    <w:p w14:paraId="4B690060" w14:textId="77777777" w:rsidR="00D8019E" w:rsidRPr="00343CE2" w:rsidRDefault="00D8019E" w:rsidP="009D0FAD">
      <w:pPr>
        <w:spacing w:line="260" w:lineRule="exact"/>
        <w:jc w:val="right"/>
        <w:outlineLvl w:val="0"/>
        <w:rPr>
          <w:rFonts w:cs="Arial"/>
          <w:szCs w:val="20"/>
        </w:rPr>
        <w:sectPr w:rsidR="00D8019E" w:rsidRPr="00343CE2" w:rsidSect="00133AD7">
          <w:headerReference w:type="default" r:id="rId9"/>
          <w:headerReference w:type="first" r:id="rId10"/>
          <w:pgSz w:w="11900" w:h="16840" w:code="9"/>
          <w:pgMar w:top="1701" w:right="1701" w:bottom="851" w:left="1701" w:header="964" w:footer="794" w:gutter="0"/>
          <w:cols w:space="708"/>
          <w:titlePg/>
        </w:sectPr>
      </w:pPr>
    </w:p>
    <w:p w14:paraId="12D36335" w14:textId="66483134" w:rsidR="004912DC" w:rsidRPr="000F166D" w:rsidRDefault="004912DC" w:rsidP="004912DC">
      <w:pPr>
        <w:pStyle w:val="datumtevilka"/>
        <w:spacing w:line="240" w:lineRule="auto"/>
        <w:rPr>
          <w:sz w:val="22"/>
          <w:szCs w:val="22"/>
        </w:rPr>
      </w:pPr>
      <w:r w:rsidRPr="000F166D">
        <w:rPr>
          <w:sz w:val="22"/>
          <w:szCs w:val="22"/>
        </w:rPr>
        <w:lastRenderedPageBreak/>
        <w:t>Številka: 303-1</w:t>
      </w:r>
      <w:r>
        <w:rPr>
          <w:sz w:val="22"/>
          <w:szCs w:val="22"/>
        </w:rPr>
        <w:t>2</w:t>
      </w:r>
      <w:r w:rsidRPr="000F166D">
        <w:rPr>
          <w:sz w:val="22"/>
          <w:szCs w:val="22"/>
        </w:rPr>
        <w:t>/201</w:t>
      </w:r>
      <w:r>
        <w:rPr>
          <w:sz w:val="22"/>
          <w:szCs w:val="22"/>
        </w:rPr>
        <w:t>7</w:t>
      </w:r>
      <w:r w:rsidRPr="00290585">
        <w:rPr>
          <w:sz w:val="22"/>
          <w:szCs w:val="22"/>
        </w:rPr>
        <w:t>/</w:t>
      </w:r>
      <w:r w:rsidR="00DE54C9">
        <w:rPr>
          <w:sz w:val="22"/>
          <w:szCs w:val="22"/>
        </w:rPr>
        <w:t>72</w:t>
      </w:r>
    </w:p>
    <w:p w14:paraId="52919E5A" w14:textId="77777777" w:rsidR="004912DC" w:rsidRPr="000F166D" w:rsidRDefault="004912DC" w:rsidP="004912DC">
      <w:pPr>
        <w:pStyle w:val="Odstavekseznama1"/>
        <w:ind w:left="0"/>
        <w:rPr>
          <w:rFonts w:ascii="Arial" w:hAnsi="Arial" w:cs="Arial"/>
          <w:b/>
          <w:sz w:val="22"/>
          <w:szCs w:val="22"/>
        </w:rPr>
      </w:pPr>
    </w:p>
    <w:p w14:paraId="3774C214" w14:textId="77777777" w:rsidR="004912DC" w:rsidRPr="000F166D" w:rsidRDefault="004912DC" w:rsidP="004912DC">
      <w:pPr>
        <w:pStyle w:val="Odstavekseznama1"/>
        <w:ind w:left="0"/>
        <w:rPr>
          <w:rFonts w:ascii="Arial" w:hAnsi="Arial" w:cs="Arial"/>
          <w:b/>
          <w:sz w:val="22"/>
          <w:szCs w:val="22"/>
        </w:rPr>
      </w:pPr>
    </w:p>
    <w:p w14:paraId="15465BE0" w14:textId="77777777" w:rsidR="004912DC" w:rsidRPr="000F166D" w:rsidRDefault="004912DC" w:rsidP="004912DC">
      <w:pPr>
        <w:jc w:val="both"/>
        <w:rPr>
          <w:rFonts w:cs="Arial"/>
          <w:sz w:val="32"/>
          <w:szCs w:val="32"/>
        </w:rPr>
      </w:pPr>
    </w:p>
    <w:p w14:paraId="473F5559" w14:textId="77777777" w:rsidR="004912DC" w:rsidRPr="000F166D" w:rsidRDefault="004912DC" w:rsidP="004912DC">
      <w:pPr>
        <w:jc w:val="center"/>
        <w:rPr>
          <w:rFonts w:cs="Arial"/>
          <w:b/>
          <w:sz w:val="72"/>
          <w:szCs w:val="72"/>
        </w:rPr>
      </w:pPr>
    </w:p>
    <w:p w14:paraId="63BA2147" w14:textId="77777777" w:rsidR="004912DC" w:rsidRPr="000F166D" w:rsidRDefault="004912DC" w:rsidP="004912DC">
      <w:pPr>
        <w:jc w:val="center"/>
        <w:rPr>
          <w:rFonts w:cs="Arial"/>
          <w:b/>
          <w:sz w:val="72"/>
          <w:szCs w:val="72"/>
        </w:rPr>
      </w:pPr>
      <w:r w:rsidRPr="000F166D">
        <w:rPr>
          <w:rFonts w:cs="Arial"/>
          <w:b/>
          <w:sz w:val="72"/>
          <w:szCs w:val="72"/>
        </w:rPr>
        <w:t>KLJUČNI ELEMENTI</w:t>
      </w:r>
    </w:p>
    <w:p w14:paraId="769B9AD9" w14:textId="77777777" w:rsidR="004912DC" w:rsidRPr="000F166D" w:rsidRDefault="004912DC" w:rsidP="004912DC">
      <w:pPr>
        <w:jc w:val="center"/>
        <w:rPr>
          <w:rFonts w:cs="Arial"/>
          <w:b/>
          <w:sz w:val="36"/>
          <w:szCs w:val="36"/>
        </w:rPr>
      </w:pPr>
    </w:p>
    <w:p w14:paraId="4A9072EA" w14:textId="77777777" w:rsidR="004912DC" w:rsidRPr="000F166D" w:rsidRDefault="004912DC" w:rsidP="004912DC">
      <w:pPr>
        <w:jc w:val="center"/>
        <w:rPr>
          <w:rFonts w:cs="Arial"/>
          <w:b/>
          <w:sz w:val="36"/>
          <w:szCs w:val="36"/>
        </w:rPr>
      </w:pPr>
      <w:r w:rsidRPr="000F166D">
        <w:rPr>
          <w:rFonts w:cs="Arial"/>
          <w:b/>
          <w:sz w:val="36"/>
          <w:szCs w:val="36"/>
        </w:rPr>
        <w:t>finančnih instrumentov</w:t>
      </w:r>
    </w:p>
    <w:p w14:paraId="22954D0E" w14:textId="77777777" w:rsidR="004912DC" w:rsidRPr="000F166D" w:rsidRDefault="004912DC" w:rsidP="004912DC">
      <w:pPr>
        <w:jc w:val="center"/>
        <w:rPr>
          <w:rFonts w:cs="Arial"/>
          <w:b/>
          <w:sz w:val="36"/>
          <w:szCs w:val="36"/>
        </w:rPr>
      </w:pPr>
    </w:p>
    <w:p w14:paraId="54B9E7F4" w14:textId="77777777" w:rsidR="004912DC" w:rsidRPr="000F166D" w:rsidRDefault="004912DC" w:rsidP="004912DC">
      <w:pPr>
        <w:jc w:val="center"/>
        <w:rPr>
          <w:rFonts w:cs="Arial"/>
          <w:b/>
          <w:sz w:val="36"/>
          <w:szCs w:val="36"/>
        </w:rPr>
      </w:pPr>
      <w:r w:rsidRPr="000F166D">
        <w:rPr>
          <w:rFonts w:cs="Arial"/>
          <w:b/>
          <w:sz w:val="36"/>
          <w:szCs w:val="36"/>
        </w:rPr>
        <w:t>v programskem obdobju</w:t>
      </w:r>
    </w:p>
    <w:p w14:paraId="7B045B9F" w14:textId="77777777" w:rsidR="004912DC" w:rsidRPr="000F166D" w:rsidRDefault="004912DC" w:rsidP="004912DC">
      <w:pPr>
        <w:jc w:val="center"/>
        <w:rPr>
          <w:rFonts w:cs="Arial"/>
          <w:b/>
          <w:sz w:val="36"/>
          <w:szCs w:val="36"/>
        </w:rPr>
      </w:pPr>
    </w:p>
    <w:p w14:paraId="713BD6BF" w14:textId="77777777" w:rsidR="004912DC" w:rsidRPr="000F166D" w:rsidRDefault="004912DC" w:rsidP="004912DC">
      <w:pPr>
        <w:jc w:val="center"/>
        <w:rPr>
          <w:rFonts w:cs="Arial"/>
          <w:b/>
          <w:sz w:val="36"/>
          <w:szCs w:val="36"/>
        </w:rPr>
      </w:pPr>
      <w:r w:rsidRPr="000F166D">
        <w:rPr>
          <w:rFonts w:cs="Arial"/>
          <w:b/>
          <w:sz w:val="36"/>
          <w:szCs w:val="36"/>
        </w:rPr>
        <w:t>2014–2020</w:t>
      </w:r>
    </w:p>
    <w:p w14:paraId="1FAA647C" w14:textId="77777777" w:rsidR="004912DC" w:rsidRPr="000F166D" w:rsidRDefault="004912DC" w:rsidP="004912DC">
      <w:pPr>
        <w:jc w:val="both"/>
        <w:rPr>
          <w:rFonts w:cs="Arial"/>
          <w:sz w:val="40"/>
          <w:szCs w:val="40"/>
        </w:rPr>
      </w:pPr>
    </w:p>
    <w:p w14:paraId="66DDAFB4" w14:textId="77777777" w:rsidR="004912DC" w:rsidRPr="000F166D" w:rsidRDefault="004912DC" w:rsidP="004912DC">
      <w:pPr>
        <w:jc w:val="both"/>
        <w:rPr>
          <w:rFonts w:cs="Arial"/>
          <w:sz w:val="40"/>
          <w:szCs w:val="40"/>
        </w:rPr>
      </w:pPr>
    </w:p>
    <w:p w14:paraId="61AA713E" w14:textId="77777777" w:rsidR="004912DC" w:rsidRPr="000F166D" w:rsidRDefault="004912DC" w:rsidP="004912DC">
      <w:pPr>
        <w:jc w:val="both"/>
        <w:rPr>
          <w:rFonts w:cs="Arial"/>
          <w:sz w:val="40"/>
          <w:szCs w:val="40"/>
        </w:rPr>
      </w:pPr>
    </w:p>
    <w:p w14:paraId="62C74418" w14:textId="77777777" w:rsidR="004912DC" w:rsidRPr="000F166D" w:rsidRDefault="004912DC" w:rsidP="004912DC">
      <w:pPr>
        <w:jc w:val="both"/>
        <w:rPr>
          <w:rFonts w:cs="Arial"/>
          <w:sz w:val="32"/>
          <w:szCs w:val="32"/>
        </w:rPr>
      </w:pPr>
    </w:p>
    <w:p w14:paraId="118C2E21" w14:textId="77777777" w:rsidR="004912DC" w:rsidRDefault="004912DC" w:rsidP="004912DC">
      <w:pPr>
        <w:jc w:val="center"/>
        <w:rPr>
          <w:rFonts w:cs="Arial"/>
          <w:sz w:val="40"/>
          <w:szCs w:val="40"/>
        </w:rPr>
      </w:pPr>
    </w:p>
    <w:p w14:paraId="49D2608F" w14:textId="77777777" w:rsidR="004912DC" w:rsidRPr="000F166D" w:rsidRDefault="004912DC" w:rsidP="004912DC">
      <w:pPr>
        <w:jc w:val="center"/>
        <w:rPr>
          <w:rFonts w:cs="Arial"/>
          <w:sz w:val="40"/>
          <w:szCs w:val="40"/>
        </w:rPr>
      </w:pPr>
    </w:p>
    <w:p w14:paraId="26CF2D1C" w14:textId="77777777" w:rsidR="004912DC" w:rsidRPr="000F166D" w:rsidRDefault="004912DC" w:rsidP="004912DC">
      <w:pPr>
        <w:jc w:val="center"/>
        <w:rPr>
          <w:rFonts w:cs="Arial"/>
          <w:sz w:val="40"/>
          <w:szCs w:val="40"/>
        </w:rPr>
      </w:pPr>
      <w:r w:rsidRPr="000F166D">
        <w:rPr>
          <w:rFonts w:cs="Arial"/>
          <w:noProof/>
          <w:color w:val="000000"/>
          <w:szCs w:val="20"/>
          <w:lang w:eastAsia="sl-SI"/>
        </w:rPr>
        <w:drawing>
          <wp:inline distT="0" distB="0" distL="0" distR="0" wp14:anchorId="443BBC4F" wp14:editId="42B3FB57">
            <wp:extent cx="2668772" cy="1291077"/>
            <wp:effectExtent l="0" t="0" r="0" b="444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31034" cy="1321197"/>
                    </a:xfrm>
                    <a:prstGeom prst="rect">
                      <a:avLst/>
                    </a:prstGeom>
                    <a:noFill/>
                    <a:ln>
                      <a:noFill/>
                    </a:ln>
                  </pic:spPr>
                </pic:pic>
              </a:graphicData>
            </a:graphic>
          </wp:inline>
        </w:drawing>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4912DC" w:rsidRPr="000F166D" w14:paraId="1CF710F2" w14:textId="77777777" w:rsidTr="00906890">
        <w:tc>
          <w:tcPr>
            <w:tcW w:w="4927" w:type="dxa"/>
          </w:tcPr>
          <w:p w14:paraId="750258DF" w14:textId="7A947240" w:rsidR="004912DC" w:rsidRPr="000F166D" w:rsidRDefault="004912DC" w:rsidP="00E014AD">
            <w:pPr>
              <w:rPr>
                <w:rFonts w:cs="Arial"/>
                <w:sz w:val="22"/>
                <w:szCs w:val="22"/>
              </w:rPr>
            </w:pPr>
            <w:r w:rsidRPr="000F166D">
              <w:rPr>
                <w:rFonts w:cs="Arial"/>
                <w:sz w:val="22"/>
                <w:szCs w:val="22"/>
              </w:rPr>
              <w:t xml:space="preserve">Ljubljana, </w:t>
            </w:r>
            <w:r w:rsidR="00E014AD">
              <w:rPr>
                <w:rFonts w:cs="Arial"/>
                <w:sz w:val="22"/>
                <w:szCs w:val="22"/>
              </w:rPr>
              <w:t>marec</w:t>
            </w:r>
            <w:r w:rsidR="009F337A" w:rsidRPr="004B7F11">
              <w:rPr>
                <w:rFonts w:cs="Arial"/>
                <w:sz w:val="22"/>
                <w:szCs w:val="22"/>
              </w:rPr>
              <w:t xml:space="preserve"> </w:t>
            </w:r>
            <w:r w:rsidR="00E014AD">
              <w:rPr>
                <w:rFonts w:cs="Arial"/>
                <w:sz w:val="22"/>
                <w:szCs w:val="22"/>
              </w:rPr>
              <w:t>2021</w:t>
            </w:r>
          </w:p>
        </w:tc>
        <w:tc>
          <w:tcPr>
            <w:tcW w:w="4928" w:type="dxa"/>
          </w:tcPr>
          <w:p w14:paraId="76184AB6" w14:textId="77777777" w:rsidR="004912DC" w:rsidRPr="000F166D" w:rsidRDefault="004912DC" w:rsidP="00906890">
            <w:pPr>
              <w:jc w:val="right"/>
              <w:rPr>
                <w:rFonts w:cs="Arial"/>
                <w:sz w:val="22"/>
                <w:szCs w:val="22"/>
              </w:rPr>
            </w:pPr>
            <w:r w:rsidRPr="000F166D">
              <w:rPr>
                <w:rFonts w:cs="Arial"/>
                <w:sz w:val="22"/>
                <w:szCs w:val="22"/>
              </w:rPr>
              <w:t xml:space="preserve">Različica </w:t>
            </w:r>
            <w:r>
              <w:rPr>
                <w:rFonts w:cs="Arial"/>
                <w:sz w:val="22"/>
                <w:szCs w:val="22"/>
              </w:rPr>
              <w:t>1.2</w:t>
            </w:r>
          </w:p>
        </w:tc>
      </w:tr>
      <w:tr w:rsidR="004912DC" w:rsidRPr="000F166D" w14:paraId="3383CD7B" w14:textId="77777777" w:rsidTr="00906890">
        <w:tc>
          <w:tcPr>
            <w:tcW w:w="4927" w:type="dxa"/>
          </w:tcPr>
          <w:p w14:paraId="4D51CBE3" w14:textId="77777777" w:rsidR="004912DC" w:rsidRPr="00F176FF" w:rsidRDefault="004912DC" w:rsidP="00906890">
            <w:pPr>
              <w:rPr>
                <w:rFonts w:cs="Arial"/>
                <w:b/>
                <w:bCs/>
              </w:rPr>
            </w:pPr>
            <w:r w:rsidRPr="00F176FF">
              <w:rPr>
                <w:rFonts w:cs="Arial"/>
                <w:b/>
                <w:bCs/>
              </w:rPr>
              <w:lastRenderedPageBreak/>
              <w:t>Tabela različic</w:t>
            </w:r>
          </w:p>
          <w:p w14:paraId="5607913D" w14:textId="77777777" w:rsidR="004912DC" w:rsidRPr="000F166D" w:rsidRDefault="004912DC" w:rsidP="00906890">
            <w:pPr>
              <w:rPr>
                <w:rFonts w:cs="Arial"/>
                <w:sz w:val="22"/>
                <w:szCs w:val="22"/>
              </w:rPr>
            </w:pPr>
          </w:p>
        </w:tc>
        <w:tc>
          <w:tcPr>
            <w:tcW w:w="4928" w:type="dxa"/>
          </w:tcPr>
          <w:p w14:paraId="7B5BBFD3" w14:textId="77777777" w:rsidR="004912DC" w:rsidRDefault="004912DC" w:rsidP="00906890">
            <w:pPr>
              <w:jc w:val="right"/>
              <w:rPr>
                <w:rFonts w:cs="Arial"/>
                <w:sz w:val="22"/>
                <w:szCs w:val="22"/>
              </w:rPr>
            </w:pPr>
          </w:p>
          <w:p w14:paraId="09DB0CB9" w14:textId="77777777" w:rsidR="004912DC" w:rsidRPr="000F166D" w:rsidRDefault="004912DC" w:rsidP="00906890">
            <w:pPr>
              <w:jc w:val="right"/>
              <w:rPr>
                <w:rFonts w:cs="Arial"/>
                <w:sz w:val="22"/>
                <w:szCs w:val="22"/>
              </w:rPr>
            </w:pPr>
          </w:p>
        </w:tc>
      </w:tr>
    </w:tb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6"/>
        <w:gridCol w:w="1062"/>
        <w:gridCol w:w="2213"/>
        <w:gridCol w:w="2381"/>
        <w:gridCol w:w="2534"/>
      </w:tblGrid>
      <w:tr w:rsidR="004912DC" w:rsidRPr="000F166D" w14:paraId="42DADB39" w14:textId="77777777" w:rsidTr="00D95CEC">
        <w:trPr>
          <w:trHeight w:val="429"/>
          <w:jc w:val="center"/>
        </w:trPr>
        <w:tc>
          <w:tcPr>
            <w:tcW w:w="846" w:type="dxa"/>
            <w:vAlign w:val="center"/>
          </w:tcPr>
          <w:p w14:paraId="626EAAF8" w14:textId="77777777" w:rsidR="004912DC" w:rsidRPr="000F166D" w:rsidRDefault="004912DC" w:rsidP="00906890">
            <w:pPr>
              <w:spacing w:line="276" w:lineRule="auto"/>
              <w:rPr>
                <w:rFonts w:cs="Arial"/>
                <w:b/>
                <w:bCs/>
                <w:sz w:val="16"/>
                <w:szCs w:val="16"/>
              </w:rPr>
            </w:pPr>
            <w:r w:rsidRPr="000F166D">
              <w:rPr>
                <w:rFonts w:cs="Arial"/>
              </w:rPr>
              <w:br w:type="page"/>
            </w:r>
            <w:r w:rsidRPr="000F166D">
              <w:rPr>
                <w:rFonts w:cs="Arial"/>
                <w:b/>
                <w:bCs/>
                <w:sz w:val="16"/>
                <w:szCs w:val="16"/>
              </w:rPr>
              <w:t>Različica</w:t>
            </w:r>
          </w:p>
        </w:tc>
        <w:tc>
          <w:tcPr>
            <w:tcW w:w="1062" w:type="dxa"/>
            <w:vAlign w:val="center"/>
          </w:tcPr>
          <w:p w14:paraId="4AA1CA47" w14:textId="77777777" w:rsidR="004912DC" w:rsidRPr="000F166D" w:rsidRDefault="004912DC" w:rsidP="00906890">
            <w:pPr>
              <w:spacing w:line="276" w:lineRule="auto"/>
              <w:jc w:val="center"/>
              <w:rPr>
                <w:rFonts w:cs="Arial"/>
                <w:b/>
                <w:bCs/>
                <w:sz w:val="16"/>
                <w:szCs w:val="16"/>
              </w:rPr>
            </w:pPr>
            <w:r w:rsidRPr="000F166D">
              <w:rPr>
                <w:rFonts w:cs="Arial"/>
                <w:b/>
                <w:bCs/>
                <w:sz w:val="16"/>
                <w:szCs w:val="16"/>
              </w:rPr>
              <w:t>Datum</w:t>
            </w:r>
            <w:r>
              <w:rPr>
                <w:rFonts w:cs="Arial"/>
                <w:b/>
                <w:bCs/>
                <w:sz w:val="16"/>
                <w:szCs w:val="16"/>
              </w:rPr>
              <w:t xml:space="preserve"> dokumenta</w:t>
            </w:r>
          </w:p>
        </w:tc>
        <w:tc>
          <w:tcPr>
            <w:tcW w:w="2213" w:type="dxa"/>
            <w:vAlign w:val="center"/>
          </w:tcPr>
          <w:p w14:paraId="3BD9EBFF" w14:textId="77777777" w:rsidR="004912DC" w:rsidRPr="000F166D" w:rsidRDefault="004912DC" w:rsidP="00906890">
            <w:pPr>
              <w:spacing w:line="276" w:lineRule="auto"/>
              <w:jc w:val="center"/>
              <w:rPr>
                <w:rFonts w:cs="Arial"/>
                <w:b/>
                <w:bCs/>
                <w:sz w:val="16"/>
                <w:szCs w:val="16"/>
              </w:rPr>
            </w:pPr>
            <w:r w:rsidRPr="000F166D">
              <w:rPr>
                <w:rFonts w:cs="Arial"/>
                <w:b/>
                <w:bCs/>
                <w:sz w:val="16"/>
                <w:szCs w:val="16"/>
              </w:rPr>
              <w:t>Opis</w:t>
            </w:r>
            <w:r>
              <w:rPr>
                <w:rFonts w:cs="Arial"/>
                <w:b/>
                <w:bCs/>
                <w:sz w:val="16"/>
                <w:szCs w:val="16"/>
              </w:rPr>
              <w:t>/sprememba poglavja</w:t>
            </w:r>
          </w:p>
        </w:tc>
        <w:tc>
          <w:tcPr>
            <w:tcW w:w="2381" w:type="dxa"/>
            <w:vAlign w:val="center"/>
          </w:tcPr>
          <w:p w14:paraId="323F6630" w14:textId="77777777" w:rsidR="004912DC" w:rsidRPr="000F166D" w:rsidRDefault="004912DC" w:rsidP="00906890">
            <w:pPr>
              <w:spacing w:line="276" w:lineRule="auto"/>
              <w:jc w:val="center"/>
              <w:rPr>
                <w:rFonts w:cs="Arial"/>
                <w:b/>
                <w:bCs/>
                <w:sz w:val="16"/>
                <w:szCs w:val="16"/>
              </w:rPr>
            </w:pPr>
            <w:r>
              <w:rPr>
                <w:rFonts w:cs="Arial"/>
                <w:b/>
                <w:bCs/>
                <w:sz w:val="16"/>
                <w:szCs w:val="16"/>
              </w:rPr>
              <w:t>P</w:t>
            </w:r>
            <w:r w:rsidRPr="000F166D">
              <w:rPr>
                <w:rFonts w:cs="Arial"/>
                <w:b/>
                <w:bCs/>
                <w:sz w:val="16"/>
                <w:szCs w:val="16"/>
              </w:rPr>
              <w:t>otr</w:t>
            </w:r>
            <w:r>
              <w:rPr>
                <w:rFonts w:cs="Arial"/>
                <w:b/>
                <w:bCs/>
                <w:sz w:val="16"/>
                <w:szCs w:val="16"/>
              </w:rPr>
              <w:t>jeno</w:t>
            </w:r>
            <w:r w:rsidRPr="000F166D">
              <w:rPr>
                <w:rFonts w:cs="Arial"/>
                <w:b/>
                <w:bCs/>
                <w:sz w:val="16"/>
                <w:szCs w:val="16"/>
              </w:rPr>
              <w:t xml:space="preserve"> na Vladi RS</w:t>
            </w:r>
          </w:p>
        </w:tc>
        <w:tc>
          <w:tcPr>
            <w:tcW w:w="2534" w:type="dxa"/>
            <w:vAlign w:val="center"/>
          </w:tcPr>
          <w:p w14:paraId="453FFD07" w14:textId="77777777" w:rsidR="004912DC" w:rsidRPr="000F166D" w:rsidRDefault="004912DC" w:rsidP="00906890">
            <w:pPr>
              <w:spacing w:line="276" w:lineRule="auto"/>
              <w:jc w:val="center"/>
              <w:rPr>
                <w:rFonts w:cs="Arial"/>
                <w:b/>
                <w:bCs/>
                <w:sz w:val="16"/>
                <w:szCs w:val="16"/>
              </w:rPr>
            </w:pPr>
            <w:r w:rsidRPr="000F166D">
              <w:rPr>
                <w:rFonts w:cs="Arial"/>
                <w:b/>
                <w:bCs/>
                <w:sz w:val="16"/>
                <w:szCs w:val="16"/>
              </w:rPr>
              <w:t>Komentar</w:t>
            </w:r>
          </w:p>
        </w:tc>
      </w:tr>
      <w:tr w:rsidR="004912DC" w:rsidRPr="000F166D" w14:paraId="128F2860" w14:textId="77777777" w:rsidTr="00D95CEC">
        <w:trPr>
          <w:trHeight w:val="476"/>
          <w:jc w:val="center"/>
        </w:trPr>
        <w:tc>
          <w:tcPr>
            <w:tcW w:w="846" w:type="dxa"/>
            <w:vAlign w:val="center"/>
          </w:tcPr>
          <w:p w14:paraId="6118DFD7" w14:textId="77777777" w:rsidR="004912DC" w:rsidRPr="000F166D" w:rsidRDefault="004912DC" w:rsidP="00906890">
            <w:pPr>
              <w:spacing w:line="276" w:lineRule="auto"/>
              <w:jc w:val="center"/>
              <w:rPr>
                <w:rFonts w:cs="Arial"/>
                <w:sz w:val="16"/>
                <w:szCs w:val="16"/>
              </w:rPr>
            </w:pPr>
            <w:r w:rsidRPr="000F166D">
              <w:rPr>
                <w:rFonts w:cs="Arial"/>
                <w:sz w:val="16"/>
                <w:szCs w:val="16"/>
              </w:rPr>
              <w:t>1.0</w:t>
            </w:r>
          </w:p>
        </w:tc>
        <w:tc>
          <w:tcPr>
            <w:tcW w:w="1062" w:type="dxa"/>
            <w:shd w:val="clear" w:color="auto" w:fill="auto"/>
            <w:vAlign w:val="center"/>
          </w:tcPr>
          <w:p w14:paraId="1250158C" w14:textId="77777777" w:rsidR="004912DC" w:rsidRPr="000F166D" w:rsidRDefault="004912DC" w:rsidP="00906890">
            <w:pPr>
              <w:spacing w:line="276" w:lineRule="auto"/>
              <w:jc w:val="center"/>
              <w:rPr>
                <w:rFonts w:cs="Arial"/>
                <w:sz w:val="16"/>
                <w:szCs w:val="16"/>
              </w:rPr>
            </w:pPr>
            <w:r>
              <w:rPr>
                <w:rFonts w:cs="Arial"/>
                <w:sz w:val="16"/>
                <w:szCs w:val="16"/>
              </w:rPr>
              <w:t>12. 6.</w:t>
            </w:r>
            <w:r w:rsidRPr="000F166D">
              <w:rPr>
                <w:rFonts w:cs="Arial"/>
                <w:sz w:val="16"/>
                <w:szCs w:val="16"/>
              </w:rPr>
              <w:t xml:space="preserve"> 2017</w:t>
            </w:r>
          </w:p>
        </w:tc>
        <w:tc>
          <w:tcPr>
            <w:tcW w:w="2213" w:type="dxa"/>
            <w:vAlign w:val="center"/>
          </w:tcPr>
          <w:p w14:paraId="2557588E" w14:textId="2D9FCB4F" w:rsidR="004912DC" w:rsidRPr="000F166D" w:rsidRDefault="004912DC" w:rsidP="00FE6A2F">
            <w:pPr>
              <w:spacing w:line="276" w:lineRule="auto"/>
              <w:jc w:val="center"/>
              <w:rPr>
                <w:rFonts w:cs="Arial"/>
                <w:sz w:val="16"/>
                <w:szCs w:val="16"/>
              </w:rPr>
            </w:pPr>
            <w:r w:rsidRPr="000F166D">
              <w:rPr>
                <w:rFonts w:cs="Arial"/>
                <w:sz w:val="16"/>
                <w:szCs w:val="16"/>
              </w:rPr>
              <w:t xml:space="preserve">Osnovna </w:t>
            </w:r>
            <w:r w:rsidR="00FE6A2F">
              <w:rPr>
                <w:rFonts w:cs="Arial"/>
                <w:sz w:val="16"/>
                <w:szCs w:val="16"/>
              </w:rPr>
              <w:t>različica</w:t>
            </w:r>
            <w:r w:rsidRPr="000F166D">
              <w:rPr>
                <w:rFonts w:cs="Arial"/>
                <w:sz w:val="16"/>
                <w:szCs w:val="16"/>
              </w:rPr>
              <w:t xml:space="preserve"> dokumenta</w:t>
            </w:r>
          </w:p>
        </w:tc>
        <w:tc>
          <w:tcPr>
            <w:tcW w:w="2381" w:type="dxa"/>
            <w:vAlign w:val="center"/>
          </w:tcPr>
          <w:p w14:paraId="22ECF802" w14:textId="77777777" w:rsidR="004912DC" w:rsidRPr="00321F26" w:rsidRDefault="004912DC" w:rsidP="00906890">
            <w:pPr>
              <w:spacing w:line="276" w:lineRule="auto"/>
              <w:jc w:val="center"/>
              <w:rPr>
                <w:rFonts w:cs="Arial"/>
                <w:bCs/>
                <w:sz w:val="16"/>
                <w:szCs w:val="16"/>
              </w:rPr>
            </w:pPr>
            <w:r w:rsidRPr="00321F26">
              <w:rPr>
                <w:rFonts w:cs="Arial"/>
                <w:bCs/>
                <w:sz w:val="16"/>
                <w:szCs w:val="16"/>
              </w:rPr>
              <w:t>15.6.2017</w:t>
            </w:r>
          </w:p>
          <w:p w14:paraId="77F335F2" w14:textId="77777777" w:rsidR="004912DC" w:rsidRPr="000F166D" w:rsidRDefault="004912DC" w:rsidP="00906890">
            <w:pPr>
              <w:spacing w:line="276" w:lineRule="auto"/>
              <w:jc w:val="center"/>
              <w:rPr>
                <w:rFonts w:cs="Arial"/>
                <w:bCs/>
                <w:sz w:val="16"/>
                <w:szCs w:val="16"/>
              </w:rPr>
            </w:pPr>
            <w:r w:rsidRPr="00321F26">
              <w:rPr>
                <w:rFonts w:cs="Arial"/>
                <w:bCs/>
                <w:sz w:val="16"/>
                <w:szCs w:val="16"/>
              </w:rPr>
              <w:t>(sklep št. 30300-4/2017/4)</w:t>
            </w:r>
          </w:p>
        </w:tc>
        <w:tc>
          <w:tcPr>
            <w:tcW w:w="2534" w:type="dxa"/>
            <w:vAlign w:val="center"/>
          </w:tcPr>
          <w:p w14:paraId="48698138" w14:textId="77777777" w:rsidR="004912DC" w:rsidRPr="000F166D" w:rsidRDefault="004912DC" w:rsidP="00906890">
            <w:pPr>
              <w:spacing w:line="276" w:lineRule="auto"/>
              <w:rPr>
                <w:rFonts w:cs="Arial"/>
                <w:sz w:val="16"/>
                <w:szCs w:val="16"/>
              </w:rPr>
            </w:pPr>
            <w:r w:rsidRPr="00321F26">
              <w:rPr>
                <w:rFonts w:cs="Arial"/>
                <w:sz w:val="16"/>
                <w:szCs w:val="16"/>
              </w:rPr>
              <w:t>KEFI so osnova za pričetek postopka izbora upravljavca sklada skladov za operacijo finančni instrumenti v programskem obdobju 2014-2020</w:t>
            </w:r>
          </w:p>
        </w:tc>
      </w:tr>
      <w:tr w:rsidR="004912DC" w:rsidRPr="000F166D" w14:paraId="4257CBBA" w14:textId="77777777" w:rsidTr="00D95CEC">
        <w:trPr>
          <w:trHeight w:val="476"/>
          <w:jc w:val="center"/>
        </w:trPr>
        <w:tc>
          <w:tcPr>
            <w:tcW w:w="846" w:type="dxa"/>
            <w:vAlign w:val="center"/>
          </w:tcPr>
          <w:p w14:paraId="190C94FD" w14:textId="77777777" w:rsidR="004912DC" w:rsidRPr="000F166D" w:rsidRDefault="004912DC" w:rsidP="00906890">
            <w:pPr>
              <w:spacing w:line="276" w:lineRule="auto"/>
              <w:jc w:val="center"/>
              <w:rPr>
                <w:rFonts w:cs="Arial"/>
                <w:sz w:val="16"/>
                <w:szCs w:val="16"/>
              </w:rPr>
            </w:pPr>
            <w:r>
              <w:rPr>
                <w:rFonts w:cs="Arial"/>
                <w:sz w:val="16"/>
                <w:szCs w:val="16"/>
              </w:rPr>
              <w:t>1.1</w:t>
            </w:r>
          </w:p>
        </w:tc>
        <w:tc>
          <w:tcPr>
            <w:tcW w:w="1062" w:type="dxa"/>
            <w:shd w:val="clear" w:color="auto" w:fill="auto"/>
            <w:vAlign w:val="center"/>
          </w:tcPr>
          <w:p w14:paraId="12BC6489" w14:textId="77777777" w:rsidR="004912DC" w:rsidRPr="000F166D" w:rsidRDefault="004912DC" w:rsidP="00906890">
            <w:pPr>
              <w:spacing w:line="276" w:lineRule="auto"/>
              <w:jc w:val="center"/>
              <w:rPr>
                <w:rFonts w:cs="Arial"/>
                <w:sz w:val="16"/>
                <w:szCs w:val="16"/>
              </w:rPr>
            </w:pPr>
            <w:r>
              <w:rPr>
                <w:rFonts w:cs="Arial"/>
                <w:sz w:val="16"/>
                <w:szCs w:val="16"/>
              </w:rPr>
              <w:t>24. 8. 2017</w:t>
            </w:r>
          </w:p>
        </w:tc>
        <w:tc>
          <w:tcPr>
            <w:tcW w:w="2213" w:type="dxa"/>
            <w:vAlign w:val="center"/>
          </w:tcPr>
          <w:p w14:paraId="60699F34" w14:textId="77777777" w:rsidR="004912DC" w:rsidRPr="000F166D" w:rsidRDefault="004912DC" w:rsidP="00906890">
            <w:pPr>
              <w:spacing w:line="276" w:lineRule="auto"/>
              <w:jc w:val="center"/>
              <w:rPr>
                <w:rFonts w:cs="Arial"/>
                <w:sz w:val="16"/>
                <w:szCs w:val="16"/>
              </w:rPr>
            </w:pPr>
            <w:r w:rsidRPr="00321F26">
              <w:rPr>
                <w:rFonts w:cs="Arial"/>
                <w:sz w:val="16"/>
                <w:szCs w:val="16"/>
              </w:rPr>
              <w:t>Spremeni se Tabela 10: Finančna sredstva za FI po letih in kohezijskih regijah.</w:t>
            </w:r>
          </w:p>
        </w:tc>
        <w:tc>
          <w:tcPr>
            <w:tcW w:w="2381" w:type="dxa"/>
            <w:vAlign w:val="center"/>
          </w:tcPr>
          <w:p w14:paraId="4F0D7A03" w14:textId="77777777" w:rsidR="004912DC" w:rsidRPr="00321F26" w:rsidRDefault="004912DC" w:rsidP="00906890">
            <w:pPr>
              <w:spacing w:line="276" w:lineRule="auto"/>
              <w:jc w:val="center"/>
              <w:rPr>
                <w:rFonts w:cs="Arial"/>
                <w:bCs/>
                <w:sz w:val="16"/>
                <w:szCs w:val="16"/>
              </w:rPr>
            </w:pPr>
            <w:r w:rsidRPr="00321F26">
              <w:rPr>
                <w:rFonts w:cs="Arial"/>
                <w:bCs/>
                <w:sz w:val="16"/>
                <w:szCs w:val="16"/>
              </w:rPr>
              <w:t>28.9.2017</w:t>
            </w:r>
          </w:p>
          <w:p w14:paraId="530EA30D" w14:textId="77777777" w:rsidR="004912DC" w:rsidRPr="000F166D" w:rsidRDefault="004912DC" w:rsidP="00906890">
            <w:pPr>
              <w:spacing w:line="276" w:lineRule="auto"/>
              <w:jc w:val="center"/>
              <w:rPr>
                <w:rFonts w:cs="Arial"/>
                <w:bCs/>
                <w:sz w:val="16"/>
                <w:szCs w:val="16"/>
              </w:rPr>
            </w:pPr>
            <w:r w:rsidRPr="00321F26">
              <w:rPr>
                <w:rFonts w:cs="Arial"/>
                <w:bCs/>
                <w:sz w:val="16"/>
                <w:szCs w:val="16"/>
              </w:rPr>
              <w:t>(sklep št. 30300-4/2017/8)</w:t>
            </w:r>
          </w:p>
        </w:tc>
        <w:tc>
          <w:tcPr>
            <w:tcW w:w="2534" w:type="dxa"/>
            <w:vAlign w:val="center"/>
          </w:tcPr>
          <w:p w14:paraId="7391FB04" w14:textId="77777777" w:rsidR="004912DC" w:rsidRPr="000F166D" w:rsidRDefault="004912DC" w:rsidP="00906890">
            <w:pPr>
              <w:spacing w:line="276" w:lineRule="auto"/>
              <w:rPr>
                <w:rFonts w:cs="Arial"/>
                <w:sz w:val="16"/>
                <w:szCs w:val="16"/>
              </w:rPr>
            </w:pPr>
            <w:r w:rsidRPr="00321F26">
              <w:rPr>
                <w:rFonts w:cs="Arial"/>
                <w:sz w:val="16"/>
                <w:szCs w:val="16"/>
              </w:rPr>
              <w:t>Spremembe zaradi uskladitve razdelitve finančnih sredstev med Vzhodno in Zahodno kohezijsko regijo na prednostnih naložbah 1.2 in 3.1, glede na predlog spremembe Operativnega programa za izvajanje evropske kohezijske politike v obdobju 2014-2020 Evropski komisiji (“Amendment of the Operational Programme for the Implementation of the European Cohesion Policy in the Period 2014-2020” z dne 11. 7. 2017), ki ga je Služba Vlade Republike Slovenije za razvoj in evropsko kohezijsko politiko, na podlagi sklepa št. 9 4. seje Odbora za spremljanje Operativnega programa za izvajanje evropske kohezijske politike v obdobju 2014-2020 (dokument št. 303-8/2015-258 z dne 13. 6. 2017), posredovala Evropski komisiji</w:t>
            </w:r>
            <w:r>
              <w:rPr>
                <w:rFonts w:cs="Arial"/>
                <w:sz w:val="16"/>
                <w:szCs w:val="16"/>
              </w:rPr>
              <w:t>.</w:t>
            </w:r>
          </w:p>
        </w:tc>
      </w:tr>
      <w:tr w:rsidR="004912DC" w:rsidRPr="000F166D" w14:paraId="05491FB9" w14:textId="77777777" w:rsidTr="00D95CEC">
        <w:trPr>
          <w:trHeight w:val="476"/>
          <w:jc w:val="center"/>
        </w:trPr>
        <w:tc>
          <w:tcPr>
            <w:tcW w:w="846" w:type="dxa"/>
            <w:vAlign w:val="center"/>
          </w:tcPr>
          <w:p w14:paraId="3D2F8167" w14:textId="77777777" w:rsidR="004912DC" w:rsidRDefault="004912DC" w:rsidP="00906890">
            <w:pPr>
              <w:spacing w:line="276" w:lineRule="auto"/>
              <w:jc w:val="center"/>
              <w:rPr>
                <w:rFonts w:cs="Arial"/>
                <w:sz w:val="16"/>
                <w:szCs w:val="16"/>
              </w:rPr>
            </w:pPr>
            <w:r>
              <w:rPr>
                <w:rFonts w:cs="Arial"/>
                <w:sz w:val="16"/>
                <w:szCs w:val="16"/>
              </w:rPr>
              <w:t>1.2</w:t>
            </w:r>
          </w:p>
        </w:tc>
        <w:tc>
          <w:tcPr>
            <w:tcW w:w="1062" w:type="dxa"/>
            <w:shd w:val="clear" w:color="auto" w:fill="auto"/>
            <w:vAlign w:val="center"/>
          </w:tcPr>
          <w:p w14:paraId="6284164C" w14:textId="2BF003B4" w:rsidR="004912DC" w:rsidRPr="0082390E" w:rsidRDefault="00101FF5" w:rsidP="00101FF5">
            <w:pPr>
              <w:spacing w:line="276" w:lineRule="auto"/>
              <w:jc w:val="center"/>
              <w:rPr>
                <w:rFonts w:cs="Arial"/>
                <w:sz w:val="16"/>
                <w:szCs w:val="16"/>
                <w:highlight w:val="yellow"/>
              </w:rPr>
            </w:pPr>
            <w:r>
              <w:rPr>
                <w:rFonts w:cs="Arial"/>
                <w:sz w:val="16"/>
                <w:szCs w:val="16"/>
              </w:rPr>
              <w:t>marec</w:t>
            </w:r>
            <w:r w:rsidR="009F337A">
              <w:rPr>
                <w:rFonts w:cs="Arial"/>
                <w:sz w:val="16"/>
                <w:szCs w:val="16"/>
              </w:rPr>
              <w:t xml:space="preserve"> </w:t>
            </w:r>
            <w:r>
              <w:rPr>
                <w:rFonts w:cs="Arial"/>
                <w:sz w:val="16"/>
                <w:szCs w:val="16"/>
              </w:rPr>
              <w:t>2021</w:t>
            </w:r>
          </w:p>
        </w:tc>
        <w:tc>
          <w:tcPr>
            <w:tcW w:w="2213" w:type="dxa"/>
            <w:vAlign w:val="center"/>
          </w:tcPr>
          <w:p w14:paraId="00583F33" w14:textId="77777777" w:rsidR="004912DC" w:rsidRDefault="004912DC" w:rsidP="00906890">
            <w:pPr>
              <w:spacing w:line="276" w:lineRule="auto"/>
              <w:jc w:val="center"/>
              <w:rPr>
                <w:rFonts w:cs="Arial"/>
                <w:sz w:val="16"/>
                <w:szCs w:val="16"/>
              </w:rPr>
            </w:pPr>
            <w:r>
              <w:rPr>
                <w:rFonts w:cs="Arial"/>
                <w:sz w:val="16"/>
                <w:szCs w:val="16"/>
              </w:rPr>
              <w:t>Povzetek se dopolni z izvedenimi aktivnostmi do datuma dokumenta.</w:t>
            </w:r>
          </w:p>
          <w:p w14:paraId="547D35FB" w14:textId="77777777" w:rsidR="004912DC" w:rsidRDefault="004912DC" w:rsidP="00906890">
            <w:pPr>
              <w:spacing w:line="276" w:lineRule="auto"/>
              <w:jc w:val="center"/>
              <w:rPr>
                <w:rFonts w:cs="Arial"/>
                <w:sz w:val="16"/>
                <w:szCs w:val="16"/>
              </w:rPr>
            </w:pPr>
          </w:p>
          <w:p w14:paraId="628CCFB3" w14:textId="77777777" w:rsidR="004912DC" w:rsidRDefault="004912DC" w:rsidP="00906890">
            <w:pPr>
              <w:spacing w:line="276" w:lineRule="auto"/>
              <w:jc w:val="center"/>
              <w:rPr>
                <w:rFonts w:cs="Arial"/>
                <w:sz w:val="16"/>
                <w:szCs w:val="16"/>
              </w:rPr>
            </w:pPr>
            <w:r>
              <w:rPr>
                <w:rFonts w:cs="Arial"/>
                <w:sz w:val="16"/>
                <w:szCs w:val="16"/>
              </w:rPr>
              <w:t>Spremenita se poglavji 3.2.1.1 in 3.2.1.2.</w:t>
            </w:r>
          </w:p>
          <w:p w14:paraId="4F08F55F" w14:textId="77777777" w:rsidR="004912DC" w:rsidRDefault="004912DC" w:rsidP="00906890">
            <w:pPr>
              <w:spacing w:line="276" w:lineRule="auto"/>
              <w:jc w:val="center"/>
              <w:rPr>
                <w:rFonts w:cs="Arial"/>
                <w:sz w:val="16"/>
                <w:szCs w:val="16"/>
              </w:rPr>
            </w:pPr>
          </w:p>
          <w:p w14:paraId="25BA1435" w14:textId="77777777" w:rsidR="004912DC" w:rsidRDefault="004912DC" w:rsidP="00906890">
            <w:pPr>
              <w:spacing w:line="276" w:lineRule="auto"/>
              <w:jc w:val="center"/>
              <w:rPr>
                <w:rFonts w:cs="Arial"/>
                <w:sz w:val="16"/>
                <w:szCs w:val="16"/>
              </w:rPr>
            </w:pPr>
            <w:r>
              <w:rPr>
                <w:rFonts w:cs="Arial"/>
                <w:sz w:val="16"/>
                <w:szCs w:val="16"/>
              </w:rPr>
              <w:t>Spremenita se tabeli 9 in 14.</w:t>
            </w:r>
          </w:p>
          <w:p w14:paraId="6EA5EECC" w14:textId="77777777" w:rsidR="004912DC" w:rsidRDefault="004912DC" w:rsidP="00906890">
            <w:pPr>
              <w:spacing w:line="276" w:lineRule="auto"/>
              <w:jc w:val="center"/>
              <w:rPr>
                <w:rFonts w:cs="Arial"/>
                <w:sz w:val="16"/>
                <w:szCs w:val="16"/>
              </w:rPr>
            </w:pPr>
          </w:p>
          <w:p w14:paraId="27E5A3A5" w14:textId="77777777" w:rsidR="004912DC" w:rsidRPr="000F166D" w:rsidRDefault="004912DC" w:rsidP="00906890">
            <w:pPr>
              <w:spacing w:line="276" w:lineRule="auto"/>
              <w:jc w:val="center"/>
              <w:rPr>
                <w:rFonts w:cs="Arial"/>
                <w:sz w:val="16"/>
                <w:szCs w:val="16"/>
              </w:rPr>
            </w:pPr>
            <w:r w:rsidRPr="00FE62E8">
              <w:rPr>
                <w:rFonts w:cs="Arial"/>
                <w:sz w:val="16"/>
                <w:szCs w:val="16"/>
              </w:rPr>
              <w:t xml:space="preserve">Izvedejo se manjši </w:t>
            </w:r>
            <w:r>
              <w:rPr>
                <w:rFonts w:cs="Arial"/>
                <w:sz w:val="16"/>
                <w:szCs w:val="16"/>
              </w:rPr>
              <w:t>pravopisni</w:t>
            </w:r>
            <w:r w:rsidRPr="00FE62E8">
              <w:rPr>
                <w:rFonts w:cs="Arial"/>
                <w:sz w:val="16"/>
                <w:szCs w:val="16"/>
              </w:rPr>
              <w:t xml:space="preserve"> popravki.</w:t>
            </w:r>
          </w:p>
        </w:tc>
        <w:tc>
          <w:tcPr>
            <w:tcW w:w="2381" w:type="dxa"/>
            <w:vAlign w:val="center"/>
          </w:tcPr>
          <w:p w14:paraId="2FC3A697" w14:textId="77777777" w:rsidR="004912DC" w:rsidRPr="000F166D" w:rsidRDefault="004912DC" w:rsidP="00906890">
            <w:pPr>
              <w:spacing w:line="276" w:lineRule="auto"/>
              <w:jc w:val="center"/>
              <w:rPr>
                <w:rFonts w:cs="Arial"/>
                <w:bCs/>
                <w:sz w:val="16"/>
                <w:szCs w:val="16"/>
              </w:rPr>
            </w:pPr>
          </w:p>
        </w:tc>
        <w:tc>
          <w:tcPr>
            <w:tcW w:w="2534" w:type="dxa"/>
            <w:vAlign w:val="center"/>
          </w:tcPr>
          <w:p w14:paraId="07A2A2B8" w14:textId="2E284B92" w:rsidR="004912DC" w:rsidRDefault="004912DC" w:rsidP="00906890">
            <w:pPr>
              <w:spacing w:line="276" w:lineRule="auto"/>
              <w:rPr>
                <w:rFonts w:cs="Arial"/>
                <w:sz w:val="16"/>
                <w:szCs w:val="16"/>
              </w:rPr>
            </w:pPr>
            <w:r w:rsidRPr="00321F26">
              <w:rPr>
                <w:rFonts w:cs="Arial"/>
                <w:sz w:val="16"/>
                <w:szCs w:val="16"/>
              </w:rPr>
              <w:t xml:space="preserve">Sprememba KEFI zaradi trajne </w:t>
            </w:r>
            <w:r w:rsidR="00DE54C9">
              <w:rPr>
                <w:rFonts w:cs="Arial"/>
                <w:sz w:val="16"/>
                <w:szCs w:val="16"/>
              </w:rPr>
              <w:t>dodelitve</w:t>
            </w:r>
            <w:r w:rsidR="00DE54C9" w:rsidRPr="00321F26">
              <w:rPr>
                <w:rFonts w:cs="Arial"/>
                <w:sz w:val="16"/>
                <w:szCs w:val="16"/>
              </w:rPr>
              <w:t xml:space="preserve"> </w:t>
            </w:r>
            <w:r w:rsidRPr="00321F26">
              <w:rPr>
                <w:rFonts w:cs="Arial"/>
                <w:sz w:val="16"/>
                <w:szCs w:val="16"/>
              </w:rPr>
              <w:t xml:space="preserve">sredstev </w:t>
            </w:r>
            <w:r w:rsidR="00DE54C9">
              <w:rPr>
                <w:rFonts w:cs="Arial"/>
                <w:sz w:val="16"/>
                <w:szCs w:val="16"/>
              </w:rPr>
              <w:t>(</w:t>
            </w:r>
            <w:r w:rsidRPr="00321F26">
              <w:rPr>
                <w:rFonts w:cs="Arial"/>
                <w:sz w:val="16"/>
                <w:szCs w:val="16"/>
              </w:rPr>
              <w:t>iz finančnega produkta portfeljske garancije za RRI za velika podjetja</w:t>
            </w:r>
            <w:r w:rsidR="00DE54C9">
              <w:rPr>
                <w:rFonts w:cs="Arial"/>
                <w:sz w:val="16"/>
                <w:szCs w:val="16"/>
              </w:rPr>
              <w:t>)</w:t>
            </w:r>
            <w:r w:rsidRPr="00321F26">
              <w:rPr>
                <w:rFonts w:cs="Arial"/>
                <w:sz w:val="16"/>
                <w:szCs w:val="16"/>
              </w:rPr>
              <w:t xml:space="preserve"> na finančni produkt posojila za RRI v celotni kvoti 10 mio EUR (EU del) zaradi neinteresa finančnih institucij za izvajanje finančnega produkta.</w:t>
            </w:r>
            <w:r>
              <w:rPr>
                <w:rFonts w:cs="Arial"/>
                <w:sz w:val="16"/>
                <w:szCs w:val="16"/>
              </w:rPr>
              <w:t xml:space="preserve"> Spremeni se kazalnik CO01 po finančnih produktih (posojila za RRI, portfeljske garancije za RRI za velika podjetja) na PN1.2, pri čemer ostaja kazalnik CO03 za PN1.2 nespremenjen.</w:t>
            </w:r>
          </w:p>
        </w:tc>
      </w:tr>
    </w:tbl>
    <w:p w14:paraId="6152BC7E" w14:textId="7AAC36B7" w:rsidR="007B7A57" w:rsidRDefault="007B7A57" w:rsidP="004912DC"/>
    <w:p w14:paraId="3BBC085C" w14:textId="77777777" w:rsidR="007B7A57" w:rsidRDefault="007B7A57">
      <w:pPr>
        <w:spacing w:after="160" w:line="259" w:lineRule="auto"/>
      </w:pPr>
      <w:r>
        <w:br w:type="page"/>
      </w:r>
    </w:p>
    <w:sdt>
      <w:sdtPr>
        <w:rPr>
          <w:rFonts w:cs="Arial"/>
        </w:rPr>
        <w:id w:val="1722247980"/>
        <w:docPartObj>
          <w:docPartGallery w:val="Table of Contents"/>
          <w:docPartUnique/>
        </w:docPartObj>
      </w:sdtPr>
      <w:sdtEndPr>
        <w:rPr>
          <w:bCs/>
          <w:sz w:val="22"/>
        </w:rPr>
      </w:sdtEndPr>
      <w:sdtContent>
        <w:p w14:paraId="730E6B94" w14:textId="77777777" w:rsidR="004912DC" w:rsidRPr="000F166D" w:rsidRDefault="004912DC" w:rsidP="004912DC">
          <w:pPr>
            <w:rPr>
              <w:rFonts w:cs="Arial"/>
            </w:rPr>
          </w:pPr>
          <w:r w:rsidRPr="000F166D">
            <w:rPr>
              <w:rFonts w:cs="Arial"/>
              <w:color w:val="2E74B5"/>
              <w:sz w:val="32"/>
              <w:szCs w:val="32"/>
              <w:lang w:eastAsia="sl-SI"/>
            </w:rPr>
            <w:t>Vsebina</w:t>
          </w:r>
        </w:p>
        <w:p w14:paraId="0B41F4B2" w14:textId="2E7C6F93" w:rsidR="004912DC" w:rsidRDefault="004912DC" w:rsidP="004912DC">
          <w:pPr>
            <w:pStyle w:val="Kazalovsebine2"/>
            <w:rPr>
              <w:rFonts w:cstheme="minorBidi"/>
              <w:noProof/>
            </w:rPr>
          </w:pPr>
          <w:r w:rsidRPr="000F166D">
            <w:rPr>
              <w:rFonts w:ascii="Arial" w:hAnsi="Arial" w:cs="Arial"/>
              <w:sz w:val="24"/>
            </w:rPr>
            <w:fldChar w:fldCharType="begin"/>
          </w:r>
          <w:r w:rsidRPr="000F166D">
            <w:rPr>
              <w:rFonts w:ascii="Arial" w:hAnsi="Arial" w:cs="Arial"/>
            </w:rPr>
            <w:instrText xml:space="preserve"> TOC \o "1-3" \h \z \u </w:instrText>
          </w:r>
          <w:r w:rsidRPr="000F166D">
            <w:rPr>
              <w:rFonts w:ascii="Arial" w:hAnsi="Arial" w:cs="Arial"/>
              <w:sz w:val="24"/>
            </w:rPr>
            <w:fldChar w:fldCharType="separate"/>
          </w:r>
          <w:hyperlink w:anchor="_Toc54857909" w:history="1">
            <w:r w:rsidRPr="00A43F97">
              <w:rPr>
                <w:rStyle w:val="Hiperpovezava"/>
                <w:rFonts w:cs="Arial"/>
                <w:b/>
                <w:noProof/>
              </w:rPr>
              <w:t>Seznam kratic</w:t>
            </w:r>
            <w:r>
              <w:rPr>
                <w:noProof/>
                <w:webHidden/>
              </w:rPr>
              <w:tab/>
            </w:r>
            <w:r>
              <w:rPr>
                <w:noProof/>
                <w:webHidden/>
              </w:rPr>
              <w:fldChar w:fldCharType="begin"/>
            </w:r>
            <w:r>
              <w:rPr>
                <w:noProof/>
                <w:webHidden/>
              </w:rPr>
              <w:instrText xml:space="preserve"> PAGEREF _Toc54857909 \h </w:instrText>
            </w:r>
            <w:r>
              <w:rPr>
                <w:noProof/>
                <w:webHidden/>
              </w:rPr>
            </w:r>
            <w:r>
              <w:rPr>
                <w:noProof/>
                <w:webHidden/>
              </w:rPr>
              <w:fldChar w:fldCharType="separate"/>
            </w:r>
            <w:r w:rsidR="00704263">
              <w:rPr>
                <w:noProof/>
                <w:webHidden/>
              </w:rPr>
              <w:t>16</w:t>
            </w:r>
            <w:r>
              <w:rPr>
                <w:noProof/>
                <w:webHidden/>
              </w:rPr>
              <w:fldChar w:fldCharType="end"/>
            </w:r>
          </w:hyperlink>
        </w:p>
        <w:p w14:paraId="7C5501BD" w14:textId="5C5182C8" w:rsidR="004912DC" w:rsidRDefault="003F3255" w:rsidP="004912DC">
          <w:pPr>
            <w:pStyle w:val="Kazalovsebine2"/>
            <w:rPr>
              <w:rFonts w:cstheme="minorBidi"/>
              <w:noProof/>
            </w:rPr>
          </w:pPr>
          <w:hyperlink w:anchor="_Toc54857910" w:history="1">
            <w:r w:rsidR="004912DC" w:rsidRPr="00A43F97">
              <w:rPr>
                <w:rStyle w:val="Hiperpovezava"/>
                <w:rFonts w:cs="Arial"/>
                <w:b/>
                <w:noProof/>
              </w:rPr>
              <w:t>Povzetek</w:t>
            </w:r>
            <w:r w:rsidR="004912DC">
              <w:rPr>
                <w:noProof/>
                <w:webHidden/>
              </w:rPr>
              <w:tab/>
            </w:r>
            <w:r w:rsidR="004912DC">
              <w:rPr>
                <w:noProof/>
                <w:webHidden/>
              </w:rPr>
              <w:fldChar w:fldCharType="begin"/>
            </w:r>
            <w:r w:rsidR="004912DC">
              <w:rPr>
                <w:noProof/>
                <w:webHidden/>
              </w:rPr>
              <w:instrText xml:space="preserve"> PAGEREF _Toc54857910 \h </w:instrText>
            </w:r>
            <w:r w:rsidR="004912DC">
              <w:rPr>
                <w:noProof/>
                <w:webHidden/>
              </w:rPr>
            </w:r>
            <w:r w:rsidR="004912DC">
              <w:rPr>
                <w:noProof/>
                <w:webHidden/>
              </w:rPr>
              <w:fldChar w:fldCharType="separate"/>
            </w:r>
            <w:r w:rsidR="00704263">
              <w:rPr>
                <w:noProof/>
                <w:webHidden/>
              </w:rPr>
              <w:t>17</w:t>
            </w:r>
            <w:r w:rsidR="004912DC">
              <w:rPr>
                <w:noProof/>
                <w:webHidden/>
              </w:rPr>
              <w:fldChar w:fldCharType="end"/>
            </w:r>
          </w:hyperlink>
        </w:p>
        <w:p w14:paraId="6430AEE3" w14:textId="75DD3A3E" w:rsidR="004912DC" w:rsidRDefault="003F3255" w:rsidP="004912DC">
          <w:pPr>
            <w:pStyle w:val="Kazalovsebine2"/>
            <w:rPr>
              <w:rFonts w:cstheme="minorBidi"/>
              <w:noProof/>
            </w:rPr>
          </w:pPr>
          <w:hyperlink w:anchor="_Toc54857911" w:history="1">
            <w:r w:rsidR="004912DC" w:rsidRPr="00A43F97">
              <w:rPr>
                <w:rStyle w:val="Hiperpovezava"/>
                <w:rFonts w:cs="Arial"/>
                <w:b/>
                <w:noProof/>
              </w:rPr>
              <w:t>1. Uvod</w:t>
            </w:r>
            <w:r w:rsidR="004912DC">
              <w:rPr>
                <w:noProof/>
                <w:webHidden/>
              </w:rPr>
              <w:tab/>
            </w:r>
            <w:r w:rsidR="004912DC">
              <w:rPr>
                <w:noProof/>
                <w:webHidden/>
              </w:rPr>
              <w:fldChar w:fldCharType="begin"/>
            </w:r>
            <w:r w:rsidR="004912DC">
              <w:rPr>
                <w:noProof/>
                <w:webHidden/>
              </w:rPr>
              <w:instrText xml:space="preserve"> PAGEREF _Toc54857911 \h </w:instrText>
            </w:r>
            <w:r w:rsidR="004912DC">
              <w:rPr>
                <w:noProof/>
                <w:webHidden/>
              </w:rPr>
            </w:r>
            <w:r w:rsidR="004912DC">
              <w:rPr>
                <w:noProof/>
                <w:webHidden/>
              </w:rPr>
              <w:fldChar w:fldCharType="separate"/>
            </w:r>
            <w:r w:rsidR="00704263">
              <w:rPr>
                <w:noProof/>
                <w:webHidden/>
              </w:rPr>
              <w:t>20</w:t>
            </w:r>
            <w:r w:rsidR="004912DC">
              <w:rPr>
                <w:noProof/>
                <w:webHidden/>
              </w:rPr>
              <w:fldChar w:fldCharType="end"/>
            </w:r>
          </w:hyperlink>
        </w:p>
        <w:p w14:paraId="3AB224CA" w14:textId="06328107" w:rsidR="004912DC" w:rsidRDefault="003F3255" w:rsidP="004912DC">
          <w:pPr>
            <w:pStyle w:val="Kazalovsebine2"/>
            <w:rPr>
              <w:rFonts w:cstheme="minorBidi"/>
              <w:noProof/>
            </w:rPr>
          </w:pPr>
          <w:hyperlink w:anchor="_Toc54857912" w:history="1">
            <w:r w:rsidR="004912DC" w:rsidRPr="00A43F97">
              <w:rPr>
                <w:rStyle w:val="Hiperpovezava"/>
                <w:rFonts w:cs="Arial"/>
                <w:b/>
                <w:noProof/>
              </w:rPr>
              <w:t>2. Izhodišča</w:t>
            </w:r>
            <w:r w:rsidR="004912DC">
              <w:rPr>
                <w:noProof/>
                <w:webHidden/>
              </w:rPr>
              <w:tab/>
            </w:r>
            <w:r w:rsidR="004912DC">
              <w:rPr>
                <w:noProof/>
                <w:webHidden/>
              </w:rPr>
              <w:fldChar w:fldCharType="begin"/>
            </w:r>
            <w:r w:rsidR="004912DC">
              <w:rPr>
                <w:noProof/>
                <w:webHidden/>
              </w:rPr>
              <w:instrText xml:space="preserve"> PAGEREF _Toc54857912 \h </w:instrText>
            </w:r>
            <w:r w:rsidR="004912DC">
              <w:rPr>
                <w:noProof/>
                <w:webHidden/>
              </w:rPr>
            </w:r>
            <w:r w:rsidR="004912DC">
              <w:rPr>
                <w:noProof/>
                <w:webHidden/>
              </w:rPr>
              <w:fldChar w:fldCharType="separate"/>
            </w:r>
            <w:r w:rsidR="00704263">
              <w:rPr>
                <w:noProof/>
                <w:webHidden/>
              </w:rPr>
              <w:t>23</w:t>
            </w:r>
            <w:r w:rsidR="004912DC">
              <w:rPr>
                <w:noProof/>
                <w:webHidden/>
              </w:rPr>
              <w:fldChar w:fldCharType="end"/>
            </w:r>
          </w:hyperlink>
        </w:p>
        <w:p w14:paraId="5F3A298E" w14:textId="7C3ADCF2" w:rsidR="004912DC" w:rsidRDefault="003F3255" w:rsidP="004912DC">
          <w:pPr>
            <w:pStyle w:val="Kazalovsebine3"/>
            <w:rPr>
              <w:rFonts w:cstheme="minorBidi"/>
              <w:noProof/>
            </w:rPr>
          </w:pPr>
          <w:hyperlink w:anchor="_Toc54857913" w:history="1">
            <w:r w:rsidR="004912DC" w:rsidRPr="00A43F97">
              <w:rPr>
                <w:rStyle w:val="Hiperpovezava"/>
                <w:rFonts w:cs="Arial"/>
                <w:b/>
                <w:noProof/>
              </w:rPr>
              <w:t>2.1 Pravne podlage</w:t>
            </w:r>
            <w:r w:rsidR="004912DC">
              <w:rPr>
                <w:noProof/>
                <w:webHidden/>
              </w:rPr>
              <w:tab/>
            </w:r>
            <w:r w:rsidR="004912DC">
              <w:rPr>
                <w:noProof/>
                <w:webHidden/>
              </w:rPr>
              <w:fldChar w:fldCharType="begin"/>
            </w:r>
            <w:r w:rsidR="004912DC">
              <w:rPr>
                <w:noProof/>
                <w:webHidden/>
              </w:rPr>
              <w:instrText xml:space="preserve"> PAGEREF _Toc54857913 \h </w:instrText>
            </w:r>
            <w:r w:rsidR="004912DC">
              <w:rPr>
                <w:noProof/>
                <w:webHidden/>
              </w:rPr>
            </w:r>
            <w:r w:rsidR="004912DC">
              <w:rPr>
                <w:noProof/>
                <w:webHidden/>
              </w:rPr>
              <w:fldChar w:fldCharType="separate"/>
            </w:r>
            <w:r w:rsidR="00704263">
              <w:rPr>
                <w:noProof/>
                <w:webHidden/>
              </w:rPr>
              <w:t>23</w:t>
            </w:r>
            <w:r w:rsidR="004912DC">
              <w:rPr>
                <w:noProof/>
                <w:webHidden/>
              </w:rPr>
              <w:fldChar w:fldCharType="end"/>
            </w:r>
          </w:hyperlink>
        </w:p>
        <w:p w14:paraId="55591410" w14:textId="00F55BFC" w:rsidR="004912DC" w:rsidRDefault="003F3255" w:rsidP="004912DC">
          <w:pPr>
            <w:pStyle w:val="Kazalovsebine3"/>
            <w:rPr>
              <w:rFonts w:cstheme="minorBidi"/>
              <w:noProof/>
            </w:rPr>
          </w:pPr>
          <w:hyperlink w:anchor="_Toc54857914" w:history="1">
            <w:r w:rsidR="004912DC" w:rsidRPr="00A43F97">
              <w:rPr>
                <w:rStyle w:val="Hiperpovezava"/>
                <w:rFonts w:cs="Arial"/>
                <w:b/>
                <w:noProof/>
              </w:rPr>
              <w:t>2.2 Tržne vrzeli na področju finančnih instrumentov</w:t>
            </w:r>
            <w:r w:rsidR="004912DC">
              <w:rPr>
                <w:noProof/>
                <w:webHidden/>
              </w:rPr>
              <w:tab/>
            </w:r>
            <w:r w:rsidR="004912DC">
              <w:rPr>
                <w:noProof/>
                <w:webHidden/>
              </w:rPr>
              <w:fldChar w:fldCharType="begin"/>
            </w:r>
            <w:r w:rsidR="004912DC">
              <w:rPr>
                <w:noProof/>
                <w:webHidden/>
              </w:rPr>
              <w:instrText xml:space="preserve"> PAGEREF _Toc54857914 \h </w:instrText>
            </w:r>
            <w:r w:rsidR="004912DC">
              <w:rPr>
                <w:noProof/>
                <w:webHidden/>
              </w:rPr>
            </w:r>
            <w:r w:rsidR="004912DC">
              <w:rPr>
                <w:noProof/>
                <w:webHidden/>
              </w:rPr>
              <w:fldChar w:fldCharType="separate"/>
            </w:r>
            <w:r w:rsidR="00704263">
              <w:rPr>
                <w:noProof/>
                <w:webHidden/>
              </w:rPr>
              <w:t>25</w:t>
            </w:r>
            <w:r w:rsidR="004912DC">
              <w:rPr>
                <w:noProof/>
                <w:webHidden/>
              </w:rPr>
              <w:fldChar w:fldCharType="end"/>
            </w:r>
          </w:hyperlink>
        </w:p>
        <w:p w14:paraId="55637DBB" w14:textId="694A2E6C" w:rsidR="004912DC" w:rsidRDefault="003F3255" w:rsidP="004912DC">
          <w:pPr>
            <w:pStyle w:val="Kazalovsebine3"/>
            <w:rPr>
              <w:rFonts w:cstheme="minorBidi"/>
              <w:noProof/>
            </w:rPr>
          </w:pPr>
          <w:hyperlink w:anchor="_Toc54857915" w:history="1">
            <w:r w:rsidR="004912DC" w:rsidRPr="00A43F97">
              <w:rPr>
                <w:rStyle w:val="Hiperpovezava"/>
                <w:rFonts w:cs="Arial"/>
                <w:b/>
                <w:noProof/>
              </w:rPr>
              <w:t>2.3 Obstoječi finančni instrumenti in pridobljene izkušnje</w:t>
            </w:r>
            <w:r w:rsidR="004912DC">
              <w:rPr>
                <w:noProof/>
                <w:webHidden/>
              </w:rPr>
              <w:tab/>
            </w:r>
            <w:r w:rsidR="004912DC">
              <w:rPr>
                <w:noProof/>
                <w:webHidden/>
              </w:rPr>
              <w:fldChar w:fldCharType="begin"/>
            </w:r>
            <w:r w:rsidR="004912DC">
              <w:rPr>
                <w:noProof/>
                <w:webHidden/>
              </w:rPr>
              <w:instrText xml:space="preserve"> PAGEREF _Toc54857915 \h </w:instrText>
            </w:r>
            <w:r w:rsidR="004912DC">
              <w:rPr>
                <w:noProof/>
                <w:webHidden/>
              </w:rPr>
            </w:r>
            <w:r w:rsidR="004912DC">
              <w:rPr>
                <w:noProof/>
                <w:webHidden/>
              </w:rPr>
              <w:fldChar w:fldCharType="separate"/>
            </w:r>
            <w:r w:rsidR="00704263">
              <w:rPr>
                <w:noProof/>
                <w:webHidden/>
              </w:rPr>
              <w:t>29</w:t>
            </w:r>
            <w:r w:rsidR="004912DC">
              <w:rPr>
                <w:noProof/>
                <w:webHidden/>
              </w:rPr>
              <w:fldChar w:fldCharType="end"/>
            </w:r>
          </w:hyperlink>
        </w:p>
        <w:p w14:paraId="64DB598E" w14:textId="01A8A557" w:rsidR="004912DC" w:rsidRDefault="003F3255" w:rsidP="004912DC">
          <w:pPr>
            <w:pStyle w:val="Kazalovsebine2"/>
            <w:rPr>
              <w:rFonts w:cstheme="minorBidi"/>
              <w:noProof/>
            </w:rPr>
          </w:pPr>
          <w:hyperlink w:anchor="_Toc54857916" w:history="1">
            <w:r w:rsidR="004912DC" w:rsidRPr="00A43F97">
              <w:rPr>
                <w:rStyle w:val="Hiperpovezava"/>
                <w:rFonts w:cs="Arial"/>
                <w:b/>
                <w:noProof/>
              </w:rPr>
              <w:t>3. Naložbena strategija in načrtovanje finančnih instrumentov</w:t>
            </w:r>
            <w:r w:rsidR="004912DC">
              <w:rPr>
                <w:noProof/>
                <w:webHidden/>
              </w:rPr>
              <w:tab/>
            </w:r>
            <w:r w:rsidR="004912DC">
              <w:rPr>
                <w:noProof/>
                <w:webHidden/>
              </w:rPr>
              <w:fldChar w:fldCharType="begin"/>
            </w:r>
            <w:r w:rsidR="004912DC">
              <w:rPr>
                <w:noProof/>
                <w:webHidden/>
              </w:rPr>
              <w:instrText xml:space="preserve"> PAGEREF _Toc54857916 \h </w:instrText>
            </w:r>
            <w:r w:rsidR="004912DC">
              <w:rPr>
                <w:noProof/>
                <w:webHidden/>
              </w:rPr>
            </w:r>
            <w:r w:rsidR="004912DC">
              <w:rPr>
                <w:noProof/>
                <w:webHidden/>
              </w:rPr>
              <w:fldChar w:fldCharType="separate"/>
            </w:r>
            <w:r w:rsidR="00704263">
              <w:rPr>
                <w:noProof/>
                <w:webHidden/>
              </w:rPr>
              <w:t>33</w:t>
            </w:r>
            <w:r w:rsidR="004912DC">
              <w:rPr>
                <w:noProof/>
                <w:webHidden/>
              </w:rPr>
              <w:fldChar w:fldCharType="end"/>
            </w:r>
          </w:hyperlink>
        </w:p>
        <w:p w14:paraId="4E0788A2" w14:textId="5F3C8C71" w:rsidR="004912DC" w:rsidRDefault="003F3255" w:rsidP="004912DC">
          <w:pPr>
            <w:pStyle w:val="Kazalovsebine3"/>
            <w:rPr>
              <w:rFonts w:cstheme="minorBidi"/>
              <w:noProof/>
            </w:rPr>
          </w:pPr>
          <w:hyperlink w:anchor="_Toc54857917" w:history="1">
            <w:r w:rsidR="004912DC" w:rsidRPr="00A43F97">
              <w:rPr>
                <w:rStyle w:val="Hiperpovezava"/>
                <w:rFonts w:eastAsia="Calibri" w:cs="Arial"/>
                <w:b/>
                <w:noProof/>
              </w:rPr>
              <w:t>3.1 Izvedbeni pogoji</w:t>
            </w:r>
            <w:r w:rsidR="004912DC">
              <w:rPr>
                <w:noProof/>
                <w:webHidden/>
              </w:rPr>
              <w:tab/>
            </w:r>
            <w:r w:rsidR="004912DC">
              <w:rPr>
                <w:noProof/>
                <w:webHidden/>
              </w:rPr>
              <w:fldChar w:fldCharType="begin"/>
            </w:r>
            <w:r w:rsidR="004912DC">
              <w:rPr>
                <w:noProof/>
                <w:webHidden/>
              </w:rPr>
              <w:instrText xml:space="preserve"> PAGEREF _Toc54857917 \h </w:instrText>
            </w:r>
            <w:r w:rsidR="004912DC">
              <w:rPr>
                <w:noProof/>
                <w:webHidden/>
              </w:rPr>
            </w:r>
            <w:r w:rsidR="004912DC">
              <w:rPr>
                <w:noProof/>
                <w:webHidden/>
              </w:rPr>
              <w:fldChar w:fldCharType="separate"/>
            </w:r>
            <w:r w:rsidR="00704263">
              <w:rPr>
                <w:noProof/>
                <w:webHidden/>
              </w:rPr>
              <w:t>33</w:t>
            </w:r>
            <w:r w:rsidR="004912DC">
              <w:rPr>
                <w:noProof/>
                <w:webHidden/>
              </w:rPr>
              <w:fldChar w:fldCharType="end"/>
            </w:r>
          </w:hyperlink>
        </w:p>
        <w:p w14:paraId="121185D9" w14:textId="0CF90799" w:rsidR="004912DC" w:rsidRDefault="003F3255" w:rsidP="004912DC">
          <w:pPr>
            <w:pStyle w:val="Kazalovsebine3"/>
            <w:rPr>
              <w:rFonts w:cstheme="minorBidi"/>
              <w:noProof/>
            </w:rPr>
          </w:pPr>
          <w:hyperlink w:anchor="_Toc54857918" w:history="1">
            <w:r w:rsidR="004912DC" w:rsidRPr="00A43F97">
              <w:rPr>
                <w:rStyle w:val="Hiperpovezava"/>
                <w:rFonts w:eastAsia="Calibri" w:cs="Arial"/>
                <w:b/>
                <w:noProof/>
              </w:rPr>
              <w:t>3.2 Načrtovani finančni produkti in ciljne skupine</w:t>
            </w:r>
            <w:r w:rsidR="004912DC">
              <w:rPr>
                <w:noProof/>
                <w:webHidden/>
              </w:rPr>
              <w:tab/>
            </w:r>
            <w:r w:rsidR="004912DC">
              <w:rPr>
                <w:noProof/>
                <w:webHidden/>
              </w:rPr>
              <w:fldChar w:fldCharType="begin"/>
            </w:r>
            <w:r w:rsidR="004912DC">
              <w:rPr>
                <w:noProof/>
                <w:webHidden/>
              </w:rPr>
              <w:instrText xml:space="preserve"> PAGEREF _Toc54857918 \h </w:instrText>
            </w:r>
            <w:r w:rsidR="004912DC">
              <w:rPr>
                <w:noProof/>
                <w:webHidden/>
              </w:rPr>
            </w:r>
            <w:r w:rsidR="004912DC">
              <w:rPr>
                <w:noProof/>
                <w:webHidden/>
              </w:rPr>
              <w:fldChar w:fldCharType="separate"/>
            </w:r>
            <w:r w:rsidR="00704263">
              <w:rPr>
                <w:noProof/>
                <w:webHidden/>
              </w:rPr>
              <w:t>37</w:t>
            </w:r>
            <w:r w:rsidR="004912DC">
              <w:rPr>
                <w:noProof/>
                <w:webHidden/>
              </w:rPr>
              <w:fldChar w:fldCharType="end"/>
            </w:r>
          </w:hyperlink>
        </w:p>
        <w:p w14:paraId="454884E3" w14:textId="717B891E" w:rsidR="004912DC" w:rsidRDefault="003F3255" w:rsidP="004912DC">
          <w:pPr>
            <w:pStyle w:val="Kazalovsebine3"/>
            <w:rPr>
              <w:rFonts w:cstheme="minorBidi"/>
              <w:noProof/>
            </w:rPr>
          </w:pPr>
          <w:hyperlink w:anchor="_Toc54857919" w:history="1">
            <w:r w:rsidR="004912DC" w:rsidRPr="00A43F97">
              <w:rPr>
                <w:rStyle w:val="Hiperpovezava"/>
                <w:rFonts w:eastAsia="Calibri" w:cs="Arial"/>
                <w:b/>
                <w:noProof/>
              </w:rPr>
              <w:t>3.3 Kombinacija z nepovratnimi sredstvi ESI skladov</w:t>
            </w:r>
            <w:r w:rsidR="004912DC">
              <w:rPr>
                <w:noProof/>
                <w:webHidden/>
              </w:rPr>
              <w:tab/>
            </w:r>
            <w:r w:rsidR="004912DC">
              <w:rPr>
                <w:noProof/>
                <w:webHidden/>
              </w:rPr>
              <w:fldChar w:fldCharType="begin"/>
            </w:r>
            <w:r w:rsidR="004912DC">
              <w:rPr>
                <w:noProof/>
                <w:webHidden/>
              </w:rPr>
              <w:instrText xml:space="preserve"> PAGEREF _Toc54857919 \h </w:instrText>
            </w:r>
            <w:r w:rsidR="004912DC">
              <w:rPr>
                <w:noProof/>
                <w:webHidden/>
              </w:rPr>
            </w:r>
            <w:r w:rsidR="004912DC">
              <w:rPr>
                <w:noProof/>
                <w:webHidden/>
              </w:rPr>
              <w:fldChar w:fldCharType="separate"/>
            </w:r>
            <w:r w:rsidR="00704263">
              <w:rPr>
                <w:noProof/>
                <w:webHidden/>
              </w:rPr>
              <w:t>47</w:t>
            </w:r>
            <w:r w:rsidR="004912DC">
              <w:rPr>
                <w:noProof/>
                <w:webHidden/>
              </w:rPr>
              <w:fldChar w:fldCharType="end"/>
            </w:r>
          </w:hyperlink>
        </w:p>
        <w:p w14:paraId="0A1ED501" w14:textId="0B4F09BE" w:rsidR="004912DC" w:rsidRDefault="003F3255" w:rsidP="004912DC">
          <w:pPr>
            <w:pStyle w:val="Kazalovsebine3"/>
            <w:rPr>
              <w:rFonts w:cstheme="minorBidi"/>
              <w:noProof/>
            </w:rPr>
          </w:pPr>
          <w:hyperlink w:anchor="_Toc54857920" w:history="1">
            <w:r w:rsidR="004912DC" w:rsidRPr="00A43F97">
              <w:rPr>
                <w:rStyle w:val="Hiperpovezava"/>
                <w:rFonts w:eastAsia="Calibri" w:cs="Arial"/>
                <w:b/>
                <w:noProof/>
              </w:rPr>
              <w:t>3.4 Drugi viri financiranja finančnih instrumentov</w:t>
            </w:r>
            <w:r w:rsidR="004912DC">
              <w:rPr>
                <w:noProof/>
                <w:webHidden/>
              </w:rPr>
              <w:tab/>
            </w:r>
            <w:r w:rsidR="004912DC">
              <w:rPr>
                <w:noProof/>
                <w:webHidden/>
              </w:rPr>
              <w:fldChar w:fldCharType="begin"/>
            </w:r>
            <w:r w:rsidR="004912DC">
              <w:rPr>
                <w:noProof/>
                <w:webHidden/>
              </w:rPr>
              <w:instrText xml:space="preserve"> PAGEREF _Toc54857920 \h </w:instrText>
            </w:r>
            <w:r w:rsidR="004912DC">
              <w:rPr>
                <w:noProof/>
                <w:webHidden/>
              </w:rPr>
            </w:r>
            <w:r w:rsidR="004912DC">
              <w:rPr>
                <w:noProof/>
                <w:webHidden/>
              </w:rPr>
              <w:fldChar w:fldCharType="separate"/>
            </w:r>
            <w:r w:rsidR="00704263">
              <w:rPr>
                <w:noProof/>
                <w:webHidden/>
              </w:rPr>
              <w:t>48</w:t>
            </w:r>
            <w:r w:rsidR="004912DC">
              <w:rPr>
                <w:noProof/>
                <w:webHidden/>
              </w:rPr>
              <w:fldChar w:fldCharType="end"/>
            </w:r>
          </w:hyperlink>
        </w:p>
        <w:p w14:paraId="5BDE475A" w14:textId="54AD5DC4" w:rsidR="004912DC" w:rsidRDefault="003F3255" w:rsidP="004912DC">
          <w:pPr>
            <w:pStyle w:val="Kazalovsebine2"/>
            <w:rPr>
              <w:rFonts w:cstheme="minorBidi"/>
              <w:noProof/>
            </w:rPr>
          </w:pPr>
          <w:hyperlink w:anchor="_Toc54857921" w:history="1">
            <w:r w:rsidR="004912DC" w:rsidRPr="00A43F97">
              <w:rPr>
                <w:rStyle w:val="Hiperpovezava"/>
                <w:rFonts w:cs="Arial"/>
                <w:b/>
                <w:noProof/>
              </w:rPr>
              <w:t>4. Spremljanje izvajanja in poročanje</w:t>
            </w:r>
            <w:r w:rsidR="004912DC">
              <w:rPr>
                <w:noProof/>
                <w:webHidden/>
              </w:rPr>
              <w:tab/>
            </w:r>
            <w:r w:rsidR="004912DC">
              <w:rPr>
                <w:noProof/>
                <w:webHidden/>
              </w:rPr>
              <w:fldChar w:fldCharType="begin"/>
            </w:r>
            <w:r w:rsidR="004912DC">
              <w:rPr>
                <w:noProof/>
                <w:webHidden/>
              </w:rPr>
              <w:instrText xml:space="preserve"> PAGEREF _Toc54857921 \h </w:instrText>
            </w:r>
            <w:r w:rsidR="004912DC">
              <w:rPr>
                <w:noProof/>
                <w:webHidden/>
              </w:rPr>
            </w:r>
            <w:r w:rsidR="004912DC">
              <w:rPr>
                <w:noProof/>
                <w:webHidden/>
              </w:rPr>
              <w:fldChar w:fldCharType="separate"/>
            </w:r>
            <w:r w:rsidR="00704263">
              <w:rPr>
                <w:noProof/>
                <w:webHidden/>
              </w:rPr>
              <w:t>49</w:t>
            </w:r>
            <w:r w:rsidR="004912DC">
              <w:rPr>
                <w:noProof/>
                <w:webHidden/>
              </w:rPr>
              <w:fldChar w:fldCharType="end"/>
            </w:r>
          </w:hyperlink>
        </w:p>
        <w:p w14:paraId="7964262D" w14:textId="3D7AA961" w:rsidR="004912DC" w:rsidRDefault="003F3255" w:rsidP="004912DC">
          <w:pPr>
            <w:pStyle w:val="Kazalovsebine2"/>
            <w:rPr>
              <w:rFonts w:cstheme="minorBidi"/>
              <w:noProof/>
            </w:rPr>
          </w:pPr>
          <w:hyperlink w:anchor="_Toc54857922" w:history="1">
            <w:r w:rsidR="004912DC" w:rsidRPr="00A43F97">
              <w:rPr>
                <w:rStyle w:val="Hiperpovezava"/>
                <w:rFonts w:cs="Arial"/>
                <w:b/>
                <w:noProof/>
              </w:rPr>
              <w:t>5. Izdelan program porabe sredstev za FI</w:t>
            </w:r>
            <w:r w:rsidR="004912DC">
              <w:rPr>
                <w:noProof/>
                <w:webHidden/>
              </w:rPr>
              <w:tab/>
            </w:r>
            <w:r w:rsidR="004912DC">
              <w:rPr>
                <w:noProof/>
                <w:webHidden/>
              </w:rPr>
              <w:fldChar w:fldCharType="begin"/>
            </w:r>
            <w:r w:rsidR="004912DC">
              <w:rPr>
                <w:noProof/>
                <w:webHidden/>
              </w:rPr>
              <w:instrText xml:space="preserve"> PAGEREF _Toc54857922 \h </w:instrText>
            </w:r>
            <w:r w:rsidR="004912DC">
              <w:rPr>
                <w:noProof/>
                <w:webHidden/>
              </w:rPr>
            </w:r>
            <w:r w:rsidR="004912DC">
              <w:rPr>
                <w:noProof/>
                <w:webHidden/>
              </w:rPr>
              <w:fldChar w:fldCharType="separate"/>
            </w:r>
            <w:r w:rsidR="00704263">
              <w:rPr>
                <w:noProof/>
                <w:webHidden/>
              </w:rPr>
              <w:t>51</w:t>
            </w:r>
            <w:r w:rsidR="004912DC">
              <w:rPr>
                <w:noProof/>
                <w:webHidden/>
              </w:rPr>
              <w:fldChar w:fldCharType="end"/>
            </w:r>
          </w:hyperlink>
        </w:p>
        <w:p w14:paraId="12198E6D" w14:textId="0536A9D2" w:rsidR="004912DC" w:rsidRDefault="003F3255" w:rsidP="004912DC">
          <w:pPr>
            <w:pStyle w:val="Kazalovsebine2"/>
            <w:rPr>
              <w:rFonts w:cstheme="minorBidi"/>
              <w:noProof/>
            </w:rPr>
          </w:pPr>
          <w:hyperlink w:anchor="_Toc54857923" w:history="1">
            <w:r w:rsidR="004912DC" w:rsidRPr="00A43F97">
              <w:rPr>
                <w:rStyle w:val="Hiperpovezava"/>
                <w:rFonts w:cs="Arial"/>
                <w:b/>
                <w:noProof/>
              </w:rPr>
              <w:t>6. Obdobje porabe sredstev</w:t>
            </w:r>
            <w:r w:rsidR="004912DC">
              <w:rPr>
                <w:noProof/>
                <w:webHidden/>
              </w:rPr>
              <w:tab/>
            </w:r>
            <w:r w:rsidR="004912DC">
              <w:rPr>
                <w:noProof/>
                <w:webHidden/>
              </w:rPr>
              <w:fldChar w:fldCharType="begin"/>
            </w:r>
            <w:r w:rsidR="004912DC">
              <w:rPr>
                <w:noProof/>
                <w:webHidden/>
              </w:rPr>
              <w:instrText xml:space="preserve"> PAGEREF _Toc54857923 \h </w:instrText>
            </w:r>
            <w:r w:rsidR="004912DC">
              <w:rPr>
                <w:noProof/>
                <w:webHidden/>
              </w:rPr>
            </w:r>
            <w:r w:rsidR="004912DC">
              <w:rPr>
                <w:noProof/>
                <w:webHidden/>
              </w:rPr>
              <w:fldChar w:fldCharType="separate"/>
            </w:r>
            <w:r w:rsidR="00704263">
              <w:rPr>
                <w:noProof/>
                <w:webHidden/>
              </w:rPr>
              <w:t>53</w:t>
            </w:r>
            <w:r w:rsidR="004912DC">
              <w:rPr>
                <w:noProof/>
                <w:webHidden/>
              </w:rPr>
              <w:fldChar w:fldCharType="end"/>
            </w:r>
          </w:hyperlink>
        </w:p>
        <w:p w14:paraId="7979ABA8" w14:textId="6A32D5DA" w:rsidR="004912DC" w:rsidRDefault="003F3255" w:rsidP="004912DC">
          <w:pPr>
            <w:pStyle w:val="Kazalovsebine2"/>
            <w:rPr>
              <w:rFonts w:cstheme="minorBidi"/>
              <w:noProof/>
            </w:rPr>
          </w:pPr>
          <w:hyperlink w:anchor="_Toc54857924" w:history="1">
            <w:r w:rsidR="004912DC" w:rsidRPr="00A43F97">
              <w:rPr>
                <w:rStyle w:val="Hiperpovezava"/>
                <w:rFonts w:cs="Arial"/>
                <w:b/>
                <w:noProof/>
              </w:rPr>
              <w:t>7. Način ponovne uporabe sredstev</w:t>
            </w:r>
            <w:r w:rsidR="004912DC">
              <w:rPr>
                <w:noProof/>
                <w:webHidden/>
              </w:rPr>
              <w:tab/>
            </w:r>
            <w:r w:rsidR="004912DC">
              <w:rPr>
                <w:noProof/>
                <w:webHidden/>
              </w:rPr>
              <w:fldChar w:fldCharType="begin"/>
            </w:r>
            <w:r w:rsidR="004912DC">
              <w:rPr>
                <w:noProof/>
                <w:webHidden/>
              </w:rPr>
              <w:instrText xml:space="preserve"> PAGEREF _Toc54857924 \h </w:instrText>
            </w:r>
            <w:r w:rsidR="004912DC">
              <w:rPr>
                <w:noProof/>
                <w:webHidden/>
              </w:rPr>
            </w:r>
            <w:r w:rsidR="004912DC">
              <w:rPr>
                <w:noProof/>
                <w:webHidden/>
              </w:rPr>
              <w:fldChar w:fldCharType="separate"/>
            </w:r>
            <w:r w:rsidR="00704263">
              <w:rPr>
                <w:noProof/>
                <w:webHidden/>
              </w:rPr>
              <w:t>55</w:t>
            </w:r>
            <w:r w:rsidR="004912DC">
              <w:rPr>
                <w:noProof/>
                <w:webHidden/>
              </w:rPr>
              <w:fldChar w:fldCharType="end"/>
            </w:r>
          </w:hyperlink>
        </w:p>
        <w:p w14:paraId="4BBB57D9" w14:textId="2A22D95F" w:rsidR="004912DC" w:rsidRDefault="003F3255" w:rsidP="004912DC">
          <w:pPr>
            <w:pStyle w:val="Kazalovsebine2"/>
            <w:rPr>
              <w:rFonts w:cstheme="minorBidi"/>
              <w:noProof/>
            </w:rPr>
          </w:pPr>
          <w:hyperlink w:anchor="_Toc54857925" w:history="1">
            <w:r w:rsidR="004912DC" w:rsidRPr="00A43F97">
              <w:rPr>
                <w:rStyle w:val="Hiperpovezava"/>
                <w:rFonts w:cs="Arial"/>
                <w:b/>
                <w:noProof/>
              </w:rPr>
              <w:t>8. Obresti in drugi donosi od finančnih instrumentov</w:t>
            </w:r>
            <w:r w:rsidR="004912DC">
              <w:rPr>
                <w:noProof/>
                <w:webHidden/>
              </w:rPr>
              <w:tab/>
            </w:r>
            <w:r w:rsidR="004912DC">
              <w:rPr>
                <w:noProof/>
                <w:webHidden/>
              </w:rPr>
              <w:fldChar w:fldCharType="begin"/>
            </w:r>
            <w:r w:rsidR="004912DC">
              <w:rPr>
                <w:noProof/>
                <w:webHidden/>
              </w:rPr>
              <w:instrText xml:space="preserve"> PAGEREF _Toc54857925 \h </w:instrText>
            </w:r>
            <w:r w:rsidR="004912DC">
              <w:rPr>
                <w:noProof/>
                <w:webHidden/>
              </w:rPr>
            </w:r>
            <w:r w:rsidR="004912DC">
              <w:rPr>
                <w:noProof/>
                <w:webHidden/>
              </w:rPr>
              <w:fldChar w:fldCharType="separate"/>
            </w:r>
            <w:r w:rsidR="00704263">
              <w:rPr>
                <w:noProof/>
                <w:webHidden/>
              </w:rPr>
              <w:t>56</w:t>
            </w:r>
            <w:r w:rsidR="004912DC">
              <w:rPr>
                <w:noProof/>
                <w:webHidden/>
              </w:rPr>
              <w:fldChar w:fldCharType="end"/>
            </w:r>
          </w:hyperlink>
        </w:p>
        <w:p w14:paraId="6D25F792" w14:textId="1DD84F98" w:rsidR="004912DC" w:rsidRDefault="003F3255" w:rsidP="004912DC">
          <w:pPr>
            <w:pStyle w:val="Kazalovsebine2"/>
            <w:rPr>
              <w:rFonts w:cstheme="minorBidi"/>
              <w:noProof/>
            </w:rPr>
          </w:pPr>
          <w:hyperlink w:anchor="_Toc54857926" w:history="1">
            <w:r w:rsidR="004912DC" w:rsidRPr="00A43F97">
              <w:rPr>
                <w:rStyle w:val="Hiperpovezava"/>
                <w:rFonts w:cs="Arial"/>
                <w:b/>
                <w:noProof/>
              </w:rPr>
              <w:t>9. Pogoji prispevka v finančne instrumente</w:t>
            </w:r>
            <w:r w:rsidR="004912DC">
              <w:rPr>
                <w:noProof/>
                <w:webHidden/>
              </w:rPr>
              <w:tab/>
            </w:r>
            <w:r w:rsidR="004912DC">
              <w:rPr>
                <w:noProof/>
                <w:webHidden/>
              </w:rPr>
              <w:fldChar w:fldCharType="begin"/>
            </w:r>
            <w:r w:rsidR="004912DC">
              <w:rPr>
                <w:noProof/>
                <w:webHidden/>
              </w:rPr>
              <w:instrText xml:space="preserve"> PAGEREF _Toc54857926 \h </w:instrText>
            </w:r>
            <w:r w:rsidR="004912DC">
              <w:rPr>
                <w:noProof/>
                <w:webHidden/>
              </w:rPr>
            </w:r>
            <w:r w:rsidR="004912DC">
              <w:rPr>
                <w:noProof/>
                <w:webHidden/>
              </w:rPr>
              <w:fldChar w:fldCharType="separate"/>
            </w:r>
            <w:r w:rsidR="00704263">
              <w:rPr>
                <w:noProof/>
                <w:webHidden/>
              </w:rPr>
              <w:t>57</w:t>
            </w:r>
            <w:r w:rsidR="004912DC">
              <w:rPr>
                <w:noProof/>
                <w:webHidden/>
              </w:rPr>
              <w:fldChar w:fldCharType="end"/>
            </w:r>
          </w:hyperlink>
        </w:p>
        <w:p w14:paraId="649790C7" w14:textId="3E4AB5E5" w:rsidR="004912DC" w:rsidRDefault="003F3255" w:rsidP="004912DC">
          <w:pPr>
            <w:pStyle w:val="Kazalovsebine3"/>
            <w:rPr>
              <w:rFonts w:cstheme="minorBidi"/>
              <w:noProof/>
            </w:rPr>
          </w:pPr>
          <w:hyperlink w:anchor="_Toc54857927" w:history="1">
            <w:r w:rsidR="004912DC" w:rsidRPr="00A43F97">
              <w:rPr>
                <w:rStyle w:val="Hiperpovezava"/>
                <w:rFonts w:eastAsia="Calibri" w:cs="Arial"/>
                <w:b/>
                <w:noProof/>
              </w:rPr>
              <w:t>9.1 Učinek finančnega vzvoda (»leverage effect«)</w:t>
            </w:r>
            <w:r w:rsidR="004912DC">
              <w:rPr>
                <w:noProof/>
                <w:webHidden/>
              </w:rPr>
              <w:tab/>
            </w:r>
            <w:r w:rsidR="004912DC">
              <w:rPr>
                <w:noProof/>
                <w:webHidden/>
              </w:rPr>
              <w:fldChar w:fldCharType="begin"/>
            </w:r>
            <w:r w:rsidR="004912DC">
              <w:rPr>
                <w:noProof/>
                <w:webHidden/>
              </w:rPr>
              <w:instrText xml:space="preserve"> PAGEREF _Toc54857927 \h </w:instrText>
            </w:r>
            <w:r w:rsidR="004912DC">
              <w:rPr>
                <w:noProof/>
                <w:webHidden/>
              </w:rPr>
            </w:r>
            <w:r w:rsidR="004912DC">
              <w:rPr>
                <w:noProof/>
                <w:webHidden/>
              </w:rPr>
              <w:fldChar w:fldCharType="separate"/>
            </w:r>
            <w:r w:rsidR="00704263">
              <w:rPr>
                <w:noProof/>
                <w:webHidden/>
              </w:rPr>
              <w:t>57</w:t>
            </w:r>
            <w:r w:rsidR="004912DC">
              <w:rPr>
                <w:noProof/>
                <w:webHidden/>
              </w:rPr>
              <w:fldChar w:fldCharType="end"/>
            </w:r>
          </w:hyperlink>
        </w:p>
        <w:p w14:paraId="1F6A7607" w14:textId="5006C971" w:rsidR="004912DC" w:rsidRDefault="003F3255" w:rsidP="004912DC">
          <w:pPr>
            <w:pStyle w:val="Kazalovsebine3"/>
            <w:rPr>
              <w:rFonts w:cstheme="minorBidi"/>
              <w:noProof/>
            </w:rPr>
          </w:pPr>
          <w:hyperlink w:anchor="_Toc54857929" w:history="1">
            <w:r w:rsidR="00ED5C09">
              <w:rPr>
                <w:rStyle w:val="Hiperpovezava"/>
                <w:rFonts w:eastAsia="Calibri" w:cs="Arial"/>
                <w:b/>
                <w:noProof/>
              </w:rPr>
              <w:t>9.2</w:t>
            </w:r>
            <w:r w:rsidR="004912DC" w:rsidRPr="00A43F97">
              <w:rPr>
                <w:rStyle w:val="Hiperpovezava"/>
                <w:rFonts w:eastAsia="Calibri" w:cs="Arial"/>
                <w:b/>
                <w:noProof/>
              </w:rPr>
              <w:t xml:space="preserve"> Upravljavska provizija sklada skladov in finančnih posrednikov</w:t>
            </w:r>
            <w:r w:rsidR="004912DC">
              <w:rPr>
                <w:noProof/>
                <w:webHidden/>
              </w:rPr>
              <w:tab/>
            </w:r>
            <w:r w:rsidR="004912DC">
              <w:rPr>
                <w:noProof/>
                <w:webHidden/>
              </w:rPr>
              <w:fldChar w:fldCharType="begin"/>
            </w:r>
            <w:r w:rsidR="004912DC">
              <w:rPr>
                <w:noProof/>
                <w:webHidden/>
              </w:rPr>
              <w:instrText xml:space="preserve"> PAGEREF _Toc54857929 \h </w:instrText>
            </w:r>
            <w:r w:rsidR="004912DC">
              <w:rPr>
                <w:noProof/>
                <w:webHidden/>
              </w:rPr>
            </w:r>
            <w:r w:rsidR="004912DC">
              <w:rPr>
                <w:noProof/>
                <w:webHidden/>
              </w:rPr>
              <w:fldChar w:fldCharType="separate"/>
            </w:r>
            <w:r w:rsidR="00704263">
              <w:rPr>
                <w:noProof/>
                <w:webHidden/>
              </w:rPr>
              <w:t>58</w:t>
            </w:r>
            <w:r w:rsidR="004912DC">
              <w:rPr>
                <w:noProof/>
                <w:webHidden/>
              </w:rPr>
              <w:fldChar w:fldCharType="end"/>
            </w:r>
          </w:hyperlink>
        </w:p>
        <w:p w14:paraId="523E9D91" w14:textId="1522AF42" w:rsidR="004912DC" w:rsidRDefault="003F3255" w:rsidP="004912DC">
          <w:pPr>
            <w:pStyle w:val="Kazalovsebine3"/>
            <w:rPr>
              <w:rFonts w:cstheme="minorBidi"/>
              <w:noProof/>
            </w:rPr>
          </w:pPr>
          <w:hyperlink w:anchor="_Toc54857930" w:history="1">
            <w:r w:rsidR="00ED5C09">
              <w:rPr>
                <w:rStyle w:val="Hiperpovezava"/>
                <w:rFonts w:eastAsia="Calibri" w:cs="Arial"/>
                <w:b/>
                <w:noProof/>
              </w:rPr>
              <w:t>9.3</w:t>
            </w:r>
            <w:r w:rsidR="004912DC" w:rsidRPr="00A43F97">
              <w:rPr>
                <w:rStyle w:val="Hiperpovezava"/>
                <w:rFonts w:eastAsia="Calibri" w:cs="Arial"/>
                <w:b/>
                <w:noProof/>
              </w:rPr>
              <w:t xml:space="preserve"> Hranjenje dokumentacije</w:t>
            </w:r>
            <w:r w:rsidR="004912DC">
              <w:rPr>
                <w:noProof/>
                <w:webHidden/>
              </w:rPr>
              <w:tab/>
            </w:r>
            <w:r w:rsidR="004912DC">
              <w:rPr>
                <w:noProof/>
                <w:webHidden/>
              </w:rPr>
              <w:fldChar w:fldCharType="begin"/>
            </w:r>
            <w:r w:rsidR="004912DC">
              <w:rPr>
                <w:noProof/>
                <w:webHidden/>
              </w:rPr>
              <w:instrText xml:space="preserve"> PAGEREF _Toc54857930 \h </w:instrText>
            </w:r>
            <w:r w:rsidR="004912DC">
              <w:rPr>
                <w:noProof/>
                <w:webHidden/>
              </w:rPr>
            </w:r>
            <w:r w:rsidR="004912DC">
              <w:rPr>
                <w:noProof/>
                <w:webHidden/>
              </w:rPr>
              <w:fldChar w:fldCharType="separate"/>
            </w:r>
            <w:r w:rsidR="00704263">
              <w:rPr>
                <w:noProof/>
                <w:webHidden/>
              </w:rPr>
              <w:t>59</w:t>
            </w:r>
            <w:r w:rsidR="004912DC">
              <w:rPr>
                <w:noProof/>
                <w:webHidden/>
              </w:rPr>
              <w:fldChar w:fldCharType="end"/>
            </w:r>
          </w:hyperlink>
        </w:p>
        <w:p w14:paraId="472FB844" w14:textId="788760DA" w:rsidR="004912DC" w:rsidRDefault="003F3255" w:rsidP="004912DC">
          <w:pPr>
            <w:pStyle w:val="Kazalovsebine3"/>
            <w:rPr>
              <w:rFonts w:cstheme="minorBidi"/>
              <w:noProof/>
            </w:rPr>
          </w:pPr>
          <w:hyperlink w:anchor="_Toc54857931" w:history="1">
            <w:r w:rsidR="00ED5C09">
              <w:rPr>
                <w:rStyle w:val="Hiperpovezava"/>
                <w:rFonts w:cs="Arial"/>
                <w:b/>
                <w:noProof/>
              </w:rPr>
              <w:t>9.4</w:t>
            </w:r>
            <w:r w:rsidR="004912DC" w:rsidRPr="00A43F97">
              <w:rPr>
                <w:rStyle w:val="Hiperpovezava"/>
                <w:rFonts w:cs="Arial"/>
                <w:b/>
                <w:noProof/>
              </w:rPr>
              <w:t xml:space="preserve"> Spremljanje državnih pomoči</w:t>
            </w:r>
            <w:r w:rsidR="004912DC">
              <w:rPr>
                <w:noProof/>
                <w:webHidden/>
              </w:rPr>
              <w:tab/>
            </w:r>
            <w:r w:rsidR="004912DC">
              <w:rPr>
                <w:noProof/>
                <w:webHidden/>
              </w:rPr>
              <w:fldChar w:fldCharType="begin"/>
            </w:r>
            <w:r w:rsidR="004912DC">
              <w:rPr>
                <w:noProof/>
                <w:webHidden/>
              </w:rPr>
              <w:instrText xml:space="preserve"> PAGEREF _Toc54857931 \h </w:instrText>
            </w:r>
            <w:r w:rsidR="004912DC">
              <w:rPr>
                <w:noProof/>
                <w:webHidden/>
              </w:rPr>
            </w:r>
            <w:r w:rsidR="004912DC">
              <w:rPr>
                <w:noProof/>
                <w:webHidden/>
              </w:rPr>
              <w:fldChar w:fldCharType="separate"/>
            </w:r>
            <w:r w:rsidR="00704263">
              <w:rPr>
                <w:noProof/>
                <w:webHidden/>
              </w:rPr>
              <w:t>59</w:t>
            </w:r>
            <w:r w:rsidR="004912DC">
              <w:rPr>
                <w:noProof/>
                <w:webHidden/>
              </w:rPr>
              <w:fldChar w:fldCharType="end"/>
            </w:r>
          </w:hyperlink>
        </w:p>
        <w:p w14:paraId="0CBCD476" w14:textId="30B55E21" w:rsidR="004912DC" w:rsidRDefault="003F3255" w:rsidP="004912DC">
          <w:pPr>
            <w:pStyle w:val="Kazalovsebine3"/>
            <w:rPr>
              <w:rFonts w:cstheme="minorBidi"/>
              <w:noProof/>
            </w:rPr>
          </w:pPr>
          <w:hyperlink w:anchor="_Toc54857932" w:history="1">
            <w:r w:rsidR="00ED5C09">
              <w:rPr>
                <w:rStyle w:val="Hiperpovezava"/>
                <w:rFonts w:eastAsia="Calibri" w:cs="Arial"/>
                <w:b/>
                <w:noProof/>
              </w:rPr>
              <w:t>9.5</w:t>
            </w:r>
            <w:r w:rsidR="004912DC" w:rsidRPr="00A43F97">
              <w:rPr>
                <w:rStyle w:val="Hiperpovezava"/>
                <w:rFonts w:eastAsia="Calibri" w:cs="Arial"/>
                <w:b/>
                <w:noProof/>
              </w:rPr>
              <w:t xml:space="preserve"> Spremljanje ciljev in kazalnikov</w:t>
            </w:r>
            <w:r w:rsidR="004912DC">
              <w:rPr>
                <w:noProof/>
                <w:webHidden/>
              </w:rPr>
              <w:tab/>
            </w:r>
            <w:r w:rsidR="004912DC">
              <w:rPr>
                <w:noProof/>
                <w:webHidden/>
              </w:rPr>
              <w:fldChar w:fldCharType="begin"/>
            </w:r>
            <w:r w:rsidR="004912DC">
              <w:rPr>
                <w:noProof/>
                <w:webHidden/>
              </w:rPr>
              <w:instrText xml:space="preserve"> PAGEREF _Toc54857932 \h </w:instrText>
            </w:r>
            <w:r w:rsidR="004912DC">
              <w:rPr>
                <w:noProof/>
                <w:webHidden/>
              </w:rPr>
            </w:r>
            <w:r w:rsidR="004912DC">
              <w:rPr>
                <w:noProof/>
                <w:webHidden/>
              </w:rPr>
              <w:fldChar w:fldCharType="separate"/>
            </w:r>
            <w:r w:rsidR="00704263">
              <w:rPr>
                <w:noProof/>
                <w:webHidden/>
              </w:rPr>
              <w:t>60</w:t>
            </w:r>
            <w:r w:rsidR="004912DC">
              <w:rPr>
                <w:noProof/>
                <w:webHidden/>
              </w:rPr>
              <w:fldChar w:fldCharType="end"/>
            </w:r>
          </w:hyperlink>
        </w:p>
        <w:p w14:paraId="432F587B" w14:textId="6F9E56D0" w:rsidR="004912DC" w:rsidRDefault="003F3255" w:rsidP="004912DC">
          <w:pPr>
            <w:pStyle w:val="Kazalovsebine3"/>
            <w:rPr>
              <w:rFonts w:cstheme="minorBidi"/>
              <w:noProof/>
            </w:rPr>
          </w:pPr>
          <w:hyperlink w:anchor="_Toc54857933" w:history="1">
            <w:r w:rsidR="00ED5C09">
              <w:rPr>
                <w:rStyle w:val="Hiperpovezava"/>
                <w:rFonts w:eastAsia="Calibri" w:cs="Arial"/>
                <w:b/>
                <w:noProof/>
              </w:rPr>
              <w:t>9.6</w:t>
            </w:r>
            <w:r w:rsidR="004912DC" w:rsidRPr="00A43F97">
              <w:rPr>
                <w:rStyle w:val="Hiperpovezava"/>
                <w:rFonts w:eastAsia="Calibri" w:cs="Arial"/>
                <w:b/>
                <w:noProof/>
              </w:rPr>
              <w:t xml:space="preserve"> Informiranje in obveščanje</w:t>
            </w:r>
            <w:r w:rsidR="004912DC">
              <w:rPr>
                <w:noProof/>
                <w:webHidden/>
              </w:rPr>
              <w:tab/>
            </w:r>
            <w:r w:rsidR="004912DC">
              <w:rPr>
                <w:noProof/>
                <w:webHidden/>
              </w:rPr>
              <w:fldChar w:fldCharType="begin"/>
            </w:r>
            <w:r w:rsidR="004912DC">
              <w:rPr>
                <w:noProof/>
                <w:webHidden/>
              </w:rPr>
              <w:instrText xml:space="preserve"> PAGEREF _Toc54857933 \h </w:instrText>
            </w:r>
            <w:r w:rsidR="004912DC">
              <w:rPr>
                <w:noProof/>
                <w:webHidden/>
              </w:rPr>
            </w:r>
            <w:r w:rsidR="004912DC">
              <w:rPr>
                <w:noProof/>
                <w:webHidden/>
              </w:rPr>
              <w:fldChar w:fldCharType="separate"/>
            </w:r>
            <w:r w:rsidR="00704263">
              <w:rPr>
                <w:noProof/>
                <w:webHidden/>
              </w:rPr>
              <w:t>61</w:t>
            </w:r>
            <w:r w:rsidR="004912DC">
              <w:rPr>
                <w:noProof/>
                <w:webHidden/>
              </w:rPr>
              <w:fldChar w:fldCharType="end"/>
            </w:r>
          </w:hyperlink>
        </w:p>
        <w:p w14:paraId="0A624792" w14:textId="44178734" w:rsidR="004912DC" w:rsidRDefault="003F3255" w:rsidP="004912DC">
          <w:pPr>
            <w:pStyle w:val="Kazalovsebine3"/>
            <w:rPr>
              <w:rFonts w:cstheme="minorBidi"/>
              <w:noProof/>
            </w:rPr>
          </w:pPr>
          <w:hyperlink w:anchor="_Toc54857934" w:history="1">
            <w:r w:rsidR="00ED5C09">
              <w:rPr>
                <w:rStyle w:val="Hiperpovezava"/>
                <w:rFonts w:eastAsia="Calibri" w:cs="Arial"/>
                <w:b/>
                <w:noProof/>
              </w:rPr>
              <w:t>9.7</w:t>
            </w:r>
            <w:r w:rsidR="004912DC" w:rsidRPr="00A43F97">
              <w:rPr>
                <w:rStyle w:val="Hiperpovezava"/>
                <w:rFonts w:eastAsia="Calibri" w:cs="Arial"/>
                <w:b/>
                <w:noProof/>
              </w:rPr>
              <w:t xml:space="preserve"> Obvladovanje tveganj</w:t>
            </w:r>
            <w:r w:rsidR="004912DC">
              <w:rPr>
                <w:noProof/>
                <w:webHidden/>
              </w:rPr>
              <w:tab/>
            </w:r>
            <w:r w:rsidR="004912DC">
              <w:rPr>
                <w:noProof/>
                <w:webHidden/>
              </w:rPr>
              <w:fldChar w:fldCharType="begin"/>
            </w:r>
            <w:r w:rsidR="004912DC">
              <w:rPr>
                <w:noProof/>
                <w:webHidden/>
              </w:rPr>
              <w:instrText xml:space="preserve"> PAGEREF _Toc54857934 \h </w:instrText>
            </w:r>
            <w:r w:rsidR="004912DC">
              <w:rPr>
                <w:noProof/>
                <w:webHidden/>
              </w:rPr>
            </w:r>
            <w:r w:rsidR="004912DC">
              <w:rPr>
                <w:noProof/>
                <w:webHidden/>
              </w:rPr>
              <w:fldChar w:fldCharType="separate"/>
            </w:r>
            <w:r w:rsidR="00704263">
              <w:rPr>
                <w:noProof/>
                <w:webHidden/>
              </w:rPr>
              <w:t>62</w:t>
            </w:r>
            <w:r w:rsidR="004912DC">
              <w:rPr>
                <w:noProof/>
                <w:webHidden/>
              </w:rPr>
              <w:fldChar w:fldCharType="end"/>
            </w:r>
          </w:hyperlink>
        </w:p>
        <w:p w14:paraId="77605A31" w14:textId="038DC1EC" w:rsidR="004912DC" w:rsidRDefault="003F3255" w:rsidP="004912DC">
          <w:pPr>
            <w:pStyle w:val="Kazalovsebine3"/>
            <w:rPr>
              <w:rFonts w:cstheme="minorBidi"/>
              <w:noProof/>
            </w:rPr>
          </w:pPr>
          <w:hyperlink w:anchor="_Toc54857935" w:history="1">
            <w:r w:rsidR="00ED5C09">
              <w:rPr>
                <w:rStyle w:val="Hiperpovezava"/>
                <w:rFonts w:eastAsia="Calibri" w:cs="Arial"/>
                <w:b/>
                <w:noProof/>
              </w:rPr>
              <w:t>9.8</w:t>
            </w:r>
            <w:r w:rsidR="004912DC" w:rsidRPr="00A43F97">
              <w:rPr>
                <w:rStyle w:val="Hiperpovezava"/>
                <w:rFonts w:eastAsia="Calibri" w:cs="Arial"/>
                <w:b/>
                <w:noProof/>
              </w:rPr>
              <w:t xml:space="preserve"> Strategija izstopa</w:t>
            </w:r>
            <w:r w:rsidR="004912DC">
              <w:rPr>
                <w:noProof/>
                <w:webHidden/>
              </w:rPr>
              <w:tab/>
            </w:r>
            <w:r w:rsidR="004912DC">
              <w:rPr>
                <w:noProof/>
                <w:webHidden/>
              </w:rPr>
              <w:fldChar w:fldCharType="begin"/>
            </w:r>
            <w:r w:rsidR="004912DC">
              <w:rPr>
                <w:noProof/>
                <w:webHidden/>
              </w:rPr>
              <w:instrText xml:space="preserve"> PAGEREF _Toc54857935 \h </w:instrText>
            </w:r>
            <w:r w:rsidR="004912DC">
              <w:rPr>
                <w:noProof/>
                <w:webHidden/>
              </w:rPr>
            </w:r>
            <w:r w:rsidR="004912DC">
              <w:rPr>
                <w:noProof/>
                <w:webHidden/>
              </w:rPr>
              <w:fldChar w:fldCharType="separate"/>
            </w:r>
            <w:r w:rsidR="00704263">
              <w:rPr>
                <w:noProof/>
                <w:webHidden/>
              </w:rPr>
              <w:t>62</w:t>
            </w:r>
            <w:r w:rsidR="004912DC">
              <w:rPr>
                <w:noProof/>
                <w:webHidden/>
              </w:rPr>
              <w:fldChar w:fldCharType="end"/>
            </w:r>
          </w:hyperlink>
        </w:p>
        <w:p w14:paraId="467105CF" w14:textId="60BB7363" w:rsidR="004912DC" w:rsidRDefault="003F3255" w:rsidP="004912DC">
          <w:pPr>
            <w:pStyle w:val="Kazalovsebine2"/>
            <w:rPr>
              <w:rFonts w:cstheme="minorBidi"/>
              <w:noProof/>
            </w:rPr>
          </w:pPr>
          <w:hyperlink w:anchor="_Toc54857936" w:history="1">
            <w:r w:rsidR="004912DC" w:rsidRPr="00A43F97">
              <w:rPr>
                <w:rStyle w:val="Hiperpovezava"/>
                <w:rFonts w:cs="Arial"/>
                <w:b/>
                <w:noProof/>
              </w:rPr>
              <w:t>10. Politika prekinitve finančnega instrumenta</w:t>
            </w:r>
            <w:r w:rsidR="004912DC">
              <w:rPr>
                <w:noProof/>
                <w:webHidden/>
              </w:rPr>
              <w:tab/>
            </w:r>
            <w:r w:rsidR="004912DC">
              <w:rPr>
                <w:noProof/>
                <w:webHidden/>
              </w:rPr>
              <w:fldChar w:fldCharType="begin"/>
            </w:r>
            <w:r w:rsidR="004912DC">
              <w:rPr>
                <w:noProof/>
                <w:webHidden/>
              </w:rPr>
              <w:instrText xml:space="preserve"> PAGEREF _Toc54857936 \h </w:instrText>
            </w:r>
            <w:r w:rsidR="004912DC">
              <w:rPr>
                <w:noProof/>
                <w:webHidden/>
              </w:rPr>
            </w:r>
            <w:r w:rsidR="004912DC">
              <w:rPr>
                <w:noProof/>
                <w:webHidden/>
              </w:rPr>
              <w:fldChar w:fldCharType="separate"/>
            </w:r>
            <w:r w:rsidR="00704263">
              <w:rPr>
                <w:noProof/>
                <w:webHidden/>
              </w:rPr>
              <w:t>63</w:t>
            </w:r>
            <w:r w:rsidR="004912DC">
              <w:rPr>
                <w:noProof/>
                <w:webHidden/>
              </w:rPr>
              <w:fldChar w:fldCharType="end"/>
            </w:r>
          </w:hyperlink>
        </w:p>
        <w:p w14:paraId="78F8A159" w14:textId="623E95A3" w:rsidR="004912DC" w:rsidRDefault="003F3255" w:rsidP="004912DC">
          <w:pPr>
            <w:pStyle w:val="Kazalovsebine2"/>
            <w:rPr>
              <w:rFonts w:cstheme="minorBidi"/>
              <w:noProof/>
            </w:rPr>
          </w:pPr>
          <w:hyperlink w:anchor="_Toc54857937" w:history="1">
            <w:r w:rsidR="004912DC" w:rsidRPr="00A43F97">
              <w:rPr>
                <w:rStyle w:val="Hiperpovezava"/>
                <w:rFonts w:cs="Arial"/>
                <w:b/>
                <w:noProof/>
              </w:rPr>
              <w:t>11. Podlaga za izvajanje nadzora</w:t>
            </w:r>
            <w:r w:rsidR="004912DC">
              <w:rPr>
                <w:noProof/>
                <w:webHidden/>
              </w:rPr>
              <w:tab/>
            </w:r>
            <w:r w:rsidR="004912DC">
              <w:rPr>
                <w:noProof/>
                <w:webHidden/>
              </w:rPr>
              <w:fldChar w:fldCharType="begin"/>
            </w:r>
            <w:r w:rsidR="004912DC">
              <w:rPr>
                <w:noProof/>
                <w:webHidden/>
              </w:rPr>
              <w:instrText xml:space="preserve"> PAGEREF _Toc54857937 \h </w:instrText>
            </w:r>
            <w:r w:rsidR="004912DC">
              <w:rPr>
                <w:noProof/>
                <w:webHidden/>
              </w:rPr>
            </w:r>
            <w:r w:rsidR="004912DC">
              <w:rPr>
                <w:noProof/>
                <w:webHidden/>
              </w:rPr>
              <w:fldChar w:fldCharType="separate"/>
            </w:r>
            <w:r w:rsidR="00704263">
              <w:rPr>
                <w:noProof/>
                <w:webHidden/>
              </w:rPr>
              <w:t>64</w:t>
            </w:r>
            <w:r w:rsidR="004912DC">
              <w:rPr>
                <w:noProof/>
                <w:webHidden/>
              </w:rPr>
              <w:fldChar w:fldCharType="end"/>
            </w:r>
          </w:hyperlink>
        </w:p>
        <w:p w14:paraId="7552DAA6" w14:textId="549507E6" w:rsidR="004912DC" w:rsidRDefault="003F3255" w:rsidP="004912DC">
          <w:pPr>
            <w:pStyle w:val="Kazalovsebine2"/>
            <w:rPr>
              <w:rFonts w:cstheme="minorBidi"/>
              <w:noProof/>
            </w:rPr>
          </w:pPr>
          <w:hyperlink w:anchor="_Toc54857938" w:history="1">
            <w:r w:rsidR="004912DC" w:rsidRPr="00A43F97">
              <w:rPr>
                <w:rStyle w:val="Hiperpovezava"/>
                <w:rFonts w:cs="Arial"/>
                <w:b/>
                <w:noProof/>
              </w:rPr>
              <w:t>Priloga 1: Preverjanje izpolnjevanja pogojev po 28. členu ZJN-3 SID banke za izvajalca sklada skladov ter evidentiranje sredstev za finančne instrumente</w:t>
            </w:r>
            <w:r w:rsidR="004912DC">
              <w:rPr>
                <w:noProof/>
                <w:webHidden/>
              </w:rPr>
              <w:tab/>
            </w:r>
            <w:r w:rsidR="004912DC">
              <w:rPr>
                <w:noProof/>
                <w:webHidden/>
              </w:rPr>
              <w:fldChar w:fldCharType="begin"/>
            </w:r>
            <w:r w:rsidR="004912DC">
              <w:rPr>
                <w:noProof/>
                <w:webHidden/>
              </w:rPr>
              <w:instrText xml:space="preserve"> PAGEREF _Toc54857938 \h </w:instrText>
            </w:r>
            <w:r w:rsidR="004912DC">
              <w:rPr>
                <w:noProof/>
                <w:webHidden/>
              </w:rPr>
            </w:r>
            <w:r w:rsidR="004912DC">
              <w:rPr>
                <w:noProof/>
                <w:webHidden/>
              </w:rPr>
              <w:fldChar w:fldCharType="separate"/>
            </w:r>
            <w:r w:rsidR="00704263">
              <w:rPr>
                <w:noProof/>
                <w:webHidden/>
              </w:rPr>
              <w:t>65</w:t>
            </w:r>
            <w:r w:rsidR="004912DC">
              <w:rPr>
                <w:noProof/>
                <w:webHidden/>
              </w:rPr>
              <w:fldChar w:fldCharType="end"/>
            </w:r>
          </w:hyperlink>
        </w:p>
        <w:p w14:paraId="069B144F" w14:textId="524E21FD" w:rsidR="004912DC" w:rsidRDefault="004912DC" w:rsidP="004912DC">
          <w:pPr>
            <w:jc w:val="both"/>
            <w:rPr>
              <w:rFonts w:cs="Arial"/>
              <w:bCs/>
              <w:sz w:val="22"/>
            </w:rPr>
          </w:pPr>
          <w:r w:rsidRPr="000F166D">
            <w:rPr>
              <w:rFonts w:cs="Arial"/>
              <w:bCs/>
              <w:sz w:val="22"/>
            </w:rPr>
            <w:fldChar w:fldCharType="end"/>
          </w:r>
        </w:p>
      </w:sdtContent>
    </w:sdt>
    <w:p w14:paraId="0666D3E0" w14:textId="77777777" w:rsidR="004912DC" w:rsidRDefault="004912DC" w:rsidP="004912DC">
      <w:pPr>
        <w:spacing w:after="160" w:line="259" w:lineRule="auto"/>
        <w:rPr>
          <w:rFonts w:cs="Arial"/>
          <w:bCs/>
          <w:sz w:val="22"/>
        </w:rPr>
      </w:pPr>
      <w:r>
        <w:rPr>
          <w:rFonts w:cs="Arial"/>
          <w:bCs/>
          <w:sz w:val="22"/>
        </w:rPr>
        <w:br w:type="page"/>
      </w:r>
    </w:p>
    <w:p w14:paraId="31DADC31" w14:textId="77777777" w:rsidR="004912DC" w:rsidRPr="00747616" w:rsidRDefault="004912DC" w:rsidP="004912DC">
      <w:pPr>
        <w:jc w:val="both"/>
        <w:rPr>
          <w:rFonts w:cs="Arial"/>
          <w:color w:val="2E74B5"/>
          <w:sz w:val="32"/>
          <w:szCs w:val="32"/>
          <w:lang w:eastAsia="sl-SI"/>
        </w:rPr>
      </w:pPr>
      <w:r w:rsidRPr="00747616">
        <w:rPr>
          <w:rFonts w:cs="Arial"/>
          <w:color w:val="2E74B5"/>
          <w:sz w:val="32"/>
          <w:szCs w:val="32"/>
          <w:lang w:eastAsia="sl-SI"/>
        </w:rPr>
        <w:lastRenderedPageBreak/>
        <w:t>Kazalo tabel</w:t>
      </w:r>
    </w:p>
    <w:p w14:paraId="21628B95" w14:textId="078C9C4A" w:rsidR="00537E8C" w:rsidRDefault="004912DC">
      <w:pPr>
        <w:pStyle w:val="Kazaloslik"/>
        <w:tabs>
          <w:tab w:val="right" w:leader="dot" w:pos="9855"/>
        </w:tabs>
        <w:rPr>
          <w:rFonts w:eastAsiaTheme="minorEastAsia"/>
          <w:noProof/>
          <w:sz w:val="22"/>
          <w:szCs w:val="22"/>
          <w:lang w:eastAsia="sl-SI"/>
        </w:rPr>
      </w:pPr>
      <w:r>
        <w:rPr>
          <w:rFonts w:ascii="Arial" w:hAnsi="Arial"/>
          <w:bCs/>
          <w:iCs/>
          <w:sz w:val="32"/>
          <w:szCs w:val="32"/>
        </w:rPr>
        <w:fldChar w:fldCharType="begin"/>
      </w:r>
      <w:r>
        <w:rPr>
          <w:rFonts w:ascii="Arial" w:hAnsi="Arial"/>
          <w:bCs/>
          <w:iCs/>
          <w:sz w:val="32"/>
          <w:szCs w:val="32"/>
        </w:rPr>
        <w:instrText xml:space="preserve"> TOC \h \z \c "Tabela" </w:instrText>
      </w:r>
      <w:r>
        <w:rPr>
          <w:rFonts w:ascii="Arial" w:hAnsi="Arial"/>
          <w:bCs/>
          <w:iCs/>
          <w:sz w:val="32"/>
          <w:szCs w:val="32"/>
        </w:rPr>
        <w:fldChar w:fldCharType="separate"/>
      </w:r>
      <w:hyperlink w:anchor="_Toc66786220" w:history="1">
        <w:r w:rsidR="00537E8C" w:rsidRPr="00E33261">
          <w:rPr>
            <w:rStyle w:val="Hiperpovezava"/>
            <w:rFonts w:cs="Arial"/>
            <w:noProof/>
          </w:rPr>
          <w:t>Tabela 1: Potencialna vrzel financiranja za mikrofinanciranje mikro podjetij v letu 2015</w:t>
        </w:r>
        <w:r w:rsidR="00537E8C">
          <w:rPr>
            <w:noProof/>
            <w:webHidden/>
          </w:rPr>
          <w:tab/>
        </w:r>
        <w:r w:rsidR="00537E8C">
          <w:rPr>
            <w:noProof/>
            <w:webHidden/>
          </w:rPr>
          <w:fldChar w:fldCharType="begin"/>
        </w:r>
        <w:r w:rsidR="00537E8C">
          <w:rPr>
            <w:noProof/>
            <w:webHidden/>
          </w:rPr>
          <w:instrText xml:space="preserve"> PAGEREF _Toc66786220 \h </w:instrText>
        </w:r>
        <w:r w:rsidR="00537E8C">
          <w:rPr>
            <w:noProof/>
            <w:webHidden/>
          </w:rPr>
        </w:r>
        <w:r w:rsidR="00537E8C">
          <w:rPr>
            <w:noProof/>
            <w:webHidden/>
          </w:rPr>
          <w:fldChar w:fldCharType="separate"/>
        </w:r>
        <w:r w:rsidR="00704263">
          <w:rPr>
            <w:noProof/>
            <w:webHidden/>
          </w:rPr>
          <w:t>26</w:t>
        </w:r>
        <w:r w:rsidR="00537E8C">
          <w:rPr>
            <w:noProof/>
            <w:webHidden/>
          </w:rPr>
          <w:fldChar w:fldCharType="end"/>
        </w:r>
      </w:hyperlink>
    </w:p>
    <w:p w14:paraId="5C918E9F" w14:textId="1C6FCC09" w:rsidR="00537E8C" w:rsidRDefault="003F3255">
      <w:pPr>
        <w:pStyle w:val="Kazaloslik"/>
        <w:tabs>
          <w:tab w:val="right" w:leader="dot" w:pos="9855"/>
        </w:tabs>
        <w:rPr>
          <w:rFonts w:eastAsiaTheme="minorEastAsia"/>
          <w:noProof/>
          <w:sz w:val="22"/>
          <w:szCs w:val="22"/>
          <w:lang w:eastAsia="sl-SI"/>
        </w:rPr>
      </w:pPr>
      <w:hyperlink w:anchor="_Toc66786221" w:history="1">
        <w:r w:rsidR="00537E8C" w:rsidRPr="00E33261">
          <w:rPr>
            <w:rStyle w:val="Hiperpovezava"/>
            <w:rFonts w:cs="Arial"/>
            <w:noProof/>
          </w:rPr>
          <w:t>Tabela 2: Dejanske vrzeli financiranja za kratkoročna posojila, prekoračitve na tekočih računih in kreditne linije v letu 2015 (mio EUR)</w:t>
        </w:r>
        <w:r w:rsidR="00537E8C">
          <w:rPr>
            <w:noProof/>
            <w:webHidden/>
          </w:rPr>
          <w:tab/>
        </w:r>
        <w:r w:rsidR="00537E8C">
          <w:rPr>
            <w:noProof/>
            <w:webHidden/>
          </w:rPr>
          <w:fldChar w:fldCharType="begin"/>
        </w:r>
        <w:r w:rsidR="00537E8C">
          <w:rPr>
            <w:noProof/>
            <w:webHidden/>
          </w:rPr>
          <w:instrText xml:space="preserve"> PAGEREF _Toc66786221 \h </w:instrText>
        </w:r>
        <w:r w:rsidR="00537E8C">
          <w:rPr>
            <w:noProof/>
            <w:webHidden/>
          </w:rPr>
        </w:r>
        <w:r w:rsidR="00537E8C">
          <w:rPr>
            <w:noProof/>
            <w:webHidden/>
          </w:rPr>
          <w:fldChar w:fldCharType="separate"/>
        </w:r>
        <w:r w:rsidR="00704263">
          <w:rPr>
            <w:noProof/>
            <w:webHidden/>
          </w:rPr>
          <w:t>27</w:t>
        </w:r>
        <w:r w:rsidR="00537E8C">
          <w:rPr>
            <w:noProof/>
            <w:webHidden/>
          </w:rPr>
          <w:fldChar w:fldCharType="end"/>
        </w:r>
      </w:hyperlink>
    </w:p>
    <w:p w14:paraId="57194C24" w14:textId="173B0FE1" w:rsidR="00537E8C" w:rsidRDefault="003F3255">
      <w:pPr>
        <w:pStyle w:val="Kazaloslik"/>
        <w:tabs>
          <w:tab w:val="right" w:leader="dot" w:pos="9855"/>
        </w:tabs>
        <w:rPr>
          <w:rFonts w:eastAsiaTheme="minorEastAsia"/>
          <w:noProof/>
          <w:sz w:val="22"/>
          <w:szCs w:val="22"/>
          <w:lang w:eastAsia="sl-SI"/>
        </w:rPr>
      </w:pPr>
      <w:hyperlink w:anchor="_Toc66786222" w:history="1">
        <w:r w:rsidR="00537E8C" w:rsidRPr="00E33261">
          <w:rPr>
            <w:rStyle w:val="Hiperpovezava"/>
            <w:rFonts w:cs="Arial"/>
            <w:noProof/>
          </w:rPr>
          <w:t>Tabela 3: Dejanske vrzeli financiranja za srednje- in dolgoročna posojila v letu 2015 (mio EUR)</w:t>
        </w:r>
        <w:r w:rsidR="00537E8C">
          <w:rPr>
            <w:noProof/>
            <w:webHidden/>
          </w:rPr>
          <w:tab/>
        </w:r>
        <w:r w:rsidR="00537E8C">
          <w:rPr>
            <w:noProof/>
            <w:webHidden/>
          </w:rPr>
          <w:fldChar w:fldCharType="begin"/>
        </w:r>
        <w:r w:rsidR="00537E8C">
          <w:rPr>
            <w:noProof/>
            <w:webHidden/>
          </w:rPr>
          <w:instrText xml:space="preserve"> PAGEREF _Toc66786222 \h </w:instrText>
        </w:r>
        <w:r w:rsidR="00537E8C">
          <w:rPr>
            <w:noProof/>
            <w:webHidden/>
          </w:rPr>
        </w:r>
        <w:r w:rsidR="00537E8C">
          <w:rPr>
            <w:noProof/>
            <w:webHidden/>
          </w:rPr>
          <w:fldChar w:fldCharType="separate"/>
        </w:r>
        <w:r w:rsidR="00704263">
          <w:rPr>
            <w:noProof/>
            <w:webHidden/>
          </w:rPr>
          <w:t>27</w:t>
        </w:r>
        <w:r w:rsidR="00537E8C">
          <w:rPr>
            <w:noProof/>
            <w:webHidden/>
          </w:rPr>
          <w:fldChar w:fldCharType="end"/>
        </w:r>
      </w:hyperlink>
    </w:p>
    <w:p w14:paraId="008AEDE1" w14:textId="69597DBA" w:rsidR="00537E8C" w:rsidRDefault="003F3255">
      <w:pPr>
        <w:pStyle w:val="Kazaloslik"/>
        <w:tabs>
          <w:tab w:val="right" w:leader="dot" w:pos="9855"/>
        </w:tabs>
        <w:rPr>
          <w:rFonts w:eastAsiaTheme="minorEastAsia"/>
          <w:noProof/>
          <w:sz w:val="22"/>
          <w:szCs w:val="22"/>
          <w:lang w:eastAsia="sl-SI"/>
        </w:rPr>
      </w:pPr>
      <w:hyperlink w:anchor="_Toc66786223" w:history="1">
        <w:r w:rsidR="00537E8C" w:rsidRPr="00E33261">
          <w:rPr>
            <w:rStyle w:val="Hiperpovezava"/>
            <w:rFonts w:cs="Arial"/>
            <w:noProof/>
          </w:rPr>
          <w:t>Tabela 4: Potencialna vrzel lastniškega financiranja za vsa MSP v letu 2015 (v mio EUR)</w:t>
        </w:r>
        <w:r w:rsidR="00537E8C">
          <w:rPr>
            <w:noProof/>
            <w:webHidden/>
          </w:rPr>
          <w:tab/>
        </w:r>
        <w:r w:rsidR="00537E8C">
          <w:rPr>
            <w:noProof/>
            <w:webHidden/>
          </w:rPr>
          <w:fldChar w:fldCharType="begin"/>
        </w:r>
        <w:r w:rsidR="00537E8C">
          <w:rPr>
            <w:noProof/>
            <w:webHidden/>
          </w:rPr>
          <w:instrText xml:space="preserve"> PAGEREF _Toc66786223 \h </w:instrText>
        </w:r>
        <w:r w:rsidR="00537E8C">
          <w:rPr>
            <w:noProof/>
            <w:webHidden/>
          </w:rPr>
        </w:r>
        <w:r w:rsidR="00537E8C">
          <w:rPr>
            <w:noProof/>
            <w:webHidden/>
          </w:rPr>
          <w:fldChar w:fldCharType="separate"/>
        </w:r>
        <w:r w:rsidR="00704263">
          <w:rPr>
            <w:noProof/>
            <w:webHidden/>
          </w:rPr>
          <w:t>27</w:t>
        </w:r>
        <w:r w:rsidR="00537E8C">
          <w:rPr>
            <w:noProof/>
            <w:webHidden/>
          </w:rPr>
          <w:fldChar w:fldCharType="end"/>
        </w:r>
      </w:hyperlink>
    </w:p>
    <w:p w14:paraId="6CD47A52" w14:textId="10938030" w:rsidR="00537E8C" w:rsidRDefault="003F3255">
      <w:pPr>
        <w:pStyle w:val="Kazaloslik"/>
        <w:tabs>
          <w:tab w:val="right" w:leader="dot" w:pos="9855"/>
        </w:tabs>
        <w:rPr>
          <w:rFonts w:eastAsiaTheme="minorEastAsia"/>
          <w:noProof/>
          <w:sz w:val="22"/>
          <w:szCs w:val="22"/>
          <w:lang w:eastAsia="sl-SI"/>
        </w:rPr>
      </w:pPr>
      <w:hyperlink w:anchor="_Toc66786224" w:history="1">
        <w:r w:rsidR="00537E8C" w:rsidRPr="00E33261">
          <w:rPr>
            <w:rStyle w:val="Hiperpovezava"/>
            <w:rFonts w:cs="Arial"/>
            <w:noProof/>
          </w:rPr>
          <w:t>Tabela 5: Vrzel financiranja za financiranje RRI v letu 2015 (mio EUR)</w:t>
        </w:r>
        <w:r w:rsidR="00537E8C">
          <w:rPr>
            <w:noProof/>
            <w:webHidden/>
          </w:rPr>
          <w:tab/>
        </w:r>
        <w:r w:rsidR="00537E8C">
          <w:rPr>
            <w:noProof/>
            <w:webHidden/>
          </w:rPr>
          <w:fldChar w:fldCharType="begin"/>
        </w:r>
        <w:r w:rsidR="00537E8C">
          <w:rPr>
            <w:noProof/>
            <w:webHidden/>
          </w:rPr>
          <w:instrText xml:space="preserve"> PAGEREF _Toc66786224 \h </w:instrText>
        </w:r>
        <w:r w:rsidR="00537E8C">
          <w:rPr>
            <w:noProof/>
            <w:webHidden/>
          </w:rPr>
        </w:r>
        <w:r w:rsidR="00537E8C">
          <w:rPr>
            <w:noProof/>
            <w:webHidden/>
          </w:rPr>
          <w:fldChar w:fldCharType="separate"/>
        </w:r>
        <w:r w:rsidR="00704263">
          <w:rPr>
            <w:noProof/>
            <w:webHidden/>
          </w:rPr>
          <w:t>28</w:t>
        </w:r>
        <w:r w:rsidR="00537E8C">
          <w:rPr>
            <w:noProof/>
            <w:webHidden/>
          </w:rPr>
          <w:fldChar w:fldCharType="end"/>
        </w:r>
      </w:hyperlink>
    </w:p>
    <w:p w14:paraId="2E6594BA" w14:textId="524E6B9D" w:rsidR="00537E8C" w:rsidRDefault="003F3255">
      <w:pPr>
        <w:pStyle w:val="Kazaloslik"/>
        <w:tabs>
          <w:tab w:val="right" w:leader="dot" w:pos="9855"/>
        </w:tabs>
        <w:rPr>
          <w:rFonts w:eastAsiaTheme="minorEastAsia"/>
          <w:noProof/>
          <w:sz w:val="22"/>
          <w:szCs w:val="22"/>
          <w:lang w:eastAsia="sl-SI"/>
        </w:rPr>
      </w:pPr>
      <w:hyperlink w:anchor="_Toc66786225" w:history="1">
        <w:r w:rsidR="00537E8C" w:rsidRPr="00E33261">
          <w:rPr>
            <w:rStyle w:val="Hiperpovezava"/>
            <w:rFonts w:cs="Arial"/>
            <w:noProof/>
          </w:rPr>
          <w:t>Tabela 6: Ocenjena vrzel financiranja za URE/OVE v obdobju 2015—2020 (mio EUR)</w:t>
        </w:r>
        <w:r w:rsidR="00537E8C">
          <w:rPr>
            <w:noProof/>
            <w:webHidden/>
          </w:rPr>
          <w:tab/>
        </w:r>
        <w:r w:rsidR="00537E8C">
          <w:rPr>
            <w:noProof/>
            <w:webHidden/>
          </w:rPr>
          <w:fldChar w:fldCharType="begin"/>
        </w:r>
        <w:r w:rsidR="00537E8C">
          <w:rPr>
            <w:noProof/>
            <w:webHidden/>
          </w:rPr>
          <w:instrText xml:space="preserve"> PAGEREF _Toc66786225 \h </w:instrText>
        </w:r>
        <w:r w:rsidR="00537E8C">
          <w:rPr>
            <w:noProof/>
            <w:webHidden/>
          </w:rPr>
        </w:r>
        <w:r w:rsidR="00537E8C">
          <w:rPr>
            <w:noProof/>
            <w:webHidden/>
          </w:rPr>
          <w:fldChar w:fldCharType="separate"/>
        </w:r>
        <w:r w:rsidR="00704263">
          <w:rPr>
            <w:noProof/>
            <w:webHidden/>
          </w:rPr>
          <w:t>28</w:t>
        </w:r>
        <w:r w:rsidR="00537E8C">
          <w:rPr>
            <w:noProof/>
            <w:webHidden/>
          </w:rPr>
          <w:fldChar w:fldCharType="end"/>
        </w:r>
      </w:hyperlink>
    </w:p>
    <w:p w14:paraId="0A076908" w14:textId="387557B1" w:rsidR="00537E8C" w:rsidRDefault="003F3255">
      <w:pPr>
        <w:pStyle w:val="Kazaloslik"/>
        <w:tabs>
          <w:tab w:val="right" w:leader="dot" w:pos="9855"/>
        </w:tabs>
        <w:rPr>
          <w:rFonts w:eastAsiaTheme="minorEastAsia"/>
          <w:noProof/>
          <w:sz w:val="22"/>
          <w:szCs w:val="22"/>
          <w:lang w:eastAsia="sl-SI"/>
        </w:rPr>
      </w:pPr>
      <w:hyperlink w:anchor="_Toc66786226" w:history="1">
        <w:r w:rsidR="00537E8C" w:rsidRPr="00E33261">
          <w:rPr>
            <w:rStyle w:val="Hiperpovezava"/>
            <w:rFonts w:cs="Arial"/>
            <w:noProof/>
          </w:rPr>
          <w:t>Tabela 7: Vrzel financiranja za financiranje urbanega razvoja v obdobju 2015—2020 (mio EUR)</w:t>
        </w:r>
        <w:r w:rsidR="00537E8C">
          <w:rPr>
            <w:noProof/>
            <w:webHidden/>
          </w:rPr>
          <w:tab/>
        </w:r>
        <w:r w:rsidR="00537E8C">
          <w:rPr>
            <w:noProof/>
            <w:webHidden/>
          </w:rPr>
          <w:fldChar w:fldCharType="begin"/>
        </w:r>
        <w:r w:rsidR="00537E8C">
          <w:rPr>
            <w:noProof/>
            <w:webHidden/>
          </w:rPr>
          <w:instrText xml:space="preserve"> PAGEREF _Toc66786226 \h </w:instrText>
        </w:r>
        <w:r w:rsidR="00537E8C">
          <w:rPr>
            <w:noProof/>
            <w:webHidden/>
          </w:rPr>
        </w:r>
        <w:r w:rsidR="00537E8C">
          <w:rPr>
            <w:noProof/>
            <w:webHidden/>
          </w:rPr>
          <w:fldChar w:fldCharType="separate"/>
        </w:r>
        <w:r w:rsidR="00704263">
          <w:rPr>
            <w:noProof/>
            <w:webHidden/>
          </w:rPr>
          <w:t>29</w:t>
        </w:r>
        <w:r w:rsidR="00537E8C">
          <w:rPr>
            <w:noProof/>
            <w:webHidden/>
          </w:rPr>
          <w:fldChar w:fldCharType="end"/>
        </w:r>
      </w:hyperlink>
    </w:p>
    <w:p w14:paraId="595519FE" w14:textId="2F5B417C" w:rsidR="00537E8C" w:rsidRDefault="003F3255">
      <w:pPr>
        <w:pStyle w:val="Kazaloslik"/>
        <w:tabs>
          <w:tab w:val="right" w:leader="dot" w:pos="9855"/>
        </w:tabs>
        <w:rPr>
          <w:rFonts w:eastAsiaTheme="minorEastAsia"/>
          <w:noProof/>
          <w:sz w:val="22"/>
          <w:szCs w:val="22"/>
          <w:lang w:eastAsia="sl-SI"/>
        </w:rPr>
      </w:pPr>
      <w:hyperlink w:anchor="_Toc66786227" w:history="1">
        <w:r w:rsidR="00537E8C" w:rsidRPr="00E33261">
          <w:rPr>
            <w:rStyle w:val="Hiperpovezava"/>
            <w:rFonts w:cs="Arial"/>
            <w:noProof/>
          </w:rPr>
          <w:t>Tabela 8</w:t>
        </w:r>
        <w:r w:rsidR="00537E8C" w:rsidRPr="00E33261">
          <w:rPr>
            <w:rStyle w:val="Hiperpovezava"/>
            <w:rFonts w:cs="Arial"/>
            <w:bCs/>
            <w:noProof/>
          </w:rPr>
          <w:t>: Glavne pridobljene izkušnje za programsko obdobje 2007—2013</w:t>
        </w:r>
        <w:r w:rsidR="00537E8C">
          <w:rPr>
            <w:noProof/>
            <w:webHidden/>
          </w:rPr>
          <w:tab/>
        </w:r>
        <w:r w:rsidR="00537E8C">
          <w:rPr>
            <w:noProof/>
            <w:webHidden/>
          </w:rPr>
          <w:fldChar w:fldCharType="begin"/>
        </w:r>
        <w:r w:rsidR="00537E8C">
          <w:rPr>
            <w:noProof/>
            <w:webHidden/>
          </w:rPr>
          <w:instrText xml:space="preserve"> PAGEREF _Toc66786227 \h </w:instrText>
        </w:r>
        <w:r w:rsidR="00537E8C">
          <w:rPr>
            <w:noProof/>
            <w:webHidden/>
          </w:rPr>
        </w:r>
        <w:r w:rsidR="00537E8C">
          <w:rPr>
            <w:noProof/>
            <w:webHidden/>
          </w:rPr>
          <w:fldChar w:fldCharType="separate"/>
        </w:r>
        <w:r w:rsidR="00704263">
          <w:rPr>
            <w:noProof/>
            <w:webHidden/>
          </w:rPr>
          <w:t>30</w:t>
        </w:r>
        <w:r w:rsidR="00537E8C">
          <w:rPr>
            <w:noProof/>
            <w:webHidden/>
          </w:rPr>
          <w:fldChar w:fldCharType="end"/>
        </w:r>
      </w:hyperlink>
    </w:p>
    <w:p w14:paraId="30D3070E" w14:textId="295D99FF" w:rsidR="00537E8C" w:rsidRDefault="003F3255">
      <w:pPr>
        <w:pStyle w:val="Kazaloslik"/>
        <w:tabs>
          <w:tab w:val="right" w:leader="dot" w:pos="9855"/>
        </w:tabs>
        <w:rPr>
          <w:rFonts w:eastAsiaTheme="minorEastAsia"/>
          <w:noProof/>
          <w:sz w:val="22"/>
          <w:szCs w:val="22"/>
          <w:lang w:eastAsia="sl-SI"/>
        </w:rPr>
      </w:pPr>
      <w:hyperlink w:anchor="_Toc66786228" w:history="1">
        <w:r w:rsidR="00537E8C" w:rsidRPr="00E33261">
          <w:rPr>
            <w:rStyle w:val="Hiperpovezava"/>
            <w:rFonts w:cs="Arial"/>
            <w:noProof/>
          </w:rPr>
          <w:t>Tabela 9:</w:t>
        </w:r>
        <w:r w:rsidR="00537E8C" w:rsidRPr="00E33261">
          <w:rPr>
            <w:rStyle w:val="Hiperpovezava"/>
            <w:rFonts w:eastAsia="Calibri" w:cs="Arial"/>
            <w:iCs/>
            <w:noProof/>
          </w:rPr>
          <w:t xml:space="preserve"> Finančni produkti in ciljne skupine povzeti po Predhodni oceni FI in Analizi EIB in s strani ministrstev predlagani finančni produkti z višino</w:t>
        </w:r>
        <w:r w:rsidR="00537E8C">
          <w:rPr>
            <w:rStyle w:val="Hiperpovezava"/>
            <w:rFonts w:eastAsia="Calibri" w:cs="Arial"/>
            <w:iCs/>
            <w:noProof/>
          </w:rPr>
          <w:t xml:space="preserve"> sredstev in ciljnimi skupinami</w:t>
        </w:r>
        <w:r w:rsidR="00537E8C">
          <w:rPr>
            <w:noProof/>
            <w:webHidden/>
          </w:rPr>
          <w:tab/>
        </w:r>
        <w:r w:rsidR="00537E8C">
          <w:rPr>
            <w:noProof/>
            <w:webHidden/>
          </w:rPr>
          <w:fldChar w:fldCharType="begin"/>
        </w:r>
        <w:r w:rsidR="00537E8C">
          <w:rPr>
            <w:noProof/>
            <w:webHidden/>
          </w:rPr>
          <w:instrText xml:space="preserve"> PAGEREF _Toc66786228 \h </w:instrText>
        </w:r>
        <w:r w:rsidR="00537E8C">
          <w:rPr>
            <w:noProof/>
            <w:webHidden/>
          </w:rPr>
        </w:r>
        <w:r w:rsidR="00537E8C">
          <w:rPr>
            <w:noProof/>
            <w:webHidden/>
          </w:rPr>
          <w:fldChar w:fldCharType="separate"/>
        </w:r>
        <w:r w:rsidR="00704263">
          <w:rPr>
            <w:noProof/>
            <w:webHidden/>
          </w:rPr>
          <w:t>38</w:t>
        </w:r>
        <w:r w:rsidR="00537E8C">
          <w:rPr>
            <w:noProof/>
            <w:webHidden/>
          </w:rPr>
          <w:fldChar w:fldCharType="end"/>
        </w:r>
      </w:hyperlink>
    </w:p>
    <w:p w14:paraId="2AC27F80" w14:textId="4A36853F" w:rsidR="00537E8C" w:rsidRPr="00537E8C" w:rsidRDefault="003F3255">
      <w:pPr>
        <w:pStyle w:val="Kazaloslik"/>
        <w:tabs>
          <w:tab w:val="right" w:leader="dot" w:pos="9855"/>
        </w:tabs>
        <w:rPr>
          <w:rStyle w:val="Hiperpovezava"/>
          <w:rFonts w:cs="Arial"/>
          <w:noProof/>
        </w:rPr>
      </w:pPr>
      <w:hyperlink w:anchor="_Toc66786229" w:history="1">
        <w:r w:rsidR="00537E8C" w:rsidRPr="00537E8C">
          <w:rPr>
            <w:rStyle w:val="Hiperpovezava"/>
            <w:rFonts w:cs="Arial"/>
            <w:noProof/>
          </w:rPr>
          <w:t>Tabela 10: Finančna sredstva za FI po letih in kohezijskih regijah</w:t>
        </w:r>
        <w:r w:rsidR="00537E8C" w:rsidRPr="00537E8C">
          <w:rPr>
            <w:rStyle w:val="Hiperpovezava"/>
            <w:rFonts w:cs="Arial"/>
            <w:noProof/>
            <w:webHidden/>
          </w:rPr>
          <w:tab/>
        </w:r>
        <w:r w:rsidR="00537E8C" w:rsidRPr="00537E8C">
          <w:rPr>
            <w:rStyle w:val="Hiperpovezava"/>
            <w:rFonts w:cs="Arial"/>
            <w:noProof/>
            <w:webHidden/>
          </w:rPr>
          <w:fldChar w:fldCharType="begin"/>
        </w:r>
        <w:r w:rsidR="00537E8C" w:rsidRPr="00537E8C">
          <w:rPr>
            <w:rStyle w:val="Hiperpovezava"/>
            <w:rFonts w:cs="Arial"/>
            <w:noProof/>
            <w:webHidden/>
          </w:rPr>
          <w:instrText xml:space="preserve"> PAGEREF _Toc66786229 \h </w:instrText>
        </w:r>
        <w:r w:rsidR="00537E8C" w:rsidRPr="00537E8C">
          <w:rPr>
            <w:rStyle w:val="Hiperpovezava"/>
            <w:rFonts w:cs="Arial"/>
            <w:noProof/>
            <w:webHidden/>
          </w:rPr>
        </w:r>
        <w:r w:rsidR="00537E8C" w:rsidRPr="00537E8C">
          <w:rPr>
            <w:rStyle w:val="Hiperpovezava"/>
            <w:rFonts w:cs="Arial"/>
            <w:noProof/>
            <w:webHidden/>
          </w:rPr>
          <w:fldChar w:fldCharType="separate"/>
        </w:r>
        <w:r w:rsidR="00704263">
          <w:rPr>
            <w:rStyle w:val="Hiperpovezava"/>
            <w:rFonts w:cs="Arial"/>
            <w:noProof/>
            <w:webHidden/>
          </w:rPr>
          <w:t>40</w:t>
        </w:r>
        <w:r w:rsidR="00537E8C" w:rsidRPr="00537E8C">
          <w:rPr>
            <w:rStyle w:val="Hiperpovezava"/>
            <w:rFonts w:cs="Arial"/>
            <w:noProof/>
            <w:webHidden/>
          </w:rPr>
          <w:fldChar w:fldCharType="end"/>
        </w:r>
      </w:hyperlink>
    </w:p>
    <w:p w14:paraId="02A21C0F" w14:textId="000F2DD3" w:rsidR="00537E8C" w:rsidRDefault="003F3255">
      <w:pPr>
        <w:pStyle w:val="Kazaloslik"/>
        <w:tabs>
          <w:tab w:val="right" w:leader="dot" w:pos="9855"/>
        </w:tabs>
        <w:rPr>
          <w:rFonts w:eastAsiaTheme="minorEastAsia"/>
          <w:noProof/>
          <w:sz w:val="22"/>
          <w:szCs w:val="22"/>
          <w:lang w:eastAsia="sl-SI"/>
        </w:rPr>
      </w:pPr>
      <w:hyperlink w:anchor="_Toc66786230" w:history="1">
        <w:r w:rsidR="00537E8C" w:rsidRPr="00E33261">
          <w:rPr>
            <w:rStyle w:val="Hiperpovezava"/>
            <w:rFonts w:cs="Arial"/>
            <w:noProof/>
          </w:rPr>
          <w:t>Tabela 11:</w:t>
        </w:r>
        <w:r w:rsidR="00537E8C" w:rsidRPr="00E33261">
          <w:rPr>
            <w:rStyle w:val="Hiperpovezava"/>
            <w:rFonts w:eastAsia="Georgia" w:cs="Arial"/>
            <w:noProof/>
          </w:rPr>
          <w:t xml:space="preserve"> Predvideni finančni produkti za področje energetske učinkovitosti</w:t>
        </w:r>
        <w:r w:rsidR="00537E8C">
          <w:rPr>
            <w:noProof/>
            <w:webHidden/>
          </w:rPr>
          <w:tab/>
        </w:r>
        <w:r w:rsidR="00537E8C">
          <w:rPr>
            <w:noProof/>
            <w:webHidden/>
          </w:rPr>
          <w:fldChar w:fldCharType="begin"/>
        </w:r>
        <w:r w:rsidR="00537E8C">
          <w:rPr>
            <w:noProof/>
            <w:webHidden/>
          </w:rPr>
          <w:instrText xml:space="preserve"> PAGEREF _Toc66786230 \h </w:instrText>
        </w:r>
        <w:r w:rsidR="00537E8C">
          <w:rPr>
            <w:noProof/>
            <w:webHidden/>
          </w:rPr>
        </w:r>
        <w:r w:rsidR="00537E8C">
          <w:rPr>
            <w:noProof/>
            <w:webHidden/>
          </w:rPr>
          <w:fldChar w:fldCharType="separate"/>
        </w:r>
        <w:r w:rsidR="00704263">
          <w:rPr>
            <w:noProof/>
            <w:webHidden/>
          </w:rPr>
          <w:t>45</w:t>
        </w:r>
        <w:r w:rsidR="00537E8C">
          <w:rPr>
            <w:noProof/>
            <w:webHidden/>
          </w:rPr>
          <w:fldChar w:fldCharType="end"/>
        </w:r>
      </w:hyperlink>
    </w:p>
    <w:p w14:paraId="201B14A9" w14:textId="6304B0F1" w:rsidR="00537E8C" w:rsidRDefault="003F3255">
      <w:pPr>
        <w:pStyle w:val="Kazaloslik"/>
        <w:tabs>
          <w:tab w:val="right" w:leader="dot" w:pos="9855"/>
        </w:tabs>
        <w:rPr>
          <w:rFonts w:eastAsiaTheme="minorEastAsia"/>
          <w:noProof/>
          <w:sz w:val="22"/>
          <w:szCs w:val="22"/>
          <w:lang w:eastAsia="sl-SI"/>
        </w:rPr>
      </w:pPr>
      <w:hyperlink w:anchor="_Toc66786231" w:history="1">
        <w:r w:rsidR="00537E8C" w:rsidRPr="00E33261">
          <w:rPr>
            <w:rStyle w:val="Hiperpovezava"/>
            <w:rFonts w:cs="Arial"/>
            <w:noProof/>
          </w:rPr>
          <w:t>Tabela 12:</w:t>
        </w:r>
        <w:r w:rsidR="00537E8C" w:rsidRPr="00E33261">
          <w:rPr>
            <w:rStyle w:val="Hiperpovezava"/>
            <w:rFonts w:eastAsia="Georgia" w:cs="Arial"/>
            <w:noProof/>
          </w:rPr>
          <w:t xml:space="preserve"> Ciljni končni prejemniki posameznih finančnih produktov</w:t>
        </w:r>
        <w:r w:rsidR="00537E8C">
          <w:rPr>
            <w:noProof/>
            <w:webHidden/>
          </w:rPr>
          <w:tab/>
        </w:r>
        <w:r w:rsidR="00537E8C">
          <w:rPr>
            <w:noProof/>
            <w:webHidden/>
          </w:rPr>
          <w:fldChar w:fldCharType="begin"/>
        </w:r>
        <w:r w:rsidR="00537E8C">
          <w:rPr>
            <w:noProof/>
            <w:webHidden/>
          </w:rPr>
          <w:instrText xml:space="preserve"> PAGEREF _Toc66786231 \h </w:instrText>
        </w:r>
        <w:r w:rsidR="00537E8C">
          <w:rPr>
            <w:noProof/>
            <w:webHidden/>
          </w:rPr>
        </w:r>
        <w:r w:rsidR="00537E8C">
          <w:rPr>
            <w:noProof/>
            <w:webHidden/>
          </w:rPr>
          <w:fldChar w:fldCharType="separate"/>
        </w:r>
        <w:r w:rsidR="00704263">
          <w:rPr>
            <w:noProof/>
            <w:webHidden/>
          </w:rPr>
          <w:t>46</w:t>
        </w:r>
        <w:r w:rsidR="00537E8C">
          <w:rPr>
            <w:noProof/>
            <w:webHidden/>
          </w:rPr>
          <w:fldChar w:fldCharType="end"/>
        </w:r>
      </w:hyperlink>
    </w:p>
    <w:p w14:paraId="49F46D7D" w14:textId="48C86F7C" w:rsidR="00537E8C" w:rsidRDefault="003F3255">
      <w:pPr>
        <w:pStyle w:val="Kazaloslik"/>
        <w:tabs>
          <w:tab w:val="right" w:leader="dot" w:pos="9855"/>
        </w:tabs>
        <w:rPr>
          <w:rFonts w:eastAsiaTheme="minorEastAsia"/>
          <w:noProof/>
          <w:sz w:val="22"/>
          <w:szCs w:val="22"/>
          <w:lang w:eastAsia="sl-SI"/>
        </w:rPr>
      </w:pPr>
      <w:hyperlink w:anchor="_Toc66786232" w:history="1">
        <w:r w:rsidR="00537E8C" w:rsidRPr="00E33261">
          <w:rPr>
            <w:rStyle w:val="Hiperpovezava"/>
            <w:rFonts w:cs="Arial"/>
            <w:noProof/>
          </w:rPr>
          <w:t>Tabela 13:</w:t>
        </w:r>
        <w:r w:rsidR="00537E8C" w:rsidRPr="00E33261">
          <w:rPr>
            <w:rStyle w:val="Hiperpovezava"/>
            <w:rFonts w:eastAsia="Calibri" w:cs="Arial"/>
            <w:noProof/>
          </w:rPr>
          <w:t xml:space="preserve"> Pričakovani finančni vzvod</w:t>
        </w:r>
        <w:r w:rsidR="00537E8C">
          <w:rPr>
            <w:noProof/>
            <w:webHidden/>
          </w:rPr>
          <w:tab/>
        </w:r>
        <w:r w:rsidR="00537E8C">
          <w:rPr>
            <w:noProof/>
            <w:webHidden/>
          </w:rPr>
          <w:fldChar w:fldCharType="begin"/>
        </w:r>
        <w:r w:rsidR="00537E8C">
          <w:rPr>
            <w:noProof/>
            <w:webHidden/>
          </w:rPr>
          <w:instrText xml:space="preserve"> PAGEREF _Toc66786232 \h </w:instrText>
        </w:r>
        <w:r w:rsidR="00537E8C">
          <w:rPr>
            <w:noProof/>
            <w:webHidden/>
          </w:rPr>
        </w:r>
        <w:r w:rsidR="00537E8C">
          <w:rPr>
            <w:noProof/>
            <w:webHidden/>
          </w:rPr>
          <w:fldChar w:fldCharType="separate"/>
        </w:r>
        <w:r w:rsidR="00704263">
          <w:rPr>
            <w:noProof/>
            <w:webHidden/>
          </w:rPr>
          <w:t>58</w:t>
        </w:r>
        <w:r w:rsidR="00537E8C">
          <w:rPr>
            <w:noProof/>
            <w:webHidden/>
          </w:rPr>
          <w:fldChar w:fldCharType="end"/>
        </w:r>
      </w:hyperlink>
    </w:p>
    <w:p w14:paraId="2F19B1A9" w14:textId="33F38C85" w:rsidR="004912DC" w:rsidRDefault="004912DC" w:rsidP="004912DC">
      <w:pPr>
        <w:spacing w:after="160"/>
        <w:jc w:val="both"/>
        <w:rPr>
          <w:bCs/>
          <w:iCs/>
          <w:sz w:val="32"/>
          <w:szCs w:val="32"/>
        </w:rPr>
      </w:pPr>
      <w:r>
        <w:rPr>
          <w:bCs/>
          <w:iCs/>
          <w:sz w:val="32"/>
          <w:szCs w:val="32"/>
        </w:rPr>
        <w:fldChar w:fldCharType="end"/>
      </w:r>
    </w:p>
    <w:p w14:paraId="07C16063" w14:textId="77777777" w:rsidR="004912DC" w:rsidRPr="00747616" w:rsidRDefault="004912DC" w:rsidP="004912DC">
      <w:pPr>
        <w:jc w:val="both"/>
        <w:rPr>
          <w:rFonts w:cs="Arial"/>
          <w:color w:val="2E74B5"/>
          <w:sz w:val="32"/>
          <w:szCs w:val="32"/>
          <w:lang w:eastAsia="sl-SI"/>
        </w:rPr>
      </w:pPr>
      <w:r w:rsidRPr="00747616">
        <w:rPr>
          <w:rFonts w:cs="Arial"/>
          <w:color w:val="2E74B5"/>
          <w:sz w:val="32"/>
          <w:szCs w:val="32"/>
          <w:lang w:eastAsia="sl-SI"/>
        </w:rPr>
        <w:t>Kazalo slik</w:t>
      </w:r>
    </w:p>
    <w:p w14:paraId="00F87A7F" w14:textId="15DAE1F7" w:rsidR="00537E8C" w:rsidRPr="00537E8C" w:rsidRDefault="004912DC">
      <w:pPr>
        <w:pStyle w:val="Kazaloslik"/>
        <w:tabs>
          <w:tab w:val="right" w:leader="dot" w:pos="9855"/>
        </w:tabs>
        <w:rPr>
          <w:rStyle w:val="Hiperpovezava"/>
          <w:rFonts w:cs="Arial"/>
          <w:noProof/>
        </w:rPr>
      </w:pPr>
      <w:r>
        <w:rPr>
          <w:rFonts w:ascii="Arial" w:hAnsi="Arial"/>
          <w:bCs/>
          <w:iCs/>
          <w:sz w:val="32"/>
          <w:szCs w:val="32"/>
        </w:rPr>
        <w:fldChar w:fldCharType="begin"/>
      </w:r>
      <w:r>
        <w:rPr>
          <w:rFonts w:ascii="Arial" w:hAnsi="Arial"/>
          <w:bCs/>
          <w:iCs/>
          <w:sz w:val="32"/>
          <w:szCs w:val="32"/>
        </w:rPr>
        <w:instrText xml:space="preserve"> TOC \h \z \c "Slika" </w:instrText>
      </w:r>
      <w:r>
        <w:rPr>
          <w:rFonts w:ascii="Arial" w:hAnsi="Arial"/>
          <w:bCs/>
          <w:iCs/>
          <w:sz w:val="32"/>
          <w:szCs w:val="32"/>
        </w:rPr>
        <w:fldChar w:fldCharType="separate"/>
      </w:r>
      <w:hyperlink w:anchor="_Toc66786233" w:history="1">
        <w:r w:rsidR="00537E8C" w:rsidRPr="00537E8C">
          <w:rPr>
            <w:rStyle w:val="Hiperpovezava"/>
            <w:rFonts w:cs="Arial"/>
            <w:noProof/>
          </w:rPr>
          <w:t>Slika 1: Struktura upravljanja sklada skladov v programskem obdobju 2014—2020</w:t>
        </w:r>
        <w:r w:rsidR="00537E8C" w:rsidRPr="00537E8C">
          <w:rPr>
            <w:rStyle w:val="Hiperpovezava"/>
            <w:rFonts w:cs="Arial"/>
            <w:noProof/>
            <w:webHidden/>
          </w:rPr>
          <w:tab/>
        </w:r>
        <w:r w:rsidR="00537E8C" w:rsidRPr="00537E8C">
          <w:rPr>
            <w:rStyle w:val="Hiperpovezava"/>
            <w:rFonts w:cs="Arial"/>
            <w:noProof/>
            <w:webHidden/>
          </w:rPr>
          <w:fldChar w:fldCharType="begin"/>
        </w:r>
        <w:r w:rsidR="00537E8C" w:rsidRPr="00537E8C">
          <w:rPr>
            <w:rStyle w:val="Hiperpovezava"/>
            <w:rFonts w:cs="Arial"/>
            <w:noProof/>
            <w:webHidden/>
          </w:rPr>
          <w:instrText xml:space="preserve"> PAGEREF _Toc66786233 \h </w:instrText>
        </w:r>
        <w:r w:rsidR="00537E8C" w:rsidRPr="00537E8C">
          <w:rPr>
            <w:rStyle w:val="Hiperpovezava"/>
            <w:rFonts w:cs="Arial"/>
            <w:noProof/>
            <w:webHidden/>
          </w:rPr>
        </w:r>
        <w:r w:rsidR="00537E8C" w:rsidRPr="00537E8C">
          <w:rPr>
            <w:rStyle w:val="Hiperpovezava"/>
            <w:rFonts w:cs="Arial"/>
            <w:noProof/>
            <w:webHidden/>
          </w:rPr>
          <w:fldChar w:fldCharType="separate"/>
        </w:r>
        <w:r w:rsidR="00704263">
          <w:rPr>
            <w:rStyle w:val="Hiperpovezava"/>
            <w:rFonts w:cs="Arial"/>
            <w:noProof/>
            <w:webHidden/>
          </w:rPr>
          <w:t>33</w:t>
        </w:r>
        <w:r w:rsidR="00537E8C" w:rsidRPr="00537E8C">
          <w:rPr>
            <w:rStyle w:val="Hiperpovezava"/>
            <w:rFonts w:cs="Arial"/>
            <w:noProof/>
            <w:webHidden/>
          </w:rPr>
          <w:fldChar w:fldCharType="end"/>
        </w:r>
      </w:hyperlink>
    </w:p>
    <w:p w14:paraId="577FFB67" w14:textId="00006781" w:rsidR="00537E8C" w:rsidRDefault="003F3255">
      <w:pPr>
        <w:pStyle w:val="Kazaloslik"/>
        <w:tabs>
          <w:tab w:val="right" w:leader="dot" w:pos="9855"/>
        </w:tabs>
        <w:rPr>
          <w:rFonts w:eastAsiaTheme="minorEastAsia"/>
          <w:noProof/>
          <w:sz w:val="22"/>
          <w:szCs w:val="22"/>
          <w:lang w:eastAsia="sl-SI"/>
        </w:rPr>
      </w:pPr>
      <w:hyperlink w:anchor="_Toc66786234" w:history="1">
        <w:r w:rsidR="00537E8C" w:rsidRPr="001073E9">
          <w:rPr>
            <w:rStyle w:val="Hiperpovezava"/>
            <w:rFonts w:cs="Arial"/>
            <w:bCs/>
            <w:noProof/>
          </w:rPr>
          <w:t>Slika 2</w:t>
        </w:r>
        <w:r w:rsidR="00537E8C" w:rsidRPr="001073E9">
          <w:rPr>
            <w:rStyle w:val="Hiperpovezava"/>
            <w:rFonts w:cs="Arial"/>
            <w:noProof/>
          </w:rPr>
          <w:t>: Naložbena strategija sklada skladov</w:t>
        </w:r>
        <w:r w:rsidR="00537E8C">
          <w:rPr>
            <w:noProof/>
            <w:webHidden/>
          </w:rPr>
          <w:tab/>
        </w:r>
        <w:r w:rsidR="00537E8C">
          <w:rPr>
            <w:noProof/>
            <w:webHidden/>
          </w:rPr>
          <w:fldChar w:fldCharType="begin"/>
        </w:r>
        <w:r w:rsidR="00537E8C">
          <w:rPr>
            <w:noProof/>
            <w:webHidden/>
          </w:rPr>
          <w:instrText xml:space="preserve"> PAGEREF _Toc66786234 \h </w:instrText>
        </w:r>
        <w:r w:rsidR="00537E8C">
          <w:rPr>
            <w:noProof/>
            <w:webHidden/>
          </w:rPr>
        </w:r>
        <w:r w:rsidR="00537E8C">
          <w:rPr>
            <w:noProof/>
            <w:webHidden/>
          </w:rPr>
          <w:fldChar w:fldCharType="separate"/>
        </w:r>
        <w:r w:rsidR="00704263">
          <w:rPr>
            <w:noProof/>
            <w:webHidden/>
          </w:rPr>
          <w:t>34</w:t>
        </w:r>
        <w:r w:rsidR="00537E8C">
          <w:rPr>
            <w:noProof/>
            <w:webHidden/>
          </w:rPr>
          <w:fldChar w:fldCharType="end"/>
        </w:r>
      </w:hyperlink>
    </w:p>
    <w:p w14:paraId="63DC9122" w14:textId="5B9F09E8" w:rsidR="00537E8C" w:rsidRDefault="003F3255">
      <w:pPr>
        <w:pStyle w:val="Kazaloslik"/>
        <w:tabs>
          <w:tab w:val="right" w:leader="dot" w:pos="9855"/>
        </w:tabs>
        <w:rPr>
          <w:rFonts w:eastAsiaTheme="minorEastAsia"/>
          <w:noProof/>
          <w:sz w:val="22"/>
          <w:szCs w:val="22"/>
          <w:lang w:eastAsia="sl-SI"/>
        </w:rPr>
      </w:pPr>
      <w:hyperlink w:anchor="_Toc66786235" w:history="1">
        <w:r w:rsidR="00537E8C" w:rsidRPr="001073E9">
          <w:rPr>
            <w:rStyle w:val="Hiperpovezava"/>
            <w:rFonts w:cs="Arial"/>
            <w:bCs/>
            <w:noProof/>
          </w:rPr>
          <w:t>Slika 3</w:t>
        </w:r>
        <w:r w:rsidR="00537E8C" w:rsidRPr="001073E9">
          <w:rPr>
            <w:rStyle w:val="Hiperpovezava"/>
            <w:rFonts w:eastAsia="Calibri" w:cs="Arial"/>
            <w:noProof/>
          </w:rPr>
          <w:t>: Struktura izvajanja finančnih instrumentov v Sloveniji</w:t>
        </w:r>
        <w:r w:rsidR="00537E8C">
          <w:rPr>
            <w:noProof/>
            <w:webHidden/>
          </w:rPr>
          <w:tab/>
        </w:r>
        <w:r w:rsidR="00537E8C">
          <w:rPr>
            <w:noProof/>
            <w:webHidden/>
          </w:rPr>
          <w:fldChar w:fldCharType="begin"/>
        </w:r>
        <w:r w:rsidR="00537E8C">
          <w:rPr>
            <w:noProof/>
            <w:webHidden/>
          </w:rPr>
          <w:instrText xml:space="preserve"> PAGEREF _Toc66786235 \h </w:instrText>
        </w:r>
        <w:r w:rsidR="00537E8C">
          <w:rPr>
            <w:noProof/>
            <w:webHidden/>
          </w:rPr>
        </w:r>
        <w:r w:rsidR="00537E8C">
          <w:rPr>
            <w:noProof/>
            <w:webHidden/>
          </w:rPr>
          <w:fldChar w:fldCharType="separate"/>
        </w:r>
        <w:r w:rsidR="00704263">
          <w:rPr>
            <w:noProof/>
            <w:webHidden/>
          </w:rPr>
          <w:t>36</w:t>
        </w:r>
        <w:r w:rsidR="00537E8C">
          <w:rPr>
            <w:noProof/>
            <w:webHidden/>
          </w:rPr>
          <w:fldChar w:fldCharType="end"/>
        </w:r>
      </w:hyperlink>
    </w:p>
    <w:p w14:paraId="1FB8AE2E" w14:textId="2145E08B" w:rsidR="00537E8C" w:rsidRDefault="003F3255">
      <w:pPr>
        <w:pStyle w:val="Kazaloslik"/>
        <w:tabs>
          <w:tab w:val="right" w:leader="dot" w:pos="9855"/>
        </w:tabs>
        <w:rPr>
          <w:rFonts w:eastAsiaTheme="minorEastAsia"/>
          <w:noProof/>
          <w:sz w:val="22"/>
          <w:szCs w:val="22"/>
          <w:lang w:eastAsia="sl-SI"/>
        </w:rPr>
      </w:pPr>
      <w:hyperlink w:anchor="_Toc66786236" w:history="1">
        <w:r w:rsidR="00537E8C" w:rsidRPr="001073E9">
          <w:rPr>
            <w:rStyle w:val="Hiperpovezava"/>
            <w:rFonts w:cs="Arial"/>
            <w:bCs/>
            <w:noProof/>
          </w:rPr>
          <w:t>Slika 4</w:t>
        </w:r>
        <w:r w:rsidR="00537E8C" w:rsidRPr="001073E9">
          <w:rPr>
            <w:rStyle w:val="Hiperpovezava"/>
            <w:rFonts w:cs="Arial"/>
            <w:noProof/>
          </w:rPr>
          <w:t>: Pretok sredstev in stopnja dodatnih javnih in zasebnih sredstev, ki zagotavljajo spodbudo za FI</w:t>
        </w:r>
        <w:r w:rsidR="00537E8C">
          <w:rPr>
            <w:noProof/>
            <w:webHidden/>
          </w:rPr>
          <w:tab/>
        </w:r>
        <w:r w:rsidR="00537E8C">
          <w:rPr>
            <w:noProof/>
            <w:webHidden/>
          </w:rPr>
          <w:fldChar w:fldCharType="begin"/>
        </w:r>
        <w:r w:rsidR="00537E8C">
          <w:rPr>
            <w:noProof/>
            <w:webHidden/>
          </w:rPr>
          <w:instrText xml:space="preserve"> PAGEREF _Toc66786236 \h </w:instrText>
        </w:r>
        <w:r w:rsidR="00537E8C">
          <w:rPr>
            <w:noProof/>
            <w:webHidden/>
          </w:rPr>
        </w:r>
        <w:r w:rsidR="00537E8C">
          <w:rPr>
            <w:noProof/>
            <w:webHidden/>
          </w:rPr>
          <w:fldChar w:fldCharType="separate"/>
        </w:r>
        <w:r w:rsidR="00704263">
          <w:rPr>
            <w:noProof/>
            <w:webHidden/>
          </w:rPr>
          <w:t>58</w:t>
        </w:r>
        <w:r w:rsidR="00537E8C">
          <w:rPr>
            <w:noProof/>
            <w:webHidden/>
          </w:rPr>
          <w:fldChar w:fldCharType="end"/>
        </w:r>
      </w:hyperlink>
    </w:p>
    <w:p w14:paraId="603603D4" w14:textId="6403CDBB" w:rsidR="004912DC" w:rsidRDefault="004912DC" w:rsidP="004912DC">
      <w:pPr>
        <w:spacing w:after="160"/>
        <w:jc w:val="both"/>
        <w:rPr>
          <w:bCs/>
          <w:iCs/>
          <w:sz w:val="32"/>
          <w:szCs w:val="32"/>
        </w:rPr>
      </w:pPr>
      <w:r>
        <w:rPr>
          <w:bCs/>
          <w:iCs/>
          <w:sz w:val="32"/>
          <w:szCs w:val="32"/>
        </w:rPr>
        <w:fldChar w:fldCharType="end"/>
      </w:r>
    </w:p>
    <w:p w14:paraId="133DC2D2" w14:textId="77777777" w:rsidR="004912DC" w:rsidRPr="000F166D" w:rsidRDefault="004912DC" w:rsidP="004912DC">
      <w:pPr>
        <w:spacing w:after="160"/>
        <w:jc w:val="both"/>
        <w:rPr>
          <w:rFonts w:cs="Arial"/>
          <w:b/>
          <w:sz w:val="32"/>
          <w:szCs w:val="32"/>
        </w:rPr>
      </w:pPr>
      <w:r w:rsidRPr="000F166D">
        <w:rPr>
          <w:bCs/>
          <w:iCs/>
          <w:sz w:val="32"/>
          <w:szCs w:val="32"/>
        </w:rPr>
        <w:br w:type="page"/>
      </w:r>
    </w:p>
    <w:p w14:paraId="4367ADDB" w14:textId="77777777" w:rsidR="004912DC" w:rsidRPr="000F166D" w:rsidRDefault="004912DC" w:rsidP="004912DC">
      <w:pPr>
        <w:keepNext/>
        <w:shd w:val="clear" w:color="auto" w:fill="9CC2E5"/>
        <w:outlineLvl w:val="1"/>
        <w:rPr>
          <w:rFonts w:cs="Arial"/>
          <w:b/>
          <w:sz w:val="32"/>
          <w:szCs w:val="32"/>
        </w:rPr>
      </w:pPr>
      <w:bookmarkStart w:id="53" w:name="_Toc54857909"/>
      <w:r w:rsidRPr="000F166D">
        <w:rPr>
          <w:rFonts w:cs="Arial"/>
          <w:b/>
          <w:sz w:val="32"/>
          <w:szCs w:val="32"/>
        </w:rPr>
        <w:lastRenderedPageBreak/>
        <w:t>Seznam kratic</w:t>
      </w:r>
      <w:bookmarkEnd w:id="53"/>
    </w:p>
    <w:p w14:paraId="7B8593E8" w14:textId="77777777" w:rsidR="004912DC" w:rsidRPr="000F166D" w:rsidRDefault="004912DC" w:rsidP="004912DC">
      <w:pPr>
        <w:jc w:val="both"/>
        <w:rPr>
          <w:rFonts w:cs="Arial"/>
          <w:sz w:val="22"/>
        </w:rPr>
      </w:pPr>
    </w:p>
    <w:tbl>
      <w:tblPr>
        <w:tblStyle w:val="Tabelamrea"/>
        <w:tblW w:w="9918" w:type="dxa"/>
        <w:tblLook w:val="04A0" w:firstRow="1" w:lastRow="0" w:firstColumn="1" w:lastColumn="0" w:noHBand="0" w:noVBand="1"/>
      </w:tblPr>
      <w:tblGrid>
        <w:gridCol w:w="1838"/>
        <w:gridCol w:w="8080"/>
      </w:tblGrid>
      <w:tr w:rsidR="004912DC" w:rsidRPr="000F166D" w14:paraId="54D60D8C" w14:textId="77777777" w:rsidTr="00906890">
        <w:tc>
          <w:tcPr>
            <w:tcW w:w="1838" w:type="dxa"/>
          </w:tcPr>
          <w:p w14:paraId="4AAEFF3E" w14:textId="77777777" w:rsidR="004912DC" w:rsidRPr="000F166D" w:rsidRDefault="004912DC" w:rsidP="00906890">
            <w:pPr>
              <w:jc w:val="both"/>
              <w:rPr>
                <w:rFonts w:cs="Arial"/>
                <w:szCs w:val="20"/>
              </w:rPr>
            </w:pPr>
            <w:r w:rsidRPr="000F166D">
              <w:rPr>
                <w:rFonts w:cs="Arial"/>
                <w:szCs w:val="20"/>
              </w:rPr>
              <w:t>CTN</w:t>
            </w:r>
          </w:p>
        </w:tc>
        <w:tc>
          <w:tcPr>
            <w:tcW w:w="8080" w:type="dxa"/>
          </w:tcPr>
          <w:p w14:paraId="3682D945" w14:textId="77777777" w:rsidR="004912DC" w:rsidRPr="000F166D" w:rsidRDefault="004912DC" w:rsidP="00906890">
            <w:pPr>
              <w:jc w:val="both"/>
              <w:rPr>
                <w:rFonts w:cs="Arial"/>
                <w:szCs w:val="20"/>
              </w:rPr>
            </w:pPr>
            <w:r w:rsidRPr="000F166D">
              <w:rPr>
                <w:rFonts w:cs="Arial"/>
                <w:szCs w:val="20"/>
              </w:rPr>
              <w:t>celostne teritorialne naložbe</w:t>
            </w:r>
          </w:p>
        </w:tc>
      </w:tr>
      <w:tr w:rsidR="004912DC" w:rsidRPr="000F166D" w14:paraId="41988DD0" w14:textId="77777777" w:rsidTr="00906890">
        <w:tc>
          <w:tcPr>
            <w:tcW w:w="1838" w:type="dxa"/>
          </w:tcPr>
          <w:p w14:paraId="32D299C3" w14:textId="77777777" w:rsidR="004912DC" w:rsidRPr="000F166D" w:rsidRDefault="004912DC" w:rsidP="00906890">
            <w:pPr>
              <w:jc w:val="both"/>
              <w:rPr>
                <w:rFonts w:cs="Arial"/>
                <w:szCs w:val="20"/>
              </w:rPr>
            </w:pPr>
            <w:r w:rsidRPr="000F166D">
              <w:rPr>
                <w:rFonts w:cs="Arial"/>
                <w:szCs w:val="20"/>
              </w:rPr>
              <w:t>EE</w:t>
            </w:r>
          </w:p>
        </w:tc>
        <w:tc>
          <w:tcPr>
            <w:tcW w:w="8080" w:type="dxa"/>
          </w:tcPr>
          <w:p w14:paraId="5461A8E0" w14:textId="77777777" w:rsidR="004912DC" w:rsidRPr="000F166D" w:rsidRDefault="004912DC" w:rsidP="00906890">
            <w:pPr>
              <w:jc w:val="both"/>
              <w:rPr>
                <w:rFonts w:cs="Arial"/>
                <w:szCs w:val="20"/>
              </w:rPr>
            </w:pPr>
            <w:r w:rsidRPr="000F166D">
              <w:rPr>
                <w:rFonts w:cs="Arial"/>
                <w:szCs w:val="20"/>
              </w:rPr>
              <w:t>energetska učinkovitost</w:t>
            </w:r>
          </w:p>
        </w:tc>
      </w:tr>
      <w:tr w:rsidR="004912DC" w:rsidRPr="000F166D" w14:paraId="5552ABA8" w14:textId="77777777" w:rsidTr="00906890">
        <w:tc>
          <w:tcPr>
            <w:tcW w:w="1838" w:type="dxa"/>
          </w:tcPr>
          <w:p w14:paraId="148548BF" w14:textId="77777777" w:rsidR="004912DC" w:rsidRPr="000F166D" w:rsidRDefault="004912DC" w:rsidP="00906890">
            <w:pPr>
              <w:jc w:val="both"/>
              <w:rPr>
                <w:rFonts w:cs="Arial"/>
                <w:szCs w:val="20"/>
              </w:rPr>
            </w:pPr>
            <w:r w:rsidRPr="000F166D">
              <w:rPr>
                <w:rFonts w:cs="Arial"/>
                <w:szCs w:val="20"/>
              </w:rPr>
              <w:t>ESCO</w:t>
            </w:r>
          </w:p>
        </w:tc>
        <w:tc>
          <w:tcPr>
            <w:tcW w:w="8080" w:type="dxa"/>
          </w:tcPr>
          <w:p w14:paraId="5844753E" w14:textId="77777777" w:rsidR="004912DC" w:rsidRPr="000F166D" w:rsidRDefault="004912DC" w:rsidP="00906890">
            <w:pPr>
              <w:jc w:val="both"/>
              <w:rPr>
                <w:rFonts w:cs="Arial"/>
                <w:szCs w:val="20"/>
              </w:rPr>
            </w:pPr>
            <w:r w:rsidRPr="000F166D">
              <w:rPr>
                <w:rFonts w:cs="Arial"/>
                <w:szCs w:val="20"/>
              </w:rPr>
              <w:t>podjetje za energetske storitve (Energy Service Company)</w:t>
            </w:r>
          </w:p>
        </w:tc>
      </w:tr>
      <w:tr w:rsidR="004912DC" w:rsidRPr="000F166D" w14:paraId="4EAC6F73" w14:textId="77777777" w:rsidTr="00906890">
        <w:tc>
          <w:tcPr>
            <w:tcW w:w="1838" w:type="dxa"/>
          </w:tcPr>
          <w:p w14:paraId="5F902798" w14:textId="77777777" w:rsidR="004912DC" w:rsidRPr="000F166D" w:rsidRDefault="004912DC" w:rsidP="00906890">
            <w:pPr>
              <w:jc w:val="both"/>
              <w:rPr>
                <w:rFonts w:cs="Arial"/>
                <w:szCs w:val="20"/>
              </w:rPr>
            </w:pPr>
            <w:r w:rsidRPr="000F166D">
              <w:rPr>
                <w:rFonts w:cs="Arial"/>
                <w:szCs w:val="20"/>
              </w:rPr>
              <w:t>EFSI</w:t>
            </w:r>
          </w:p>
        </w:tc>
        <w:tc>
          <w:tcPr>
            <w:tcW w:w="8080" w:type="dxa"/>
          </w:tcPr>
          <w:p w14:paraId="384BCAB6" w14:textId="77777777" w:rsidR="004912DC" w:rsidRPr="000F166D" w:rsidRDefault="004912DC" w:rsidP="00906890">
            <w:pPr>
              <w:jc w:val="both"/>
              <w:rPr>
                <w:rFonts w:cs="Arial"/>
                <w:szCs w:val="20"/>
              </w:rPr>
            </w:pPr>
            <w:r w:rsidRPr="000F166D">
              <w:rPr>
                <w:rFonts w:cs="Arial"/>
                <w:szCs w:val="20"/>
              </w:rPr>
              <w:t>evropski sklad za strateške naložbe (European Fund for Strategic Investments)</w:t>
            </w:r>
          </w:p>
        </w:tc>
      </w:tr>
      <w:tr w:rsidR="004912DC" w:rsidRPr="000F166D" w14:paraId="0F60CB4E" w14:textId="77777777" w:rsidTr="00906890">
        <w:tc>
          <w:tcPr>
            <w:tcW w:w="1838" w:type="dxa"/>
          </w:tcPr>
          <w:p w14:paraId="483C659E" w14:textId="77777777" w:rsidR="004912DC" w:rsidRPr="000F166D" w:rsidRDefault="004912DC" w:rsidP="00906890">
            <w:pPr>
              <w:jc w:val="both"/>
              <w:rPr>
                <w:rFonts w:cs="Arial"/>
                <w:szCs w:val="20"/>
              </w:rPr>
            </w:pPr>
            <w:r w:rsidRPr="000F166D">
              <w:rPr>
                <w:rFonts w:cs="Arial"/>
                <w:szCs w:val="20"/>
              </w:rPr>
              <w:t>FI</w:t>
            </w:r>
          </w:p>
        </w:tc>
        <w:tc>
          <w:tcPr>
            <w:tcW w:w="8080" w:type="dxa"/>
          </w:tcPr>
          <w:p w14:paraId="50134C3E" w14:textId="77777777" w:rsidR="004912DC" w:rsidRPr="000F166D" w:rsidRDefault="004912DC" w:rsidP="00906890">
            <w:pPr>
              <w:jc w:val="both"/>
              <w:rPr>
                <w:rFonts w:cs="Arial"/>
                <w:szCs w:val="20"/>
              </w:rPr>
            </w:pPr>
            <w:r w:rsidRPr="000F166D">
              <w:rPr>
                <w:rFonts w:cs="Arial"/>
                <w:szCs w:val="20"/>
              </w:rPr>
              <w:t>finančni instrumenti</w:t>
            </w:r>
          </w:p>
        </w:tc>
      </w:tr>
      <w:tr w:rsidR="004912DC" w:rsidRPr="000F166D" w14:paraId="03866306" w14:textId="77777777" w:rsidTr="00906890">
        <w:tc>
          <w:tcPr>
            <w:tcW w:w="1838" w:type="dxa"/>
          </w:tcPr>
          <w:p w14:paraId="0F642E94" w14:textId="77777777" w:rsidR="004912DC" w:rsidRPr="000F166D" w:rsidRDefault="004912DC" w:rsidP="00906890">
            <w:pPr>
              <w:jc w:val="both"/>
              <w:rPr>
                <w:rFonts w:cs="Arial"/>
                <w:szCs w:val="20"/>
              </w:rPr>
            </w:pPr>
            <w:r w:rsidRPr="000F166D">
              <w:rPr>
                <w:rFonts w:cs="Arial"/>
                <w:szCs w:val="20"/>
              </w:rPr>
              <w:t>ESIF</w:t>
            </w:r>
          </w:p>
        </w:tc>
        <w:tc>
          <w:tcPr>
            <w:tcW w:w="8080" w:type="dxa"/>
          </w:tcPr>
          <w:p w14:paraId="115BA2EF" w14:textId="77777777" w:rsidR="004912DC" w:rsidRPr="000F166D" w:rsidRDefault="004912DC" w:rsidP="00906890">
            <w:pPr>
              <w:jc w:val="both"/>
              <w:rPr>
                <w:rFonts w:cs="Arial"/>
                <w:szCs w:val="20"/>
              </w:rPr>
            </w:pPr>
            <w:r w:rsidRPr="000F166D">
              <w:rPr>
                <w:rFonts w:cs="Arial"/>
                <w:szCs w:val="20"/>
              </w:rPr>
              <w:t>evropski strukturni in investicijski skladi (European Structural and Investment Funds</w:t>
            </w:r>
            <w:r>
              <w:rPr>
                <w:rFonts w:cs="Arial"/>
                <w:szCs w:val="20"/>
              </w:rPr>
              <w:t>)</w:t>
            </w:r>
          </w:p>
        </w:tc>
      </w:tr>
      <w:tr w:rsidR="004912DC" w:rsidRPr="000F166D" w14:paraId="06B7F7E2" w14:textId="77777777" w:rsidTr="00906890">
        <w:tc>
          <w:tcPr>
            <w:tcW w:w="1838" w:type="dxa"/>
          </w:tcPr>
          <w:p w14:paraId="5591997F" w14:textId="77777777" w:rsidR="004912DC" w:rsidRPr="000F166D" w:rsidRDefault="004912DC" w:rsidP="00906890">
            <w:pPr>
              <w:jc w:val="both"/>
              <w:rPr>
                <w:rFonts w:cs="Arial"/>
                <w:szCs w:val="20"/>
              </w:rPr>
            </w:pPr>
            <w:r w:rsidRPr="000F166D">
              <w:rPr>
                <w:rFonts w:cs="Arial"/>
                <w:szCs w:val="20"/>
              </w:rPr>
              <w:t>MGRT</w:t>
            </w:r>
          </w:p>
        </w:tc>
        <w:tc>
          <w:tcPr>
            <w:tcW w:w="8080" w:type="dxa"/>
          </w:tcPr>
          <w:p w14:paraId="4DBA7F71" w14:textId="77777777" w:rsidR="004912DC" w:rsidRPr="000F166D" w:rsidRDefault="004912DC" w:rsidP="00906890">
            <w:pPr>
              <w:jc w:val="both"/>
              <w:rPr>
                <w:rFonts w:cs="Arial"/>
                <w:szCs w:val="20"/>
              </w:rPr>
            </w:pPr>
            <w:r w:rsidRPr="000F166D">
              <w:rPr>
                <w:rFonts w:cs="Arial"/>
                <w:szCs w:val="20"/>
              </w:rPr>
              <w:t>Ministrstvo za gospodarski razvoj in tehnologijo</w:t>
            </w:r>
          </w:p>
        </w:tc>
      </w:tr>
      <w:tr w:rsidR="004912DC" w:rsidRPr="000F166D" w14:paraId="54AD177F" w14:textId="77777777" w:rsidTr="00906890">
        <w:tc>
          <w:tcPr>
            <w:tcW w:w="1838" w:type="dxa"/>
          </w:tcPr>
          <w:p w14:paraId="5AAD46CE" w14:textId="77777777" w:rsidR="004912DC" w:rsidRPr="000F166D" w:rsidRDefault="004912DC" w:rsidP="00906890">
            <w:pPr>
              <w:jc w:val="both"/>
              <w:rPr>
                <w:rFonts w:cs="Arial"/>
                <w:szCs w:val="20"/>
              </w:rPr>
            </w:pPr>
            <w:r w:rsidRPr="000F166D">
              <w:rPr>
                <w:rFonts w:cs="Arial"/>
                <w:szCs w:val="20"/>
              </w:rPr>
              <w:t>MOP</w:t>
            </w:r>
          </w:p>
        </w:tc>
        <w:tc>
          <w:tcPr>
            <w:tcW w:w="8080" w:type="dxa"/>
          </w:tcPr>
          <w:p w14:paraId="44824565" w14:textId="77777777" w:rsidR="004912DC" w:rsidRPr="000F166D" w:rsidRDefault="004912DC" w:rsidP="00906890">
            <w:pPr>
              <w:jc w:val="both"/>
              <w:rPr>
                <w:rFonts w:cs="Arial"/>
                <w:szCs w:val="20"/>
              </w:rPr>
            </w:pPr>
            <w:r w:rsidRPr="000F166D">
              <w:rPr>
                <w:rFonts w:cs="Arial"/>
                <w:szCs w:val="20"/>
              </w:rPr>
              <w:t>Ministrstvo za okolje in prostor</w:t>
            </w:r>
          </w:p>
        </w:tc>
      </w:tr>
      <w:tr w:rsidR="004912DC" w:rsidRPr="000F166D" w14:paraId="6DDE6A39" w14:textId="77777777" w:rsidTr="00906890">
        <w:tc>
          <w:tcPr>
            <w:tcW w:w="1838" w:type="dxa"/>
          </w:tcPr>
          <w:p w14:paraId="0F6B3AE2" w14:textId="77777777" w:rsidR="004912DC" w:rsidRPr="000F166D" w:rsidRDefault="004912DC" w:rsidP="00906890">
            <w:pPr>
              <w:jc w:val="both"/>
              <w:rPr>
                <w:rFonts w:cs="Arial"/>
                <w:szCs w:val="20"/>
              </w:rPr>
            </w:pPr>
            <w:r w:rsidRPr="00330F9B">
              <w:rPr>
                <w:rFonts w:cs="Arial"/>
                <w:szCs w:val="20"/>
              </w:rPr>
              <w:t>MSP</w:t>
            </w:r>
          </w:p>
        </w:tc>
        <w:tc>
          <w:tcPr>
            <w:tcW w:w="8080" w:type="dxa"/>
          </w:tcPr>
          <w:p w14:paraId="1FBE981E" w14:textId="77777777" w:rsidR="004912DC" w:rsidRPr="000F166D" w:rsidRDefault="004912DC" w:rsidP="00906890">
            <w:pPr>
              <w:jc w:val="both"/>
              <w:rPr>
                <w:rFonts w:cs="Arial"/>
                <w:szCs w:val="20"/>
              </w:rPr>
            </w:pPr>
            <w:r w:rsidRPr="000F166D">
              <w:rPr>
                <w:rFonts w:cs="Arial"/>
                <w:szCs w:val="20"/>
              </w:rPr>
              <w:t>mala in srednje velika podjetja</w:t>
            </w:r>
          </w:p>
        </w:tc>
      </w:tr>
      <w:tr w:rsidR="004912DC" w:rsidRPr="000F166D" w14:paraId="6527AF11" w14:textId="77777777" w:rsidTr="00906890">
        <w:tc>
          <w:tcPr>
            <w:tcW w:w="1838" w:type="dxa"/>
          </w:tcPr>
          <w:p w14:paraId="089DF6CF" w14:textId="77777777" w:rsidR="004912DC" w:rsidRPr="000F166D" w:rsidRDefault="004912DC" w:rsidP="00906890">
            <w:pPr>
              <w:jc w:val="both"/>
              <w:rPr>
                <w:rFonts w:cs="Arial"/>
                <w:szCs w:val="20"/>
              </w:rPr>
            </w:pPr>
            <w:r w:rsidRPr="000F166D">
              <w:rPr>
                <w:rFonts w:cs="Arial"/>
                <w:szCs w:val="20"/>
              </w:rPr>
              <w:t>MZI</w:t>
            </w:r>
          </w:p>
        </w:tc>
        <w:tc>
          <w:tcPr>
            <w:tcW w:w="8080" w:type="dxa"/>
          </w:tcPr>
          <w:p w14:paraId="2F121E78" w14:textId="77777777" w:rsidR="004912DC" w:rsidRPr="000F166D" w:rsidRDefault="004912DC" w:rsidP="00906890">
            <w:pPr>
              <w:jc w:val="both"/>
              <w:rPr>
                <w:rFonts w:cs="Arial"/>
                <w:szCs w:val="20"/>
              </w:rPr>
            </w:pPr>
            <w:r w:rsidRPr="000F166D">
              <w:rPr>
                <w:rFonts w:cs="Arial"/>
                <w:szCs w:val="20"/>
              </w:rPr>
              <w:t>Ministrstvo za infrastrukturo</w:t>
            </w:r>
          </w:p>
        </w:tc>
      </w:tr>
      <w:tr w:rsidR="004912DC" w:rsidRPr="000F166D" w14:paraId="6AAFEB4F" w14:textId="77777777" w:rsidTr="00906890">
        <w:tc>
          <w:tcPr>
            <w:tcW w:w="1838" w:type="dxa"/>
          </w:tcPr>
          <w:p w14:paraId="3E741856" w14:textId="77777777" w:rsidR="004912DC" w:rsidRPr="000F166D" w:rsidRDefault="004912DC" w:rsidP="00906890">
            <w:pPr>
              <w:jc w:val="both"/>
              <w:rPr>
                <w:rFonts w:cs="Arial"/>
                <w:szCs w:val="20"/>
              </w:rPr>
            </w:pPr>
            <w:r w:rsidRPr="000F166D">
              <w:rPr>
                <w:rFonts w:cs="Arial"/>
                <w:szCs w:val="20"/>
              </w:rPr>
              <w:t>OP 2014 – 2020</w:t>
            </w:r>
          </w:p>
        </w:tc>
        <w:tc>
          <w:tcPr>
            <w:tcW w:w="8080" w:type="dxa"/>
          </w:tcPr>
          <w:p w14:paraId="06D66A12" w14:textId="77777777" w:rsidR="004912DC" w:rsidRPr="000F166D" w:rsidRDefault="004912DC" w:rsidP="00906890">
            <w:pPr>
              <w:jc w:val="both"/>
              <w:rPr>
                <w:rFonts w:cs="Arial"/>
                <w:szCs w:val="20"/>
              </w:rPr>
            </w:pPr>
            <w:r w:rsidRPr="000F166D">
              <w:rPr>
                <w:rFonts w:cs="Arial"/>
                <w:szCs w:val="20"/>
              </w:rPr>
              <w:t>Operativni program za izvajanje evropske kohezijske politike v obdobju 2014 – 2020</w:t>
            </w:r>
          </w:p>
        </w:tc>
      </w:tr>
      <w:tr w:rsidR="004912DC" w:rsidRPr="000F166D" w14:paraId="5549ACAD" w14:textId="77777777" w:rsidTr="00906890">
        <w:tc>
          <w:tcPr>
            <w:tcW w:w="1838" w:type="dxa"/>
          </w:tcPr>
          <w:p w14:paraId="79E32D6E" w14:textId="77777777" w:rsidR="004912DC" w:rsidRPr="000F166D" w:rsidRDefault="004912DC" w:rsidP="00906890">
            <w:pPr>
              <w:jc w:val="both"/>
              <w:rPr>
                <w:rFonts w:cs="Arial"/>
                <w:szCs w:val="20"/>
              </w:rPr>
            </w:pPr>
            <w:r w:rsidRPr="000F166D">
              <w:rPr>
                <w:rFonts w:cs="Arial"/>
                <w:szCs w:val="20"/>
              </w:rPr>
              <w:t>OU</w:t>
            </w:r>
          </w:p>
        </w:tc>
        <w:tc>
          <w:tcPr>
            <w:tcW w:w="8080" w:type="dxa"/>
          </w:tcPr>
          <w:p w14:paraId="1B52DF35" w14:textId="77777777" w:rsidR="004912DC" w:rsidRPr="000F166D" w:rsidRDefault="004912DC" w:rsidP="00906890">
            <w:pPr>
              <w:jc w:val="both"/>
              <w:rPr>
                <w:rFonts w:cs="Arial"/>
                <w:szCs w:val="20"/>
              </w:rPr>
            </w:pPr>
            <w:r w:rsidRPr="000F166D">
              <w:rPr>
                <w:rFonts w:cs="Arial"/>
                <w:szCs w:val="20"/>
              </w:rPr>
              <w:t>organ upravljanja</w:t>
            </w:r>
          </w:p>
        </w:tc>
      </w:tr>
      <w:tr w:rsidR="004912DC" w:rsidRPr="000F166D" w14:paraId="687547A2" w14:textId="77777777" w:rsidTr="00906890">
        <w:tc>
          <w:tcPr>
            <w:tcW w:w="1838" w:type="dxa"/>
          </w:tcPr>
          <w:p w14:paraId="06723A13" w14:textId="77777777" w:rsidR="004912DC" w:rsidRPr="000F166D" w:rsidRDefault="004912DC" w:rsidP="00906890">
            <w:pPr>
              <w:jc w:val="both"/>
              <w:rPr>
                <w:rFonts w:cs="Arial"/>
                <w:szCs w:val="20"/>
              </w:rPr>
            </w:pPr>
            <w:r w:rsidRPr="000F166D">
              <w:rPr>
                <w:rFonts w:cs="Arial"/>
                <w:szCs w:val="20"/>
              </w:rPr>
              <w:t xml:space="preserve">MF-CA </w:t>
            </w:r>
          </w:p>
        </w:tc>
        <w:tc>
          <w:tcPr>
            <w:tcW w:w="8080" w:type="dxa"/>
          </w:tcPr>
          <w:p w14:paraId="672A9A7B" w14:textId="77777777" w:rsidR="004912DC" w:rsidRPr="000F166D" w:rsidRDefault="004912DC" w:rsidP="00906890">
            <w:pPr>
              <w:jc w:val="both"/>
              <w:rPr>
                <w:rFonts w:cs="Arial"/>
                <w:szCs w:val="20"/>
              </w:rPr>
            </w:pPr>
            <w:r w:rsidRPr="000F166D">
              <w:rPr>
                <w:rFonts w:cs="Arial"/>
                <w:szCs w:val="20"/>
              </w:rPr>
              <w:t>organ za potrjevanje</w:t>
            </w:r>
          </w:p>
        </w:tc>
      </w:tr>
      <w:tr w:rsidR="004912DC" w:rsidRPr="000F166D" w14:paraId="3BCCE3B4" w14:textId="77777777" w:rsidTr="00906890">
        <w:tc>
          <w:tcPr>
            <w:tcW w:w="1838" w:type="dxa"/>
          </w:tcPr>
          <w:p w14:paraId="764A01B7" w14:textId="77777777" w:rsidR="004912DC" w:rsidRPr="000F166D" w:rsidRDefault="004912DC" w:rsidP="00906890">
            <w:pPr>
              <w:jc w:val="both"/>
              <w:rPr>
                <w:rFonts w:cs="Arial"/>
                <w:szCs w:val="20"/>
              </w:rPr>
            </w:pPr>
            <w:r w:rsidRPr="000F166D">
              <w:rPr>
                <w:rFonts w:cs="Arial"/>
                <w:szCs w:val="20"/>
              </w:rPr>
              <w:t>OVE</w:t>
            </w:r>
          </w:p>
        </w:tc>
        <w:tc>
          <w:tcPr>
            <w:tcW w:w="8080" w:type="dxa"/>
          </w:tcPr>
          <w:p w14:paraId="1030D0F4" w14:textId="77777777" w:rsidR="004912DC" w:rsidRPr="000F166D" w:rsidRDefault="004912DC" w:rsidP="00906890">
            <w:pPr>
              <w:jc w:val="both"/>
              <w:rPr>
                <w:rFonts w:cs="Arial"/>
                <w:szCs w:val="20"/>
              </w:rPr>
            </w:pPr>
            <w:r w:rsidRPr="000F166D">
              <w:rPr>
                <w:rFonts w:cs="Arial"/>
                <w:szCs w:val="20"/>
              </w:rPr>
              <w:t>obnovljivi viri energije</w:t>
            </w:r>
          </w:p>
        </w:tc>
      </w:tr>
      <w:tr w:rsidR="004912DC" w:rsidRPr="000F166D" w14:paraId="719FFA5C" w14:textId="77777777" w:rsidTr="00906890">
        <w:tc>
          <w:tcPr>
            <w:tcW w:w="1838" w:type="dxa"/>
          </w:tcPr>
          <w:p w14:paraId="3E4839AC" w14:textId="77777777" w:rsidR="004912DC" w:rsidRPr="000F166D" w:rsidRDefault="004912DC" w:rsidP="00906890">
            <w:pPr>
              <w:jc w:val="both"/>
              <w:rPr>
                <w:rFonts w:cs="Arial"/>
                <w:szCs w:val="20"/>
              </w:rPr>
            </w:pPr>
            <w:r w:rsidRPr="000F166D">
              <w:rPr>
                <w:rFonts w:cs="Arial"/>
                <w:szCs w:val="20"/>
              </w:rPr>
              <w:t>PO</w:t>
            </w:r>
          </w:p>
        </w:tc>
        <w:tc>
          <w:tcPr>
            <w:tcW w:w="8080" w:type="dxa"/>
          </w:tcPr>
          <w:p w14:paraId="73D947AF" w14:textId="77777777" w:rsidR="004912DC" w:rsidRPr="000F166D" w:rsidRDefault="004912DC" w:rsidP="00906890">
            <w:pPr>
              <w:jc w:val="both"/>
              <w:rPr>
                <w:rFonts w:cs="Arial"/>
                <w:szCs w:val="20"/>
              </w:rPr>
            </w:pPr>
            <w:r w:rsidRPr="000F166D">
              <w:rPr>
                <w:rFonts w:cs="Arial"/>
                <w:szCs w:val="20"/>
              </w:rPr>
              <w:t>posredniški organ</w:t>
            </w:r>
          </w:p>
        </w:tc>
      </w:tr>
      <w:tr w:rsidR="004912DC" w:rsidRPr="000F166D" w14:paraId="0BA11F2D" w14:textId="77777777" w:rsidTr="00906890">
        <w:tc>
          <w:tcPr>
            <w:tcW w:w="1838" w:type="dxa"/>
          </w:tcPr>
          <w:p w14:paraId="215489F1" w14:textId="77777777" w:rsidR="004912DC" w:rsidRPr="000F166D" w:rsidRDefault="004912DC" w:rsidP="00906890">
            <w:pPr>
              <w:jc w:val="both"/>
              <w:rPr>
                <w:rFonts w:cs="Arial"/>
                <w:szCs w:val="20"/>
              </w:rPr>
            </w:pPr>
            <w:r w:rsidRPr="000F166D">
              <w:rPr>
                <w:rFonts w:cs="Arial"/>
                <w:szCs w:val="20"/>
              </w:rPr>
              <w:t>RRI</w:t>
            </w:r>
          </w:p>
        </w:tc>
        <w:tc>
          <w:tcPr>
            <w:tcW w:w="8080" w:type="dxa"/>
          </w:tcPr>
          <w:p w14:paraId="433CB965" w14:textId="77777777" w:rsidR="004912DC" w:rsidRPr="000F166D" w:rsidRDefault="004912DC" w:rsidP="00906890">
            <w:pPr>
              <w:jc w:val="both"/>
              <w:rPr>
                <w:rFonts w:cs="Arial"/>
                <w:szCs w:val="20"/>
              </w:rPr>
            </w:pPr>
            <w:r w:rsidRPr="000F166D">
              <w:rPr>
                <w:rFonts w:cs="Arial"/>
                <w:szCs w:val="20"/>
              </w:rPr>
              <w:t>raziskave, razvoj in inovacije</w:t>
            </w:r>
          </w:p>
        </w:tc>
      </w:tr>
      <w:tr w:rsidR="004912DC" w:rsidRPr="000F166D" w14:paraId="0A14B195" w14:textId="77777777" w:rsidTr="00906890">
        <w:tc>
          <w:tcPr>
            <w:tcW w:w="1838" w:type="dxa"/>
          </w:tcPr>
          <w:p w14:paraId="3F35BFC3" w14:textId="77777777" w:rsidR="004912DC" w:rsidRPr="000F166D" w:rsidRDefault="004912DC" w:rsidP="00906890">
            <w:pPr>
              <w:jc w:val="both"/>
              <w:rPr>
                <w:rFonts w:cs="Arial"/>
                <w:szCs w:val="20"/>
              </w:rPr>
            </w:pPr>
            <w:r w:rsidRPr="000F166D">
              <w:rPr>
                <w:rFonts w:cs="Arial"/>
                <w:szCs w:val="20"/>
              </w:rPr>
              <w:t>TC 1</w:t>
            </w:r>
          </w:p>
        </w:tc>
        <w:tc>
          <w:tcPr>
            <w:tcW w:w="8080" w:type="dxa"/>
          </w:tcPr>
          <w:p w14:paraId="0C0A8172" w14:textId="77777777" w:rsidR="004912DC" w:rsidRPr="000F166D" w:rsidRDefault="004912DC" w:rsidP="00906890">
            <w:pPr>
              <w:jc w:val="both"/>
              <w:rPr>
                <w:rFonts w:cs="Arial"/>
                <w:szCs w:val="20"/>
              </w:rPr>
            </w:pPr>
            <w:r w:rsidRPr="000F166D">
              <w:rPr>
                <w:rFonts w:cs="Arial"/>
                <w:szCs w:val="20"/>
              </w:rPr>
              <w:t>tematski cilj 1 (v okviru OP 2014 – 2020)</w:t>
            </w:r>
          </w:p>
        </w:tc>
      </w:tr>
      <w:tr w:rsidR="004912DC" w:rsidRPr="000F166D" w14:paraId="179B78B0" w14:textId="77777777" w:rsidTr="00906890">
        <w:tc>
          <w:tcPr>
            <w:tcW w:w="1838" w:type="dxa"/>
          </w:tcPr>
          <w:p w14:paraId="56ED5953" w14:textId="77777777" w:rsidR="004912DC" w:rsidRPr="000F166D" w:rsidRDefault="004912DC" w:rsidP="00906890">
            <w:pPr>
              <w:jc w:val="both"/>
              <w:rPr>
                <w:rFonts w:cs="Arial"/>
                <w:szCs w:val="20"/>
              </w:rPr>
            </w:pPr>
            <w:r w:rsidRPr="000F166D">
              <w:rPr>
                <w:rFonts w:cs="Arial"/>
                <w:szCs w:val="20"/>
              </w:rPr>
              <w:t>TC 3</w:t>
            </w:r>
          </w:p>
        </w:tc>
        <w:tc>
          <w:tcPr>
            <w:tcW w:w="8080" w:type="dxa"/>
          </w:tcPr>
          <w:p w14:paraId="6A88A7D5" w14:textId="77777777" w:rsidR="004912DC" w:rsidRPr="000F166D" w:rsidRDefault="004912DC" w:rsidP="00906890">
            <w:pPr>
              <w:jc w:val="both"/>
              <w:rPr>
                <w:rFonts w:cs="Arial"/>
                <w:szCs w:val="20"/>
              </w:rPr>
            </w:pPr>
            <w:r w:rsidRPr="000F166D">
              <w:rPr>
                <w:rFonts w:cs="Arial"/>
                <w:szCs w:val="20"/>
              </w:rPr>
              <w:t>tematski cilj 3 (v okviru OP 2014 – 2020)</w:t>
            </w:r>
          </w:p>
        </w:tc>
      </w:tr>
      <w:tr w:rsidR="004912DC" w:rsidRPr="000F166D" w14:paraId="4EB9939B" w14:textId="77777777" w:rsidTr="00906890">
        <w:tc>
          <w:tcPr>
            <w:tcW w:w="1838" w:type="dxa"/>
          </w:tcPr>
          <w:p w14:paraId="4271B767" w14:textId="77777777" w:rsidR="004912DC" w:rsidRPr="000F166D" w:rsidRDefault="004912DC" w:rsidP="00906890">
            <w:pPr>
              <w:jc w:val="both"/>
              <w:rPr>
                <w:rFonts w:cs="Arial"/>
                <w:szCs w:val="20"/>
              </w:rPr>
            </w:pPr>
            <w:r w:rsidRPr="000F166D">
              <w:rPr>
                <w:rFonts w:cs="Arial"/>
                <w:szCs w:val="20"/>
              </w:rPr>
              <w:t>TC 4</w:t>
            </w:r>
          </w:p>
        </w:tc>
        <w:tc>
          <w:tcPr>
            <w:tcW w:w="8080" w:type="dxa"/>
          </w:tcPr>
          <w:p w14:paraId="1F95BE7D" w14:textId="77777777" w:rsidR="004912DC" w:rsidRPr="000F166D" w:rsidRDefault="004912DC" w:rsidP="00906890">
            <w:pPr>
              <w:jc w:val="both"/>
              <w:rPr>
                <w:rFonts w:cs="Arial"/>
                <w:szCs w:val="20"/>
              </w:rPr>
            </w:pPr>
            <w:r w:rsidRPr="000F166D">
              <w:rPr>
                <w:rFonts w:cs="Arial"/>
                <w:szCs w:val="20"/>
              </w:rPr>
              <w:t>tematski cilj 4 (v okviru OP 2014 – 2020)</w:t>
            </w:r>
          </w:p>
        </w:tc>
      </w:tr>
      <w:tr w:rsidR="004912DC" w:rsidRPr="000F166D" w14:paraId="066F4F2C" w14:textId="77777777" w:rsidTr="00906890">
        <w:tc>
          <w:tcPr>
            <w:tcW w:w="1838" w:type="dxa"/>
          </w:tcPr>
          <w:p w14:paraId="4060851D" w14:textId="77777777" w:rsidR="004912DC" w:rsidRPr="000F166D" w:rsidRDefault="004912DC" w:rsidP="00906890">
            <w:pPr>
              <w:jc w:val="both"/>
              <w:rPr>
                <w:rFonts w:cs="Arial"/>
                <w:szCs w:val="20"/>
              </w:rPr>
            </w:pPr>
            <w:r w:rsidRPr="000F166D">
              <w:rPr>
                <w:rFonts w:cs="Arial"/>
                <w:szCs w:val="20"/>
              </w:rPr>
              <w:t>TC 6</w:t>
            </w:r>
          </w:p>
        </w:tc>
        <w:tc>
          <w:tcPr>
            <w:tcW w:w="8080" w:type="dxa"/>
          </w:tcPr>
          <w:p w14:paraId="51DF8147" w14:textId="77777777" w:rsidR="004912DC" w:rsidRPr="000F166D" w:rsidRDefault="004912DC" w:rsidP="00906890">
            <w:pPr>
              <w:jc w:val="both"/>
              <w:rPr>
                <w:rFonts w:cs="Arial"/>
                <w:szCs w:val="20"/>
              </w:rPr>
            </w:pPr>
            <w:r w:rsidRPr="000F166D">
              <w:rPr>
                <w:rFonts w:cs="Arial"/>
                <w:szCs w:val="20"/>
              </w:rPr>
              <w:t>tematski cilj 6 (v okviru OP 2014 – 2020)</w:t>
            </w:r>
          </w:p>
        </w:tc>
      </w:tr>
      <w:tr w:rsidR="004912DC" w:rsidRPr="000F166D" w14:paraId="4812A1BE" w14:textId="77777777" w:rsidTr="00906890">
        <w:tc>
          <w:tcPr>
            <w:tcW w:w="1838" w:type="dxa"/>
          </w:tcPr>
          <w:p w14:paraId="773CFE4F" w14:textId="77777777" w:rsidR="004912DC" w:rsidRPr="000F166D" w:rsidRDefault="004912DC" w:rsidP="00906890">
            <w:pPr>
              <w:jc w:val="both"/>
              <w:rPr>
                <w:rFonts w:cs="Arial"/>
                <w:szCs w:val="20"/>
              </w:rPr>
            </w:pPr>
            <w:r w:rsidRPr="000F166D">
              <w:rPr>
                <w:rFonts w:cs="Arial"/>
                <w:szCs w:val="20"/>
              </w:rPr>
              <w:t>URE</w:t>
            </w:r>
          </w:p>
        </w:tc>
        <w:tc>
          <w:tcPr>
            <w:tcW w:w="8080" w:type="dxa"/>
          </w:tcPr>
          <w:p w14:paraId="79F506CB" w14:textId="77777777" w:rsidR="004912DC" w:rsidRPr="000F166D" w:rsidRDefault="004912DC" w:rsidP="00906890">
            <w:pPr>
              <w:jc w:val="both"/>
              <w:rPr>
                <w:rFonts w:cs="Arial"/>
                <w:szCs w:val="20"/>
              </w:rPr>
            </w:pPr>
            <w:r w:rsidRPr="000F166D">
              <w:rPr>
                <w:rFonts w:cs="Arial"/>
                <w:szCs w:val="20"/>
              </w:rPr>
              <w:t>učinkovita raba energije</w:t>
            </w:r>
          </w:p>
        </w:tc>
      </w:tr>
      <w:tr w:rsidR="004912DC" w:rsidRPr="000F166D" w14:paraId="53601453" w14:textId="77777777" w:rsidTr="00906890">
        <w:tc>
          <w:tcPr>
            <w:tcW w:w="1838" w:type="dxa"/>
          </w:tcPr>
          <w:p w14:paraId="0DD3C394" w14:textId="77777777" w:rsidR="004912DC" w:rsidRPr="000F166D" w:rsidRDefault="004912DC" w:rsidP="00906890">
            <w:pPr>
              <w:jc w:val="both"/>
              <w:rPr>
                <w:rFonts w:cs="Arial"/>
                <w:szCs w:val="20"/>
              </w:rPr>
            </w:pPr>
            <w:r w:rsidRPr="000F166D">
              <w:rPr>
                <w:rFonts w:cs="Arial"/>
                <w:szCs w:val="20"/>
              </w:rPr>
              <w:t>ZMOS</w:t>
            </w:r>
          </w:p>
        </w:tc>
        <w:tc>
          <w:tcPr>
            <w:tcW w:w="8080" w:type="dxa"/>
          </w:tcPr>
          <w:p w14:paraId="1002B82B" w14:textId="77777777" w:rsidR="004912DC" w:rsidRPr="000F166D" w:rsidRDefault="004912DC" w:rsidP="00906890">
            <w:pPr>
              <w:jc w:val="both"/>
              <w:rPr>
                <w:rFonts w:cs="Arial"/>
                <w:szCs w:val="20"/>
              </w:rPr>
            </w:pPr>
            <w:r w:rsidRPr="000F166D">
              <w:rPr>
                <w:rFonts w:cs="Arial"/>
                <w:szCs w:val="20"/>
              </w:rPr>
              <w:t>Združenje mestnih občin Slovenije</w:t>
            </w:r>
          </w:p>
        </w:tc>
      </w:tr>
    </w:tbl>
    <w:p w14:paraId="27F891AA" w14:textId="77777777" w:rsidR="004912DC" w:rsidRPr="000F166D" w:rsidRDefault="004912DC" w:rsidP="004912DC">
      <w:pPr>
        <w:jc w:val="both"/>
        <w:rPr>
          <w:rFonts w:cs="Arial"/>
          <w:sz w:val="22"/>
          <w:szCs w:val="22"/>
        </w:rPr>
      </w:pPr>
      <w:r w:rsidRPr="000F166D">
        <w:rPr>
          <w:rFonts w:cs="Arial"/>
          <w:sz w:val="22"/>
        </w:rPr>
        <w:br/>
      </w:r>
    </w:p>
    <w:p w14:paraId="05F8F49D" w14:textId="77777777" w:rsidR="004912DC" w:rsidRPr="000F166D" w:rsidRDefault="004912DC" w:rsidP="004912DC">
      <w:pPr>
        <w:spacing w:after="160"/>
        <w:jc w:val="both"/>
        <w:rPr>
          <w:rFonts w:cs="Arial"/>
          <w:b/>
          <w:sz w:val="32"/>
          <w:szCs w:val="32"/>
        </w:rPr>
      </w:pPr>
      <w:r w:rsidRPr="000F166D">
        <w:rPr>
          <w:rFonts w:cs="Arial"/>
          <w:bCs/>
          <w:iCs/>
          <w:sz w:val="32"/>
          <w:szCs w:val="32"/>
        </w:rPr>
        <w:br w:type="page"/>
      </w:r>
    </w:p>
    <w:p w14:paraId="3ACCD3F2" w14:textId="77777777" w:rsidR="004912DC" w:rsidRPr="000F166D" w:rsidRDefault="004912DC" w:rsidP="004912DC">
      <w:pPr>
        <w:keepNext/>
        <w:shd w:val="clear" w:color="auto" w:fill="9CC2E5"/>
        <w:outlineLvl w:val="1"/>
        <w:rPr>
          <w:rFonts w:cs="Arial"/>
          <w:b/>
          <w:sz w:val="32"/>
          <w:szCs w:val="32"/>
        </w:rPr>
      </w:pPr>
      <w:bookmarkStart w:id="54" w:name="_Toc54857910"/>
      <w:r w:rsidRPr="000F166D">
        <w:rPr>
          <w:rFonts w:cs="Arial"/>
          <w:b/>
          <w:sz w:val="32"/>
          <w:szCs w:val="32"/>
        </w:rPr>
        <w:lastRenderedPageBreak/>
        <w:t>Povzetek</w:t>
      </w:r>
      <w:bookmarkEnd w:id="54"/>
    </w:p>
    <w:p w14:paraId="5EEBCB7F" w14:textId="77777777" w:rsidR="004912DC" w:rsidRPr="000F166D" w:rsidRDefault="004912DC" w:rsidP="004912DC">
      <w:pPr>
        <w:jc w:val="both"/>
        <w:rPr>
          <w:rFonts w:cs="Arial"/>
          <w:sz w:val="22"/>
        </w:rPr>
      </w:pPr>
    </w:p>
    <w:p w14:paraId="16EAA626" w14:textId="77777777" w:rsidR="004912DC" w:rsidRPr="000F166D" w:rsidRDefault="004912DC" w:rsidP="004912DC">
      <w:pPr>
        <w:jc w:val="both"/>
        <w:rPr>
          <w:rFonts w:cs="Arial"/>
          <w:sz w:val="22"/>
          <w:szCs w:val="22"/>
        </w:rPr>
      </w:pPr>
      <w:r w:rsidRPr="000F166D">
        <w:rPr>
          <w:rFonts w:cs="Arial"/>
          <w:sz w:val="22"/>
          <w:szCs w:val="22"/>
        </w:rPr>
        <w:t xml:space="preserve">Ključni elementi finančnih instrumentov v programskem obdobju 2014 – 2020 so pripravljeni skladno </w:t>
      </w:r>
      <w:r>
        <w:rPr>
          <w:rFonts w:cs="Arial"/>
          <w:sz w:val="22"/>
          <w:szCs w:val="22"/>
        </w:rPr>
        <w:t xml:space="preserve">s četrtim odstavkom 13. člena in drugim </w:t>
      </w:r>
      <w:r w:rsidRPr="00F52F75">
        <w:rPr>
          <w:rFonts w:cs="Arial"/>
          <w:sz w:val="22"/>
          <w:szCs w:val="22"/>
        </w:rPr>
        <w:t>odstavkom 106.j člena Zakona o javnih financah, z drugim odstavkom 17. člena Uredbe o postopku, merilih in načinih dodeljevanja sredstev za spodbujanje razvojnih programov in prednostnih nalog in prvim odstavkom 37.a člena Uredbe</w:t>
      </w:r>
      <w:r w:rsidRPr="000F166D">
        <w:rPr>
          <w:rFonts w:cs="Arial"/>
          <w:sz w:val="22"/>
          <w:szCs w:val="22"/>
        </w:rPr>
        <w:t xml:space="preserve"> o porabi sredstev evropske kohezijske politike v Republiki Sloveniji v programskem obdobju 2014–2020 za cilj naložbe za rast in delovna mesta. V kolikor se predpisi Republike Slovenije glede izvajanja finančnih instrumentov in sklada skladov razlikujejo od predpisov EU, se uporabljajo predpisi EU. Temelja za pripravo Ključnih elementov FI sta Predhodna ocena finančnih instrumentov v Sloveniji in Analiza Evropske investicijske banke. Ključni elementi FI bodo prispevali k doseganju ciljev Operativnega programa za izvajanje evropske kohezijske politike v obdobju 2014-2020. </w:t>
      </w:r>
    </w:p>
    <w:p w14:paraId="42F4BF92" w14:textId="77777777" w:rsidR="004912DC" w:rsidRPr="000F166D" w:rsidRDefault="004912DC" w:rsidP="004912DC">
      <w:pPr>
        <w:jc w:val="both"/>
        <w:rPr>
          <w:rFonts w:cs="Arial"/>
          <w:sz w:val="22"/>
          <w:szCs w:val="22"/>
          <w:lang w:eastAsia="sl-SI"/>
        </w:rPr>
      </w:pPr>
    </w:p>
    <w:p w14:paraId="42660D9E" w14:textId="77777777" w:rsidR="004912DC" w:rsidRPr="000F166D" w:rsidRDefault="004912DC" w:rsidP="004912DC">
      <w:pPr>
        <w:jc w:val="both"/>
        <w:rPr>
          <w:rFonts w:cs="Arial"/>
          <w:sz w:val="22"/>
          <w:szCs w:val="22"/>
          <w:lang w:eastAsia="sl-SI"/>
        </w:rPr>
      </w:pPr>
      <w:r w:rsidRPr="000F166D">
        <w:rPr>
          <w:rFonts w:cs="Arial"/>
          <w:sz w:val="22"/>
          <w:szCs w:val="22"/>
          <w:lang w:eastAsia="sl-SI"/>
        </w:rPr>
        <w:t>V poglavju Izhodišča so predstavljene pravne podlage in tržne vrzeli financiranja mikro, malih in srednje velikih podjetij (MSP), raziskav, razvoja in inovacij (RRI), energetske učinkovitosti ter urbanega razvoja.</w:t>
      </w:r>
    </w:p>
    <w:p w14:paraId="60254E79" w14:textId="77777777" w:rsidR="004912DC" w:rsidRPr="000F166D" w:rsidRDefault="004912DC" w:rsidP="004912DC">
      <w:pPr>
        <w:jc w:val="both"/>
        <w:rPr>
          <w:rFonts w:cs="Arial"/>
          <w:sz w:val="22"/>
          <w:szCs w:val="22"/>
          <w:lang w:eastAsia="sl-SI"/>
        </w:rPr>
      </w:pPr>
    </w:p>
    <w:p w14:paraId="12405D43" w14:textId="77777777" w:rsidR="004912DC" w:rsidRPr="000F166D" w:rsidRDefault="004912DC" w:rsidP="004912DC">
      <w:pPr>
        <w:jc w:val="both"/>
        <w:rPr>
          <w:rFonts w:cs="Arial"/>
          <w:sz w:val="22"/>
          <w:szCs w:val="22"/>
          <w:lang w:eastAsia="sl-SI"/>
        </w:rPr>
      </w:pPr>
      <w:r w:rsidRPr="000F166D">
        <w:rPr>
          <w:rFonts w:cs="Arial"/>
          <w:sz w:val="22"/>
          <w:szCs w:val="22"/>
          <w:lang w:eastAsia="sl-SI"/>
        </w:rPr>
        <w:t>V poglavju Naložbena strategija in načrtovanje finančnih instrumentov so prikazani:</w:t>
      </w:r>
    </w:p>
    <w:p w14:paraId="4A469CFE" w14:textId="77777777" w:rsidR="004912DC" w:rsidRPr="000F166D" w:rsidRDefault="004912DC" w:rsidP="004912DC">
      <w:pPr>
        <w:numPr>
          <w:ilvl w:val="0"/>
          <w:numId w:val="33"/>
        </w:numPr>
        <w:spacing w:line="240" w:lineRule="auto"/>
        <w:jc w:val="both"/>
        <w:rPr>
          <w:rFonts w:eastAsia="Calibri" w:cs="Arial"/>
          <w:sz w:val="22"/>
          <w:szCs w:val="22"/>
        </w:rPr>
      </w:pPr>
      <w:r w:rsidRPr="000F166D">
        <w:rPr>
          <w:rFonts w:eastAsia="Calibri" w:cs="Arial"/>
          <w:sz w:val="22"/>
          <w:szCs w:val="22"/>
          <w:lang w:eastAsia="sl-SI"/>
        </w:rPr>
        <w:t>struktura upravljanja in izvajanja finančnih instrumentov prek sklada skladov in finančnih posrednikov,</w:t>
      </w:r>
    </w:p>
    <w:p w14:paraId="1201AB52" w14:textId="77777777" w:rsidR="004912DC" w:rsidRPr="000F166D" w:rsidRDefault="004912DC" w:rsidP="004912DC">
      <w:pPr>
        <w:numPr>
          <w:ilvl w:val="0"/>
          <w:numId w:val="33"/>
        </w:numPr>
        <w:spacing w:line="240" w:lineRule="auto"/>
        <w:jc w:val="both"/>
        <w:rPr>
          <w:rFonts w:eastAsia="Calibri" w:cs="Arial"/>
          <w:sz w:val="22"/>
          <w:szCs w:val="22"/>
        </w:rPr>
      </w:pPr>
      <w:r w:rsidRPr="000F166D">
        <w:rPr>
          <w:rFonts w:eastAsia="Calibri" w:cs="Arial"/>
          <w:sz w:val="22"/>
          <w:szCs w:val="22"/>
          <w:lang w:eastAsia="sl-SI"/>
        </w:rPr>
        <w:t>načrtovani finančni produkti in ciljne skupine končnih prejemnikov po posameznih področjih:</w:t>
      </w:r>
    </w:p>
    <w:tbl>
      <w:tblPr>
        <w:tblStyle w:val="Tabelamrea"/>
        <w:tblW w:w="10348" w:type="dxa"/>
        <w:tblInd w:w="-147" w:type="dxa"/>
        <w:tblLook w:val="04A0" w:firstRow="1" w:lastRow="0" w:firstColumn="1" w:lastColumn="0" w:noHBand="0" w:noVBand="1"/>
      </w:tblPr>
      <w:tblGrid>
        <w:gridCol w:w="2836"/>
        <w:gridCol w:w="2693"/>
        <w:gridCol w:w="4819"/>
      </w:tblGrid>
      <w:tr w:rsidR="004912DC" w:rsidRPr="000F166D" w14:paraId="54F39CCC" w14:textId="77777777" w:rsidTr="00906890">
        <w:tc>
          <w:tcPr>
            <w:tcW w:w="2836" w:type="dxa"/>
          </w:tcPr>
          <w:p w14:paraId="6516239B" w14:textId="77777777" w:rsidR="004912DC" w:rsidRPr="000F166D" w:rsidRDefault="004912DC" w:rsidP="00906890">
            <w:pPr>
              <w:jc w:val="both"/>
              <w:rPr>
                <w:rFonts w:eastAsia="Calibri" w:cs="Arial"/>
                <w:sz w:val="22"/>
                <w:szCs w:val="22"/>
              </w:rPr>
            </w:pPr>
            <w:r w:rsidRPr="000F166D">
              <w:rPr>
                <w:rFonts w:eastAsia="Calibri" w:cs="Arial"/>
                <w:sz w:val="22"/>
                <w:szCs w:val="22"/>
              </w:rPr>
              <w:t>Finančni produkt</w:t>
            </w:r>
          </w:p>
        </w:tc>
        <w:tc>
          <w:tcPr>
            <w:tcW w:w="2693" w:type="dxa"/>
          </w:tcPr>
          <w:p w14:paraId="1D60E1B4" w14:textId="77777777" w:rsidR="004912DC" w:rsidRPr="000F166D" w:rsidRDefault="004912DC" w:rsidP="00906890">
            <w:pPr>
              <w:jc w:val="both"/>
              <w:rPr>
                <w:rFonts w:eastAsia="Calibri" w:cs="Arial"/>
                <w:sz w:val="22"/>
                <w:szCs w:val="22"/>
              </w:rPr>
            </w:pPr>
            <w:r w:rsidRPr="000F166D">
              <w:rPr>
                <w:rFonts w:eastAsia="Calibri" w:cs="Arial"/>
                <w:sz w:val="22"/>
                <w:szCs w:val="22"/>
              </w:rPr>
              <w:t>Okvirna višina sredstev</w:t>
            </w:r>
          </w:p>
        </w:tc>
        <w:tc>
          <w:tcPr>
            <w:tcW w:w="4819" w:type="dxa"/>
          </w:tcPr>
          <w:p w14:paraId="28BF7B8D" w14:textId="77777777" w:rsidR="004912DC" w:rsidRPr="000F166D" w:rsidRDefault="004912DC" w:rsidP="00906890">
            <w:pPr>
              <w:jc w:val="both"/>
              <w:rPr>
                <w:rFonts w:eastAsia="Calibri" w:cs="Arial"/>
                <w:sz w:val="22"/>
                <w:szCs w:val="22"/>
              </w:rPr>
            </w:pPr>
            <w:r w:rsidRPr="000F166D">
              <w:rPr>
                <w:rFonts w:eastAsia="Calibri" w:cs="Arial"/>
                <w:sz w:val="22"/>
                <w:szCs w:val="22"/>
              </w:rPr>
              <w:t>Ciljna skupina</w:t>
            </w:r>
          </w:p>
        </w:tc>
      </w:tr>
      <w:tr w:rsidR="004912DC" w:rsidRPr="000F166D" w14:paraId="60F3ACCA" w14:textId="77777777" w:rsidTr="00906890">
        <w:tc>
          <w:tcPr>
            <w:tcW w:w="10348" w:type="dxa"/>
            <w:gridSpan w:val="3"/>
            <w:shd w:val="clear" w:color="auto" w:fill="BDD6EE" w:themeFill="accent1" w:themeFillTint="66"/>
          </w:tcPr>
          <w:p w14:paraId="20D33061" w14:textId="77777777" w:rsidR="004912DC" w:rsidRPr="000F166D" w:rsidRDefault="004912DC" w:rsidP="00906890">
            <w:pPr>
              <w:jc w:val="center"/>
              <w:rPr>
                <w:rFonts w:eastAsia="Calibri" w:cs="Arial"/>
                <w:sz w:val="22"/>
                <w:szCs w:val="22"/>
              </w:rPr>
            </w:pPr>
            <w:r w:rsidRPr="000F166D">
              <w:rPr>
                <w:rFonts w:eastAsia="Calibri" w:cs="Arial"/>
                <w:sz w:val="22"/>
                <w:szCs w:val="22"/>
              </w:rPr>
              <w:t>Področje: RRI - TC 1</w:t>
            </w:r>
          </w:p>
        </w:tc>
      </w:tr>
      <w:tr w:rsidR="004912DC" w:rsidRPr="000F166D" w14:paraId="121E551D" w14:textId="77777777" w:rsidTr="00906890">
        <w:tc>
          <w:tcPr>
            <w:tcW w:w="2836" w:type="dxa"/>
          </w:tcPr>
          <w:p w14:paraId="7F389A05" w14:textId="77777777" w:rsidR="004912DC" w:rsidRPr="000F166D" w:rsidRDefault="004912DC" w:rsidP="00906890">
            <w:pPr>
              <w:jc w:val="both"/>
              <w:rPr>
                <w:rFonts w:eastAsia="Calibri" w:cs="Arial"/>
                <w:sz w:val="22"/>
                <w:szCs w:val="22"/>
              </w:rPr>
            </w:pPr>
            <w:r w:rsidRPr="000F166D">
              <w:rPr>
                <w:rFonts w:eastAsia="Calibri" w:cs="Arial"/>
                <w:sz w:val="22"/>
                <w:szCs w:val="22"/>
              </w:rPr>
              <w:t>Posojila</w:t>
            </w:r>
          </w:p>
        </w:tc>
        <w:tc>
          <w:tcPr>
            <w:tcW w:w="2693" w:type="dxa"/>
          </w:tcPr>
          <w:p w14:paraId="3979AD73" w14:textId="77777777" w:rsidR="004912DC" w:rsidRPr="000F166D" w:rsidRDefault="004912DC" w:rsidP="00906890">
            <w:pPr>
              <w:jc w:val="both"/>
              <w:rPr>
                <w:rFonts w:eastAsia="Calibri" w:cs="Arial"/>
                <w:sz w:val="22"/>
                <w:szCs w:val="22"/>
              </w:rPr>
            </w:pPr>
            <w:r>
              <w:rPr>
                <w:rFonts w:eastAsia="Calibri" w:cs="Arial"/>
                <w:sz w:val="22"/>
                <w:szCs w:val="22"/>
              </w:rPr>
              <w:t>6</w:t>
            </w:r>
            <w:r w:rsidRPr="000F166D">
              <w:rPr>
                <w:rFonts w:eastAsia="Calibri" w:cs="Arial"/>
                <w:sz w:val="22"/>
                <w:szCs w:val="22"/>
              </w:rPr>
              <w:t>8 mio EUR</w:t>
            </w:r>
          </w:p>
        </w:tc>
        <w:tc>
          <w:tcPr>
            <w:tcW w:w="4819" w:type="dxa"/>
          </w:tcPr>
          <w:p w14:paraId="0BFFE388" w14:textId="77777777" w:rsidR="004912DC" w:rsidRPr="000F166D" w:rsidRDefault="004912DC" w:rsidP="00906890">
            <w:pPr>
              <w:jc w:val="both"/>
              <w:rPr>
                <w:rFonts w:eastAsia="Calibri" w:cs="Arial"/>
                <w:sz w:val="22"/>
                <w:szCs w:val="22"/>
              </w:rPr>
            </w:pPr>
            <w:r w:rsidRPr="000F166D">
              <w:rPr>
                <w:rFonts w:eastAsia="Calibri" w:cs="Arial"/>
                <w:sz w:val="22"/>
                <w:szCs w:val="22"/>
              </w:rPr>
              <w:t xml:space="preserve">Vsa podjetja </w:t>
            </w:r>
          </w:p>
          <w:p w14:paraId="72C88835" w14:textId="77777777" w:rsidR="004912DC" w:rsidRPr="000F166D" w:rsidRDefault="004912DC" w:rsidP="00906890">
            <w:pPr>
              <w:jc w:val="both"/>
              <w:rPr>
                <w:rFonts w:eastAsia="Calibri" w:cs="Arial"/>
                <w:sz w:val="22"/>
                <w:szCs w:val="22"/>
              </w:rPr>
            </w:pPr>
            <w:r w:rsidRPr="000F166D">
              <w:rPr>
                <w:rFonts w:eastAsia="Calibri" w:cs="Arial"/>
                <w:sz w:val="22"/>
                <w:szCs w:val="22"/>
              </w:rPr>
              <w:t>(</w:t>
            </w:r>
            <w:r>
              <w:rPr>
                <w:rFonts w:eastAsia="Calibri" w:cs="Arial"/>
                <w:sz w:val="22"/>
                <w:szCs w:val="22"/>
              </w:rPr>
              <w:t>45</w:t>
            </w:r>
            <w:r w:rsidRPr="000F166D">
              <w:rPr>
                <w:rFonts w:eastAsia="Calibri" w:cs="Arial"/>
                <w:sz w:val="22"/>
                <w:szCs w:val="22"/>
              </w:rPr>
              <w:t xml:space="preserve"> mio EUR MSP, 2</w:t>
            </w:r>
            <w:r>
              <w:rPr>
                <w:rFonts w:eastAsia="Calibri" w:cs="Arial"/>
                <w:sz w:val="22"/>
                <w:szCs w:val="22"/>
              </w:rPr>
              <w:t>3</w:t>
            </w:r>
            <w:r w:rsidRPr="000F166D">
              <w:rPr>
                <w:rFonts w:eastAsia="Calibri" w:cs="Arial"/>
                <w:sz w:val="22"/>
                <w:szCs w:val="22"/>
              </w:rPr>
              <w:t xml:space="preserve"> mio EUR velika podjetja)</w:t>
            </w:r>
          </w:p>
        </w:tc>
      </w:tr>
      <w:tr w:rsidR="004912DC" w:rsidRPr="000F166D" w14:paraId="0F22781F" w14:textId="77777777" w:rsidTr="00906890">
        <w:tc>
          <w:tcPr>
            <w:tcW w:w="2836" w:type="dxa"/>
          </w:tcPr>
          <w:p w14:paraId="30B3F6C1" w14:textId="77777777" w:rsidR="004912DC" w:rsidRPr="000F166D" w:rsidRDefault="004912DC" w:rsidP="00906890">
            <w:pPr>
              <w:jc w:val="both"/>
              <w:rPr>
                <w:rFonts w:eastAsia="Calibri" w:cs="Arial"/>
                <w:sz w:val="22"/>
                <w:szCs w:val="22"/>
              </w:rPr>
            </w:pPr>
            <w:r w:rsidRPr="000F166D">
              <w:rPr>
                <w:rFonts w:eastAsia="Calibri" w:cs="Arial"/>
                <w:sz w:val="22"/>
                <w:szCs w:val="22"/>
              </w:rPr>
              <w:t>Portfeljske garancije</w:t>
            </w:r>
          </w:p>
        </w:tc>
        <w:tc>
          <w:tcPr>
            <w:tcW w:w="2693" w:type="dxa"/>
          </w:tcPr>
          <w:p w14:paraId="030E0CF4" w14:textId="77777777" w:rsidR="004912DC" w:rsidRPr="000F166D" w:rsidRDefault="004912DC" w:rsidP="00906890">
            <w:pPr>
              <w:jc w:val="both"/>
              <w:rPr>
                <w:rFonts w:eastAsia="Calibri" w:cs="Arial"/>
                <w:sz w:val="22"/>
                <w:szCs w:val="22"/>
              </w:rPr>
            </w:pPr>
            <w:r>
              <w:rPr>
                <w:rFonts w:eastAsia="Calibri" w:cs="Arial"/>
                <w:sz w:val="22"/>
                <w:szCs w:val="22"/>
              </w:rPr>
              <w:t>2</w:t>
            </w:r>
            <w:r w:rsidRPr="000F166D">
              <w:rPr>
                <w:rFonts w:eastAsia="Calibri" w:cs="Arial"/>
                <w:sz w:val="22"/>
                <w:szCs w:val="22"/>
              </w:rPr>
              <w:t>0 mio EUR</w:t>
            </w:r>
          </w:p>
        </w:tc>
        <w:tc>
          <w:tcPr>
            <w:tcW w:w="4819" w:type="dxa"/>
          </w:tcPr>
          <w:p w14:paraId="4D13A104" w14:textId="77777777" w:rsidR="004912DC" w:rsidRPr="000F166D" w:rsidRDefault="004912DC" w:rsidP="00906890">
            <w:pPr>
              <w:jc w:val="both"/>
              <w:rPr>
                <w:rFonts w:eastAsia="Calibri" w:cs="Arial"/>
                <w:sz w:val="22"/>
                <w:szCs w:val="22"/>
              </w:rPr>
            </w:pPr>
            <w:r>
              <w:rPr>
                <w:rFonts w:eastAsia="Calibri" w:cs="Arial"/>
                <w:sz w:val="22"/>
                <w:szCs w:val="22"/>
              </w:rPr>
              <w:t>MSP</w:t>
            </w:r>
          </w:p>
          <w:p w14:paraId="0514EF06" w14:textId="77777777" w:rsidR="004912DC" w:rsidRPr="000F166D" w:rsidRDefault="004912DC" w:rsidP="00906890">
            <w:pPr>
              <w:jc w:val="both"/>
              <w:rPr>
                <w:rFonts w:eastAsia="Calibri" w:cs="Arial"/>
                <w:sz w:val="22"/>
                <w:szCs w:val="22"/>
              </w:rPr>
            </w:pPr>
            <w:r w:rsidRPr="000F166D">
              <w:rPr>
                <w:rFonts w:eastAsia="Calibri" w:cs="Arial"/>
                <w:sz w:val="22"/>
                <w:szCs w:val="22"/>
              </w:rPr>
              <w:t>(20 mio EUR</w:t>
            </w:r>
            <w:r>
              <w:rPr>
                <w:rFonts w:eastAsia="Calibri" w:cs="Arial"/>
                <w:sz w:val="22"/>
                <w:szCs w:val="22"/>
              </w:rPr>
              <w:t>)</w:t>
            </w:r>
          </w:p>
        </w:tc>
      </w:tr>
      <w:tr w:rsidR="004912DC" w:rsidRPr="000F166D" w14:paraId="63812E0D" w14:textId="77777777" w:rsidTr="00906890">
        <w:tc>
          <w:tcPr>
            <w:tcW w:w="10348" w:type="dxa"/>
            <w:gridSpan w:val="3"/>
            <w:shd w:val="clear" w:color="auto" w:fill="BDD6EE" w:themeFill="accent1" w:themeFillTint="66"/>
          </w:tcPr>
          <w:p w14:paraId="386706EB" w14:textId="77777777" w:rsidR="004912DC" w:rsidRPr="000F166D" w:rsidRDefault="004912DC" w:rsidP="00906890">
            <w:pPr>
              <w:jc w:val="center"/>
              <w:rPr>
                <w:rFonts w:eastAsia="Calibri" w:cs="Arial"/>
                <w:sz w:val="22"/>
                <w:szCs w:val="22"/>
              </w:rPr>
            </w:pPr>
            <w:r w:rsidRPr="000F166D">
              <w:rPr>
                <w:rFonts w:eastAsia="Calibri" w:cs="Arial"/>
                <w:sz w:val="22"/>
                <w:szCs w:val="22"/>
              </w:rPr>
              <w:t>Področje: MSP - TC 3</w:t>
            </w:r>
          </w:p>
        </w:tc>
      </w:tr>
      <w:tr w:rsidR="004912DC" w:rsidRPr="000F166D" w14:paraId="0126FC5D" w14:textId="77777777" w:rsidTr="00906890">
        <w:tc>
          <w:tcPr>
            <w:tcW w:w="2836" w:type="dxa"/>
          </w:tcPr>
          <w:p w14:paraId="6DD089E7" w14:textId="77777777" w:rsidR="004912DC" w:rsidRPr="000F166D" w:rsidRDefault="004912DC" w:rsidP="00906890">
            <w:pPr>
              <w:jc w:val="both"/>
              <w:rPr>
                <w:rFonts w:eastAsia="Calibri" w:cs="Arial"/>
                <w:sz w:val="22"/>
                <w:szCs w:val="22"/>
              </w:rPr>
            </w:pPr>
            <w:r w:rsidRPr="000F166D">
              <w:rPr>
                <w:rFonts w:eastAsia="Calibri" w:cs="Arial"/>
                <w:sz w:val="22"/>
                <w:szCs w:val="22"/>
              </w:rPr>
              <w:t>Mikrokrediti</w:t>
            </w:r>
          </w:p>
        </w:tc>
        <w:tc>
          <w:tcPr>
            <w:tcW w:w="2693" w:type="dxa"/>
          </w:tcPr>
          <w:p w14:paraId="7447534F" w14:textId="77777777" w:rsidR="004912DC" w:rsidRPr="000F166D" w:rsidRDefault="004912DC" w:rsidP="00906890">
            <w:pPr>
              <w:jc w:val="both"/>
              <w:rPr>
                <w:rFonts w:eastAsia="Calibri" w:cs="Arial"/>
                <w:sz w:val="22"/>
                <w:szCs w:val="22"/>
              </w:rPr>
            </w:pPr>
            <w:r w:rsidRPr="000F166D">
              <w:rPr>
                <w:rFonts w:eastAsia="Calibri" w:cs="Arial"/>
                <w:sz w:val="22"/>
                <w:szCs w:val="22"/>
              </w:rPr>
              <w:t>60 mio EUR</w:t>
            </w:r>
          </w:p>
        </w:tc>
        <w:tc>
          <w:tcPr>
            <w:tcW w:w="4819" w:type="dxa"/>
          </w:tcPr>
          <w:p w14:paraId="6F53E938" w14:textId="77777777" w:rsidR="004912DC" w:rsidRPr="000F166D" w:rsidRDefault="004912DC" w:rsidP="00906890">
            <w:pPr>
              <w:jc w:val="both"/>
              <w:rPr>
                <w:rFonts w:eastAsia="Calibri" w:cs="Arial"/>
                <w:sz w:val="22"/>
                <w:szCs w:val="22"/>
              </w:rPr>
            </w:pPr>
            <w:r w:rsidRPr="000F166D">
              <w:rPr>
                <w:rFonts w:eastAsia="Calibri" w:cs="Arial"/>
                <w:sz w:val="22"/>
                <w:szCs w:val="22"/>
              </w:rPr>
              <w:t xml:space="preserve">Mikro </w:t>
            </w:r>
            <w:r>
              <w:rPr>
                <w:rFonts w:eastAsia="Calibri" w:cs="Arial"/>
                <w:sz w:val="22"/>
                <w:szCs w:val="22"/>
              </w:rPr>
              <w:t xml:space="preserve">in mala </w:t>
            </w:r>
            <w:r w:rsidRPr="000F166D">
              <w:rPr>
                <w:rFonts w:eastAsia="Calibri" w:cs="Arial"/>
                <w:sz w:val="22"/>
                <w:szCs w:val="22"/>
              </w:rPr>
              <w:t>podjetja</w:t>
            </w:r>
          </w:p>
        </w:tc>
      </w:tr>
      <w:tr w:rsidR="004912DC" w:rsidRPr="000F166D" w14:paraId="4B12BCCC" w14:textId="77777777" w:rsidTr="00906890">
        <w:tc>
          <w:tcPr>
            <w:tcW w:w="2836" w:type="dxa"/>
          </w:tcPr>
          <w:p w14:paraId="4FAC285E" w14:textId="77777777" w:rsidR="004912DC" w:rsidRPr="000F166D" w:rsidRDefault="004912DC" w:rsidP="00906890">
            <w:pPr>
              <w:jc w:val="both"/>
              <w:rPr>
                <w:rFonts w:eastAsia="Calibri" w:cs="Arial"/>
                <w:sz w:val="22"/>
                <w:szCs w:val="22"/>
              </w:rPr>
            </w:pPr>
            <w:r w:rsidRPr="000F166D">
              <w:rPr>
                <w:rFonts w:eastAsia="Calibri" w:cs="Arial"/>
                <w:sz w:val="22"/>
                <w:szCs w:val="22"/>
              </w:rPr>
              <w:t>Portfeljske garancije</w:t>
            </w:r>
          </w:p>
        </w:tc>
        <w:tc>
          <w:tcPr>
            <w:tcW w:w="2693" w:type="dxa"/>
          </w:tcPr>
          <w:p w14:paraId="1A957AEA" w14:textId="77777777" w:rsidR="004912DC" w:rsidRPr="000F166D" w:rsidRDefault="004912DC" w:rsidP="00906890">
            <w:pPr>
              <w:jc w:val="both"/>
              <w:rPr>
                <w:rFonts w:eastAsia="Calibri" w:cs="Arial"/>
                <w:sz w:val="22"/>
                <w:szCs w:val="22"/>
              </w:rPr>
            </w:pPr>
            <w:r w:rsidRPr="000F166D">
              <w:rPr>
                <w:rFonts w:eastAsia="Calibri" w:cs="Arial"/>
                <w:sz w:val="22"/>
                <w:szCs w:val="22"/>
              </w:rPr>
              <w:t>65 mio EUR</w:t>
            </w:r>
          </w:p>
        </w:tc>
        <w:tc>
          <w:tcPr>
            <w:tcW w:w="4819" w:type="dxa"/>
          </w:tcPr>
          <w:p w14:paraId="73991D00" w14:textId="77777777" w:rsidR="004912DC" w:rsidRPr="000F166D" w:rsidRDefault="004912DC" w:rsidP="00906890">
            <w:pPr>
              <w:jc w:val="both"/>
              <w:rPr>
                <w:rFonts w:eastAsia="Calibri" w:cs="Arial"/>
                <w:sz w:val="22"/>
                <w:szCs w:val="22"/>
              </w:rPr>
            </w:pPr>
            <w:r w:rsidRPr="000F166D">
              <w:rPr>
                <w:rFonts w:eastAsia="Calibri" w:cs="Arial"/>
                <w:sz w:val="22"/>
                <w:szCs w:val="22"/>
              </w:rPr>
              <w:t xml:space="preserve">MSP </w:t>
            </w:r>
          </w:p>
          <w:p w14:paraId="53FA7977" w14:textId="77777777" w:rsidR="004912DC" w:rsidRPr="000F166D" w:rsidRDefault="004912DC" w:rsidP="00906890">
            <w:pPr>
              <w:jc w:val="both"/>
              <w:rPr>
                <w:rFonts w:eastAsia="Calibri" w:cs="Arial"/>
                <w:sz w:val="22"/>
                <w:szCs w:val="22"/>
              </w:rPr>
            </w:pPr>
            <w:r w:rsidRPr="000F166D">
              <w:rPr>
                <w:rFonts w:eastAsia="Calibri" w:cs="Arial"/>
                <w:sz w:val="22"/>
                <w:szCs w:val="22"/>
              </w:rPr>
              <w:t>(od tega 25 mio EUR snovna/energetska učinkovitost)</w:t>
            </w:r>
          </w:p>
        </w:tc>
      </w:tr>
      <w:tr w:rsidR="004912DC" w:rsidRPr="000F166D" w14:paraId="31251F50" w14:textId="77777777" w:rsidTr="00906890">
        <w:tc>
          <w:tcPr>
            <w:tcW w:w="2836" w:type="dxa"/>
          </w:tcPr>
          <w:p w14:paraId="28E1AD89" w14:textId="77777777" w:rsidR="004912DC" w:rsidRPr="000F166D" w:rsidRDefault="004912DC" w:rsidP="00906890">
            <w:pPr>
              <w:jc w:val="both"/>
              <w:rPr>
                <w:rFonts w:eastAsia="Calibri" w:cs="Arial"/>
                <w:sz w:val="22"/>
                <w:szCs w:val="22"/>
              </w:rPr>
            </w:pPr>
            <w:r w:rsidRPr="000F166D">
              <w:rPr>
                <w:rFonts w:eastAsia="Calibri" w:cs="Arial"/>
                <w:sz w:val="22"/>
                <w:szCs w:val="22"/>
              </w:rPr>
              <w:t>Lastniško financiranje</w:t>
            </w:r>
          </w:p>
        </w:tc>
        <w:tc>
          <w:tcPr>
            <w:tcW w:w="2693" w:type="dxa"/>
          </w:tcPr>
          <w:p w14:paraId="74CB28EC" w14:textId="77777777" w:rsidR="004912DC" w:rsidRPr="000F166D" w:rsidRDefault="004912DC" w:rsidP="00906890">
            <w:pPr>
              <w:jc w:val="both"/>
              <w:rPr>
                <w:rFonts w:eastAsia="Calibri" w:cs="Arial"/>
                <w:sz w:val="22"/>
                <w:szCs w:val="22"/>
              </w:rPr>
            </w:pPr>
            <w:r w:rsidRPr="000F166D">
              <w:rPr>
                <w:rFonts w:eastAsia="Calibri" w:cs="Arial"/>
                <w:sz w:val="22"/>
                <w:szCs w:val="22"/>
              </w:rPr>
              <w:t>10 mio EUR</w:t>
            </w:r>
          </w:p>
        </w:tc>
        <w:tc>
          <w:tcPr>
            <w:tcW w:w="4819" w:type="dxa"/>
          </w:tcPr>
          <w:p w14:paraId="30EDE2DE" w14:textId="77777777" w:rsidR="004912DC" w:rsidRPr="000F166D" w:rsidRDefault="004912DC" w:rsidP="00906890">
            <w:pPr>
              <w:jc w:val="both"/>
              <w:rPr>
                <w:rFonts w:eastAsia="Calibri" w:cs="Arial"/>
                <w:sz w:val="22"/>
                <w:szCs w:val="22"/>
              </w:rPr>
            </w:pPr>
            <w:r w:rsidRPr="000F166D">
              <w:rPr>
                <w:rFonts w:eastAsia="Calibri" w:cs="Arial"/>
                <w:sz w:val="22"/>
                <w:szCs w:val="22"/>
              </w:rPr>
              <w:t>MSP</w:t>
            </w:r>
          </w:p>
        </w:tc>
      </w:tr>
      <w:tr w:rsidR="004912DC" w:rsidRPr="000F166D" w14:paraId="409A34C1" w14:textId="77777777" w:rsidTr="00906890">
        <w:tc>
          <w:tcPr>
            <w:tcW w:w="10348" w:type="dxa"/>
            <w:gridSpan w:val="3"/>
            <w:shd w:val="clear" w:color="auto" w:fill="BDD6EE" w:themeFill="accent1" w:themeFillTint="66"/>
          </w:tcPr>
          <w:p w14:paraId="782F1088" w14:textId="77777777" w:rsidR="004912DC" w:rsidRPr="000F166D" w:rsidRDefault="004912DC" w:rsidP="00906890">
            <w:pPr>
              <w:jc w:val="center"/>
              <w:rPr>
                <w:rFonts w:eastAsia="Calibri" w:cs="Arial"/>
                <w:sz w:val="22"/>
                <w:szCs w:val="22"/>
              </w:rPr>
            </w:pPr>
            <w:r w:rsidRPr="000F166D">
              <w:rPr>
                <w:rFonts w:eastAsia="Calibri" w:cs="Arial"/>
                <w:sz w:val="22"/>
                <w:szCs w:val="22"/>
              </w:rPr>
              <w:t>Področje: Energetska učinkovitost - TC 4</w:t>
            </w:r>
          </w:p>
        </w:tc>
      </w:tr>
      <w:tr w:rsidR="004912DC" w:rsidRPr="000F166D" w14:paraId="23FA43DE" w14:textId="77777777" w:rsidTr="00906890">
        <w:tc>
          <w:tcPr>
            <w:tcW w:w="2836" w:type="dxa"/>
          </w:tcPr>
          <w:p w14:paraId="76E6B9FC" w14:textId="77777777" w:rsidR="004912DC" w:rsidRPr="000F166D" w:rsidRDefault="004912DC" w:rsidP="008D1457">
            <w:pPr>
              <w:rPr>
                <w:sz w:val="22"/>
                <w:szCs w:val="22"/>
              </w:rPr>
            </w:pPr>
            <w:r w:rsidRPr="000F166D">
              <w:rPr>
                <w:rFonts w:cs="Arial"/>
                <w:sz w:val="22"/>
                <w:szCs w:val="22"/>
              </w:rPr>
              <w:t>Posojila, garancijske sheme, lastniško financiranje</w:t>
            </w:r>
            <w:r w:rsidRPr="000F166D">
              <w:rPr>
                <w:rFonts w:cs="Arial"/>
                <w:sz w:val="22"/>
                <w:szCs w:val="22"/>
                <w:vertAlign w:val="superscript"/>
              </w:rPr>
              <w:footnoteReference w:id="1"/>
            </w:r>
          </w:p>
          <w:p w14:paraId="0C79EBA4" w14:textId="77777777" w:rsidR="004912DC" w:rsidRPr="000F166D" w:rsidRDefault="004912DC" w:rsidP="00906890">
            <w:pPr>
              <w:jc w:val="both"/>
              <w:rPr>
                <w:rFonts w:eastAsia="Calibri" w:cs="Arial"/>
                <w:sz w:val="22"/>
                <w:szCs w:val="22"/>
              </w:rPr>
            </w:pPr>
          </w:p>
        </w:tc>
        <w:tc>
          <w:tcPr>
            <w:tcW w:w="2693" w:type="dxa"/>
          </w:tcPr>
          <w:p w14:paraId="3C51A60E" w14:textId="77777777" w:rsidR="004912DC" w:rsidRPr="000F166D" w:rsidRDefault="004912DC" w:rsidP="00906890">
            <w:pPr>
              <w:jc w:val="both"/>
              <w:rPr>
                <w:rFonts w:eastAsia="Calibri" w:cs="Arial"/>
                <w:sz w:val="22"/>
                <w:szCs w:val="22"/>
              </w:rPr>
            </w:pPr>
            <w:r w:rsidRPr="000F166D">
              <w:rPr>
                <w:rFonts w:eastAsia="Calibri" w:cs="Arial"/>
                <w:sz w:val="22"/>
                <w:szCs w:val="22"/>
              </w:rPr>
              <w:t>25 mio EUR</w:t>
            </w:r>
          </w:p>
        </w:tc>
        <w:tc>
          <w:tcPr>
            <w:tcW w:w="4819" w:type="dxa"/>
          </w:tcPr>
          <w:p w14:paraId="235C38C3" w14:textId="77777777" w:rsidR="004912DC" w:rsidRPr="000F166D" w:rsidRDefault="004912DC" w:rsidP="00906890">
            <w:pPr>
              <w:jc w:val="both"/>
              <w:rPr>
                <w:rFonts w:eastAsia="Calibri" w:cs="Arial"/>
                <w:sz w:val="22"/>
                <w:szCs w:val="22"/>
              </w:rPr>
            </w:pPr>
            <w:r w:rsidRPr="000F166D">
              <w:rPr>
                <w:rFonts w:eastAsia="Calibri" w:cs="Arial"/>
                <w:sz w:val="22"/>
                <w:szCs w:val="22"/>
              </w:rPr>
              <w:t>Javni sektor, ESCO podjetja</w:t>
            </w:r>
          </w:p>
        </w:tc>
      </w:tr>
      <w:tr w:rsidR="004912DC" w:rsidRPr="000F166D" w14:paraId="518C8220" w14:textId="77777777" w:rsidTr="00906890">
        <w:tc>
          <w:tcPr>
            <w:tcW w:w="10348" w:type="dxa"/>
            <w:gridSpan w:val="3"/>
            <w:shd w:val="clear" w:color="auto" w:fill="BDD6EE" w:themeFill="accent1" w:themeFillTint="66"/>
          </w:tcPr>
          <w:p w14:paraId="530A69DF" w14:textId="77777777" w:rsidR="004912DC" w:rsidRPr="000F166D" w:rsidRDefault="004912DC" w:rsidP="00906890">
            <w:pPr>
              <w:jc w:val="center"/>
              <w:rPr>
                <w:rFonts w:eastAsia="Calibri" w:cs="Arial"/>
                <w:sz w:val="22"/>
                <w:szCs w:val="22"/>
              </w:rPr>
            </w:pPr>
            <w:r w:rsidRPr="000F166D">
              <w:rPr>
                <w:rFonts w:eastAsia="Calibri" w:cs="Arial"/>
                <w:sz w:val="22"/>
                <w:szCs w:val="22"/>
              </w:rPr>
              <w:t>Področje: Urbani razvoj - TC 6</w:t>
            </w:r>
          </w:p>
        </w:tc>
      </w:tr>
      <w:tr w:rsidR="004912DC" w:rsidRPr="000F166D" w14:paraId="2E5E033B" w14:textId="77777777" w:rsidTr="00906890">
        <w:tc>
          <w:tcPr>
            <w:tcW w:w="2836" w:type="dxa"/>
          </w:tcPr>
          <w:p w14:paraId="1668F7F8" w14:textId="77777777" w:rsidR="004912DC" w:rsidRPr="000F166D" w:rsidRDefault="004912DC" w:rsidP="00906890">
            <w:pPr>
              <w:jc w:val="both"/>
              <w:rPr>
                <w:rFonts w:eastAsia="Calibri" w:cs="Arial"/>
                <w:sz w:val="22"/>
                <w:szCs w:val="22"/>
              </w:rPr>
            </w:pPr>
            <w:r w:rsidRPr="000F166D">
              <w:rPr>
                <w:rFonts w:eastAsia="Calibri" w:cs="Arial"/>
                <w:sz w:val="22"/>
                <w:szCs w:val="22"/>
              </w:rPr>
              <w:t>Posojila</w:t>
            </w:r>
          </w:p>
        </w:tc>
        <w:tc>
          <w:tcPr>
            <w:tcW w:w="2693" w:type="dxa"/>
          </w:tcPr>
          <w:p w14:paraId="53FD9F9D" w14:textId="77777777" w:rsidR="004912DC" w:rsidRPr="000F166D" w:rsidRDefault="004912DC" w:rsidP="00906890">
            <w:pPr>
              <w:jc w:val="both"/>
              <w:rPr>
                <w:rFonts w:eastAsia="Calibri" w:cs="Arial"/>
                <w:sz w:val="22"/>
                <w:szCs w:val="22"/>
              </w:rPr>
            </w:pPr>
            <w:r w:rsidRPr="000F166D">
              <w:rPr>
                <w:rFonts w:eastAsia="Calibri" w:cs="Arial"/>
                <w:sz w:val="22"/>
                <w:szCs w:val="22"/>
              </w:rPr>
              <w:t>5 mio EUR</w:t>
            </w:r>
          </w:p>
        </w:tc>
        <w:tc>
          <w:tcPr>
            <w:tcW w:w="4819" w:type="dxa"/>
          </w:tcPr>
          <w:p w14:paraId="43E11E8E" w14:textId="77777777" w:rsidR="004912DC" w:rsidRPr="000F166D" w:rsidRDefault="004912DC" w:rsidP="00906890">
            <w:pPr>
              <w:jc w:val="both"/>
              <w:rPr>
                <w:rFonts w:eastAsia="Calibri" w:cs="Arial"/>
                <w:sz w:val="22"/>
                <w:szCs w:val="22"/>
              </w:rPr>
            </w:pPr>
            <w:r w:rsidRPr="000F166D">
              <w:rPr>
                <w:rFonts w:eastAsia="Calibri" w:cs="Arial"/>
                <w:sz w:val="22"/>
                <w:szCs w:val="22"/>
              </w:rPr>
              <w:t>Gospodarstvo, lokalne skupnosti, upravljavci javnih površin in stavb, stanovanjske kooperative in ponudniki drugih alternativnih oblik bivanja v mestih.</w:t>
            </w:r>
          </w:p>
        </w:tc>
      </w:tr>
    </w:tbl>
    <w:p w14:paraId="67AEB982" w14:textId="77777777" w:rsidR="004912DC" w:rsidRPr="000F166D" w:rsidRDefault="004912DC" w:rsidP="004912DC">
      <w:pPr>
        <w:numPr>
          <w:ilvl w:val="0"/>
          <w:numId w:val="33"/>
        </w:numPr>
        <w:spacing w:line="240" w:lineRule="auto"/>
        <w:jc w:val="both"/>
        <w:rPr>
          <w:rFonts w:eastAsia="Calibri" w:cs="Arial"/>
          <w:sz w:val="22"/>
          <w:szCs w:val="22"/>
        </w:rPr>
      </w:pPr>
      <w:r w:rsidRPr="000F166D">
        <w:rPr>
          <w:rFonts w:eastAsia="Calibri" w:cs="Arial"/>
          <w:sz w:val="22"/>
          <w:szCs w:val="22"/>
        </w:rPr>
        <w:t xml:space="preserve">Kombinacija FI z nepovratnimi viri je možna. </w:t>
      </w:r>
    </w:p>
    <w:p w14:paraId="350FB094" w14:textId="77777777" w:rsidR="004912DC" w:rsidRPr="000F166D" w:rsidRDefault="004912DC" w:rsidP="004912DC">
      <w:pPr>
        <w:numPr>
          <w:ilvl w:val="0"/>
          <w:numId w:val="33"/>
        </w:numPr>
        <w:spacing w:line="240" w:lineRule="auto"/>
        <w:jc w:val="both"/>
        <w:rPr>
          <w:rFonts w:eastAsia="Calibri" w:cs="Arial"/>
          <w:sz w:val="22"/>
          <w:szCs w:val="22"/>
        </w:rPr>
      </w:pPr>
      <w:r w:rsidRPr="000F166D">
        <w:rPr>
          <w:rFonts w:eastAsia="Calibri" w:cs="Arial"/>
          <w:sz w:val="22"/>
          <w:szCs w:val="22"/>
        </w:rPr>
        <w:lastRenderedPageBreak/>
        <w:t>Viri za izvajanje FI se lahko zagotavljajo iz sredstev evropskih strukturnih in investicijskih skladov (ESIF), nacionalnih virov, drugih EU virov (npr. EFSI), lastnih virov upravljavca sklada skladov, lastnih virov finančnih posrednikov in drugih virov. Prav tako je mogoče v okviru sklada skladov ponovno uporabiti vrnjena sredstva iz naslova prve porabe sredstev ESIF.</w:t>
      </w:r>
    </w:p>
    <w:p w14:paraId="35F5FD60" w14:textId="77777777" w:rsidR="004912DC" w:rsidRPr="000F166D" w:rsidRDefault="004912DC" w:rsidP="004912DC">
      <w:pPr>
        <w:jc w:val="both"/>
        <w:rPr>
          <w:rFonts w:cs="Arial"/>
          <w:sz w:val="22"/>
          <w:szCs w:val="22"/>
        </w:rPr>
      </w:pPr>
    </w:p>
    <w:p w14:paraId="39061D06" w14:textId="77777777" w:rsidR="004912DC" w:rsidRPr="000F166D" w:rsidRDefault="004912DC" w:rsidP="004912DC">
      <w:pPr>
        <w:spacing w:after="160"/>
        <w:jc w:val="both"/>
        <w:rPr>
          <w:rFonts w:cs="Arial"/>
          <w:sz w:val="22"/>
          <w:szCs w:val="22"/>
        </w:rPr>
      </w:pPr>
      <w:r w:rsidRPr="000F166D">
        <w:rPr>
          <w:rFonts w:cs="Arial"/>
          <w:sz w:val="22"/>
          <w:szCs w:val="22"/>
        </w:rPr>
        <w:t>V poglavju Spremljanje izvajanja in poročanje so predvidena potrebna poročila z namenom spremljanja izvajanja FI. Upravljavec sklada skladov bo moral vzpostaviti enoten informacijski sistem, v katerem bo evidentiral podatke z namenom stalnega spremljanja sredstev vplačanih v sklad skladov do prenehanja njegovega delovanja, doseganja ciljev in kazalnikov, itd.</w:t>
      </w:r>
    </w:p>
    <w:p w14:paraId="3A943E28" w14:textId="77777777" w:rsidR="004912DC" w:rsidRPr="000F166D" w:rsidRDefault="004912DC" w:rsidP="004912DC">
      <w:pPr>
        <w:jc w:val="both"/>
        <w:rPr>
          <w:rFonts w:cs="Arial"/>
          <w:sz w:val="22"/>
          <w:szCs w:val="22"/>
        </w:rPr>
      </w:pPr>
      <w:r w:rsidRPr="000F166D">
        <w:rPr>
          <w:rFonts w:cs="Arial"/>
          <w:sz w:val="22"/>
          <w:szCs w:val="22"/>
        </w:rPr>
        <w:t>V poglavju Izdelan program porabe sredstev so predvidena vplačila ESIF sredstev v sklad skladov v okviru štirih področij – tematskih ciljev: raziskave, razvoj in inovacije (TC 1), mala in srednje velika podjetja (TC 3), energetska učinkovitost (TC 4) in urbani razvoj (TC 6). Prva tranša bo izplačana po podpisu sporazuma o financiranju v višini 63,25 mio EUR (25% celotne predvidene alokacije sredstev na sklad skladov). Ostala sredstva bodo vplačana v sklad skladov skladno z 41. členom Uredbe EU 1303/2013, pri čemer je za nemoteno izvajanje FI potrebno zagotoviti določeno fleksibilnost, med drugim tudi na način, kot ga omogoča Delegirana uredba EK 480/2014 (10. člen).</w:t>
      </w:r>
    </w:p>
    <w:p w14:paraId="6421493D" w14:textId="77777777" w:rsidR="004912DC" w:rsidRPr="000F166D" w:rsidRDefault="004912DC" w:rsidP="004912DC">
      <w:pPr>
        <w:jc w:val="both"/>
        <w:rPr>
          <w:rFonts w:cs="Arial"/>
          <w:sz w:val="22"/>
          <w:szCs w:val="22"/>
        </w:rPr>
      </w:pPr>
    </w:p>
    <w:p w14:paraId="6C0398A7" w14:textId="77777777" w:rsidR="004912DC" w:rsidRPr="000F166D" w:rsidRDefault="004912DC" w:rsidP="004912DC">
      <w:pPr>
        <w:jc w:val="both"/>
        <w:rPr>
          <w:rFonts w:cs="Arial"/>
          <w:sz w:val="22"/>
          <w:szCs w:val="22"/>
        </w:rPr>
      </w:pPr>
      <w:r w:rsidRPr="000F166D">
        <w:rPr>
          <w:rFonts w:cs="Arial"/>
          <w:sz w:val="22"/>
          <w:szCs w:val="22"/>
        </w:rPr>
        <w:t>V poglavju Obdobje porabe sredstev je določeno obdobje potrebnega vplačila sredstev ESIF skladov v sklad skladov od 1.1.2014 – 31.12.2022. Skrajni rok za nakazilo sredstev končnim prejemnikom oziroma za odobritev kreditov v primeru garancij ali drugih instrumentov prevzema tveganj je 31.12.2023 oz. kasneje v primeru podaljšanja rokov s strani Evropske komisije, in se določi s sporazumom o financiranju. Rok se lahko tudi skrajša zaradi postopkov zaključevanja OP 2014 – 2020.</w:t>
      </w:r>
    </w:p>
    <w:p w14:paraId="6104234C" w14:textId="77777777" w:rsidR="004912DC" w:rsidRPr="000F166D" w:rsidRDefault="004912DC" w:rsidP="004912DC">
      <w:pPr>
        <w:jc w:val="both"/>
        <w:rPr>
          <w:rFonts w:cs="Arial"/>
          <w:sz w:val="22"/>
          <w:szCs w:val="22"/>
        </w:rPr>
      </w:pPr>
    </w:p>
    <w:p w14:paraId="76CAF259" w14:textId="77777777" w:rsidR="004912DC" w:rsidRPr="000F166D" w:rsidRDefault="004912DC" w:rsidP="004912DC">
      <w:pPr>
        <w:jc w:val="both"/>
        <w:rPr>
          <w:rFonts w:cs="Arial"/>
          <w:sz w:val="22"/>
          <w:szCs w:val="22"/>
        </w:rPr>
      </w:pPr>
      <w:r w:rsidRPr="000F166D">
        <w:rPr>
          <w:rFonts w:cs="Arial"/>
          <w:sz w:val="22"/>
          <w:szCs w:val="22"/>
        </w:rPr>
        <w:t>V poglavju Način ponovne uporabe sredstev so predstavljene možnosti ponovne uporabe sredstev skladno s 44. členom Uredbe EU št. 1303/2013.</w:t>
      </w:r>
    </w:p>
    <w:p w14:paraId="62C03512" w14:textId="77777777" w:rsidR="004912DC" w:rsidRPr="000F166D" w:rsidRDefault="004912DC" w:rsidP="004912DC">
      <w:pPr>
        <w:jc w:val="both"/>
        <w:rPr>
          <w:rFonts w:cs="Arial"/>
          <w:sz w:val="22"/>
          <w:szCs w:val="22"/>
        </w:rPr>
      </w:pPr>
    </w:p>
    <w:p w14:paraId="02C0CD62" w14:textId="77777777" w:rsidR="004912DC" w:rsidRPr="000F166D" w:rsidRDefault="004912DC" w:rsidP="004912DC">
      <w:pPr>
        <w:jc w:val="both"/>
        <w:rPr>
          <w:rFonts w:cs="Arial"/>
          <w:sz w:val="22"/>
          <w:szCs w:val="22"/>
        </w:rPr>
      </w:pPr>
      <w:r w:rsidRPr="000F166D">
        <w:rPr>
          <w:rFonts w:cs="Arial"/>
          <w:sz w:val="22"/>
          <w:szCs w:val="22"/>
        </w:rPr>
        <w:t>V poglavju Obresti od finančnih instrumentov je navedeno, da se obresti in drugi donosi uporabijo za financiranje dejavnosti FI, v skladu z namenom in vsebino OP 2014 – 2020.</w:t>
      </w:r>
    </w:p>
    <w:p w14:paraId="3993D3E9" w14:textId="77777777" w:rsidR="004912DC" w:rsidRPr="000F166D" w:rsidRDefault="004912DC" w:rsidP="004912DC">
      <w:pPr>
        <w:jc w:val="both"/>
        <w:rPr>
          <w:rFonts w:cs="Arial"/>
          <w:sz w:val="22"/>
          <w:szCs w:val="22"/>
        </w:rPr>
      </w:pPr>
    </w:p>
    <w:p w14:paraId="77356B09" w14:textId="77777777" w:rsidR="004912DC" w:rsidRPr="000F166D" w:rsidRDefault="004912DC" w:rsidP="004912DC">
      <w:pPr>
        <w:jc w:val="both"/>
        <w:rPr>
          <w:rFonts w:cs="Arial"/>
          <w:sz w:val="22"/>
          <w:szCs w:val="22"/>
        </w:rPr>
      </w:pPr>
      <w:r w:rsidRPr="000F166D">
        <w:rPr>
          <w:rFonts w:cs="Arial"/>
          <w:sz w:val="22"/>
          <w:szCs w:val="22"/>
        </w:rPr>
        <w:t>V poglavju Pogoji prispevka iz državnega proračuna v finančne instrumente so predstavljeni:</w:t>
      </w:r>
    </w:p>
    <w:p w14:paraId="57581D7F" w14:textId="77777777" w:rsidR="004912DC" w:rsidRPr="000F166D" w:rsidRDefault="004912DC" w:rsidP="004912DC">
      <w:pPr>
        <w:numPr>
          <w:ilvl w:val="0"/>
          <w:numId w:val="33"/>
        </w:numPr>
        <w:spacing w:line="240" w:lineRule="auto"/>
        <w:jc w:val="both"/>
        <w:rPr>
          <w:rFonts w:eastAsia="Calibri" w:cs="Arial"/>
          <w:sz w:val="22"/>
          <w:szCs w:val="22"/>
        </w:rPr>
      </w:pPr>
      <w:r w:rsidRPr="000F166D">
        <w:rPr>
          <w:rFonts w:eastAsia="Calibri" w:cs="Arial"/>
          <w:sz w:val="22"/>
          <w:szCs w:val="22"/>
        </w:rPr>
        <w:t>učinek finančnega vzvoda,</w:t>
      </w:r>
    </w:p>
    <w:p w14:paraId="6A707A42" w14:textId="77777777" w:rsidR="004912DC" w:rsidRPr="000F166D" w:rsidRDefault="004912DC" w:rsidP="004912DC">
      <w:pPr>
        <w:numPr>
          <w:ilvl w:val="0"/>
          <w:numId w:val="33"/>
        </w:numPr>
        <w:spacing w:line="240" w:lineRule="auto"/>
        <w:jc w:val="both"/>
        <w:rPr>
          <w:rFonts w:eastAsia="Calibri" w:cs="Arial"/>
          <w:sz w:val="22"/>
          <w:szCs w:val="22"/>
        </w:rPr>
      </w:pPr>
      <w:r w:rsidRPr="000F166D">
        <w:rPr>
          <w:rFonts w:eastAsia="Calibri" w:cs="Arial"/>
          <w:sz w:val="22"/>
          <w:szCs w:val="22"/>
        </w:rPr>
        <w:t>upravljavska provizija,</w:t>
      </w:r>
    </w:p>
    <w:p w14:paraId="780F301B" w14:textId="77777777" w:rsidR="004912DC" w:rsidRPr="000F166D" w:rsidRDefault="004912DC" w:rsidP="004912DC">
      <w:pPr>
        <w:numPr>
          <w:ilvl w:val="0"/>
          <w:numId w:val="33"/>
        </w:numPr>
        <w:spacing w:line="240" w:lineRule="auto"/>
        <w:jc w:val="both"/>
        <w:rPr>
          <w:rFonts w:eastAsia="Calibri" w:cs="Arial"/>
          <w:sz w:val="22"/>
          <w:szCs w:val="22"/>
        </w:rPr>
      </w:pPr>
      <w:r w:rsidRPr="000F166D">
        <w:rPr>
          <w:rFonts w:eastAsia="Calibri" w:cs="Arial"/>
          <w:sz w:val="22"/>
          <w:szCs w:val="22"/>
        </w:rPr>
        <w:t>vodenje evidenc,</w:t>
      </w:r>
    </w:p>
    <w:p w14:paraId="79B57EDB" w14:textId="77777777" w:rsidR="004912DC" w:rsidRPr="000F166D" w:rsidRDefault="004912DC" w:rsidP="004912DC">
      <w:pPr>
        <w:numPr>
          <w:ilvl w:val="0"/>
          <w:numId w:val="33"/>
        </w:numPr>
        <w:spacing w:line="240" w:lineRule="auto"/>
        <w:jc w:val="both"/>
        <w:rPr>
          <w:rFonts w:eastAsia="Calibri" w:cs="Arial"/>
          <w:sz w:val="22"/>
          <w:szCs w:val="22"/>
        </w:rPr>
      </w:pPr>
      <w:r w:rsidRPr="000F166D">
        <w:rPr>
          <w:rFonts w:eastAsia="Calibri" w:cs="Arial"/>
          <w:sz w:val="22"/>
          <w:szCs w:val="22"/>
        </w:rPr>
        <w:t xml:space="preserve">hranjenje dokumentacije, </w:t>
      </w:r>
    </w:p>
    <w:p w14:paraId="42D08BEC" w14:textId="77777777" w:rsidR="004912DC" w:rsidRPr="000F166D" w:rsidRDefault="004912DC" w:rsidP="004912DC">
      <w:pPr>
        <w:numPr>
          <w:ilvl w:val="0"/>
          <w:numId w:val="33"/>
        </w:numPr>
        <w:spacing w:line="240" w:lineRule="auto"/>
        <w:jc w:val="both"/>
        <w:rPr>
          <w:rFonts w:eastAsia="Calibri" w:cs="Arial"/>
          <w:sz w:val="22"/>
          <w:szCs w:val="22"/>
        </w:rPr>
      </w:pPr>
      <w:r w:rsidRPr="000F166D">
        <w:rPr>
          <w:rFonts w:eastAsia="Calibri" w:cs="Arial"/>
          <w:sz w:val="22"/>
          <w:szCs w:val="22"/>
        </w:rPr>
        <w:t>spremljanje državnih pomoči,</w:t>
      </w:r>
    </w:p>
    <w:p w14:paraId="5594BA05" w14:textId="77777777" w:rsidR="004912DC" w:rsidRPr="000F166D" w:rsidRDefault="004912DC" w:rsidP="004912DC">
      <w:pPr>
        <w:numPr>
          <w:ilvl w:val="0"/>
          <w:numId w:val="33"/>
        </w:numPr>
        <w:spacing w:line="240" w:lineRule="auto"/>
        <w:jc w:val="both"/>
        <w:rPr>
          <w:rFonts w:eastAsia="Calibri" w:cs="Arial"/>
          <w:sz w:val="22"/>
          <w:szCs w:val="22"/>
        </w:rPr>
      </w:pPr>
      <w:r w:rsidRPr="000F166D">
        <w:rPr>
          <w:rFonts w:eastAsia="Calibri" w:cs="Arial"/>
          <w:sz w:val="22"/>
          <w:szCs w:val="22"/>
        </w:rPr>
        <w:t>spremljanje ciljev in kazalnikov,</w:t>
      </w:r>
    </w:p>
    <w:p w14:paraId="45B13120" w14:textId="77777777" w:rsidR="004912DC" w:rsidRPr="000F166D" w:rsidRDefault="004912DC" w:rsidP="004912DC">
      <w:pPr>
        <w:numPr>
          <w:ilvl w:val="0"/>
          <w:numId w:val="33"/>
        </w:numPr>
        <w:spacing w:line="240" w:lineRule="auto"/>
        <w:jc w:val="both"/>
        <w:rPr>
          <w:rFonts w:eastAsia="Calibri" w:cs="Arial"/>
          <w:sz w:val="22"/>
          <w:szCs w:val="22"/>
        </w:rPr>
      </w:pPr>
      <w:r w:rsidRPr="000F166D">
        <w:rPr>
          <w:rFonts w:eastAsia="Calibri" w:cs="Arial"/>
          <w:sz w:val="22"/>
          <w:szCs w:val="22"/>
        </w:rPr>
        <w:t>informiranje in obveščanje,</w:t>
      </w:r>
    </w:p>
    <w:p w14:paraId="39B67443" w14:textId="77777777" w:rsidR="004912DC" w:rsidRPr="000F166D" w:rsidRDefault="004912DC" w:rsidP="004912DC">
      <w:pPr>
        <w:numPr>
          <w:ilvl w:val="0"/>
          <w:numId w:val="33"/>
        </w:numPr>
        <w:spacing w:line="240" w:lineRule="auto"/>
        <w:jc w:val="both"/>
        <w:rPr>
          <w:rFonts w:eastAsia="Calibri" w:cs="Arial"/>
          <w:sz w:val="22"/>
          <w:szCs w:val="22"/>
        </w:rPr>
      </w:pPr>
      <w:r w:rsidRPr="000F166D">
        <w:rPr>
          <w:rFonts w:eastAsia="Calibri" w:cs="Arial"/>
          <w:sz w:val="22"/>
          <w:szCs w:val="22"/>
        </w:rPr>
        <w:t xml:space="preserve">obvladovanje tveganja, </w:t>
      </w:r>
    </w:p>
    <w:p w14:paraId="27970DCD" w14:textId="77777777" w:rsidR="004912DC" w:rsidRPr="000F166D" w:rsidRDefault="004912DC" w:rsidP="004912DC">
      <w:pPr>
        <w:numPr>
          <w:ilvl w:val="0"/>
          <w:numId w:val="33"/>
        </w:numPr>
        <w:spacing w:line="240" w:lineRule="auto"/>
        <w:jc w:val="both"/>
        <w:rPr>
          <w:rFonts w:eastAsia="Calibri" w:cs="Arial"/>
          <w:sz w:val="22"/>
          <w:szCs w:val="22"/>
        </w:rPr>
      </w:pPr>
      <w:r w:rsidRPr="000F166D">
        <w:rPr>
          <w:rFonts w:eastAsia="Calibri" w:cs="Arial"/>
          <w:sz w:val="22"/>
          <w:szCs w:val="22"/>
        </w:rPr>
        <w:t>strategija izstopa.</w:t>
      </w:r>
    </w:p>
    <w:p w14:paraId="68F934AE" w14:textId="77777777" w:rsidR="004912DC" w:rsidRPr="000F166D" w:rsidRDefault="004912DC" w:rsidP="004912DC">
      <w:pPr>
        <w:jc w:val="both"/>
        <w:rPr>
          <w:rFonts w:cs="Arial"/>
          <w:sz w:val="22"/>
          <w:szCs w:val="22"/>
        </w:rPr>
      </w:pPr>
    </w:p>
    <w:p w14:paraId="3B66F4CB" w14:textId="77777777" w:rsidR="004912DC" w:rsidRPr="000F166D" w:rsidRDefault="004912DC" w:rsidP="004912DC">
      <w:pPr>
        <w:jc w:val="both"/>
        <w:rPr>
          <w:rFonts w:cs="Arial"/>
          <w:sz w:val="22"/>
          <w:szCs w:val="22"/>
        </w:rPr>
      </w:pPr>
      <w:r w:rsidRPr="000F166D">
        <w:rPr>
          <w:rFonts w:cs="Arial"/>
          <w:sz w:val="22"/>
          <w:szCs w:val="22"/>
        </w:rPr>
        <w:t>V poglavju Politika prekinitve finančnega instrumenta je predvidena možnost prekinitve finančnega instrumenta v obdobju upravičenosti.</w:t>
      </w:r>
    </w:p>
    <w:p w14:paraId="77C9D3B4" w14:textId="77777777" w:rsidR="004912DC" w:rsidRPr="000F166D" w:rsidRDefault="004912DC" w:rsidP="004912DC">
      <w:pPr>
        <w:jc w:val="both"/>
        <w:rPr>
          <w:rFonts w:cs="Arial"/>
          <w:sz w:val="22"/>
          <w:szCs w:val="22"/>
        </w:rPr>
      </w:pPr>
    </w:p>
    <w:p w14:paraId="14CB96EE" w14:textId="77777777" w:rsidR="004912DC" w:rsidRDefault="004912DC" w:rsidP="004912DC">
      <w:pPr>
        <w:jc w:val="both"/>
        <w:rPr>
          <w:rFonts w:cs="Arial"/>
          <w:sz w:val="22"/>
          <w:szCs w:val="22"/>
        </w:rPr>
      </w:pPr>
      <w:r w:rsidRPr="000F166D">
        <w:rPr>
          <w:rFonts w:cs="Arial"/>
          <w:sz w:val="22"/>
          <w:szCs w:val="22"/>
        </w:rPr>
        <w:t>V poglavju Podlaga za izvajanje revizij je določen nadzor nad skladom skladov.</w:t>
      </w:r>
    </w:p>
    <w:p w14:paraId="6169E9B9" w14:textId="77777777" w:rsidR="004912DC" w:rsidRDefault="004912DC" w:rsidP="004912DC">
      <w:pPr>
        <w:jc w:val="both"/>
        <w:rPr>
          <w:rFonts w:cs="Arial"/>
          <w:sz w:val="22"/>
          <w:szCs w:val="22"/>
        </w:rPr>
      </w:pPr>
    </w:p>
    <w:p w14:paraId="37384010" w14:textId="7487D359" w:rsidR="004912DC" w:rsidRDefault="004912DC" w:rsidP="004912DC">
      <w:pPr>
        <w:jc w:val="both"/>
        <w:rPr>
          <w:rFonts w:cs="Arial"/>
          <w:sz w:val="22"/>
          <w:szCs w:val="22"/>
        </w:rPr>
      </w:pPr>
      <w:r w:rsidRPr="00A5558C">
        <w:rPr>
          <w:rFonts w:cs="Arial"/>
          <w:sz w:val="22"/>
          <w:szCs w:val="22"/>
        </w:rPr>
        <w:t>Vlada Republike Slovenije je na 139. redni seji , 15.6.2017, s sklepom št. 30300-4/2017/4 dala soglasje h Ključnim elementom finančnih instrume</w:t>
      </w:r>
      <w:r>
        <w:rPr>
          <w:rFonts w:cs="Arial"/>
          <w:sz w:val="22"/>
          <w:szCs w:val="22"/>
        </w:rPr>
        <w:t>ntov v programskem obdobju 2014</w:t>
      </w:r>
      <w:r w:rsidRPr="00A5558C">
        <w:rPr>
          <w:rFonts w:cs="Arial"/>
          <w:sz w:val="22"/>
          <w:szCs w:val="22"/>
        </w:rPr>
        <w:t>–2020 (</w:t>
      </w:r>
      <w:r w:rsidR="00FE6A2F">
        <w:rPr>
          <w:rFonts w:cs="Arial"/>
          <w:sz w:val="22"/>
          <w:szCs w:val="22"/>
        </w:rPr>
        <w:t>različica</w:t>
      </w:r>
      <w:r w:rsidRPr="00A5558C">
        <w:rPr>
          <w:rFonts w:cs="Arial"/>
          <w:sz w:val="22"/>
          <w:szCs w:val="22"/>
        </w:rPr>
        <w:t xml:space="preserve"> 1.0, </w:t>
      </w:r>
      <w:r w:rsidRPr="00A5558C">
        <w:rPr>
          <w:rFonts w:cs="Arial"/>
          <w:sz w:val="22"/>
          <w:szCs w:val="22"/>
        </w:rPr>
        <w:lastRenderedPageBreak/>
        <w:t>12.6.2017) in na 150. redni seji, 28.9.2017, s sklepom 30300-4/2017/8 sprejela še spremembo dokumenta (</w:t>
      </w:r>
      <w:r w:rsidR="00FE6A2F">
        <w:rPr>
          <w:rFonts w:cs="Arial"/>
          <w:sz w:val="22"/>
          <w:szCs w:val="22"/>
        </w:rPr>
        <w:t>različica</w:t>
      </w:r>
      <w:r w:rsidRPr="00A5558C">
        <w:rPr>
          <w:rFonts w:cs="Arial"/>
          <w:sz w:val="22"/>
          <w:szCs w:val="22"/>
        </w:rPr>
        <w:t xml:space="preserve"> 1.1, </w:t>
      </w:r>
      <w:r>
        <w:rPr>
          <w:rFonts w:cs="Arial"/>
          <w:sz w:val="22"/>
          <w:szCs w:val="22"/>
        </w:rPr>
        <w:t>24</w:t>
      </w:r>
      <w:r w:rsidRPr="00A5558C">
        <w:rPr>
          <w:rFonts w:cs="Arial"/>
          <w:sz w:val="22"/>
          <w:szCs w:val="22"/>
        </w:rPr>
        <w:t>.</w:t>
      </w:r>
      <w:r>
        <w:rPr>
          <w:rFonts w:cs="Arial"/>
          <w:sz w:val="22"/>
          <w:szCs w:val="22"/>
        </w:rPr>
        <w:t>8</w:t>
      </w:r>
      <w:r w:rsidRPr="00A5558C">
        <w:rPr>
          <w:rFonts w:cs="Arial"/>
          <w:sz w:val="22"/>
          <w:szCs w:val="22"/>
        </w:rPr>
        <w:t xml:space="preserve">.2017).  </w:t>
      </w:r>
    </w:p>
    <w:p w14:paraId="03FE8833" w14:textId="77777777" w:rsidR="004912DC" w:rsidRDefault="004912DC" w:rsidP="004912DC">
      <w:pPr>
        <w:jc w:val="both"/>
        <w:rPr>
          <w:rFonts w:cs="Arial"/>
          <w:sz w:val="22"/>
          <w:szCs w:val="22"/>
        </w:rPr>
      </w:pPr>
    </w:p>
    <w:p w14:paraId="56BBAC98" w14:textId="77777777" w:rsidR="004912DC" w:rsidRDefault="004912DC" w:rsidP="004912DC">
      <w:pPr>
        <w:jc w:val="both"/>
        <w:rPr>
          <w:rFonts w:cs="Arial"/>
          <w:sz w:val="22"/>
          <w:szCs w:val="22"/>
        </w:rPr>
      </w:pPr>
      <w:r w:rsidRPr="00C94470">
        <w:rPr>
          <w:rFonts w:cs="Arial"/>
          <w:sz w:val="22"/>
          <w:szCs w:val="22"/>
        </w:rPr>
        <w:t>Skladno s sprejetimi Ključnimi elementi FI in po izdaji Odločitve o podpori neposredni potrditvi operacije Finančni instrumenti v programskem obdobju 2014-2020, s katero je bilo za upravljanje sklada skladov potrjeno financiranje iz sredstev evropske kohezijske politike, je bil s SID banko, d.d., Ljubljana, 24.11.2017 sklenjen Sporazum o financiranju operacije Finančni instrumenti v programskem obdobju 2014-2020, s katerim ji je bilo zaupano upravljanje sklada skladov</w:t>
      </w:r>
      <w:r>
        <w:rPr>
          <w:rFonts w:cs="Arial"/>
          <w:sz w:val="22"/>
          <w:szCs w:val="22"/>
        </w:rPr>
        <w:t>.</w:t>
      </w:r>
    </w:p>
    <w:p w14:paraId="78D93987" w14:textId="77777777" w:rsidR="004912DC" w:rsidRPr="000F166D" w:rsidRDefault="004912DC" w:rsidP="004912DC">
      <w:pPr>
        <w:jc w:val="both"/>
        <w:rPr>
          <w:rFonts w:cs="Arial"/>
          <w:sz w:val="22"/>
          <w:szCs w:val="22"/>
        </w:rPr>
      </w:pPr>
      <w:r w:rsidRPr="000F166D">
        <w:rPr>
          <w:rFonts w:cs="Arial"/>
          <w:sz w:val="22"/>
          <w:szCs w:val="22"/>
        </w:rPr>
        <w:br w:type="page"/>
      </w:r>
    </w:p>
    <w:p w14:paraId="4080E8FA" w14:textId="77777777" w:rsidR="004912DC" w:rsidRPr="000F166D" w:rsidRDefault="004912DC" w:rsidP="004912DC">
      <w:pPr>
        <w:keepNext/>
        <w:shd w:val="clear" w:color="auto" w:fill="9CC2E5"/>
        <w:outlineLvl w:val="1"/>
        <w:rPr>
          <w:rFonts w:cs="Arial"/>
          <w:b/>
          <w:sz w:val="32"/>
          <w:szCs w:val="32"/>
        </w:rPr>
      </w:pPr>
      <w:bookmarkStart w:id="55" w:name="_Toc54857911"/>
      <w:r w:rsidRPr="000F166D">
        <w:rPr>
          <w:rFonts w:cs="Arial"/>
          <w:b/>
          <w:sz w:val="32"/>
          <w:szCs w:val="32"/>
        </w:rPr>
        <w:lastRenderedPageBreak/>
        <w:t>1. Uvod</w:t>
      </w:r>
      <w:bookmarkEnd w:id="55"/>
    </w:p>
    <w:p w14:paraId="2C769F41" w14:textId="77777777" w:rsidR="004912DC" w:rsidRPr="000F166D" w:rsidRDefault="004912DC" w:rsidP="004912DC">
      <w:pPr>
        <w:jc w:val="both"/>
        <w:rPr>
          <w:rFonts w:cs="Arial"/>
          <w:sz w:val="22"/>
        </w:rPr>
      </w:pPr>
    </w:p>
    <w:p w14:paraId="5DC851AF" w14:textId="77777777" w:rsidR="004912DC" w:rsidRPr="000F166D" w:rsidRDefault="004912DC" w:rsidP="004912DC">
      <w:pPr>
        <w:jc w:val="both"/>
        <w:rPr>
          <w:rFonts w:cs="Arial"/>
          <w:sz w:val="22"/>
          <w:szCs w:val="22"/>
        </w:rPr>
      </w:pPr>
    </w:p>
    <w:p w14:paraId="68F294F1" w14:textId="77777777" w:rsidR="004912DC" w:rsidRPr="000F166D" w:rsidRDefault="004912DC" w:rsidP="004912DC">
      <w:pPr>
        <w:jc w:val="both"/>
        <w:rPr>
          <w:rFonts w:cs="Arial"/>
          <w:sz w:val="22"/>
          <w:szCs w:val="22"/>
        </w:rPr>
      </w:pPr>
      <w:r w:rsidRPr="00537E8C">
        <w:rPr>
          <w:rFonts w:cs="Arial"/>
          <w:sz w:val="22"/>
          <w:szCs w:val="22"/>
        </w:rPr>
        <w:t>Ključni elementi finančnih instrumentov v programskem obdobju 2014 – 2020 (v nadaljevanju: Ključni</w:t>
      </w:r>
      <w:r w:rsidRPr="000F166D">
        <w:rPr>
          <w:rFonts w:cs="Arial"/>
          <w:sz w:val="22"/>
          <w:szCs w:val="22"/>
        </w:rPr>
        <w:t xml:space="preserve"> elementi FI) predstavljajo (i) izhodišče za izbor upravljavca sklada skladov v Sloveniji za programsko obdobje 2014 – 2020 skladno s točko b) četrtega odstavka 38. člena Uredbe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(v nadaljevanju: uredba (EU) št. 1303/2013) na podlagi Zakona o javnem naročanju (ZJN-3), (ii) pripravo sporazuma o financiranju med Ministrstvom za gospodarski razvoj in tehnologijo kot posredniškim organom in upravljavcem sklada skladov (v nadaljevanju: sporazum o financiranju), (iii) podlago za potrditev operacije s strani OU ter (iv) usmeritve za določitev finančnih produktov. Hkrati predstavljajo Ključni elementi FI osnovo za izvajanje finančnih instrumentov po zaključku programskega obdobja skladno z ugotovljenimi vrzelmi financiranja.</w:t>
      </w:r>
    </w:p>
    <w:p w14:paraId="3D48D0BF" w14:textId="77777777" w:rsidR="004912DC" w:rsidRPr="000F166D" w:rsidRDefault="004912DC" w:rsidP="004912DC">
      <w:pPr>
        <w:jc w:val="both"/>
        <w:rPr>
          <w:rFonts w:cs="Arial"/>
          <w:sz w:val="22"/>
          <w:szCs w:val="22"/>
        </w:rPr>
      </w:pPr>
    </w:p>
    <w:p w14:paraId="2D7CF825" w14:textId="77777777" w:rsidR="004912DC" w:rsidRPr="000F166D" w:rsidRDefault="004912DC" w:rsidP="004912DC">
      <w:pPr>
        <w:jc w:val="both"/>
        <w:rPr>
          <w:rFonts w:cs="Arial"/>
          <w:sz w:val="22"/>
          <w:szCs w:val="22"/>
        </w:rPr>
      </w:pPr>
      <w:r w:rsidRPr="000F166D">
        <w:rPr>
          <w:rFonts w:cs="Arial"/>
          <w:sz w:val="22"/>
          <w:szCs w:val="22"/>
        </w:rPr>
        <w:t xml:space="preserve">Podlago za pripravo Ključnih elementov FI predstavljata (i) Predhodna ocena finančnih instrumentov v Sloveniji - Končno poročilo z dne 27.11.2015 (v nadaljevanju Predhodna ocena FI), ki jo je v skladu z 37. členom Uredbe (EU) št. 1303/2013 v sodelovanju z organoma upravljanja: Službo vlade za razvoj in evropsko kohezijsko politiko (pristojen za kohezijsko politiko) in Ministrstvom za kmetijstvo, gozdarstvo in prehrano (pristojen za kmetijsko politiko), izdelalo podjetje PWC d.o.o. Slovenija, in (ii) mnenje Evropske investicijske banke z dne 13. 7. 2016 k Predhodni oceni FI, s katerim se je Predhodna ocena FI posodobila. </w:t>
      </w:r>
    </w:p>
    <w:p w14:paraId="2E48653B" w14:textId="77777777" w:rsidR="004912DC" w:rsidRPr="000F166D" w:rsidRDefault="004912DC" w:rsidP="004912DC">
      <w:pPr>
        <w:jc w:val="both"/>
        <w:rPr>
          <w:rFonts w:cs="Arial"/>
          <w:sz w:val="22"/>
          <w:szCs w:val="22"/>
        </w:rPr>
      </w:pPr>
    </w:p>
    <w:p w14:paraId="2A604E58" w14:textId="77777777" w:rsidR="004912DC" w:rsidRPr="000F166D" w:rsidRDefault="004912DC" w:rsidP="004912DC">
      <w:pPr>
        <w:jc w:val="both"/>
        <w:rPr>
          <w:rFonts w:cs="Arial"/>
          <w:sz w:val="22"/>
          <w:szCs w:val="22"/>
        </w:rPr>
      </w:pPr>
      <w:r w:rsidRPr="000F166D">
        <w:rPr>
          <w:rFonts w:cs="Arial"/>
          <w:sz w:val="22"/>
          <w:szCs w:val="22"/>
        </w:rPr>
        <w:t>Ključne elemente FI, vključno z naložbeno strategijo je pripravilo Ministrstvo za gospodarski razvoj in tehnologijo (v nadaljevanju: MGRT) skupaj s sodelujočima ministrstvoma Ministrstvom za infrastrukturo (v nadaljevanju: MZI) in Ministrstvom za okolje in prostor (v nadaljevanju: MOP), organom upravljanja Službo Vlade RS za razvoj in evropsko kohezijsko politiko (v nadaljevanju OU) in Ministrstvom za finance (MF). Del Ključnih elementov FI, ki se nanaša na urbani razvoj, je usklajen tudi z Združenjem mestnih občin kot posredniškim organom za urbani razvoj.</w:t>
      </w:r>
    </w:p>
    <w:p w14:paraId="4BAA4B80" w14:textId="77777777" w:rsidR="004912DC" w:rsidRPr="000F166D" w:rsidRDefault="004912DC" w:rsidP="004912DC">
      <w:pPr>
        <w:jc w:val="both"/>
        <w:rPr>
          <w:rFonts w:cs="Arial"/>
          <w:sz w:val="22"/>
          <w:szCs w:val="22"/>
        </w:rPr>
      </w:pPr>
    </w:p>
    <w:p w14:paraId="5F1F5CEB" w14:textId="77777777" w:rsidR="004912DC" w:rsidRPr="000F166D" w:rsidRDefault="004912DC" w:rsidP="004912DC">
      <w:pPr>
        <w:autoSpaceDE w:val="0"/>
        <w:autoSpaceDN w:val="0"/>
        <w:adjustRightInd w:val="0"/>
        <w:contextualSpacing/>
        <w:jc w:val="both"/>
        <w:rPr>
          <w:rFonts w:cs="Arial"/>
          <w:sz w:val="22"/>
          <w:szCs w:val="22"/>
        </w:rPr>
      </w:pPr>
      <w:r w:rsidRPr="000F166D">
        <w:rPr>
          <w:rFonts w:cs="Arial"/>
          <w:sz w:val="22"/>
          <w:szCs w:val="22"/>
        </w:rPr>
        <w:t xml:space="preserve">S Ključnimi elementi FI se je skladno s 37.b členom </w:t>
      </w:r>
      <w:r w:rsidRPr="000F166D">
        <w:rPr>
          <w:rFonts w:cs="Arial"/>
          <w:color w:val="000000"/>
          <w:sz w:val="22"/>
          <w:szCs w:val="22"/>
        </w:rPr>
        <w:t xml:space="preserve">Uredbe o porabi sredstev evropske kohezijske politike v Republiki Sloveniji v programskem obdobju 2014-2020 za cilj naložbe za rast in delovna mesta (Uradni list RS, št. 29/15, 36/16 in 58/16 in 69/16 – popr.) seznanil </w:t>
      </w:r>
      <w:r w:rsidRPr="000F166D">
        <w:rPr>
          <w:rFonts w:cs="Arial"/>
          <w:sz w:val="22"/>
          <w:szCs w:val="22"/>
        </w:rPr>
        <w:t>usmerjevalni odbor za finančne instrumente</w:t>
      </w:r>
      <w:r w:rsidRPr="000F166D">
        <w:rPr>
          <w:rFonts w:cs="Arial"/>
          <w:color w:val="000000"/>
          <w:sz w:val="22"/>
          <w:szCs w:val="22"/>
        </w:rPr>
        <w:t>. Skladno s to uredbo deluje usmerjevalni odbor kot posvetovalni organ posredniškega organa, pristojnega za izvajanje finančnih instrumentov, h katerim prispevajo sredstva ESIF skladov.</w:t>
      </w:r>
    </w:p>
    <w:p w14:paraId="513C8108" w14:textId="77777777" w:rsidR="004912DC" w:rsidRPr="000F166D" w:rsidRDefault="004912DC" w:rsidP="004912DC">
      <w:pPr>
        <w:jc w:val="both"/>
        <w:rPr>
          <w:rFonts w:cs="Arial"/>
          <w:sz w:val="22"/>
          <w:szCs w:val="22"/>
        </w:rPr>
      </w:pPr>
    </w:p>
    <w:p w14:paraId="192EEBB2" w14:textId="77777777" w:rsidR="004912DC" w:rsidRPr="000F166D" w:rsidRDefault="004912DC" w:rsidP="004912DC">
      <w:pPr>
        <w:jc w:val="both"/>
        <w:rPr>
          <w:rFonts w:cs="Arial"/>
          <w:sz w:val="22"/>
          <w:szCs w:val="22"/>
        </w:rPr>
      </w:pPr>
      <w:r w:rsidRPr="000F166D">
        <w:rPr>
          <w:rFonts w:cs="Arial"/>
          <w:sz w:val="22"/>
          <w:szCs w:val="22"/>
        </w:rPr>
        <w:t>Finančni instrumenti (nadaljevanju: FI) se uporabljajo v skladu z načeli dobrega finančnega poslovodenja, preglednosti, sorazmernosti, nediskriminacije, enakega obravnavanja in subsidiarnosti, zato FI:</w:t>
      </w:r>
    </w:p>
    <w:p w14:paraId="3814D2B2" w14:textId="77777777" w:rsidR="004912DC" w:rsidRPr="000F166D" w:rsidRDefault="004912DC" w:rsidP="004912DC">
      <w:pPr>
        <w:numPr>
          <w:ilvl w:val="0"/>
          <w:numId w:val="37"/>
        </w:numPr>
        <w:spacing w:line="240" w:lineRule="auto"/>
        <w:jc w:val="both"/>
        <w:rPr>
          <w:rFonts w:cs="Arial"/>
          <w:sz w:val="22"/>
          <w:szCs w:val="22"/>
        </w:rPr>
      </w:pPr>
      <w:r w:rsidRPr="000F166D">
        <w:rPr>
          <w:rFonts w:cs="Arial"/>
          <w:sz w:val="22"/>
          <w:szCs w:val="22"/>
        </w:rPr>
        <w:t xml:space="preserve">obravnavajo </w:t>
      </w:r>
      <w:r w:rsidRPr="000F166D">
        <w:rPr>
          <w:rFonts w:cs="Arial"/>
          <w:b/>
          <w:bCs/>
          <w:sz w:val="22"/>
          <w:szCs w:val="22"/>
        </w:rPr>
        <w:t>nedelovanje trga ali naložbene okoliščine</w:t>
      </w:r>
      <w:r w:rsidRPr="000F166D">
        <w:rPr>
          <w:rFonts w:cs="Arial"/>
          <w:sz w:val="22"/>
          <w:szCs w:val="22"/>
        </w:rPr>
        <w:t>, ki niso optimalne</w:t>
      </w:r>
    </w:p>
    <w:p w14:paraId="11E3D800" w14:textId="77777777" w:rsidR="004912DC" w:rsidRPr="000F166D" w:rsidRDefault="004912DC" w:rsidP="004912DC">
      <w:pPr>
        <w:numPr>
          <w:ilvl w:val="0"/>
          <w:numId w:val="37"/>
        </w:numPr>
        <w:spacing w:line="240" w:lineRule="auto"/>
        <w:jc w:val="both"/>
        <w:rPr>
          <w:rFonts w:cs="Arial"/>
          <w:sz w:val="22"/>
          <w:szCs w:val="22"/>
        </w:rPr>
      </w:pPr>
      <w:r w:rsidRPr="000F166D">
        <w:rPr>
          <w:rFonts w:cs="Arial"/>
          <w:sz w:val="22"/>
          <w:szCs w:val="22"/>
        </w:rPr>
        <w:t>so na voljo za naložbe za katere je bilo dokazano</w:t>
      </w:r>
      <w:r w:rsidRPr="000F166D">
        <w:rPr>
          <w:rFonts w:cs="Arial"/>
          <w:i/>
          <w:iCs/>
          <w:sz w:val="22"/>
          <w:szCs w:val="22"/>
        </w:rPr>
        <w:t xml:space="preserve">, </w:t>
      </w:r>
      <w:r w:rsidRPr="000F166D">
        <w:rPr>
          <w:rFonts w:cs="Arial"/>
          <w:sz w:val="22"/>
          <w:szCs w:val="22"/>
        </w:rPr>
        <w:t xml:space="preserve">da so </w:t>
      </w:r>
      <w:r w:rsidRPr="000F166D">
        <w:rPr>
          <w:rFonts w:cs="Arial"/>
          <w:b/>
          <w:bCs/>
          <w:sz w:val="22"/>
          <w:szCs w:val="22"/>
        </w:rPr>
        <w:t>finančno obstojne</w:t>
      </w:r>
      <w:r w:rsidRPr="000F166D">
        <w:rPr>
          <w:rFonts w:cs="Arial"/>
          <w:i/>
          <w:iCs/>
          <w:sz w:val="22"/>
          <w:szCs w:val="22"/>
        </w:rPr>
        <w:t xml:space="preserve">, </w:t>
      </w:r>
      <w:r w:rsidRPr="000F166D">
        <w:rPr>
          <w:rFonts w:cs="Arial"/>
          <w:sz w:val="22"/>
          <w:szCs w:val="22"/>
        </w:rPr>
        <w:t xml:space="preserve">vendar zanje na trgu ni dovolj finančnih sredstev; </w:t>
      </w:r>
    </w:p>
    <w:p w14:paraId="6CE2299A" w14:textId="77777777" w:rsidR="004912DC" w:rsidRPr="000F166D" w:rsidRDefault="004912DC" w:rsidP="004912DC">
      <w:pPr>
        <w:numPr>
          <w:ilvl w:val="0"/>
          <w:numId w:val="37"/>
        </w:numPr>
        <w:spacing w:line="240" w:lineRule="auto"/>
        <w:jc w:val="both"/>
        <w:rPr>
          <w:rFonts w:cs="Arial"/>
          <w:sz w:val="22"/>
          <w:szCs w:val="22"/>
        </w:rPr>
      </w:pPr>
      <w:r w:rsidRPr="000F166D">
        <w:rPr>
          <w:rFonts w:cs="Arial"/>
          <w:b/>
          <w:bCs/>
          <w:sz w:val="22"/>
          <w:szCs w:val="22"/>
        </w:rPr>
        <w:t xml:space="preserve">zagotavljajo dodatnost: </w:t>
      </w:r>
      <w:r w:rsidRPr="000F166D">
        <w:rPr>
          <w:rFonts w:cs="Arial"/>
          <w:sz w:val="22"/>
          <w:szCs w:val="22"/>
        </w:rPr>
        <w:t xml:space="preserve">ne smejo nadomestiti zasebnega financiranja; </w:t>
      </w:r>
    </w:p>
    <w:p w14:paraId="3B62DC3A" w14:textId="77777777" w:rsidR="004912DC" w:rsidRPr="000F166D" w:rsidRDefault="004912DC" w:rsidP="004912DC">
      <w:pPr>
        <w:numPr>
          <w:ilvl w:val="0"/>
          <w:numId w:val="37"/>
        </w:numPr>
        <w:spacing w:line="240" w:lineRule="auto"/>
        <w:jc w:val="both"/>
        <w:rPr>
          <w:rFonts w:cs="Arial"/>
          <w:sz w:val="22"/>
          <w:szCs w:val="22"/>
        </w:rPr>
      </w:pPr>
      <w:r w:rsidRPr="000F166D">
        <w:rPr>
          <w:rFonts w:cs="Arial"/>
          <w:b/>
          <w:bCs/>
          <w:sz w:val="22"/>
          <w:szCs w:val="22"/>
        </w:rPr>
        <w:lastRenderedPageBreak/>
        <w:t xml:space="preserve">ne izkrivljajo konkurence </w:t>
      </w:r>
      <w:r w:rsidRPr="000F166D">
        <w:rPr>
          <w:rFonts w:cs="Arial"/>
          <w:sz w:val="22"/>
          <w:szCs w:val="22"/>
        </w:rPr>
        <w:t xml:space="preserve">na trgu in dosledno upoštevajo pravila o državnih pomočeh; </w:t>
      </w:r>
    </w:p>
    <w:p w14:paraId="5AA76A78" w14:textId="77777777" w:rsidR="004912DC" w:rsidRPr="000F166D" w:rsidRDefault="004912DC" w:rsidP="004912DC">
      <w:pPr>
        <w:numPr>
          <w:ilvl w:val="0"/>
          <w:numId w:val="37"/>
        </w:numPr>
        <w:spacing w:line="240" w:lineRule="auto"/>
        <w:jc w:val="both"/>
        <w:rPr>
          <w:rFonts w:cs="Arial"/>
          <w:sz w:val="22"/>
          <w:szCs w:val="22"/>
        </w:rPr>
      </w:pPr>
      <w:r w:rsidRPr="000F166D">
        <w:rPr>
          <w:rFonts w:cs="Arial"/>
          <w:b/>
          <w:bCs/>
          <w:sz w:val="22"/>
          <w:szCs w:val="22"/>
        </w:rPr>
        <w:t xml:space="preserve">zagotavljajo vzvod: </w:t>
      </w:r>
      <w:r w:rsidRPr="000F166D">
        <w:rPr>
          <w:rFonts w:cs="Arial"/>
          <w:sz w:val="22"/>
          <w:szCs w:val="22"/>
        </w:rPr>
        <w:t>aktivirati morajo udeležbo zasebnih vlagateljev in finančnih institucij na podlagi ustrezne delitve tveganja.</w:t>
      </w:r>
    </w:p>
    <w:p w14:paraId="63AC6FC8" w14:textId="77777777" w:rsidR="004912DC" w:rsidRPr="000F166D" w:rsidRDefault="004912DC" w:rsidP="004912DC">
      <w:pPr>
        <w:jc w:val="both"/>
        <w:rPr>
          <w:rFonts w:cs="Arial"/>
          <w:sz w:val="22"/>
          <w:szCs w:val="22"/>
        </w:rPr>
      </w:pPr>
    </w:p>
    <w:p w14:paraId="694944F7" w14:textId="77777777" w:rsidR="004912DC" w:rsidRPr="000F166D" w:rsidRDefault="004912DC" w:rsidP="004912DC">
      <w:pPr>
        <w:jc w:val="both"/>
        <w:rPr>
          <w:rFonts w:cs="Arial"/>
          <w:sz w:val="22"/>
          <w:szCs w:val="22"/>
        </w:rPr>
      </w:pPr>
      <w:r w:rsidRPr="000F166D">
        <w:rPr>
          <w:rFonts w:cs="Arial"/>
          <w:sz w:val="22"/>
          <w:szCs w:val="22"/>
        </w:rPr>
        <w:t xml:space="preserve">FI se bodo izvajali </w:t>
      </w:r>
      <w:r w:rsidRPr="000F166D">
        <w:rPr>
          <w:rFonts w:cs="Arial"/>
          <w:b/>
          <w:sz w:val="22"/>
          <w:szCs w:val="22"/>
        </w:rPr>
        <w:t xml:space="preserve">v naslednjih oblikah </w:t>
      </w:r>
      <w:r w:rsidRPr="000F166D">
        <w:rPr>
          <w:rFonts w:cs="Arial"/>
          <w:sz w:val="22"/>
          <w:szCs w:val="22"/>
        </w:rPr>
        <w:t xml:space="preserve">: </w:t>
      </w:r>
    </w:p>
    <w:p w14:paraId="3AE7947E" w14:textId="77777777" w:rsidR="004912DC" w:rsidRPr="000F166D" w:rsidRDefault="004912DC" w:rsidP="004912DC">
      <w:pPr>
        <w:numPr>
          <w:ilvl w:val="0"/>
          <w:numId w:val="19"/>
        </w:numPr>
        <w:spacing w:line="240" w:lineRule="auto"/>
        <w:jc w:val="both"/>
        <w:rPr>
          <w:rFonts w:eastAsia="Calibri" w:cs="Arial"/>
          <w:sz w:val="22"/>
          <w:szCs w:val="22"/>
        </w:rPr>
      </w:pPr>
      <w:r w:rsidRPr="000F166D">
        <w:rPr>
          <w:rFonts w:eastAsia="Calibri" w:cs="Arial"/>
          <w:sz w:val="22"/>
          <w:szCs w:val="22"/>
        </w:rPr>
        <w:t>instrumenti lastniškega financiranja (lastniški k</w:t>
      </w:r>
      <w:r>
        <w:rPr>
          <w:rFonts w:eastAsia="Calibri" w:cs="Arial"/>
          <w:sz w:val="22"/>
          <w:szCs w:val="22"/>
        </w:rPr>
        <w:t>apital, kvazi-lastniški kapital</w:t>
      </w:r>
      <w:r w:rsidRPr="000F166D">
        <w:rPr>
          <w:rFonts w:eastAsia="Calibri" w:cs="Arial"/>
          <w:sz w:val="22"/>
          <w:szCs w:val="22"/>
        </w:rPr>
        <w:t xml:space="preserve"> itd.),</w:t>
      </w:r>
    </w:p>
    <w:p w14:paraId="61387AAA" w14:textId="77777777" w:rsidR="004912DC" w:rsidRPr="000F166D" w:rsidRDefault="004912DC" w:rsidP="004912DC">
      <w:pPr>
        <w:numPr>
          <w:ilvl w:val="0"/>
          <w:numId w:val="19"/>
        </w:numPr>
        <w:spacing w:line="240" w:lineRule="auto"/>
        <w:jc w:val="both"/>
        <w:rPr>
          <w:rFonts w:eastAsia="Calibri" w:cs="Arial"/>
          <w:sz w:val="22"/>
          <w:szCs w:val="22"/>
        </w:rPr>
      </w:pPr>
      <w:r w:rsidRPr="000F166D">
        <w:rPr>
          <w:rFonts w:eastAsia="Calibri" w:cs="Arial"/>
          <w:sz w:val="22"/>
          <w:szCs w:val="22"/>
        </w:rPr>
        <w:t>instrumenti dolžniškega f</w:t>
      </w:r>
      <w:r>
        <w:rPr>
          <w:rFonts w:eastAsia="Calibri" w:cs="Arial"/>
          <w:sz w:val="22"/>
          <w:szCs w:val="22"/>
        </w:rPr>
        <w:t>inanciranja (garancije, krediti</w:t>
      </w:r>
      <w:r w:rsidRPr="000F166D">
        <w:rPr>
          <w:rFonts w:eastAsia="Calibri" w:cs="Arial"/>
          <w:sz w:val="22"/>
          <w:szCs w:val="22"/>
        </w:rPr>
        <w:t xml:space="preserve"> itd.),</w:t>
      </w:r>
    </w:p>
    <w:p w14:paraId="4EC6C43E" w14:textId="77777777" w:rsidR="004912DC" w:rsidRPr="000F166D" w:rsidRDefault="004912DC" w:rsidP="004912DC">
      <w:pPr>
        <w:jc w:val="both"/>
        <w:rPr>
          <w:rFonts w:cs="Arial"/>
          <w:sz w:val="22"/>
          <w:szCs w:val="22"/>
        </w:rPr>
      </w:pPr>
      <w:r w:rsidRPr="000F166D">
        <w:rPr>
          <w:rFonts w:cs="Arial"/>
          <w:sz w:val="22"/>
          <w:szCs w:val="22"/>
        </w:rPr>
        <w:t>ki se bodo lahko kombinirali tudi z nepovratnimi viri.</w:t>
      </w:r>
    </w:p>
    <w:p w14:paraId="3A635B5C" w14:textId="77777777" w:rsidR="004912DC" w:rsidRPr="000F166D" w:rsidRDefault="004912DC" w:rsidP="004912DC">
      <w:pPr>
        <w:jc w:val="both"/>
        <w:rPr>
          <w:rFonts w:cs="Arial"/>
          <w:sz w:val="22"/>
          <w:szCs w:val="22"/>
        </w:rPr>
      </w:pPr>
    </w:p>
    <w:p w14:paraId="10B4B44A" w14:textId="77777777" w:rsidR="004912DC" w:rsidRPr="000F166D" w:rsidRDefault="004912DC" w:rsidP="004912DC">
      <w:pPr>
        <w:jc w:val="both"/>
        <w:rPr>
          <w:rFonts w:cs="Arial"/>
          <w:sz w:val="22"/>
          <w:szCs w:val="22"/>
        </w:rPr>
      </w:pPr>
      <w:r w:rsidRPr="000F166D">
        <w:rPr>
          <w:rFonts w:cs="Arial"/>
          <w:sz w:val="22"/>
          <w:szCs w:val="22"/>
        </w:rPr>
        <w:t xml:space="preserve">Sredstva za izvajanje FI v okviru sklada skladov se lahko zagotovijo iz </w:t>
      </w:r>
      <w:r w:rsidRPr="000F166D">
        <w:rPr>
          <w:rFonts w:cs="Arial"/>
          <w:b/>
          <w:sz w:val="22"/>
          <w:szCs w:val="22"/>
        </w:rPr>
        <w:t>različnih virov</w:t>
      </w:r>
      <w:r w:rsidRPr="000F166D">
        <w:rPr>
          <w:rFonts w:cs="Arial"/>
          <w:sz w:val="22"/>
          <w:szCs w:val="22"/>
        </w:rPr>
        <w:t>:</w:t>
      </w:r>
    </w:p>
    <w:p w14:paraId="7F752284" w14:textId="77777777" w:rsidR="004912DC" w:rsidRPr="000F166D" w:rsidRDefault="004912DC" w:rsidP="004912DC">
      <w:pPr>
        <w:numPr>
          <w:ilvl w:val="0"/>
          <w:numId w:val="19"/>
        </w:numPr>
        <w:spacing w:line="240" w:lineRule="auto"/>
        <w:contextualSpacing/>
        <w:jc w:val="both"/>
        <w:rPr>
          <w:rFonts w:eastAsia="Calibri" w:cs="Arial"/>
          <w:sz w:val="22"/>
          <w:szCs w:val="22"/>
        </w:rPr>
      </w:pPr>
      <w:r w:rsidRPr="000F166D">
        <w:rPr>
          <w:rFonts w:eastAsia="Calibri" w:cs="Arial"/>
          <w:sz w:val="22"/>
          <w:szCs w:val="22"/>
        </w:rPr>
        <w:t>sredstev ESIF skladov,</w:t>
      </w:r>
    </w:p>
    <w:p w14:paraId="4BBA2587" w14:textId="77777777" w:rsidR="004912DC" w:rsidRPr="000F166D" w:rsidRDefault="004912DC" w:rsidP="004912DC">
      <w:pPr>
        <w:numPr>
          <w:ilvl w:val="0"/>
          <w:numId w:val="19"/>
        </w:numPr>
        <w:spacing w:line="240" w:lineRule="auto"/>
        <w:contextualSpacing/>
        <w:jc w:val="both"/>
        <w:rPr>
          <w:rFonts w:eastAsia="Calibri" w:cs="Arial"/>
          <w:sz w:val="22"/>
          <w:szCs w:val="22"/>
        </w:rPr>
      </w:pPr>
      <w:r w:rsidRPr="000F166D">
        <w:rPr>
          <w:rFonts w:eastAsia="Calibri" w:cs="Arial"/>
          <w:sz w:val="22"/>
          <w:szCs w:val="22"/>
        </w:rPr>
        <w:t>nacionalnih virov,</w:t>
      </w:r>
    </w:p>
    <w:p w14:paraId="3F3E8462" w14:textId="77777777" w:rsidR="004912DC" w:rsidRPr="000F166D" w:rsidRDefault="004912DC" w:rsidP="004912DC">
      <w:pPr>
        <w:numPr>
          <w:ilvl w:val="0"/>
          <w:numId w:val="19"/>
        </w:numPr>
        <w:spacing w:line="240" w:lineRule="auto"/>
        <w:contextualSpacing/>
        <w:jc w:val="both"/>
        <w:rPr>
          <w:rFonts w:eastAsia="Calibri" w:cs="Arial"/>
          <w:sz w:val="22"/>
          <w:szCs w:val="22"/>
        </w:rPr>
      </w:pPr>
      <w:r w:rsidRPr="000F166D">
        <w:rPr>
          <w:rFonts w:eastAsia="Calibri" w:cs="Arial"/>
          <w:iCs/>
          <w:color w:val="000000"/>
          <w:sz w:val="22"/>
          <w:szCs w:val="22"/>
        </w:rPr>
        <w:t>drugih EU virov (npr. viri COSME, Obzorje 2020, Evropski sklad za str</w:t>
      </w:r>
      <w:r>
        <w:rPr>
          <w:rFonts w:eastAsia="Calibri" w:cs="Arial"/>
          <w:iCs/>
          <w:color w:val="000000"/>
          <w:sz w:val="22"/>
          <w:szCs w:val="22"/>
        </w:rPr>
        <w:t>ateške investicije (EFSI), EASI</w:t>
      </w:r>
      <w:r w:rsidRPr="000F166D">
        <w:rPr>
          <w:rFonts w:eastAsia="Calibri" w:cs="Arial"/>
          <w:iCs/>
          <w:color w:val="000000"/>
          <w:sz w:val="22"/>
          <w:szCs w:val="22"/>
        </w:rPr>
        <w:t xml:space="preserve"> itd.),</w:t>
      </w:r>
    </w:p>
    <w:p w14:paraId="5C69835C" w14:textId="77777777" w:rsidR="004912DC" w:rsidRPr="000F166D" w:rsidRDefault="004912DC" w:rsidP="004912DC">
      <w:pPr>
        <w:numPr>
          <w:ilvl w:val="0"/>
          <w:numId w:val="19"/>
        </w:numPr>
        <w:spacing w:line="240" w:lineRule="auto"/>
        <w:contextualSpacing/>
        <w:jc w:val="both"/>
        <w:rPr>
          <w:rFonts w:eastAsia="Calibri" w:cs="Arial"/>
          <w:sz w:val="22"/>
          <w:szCs w:val="22"/>
        </w:rPr>
      </w:pPr>
      <w:r w:rsidRPr="000F166D">
        <w:rPr>
          <w:rFonts w:eastAsia="Calibri" w:cs="Arial"/>
          <w:iCs/>
          <w:color w:val="000000"/>
          <w:sz w:val="22"/>
          <w:szCs w:val="22"/>
        </w:rPr>
        <w:t>l</w:t>
      </w:r>
      <w:r w:rsidRPr="000F166D">
        <w:rPr>
          <w:rFonts w:eastAsia="Calibri" w:cs="Arial"/>
          <w:sz w:val="22"/>
          <w:szCs w:val="22"/>
        </w:rPr>
        <w:t>astnih virov upravljavca sklada skladov,</w:t>
      </w:r>
    </w:p>
    <w:p w14:paraId="56E13F81" w14:textId="77777777" w:rsidR="004912DC" w:rsidRPr="000F166D" w:rsidRDefault="004912DC" w:rsidP="004912DC">
      <w:pPr>
        <w:numPr>
          <w:ilvl w:val="0"/>
          <w:numId w:val="19"/>
        </w:numPr>
        <w:spacing w:line="240" w:lineRule="auto"/>
        <w:contextualSpacing/>
        <w:jc w:val="both"/>
        <w:rPr>
          <w:rFonts w:eastAsia="Calibri" w:cs="Arial"/>
          <w:sz w:val="22"/>
          <w:szCs w:val="22"/>
        </w:rPr>
      </w:pPr>
      <w:r w:rsidRPr="000F166D">
        <w:rPr>
          <w:rFonts w:eastAsia="Calibri" w:cs="Arial"/>
          <w:iCs/>
          <w:color w:val="000000"/>
          <w:sz w:val="22"/>
          <w:szCs w:val="22"/>
        </w:rPr>
        <w:t>lastnih virov finančnih posrednikov</w:t>
      </w:r>
      <w:r w:rsidRPr="000F166D">
        <w:rPr>
          <w:rFonts w:eastAsia="Calibri" w:cs="Arial"/>
          <w:sz w:val="22"/>
          <w:szCs w:val="22"/>
        </w:rPr>
        <w:t xml:space="preserve"> in </w:t>
      </w:r>
    </w:p>
    <w:p w14:paraId="1A4E24F6" w14:textId="77777777" w:rsidR="004912DC" w:rsidRPr="000F166D" w:rsidRDefault="004912DC" w:rsidP="004912DC">
      <w:pPr>
        <w:numPr>
          <w:ilvl w:val="0"/>
          <w:numId w:val="19"/>
        </w:numPr>
        <w:spacing w:line="240" w:lineRule="auto"/>
        <w:jc w:val="both"/>
        <w:rPr>
          <w:rFonts w:eastAsia="Calibri" w:cs="Arial"/>
          <w:sz w:val="22"/>
          <w:szCs w:val="22"/>
        </w:rPr>
      </w:pPr>
      <w:r w:rsidRPr="000F166D">
        <w:rPr>
          <w:rFonts w:eastAsia="Calibri" w:cs="Arial"/>
          <w:sz w:val="22"/>
          <w:szCs w:val="22"/>
        </w:rPr>
        <w:t>drugih virov.</w:t>
      </w:r>
    </w:p>
    <w:p w14:paraId="42ECB6D3" w14:textId="77777777" w:rsidR="004912DC" w:rsidRPr="000F166D" w:rsidRDefault="004912DC" w:rsidP="004912DC">
      <w:pPr>
        <w:jc w:val="both"/>
        <w:rPr>
          <w:rFonts w:cs="Arial"/>
          <w:sz w:val="22"/>
          <w:szCs w:val="22"/>
        </w:rPr>
      </w:pPr>
    </w:p>
    <w:p w14:paraId="0E2EA51B" w14:textId="77777777" w:rsidR="004912DC" w:rsidRPr="000F166D" w:rsidRDefault="004912DC" w:rsidP="004912DC">
      <w:pPr>
        <w:jc w:val="both"/>
        <w:rPr>
          <w:rFonts w:cs="Arial"/>
          <w:sz w:val="22"/>
          <w:szCs w:val="22"/>
        </w:rPr>
      </w:pPr>
      <w:r w:rsidRPr="000F166D">
        <w:rPr>
          <w:rFonts w:cs="Arial"/>
          <w:sz w:val="22"/>
          <w:szCs w:val="22"/>
        </w:rPr>
        <w:t>Sredstva, ki se vrnejo finančnim instrumentom na ločen(e) podračun(e), se ponovno uporabijo za namene skladno s 44. členom Uredbe EU št. 1303/2013.</w:t>
      </w:r>
    </w:p>
    <w:p w14:paraId="2E80B83A" w14:textId="77777777" w:rsidR="004912DC" w:rsidRPr="000F166D" w:rsidRDefault="004912DC" w:rsidP="004912DC">
      <w:pPr>
        <w:jc w:val="both"/>
        <w:rPr>
          <w:rFonts w:cs="Arial"/>
          <w:sz w:val="22"/>
          <w:szCs w:val="22"/>
        </w:rPr>
      </w:pPr>
    </w:p>
    <w:p w14:paraId="1B28647C" w14:textId="77777777" w:rsidR="004912DC" w:rsidRPr="000F166D" w:rsidRDefault="004912DC" w:rsidP="004912DC">
      <w:pPr>
        <w:jc w:val="both"/>
        <w:rPr>
          <w:rFonts w:cs="Arial"/>
          <w:sz w:val="22"/>
          <w:szCs w:val="22"/>
        </w:rPr>
      </w:pPr>
      <w:r w:rsidRPr="000F166D">
        <w:rPr>
          <w:rFonts w:cs="Arial"/>
          <w:b/>
          <w:sz w:val="22"/>
          <w:szCs w:val="22"/>
        </w:rPr>
        <w:t xml:space="preserve">Predlagani finančni produkti </w:t>
      </w:r>
      <w:r w:rsidRPr="000F166D">
        <w:rPr>
          <w:rFonts w:cs="Arial"/>
          <w:sz w:val="22"/>
          <w:szCs w:val="22"/>
        </w:rPr>
        <w:t xml:space="preserve">so: mikrokrediti, mikrogarancije, krediti, garancijske sheme oz. portfeljske garancije, instrumenti lastniškega financiranja. </w:t>
      </w:r>
    </w:p>
    <w:p w14:paraId="77A3B399" w14:textId="77777777" w:rsidR="004912DC" w:rsidRPr="000F166D" w:rsidRDefault="004912DC" w:rsidP="004912DC">
      <w:pPr>
        <w:jc w:val="both"/>
        <w:rPr>
          <w:rFonts w:cs="Arial"/>
          <w:sz w:val="22"/>
          <w:szCs w:val="22"/>
        </w:rPr>
      </w:pPr>
    </w:p>
    <w:p w14:paraId="5E2DEA85" w14:textId="77777777" w:rsidR="004912DC" w:rsidRPr="000F166D" w:rsidRDefault="004912DC" w:rsidP="004912DC">
      <w:pPr>
        <w:jc w:val="both"/>
        <w:rPr>
          <w:rFonts w:cs="Arial"/>
          <w:sz w:val="22"/>
          <w:szCs w:val="22"/>
        </w:rPr>
      </w:pPr>
      <w:r w:rsidRPr="000F166D">
        <w:rPr>
          <w:rFonts w:cs="Arial"/>
          <w:b/>
          <w:sz w:val="22"/>
          <w:szCs w:val="22"/>
        </w:rPr>
        <w:t>Ključni deležniki</w:t>
      </w:r>
      <w:r w:rsidRPr="000F166D">
        <w:rPr>
          <w:rFonts w:cs="Arial"/>
          <w:sz w:val="22"/>
          <w:szCs w:val="22"/>
        </w:rPr>
        <w:t xml:space="preserve"> pri FI so: </w:t>
      </w:r>
    </w:p>
    <w:p w14:paraId="228AC690" w14:textId="77777777" w:rsidR="004912DC" w:rsidRPr="000F166D" w:rsidRDefault="004912DC" w:rsidP="004912DC">
      <w:pPr>
        <w:numPr>
          <w:ilvl w:val="0"/>
          <w:numId w:val="13"/>
        </w:numPr>
        <w:spacing w:line="240" w:lineRule="auto"/>
        <w:jc w:val="both"/>
        <w:rPr>
          <w:rFonts w:eastAsia="Calibri" w:cs="Arial"/>
          <w:sz w:val="22"/>
          <w:szCs w:val="22"/>
        </w:rPr>
      </w:pPr>
      <w:r w:rsidRPr="000F166D">
        <w:rPr>
          <w:rFonts w:eastAsia="Calibri" w:cs="Arial"/>
          <w:sz w:val="22"/>
          <w:szCs w:val="22"/>
        </w:rPr>
        <w:t>MGRT, kot pristojni posredniški organ (v nadaljevanju: PO),</w:t>
      </w:r>
    </w:p>
    <w:p w14:paraId="40F03869" w14:textId="77777777" w:rsidR="004912DC" w:rsidRPr="000F166D" w:rsidRDefault="004912DC" w:rsidP="004912DC">
      <w:pPr>
        <w:numPr>
          <w:ilvl w:val="0"/>
          <w:numId w:val="13"/>
        </w:numPr>
        <w:spacing w:line="240" w:lineRule="auto"/>
        <w:jc w:val="both"/>
        <w:rPr>
          <w:rFonts w:eastAsia="Calibri" w:cs="Arial"/>
          <w:sz w:val="22"/>
          <w:szCs w:val="22"/>
        </w:rPr>
      </w:pPr>
      <w:r w:rsidRPr="000F166D">
        <w:rPr>
          <w:rFonts w:eastAsia="Calibri" w:cs="Arial"/>
          <w:sz w:val="22"/>
          <w:szCs w:val="22"/>
        </w:rPr>
        <w:t>MOP, kot sodelujoče ministrstvo,</w:t>
      </w:r>
    </w:p>
    <w:p w14:paraId="5AB0F387" w14:textId="77777777" w:rsidR="004912DC" w:rsidRPr="000F166D" w:rsidRDefault="004912DC" w:rsidP="004912DC">
      <w:pPr>
        <w:numPr>
          <w:ilvl w:val="0"/>
          <w:numId w:val="13"/>
        </w:numPr>
        <w:spacing w:line="240" w:lineRule="auto"/>
        <w:jc w:val="both"/>
        <w:rPr>
          <w:rFonts w:eastAsia="Calibri" w:cs="Arial"/>
          <w:sz w:val="22"/>
          <w:szCs w:val="22"/>
        </w:rPr>
      </w:pPr>
      <w:r w:rsidRPr="000F166D">
        <w:rPr>
          <w:rFonts w:eastAsia="Calibri" w:cs="Arial"/>
          <w:sz w:val="22"/>
          <w:szCs w:val="22"/>
        </w:rPr>
        <w:t>MZI, kot sodelujoče ministrstvo,</w:t>
      </w:r>
    </w:p>
    <w:p w14:paraId="517B64A6" w14:textId="77777777" w:rsidR="004912DC" w:rsidRPr="000F166D" w:rsidRDefault="004912DC" w:rsidP="004912DC">
      <w:pPr>
        <w:numPr>
          <w:ilvl w:val="0"/>
          <w:numId w:val="13"/>
        </w:numPr>
        <w:spacing w:line="240" w:lineRule="auto"/>
        <w:jc w:val="both"/>
        <w:rPr>
          <w:rFonts w:eastAsia="Calibri" w:cs="Arial"/>
          <w:sz w:val="22"/>
          <w:szCs w:val="22"/>
        </w:rPr>
      </w:pPr>
      <w:r w:rsidRPr="000F166D">
        <w:rPr>
          <w:rFonts w:eastAsia="Calibri" w:cs="Arial"/>
          <w:sz w:val="22"/>
          <w:szCs w:val="22"/>
        </w:rPr>
        <w:t>Združenje mestnih občin Slovenije (v nadaljevanju: ZMOS)</w:t>
      </w:r>
      <w:r>
        <w:rPr>
          <w:rFonts w:eastAsia="Calibri" w:cs="Arial"/>
          <w:sz w:val="22"/>
          <w:szCs w:val="22"/>
        </w:rPr>
        <w:t>,</w:t>
      </w:r>
      <w:r w:rsidRPr="000F166D">
        <w:rPr>
          <w:rFonts w:eastAsia="Calibri" w:cs="Arial"/>
          <w:sz w:val="22"/>
          <w:szCs w:val="22"/>
        </w:rPr>
        <w:t xml:space="preserve"> kot posredniški organ za celostne teritorialne naložbe,</w:t>
      </w:r>
    </w:p>
    <w:p w14:paraId="05D10FA5" w14:textId="77777777" w:rsidR="004912DC" w:rsidRPr="000F166D" w:rsidRDefault="004912DC" w:rsidP="004912DC">
      <w:pPr>
        <w:numPr>
          <w:ilvl w:val="0"/>
          <w:numId w:val="13"/>
        </w:numPr>
        <w:spacing w:line="240" w:lineRule="auto"/>
        <w:jc w:val="both"/>
        <w:rPr>
          <w:rFonts w:eastAsia="Calibri" w:cs="Arial"/>
          <w:sz w:val="22"/>
          <w:szCs w:val="22"/>
        </w:rPr>
      </w:pPr>
      <w:r w:rsidRPr="000F166D">
        <w:rPr>
          <w:rFonts w:eastAsia="Calibri" w:cs="Arial"/>
          <w:sz w:val="22"/>
          <w:szCs w:val="22"/>
        </w:rPr>
        <w:t>Usmerjevalni odbor za finančne instrumente</w:t>
      </w:r>
      <w:r>
        <w:rPr>
          <w:rFonts w:eastAsia="Calibri" w:cs="Arial"/>
          <w:sz w:val="22"/>
          <w:szCs w:val="22"/>
        </w:rPr>
        <w:t>,</w:t>
      </w:r>
      <w:r w:rsidRPr="000F166D">
        <w:rPr>
          <w:rFonts w:eastAsia="Calibri" w:cs="Arial"/>
          <w:sz w:val="22"/>
          <w:szCs w:val="22"/>
        </w:rPr>
        <w:t xml:space="preserve"> kot posvetovalno telo PO,</w:t>
      </w:r>
    </w:p>
    <w:p w14:paraId="4051F087" w14:textId="77777777" w:rsidR="004912DC" w:rsidRPr="000F166D" w:rsidRDefault="004912DC" w:rsidP="004912DC">
      <w:pPr>
        <w:numPr>
          <w:ilvl w:val="0"/>
          <w:numId w:val="13"/>
        </w:numPr>
        <w:spacing w:line="240" w:lineRule="auto"/>
        <w:jc w:val="both"/>
        <w:rPr>
          <w:rFonts w:eastAsia="Calibri" w:cs="Arial"/>
          <w:sz w:val="22"/>
          <w:szCs w:val="22"/>
        </w:rPr>
      </w:pPr>
      <w:r w:rsidRPr="000F166D">
        <w:rPr>
          <w:rFonts w:eastAsia="Calibri" w:cs="Arial"/>
          <w:sz w:val="22"/>
          <w:szCs w:val="22"/>
        </w:rPr>
        <w:t>Služba Vlade RS za razvoj in evropsko kohezijsko politiko, kot organ upravljanja (v nadaljevanju: OU),</w:t>
      </w:r>
    </w:p>
    <w:p w14:paraId="22853EBD" w14:textId="77777777" w:rsidR="004912DC" w:rsidRPr="000F166D" w:rsidRDefault="004912DC" w:rsidP="004912DC">
      <w:pPr>
        <w:numPr>
          <w:ilvl w:val="0"/>
          <w:numId w:val="13"/>
        </w:numPr>
        <w:spacing w:line="240" w:lineRule="auto"/>
        <w:jc w:val="both"/>
        <w:rPr>
          <w:rFonts w:eastAsia="Calibri" w:cs="Arial"/>
          <w:sz w:val="22"/>
          <w:szCs w:val="22"/>
        </w:rPr>
      </w:pPr>
      <w:r w:rsidRPr="000F166D">
        <w:rPr>
          <w:rFonts w:eastAsia="Calibri" w:cs="Arial"/>
          <w:sz w:val="22"/>
          <w:szCs w:val="22"/>
        </w:rPr>
        <w:t>Ministrstvo za finance, organ za potrjevanje ( v nadaljevanju MF-CA),</w:t>
      </w:r>
    </w:p>
    <w:p w14:paraId="6CC4AE60" w14:textId="77777777" w:rsidR="004912DC" w:rsidRPr="000F166D" w:rsidRDefault="004912DC" w:rsidP="004912DC">
      <w:pPr>
        <w:numPr>
          <w:ilvl w:val="0"/>
          <w:numId w:val="13"/>
        </w:numPr>
        <w:spacing w:line="240" w:lineRule="auto"/>
        <w:jc w:val="both"/>
        <w:rPr>
          <w:rFonts w:eastAsia="Calibri" w:cs="Arial"/>
          <w:sz w:val="22"/>
          <w:szCs w:val="22"/>
        </w:rPr>
      </w:pPr>
      <w:r w:rsidRPr="000F166D">
        <w:rPr>
          <w:rFonts w:eastAsia="Calibri" w:cs="Arial"/>
          <w:sz w:val="22"/>
          <w:szCs w:val="22"/>
        </w:rPr>
        <w:t>Urad RS za nadzor proračuna, kot revizijski organ,</w:t>
      </w:r>
    </w:p>
    <w:p w14:paraId="50629149" w14:textId="77777777" w:rsidR="004912DC" w:rsidRPr="000F166D" w:rsidRDefault="004912DC" w:rsidP="004912DC">
      <w:pPr>
        <w:numPr>
          <w:ilvl w:val="0"/>
          <w:numId w:val="13"/>
        </w:numPr>
        <w:spacing w:line="240" w:lineRule="auto"/>
        <w:jc w:val="both"/>
        <w:rPr>
          <w:rFonts w:eastAsia="Calibri" w:cs="Arial"/>
          <w:sz w:val="22"/>
          <w:szCs w:val="22"/>
        </w:rPr>
      </w:pPr>
      <w:r w:rsidRPr="000F166D">
        <w:rPr>
          <w:rFonts w:eastAsia="Calibri" w:cs="Arial"/>
          <w:sz w:val="22"/>
          <w:szCs w:val="22"/>
        </w:rPr>
        <w:t xml:space="preserve">upravljavec sklada skladov kot upravičenec, ki (i) za izvajanje FI izbere finančne posrednike ali (ii) izjemoma sam nastopa kot neposredni izvajalec FI, </w:t>
      </w:r>
    </w:p>
    <w:p w14:paraId="706C7376" w14:textId="77777777" w:rsidR="004912DC" w:rsidRPr="000F166D" w:rsidRDefault="004912DC" w:rsidP="004912DC">
      <w:pPr>
        <w:numPr>
          <w:ilvl w:val="0"/>
          <w:numId w:val="13"/>
        </w:numPr>
        <w:spacing w:line="240" w:lineRule="auto"/>
        <w:jc w:val="both"/>
        <w:rPr>
          <w:rFonts w:eastAsia="Calibri" w:cs="Arial"/>
          <w:sz w:val="22"/>
          <w:szCs w:val="22"/>
        </w:rPr>
      </w:pPr>
      <w:r w:rsidRPr="000F166D">
        <w:rPr>
          <w:rFonts w:eastAsia="Calibri" w:cs="Arial"/>
          <w:sz w:val="22"/>
          <w:szCs w:val="22"/>
        </w:rPr>
        <w:t>finančni posredniki, ki izvajajo FI,</w:t>
      </w:r>
    </w:p>
    <w:p w14:paraId="0B965CD2" w14:textId="77777777" w:rsidR="004912DC" w:rsidRPr="000F166D" w:rsidRDefault="004912DC" w:rsidP="004912DC">
      <w:pPr>
        <w:numPr>
          <w:ilvl w:val="0"/>
          <w:numId w:val="13"/>
        </w:numPr>
        <w:spacing w:line="240" w:lineRule="auto"/>
        <w:jc w:val="both"/>
        <w:rPr>
          <w:rFonts w:eastAsia="Calibri" w:cs="Arial"/>
          <w:sz w:val="22"/>
          <w:szCs w:val="22"/>
        </w:rPr>
      </w:pPr>
      <w:r w:rsidRPr="000F166D">
        <w:rPr>
          <w:rFonts w:eastAsia="Calibri" w:cs="Arial"/>
          <w:sz w:val="22"/>
          <w:szCs w:val="22"/>
        </w:rPr>
        <w:t>končni prejemniki, ki prejmejo finančno podporo iz FI.</w:t>
      </w:r>
    </w:p>
    <w:p w14:paraId="2273ADF2" w14:textId="77777777" w:rsidR="004912DC" w:rsidRPr="000F166D" w:rsidRDefault="004912DC" w:rsidP="004912DC">
      <w:pPr>
        <w:jc w:val="both"/>
        <w:rPr>
          <w:rFonts w:cs="Arial"/>
          <w:sz w:val="22"/>
          <w:szCs w:val="22"/>
        </w:rPr>
      </w:pPr>
    </w:p>
    <w:p w14:paraId="4AE4E598" w14:textId="77777777" w:rsidR="004912DC" w:rsidRPr="000F166D" w:rsidRDefault="004912DC" w:rsidP="004912DC">
      <w:pPr>
        <w:jc w:val="both"/>
        <w:rPr>
          <w:rFonts w:cs="Arial"/>
          <w:sz w:val="22"/>
          <w:szCs w:val="22"/>
        </w:rPr>
      </w:pPr>
      <w:r w:rsidRPr="000F166D">
        <w:rPr>
          <w:rFonts w:cs="Arial"/>
          <w:sz w:val="22"/>
          <w:szCs w:val="22"/>
        </w:rPr>
        <w:t xml:space="preserve">Za namen priprave izvedbe predlaganih FI preko sklada skladov in naložbene strategije je potrebno izvesti preverjanje na trgu (t.i. </w:t>
      </w:r>
      <w:r w:rsidRPr="000F166D">
        <w:rPr>
          <w:rFonts w:cs="Arial"/>
          <w:b/>
          <w:sz w:val="22"/>
          <w:szCs w:val="22"/>
        </w:rPr>
        <w:t>market test</w:t>
      </w:r>
      <w:r w:rsidRPr="000F166D">
        <w:rPr>
          <w:rFonts w:cs="Arial"/>
          <w:sz w:val="22"/>
          <w:szCs w:val="22"/>
        </w:rPr>
        <w:t xml:space="preserve">), ki ga izvede pravna oseba, ki ji bo PO posredoval poziv za predložitev vloge za imenovanje upravljavca sklada skladov. Z njim in z uporabo podatkov iz Predhodne ocene FI ter Analize EIB ugotovi interes za izvajanje FI </w:t>
      </w:r>
      <w:r w:rsidRPr="000F166D">
        <w:rPr>
          <w:rFonts w:eastAsia="Calibri" w:cs="Arial"/>
          <w:color w:val="000000"/>
          <w:sz w:val="22"/>
          <w:szCs w:val="22"/>
        </w:rPr>
        <w:t>predvsem pa pod kakšnimi pogoji bi bili finančni posredniki pripravljeni nasloviti ugotovljene tržne vrzeli.</w:t>
      </w:r>
      <w:r w:rsidRPr="000F166D">
        <w:rPr>
          <w:rFonts w:cs="Arial"/>
          <w:sz w:val="22"/>
          <w:szCs w:val="22"/>
        </w:rPr>
        <w:t xml:space="preserve"> Na ta način se bodo opredelili okvirji in pogoji, pod katerimi bi se lahko plasirala sredstva končnim prejemnikom. Pri tem upošteva usposobljenost finančnih posrednikov za izvajanje FI.</w:t>
      </w:r>
    </w:p>
    <w:p w14:paraId="4A48D967" w14:textId="77777777" w:rsidR="004912DC" w:rsidRPr="000F166D" w:rsidRDefault="004912DC" w:rsidP="004912DC">
      <w:pPr>
        <w:jc w:val="both"/>
        <w:rPr>
          <w:rFonts w:cs="Arial"/>
          <w:sz w:val="22"/>
          <w:szCs w:val="22"/>
        </w:rPr>
      </w:pPr>
    </w:p>
    <w:p w14:paraId="67C90E72" w14:textId="77777777" w:rsidR="004912DC" w:rsidRPr="000F166D" w:rsidRDefault="004912DC" w:rsidP="004912DC">
      <w:pPr>
        <w:jc w:val="both"/>
        <w:rPr>
          <w:rFonts w:cs="Arial"/>
          <w:sz w:val="22"/>
          <w:szCs w:val="22"/>
        </w:rPr>
      </w:pPr>
      <w:r w:rsidRPr="000F166D">
        <w:rPr>
          <w:rFonts w:cs="Arial"/>
          <w:sz w:val="22"/>
          <w:szCs w:val="22"/>
        </w:rPr>
        <w:lastRenderedPageBreak/>
        <w:t>Upravljavska provizija se dogovori z upravljavcem sklada skladov upoštevaje dogovorjene aktivnosti in obenem ne presega pragov iz 13. člena Delegirane uredbe komisije (EU) št. 480/2014 z dne 3. marca 2014 o dopolnitvi Uredbe (EU) št. 1303/2013 Evropskega parlamenta in Sveta o skupnih določbah o Evropskem skladu za regionalni razvoj, Evropskem socialnem skladu, Kohezijskem skladu, Evropskem kmetijskem skladu za razvoj podeželja in Evropskem skladu za pomorstvo in ribištvo ter o splošnih določbah o Evropskem skladu za regionalni razvoj, Evropskem socialnem skladu, Kohezijskem skladu in Evropskem skladu za pomorstvo in ribištvo (v nadaljevanju: Uredba (EU) 480/2014).</w:t>
      </w:r>
    </w:p>
    <w:p w14:paraId="273C16F0" w14:textId="77777777" w:rsidR="004912DC" w:rsidRPr="000F166D" w:rsidRDefault="004912DC" w:rsidP="004912DC">
      <w:pPr>
        <w:jc w:val="both"/>
        <w:rPr>
          <w:rFonts w:cs="Arial"/>
          <w:sz w:val="22"/>
          <w:szCs w:val="22"/>
        </w:rPr>
      </w:pPr>
    </w:p>
    <w:p w14:paraId="4748C1C4" w14:textId="77777777" w:rsidR="004912DC" w:rsidRPr="000F166D" w:rsidRDefault="004912DC" w:rsidP="004912DC">
      <w:pPr>
        <w:jc w:val="both"/>
        <w:rPr>
          <w:rFonts w:cs="Arial"/>
          <w:sz w:val="22"/>
          <w:szCs w:val="22"/>
        </w:rPr>
      </w:pPr>
      <w:r w:rsidRPr="000F166D">
        <w:rPr>
          <w:rFonts w:cs="Arial"/>
          <w:sz w:val="22"/>
          <w:szCs w:val="22"/>
        </w:rPr>
        <w:t xml:space="preserve">S Ključnimi elementi FI sledimo </w:t>
      </w:r>
      <w:r w:rsidRPr="000F166D">
        <w:rPr>
          <w:rFonts w:cs="Arial"/>
          <w:b/>
          <w:sz w:val="22"/>
          <w:szCs w:val="22"/>
        </w:rPr>
        <w:t>ciljem OP 2014 – 2020</w:t>
      </w:r>
      <w:r w:rsidRPr="000F166D">
        <w:rPr>
          <w:rFonts w:cs="Arial"/>
          <w:sz w:val="22"/>
          <w:szCs w:val="22"/>
        </w:rPr>
        <w:t xml:space="preserve"> in kazalnikom posameznih specifičnih ciljev prednostnih naložb 1.2, 3.1, 4.1 in 6.3., h katerim morajo glede na cilje OP 2014-2020 prispevati FI. V ta namen se v sporazumu o financiranju (upoštevaje oceno market testa) določijo ciljne vrednosti kazalnikov.</w:t>
      </w:r>
    </w:p>
    <w:p w14:paraId="4D3E481B" w14:textId="77777777" w:rsidR="004912DC" w:rsidRPr="000F166D" w:rsidRDefault="004912DC" w:rsidP="004912DC">
      <w:pPr>
        <w:jc w:val="both"/>
        <w:rPr>
          <w:rFonts w:cs="Arial"/>
          <w:sz w:val="22"/>
          <w:szCs w:val="22"/>
        </w:rPr>
      </w:pPr>
    </w:p>
    <w:p w14:paraId="69610DB8" w14:textId="77777777" w:rsidR="004912DC" w:rsidRPr="000F166D" w:rsidRDefault="004912DC" w:rsidP="004912DC">
      <w:pPr>
        <w:jc w:val="both"/>
        <w:rPr>
          <w:rFonts w:cs="Arial"/>
          <w:sz w:val="22"/>
          <w:szCs w:val="22"/>
        </w:rPr>
      </w:pPr>
      <w:r w:rsidRPr="000F166D">
        <w:rPr>
          <w:rFonts w:cs="Arial"/>
          <w:sz w:val="22"/>
          <w:szCs w:val="22"/>
        </w:rPr>
        <w:t xml:space="preserve">FI se izvajajo v okviru </w:t>
      </w:r>
      <w:r w:rsidRPr="000F166D">
        <w:rPr>
          <w:rFonts w:cs="Arial"/>
          <w:b/>
          <w:sz w:val="22"/>
          <w:szCs w:val="22"/>
        </w:rPr>
        <w:t>obdobja upravičenosti</w:t>
      </w:r>
      <w:r w:rsidRPr="000F166D">
        <w:rPr>
          <w:rFonts w:cs="Arial"/>
          <w:sz w:val="22"/>
          <w:szCs w:val="22"/>
        </w:rPr>
        <w:t>, ki se prične z datumom odločitve organa upravljanja in se zaključi 31.12.2023 oz. kasneje v primeru podaljšanja rokov s strani Evropske komisije, in se določi s sporazumom o financiranju. Rok se lahko tudi skrajša zaradi postopkov zaključevanja OP 2014-2020.</w:t>
      </w:r>
    </w:p>
    <w:p w14:paraId="4B584AD9" w14:textId="77777777" w:rsidR="004912DC" w:rsidRPr="000F166D" w:rsidRDefault="004912DC" w:rsidP="004912DC">
      <w:pPr>
        <w:jc w:val="both"/>
        <w:rPr>
          <w:rFonts w:cs="Arial"/>
          <w:sz w:val="22"/>
          <w:szCs w:val="22"/>
        </w:rPr>
      </w:pPr>
    </w:p>
    <w:p w14:paraId="153C3C1A" w14:textId="77777777" w:rsidR="004912DC" w:rsidRPr="000F166D" w:rsidRDefault="004912DC" w:rsidP="004912DC">
      <w:pPr>
        <w:jc w:val="both"/>
        <w:rPr>
          <w:rFonts w:cs="Arial"/>
          <w:sz w:val="22"/>
          <w:szCs w:val="22"/>
        </w:rPr>
      </w:pPr>
      <w:r w:rsidRPr="000F166D">
        <w:rPr>
          <w:rFonts w:cs="Arial"/>
          <w:sz w:val="22"/>
          <w:szCs w:val="22"/>
        </w:rPr>
        <w:t xml:space="preserve">Skladnost FI s pravili o državni pomoči se bo presojala glede na </w:t>
      </w:r>
      <w:r w:rsidRPr="000F166D">
        <w:rPr>
          <w:rFonts w:cs="Arial"/>
          <w:b/>
          <w:sz w:val="22"/>
          <w:szCs w:val="22"/>
        </w:rPr>
        <w:t>sheme državnih in de minimis pomoči</w:t>
      </w:r>
      <w:r w:rsidRPr="000F166D">
        <w:rPr>
          <w:rFonts w:cs="Arial"/>
          <w:sz w:val="22"/>
          <w:szCs w:val="22"/>
        </w:rPr>
        <w:t xml:space="preserve"> v okviru »Programa izvajanja finančnih spodbud MGRT 2015 – 2020« in drugih shem državnih in/ali de minimis pomoči, ki jih bo posredniški organ, upravljavec sklada skladov, finančni posrednik ali drug organ priglasil, skladno z Zakonom o spremljanju državnih pomoči (Uradni list RS, št. 37/04).</w:t>
      </w:r>
    </w:p>
    <w:p w14:paraId="42DA800C" w14:textId="77777777" w:rsidR="004912DC" w:rsidRPr="000F166D" w:rsidRDefault="004912DC" w:rsidP="004912DC">
      <w:pPr>
        <w:jc w:val="both"/>
        <w:rPr>
          <w:rFonts w:cs="Arial"/>
          <w:sz w:val="22"/>
          <w:szCs w:val="22"/>
        </w:rPr>
      </w:pPr>
    </w:p>
    <w:p w14:paraId="536F1497" w14:textId="77777777" w:rsidR="004912DC" w:rsidRPr="000F166D" w:rsidRDefault="004912DC" w:rsidP="004912DC">
      <w:pPr>
        <w:jc w:val="both"/>
        <w:rPr>
          <w:rFonts w:cs="Arial"/>
          <w:sz w:val="22"/>
          <w:szCs w:val="22"/>
        </w:rPr>
      </w:pPr>
      <w:r w:rsidRPr="000F166D">
        <w:rPr>
          <w:rFonts w:cs="Arial"/>
          <w:sz w:val="22"/>
          <w:szCs w:val="22"/>
        </w:rPr>
        <w:t xml:space="preserve">Ključni elementi FI upoštevajo tudi </w:t>
      </w:r>
      <w:r w:rsidRPr="000F166D">
        <w:rPr>
          <w:rFonts w:cs="Arial"/>
          <w:b/>
          <w:sz w:val="22"/>
          <w:szCs w:val="22"/>
        </w:rPr>
        <w:t>okvir horizontalnih načel</w:t>
      </w:r>
      <w:r w:rsidRPr="000F166D">
        <w:rPr>
          <w:rFonts w:cs="Arial"/>
          <w:sz w:val="22"/>
          <w:szCs w:val="22"/>
        </w:rPr>
        <w:t xml:space="preserve"> trajnostnega razvoja, nediskriminacije, enakih možnosti in dostopnosti in enakosti moških in žensk.</w:t>
      </w:r>
    </w:p>
    <w:p w14:paraId="6775C297" w14:textId="77777777" w:rsidR="004912DC" w:rsidRPr="000F166D" w:rsidRDefault="004912DC" w:rsidP="004912DC">
      <w:pPr>
        <w:jc w:val="both"/>
        <w:rPr>
          <w:rFonts w:cs="Arial"/>
          <w:sz w:val="22"/>
          <w:szCs w:val="22"/>
        </w:rPr>
      </w:pPr>
      <w:r w:rsidRPr="000F166D">
        <w:rPr>
          <w:rFonts w:cs="Arial"/>
          <w:sz w:val="22"/>
          <w:szCs w:val="22"/>
        </w:rPr>
        <w:t xml:space="preserve"> </w:t>
      </w:r>
    </w:p>
    <w:p w14:paraId="2BB6FD9D" w14:textId="77777777" w:rsidR="004912DC" w:rsidRPr="000F166D" w:rsidRDefault="004912DC" w:rsidP="004912DC">
      <w:pPr>
        <w:jc w:val="both"/>
        <w:rPr>
          <w:rFonts w:cs="Arial"/>
          <w:sz w:val="22"/>
          <w:szCs w:val="22"/>
        </w:rPr>
      </w:pPr>
      <w:r w:rsidRPr="000F166D">
        <w:rPr>
          <w:rFonts w:cs="Arial"/>
          <w:sz w:val="22"/>
          <w:szCs w:val="22"/>
        </w:rPr>
        <w:t xml:space="preserve">PO skupaj s sodelujočima ministrstvoma in OU zagotavlja vzpostavitev sklada skladov za izvajanje FI vzpostavljenih na ravni Republiki Sloveniji pri upravljavcu sklada skladov skladno s predhodno oceno FI. </w:t>
      </w:r>
    </w:p>
    <w:p w14:paraId="262C32F3" w14:textId="77777777" w:rsidR="004912DC" w:rsidRPr="000F166D" w:rsidRDefault="004912DC" w:rsidP="004912DC">
      <w:pPr>
        <w:jc w:val="both"/>
        <w:rPr>
          <w:rFonts w:cs="Arial"/>
          <w:sz w:val="22"/>
          <w:szCs w:val="22"/>
        </w:rPr>
      </w:pPr>
    </w:p>
    <w:p w14:paraId="08AB4FA0" w14:textId="77777777" w:rsidR="004912DC" w:rsidRPr="000F166D" w:rsidRDefault="004912DC" w:rsidP="004912DC">
      <w:pPr>
        <w:jc w:val="both"/>
        <w:rPr>
          <w:rFonts w:cs="Arial"/>
          <w:sz w:val="22"/>
          <w:szCs w:val="22"/>
        </w:rPr>
      </w:pPr>
      <w:r w:rsidRPr="000F166D">
        <w:rPr>
          <w:rFonts w:cs="Arial"/>
          <w:sz w:val="22"/>
          <w:szCs w:val="22"/>
        </w:rPr>
        <w:t xml:space="preserve">Skladno </w:t>
      </w:r>
      <w:r>
        <w:rPr>
          <w:rFonts w:cs="Arial"/>
          <w:sz w:val="22"/>
          <w:szCs w:val="22"/>
        </w:rPr>
        <w:t>s prvim</w:t>
      </w:r>
      <w:r w:rsidRPr="000F166D">
        <w:rPr>
          <w:rFonts w:cs="Arial"/>
          <w:sz w:val="22"/>
          <w:szCs w:val="22"/>
        </w:rPr>
        <w:t xml:space="preserve"> odstavkom 37.</w:t>
      </w:r>
      <w:r>
        <w:rPr>
          <w:rFonts w:cs="Arial"/>
          <w:sz w:val="22"/>
          <w:szCs w:val="22"/>
        </w:rPr>
        <w:t>a</w:t>
      </w:r>
      <w:r w:rsidRPr="000F166D">
        <w:rPr>
          <w:rFonts w:cs="Arial"/>
          <w:sz w:val="22"/>
          <w:szCs w:val="22"/>
        </w:rPr>
        <w:t xml:space="preserve"> člena Uredbe o porabi sredstev evropske kohezijske politike v Republiki Sloveniji v programskem obdobju 2014–2020 za cilj naložbe za rast in delovna mesta gre pri Ključnih elementih FI za elemente, ki so opredeljeni v drugem odstavku 106.j člena Zakona o javnih financah, h katerim pa mora PO skladno s podzakonskim predpisom pridobiti soglasje Vlade RS. PO na podlagi soglasja Vlade RS k Ključnim elementom FI izpelje postopek izbora upravljavca sklada skladov in pripravi predlog sporazuma o financiranju s predpisanimi vsebinami, ki je predmet uskladitve z upravljavcem sklada skladov in neposredne potrditve operacije s strani OU.</w:t>
      </w:r>
    </w:p>
    <w:p w14:paraId="2F1A5B35" w14:textId="77777777" w:rsidR="004912DC" w:rsidRPr="000F166D" w:rsidRDefault="004912DC" w:rsidP="004912DC">
      <w:pPr>
        <w:jc w:val="both"/>
        <w:rPr>
          <w:rFonts w:cs="Arial"/>
          <w:sz w:val="22"/>
          <w:szCs w:val="22"/>
        </w:rPr>
      </w:pPr>
      <w:r w:rsidRPr="000F166D">
        <w:rPr>
          <w:rFonts w:cs="Arial"/>
          <w:sz w:val="22"/>
          <w:szCs w:val="22"/>
        </w:rPr>
        <w:t xml:space="preserve"> </w:t>
      </w:r>
    </w:p>
    <w:p w14:paraId="2129CEEE" w14:textId="77777777" w:rsidR="004912DC" w:rsidRPr="000F166D" w:rsidRDefault="004912DC" w:rsidP="004912DC">
      <w:pPr>
        <w:spacing w:after="160"/>
        <w:jc w:val="both"/>
        <w:rPr>
          <w:rFonts w:cs="Arial"/>
          <w:sz w:val="22"/>
          <w:szCs w:val="22"/>
        </w:rPr>
      </w:pPr>
      <w:r w:rsidRPr="000F166D">
        <w:rPr>
          <w:rFonts w:cs="Arial"/>
          <w:b/>
          <w:bCs/>
          <w:iCs/>
          <w:sz w:val="22"/>
          <w:szCs w:val="22"/>
        </w:rPr>
        <w:br w:type="page"/>
      </w:r>
    </w:p>
    <w:p w14:paraId="5BF44FA9" w14:textId="77777777" w:rsidR="004912DC" w:rsidRPr="000F166D" w:rsidRDefault="004912DC" w:rsidP="004912DC">
      <w:pPr>
        <w:keepNext/>
        <w:shd w:val="clear" w:color="auto" w:fill="9CC2E5"/>
        <w:outlineLvl w:val="1"/>
        <w:rPr>
          <w:rFonts w:cs="Arial"/>
          <w:b/>
          <w:sz w:val="32"/>
          <w:szCs w:val="32"/>
        </w:rPr>
      </w:pPr>
      <w:bookmarkStart w:id="56" w:name="_Toc54857912"/>
      <w:r w:rsidRPr="000F166D">
        <w:rPr>
          <w:rFonts w:cs="Arial"/>
          <w:b/>
          <w:sz w:val="32"/>
          <w:szCs w:val="32"/>
        </w:rPr>
        <w:lastRenderedPageBreak/>
        <w:t>2. Izhodišča</w:t>
      </w:r>
      <w:bookmarkEnd w:id="56"/>
      <w:r w:rsidRPr="000F166D">
        <w:rPr>
          <w:rFonts w:cs="Arial"/>
          <w:b/>
          <w:sz w:val="32"/>
          <w:szCs w:val="32"/>
        </w:rPr>
        <w:t xml:space="preserve"> </w:t>
      </w:r>
    </w:p>
    <w:p w14:paraId="46A0E002" w14:textId="77777777" w:rsidR="004912DC" w:rsidRPr="000F166D" w:rsidRDefault="004912DC" w:rsidP="004912DC">
      <w:pPr>
        <w:jc w:val="both"/>
        <w:rPr>
          <w:rFonts w:cs="Arial"/>
          <w:sz w:val="22"/>
        </w:rPr>
      </w:pPr>
    </w:p>
    <w:p w14:paraId="24BE8FDC" w14:textId="77777777" w:rsidR="004912DC" w:rsidRPr="000F166D" w:rsidDel="003D186F" w:rsidRDefault="004912DC" w:rsidP="004912DC">
      <w:pPr>
        <w:keepNext/>
        <w:keepLines/>
        <w:spacing w:before="40"/>
        <w:jc w:val="both"/>
        <w:outlineLvl w:val="2"/>
        <w:rPr>
          <w:rFonts w:cs="Arial"/>
          <w:b/>
          <w:color w:val="1F4D78"/>
          <w:sz w:val="22"/>
        </w:rPr>
      </w:pPr>
      <w:bookmarkStart w:id="57" w:name="_Toc54857913"/>
      <w:r w:rsidRPr="000F166D">
        <w:rPr>
          <w:rFonts w:cs="Arial"/>
          <w:b/>
          <w:color w:val="1F4D78"/>
          <w:sz w:val="22"/>
        </w:rPr>
        <w:t xml:space="preserve">2.1 </w:t>
      </w:r>
      <w:r w:rsidRPr="000F166D" w:rsidDel="003D186F">
        <w:rPr>
          <w:rFonts w:cs="Arial"/>
          <w:b/>
          <w:color w:val="1F4D78"/>
          <w:sz w:val="22"/>
        </w:rPr>
        <w:t>Pravne podlage</w:t>
      </w:r>
      <w:bookmarkEnd w:id="57"/>
    </w:p>
    <w:p w14:paraId="3DA1AA50" w14:textId="77777777" w:rsidR="004912DC" w:rsidRPr="000F166D" w:rsidDel="003D186F" w:rsidRDefault="004912DC" w:rsidP="004912DC">
      <w:pPr>
        <w:jc w:val="both"/>
        <w:rPr>
          <w:rFonts w:cs="Arial"/>
          <w:sz w:val="22"/>
          <w:szCs w:val="22"/>
        </w:rPr>
      </w:pPr>
    </w:p>
    <w:p w14:paraId="7E0F8C29" w14:textId="77777777" w:rsidR="004912DC" w:rsidRPr="00F52F75" w:rsidDel="003D186F" w:rsidRDefault="004912DC" w:rsidP="004912DC">
      <w:pPr>
        <w:jc w:val="both"/>
        <w:rPr>
          <w:rFonts w:cs="Arial"/>
          <w:sz w:val="22"/>
          <w:szCs w:val="22"/>
        </w:rPr>
      </w:pPr>
      <w:r w:rsidRPr="00F52F75" w:rsidDel="003D186F">
        <w:rPr>
          <w:rFonts w:cs="Arial"/>
          <w:sz w:val="22"/>
          <w:szCs w:val="22"/>
        </w:rPr>
        <w:t>Pravne podlage za izvajanje finančnih instrumentov:</w:t>
      </w:r>
    </w:p>
    <w:p w14:paraId="3580FD93" w14:textId="77777777" w:rsidR="004912DC" w:rsidRPr="00F52F75" w:rsidRDefault="004912DC" w:rsidP="004912DC">
      <w:pPr>
        <w:numPr>
          <w:ilvl w:val="0"/>
          <w:numId w:val="13"/>
        </w:numPr>
        <w:spacing w:line="240" w:lineRule="auto"/>
        <w:jc w:val="both"/>
        <w:rPr>
          <w:rFonts w:cs="Arial"/>
          <w:sz w:val="22"/>
          <w:szCs w:val="22"/>
        </w:rPr>
      </w:pPr>
      <w:r w:rsidRPr="00F52F75" w:rsidDel="003D186F">
        <w:rPr>
          <w:rFonts w:cs="Arial"/>
          <w:sz w:val="22"/>
          <w:szCs w:val="22"/>
        </w:rPr>
        <w:t xml:space="preserve">Uredba (EU, EURATOM) št. </w:t>
      </w:r>
      <w:r w:rsidRPr="00F52F75" w:rsidDel="003D186F">
        <w:rPr>
          <w:rFonts w:cs="Arial"/>
          <w:b/>
          <w:sz w:val="22"/>
          <w:szCs w:val="22"/>
        </w:rPr>
        <w:t>966/2012</w:t>
      </w:r>
      <w:r w:rsidRPr="00F52F75" w:rsidDel="003D186F">
        <w:rPr>
          <w:rFonts w:cs="Arial"/>
          <w:sz w:val="22"/>
          <w:szCs w:val="22"/>
        </w:rPr>
        <w:t xml:space="preserve"> Evropskega parlamenta in Sveta z dne 25. oktobra 2012, o finančnih pravilih, ki se uporabljajo za splošni proračun Unije in razveljavitvi Uredbe Sveta (ES, Euratom) št. 1605/2002</w:t>
      </w:r>
      <w:r w:rsidRPr="00F52F75">
        <w:rPr>
          <w:rFonts w:cs="Arial"/>
          <w:sz w:val="22"/>
          <w:szCs w:val="22"/>
        </w:rPr>
        <w:t>,</w:t>
      </w:r>
    </w:p>
    <w:p w14:paraId="308CD3D5" w14:textId="77777777" w:rsidR="004912DC" w:rsidRPr="00F52F75" w:rsidRDefault="003F3255" w:rsidP="004912DC">
      <w:pPr>
        <w:numPr>
          <w:ilvl w:val="0"/>
          <w:numId w:val="13"/>
        </w:numPr>
        <w:spacing w:line="240" w:lineRule="auto"/>
        <w:jc w:val="both"/>
        <w:rPr>
          <w:rFonts w:cs="Arial"/>
          <w:sz w:val="22"/>
          <w:szCs w:val="22"/>
        </w:rPr>
      </w:pPr>
      <w:hyperlink r:id="rId12" w:history="1">
        <w:r w:rsidR="004912DC" w:rsidRPr="00F52F75" w:rsidDel="003D186F">
          <w:rPr>
            <w:rFonts w:cs="Arial"/>
            <w:sz w:val="22"/>
            <w:szCs w:val="22"/>
          </w:rPr>
          <w:t>Uredba (EU) št.</w:t>
        </w:r>
        <w:r w:rsidR="004912DC" w:rsidRPr="00F52F75">
          <w:rPr>
            <w:rFonts w:cs="Arial"/>
            <w:sz w:val="22"/>
            <w:szCs w:val="22"/>
          </w:rPr>
          <w:t xml:space="preserve"> </w:t>
        </w:r>
        <w:r w:rsidR="004912DC" w:rsidRPr="00F52F75" w:rsidDel="003D186F">
          <w:rPr>
            <w:rFonts w:cs="Arial"/>
            <w:b/>
            <w:sz w:val="22"/>
            <w:szCs w:val="22"/>
          </w:rPr>
          <w:t>1303/2013</w:t>
        </w:r>
        <w:r w:rsidR="004912DC" w:rsidRPr="00F52F75" w:rsidDel="003D186F">
          <w:rPr>
            <w:rFonts w:cs="Arial"/>
            <w:sz w:val="22"/>
            <w:szCs w:val="22"/>
          </w:rPr>
          <w:t xml:space="preserve">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w:t>
        </w:r>
      </w:hyperlink>
      <w:r w:rsidR="004912DC" w:rsidRPr="00F52F75" w:rsidDel="003D186F">
        <w:rPr>
          <w:rFonts w:cs="Arial"/>
          <w:sz w:val="22"/>
          <w:szCs w:val="22"/>
        </w:rPr>
        <w:t xml:space="preserve"> (Uradni list EU, št. 347, 20.12.2013),</w:t>
      </w:r>
    </w:p>
    <w:p w14:paraId="25A76DA5" w14:textId="77777777" w:rsidR="004912DC" w:rsidRPr="00F52F75" w:rsidRDefault="004912DC" w:rsidP="004912DC">
      <w:pPr>
        <w:numPr>
          <w:ilvl w:val="0"/>
          <w:numId w:val="13"/>
        </w:numPr>
        <w:spacing w:line="240" w:lineRule="auto"/>
        <w:jc w:val="both"/>
        <w:rPr>
          <w:rFonts w:cs="Arial"/>
          <w:sz w:val="22"/>
          <w:szCs w:val="22"/>
        </w:rPr>
      </w:pPr>
      <w:r w:rsidRPr="00F52F75">
        <w:rPr>
          <w:rFonts w:cs="Arial"/>
          <w:sz w:val="22"/>
          <w:szCs w:val="22"/>
        </w:rPr>
        <w:t xml:space="preserve">Delegirana uredba Komisije (EU) št. </w:t>
      </w:r>
      <w:r w:rsidRPr="00F52F75">
        <w:rPr>
          <w:rFonts w:cs="Arial"/>
          <w:b/>
          <w:sz w:val="22"/>
          <w:szCs w:val="22"/>
        </w:rPr>
        <w:t>480/2014</w:t>
      </w:r>
      <w:r w:rsidRPr="00F52F75">
        <w:rPr>
          <w:rFonts w:cs="Arial"/>
          <w:sz w:val="22"/>
          <w:szCs w:val="22"/>
        </w:rPr>
        <w:t xml:space="preserve"> z dne 3. marca 2014 o dopolnitvi Uredbe </w:t>
      </w:r>
      <w:r w:rsidRPr="00F52F75" w:rsidDel="003D186F">
        <w:rPr>
          <w:rFonts w:cs="Arial"/>
          <w:sz w:val="22"/>
          <w:szCs w:val="22"/>
        </w:rPr>
        <w:t>(EU)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w:t>
      </w:r>
      <w:r w:rsidRPr="00F52F75">
        <w:rPr>
          <w:rFonts w:cs="Arial"/>
          <w:sz w:val="22"/>
          <w:szCs w:val="22"/>
        </w:rPr>
        <w:t xml:space="preserve">, </w:t>
      </w:r>
    </w:p>
    <w:p w14:paraId="23260F8F" w14:textId="77777777" w:rsidR="004912DC" w:rsidRPr="00F52F75" w:rsidRDefault="004912DC" w:rsidP="004912DC">
      <w:pPr>
        <w:numPr>
          <w:ilvl w:val="0"/>
          <w:numId w:val="13"/>
        </w:numPr>
        <w:spacing w:line="240" w:lineRule="auto"/>
        <w:jc w:val="both"/>
        <w:rPr>
          <w:rFonts w:cs="Arial"/>
          <w:sz w:val="22"/>
          <w:szCs w:val="22"/>
        </w:rPr>
      </w:pPr>
      <w:r w:rsidRPr="00F52F75">
        <w:rPr>
          <w:rFonts w:cs="Arial"/>
          <w:sz w:val="22"/>
          <w:szCs w:val="22"/>
        </w:rPr>
        <w:t xml:space="preserve">Izvedbena uredba Komisije (EU) št. </w:t>
      </w:r>
      <w:r w:rsidRPr="00F52F75">
        <w:rPr>
          <w:rFonts w:cs="Arial"/>
          <w:b/>
          <w:sz w:val="22"/>
          <w:szCs w:val="22"/>
        </w:rPr>
        <w:t>821/2014</w:t>
      </w:r>
      <w:r w:rsidRPr="00F52F75">
        <w:rPr>
          <w:rFonts w:cs="Arial"/>
          <w:sz w:val="22"/>
          <w:szCs w:val="22"/>
        </w:rPr>
        <w:t xml:space="preserve"> z dne 28. julija 2014 o pravilih za uporabo Uredbe (EU) št. 1303/2013 Evropskega parlamenta in Sveta glede podrobne ureditve prenosa in upravljanja prispevkov iz programov, poročanja o finančnih instrumentih, tehničnih značilnosti ukrepov obveščanja in komuniciranja za operacije ter sistema za beleženje in shranjevanje podatkov,</w:t>
      </w:r>
    </w:p>
    <w:p w14:paraId="062FB8C5" w14:textId="77777777" w:rsidR="004912DC" w:rsidRPr="00F52F75" w:rsidRDefault="004912DC" w:rsidP="004912DC">
      <w:pPr>
        <w:numPr>
          <w:ilvl w:val="0"/>
          <w:numId w:val="13"/>
        </w:numPr>
        <w:spacing w:line="240" w:lineRule="auto"/>
        <w:jc w:val="both"/>
        <w:rPr>
          <w:rFonts w:cs="Arial"/>
          <w:sz w:val="22"/>
          <w:szCs w:val="22"/>
        </w:rPr>
      </w:pPr>
      <w:r w:rsidRPr="00F52F75">
        <w:rPr>
          <w:rFonts w:cs="Arial"/>
          <w:sz w:val="22"/>
          <w:szCs w:val="22"/>
        </w:rPr>
        <w:t xml:space="preserve">Izvedbena uredba Komisije (EU) št. </w:t>
      </w:r>
      <w:r w:rsidRPr="00F52F75">
        <w:rPr>
          <w:rFonts w:cs="Arial"/>
          <w:b/>
          <w:sz w:val="22"/>
          <w:szCs w:val="22"/>
        </w:rPr>
        <w:t>964/2014</w:t>
      </w:r>
      <w:r w:rsidRPr="00F52F75">
        <w:rPr>
          <w:rFonts w:cs="Arial"/>
          <w:sz w:val="22"/>
          <w:szCs w:val="22"/>
        </w:rPr>
        <w:t xml:space="preserve"> z dne 11. septembra 2014 o pravilih za uporabo Uredbe (EU) št. 1303/2013 Evropskega parlamenta in Sveta v zvezi s standardnimi pogoji za finančne instrumente uredba, </w:t>
      </w:r>
    </w:p>
    <w:p w14:paraId="6FD00C8B" w14:textId="77777777" w:rsidR="004912DC" w:rsidRPr="00F52F75" w:rsidRDefault="004912DC" w:rsidP="004912DC">
      <w:pPr>
        <w:numPr>
          <w:ilvl w:val="0"/>
          <w:numId w:val="13"/>
        </w:numPr>
        <w:spacing w:line="240" w:lineRule="auto"/>
        <w:jc w:val="both"/>
        <w:rPr>
          <w:rFonts w:cs="Arial"/>
          <w:sz w:val="22"/>
          <w:szCs w:val="22"/>
        </w:rPr>
      </w:pPr>
      <w:r w:rsidRPr="00F52F75">
        <w:rPr>
          <w:rFonts w:cs="Arial"/>
          <w:sz w:val="22"/>
          <w:szCs w:val="22"/>
        </w:rPr>
        <w:t xml:space="preserve">Izvedbena uredba Komisije (EU) </w:t>
      </w:r>
      <w:r w:rsidRPr="00F52F75">
        <w:rPr>
          <w:rFonts w:cs="Arial"/>
          <w:b/>
          <w:sz w:val="22"/>
          <w:szCs w:val="22"/>
        </w:rPr>
        <w:t>2015/207</w:t>
      </w:r>
      <w:r w:rsidRPr="00F52F75">
        <w:rPr>
          <w:rFonts w:cs="Arial"/>
          <w:sz w:val="22"/>
          <w:szCs w:val="22"/>
        </w:rPr>
        <w:t xml:space="preserve"> z dne 20. januarja 2015 o določitvi podrobnih pravil za izvajanje Uredbe (EU) št. 1303/2013 Evropskega parlamenta in Sveta v zvezi z vzorci za poročilo o napredku, predložitev informacij o velikem projektu, skupni akcijski načrt, poročila o izvajanju za cilj „naložbe za rast in delovna mesta“, izjavo o upravljanju, revizijsko strategijo, revizijsko mnenje in letno poročilo o nadzoru ter metodologijo, ki se uporabi pri izvajanju analize stroškov in koristi, in v skladu z Uredbo (EU) št. 1299/2013 Evropskega parlamenta in Sveta v zvezi z vzorcem za poročila o izvajanju za cilj „evropsko teritorialno sodelovanje“,</w:t>
      </w:r>
    </w:p>
    <w:p w14:paraId="1B7E2C6E" w14:textId="77777777" w:rsidR="004912DC" w:rsidRPr="00F52F75" w:rsidRDefault="004912DC" w:rsidP="004912DC">
      <w:pPr>
        <w:numPr>
          <w:ilvl w:val="0"/>
          <w:numId w:val="13"/>
        </w:numPr>
        <w:spacing w:line="240" w:lineRule="auto"/>
        <w:jc w:val="both"/>
        <w:rPr>
          <w:rFonts w:cs="Arial"/>
          <w:sz w:val="22"/>
          <w:szCs w:val="22"/>
        </w:rPr>
      </w:pPr>
      <w:r w:rsidRPr="00F52F75">
        <w:rPr>
          <w:rFonts w:cs="Arial"/>
          <w:sz w:val="22"/>
          <w:szCs w:val="22"/>
        </w:rPr>
        <w:t xml:space="preserve">Uredba Komisije (EU) št. </w:t>
      </w:r>
      <w:r w:rsidRPr="00F52F75">
        <w:rPr>
          <w:rFonts w:cs="Arial"/>
          <w:b/>
          <w:sz w:val="22"/>
          <w:szCs w:val="22"/>
        </w:rPr>
        <w:t>651/2014</w:t>
      </w:r>
      <w:r w:rsidRPr="00F52F75">
        <w:rPr>
          <w:rFonts w:cs="Arial"/>
          <w:sz w:val="22"/>
          <w:szCs w:val="22"/>
        </w:rPr>
        <w:t xml:space="preserve"> z dne 17. junija 2014 o razglasitvi nekaterih vrst pomoči za združljive z notranjim trgom pri uporabi členov 107 in 108 Pogodbe</w:t>
      </w:r>
      <w:r w:rsidRPr="00F52F75">
        <w:rPr>
          <w:rFonts w:cs="Arial"/>
          <w:sz w:val="22"/>
          <w:szCs w:val="22"/>
          <w:vertAlign w:val="superscript"/>
        </w:rPr>
        <w:footnoteReference w:id="2"/>
      </w:r>
      <w:r w:rsidRPr="00F52F75">
        <w:rPr>
          <w:rFonts w:cs="Arial"/>
          <w:sz w:val="22"/>
          <w:szCs w:val="22"/>
        </w:rPr>
        <w:t>,</w:t>
      </w:r>
    </w:p>
    <w:p w14:paraId="527B3C38" w14:textId="77777777" w:rsidR="004912DC" w:rsidRPr="00F52F75" w:rsidDel="003D186F" w:rsidRDefault="004912DC" w:rsidP="004912DC">
      <w:pPr>
        <w:numPr>
          <w:ilvl w:val="0"/>
          <w:numId w:val="13"/>
        </w:numPr>
        <w:spacing w:line="240" w:lineRule="auto"/>
        <w:jc w:val="both"/>
        <w:rPr>
          <w:rFonts w:cs="Arial"/>
          <w:sz w:val="22"/>
          <w:szCs w:val="22"/>
        </w:rPr>
      </w:pPr>
      <w:r w:rsidRPr="00F52F75">
        <w:rPr>
          <w:rFonts w:cs="Arial"/>
          <w:sz w:val="22"/>
          <w:szCs w:val="22"/>
        </w:rPr>
        <w:t xml:space="preserve">Uredba Komisije (EU) št. </w:t>
      </w:r>
      <w:r w:rsidRPr="00F52F75">
        <w:rPr>
          <w:rFonts w:cs="Arial"/>
          <w:b/>
          <w:sz w:val="22"/>
          <w:szCs w:val="22"/>
        </w:rPr>
        <w:t>1407/2013</w:t>
      </w:r>
      <w:r w:rsidRPr="00F52F75">
        <w:rPr>
          <w:rFonts w:cs="Arial"/>
          <w:sz w:val="22"/>
          <w:szCs w:val="22"/>
        </w:rPr>
        <w:t xml:space="preserve"> z dne 18. decembra 2013 o uporabi členov 107. in 108. Pogodbe o delovanju Evropske unije pri pomoči de minimis,</w:t>
      </w:r>
    </w:p>
    <w:p w14:paraId="5CC21C64" w14:textId="77777777" w:rsidR="004912DC" w:rsidRPr="00F52F75" w:rsidDel="003D186F" w:rsidRDefault="004912DC" w:rsidP="004912DC">
      <w:pPr>
        <w:numPr>
          <w:ilvl w:val="0"/>
          <w:numId w:val="13"/>
        </w:numPr>
        <w:spacing w:line="240" w:lineRule="auto"/>
        <w:jc w:val="both"/>
        <w:rPr>
          <w:rFonts w:cs="Arial"/>
          <w:sz w:val="22"/>
          <w:szCs w:val="22"/>
        </w:rPr>
      </w:pPr>
      <w:r w:rsidRPr="00F52F75" w:rsidDel="003D186F">
        <w:rPr>
          <w:rFonts w:cs="Arial"/>
          <w:sz w:val="22"/>
          <w:szCs w:val="22"/>
        </w:rPr>
        <w:t xml:space="preserve">Uredba o porabi sredstev evropske kohezijske politike v Republiki Sloveniji v programskem obdobju 2014-2020 za cilj naložbe za rast in delovna mesta (Uradni list RS, št. </w:t>
      </w:r>
      <w:r w:rsidRPr="00F52F75">
        <w:rPr>
          <w:rFonts w:cs="Arial"/>
          <w:sz w:val="22"/>
          <w:szCs w:val="22"/>
        </w:rPr>
        <w:t>29/15, 36/16, 58/16, 69/16 – popr., 15/17, 69/17 in 67/18</w:t>
      </w:r>
      <w:r w:rsidRPr="00F52F75" w:rsidDel="003D186F">
        <w:rPr>
          <w:rFonts w:cs="Arial"/>
          <w:sz w:val="22"/>
          <w:szCs w:val="22"/>
        </w:rPr>
        <w:t>),</w:t>
      </w:r>
    </w:p>
    <w:p w14:paraId="1DC7FF53" w14:textId="77777777" w:rsidR="004912DC" w:rsidRPr="00F52F75" w:rsidRDefault="004912DC" w:rsidP="004912DC">
      <w:pPr>
        <w:numPr>
          <w:ilvl w:val="0"/>
          <w:numId w:val="13"/>
        </w:numPr>
        <w:spacing w:line="240" w:lineRule="auto"/>
        <w:jc w:val="both"/>
        <w:rPr>
          <w:rFonts w:cs="Arial"/>
          <w:sz w:val="22"/>
          <w:szCs w:val="22"/>
        </w:rPr>
      </w:pPr>
      <w:r w:rsidRPr="00F52F75">
        <w:rPr>
          <w:rFonts w:cs="Arial"/>
          <w:sz w:val="22"/>
          <w:szCs w:val="22"/>
        </w:rPr>
        <w:t>Zakon o javnem naročanju (Uradni list RS, št. 91/15 in 14/18),</w:t>
      </w:r>
    </w:p>
    <w:p w14:paraId="1C9AC236" w14:textId="77777777" w:rsidR="004912DC" w:rsidRPr="00F52F75" w:rsidDel="003D186F" w:rsidRDefault="004912DC" w:rsidP="004912DC">
      <w:pPr>
        <w:numPr>
          <w:ilvl w:val="0"/>
          <w:numId w:val="13"/>
        </w:numPr>
        <w:spacing w:line="240" w:lineRule="auto"/>
        <w:jc w:val="both"/>
        <w:rPr>
          <w:rFonts w:cs="Arial"/>
          <w:sz w:val="22"/>
          <w:szCs w:val="22"/>
        </w:rPr>
      </w:pPr>
      <w:r w:rsidRPr="00F52F75">
        <w:rPr>
          <w:rFonts w:cs="Arial"/>
          <w:sz w:val="22"/>
          <w:szCs w:val="22"/>
        </w:rPr>
        <w:t>Zakon o javnih financah (Uradni list RS, št. 11/11 – uradno prečiščeno besedilo, 14/13 – popr., 101/13, 55/15 – ZFisP, 96/15 – ZIPRS1617 in 13/18),</w:t>
      </w:r>
    </w:p>
    <w:p w14:paraId="781947CA" w14:textId="77777777" w:rsidR="004912DC" w:rsidRPr="00F52F75" w:rsidRDefault="004912DC" w:rsidP="004912DC">
      <w:pPr>
        <w:numPr>
          <w:ilvl w:val="0"/>
          <w:numId w:val="13"/>
        </w:numPr>
        <w:spacing w:line="240" w:lineRule="auto"/>
        <w:jc w:val="both"/>
        <w:rPr>
          <w:rFonts w:cs="Arial"/>
          <w:sz w:val="22"/>
          <w:szCs w:val="22"/>
        </w:rPr>
      </w:pPr>
      <w:r w:rsidRPr="00F52F75" w:rsidDel="003D186F">
        <w:rPr>
          <w:rFonts w:cs="Arial"/>
          <w:sz w:val="22"/>
          <w:szCs w:val="22"/>
        </w:rPr>
        <w:lastRenderedPageBreak/>
        <w:t>Uredba o postopku, merilih in načinih dodeljevanja sredstev za spodbujanje razvojnih programov in prednostnih nalog (Uradni list RS, št. 56/11),</w:t>
      </w:r>
    </w:p>
    <w:p w14:paraId="7CE3F6BB" w14:textId="77777777" w:rsidR="004912DC" w:rsidRPr="00F52F75" w:rsidDel="003D186F" w:rsidRDefault="004912DC" w:rsidP="004912DC">
      <w:pPr>
        <w:numPr>
          <w:ilvl w:val="0"/>
          <w:numId w:val="13"/>
        </w:numPr>
        <w:spacing w:line="240" w:lineRule="auto"/>
        <w:jc w:val="both"/>
        <w:rPr>
          <w:rFonts w:cs="Arial"/>
          <w:sz w:val="22"/>
          <w:szCs w:val="22"/>
        </w:rPr>
      </w:pPr>
      <w:r w:rsidRPr="00F52F75">
        <w:rPr>
          <w:rFonts w:cs="Arial"/>
          <w:sz w:val="22"/>
          <w:szCs w:val="22"/>
        </w:rPr>
        <w:t>Navodila OU in smernice EK,</w:t>
      </w:r>
    </w:p>
    <w:p w14:paraId="507D68EE" w14:textId="77777777" w:rsidR="004912DC" w:rsidRPr="00F52F75" w:rsidDel="003D186F" w:rsidRDefault="004912DC" w:rsidP="004912DC">
      <w:pPr>
        <w:numPr>
          <w:ilvl w:val="0"/>
          <w:numId w:val="13"/>
        </w:numPr>
        <w:spacing w:line="240" w:lineRule="auto"/>
        <w:jc w:val="both"/>
        <w:rPr>
          <w:rFonts w:cs="Arial"/>
          <w:sz w:val="22"/>
          <w:szCs w:val="22"/>
        </w:rPr>
      </w:pPr>
      <w:r w:rsidRPr="00F52F75" w:rsidDel="003D186F">
        <w:rPr>
          <w:rFonts w:cs="Arial"/>
          <w:sz w:val="22"/>
          <w:szCs w:val="22"/>
        </w:rPr>
        <w:t>Operativni program za izvajanje evropske kohezijske politike za programsko obdobje 2014 – 2020 (prednostne osi 1, 3, 4, 6),</w:t>
      </w:r>
    </w:p>
    <w:p w14:paraId="762F5C2F" w14:textId="77777777" w:rsidR="004912DC" w:rsidRPr="00F52F75" w:rsidRDefault="004912DC" w:rsidP="004912DC">
      <w:pPr>
        <w:numPr>
          <w:ilvl w:val="0"/>
          <w:numId w:val="13"/>
        </w:numPr>
        <w:spacing w:line="240" w:lineRule="auto"/>
        <w:jc w:val="both"/>
        <w:rPr>
          <w:rFonts w:cs="Arial"/>
          <w:sz w:val="22"/>
          <w:szCs w:val="22"/>
        </w:rPr>
      </w:pPr>
      <w:r w:rsidRPr="00F52F75">
        <w:rPr>
          <w:rFonts w:cs="Arial"/>
          <w:sz w:val="22"/>
          <w:szCs w:val="22"/>
        </w:rPr>
        <w:t>Program izvajanja finančnih spodbud Ministrstva za gospodarski razvoj in tehnologijo 2015 – 2020,</w:t>
      </w:r>
    </w:p>
    <w:p w14:paraId="11F05C3B" w14:textId="05DC7391" w:rsidR="004912DC" w:rsidRPr="00F52F75" w:rsidRDefault="004912DC" w:rsidP="004912DC">
      <w:pPr>
        <w:numPr>
          <w:ilvl w:val="0"/>
          <w:numId w:val="13"/>
        </w:numPr>
        <w:spacing w:line="240" w:lineRule="auto"/>
        <w:jc w:val="both"/>
        <w:rPr>
          <w:rFonts w:cs="Arial"/>
          <w:sz w:val="22"/>
          <w:szCs w:val="22"/>
        </w:rPr>
      </w:pPr>
      <w:r w:rsidRPr="00F52F75">
        <w:rPr>
          <w:rFonts w:cs="Arial"/>
          <w:sz w:val="22"/>
          <w:szCs w:val="22"/>
        </w:rPr>
        <w:t>Sporočilo Komisije - Začasni okvir za ukrepe državne pomoči v podporo gospodarstvu ob izbruhu COVID-19 2020/C 91 I/01, C/2020/1863, OJ C 91I , 20.3.2020 z obema spremembama</w:t>
      </w:r>
      <w:r w:rsidR="00ED4E5A">
        <w:rPr>
          <w:rFonts w:cs="Arial"/>
          <w:sz w:val="22"/>
          <w:szCs w:val="22"/>
        </w:rPr>
        <w:t>.</w:t>
      </w:r>
    </w:p>
    <w:p w14:paraId="6683C291" w14:textId="77777777" w:rsidR="004912DC" w:rsidRPr="00F52F75" w:rsidRDefault="004912DC" w:rsidP="004912DC">
      <w:pPr>
        <w:jc w:val="both"/>
        <w:rPr>
          <w:rFonts w:cs="Arial"/>
          <w:sz w:val="22"/>
          <w:szCs w:val="22"/>
        </w:rPr>
      </w:pPr>
    </w:p>
    <w:p w14:paraId="67CC2CDC" w14:textId="77777777" w:rsidR="004912DC" w:rsidRPr="000F166D" w:rsidRDefault="004912DC" w:rsidP="004912DC">
      <w:pPr>
        <w:jc w:val="both"/>
        <w:rPr>
          <w:rFonts w:cs="Arial"/>
          <w:sz w:val="22"/>
          <w:szCs w:val="22"/>
        </w:rPr>
      </w:pPr>
      <w:r w:rsidRPr="000F166D">
        <w:rPr>
          <w:rFonts w:cs="Arial"/>
          <w:sz w:val="22"/>
          <w:szCs w:val="22"/>
        </w:rPr>
        <w:t>Vsebinski podlagi za pripravo in izvajanje FI sta:</w:t>
      </w:r>
    </w:p>
    <w:p w14:paraId="1EE1DB40" w14:textId="77777777" w:rsidR="004912DC" w:rsidRPr="000F166D" w:rsidDel="003D186F" w:rsidRDefault="004912DC" w:rsidP="004912DC">
      <w:pPr>
        <w:numPr>
          <w:ilvl w:val="0"/>
          <w:numId w:val="13"/>
        </w:numPr>
        <w:spacing w:line="240" w:lineRule="auto"/>
        <w:jc w:val="both"/>
        <w:rPr>
          <w:rFonts w:cs="Arial"/>
          <w:sz w:val="22"/>
          <w:szCs w:val="22"/>
        </w:rPr>
      </w:pPr>
      <w:r w:rsidRPr="000F166D" w:rsidDel="003D186F">
        <w:rPr>
          <w:rFonts w:cs="Arial"/>
          <w:sz w:val="22"/>
          <w:szCs w:val="22"/>
        </w:rPr>
        <w:t>Predhodna ocena finančnih instrumentov v Sloveniji – Končno poročilo (P</w:t>
      </w:r>
      <w:r w:rsidRPr="000F166D">
        <w:rPr>
          <w:rFonts w:cs="Arial"/>
          <w:sz w:val="22"/>
          <w:szCs w:val="22"/>
        </w:rPr>
        <w:t>W</w:t>
      </w:r>
      <w:r w:rsidRPr="000F166D" w:rsidDel="003D186F">
        <w:rPr>
          <w:rFonts w:cs="Arial"/>
          <w:sz w:val="22"/>
          <w:szCs w:val="22"/>
        </w:rPr>
        <w:t>C Svetovanje, d.o.o., november 2015),</w:t>
      </w:r>
    </w:p>
    <w:p w14:paraId="59A4EC3B" w14:textId="77777777" w:rsidR="004912DC" w:rsidRPr="000F166D" w:rsidDel="003D186F" w:rsidRDefault="004912DC" w:rsidP="004912DC">
      <w:pPr>
        <w:numPr>
          <w:ilvl w:val="0"/>
          <w:numId w:val="13"/>
        </w:numPr>
        <w:spacing w:line="240" w:lineRule="auto"/>
        <w:jc w:val="both"/>
        <w:rPr>
          <w:rFonts w:cs="Arial"/>
          <w:sz w:val="22"/>
          <w:szCs w:val="22"/>
        </w:rPr>
      </w:pPr>
      <w:r w:rsidRPr="000F166D" w:rsidDel="003D186F">
        <w:rPr>
          <w:rFonts w:cs="Arial"/>
          <w:sz w:val="22"/>
          <w:szCs w:val="22"/>
        </w:rPr>
        <w:t>Storitve strukturirane v okviru sklada za izvajanje finančnih instrumentov v Sloveniji, Končno poročilo, EIB, 13.7.201</w:t>
      </w:r>
      <w:r>
        <w:rPr>
          <w:rFonts w:cs="Arial"/>
          <w:sz w:val="22"/>
          <w:szCs w:val="22"/>
        </w:rPr>
        <w:t>6 (v nadaljevanju: EIB analiza).</w:t>
      </w:r>
    </w:p>
    <w:p w14:paraId="2707864D" w14:textId="77777777" w:rsidR="004912DC" w:rsidRPr="000F166D" w:rsidRDefault="004912DC" w:rsidP="004912DC">
      <w:pPr>
        <w:jc w:val="both"/>
        <w:rPr>
          <w:rFonts w:cs="Arial"/>
          <w:sz w:val="22"/>
          <w:szCs w:val="22"/>
        </w:rPr>
      </w:pPr>
    </w:p>
    <w:p w14:paraId="66B7FCE8" w14:textId="77777777" w:rsidR="004912DC" w:rsidRPr="000F166D" w:rsidRDefault="004912DC" w:rsidP="004912DC">
      <w:pPr>
        <w:jc w:val="both"/>
        <w:rPr>
          <w:rFonts w:cs="Arial"/>
          <w:sz w:val="22"/>
          <w:szCs w:val="22"/>
        </w:rPr>
      </w:pPr>
      <w:r w:rsidRPr="000F166D">
        <w:rPr>
          <w:rFonts w:cs="Arial"/>
          <w:sz w:val="22"/>
          <w:szCs w:val="22"/>
        </w:rPr>
        <w:t>Hkrati se glede na naravo FI prek strukture izvajanja FI in pogojev FI (vključno s cilji, definicijami, itd.) zasleduje načela krožnega gospodarstva.</w:t>
      </w:r>
    </w:p>
    <w:p w14:paraId="3B6E2E51" w14:textId="77777777" w:rsidR="004912DC" w:rsidRPr="000F166D" w:rsidRDefault="004912DC" w:rsidP="004912DC">
      <w:pPr>
        <w:jc w:val="both"/>
        <w:rPr>
          <w:rFonts w:cs="Arial"/>
          <w:sz w:val="22"/>
          <w:szCs w:val="22"/>
        </w:rPr>
      </w:pPr>
    </w:p>
    <w:p w14:paraId="0CF3B1B2" w14:textId="77777777" w:rsidR="004912DC" w:rsidRPr="000F166D" w:rsidRDefault="004912DC" w:rsidP="004912DC">
      <w:pPr>
        <w:jc w:val="both"/>
        <w:rPr>
          <w:rFonts w:cs="Arial"/>
          <w:sz w:val="22"/>
          <w:szCs w:val="22"/>
        </w:rPr>
      </w:pPr>
      <w:r w:rsidRPr="000F166D">
        <w:rPr>
          <w:rFonts w:cs="Arial"/>
          <w:sz w:val="22"/>
          <w:szCs w:val="22"/>
        </w:rPr>
        <w:t>Pristojna ministrstva vključijo upravljavca sklada skladov v usklajevanje glede sprememb ali priprave novih pravnih podlag oz. kogentnih predpisov, ki imajo lahko vpliv na izvajanje sklada skladov ali FI.</w:t>
      </w:r>
    </w:p>
    <w:p w14:paraId="7BF4AC16" w14:textId="77777777" w:rsidR="004912DC" w:rsidRPr="000F166D" w:rsidRDefault="004912DC" w:rsidP="004912DC">
      <w:pPr>
        <w:jc w:val="both"/>
        <w:rPr>
          <w:rFonts w:cs="Arial"/>
          <w:sz w:val="22"/>
          <w:szCs w:val="22"/>
        </w:rPr>
      </w:pPr>
    </w:p>
    <w:p w14:paraId="747AD18F" w14:textId="77777777" w:rsidR="004912DC" w:rsidRPr="000F166D" w:rsidRDefault="004912DC" w:rsidP="004912DC">
      <w:pPr>
        <w:jc w:val="both"/>
        <w:rPr>
          <w:rFonts w:cs="Arial"/>
          <w:sz w:val="22"/>
          <w:szCs w:val="22"/>
        </w:rPr>
      </w:pPr>
      <w:r w:rsidRPr="000F166D">
        <w:rPr>
          <w:rFonts w:cs="Arial"/>
          <w:sz w:val="22"/>
          <w:szCs w:val="22"/>
        </w:rPr>
        <w:t xml:space="preserve">FI se bodo izvajali skladno </w:t>
      </w:r>
      <w:r w:rsidRPr="000F166D">
        <w:rPr>
          <w:rFonts w:cs="Arial"/>
          <w:b/>
          <w:sz w:val="22"/>
          <w:szCs w:val="22"/>
        </w:rPr>
        <w:t>z OP 2014 – 2020</w:t>
      </w:r>
      <w:r w:rsidRPr="000F166D">
        <w:rPr>
          <w:rFonts w:cs="Arial"/>
          <w:sz w:val="22"/>
          <w:szCs w:val="22"/>
        </w:rPr>
        <w:t xml:space="preserve"> v okviru naslednjih prednostnih naložb:</w:t>
      </w:r>
    </w:p>
    <w:p w14:paraId="26C647AC" w14:textId="77777777" w:rsidR="004912DC" w:rsidRPr="000F166D" w:rsidRDefault="004912DC" w:rsidP="004912DC">
      <w:pPr>
        <w:jc w:val="both"/>
        <w:rPr>
          <w:rFonts w:cs="Arial"/>
          <w:sz w:val="22"/>
          <w:szCs w:val="22"/>
        </w:rPr>
      </w:pPr>
    </w:p>
    <w:p w14:paraId="1FB85A8B" w14:textId="77777777" w:rsidR="004912DC" w:rsidRPr="000F166D" w:rsidRDefault="004912DC" w:rsidP="004912DC">
      <w:pPr>
        <w:jc w:val="both"/>
        <w:rPr>
          <w:rFonts w:cs="Arial"/>
          <w:sz w:val="22"/>
          <w:szCs w:val="22"/>
        </w:rPr>
      </w:pPr>
      <w:r w:rsidRPr="000F166D">
        <w:rPr>
          <w:rFonts w:cs="Arial"/>
          <w:b/>
          <w:sz w:val="22"/>
          <w:szCs w:val="22"/>
        </w:rPr>
        <w:t>1.2 prednostna naložba:</w:t>
      </w:r>
      <w:r w:rsidRPr="000F166D">
        <w:rPr>
          <w:rFonts w:cs="Arial"/>
          <w:sz w:val="22"/>
          <w:szCs w:val="22"/>
        </w:rPr>
        <w:t xml:space="preserve"> </w:t>
      </w:r>
      <w:r w:rsidRPr="000F166D">
        <w:rPr>
          <w:rFonts w:cs="Arial"/>
          <w:bCs/>
          <w:iCs/>
          <w:sz w:val="22"/>
          <w:szCs w:val="22"/>
        </w:rPr>
        <w:t>Spodbujanje naložb podjetij v raziskave, razvoj in inovacije ter vzpostavljanje povezav in sinergij med podjetji, centri za raziskave in razvoj ter visokošolskimi izobraževalnimi ustanovami.</w:t>
      </w:r>
    </w:p>
    <w:p w14:paraId="7E763DCA" w14:textId="77777777" w:rsidR="004912DC" w:rsidRPr="000F166D" w:rsidRDefault="004912DC" w:rsidP="004912DC">
      <w:pPr>
        <w:jc w:val="both"/>
        <w:rPr>
          <w:rFonts w:cs="Arial"/>
          <w:bCs/>
          <w:iCs/>
          <w:sz w:val="22"/>
          <w:szCs w:val="22"/>
        </w:rPr>
      </w:pPr>
    </w:p>
    <w:p w14:paraId="192D7089" w14:textId="77777777" w:rsidR="004912DC" w:rsidRPr="000F166D" w:rsidRDefault="004912DC" w:rsidP="004912DC">
      <w:pPr>
        <w:jc w:val="both"/>
        <w:rPr>
          <w:rFonts w:cs="Arial"/>
          <w:bCs/>
          <w:iCs/>
          <w:sz w:val="22"/>
          <w:szCs w:val="22"/>
        </w:rPr>
      </w:pPr>
      <w:r w:rsidRPr="000F166D">
        <w:rPr>
          <w:rFonts w:eastAsia="Calibri" w:cs="Arial"/>
          <w:color w:val="000000"/>
          <w:sz w:val="22"/>
          <w:szCs w:val="22"/>
        </w:rPr>
        <w:t xml:space="preserve">Sredstva namenjena prednostni naložbi 1.2 se v skladu z OP 2014-2020 namenijo </w:t>
      </w:r>
      <w:r w:rsidRPr="000F166D">
        <w:rPr>
          <w:rFonts w:cs="Arial"/>
          <w:bCs/>
          <w:iCs/>
          <w:sz w:val="22"/>
          <w:szCs w:val="22"/>
        </w:rPr>
        <w:t xml:space="preserve">povečanju deleža inovacijsko aktivnih podjetij. Vrste in primeri področij, ki jim je namenjena podpora, in njihovega pričakovanega prispevka k specifičnim ciljem so predvidoma: </w:t>
      </w:r>
    </w:p>
    <w:p w14:paraId="7F42FEDF" w14:textId="77777777" w:rsidR="004912DC" w:rsidRPr="000F166D" w:rsidRDefault="004912DC" w:rsidP="004912DC">
      <w:pPr>
        <w:numPr>
          <w:ilvl w:val="0"/>
          <w:numId w:val="13"/>
        </w:numPr>
        <w:spacing w:line="240" w:lineRule="auto"/>
        <w:jc w:val="both"/>
        <w:rPr>
          <w:rFonts w:eastAsia="Calibri" w:cs="Arial"/>
          <w:bCs/>
          <w:iCs/>
          <w:sz w:val="22"/>
          <w:szCs w:val="22"/>
        </w:rPr>
      </w:pPr>
      <w:r w:rsidRPr="000F166D">
        <w:rPr>
          <w:rFonts w:eastAsia="Calibri" w:cs="Arial"/>
          <w:bCs/>
          <w:iCs/>
          <w:sz w:val="22"/>
          <w:szCs w:val="22"/>
        </w:rPr>
        <w:t xml:space="preserve">mreženje in krepitev vezi ter sinergij v inovacijskem sistemu, </w:t>
      </w:r>
    </w:p>
    <w:p w14:paraId="4838BFAD" w14:textId="77777777" w:rsidR="004912DC" w:rsidRPr="000F166D" w:rsidRDefault="004912DC" w:rsidP="004912DC">
      <w:pPr>
        <w:numPr>
          <w:ilvl w:val="0"/>
          <w:numId w:val="13"/>
        </w:numPr>
        <w:spacing w:line="240" w:lineRule="auto"/>
        <w:jc w:val="both"/>
        <w:rPr>
          <w:rFonts w:eastAsia="Calibri" w:cs="Arial"/>
          <w:bCs/>
          <w:iCs/>
          <w:sz w:val="22"/>
          <w:szCs w:val="22"/>
        </w:rPr>
      </w:pPr>
      <w:r w:rsidRPr="000F166D">
        <w:rPr>
          <w:rFonts w:eastAsia="Calibri" w:cs="Arial"/>
          <w:bCs/>
          <w:iCs/>
          <w:sz w:val="22"/>
          <w:szCs w:val="22"/>
        </w:rPr>
        <w:t xml:space="preserve">spodbujanje inovacijskih procesov in z njimi povezanih naložb (aplikativne raziskave, vlaganja v netehnološke inovacije, eko inovacije in pilotne linije, zgodnje validacije, napredne proizvodnje zmogljivosti in začetno proizvodnjo na področju ključnih omogočitvenih tehnologij), </w:t>
      </w:r>
    </w:p>
    <w:p w14:paraId="441E23B1" w14:textId="77777777" w:rsidR="004912DC" w:rsidRPr="000F166D" w:rsidRDefault="004912DC" w:rsidP="004912DC">
      <w:pPr>
        <w:numPr>
          <w:ilvl w:val="0"/>
          <w:numId w:val="13"/>
        </w:numPr>
        <w:spacing w:line="240" w:lineRule="auto"/>
        <w:jc w:val="both"/>
        <w:rPr>
          <w:rFonts w:eastAsia="Calibri" w:cs="Arial"/>
          <w:bCs/>
          <w:iCs/>
          <w:sz w:val="22"/>
          <w:szCs w:val="22"/>
        </w:rPr>
      </w:pPr>
      <w:r w:rsidRPr="000F166D">
        <w:rPr>
          <w:rFonts w:eastAsia="Calibri" w:cs="Arial"/>
          <w:bCs/>
          <w:iCs/>
          <w:sz w:val="22"/>
          <w:szCs w:val="22"/>
        </w:rPr>
        <w:t xml:space="preserve">podpora projektom za razvoj in testiranje inovacij v praksi, </w:t>
      </w:r>
    </w:p>
    <w:p w14:paraId="534C20F4" w14:textId="77777777" w:rsidR="004912DC" w:rsidRPr="000F166D" w:rsidRDefault="004912DC" w:rsidP="004912DC">
      <w:pPr>
        <w:numPr>
          <w:ilvl w:val="0"/>
          <w:numId w:val="13"/>
        </w:numPr>
        <w:spacing w:line="240" w:lineRule="auto"/>
        <w:jc w:val="both"/>
        <w:rPr>
          <w:rFonts w:eastAsia="Calibri" w:cs="Arial"/>
          <w:bCs/>
          <w:iCs/>
          <w:sz w:val="22"/>
          <w:szCs w:val="22"/>
        </w:rPr>
      </w:pPr>
      <w:r w:rsidRPr="000F166D">
        <w:rPr>
          <w:rFonts w:eastAsia="Calibri" w:cs="Arial"/>
          <w:bCs/>
          <w:iCs/>
          <w:sz w:val="22"/>
          <w:szCs w:val="22"/>
        </w:rPr>
        <w:t>komercializacija razvitih rešitev in spodbujanje povpraševanja,</w:t>
      </w:r>
    </w:p>
    <w:p w14:paraId="2A9920CF" w14:textId="77777777" w:rsidR="004912DC" w:rsidRDefault="004912DC" w:rsidP="004912DC">
      <w:pPr>
        <w:numPr>
          <w:ilvl w:val="0"/>
          <w:numId w:val="13"/>
        </w:numPr>
        <w:spacing w:after="240" w:line="240" w:lineRule="auto"/>
        <w:jc w:val="both"/>
        <w:rPr>
          <w:rFonts w:eastAsia="Calibri" w:cs="Arial"/>
          <w:bCs/>
          <w:iCs/>
          <w:sz w:val="22"/>
          <w:szCs w:val="22"/>
        </w:rPr>
      </w:pPr>
      <w:r w:rsidRPr="000F166D">
        <w:rPr>
          <w:rFonts w:eastAsia="Calibri" w:cs="Arial"/>
          <w:bCs/>
          <w:iCs/>
          <w:sz w:val="22"/>
          <w:szCs w:val="22"/>
        </w:rPr>
        <w:t>krepitev razvojnih kompetenc.</w:t>
      </w:r>
    </w:p>
    <w:p w14:paraId="695A8C27" w14:textId="77777777" w:rsidR="004912DC" w:rsidRPr="000F166D" w:rsidRDefault="004912DC" w:rsidP="004912DC">
      <w:pPr>
        <w:jc w:val="both"/>
        <w:rPr>
          <w:rFonts w:cs="Arial"/>
          <w:sz w:val="22"/>
          <w:szCs w:val="22"/>
        </w:rPr>
      </w:pPr>
      <w:r w:rsidRPr="000F166D">
        <w:rPr>
          <w:rFonts w:cs="Arial"/>
          <w:b/>
          <w:sz w:val="22"/>
          <w:szCs w:val="22"/>
        </w:rPr>
        <w:t>3.1 prednostna naložba:</w:t>
      </w:r>
      <w:r w:rsidRPr="000F166D">
        <w:rPr>
          <w:rFonts w:cs="Arial"/>
          <w:sz w:val="22"/>
          <w:szCs w:val="22"/>
        </w:rPr>
        <w:t xml:space="preserve"> Spodbujanje podjetništva, zlasti z omogočanjem lažje gospodarske izrabe novih idej in spodbujanjem ustanavljanja novih podjetij, vključno s podjetniškimi inkubatorji.</w:t>
      </w:r>
    </w:p>
    <w:p w14:paraId="51BFB378" w14:textId="77777777" w:rsidR="004912DC" w:rsidRPr="000F166D" w:rsidRDefault="004912DC" w:rsidP="004912DC">
      <w:pPr>
        <w:jc w:val="both"/>
        <w:rPr>
          <w:rFonts w:cs="Arial"/>
          <w:sz w:val="22"/>
          <w:szCs w:val="22"/>
        </w:rPr>
      </w:pPr>
    </w:p>
    <w:p w14:paraId="4254F3BC" w14:textId="77777777" w:rsidR="004912DC" w:rsidRPr="000F166D" w:rsidRDefault="004912DC" w:rsidP="004912DC">
      <w:pPr>
        <w:autoSpaceDE w:val="0"/>
        <w:autoSpaceDN w:val="0"/>
        <w:adjustRightInd w:val="0"/>
        <w:jc w:val="both"/>
        <w:rPr>
          <w:rFonts w:eastAsia="Calibri" w:cs="Arial"/>
          <w:color w:val="000000"/>
          <w:sz w:val="22"/>
          <w:szCs w:val="22"/>
        </w:rPr>
      </w:pPr>
      <w:r w:rsidRPr="000F166D">
        <w:rPr>
          <w:rFonts w:eastAsia="Calibri" w:cs="Arial"/>
          <w:color w:val="000000"/>
          <w:sz w:val="22"/>
          <w:szCs w:val="22"/>
        </w:rPr>
        <w:t>Sredstva namenjena prednostni naložbi 3.1 se v skladu z OP 2014-2020, namenijo za:</w:t>
      </w:r>
    </w:p>
    <w:p w14:paraId="501757C6" w14:textId="77777777" w:rsidR="004912DC" w:rsidRPr="000F166D" w:rsidRDefault="004912DC" w:rsidP="004912DC">
      <w:pPr>
        <w:numPr>
          <w:ilvl w:val="0"/>
          <w:numId w:val="13"/>
        </w:numPr>
        <w:autoSpaceDE w:val="0"/>
        <w:autoSpaceDN w:val="0"/>
        <w:adjustRightInd w:val="0"/>
        <w:spacing w:line="240" w:lineRule="auto"/>
        <w:jc w:val="both"/>
        <w:rPr>
          <w:rFonts w:eastAsia="Calibri" w:cs="Arial"/>
          <w:color w:val="000000"/>
          <w:sz w:val="22"/>
          <w:szCs w:val="22"/>
        </w:rPr>
      </w:pPr>
      <w:r w:rsidRPr="000F166D">
        <w:rPr>
          <w:rFonts w:eastAsia="Calibri" w:cs="Arial"/>
          <w:color w:val="000000"/>
          <w:sz w:val="22"/>
          <w:szCs w:val="22"/>
        </w:rPr>
        <w:t>spodbujanje nastajanja in delovanja podjetij, predvsem start-up podjetij (specifični cilj 1). Cilj je povečanje podjetniške dinamike, ki se izraža v večjem številu novonastalih podjetij, ki zaposlujejo in se uspešno odzivajo na potrebe trga. Še posebno pomembna so t.i</w:t>
      </w:r>
      <w:r>
        <w:rPr>
          <w:rFonts w:eastAsia="Calibri" w:cs="Arial"/>
          <w:color w:val="000000"/>
          <w:sz w:val="22"/>
          <w:szCs w:val="22"/>
        </w:rPr>
        <w:t>.</w:t>
      </w:r>
      <w:r w:rsidRPr="000F166D">
        <w:rPr>
          <w:rFonts w:eastAsia="Calibri" w:cs="Arial"/>
          <w:color w:val="000000"/>
          <w:sz w:val="22"/>
          <w:szCs w:val="22"/>
        </w:rPr>
        <w:t xml:space="preserve"> start-up podjetja.</w:t>
      </w:r>
    </w:p>
    <w:p w14:paraId="2A8F3706" w14:textId="77777777" w:rsidR="004912DC" w:rsidRDefault="004912DC" w:rsidP="004912DC">
      <w:pPr>
        <w:numPr>
          <w:ilvl w:val="0"/>
          <w:numId w:val="13"/>
        </w:numPr>
        <w:autoSpaceDE w:val="0"/>
        <w:autoSpaceDN w:val="0"/>
        <w:adjustRightInd w:val="0"/>
        <w:spacing w:after="240" w:line="240" w:lineRule="auto"/>
        <w:jc w:val="both"/>
        <w:rPr>
          <w:rFonts w:eastAsia="Calibri" w:cs="Arial"/>
          <w:color w:val="000000"/>
          <w:sz w:val="22"/>
          <w:szCs w:val="22"/>
        </w:rPr>
      </w:pPr>
      <w:r w:rsidRPr="000F166D">
        <w:rPr>
          <w:rFonts w:eastAsia="Calibri" w:cs="Arial"/>
          <w:color w:val="000000"/>
          <w:sz w:val="22"/>
          <w:szCs w:val="22"/>
        </w:rPr>
        <w:lastRenderedPageBreak/>
        <w:t>spodbujanje rasti MSP, predvsem hitro-rastočih podjetij, kar se bo odražalo v povečanju dodane vrednosti MSP (specifični cilj 2). Cilj je (i) rast in razvoj MSP preko spodbujanja inovativnosti in ustvarjalnosti, tehnološkega in netehnološkega razvoja in razvojnih vlaganj podjetij ter (ii) izboljšanje energetske in snovne učinkovitosti podjetij.</w:t>
      </w:r>
    </w:p>
    <w:p w14:paraId="29779699" w14:textId="77777777" w:rsidR="004912DC" w:rsidRPr="000F166D" w:rsidRDefault="004912DC" w:rsidP="004912DC">
      <w:pPr>
        <w:jc w:val="both"/>
        <w:rPr>
          <w:rFonts w:cs="Arial"/>
          <w:sz w:val="22"/>
          <w:szCs w:val="22"/>
        </w:rPr>
      </w:pPr>
      <w:r w:rsidRPr="000F166D">
        <w:rPr>
          <w:rFonts w:cs="Arial"/>
          <w:b/>
          <w:sz w:val="22"/>
          <w:szCs w:val="22"/>
        </w:rPr>
        <w:t>4.1 prednostna naložba:</w:t>
      </w:r>
      <w:r w:rsidRPr="000F166D">
        <w:rPr>
          <w:rFonts w:cs="Arial"/>
          <w:sz w:val="22"/>
          <w:szCs w:val="22"/>
        </w:rPr>
        <w:t xml:space="preserve"> Spodbujanje energetske učinkovitosti, pametnega upravljanja z energijo in uporabe obnovljivih virov energije v javni infrastrukturi, vključno z javnimi stavbami, in stanovanjskem sektorju.</w:t>
      </w:r>
    </w:p>
    <w:p w14:paraId="6BD9395B" w14:textId="77777777" w:rsidR="004912DC" w:rsidRPr="000F166D" w:rsidRDefault="004912DC" w:rsidP="004912DC">
      <w:pPr>
        <w:autoSpaceDE w:val="0"/>
        <w:autoSpaceDN w:val="0"/>
        <w:adjustRightInd w:val="0"/>
        <w:jc w:val="both"/>
        <w:rPr>
          <w:rFonts w:eastAsia="Calibri" w:cs="Arial"/>
          <w:color w:val="000000"/>
          <w:sz w:val="22"/>
          <w:szCs w:val="22"/>
        </w:rPr>
      </w:pPr>
    </w:p>
    <w:p w14:paraId="077A46BB" w14:textId="77777777" w:rsidR="004912DC" w:rsidRPr="000F166D" w:rsidRDefault="004912DC" w:rsidP="004912DC">
      <w:pPr>
        <w:autoSpaceDE w:val="0"/>
        <w:autoSpaceDN w:val="0"/>
        <w:adjustRightInd w:val="0"/>
        <w:jc w:val="both"/>
        <w:rPr>
          <w:rFonts w:eastAsia="Calibri" w:cs="Arial"/>
          <w:color w:val="000000"/>
          <w:sz w:val="22"/>
          <w:szCs w:val="22"/>
        </w:rPr>
      </w:pPr>
      <w:r w:rsidRPr="000F166D">
        <w:rPr>
          <w:rFonts w:eastAsia="Calibri" w:cs="Arial"/>
          <w:color w:val="000000"/>
          <w:sz w:val="22"/>
          <w:szCs w:val="22"/>
        </w:rPr>
        <w:t>Sredstva namenjena prednostni naložbi 4.1 se v skladu z OP 2014-2020, namenijo spodbujanju energetske učinkovitosti, pametnega upravljanja z energijo in uporabe obnovljivih virov energije v javni infrastrukturi, vključno z javnimi stavbami in stanovanjskem sektorju (prednostna naložba 4.1, specifični cilj 1 – povečanje učinkovitosti rabe energije v javnem sektorju).</w:t>
      </w:r>
    </w:p>
    <w:p w14:paraId="78F83259" w14:textId="77777777" w:rsidR="004912DC" w:rsidRPr="000F166D" w:rsidRDefault="004912DC" w:rsidP="004912DC">
      <w:pPr>
        <w:jc w:val="both"/>
        <w:rPr>
          <w:rFonts w:cs="Arial"/>
          <w:sz w:val="22"/>
          <w:szCs w:val="22"/>
        </w:rPr>
      </w:pPr>
    </w:p>
    <w:p w14:paraId="64B065EF" w14:textId="77777777" w:rsidR="004912DC" w:rsidRPr="000F166D" w:rsidRDefault="004912DC" w:rsidP="004912DC">
      <w:pPr>
        <w:jc w:val="both"/>
        <w:rPr>
          <w:rFonts w:cs="Arial"/>
          <w:sz w:val="22"/>
          <w:szCs w:val="22"/>
        </w:rPr>
      </w:pPr>
      <w:r w:rsidRPr="000F166D">
        <w:rPr>
          <w:rFonts w:cs="Arial"/>
          <w:b/>
          <w:sz w:val="22"/>
          <w:szCs w:val="22"/>
        </w:rPr>
        <w:t>6.3 prednostna naložba:</w:t>
      </w:r>
      <w:r w:rsidRPr="000F166D">
        <w:rPr>
          <w:rFonts w:cs="Arial"/>
          <w:sz w:val="22"/>
          <w:szCs w:val="22"/>
        </w:rPr>
        <w:t xml:space="preserve"> Ukrepi za izboljšanje urbanega okolja, oživitev mest, sanacijo in dekontaminacijo degradiranih zemljišč (vključno z območji, na katerih poteka preobrazba), zmanjšanje onesnaženosti zraka in spodbujanje ukrepov za zmanjšanje hrupa</w:t>
      </w:r>
    </w:p>
    <w:p w14:paraId="5E43675A" w14:textId="77777777" w:rsidR="004912DC" w:rsidRPr="000F166D" w:rsidRDefault="004912DC" w:rsidP="004912DC">
      <w:pPr>
        <w:jc w:val="both"/>
        <w:rPr>
          <w:rFonts w:cs="Arial"/>
          <w:sz w:val="22"/>
          <w:szCs w:val="22"/>
        </w:rPr>
      </w:pPr>
    </w:p>
    <w:p w14:paraId="5AE0C641" w14:textId="77777777" w:rsidR="004912DC" w:rsidRPr="000F166D" w:rsidRDefault="004912DC" w:rsidP="004912DC">
      <w:pPr>
        <w:jc w:val="both"/>
        <w:rPr>
          <w:rFonts w:cs="Arial"/>
          <w:sz w:val="22"/>
          <w:szCs w:val="22"/>
        </w:rPr>
      </w:pPr>
      <w:r w:rsidRPr="000F166D">
        <w:rPr>
          <w:rFonts w:cs="Arial"/>
          <w:sz w:val="22"/>
          <w:szCs w:val="22"/>
        </w:rPr>
        <w:t xml:space="preserve">Za področje urbanega razvoja v OP 2014 -2020 izvajanje ukrepov s FI trenutno še ni predvideno in zahteva spremembo oz. tehnične popravke OP 2014 – 2020. Veljavni OP predvideva, da bosta obseg in vsebina FI opredeljena glede na študijo ocenjene vrzeli za uporabo in izvajanje FI na področju urbanega razvoja. Ključni elementi FI so za področje urbanega razvoja zato pripravljeni na predpostavki, da bo OP 2014 – 2020 dopolnjen skladno z izhodišči študije ocenjene vrzeli (t.j. Predhodna ocena FI), ki predlaga širitev nabora upravičencev in na podlagi delitev (delitev na povratna in nepovratna sredstva) EU sredstev za področje urbane prenove, kot jo predlaga OU. </w:t>
      </w:r>
    </w:p>
    <w:p w14:paraId="7C228E4A" w14:textId="77777777" w:rsidR="004912DC" w:rsidRPr="000F166D" w:rsidRDefault="004912DC" w:rsidP="004912DC">
      <w:pPr>
        <w:jc w:val="both"/>
        <w:rPr>
          <w:rFonts w:cs="Arial"/>
          <w:sz w:val="22"/>
          <w:szCs w:val="22"/>
        </w:rPr>
      </w:pPr>
    </w:p>
    <w:p w14:paraId="54B9B58D" w14:textId="77777777" w:rsidR="004912DC" w:rsidRPr="000F166D" w:rsidRDefault="004912DC" w:rsidP="004912DC">
      <w:pPr>
        <w:jc w:val="both"/>
        <w:rPr>
          <w:rFonts w:cs="Arial"/>
          <w:sz w:val="22"/>
          <w:szCs w:val="22"/>
        </w:rPr>
      </w:pPr>
      <w:r w:rsidRPr="000F166D">
        <w:rPr>
          <w:rFonts w:cs="Arial"/>
          <w:sz w:val="22"/>
          <w:szCs w:val="22"/>
        </w:rPr>
        <w:t>Predlagani FI za urbani razvoj so posojila za izvedbo ukrepov, ki prispevajo k doseganju specifičnega cilja te prednostne naložbe in drugih prednostnih naložb OP EKP 2014-2020 in ciljem trajnostnih urbanih strategij v 11 mestnih občinah. S posojili se bo predvidoma podprlo:</w:t>
      </w:r>
    </w:p>
    <w:p w14:paraId="7376C80C" w14:textId="77777777" w:rsidR="004912DC" w:rsidRPr="000F166D" w:rsidRDefault="004912DC" w:rsidP="004912DC">
      <w:pPr>
        <w:numPr>
          <w:ilvl w:val="0"/>
          <w:numId w:val="13"/>
        </w:numPr>
        <w:spacing w:line="240" w:lineRule="auto"/>
        <w:jc w:val="both"/>
        <w:rPr>
          <w:rFonts w:eastAsia="Calibri" w:cs="Arial"/>
          <w:sz w:val="22"/>
          <w:szCs w:val="22"/>
        </w:rPr>
      </w:pPr>
      <w:r w:rsidRPr="000F166D">
        <w:rPr>
          <w:rFonts w:eastAsia="Calibri" w:cs="Arial"/>
          <w:sz w:val="22"/>
          <w:szCs w:val="22"/>
        </w:rPr>
        <w:t>izvedbo projektov prenove ali novogradnje stanovanj, ki so rezultat urbane prenove s ciljem povečanja javnega stanovanjskega fonda, skladno z izkazanimi potrebami po posameznih mestnih občinah;</w:t>
      </w:r>
    </w:p>
    <w:p w14:paraId="2EE56ECB" w14:textId="77777777" w:rsidR="004912DC" w:rsidRPr="000F166D" w:rsidRDefault="004912DC" w:rsidP="004912DC">
      <w:pPr>
        <w:numPr>
          <w:ilvl w:val="0"/>
          <w:numId w:val="13"/>
        </w:numPr>
        <w:spacing w:line="240" w:lineRule="auto"/>
        <w:jc w:val="both"/>
        <w:rPr>
          <w:rFonts w:eastAsia="Calibri" w:cs="Arial"/>
          <w:sz w:val="22"/>
          <w:szCs w:val="22"/>
        </w:rPr>
      </w:pPr>
      <w:r w:rsidRPr="000F166D">
        <w:rPr>
          <w:rFonts w:eastAsia="Calibri" w:cs="Arial"/>
          <w:sz w:val="22"/>
          <w:szCs w:val="22"/>
        </w:rPr>
        <w:t>Izvedbo drugih projektov, katerih namen bo izvajanje posegov fizične prenove urbanih območij, ki so skladni s cilji trajnostnih urbanih strategij v 11 mestnih občinah.</w:t>
      </w:r>
    </w:p>
    <w:p w14:paraId="32D83418" w14:textId="77777777" w:rsidR="004912DC" w:rsidRPr="000F166D" w:rsidRDefault="004912DC" w:rsidP="004912DC">
      <w:pPr>
        <w:jc w:val="both"/>
        <w:rPr>
          <w:rFonts w:cs="Arial"/>
          <w:sz w:val="22"/>
        </w:rPr>
      </w:pPr>
    </w:p>
    <w:p w14:paraId="2B534819" w14:textId="77777777" w:rsidR="004912DC" w:rsidRPr="000F166D" w:rsidRDefault="004912DC" w:rsidP="004912DC">
      <w:pPr>
        <w:keepNext/>
        <w:keepLines/>
        <w:spacing w:before="40"/>
        <w:jc w:val="both"/>
        <w:outlineLvl w:val="2"/>
        <w:rPr>
          <w:rFonts w:cs="Arial"/>
          <w:b/>
          <w:color w:val="1F4D78"/>
          <w:sz w:val="22"/>
        </w:rPr>
      </w:pPr>
      <w:bookmarkStart w:id="58" w:name="_Toc54857914"/>
      <w:r w:rsidRPr="000F166D">
        <w:rPr>
          <w:rFonts w:cs="Arial"/>
          <w:b/>
          <w:color w:val="1F4D78"/>
          <w:sz w:val="22"/>
        </w:rPr>
        <w:t>2.2 Tržne vrzeli na področju finančnih instrumentov</w:t>
      </w:r>
      <w:bookmarkEnd w:id="58"/>
    </w:p>
    <w:p w14:paraId="3501B695" w14:textId="77777777" w:rsidR="004912DC" w:rsidRPr="000F166D" w:rsidRDefault="004912DC" w:rsidP="004912DC">
      <w:pPr>
        <w:jc w:val="both"/>
        <w:rPr>
          <w:rFonts w:cs="Arial"/>
          <w:sz w:val="22"/>
        </w:rPr>
      </w:pPr>
    </w:p>
    <w:p w14:paraId="1DC64141" w14:textId="77777777" w:rsidR="004912DC" w:rsidRPr="000F166D" w:rsidRDefault="004912DC" w:rsidP="004912DC">
      <w:pPr>
        <w:jc w:val="both"/>
        <w:rPr>
          <w:rFonts w:cs="Arial"/>
          <w:sz w:val="22"/>
          <w:szCs w:val="22"/>
        </w:rPr>
      </w:pPr>
      <w:r w:rsidRPr="000F166D">
        <w:rPr>
          <w:rFonts w:cs="Arial"/>
          <w:sz w:val="22"/>
          <w:szCs w:val="22"/>
        </w:rPr>
        <w:t>Iz</w:t>
      </w:r>
      <w:r>
        <w:rPr>
          <w:rFonts w:cs="Arial"/>
          <w:sz w:val="22"/>
          <w:szCs w:val="22"/>
        </w:rPr>
        <w:t xml:space="preserve"> </w:t>
      </w:r>
      <w:r w:rsidRPr="000F166D">
        <w:rPr>
          <w:rFonts w:cs="Arial"/>
          <w:sz w:val="22"/>
          <w:szCs w:val="22"/>
        </w:rPr>
        <w:t>Predhodne ocene FI izhaja, da obstajajo tržne vrzeli na naslednjih področjih:</w:t>
      </w:r>
    </w:p>
    <w:p w14:paraId="59C22D42" w14:textId="77777777" w:rsidR="004912DC" w:rsidRPr="000F166D" w:rsidRDefault="004912DC" w:rsidP="004912DC">
      <w:pPr>
        <w:numPr>
          <w:ilvl w:val="0"/>
          <w:numId w:val="13"/>
        </w:numPr>
        <w:spacing w:line="240" w:lineRule="auto"/>
        <w:jc w:val="both"/>
        <w:rPr>
          <w:rFonts w:eastAsia="Calibri" w:cs="Arial"/>
          <w:sz w:val="22"/>
          <w:szCs w:val="22"/>
        </w:rPr>
      </w:pPr>
      <w:r w:rsidRPr="000F166D">
        <w:rPr>
          <w:rFonts w:eastAsia="Calibri" w:cs="Arial"/>
          <w:sz w:val="22"/>
          <w:szCs w:val="22"/>
        </w:rPr>
        <w:t>malih in srednje velikih podjetij (MSP),</w:t>
      </w:r>
    </w:p>
    <w:p w14:paraId="094F243B" w14:textId="77777777" w:rsidR="004912DC" w:rsidRPr="000F166D" w:rsidRDefault="004912DC" w:rsidP="004912DC">
      <w:pPr>
        <w:numPr>
          <w:ilvl w:val="0"/>
          <w:numId w:val="13"/>
        </w:numPr>
        <w:spacing w:line="240" w:lineRule="auto"/>
        <w:jc w:val="both"/>
        <w:rPr>
          <w:rFonts w:eastAsia="Calibri" w:cs="Arial"/>
          <w:sz w:val="22"/>
          <w:szCs w:val="22"/>
        </w:rPr>
      </w:pPr>
      <w:r w:rsidRPr="000F166D">
        <w:rPr>
          <w:rFonts w:eastAsia="Calibri" w:cs="Arial"/>
          <w:sz w:val="22"/>
          <w:szCs w:val="22"/>
        </w:rPr>
        <w:t>raziskav, razvoja in inovacij (RRI),</w:t>
      </w:r>
    </w:p>
    <w:p w14:paraId="3C2DAA73" w14:textId="77777777" w:rsidR="004912DC" w:rsidRPr="000F166D" w:rsidRDefault="004912DC" w:rsidP="004912DC">
      <w:pPr>
        <w:numPr>
          <w:ilvl w:val="0"/>
          <w:numId w:val="13"/>
        </w:numPr>
        <w:spacing w:line="240" w:lineRule="auto"/>
        <w:jc w:val="both"/>
        <w:rPr>
          <w:rFonts w:eastAsia="Calibri" w:cs="Arial"/>
          <w:sz w:val="22"/>
          <w:szCs w:val="22"/>
        </w:rPr>
      </w:pPr>
      <w:r w:rsidRPr="000F166D">
        <w:rPr>
          <w:rFonts w:eastAsia="Calibri" w:cs="Arial"/>
          <w:sz w:val="22"/>
          <w:szCs w:val="22"/>
        </w:rPr>
        <w:t>energetske učinkovitosti (EE) in</w:t>
      </w:r>
    </w:p>
    <w:p w14:paraId="3EF0CE67" w14:textId="77777777" w:rsidR="004912DC" w:rsidRPr="000F166D" w:rsidRDefault="004912DC" w:rsidP="004912DC">
      <w:pPr>
        <w:numPr>
          <w:ilvl w:val="0"/>
          <w:numId w:val="13"/>
        </w:numPr>
        <w:spacing w:line="240" w:lineRule="auto"/>
        <w:jc w:val="both"/>
        <w:rPr>
          <w:rFonts w:eastAsia="Calibri" w:cs="Arial"/>
          <w:sz w:val="22"/>
          <w:szCs w:val="22"/>
        </w:rPr>
      </w:pPr>
      <w:r w:rsidRPr="000F166D">
        <w:rPr>
          <w:rFonts w:eastAsia="Calibri" w:cs="Arial"/>
          <w:sz w:val="22"/>
          <w:szCs w:val="22"/>
        </w:rPr>
        <w:t>urbanega razvoja</w:t>
      </w:r>
      <w:r>
        <w:rPr>
          <w:rFonts w:eastAsia="Calibri" w:cs="Arial"/>
          <w:sz w:val="22"/>
          <w:szCs w:val="22"/>
        </w:rPr>
        <w:t xml:space="preserve"> (UR)</w:t>
      </w:r>
      <w:r w:rsidRPr="000F166D">
        <w:rPr>
          <w:rFonts w:eastAsia="Calibri" w:cs="Arial"/>
          <w:sz w:val="22"/>
          <w:szCs w:val="22"/>
        </w:rPr>
        <w:t>.</w:t>
      </w:r>
    </w:p>
    <w:p w14:paraId="372B09FA" w14:textId="77777777" w:rsidR="004912DC" w:rsidRPr="000F166D" w:rsidRDefault="004912DC" w:rsidP="004912DC">
      <w:pPr>
        <w:jc w:val="both"/>
        <w:rPr>
          <w:rFonts w:cs="Arial"/>
          <w:sz w:val="22"/>
          <w:szCs w:val="22"/>
        </w:rPr>
      </w:pPr>
    </w:p>
    <w:p w14:paraId="092A9D61" w14:textId="77777777" w:rsidR="004912DC" w:rsidRPr="000F166D" w:rsidRDefault="004912DC" w:rsidP="004912DC">
      <w:pPr>
        <w:jc w:val="both"/>
        <w:rPr>
          <w:rFonts w:cs="Arial"/>
          <w:sz w:val="22"/>
          <w:szCs w:val="22"/>
        </w:rPr>
      </w:pPr>
      <w:r w:rsidRPr="000F166D">
        <w:rPr>
          <w:rFonts w:cs="Arial"/>
          <w:sz w:val="22"/>
          <w:szCs w:val="22"/>
        </w:rPr>
        <w:t xml:space="preserve">Možni finančni produkti, ki izhajajo iz kasneje predstavljenih obstoječih tržnih vrzeli in že izvedenih finančnih produktov, so garancije (predvsem portfeljske), krediti (mikrokrediti, krediti večjih vrednosti), lastniško financiranje (v vseh fazah razvoja podjetja). </w:t>
      </w:r>
    </w:p>
    <w:p w14:paraId="42E458BF" w14:textId="77777777" w:rsidR="004912DC" w:rsidRPr="000F166D" w:rsidRDefault="004912DC" w:rsidP="004912DC">
      <w:pPr>
        <w:jc w:val="both"/>
        <w:rPr>
          <w:rFonts w:cs="Arial"/>
          <w:sz w:val="22"/>
          <w:szCs w:val="22"/>
        </w:rPr>
      </w:pPr>
    </w:p>
    <w:p w14:paraId="4D2D6E4E" w14:textId="77777777" w:rsidR="004912DC" w:rsidRPr="000F166D" w:rsidRDefault="004912DC" w:rsidP="004912DC">
      <w:pPr>
        <w:suppressAutoHyphens/>
        <w:jc w:val="both"/>
        <w:rPr>
          <w:rFonts w:eastAsia="Calibri" w:cs="Arial"/>
          <w:sz w:val="22"/>
          <w:szCs w:val="22"/>
          <w:lang w:eastAsia="ar-SA"/>
        </w:rPr>
      </w:pPr>
      <w:r w:rsidRPr="000F166D">
        <w:rPr>
          <w:rFonts w:eastAsia="Calibri" w:cs="Arial"/>
          <w:sz w:val="22"/>
          <w:szCs w:val="22"/>
          <w:lang w:eastAsia="ar-SA"/>
        </w:rPr>
        <w:lastRenderedPageBreak/>
        <w:t xml:space="preserve">Posodobitve predhodne ocene: </w:t>
      </w:r>
    </w:p>
    <w:p w14:paraId="62ED74C9" w14:textId="77777777" w:rsidR="004912DC" w:rsidRPr="000F166D" w:rsidRDefault="004912DC" w:rsidP="004912DC">
      <w:pPr>
        <w:suppressAutoHyphens/>
        <w:jc w:val="both"/>
        <w:rPr>
          <w:rFonts w:cs="Arial"/>
          <w:sz w:val="22"/>
          <w:szCs w:val="22"/>
          <w:lang w:eastAsia="ar-SA"/>
        </w:rPr>
      </w:pPr>
      <w:r w:rsidRPr="000F166D">
        <w:rPr>
          <w:rFonts w:cs="Arial"/>
          <w:sz w:val="22"/>
          <w:szCs w:val="22"/>
          <w:lang w:eastAsia="ar-SA"/>
        </w:rPr>
        <w:t>V skladu s členom 37(2)(g) Uredbe 1303/2013 se OU lahko odloči, da se predhodna ocena po potrebi pregleda in posodobi med izvajanjem katerega koli FI</w:t>
      </w:r>
      <w:r>
        <w:rPr>
          <w:rFonts w:cs="Arial"/>
          <w:sz w:val="22"/>
          <w:szCs w:val="22"/>
          <w:lang w:eastAsia="ar-SA"/>
        </w:rPr>
        <w:t>-j</w:t>
      </w:r>
      <w:r w:rsidRPr="000F166D">
        <w:rPr>
          <w:rFonts w:cs="Arial"/>
          <w:sz w:val="22"/>
          <w:szCs w:val="22"/>
          <w:lang w:eastAsia="ar-SA"/>
        </w:rPr>
        <w:t>a, ki se izvaja na podlagi takšne ocene, če v fazi izvajanja meni, da predhodna ocena ne ustreza več popolnoma tržnim pogojem, ki obstajajo v času izvajanja in se to tudi izraža na izvajanju FI-jev. Posodobitev predhodne ocene se v tem primeru izvede skladno s postopkom opredeljenim v tretjem odstavku 5. poglavja.</w:t>
      </w:r>
    </w:p>
    <w:p w14:paraId="4AA623AD" w14:textId="77777777" w:rsidR="004912DC" w:rsidRPr="000F166D" w:rsidRDefault="004912DC" w:rsidP="004912DC">
      <w:pPr>
        <w:suppressAutoHyphens/>
        <w:jc w:val="both"/>
        <w:rPr>
          <w:rFonts w:cs="Arial"/>
          <w:sz w:val="22"/>
          <w:szCs w:val="22"/>
          <w:lang w:eastAsia="ar-SA"/>
        </w:rPr>
      </w:pPr>
    </w:p>
    <w:p w14:paraId="62B389D3" w14:textId="77777777" w:rsidR="004912DC" w:rsidRPr="000F166D" w:rsidRDefault="004912DC" w:rsidP="004912DC">
      <w:pPr>
        <w:ind w:left="-15" w:right="14"/>
        <w:jc w:val="both"/>
        <w:rPr>
          <w:rFonts w:cs="Arial"/>
          <w:sz w:val="22"/>
          <w:szCs w:val="22"/>
        </w:rPr>
      </w:pPr>
      <w:r w:rsidRPr="000F166D">
        <w:rPr>
          <w:rFonts w:cs="Arial"/>
          <w:sz w:val="22"/>
          <w:szCs w:val="22"/>
        </w:rPr>
        <w:t>Pri določitvi vrzeli financiranja je potrebno upoštevati poleg potencialnega povpraševanja tudi naslednje:</w:t>
      </w:r>
    </w:p>
    <w:p w14:paraId="1CBB45A9" w14:textId="77777777" w:rsidR="004912DC" w:rsidRPr="000F166D" w:rsidRDefault="004912DC" w:rsidP="004912DC">
      <w:pPr>
        <w:numPr>
          <w:ilvl w:val="0"/>
          <w:numId w:val="13"/>
        </w:numPr>
        <w:spacing w:line="240" w:lineRule="auto"/>
        <w:jc w:val="both"/>
        <w:rPr>
          <w:rFonts w:eastAsia="Calibri" w:cs="Arial"/>
          <w:sz w:val="22"/>
          <w:szCs w:val="22"/>
        </w:rPr>
      </w:pPr>
      <w:r w:rsidRPr="000F166D">
        <w:rPr>
          <w:rFonts w:eastAsia="Calibri" w:cs="Arial"/>
          <w:sz w:val="22"/>
          <w:szCs w:val="22"/>
        </w:rPr>
        <w:t>potencialno povpraševanje ne bo nujno prešlo v dejansko;</w:t>
      </w:r>
    </w:p>
    <w:p w14:paraId="576C2E59" w14:textId="77777777" w:rsidR="004912DC" w:rsidRPr="000F166D" w:rsidRDefault="004912DC" w:rsidP="004912DC">
      <w:pPr>
        <w:numPr>
          <w:ilvl w:val="0"/>
          <w:numId w:val="13"/>
        </w:numPr>
        <w:spacing w:line="240" w:lineRule="auto"/>
        <w:jc w:val="both"/>
        <w:rPr>
          <w:rFonts w:eastAsia="Calibri" w:cs="Arial"/>
          <w:sz w:val="22"/>
          <w:szCs w:val="22"/>
        </w:rPr>
      </w:pPr>
      <w:r w:rsidRPr="000F166D">
        <w:rPr>
          <w:rFonts w:eastAsia="Calibri" w:cs="Arial"/>
          <w:sz w:val="22"/>
          <w:szCs w:val="22"/>
        </w:rPr>
        <w:t>pomanjkanje predhodnih investicij zaradi krize;</w:t>
      </w:r>
    </w:p>
    <w:p w14:paraId="6C3AF0E2" w14:textId="77777777" w:rsidR="004912DC" w:rsidRPr="000F166D" w:rsidRDefault="004912DC" w:rsidP="004912DC">
      <w:pPr>
        <w:numPr>
          <w:ilvl w:val="0"/>
          <w:numId w:val="13"/>
        </w:numPr>
        <w:spacing w:line="240" w:lineRule="auto"/>
        <w:jc w:val="both"/>
        <w:rPr>
          <w:rFonts w:eastAsia="Calibri" w:cs="Arial"/>
          <w:sz w:val="22"/>
          <w:szCs w:val="22"/>
        </w:rPr>
      </w:pPr>
      <w:r w:rsidRPr="000F166D">
        <w:rPr>
          <w:rFonts w:eastAsia="Calibri" w:cs="Arial"/>
          <w:sz w:val="22"/>
          <w:szCs w:val="22"/>
        </w:rPr>
        <w:t xml:space="preserve">omejeno poznavanje virov financiranja in finančnih produktov in </w:t>
      </w:r>
    </w:p>
    <w:p w14:paraId="2C38052A" w14:textId="77777777" w:rsidR="004912DC" w:rsidRPr="000F166D" w:rsidRDefault="004912DC" w:rsidP="004912DC">
      <w:pPr>
        <w:numPr>
          <w:ilvl w:val="0"/>
          <w:numId w:val="13"/>
        </w:numPr>
        <w:spacing w:line="240" w:lineRule="auto"/>
        <w:jc w:val="both"/>
        <w:rPr>
          <w:rFonts w:eastAsia="Calibri" w:cs="Arial"/>
          <w:sz w:val="22"/>
          <w:szCs w:val="22"/>
        </w:rPr>
      </w:pPr>
      <w:r w:rsidRPr="000F166D">
        <w:rPr>
          <w:rFonts w:eastAsia="Calibri" w:cs="Arial"/>
          <w:sz w:val="22"/>
          <w:szCs w:val="22"/>
        </w:rPr>
        <w:t>negotovo gospodarsko okolje</w:t>
      </w:r>
    </w:p>
    <w:p w14:paraId="7C2AE7DB" w14:textId="77777777" w:rsidR="004912DC" w:rsidRPr="000F166D" w:rsidRDefault="004912DC" w:rsidP="004912DC">
      <w:pPr>
        <w:jc w:val="both"/>
        <w:rPr>
          <w:rFonts w:cs="Arial"/>
          <w:sz w:val="22"/>
        </w:rPr>
      </w:pPr>
    </w:p>
    <w:p w14:paraId="150DC754" w14:textId="77777777" w:rsidR="004912DC" w:rsidRPr="000F166D" w:rsidRDefault="004912DC" w:rsidP="004912DC">
      <w:pPr>
        <w:keepNext/>
        <w:keepLines/>
        <w:spacing w:before="40"/>
        <w:jc w:val="both"/>
        <w:outlineLvl w:val="3"/>
        <w:rPr>
          <w:rFonts w:cs="Arial"/>
          <w:i/>
          <w:iCs/>
          <w:color w:val="2E74B5"/>
          <w:sz w:val="22"/>
        </w:rPr>
      </w:pPr>
      <w:r w:rsidRPr="000F166D">
        <w:rPr>
          <w:rFonts w:cs="Arial"/>
          <w:i/>
          <w:iCs/>
          <w:color w:val="2E74B5"/>
          <w:sz w:val="22"/>
        </w:rPr>
        <w:t xml:space="preserve">2.2.1 Mala in srednje velika podjetja (MSP) </w:t>
      </w:r>
    </w:p>
    <w:p w14:paraId="4CA4A447" w14:textId="77777777" w:rsidR="004912DC" w:rsidRPr="000F166D" w:rsidRDefault="004912DC" w:rsidP="004912DC">
      <w:pPr>
        <w:ind w:left="-15" w:right="14"/>
        <w:jc w:val="both"/>
        <w:rPr>
          <w:rFonts w:cs="Arial"/>
          <w:sz w:val="22"/>
          <w:szCs w:val="22"/>
        </w:rPr>
      </w:pPr>
      <w:r w:rsidRPr="000F166D">
        <w:rPr>
          <w:rFonts w:cs="Arial"/>
          <w:sz w:val="22"/>
          <w:szCs w:val="22"/>
        </w:rPr>
        <w:t>Za MSP je ocenjena kvantificirana skupna ponudba vsakega finančnega produkta za dve kategoriji velikosti MSP (mikro ter mala in srednje velika).</w:t>
      </w:r>
    </w:p>
    <w:p w14:paraId="633F0B90" w14:textId="77777777" w:rsidR="004912DC" w:rsidRPr="000F166D" w:rsidRDefault="004912DC" w:rsidP="004912DC">
      <w:pPr>
        <w:spacing w:after="141"/>
        <w:ind w:left="-15"/>
        <w:jc w:val="both"/>
        <w:rPr>
          <w:rFonts w:cs="Arial"/>
          <w:sz w:val="22"/>
          <w:szCs w:val="22"/>
        </w:rPr>
      </w:pPr>
    </w:p>
    <w:p w14:paraId="04AB7001" w14:textId="77777777" w:rsidR="004912DC" w:rsidRPr="000F166D" w:rsidRDefault="004912DC" w:rsidP="004912DC">
      <w:pPr>
        <w:keepNext/>
        <w:keepLines/>
        <w:widowControl w:val="0"/>
        <w:spacing w:after="141"/>
        <w:ind w:left="-17"/>
        <w:jc w:val="both"/>
        <w:rPr>
          <w:rFonts w:cs="Arial"/>
          <w:sz w:val="22"/>
          <w:szCs w:val="22"/>
        </w:rPr>
      </w:pPr>
      <w:r w:rsidRPr="000F166D">
        <w:rPr>
          <w:rFonts w:cs="Arial"/>
          <w:i/>
          <w:sz w:val="22"/>
          <w:szCs w:val="22"/>
          <w:u w:val="single" w:color="000000"/>
        </w:rPr>
        <w:t>Mikrofinanciranje</w:t>
      </w:r>
    </w:p>
    <w:p w14:paraId="3FF47DED" w14:textId="77777777" w:rsidR="004912DC" w:rsidRPr="000F166D" w:rsidRDefault="004912DC" w:rsidP="004912DC">
      <w:pPr>
        <w:keepNext/>
        <w:keepLines/>
        <w:widowControl w:val="0"/>
        <w:ind w:left="-17" w:right="14"/>
        <w:jc w:val="both"/>
        <w:rPr>
          <w:rFonts w:cs="Arial"/>
          <w:sz w:val="22"/>
          <w:szCs w:val="22"/>
        </w:rPr>
      </w:pPr>
      <w:r w:rsidRPr="000F166D">
        <w:rPr>
          <w:rFonts w:cs="Arial"/>
          <w:sz w:val="22"/>
          <w:szCs w:val="22"/>
        </w:rPr>
        <w:t xml:space="preserve">V Sloveniji se potencialna vrzel financiranja za mikrofinanciranje v letu 2015 giblje med 1.138 mio EUR in 1.260 mio EUR. Vrzel mikrofinanciranja se delno lahko pojasni z omejeno ponudbo mikrofinanciranja v Sloveniji. Uporaba sredstev evropske kohezijske politike za financiranje produktov mikrofinanciranja ter za podporo institucijam, ki v programskem obdobju 2014—2020 nudijo mikrofinanciranje, bi koristila velikemu številu mikro podjetij v državi in bi spodbudila ustanavljanje podjetij ter trajnost novo ustanovljenih podjetij. </w:t>
      </w:r>
    </w:p>
    <w:p w14:paraId="218FC358" w14:textId="77777777" w:rsidR="004912DC" w:rsidRPr="000F166D" w:rsidRDefault="004912DC" w:rsidP="004912DC">
      <w:pPr>
        <w:jc w:val="both"/>
        <w:rPr>
          <w:rFonts w:cs="Arial"/>
          <w:sz w:val="22"/>
          <w:szCs w:val="22"/>
        </w:rPr>
      </w:pPr>
    </w:p>
    <w:p w14:paraId="2345BD12" w14:textId="77777777" w:rsidR="004912DC" w:rsidRPr="00A75659" w:rsidRDefault="004912DC" w:rsidP="004912DC">
      <w:pPr>
        <w:tabs>
          <w:tab w:val="left" w:pos="3770"/>
        </w:tabs>
        <w:jc w:val="both"/>
        <w:rPr>
          <w:rFonts w:cs="Arial"/>
          <w:sz w:val="22"/>
          <w:szCs w:val="22"/>
        </w:rPr>
      </w:pPr>
      <w:bookmarkStart w:id="59" w:name="_Toc66786220"/>
      <w:r w:rsidRPr="00A75659">
        <w:rPr>
          <w:rFonts w:cs="Arial"/>
          <w:sz w:val="22"/>
          <w:szCs w:val="22"/>
        </w:rPr>
        <w:t xml:space="preserve">Tabela </w:t>
      </w:r>
      <w:r w:rsidRPr="00A75659">
        <w:rPr>
          <w:rFonts w:cs="Arial"/>
          <w:sz w:val="22"/>
          <w:szCs w:val="22"/>
        </w:rPr>
        <w:fldChar w:fldCharType="begin"/>
      </w:r>
      <w:r w:rsidRPr="00A75659">
        <w:rPr>
          <w:rFonts w:cs="Arial"/>
          <w:sz w:val="22"/>
          <w:szCs w:val="22"/>
        </w:rPr>
        <w:instrText xml:space="preserve"> SEQ Tabela \* ARABIC </w:instrText>
      </w:r>
      <w:r w:rsidRPr="00A75659">
        <w:rPr>
          <w:rFonts w:cs="Arial"/>
          <w:sz w:val="22"/>
          <w:szCs w:val="22"/>
        </w:rPr>
        <w:fldChar w:fldCharType="separate"/>
      </w:r>
      <w:r>
        <w:rPr>
          <w:rFonts w:cs="Arial"/>
          <w:noProof/>
          <w:sz w:val="22"/>
          <w:szCs w:val="22"/>
        </w:rPr>
        <w:t>1</w:t>
      </w:r>
      <w:r w:rsidRPr="00A75659">
        <w:rPr>
          <w:rFonts w:cs="Arial"/>
          <w:sz w:val="22"/>
          <w:szCs w:val="22"/>
        </w:rPr>
        <w:fldChar w:fldCharType="end"/>
      </w:r>
      <w:r w:rsidRPr="00A75659">
        <w:rPr>
          <w:rFonts w:cs="Arial"/>
          <w:sz w:val="22"/>
          <w:szCs w:val="22"/>
        </w:rPr>
        <w:t>: Potencialna vrzel financiranja za mikrofinanciranje mikro podjetij v letu 2015</w:t>
      </w:r>
      <w:r w:rsidRPr="00A75659">
        <w:rPr>
          <w:rFonts w:cs="Arial"/>
          <w:sz w:val="22"/>
          <w:szCs w:val="22"/>
          <w:vertAlign w:val="superscript"/>
        </w:rPr>
        <w:footnoteReference w:id="3"/>
      </w:r>
      <w:bookmarkEnd w:id="59"/>
    </w:p>
    <w:tbl>
      <w:tblPr>
        <w:tblStyle w:val="TableGrid"/>
        <w:tblW w:w="978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1" w:type="dxa"/>
          <w:left w:w="54" w:type="dxa"/>
          <w:right w:w="73" w:type="dxa"/>
        </w:tblCellMar>
        <w:tblLook w:val="04A0" w:firstRow="1" w:lastRow="0" w:firstColumn="1" w:lastColumn="0" w:noHBand="0" w:noVBand="1"/>
      </w:tblPr>
      <w:tblGrid>
        <w:gridCol w:w="1942"/>
        <w:gridCol w:w="2003"/>
        <w:gridCol w:w="2455"/>
        <w:gridCol w:w="3382"/>
      </w:tblGrid>
      <w:tr w:rsidR="004912DC" w:rsidRPr="000F166D" w14:paraId="4B4F4E37" w14:textId="77777777" w:rsidTr="00906890">
        <w:trPr>
          <w:trHeight w:val="743"/>
        </w:trPr>
        <w:tc>
          <w:tcPr>
            <w:tcW w:w="1942" w:type="dxa"/>
            <w:shd w:val="clear" w:color="auto" w:fill="auto"/>
            <w:vAlign w:val="center"/>
          </w:tcPr>
          <w:p w14:paraId="4573148F" w14:textId="77777777" w:rsidR="004912DC" w:rsidRPr="000F166D" w:rsidRDefault="004912DC" w:rsidP="00906890">
            <w:pPr>
              <w:ind w:left="98"/>
              <w:jc w:val="both"/>
              <w:rPr>
                <w:rFonts w:cs="Arial"/>
                <w:sz w:val="22"/>
                <w:szCs w:val="22"/>
              </w:rPr>
            </w:pPr>
          </w:p>
        </w:tc>
        <w:tc>
          <w:tcPr>
            <w:tcW w:w="2003" w:type="dxa"/>
            <w:shd w:val="clear" w:color="auto" w:fill="auto"/>
          </w:tcPr>
          <w:p w14:paraId="6AE8948D" w14:textId="77777777" w:rsidR="004912DC" w:rsidRPr="000F166D" w:rsidRDefault="004912DC" w:rsidP="00906890">
            <w:pPr>
              <w:ind w:left="7"/>
              <w:jc w:val="center"/>
              <w:rPr>
                <w:rFonts w:cs="Arial"/>
                <w:sz w:val="22"/>
                <w:szCs w:val="22"/>
              </w:rPr>
            </w:pPr>
            <w:r w:rsidRPr="000F166D">
              <w:rPr>
                <w:rFonts w:cs="Arial"/>
                <w:sz w:val="22"/>
                <w:szCs w:val="22"/>
              </w:rPr>
              <w:t xml:space="preserve">Vrzel financiranja obstoječih mikro podjetij </w:t>
            </w:r>
          </w:p>
        </w:tc>
        <w:tc>
          <w:tcPr>
            <w:tcW w:w="2455" w:type="dxa"/>
            <w:shd w:val="clear" w:color="auto" w:fill="auto"/>
            <w:vAlign w:val="center"/>
          </w:tcPr>
          <w:p w14:paraId="7797E6EC" w14:textId="77777777" w:rsidR="004912DC" w:rsidRPr="000F166D" w:rsidRDefault="004912DC" w:rsidP="00906890">
            <w:pPr>
              <w:jc w:val="center"/>
              <w:rPr>
                <w:rFonts w:cs="Arial"/>
                <w:sz w:val="22"/>
                <w:szCs w:val="22"/>
              </w:rPr>
            </w:pPr>
            <w:r w:rsidRPr="000F166D">
              <w:rPr>
                <w:rFonts w:cs="Arial"/>
                <w:sz w:val="22"/>
                <w:szCs w:val="22"/>
              </w:rPr>
              <w:t xml:space="preserve">Vrzel financiranja, vključno s finančnim vključevanjem </w:t>
            </w:r>
          </w:p>
        </w:tc>
        <w:tc>
          <w:tcPr>
            <w:tcW w:w="3382" w:type="dxa"/>
            <w:shd w:val="clear" w:color="auto" w:fill="auto"/>
          </w:tcPr>
          <w:p w14:paraId="1982D5C3" w14:textId="77777777" w:rsidR="004912DC" w:rsidRPr="000F166D" w:rsidRDefault="004912DC" w:rsidP="00906890">
            <w:pPr>
              <w:jc w:val="center"/>
              <w:rPr>
                <w:rFonts w:cs="Arial"/>
                <w:sz w:val="22"/>
                <w:szCs w:val="22"/>
              </w:rPr>
            </w:pPr>
            <w:r w:rsidRPr="000F166D">
              <w:rPr>
                <w:rFonts w:cs="Arial"/>
                <w:sz w:val="22"/>
                <w:szCs w:val="22"/>
              </w:rPr>
              <w:t xml:space="preserve">Vrzel financiranja, vključno s finančnim vključevanjem in socialnim podjetništvom </w:t>
            </w:r>
          </w:p>
        </w:tc>
      </w:tr>
      <w:tr w:rsidR="004912DC" w:rsidRPr="000F166D" w14:paraId="556727F2" w14:textId="77777777" w:rsidTr="00906890">
        <w:trPr>
          <w:trHeight w:val="334"/>
        </w:trPr>
        <w:tc>
          <w:tcPr>
            <w:tcW w:w="1942" w:type="dxa"/>
            <w:shd w:val="clear" w:color="auto" w:fill="auto"/>
          </w:tcPr>
          <w:p w14:paraId="3C786C8C" w14:textId="77777777" w:rsidR="004912DC" w:rsidRPr="000F166D" w:rsidRDefault="004912DC" w:rsidP="00906890">
            <w:pPr>
              <w:jc w:val="both"/>
              <w:rPr>
                <w:rFonts w:cs="Arial"/>
                <w:sz w:val="22"/>
                <w:szCs w:val="22"/>
              </w:rPr>
            </w:pPr>
            <w:r w:rsidRPr="000F166D">
              <w:rPr>
                <w:rFonts w:cs="Arial"/>
                <w:sz w:val="22"/>
                <w:szCs w:val="22"/>
              </w:rPr>
              <w:t xml:space="preserve">Mikrofinanciranje v mio EUR </w:t>
            </w:r>
          </w:p>
        </w:tc>
        <w:tc>
          <w:tcPr>
            <w:tcW w:w="2003" w:type="dxa"/>
            <w:shd w:val="clear" w:color="auto" w:fill="auto"/>
          </w:tcPr>
          <w:p w14:paraId="72E90528" w14:textId="77777777" w:rsidR="004912DC" w:rsidRPr="000F166D" w:rsidRDefault="004912DC" w:rsidP="00906890">
            <w:pPr>
              <w:ind w:left="20"/>
              <w:jc w:val="center"/>
              <w:rPr>
                <w:rFonts w:cs="Arial"/>
                <w:sz w:val="22"/>
                <w:szCs w:val="22"/>
              </w:rPr>
            </w:pPr>
            <w:r w:rsidRPr="000F166D">
              <w:rPr>
                <w:rFonts w:cs="Arial"/>
                <w:b/>
                <w:sz w:val="22"/>
                <w:szCs w:val="22"/>
              </w:rPr>
              <w:t xml:space="preserve">1.105 – 1.227 </w:t>
            </w:r>
          </w:p>
        </w:tc>
        <w:tc>
          <w:tcPr>
            <w:tcW w:w="2455" w:type="dxa"/>
            <w:shd w:val="clear" w:color="auto" w:fill="auto"/>
          </w:tcPr>
          <w:p w14:paraId="7077C89D" w14:textId="77777777" w:rsidR="004912DC" w:rsidRPr="000F166D" w:rsidRDefault="004912DC" w:rsidP="00906890">
            <w:pPr>
              <w:ind w:left="16"/>
              <w:jc w:val="center"/>
              <w:rPr>
                <w:rFonts w:cs="Arial"/>
                <w:sz w:val="22"/>
                <w:szCs w:val="22"/>
              </w:rPr>
            </w:pPr>
            <w:r w:rsidRPr="000F166D">
              <w:rPr>
                <w:rFonts w:cs="Arial"/>
                <w:b/>
                <w:sz w:val="22"/>
                <w:szCs w:val="22"/>
              </w:rPr>
              <w:t xml:space="preserve">1.137 – 1.260 </w:t>
            </w:r>
          </w:p>
        </w:tc>
        <w:tc>
          <w:tcPr>
            <w:tcW w:w="3382" w:type="dxa"/>
            <w:shd w:val="clear" w:color="auto" w:fill="auto"/>
          </w:tcPr>
          <w:p w14:paraId="3E581D41" w14:textId="77777777" w:rsidR="004912DC" w:rsidRPr="000F166D" w:rsidRDefault="004912DC" w:rsidP="00906890">
            <w:pPr>
              <w:ind w:left="16"/>
              <w:jc w:val="center"/>
              <w:rPr>
                <w:rFonts w:cs="Arial"/>
                <w:sz w:val="22"/>
                <w:szCs w:val="22"/>
              </w:rPr>
            </w:pPr>
            <w:r w:rsidRPr="000F166D">
              <w:rPr>
                <w:rFonts w:cs="Arial"/>
                <w:b/>
                <w:sz w:val="22"/>
                <w:szCs w:val="22"/>
              </w:rPr>
              <w:t xml:space="preserve">1.138 – 1.260 </w:t>
            </w:r>
          </w:p>
        </w:tc>
      </w:tr>
    </w:tbl>
    <w:p w14:paraId="717446E1" w14:textId="77777777" w:rsidR="004912DC" w:rsidRPr="000F166D" w:rsidRDefault="004912DC" w:rsidP="004912DC">
      <w:pPr>
        <w:ind w:left="-5" w:hanging="10"/>
        <w:jc w:val="both"/>
        <w:rPr>
          <w:rFonts w:cs="Arial"/>
          <w:sz w:val="22"/>
          <w:szCs w:val="22"/>
        </w:rPr>
      </w:pPr>
      <w:r w:rsidRPr="000F166D">
        <w:rPr>
          <w:rFonts w:cs="Arial"/>
          <w:sz w:val="22"/>
          <w:szCs w:val="22"/>
        </w:rPr>
        <w:t xml:space="preserve">Vir: Predhodna analiza FI, 2015 </w:t>
      </w:r>
    </w:p>
    <w:p w14:paraId="14D00905" w14:textId="77777777" w:rsidR="004912DC" w:rsidRPr="000F166D" w:rsidRDefault="004912DC" w:rsidP="004912DC">
      <w:pPr>
        <w:jc w:val="both"/>
        <w:rPr>
          <w:rFonts w:cs="Arial"/>
          <w:i/>
          <w:sz w:val="22"/>
          <w:szCs w:val="22"/>
          <w:u w:val="single" w:color="000000"/>
        </w:rPr>
      </w:pPr>
    </w:p>
    <w:p w14:paraId="0BF6D239" w14:textId="77777777" w:rsidR="004912DC" w:rsidRPr="000F166D" w:rsidRDefault="004912DC" w:rsidP="004912DC">
      <w:pPr>
        <w:spacing w:after="141"/>
        <w:ind w:left="-5" w:hanging="10"/>
        <w:jc w:val="both"/>
        <w:rPr>
          <w:rFonts w:cs="Arial"/>
          <w:sz w:val="22"/>
          <w:szCs w:val="22"/>
        </w:rPr>
      </w:pPr>
      <w:r w:rsidRPr="000F166D">
        <w:rPr>
          <w:rFonts w:cs="Arial"/>
          <w:i/>
          <w:sz w:val="22"/>
          <w:szCs w:val="22"/>
          <w:u w:val="single" w:color="000000"/>
        </w:rPr>
        <w:t>Kratkoročna posojila</w:t>
      </w:r>
      <w:r w:rsidRPr="000F166D">
        <w:rPr>
          <w:rFonts w:cs="Arial"/>
          <w:i/>
          <w:sz w:val="22"/>
          <w:szCs w:val="22"/>
        </w:rPr>
        <w:t xml:space="preserve"> </w:t>
      </w:r>
    </w:p>
    <w:p w14:paraId="16EB7A2D" w14:textId="77777777" w:rsidR="004912DC" w:rsidRPr="000F166D" w:rsidRDefault="004912DC" w:rsidP="004912DC">
      <w:pPr>
        <w:ind w:left="-15"/>
        <w:jc w:val="both"/>
        <w:rPr>
          <w:rFonts w:cs="Arial"/>
          <w:sz w:val="22"/>
          <w:szCs w:val="22"/>
        </w:rPr>
      </w:pPr>
      <w:r w:rsidRPr="000F166D">
        <w:rPr>
          <w:rFonts w:cs="Arial"/>
          <w:sz w:val="22"/>
          <w:szCs w:val="22"/>
        </w:rPr>
        <w:t xml:space="preserve">Komercialne banke se ne soočajo z likvidnostnimi težavami, vendar so kljub temu posojila pripravljene dajati le stabilnim MSP z zanesljivimi prihodnjimi denarnimi tokovi. </w:t>
      </w:r>
    </w:p>
    <w:p w14:paraId="62BABCEE" w14:textId="77777777" w:rsidR="004912DC" w:rsidRPr="000F166D" w:rsidRDefault="004912DC" w:rsidP="004912DC">
      <w:pPr>
        <w:ind w:left="-15" w:right="14"/>
        <w:jc w:val="both"/>
        <w:rPr>
          <w:rFonts w:cs="Arial"/>
          <w:sz w:val="22"/>
          <w:szCs w:val="22"/>
        </w:rPr>
      </w:pPr>
    </w:p>
    <w:p w14:paraId="30EED339" w14:textId="10275D55" w:rsidR="004912DC" w:rsidRPr="000F166D" w:rsidRDefault="004912DC" w:rsidP="004912DC">
      <w:pPr>
        <w:ind w:left="-15" w:right="14"/>
        <w:jc w:val="both"/>
        <w:rPr>
          <w:rFonts w:cs="Arial"/>
          <w:sz w:val="22"/>
          <w:szCs w:val="22"/>
        </w:rPr>
      </w:pPr>
      <w:r w:rsidRPr="000F166D">
        <w:rPr>
          <w:rFonts w:cs="Arial"/>
          <w:sz w:val="22"/>
          <w:szCs w:val="22"/>
        </w:rPr>
        <w:lastRenderedPageBreak/>
        <w:t>Na strani povpraševanja vseh kategorij velikosti MSP, le-ta p</w:t>
      </w:r>
      <w:r w:rsidR="00E97B14">
        <w:rPr>
          <w:rFonts w:cs="Arial"/>
          <w:sz w:val="22"/>
          <w:szCs w:val="22"/>
        </w:rPr>
        <w:t>otrebujejo obratni</w:t>
      </w:r>
      <w:r w:rsidRPr="000F166D">
        <w:rPr>
          <w:rFonts w:cs="Arial"/>
          <w:sz w:val="22"/>
          <w:szCs w:val="22"/>
        </w:rPr>
        <w:t xml:space="preserve"> </w:t>
      </w:r>
      <w:r w:rsidR="00E97B14">
        <w:rPr>
          <w:rFonts w:cs="Arial"/>
          <w:sz w:val="22"/>
          <w:szCs w:val="22"/>
        </w:rPr>
        <w:t>kapital</w:t>
      </w:r>
      <w:r w:rsidRPr="000F166D">
        <w:rPr>
          <w:rFonts w:cs="Arial"/>
          <w:sz w:val="22"/>
          <w:szCs w:val="22"/>
        </w:rPr>
        <w:t>, da bi kratkoročno ostale operativne, čeprav je njihova aktivnost na relativno nizki ravni. Ugotovitve potencialnih vrzeli financiranja razkrivajo težave obeh kategorij MSP pri dostopanju do kratkoročnega posojilnega financiranja. Medtem, ko imajo po številu MSP manjši obseg, so vrzeli financiranja pri tej kategoriji večje, predvsem zato, ker običajno potrebujejo višji znesek, pomemben del uspešnih MSP pa je neuspešen pri dostopanju do posojilnega financiranja v Sloveniji.</w:t>
      </w:r>
    </w:p>
    <w:p w14:paraId="552A069A" w14:textId="77777777" w:rsidR="004912DC" w:rsidRPr="000F166D" w:rsidRDefault="004912DC" w:rsidP="004912DC">
      <w:pPr>
        <w:spacing w:after="9"/>
        <w:ind w:left="-5" w:hanging="10"/>
        <w:jc w:val="both"/>
        <w:rPr>
          <w:rFonts w:cs="Arial"/>
          <w:i/>
          <w:color w:val="821A1A"/>
          <w:sz w:val="22"/>
          <w:szCs w:val="22"/>
        </w:rPr>
      </w:pPr>
    </w:p>
    <w:p w14:paraId="484C1411" w14:textId="77777777" w:rsidR="004912DC" w:rsidRPr="00A75659" w:rsidRDefault="004912DC" w:rsidP="004912DC">
      <w:pPr>
        <w:tabs>
          <w:tab w:val="left" w:pos="3770"/>
        </w:tabs>
        <w:jc w:val="both"/>
        <w:rPr>
          <w:rFonts w:cs="Arial"/>
          <w:sz w:val="22"/>
          <w:szCs w:val="22"/>
        </w:rPr>
      </w:pPr>
      <w:bookmarkStart w:id="60" w:name="_Toc66786221"/>
      <w:r w:rsidRPr="00A75659">
        <w:rPr>
          <w:rFonts w:cs="Arial"/>
          <w:sz w:val="22"/>
          <w:szCs w:val="22"/>
        </w:rPr>
        <w:t xml:space="preserve">Tabela </w:t>
      </w:r>
      <w:r w:rsidRPr="00A75659">
        <w:rPr>
          <w:rFonts w:cs="Arial"/>
          <w:sz w:val="22"/>
          <w:szCs w:val="22"/>
        </w:rPr>
        <w:fldChar w:fldCharType="begin"/>
      </w:r>
      <w:r w:rsidRPr="00A75659">
        <w:rPr>
          <w:rFonts w:cs="Arial"/>
          <w:sz w:val="22"/>
          <w:szCs w:val="22"/>
        </w:rPr>
        <w:instrText xml:space="preserve"> SEQ Tabela \* ARABIC </w:instrText>
      </w:r>
      <w:r w:rsidRPr="00A75659">
        <w:rPr>
          <w:rFonts w:cs="Arial"/>
          <w:sz w:val="22"/>
          <w:szCs w:val="22"/>
        </w:rPr>
        <w:fldChar w:fldCharType="separate"/>
      </w:r>
      <w:r w:rsidRPr="00A75659">
        <w:rPr>
          <w:rFonts w:cs="Arial"/>
          <w:sz w:val="22"/>
          <w:szCs w:val="22"/>
        </w:rPr>
        <w:t>2</w:t>
      </w:r>
      <w:r w:rsidRPr="00A75659">
        <w:rPr>
          <w:rFonts w:cs="Arial"/>
          <w:sz w:val="22"/>
          <w:szCs w:val="22"/>
        </w:rPr>
        <w:fldChar w:fldCharType="end"/>
      </w:r>
      <w:r w:rsidRPr="00A75659">
        <w:rPr>
          <w:rFonts w:cs="Arial"/>
          <w:sz w:val="22"/>
          <w:szCs w:val="22"/>
        </w:rPr>
        <w:t>: Dejanske vrzeli financiranja za kratkoročna posojila, prekoračitve na tekočih računih in kreditne linije v letu 2015 (mio EUR)</w:t>
      </w:r>
      <w:bookmarkEnd w:id="60"/>
      <w:r w:rsidRPr="00A75659">
        <w:rPr>
          <w:rFonts w:cs="Arial"/>
          <w:sz w:val="22"/>
          <w:szCs w:val="22"/>
        </w:rPr>
        <w:t xml:space="preserve"> </w:t>
      </w:r>
    </w:p>
    <w:tbl>
      <w:tblPr>
        <w:tblStyle w:val="TableGrid"/>
        <w:tblW w:w="9762"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1" w:type="dxa"/>
          <w:left w:w="62" w:type="dxa"/>
          <w:right w:w="30" w:type="dxa"/>
        </w:tblCellMar>
        <w:tblLook w:val="04A0" w:firstRow="1" w:lastRow="0" w:firstColumn="1" w:lastColumn="0" w:noHBand="0" w:noVBand="1"/>
      </w:tblPr>
      <w:tblGrid>
        <w:gridCol w:w="2669"/>
        <w:gridCol w:w="2311"/>
        <w:gridCol w:w="2312"/>
        <w:gridCol w:w="2470"/>
      </w:tblGrid>
      <w:tr w:rsidR="004912DC" w:rsidRPr="000F166D" w14:paraId="7AB25EB8" w14:textId="77777777" w:rsidTr="00906890">
        <w:trPr>
          <w:trHeight w:val="743"/>
        </w:trPr>
        <w:tc>
          <w:tcPr>
            <w:tcW w:w="2669" w:type="dxa"/>
            <w:shd w:val="clear" w:color="auto" w:fill="auto"/>
            <w:vAlign w:val="center"/>
          </w:tcPr>
          <w:p w14:paraId="29AAAD03" w14:textId="77777777" w:rsidR="004912DC" w:rsidRPr="000F166D" w:rsidRDefault="004912DC" w:rsidP="00906890">
            <w:pPr>
              <w:jc w:val="both"/>
              <w:rPr>
                <w:rFonts w:cs="Arial"/>
                <w:sz w:val="22"/>
                <w:szCs w:val="22"/>
              </w:rPr>
            </w:pPr>
            <w:r w:rsidRPr="000F166D">
              <w:rPr>
                <w:rFonts w:cs="Arial"/>
                <w:b/>
                <w:sz w:val="22"/>
                <w:szCs w:val="22"/>
              </w:rPr>
              <w:t xml:space="preserve"> </w:t>
            </w:r>
          </w:p>
        </w:tc>
        <w:tc>
          <w:tcPr>
            <w:tcW w:w="2311" w:type="dxa"/>
            <w:shd w:val="clear" w:color="auto" w:fill="auto"/>
            <w:vAlign w:val="center"/>
          </w:tcPr>
          <w:p w14:paraId="13BC27F4" w14:textId="77777777" w:rsidR="004912DC" w:rsidRPr="000F166D" w:rsidRDefault="004912DC" w:rsidP="00906890">
            <w:pPr>
              <w:jc w:val="center"/>
              <w:rPr>
                <w:rFonts w:cs="Arial"/>
                <w:sz w:val="22"/>
                <w:szCs w:val="22"/>
              </w:rPr>
            </w:pPr>
            <w:r w:rsidRPr="000F166D">
              <w:rPr>
                <w:rFonts w:cs="Arial"/>
                <w:sz w:val="22"/>
                <w:szCs w:val="22"/>
              </w:rPr>
              <w:t xml:space="preserve">Dejanska vrzel financiranja za mikro podjetja </w:t>
            </w:r>
          </w:p>
        </w:tc>
        <w:tc>
          <w:tcPr>
            <w:tcW w:w="2312" w:type="dxa"/>
            <w:shd w:val="clear" w:color="auto" w:fill="auto"/>
          </w:tcPr>
          <w:p w14:paraId="345589A4" w14:textId="77777777" w:rsidR="004912DC" w:rsidRPr="000F166D" w:rsidRDefault="004912DC" w:rsidP="00906890">
            <w:pPr>
              <w:jc w:val="center"/>
              <w:rPr>
                <w:rFonts w:cs="Arial"/>
                <w:sz w:val="22"/>
                <w:szCs w:val="22"/>
              </w:rPr>
            </w:pPr>
            <w:r w:rsidRPr="000F166D">
              <w:rPr>
                <w:rFonts w:cs="Arial"/>
                <w:sz w:val="22"/>
                <w:szCs w:val="22"/>
              </w:rPr>
              <w:t>Dejanska vrzel financiranja za mala in srednje velika podjetja</w:t>
            </w:r>
          </w:p>
        </w:tc>
        <w:tc>
          <w:tcPr>
            <w:tcW w:w="2470" w:type="dxa"/>
            <w:shd w:val="clear" w:color="auto" w:fill="auto"/>
            <w:vAlign w:val="center"/>
          </w:tcPr>
          <w:p w14:paraId="508E35CA" w14:textId="77777777" w:rsidR="004912DC" w:rsidRPr="000F166D" w:rsidRDefault="004912DC" w:rsidP="00906890">
            <w:pPr>
              <w:jc w:val="center"/>
              <w:rPr>
                <w:rFonts w:cs="Arial"/>
                <w:sz w:val="22"/>
                <w:szCs w:val="22"/>
              </w:rPr>
            </w:pPr>
            <w:r w:rsidRPr="000F166D">
              <w:rPr>
                <w:rFonts w:cs="Arial"/>
                <w:sz w:val="22"/>
                <w:szCs w:val="22"/>
              </w:rPr>
              <w:t xml:space="preserve">Dejanska vrzel financiranja za mikro, mala in srednje velika podjetja </w:t>
            </w:r>
          </w:p>
        </w:tc>
      </w:tr>
      <w:tr w:rsidR="004912DC" w:rsidRPr="000F166D" w14:paraId="31824C0D" w14:textId="77777777" w:rsidTr="00906890">
        <w:trPr>
          <w:trHeight w:val="740"/>
        </w:trPr>
        <w:tc>
          <w:tcPr>
            <w:tcW w:w="2669" w:type="dxa"/>
            <w:shd w:val="clear" w:color="auto" w:fill="auto"/>
          </w:tcPr>
          <w:p w14:paraId="27E8BEF8" w14:textId="77777777" w:rsidR="004912DC" w:rsidRPr="000F166D" w:rsidRDefault="004912DC" w:rsidP="00906890">
            <w:pPr>
              <w:jc w:val="both"/>
              <w:rPr>
                <w:rFonts w:cs="Arial"/>
                <w:sz w:val="22"/>
                <w:szCs w:val="22"/>
              </w:rPr>
            </w:pPr>
            <w:r w:rsidRPr="000F166D">
              <w:rPr>
                <w:rFonts w:cs="Arial"/>
                <w:sz w:val="22"/>
                <w:szCs w:val="22"/>
              </w:rPr>
              <w:t>Kratkoročna posojila v mio EUR</w:t>
            </w:r>
          </w:p>
        </w:tc>
        <w:tc>
          <w:tcPr>
            <w:tcW w:w="2311" w:type="dxa"/>
            <w:shd w:val="clear" w:color="auto" w:fill="auto"/>
            <w:vAlign w:val="center"/>
          </w:tcPr>
          <w:p w14:paraId="26F2E8F7" w14:textId="77777777" w:rsidR="004912DC" w:rsidRPr="000F166D" w:rsidRDefault="004912DC" w:rsidP="00906890">
            <w:pPr>
              <w:ind w:right="31"/>
              <w:jc w:val="center"/>
              <w:rPr>
                <w:rFonts w:cs="Arial"/>
                <w:b/>
                <w:sz w:val="22"/>
                <w:szCs w:val="22"/>
              </w:rPr>
            </w:pPr>
            <w:r w:rsidRPr="000F166D">
              <w:rPr>
                <w:rFonts w:cs="Arial"/>
                <w:b/>
                <w:sz w:val="22"/>
                <w:szCs w:val="22"/>
              </w:rPr>
              <w:t xml:space="preserve">130 – 144 </w:t>
            </w:r>
          </w:p>
        </w:tc>
        <w:tc>
          <w:tcPr>
            <w:tcW w:w="2312" w:type="dxa"/>
            <w:shd w:val="clear" w:color="auto" w:fill="auto"/>
            <w:vAlign w:val="center"/>
          </w:tcPr>
          <w:p w14:paraId="4FE02066" w14:textId="77777777" w:rsidR="004912DC" w:rsidRPr="000F166D" w:rsidRDefault="004912DC" w:rsidP="00906890">
            <w:pPr>
              <w:ind w:right="30"/>
              <w:jc w:val="center"/>
              <w:rPr>
                <w:rFonts w:cs="Arial"/>
                <w:b/>
                <w:sz w:val="22"/>
                <w:szCs w:val="22"/>
              </w:rPr>
            </w:pPr>
            <w:r w:rsidRPr="000F166D">
              <w:rPr>
                <w:rFonts w:cs="Arial"/>
                <w:b/>
                <w:sz w:val="22"/>
                <w:szCs w:val="22"/>
              </w:rPr>
              <w:t xml:space="preserve">599 – 662 </w:t>
            </w:r>
          </w:p>
        </w:tc>
        <w:tc>
          <w:tcPr>
            <w:tcW w:w="2470" w:type="dxa"/>
            <w:shd w:val="clear" w:color="auto" w:fill="auto"/>
            <w:vAlign w:val="center"/>
          </w:tcPr>
          <w:p w14:paraId="6447CCA2" w14:textId="77777777" w:rsidR="004912DC" w:rsidRPr="000F166D" w:rsidRDefault="004912DC" w:rsidP="00906890">
            <w:pPr>
              <w:ind w:right="32"/>
              <w:jc w:val="center"/>
              <w:rPr>
                <w:rFonts w:cs="Arial"/>
                <w:b/>
                <w:sz w:val="22"/>
                <w:szCs w:val="22"/>
              </w:rPr>
            </w:pPr>
            <w:r w:rsidRPr="000F166D">
              <w:rPr>
                <w:rFonts w:cs="Arial"/>
                <w:b/>
                <w:sz w:val="22"/>
                <w:szCs w:val="22"/>
              </w:rPr>
              <w:t xml:space="preserve">730 – 807 </w:t>
            </w:r>
          </w:p>
        </w:tc>
      </w:tr>
    </w:tbl>
    <w:p w14:paraId="6EAC6975" w14:textId="77777777" w:rsidR="004912DC" w:rsidRPr="000F166D" w:rsidRDefault="004912DC" w:rsidP="004912DC">
      <w:pPr>
        <w:spacing w:after="154"/>
        <w:ind w:left="-5" w:hanging="10"/>
        <w:jc w:val="both"/>
        <w:rPr>
          <w:rFonts w:cs="Arial"/>
          <w:i/>
          <w:sz w:val="22"/>
          <w:szCs w:val="22"/>
        </w:rPr>
      </w:pPr>
      <w:r w:rsidRPr="000F166D">
        <w:rPr>
          <w:rFonts w:cs="Arial"/>
          <w:i/>
          <w:sz w:val="22"/>
          <w:szCs w:val="22"/>
        </w:rPr>
        <w:t xml:space="preserve">Vir: Predhodna analiza FI, 2015 </w:t>
      </w:r>
    </w:p>
    <w:p w14:paraId="6756AC6E" w14:textId="77777777" w:rsidR="004912DC" w:rsidRPr="000F166D" w:rsidRDefault="004912DC" w:rsidP="004912DC">
      <w:pPr>
        <w:keepNext/>
        <w:keepLines/>
        <w:widowControl w:val="0"/>
        <w:spacing w:after="141"/>
        <w:ind w:left="-5" w:hanging="10"/>
        <w:jc w:val="both"/>
        <w:rPr>
          <w:rFonts w:cs="Arial"/>
          <w:sz w:val="22"/>
          <w:szCs w:val="22"/>
        </w:rPr>
      </w:pPr>
      <w:r w:rsidRPr="000F166D">
        <w:rPr>
          <w:rFonts w:cs="Arial"/>
          <w:i/>
          <w:sz w:val="22"/>
          <w:szCs w:val="22"/>
          <w:u w:val="single" w:color="000000"/>
        </w:rPr>
        <w:t>Srednje- in dolgoročna posojila</w:t>
      </w:r>
      <w:r w:rsidRPr="000F166D">
        <w:rPr>
          <w:rFonts w:cs="Arial"/>
          <w:i/>
          <w:sz w:val="22"/>
          <w:szCs w:val="22"/>
        </w:rPr>
        <w:t xml:space="preserve"> </w:t>
      </w:r>
    </w:p>
    <w:p w14:paraId="0321ECC7" w14:textId="77777777" w:rsidR="004912DC" w:rsidRDefault="004912DC" w:rsidP="004912DC">
      <w:pPr>
        <w:keepNext/>
        <w:keepLines/>
        <w:widowControl w:val="0"/>
        <w:ind w:left="-15" w:right="14"/>
        <w:jc w:val="both"/>
        <w:rPr>
          <w:rFonts w:cs="Arial"/>
          <w:sz w:val="22"/>
          <w:szCs w:val="22"/>
        </w:rPr>
      </w:pPr>
      <w:r w:rsidRPr="000F166D">
        <w:rPr>
          <w:rFonts w:cs="Arial"/>
          <w:sz w:val="22"/>
          <w:szCs w:val="22"/>
        </w:rPr>
        <w:t>Vsa MSP ne glede na velikost uporabljajo srednje in dolgoročno dolžniško financiranje v Sloveniji. Posojila potrebujejo tako za financiranje obnove opreme kot tudi za investicije in širjenje dejavnosti.</w:t>
      </w:r>
    </w:p>
    <w:p w14:paraId="47854896" w14:textId="77777777" w:rsidR="004912DC" w:rsidRPr="000F166D" w:rsidRDefault="004912DC" w:rsidP="004912DC">
      <w:pPr>
        <w:keepNext/>
        <w:keepLines/>
        <w:widowControl w:val="0"/>
        <w:ind w:left="-15" w:right="14"/>
        <w:jc w:val="both"/>
        <w:rPr>
          <w:rFonts w:cs="Arial"/>
          <w:sz w:val="22"/>
          <w:szCs w:val="22"/>
        </w:rPr>
      </w:pPr>
      <w:r w:rsidRPr="000F166D">
        <w:rPr>
          <w:rFonts w:cs="Arial"/>
          <w:sz w:val="22"/>
          <w:szCs w:val="22"/>
        </w:rPr>
        <w:t xml:space="preserve"> </w:t>
      </w:r>
    </w:p>
    <w:p w14:paraId="5F3E8878" w14:textId="77777777" w:rsidR="004912DC" w:rsidRPr="00786C35" w:rsidRDefault="004912DC" w:rsidP="004912DC">
      <w:pPr>
        <w:tabs>
          <w:tab w:val="left" w:pos="3770"/>
        </w:tabs>
        <w:jc w:val="both"/>
        <w:rPr>
          <w:rFonts w:cs="Arial"/>
          <w:sz w:val="22"/>
          <w:szCs w:val="22"/>
        </w:rPr>
      </w:pPr>
      <w:bookmarkStart w:id="61" w:name="_Toc66786222"/>
      <w:r w:rsidRPr="00786C35">
        <w:rPr>
          <w:rFonts w:cs="Arial"/>
          <w:sz w:val="22"/>
          <w:szCs w:val="22"/>
        </w:rPr>
        <w:t xml:space="preserve">Tabela </w:t>
      </w:r>
      <w:r w:rsidRPr="00786C35">
        <w:rPr>
          <w:rFonts w:cs="Arial"/>
          <w:sz w:val="22"/>
          <w:szCs w:val="22"/>
        </w:rPr>
        <w:fldChar w:fldCharType="begin"/>
      </w:r>
      <w:r w:rsidRPr="00786C35">
        <w:rPr>
          <w:rFonts w:cs="Arial"/>
          <w:sz w:val="22"/>
          <w:szCs w:val="22"/>
        </w:rPr>
        <w:instrText xml:space="preserve"> SEQ Tabela \* ARABIC </w:instrText>
      </w:r>
      <w:r w:rsidRPr="00786C35">
        <w:rPr>
          <w:rFonts w:cs="Arial"/>
          <w:sz w:val="22"/>
          <w:szCs w:val="22"/>
        </w:rPr>
        <w:fldChar w:fldCharType="separate"/>
      </w:r>
      <w:r w:rsidRPr="00786C35">
        <w:rPr>
          <w:rFonts w:cs="Arial"/>
          <w:noProof/>
          <w:sz w:val="22"/>
          <w:szCs w:val="22"/>
        </w:rPr>
        <w:t>3</w:t>
      </w:r>
      <w:r w:rsidRPr="00786C35">
        <w:rPr>
          <w:rFonts w:cs="Arial"/>
          <w:sz w:val="22"/>
          <w:szCs w:val="22"/>
        </w:rPr>
        <w:fldChar w:fldCharType="end"/>
      </w:r>
      <w:r w:rsidRPr="00786C35">
        <w:rPr>
          <w:rFonts w:cs="Arial"/>
          <w:sz w:val="22"/>
          <w:szCs w:val="22"/>
        </w:rPr>
        <w:t>: Dejanske vrzeli financiranja za srednje- in dolgoročna posojila v letu 2015 (mio EUR)</w:t>
      </w:r>
      <w:bookmarkEnd w:id="61"/>
      <w:r w:rsidRPr="00786C35">
        <w:rPr>
          <w:rFonts w:cs="Arial"/>
          <w:sz w:val="22"/>
          <w:szCs w:val="22"/>
        </w:rPr>
        <w:t xml:space="preserve"> </w:t>
      </w:r>
    </w:p>
    <w:tbl>
      <w:tblPr>
        <w:tblStyle w:val="TableGrid"/>
        <w:tblW w:w="978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2" w:type="dxa"/>
          <w:left w:w="62" w:type="dxa"/>
          <w:right w:w="34" w:type="dxa"/>
        </w:tblCellMar>
        <w:tblLook w:val="04A0" w:firstRow="1" w:lastRow="0" w:firstColumn="1" w:lastColumn="0" w:noHBand="0" w:noVBand="1"/>
      </w:tblPr>
      <w:tblGrid>
        <w:gridCol w:w="2684"/>
        <w:gridCol w:w="2323"/>
        <w:gridCol w:w="2325"/>
        <w:gridCol w:w="2456"/>
      </w:tblGrid>
      <w:tr w:rsidR="004912DC" w:rsidRPr="000F166D" w14:paraId="3CBE1C24" w14:textId="77777777" w:rsidTr="00906890">
        <w:trPr>
          <w:trHeight w:val="742"/>
        </w:trPr>
        <w:tc>
          <w:tcPr>
            <w:tcW w:w="2684" w:type="dxa"/>
            <w:shd w:val="clear" w:color="auto" w:fill="auto"/>
            <w:vAlign w:val="center"/>
          </w:tcPr>
          <w:p w14:paraId="7D065C99" w14:textId="77777777" w:rsidR="004912DC" w:rsidRPr="000F166D" w:rsidRDefault="004912DC" w:rsidP="00906890">
            <w:pPr>
              <w:jc w:val="both"/>
              <w:rPr>
                <w:rFonts w:cs="Arial"/>
                <w:sz w:val="22"/>
                <w:szCs w:val="22"/>
              </w:rPr>
            </w:pPr>
            <w:r w:rsidRPr="000F166D">
              <w:rPr>
                <w:rFonts w:cs="Arial"/>
                <w:b/>
                <w:sz w:val="22"/>
                <w:szCs w:val="22"/>
              </w:rPr>
              <w:t xml:space="preserve"> </w:t>
            </w:r>
          </w:p>
        </w:tc>
        <w:tc>
          <w:tcPr>
            <w:tcW w:w="2323" w:type="dxa"/>
            <w:shd w:val="clear" w:color="auto" w:fill="auto"/>
            <w:vAlign w:val="center"/>
          </w:tcPr>
          <w:p w14:paraId="781B6732" w14:textId="77777777" w:rsidR="004912DC" w:rsidRPr="000F166D" w:rsidRDefault="004912DC" w:rsidP="00906890">
            <w:pPr>
              <w:jc w:val="center"/>
              <w:rPr>
                <w:rFonts w:cs="Arial"/>
                <w:sz w:val="22"/>
                <w:szCs w:val="22"/>
              </w:rPr>
            </w:pPr>
            <w:r w:rsidRPr="000F166D">
              <w:rPr>
                <w:rFonts w:cs="Arial"/>
                <w:sz w:val="22"/>
                <w:szCs w:val="22"/>
              </w:rPr>
              <w:t xml:space="preserve">Dejanska vrzel financiranja za mikro podjetja </w:t>
            </w:r>
          </w:p>
        </w:tc>
        <w:tc>
          <w:tcPr>
            <w:tcW w:w="2325" w:type="dxa"/>
            <w:shd w:val="clear" w:color="auto" w:fill="auto"/>
          </w:tcPr>
          <w:p w14:paraId="4E52CEB1" w14:textId="77777777" w:rsidR="004912DC" w:rsidRPr="000F166D" w:rsidRDefault="004912DC" w:rsidP="00906890">
            <w:pPr>
              <w:jc w:val="center"/>
              <w:rPr>
                <w:rFonts w:cs="Arial"/>
                <w:sz w:val="22"/>
                <w:szCs w:val="22"/>
              </w:rPr>
            </w:pPr>
            <w:r w:rsidRPr="000F166D">
              <w:rPr>
                <w:rFonts w:cs="Arial"/>
                <w:sz w:val="22"/>
                <w:szCs w:val="22"/>
              </w:rPr>
              <w:t xml:space="preserve">Dejanska vrzel financiranja za mala in srednje velika </w:t>
            </w:r>
          </w:p>
          <w:p w14:paraId="59D03AEF" w14:textId="77777777" w:rsidR="004912DC" w:rsidRPr="000F166D" w:rsidRDefault="004912DC" w:rsidP="00906890">
            <w:pPr>
              <w:ind w:right="33"/>
              <w:jc w:val="center"/>
              <w:rPr>
                <w:rFonts w:cs="Arial"/>
                <w:sz w:val="22"/>
                <w:szCs w:val="22"/>
              </w:rPr>
            </w:pPr>
            <w:r w:rsidRPr="000F166D">
              <w:rPr>
                <w:rFonts w:cs="Arial"/>
                <w:color w:val="FFFFFF"/>
                <w:sz w:val="22"/>
                <w:szCs w:val="22"/>
              </w:rPr>
              <w:t xml:space="preserve">podjetja </w:t>
            </w:r>
          </w:p>
        </w:tc>
        <w:tc>
          <w:tcPr>
            <w:tcW w:w="2456" w:type="dxa"/>
            <w:shd w:val="clear" w:color="auto" w:fill="auto"/>
            <w:vAlign w:val="center"/>
          </w:tcPr>
          <w:p w14:paraId="2471CC7A" w14:textId="77777777" w:rsidR="004912DC" w:rsidRPr="000F166D" w:rsidRDefault="004912DC" w:rsidP="00906890">
            <w:pPr>
              <w:jc w:val="center"/>
              <w:rPr>
                <w:rFonts w:cs="Arial"/>
                <w:sz w:val="22"/>
                <w:szCs w:val="22"/>
              </w:rPr>
            </w:pPr>
            <w:r w:rsidRPr="000F166D">
              <w:rPr>
                <w:rFonts w:cs="Arial"/>
                <w:sz w:val="22"/>
                <w:szCs w:val="22"/>
              </w:rPr>
              <w:t xml:space="preserve">Dejanska vrzel financiranja za mikro, mala in srednje velika podjetja </w:t>
            </w:r>
          </w:p>
        </w:tc>
      </w:tr>
      <w:tr w:rsidR="004912DC" w:rsidRPr="000F166D" w14:paraId="12A4F584" w14:textId="77777777" w:rsidTr="00906890">
        <w:trPr>
          <w:trHeight w:val="335"/>
        </w:trPr>
        <w:tc>
          <w:tcPr>
            <w:tcW w:w="2684" w:type="dxa"/>
            <w:shd w:val="clear" w:color="auto" w:fill="auto"/>
          </w:tcPr>
          <w:p w14:paraId="644A7747" w14:textId="77777777" w:rsidR="004912DC" w:rsidRPr="000F166D" w:rsidRDefault="004912DC" w:rsidP="00906890">
            <w:pPr>
              <w:jc w:val="both"/>
              <w:rPr>
                <w:rFonts w:cs="Arial"/>
                <w:sz w:val="22"/>
                <w:szCs w:val="22"/>
              </w:rPr>
            </w:pPr>
            <w:r w:rsidRPr="000F166D">
              <w:rPr>
                <w:rFonts w:cs="Arial"/>
                <w:sz w:val="22"/>
                <w:szCs w:val="22"/>
              </w:rPr>
              <w:t>Srednje- in dolgoročna posojila v mio EUR</w:t>
            </w:r>
          </w:p>
        </w:tc>
        <w:tc>
          <w:tcPr>
            <w:tcW w:w="2323" w:type="dxa"/>
            <w:shd w:val="clear" w:color="auto" w:fill="auto"/>
          </w:tcPr>
          <w:p w14:paraId="17CED5B5" w14:textId="77777777" w:rsidR="004912DC" w:rsidRPr="000F166D" w:rsidRDefault="004912DC" w:rsidP="00906890">
            <w:pPr>
              <w:ind w:right="32"/>
              <w:jc w:val="center"/>
              <w:rPr>
                <w:rFonts w:cs="Arial"/>
                <w:sz w:val="22"/>
                <w:szCs w:val="22"/>
              </w:rPr>
            </w:pPr>
            <w:r w:rsidRPr="000F166D">
              <w:rPr>
                <w:rFonts w:cs="Arial"/>
                <w:b/>
                <w:sz w:val="22"/>
                <w:szCs w:val="22"/>
              </w:rPr>
              <w:t xml:space="preserve">311 – 344 </w:t>
            </w:r>
          </w:p>
        </w:tc>
        <w:tc>
          <w:tcPr>
            <w:tcW w:w="2325" w:type="dxa"/>
            <w:shd w:val="clear" w:color="auto" w:fill="auto"/>
          </w:tcPr>
          <w:p w14:paraId="74E93E58" w14:textId="77777777" w:rsidR="004912DC" w:rsidRPr="000F166D" w:rsidRDefault="004912DC" w:rsidP="00906890">
            <w:pPr>
              <w:ind w:right="30"/>
              <w:jc w:val="center"/>
              <w:rPr>
                <w:rFonts w:cs="Arial"/>
                <w:sz w:val="22"/>
                <w:szCs w:val="22"/>
              </w:rPr>
            </w:pPr>
            <w:r w:rsidRPr="000F166D">
              <w:rPr>
                <w:rFonts w:cs="Arial"/>
                <w:b/>
                <w:sz w:val="22"/>
                <w:szCs w:val="22"/>
              </w:rPr>
              <w:t xml:space="preserve">885 – 978 </w:t>
            </w:r>
          </w:p>
        </w:tc>
        <w:tc>
          <w:tcPr>
            <w:tcW w:w="2456" w:type="dxa"/>
            <w:shd w:val="clear" w:color="auto" w:fill="auto"/>
          </w:tcPr>
          <w:p w14:paraId="33099BA6" w14:textId="77777777" w:rsidR="004912DC" w:rsidRPr="000F166D" w:rsidRDefault="004912DC" w:rsidP="00906890">
            <w:pPr>
              <w:ind w:right="25"/>
              <w:jc w:val="center"/>
              <w:rPr>
                <w:rFonts w:cs="Arial"/>
                <w:sz w:val="22"/>
                <w:szCs w:val="22"/>
              </w:rPr>
            </w:pPr>
            <w:r w:rsidRPr="000F166D">
              <w:rPr>
                <w:rFonts w:cs="Arial"/>
                <w:b/>
                <w:sz w:val="22"/>
                <w:szCs w:val="22"/>
              </w:rPr>
              <w:t xml:space="preserve">1.196 – 1.322 </w:t>
            </w:r>
          </w:p>
        </w:tc>
      </w:tr>
    </w:tbl>
    <w:p w14:paraId="5D6B83FF" w14:textId="77777777" w:rsidR="004912DC" w:rsidRPr="000F166D" w:rsidRDefault="004912DC" w:rsidP="004912DC">
      <w:pPr>
        <w:ind w:left="-5" w:hanging="10"/>
        <w:jc w:val="both"/>
        <w:rPr>
          <w:rFonts w:cs="Arial"/>
          <w:sz w:val="22"/>
          <w:szCs w:val="22"/>
        </w:rPr>
      </w:pPr>
      <w:r w:rsidRPr="000F166D">
        <w:rPr>
          <w:rFonts w:cs="Arial"/>
          <w:sz w:val="22"/>
          <w:szCs w:val="22"/>
        </w:rPr>
        <w:t xml:space="preserve">Vir: Predhodna ocena FI, 2015 </w:t>
      </w:r>
    </w:p>
    <w:p w14:paraId="00B3AC93" w14:textId="77777777" w:rsidR="004912DC" w:rsidRPr="000F166D" w:rsidRDefault="004912DC" w:rsidP="004912DC">
      <w:pPr>
        <w:ind w:left="-5" w:hanging="10"/>
        <w:jc w:val="both"/>
        <w:rPr>
          <w:rFonts w:cs="Arial"/>
          <w:i/>
          <w:sz w:val="22"/>
          <w:szCs w:val="22"/>
          <w:u w:val="single" w:color="000000"/>
        </w:rPr>
      </w:pPr>
    </w:p>
    <w:p w14:paraId="07F03C34" w14:textId="77777777" w:rsidR="004912DC" w:rsidRPr="000F166D" w:rsidRDefault="004912DC" w:rsidP="004912DC">
      <w:pPr>
        <w:spacing w:after="141"/>
        <w:ind w:left="-5" w:hanging="10"/>
        <w:jc w:val="both"/>
        <w:rPr>
          <w:rFonts w:cs="Arial"/>
          <w:sz w:val="22"/>
          <w:szCs w:val="22"/>
        </w:rPr>
      </w:pPr>
      <w:r w:rsidRPr="000F166D">
        <w:rPr>
          <w:rFonts w:cs="Arial"/>
          <w:i/>
          <w:sz w:val="22"/>
          <w:szCs w:val="22"/>
          <w:u w:val="single" w:color="000000"/>
        </w:rPr>
        <w:t>Lastniški kapital</w:t>
      </w:r>
      <w:r w:rsidRPr="000F166D">
        <w:rPr>
          <w:rFonts w:cs="Arial"/>
          <w:i/>
          <w:sz w:val="22"/>
          <w:szCs w:val="22"/>
        </w:rPr>
        <w:t xml:space="preserve"> </w:t>
      </w:r>
    </w:p>
    <w:p w14:paraId="26423E3B" w14:textId="77777777" w:rsidR="004912DC" w:rsidRPr="000F166D" w:rsidRDefault="004912DC" w:rsidP="004912DC">
      <w:pPr>
        <w:ind w:left="-15" w:right="14"/>
        <w:jc w:val="both"/>
        <w:rPr>
          <w:rFonts w:cs="Arial"/>
          <w:sz w:val="22"/>
          <w:szCs w:val="22"/>
        </w:rPr>
      </w:pPr>
      <w:r w:rsidRPr="000F166D">
        <w:rPr>
          <w:rFonts w:cs="Arial"/>
          <w:sz w:val="22"/>
          <w:szCs w:val="22"/>
        </w:rPr>
        <w:t xml:space="preserve">Ponudba lastniškega financiranja je v Sloveniji dostopna preko zasebnih skladov tveganega kapitala v sodelovanju s Slovenskim podjetniškim skladom. Le-ta je zagotovil tudi zagonsko financiranje v obliki semenskega kapitala, v Sloveniji pa so prisotni tudi poslovni angeli. </w:t>
      </w:r>
    </w:p>
    <w:p w14:paraId="565A2A46" w14:textId="77777777" w:rsidR="004912DC" w:rsidRPr="000F166D" w:rsidRDefault="004912DC" w:rsidP="004912DC">
      <w:pPr>
        <w:ind w:left="-15" w:right="14"/>
        <w:jc w:val="both"/>
        <w:rPr>
          <w:rFonts w:cs="Arial"/>
          <w:sz w:val="22"/>
          <w:szCs w:val="22"/>
        </w:rPr>
      </w:pPr>
      <w:r w:rsidRPr="000F166D">
        <w:rPr>
          <w:rFonts w:cs="Arial"/>
          <w:sz w:val="22"/>
          <w:szCs w:val="22"/>
        </w:rPr>
        <w:br/>
      </w:r>
      <w:bookmarkStart w:id="62" w:name="_Toc66786223"/>
      <w:r w:rsidRPr="00A75659">
        <w:rPr>
          <w:rFonts w:cs="Arial"/>
          <w:sz w:val="22"/>
          <w:szCs w:val="22"/>
        </w:rPr>
        <w:t xml:space="preserve">Tabela </w:t>
      </w:r>
      <w:r w:rsidRPr="00A75659">
        <w:rPr>
          <w:rFonts w:cs="Arial"/>
          <w:sz w:val="22"/>
          <w:szCs w:val="22"/>
        </w:rPr>
        <w:fldChar w:fldCharType="begin"/>
      </w:r>
      <w:r w:rsidRPr="00A75659">
        <w:rPr>
          <w:rFonts w:cs="Arial"/>
          <w:sz w:val="22"/>
          <w:szCs w:val="22"/>
        </w:rPr>
        <w:instrText xml:space="preserve"> SEQ Tabela \* ARABIC </w:instrText>
      </w:r>
      <w:r w:rsidRPr="00A75659">
        <w:rPr>
          <w:rFonts w:cs="Arial"/>
          <w:sz w:val="22"/>
          <w:szCs w:val="22"/>
        </w:rPr>
        <w:fldChar w:fldCharType="separate"/>
      </w:r>
      <w:r>
        <w:rPr>
          <w:rFonts w:cs="Arial"/>
          <w:noProof/>
          <w:sz w:val="22"/>
          <w:szCs w:val="22"/>
        </w:rPr>
        <w:t>4</w:t>
      </w:r>
      <w:r w:rsidRPr="00A75659">
        <w:rPr>
          <w:rFonts w:cs="Arial"/>
          <w:sz w:val="22"/>
          <w:szCs w:val="22"/>
        </w:rPr>
        <w:fldChar w:fldCharType="end"/>
      </w:r>
      <w:r w:rsidRPr="00A75659">
        <w:rPr>
          <w:rFonts w:cs="Arial"/>
          <w:sz w:val="22"/>
          <w:szCs w:val="22"/>
        </w:rPr>
        <w:t>:</w:t>
      </w:r>
      <w:r w:rsidRPr="000F166D">
        <w:rPr>
          <w:rFonts w:cs="Arial"/>
          <w:sz w:val="22"/>
          <w:szCs w:val="22"/>
        </w:rPr>
        <w:t xml:space="preserve"> Potencialna vrzel lastniškega financiranja za vsa MSP v letu 2015 (v mio EUR)</w:t>
      </w:r>
      <w:bookmarkEnd w:id="62"/>
    </w:p>
    <w:tbl>
      <w:tblPr>
        <w:tblStyle w:val="TableGrid"/>
        <w:tblW w:w="978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2" w:type="dxa"/>
          <w:left w:w="62" w:type="dxa"/>
          <w:right w:w="34" w:type="dxa"/>
        </w:tblCellMar>
        <w:tblLook w:val="04A0" w:firstRow="1" w:lastRow="0" w:firstColumn="1" w:lastColumn="0" w:noHBand="0" w:noVBand="1"/>
      </w:tblPr>
      <w:tblGrid>
        <w:gridCol w:w="2684"/>
        <w:gridCol w:w="7104"/>
      </w:tblGrid>
      <w:tr w:rsidR="004912DC" w:rsidRPr="000F166D" w14:paraId="5B9A14B9" w14:textId="77777777" w:rsidTr="00906890">
        <w:trPr>
          <w:trHeight w:val="742"/>
        </w:trPr>
        <w:tc>
          <w:tcPr>
            <w:tcW w:w="2684" w:type="dxa"/>
            <w:shd w:val="clear" w:color="auto" w:fill="auto"/>
            <w:vAlign w:val="center"/>
          </w:tcPr>
          <w:p w14:paraId="5C14908A" w14:textId="77777777" w:rsidR="004912DC" w:rsidRPr="000F166D" w:rsidRDefault="004912DC" w:rsidP="00906890">
            <w:pPr>
              <w:jc w:val="both"/>
              <w:rPr>
                <w:rFonts w:cs="Arial"/>
                <w:sz w:val="22"/>
                <w:szCs w:val="22"/>
              </w:rPr>
            </w:pPr>
          </w:p>
        </w:tc>
        <w:tc>
          <w:tcPr>
            <w:tcW w:w="7104" w:type="dxa"/>
            <w:shd w:val="clear" w:color="auto" w:fill="auto"/>
            <w:vAlign w:val="center"/>
          </w:tcPr>
          <w:p w14:paraId="1BF9DCD8" w14:textId="77777777" w:rsidR="004912DC" w:rsidRPr="000F166D" w:rsidRDefault="004912DC" w:rsidP="00906890">
            <w:pPr>
              <w:jc w:val="center"/>
              <w:rPr>
                <w:rFonts w:cs="Arial"/>
                <w:sz w:val="22"/>
                <w:szCs w:val="22"/>
              </w:rPr>
            </w:pPr>
            <w:r w:rsidRPr="000F166D">
              <w:rPr>
                <w:rFonts w:cs="Arial"/>
                <w:sz w:val="22"/>
                <w:szCs w:val="22"/>
              </w:rPr>
              <w:t>Vrzel financiranja</w:t>
            </w:r>
            <w:r>
              <w:rPr>
                <w:rFonts w:cs="Arial"/>
                <w:sz w:val="22"/>
                <w:szCs w:val="22"/>
              </w:rPr>
              <w:t xml:space="preserve"> </w:t>
            </w:r>
          </w:p>
        </w:tc>
      </w:tr>
      <w:tr w:rsidR="004912DC" w:rsidRPr="000F166D" w14:paraId="7FA97EF7" w14:textId="77777777" w:rsidTr="00906890">
        <w:trPr>
          <w:trHeight w:val="335"/>
        </w:trPr>
        <w:tc>
          <w:tcPr>
            <w:tcW w:w="2684" w:type="dxa"/>
            <w:shd w:val="clear" w:color="auto" w:fill="auto"/>
          </w:tcPr>
          <w:p w14:paraId="4119D745" w14:textId="77777777" w:rsidR="004912DC" w:rsidRPr="000F166D" w:rsidRDefault="004912DC" w:rsidP="00906890">
            <w:pPr>
              <w:jc w:val="both"/>
              <w:rPr>
                <w:rFonts w:cs="Arial"/>
                <w:sz w:val="22"/>
                <w:szCs w:val="22"/>
              </w:rPr>
            </w:pPr>
            <w:r w:rsidRPr="000F166D">
              <w:rPr>
                <w:rFonts w:cs="Arial"/>
                <w:sz w:val="22"/>
                <w:szCs w:val="22"/>
              </w:rPr>
              <w:t>Lastniško financiranje</w:t>
            </w:r>
          </w:p>
        </w:tc>
        <w:tc>
          <w:tcPr>
            <w:tcW w:w="7104" w:type="dxa"/>
            <w:shd w:val="clear" w:color="auto" w:fill="auto"/>
          </w:tcPr>
          <w:p w14:paraId="176458A5" w14:textId="77777777" w:rsidR="004912DC" w:rsidRPr="000F166D" w:rsidRDefault="004912DC" w:rsidP="00906890">
            <w:pPr>
              <w:ind w:right="25"/>
              <w:jc w:val="center"/>
              <w:rPr>
                <w:rFonts w:cs="Arial"/>
                <w:sz w:val="22"/>
                <w:szCs w:val="22"/>
              </w:rPr>
            </w:pPr>
            <w:r w:rsidRPr="000F166D">
              <w:rPr>
                <w:rFonts w:cs="Arial"/>
                <w:b/>
                <w:sz w:val="22"/>
                <w:szCs w:val="22"/>
              </w:rPr>
              <w:t xml:space="preserve">14 – 92 </w:t>
            </w:r>
          </w:p>
        </w:tc>
      </w:tr>
    </w:tbl>
    <w:p w14:paraId="2478BF72" w14:textId="77777777" w:rsidR="004912DC" w:rsidRPr="000F166D" w:rsidRDefault="004912DC" w:rsidP="004912DC">
      <w:pPr>
        <w:ind w:left="-15" w:right="14"/>
        <w:jc w:val="both"/>
        <w:rPr>
          <w:rFonts w:cs="Arial"/>
          <w:sz w:val="22"/>
          <w:szCs w:val="22"/>
        </w:rPr>
      </w:pPr>
      <w:r w:rsidRPr="000F166D">
        <w:rPr>
          <w:rFonts w:cs="Arial"/>
          <w:sz w:val="22"/>
          <w:szCs w:val="22"/>
        </w:rPr>
        <w:t>Vir: Predhodna ocena FI, 2015</w:t>
      </w:r>
    </w:p>
    <w:p w14:paraId="475539AD" w14:textId="77777777" w:rsidR="004912DC" w:rsidRPr="000F166D" w:rsidRDefault="004912DC" w:rsidP="004912DC">
      <w:pPr>
        <w:ind w:left="-15" w:right="14"/>
        <w:jc w:val="both"/>
        <w:rPr>
          <w:rFonts w:cs="Arial"/>
          <w:sz w:val="22"/>
          <w:szCs w:val="22"/>
        </w:rPr>
      </w:pPr>
    </w:p>
    <w:p w14:paraId="2B9283B5" w14:textId="77777777" w:rsidR="004912DC" w:rsidRPr="000F166D" w:rsidRDefault="004912DC" w:rsidP="004912DC">
      <w:pPr>
        <w:ind w:left="-15" w:right="14"/>
        <w:jc w:val="both"/>
        <w:rPr>
          <w:rFonts w:cs="Arial"/>
          <w:sz w:val="22"/>
          <w:szCs w:val="22"/>
        </w:rPr>
      </w:pPr>
      <w:r w:rsidRPr="000F166D">
        <w:rPr>
          <w:rFonts w:cs="Arial"/>
          <w:sz w:val="22"/>
          <w:szCs w:val="22"/>
        </w:rPr>
        <w:lastRenderedPageBreak/>
        <w:t>Poleg potencialne vrzeli financiranja je potrebno upoštevati, da v državi obstaja zadostno število specifičnih ciljnih skupin s potrebo po lastniškem financiranju, da so te ciljne skupine lahko zanimive tudi za zasebne vlagatelje in da je država sposobna zagotoviti finančni vzvod obstoječih omrežij za spodbuditev povezovanja z investitorji in zagotavljanje mentorstva ter podpore MSP, ki se prijavljajo za lastniško financiranje.</w:t>
      </w:r>
    </w:p>
    <w:p w14:paraId="2ED372C6" w14:textId="77777777" w:rsidR="004912DC" w:rsidRPr="000F166D" w:rsidRDefault="004912DC" w:rsidP="004912DC">
      <w:pPr>
        <w:spacing w:after="181"/>
        <w:ind w:right="14"/>
        <w:jc w:val="both"/>
        <w:rPr>
          <w:rFonts w:cs="Arial"/>
          <w:sz w:val="22"/>
          <w:szCs w:val="22"/>
        </w:rPr>
      </w:pPr>
    </w:p>
    <w:p w14:paraId="00E6DC5E" w14:textId="77777777" w:rsidR="004912DC" w:rsidRPr="000F166D" w:rsidRDefault="004912DC" w:rsidP="004912DC">
      <w:pPr>
        <w:keepNext/>
        <w:keepLines/>
        <w:spacing w:before="40"/>
        <w:jc w:val="both"/>
        <w:outlineLvl w:val="3"/>
        <w:rPr>
          <w:rFonts w:cs="Arial"/>
          <w:i/>
          <w:iCs/>
          <w:color w:val="2E74B5"/>
          <w:sz w:val="22"/>
        </w:rPr>
      </w:pPr>
      <w:r w:rsidRPr="000F166D">
        <w:rPr>
          <w:rFonts w:cs="Arial"/>
          <w:i/>
          <w:iCs/>
          <w:color w:val="2E74B5"/>
          <w:sz w:val="22"/>
        </w:rPr>
        <w:t xml:space="preserve">2.2.2 Raziskave, razvoj in inovacije (RRI) </w:t>
      </w:r>
    </w:p>
    <w:p w14:paraId="33A0ABBC" w14:textId="77777777" w:rsidR="004912DC" w:rsidRPr="000F166D" w:rsidRDefault="004912DC" w:rsidP="004912DC">
      <w:pPr>
        <w:ind w:left="-15" w:right="14"/>
        <w:jc w:val="both"/>
        <w:rPr>
          <w:rFonts w:cs="Arial"/>
          <w:sz w:val="22"/>
        </w:rPr>
      </w:pPr>
      <w:r w:rsidRPr="000F166D">
        <w:rPr>
          <w:rFonts w:cs="Arial"/>
          <w:sz w:val="22"/>
        </w:rPr>
        <w:t>Vlaganje v raziskave in razvoj je v Sloveniji ključnega pomena za razvoj MSP. Intenzivnost investicij v raziskave in razvoj v Sloveniji, ki je povezana z bruto izdatki za razvoj in raziskave, se je v zadnjem desetletju, kljub nekaj nihanjem, povečala.</w:t>
      </w:r>
      <w:r>
        <w:rPr>
          <w:rFonts w:cs="Arial"/>
          <w:sz w:val="22"/>
        </w:rPr>
        <w:t xml:space="preserve"> </w:t>
      </w:r>
    </w:p>
    <w:p w14:paraId="35E91DDF" w14:textId="77777777" w:rsidR="004912DC" w:rsidRPr="000F166D" w:rsidRDefault="004912DC" w:rsidP="004912DC">
      <w:pPr>
        <w:ind w:right="14"/>
        <w:jc w:val="both"/>
        <w:rPr>
          <w:rFonts w:cs="Arial"/>
          <w:sz w:val="22"/>
        </w:rPr>
      </w:pPr>
    </w:p>
    <w:p w14:paraId="4B2BB96F" w14:textId="77777777" w:rsidR="004912DC" w:rsidRPr="000F166D" w:rsidRDefault="004912DC" w:rsidP="004912DC">
      <w:pPr>
        <w:spacing w:after="9"/>
        <w:jc w:val="both"/>
        <w:rPr>
          <w:rFonts w:cs="Arial"/>
          <w:sz w:val="22"/>
        </w:rPr>
      </w:pPr>
      <w:bookmarkStart w:id="63" w:name="_Toc66786224"/>
      <w:r w:rsidRPr="00A75659">
        <w:rPr>
          <w:rFonts w:cs="Arial"/>
          <w:sz w:val="22"/>
          <w:szCs w:val="22"/>
        </w:rPr>
        <w:t xml:space="preserve">Tabela </w:t>
      </w:r>
      <w:r w:rsidRPr="00A75659">
        <w:rPr>
          <w:rFonts w:cs="Arial"/>
          <w:sz w:val="22"/>
          <w:szCs w:val="22"/>
        </w:rPr>
        <w:fldChar w:fldCharType="begin"/>
      </w:r>
      <w:r w:rsidRPr="00A75659">
        <w:rPr>
          <w:rFonts w:cs="Arial"/>
          <w:sz w:val="22"/>
          <w:szCs w:val="22"/>
        </w:rPr>
        <w:instrText xml:space="preserve"> SEQ Tabela \* ARABIC </w:instrText>
      </w:r>
      <w:r w:rsidRPr="00A75659">
        <w:rPr>
          <w:rFonts w:cs="Arial"/>
          <w:sz w:val="22"/>
          <w:szCs w:val="22"/>
        </w:rPr>
        <w:fldChar w:fldCharType="separate"/>
      </w:r>
      <w:r>
        <w:rPr>
          <w:rFonts w:cs="Arial"/>
          <w:noProof/>
          <w:sz w:val="22"/>
          <w:szCs w:val="22"/>
        </w:rPr>
        <w:t>5</w:t>
      </w:r>
      <w:r w:rsidRPr="00A75659">
        <w:rPr>
          <w:rFonts w:cs="Arial"/>
          <w:sz w:val="22"/>
          <w:szCs w:val="22"/>
        </w:rPr>
        <w:fldChar w:fldCharType="end"/>
      </w:r>
      <w:r w:rsidRPr="00A75659">
        <w:rPr>
          <w:rFonts w:cs="Arial"/>
          <w:sz w:val="22"/>
          <w:szCs w:val="22"/>
        </w:rPr>
        <w:t>:</w:t>
      </w:r>
      <w:r w:rsidRPr="000F166D">
        <w:rPr>
          <w:rFonts w:cs="Arial"/>
          <w:sz w:val="22"/>
        </w:rPr>
        <w:t xml:space="preserve"> Vrzel financiranja za financiranje RRI v letu 2015 (mio EUR)</w:t>
      </w:r>
      <w:bookmarkEnd w:id="63"/>
      <w:r w:rsidRPr="000F166D">
        <w:rPr>
          <w:rFonts w:cs="Arial"/>
          <w:sz w:val="22"/>
        </w:rPr>
        <w:t xml:space="preserve"> </w:t>
      </w:r>
    </w:p>
    <w:tbl>
      <w:tblPr>
        <w:tblStyle w:val="TableGrid"/>
        <w:tblW w:w="977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1" w:type="dxa"/>
          <w:left w:w="56" w:type="dxa"/>
          <w:right w:w="115" w:type="dxa"/>
        </w:tblCellMar>
        <w:tblLook w:val="04A0" w:firstRow="1" w:lastRow="0" w:firstColumn="1" w:lastColumn="0" w:noHBand="0" w:noVBand="1"/>
      </w:tblPr>
      <w:tblGrid>
        <w:gridCol w:w="5203"/>
        <w:gridCol w:w="4572"/>
      </w:tblGrid>
      <w:tr w:rsidR="004912DC" w:rsidRPr="000F166D" w14:paraId="5DF0668C" w14:textId="77777777" w:rsidTr="00906890">
        <w:trPr>
          <w:trHeight w:val="335"/>
        </w:trPr>
        <w:tc>
          <w:tcPr>
            <w:tcW w:w="5203" w:type="dxa"/>
            <w:shd w:val="clear" w:color="auto" w:fill="auto"/>
          </w:tcPr>
          <w:p w14:paraId="6775A925" w14:textId="77777777" w:rsidR="004912DC" w:rsidRPr="000F166D" w:rsidRDefault="004912DC" w:rsidP="00906890">
            <w:pPr>
              <w:jc w:val="both"/>
              <w:rPr>
                <w:rFonts w:cs="Arial"/>
                <w:sz w:val="22"/>
              </w:rPr>
            </w:pPr>
            <w:r w:rsidRPr="000F166D">
              <w:rPr>
                <w:rFonts w:cs="Arial"/>
                <w:b/>
                <w:sz w:val="22"/>
              </w:rPr>
              <w:t xml:space="preserve"> </w:t>
            </w:r>
          </w:p>
        </w:tc>
        <w:tc>
          <w:tcPr>
            <w:tcW w:w="4572" w:type="dxa"/>
            <w:shd w:val="clear" w:color="auto" w:fill="auto"/>
          </w:tcPr>
          <w:p w14:paraId="27E6D7C5" w14:textId="77777777" w:rsidR="004912DC" w:rsidRPr="000F166D" w:rsidRDefault="004912DC" w:rsidP="00906890">
            <w:pPr>
              <w:ind w:left="59"/>
              <w:jc w:val="center"/>
              <w:rPr>
                <w:rFonts w:cs="Arial"/>
                <w:sz w:val="22"/>
              </w:rPr>
            </w:pPr>
            <w:r w:rsidRPr="000F166D">
              <w:rPr>
                <w:rFonts w:cs="Arial"/>
                <w:sz w:val="22"/>
              </w:rPr>
              <w:t xml:space="preserve">Vrzel financiranja </w:t>
            </w:r>
          </w:p>
        </w:tc>
      </w:tr>
      <w:tr w:rsidR="004912DC" w:rsidRPr="000F166D" w14:paraId="6539D9E5" w14:textId="77777777" w:rsidTr="00906890">
        <w:trPr>
          <w:trHeight w:val="334"/>
        </w:trPr>
        <w:tc>
          <w:tcPr>
            <w:tcW w:w="5203" w:type="dxa"/>
            <w:shd w:val="clear" w:color="auto" w:fill="auto"/>
          </w:tcPr>
          <w:p w14:paraId="6A9AFBB9" w14:textId="77777777" w:rsidR="004912DC" w:rsidRPr="000F166D" w:rsidRDefault="004912DC" w:rsidP="00906890">
            <w:pPr>
              <w:jc w:val="both"/>
              <w:rPr>
                <w:rFonts w:cs="Arial"/>
                <w:sz w:val="22"/>
              </w:rPr>
            </w:pPr>
            <w:r w:rsidRPr="000F166D">
              <w:rPr>
                <w:rFonts w:cs="Arial"/>
                <w:sz w:val="22"/>
              </w:rPr>
              <w:t xml:space="preserve">MSP </w:t>
            </w:r>
          </w:p>
        </w:tc>
        <w:tc>
          <w:tcPr>
            <w:tcW w:w="4572" w:type="dxa"/>
            <w:shd w:val="clear" w:color="auto" w:fill="auto"/>
          </w:tcPr>
          <w:p w14:paraId="56B7D381" w14:textId="77777777" w:rsidR="004912DC" w:rsidRPr="000F166D" w:rsidRDefault="004912DC" w:rsidP="00906890">
            <w:pPr>
              <w:ind w:left="57"/>
              <w:jc w:val="center"/>
              <w:rPr>
                <w:rFonts w:cs="Arial"/>
                <w:sz w:val="22"/>
              </w:rPr>
            </w:pPr>
            <w:r w:rsidRPr="000F166D">
              <w:rPr>
                <w:rFonts w:cs="Arial"/>
                <w:b/>
                <w:sz w:val="22"/>
              </w:rPr>
              <w:t xml:space="preserve">0 – 14 </w:t>
            </w:r>
          </w:p>
        </w:tc>
      </w:tr>
      <w:tr w:rsidR="004912DC" w:rsidRPr="000F166D" w14:paraId="4B50938C" w14:textId="77777777" w:rsidTr="00906890">
        <w:trPr>
          <w:trHeight w:val="334"/>
        </w:trPr>
        <w:tc>
          <w:tcPr>
            <w:tcW w:w="5203" w:type="dxa"/>
            <w:shd w:val="clear" w:color="auto" w:fill="auto"/>
          </w:tcPr>
          <w:p w14:paraId="776924D1" w14:textId="77777777" w:rsidR="004912DC" w:rsidRPr="000F166D" w:rsidRDefault="004912DC" w:rsidP="00906890">
            <w:pPr>
              <w:jc w:val="both"/>
              <w:rPr>
                <w:rFonts w:cs="Arial"/>
                <w:sz w:val="22"/>
              </w:rPr>
            </w:pPr>
            <w:r w:rsidRPr="000F166D">
              <w:rPr>
                <w:rFonts w:cs="Arial"/>
                <w:sz w:val="22"/>
              </w:rPr>
              <w:t xml:space="preserve">Skupaj podjetja </w:t>
            </w:r>
          </w:p>
        </w:tc>
        <w:tc>
          <w:tcPr>
            <w:tcW w:w="4572" w:type="dxa"/>
            <w:shd w:val="clear" w:color="auto" w:fill="auto"/>
          </w:tcPr>
          <w:p w14:paraId="17B66515" w14:textId="77777777" w:rsidR="004912DC" w:rsidRPr="000F166D" w:rsidRDefault="004912DC" w:rsidP="00906890">
            <w:pPr>
              <w:ind w:left="56"/>
              <w:jc w:val="center"/>
              <w:rPr>
                <w:rFonts w:cs="Arial"/>
                <w:sz w:val="22"/>
              </w:rPr>
            </w:pPr>
            <w:r w:rsidRPr="000F166D">
              <w:rPr>
                <w:rFonts w:cs="Arial"/>
                <w:b/>
                <w:sz w:val="22"/>
              </w:rPr>
              <w:t xml:space="preserve">0 – 247 </w:t>
            </w:r>
          </w:p>
        </w:tc>
      </w:tr>
    </w:tbl>
    <w:p w14:paraId="6D392F2F" w14:textId="77777777" w:rsidR="004912DC" w:rsidRPr="000F166D" w:rsidRDefault="004912DC" w:rsidP="004912DC">
      <w:pPr>
        <w:spacing w:after="154"/>
        <w:ind w:left="-5" w:hanging="10"/>
        <w:jc w:val="both"/>
        <w:rPr>
          <w:rFonts w:cs="Arial"/>
          <w:sz w:val="22"/>
        </w:rPr>
      </w:pPr>
      <w:r w:rsidRPr="000F166D">
        <w:rPr>
          <w:rFonts w:cs="Arial"/>
          <w:sz w:val="22"/>
        </w:rPr>
        <w:t xml:space="preserve">Vir: Predhodna ocena FI, 2015 </w:t>
      </w:r>
    </w:p>
    <w:p w14:paraId="45D4094C" w14:textId="77777777" w:rsidR="004912DC" w:rsidRPr="000F166D" w:rsidRDefault="004912DC" w:rsidP="004912DC">
      <w:pPr>
        <w:spacing w:after="193"/>
        <w:ind w:left="-15" w:right="14"/>
        <w:jc w:val="both"/>
        <w:rPr>
          <w:rFonts w:cs="Arial"/>
          <w:sz w:val="22"/>
        </w:rPr>
      </w:pPr>
      <w:r w:rsidRPr="000F166D">
        <w:rPr>
          <w:rFonts w:cs="Arial"/>
          <w:sz w:val="22"/>
        </w:rPr>
        <w:t>Za izpolnitev potencialnega letnega povpraševanja je potrebno dodatno javno ali zasebno financiranje, ki je ocenjeno na 0—14 mil EUR za MSP in 0—247 mil EUR letno skupaj za vsa podjetja, ob upoštevanju, da manjša podjetja za investicije v RRI porabijo manjši delež dohodkov kot srednja in velika podjetja.</w:t>
      </w:r>
      <w:r>
        <w:rPr>
          <w:rFonts w:cs="Arial"/>
          <w:sz w:val="22"/>
        </w:rPr>
        <w:t xml:space="preserve"> </w:t>
      </w:r>
    </w:p>
    <w:p w14:paraId="72757FC0" w14:textId="77777777" w:rsidR="004912DC" w:rsidRPr="000F166D" w:rsidRDefault="004912DC" w:rsidP="004912DC">
      <w:pPr>
        <w:keepNext/>
        <w:keepLines/>
        <w:spacing w:before="40"/>
        <w:jc w:val="both"/>
        <w:outlineLvl w:val="3"/>
        <w:rPr>
          <w:rFonts w:cs="Arial"/>
          <w:i/>
          <w:iCs/>
          <w:color w:val="2E74B5"/>
          <w:sz w:val="22"/>
        </w:rPr>
      </w:pPr>
      <w:r w:rsidRPr="000F166D">
        <w:rPr>
          <w:rFonts w:cs="Arial"/>
          <w:i/>
          <w:iCs/>
          <w:color w:val="2E74B5"/>
          <w:sz w:val="22"/>
        </w:rPr>
        <w:t xml:space="preserve">2.2.3 Energetska učinkovitost </w:t>
      </w:r>
    </w:p>
    <w:p w14:paraId="20B2CC1B" w14:textId="77777777" w:rsidR="004912DC" w:rsidRPr="000F166D" w:rsidRDefault="004912DC" w:rsidP="004912DC">
      <w:pPr>
        <w:ind w:left="-15" w:right="14"/>
        <w:jc w:val="both"/>
        <w:rPr>
          <w:rFonts w:cs="Arial"/>
          <w:sz w:val="22"/>
          <w:szCs w:val="22"/>
        </w:rPr>
      </w:pPr>
      <w:r w:rsidRPr="000F166D">
        <w:rPr>
          <w:rFonts w:cs="Arial"/>
          <w:sz w:val="22"/>
          <w:szCs w:val="22"/>
        </w:rPr>
        <w:t>Sredstva, namenjena TC 4, bodo podprla prehod na gospodarstvo z nizkimi emisijami ogljika, pri čemer bo posebna pozornost namenjena spodbujanju energetske učinkovitosti in uporabe obnovljivih virov energije v javni infrastrukturi, vključno z javnimi stavbami, in stanovanjskem sektorju.</w:t>
      </w:r>
    </w:p>
    <w:p w14:paraId="064CFC42" w14:textId="77777777" w:rsidR="004912DC" w:rsidRPr="000F166D" w:rsidRDefault="004912DC" w:rsidP="004912DC">
      <w:pPr>
        <w:ind w:left="-15" w:right="14"/>
        <w:jc w:val="both"/>
        <w:rPr>
          <w:rFonts w:cs="Arial"/>
          <w:sz w:val="22"/>
          <w:szCs w:val="22"/>
        </w:rPr>
      </w:pPr>
    </w:p>
    <w:p w14:paraId="5276184A" w14:textId="77777777" w:rsidR="004912DC" w:rsidRPr="000F166D" w:rsidRDefault="004912DC" w:rsidP="004912DC">
      <w:pPr>
        <w:ind w:left="-15" w:right="14"/>
        <w:jc w:val="both"/>
        <w:rPr>
          <w:rFonts w:cs="Arial"/>
          <w:sz w:val="22"/>
          <w:szCs w:val="22"/>
        </w:rPr>
      </w:pPr>
      <w:r w:rsidRPr="000F166D">
        <w:rPr>
          <w:rFonts w:cs="Arial"/>
          <w:sz w:val="22"/>
          <w:szCs w:val="22"/>
        </w:rPr>
        <w:t xml:space="preserve">Izboljšave na področju energetske učinkovitosti ne bi le pripomogle k zmanjšanju splošnih emisij, temveč bi sprožile tudi dodatne naložbe in ustvarile nova delovna mesta. Slovenska vlada se je zavezala k izboljšavam na tem področju, skladno s cilji in glavnimi strateškimi dokumenti na ravni EU, kot je na primer Evropa 2020. </w:t>
      </w:r>
    </w:p>
    <w:p w14:paraId="178E9E16" w14:textId="77777777" w:rsidR="004912DC" w:rsidRPr="000F166D" w:rsidRDefault="004912DC" w:rsidP="004912DC">
      <w:pPr>
        <w:jc w:val="both"/>
        <w:rPr>
          <w:rFonts w:cs="Arial"/>
          <w:sz w:val="22"/>
          <w:szCs w:val="22"/>
        </w:rPr>
      </w:pPr>
    </w:p>
    <w:p w14:paraId="5553653E" w14:textId="77777777" w:rsidR="004912DC" w:rsidRPr="000F166D" w:rsidRDefault="004912DC" w:rsidP="004912DC">
      <w:pPr>
        <w:spacing w:after="9"/>
        <w:jc w:val="both"/>
        <w:rPr>
          <w:rFonts w:cs="Arial"/>
          <w:sz w:val="22"/>
          <w:szCs w:val="22"/>
        </w:rPr>
      </w:pPr>
      <w:bookmarkStart w:id="64" w:name="_Toc66786225"/>
      <w:r w:rsidRPr="00A75659">
        <w:rPr>
          <w:rFonts w:cs="Arial"/>
          <w:sz w:val="22"/>
          <w:szCs w:val="22"/>
        </w:rPr>
        <w:t xml:space="preserve">Tabela </w:t>
      </w:r>
      <w:r w:rsidRPr="00A75659">
        <w:rPr>
          <w:rFonts w:cs="Arial"/>
          <w:sz w:val="22"/>
          <w:szCs w:val="22"/>
        </w:rPr>
        <w:fldChar w:fldCharType="begin"/>
      </w:r>
      <w:r w:rsidRPr="00A75659">
        <w:rPr>
          <w:rFonts w:cs="Arial"/>
          <w:sz w:val="22"/>
          <w:szCs w:val="22"/>
        </w:rPr>
        <w:instrText xml:space="preserve"> SEQ Tabela \* ARABIC </w:instrText>
      </w:r>
      <w:r w:rsidRPr="00A75659">
        <w:rPr>
          <w:rFonts w:cs="Arial"/>
          <w:sz w:val="22"/>
          <w:szCs w:val="22"/>
        </w:rPr>
        <w:fldChar w:fldCharType="separate"/>
      </w:r>
      <w:r>
        <w:rPr>
          <w:rFonts w:cs="Arial"/>
          <w:noProof/>
          <w:sz w:val="22"/>
          <w:szCs w:val="22"/>
        </w:rPr>
        <w:t>6</w:t>
      </w:r>
      <w:r w:rsidRPr="00A75659">
        <w:rPr>
          <w:rFonts w:cs="Arial"/>
          <w:sz w:val="22"/>
          <w:szCs w:val="22"/>
        </w:rPr>
        <w:fldChar w:fldCharType="end"/>
      </w:r>
      <w:r w:rsidRPr="00A75659">
        <w:rPr>
          <w:rFonts w:cs="Arial"/>
          <w:sz w:val="22"/>
          <w:szCs w:val="22"/>
        </w:rPr>
        <w:t>:</w:t>
      </w:r>
      <w:r w:rsidRPr="000F166D">
        <w:rPr>
          <w:rFonts w:cs="Arial"/>
          <w:sz w:val="22"/>
          <w:szCs w:val="22"/>
        </w:rPr>
        <w:t xml:space="preserve"> Ocenjena vrzel financiranja za URE/OVE v obdobju 2015—2020 (mio EUR)</w:t>
      </w:r>
      <w:bookmarkEnd w:id="64"/>
      <w:r w:rsidRPr="000F166D">
        <w:rPr>
          <w:rFonts w:cs="Arial"/>
          <w:sz w:val="22"/>
          <w:szCs w:val="22"/>
        </w:rPr>
        <w:t xml:space="preserve"> </w:t>
      </w:r>
    </w:p>
    <w:tbl>
      <w:tblPr>
        <w:tblStyle w:val="TableGrid"/>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2" w:type="dxa"/>
          <w:left w:w="62" w:type="dxa"/>
        </w:tblCellMar>
        <w:tblLook w:val="04A0" w:firstRow="1" w:lastRow="0" w:firstColumn="1" w:lastColumn="0" w:noHBand="0" w:noVBand="1"/>
      </w:tblPr>
      <w:tblGrid>
        <w:gridCol w:w="5209"/>
        <w:gridCol w:w="4430"/>
      </w:tblGrid>
      <w:tr w:rsidR="004912DC" w:rsidRPr="000F166D" w14:paraId="6017067C" w14:textId="77777777" w:rsidTr="00906890">
        <w:trPr>
          <w:trHeight w:val="341"/>
        </w:trPr>
        <w:tc>
          <w:tcPr>
            <w:tcW w:w="5209" w:type="dxa"/>
            <w:shd w:val="clear" w:color="auto" w:fill="auto"/>
          </w:tcPr>
          <w:p w14:paraId="7B5FDEA6" w14:textId="77777777" w:rsidR="004912DC" w:rsidRPr="000F166D" w:rsidRDefault="004912DC" w:rsidP="00906890">
            <w:pPr>
              <w:jc w:val="both"/>
              <w:rPr>
                <w:rFonts w:cs="Arial"/>
                <w:sz w:val="22"/>
                <w:szCs w:val="22"/>
              </w:rPr>
            </w:pPr>
            <w:r w:rsidRPr="000F166D">
              <w:rPr>
                <w:rFonts w:cs="Arial"/>
                <w:b/>
                <w:sz w:val="22"/>
                <w:szCs w:val="22"/>
              </w:rPr>
              <w:t xml:space="preserve"> </w:t>
            </w:r>
          </w:p>
        </w:tc>
        <w:tc>
          <w:tcPr>
            <w:tcW w:w="4430" w:type="dxa"/>
            <w:shd w:val="clear" w:color="auto" w:fill="auto"/>
          </w:tcPr>
          <w:p w14:paraId="27ED926C" w14:textId="77777777" w:rsidR="004912DC" w:rsidRPr="000F166D" w:rsidRDefault="004912DC" w:rsidP="00906890">
            <w:pPr>
              <w:ind w:right="65"/>
              <w:jc w:val="center"/>
              <w:rPr>
                <w:rFonts w:cs="Arial"/>
                <w:sz w:val="22"/>
                <w:szCs w:val="22"/>
              </w:rPr>
            </w:pPr>
            <w:r w:rsidRPr="000F166D">
              <w:rPr>
                <w:rFonts w:cs="Arial"/>
                <w:sz w:val="22"/>
                <w:szCs w:val="22"/>
              </w:rPr>
              <w:t xml:space="preserve">Ocenjena vrzel financiranja </w:t>
            </w:r>
          </w:p>
        </w:tc>
      </w:tr>
      <w:tr w:rsidR="004912DC" w:rsidRPr="000F166D" w14:paraId="301BD0FC" w14:textId="77777777" w:rsidTr="00906890">
        <w:trPr>
          <w:trHeight w:val="334"/>
        </w:trPr>
        <w:tc>
          <w:tcPr>
            <w:tcW w:w="5209" w:type="dxa"/>
            <w:shd w:val="clear" w:color="auto" w:fill="auto"/>
          </w:tcPr>
          <w:p w14:paraId="6E60A74C" w14:textId="77777777" w:rsidR="004912DC" w:rsidRPr="000F166D" w:rsidRDefault="004912DC" w:rsidP="00906890">
            <w:pPr>
              <w:jc w:val="both"/>
              <w:rPr>
                <w:rFonts w:cs="Arial"/>
                <w:sz w:val="22"/>
                <w:szCs w:val="22"/>
              </w:rPr>
            </w:pPr>
            <w:r w:rsidRPr="000F166D">
              <w:rPr>
                <w:rFonts w:cs="Arial"/>
                <w:sz w:val="22"/>
                <w:szCs w:val="22"/>
              </w:rPr>
              <w:t xml:space="preserve">Obnova javnih stavb </w:t>
            </w:r>
          </w:p>
        </w:tc>
        <w:tc>
          <w:tcPr>
            <w:tcW w:w="4430" w:type="dxa"/>
            <w:shd w:val="clear" w:color="auto" w:fill="auto"/>
          </w:tcPr>
          <w:p w14:paraId="0CFF102A" w14:textId="77777777" w:rsidR="004912DC" w:rsidRPr="000F166D" w:rsidRDefault="004912DC" w:rsidP="00906890">
            <w:pPr>
              <w:ind w:right="64"/>
              <w:jc w:val="center"/>
              <w:rPr>
                <w:rFonts w:cs="Arial"/>
                <w:sz w:val="22"/>
                <w:szCs w:val="22"/>
              </w:rPr>
            </w:pPr>
            <w:r w:rsidRPr="000F166D">
              <w:rPr>
                <w:rFonts w:cs="Arial"/>
                <w:b/>
                <w:sz w:val="22"/>
                <w:szCs w:val="22"/>
              </w:rPr>
              <w:t xml:space="preserve">65 – 132 </w:t>
            </w:r>
          </w:p>
        </w:tc>
      </w:tr>
      <w:tr w:rsidR="004912DC" w:rsidRPr="000F166D" w14:paraId="18208B5C" w14:textId="77777777" w:rsidTr="00906890">
        <w:trPr>
          <w:trHeight w:val="336"/>
        </w:trPr>
        <w:tc>
          <w:tcPr>
            <w:tcW w:w="5209" w:type="dxa"/>
            <w:shd w:val="clear" w:color="auto" w:fill="auto"/>
          </w:tcPr>
          <w:p w14:paraId="362D1017" w14:textId="77777777" w:rsidR="004912DC" w:rsidRPr="000F166D" w:rsidRDefault="004912DC" w:rsidP="00906890">
            <w:pPr>
              <w:jc w:val="both"/>
              <w:rPr>
                <w:rFonts w:cs="Arial"/>
                <w:sz w:val="22"/>
                <w:szCs w:val="22"/>
              </w:rPr>
            </w:pPr>
            <w:r w:rsidRPr="000F166D">
              <w:rPr>
                <w:rFonts w:cs="Arial"/>
                <w:sz w:val="22"/>
                <w:szCs w:val="22"/>
              </w:rPr>
              <w:t xml:space="preserve">Obnova zasebnih stavb </w:t>
            </w:r>
          </w:p>
        </w:tc>
        <w:tc>
          <w:tcPr>
            <w:tcW w:w="4430" w:type="dxa"/>
            <w:shd w:val="clear" w:color="auto" w:fill="auto"/>
          </w:tcPr>
          <w:p w14:paraId="79CF1333" w14:textId="77777777" w:rsidR="004912DC" w:rsidRPr="000F166D" w:rsidRDefault="004912DC" w:rsidP="00906890">
            <w:pPr>
              <w:ind w:right="64"/>
              <w:jc w:val="center"/>
              <w:rPr>
                <w:rFonts w:cs="Arial"/>
                <w:sz w:val="22"/>
                <w:szCs w:val="22"/>
              </w:rPr>
            </w:pPr>
            <w:r w:rsidRPr="000F166D">
              <w:rPr>
                <w:rFonts w:cs="Arial"/>
                <w:b/>
                <w:sz w:val="22"/>
                <w:szCs w:val="22"/>
              </w:rPr>
              <w:t xml:space="preserve">645 – 783 </w:t>
            </w:r>
          </w:p>
        </w:tc>
      </w:tr>
      <w:tr w:rsidR="004912DC" w:rsidRPr="000F166D" w14:paraId="772A5104" w14:textId="77777777" w:rsidTr="00906890">
        <w:trPr>
          <w:trHeight w:val="332"/>
        </w:trPr>
        <w:tc>
          <w:tcPr>
            <w:tcW w:w="5209" w:type="dxa"/>
            <w:shd w:val="clear" w:color="auto" w:fill="auto"/>
          </w:tcPr>
          <w:p w14:paraId="338EF767" w14:textId="77777777" w:rsidR="004912DC" w:rsidRPr="000F166D" w:rsidRDefault="004912DC" w:rsidP="00906890">
            <w:pPr>
              <w:jc w:val="both"/>
              <w:rPr>
                <w:rFonts w:cs="Arial"/>
                <w:sz w:val="22"/>
                <w:szCs w:val="22"/>
              </w:rPr>
            </w:pPr>
            <w:r w:rsidRPr="000F166D">
              <w:rPr>
                <w:rFonts w:cs="Arial"/>
                <w:sz w:val="22"/>
                <w:szCs w:val="22"/>
              </w:rPr>
              <w:t xml:space="preserve">Procesi industrijske proizvodnje </w:t>
            </w:r>
          </w:p>
        </w:tc>
        <w:tc>
          <w:tcPr>
            <w:tcW w:w="4430" w:type="dxa"/>
            <w:shd w:val="clear" w:color="auto" w:fill="auto"/>
          </w:tcPr>
          <w:p w14:paraId="0EB5FFFD" w14:textId="77777777" w:rsidR="004912DC" w:rsidRPr="000F166D" w:rsidRDefault="004912DC" w:rsidP="00906890">
            <w:pPr>
              <w:ind w:right="1652"/>
              <w:jc w:val="right"/>
              <w:rPr>
                <w:rFonts w:cs="Arial"/>
                <w:sz w:val="22"/>
                <w:szCs w:val="22"/>
              </w:rPr>
            </w:pPr>
            <w:r w:rsidRPr="000F166D">
              <w:rPr>
                <w:rFonts w:cs="Arial"/>
                <w:b/>
                <w:sz w:val="22"/>
                <w:szCs w:val="22"/>
              </w:rPr>
              <w:t>568 – 607</w:t>
            </w:r>
            <w:r>
              <w:rPr>
                <w:rFonts w:cs="Arial"/>
                <w:b/>
                <w:sz w:val="22"/>
                <w:szCs w:val="22"/>
              </w:rPr>
              <w:t xml:space="preserve">         </w:t>
            </w:r>
            <w:r w:rsidRPr="000F166D">
              <w:rPr>
                <w:rFonts w:cs="Arial"/>
                <w:b/>
                <w:sz w:val="22"/>
                <w:szCs w:val="22"/>
              </w:rPr>
              <w:t xml:space="preserve"> </w:t>
            </w:r>
          </w:p>
        </w:tc>
      </w:tr>
    </w:tbl>
    <w:p w14:paraId="2D730AEE" w14:textId="77777777" w:rsidR="004912DC" w:rsidRPr="000F166D" w:rsidRDefault="004912DC" w:rsidP="004912DC">
      <w:pPr>
        <w:ind w:left="-5" w:hanging="10"/>
        <w:jc w:val="both"/>
        <w:rPr>
          <w:rFonts w:cs="Arial"/>
          <w:sz w:val="22"/>
          <w:szCs w:val="22"/>
        </w:rPr>
      </w:pPr>
      <w:r w:rsidRPr="000F166D">
        <w:rPr>
          <w:rFonts w:cs="Arial"/>
          <w:sz w:val="22"/>
          <w:szCs w:val="22"/>
        </w:rPr>
        <w:t xml:space="preserve">Vir: Predhodna ocena FI, 2015 </w:t>
      </w:r>
    </w:p>
    <w:p w14:paraId="31770555" w14:textId="77777777" w:rsidR="004912DC" w:rsidRPr="000F166D" w:rsidRDefault="004912DC" w:rsidP="004912DC">
      <w:pPr>
        <w:jc w:val="both"/>
        <w:rPr>
          <w:rFonts w:cs="Arial"/>
          <w:sz w:val="22"/>
          <w:szCs w:val="22"/>
        </w:rPr>
      </w:pPr>
    </w:p>
    <w:p w14:paraId="3E14628C" w14:textId="77777777" w:rsidR="004912DC" w:rsidRPr="000F166D" w:rsidRDefault="004912DC" w:rsidP="004912DC">
      <w:pPr>
        <w:keepNext/>
        <w:keepLines/>
        <w:widowControl w:val="0"/>
        <w:spacing w:before="40"/>
        <w:jc w:val="both"/>
        <w:outlineLvl w:val="3"/>
        <w:rPr>
          <w:rFonts w:cs="Arial"/>
          <w:i/>
          <w:iCs/>
          <w:color w:val="2E74B5"/>
          <w:sz w:val="22"/>
        </w:rPr>
      </w:pPr>
      <w:r w:rsidRPr="000F166D">
        <w:rPr>
          <w:rFonts w:cs="Arial"/>
          <w:i/>
          <w:iCs/>
          <w:color w:val="2E74B5"/>
          <w:sz w:val="22"/>
        </w:rPr>
        <w:lastRenderedPageBreak/>
        <w:t xml:space="preserve">2.2.4 Urbani razvoj </w:t>
      </w:r>
    </w:p>
    <w:p w14:paraId="2F157871" w14:textId="77777777" w:rsidR="004912DC" w:rsidRPr="000F166D" w:rsidRDefault="004912DC" w:rsidP="004912DC">
      <w:pPr>
        <w:keepNext/>
        <w:keepLines/>
        <w:widowControl w:val="0"/>
        <w:ind w:left="-15" w:right="14"/>
        <w:jc w:val="both"/>
        <w:rPr>
          <w:rFonts w:cs="Arial"/>
          <w:sz w:val="22"/>
          <w:szCs w:val="22"/>
        </w:rPr>
      </w:pPr>
      <w:r w:rsidRPr="000F166D">
        <w:rPr>
          <w:rFonts w:cs="Arial"/>
          <w:sz w:val="22"/>
          <w:szCs w:val="22"/>
        </w:rPr>
        <w:t xml:space="preserve">Mesta in druga urbana naselja predstavljajo temelj slovenskega poselitvenega sistema. Urbana središča regij so lahko tudi del urbanih območij ali funkcionalnih urbanih območij in so tako tesno povezana s svojimi zaledji. </w:t>
      </w:r>
    </w:p>
    <w:p w14:paraId="65BA49E3" w14:textId="77777777" w:rsidR="004912DC" w:rsidRPr="000F166D" w:rsidRDefault="004912DC" w:rsidP="004912DC">
      <w:pPr>
        <w:ind w:left="-15" w:right="14"/>
        <w:jc w:val="both"/>
        <w:rPr>
          <w:rFonts w:cs="Arial"/>
          <w:sz w:val="22"/>
          <w:szCs w:val="22"/>
        </w:rPr>
      </w:pPr>
    </w:p>
    <w:p w14:paraId="36B16434" w14:textId="77777777" w:rsidR="004912DC" w:rsidRPr="000F166D" w:rsidRDefault="004912DC" w:rsidP="004912DC">
      <w:pPr>
        <w:ind w:left="-15" w:right="14"/>
        <w:jc w:val="both"/>
        <w:rPr>
          <w:rFonts w:cs="Arial"/>
          <w:sz w:val="22"/>
          <w:szCs w:val="22"/>
        </w:rPr>
      </w:pPr>
      <w:r w:rsidRPr="000F166D">
        <w:rPr>
          <w:rFonts w:cs="Arial"/>
          <w:sz w:val="22"/>
          <w:szCs w:val="22"/>
        </w:rPr>
        <w:t>Z namenom učinkovitejše rabe prostora v urbanih območjih, se bodo v okviru prednostne naložbe 6.3 OP 2014 - 2020</w:t>
      </w:r>
      <w:r w:rsidRPr="000F166D" w:rsidDel="00BE2FBE">
        <w:rPr>
          <w:rFonts w:cs="Arial"/>
          <w:sz w:val="22"/>
          <w:szCs w:val="22"/>
        </w:rPr>
        <w:t xml:space="preserve"> </w:t>
      </w:r>
      <w:r w:rsidRPr="000F166D">
        <w:rPr>
          <w:rFonts w:cs="Arial"/>
          <w:sz w:val="22"/>
          <w:szCs w:val="22"/>
        </w:rPr>
        <w:t>izvajali ukrepi za izboljšanje urbanega okolja, oživitev mest, sanacijo in dekontaminacijo degradiranih zemljišč, zmanjšanje onesnaženosti zraka in spodbujanje ukrepov za zmanjšanje hrupa, spodbujalo ukrepe za izkoriščanje notranjih potencialov mestnih območij. Z izvajanjem urbane prenove se bo spodbudilo reaktivacijo prostih in slabo izkoriščenih površin znotraj mest. Na ta način bodo ustvarjeni pogoji za razvoj gospodarskih, in družbenih dejavnosti, hkrati pa bo urbano okolje postalo bolj privlačno tudi za delo in bivanje</w:t>
      </w:r>
    </w:p>
    <w:p w14:paraId="4E5DF775" w14:textId="77777777" w:rsidR="004912DC" w:rsidRPr="000F166D" w:rsidRDefault="004912DC" w:rsidP="004912DC">
      <w:pPr>
        <w:ind w:left="-15" w:right="14"/>
        <w:jc w:val="both"/>
        <w:rPr>
          <w:rFonts w:cs="Arial"/>
          <w:sz w:val="22"/>
          <w:szCs w:val="22"/>
        </w:rPr>
      </w:pPr>
    </w:p>
    <w:p w14:paraId="05EB11CF" w14:textId="77777777" w:rsidR="004912DC" w:rsidRDefault="004912DC" w:rsidP="004912DC">
      <w:pPr>
        <w:spacing w:after="9"/>
        <w:ind w:left="-5" w:hanging="10"/>
        <w:jc w:val="both"/>
        <w:rPr>
          <w:rFonts w:cs="Arial"/>
          <w:sz w:val="22"/>
          <w:szCs w:val="22"/>
        </w:rPr>
      </w:pPr>
      <w:r w:rsidRPr="000F166D">
        <w:rPr>
          <w:rFonts w:cs="Arial"/>
          <w:sz w:val="22"/>
          <w:szCs w:val="22"/>
        </w:rPr>
        <w:t>Predlagani finančni instrument za urbani razvoj so posojila za izvedbo ukrepov, ki prispevajo k doseganju specifičnega cilja te prednostne naložbe in drugih pre</w:t>
      </w:r>
      <w:r>
        <w:rPr>
          <w:rFonts w:cs="Arial"/>
          <w:sz w:val="22"/>
          <w:szCs w:val="22"/>
        </w:rPr>
        <w:t>dnostnih naložb OP 2014 - 2020.</w:t>
      </w:r>
    </w:p>
    <w:p w14:paraId="2616DE8F" w14:textId="77777777" w:rsidR="004912DC" w:rsidRPr="000F166D" w:rsidRDefault="004912DC" w:rsidP="004912DC">
      <w:pPr>
        <w:spacing w:after="9"/>
        <w:ind w:left="-5" w:hanging="10"/>
        <w:jc w:val="both"/>
        <w:rPr>
          <w:rFonts w:cs="Arial"/>
          <w:sz w:val="22"/>
          <w:szCs w:val="22"/>
        </w:rPr>
      </w:pPr>
    </w:p>
    <w:p w14:paraId="5664DBCE" w14:textId="77777777" w:rsidR="004912DC" w:rsidRPr="000F166D" w:rsidRDefault="004912DC" w:rsidP="004912DC">
      <w:pPr>
        <w:spacing w:after="9"/>
        <w:jc w:val="both"/>
        <w:rPr>
          <w:rFonts w:cs="Arial"/>
          <w:sz w:val="22"/>
          <w:szCs w:val="22"/>
        </w:rPr>
      </w:pPr>
      <w:bookmarkStart w:id="65" w:name="_Toc66786226"/>
      <w:r w:rsidRPr="00A75659">
        <w:rPr>
          <w:rFonts w:cs="Arial"/>
          <w:sz w:val="22"/>
          <w:szCs w:val="22"/>
        </w:rPr>
        <w:t xml:space="preserve">Tabela </w:t>
      </w:r>
      <w:r w:rsidRPr="00A75659">
        <w:rPr>
          <w:rFonts w:cs="Arial"/>
          <w:sz w:val="22"/>
          <w:szCs w:val="22"/>
        </w:rPr>
        <w:fldChar w:fldCharType="begin"/>
      </w:r>
      <w:r w:rsidRPr="00A75659">
        <w:rPr>
          <w:rFonts w:cs="Arial"/>
          <w:sz w:val="22"/>
          <w:szCs w:val="22"/>
        </w:rPr>
        <w:instrText xml:space="preserve"> SEQ Tabela \* ARABIC </w:instrText>
      </w:r>
      <w:r w:rsidRPr="00A75659">
        <w:rPr>
          <w:rFonts w:cs="Arial"/>
          <w:sz w:val="22"/>
          <w:szCs w:val="22"/>
        </w:rPr>
        <w:fldChar w:fldCharType="separate"/>
      </w:r>
      <w:r>
        <w:rPr>
          <w:rFonts w:cs="Arial"/>
          <w:noProof/>
          <w:sz w:val="22"/>
          <w:szCs w:val="22"/>
        </w:rPr>
        <w:t>7</w:t>
      </w:r>
      <w:r w:rsidRPr="00A75659">
        <w:rPr>
          <w:rFonts w:cs="Arial"/>
          <w:sz w:val="22"/>
          <w:szCs w:val="22"/>
        </w:rPr>
        <w:fldChar w:fldCharType="end"/>
      </w:r>
      <w:r w:rsidRPr="00A75659">
        <w:rPr>
          <w:rFonts w:cs="Arial"/>
          <w:sz w:val="22"/>
          <w:szCs w:val="22"/>
        </w:rPr>
        <w:t>:</w:t>
      </w:r>
      <w:r w:rsidRPr="000F166D">
        <w:rPr>
          <w:rFonts w:cs="Arial"/>
          <w:sz w:val="22"/>
          <w:szCs w:val="22"/>
        </w:rPr>
        <w:t xml:space="preserve"> Vrzel financiranja za financiranje urbanega razvoja v obdobju 2015—2020 (mio EUR)</w:t>
      </w:r>
      <w:bookmarkEnd w:id="65"/>
      <w:r w:rsidRPr="000F166D">
        <w:rPr>
          <w:rFonts w:cs="Arial"/>
          <w:sz w:val="22"/>
          <w:szCs w:val="22"/>
        </w:rPr>
        <w:t xml:space="preserve"> </w:t>
      </w:r>
    </w:p>
    <w:tbl>
      <w:tblPr>
        <w:tblStyle w:val="TableGrid"/>
        <w:tblW w:w="963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2" w:type="dxa"/>
          <w:left w:w="58" w:type="dxa"/>
          <w:right w:w="79" w:type="dxa"/>
        </w:tblCellMar>
        <w:tblLook w:val="04A0" w:firstRow="1" w:lastRow="0" w:firstColumn="1" w:lastColumn="0" w:noHBand="0" w:noVBand="1"/>
      </w:tblPr>
      <w:tblGrid>
        <w:gridCol w:w="5204"/>
        <w:gridCol w:w="4430"/>
      </w:tblGrid>
      <w:tr w:rsidR="004912DC" w:rsidRPr="000F166D" w14:paraId="3DDE7FF5" w14:textId="77777777" w:rsidTr="00906890">
        <w:trPr>
          <w:trHeight w:val="340"/>
        </w:trPr>
        <w:tc>
          <w:tcPr>
            <w:tcW w:w="5204" w:type="dxa"/>
            <w:shd w:val="clear" w:color="auto" w:fill="auto"/>
          </w:tcPr>
          <w:p w14:paraId="76514F17" w14:textId="77777777" w:rsidR="004912DC" w:rsidRPr="000F166D" w:rsidRDefault="004912DC" w:rsidP="00906890">
            <w:pPr>
              <w:jc w:val="both"/>
              <w:rPr>
                <w:rFonts w:cs="Arial"/>
                <w:sz w:val="22"/>
                <w:szCs w:val="22"/>
              </w:rPr>
            </w:pPr>
            <w:r w:rsidRPr="000F166D">
              <w:rPr>
                <w:rFonts w:cs="Arial"/>
                <w:b/>
                <w:sz w:val="22"/>
                <w:szCs w:val="22"/>
              </w:rPr>
              <w:t xml:space="preserve"> </w:t>
            </w:r>
          </w:p>
        </w:tc>
        <w:tc>
          <w:tcPr>
            <w:tcW w:w="4430" w:type="dxa"/>
            <w:shd w:val="clear" w:color="auto" w:fill="auto"/>
          </w:tcPr>
          <w:p w14:paraId="28541CB8" w14:textId="77777777" w:rsidR="004912DC" w:rsidRPr="000F166D" w:rsidRDefault="004912DC" w:rsidP="00906890">
            <w:pPr>
              <w:ind w:left="19"/>
              <w:jc w:val="center"/>
              <w:rPr>
                <w:rFonts w:cs="Arial"/>
                <w:sz w:val="22"/>
                <w:szCs w:val="22"/>
              </w:rPr>
            </w:pPr>
            <w:r w:rsidRPr="000F166D">
              <w:rPr>
                <w:rFonts w:cs="Arial"/>
                <w:sz w:val="22"/>
                <w:szCs w:val="22"/>
              </w:rPr>
              <w:t>Vrzel financiranja</w:t>
            </w:r>
            <w:r>
              <w:rPr>
                <w:rFonts w:cs="Arial"/>
                <w:sz w:val="22"/>
                <w:szCs w:val="22"/>
              </w:rPr>
              <w:t xml:space="preserve"> </w:t>
            </w:r>
          </w:p>
        </w:tc>
      </w:tr>
      <w:tr w:rsidR="004912DC" w:rsidRPr="000F166D" w14:paraId="3EAC8C1B" w14:textId="77777777" w:rsidTr="00906890">
        <w:trPr>
          <w:trHeight w:val="539"/>
        </w:trPr>
        <w:tc>
          <w:tcPr>
            <w:tcW w:w="5204" w:type="dxa"/>
            <w:shd w:val="clear" w:color="auto" w:fill="auto"/>
          </w:tcPr>
          <w:p w14:paraId="1BDFADED" w14:textId="77777777" w:rsidR="004912DC" w:rsidRPr="000F166D" w:rsidRDefault="004912DC" w:rsidP="00906890">
            <w:pPr>
              <w:jc w:val="both"/>
              <w:rPr>
                <w:rFonts w:cs="Arial"/>
                <w:sz w:val="22"/>
                <w:szCs w:val="22"/>
              </w:rPr>
            </w:pPr>
            <w:r w:rsidRPr="000F166D">
              <w:rPr>
                <w:rFonts w:cs="Arial"/>
                <w:sz w:val="22"/>
                <w:szCs w:val="22"/>
              </w:rPr>
              <w:t xml:space="preserve">Projekti slovenskih mestnih občin, ki so pripravljeni na izvedbo (2015—2016) </w:t>
            </w:r>
          </w:p>
        </w:tc>
        <w:tc>
          <w:tcPr>
            <w:tcW w:w="4430" w:type="dxa"/>
            <w:shd w:val="clear" w:color="auto" w:fill="auto"/>
            <w:vAlign w:val="center"/>
          </w:tcPr>
          <w:p w14:paraId="6F20215B" w14:textId="77777777" w:rsidR="004912DC" w:rsidRPr="000F166D" w:rsidRDefault="004912DC" w:rsidP="00906890">
            <w:pPr>
              <w:ind w:left="19"/>
              <w:jc w:val="center"/>
              <w:rPr>
                <w:rFonts w:cs="Arial"/>
                <w:sz w:val="22"/>
                <w:szCs w:val="22"/>
              </w:rPr>
            </w:pPr>
            <w:r w:rsidRPr="000F166D">
              <w:rPr>
                <w:rFonts w:cs="Arial"/>
                <w:b/>
                <w:sz w:val="22"/>
                <w:szCs w:val="22"/>
              </w:rPr>
              <w:t>590—594</w:t>
            </w:r>
            <w:r>
              <w:rPr>
                <w:rFonts w:cs="Arial"/>
                <w:b/>
                <w:sz w:val="22"/>
                <w:szCs w:val="22"/>
              </w:rPr>
              <w:t xml:space="preserve"> </w:t>
            </w:r>
          </w:p>
        </w:tc>
      </w:tr>
      <w:tr w:rsidR="004912DC" w:rsidRPr="000F166D" w14:paraId="0D56424D" w14:textId="77777777" w:rsidTr="00906890">
        <w:trPr>
          <w:trHeight w:val="539"/>
        </w:trPr>
        <w:tc>
          <w:tcPr>
            <w:tcW w:w="5204" w:type="dxa"/>
            <w:shd w:val="clear" w:color="auto" w:fill="auto"/>
          </w:tcPr>
          <w:p w14:paraId="7C87BEF2" w14:textId="77777777" w:rsidR="004912DC" w:rsidRPr="000F166D" w:rsidRDefault="004912DC" w:rsidP="00906890">
            <w:pPr>
              <w:jc w:val="both"/>
              <w:rPr>
                <w:rFonts w:cs="Arial"/>
                <w:sz w:val="22"/>
                <w:szCs w:val="22"/>
              </w:rPr>
            </w:pPr>
            <w:r w:rsidRPr="000F166D">
              <w:rPr>
                <w:rFonts w:cs="Arial"/>
                <w:sz w:val="22"/>
                <w:szCs w:val="22"/>
              </w:rPr>
              <w:t>Projekti slovenskih mestnih občin, ki čakajo na realizacijo (2017—2020)</w:t>
            </w:r>
            <w:r w:rsidRPr="000F166D">
              <w:rPr>
                <w:rFonts w:cs="Arial"/>
                <w:sz w:val="22"/>
                <w:szCs w:val="22"/>
                <w:vertAlign w:val="superscript"/>
              </w:rPr>
              <w:footnoteReference w:id="4"/>
            </w:r>
            <w:r w:rsidRPr="000F166D">
              <w:rPr>
                <w:rFonts w:cs="Arial"/>
                <w:sz w:val="22"/>
                <w:szCs w:val="22"/>
              </w:rPr>
              <w:t xml:space="preserve"> </w:t>
            </w:r>
          </w:p>
        </w:tc>
        <w:tc>
          <w:tcPr>
            <w:tcW w:w="4430" w:type="dxa"/>
            <w:shd w:val="clear" w:color="auto" w:fill="auto"/>
            <w:vAlign w:val="center"/>
          </w:tcPr>
          <w:p w14:paraId="7EB553A1" w14:textId="77777777" w:rsidR="004912DC" w:rsidRPr="000F166D" w:rsidRDefault="004912DC" w:rsidP="00906890">
            <w:pPr>
              <w:ind w:left="17"/>
              <w:jc w:val="center"/>
              <w:rPr>
                <w:rFonts w:cs="Arial"/>
                <w:sz w:val="22"/>
                <w:szCs w:val="22"/>
              </w:rPr>
            </w:pPr>
            <w:r w:rsidRPr="000F166D">
              <w:rPr>
                <w:rFonts w:cs="Arial"/>
                <w:b/>
                <w:sz w:val="22"/>
                <w:szCs w:val="22"/>
              </w:rPr>
              <w:t xml:space="preserve">68—74 </w:t>
            </w:r>
          </w:p>
        </w:tc>
      </w:tr>
    </w:tbl>
    <w:p w14:paraId="413A2C5C" w14:textId="77777777" w:rsidR="004912DC" w:rsidRPr="000F166D" w:rsidRDefault="004912DC" w:rsidP="004912DC">
      <w:pPr>
        <w:spacing w:after="170"/>
        <w:ind w:left="-5" w:hanging="10"/>
        <w:jc w:val="both"/>
        <w:rPr>
          <w:rFonts w:cs="Arial"/>
          <w:sz w:val="22"/>
          <w:szCs w:val="22"/>
        </w:rPr>
      </w:pPr>
      <w:r w:rsidRPr="000F166D">
        <w:rPr>
          <w:rFonts w:cs="Arial"/>
          <w:sz w:val="22"/>
          <w:szCs w:val="22"/>
        </w:rPr>
        <w:t>Vir: Predhodna ocena FI, 201</w:t>
      </w:r>
      <w:r w:rsidRPr="000F166D">
        <w:rPr>
          <w:rFonts w:cs="Arial"/>
          <w:i/>
          <w:sz w:val="22"/>
          <w:szCs w:val="22"/>
        </w:rPr>
        <w:t xml:space="preserve">5 </w:t>
      </w:r>
    </w:p>
    <w:p w14:paraId="6FC49B96" w14:textId="77777777" w:rsidR="004912DC" w:rsidRPr="000F166D" w:rsidRDefault="004912DC" w:rsidP="004912DC">
      <w:pPr>
        <w:jc w:val="both"/>
        <w:rPr>
          <w:rFonts w:cs="Arial"/>
          <w:sz w:val="22"/>
        </w:rPr>
      </w:pPr>
    </w:p>
    <w:p w14:paraId="6491C559" w14:textId="77777777" w:rsidR="004912DC" w:rsidRPr="000F166D" w:rsidRDefault="004912DC" w:rsidP="004912DC">
      <w:pPr>
        <w:keepNext/>
        <w:keepLines/>
        <w:spacing w:before="40"/>
        <w:jc w:val="both"/>
        <w:outlineLvl w:val="2"/>
        <w:rPr>
          <w:rFonts w:cs="Arial"/>
          <w:b/>
          <w:color w:val="1F4D78"/>
          <w:sz w:val="22"/>
        </w:rPr>
      </w:pPr>
      <w:bookmarkStart w:id="66" w:name="_Toc444258252"/>
      <w:bookmarkStart w:id="67" w:name="_Toc54857915"/>
      <w:r w:rsidRPr="000F166D">
        <w:rPr>
          <w:rFonts w:cs="Arial"/>
          <w:b/>
          <w:color w:val="1F4D78"/>
          <w:sz w:val="22"/>
        </w:rPr>
        <w:t>2.3 Obstoječi finančni instrumenti in pridobljene izkušnje</w:t>
      </w:r>
      <w:bookmarkEnd w:id="66"/>
      <w:bookmarkEnd w:id="67"/>
    </w:p>
    <w:p w14:paraId="474CCAE9" w14:textId="77777777" w:rsidR="004912DC" w:rsidRPr="000F166D" w:rsidRDefault="004912DC" w:rsidP="004912DC">
      <w:pPr>
        <w:suppressAutoHyphens/>
        <w:jc w:val="both"/>
        <w:rPr>
          <w:rFonts w:cs="Arial"/>
          <w:sz w:val="22"/>
          <w:szCs w:val="22"/>
          <w:lang w:eastAsia="ar-SA"/>
        </w:rPr>
      </w:pPr>
      <w:r w:rsidRPr="000F166D">
        <w:rPr>
          <w:rFonts w:cs="Arial"/>
          <w:sz w:val="22"/>
          <w:szCs w:val="22"/>
          <w:lang w:eastAsia="ar-SA"/>
        </w:rPr>
        <w:t>Na splošno se je z vidika EU v preteklem programskem obdobju 2007 – 2013 pojavil močan premik k uporabi FI</w:t>
      </w:r>
      <w:r w:rsidRPr="000F166D">
        <w:rPr>
          <w:rFonts w:cs="Arial"/>
          <w:sz w:val="22"/>
          <w:szCs w:val="22"/>
          <w:vertAlign w:val="superscript"/>
          <w:lang w:eastAsia="ar-SA"/>
        </w:rPr>
        <w:footnoteReference w:id="5"/>
      </w:r>
      <w:r w:rsidRPr="000F166D">
        <w:rPr>
          <w:rFonts w:cs="Arial"/>
          <w:sz w:val="22"/>
          <w:szCs w:val="22"/>
          <w:lang w:eastAsia="ar-SA"/>
        </w:rPr>
        <w:t xml:space="preserve">. V Sloveniji so bili FI različno zastopani in uporabljeni. V programskem obdobju 2007 – 2013 so bili razviti in izvajani produkti mikrofinanciranja, posojil, garancij s subvencijo obrestne mere ter tveganega in semenskega kapitala. </w:t>
      </w:r>
    </w:p>
    <w:p w14:paraId="681135D7" w14:textId="77777777" w:rsidR="004912DC" w:rsidRPr="000F166D" w:rsidRDefault="004912DC" w:rsidP="004912DC">
      <w:pPr>
        <w:suppressAutoHyphens/>
        <w:jc w:val="both"/>
        <w:rPr>
          <w:rFonts w:cs="Arial"/>
          <w:sz w:val="22"/>
          <w:szCs w:val="22"/>
          <w:lang w:eastAsia="ar-SA"/>
        </w:rPr>
      </w:pPr>
    </w:p>
    <w:p w14:paraId="774B7A34" w14:textId="77777777" w:rsidR="004912DC" w:rsidRPr="000F166D" w:rsidRDefault="004912DC" w:rsidP="004912DC">
      <w:pPr>
        <w:suppressAutoHyphens/>
        <w:jc w:val="both"/>
        <w:rPr>
          <w:rFonts w:cs="Arial"/>
          <w:sz w:val="22"/>
          <w:szCs w:val="22"/>
          <w:lang w:eastAsia="ar-SA"/>
        </w:rPr>
      </w:pPr>
      <w:r w:rsidRPr="000F166D">
        <w:rPr>
          <w:rFonts w:cs="Arial"/>
          <w:sz w:val="22"/>
          <w:szCs w:val="22"/>
          <w:lang w:eastAsia="ar-SA"/>
        </w:rPr>
        <w:t xml:space="preserve">Slovenski podjetniški sklad (SPS) upravlja holdinški sklad, na podlagi “Programa instrumentov finančnega inženiringa za MSP v RS 2009 - 2013” (PIFI), ki je financiran tudi iz sredstev evropske kohezijske politike 2007 – 2013 in drugih virov. Portfelj holdinškega sklada je vseboval tako instrumente lastniškega financiranja (tvegani kapital) kot tudi instrumente dolžniškega financiranja (garancije, garancije s subvencijo obrestne mere, posojila), vendar je bilo skoraj 70% financiranja namenjenega garancijam. </w:t>
      </w:r>
    </w:p>
    <w:p w14:paraId="259C1BD2" w14:textId="77777777" w:rsidR="004912DC" w:rsidRPr="000F166D" w:rsidRDefault="004912DC" w:rsidP="004912DC">
      <w:pPr>
        <w:suppressAutoHyphens/>
        <w:jc w:val="both"/>
        <w:rPr>
          <w:rFonts w:cs="Arial"/>
          <w:sz w:val="22"/>
          <w:szCs w:val="22"/>
          <w:lang w:eastAsia="ar-SA"/>
        </w:rPr>
      </w:pPr>
    </w:p>
    <w:p w14:paraId="70E415BC" w14:textId="77777777" w:rsidR="004912DC" w:rsidRPr="000F166D" w:rsidRDefault="004912DC" w:rsidP="004912DC">
      <w:pPr>
        <w:suppressAutoHyphens/>
        <w:jc w:val="both"/>
        <w:rPr>
          <w:rFonts w:cs="Arial"/>
          <w:sz w:val="22"/>
          <w:szCs w:val="22"/>
          <w:lang w:eastAsia="ar-SA"/>
        </w:rPr>
      </w:pPr>
      <w:r w:rsidRPr="000F166D">
        <w:rPr>
          <w:rFonts w:cs="Arial"/>
          <w:sz w:val="22"/>
          <w:szCs w:val="22"/>
          <w:lang w:eastAsia="ar-SA"/>
        </w:rPr>
        <w:lastRenderedPageBreak/>
        <w:t xml:space="preserve">Prav tako SID banka upravlja posojilne sklade za MSP in RRI, s skupnim potencialom do 650 mio EUR. Poleg teh FI v obliki neposrednega financiranja je večino sredstev posredovanih do končnih koristnikov posredovala (posredno) preko komercialnih bank. Po bilančnih podatkih s konca leta 2014 je bilo okoli 1,2 mrd EUR sredstev dodeljenih posredno preko komercialnih bank za MSP. </w:t>
      </w:r>
    </w:p>
    <w:p w14:paraId="7922D451" w14:textId="77777777" w:rsidR="004912DC" w:rsidRPr="000F166D" w:rsidRDefault="004912DC" w:rsidP="004912DC">
      <w:pPr>
        <w:suppressAutoHyphens/>
        <w:jc w:val="both"/>
        <w:rPr>
          <w:rFonts w:cs="Arial"/>
          <w:sz w:val="22"/>
          <w:szCs w:val="22"/>
          <w:lang w:eastAsia="ar-SA"/>
        </w:rPr>
      </w:pPr>
    </w:p>
    <w:p w14:paraId="48380D8E" w14:textId="77777777" w:rsidR="004912DC" w:rsidRPr="000F166D" w:rsidRDefault="004912DC" w:rsidP="004912DC">
      <w:pPr>
        <w:suppressAutoHyphens/>
        <w:jc w:val="both"/>
        <w:rPr>
          <w:rFonts w:cs="Arial"/>
          <w:sz w:val="22"/>
          <w:szCs w:val="22"/>
          <w:lang w:eastAsia="ar-SA"/>
        </w:rPr>
      </w:pPr>
      <w:r w:rsidRPr="000F166D">
        <w:rPr>
          <w:rFonts w:cs="Arial"/>
          <w:sz w:val="22"/>
          <w:szCs w:val="22"/>
          <w:lang w:eastAsia="ar-SA"/>
        </w:rPr>
        <w:t xml:space="preserve">Finančne produkte sta izvajala tudi Eko sklad in Slovenski regionalni razvojni sklad. Eko sklad je zagotavljal nepovratna sredstva in prednostna posojila za projekte energetske učinkovitosti, Slovenski regionalni sklad pa je pokrival področja, relevantna za regionalne razvojne politike. </w:t>
      </w:r>
    </w:p>
    <w:p w14:paraId="296CCA3E" w14:textId="77777777" w:rsidR="004912DC" w:rsidRPr="000F166D" w:rsidRDefault="004912DC" w:rsidP="004912DC">
      <w:pPr>
        <w:suppressAutoHyphens/>
        <w:jc w:val="both"/>
        <w:rPr>
          <w:rFonts w:cs="Arial"/>
          <w:sz w:val="22"/>
          <w:szCs w:val="22"/>
          <w:lang w:eastAsia="ar-SA"/>
        </w:rPr>
      </w:pPr>
    </w:p>
    <w:p w14:paraId="4D977534" w14:textId="77777777" w:rsidR="004912DC" w:rsidRPr="000F166D" w:rsidRDefault="004912DC" w:rsidP="004912DC">
      <w:pPr>
        <w:suppressAutoHyphens/>
        <w:jc w:val="both"/>
        <w:rPr>
          <w:rFonts w:cs="Arial"/>
          <w:sz w:val="22"/>
          <w:szCs w:val="22"/>
          <w:lang w:eastAsia="ar-SA"/>
        </w:rPr>
      </w:pPr>
      <w:r w:rsidRPr="000F166D">
        <w:rPr>
          <w:rFonts w:cs="Arial"/>
          <w:sz w:val="22"/>
          <w:szCs w:val="22"/>
          <w:lang w:eastAsia="ar-SA"/>
        </w:rPr>
        <w:t>Opravljen je bil pregled obstoječih FI v Sloveniji ter glavnih pridobljenih izkušenj v programskem obdobju 2007—2013, ki so predstavljene v spodnji tabeli.</w:t>
      </w:r>
    </w:p>
    <w:p w14:paraId="46782D13" w14:textId="77777777" w:rsidR="004912DC" w:rsidRPr="000F166D" w:rsidRDefault="004912DC" w:rsidP="004912DC">
      <w:pPr>
        <w:jc w:val="both"/>
        <w:rPr>
          <w:rFonts w:cs="Arial"/>
          <w:sz w:val="22"/>
          <w:szCs w:val="22"/>
        </w:rPr>
      </w:pPr>
      <w:bookmarkStart w:id="68" w:name="_Toc436387744"/>
    </w:p>
    <w:p w14:paraId="0B65FBEF" w14:textId="77777777" w:rsidR="004912DC" w:rsidRPr="000F166D" w:rsidRDefault="004912DC" w:rsidP="004912DC">
      <w:pPr>
        <w:jc w:val="both"/>
        <w:rPr>
          <w:rFonts w:cs="Arial"/>
          <w:bCs/>
          <w:sz w:val="22"/>
          <w:szCs w:val="22"/>
        </w:rPr>
      </w:pPr>
      <w:bookmarkStart w:id="69" w:name="_Toc66786227"/>
      <w:r w:rsidRPr="00A75659">
        <w:rPr>
          <w:rFonts w:cs="Arial"/>
          <w:sz w:val="22"/>
          <w:szCs w:val="22"/>
        </w:rPr>
        <w:t xml:space="preserve">Tabela </w:t>
      </w:r>
      <w:r w:rsidRPr="00A75659">
        <w:rPr>
          <w:rFonts w:cs="Arial"/>
          <w:sz w:val="22"/>
          <w:szCs w:val="22"/>
        </w:rPr>
        <w:fldChar w:fldCharType="begin"/>
      </w:r>
      <w:r w:rsidRPr="00A75659">
        <w:rPr>
          <w:rFonts w:cs="Arial"/>
          <w:sz w:val="22"/>
          <w:szCs w:val="22"/>
        </w:rPr>
        <w:instrText xml:space="preserve"> SEQ Tabela \* ARABIC </w:instrText>
      </w:r>
      <w:r w:rsidRPr="00A75659">
        <w:rPr>
          <w:rFonts w:cs="Arial"/>
          <w:sz w:val="22"/>
          <w:szCs w:val="22"/>
        </w:rPr>
        <w:fldChar w:fldCharType="separate"/>
      </w:r>
      <w:r>
        <w:rPr>
          <w:rFonts w:cs="Arial"/>
          <w:noProof/>
          <w:sz w:val="22"/>
          <w:szCs w:val="22"/>
        </w:rPr>
        <w:t>8</w:t>
      </w:r>
      <w:r w:rsidRPr="00A75659">
        <w:rPr>
          <w:rFonts w:cs="Arial"/>
          <w:sz w:val="22"/>
          <w:szCs w:val="22"/>
        </w:rPr>
        <w:fldChar w:fldCharType="end"/>
      </w:r>
      <w:r w:rsidRPr="000F166D">
        <w:rPr>
          <w:rFonts w:cs="Arial"/>
          <w:bCs/>
          <w:sz w:val="22"/>
          <w:szCs w:val="22"/>
        </w:rPr>
        <w:t>: Glavne pridobljene izkušnje za programsko obdobje 2007—2013</w:t>
      </w:r>
      <w:bookmarkEnd w:id="68"/>
      <w:bookmarkEnd w:id="69"/>
    </w:p>
    <w:tbl>
      <w:tblPr>
        <w:tblStyle w:val="PwCTableText"/>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0"/>
        <w:gridCol w:w="6363"/>
      </w:tblGrid>
      <w:tr w:rsidR="004912DC" w:rsidRPr="000F166D" w14:paraId="260BCB87" w14:textId="77777777" w:rsidTr="00906890">
        <w:trPr>
          <w:cnfStyle w:val="100000000000" w:firstRow="1" w:lastRow="0" w:firstColumn="0" w:lastColumn="0" w:oddVBand="0" w:evenVBand="0" w:oddHBand="0" w:evenHBand="0" w:firstRowFirstColumn="0" w:firstRowLastColumn="0" w:lastRowFirstColumn="0" w:lastRowLastColumn="0"/>
          <w:trHeight w:val="282"/>
          <w:tblHeader/>
          <w:jc w:val="center"/>
        </w:trPr>
        <w:tc>
          <w:tcPr>
            <w:tcW w:w="321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821A1A"/>
          </w:tcPr>
          <w:p w14:paraId="627EC4FB" w14:textId="77777777" w:rsidR="004912DC" w:rsidRPr="000F166D" w:rsidRDefault="004912DC" w:rsidP="00906890">
            <w:pPr>
              <w:keepNext/>
              <w:jc w:val="both"/>
              <w:rPr>
                <w:rFonts w:eastAsia="Georgia" w:cs="Arial"/>
                <w:b w:val="0"/>
                <w:color w:val="FFFFFF"/>
                <w:sz w:val="22"/>
                <w:szCs w:val="22"/>
                <w:lang w:val="sl-SI"/>
              </w:rPr>
            </w:pPr>
            <w:r w:rsidRPr="000F166D">
              <w:rPr>
                <w:rFonts w:eastAsia="Georgia" w:cs="Arial"/>
                <w:b w:val="0"/>
                <w:color w:val="FFFFFF"/>
                <w:sz w:val="22"/>
                <w:szCs w:val="22"/>
                <w:lang w:val="sl-SI"/>
              </w:rPr>
              <w:t>Pridobljena izkušnje</w:t>
            </w:r>
          </w:p>
        </w:tc>
        <w:tc>
          <w:tcPr>
            <w:tcW w:w="636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821A1A"/>
          </w:tcPr>
          <w:p w14:paraId="3457C420" w14:textId="77777777" w:rsidR="004912DC" w:rsidRPr="000F166D" w:rsidRDefault="004912DC" w:rsidP="00906890">
            <w:pPr>
              <w:keepNext/>
              <w:jc w:val="both"/>
              <w:rPr>
                <w:rFonts w:eastAsia="Georgia" w:cs="Arial"/>
                <w:color w:val="FFFFFF"/>
                <w:sz w:val="22"/>
                <w:szCs w:val="22"/>
                <w:lang w:val="sl-SI"/>
              </w:rPr>
            </w:pPr>
            <w:r w:rsidRPr="000F166D">
              <w:rPr>
                <w:rFonts w:eastAsia="Georgia" w:cs="Arial"/>
                <w:color w:val="FFFFFF"/>
                <w:sz w:val="22"/>
                <w:szCs w:val="22"/>
                <w:lang w:val="sl-SI"/>
              </w:rPr>
              <w:t>Opis</w:t>
            </w:r>
          </w:p>
        </w:tc>
      </w:tr>
      <w:tr w:rsidR="004912DC" w:rsidRPr="000F166D" w14:paraId="41F02D36" w14:textId="77777777" w:rsidTr="00906890">
        <w:trPr>
          <w:trHeight w:val="1022"/>
          <w:jc w:val="center"/>
        </w:trPr>
        <w:tc>
          <w:tcPr>
            <w:tcW w:w="3210" w:type="dxa"/>
          </w:tcPr>
          <w:p w14:paraId="2D8BD3F5" w14:textId="77777777" w:rsidR="004912DC" w:rsidRPr="000F166D" w:rsidRDefault="004912DC" w:rsidP="00906890">
            <w:pPr>
              <w:jc w:val="both"/>
              <w:rPr>
                <w:rFonts w:eastAsia="Georgia" w:cs="Arial"/>
                <w:sz w:val="22"/>
                <w:szCs w:val="22"/>
                <w:lang w:val="sl-SI"/>
              </w:rPr>
            </w:pPr>
            <w:r w:rsidRPr="000F166D">
              <w:rPr>
                <w:rFonts w:eastAsia="Georgia" w:cs="Arial"/>
                <w:sz w:val="22"/>
                <w:szCs w:val="22"/>
                <w:lang w:val="sl-SI"/>
              </w:rPr>
              <w:t xml:space="preserve">Različen obseg finančnih instrumentov na štirih naložbenih področjih. </w:t>
            </w:r>
          </w:p>
        </w:tc>
        <w:tc>
          <w:tcPr>
            <w:tcW w:w="6363" w:type="dxa"/>
          </w:tcPr>
          <w:p w14:paraId="684F36A4" w14:textId="77777777" w:rsidR="004912DC" w:rsidRPr="000F166D" w:rsidRDefault="004912DC" w:rsidP="00906890">
            <w:pPr>
              <w:spacing w:after="100"/>
              <w:jc w:val="both"/>
              <w:rPr>
                <w:rFonts w:eastAsia="Calibri" w:cs="Arial"/>
                <w:sz w:val="22"/>
                <w:szCs w:val="22"/>
                <w:lang w:val="sl-SI"/>
              </w:rPr>
            </w:pPr>
            <w:r w:rsidRPr="000F166D">
              <w:rPr>
                <w:rFonts w:eastAsia="Calibri" w:cs="Arial"/>
                <w:sz w:val="22"/>
                <w:szCs w:val="22"/>
                <w:lang w:val="sl-SI"/>
              </w:rPr>
              <w:t xml:space="preserve">Ponudba več različnih finančnih instrumentov je na področju MSP najbolj razširjena in razvita preko Slovenskega podjetniškega sklada in SID banke. Na področju energetske učinkovitosti sta prisotna SID banka in Eko sklad, ki zajemata podjetja, občine in posameznike. </w:t>
            </w:r>
          </w:p>
        </w:tc>
      </w:tr>
      <w:tr w:rsidR="004912DC" w:rsidRPr="000F166D" w14:paraId="656B5823" w14:textId="77777777" w:rsidTr="00906890">
        <w:trPr>
          <w:trHeight w:val="1112"/>
          <w:jc w:val="center"/>
        </w:trPr>
        <w:tc>
          <w:tcPr>
            <w:tcW w:w="3210" w:type="dxa"/>
          </w:tcPr>
          <w:p w14:paraId="36033F38" w14:textId="77777777" w:rsidR="004912DC" w:rsidRPr="000F166D" w:rsidRDefault="004912DC" w:rsidP="00906890">
            <w:pPr>
              <w:jc w:val="both"/>
              <w:rPr>
                <w:rFonts w:eastAsia="Georgia" w:cs="Arial"/>
                <w:sz w:val="22"/>
                <w:szCs w:val="22"/>
                <w:lang w:val="sl-SI"/>
              </w:rPr>
            </w:pPr>
            <w:r w:rsidRPr="000F166D">
              <w:rPr>
                <w:rFonts w:eastAsia="Georgia" w:cs="Arial"/>
                <w:sz w:val="22"/>
                <w:szCs w:val="22"/>
                <w:lang w:val="sl-SI"/>
              </w:rPr>
              <w:t>Prevladovale so garancije, na voljo pa so bile tudi druge vrste financiranja.</w:t>
            </w:r>
          </w:p>
        </w:tc>
        <w:tc>
          <w:tcPr>
            <w:tcW w:w="6363" w:type="dxa"/>
          </w:tcPr>
          <w:p w14:paraId="359D0F93" w14:textId="77777777" w:rsidR="004912DC" w:rsidRPr="000F166D" w:rsidRDefault="004912DC" w:rsidP="00906890">
            <w:pPr>
              <w:spacing w:after="100"/>
              <w:jc w:val="both"/>
              <w:rPr>
                <w:rFonts w:eastAsia="Calibri" w:cs="Arial"/>
                <w:sz w:val="22"/>
                <w:szCs w:val="22"/>
                <w:lang w:val="sl-SI"/>
              </w:rPr>
            </w:pPr>
            <w:r w:rsidRPr="000F166D">
              <w:rPr>
                <w:rFonts w:eastAsia="Calibri" w:cs="Arial"/>
                <w:sz w:val="22"/>
                <w:szCs w:val="22"/>
                <w:lang w:val="sl-SI"/>
              </w:rPr>
              <w:t>Ponudba Slovenskega podjetniškega sklada v veliki meri temelji na garancijah, vendar je Slovenski podjetniški sklad razvil tudi več drugih instrumentov na področju dolga in lastniškega financiranja (mikrokrediti, konvertibilna posojila, tvegani kapital in kapitalsko-lastniški vstop).</w:t>
            </w:r>
          </w:p>
        </w:tc>
      </w:tr>
      <w:tr w:rsidR="004912DC" w:rsidRPr="000F166D" w14:paraId="2DB09B5B" w14:textId="77777777" w:rsidTr="00906890">
        <w:trPr>
          <w:trHeight w:val="1083"/>
          <w:jc w:val="center"/>
        </w:trPr>
        <w:tc>
          <w:tcPr>
            <w:tcW w:w="3210" w:type="dxa"/>
          </w:tcPr>
          <w:p w14:paraId="62211978" w14:textId="77777777" w:rsidR="004912DC" w:rsidRPr="000F166D" w:rsidRDefault="004912DC" w:rsidP="00906890">
            <w:pPr>
              <w:jc w:val="both"/>
              <w:rPr>
                <w:rFonts w:eastAsia="Georgia" w:cs="Arial"/>
                <w:sz w:val="22"/>
                <w:szCs w:val="22"/>
                <w:lang w:val="sl-SI"/>
              </w:rPr>
            </w:pPr>
            <w:r w:rsidRPr="000F166D">
              <w:rPr>
                <w:rFonts w:eastAsia="Georgia" w:cs="Arial"/>
                <w:sz w:val="22"/>
                <w:szCs w:val="22"/>
                <w:lang w:val="sl-SI"/>
              </w:rPr>
              <w:t xml:space="preserve">Financiranje v obliki nepovratnih sredstev je bilo za nekatera področja ključnega pomena. </w:t>
            </w:r>
          </w:p>
        </w:tc>
        <w:tc>
          <w:tcPr>
            <w:tcW w:w="6363" w:type="dxa"/>
          </w:tcPr>
          <w:p w14:paraId="2ADAF9DF" w14:textId="77777777" w:rsidR="004912DC" w:rsidRPr="000F166D" w:rsidRDefault="004912DC" w:rsidP="00906890">
            <w:pPr>
              <w:jc w:val="both"/>
              <w:rPr>
                <w:rFonts w:eastAsia="Georgia" w:cs="Arial"/>
                <w:sz w:val="22"/>
                <w:szCs w:val="22"/>
                <w:lang w:val="sl-SI"/>
              </w:rPr>
            </w:pPr>
            <w:r w:rsidRPr="000F166D">
              <w:rPr>
                <w:rFonts w:eastAsia="Georgia" w:cs="Arial"/>
                <w:sz w:val="22"/>
                <w:szCs w:val="22"/>
                <w:lang w:val="sl-SI"/>
              </w:rPr>
              <w:t xml:space="preserve">Nekatera področja so v celoti ali delno krila neposredna sredstva, ki so bila tako ključnega pomena za razvoj teh področij (kmetijstvo, RRI, velik del obstoječih projektov na področju energetske učinkovitosti). </w:t>
            </w:r>
          </w:p>
        </w:tc>
      </w:tr>
      <w:tr w:rsidR="004912DC" w:rsidRPr="000F166D" w14:paraId="742DAA7B" w14:textId="77777777" w:rsidTr="00906890">
        <w:trPr>
          <w:trHeight w:val="615"/>
          <w:jc w:val="center"/>
        </w:trPr>
        <w:tc>
          <w:tcPr>
            <w:tcW w:w="3210" w:type="dxa"/>
          </w:tcPr>
          <w:p w14:paraId="6B44C680" w14:textId="77777777" w:rsidR="004912DC" w:rsidRPr="000F166D" w:rsidRDefault="004912DC" w:rsidP="00906890">
            <w:pPr>
              <w:jc w:val="both"/>
              <w:rPr>
                <w:rFonts w:eastAsia="Georgia" w:cs="Arial"/>
                <w:sz w:val="22"/>
                <w:szCs w:val="22"/>
                <w:lang w:val="sl-SI"/>
              </w:rPr>
            </w:pPr>
            <w:r w:rsidRPr="000F166D">
              <w:rPr>
                <w:rFonts w:eastAsia="Georgia" w:cs="Arial"/>
                <w:sz w:val="22"/>
                <w:szCs w:val="22"/>
                <w:lang w:val="sl-SI"/>
              </w:rPr>
              <w:t>Pobude v obliki nepovratnih sredstev bodo ostale pomemben sestavni del.</w:t>
            </w:r>
          </w:p>
        </w:tc>
        <w:tc>
          <w:tcPr>
            <w:tcW w:w="6363" w:type="dxa"/>
          </w:tcPr>
          <w:p w14:paraId="4880118A" w14:textId="77777777" w:rsidR="004912DC" w:rsidRPr="000F166D" w:rsidRDefault="004912DC" w:rsidP="00906890">
            <w:pPr>
              <w:jc w:val="both"/>
              <w:rPr>
                <w:rFonts w:eastAsia="Georgia" w:cs="Arial"/>
                <w:sz w:val="22"/>
                <w:szCs w:val="22"/>
                <w:lang w:val="sl-SI"/>
              </w:rPr>
            </w:pPr>
            <w:r w:rsidRPr="000F166D">
              <w:rPr>
                <w:rFonts w:eastAsia="Georgia" w:cs="Arial"/>
                <w:sz w:val="22"/>
                <w:szCs w:val="22"/>
                <w:lang w:val="sl-SI"/>
              </w:rPr>
              <w:t xml:space="preserve">Obstajajo področja, kjer financiranje brez vključevanja spodbud v obliki nepovratnih sredstev ne bo mogoče (npr. start-up podjetja, energetska obnova stavb, ki spadajo pod kulturno dediščino, posebne spodbude za raziskave in razvoj, določena področja v kmetijskem sektorju), zato bo potrebno določiti, kateri FI bi bili primerni za dopolnitev subvencije. </w:t>
            </w:r>
          </w:p>
        </w:tc>
      </w:tr>
      <w:tr w:rsidR="004912DC" w:rsidRPr="000F166D" w14:paraId="57F92FD1" w14:textId="77777777" w:rsidTr="00906890">
        <w:trPr>
          <w:trHeight w:val="536"/>
          <w:jc w:val="center"/>
        </w:trPr>
        <w:tc>
          <w:tcPr>
            <w:tcW w:w="3210" w:type="dxa"/>
          </w:tcPr>
          <w:p w14:paraId="16F2183D" w14:textId="77777777" w:rsidR="004912DC" w:rsidRPr="000F166D" w:rsidRDefault="004912DC" w:rsidP="00906890">
            <w:pPr>
              <w:jc w:val="both"/>
              <w:rPr>
                <w:rFonts w:eastAsia="Georgia" w:cs="Arial"/>
                <w:sz w:val="22"/>
                <w:szCs w:val="22"/>
                <w:lang w:val="sl-SI"/>
              </w:rPr>
            </w:pPr>
            <w:r w:rsidRPr="000F166D">
              <w:rPr>
                <w:rFonts w:eastAsia="Georgia" w:cs="Arial"/>
                <w:sz w:val="22"/>
                <w:szCs w:val="22"/>
                <w:lang w:val="sl-SI"/>
              </w:rPr>
              <w:t>Slovenski birokratski pravni okvir včasih predstavlja oviro učinkovitemu financiranju.</w:t>
            </w:r>
          </w:p>
        </w:tc>
        <w:tc>
          <w:tcPr>
            <w:tcW w:w="6363" w:type="dxa"/>
          </w:tcPr>
          <w:p w14:paraId="609890D5" w14:textId="77777777" w:rsidR="004912DC" w:rsidRPr="000F166D" w:rsidRDefault="004912DC" w:rsidP="00906890">
            <w:pPr>
              <w:jc w:val="both"/>
              <w:rPr>
                <w:rFonts w:eastAsia="Georgia" w:cs="Arial"/>
                <w:sz w:val="22"/>
                <w:szCs w:val="22"/>
                <w:lang w:val="sl-SI"/>
              </w:rPr>
            </w:pPr>
            <w:r w:rsidRPr="000F166D">
              <w:rPr>
                <w:rFonts w:eastAsia="Georgia" w:cs="Arial"/>
                <w:sz w:val="22"/>
                <w:szCs w:val="22"/>
                <w:lang w:val="sl-SI"/>
              </w:rPr>
              <w:t>Trenuten pravni okvir na določenih področjih ne dovoljuje učinkovite uporabe sredstev preko razpoložljivih FI (npr. zahtevana 100% privolitev lastnikov za pridobitev posojila za energetsko sanacijo, za katerega zaprosi upravljavec stavbe, garancije Slovenskega podjetniškega sklada niso obravnavane kot prvovrstno zavarovanje, nezmožnost dodatnega sposojanja Slovenskega sklada za regionalni razvoj).</w:t>
            </w:r>
          </w:p>
        </w:tc>
      </w:tr>
      <w:tr w:rsidR="004912DC" w:rsidRPr="000F166D" w14:paraId="56999DAD" w14:textId="77777777" w:rsidTr="00906890">
        <w:trPr>
          <w:trHeight w:val="1112"/>
          <w:jc w:val="center"/>
        </w:trPr>
        <w:tc>
          <w:tcPr>
            <w:tcW w:w="3210" w:type="dxa"/>
          </w:tcPr>
          <w:p w14:paraId="0DAC491C" w14:textId="77777777" w:rsidR="004912DC" w:rsidRPr="000F166D" w:rsidRDefault="004912DC" w:rsidP="00906890">
            <w:pPr>
              <w:jc w:val="both"/>
              <w:rPr>
                <w:rFonts w:eastAsia="Georgia" w:cs="Arial"/>
                <w:sz w:val="22"/>
                <w:szCs w:val="22"/>
                <w:lang w:val="sl-SI"/>
              </w:rPr>
            </w:pPr>
            <w:r w:rsidRPr="000F166D">
              <w:rPr>
                <w:rFonts w:eastAsia="Georgia" w:cs="Arial"/>
                <w:sz w:val="22"/>
                <w:szCs w:val="22"/>
                <w:lang w:val="sl-SI"/>
              </w:rPr>
              <w:lastRenderedPageBreak/>
              <w:t xml:space="preserve">Stroge specifikacije razpisnih dokumentacij “prisilijo” podjetja k prilagajanju svojih strategij. </w:t>
            </w:r>
          </w:p>
        </w:tc>
        <w:tc>
          <w:tcPr>
            <w:tcW w:w="6363" w:type="dxa"/>
          </w:tcPr>
          <w:p w14:paraId="257D6508" w14:textId="77777777" w:rsidR="004912DC" w:rsidRPr="000F166D" w:rsidRDefault="004912DC" w:rsidP="00906890">
            <w:pPr>
              <w:jc w:val="both"/>
              <w:rPr>
                <w:rFonts w:eastAsia="Georgia" w:cs="Arial"/>
                <w:sz w:val="22"/>
                <w:szCs w:val="22"/>
                <w:lang w:val="sl-SI"/>
              </w:rPr>
            </w:pPr>
            <w:r w:rsidRPr="000F166D">
              <w:rPr>
                <w:rFonts w:eastAsia="Georgia" w:cs="Arial"/>
                <w:sz w:val="22"/>
                <w:szCs w:val="22"/>
                <w:lang w:val="sl-SI"/>
              </w:rPr>
              <w:t>Problem nefleksibilnega in visoko zbirokratiziranega sistema – končni prejemniki pripravljajo strategije na podlagi specifikacij razpisne dokumentacije in posledično ustrezno prilagajajo svoje načrte, namesto da bi sledili svojemu poslovnemu načrtu in pričakovanjem.</w:t>
            </w:r>
          </w:p>
        </w:tc>
      </w:tr>
      <w:tr w:rsidR="004912DC" w:rsidRPr="000F166D" w14:paraId="7842118B" w14:textId="77777777" w:rsidTr="00906890">
        <w:trPr>
          <w:trHeight w:val="564"/>
          <w:jc w:val="center"/>
        </w:trPr>
        <w:tc>
          <w:tcPr>
            <w:tcW w:w="3210" w:type="dxa"/>
          </w:tcPr>
          <w:p w14:paraId="5E42D169" w14:textId="77777777" w:rsidR="004912DC" w:rsidRPr="000F166D" w:rsidRDefault="004912DC" w:rsidP="00906890">
            <w:pPr>
              <w:jc w:val="both"/>
              <w:rPr>
                <w:rFonts w:eastAsia="Georgia" w:cs="Arial"/>
                <w:sz w:val="22"/>
                <w:szCs w:val="22"/>
                <w:lang w:val="sl-SI"/>
              </w:rPr>
            </w:pPr>
            <w:r w:rsidRPr="000F166D">
              <w:rPr>
                <w:rFonts w:eastAsia="Georgia" w:cs="Arial"/>
                <w:sz w:val="22"/>
                <w:szCs w:val="22"/>
                <w:lang w:val="sl-SI"/>
              </w:rPr>
              <w:t xml:space="preserve">Veliko obstoječih skladov z omejenimi zmogljivostmi. </w:t>
            </w:r>
          </w:p>
        </w:tc>
        <w:tc>
          <w:tcPr>
            <w:tcW w:w="6363" w:type="dxa"/>
          </w:tcPr>
          <w:p w14:paraId="446881A3" w14:textId="77777777" w:rsidR="004912DC" w:rsidRPr="000F166D" w:rsidRDefault="004912DC" w:rsidP="00906890">
            <w:pPr>
              <w:jc w:val="both"/>
              <w:rPr>
                <w:rFonts w:eastAsia="Georgia" w:cs="Arial"/>
                <w:sz w:val="22"/>
                <w:szCs w:val="22"/>
                <w:lang w:val="sl-SI"/>
              </w:rPr>
            </w:pPr>
            <w:r w:rsidRPr="000F166D">
              <w:rPr>
                <w:rFonts w:eastAsia="Georgia" w:cs="Arial"/>
                <w:sz w:val="22"/>
                <w:szCs w:val="22"/>
                <w:lang w:val="sl-SI"/>
              </w:rPr>
              <w:t xml:space="preserve">Javni skladi so preobremenjeni; nimajo dovolj velikih zmogljivosti (zaposlenih) za pregledovanje vseh vlog, kot tudi ne za razširitev svoje ponudbe. </w:t>
            </w:r>
          </w:p>
        </w:tc>
      </w:tr>
      <w:tr w:rsidR="004912DC" w:rsidRPr="000F166D" w14:paraId="0C8E5DAA" w14:textId="77777777" w:rsidTr="00906890">
        <w:trPr>
          <w:trHeight w:val="830"/>
          <w:jc w:val="center"/>
        </w:trPr>
        <w:tc>
          <w:tcPr>
            <w:tcW w:w="3210" w:type="dxa"/>
          </w:tcPr>
          <w:p w14:paraId="19A7FEB4" w14:textId="77777777" w:rsidR="004912DC" w:rsidRPr="000F166D" w:rsidRDefault="004912DC" w:rsidP="00906890">
            <w:pPr>
              <w:jc w:val="both"/>
              <w:rPr>
                <w:rFonts w:eastAsia="Georgia" w:cs="Arial"/>
                <w:sz w:val="22"/>
                <w:szCs w:val="22"/>
                <w:lang w:val="sl-SI"/>
              </w:rPr>
            </w:pPr>
            <w:r w:rsidRPr="000F166D">
              <w:rPr>
                <w:rFonts w:eastAsia="Georgia" w:cs="Arial"/>
                <w:sz w:val="22"/>
                <w:szCs w:val="22"/>
                <w:lang w:val="sl-SI"/>
              </w:rPr>
              <w:t>Prekrivanje različnih instrumentov.</w:t>
            </w:r>
          </w:p>
        </w:tc>
        <w:tc>
          <w:tcPr>
            <w:tcW w:w="6363" w:type="dxa"/>
          </w:tcPr>
          <w:p w14:paraId="5CE306F2" w14:textId="77777777" w:rsidR="004912DC" w:rsidRPr="000F166D" w:rsidRDefault="004912DC" w:rsidP="00906890">
            <w:pPr>
              <w:jc w:val="both"/>
              <w:rPr>
                <w:rFonts w:eastAsia="Georgia" w:cs="Arial"/>
                <w:sz w:val="22"/>
                <w:szCs w:val="22"/>
                <w:lang w:val="sl-SI"/>
              </w:rPr>
            </w:pPr>
            <w:r w:rsidRPr="000F166D">
              <w:rPr>
                <w:rFonts w:eastAsia="Georgia" w:cs="Arial"/>
                <w:sz w:val="22"/>
                <w:szCs w:val="22"/>
                <w:lang w:val="sl-SI"/>
              </w:rPr>
              <w:t>Enake ali podobne vrste finančnih instrumentov, ki jih nudijo različni deležniki na istem področju in v istem časovnem obdobju (npr. področje RRI: kreditne linije SID banke in garancije SPS).</w:t>
            </w:r>
          </w:p>
        </w:tc>
      </w:tr>
      <w:tr w:rsidR="004912DC" w:rsidRPr="000F166D" w14:paraId="50755ED5" w14:textId="77777777" w:rsidTr="00906890">
        <w:trPr>
          <w:trHeight w:val="716"/>
          <w:jc w:val="center"/>
        </w:trPr>
        <w:tc>
          <w:tcPr>
            <w:tcW w:w="3210" w:type="dxa"/>
          </w:tcPr>
          <w:p w14:paraId="4CABFDE0" w14:textId="77777777" w:rsidR="004912DC" w:rsidRPr="000F166D" w:rsidRDefault="004912DC" w:rsidP="00906890">
            <w:pPr>
              <w:spacing w:before="20" w:after="20"/>
              <w:jc w:val="both"/>
              <w:rPr>
                <w:rFonts w:eastAsia="Georgia" w:cs="Arial"/>
                <w:sz w:val="22"/>
                <w:szCs w:val="22"/>
                <w:lang w:val="sl-SI"/>
              </w:rPr>
            </w:pPr>
            <w:r w:rsidRPr="000F166D">
              <w:rPr>
                <w:rFonts w:eastAsia="Georgia" w:cs="Arial"/>
                <w:sz w:val="22"/>
                <w:szCs w:val="22"/>
                <w:lang w:val="sl-SI"/>
              </w:rPr>
              <w:t xml:space="preserve">Mnenje glede učinkovitosti subvencij obrestne mere. </w:t>
            </w:r>
          </w:p>
        </w:tc>
        <w:tc>
          <w:tcPr>
            <w:tcW w:w="6363" w:type="dxa"/>
          </w:tcPr>
          <w:p w14:paraId="7D376046" w14:textId="77777777" w:rsidR="004912DC" w:rsidRPr="000F166D" w:rsidRDefault="004912DC" w:rsidP="00906890">
            <w:pPr>
              <w:spacing w:before="20" w:after="20"/>
              <w:jc w:val="both"/>
              <w:rPr>
                <w:rFonts w:eastAsia="Georgia" w:cs="Arial"/>
                <w:sz w:val="22"/>
                <w:szCs w:val="22"/>
                <w:lang w:val="sl-SI"/>
              </w:rPr>
            </w:pPr>
            <w:r w:rsidRPr="000F166D">
              <w:rPr>
                <w:rFonts w:eastAsia="Georgia" w:cs="Arial"/>
                <w:sz w:val="22"/>
                <w:szCs w:val="22"/>
                <w:lang w:val="sl-SI"/>
              </w:rPr>
              <w:t xml:space="preserve">Nekatera mnenja glede kombiniranja garancij s subvencijo obrestne mere so pozitivna (subvencija obrestne mere kot učinkovit ukrep). Medtem ko drugi ne podpirajo te kombinacije. </w:t>
            </w:r>
          </w:p>
        </w:tc>
      </w:tr>
      <w:tr w:rsidR="004912DC" w:rsidRPr="000F166D" w14:paraId="01300CE7" w14:textId="77777777" w:rsidTr="00906890">
        <w:trPr>
          <w:trHeight w:val="330"/>
          <w:jc w:val="center"/>
        </w:trPr>
        <w:tc>
          <w:tcPr>
            <w:tcW w:w="3210" w:type="dxa"/>
          </w:tcPr>
          <w:p w14:paraId="41C3DF88" w14:textId="77777777" w:rsidR="004912DC" w:rsidRPr="000F166D" w:rsidRDefault="004912DC" w:rsidP="00906890">
            <w:pPr>
              <w:spacing w:before="20" w:after="20"/>
              <w:jc w:val="both"/>
              <w:rPr>
                <w:rFonts w:eastAsia="Georgia" w:cs="Arial"/>
                <w:color w:val="FF0000"/>
                <w:sz w:val="22"/>
                <w:szCs w:val="22"/>
                <w:lang w:val="sl-SI"/>
              </w:rPr>
            </w:pPr>
            <w:r w:rsidRPr="000F166D">
              <w:rPr>
                <w:rFonts w:eastAsia="Georgia" w:cs="Arial"/>
                <w:sz w:val="22"/>
                <w:szCs w:val="22"/>
                <w:lang w:val="sl-SI"/>
              </w:rPr>
              <w:t>Cikel tveganega kapitala je v fazi odprodaje (ne vzpostavlja se nobenega novega investicijskega cikla).</w:t>
            </w:r>
          </w:p>
        </w:tc>
        <w:tc>
          <w:tcPr>
            <w:tcW w:w="6363" w:type="dxa"/>
          </w:tcPr>
          <w:p w14:paraId="12632932" w14:textId="77777777" w:rsidR="004912DC" w:rsidRPr="000F166D" w:rsidRDefault="004912DC" w:rsidP="00906890">
            <w:pPr>
              <w:spacing w:before="20" w:after="20"/>
              <w:jc w:val="both"/>
              <w:rPr>
                <w:rFonts w:eastAsia="Georgia" w:cs="Arial"/>
                <w:sz w:val="22"/>
                <w:szCs w:val="22"/>
                <w:lang w:val="sl-SI"/>
              </w:rPr>
            </w:pPr>
            <w:r w:rsidRPr="000F166D">
              <w:rPr>
                <w:rFonts w:eastAsia="Georgia" w:cs="Arial"/>
                <w:sz w:val="22"/>
                <w:szCs w:val="22"/>
                <w:lang w:val="sl-SI"/>
              </w:rPr>
              <w:t xml:space="preserve">Na trgu tveganega kapitala bo po 5-letni naložbeni fazi sledila 5-letna odprodajna faza. Obstaja možnost za ustanovitev novih skladov. Na podlagi informacij, pridobljenih v razgovorih, bi bilo za delovanje skladov tveganega kapitala koristno, če bi večji delež investicij prihajal iz tujine, zato se razmišlja tudi v smeri sodelovanja Slovenije v čezmejnem skladu tveganega kapitala. </w:t>
            </w:r>
          </w:p>
        </w:tc>
      </w:tr>
      <w:tr w:rsidR="004912DC" w:rsidRPr="000F166D" w14:paraId="1A391DF3" w14:textId="77777777" w:rsidTr="00906890">
        <w:trPr>
          <w:trHeight w:val="975"/>
          <w:jc w:val="center"/>
        </w:trPr>
        <w:tc>
          <w:tcPr>
            <w:tcW w:w="3210" w:type="dxa"/>
          </w:tcPr>
          <w:p w14:paraId="2B6BB410" w14:textId="77777777" w:rsidR="004912DC" w:rsidRPr="000F166D" w:rsidRDefault="004912DC" w:rsidP="00906890">
            <w:pPr>
              <w:spacing w:before="20" w:after="20"/>
              <w:jc w:val="both"/>
              <w:rPr>
                <w:rFonts w:eastAsia="Georgia" w:cs="Arial"/>
                <w:sz w:val="22"/>
                <w:szCs w:val="22"/>
                <w:lang w:val="sl-SI"/>
              </w:rPr>
            </w:pPr>
            <w:r w:rsidRPr="000F166D">
              <w:rPr>
                <w:rFonts w:eastAsia="Georgia" w:cs="Arial"/>
                <w:sz w:val="22"/>
                <w:szCs w:val="22"/>
                <w:lang w:val="sl-SI"/>
              </w:rPr>
              <w:t xml:space="preserve">Zaradi tržnih omejitev in izkušenj drugih držav obstaja želja po sodelovanju preko meja Slovenije. </w:t>
            </w:r>
          </w:p>
        </w:tc>
        <w:tc>
          <w:tcPr>
            <w:tcW w:w="6363" w:type="dxa"/>
          </w:tcPr>
          <w:p w14:paraId="5DE7A1DA" w14:textId="77777777" w:rsidR="004912DC" w:rsidRPr="000F166D" w:rsidRDefault="004912DC" w:rsidP="00906890">
            <w:pPr>
              <w:spacing w:before="20" w:after="20"/>
              <w:jc w:val="both"/>
              <w:rPr>
                <w:rFonts w:eastAsia="Georgia" w:cs="Arial"/>
                <w:sz w:val="22"/>
                <w:szCs w:val="22"/>
                <w:lang w:val="sl-SI"/>
              </w:rPr>
            </w:pPr>
            <w:r w:rsidRPr="000F166D">
              <w:rPr>
                <w:rFonts w:eastAsia="Georgia" w:cs="Arial"/>
                <w:sz w:val="22"/>
                <w:szCs w:val="22"/>
                <w:lang w:val="sl-SI"/>
              </w:rPr>
              <w:t xml:space="preserve">Slovenija kot majhna država na vseh področjih nima zadostne kritične mase za doseganje želenega učinka. Na področju lastniškega financiranja obstajajo preference za integracijo z drugimi državami. </w:t>
            </w:r>
          </w:p>
        </w:tc>
      </w:tr>
      <w:tr w:rsidR="004912DC" w:rsidRPr="000F166D" w14:paraId="51B3CC5C" w14:textId="77777777" w:rsidTr="00906890">
        <w:trPr>
          <w:trHeight w:val="1181"/>
          <w:jc w:val="center"/>
        </w:trPr>
        <w:tc>
          <w:tcPr>
            <w:tcW w:w="3210" w:type="dxa"/>
          </w:tcPr>
          <w:p w14:paraId="1C3EA4BC" w14:textId="77777777" w:rsidR="004912DC" w:rsidRPr="000F166D" w:rsidRDefault="004912DC" w:rsidP="00906890">
            <w:pPr>
              <w:spacing w:before="20" w:after="20"/>
              <w:jc w:val="both"/>
              <w:rPr>
                <w:rFonts w:eastAsia="Georgia" w:cs="Arial"/>
                <w:sz w:val="22"/>
                <w:szCs w:val="22"/>
                <w:lang w:val="sl-SI"/>
              </w:rPr>
            </w:pPr>
            <w:r w:rsidRPr="000F166D">
              <w:rPr>
                <w:rFonts w:eastAsia="Georgia" w:cs="Arial"/>
                <w:sz w:val="22"/>
                <w:szCs w:val="22"/>
                <w:lang w:val="sl-SI"/>
              </w:rPr>
              <w:t>Obstoječe institucije, ki nudijo financiranje, se trudijo povečati svojo prilagojenost trgu.</w:t>
            </w:r>
          </w:p>
        </w:tc>
        <w:tc>
          <w:tcPr>
            <w:tcW w:w="6363" w:type="dxa"/>
          </w:tcPr>
          <w:p w14:paraId="2A426F47" w14:textId="77777777" w:rsidR="004912DC" w:rsidRPr="000F166D" w:rsidRDefault="004912DC" w:rsidP="00906890">
            <w:pPr>
              <w:spacing w:before="20" w:after="20"/>
              <w:jc w:val="both"/>
              <w:rPr>
                <w:rFonts w:eastAsia="Georgia" w:cs="Arial"/>
                <w:sz w:val="22"/>
                <w:szCs w:val="22"/>
                <w:lang w:val="sl-SI"/>
              </w:rPr>
            </w:pPr>
            <w:r w:rsidRPr="000F166D">
              <w:rPr>
                <w:rFonts w:eastAsia="Georgia" w:cs="Arial"/>
                <w:sz w:val="22"/>
                <w:szCs w:val="22"/>
                <w:lang w:val="sl-SI"/>
              </w:rPr>
              <w:t xml:space="preserve">Obstoječe institucije, ki nudijo financiranje, vključujejo v tekoče razprave glavne korespondente, z namenom razumevanja nazorov glavnih deležnikov, ki so vključeni v trg, ter tako povečanja transparentnost. Vendar ne glede na zgoraj navedeno, Slovenija še vedno potrebuje večjo fleksibilnost, ki bo omogočila hitrejše pretvorbe programov skladno s potrebami trga. </w:t>
            </w:r>
          </w:p>
        </w:tc>
      </w:tr>
    </w:tbl>
    <w:p w14:paraId="79B3CFE4" w14:textId="77777777" w:rsidR="004912DC" w:rsidRPr="000F166D" w:rsidRDefault="004912DC" w:rsidP="004912DC">
      <w:pPr>
        <w:jc w:val="both"/>
        <w:rPr>
          <w:rFonts w:eastAsia="Calibri" w:cs="Arial"/>
          <w:sz w:val="22"/>
          <w:szCs w:val="22"/>
        </w:rPr>
      </w:pPr>
      <w:r w:rsidRPr="000F166D">
        <w:rPr>
          <w:rFonts w:eastAsia="Calibri" w:cs="Arial"/>
          <w:sz w:val="22"/>
          <w:szCs w:val="22"/>
        </w:rPr>
        <w:t>Vir: Predhodna ocena FI, 2015</w:t>
      </w:r>
    </w:p>
    <w:p w14:paraId="023B624E" w14:textId="77777777" w:rsidR="004912DC" w:rsidRPr="000F166D" w:rsidRDefault="004912DC" w:rsidP="004912DC">
      <w:pPr>
        <w:jc w:val="both"/>
        <w:rPr>
          <w:rFonts w:cs="Arial"/>
          <w:sz w:val="22"/>
          <w:szCs w:val="22"/>
        </w:rPr>
      </w:pPr>
    </w:p>
    <w:p w14:paraId="3B370335" w14:textId="77777777" w:rsidR="004912DC" w:rsidRPr="000F166D" w:rsidRDefault="004912DC" w:rsidP="004912DC">
      <w:pPr>
        <w:jc w:val="both"/>
        <w:rPr>
          <w:rFonts w:cs="Arial"/>
          <w:sz w:val="22"/>
          <w:szCs w:val="22"/>
        </w:rPr>
      </w:pPr>
      <w:r w:rsidRPr="000F166D">
        <w:rPr>
          <w:rFonts w:cs="Arial"/>
          <w:sz w:val="22"/>
          <w:szCs w:val="22"/>
        </w:rPr>
        <w:t xml:space="preserve">Obstoječi FI so pokazali pozitivne rezultate pri podpori končnih prejemnikov sredstev. V tem pogledu ni razloga za prekinitev delovanja teh instrumentov. Njihovo delovanje se lahko nadaljuje še naprej tudi v programskem obdobju 2014—2020, vzporedno s finančnimi instrumenti in produkti, predlaganimi v trenutni naložbeni strategiji. Obstoječe FI se lahko izvaja nespremenjeno, če se za njihovo izvajanje zagotovi drug vir sredstev (ne sredstev evropskih strukturnih in investicijskih skladov); npr. financiranje iz integralnega proračuna, sproščena sredstva obstoječih FI, financiranje občin in zasebno financiranje. Ne da bi to vplivalo na izvajanje obstoječih FI ali ostalih dejavnosti ključnih deležnikov pri FI (kot so </w:t>
      </w:r>
      <w:r w:rsidRPr="000F166D">
        <w:rPr>
          <w:rFonts w:cs="Arial"/>
          <w:sz w:val="22"/>
          <w:szCs w:val="22"/>
        </w:rPr>
        <w:lastRenderedPageBreak/>
        <w:t xml:space="preserve">opredeljeni v uvodnem poglavju) pa je potrebno v največji možni meri zagotoviti komplementarnost s prednostnim izvajanjem sklada skladov oz. FI financiranimi iz sredstev evropske kohezijske politike 2014-2020. </w:t>
      </w:r>
    </w:p>
    <w:p w14:paraId="4882DCED" w14:textId="77777777" w:rsidR="004912DC" w:rsidRPr="000F166D" w:rsidRDefault="004912DC" w:rsidP="004912DC">
      <w:pPr>
        <w:jc w:val="both"/>
        <w:rPr>
          <w:rFonts w:cs="Arial"/>
          <w:sz w:val="22"/>
          <w:szCs w:val="22"/>
        </w:rPr>
      </w:pPr>
    </w:p>
    <w:p w14:paraId="5F624451" w14:textId="77777777" w:rsidR="004912DC" w:rsidRPr="000F166D" w:rsidRDefault="004912DC" w:rsidP="004912DC">
      <w:pPr>
        <w:jc w:val="both"/>
        <w:rPr>
          <w:rFonts w:cs="Arial"/>
          <w:sz w:val="22"/>
          <w:szCs w:val="22"/>
        </w:rPr>
      </w:pPr>
      <w:r w:rsidRPr="000F166D">
        <w:rPr>
          <w:rFonts w:cs="Arial"/>
          <w:sz w:val="22"/>
          <w:szCs w:val="22"/>
        </w:rPr>
        <w:t>Če se OU in PO skupaj s sodelujočima ministrstvoma odločijo na podlagi pozitivih rezultatov in učinkov FI, ki so bili izvedeni iz sredstev evropske kohezijske politike 2007 – 2013, za nadaljevanje enega ali več obstoječih (ali nadgrajenih) FI s financiranjem preko sredstev ESIF v obdobju 2014 - 2020, morajo biti le-ti prilagojeni in skladni z Uredbo (EU) št. 1303/2013 EU o razvoju FI z uporabo sredstev evropskih strukturnih in investicijskih skladov. To posledično vključuje spremembe v oblikovanju in izvajanju FI. Te spremembe so potrebne zaradi uskladitve obstoječih FI v Sloveniji z Uredbo (EU) št. 1303/2013, ki se navezuje na FI v programskem obdobju 2014—2020. Ta uredba vključuje izbiro finančnih posrednikov na podlagi odprtih, preglednih, sorazmernih in nediskriminatornih postopkov, pri čemer se preprečijo navzkrižja interesov.</w:t>
      </w:r>
    </w:p>
    <w:p w14:paraId="57E3B78F" w14:textId="77777777" w:rsidR="004912DC" w:rsidRPr="000F166D" w:rsidRDefault="004912DC" w:rsidP="004912DC">
      <w:pPr>
        <w:spacing w:after="160"/>
        <w:jc w:val="both"/>
        <w:rPr>
          <w:rFonts w:cs="Arial"/>
          <w:sz w:val="22"/>
          <w:szCs w:val="22"/>
        </w:rPr>
      </w:pPr>
      <w:r w:rsidRPr="000F166D">
        <w:rPr>
          <w:rFonts w:cs="Arial"/>
          <w:sz w:val="22"/>
          <w:szCs w:val="22"/>
        </w:rPr>
        <w:br w:type="page"/>
      </w:r>
    </w:p>
    <w:p w14:paraId="5605C483" w14:textId="77777777" w:rsidR="004912DC" w:rsidRPr="000F166D" w:rsidRDefault="004912DC" w:rsidP="004912DC">
      <w:pPr>
        <w:keepNext/>
        <w:shd w:val="clear" w:color="auto" w:fill="9CC2E5"/>
        <w:outlineLvl w:val="1"/>
        <w:rPr>
          <w:rFonts w:eastAsia="Calibri" w:cs="Arial"/>
          <w:b/>
          <w:bCs/>
          <w:iCs/>
          <w:sz w:val="22"/>
          <w:szCs w:val="28"/>
        </w:rPr>
      </w:pPr>
      <w:bookmarkStart w:id="70" w:name="_Toc54857916"/>
      <w:r w:rsidRPr="000F166D">
        <w:rPr>
          <w:rFonts w:cs="Arial"/>
          <w:b/>
          <w:sz w:val="32"/>
          <w:szCs w:val="32"/>
        </w:rPr>
        <w:lastRenderedPageBreak/>
        <w:t>3. Naložbena strategija in načrtovanje finančnih instrumentov</w:t>
      </w:r>
      <w:bookmarkEnd w:id="70"/>
    </w:p>
    <w:p w14:paraId="3650AE15" w14:textId="77777777" w:rsidR="004912DC" w:rsidRPr="000F166D" w:rsidRDefault="004912DC" w:rsidP="004912DC">
      <w:pPr>
        <w:autoSpaceDE w:val="0"/>
        <w:autoSpaceDN w:val="0"/>
        <w:adjustRightInd w:val="0"/>
        <w:jc w:val="both"/>
        <w:rPr>
          <w:rFonts w:eastAsia="Calibri" w:cs="Arial"/>
          <w:i/>
          <w:iCs/>
          <w:color w:val="000000"/>
          <w:sz w:val="22"/>
        </w:rPr>
      </w:pPr>
    </w:p>
    <w:p w14:paraId="503322F6" w14:textId="77777777" w:rsidR="004912DC" w:rsidRPr="000F166D" w:rsidRDefault="004912DC" w:rsidP="004912DC">
      <w:pPr>
        <w:keepNext/>
        <w:keepLines/>
        <w:spacing w:before="40"/>
        <w:jc w:val="both"/>
        <w:outlineLvl w:val="2"/>
        <w:rPr>
          <w:rFonts w:eastAsia="Calibri" w:cs="Arial"/>
          <w:b/>
          <w:color w:val="1F4D78"/>
          <w:sz w:val="28"/>
          <w:szCs w:val="28"/>
        </w:rPr>
      </w:pPr>
      <w:bookmarkStart w:id="71" w:name="_Toc54857917"/>
      <w:r w:rsidRPr="000F166D">
        <w:rPr>
          <w:rFonts w:eastAsia="Calibri" w:cs="Arial"/>
          <w:b/>
          <w:color w:val="1F4D78"/>
          <w:sz w:val="28"/>
          <w:szCs w:val="28"/>
        </w:rPr>
        <w:t>3.1 Izvedbeni pogoji</w:t>
      </w:r>
      <w:bookmarkEnd w:id="71"/>
      <w:r w:rsidRPr="000F166D">
        <w:rPr>
          <w:rFonts w:eastAsia="Calibri" w:cs="Arial"/>
          <w:b/>
          <w:color w:val="1F4D78"/>
          <w:sz w:val="28"/>
          <w:szCs w:val="28"/>
        </w:rPr>
        <w:t xml:space="preserve"> </w:t>
      </w:r>
    </w:p>
    <w:p w14:paraId="54D10E35" w14:textId="77777777" w:rsidR="004912DC" w:rsidRPr="000F166D" w:rsidRDefault="004912DC" w:rsidP="004912DC">
      <w:pPr>
        <w:autoSpaceDE w:val="0"/>
        <w:autoSpaceDN w:val="0"/>
        <w:adjustRightInd w:val="0"/>
        <w:jc w:val="both"/>
        <w:rPr>
          <w:rFonts w:eastAsia="Calibri" w:cs="Arial"/>
          <w:color w:val="000000"/>
          <w:sz w:val="22"/>
        </w:rPr>
      </w:pPr>
    </w:p>
    <w:p w14:paraId="731AF519" w14:textId="77777777" w:rsidR="004912DC" w:rsidRPr="000F166D" w:rsidRDefault="004912DC" w:rsidP="004912DC">
      <w:pPr>
        <w:autoSpaceDE w:val="0"/>
        <w:autoSpaceDN w:val="0"/>
        <w:adjustRightInd w:val="0"/>
        <w:jc w:val="both"/>
        <w:rPr>
          <w:rFonts w:cs="Arial"/>
          <w:color w:val="222222"/>
          <w:sz w:val="22"/>
          <w:szCs w:val="22"/>
        </w:rPr>
      </w:pPr>
      <w:r w:rsidRPr="000F166D">
        <w:rPr>
          <w:rFonts w:cs="Arial"/>
          <w:color w:val="222222"/>
          <w:sz w:val="22"/>
          <w:szCs w:val="22"/>
        </w:rPr>
        <w:t>Predhodna ocena FI predlaga dvostopenjsko strukturo izvajanja Fi preko sklada skladov. Tudi EIB analiza potrjuje, da je to v tem trenutku najbolj primeren način izvajanja finančnih instrumentov v Sloveniji v tej fazi. Enostopenjski struktura (brez sklada skladov) zahteva veliko stopnjo strokovnega znanja upravne zmogljivosti v okviru OU in PO, le na ta način bi bil zagotovljen neposreden nadzor finančnih posrednikov.</w:t>
      </w:r>
    </w:p>
    <w:p w14:paraId="6C39A4DC" w14:textId="77777777" w:rsidR="004912DC" w:rsidRPr="000F166D" w:rsidRDefault="004912DC" w:rsidP="004912DC">
      <w:pPr>
        <w:autoSpaceDE w:val="0"/>
        <w:autoSpaceDN w:val="0"/>
        <w:adjustRightInd w:val="0"/>
        <w:jc w:val="both"/>
        <w:rPr>
          <w:rFonts w:cs="Arial"/>
          <w:color w:val="222222"/>
          <w:sz w:val="22"/>
          <w:szCs w:val="22"/>
        </w:rPr>
      </w:pPr>
    </w:p>
    <w:p w14:paraId="7A767199" w14:textId="77777777" w:rsidR="004912DC" w:rsidRPr="000F166D" w:rsidRDefault="004912DC" w:rsidP="004912DC">
      <w:pPr>
        <w:autoSpaceDE w:val="0"/>
        <w:autoSpaceDN w:val="0"/>
        <w:adjustRightInd w:val="0"/>
        <w:jc w:val="both"/>
        <w:rPr>
          <w:rFonts w:cs="Arial"/>
          <w:color w:val="222222"/>
          <w:sz w:val="22"/>
          <w:szCs w:val="22"/>
        </w:rPr>
      </w:pPr>
      <w:r w:rsidRPr="000F166D">
        <w:rPr>
          <w:rFonts w:cs="Arial"/>
          <w:color w:val="222222"/>
          <w:sz w:val="22"/>
          <w:szCs w:val="22"/>
        </w:rPr>
        <w:t xml:space="preserve">Predlagana struktura z enim skladom skladov in tematskimi podskladi je v skladu s predpisi in vključuje številne prednosti, kot na primer enotno strukturo upravljanja in enega podpisnika sporazuma o financiranju, večjo kritično maso, ekonomijo obsega, stroškovno učinkovitost in potencial za izkoriščanje sinergij med podskladi. </w:t>
      </w:r>
    </w:p>
    <w:p w14:paraId="2CF0E728" w14:textId="77777777" w:rsidR="004912DC" w:rsidRPr="000F166D" w:rsidRDefault="004912DC" w:rsidP="004912DC">
      <w:pPr>
        <w:jc w:val="both"/>
        <w:rPr>
          <w:rFonts w:cs="Arial"/>
          <w:sz w:val="22"/>
          <w:szCs w:val="22"/>
        </w:rPr>
      </w:pPr>
    </w:p>
    <w:p w14:paraId="30E0A4A7" w14:textId="77777777" w:rsidR="004912DC" w:rsidRPr="00593E96" w:rsidRDefault="004912DC" w:rsidP="004912DC">
      <w:pPr>
        <w:pStyle w:val="Napis"/>
        <w:jc w:val="both"/>
        <w:rPr>
          <w:rFonts w:ascii="Arial" w:hAnsi="Arial" w:cs="Arial"/>
          <w:b w:val="0"/>
          <w:bCs w:val="0"/>
          <w:color w:val="222222"/>
          <w:sz w:val="22"/>
          <w:szCs w:val="22"/>
          <w:lang w:val="sl-SI"/>
        </w:rPr>
      </w:pPr>
      <w:bookmarkStart w:id="72" w:name="_Toc66786233"/>
      <w:r w:rsidRPr="00593E96">
        <w:rPr>
          <w:rFonts w:ascii="Arial" w:hAnsi="Arial" w:cs="Arial"/>
          <w:b w:val="0"/>
          <w:bCs w:val="0"/>
          <w:color w:val="222222"/>
          <w:sz w:val="22"/>
          <w:szCs w:val="22"/>
          <w:lang w:val="sl-SI"/>
        </w:rPr>
        <w:t xml:space="preserve">Slika </w:t>
      </w:r>
      <w:r w:rsidRPr="00593E96">
        <w:rPr>
          <w:rFonts w:ascii="Arial" w:hAnsi="Arial" w:cs="Arial"/>
          <w:b w:val="0"/>
          <w:bCs w:val="0"/>
          <w:color w:val="222222"/>
          <w:sz w:val="22"/>
          <w:szCs w:val="22"/>
          <w:lang w:val="sl-SI"/>
        </w:rPr>
        <w:fldChar w:fldCharType="begin"/>
      </w:r>
      <w:r w:rsidRPr="00593E96">
        <w:rPr>
          <w:rFonts w:ascii="Arial" w:hAnsi="Arial" w:cs="Arial"/>
          <w:b w:val="0"/>
          <w:bCs w:val="0"/>
          <w:color w:val="222222"/>
          <w:sz w:val="22"/>
          <w:szCs w:val="22"/>
          <w:lang w:val="sl-SI"/>
        </w:rPr>
        <w:instrText xml:space="preserve"> SEQ Slika \* ARABIC </w:instrText>
      </w:r>
      <w:r w:rsidRPr="00593E96">
        <w:rPr>
          <w:rFonts w:ascii="Arial" w:hAnsi="Arial" w:cs="Arial"/>
          <w:b w:val="0"/>
          <w:bCs w:val="0"/>
          <w:color w:val="222222"/>
          <w:sz w:val="22"/>
          <w:szCs w:val="22"/>
          <w:lang w:val="sl-SI"/>
        </w:rPr>
        <w:fldChar w:fldCharType="separate"/>
      </w:r>
      <w:r w:rsidRPr="00593E96">
        <w:rPr>
          <w:rFonts w:ascii="Arial" w:hAnsi="Arial" w:cs="Arial"/>
          <w:b w:val="0"/>
          <w:bCs w:val="0"/>
          <w:color w:val="222222"/>
          <w:sz w:val="22"/>
          <w:szCs w:val="22"/>
          <w:lang w:val="sl-SI"/>
        </w:rPr>
        <w:t>1</w:t>
      </w:r>
      <w:r w:rsidRPr="00593E96">
        <w:rPr>
          <w:rFonts w:ascii="Arial" w:hAnsi="Arial" w:cs="Arial"/>
          <w:b w:val="0"/>
          <w:bCs w:val="0"/>
          <w:color w:val="222222"/>
          <w:sz w:val="22"/>
          <w:szCs w:val="22"/>
          <w:lang w:val="sl-SI"/>
        </w:rPr>
        <w:fldChar w:fldCharType="end"/>
      </w:r>
      <w:r w:rsidRPr="00593E96">
        <w:rPr>
          <w:rFonts w:ascii="Arial" w:hAnsi="Arial" w:cs="Arial"/>
          <w:b w:val="0"/>
          <w:bCs w:val="0"/>
          <w:color w:val="222222"/>
          <w:sz w:val="22"/>
          <w:szCs w:val="22"/>
          <w:lang w:val="sl-SI"/>
        </w:rPr>
        <w:t>: Struktura upravljanja sklada skladov v programskem obdobju 2014—2020</w:t>
      </w:r>
      <w:bookmarkEnd w:id="72"/>
      <w:r w:rsidRPr="00593E96">
        <w:rPr>
          <w:rFonts w:ascii="Arial" w:hAnsi="Arial" w:cs="Arial"/>
          <w:b w:val="0"/>
          <w:bCs w:val="0"/>
          <w:color w:val="222222"/>
          <w:sz w:val="22"/>
          <w:szCs w:val="22"/>
          <w:lang w:val="sl-SI"/>
        </w:rPr>
        <w:t xml:space="preserve"> </w:t>
      </w:r>
    </w:p>
    <w:p w14:paraId="35195A35" w14:textId="77777777" w:rsidR="004912DC" w:rsidRPr="000F166D" w:rsidRDefault="004912DC" w:rsidP="004912DC">
      <w:pPr>
        <w:jc w:val="center"/>
        <w:rPr>
          <w:sz w:val="22"/>
          <w:szCs w:val="22"/>
        </w:rPr>
      </w:pPr>
      <w:r w:rsidRPr="000F166D">
        <w:rPr>
          <w:noProof/>
          <w:sz w:val="22"/>
          <w:szCs w:val="22"/>
          <w:lang w:eastAsia="sl-SI"/>
        </w:rPr>
        <w:drawing>
          <wp:inline distT="0" distB="0" distL="0" distR="0" wp14:anchorId="0DBE0DE1" wp14:editId="4F2718F9">
            <wp:extent cx="5281683" cy="2842954"/>
            <wp:effectExtent l="0" t="0" r="0" b="0"/>
            <wp:docPr id="2"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55" name="Slika 4"/>
                    <pic:cNvPicPr>
                      <a:picLocks noChangeAspect="1" noChangeArrowheads="1"/>
                    </pic:cNvPicPr>
                  </pic:nvPicPr>
                  <pic:blipFill>
                    <a:blip r:embed="rId13" cstate="print">
                      <a:extLst>
                        <a:ext uri="{28A0092B-C50C-407E-A947-70E740481C1C}">
                          <a14:useLocalDpi xmlns:a14="http://schemas.microsoft.com/office/drawing/2010/main" val="0"/>
                        </a:ext>
                      </a:extLst>
                    </a:blip>
                    <a:srcRect l="57053" t="20114" r="14334" b="48653"/>
                    <a:stretch>
                      <a:fillRect/>
                    </a:stretch>
                  </pic:blipFill>
                  <pic:spPr bwMode="auto">
                    <a:xfrm>
                      <a:off x="0" y="0"/>
                      <a:ext cx="5292339" cy="2848690"/>
                    </a:xfrm>
                    <a:prstGeom prst="rect">
                      <a:avLst/>
                    </a:prstGeom>
                    <a:noFill/>
                    <a:ln>
                      <a:noFill/>
                    </a:ln>
                    <a:extLst/>
                  </pic:spPr>
                </pic:pic>
              </a:graphicData>
            </a:graphic>
          </wp:inline>
        </w:drawing>
      </w:r>
    </w:p>
    <w:p w14:paraId="28A67E4B" w14:textId="77777777" w:rsidR="004912DC" w:rsidRPr="000F166D" w:rsidRDefault="004912DC" w:rsidP="004912DC">
      <w:pPr>
        <w:jc w:val="both"/>
        <w:rPr>
          <w:rFonts w:eastAsia="Calibri" w:cs="Arial"/>
          <w:color w:val="000000"/>
          <w:sz w:val="22"/>
          <w:szCs w:val="22"/>
        </w:rPr>
      </w:pPr>
      <w:r w:rsidRPr="000F166D">
        <w:rPr>
          <w:rFonts w:eastAsia="Calibri" w:cs="Arial"/>
          <w:color w:val="000000"/>
          <w:sz w:val="22"/>
          <w:szCs w:val="22"/>
        </w:rPr>
        <w:t>Vir: Lastna izdelava slike</w:t>
      </w:r>
    </w:p>
    <w:p w14:paraId="1647D153" w14:textId="77777777" w:rsidR="004912DC" w:rsidRPr="000F166D" w:rsidRDefault="004912DC" w:rsidP="004912DC">
      <w:pPr>
        <w:jc w:val="both"/>
        <w:rPr>
          <w:sz w:val="22"/>
          <w:szCs w:val="22"/>
        </w:rPr>
      </w:pPr>
    </w:p>
    <w:p w14:paraId="5C361AF7" w14:textId="77777777" w:rsidR="004912DC" w:rsidRPr="000F166D" w:rsidRDefault="004912DC" w:rsidP="004912DC">
      <w:pPr>
        <w:autoSpaceDE w:val="0"/>
        <w:autoSpaceDN w:val="0"/>
        <w:adjustRightInd w:val="0"/>
        <w:jc w:val="both"/>
        <w:rPr>
          <w:rFonts w:eastAsia="Calibri" w:cs="Arial"/>
          <w:color w:val="000000"/>
          <w:sz w:val="22"/>
          <w:szCs w:val="22"/>
        </w:rPr>
      </w:pPr>
      <w:r w:rsidRPr="000F166D">
        <w:rPr>
          <w:rFonts w:eastAsia="Calibri" w:cs="Arial"/>
          <w:color w:val="000000"/>
          <w:sz w:val="22"/>
          <w:szCs w:val="22"/>
        </w:rPr>
        <w:t>V Predhodni oceni FI je bila predlagana naložbena strategija</w:t>
      </w:r>
      <w:r w:rsidRPr="000F166D">
        <w:rPr>
          <w:rFonts w:eastAsia="Calibri" w:cs="Arial"/>
          <w:color w:val="000000"/>
          <w:sz w:val="22"/>
          <w:szCs w:val="22"/>
          <w:vertAlign w:val="superscript"/>
        </w:rPr>
        <w:footnoteReference w:id="6"/>
      </w:r>
      <w:r w:rsidRPr="000F166D">
        <w:rPr>
          <w:rFonts w:eastAsia="Calibri" w:cs="Arial"/>
          <w:color w:val="000000"/>
          <w:sz w:val="22"/>
          <w:szCs w:val="22"/>
        </w:rPr>
        <w:t>, ki temelji na petih naložbenih skladih (MSP, razvoj podeželja, RRI, energetska učinkovitost, urbani razvoj). V Ključnih elementih FI so predstavljena štiri področja (MSP, RRI, energetska učinkovitost, urbani razvoj), ki so financirana iz OP 2014- 2020, medtem ko je področje razvoja podeželja obravnavano posebej, saj je financirano iz Evropskega kmetijskega sklada za razvoj podeželja in opredeljeno v Programu za razvoj podeželja 2014-2020. Za vsa naložbena področja je predlagano, da se uporabijo po meri oblikovani FI (tailor-</w:t>
      </w:r>
      <w:r w:rsidRPr="000F166D">
        <w:rPr>
          <w:rFonts w:eastAsia="Calibri" w:cs="Arial"/>
          <w:color w:val="000000"/>
          <w:sz w:val="22"/>
          <w:szCs w:val="22"/>
        </w:rPr>
        <w:lastRenderedPageBreak/>
        <w:t>made). Izvedbene ključne pogoje in cilje natančneje definira upravljavec sklada skladov v naložbeni strategiji, ki bo sestavni del sporazuma o financiranju. Upravljavec sklada skladov bo moral pri pripravi naložbene strategije sklada skladov zasledovati vsebino Ključnih elementov FI, Predhodne ocene FI, EIB analize, preverjanja na trgu (market test) in ciljev OP 2014 – 2020.</w:t>
      </w:r>
    </w:p>
    <w:p w14:paraId="22B57051" w14:textId="77777777" w:rsidR="004912DC" w:rsidRPr="00593E96" w:rsidRDefault="004912DC" w:rsidP="004912DC">
      <w:pPr>
        <w:spacing w:before="240"/>
        <w:jc w:val="both"/>
        <w:rPr>
          <w:rFonts w:cs="Arial"/>
          <w:sz w:val="22"/>
          <w:szCs w:val="22"/>
        </w:rPr>
      </w:pPr>
      <w:bookmarkStart w:id="73" w:name="_Toc66786234"/>
      <w:r w:rsidRPr="00593E96">
        <w:rPr>
          <w:rFonts w:cs="Arial"/>
          <w:bCs/>
          <w:color w:val="222222"/>
          <w:sz w:val="22"/>
          <w:szCs w:val="22"/>
        </w:rPr>
        <w:t xml:space="preserve">Slika </w:t>
      </w:r>
      <w:r w:rsidRPr="00593E96">
        <w:rPr>
          <w:rFonts w:cs="Arial"/>
          <w:bCs/>
          <w:color w:val="222222"/>
          <w:sz w:val="22"/>
          <w:szCs w:val="22"/>
        </w:rPr>
        <w:fldChar w:fldCharType="begin"/>
      </w:r>
      <w:r w:rsidRPr="00593E96">
        <w:rPr>
          <w:rFonts w:cs="Arial"/>
          <w:bCs/>
          <w:color w:val="222222"/>
          <w:sz w:val="22"/>
          <w:szCs w:val="22"/>
        </w:rPr>
        <w:instrText xml:space="preserve"> SEQ Slika \* ARABIC </w:instrText>
      </w:r>
      <w:r w:rsidRPr="00593E96">
        <w:rPr>
          <w:rFonts w:cs="Arial"/>
          <w:bCs/>
          <w:color w:val="222222"/>
          <w:sz w:val="22"/>
          <w:szCs w:val="22"/>
        </w:rPr>
        <w:fldChar w:fldCharType="separate"/>
      </w:r>
      <w:r>
        <w:rPr>
          <w:rFonts w:cs="Arial"/>
          <w:bCs/>
          <w:noProof/>
          <w:color w:val="222222"/>
          <w:sz w:val="22"/>
          <w:szCs w:val="22"/>
        </w:rPr>
        <w:t>2</w:t>
      </w:r>
      <w:r w:rsidRPr="00593E96">
        <w:rPr>
          <w:rFonts w:cs="Arial"/>
          <w:bCs/>
          <w:color w:val="222222"/>
          <w:sz w:val="22"/>
          <w:szCs w:val="22"/>
        </w:rPr>
        <w:fldChar w:fldCharType="end"/>
      </w:r>
      <w:r w:rsidRPr="00593E96">
        <w:rPr>
          <w:rFonts w:cs="Arial"/>
          <w:sz w:val="22"/>
          <w:szCs w:val="22"/>
        </w:rPr>
        <w:t>: Naložbena strategija sklada skladov</w:t>
      </w:r>
      <w:bookmarkEnd w:id="73"/>
    </w:p>
    <w:p w14:paraId="25A28D33" w14:textId="77777777" w:rsidR="004912DC" w:rsidRPr="000F166D" w:rsidRDefault="004912DC" w:rsidP="004912DC">
      <w:pPr>
        <w:spacing w:before="240"/>
        <w:jc w:val="both"/>
        <w:rPr>
          <w:rFonts w:cs="Arial"/>
          <w:noProof/>
          <w:color w:val="008000"/>
          <w:sz w:val="22"/>
          <w:szCs w:val="22"/>
          <w:lang w:eastAsia="sl-SI"/>
        </w:rPr>
      </w:pPr>
      <w:r w:rsidRPr="000F166D">
        <w:rPr>
          <w:rFonts w:cs="Arial"/>
          <w:noProof/>
          <w:sz w:val="22"/>
          <w:szCs w:val="22"/>
          <w:lang w:eastAsia="sl-SI"/>
        </w:rPr>
        <w:drawing>
          <wp:inline distT="0" distB="0" distL="0" distR="0" wp14:anchorId="29F5F70E" wp14:editId="5C138B75">
            <wp:extent cx="5295331" cy="3058549"/>
            <wp:effectExtent l="0" t="0" r="635" b="8890"/>
            <wp:docPr id="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11171" cy="3067698"/>
                    </a:xfrm>
                    <a:prstGeom prst="rect">
                      <a:avLst/>
                    </a:prstGeom>
                    <a:noFill/>
                  </pic:spPr>
                </pic:pic>
              </a:graphicData>
            </a:graphic>
          </wp:inline>
        </w:drawing>
      </w:r>
    </w:p>
    <w:p w14:paraId="680F92B9" w14:textId="77777777" w:rsidR="004912DC" w:rsidRPr="000F166D" w:rsidRDefault="004912DC" w:rsidP="004912DC">
      <w:pPr>
        <w:spacing w:before="240"/>
        <w:jc w:val="both"/>
        <w:rPr>
          <w:rFonts w:cs="Arial"/>
          <w:sz w:val="22"/>
          <w:szCs w:val="22"/>
        </w:rPr>
      </w:pPr>
      <w:r w:rsidRPr="000F166D">
        <w:rPr>
          <w:rFonts w:cs="Arial"/>
          <w:sz w:val="22"/>
          <w:szCs w:val="22"/>
        </w:rPr>
        <w:t>Vir: Predhodna ocena FI, 2015</w:t>
      </w:r>
    </w:p>
    <w:p w14:paraId="387CC210" w14:textId="77777777" w:rsidR="004912DC" w:rsidRPr="000F166D" w:rsidRDefault="004912DC" w:rsidP="004912DC">
      <w:pPr>
        <w:autoSpaceDE w:val="0"/>
        <w:autoSpaceDN w:val="0"/>
        <w:adjustRightInd w:val="0"/>
        <w:jc w:val="both"/>
        <w:rPr>
          <w:rFonts w:cs="Arial"/>
          <w:b/>
          <w:sz w:val="22"/>
          <w:szCs w:val="22"/>
        </w:rPr>
      </w:pPr>
    </w:p>
    <w:p w14:paraId="252DA725" w14:textId="77777777" w:rsidR="004912DC" w:rsidRPr="000F166D" w:rsidRDefault="004912DC" w:rsidP="004912DC">
      <w:pPr>
        <w:autoSpaceDE w:val="0"/>
        <w:autoSpaceDN w:val="0"/>
        <w:adjustRightInd w:val="0"/>
        <w:jc w:val="both"/>
        <w:rPr>
          <w:rFonts w:eastAsia="Calibri" w:cs="Arial"/>
          <w:color w:val="000000"/>
          <w:sz w:val="22"/>
          <w:szCs w:val="22"/>
        </w:rPr>
      </w:pPr>
      <w:r w:rsidRPr="000F166D">
        <w:rPr>
          <w:rFonts w:cs="Arial"/>
          <w:sz w:val="22"/>
          <w:szCs w:val="22"/>
        </w:rPr>
        <w:t>Skladno z Uredbo (EU) 1303/2013 in glede na Navodila EK je možno upravljavca sklada skladov izbrati na več načinov, med drugim v skladu z veljavnim zakonom o javnem naročanju, na primer kot javno naročilo med osebami v javnem sektorju, ki je upoštevaje pogoje za tako imenovanje in glede na izkušnje drugih držav članic, tudi najbolj ustrezen način</w:t>
      </w:r>
      <w:r w:rsidRPr="000F166D">
        <w:rPr>
          <w:rFonts w:eastAsia="Calibri" w:cs="Arial"/>
          <w:color w:val="000000"/>
          <w:sz w:val="22"/>
          <w:szCs w:val="22"/>
        </w:rPr>
        <w:t>.</w:t>
      </w:r>
    </w:p>
    <w:p w14:paraId="63720D48" w14:textId="77777777" w:rsidR="004912DC" w:rsidRPr="000F166D" w:rsidRDefault="004912DC" w:rsidP="004912DC">
      <w:pPr>
        <w:autoSpaceDE w:val="0"/>
        <w:autoSpaceDN w:val="0"/>
        <w:adjustRightInd w:val="0"/>
        <w:jc w:val="both"/>
        <w:rPr>
          <w:rFonts w:eastAsia="Calibri" w:cs="Arial"/>
          <w:color w:val="000000"/>
          <w:sz w:val="22"/>
          <w:szCs w:val="22"/>
        </w:rPr>
      </w:pPr>
    </w:p>
    <w:p w14:paraId="29747101" w14:textId="77777777" w:rsidR="004912DC" w:rsidRPr="000F166D" w:rsidRDefault="004912DC" w:rsidP="004912DC">
      <w:pPr>
        <w:autoSpaceDE w:val="0"/>
        <w:autoSpaceDN w:val="0"/>
        <w:adjustRightInd w:val="0"/>
        <w:jc w:val="both"/>
        <w:rPr>
          <w:rFonts w:eastAsia="Calibri" w:cs="Arial"/>
          <w:color w:val="000000"/>
          <w:sz w:val="22"/>
          <w:szCs w:val="22"/>
        </w:rPr>
      </w:pPr>
      <w:r w:rsidRPr="000F166D">
        <w:rPr>
          <w:rFonts w:eastAsia="Calibri" w:cs="Arial"/>
          <w:color w:val="000000"/>
          <w:sz w:val="22"/>
          <w:szCs w:val="22"/>
        </w:rPr>
        <w:t>Skladno s Predhodno oceno FI v Sloveniji se bodo FI izvajali preko sklada skladov, in sicer jih bo izvajal sklad skladov prek finančnih posrednikov ali izjemoma neposredno. Ta način izvedbe predstavlja največji potencial za dodano vrednost in ustvarjanje maksimalnega finančnega vzvoda za slovenski trg. Upravljavec sklada skladov lahko izjemoma izvaja FI tudi sam, če to narekujejo rezultati preverjanja na trgu (market test) glede na cilje OP 2014 – 2020 ob upoštevanju splošnih načel izvajanja FI, vključno z minimalnim finančnim vzvodom. Preverjanje na trgu se opravi pri finančnih posrednikih, ki bi lahko izvajali FI.</w:t>
      </w:r>
    </w:p>
    <w:p w14:paraId="731FF1C7" w14:textId="77777777" w:rsidR="004912DC" w:rsidRPr="000F166D" w:rsidRDefault="004912DC" w:rsidP="004912DC">
      <w:pPr>
        <w:autoSpaceDE w:val="0"/>
        <w:autoSpaceDN w:val="0"/>
        <w:adjustRightInd w:val="0"/>
        <w:jc w:val="both"/>
        <w:rPr>
          <w:rFonts w:eastAsia="Calibri" w:cs="Arial"/>
          <w:color w:val="000000"/>
          <w:sz w:val="22"/>
          <w:szCs w:val="22"/>
        </w:rPr>
      </w:pPr>
    </w:p>
    <w:p w14:paraId="2B8B44E6" w14:textId="77777777" w:rsidR="004912DC" w:rsidRPr="000F166D" w:rsidRDefault="004912DC" w:rsidP="004912DC">
      <w:pPr>
        <w:autoSpaceDE w:val="0"/>
        <w:autoSpaceDN w:val="0"/>
        <w:adjustRightInd w:val="0"/>
        <w:jc w:val="both"/>
        <w:rPr>
          <w:rFonts w:cs="Arial"/>
          <w:sz w:val="22"/>
          <w:szCs w:val="22"/>
        </w:rPr>
      </w:pPr>
      <w:r w:rsidRPr="000F166D">
        <w:rPr>
          <w:rFonts w:eastAsia="Calibri" w:cs="Arial"/>
          <w:color w:val="000000"/>
          <w:sz w:val="22"/>
          <w:szCs w:val="22"/>
        </w:rPr>
        <w:t>Upravljavca sklada skladov bo PO skladno točko b) četrtega odstavka 38. člena Uredbe EU št. 1303/2013 izbral upoštevajoč veljavno pravo javnega naročanja. PO lahko na podlagi 28. člena Zakona o javnem naročanju</w:t>
      </w:r>
      <w:r w:rsidRPr="000F166D">
        <w:rPr>
          <w:rFonts w:cs="Arial"/>
          <w:sz w:val="22"/>
          <w:szCs w:val="22"/>
        </w:rPr>
        <w:t xml:space="preserve"> </w:t>
      </w:r>
      <w:r w:rsidRPr="000F166D">
        <w:rPr>
          <w:rFonts w:eastAsia="Calibri" w:cs="Arial"/>
          <w:color w:val="000000"/>
          <w:sz w:val="22"/>
          <w:szCs w:val="22"/>
        </w:rPr>
        <w:t xml:space="preserve">(Uradni list RS, št. 91/15) in Obvestilom Evropske Komisije: Smernice za države članice o izbiri organov, ki izvajajo finančne instrumente (2016/C276/01) odda javno naročilo pravni osebi javnega prava in neposredno sklene sporazum o financiranju z upravljavcem sklada skladov. </w:t>
      </w:r>
    </w:p>
    <w:p w14:paraId="18DEEAB9" w14:textId="77777777" w:rsidR="004912DC" w:rsidRPr="000F166D" w:rsidRDefault="004912DC" w:rsidP="004912DC">
      <w:pPr>
        <w:autoSpaceDE w:val="0"/>
        <w:autoSpaceDN w:val="0"/>
        <w:adjustRightInd w:val="0"/>
        <w:jc w:val="both"/>
        <w:rPr>
          <w:rFonts w:eastAsia="Calibri" w:cs="Arial"/>
          <w:color w:val="000000"/>
          <w:sz w:val="22"/>
          <w:szCs w:val="22"/>
        </w:rPr>
      </w:pPr>
    </w:p>
    <w:p w14:paraId="3ADF7367" w14:textId="77777777" w:rsidR="004912DC" w:rsidRPr="000F166D" w:rsidRDefault="004912DC" w:rsidP="004912DC">
      <w:pPr>
        <w:autoSpaceDE w:val="0"/>
        <w:autoSpaceDN w:val="0"/>
        <w:adjustRightInd w:val="0"/>
        <w:jc w:val="both"/>
        <w:rPr>
          <w:rFonts w:eastAsia="Calibri" w:cs="Arial"/>
          <w:color w:val="000000"/>
          <w:sz w:val="22"/>
          <w:szCs w:val="22"/>
        </w:rPr>
      </w:pPr>
      <w:r w:rsidRPr="000F166D">
        <w:rPr>
          <w:rFonts w:eastAsia="Calibri" w:cs="Arial"/>
          <w:color w:val="000000"/>
          <w:sz w:val="22"/>
          <w:szCs w:val="22"/>
        </w:rPr>
        <w:lastRenderedPageBreak/>
        <w:t>PO mora pri izboru upravljavca sklada skladov upoštevati zahteve in merila, ki izhajajo iz 7. člena Delegirane uredbe Komisije (EU) št. 480/2014. Minimalne zahteve, ki jih mora upravljavec sklada skladov izpolnjevati, so:</w:t>
      </w:r>
    </w:p>
    <w:p w14:paraId="295B191A" w14:textId="77777777" w:rsidR="004912DC" w:rsidRPr="000F166D" w:rsidRDefault="004912DC" w:rsidP="004912DC">
      <w:pPr>
        <w:numPr>
          <w:ilvl w:val="0"/>
          <w:numId w:val="13"/>
        </w:numPr>
        <w:autoSpaceDE w:val="0"/>
        <w:autoSpaceDN w:val="0"/>
        <w:adjustRightInd w:val="0"/>
        <w:spacing w:line="240" w:lineRule="auto"/>
        <w:jc w:val="both"/>
        <w:rPr>
          <w:rFonts w:eastAsia="Calibri" w:cs="Arial"/>
          <w:color w:val="000000"/>
          <w:sz w:val="22"/>
          <w:szCs w:val="22"/>
        </w:rPr>
      </w:pPr>
      <w:r w:rsidRPr="000F166D">
        <w:rPr>
          <w:rFonts w:eastAsia="Calibri" w:cs="Arial"/>
          <w:color w:val="000000"/>
          <w:sz w:val="22"/>
          <w:szCs w:val="22"/>
        </w:rPr>
        <w:t>pooblastilo po pravu EU in nacionalnem pravu za izvajanje zadevnih nalog,</w:t>
      </w:r>
    </w:p>
    <w:p w14:paraId="26DEB664" w14:textId="77777777" w:rsidR="004912DC" w:rsidRPr="000F166D" w:rsidRDefault="004912DC" w:rsidP="004912DC">
      <w:pPr>
        <w:numPr>
          <w:ilvl w:val="0"/>
          <w:numId w:val="13"/>
        </w:numPr>
        <w:autoSpaceDE w:val="0"/>
        <w:autoSpaceDN w:val="0"/>
        <w:adjustRightInd w:val="0"/>
        <w:spacing w:line="240" w:lineRule="auto"/>
        <w:jc w:val="both"/>
        <w:rPr>
          <w:rFonts w:eastAsia="Calibri" w:cs="Arial"/>
          <w:color w:val="000000"/>
          <w:sz w:val="22"/>
          <w:szCs w:val="22"/>
        </w:rPr>
      </w:pPr>
      <w:r w:rsidRPr="000F166D">
        <w:rPr>
          <w:rFonts w:eastAsia="Calibri" w:cs="Arial"/>
          <w:color w:val="000000"/>
          <w:sz w:val="22"/>
          <w:szCs w:val="22"/>
        </w:rPr>
        <w:t>primerna ekonomska in finančna vzdržnost,</w:t>
      </w:r>
    </w:p>
    <w:p w14:paraId="4907D9CB" w14:textId="77777777" w:rsidR="004912DC" w:rsidRPr="000F166D" w:rsidRDefault="004912DC" w:rsidP="004912DC">
      <w:pPr>
        <w:numPr>
          <w:ilvl w:val="0"/>
          <w:numId w:val="13"/>
        </w:numPr>
        <w:autoSpaceDE w:val="0"/>
        <w:autoSpaceDN w:val="0"/>
        <w:adjustRightInd w:val="0"/>
        <w:spacing w:line="240" w:lineRule="auto"/>
        <w:jc w:val="both"/>
        <w:rPr>
          <w:rFonts w:eastAsia="Calibri" w:cs="Arial"/>
          <w:color w:val="000000"/>
          <w:sz w:val="22"/>
          <w:szCs w:val="22"/>
        </w:rPr>
      </w:pPr>
      <w:r w:rsidRPr="000F166D">
        <w:rPr>
          <w:rFonts w:eastAsia="Calibri" w:cs="Arial"/>
          <w:color w:val="000000"/>
          <w:sz w:val="22"/>
          <w:szCs w:val="22"/>
        </w:rPr>
        <w:t xml:space="preserve">primerna zmogljivost za izvajanje finančnega instrumenta, vključno z organizacijsko strukturo in upravljavskim okvirom, </w:t>
      </w:r>
    </w:p>
    <w:p w14:paraId="4D3B14D1" w14:textId="77777777" w:rsidR="004912DC" w:rsidRPr="000F166D" w:rsidRDefault="004912DC" w:rsidP="004912DC">
      <w:pPr>
        <w:numPr>
          <w:ilvl w:val="0"/>
          <w:numId w:val="13"/>
        </w:numPr>
        <w:autoSpaceDE w:val="0"/>
        <w:autoSpaceDN w:val="0"/>
        <w:adjustRightInd w:val="0"/>
        <w:spacing w:line="240" w:lineRule="auto"/>
        <w:jc w:val="both"/>
        <w:rPr>
          <w:rFonts w:eastAsia="Calibri" w:cs="Arial"/>
          <w:color w:val="000000"/>
          <w:sz w:val="22"/>
          <w:szCs w:val="22"/>
        </w:rPr>
      </w:pPr>
      <w:r w:rsidRPr="000F166D">
        <w:rPr>
          <w:rFonts w:eastAsia="Calibri" w:cs="Arial"/>
          <w:color w:val="000000"/>
          <w:sz w:val="22"/>
          <w:szCs w:val="22"/>
        </w:rPr>
        <w:t>obstoj uspešnega in učinkovitega sistema notranjega nadzora,</w:t>
      </w:r>
    </w:p>
    <w:p w14:paraId="6E9A681F" w14:textId="77777777" w:rsidR="004912DC" w:rsidRPr="000F166D" w:rsidRDefault="004912DC" w:rsidP="004912DC">
      <w:pPr>
        <w:numPr>
          <w:ilvl w:val="0"/>
          <w:numId w:val="13"/>
        </w:numPr>
        <w:autoSpaceDE w:val="0"/>
        <w:autoSpaceDN w:val="0"/>
        <w:adjustRightInd w:val="0"/>
        <w:spacing w:line="240" w:lineRule="auto"/>
        <w:jc w:val="both"/>
        <w:rPr>
          <w:rFonts w:eastAsia="Calibri" w:cs="Arial"/>
          <w:color w:val="000000"/>
          <w:sz w:val="22"/>
          <w:szCs w:val="22"/>
        </w:rPr>
      </w:pPr>
      <w:r w:rsidRPr="000F166D">
        <w:rPr>
          <w:rFonts w:eastAsia="Calibri" w:cs="Arial"/>
          <w:color w:val="000000"/>
          <w:sz w:val="22"/>
          <w:szCs w:val="22"/>
        </w:rPr>
        <w:t>uporaba računovodskega sistema, ki pravočasno zagotavlja točne, popolne in zanesljive informacije,</w:t>
      </w:r>
    </w:p>
    <w:p w14:paraId="34995111" w14:textId="77777777" w:rsidR="004912DC" w:rsidRPr="000F166D" w:rsidRDefault="004912DC" w:rsidP="004912DC">
      <w:pPr>
        <w:numPr>
          <w:ilvl w:val="0"/>
          <w:numId w:val="13"/>
        </w:numPr>
        <w:autoSpaceDE w:val="0"/>
        <w:autoSpaceDN w:val="0"/>
        <w:adjustRightInd w:val="0"/>
        <w:spacing w:line="240" w:lineRule="auto"/>
        <w:jc w:val="both"/>
        <w:rPr>
          <w:rFonts w:eastAsia="Calibri" w:cs="Arial"/>
          <w:color w:val="000000"/>
          <w:sz w:val="22"/>
          <w:szCs w:val="22"/>
        </w:rPr>
      </w:pPr>
      <w:r w:rsidRPr="000F166D">
        <w:rPr>
          <w:rFonts w:eastAsia="Calibri" w:cs="Arial"/>
          <w:color w:val="000000"/>
          <w:sz w:val="22"/>
          <w:szCs w:val="22"/>
        </w:rPr>
        <w:t>pristanek na revizijo s strani slovenskih, EU revizijskih organov in Evropskega računskega sodišča.</w:t>
      </w:r>
    </w:p>
    <w:p w14:paraId="78C7D0EA" w14:textId="77777777" w:rsidR="004912DC" w:rsidRPr="000F166D" w:rsidRDefault="004912DC" w:rsidP="004912DC">
      <w:pPr>
        <w:autoSpaceDE w:val="0"/>
        <w:autoSpaceDN w:val="0"/>
        <w:adjustRightInd w:val="0"/>
        <w:jc w:val="both"/>
        <w:rPr>
          <w:rFonts w:eastAsia="Calibri" w:cs="Arial"/>
          <w:color w:val="000000"/>
          <w:sz w:val="22"/>
          <w:szCs w:val="22"/>
        </w:rPr>
      </w:pPr>
    </w:p>
    <w:p w14:paraId="24A695C0" w14:textId="77777777" w:rsidR="004912DC" w:rsidRPr="000F166D" w:rsidRDefault="004912DC" w:rsidP="004912DC">
      <w:pPr>
        <w:autoSpaceDE w:val="0"/>
        <w:autoSpaceDN w:val="0"/>
        <w:adjustRightInd w:val="0"/>
        <w:jc w:val="both"/>
        <w:rPr>
          <w:rFonts w:eastAsia="Calibri" w:cs="Arial"/>
          <w:color w:val="000000"/>
          <w:sz w:val="22"/>
          <w:szCs w:val="22"/>
        </w:rPr>
      </w:pPr>
      <w:r w:rsidRPr="000F166D">
        <w:rPr>
          <w:rFonts w:eastAsia="Calibri" w:cs="Arial"/>
          <w:color w:val="000000"/>
          <w:sz w:val="22"/>
          <w:szCs w:val="22"/>
        </w:rPr>
        <w:t>Uporabijo se vsaj naslednja merila pri izbiri upravljavca sklada skladov:</w:t>
      </w:r>
    </w:p>
    <w:p w14:paraId="25CB9A3A" w14:textId="77777777" w:rsidR="004912DC" w:rsidRPr="000F166D" w:rsidRDefault="004912DC" w:rsidP="004912DC">
      <w:pPr>
        <w:numPr>
          <w:ilvl w:val="0"/>
          <w:numId w:val="13"/>
        </w:numPr>
        <w:autoSpaceDE w:val="0"/>
        <w:autoSpaceDN w:val="0"/>
        <w:adjustRightInd w:val="0"/>
        <w:spacing w:line="240" w:lineRule="auto"/>
        <w:jc w:val="both"/>
        <w:rPr>
          <w:rFonts w:eastAsia="Calibri" w:cs="Arial"/>
          <w:color w:val="000000"/>
          <w:sz w:val="22"/>
          <w:szCs w:val="22"/>
        </w:rPr>
      </w:pPr>
      <w:r w:rsidRPr="000F166D">
        <w:rPr>
          <w:rFonts w:eastAsia="Calibri" w:cs="Arial"/>
          <w:color w:val="000000"/>
          <w:sz w:val="22"/>
          <w:szCs w:val="22"/>
        </w:rPr>
        <w:t>zanesljivost in verodostojnost metodologije za opredelitev in oceno finančnih posrednikov oziroma končnih prejemnikov,</w:t>
      </w:r>
    </w:p>
    <w:p w14:paraId="0EE874BF" w14:textId="77777777" w:rsidR="004912DC" w:rsidRPr="000F166D" w:rsidRDefault="004912DC" w:rsidP="004912DC">
      <w:pPr>
        <w:numPr>
          <w:ilvl w:val="0"/>
          <w:numId w:val="13"/>
        </w:numPr>
        <w:autoSpaceDE w:val="0"/>
        <w:autoSpaceDN w:val="0"/>
        <w:adjustRightInd w:val="0"/>
        <w:spacing w:line="240" w:lineRule="auto"/>
        <w:jc w:val="both"/>
        <w:rPr>
          <w:rFonts w:eastAsia="Calibri" w:cs="Arial"/>
          <w:color w:val="000000"/>
          <w:sz w:val="22"/>
          <w:szCs w:val="22"/>
        </w:rPr>
      </w:pPr>
      <w:r w:rsidRPr="000F166D">
        <w:rPr>
          <w:rFonts w:eastAsia="Calibri" w:cs="Arial"/>
          <w:color w:val="000000"/>
          <w:sz w:val="22"/>
          <w:szCs w:val="22"/>
        </w:rPr>
        <w:t>raven stroškov upravljanja in provizij za upravljanje, povezanih z izvajanjem FI, ter predlagana metodologija za njihov izračun,</w:t>
      </w:r>
    </w:p>
    <w:p w14:paraId="06D3766B" w14:textId="77777777" w:rsidR="004912DC" w:rsidRPr="000F166D" w:rsidRDefault="004912DC" w:rsidP="004912DC">
      <w:pPr>
        <w:numPr>
          <w:ilvl w:val="0"/>
          <w:numId w:val="13"/>
        </w:numPr>
        <w:autoSpaceDE w:val="0"/>
        <w:autoSpaceDN w:val="0"/>
        <w:adjustRightInd w:val="0"/>
        <w:spacing w:line="240" w:lineRule="auto"/>
        <w:jc w:val="both"/>
        <w:rPr>
          <w:rFonts w:eastAsia="Calibri" w:cs="Arial"/>
          <w:color w:val="000000"/>
          <w:sz w:val="22"/>
          <w:szCs w:val="22"/>
        </w:rPr>
      </w:pPr>
      <w:r w:rsidRPr="000F166D">
        <w:rPr>
          <w:rFonts w:eastAsia="Calibri" w:cs="Arial"/>
          <w:color w:val="000000"/>
          <w:sz w:val="22"/>
          <w:szCs w:val="22"/>
        </w:rPr>
        <w:t>pogoji v zvezi s podporo, ki se zagotavlja končnim prejemnikom, vključno z oblikovanjem cen,</w:t>
      </w:r>
    </w:p>
    <w:p w14:paraId="79728EBB" w14:textId="77777777" w:rsidR="004912DC" w:rsidRPr="000F166D" w:rsidRDefault="004912DC" w:rsidP="004912DC">
      <w:pPr>
        <w:numPr>
          <w:ilvl w:val="0"/>
          <w:numId w:val="13"/>
        </w:numPr>
        <w:autoSpaceDE w:val="0"/>
        <w:autoSpaceDN w:val="0"/>
        <w:adjustRightInd w:val="0"/>
        <w:spacing w:line="240" w:lineRule="auto"/>
        <w:jc w:val="both"/>
        <w:rPr>
          <w:rFonts w:eastAsia="Calibri" w:cs="Arial"/>
          <w:color w:val="000000"/>
          <w:sz w:val="22"/>
          <w:szCs w:val="22"/>
        </w:rPr>
      </w:pPr>
      <w:r w:rsidRPr="000F166D">
        <w:rPr>
          <w:rFonts w:eastAsia="Calibri" w:cs="Arial"/>
          <w:color w:val="000000"/>
          <w:sz w:val="22"/>
          <w:szCs w:val="22"/>
        </w:rPr>
        <w:t>sposobnost mobilizacije dodatnih sredstev za naložbe v korist končnih prejemnikov poleg prispevkov programa,</w:t>
      </w:r>
    </w:p>
    <w:p w14:paraId="3ADA8E0D" w14:textId="77777777" w:rsidR="004912DC" w:rsidRPr="000F166D" w:rsidRDefault="004912DC" w:rsidP="004912DC">
      <w:pPr>
        <w:numPr>
          <w:ilvl w:val="0"/>
          <w:numId w:val="13"/>
        </w:numPr>
        <w:autoSpaceDE w:val="0"/>
        <w:autoSpaceDN w:val="0"/>
        <w:adjustRightInd w:val="0"/>
        <w:spacing w:line="240" w:lineRule="auto"/>
        <w:jc w:val="both"/>
        <w:rPr>
          <w:rFonts w:eastAsia="Calibri" w:cs="Arial"/>
          <w:color w:val="000000"/>
          <w:sz w:val="22"/>
          <w:szCs w:val="22"/>
        </w:rPr>
      </w:pPr>
      <w:r w:rsidRPr="000F166D">
        <w:rPr>
          <w:rFonts w:eastAsia="Calibri" w:cs="Arial"/>
          <w:color w:val="000000"/>
          <w:sz w:val="22"/>
          <w:szCs w:val="22"/>
        </w:rPr>
        <w:t>dokazana dodatna dejavnost v primerjavi z obstoječo dejavnostjo,</w:t>
      </w:r>
    </w:p>
    <w:p w14:paraId="6D8854C6" w14:textId="77777777" w:rsidR="004912DC" w:rsidRPr="000F166D" w:rsidRDefault="004912DC" w:rsidP="004912DC">
      <w:pPr>
        <w:numPr>
          <w:ilvl w:val="0"/>
          <w:numId w:val="13"/>
        </w:numPr>
        <w:autoSpaceDE w:val="0"/>
        <w:autoSpaceDN w:val="0"/>
        <w:adjustRightInd w:val="0"/>
        <w:spacing w:line="240" w:lineRule="auto"/>
        <w:jc w:val="both"/>
        <w:rPr>
          <w:rFonts w:eastAsia="Calibri" w:cs="Arial"/>
          <w:color w:val="000000"/>
          <w:sz w:val="22"/>
          <w:szCs w:val="22"/>
        </w:rPr>
      </w:pPr>
      <w:r w:rsidRPr="000F166D">
        <w:rPr>
          <w:rFonts w:eastAsia="Calibri" w:cs="Arial"/>
          <w:color w:val="000000"/>
          <w:sz w:val="22"/>
          <w:szCs w:val="22"/>
        </w:rPr>
        <w:t>če sklad skladov, ki izvaja FI, temu instrumentu nameni lastna sredstva ali nosi del tveganja, so predlagani ukrepi za usklajevanje interesov in za omejitev mogočega navzkrižja interesov.</w:t>
      </w:r>
    </w:p>
    <w:p w14:paraId="222917C8" w14:textId="77777777" w:rsidR="004912DC" w:rsidRPr="000F166D" w:rsidRDefault="004912DC" w:rsidP="004912DC">
      <w:pPr>
        <w:autoSpaceDE w:val="0"/>
        <w:autoSpaceDN w:val="0"/>
        <w:adjustRightInd w:val="0"/>
        <w:jc w:val="both"/>
        <w:rPr>
          <w:rFonts w:eastAsia="Calibri" w:cs="Arial"/>
          <w:color w:val="000000"/>
          <w:sz w:val="22"/>
          <w:szCs w:val="22"/>
        </w:rPr>
      </w:pPr>
    </w:p>
    <w:p w14:paraId="1D822435" w14:textId="77777777" w:rsidR="004912DC" w:rsidRPr="000F166D" w:rsidRDefault="004912DC" w:rsidP="004912DC">
      <w:pPr>
        <w:autoSpaceDE w:val="0"/>
        <w:autoSpaceDN w:val="0"/>
        <w:adjustRightInd w:val="0"/>
        <w:jc w:val="both"/>
        <w:rPr>
          <w:rFonts w:eastAsia="Calibri" w:cs="Arial"/>
          <w:color w:val="000000"/>
          <w:sz w:val="22"/>
          <w:szCs w:val="22"/>
        </w:rPr>
      </w:pPr>
      <w:r w:rsidRPr="000F166D">
        <w:rPr>
          <w:rFonts w:eastAsia="Calibri" w:cs="Arial"/>
          <w:color w:val="000000"/>
          <w:sz w:val="22"/>
          <w:szCs w:val="22"/>
        </w:rPr>
        <w:t>Na osnovi Navodil OU za načrtovanje, odločanje o podpori, spremljanje, poročanje in vrednotenje izvajanja evropske kohezijske politike v programskem obdobju 2014-2020, kjer je opisan postopek izbora sklada skladov kot operacije, MGRT kot PO v sodelovanju s sodelujočima ministrstvoma izbere upravljavca sklada skladov in s sporazumom o financiranju</w:t>
      </w:r>
      <w:r w:rsidRPr="000F166D">
        <w:rPr>
          <w:rFonts w:eastAsia="Calibri" w:cs="Arial"/>
          <w:color w:val="000000"/>
          <w:sz w:val="22"/>
          <w:szCs w:val="22"/>
          <w:vertAlign w:val="superscript"/>
        </w:rPr>
        <w:footnoteReference w:id="7"/>
      </w:r>
      <w:r w:rsidRPr="000F166D">
        <w:rPr>
          <w:rFonts w:eastAsia="Calibri" w:cs="Arial"/>
          <w:color w:val="000000"/>
          <w:sz w:val="22"/>
          <w:szCs w:val="22"/>
        </w:rPr>
        <w:t xml:space="preserve"> dogovori podrobnosti glede oblike, vsebine, dinamike in učinkovitosti FI, kot sledi iz naložbene strategije sklada skladov. Poleg tega se MGRT kot PO v sporazumu z upravljavcem sklada skladov dogovori tudi glede upravljanja sklada skladov (osnovno nadomestilo in nadomestilo za uspešnost skladno s 13. členom Delegirane uredbe EK 480/2014).</w:t>
      </w:r>
    </w:p>
    <w:p w14:paraId="24B3C2D9" w14:textId="77777777" w:rsidR="004912DC" w:rsidRPr="000F166D" w:rsidRDefault="004912DC" w:rsidP="004912DC">
      <w:pPr>
        <w:autoSpaceDE w:val="0"/>
        <w:autoSpaceDN w:val="0"/>
        <w:adjustRightInd w:val="0"/>
        <w:jc w:val="both"/>
        <w:rPr>
          <w:rFonts w:eastAsia="Calibri" w:cs="Arial"/>
          <w:color w:val="000000"/>
          <w:sz w:val="22"/>
          <w:szCs w:val="22"/>
        </w:rPr>
      </w:pPr>
    </w:p>
    <w:p w14:paraId="1F46BE26" w14:textId="77777777" w:rsidR="004912DC" w:rsidRPr="000F166D" w:rsidRDefault="004912DC" w:rsidP="004912DC">
      <w:pPr>
        <w:autoSpaceDE w:val="0"/>
        <w:autoSpaceDN w:val="0"/>
        <w:adjustRightInd w:val="0"/>
        <w:jc w:val="both"/>
        <w:rPr>
          <w:rFonts w:eastAsia="Calibri" w:cs="Arial"/>
          <w:color w:val="000000"/>
          <w:sz w:val="22"/>
          <w:szCs w:val="22"/>
        </w:rPr>
      </w:pPr>
      <w:r w:rsidRPr="000F166D">
        <w:rPr>
          <w:rFonts w:eastAsia="Calibri" w:cs="Arial"/>
          <w:color w:val="000000"/>
          <w:sz w:val="22"/>
          <w:szCs w:val="22"/>
        </w:rPr>
        <w:t xml:space="preserve">Upravljavec sklada skladov finančne posrednike izbere skladno s 7. členom Delegirane uredbe Komisije (EU) št. 480/2014, Obvestilom Evropske Komisije: Smernice za države članice o izbiri organov, ki izvajajo finančne instrumente (2016/C276/01) in ZJN-3 (vključno z 28. členom ZJN-3). Upravljavec sklada skladov zagotovi, da so v zvezi s finančnimi posredniki izpolnjene zahteve, ki izhajajo iz 7. člena Delegirane uredbe Komisije (EU) št. 480/2014. </w:t>
      </w:r>
    </w:p>
    <w:p w14:paraId="77F97DEF" w14:textId="77777777" w:rsidR="004912DC" w:rsidRPr="000F166D" w:rsidRDefault="004912DC" w:rsidP="004912DC">
      <w:pPr>
        <w:autoSpaceDE w:val="0"/>
        <w:autoSpaceDN w:val="0"/>
        <w:adjustRightInd w:val="0"/>
        <w:jc w:val="both"/>
        <w:rPr>
          <w:rFonts w:eastAsia="Calibri" w:cs="Arial"/>
          <w:color w:val="000000"/>
          <w:sz w:val="22"/>
          <w:szCs w:val="22"/>
        </w:rPr>
      </w:pPr>
    </w:p>
    <w:p w14:paraId="39613AA0" w14:textId="77777777" w:rsidR="004912DC" w:rsidRPr="000F166D" w:rsidRDefault="004912DC" w:rsidP="004912DC">
      <w:pPr>
        <w:autoSpaceDE w:val="0"/>
        <w:autoSpaceDN w:val="0"/>
        <w:adjustRightInd w:val="0"/>
        <w:jc w:val="both"/>
        <w:rPr>
          <w:rFonts w:eastAsia="Calibri" w:cs="Arial"/>
          <w:color w:val="000000"/>
          <w:sz w:val="22"/>
          <w:szCs w:val="22"/>
        </w:rPr>
      </w:pPr>
    </w:p>
    <w:p w14:paraId="6212EF41" w14:textId="77777777" w:rsidR="004912DC" w:rsidRPr="000F166D" w:rsidRDefault="004912DC" w:rsidP="004912DC">
      <w:pPr>
        <w:autoSpaceDE w:val="0"/>
        <w:autoSpaceDN w:val="0"/>
        <w:adjustRightInd w:val="0"/>
        <w:jc w:val="both"/>
        <w:rPr>
          <w:rFonts w:eastAsia="Calibri" w:cs="Arial"/>
          <w:color w:val="000000"/>
          <w:sz w:val="22"/>
          <w:szCs w:val="22"/>
        </w:rPr>
      </w:pPr>
    </w:p>
    <w:p w14:paraId="0B71765F" w14:textId="77777777" w:rsidR="004912DC" w:rsidRPr="000F166D" w:rsidRDefault="004912DC" w:rsidP="004912DC">
      <w:pPr>
        <w:keepNext/>
        <w:keepLines/>
        <w:widowControl w:val="0"/>
        <w:spacing w:before="240"/>
        <w:jc w:val="both"/>
        <w:rPr>
          <w:rFonts w:eastAsia="Calibri" w:cs="Arial"/>
          <w:color w:val="000000"/>
          <w:sz w:val="22"/>
          <w:szCs w:val="22"/>
        </w:rPr>
      </w:pPr>
      <w:r w:rsidRPr="000F166D">
        <w:rPr>
          <w:rFonts w:cs="Arial"/>
          <w:b/>
          <w:sz w:val="22"/>
          <w:szCs w:val="22"/>
        </w:rPr>
        <w:lastRenderedPageBreak/>
        <w:t>Izbor sklada skladov in finančnih posrednikov</w:t>
      </w:r>
    </w:p>
    <w:p w14:paraId="1AD6C141" w14:textId="77777777" w:rsidR="004912DC" w:rsidRPr="000F166D" w:rsidRDefault="004912DC" w:rsidP="004912DC">
      <w:pPr>
        <w:keepNext/>
        <w:keepLines/>
        <w:widowControl w:val="0"/>
        <w:autoSpaceDE w:val="0"/>
        <w:autoSpaceDN w:val="0"/>
        <w:adjustRightInd w:val="0"/>
        <w:jc w:val="both"/>
        <w:rPr>
          <w:rFonts w:eastAsia="Calibri" w:cs="Arial"/>
          <w:color w:val="000000"/>
          <w:sz w:val="22"/>
          <w:szCs w:val="22"/>
        </w:rPr>
      </w:pPr>
    </w:p>
    <w:p w14:paraId="3BC08A91" w14:textId="77777777" w:rsidR="004912DC" w:rsidRPr="00593E96" w:rsidRDefault="004912DC" w:rsidP="004912DC">
      <w:pPr>
        <w:keepNext/>
        <w:keepLines/>
        <w:widowControl w:val="0"/>
        <w:autoSpaceDE w:val="0"/>
        <w:autoSpaceDN w:val="0"/>
        <w:adjustRightInd w:val="0"/>
        <w:jc w:val="both"/>
        <w:rPr>
          <w:rFonts w:eastAsia="Calibri" w:cs="Arial"/>
          <w:color w:val="000000"/>
          <w:sz w:val="22"/>
          <w:szCs w:val="22"/>
        </w:rPr>
      </w:pPr>
      <w:bookmarkStart w:id="74" w:name="_Toc66786235"/>
      <w:r w:rsidRPr="00593E96">
        <w:rPr>
          <w:rFonts w:cs="Arial"/>
          <w:bCs/>
          <w:color w:val="222222"/>
          <w:sz w:val="22"/>
          <w:szCs w:val="22"/>
        </w:rPr>
        <w:t xml:space="preserve">Slika </w:t>
      </w:r>
      <w:r w:rsidRPr="00593E96">
        <w:rPr>
          <w:rFonts w:cs="Arial"/>
          <w:bCs/>
          <w:color w:val="222222"/>
          <w:sz w:val="22"/>
          <w:szCs w:val="22"/>
        </w:rPr>
        <w:fldChar w:fldCharType="begin"/>
      </w:r>
      <w:r w:rsidRPr="00593E96">
        <w:rPr>
          <w:rFonts w:cs="Arial"/>
          <w:bCs/>
          <w:color w:val="222222"/>
          <w:sz w:val="22"/>
          <w:szCs w:val="22"/>
        </w:rPr>
        <w:instrText xml:space="preserve"> SEQ Slika \* ARABIC </w:instrText>
      </w:r>
      <w:r w:rsidRPr="00593E96">
        <w:rPr>
          <w:rFonts w:cs="Arial"/>
          <w:bCs/>
          <w:color w:val="222222"/>
          <w:sz w:val="22"/>
          <w:szCs w:val="22"/>
        </w:rPr>
        <w:fldChar w:fldCharType="separate"/>
      </w:r>
      <w:r w:rsidRPr="00593E96">
        <w:rPr>
          <w:rFonts w:cs="Arial"/>
          <w:bCs/>
          <w:noProof/>
          <w:color w:val="222222"/>
          <w:sz w:val="22"/>
          <w:szCs w:val="22"/>
        </w:rPr>
        <w:t>3</w:t>
      </w:r>
      <w:r w:rsidRPr="00593E96">
        <w:rPr>
          <w:rFonts w:cs="Arial"/>
          <w:bCs/>
          <w:color w:val="222222"/>
          <w:sz w:val="22"/>
          <w:szCs w:val="22"/>
        </w:rPr>
        <w:fldChar w:fldCharType="end"/>
      </w:r>
      <w:r w:rsidRPr="00593E96">
        <w:rPr>
          <w:rFonts w:eastAsia="Calibri" w:cs="Arial"/>
          <w:color w:val="000000"/>
          <w:sz w:val="22"/>
          <w:szCs w:val="22"/>
        </w:rPr>
        <w:t>: Struktura izvajanja finančnih instrumentov v Sloveniji</w:t>
      </w:r>
      <w:bookmarkEnd w:id="74"/>
      <w:r w:rsidRPr="00593E96">
        <w:rPr>
          <w:rFonts w:eastAsia="Calibri" w:cs="Arial"/>
          <w:color w:val="000000"/>
          <w:sz w:val="22"/>
          <w:szCs w:val="22"/>
        </w:rPr>
        <w:t xml:space="preserve"> </w:t>
      </w:r>
    </w:p>
    <w:p w14:paraId="6490C01B" w14:textId="77777777" w:rsidR="004912DC" w:rsidRPr="000F166D" w:rsidRDefault="004912DC" w:rsidP="004912DC">
      <w:pPr>
        <w:autoSpaceDE w:val="0"/>
        <w:autoSpaceDN w:val="0"/>
        <w:adjustRightInd w:val="0"/>
        <w:jc w:val="both"/>
        <w:rPr>
          <w:rFonts w:eastAsia="Calibri" w:cs="Arial"/>
          <w:color w:val="000000"/>
          <w:sz w:val="22"/>
          <w:szCs w:val="22"/>
        </w:rPr>
      </w:pPr>
    </w:p>
    <w:p w14:paraId="2026A713" w14:textId="77777777" w:rsidR="004912DC" w:rsidRPr="000F166D" w:rsidRDefault="004912DC" w:rsidP="004912DC">
      <w:pPr>
        <w:autoSpaceDE w:val="0"/>
        <w:autoSpaceDN w:val="0"/>
        <w:adjustRightInd w:val="0"/>
        <w:jc w:val="center"/>
        <w:rPr>
          <w:rFonts w:eastAsia="Calibri" w:cs="Arial"/>
          <w:color w:val="000000"/>
          <w:sz w:val="22"/>
          <w:szCs w:val="22"/>
        </w:rPr>
      </w:pPr>
      <w:r w:rsidRPr="000F166D">
        <w:rPr>
          <w:noProof/>
          <w:sz w:val="22"/>
          <w:szCs w:val="22"/>
          <w:lang w:eastAsia="sl-SI"/>
        </w:rPr>
        <w:drawing>
          <wp:inline distT="0" distB="0" distL="0" distR="0" wp14:anchorId="74D9EA42" wp14:editId="66FCCF40">
            <wp:extent cx="5124734" cy="3002508"/>
            <wp:effectExtent l="0" t="0" r="0" b="7620"/>
            <wp:docPr id="4" name="Slika 4"/>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15" cstate="print"/>
                    <a:stretch>
                      <a:fillRect/>
                    </a:stretch>
                  </pic:blipFill>
                  <pic:spPr>
                    <a:xfrm>
                      <a:off x="0" y="0"/>
                      <a:ext cx="5136111" cy="3009174"/>
                    </a:xfrm>
                    <a:prstGeom prst="rect">
                      <a:avLst/>
                    </a:prstGeom>
                  </pic:spPr>
                </pic:pic>
              </a:graphicData>
            </a:graphic>
          </wp:inline>
        </w:drawing>
      </w:r>
    </w:p>
    <w:p w14:paraId="05E44086" w14:textId="77777777" w:rsidR="004912DC" w:rsidRPr="000F166D" w:rsidRDefault="004912DC" w:rsidP="004912DC">
      <w:pPr>
        <w:autoSpaceDE w:val="0"/>
        <w:autoSpaceDN w:val="0"/>
        <w:adjustRightInd w:val="0"/>
        <w:jc w:val="both"/>
        <w:rPr>
          <w:rFonts w:eastAsia="Calibri" w:cs="Arial"/>
          <w:color w:val="000000"/>
          <w:sz w:val="22"/>
          <w:szCs w:val="22"/>
        </w:rPr>
      </w:pPr>
    </w:p>
    <w:p w14:paraId="208C0622" w14:textId="77777777" w:rsidR="004912DC" w:rsidRPr="000F166D" w:rsidRDefault="004912DC" w:rsidP="004912DC">
      <w:pPr>
        <w:autoSpaceDE w:val="0"/>
        <w:autoSpaceDN w:val="0"/>
        <w:adjustRightInd w:val="0"/>
        <w:jc w:val="both"/>
        <w:rPr>
          <w:rFonts w:eastAsia="Calibri" w:cs="Arial"/>
          <w:color w:val="000000"/>
          <w:sz w:val="22"/>
          <w:szCs w:val="22"/>
        </w:rPr>
      </w:pPr>
      <w:r w:rsidRPr="000F166D">
        <w:rPr>
          <w:rFonts w:eastAsia="Calibri" w:cs="Arial"/>
          <w:color w:val="000000"/>
          <w:sz w:val="22"/>
          <w:szCs w:val="22"/>
        </w:rPr>
        <w:t>Vir: Lastna izdelava slike</w:t>
      </w:r>
    </w:p>
    <w:p w14:paraId="36D41BB2" w14:textId="77777777" w:rsidR="004912DC" w:rsidRPr="000F166D" w:rsidRDefault="004912DC" w:rsidP="004912DC">
      <w:pPr>
        <w:autoSpaceDE w:val="0"/>
        <w:autoSpaceDN w:val="0"/>
        <w:adjustRightInd w:val="0"/>
        <w:jc w:val="both"/>
        <w:rPr>
          <w:rFonts w:eastAsia="Calibri" w:cs="Arial"/>
          <w:color w:val="000000"/>
          <w:sz w:val="22"/>
          <w:szCs w:val="22"/>
        </w:rPr>
      </w:pPr>
    </w:p>
    <w:p w14:paraId="0237513C" w14:textId="77777777" w:rsidR="004912DC" w:rsidRPr="000F166D" w:rsidRDefault="004912DC" w:rsidP="004912DC">
      <w:pPr>
        <w:autoSpaceDE w:val="0"/>
        <w:autoSpaceDN w:val="0"/>
        <w:adjustRightInd w:val="0"/>
        <w:jc w:val="both"/>
        <w:rPr>
          <w:rFonts w:eastAsia="Calibri" w:cs="Arial"/>
          <w:color w:val="000000"/>
          <w:sz w:val="22"/>
          <w:szCs w:val="22"/>
        </w:rPr>
      </w:pPr>
      <w:r w:rsidRPr="000F166D">
        <w:rPr>
          <w:rFonts w:eastAsia="Calibri" w:cs="Arial"/>
          <w:color w:val="000000"/>
          <w:sz w:val="22"/>
          <w:szCs w:val="22"/>
        </w:rPr>
        <w:t>PO za izvajanje FI je MGRT, ki pri izvajanju sodeluje s sodelujočima ministrstvoma, in sicer MZI in MOP. V okviru MGRT je zagotovljena koordinacija vseh vključenih ministrstev.</w:t>
      </w:r>
    </w:p>
    <w:p w14:paraId="1F342EE9" w14:textId="77777777" w:rsidR="004912DC" w:rsidRPr="000F166D" w:rsidRDefault="004912DC" w:rsidP="004912DC">
      <w:pPr>
        <w:autoSpaceDE w:val="0"/>
        <w:autoSpaceDN w:val="0"/>
        <w:adjustRightInd w:val="0"/>
        <w:jc w:val="both"/>
        <w:rPr>
          <w:rFonts w:eastAsia="Calibri" w:cs="Arial"/>
          <w:color w:val="000000"/>
          <w:sz w:val="22"/>
          <w:szCs w:val="22"/>
        </w:rPr>
      </w:pPr>
    </w:p>
    <w:p w14:paraId="2FF85865" w14:textId="77777777" w:rsidR="004912DC" w:rsidRPr="000F166D" w:rsidRDefault="004912DC" w:rsidP="004912DC">
      <w:pPr>
        <w:autoSpaceDE w:val="0"/>
        <w:autoSpaceDN w:val="0"/>
        <w:adjustRightInd w:val="0"/>
        <w:jc w:val="both"/>
        <w:rPr>
          <w:rFonts w:eastAsia="Calibri" w:cs="Arial"/>
          <w:color w:val="000000"/>
          <w:sz w:val="22"/>
          <w:szCs w:val="22"/>
        </w:rPr>
      </w:pPr>
      <w:r w:rsidRPr="000F166D">
        <w:rPr>
          <w:rFonts w:eastAsia="Calibri" w:cs="Arial"/>
          <w:color w:val="000000"/>
          <w:sz w:val="22"/>
          <w:szCs w:val="22"/>
        </w:rPr>
        <w:t xml:space="preserve">MGRT deluje kot PO (oddelek za FI) in hkrati tudi vsebinsko pokriva področje MSP in RRI. Sodelujoči ministrstvi sta MZI in MOP, ki pokrivata vsebinski področji energetske učinkovitosti ter urbanega razvoja. Vsebinski nosilci na ministrstvih sodelujejo z oddelkom za FI v okviru MGRT ter pripravljajo vsebinske predloge za gradivo, ki ga koordinira oddelek za FI za Usmerjevalni odbor. Poleg tega oddelek za FI sodeluje z OU, organom za potrjevanje in upravljavcem sklada skladov ter ZMOS. Upravljavec sklada skladov sodeluje z oddelkom PO za FI pri pripravi poslovnega načrta, sporazuma o financiranju in drugih dokumentov. Upravljavec sklada skladov prav tako izvede postopek izbora finančnih posrednikov plasira sredstva sklada skladov ter upravlja s prostimi sredstvi sklada skladov. Pravila naložbenja prostih sredstev sklada skladov PO in upravljavec sklada skladov dogovorita v sporazumu o financiranju. Finančni posrednik sklepa naložbene posle s končnimi prejemniki. Upravljavec sklada skladov in finančni posredniki samostojno in neodvisno odobravajo naložbene posle. </w:t>
      </w:r>
    </w:p>
    <w:p w14:paraId="6563EA90" w14:textId="77777777" w:rsidR="004912DC" w:rsidRPr="000F166D" w:rsidRDefault="004912DC" w:rsidP="004912DC">
      <w:pPr>
        <w:autoSpaceDE w:val="0"/>
        <w:autoSpaceDN w:val="0"/>
        <w:adjustRightInd w:val="0"/>
        <w:jc w:val="both"/>
        <w:rPr>
          <w:rFonts w:eastAsia="Calibri" w:cs="Arial"/>
          <w:color w:val="000000"/>
          <w:sz w:val="22"/>
          <w:szCs w:val="22"/>
        </w:rPr>
      </w:pPr>
    </w:p>
    <w:p w14:paraId="452A8847" w14:textId="77777777" w:rsidR="004912DC" w:rsidRPr="000F166D" w:rsidRDefault="004912DC" w:rsidP="004912DC">
      <w:pPr>
        <w:autoSpaceDE w:val="0"/>
        <w:autoSpaceDN w:val="0"/>
        <w:adjustRightInd w:val="0"/>
        <w:jc w:val="both"/>
        <w:rPr>
          <w:rFonts w:eastAsia="Calibri" w:cs="Arial"/>
          <w:color w:val="000000"/>
          <w:sz w:val="22"/>
          <w:szCs w:val="22"/>
        </w:rPr>
      </w:pPr>
      <w:r w:rsidRPr="000F166D">
        <w:rPr>
          <w:rFonts w:eastAsia="Calibri" w:cs="Arial"/>
          <w:color w:val="000000"/>
          <w:sz w:val="22"/>
          <w:szCs w:val="22"/>
        </w:rPr>
        <w:t>ZMOS pri izvajanju finančnih instrumentov skladno s 7. členom Uredbe EU št 1301/2013, kot posredniški organ v okviru celostnih teritorialnih naložb opravlja naslednje naloge:</w:t>
      </w:r>
    </w:p>
    <w:p w14:paraId="0BBAF033" w14:textId="77777777" w:rsidR="004912DC" w:rsidRPr="000F166D" w:rsidRDefault="004912DC" w:rsidP="004912DC">
      <w:pPr>
        <w:autoSpaceDE w:val="0"/>
        <w:autoSpaceDN w:val="0"/>
        <w:adjustRightInd w:val="0"/>
        <w:jc w:val="both"/>
        <w:rPr>
          <w:rFonts w:eastAsia="Calibri" w:cs="Arial"/>
          <w:color w:val="000000"/>
          <w:sz w:val="22"/>
          <w:szCs w:val="22"/>
        </w:rPr>
      </w:pPr>
      <w:r w:rsidRPr="000F166D">
        <w:rPr>
          <w:rFonts w:eastAsia="Calibri" w:cs="Arial"/>
          <w:color w:val="000000"/>
          <w:sz w:val="22"/>
          <w:szCs w:val="22"/>
        </w:rPr>
        <w:t>1.</w:t>
      </w:r>
      <w:r w:rsidRPr="000F166D">
        <w:rPr>
          <w:rFonts w:eastAsia="Calibri" w:cs="Arial"/>
          <w:color w:val="000000"/>
          <w:sz w:val="22"/>
          <w:szCs w:val="22"/>
        </w:rPr>
        <w:tab/>
        <w:t>daje soglasje h ključnim elementom finančnih instrumentov;</w:t>
      </w:r>
    </w:p>
    <w:p w14:paraId="1D9D974A" w14:textId="77777777" w:rsidR="004912DC" w:rsidRPr="000F166D" w:rsidRDefault="004912DC" w:rsidP="004912DC">
      <w:pPr>
        <w:autoSpaceDE w:val="0"/>
        <w:autoSpaceDN w:val="0"/>
        <w:adjustRightInd w:val="0"/>
        <w:ind w:left="705" w:hanging="705"/>
        <w:jc w:val="both"/>
        <w:rPr>
          <w:rFonts w:eastAsia="Calibri" w:cs="Arial"/>
          <w:color w:val="000000"/>
          <w:sz w:val="22"/>
          <w:szCs w:val="22"/>
        </w:rPr>
      </w:pPr>
      <w:r w:rsidRPr="000F166D">
        <w:rPr>
          <w:rFonts w:eastAsia="Calibri" w:cs="Arial"/>
          <w:color w:val="000000"/>
          <w:sz w:val="22"/>
          <w:szCs w:val="22"/>
        </w:rPr>
        <w:t>2.</w:t>
      </w:r>
      <w:r w:rsidRPr="000F166D">
        <w:rPr>
          <w:rFonts w:eastAsia="Calibri" w:cs="Arial"/>
          <w:color w:val="000000"/>
          <w:sz w:val="22"/>
          <w:szCs w:val="22"/>
        </w:rPr>
        <w:tab/>
        <w:t>na ravni posamezne investicije poda mnenje o skladnosti investicije s trajnostno urbano strategijo.</w:t>
      </w:r>
    </w:p>
    <w:p w14:paraId="41C1C5A7" w14:textId="77777777" w:rsidR="004912DC" w:rsidRPr="000F166D" w:rsidRDefault="004912DC" w:rsidP="004912DC">
      <w:pPr>
        <w:autoSpaceDE w:val="0"/>
        <w:autoSpaceDN w:val="0"/>
        <w:adjustRightInd w:val="0"/>
        <w:jc w:val="both"/>
        <w:rPr>
          <w:rFonts w:eastAsia="Calibri" w:cs="Arial"/>
          <w:color w:val="000000"/>
          <w:sz w:val="22"/>
          <w:szCs w:val="22"/>
        </w:rPr>
      </w:pPr>
      <w:r w:rsidRPr="000F166D">
        <w:rPr>
          <w:rFonts w:eastAsia="Calibri" w:cs="Arial"/>
          <w:color w:val="000000"/>
          <w:sz w:val="22"/>
          <w:szCs w:val="22"/>
        </w:rPr>
        <w:lastRenderedPageBreak/>
        <w:t>V okviru prve naloge sodeluje z oddelkom PO za FI pri pripravi ključnih elementov FI in poda soglasje h ključnim elementom v okviru medresorskega usklajevanja gradiva pred obravnavo na Vladi RS. Za izvajanje druge naloge poda mnenje o skladnosti investicije s trajnostno urbano strategijo, ki je sestavni del vloge za financiranje.</w:t>
      </w:r>
    </w:p>
    <w:p w14:paraId="41C8745B" w14:textId="77777777" w:rsidR="004912DC" w:rsidRPr="000F166D" w:rsidRDefault="004912DC" w:rsidP="004912DC">
      <w:pPr>
        <w:autoSpaceDE w:val="0"/>
        <w:autoSpaceDN w:val="0"/>
        <w:adjustRightInd w:val="0"/>
        <w:jc w:val="both"/>
        <w:rPr>
          <w:rFonts w:eastAsia="Calibri" w:cs="Arial"/>
          <w:color w:val="000000"/>
          <w:sz w:val="22"/>
          <w:szCs w:val="22"/>
        </w:rPr>
      </w:pPr>
    </w:p>
    <w:p w14:paraId="422494FC" w14:textId="77777777" w:rsidR="004912DC" w:rsidRPr="000F166D" w:rsidRDefault="004912DC" w:rsidP="004912DC">
      <w:pPr>
        <w:autoSpaceDE w:val="0"/>
        <w:autoSpaceDN w:val="0"/>
        <w:adjustRightInd w:val="0"/>
        <w:contextualSpacing/>
        <w:jc w:val="both"/>
        <w:rPr>
          <w:rFonts w:cs="Arial"/>
          <w:color w:val="000000"/>
          <w:sz w:val="22"/>
          <w:szCs w:val="22"/>
        </w:rPr>
      </w:pPr>
      <w:r w:rsidRPr="000F166D">
        <w:rPr>
          <w:rFonts w:eastAsia="Calibri" w:cs="Arial"/>
          <w:color w:val="000000"/>
          <w:sz w:val="22"/>
          <w:szCs w:val="22"/>
        </w:rPr>
        <w:t xml:space="preserve">Naloge Usmerjevalnega odbora so opredeljene v </w:t>
      </w:r>
      <w:r w:rsidRPr="000F166D">
        <w:rPr>
          <w:rFonts w:cs="Arial"/>
          <w:sz w:val="22"/>
          <w:szCs w:val="22"/>
        </w:rPr>
        <w:t xml:space="preserve">Uredbi o porabi sredstev evropske kohezijske politike v Republiki Sloveniji v programskem obdobju 2014-2020 za cilj naložbe za rast in delovna mesta ter so navedene v uvodnem poglavju Ključnih elementov FI. </w:t>
      </w:r>
      <w:r w:rsidRPr="000F166D">
        <w:rPr>
          <w:rFonts w:cs="Arial"/>
          <w:color w:val="000000"/>
          <w:sz w:val="22"/>
          <w:szCs w:val="22"/>
        </w:rPr>
        <w:t>Skladno s to uredbo deluje usmerjevalni odbor kot posvetovalni organ posredniškega organa, pristojnega za izvajanje finančnih instrumentov, h katerim prispevajo evropski strukturni in investicijski skladi, glede:</w:t>
      </w:r>
    </w:p>
    <w:p w14:paraId="10745DCB" w14:textId="77777777" w:rsidR="004912DC" w:rsidRPr="000F166D" w:rsidRDefault="004912DC" w:rsidP="004912DC">
      <w:pPr>
        <w:numPr>
          <w:ilvl w:val="0"/>
          <w:numId w:val="13"/>
        </w:numPr>
        <w:autoSpaceDE w:val="0"/>
        <w:autoSpaceDN w:val="0"/>
        <w:adjustRightInd w:val="0"/>
        <w:spacing w:line="240" w:lineRule="auto"/>
        <w:jc w:val="both"/>
        <w:rPr>
          <w:rFonts w:eastAsia="Calibri" w:cs="Arial"/>
          <w:color w:val="000000"/>
          <w:sz w:val="22"/>
          <w:szCs w:val="22"/>
        </w:rPr>
      </w:pPr>
      <w:r w:rsidRPr="000F166D">
        <w:rPr>
          <w:rFonts w:eastAsia="Calibri" w:cs="Arial"/>
          <w:color w:val="000000"/>
          <w:sz w:val="22"/>
          <w:szCs w:val="22"/>
        </w:rPr>
        <w:t>priprave ključnih elementov finančnih instrumentov v skladu s predpisi, ki urejajo javne finance,</w:t>
      </w:r>
    </w:p>
    <w:p w14:paraId="5B3EEAD8" w14:textId="77777777" w:rsidR="004912DC" w:rsidRPr="000F166D" w:rsidRDefault="004912DC" w:rsidP="004912DC">
      <w:pPr>
        <w:numPr>
          <w:ilvl w:val="0"/>
          <w:numId w:val="13"/>
        </w:numPr>
        <w:autoSpaceDE w:val="0"/>
        <w:autoSpaceDN w:val="0"/>
        <w:adjustRightInd w:val="0"/>
        <w:spacing w:line="240" w:lineRule="auto"/>
        <w:jc w:val="both"/>
        <w:rPr>
          <w:rFonts w:eastAsia="Calibri" w:cs="Arial"/>
          <w:color w:val="000000"/>
          <w:sz w:val="22"/>
          <w:szCs w:val="22"/>
        </w:rPr>
      </w:pPr>
      <w:r w:rsidRPr="000F166D">
        <w:rPr>
          <w:rFonts w:eastAsia="Calibri" w:cs="Arial"/>
          <w:color w:val="000000"/>
          <w:sz w:val="22"/>
          <w:szCs w:val="22"/>
        </w:rPr>
        <w:t>priprave naložbene strategije,</w:t>
      </w:r>
    </w:p>
    <w:p w14:paraId="17C43FDB" w14:textId="77777777" w:rsidR="004912DC" w:rsidRPr="000F166D" w:rsidRDefault="004912DC" w:rsidP="004912DC">
      <w:pPr>
        <w:numPr>
          <w:ilvl w:val="0"/>
          <w:numId w:val="13"/>
        </w:numPr>
        <w:autoSpaceDE w:val="0"/>
        <w:autoSpaceDN w:val="0"/>
        <w:adjustRightInd w:val="0"/>
        <w:spacing w:line="240" w:lineRule="auto"/>
        <w:jc w:val="both"/>
        <w:rPr>
          <w:rFonts w:eastAsia="Calibri" w:cs="Arial"/>
          <w:color w:val="000000"/>
          <w:sz w:val="22"/>
          <w:szCs w:val="22"/>
        </w:rPr>
      </w:pPr>
      <w:r w:rsidRPr="000F166D">
        <w:rPr>
          <w:rFonts w:eastAsia="Calibri" w:cs="Arial"/>
          <w:color w:val="000000"/>
          <w:sz w:val="22"/>
          <w:szCs w:val="22"/>
        </w:rPr>
        <w:t>priprave predloga izvedbenega načrta,</w:t>
      </w:r>
    </w:p>
    <w:p w14:paraId="5ED270CD" w14:textId="77777777" w:rsidR="004912DC" w:rsidRPr="000F166D" w:rsidRDefault="004912DC" w:rsidP="004912DC">
      <w:pPr>
        <w:numPr>
          <w:ilvl w:val="0"/>
          <w:numId w:val="13"/>
        </w:numPr>
        <w:autoSpaceDE w:val="0"/>
        <w:autoSpaceDN w:val="0"/>
        <w:adjustRightInd w:val="0"/>
        <w:spacing w:line="240" w:lineRule="auto"/>
        <w:jc w:val="both"/>
        <w:rPr>
          <w:rFonts w:eastAsia="Calibri" w:cs="Arial"/>
          <w:color w:val="000000"/>
          <w:sz w:val="22"/>
          <w:szCs w:val="22"/>
        </w:rPr>
      </w:pPr>
      <w:r w:rsidRPr="000F166D">
        <w:rPr>
          <w:rFonts w:eastAsia="Calibri" w:cs="Arial"/>
          <w:color w:val="000000"/>
          <w:sz w:val="22"/>
          <w:szCs w:val="22"/>
        </w:rPr>
        <w:t>priprave predloga za izbor operacij in izvajalca sklada skladov</w:t>
      </w:r>
    </w:p>
    <w:p w14:paraId="4A3E43CF" w14:textId="77777777" w:rsidR="004912DC" w:rsidRPr="000F166D" w:rsidRDefault="004912DC" w:rsidP="004912DC">
      <w:pPr>
        <w:jc w:val="both"/>
        <w:rPr>
          <w:rFonts w:cs="Arial"/>
          <w:sz w:val="22"/>
          <w:szCs w:val="22"/>
        </w:rPr>
      </w:pPr>
    </w:p>
    <w:p w14:paraId="51BC4626" w14:textId="77777777" w:rsidR="004912DC" w:rsidRPr="000F166D" w:rsidRDefault="004912DC" w:rsidP="004912DC">
      <w:pPr>
        <w:jc w:val="both"/>
        <w:rPr>
          <w:rFonts w:cs="Arial"/>
          <w:sz w:val="22"/>
          <w:szCs w:val="22"/>
        </w:rPr>
      </w:pPr>
      <w:r w:rsidRPr="000F166D">
        <w:rPr>
          <w:rFonts w:cs="Arial"/>
          <w:sz w:val="22"/>
          <w:szCs w:val="22"/>
        </w:rPr>
        <w:t>Usmerjevalni odbor spremlja izvajanje FI prek četrtletnih, polletnih in letnih poročil o napredku izvajanja, skladno s cilji OP 2014 – 2020 in naložbeno strategijo ter zavzema stališča do doseženih ciljev. Po potrebi izdaja splošna priporočila pristojnemu posredniškemu organu predvsem glede porabe sredstev namenjenih FI, ter obravnava spremembe operacije ter daje priporočila in predloge PO za primer, ko operacija ne dosega zastavljenih ciljev. PO priporočila in predloge preuči in se nanje ustrezno odzove.</w:t>
      </w:r>
    </w:p>
    <w:p w14:paraId="3EDBF380" w14:textId="77777777" w:rsidR="004912DC" w:rsidRPr="000F166D" w:rsidRDefault="004912DC" w:rsidP="004912DC">
      <w:pPr>
        <w:jc w:val="both"/>
        <w:rPr>
          <w:rFonts w:cs="Arial"/>
          <w:sz w:val="22"/>
        </w:rPr>
      </w:pPr>
      <w:r w:rsidRPr="000F166D">
        <w:rPr>
          <w:rFonts w:cs="Arial"/>
          <w:sz w:val="22"/>
        </w:rPr>
        <w:t xml:space="preserve"> </w:t>
      </w:r>
    </w:p>
    <w:p w14:paraId="17194B39" w14:textId="77777777" w:rsidR="004912DC" w:rsidRPr="000F166D" w:rsidRDefault="004912DC" w:rsidP="004912DC">
      <w:pPr>
        <w:keepNext/>
        <w:keepLines/>
        <w:spacing w:before="40"/>
        <w:jc w:val="both"/>
        <w:outlineLvl w:val="2"/>
        <w:rPr>
          <w:rFonts w:eastAsia="Calibri" w:cs="Arial"/>
          <w:b/>
          <w:color w:val="1F4D78"/>
          <w:sz w:val="28"/>
          <w:szCs w:val="28"/>
        </w:rPr>
      </w:pPr>
      <w:bookmarkStart w:id="75" w:name="_Toc54857918"/>
      <w:r w:rsidRPr="000F166D">
        <w:rPr>
          <w:rFonts w:eastAsia="Calibri" w:cs="Arial"/>
          <w:b/>
          <w:color w:val="1F4D78"/>
          <w:sz w:val="28"/>
          <w:szCs w:val="28"/>
        </w:rPr>
        <w:t>3.2 Načrtovani finančni produkti in ciljne skupine</w:t>
      </w:r>
      <w:bookmarkEnd w:id="75"/>
    </w:p>
    <w:p w14:paraId="40677564" w14:textId="77777777" w:rsidR="004912DC" w:rsidRPr="000F166D" w:rsidRDefault="004912DC" w:rsidP="004912DC">
      <w:pPr>
        <w:autoSpaceDE w:val="0"/>
        <w:autoSpaceDN w:val="0"/>
        <w:adjustRightInd w:val="0"/>
        <w:jc w:val="both"/>
        <w:rPr>
          <w:rFonts w:eastAsia="Calibri" w:cs="Arial"/>
          <w:color w:val="000000"/>
          <w:sz w:val="22"/>
        </w:rPr>
      </w:pPr>
    </w:p>
    <w:p w14:paraId="5C0F5332" w14:textId="77777777" w:rsidR="004912DC" w:rsidRPr="000F166D" w:rsidRDefault="004912DC" w:rsidP="004912DC">
      <w:pPr>
        <w:autoSpaceDE w:val="0"/>
        <w:autoSpaceDN w:val="0"/>
        <w:adjustRightInd w:val="0"/>
        <w:jc w:val="both"/>
        <w:rPr>
          <w:rFonts w:cs="Arial"/>
          <w:sz w:val="22"/>
          <w:szCs w:val="22"/>
        </w:rPr>
      </w:pPr>
      <w:r w:rsidRPr="000F166D">
        <w:rPr>
          <w:rFonts w:eastAsia="Calibri" w:cs="Arial"/>
          <w:color w:val="000000"/>
          <w:sz w:val="22"/>
          <w:szCs w:val="22"/>
        </w:rPr>
        <w:t xml:space="preserve">Ob upoštevanju izsledkov </w:t>
      </w:r>
      <w:r w:rsidRPr="000F166D">
        <w:rPr>
          <w:rFonts w:cs="Arial"/>
          <w:sz w:val="22"/>
          <w:szCs w:val="22"/>
        </w:rPr>
        <w:t>Predhodne ocene FI, Analize EIB in potreb na trgu so predlagani naslednji finančni produkti:</w:t>
      </w:r>
    </w:p>
    <w:p w14:paraId="52F78525" w14:textId="77777777" w:rsidR="004912DC" w:rsidRPr="000F166D" w:rsidRDefault="004912DC" w:rsidP="004912DC">
      <w:pPr>
        <w:autoSpaceDE w:val="0"/>
        <w:autoSpaceDN w:val="0"/>
        <w:adjustRightInd w:val="0"/>
        <w:jc w:val="both"/>
        <w:rPr>
          <w:rFonts w:cs="Arial"/>
          <w:sz w:val="22"/>
          <w:szCs w:val="22"/>
        </w:rPr>
      </w:pPr>
    </w:p>
    <w:p w14:paraId="7CBBD06D" w14:textId="77777777" w:rsidR="004912DC" w:rsidRPr="000F166D" w:rsidRDefault="004912DC" w:rsidP="004912DC">
      <w:pPr>
        <w:numPr>
          <w:ilvl w:val="0"/>
          <w:numId w:val="15"/>
        </w:numPr>
        <w:autoSpaceDE w:val="0"/>
        <w:autoSpaceDN w:val="0"/>
        <w:adjustRightInd w:val="0"/>
        <w:spacing w:line="240" w:lineRule="auto"/>
        <w:jc w:val="both"/>
        <w:rPr>
          <w:rFonts w:eastAsia="Calibri" w:cs="Arial"/>
          <w:color w:val="000000"/>
          <w:sz w:val="22"/>
          <w:szCs w:val="22"/>
        </w:rPr>
      </w:pPr>
      <w:r w:rsidRPr="000F166D">
        <w:rPr>
          <w:rFonts w:eastAsia="Calibri" w:cs="Arial"/>
          <w:color w:val="000000"/>
          <w:sz w:val="22"/>
          <w:szCs w:val="22"/>
        </w:rPr>
        <w:t xml:space="preserve">Finančni instrument </w:t>
      </w:r>
      <w:r w:rsidRPr="000F166D">
        <w:rPr>
          <w:rFonts w:eastAsia="Calibri" w:cs="Arial"/>
          <w:b/>
          <w:color w:val="000000"/>
          <w:sz w:val="22"/>
          <w:szCs w:val="22"/>
        </w:rPr>
        <w:t xml:space="preserve">za RRI </w:t>
      </w:r>
      <w:r w:rsidRPr="000F166D">
        <w:rPr>
          <w:rFonts w:eastAsia="Calibri" w:cs="Arial"/>
          <w:color w:val="000000"/>
          <w:sz w:val="22"/>
          <w:szCs w:val="22"/>
        </w:rPr>
        <w:t>iz TC 1 vključujejo:</w:t>
      </w:r>
    </w:p>
    <w:p w14:paraId="4C37ECB1" w14:textId="77777777" w:rsidR="004912DC" w:rsidRPr="000F166D" w:rsidRDefault="004912DC" w:rsidP="004912DC">
      <w:pPr>
        <w:numPr>
          <w:ilvl w:val="0"/>
          <w:numId w:val="13"/>
        </w:numPr>
        <w:autoSpaceDE w:val="0"/>
        <w:autoSpaceDN w:val="0"/>
        <w:adjustRightInd w:val="0"/>
        <w:spacing w:line="240" w:lineRule="auto"/>
        <w:jc w:val="both"/>
        <w:rPr>
          <w:rFonts w:eastAsia="Calibri" w:cs="Arial"/>
          <w:color w:val="000000"/>
          <w:sz w:val="22"/>
          <w:szCs w:val="22"/>
        </w:rPr>
      </w:pPr>
      <w:r w:rsidRPr="000F166D">
        <w:rPr>
          <w:rFonts w:eastAsia="Calibri" w:cs="Arial"/>
          <w:color w:val="000000"/>
          <w:sz w:val="22"/>
          <w:szCs w:val="22"/>
        </w:rPr>
        <w:t>krediti podjetjem vseh velikosti,</w:t>
      </w:r>
    </w:p>
    <w:p w14:paraId="18802F53" w14:textId="77777777" w:rsidR="004912DC" w:rsidRPr="000F166D" w:rsidRDefault="004912DC" w:rsidP="004912DC">
      <w:pPr>
        <w:numPr>
          <w:ilvl w:val="0"/>
          <w:numId w:val="13"/>
        </w:numPr>
        <w:autoSpaceDE w:val="0"/>
        <w:autoSpaceDN w:val="0"/>
        <w:adjustRightInd w:val="0"/>
        <w:spacing w:line="240" w:lineRule="auto"/>
        <w:jc w:val="both"/>
        <w:rPr>
          <w:rFonts w:eastAsia="Calibri" w:cs="Arial"/>
          <w:color w:val="000000"/>
          <w:sz w:val="22"/>
          <w:szCs w:val="22"/>
        </w:rPr>
      </w:pPr>
      <w:r w:rsidRPr="000F166D">
        <w:rPr>
          <w:rFonts w:eastAsia="Calibri" w:cs="Arial"/>
          <w:color w:val="000000"/>
          <w:sz w:val="22"/>
          <w:szCs w:val="22"/>
        </w:rPr>
        <w:t xml:space="preserve">portfeljske garancije finančnim </w:t>
      </w:r>
      <w:r>
        <w:rPr>
          <w:rFonts w:eastAsia="Calibri" w:cs="Arial"/>
          <w:color w:val="000000"/>
          <w:sz w:val="22"/>
          <w:szCs w:val="22"/>
        </w:rPr>
        <w:t>institucijam</w:t>
      </w:r>
      <w:r w:rsidRPr="000F166D">
        <w:rPr>
          <w:rFonts w:eastAsia="Calibri" w:cs="Arial"/>
          <w:color w:val="000000"/>
          <w:sz w:val="22"/>
          <w:szCs w:val="22"/>
        </w:rPr>
        <w:t xml:space="preserve"> za financiranje </w:t>
      </w:r>
      <w:r>
        <w:rPr>
          <w:rFonts w:eastAsia="Calibri" w:cs="Arial"/>
          <w:color w:val="000000"/>
          <w:sz w:val="22"/>
          <w:szCs w:val="22"/>
        </w:rPr>
        <w:t>RRI v MSP</w:t>
      </w:r>
      <w:r w:rsidRPr="000F166D">
        <w:rPr>
          <w:rFonts w:eastAsia="Calibri" w:cs="Arial"/>
          <w:color w:val="000000"/>
          <w:sz w:val="22"/>
          <w:szCs w:val="22"/>
        </w:rPr>
        <w:t>.</w:t>
      </w:r>
    </w:p>
    <w:p w14:paraId="08A441A5" w14:textId="77777777" w:rsidR="004912DC" w:rsidRPr="000F166D" w:rsidRDefault="004912DC" w:rsidP="004912DC">
      <w:pPr>
        <w:autoSpaceDE w:val="0"/>
        <w:autoSpaceDN w:val="0"/>
        <w:adjustRightInd w:val="0"/>
        <w:ind w:left="720"/>
        <w:jc w:val="both"/>
        <w:rPr>
          <w:rFonts w:eastAsia="Calibri" w:cs="Arial"/>
          <w:color w:val="000000"/>
          <w:sz w:val="22"/>
          <w:szCs w:val="22"/>
        </w:rPr>
      </w:pPr>
    </w:p>
    <w:p w14:paraId="20771D27" w14:textId="77777777" w:rsidR="004912DC" w:rsidRPr="000F166D" w:rsidRDefault="004912DC" w:rsidP="004912DC">
      <w:pPr>
        <w:numPr>
          <w:ilvl w:val="0"/>
          <w:numId w:val="15"/>
        </w:numPr>
        <w:autoSpaceDE w:val="0"/>
        <w:autoSpaceDN w:val="0"/>
        <w:adjustRightInd w:val="0"/>
        <w:spacing w:line="240" w:lineRule="auto"/>
        <w:jc w:val="both"/>
        <w:rPr>
          <w:rFonts w:eastAsia="Calibri" w:cs="Arial"/>
          <w:color w:val="000000"/>
          <w:sz w:val="22"/>
          <w:szCs w:val="22"/>
        </w:rPr>
      </w:pPr>
      <w:r w:rsidRPr="000F166D">
        <w:rPr>
          <w:rFonts w:eastAsia="Calibri" w:cs="Arial"/>
          <w:color w:val="000000"/>
          <w:sz w:val="22"/>
          <w:szCs w:val="22"/>
        </w:rPr>
        <w:t xml:space="preserve">Finančni instrumenti </w:t>
      </w:r>
      <w:r w:rsidRPr="000F166D">
        <w:rPr>
          <w:rFonts w:eastAsia="Calibri" w:cs="Arial"/>
          <w:b/>
          <w:color w:val="000000"/>
          <w:sz w:val="22"/>
          <w:szCs w:val="22"/>
        </w:rPr>
        <w:t>za MSP</w:t>
      </w:r>
      <w:r w:rsidRPr="000F166D">
        <w:rPr>
          <w:rFonts w:eastAsia="Calibri" w:cs="Arial"/>
          <w:color w:val="000000"/>
          <w:sz w:val="22"/>
          <w:szCs w:val="22"/>
        </w:rPr>
        <w:t xml:space="preserve"> iz TC 3 vključujejo:</w:t>
      </w:r>
    </w:p>
    <w:p w14:paraId="14A61C37" w14:textId="77777777" w:rsidR="004912DC" w:rsidRPr="000F166D" w:rsidRDefault="004912DC" w:rsidP="004912DC">
      <w:pPr>
        <w:numPr>
          <w:ilvl w:val="0"/>
          <w:numId w:val="13"/>
        </w:numPr>
        <w:autoSpaceDE w:val="0"/>
        <w:autoSpaceDN w:val="0"/>
        <w:adjustRightInd w:val="0"/>
        <w:spacing w:line="240" w:lineRule="auto"/>
        <w:jc w:val="both"/>
        <w:rPr>
          <w:rFonts w:eastAsia="Calibri" w:cs="Arial"/>
          <w:color w:val="000000"/>
          <w:sz w:val="22"/>
          <w:szCs w:val="22"/>
        </w:rPr>
      </w:pPr>
      <w:r w:rsidRPr="000F166D">
        <w:rPr>
          <w:rFonts w:eastAsia="Calibri" w:cs="Arial"/>
          <w:color w:val="000000"/>
          <w:sz w:val="22"/>
          <w:szCs w:val="22"/>
        </w:rPr>
        <w:t xml:space="preserve">portfeljske garancije finančnim </w:t>
      </w:r>
      <w:r>
        <w:rPr>
          <w:rFonts w:eastAsia="Calibri" w:cs="Arial"/>
          <w:color w:val="000000"/>
          <w:sz w:val="22"/>
          <w:szCs w:val="22"/>
        </w:rPr>
        <w:t>institucijam</w:t>
      </w:r>
      <w:r w:rsidRPr="000F166D">
        <w:rPr>
          <w:rFonts w:eastAsia="Calibri" w:cs="Arial"/>
          <w:color w:val="000000"/>
          <w:sz w:val="22"/>
          <w:szCs w:val="22"/>
        </w:rPr>
        <w:t xml:space="preserve"> za financiranje MSP,</w:t>
      </w:r>
    </w:p>
    <w:p w14:paraId="4395228D" w14:textId="77777777" w:rsidR="004912DC" w:rsidRPr="000F166D" w:rsidRDefault="004912DC" w:rsidP="004912DC">
      <w:pPr>
        <w:numPr>
          <w:ilvl w:val="0"/>
          <w:numId w:val="13"/>
        </w:numPr>
        <w:autoSpaceDE w:val="0"/>
        <w:autoSpaceDN w:val="0"/>
        <w:adjustRightInd w:val="0"/>
        <w:spacing w:line="240" w:lineRule="auto"/>
        <w:jc w:val="both"/>
        <w:rPr>
          <w:rFonts w:eastAsia="Calibri" w:cs="Arial"/>
          <w:color w:val="000000"/>
          <w:sz w:val="22"/>
          <w:szCs w:val="22"/>
        </w:rPr>
      </w:pPr>
      <w:r w:rsidRPr="000F166D">
        <w:rPr>
          <w:rFonts w:eastAsia="Calibri" w:cs="Arial"/>
          <w:color w:val="000000"/>
          <w:sz w:val="22"/>
          <w:szCs w:val="22"/>
        </w:rPr>
        <w:t>mikrokrediti mikro in malim podjetjem in samostojnim podjetnikom (do 25.000 EUR),</w:t>
      </w:r>
    </w:p>
    <w:p w14:paraId="4B5B5A62" w14:textId="77777777" w:rsidR="004912DC" w:rsidRPr="000F166D" w:rsidRDefault="004912DC" w:rsidP="004912DC">
      <w:pPr>
        <w:numPr>
          <w:ilvl w:val="0"/>
          <w:numId w:val="13"/>
        </w:numPr>
        <w:autoSpaceDE w:val="0"/>
        <w:autoSpaceDN w:val="0"/>
        <w:adjustRightInd w:val="0"/>
        <w:spacing w:line="240" w:lineRule="auto"/>
        <w:jc w:val="both"/>
        <w:rPr>
          <w:rFonts w:eastAsia="Calibri" w:cs="Arial"/>
          <w:color w:val="000000"/>
          <w:sz w:val="22"/>
          <w:szCs w:val="22"/>
        </w:rPr>
      </w:pPr>
      <w:r w:rsidRPr="000F166D">
        <w:rPr>
          <w:rFonts w:eastAsia="Calibri" w:cs="Arial"/>
          <w:color w:val="000000"/>
          <w:sz w:val="22"/>
          <w:szCs w:val="22"/>
        </w:rPr>
        <w:t>lastniško in/ali kvazi-lastniško financiranje MSP.</w:t>
      </w:r>
    </w:p>
    <w:p w14:paraId="0AA72F4E" w14:textId="77777777" w:rsidR="004912DC" w:rsidRPr="000F166D" w:rsidRDefault="004912DC" w:rsidP="004912DC">
      <w:pPr>
        <w:autoSpaceDE w:val="0"/>
        <w:autoSpaceDN w:val="0"/>
        <w:adjustRightInd w:val="0"/>
        <w:jc w:val="both"/>
        <w:rPr>
          <w:rFonts w:eastAsia="Calibri" w:cs="Arial"/>
          <w:color w:val="000000"/>
          <w:sz w:val="22"/>
          <w:szCs w:val="22"/>
        </w:rPr>
      </w:pPr>
    </w:p>
    <w:p w14:paraId="4ACE84AC" w14:textId="77777777" w:rsidR="004912DC" w:rsidRPr="000F166D" w:rsidRDefault="004912DC" w:rsidP="004912DC">
      <w:pPr>
        <w:numPr>
          <w:ilvl w:val="0"/>
          <w:numId w:val="15"/>
        </w:numPr>
        <w:autoSpaceDE w:val="0"/>
        <w:autoSpaceDN w:val="0"/>
        <w:adjustRightInd w:val="0"/>
        <w:spacing w:line="240" w:lineRule="auto"/>
        <w:jc w:val="both"/>
        <w:rPr>
          <w:rFonts w:eastAsia="Calibri" w:cs="Arial"/>
          <w:color w:val="000000"/>
          <w:sz w:val="22"/>
          <w:szCs w:val="22"/>
        </w:rPr>
      </w:pPr>
      <w:r w:rsidRPr="000F166D">
        <w:rPr>
          <w:rFonts w:eastAsia="Calibri" w:cs="Arial"/>
          <w:color w:val="000000"/>
          <w:sz w:val="22"/>
          <w:szCs w:val="22"/>
        </w:rPr>
        <w:t xml:space="preserve">Finančni instrumenti </w:t>
      </w:r>
      <w:r w:rsidRPr="000F166D">
        <w:rPr>
          <w:rFonts w:eastAsia="Calibri" w:cs="Arial"/>
          <w:b/>
          <w:color w:val="000000"/>
          <w:sz w:val="22"/>
          <w:szCs w:val="22"/>
        </w:rPr>
        <w:t>za energetsko učinkovitost</w:t>
      </w:r>
      <w:r w:rsidRPr="000F166D">
        <w:rPr>
          <w:rFonts w:eastAsia="Calibri" w:cs="Arial"/>
          <w:color w:val="000000"/>
          <w:sz w:val="22"/>
          <w:szCs w:val="22"/>
        </w:rPr>
        <w:t xml:space="preserve"> iz TC 4 vključujejo:</w:t>
      </w:r>
    </w:p>
    <w:p w14:paraId="6FC4A34E" w14:textId="77777777" w:rsidR="004912DC" w:rsidRPr="000F166D" w:rsidRDefault="004912DC" w:rsidP="004912DC">
      <w:pPr>
        <w:numPr>
          <w:ilvl w:val="0"/>
          <w:numId w:val="13"/>
        </w:numPr>
        <w:autoSpaceDE w:val="0"/>
        <w:autoSpaceDN w:val="0"/>
        <w:adjustRightInd w:val="0"/>
        <w:spacing w:line="240" w:lineRule="auto"/>
        <w:jc w:val="both"/>
        <w:rPr>
          <w:rFonts w:eastAsia="Calibri" w:cs="Arial"/>
          <w:color w:val="000000"/>
          <w:sz w:val="22"/>
          <w:szCs w:val="22"/>
        </w:rPr>
      </w:pPr>
      <w:r w:rsidRPr="000F166D">
        <w:rPr>
          <w:rFonts w:eastAsia="Calibri" w:cs="Arial"/>
          <w:color w:val="000000"/>
          <w:sz w:val="22"/>
          <w:szCs w:val="22"/>
        </w:rPr>
        <w:t>Posojila javnim partnerjem za celovito energetsko prenovo javnih stavb,</w:t>
      </w:r>
    </w:p>
    <w:p w14:paraId="65B9EBF5" w14:textId="77777777" w:rsidR="004912DC" w:rsidRPr="000F166D" w:rsidRDefault="004912DC" w:rsidP="004912DC">
      <w:pPr>
        <w:numPr>
          <w:ilvl w:val="0"/>
          <w:numId w:val="13"/>
        </w:numPr>
        <w:autoSpaceDE w:val="0"/>
        <w:autoSpaceDN w:val="0"/>
        <w:adjustRightInd w:val="0"/>
        <w:spacing w:line="240" w:lineRule="auto"/>
        <w:jc w:val="both"/>
        <w:rPr>
          <w:rFonts w:eastAsia="Calibri" w:cs="Arial"/>
          <w:color w:val="000000"/>
          <w:sz w:val="22"/>
          <w:szCs w:val="22"/>
        </w:rPr>
      </w:pPr>
      <w:r w:rsidRPr="000F166D">
        <w:rPr>
          <w:rFonts w:eastAsia="Calibri" w:cs="Arial"/>
          <w:color w:val="000000"/>
          <w:sz w:val="22"/>
          <w:szCs w:val="22"/>
        </w:rPr>
        <w:t>posojila ESCO podjetjem za celovito energetsko prenovo javnih stavb,</w:t>
      </w:r>
    </w:p>
    <w:p w14:paraId="289E0353" w14:textId="77777777" w:rsidR="004912DC" w:rsidRPr="000F166D" w:rsidRDefault="004912DC" w:rsidP="004912DC">
      <w:pPr>
        <w:numPr>
          <w:ilvl w:val="0"/>
          <w:numId w:val="13"/>
        </w:numPr>
        <w:autoSpaceDE w:val="0"/>
        <w:autoSpaceDN w:val="0"/>
        <w:adjustRightInd w:val="0"/>
        <w:spacing w:line="240" w:lineRule="auto"/>
        <w:jc w:val="both"/>
        <w:rPr>
          <w:rFonts w:eastAsia="Calibri" w:cs="Arial"/>
          <w:color w:val="000000"/>
          <w:sz w:val="22"/>
          <w:szCs w:val="22"/>
        </w:rPr>
      </w:pPr>
      <w:r w:rsidRPr="000F166D">
        <w:rPr>
          <w:rFonts w:eastAsia="Calibri" w:cs="Arial"/>
          <w:color w:val="000000"/>
          <w:sz w:val="22"/>
          <w:szCs w:val="22"/>
        </w:rPr>
        <w:t>garancijske sheme,</w:t>
      </w:r>
    </w:p>
    <w:p w14:paraId="50F26184" w14:textId="77777777" w:rsidR="004912DC" w:rsidRPr="000F166D" w:rsidRDefault="004912DC" w:rsidP="004912DC">
      <w:pPr>
        <w:numPr>
          <w:ilvl w:val="0"/>
          <w:numId w:val="13"/>
        </w:numPr>
        <w:autoSpaceDE w:val="0"/>
        <w:autoSpaceDN w:val="0"/>
        <w:adjustRightInd w:val="0"/>
        <w:spacing w:line="240" w:lineRule="auto"/>
        <w:jc w:val="both"/>
        <w:rPr>
          <w:rFonts w:eastAsia="Calibri" w:cs="Arial"/>
          <w:color w:val="000000"/>
          <w:sz w:val="22"/>
          <w:szCs w:val="22"/>
        </w:rPr>
      </w:pPr>
      <w:r w:rsidRPr="000F166D">
        <w:rPr>
          <w:rFonts w:eastAsia="Calibri" w:cs="Arial"/>
          <w:color w:val="000000"/>
          <w:sz w:val="22"/>
          <w:szCs w:val="22"/>
        </w:rPr>
        <w:t>lastniško financiranje.</w:t>
      </w:r>
    </w:p>
    <w:p w14:paraId="7D93E109" w14:textId="77777777" w:rsidR="004912DC" w:rsidRPr="000F166D" w:rsidRDefault="004912DC" w:rsidP="004912DC">
      <w:pPr>
        <w:autoSpaceDE w:val="0"/>
        <w:autoSpaceDN w:val="0"/>
        <w:adjustRightInd w:val="0"/>
        <w:ind w:left="360"/>
        <w:jc w:val="both"/>
        <w:rPr>
          <w:rFonts w:eastAsia="Calibri" w:cs="Arial"/>
          <w:color w:val="000000"/>
          <w:sz w:val="22"/>
          <w:szCs w:val="22"/>
        </w:rPr>
      </w:pPr>
    </w:p>
    <w:p w14:paraId="2D2D1F8A" w14:textId="77777777" w:rsidR="004912DC" w:rsidRDefault="004912DC" w:rsidP="004912DC">
      <w:pPr>
        <w:autoSpaceDE w:val="0"/>
        <w:autoSpaceDN w:val="0"/>
        <w:adjustRightInd w:val="0"/>
        <w:ind w:left="360"/>
        <w:jc w:val="both"/>
        <w:rPr>
          <w:rFonts w:eastAsia="Calibri" w:cs="Arial"/>
          <w:color w:val="000000"/>
          <w:sz w:val="22"/>
          <w:szCs w:val="22"/>
        </w:rPr>
      </w:pPr>
      <w:r w:rsidRPr="000F166D">
        <w:rPr>
          <w:rFonts w:eastAsia="Calibri" w:cs="Arial"/>
          <w:color w:val="000000"/>
          <w:sz w:val="22"/>
          <w:szCs w:val="22"/>
        </w:rPr>
        <w:t>Po Predhodni oceni finančnih instrumentov v Sloveniji, PwC 2015, so za področje energetske učinkovitosti predvideni vsi našteti finančni produkti. Za samo izvajanje energetskih prenov javnih stavb po EPC modelu (energy performance contracting) se primarno predvideva uporaba finančnega produkta posojil, uporaba ostalih dveh finančnih produktov pa ob upoštevanju omejitev glede javnofinančne stabilnosti.</w:t>
      </w:r>
    </w:p>
    <w:p w14:paraId="371FC1FB" w14:textId="77777777" w:rsidR="004912DC" w:rsidRPr="000F166D" w:rsidRDefault="004912DC" w:rsidP="004912DC">
      <w:pPr>
        <w:autoSpaceDE w:val="0"/>
        <w:autoSpaceDN w:val="0"/>
        <w:adjustRightInd w:val="0"/>
        <w:ind w:left="360"/>
        <w:jc w:val="both"/>
        <w:rPr>
          <w:rFonts w:eastAsia="Calibri" w:cs="Arial"/>
          <w:color w:val="000000"/>
          <w:sz w:val="22"/>
          <w:szCs w:val="22"/>
        </w:rPr>
      </w:pPr>
    </w:p>
    <w:p w14:paraId="586193A6" w14:textId="77777777" w:rsidR="004912DC" w:rsidRPr="000F166D" w:rsidRDefault="004912DC" w:rsidP="004912DC">
      <w:pPr>
        <w:numPr>
          <w:ilvl w:val="0"/>
          <w:numId w:val="15"/>
        </w:numPr>
        <w:autoSpaceDE w:val="0"/>
        <w:autoSpaceDN w:val="0"/>
        <w:adjustRightInd w:val="0"/>
        <w:spacing w:line="240" w:lineRule="auto"/>
        <w:jc w:val="both"/>
        <w:rPr>
          <w:rFonts w:eastAsia="Calibri" w:cs="Arial"/>
          <w:sz w:val="22"/>
          <w:szCs w:val="22"/>
        </w:rPr>
      </w:pPr>
      <w:r w:rsidRPr="000F166D">
        <w:rPr>
          <w:rFonts w:eastAsia="Calibri" w:cs="Arial"/>
          <w:sz w:val="22"/>
          <w:szCs w:val="22"/>
        </w:rPr>
        <w:t xml:space="preserve">Finančni instrument </w:t>
      </w:r>
      <w:r w:rsidRPr="000F166D">
        <w:rPr>
          <w:rFonts w:eastAsia="Calibri" w:cs="Arial"/>
          <w:b/>
          <w:sz w:val="22"/>
          <w:szCs w:val="22"/>
        </w:rPr>
        <w:t>za urbani razvoj</w:t>
      </w:r>
      <w:r w:rsidRPr="000F166D">
        <w:rPr>
          <w:rFonts w:eastAsia="Calibri" w:cs="Arial"/>
          <w:sz w:val="22"/>
          <w:szCs w:val="22"/>
        </w:rPr>
        <w:t xml:space="preserve"> iz TC 6 vključujejo:</w:t>
      </w:r>
    </w:p>
    <w:p w14:paraId="326A1C80" w14:textId="77777777" w:rsidR="004912DC" w:rsidRPr="000F166D" w:rsidRDefault="004912DC" w:rsidP="004912DC">
      <w:pPr>
        <w:autoSpaceDE w:val="0"/>
        <w:autoSpaceDN w:val="0"/>
        <w:adjustRightInd w:val="0"/>
        <w:ind w:left="360"/>
        <w:jc w:val="both"/>
        <w:rPr>
          <w:rFonts w:cs="Arial"/>
          <w:sz w:val="22"/>
          <w:szCs w:val="22"/>
        </w:rPr>
      </w:pPr>
      <w:r w:rsidRPr="000F166D">
        <w:rPr>
          <w:rFonts w:cs="Arial"/>
          <w:sz w:val="22"/>
          <w:szCs w:val="22"/>
        </w:rPr>
        <w:t>Posojila za projekte na področju urbanega razvoja.</w:t>
      </w:r>
      <w:r w:rsidRPr="000F166D">
        <w:rPr>
          <w:rFonts w:cs="Arial"/>
          <w:sz w:val="22"/>
          <w:szCs w:val="22"/>
          <w:vertAlign w:val="superscript"/>
        </w:rPr>
        <w:footnoteReference w:id="8"/>
      </w:r>
    </w:p>
    <w:p w14:paraId="2BD42222" w14:textId="77777777" w:rsidR="004912DC" w:rsidRPr="000F166D" w:rsidRDefault="004912DC" w:rsidP="004912DC">
      <w:pPr>
        <w:jc w:val="both"/>
        <w:rPr>
          <w:rFonts w:cs="Arial"/>
          <w:sz w:val="22"/>
          <w:szCs w:val="22"/>
        </w:rPr>
      </w:pPr>
    </w:p>
    <w:p w14:paraId="042E3EB5" w14:textId="77777777" w:rsidR="004912DC" w:rsidRPr="000F166D" w:rsidRDefault="004912DC" w:rsidP="004912DC">
      <w:pPr>
        <w:jc w:val="both"/>
        <w:rPr>
          <w:rFonts w:eastAsia="Calibri" w:cs="Arial"/>
          <w:iCs/>
          <w:color w:val="000000"/>
          <w:sz w:val="22"/>
          <w:szCs w:val="22"/>
        </w:rPr>
      </w:pPr>
      <w:r w:rsidRPr="000F166D">
        <w:rPr>
          <w:rFonts w:eastAsia="Calibri" w:cs="Arial"/>
          <w:iCs/>
          <w:color w:val="000000"/>
          <w:sz w:val="22"/>
          <w:szCs w:val="22"/>
        </w:rPr>
        <w:t xml:space="preserve">Ponudba FI mora biti za končne prejemnike ugodnejša od tržne za ciljno skupino končnih prejemnikov. </w:t>
      </w:r>
    </w:p>
    <w:p w14:paraId="7D285CBF" w14:textId="77777777" w:rsidR="004912DC" w:rsidRPr="000F166D" w:rsidRDefault="004912DC" w:rsidP="004912DC">
      <w:pPr>
        <w:jc w:val="both"/>
        <w:rPr>
          <w:rFonts w:eastAsia="Calibri" w:cs="Arial"/>
          <w:iCs/>
          <w:color w:val="000000"/>
          <w:sz w:val="22"/>
          <w:szCs w:val="22"/>
        </w:rPr>
      </w:pPr>
    </w:p>
    <w:p w14:paraId="107B1808" w14:textId="77777777" w:rsidR="004912DC" w:rsidRPr="000F166D" w:rsidRDefault="004912DC" w:rsidP="004912DC">
      <w:pPr>
        <w:jc w:val="both"/>
        <w:rPr>
          <w:rFonts w:eastAsia="Calibri" w:cs="Arial"/>
          <w:iCs/>
          <w:color w:val="000000"/>
          <w:sz w:val="22"/>
          <w:szCs w:val="22"/>
        </w:rPr>
      </w:pPr>
      <w:r w:rsidRPr="000F166D">
        <w:rPr>
          <w:rFonts w:eastAsia="Calibri" w:cs="Arial"/>
          <w:iCs/>
          <w:color w:val="000000"/>
          <w:sz w:val="22"/>
          <w:szCs w:val="22"/>
        </w:rPr>
        <w:t>Dejanska izvedba, vsebina in pogoji posameznega finančnega produkta so odvisni od razmer na trgu ter učinkovitosti posameznega finančnega produkta in se bo skladno z določbami iz sporazuma o financiranju sproti prilagajala.</w:t>
      </w:r>
    </w:p>
    <w:p w14:paraId="5D559C22" w14:textId="77777777" w:rsidR="004912DC" w:rsidRPr="000F166D" w:rsidRDefault="004912DC" w:rsidP="004912DC">
      <w:pPr>
        <w:jc w:val="both"/>
        <w:rPr>
          <w:rFonts w:eastAsia="Calibri" w:cs="Arial"/>
          <w:iCs/>
          <w:color w:val="000000"/>
          <w:sz w:val="22"/>
          <w:szCs w:val="22"/>
        </w:rPr>
      </w:pPr>
    </w:p>
    <w:p w14:paraId="3853AB27" w14:textId="77777777" w:rsidR="004912DC" w:rsidRPr="000F166D" w:rsidRDefault="004912DC" w:rsidP="004912DC">
      <w:pPr>
        <w:jc w:val="both"/>
        <w:rPr>
          <w:rFonts w:eastAsia="Calibri" w:cs="Arial"/>
          <w:iCs/>
          <w:color w:val="000000"/>
          <w:sz w:val="22"/>
          <w:szCs w:val="22"/>
        </w:rPr>
      </w:pPr>
      <w:bookmarkStart w:id="76" w:name="_Toc66786228"/>
      <w:r w:rsidRPr="00A75659">
        <w:rPr>
          <w:rFonts w:cs="Arial"/>
          <w:sz w:val="22"/>
          <w:szCs w:val="22"/>
        </w:rPr>
        <w:t xml:space="preserve">Tabela </w:t>
      </w:r>
      <w:r w:rsidRPr="00A75659">
        <w:rPr>
          <w:rFonts w:cs="Arial"/>
          <w:sz w:val="22"/>
          <w:szCs w:val="22"/>
        </w:rPr>
        <w:fldChar w:fldCharType="begin"/>
      </w:r>
      <w:r w:rsidRPr="00A75659">
        <w:rPr>
          <w:rFonts w:cs="Arial"/>
          <w:sz w:val="22"/>
          <w:szCs w:val="22"/>
        </w:rPr>
        <w:instrText xml:space="preserve"> SEQ Tabela \* ARABIC </w:instrText>
      </w:r>
      <w:r w:rsidRPr="00A75659">
        <w:rPr>
          <w:rFonts w:cs="Arial"/>
          <w:sz w:val="22"/>
          <w:szCs w:val="22"/>
        </w:rPr>
        <w:fldChar w:fldCharType="separate"/>
      </w:r>
      <w:r>
        <w:rPr>
          <w:rFonts w:cs="Arial"/>
          <w:noProof/>
          <w:sz w:val="22"/>
          <w:szCs w:val="22"/>
        </w:rPr>
        <w:t>9</w:t>
      </w:r>
      <w:r w:rsidRPr="00A75659">
        <w:rPr>
          <w:rFonts w:cs="Arial"/>
          <w:sz w:val="22"/>
          <w:szCs w:val="22"/>
        </w:rPr>
        <w:fldChar w:fldCharType="end"/>
      </w:r>
      <w:r w:rsidRPr="00A75659">
        <w:rPr>
          <w:rFonts w:cs="Arial"/>
          <w:sz w:val="22"/>
          <w:szCs w:val="22"/>
        </w:rPr>
        <w:t>:</w:t>
      </w:r>
      <w:r w:rsidRPr="000F166D">
        <w:rPr>
          <w:rFonts w:eastAsia="Calibri" w:cs="Arial"/>
          <w:iCs/>
          <w:color w:val="000000"/>
          <w:sz w:val="22"/>
          <w:szCs w:val="22"/>
        </w:rPr>
        <w:t xml:space="preserve"> Finančni produkti in ciljne skupine povzeti po Predhodni oceni FI in Analizi EIB in s strani ministrstev predlagani finančni produkti z višino sredstev in ciljnimi skupinami</w:t>
      </w:r>
      <w:r w:rsidRPr="000F166D">
        <w:rPr>
          <w:rFonts w:eastAsia="Calibri" w:cs="Arial"/>
          <w:iCs/>
          <w:color w:val="000000"/>
          <w:sz w:val="22"/>
          <w:szCs w:val="22"/>
          <w:vertAlign w:val="superscript"/>
        </w:rPr>
        <w:footnoteReference w:id="9"/>
      </w:r>
      <w:r w:rsidRPr="000F166D">
        <w:rPr>
          <w:rFonts w:eastAsia="Calibri" w:cs="Arial"/>
          <w:iCs/>
          <w:color w:val="000000"/>
          <w:sz w:val="22"/>
          <w:szCs w:val="22"/>
        </w:rPr>
        <w:t>:</w:t>
      </w:r>
      <w:bookmarkEnd w:id="76"/>
    </w:p>
    <w:tbl>
      <w:tblPr>
        <w:tblStyle w:val="Tabelamrea"/>
        <w:tblW w:w="10527" w:type="dxa"/>
        <w:tblLook w:val="04A0" w:firstRow="1" w:lastRow="0" w:firstColumn="1" w:lastColumn="0" w:noHBand="0" w:noVBand="1"/>
      </w:tblPr>
      <w:tblGrid>
        <w:gridCol w:w="1157"/>
        <w:gridCol w:w="1187"/>
        <w:gridCol w:w="1167"/>
        <w:gridCol w:w="1577"/>
        <w:gridCol w:w="1217"/>
        <w:gridCol w:w="1217"/>
        <w:gridCol w:w="1837"/>
        <w:gridCol w:w="1387"/>
      </w:tblGrid>
      <w:tr w:rsidR="004912DC" w:rsidRPr="000F166D" w14:paraId="33969643" w14:textId="77777777" w:rsidTr="00906890">
        <w:trPr>
          <w:trHeight w:val="770"/>
        </w:trPr>
        <w:tc>
          <w:tcPr>
            <w:tcW w:w="1133" w:type="dxa"/>
          </w:tcPr>
          <w:p w14:paraId="7CD9D919" w14:textId="77777777" w:rsidR="004912DC" w:rsidRPr="000F166D" w:rsidRDefault="004912DC" w:rsidP="00906890">
            <w:pPr>
              <w:autoSpaceDE w:val="0"/>
              <w:autoSpaceDN w:val="0"/>
              <w:adjustRightInd w:val="0"/>
              <w:jc w:val="both"/>
              <w:rPr>
                <w:rFonts w:eastAsia="Calibri" w:cs="Arial"/>
                <w:color w:val="000000"/>
                <w:sz w:val="18"/>
                <w:szCs w:val="18"/>
              </w:rPr>
            </w:pPr>
            <w:r w:rsidRPr="000F166D">
              <w:rPr>
                <w:rFonts w:eastAsia="Calibri" w:cs="Arial"/>
                <w:color w:val="000000"/>
                <w:sz w:val="18"/>
                <w:szCs w:val="18"/>
              </w:rPr>
              <w:t>Področje</w:t>
            </w:r>
          </w:p>
        </w:tc>
        <w:tc>
          <w:tcPr>
            <w:tcW w:w="1163" w:type="dxa"/>
          </w:tcPr>
          <w:p w14:paraId="4C6A7D6E" w14:textId="77777777" w:rsidR="004912DC" w:rsidRPr="000F166D" w:rsidRDefault="004912DC" w:rsidP="00906890">
            <w:pPr>
              <w:autoSpaceDE w:val="0"/>
              <w:autoSpaceDN w:val="0"/>
              <w:adjustRightInd w:val="0"/>
              <w:jc w:val="both"/>
              <w:rPr>
                <w:rFonts w:eastAsia="Calibri" w:cs="Arial"/>
                <w:color w:val="000000"/>
                <w:sz w:val="18"/>
                <w:szCs w:val="18"/>
              </w:rPr>
            </w:pPr>
            <w:r w:rsidRPr="000F166D">
              <w:rPr>
                <w:rFonts w:eastAsia="Calibri" w:cs="Arial"/>
                <w:color w:val="000000"/>
                <w:sz w:val="18"/>
                <w:szCs w:val="18"/>
              </w:rPr>
              <w:t>Finančni produkt glede na vrzel financiranja</w:t>
            </w:r>
          </w:p>
        </w:tc>
        <w:tc>
          <w:tcPr>
            <w:tcW w:w="1143" w:type="dxa"/>
          </w:tcPr>
          <w:p w14:paraId="2C5ACDCA" w14:textId="77777777" w:rsidR="004912DC" w:rsidRPr="000F166D" w:rsidRDefault="004912DC" w:rsidP="00906890">
            <w:pPr>
              <w:autoSpaceDE w:val="0"/>
              <w:autoSpaceDN w:val="0"/>
              <w:adjustRightInd w:val="0"/>
              <w:jc w:val="both"/>
              <w:rPr>
                <w:rFonts w:eastAsia="Calibri" w:cs="Arial"/>
                <w:color w:val="000000"/>
                <w:sz w:val="18"/>
                <w:szCs w:val="18"/>
              </w:rPr>
            </w:pPr>
            <w:r w:rsidRPr="000F166D">
              <w:rPr>
                <w:rFonts w:eastAsia="Calibri" w:cs="Arial"/>
                <w:color w:val="000000"/>
                <w:sz w:val="18"/>
                <w:szCs w:val="18"/>
              </w:rPr>
              <w:t>Ugotovljena vrzel financiranja</w:t>
            </w:r>
          </w:p>
          <w:p w14:paraId="32957648" w14:textId="77777777" w:rsidR="004912DC" w:rsidRPr="000F166D" w:rsidRDefault="004912DC" w:rsidP="00906890">
            <w:pPr>
              <w:autoSpaceDE w:val="0"/>
              <w:autoSpaceDN w:val="0"/>
              <w:adjustRightInd w:val="0"/>
              <w:jc w:val="both"/>
              <w:rPr>
                <w:rFonts w:eastAsia="Calibri" w:cs="Arial"/>
                <w:color w:val="000000"/>
                <w:sz w:val="18"/>
                <w:szCs w:val="18"/>
              </w:rPr>
            </w:pPr>
            <w:r w:rsidRPr="000F166D">
              <w:rPr>
                <w:rFonts w:eastAsia="Calibri" w:cs="Arial"/>
                <w:color w:val="000000"/>
                <w:sz w:val="18"/>
                <w:szCs w:val="18"/>
              </w:rPr>
              <w:t>(v MIO EUR)</w:t>
            </w:r>
          </w:p>
        </w:tc>
        <w:tc>
          <w:tcPr>
            <w:tcW w:w="1545" w:type="dxa"/>
            <w:shd w:val="clear" w:color="auto" w:fill="BDD6EE" w:themeFill="accent1" w:themeFillTint="66"/>
          </w:tcPr>
          <w:p w14:paraId="2AE76EF7" w14:textId="77777777" w:rsidR="004912DC" w:rsidRPr="000F166D" w:rsidRDefault="004912DC" w:rsidP="00906890">
            <w:pPr>
              <w:autoSpaceDE w:val="0"/>
              <w:autoSpaceDN w:val="0"/>
              <w:adjustRightInd w:val="0"/>
              <w:jc w:val="both"/>
              <w:rPr>
                <w:rFonts w:eastAsia="Calibri" w:cs="Arial"/>
                <w:color w:val="000000"/>
                <w:sz w:val="18"/>
                <w:szCs w:val="18"/>
              </w:rPr>
            </w:pPr>
            <w:r w:rsidRPr="000F166D">
              <w:rPr>
                <w:rFonts w:eastAsia="Calibri" w:cs="Arial"/>
                <w:color w:val="000000"/>
                <w:sz w:val="18"/>
                <w:szCs w:val="18"/>
              </w:rPr>
              <w:t>Predlagani finančni produkt</w:t>
            </w:r>
          </w:p>
        </w:tc>
        <w:tc>
          <w:tcPr>
            <w:tcW w:w="1192" w:type="dxa"/>
            <w:shd w:val="clear" w:color="auto" w:fill="auto"/>
          </w:tcPr>
          <w:p w14:paraId="0B98C629" w14:textId="77777777" w:rsidR="004912DC" w:rsidRPr="000F166D" w:rsidRDefault="004912DC" w:rsidP="00906890">
            <w:pPr>
              <w:autoSpaceDE w:val="0"/>
              <w:autoSpaceDN w:val="0"/>
              <w:adjustRightInd w:val="0"/>
              <w:jc w:val="both"/>
              <w:rPr>
                <w:rFonts w:eastAsia="Calibri" w:cs="Arial"/>
                <w:color w:val="000000"/>
                <w:sz w:val="18"/>
                <w:szCs w:val="18"/>
              </w:rPr>
            </w:pPr>
            <w:r w:rsidRPr="000F166D">
              <w:rPr>
                <w:rFonts w:eastAsia="Calibri" w:cs="Arial"/>
                <w:color w:val="000000"/>
                <w:sz w:val="18"/>
                <w:szCs w:val="18"/>
              </w:rPr>
              <w:t>Predvidena višina sredstev glede na Predhodno oceno FI</w:t>
            </w:r>
          </w:p>
        </w:tc>
        <w:tc>
          <w:tcPr>
            <w:tcW w:w="1192" w:type="dxa"/>
            <w:shd w:val="clear" w:color="auto" w:fill="BDD6EE" w:themeFill="accent1" w:themeFillTint="66"/>
          </w:tcPr>
          <w:p w14:paraId="7EF6D0DB" w14:textId="77777777" w:rsidR="004912DC" w:rsidRPr="000F166D" w:rsidRDefault="004912DC" w:rsidP="00906890">
            <w:pPr>
              <w:autoSpaceDE w:val="0"/>
              <w:autoSpaceDN w:val="0"/>
              <w:adjustRightInd w:val="0"/>
              <w:jc w:val="both"/>
              <w:rPr>
                <w:rFonts w:eastAsia="Calibri" w:cs="Arial"/>
                <w:color w:val="000000"/>
                <w:sz w:val="18"/>
                <w:szCs w:val="18"/>
              </w:rPr>
            </w:pPr>
            <w:r w:rsidRPr="000F166D">
              <w:rPr>
                <w:rFonts w:eastAsia="Calibri" w:cs="Arial"/>
                <w:color w:val="000000"/>
                <w:sz w:val="18"/>
                <w:szCs w:val="18"/>
              </w:rPr>
              <w:t>Predlagana</w:t>
            </w:r>
          </w:p>
          <w:p w14:paraId="5DB76A14" w14:textId="77777777" w:rsidR="004912DC" w:rsidRPr="000F166D" w:rsidRDefault="004912DC" w:rsidP="00906890">
            <w:pPr>
              <w:autoSpaceDE w:val="0"/>
              <w:autoSpaceDN w:val="0"/>
              <w:adjustRightInd w:val="0"/>
              <w:jc w:val="both"/>
              <w:rPr>
                <w:rFonts w:eastAsia="Calibri" w:cs="Arial"/>
                <w:color w:val="000000"/>
                <w:sz w:val="18"/>
                <w:szCs w:val="18"/>
              </w:rPr>
            </w:pPr>
            <w:r w:rsidRPr="000F166D">
              <w:rPr>
                <w:rFonts w:eastAsia="Calibri" w:cs="Arial"/>
                <w:color w:val="000000"/>
                <w:sz w:val="18"/>
                <w:szCs w:val="18"/>
              </w:rPr>
              <w:t>višina sredstev*</w:t>
            </w:r>
          </w:p>
        </w:tc>
        <w:tc>
          <w:tcPr>
            <w:tcW w:w="1800" w:type="dxa"/>
            <w:shd w:val="clear" w:color="auto" w:fill="auto"/>
          </w:tcPr>
          <w:p w14:paraId="606D594E" w14:textId="77777777" w:rsidR="004912DC" w:rsidRPr="000F166D" w:rsidRDefault="004912DC" w:rsidP="00906890">
            <w:pPr>
              <w:autoSpaceDE w:val="0"/>
              <w:autoSpaceDN w:val="0"/>
              <w:adjustRightInd w:val="0"/>
              <w:jc w:val="both"/>
              <w:rPr>
                <w:rFonts w:eastAsia="Calibri" w:cs="Arial"/>
                <w:color w:val="000000"/>
                <w:sz w:val="18"/>
                <w:szCs w:val="18"/>
              </w:rPr>
            </w:pPr>
            <w:r w:rsidRPr="000F166D">
              <w:rPr>
                <w:rFonts w:eastAsia="Calibri" w:cs="Arial"/>
                <w:color w:val="000000"/>
                <w:sz w:val="18"/>
                <w:szCs w:val="18"/>
              </w:rPr>
              <w:t>Ciljna skupina glede na Predhodno oceno FI</w:t>
            </w:r>
          </w:p>
        </w:tc>
        <w:tc>
          <w:tcPr>
            <w:tcW w:w="1359" w:type="dxa"/>
            <w:shd w:val="clear" w:color="auto" w:fill="BDD6EE" w:themeFill="accent1" w:themeFillTint="66"/>
          </w:tcPr>
          <w:p w14:paraId="5E07EF95" w14:textId="77777777" w:rsidR="004912DC" w:rsidRPr="000F166D" w:rsidRDefault="004912DC" w:rsidP="00906890">
            <w:pPr>
              <w:autoSpaceDE w:val="0"/>
              <w:autoSpaceDN w:val="0"/>
              <w:adjustRightInd w:val="0"/>
              <w:jc w:val="both"/>
              <w:rPr>
                <w:rFonts w:eastAsia="Calibri" w:cs="Arial"/>
                <w:color w:val="000000"/>
                <w:sz w:val="18"/>
                <w:szCs w:val="18"/>
              </w:rPr>
            </w:pPr>
            <w:r w:rsidRPr="000F166D">
              <w:rPr>
                <w:rFonts w:eastAsia="Calibri" w:cs="Arial"/>
                <w:color w:val="000000"/>
                <w:sz w:val="18"/>
                <w:szCs w:val="18"/>
              </w:rPr>
              <w:t>Predlagana</w:t>
            </w:r>
          </w:p>
          <w:p w14:paraId="717F16B2" w14:textId="77777777" w:rsidR="004912DC" w:rsidRPr="000F166D" w:rsidRDefault="004912DC" w:rsidP="00906890">
            <w:pPr>
              <w:autoSpaceDE w:val="0"/>
              <w:autoSpaceDN w:val="0"/>
              <w:adjustRightInd w:val="0"/>
              <w:jc w:val="both"/>
              <w:rPr>
                <w:rFonts w:eastAsia="Calibri" w:cs="Arial"/>
                <w:color w:val="000000"/>
                <w:sz w:val="18"/>
                <w:szCs w:val="18"/>
              </w:rPr>
            </w:pPr>
            <w:r w:rsidRPr="000F166D">
              <w:rPr>
                <w:rFonts w:eastAsia="Calibri" w:cs="Arial"/>
                <w:color w:val="000000"/>
                <w:sz w:val="18"/>
                <w:szCs w:val="18"/>
              </w:rPr>
              <w:t>ciljna skupina</w:t>
            </w:r>
          </w:p>
        </w:tc>
      </w:tr>
      <w:tr w:rsidR="004912DC" w:rsidRPr="000F166D" w14:paraId="4F8ED66F" w14:textId="77777777" w:rsidTr="00906890">
        <w:trPr>
          <w:trHeight w:val="1405"/>
        </w:trPr>
        <w:tc>
          <w:tcPr>
            <w:tcW w:w="1133" w:type="dxa"/>
            <w:vMerge w:val="restart"/>
          </w:tcPr>
          <w:p w14:paraId="330F5BE3" w14:textId="77777777" w:rsidR="004912DC" w:rsidRPr="000F166D" w:rsidRDefault="004912DC" w:rsidP="00906890">
            <w:pPr>
              <w:autoSpaceDE w:val="0"/>
              <w:autoSpaceDN w:val="0"/>
              <w:adjustRightInd w:val="0"/>
              <w:jc w:val="both"/>
              <w:rPr>
                <w:rFonts w:eastAsia="Calibri" w:cs="Arial"/>
                <w:color w:val="000000"/>
                <w:sz w:val="18"/>
                <w:szCs w:val="18"/>
              </w:rPr>
            </w:pPr>
            <w:r w:rsidRPr="000F166D">
              <w:rPr>
                <w:rFonts w:eastAsia="Calibri" w:cs="Arial"/>
                <w:color w:val="000000"/>
                <w:sz w:val="18"/>
                <w:szCs w:val="18"/>
              </w:rPr>
              <w:t>RRI</w:t>
            </w:r>
          </w:p>
        </w:tc>
        <w:tc>
          <w:tcPr>
            <w:tcW w:w="1163" w:type="dxa"/>
          </w:tcPr>
          <w:p w14:paraId="6F44DB3E" w14:textId="77777777" w:rsidR="004912DC" w:rsidRPr="000F166D" w:rsidRDefault="004912DC" w:rsidP="00906890">
            <w:pPr>
              <w:autoSpaceDE w:val="0"/>
              <w:autoSpaceDN w:val="0"/>
              <w:adjustRightInd w:val="0"/>
              <w:jc w:val="both"/>
              <w:rPr>
                <w:rFonts w:eastAsia="Calibri" w:cs="Arial"/>
                <w:color w:val="000000"/>
                <w:sz w:val="18"/>
                <w:szCs w:val="18"/>
              </w:rPr>
            </w:pPr>
            <w:r w:rsidRPr="000F166D">
              <w:rPr>
                <w:rFonts w:eastAsia="Calibri" w:cs="Arial"/>
                <w:color w:val="000000"/>
                <w:sz w:val="18"/>
                <w:szCs w:val="18"/>
              </w:rPr>
              <w:t>Posojila</w:t>
            </w:r>
          </w:p>
        </w:tc>
        <w:tc>
          <w:tcPr>
            <w:tcW w:w="1143" w:type="dxa"/>
          </w:tcPr>
          <w:p w14:paraId="3F9BDA2D" w14:textId="77777777" w:rsidR="004912DC" w:rsidRPr="000F166D" w:rsidRDefault="004912DC" w:rsidP="00906890">
            <w:pPr>
              <w:autoSpaceDE w:val="0"/>
              <w:autoSpaceDN w:val="0"/>
              <w:adjustRightInd w:val="0"/>
              <w:rPr>
                <w:rFonts w:eastAsia="Calibri" w:cs="Arial"/>
                <w:color w:val="000000"/>
                <w:sz w:val="18"/>
                <w:szCs w:val="18"/>
              </w:rPr>
            </w:pPr>
            <w:r w:rsidRPr="000F166D">
              <w:rPr>
                <w:rFonts w:eastAsia="Calibri" w:cs="Arial"/>
                <w:bCs/>
                <w:color w:val="000000"/>
                <w:sz w:val="18"/>
                <w:szCs w:val="18"/>
              </w:rPr>
              <w:t xml:space="preserve">0 – 247 </w:t>
            </w:r>
          </w:p>
          <w:p w14:paraId="590DC58A" w14:textId="77777777" w:rsidR="004912DC" w:rsidRPr="000F166D" w:rsidRDefault="004912DC" w:rsidP="00906890">
            <w:pPr>
              <w:autoSpaceDE w:val="0"/>
              <w:autoSpaceDN w:val="0"/>
              <w:adjustRightInd w:val="0"/>
              <w:jc w:val="both"/>
              <w:rPr>
                <w:rFonts w:eastAsia="Calibri" w:cs="Arial"/>
                <w:color w:val="000000"/>
                <w:sz w:val="18"/>
                <w:szCs w:val="18"/>
              </w:rPr>
            </w:pPr>
          </w:p>
        </w:tc>
        <w:tc>
          <w:tcPr>
            <w:tcW w:w="1545" w:type="dxa"/>
            <w:shd w:val="clear" w:color="auto" w:fill="BDD6EE" w:themeFill="accent1" w:themeFillTint="66"/>
          </w:tcPr>
          <w:p w14:paraId="00602D22" w14:textId="77777777" w:rsidR="004912DC" w:rsidRPr="000F166D" w:rsidRDefault="004912DC" w:rsidP="00906890">
            <w:pPr>
              <w:autoSpaceDE w:val="0"/>
              <w:autoSpaceDN w:val="0"/>
              <w:adjustRightInd w:val="0"/>
              <w:jc w:val="both"/>
              <w:rPr>
                <w:rFonts w:eastAsia="Calibri" w:cs="Arial"/>
                <w:color w:val="000000"/>
                <w:sz w:val="18"/>
                <w:szCs w:val="18"/>
              </w:rPr>
            </w:pPr>
            <w:r w:rsidRPr="000F166D">
              <w:rPr>
                <w:rFonts w:eastAsia="Calibri" w:cs="Arial"/>
                <w:color w:val="000000"/>
                <w:sz w:val="18"/>
                <w:szCs w:val="18"/>
              </w:rPr>
              <w:t>Posojila</w:t>
            </w:r>
          </w:p>
        </w:tc>
        <w:tc>
          <w:tcPr>
            <w:tcW w:w="1192" w:type="dxa"/>
            <w:shd w:val="clear" w:color="auto" w:fill="auto"/>
          </w:tcPr>
          <w:p w14:paraId="04B01758" w14:textId="77777777" w:rsidR="004912DC" w:rsidRPr="000F166D" w:rsidRDefault="004912DC" w:rsidP="00906890">
            <w:pPr>
              <w:autoSpaceDE w:val="0"/>
              <w:autoSpaceDN w:val="0"/>
              <w:adjustRightInd w:val="0"/>
              <w:jc w:val="both"/>
              <w:rPr>
                <w:rFonts w:eastAsia="Calibri" w:cs="Arial"/>
                <w:color w:val="000000"/>
                <w:sz w:val="18"/>
                <w:szCs w:val="18"/>
              </w:rPr>
            </w:pPr>
            <w:r w:rsidRPr="000F166D">
              <w:rPr>
                <w:rFonts w:eastAsia="Calibri" w:cs="Arial"/>
                <w:color w:val="000000"/>
                <w:sz w:val="18"/>
                <w:szCs w:val="18"/>
              </w:rPr>
              <w:t>20 mio EUR (start up, MSP)</w:t>
            </w:r>
          </w:p>
          <w:p w14:paraId="727C41F7" w14:textId="77777777" w:rsidR="004912DC" w:rsidRPr="000F166D" w:rsidRDefault="004912DC" w:rsidP="00906890">
            <w:pPr>
              <w:autoSpaceDE w:val="0"/>
              <w:autoSpaceDN w:val="0"/>
              <w:adjustRightInd w:val="0"/>
              <w:jc w:val="both"/>
              <w:rPr>
                <w:rFonts w:eastAsia="Calibri" w:cs="Arial"/>
                <w:color w:val="000000"/>
                <w:sz w:val="18"/>
                <w:szCs w:val="18"/>
              </w:rPr>
            </w:pPr>
          </w:p>
          <w:p w14:paraId="23FB9562" w14:textId="77777777" w:rsidR="004912DC" w:rsidRPr="000F166D" w:rsidRDefault="004912DC" w:rsidP="00906890">
            <w:pPr>
              <w:autoSpaceDE w:val="0"/>
              <w:autoSpaceDN w:val="0"/>
              <w:adjustRightInd w:val="0"/>
              <w:jc w:val="both"/>
              <w:rPr>
                <w:rFonts w:eastAsia="Calibri" w:cs="Arial"/>
                <w:color w:val="000000"/>
                <w:sz w:val="18"/>
                <w:szCs w:val="18"/>
              </w:rPr>
            </w:pPr>
            <w:r w:rsidRPr="000F166D">
              <w:rPr>
                <w:rFonts w:eastAsia="Calibri" w:cs="Arial"/>
                <w:color w:val="000000"/>
                <w:sz w:val="18"/>
                <w:szCs w:val="18"/>
              </w:rPr>
              <w:t>10 mio EUR (VP)</w:t>
            </w:r>
          </w:p>
        </w:tc>
        <w:tc>
          <w:tcPr>
            <w:tcW w:w="1192" w:type="dxa"/>
            <w:shd w:val="clear" w:color="auto" w:fill="BDD6EE" w:themeFill="accent1" w:themeFillTint="66"/>
          </w:tcPr>
          <w:p w14:paraId="059E8C79" w14:textId="77777777" w:rsidR="004912DC" w:rsidRPr="000F166D" w:rsidRDefault="004912DC" w:rsidP="00906890">
            <w:pPr>
              <w:autoSpaceDE w:val="0"/>
              <w:autoSpaceDN w:val="0"/>
              <w:adjustRightInd w:val="0"/>
              <w:jc w:val="both"/>
              <w:rPr>
                <w:rFonts w:eastAsia="Calibri" w:cs="Arial"/>
                <w:color w:val="000000"/>
                <w:sz w:val="18"/>
                <w:szCs w:val="18"/>
              </w:rPr>
            </w:pPr>
            <w:r>
              <w:rPr>
                <w:rFonts w:eastAsia="Calibri" w:cs="Arial"/>
                <w:color w:val="000000"/>
                <w:sz w:val="18"/>
                <w:szCs w:val="18"/>
              </w:rPr>
              <w:t>45</w:t>
            </w:r>
            <w:r w:rsidRPr="000F166D">
              <w:rPr>
                <w:rFonts w:eastAsia="Calibri" w:cs="Arial"/>
                <w:color w:val="000000"/>
                <w:sz w:val="18"/>
                <w:szCs w:val="18"/>
              </w:rPr>
              <w:t xml:space="preserve"> mio EUR</w:t>
            </w:r>
          </w:p>
          <w:p w14:paraId="2E7FB674" w14:textId="77777777" w:rsidR="004912DC" w:rsidRPr="000F166D" w:rsidRDefault="004912DC" w:rsidP="00906890">
            <w:pPr>
              <w:autoSpaceDE w:val="0"/>
              <w:autoSpaceDN w:val="0"/>
              <w:adjustRightInd w:val="0"/>
              <w:spacing w:after="120"/>
              <w:jc w:val="both"/>
              <w:rPr>
                <w:rFonts w:eastAsia="Calibri" w:cs="Arial"/>
                <w:color w:val="000000"/>
                <w:sz w:val="18"/>
                <w:szCs w:val="18"/>
              </w:rPr>
            </w:pPr>
            <w:r w:rsidRPr="000F166D">
              <w:rPr>
                <w:rFonts w:eastAsia="Calibri" w:cs="Arial"/>
                <w:color w:val="000000"/>
                <w:sz w:val="18"/>
                <w:szCs w:val="18"/>
              </w:rPr>
              <w:t>(MSP)</w:t>
            </w:r>
          </w:p>
          <w:p w14:paraId="74875854" w14:textId="77777777" w:rsidR="004912DC" w:rsidRPr="000F166D" w:rsidRDefault="004912DC" w:rsidP="00906890">
            <w:pPr>
              <w:autoSpaceDE w:val="0"/>
              <w:autoSpaceDN w:val="0"/>
              <w:adjustRightInd w:val="0"/>
              <w:spacing w:after="120"/>
              <w:jc w:val="both"/>
              <w:rPr>
                <w:rFonts w:eastAsia="Calibri" w:cs="Arial"/>
                <w:color w:val="000000"/>
                <w:sz w:val="18"/>
                <w:szCs w:val="18"/>
              </w:rPr>
            </w:pPr>
          </w:p>
          <w:p w14:paraId="075486B4" w14:textId="77777777" w:rsidR="004912DC" w:rsidRPr="000F166D" w:rsidRDefault="004912DC" w:rsidP="00906890">
            <w:pPr>
              <w:autoSpaceDE w:val="0"/>
              <w:autoSpaceDN w:val="0"/>
              <w:adjustRightInd w:val="0"/>
              <w:jc w:val="both"/>
              <w:rPr>
                <w:rFonts w:eastAsia="Calibri" w:cs="Arial"/>
                <w:color w:val="000000"/>
                <w:sz w:val="18"/>
                <w:szCs w:val="18"/>
              </w:rPr>
            </w:pPr>
            <w:r w:rsidRPr="000F166D">
              <w:rPr>
                <w:rFonts w:eastAsia="Calibri" w:cs="Arial"/>
                <w:color w:val="000000"/>
                <w:sz w:val="18"/>
                <w:szCs w:val="18"/>
              </w:rPr>
              <w:t>2</w:t>
            </w:r>
            <w:r>
              <w:rPr>
                <w:rFonts w:eastAsia="Calibri" w:cs="Arial"/>
                <w:color w:val="000000"/>
                <w:sz w:val="18"/>
                <w:szCs w:val="18"/>
              </w:rPr>
              <w:t xml:space="preserve">3 </w:t>
            </w:r>
            <w:r w:rsidRPr="000F166D">
              <w:rPr>
                <w:rFonts w:eastAsia="Calibri" w:cs="Arial"/>
                <w:color w:val="000000"/>
                <w:sz w:val="18"/>
                <w:szCs w:val="18"/>
              </w:rPr>
              <w:t>mio EUR</w:t>
            </w:r>
          </w:p>
          <w:p w14:paraId="50C0685A" w14:textId="77777777" w:rsidR="004912DC" w:rsidRPr="000F166D" w:rsidRDefault="004912DC" w:rsidP="00906890">
            <w:pPr>
              <w:autoSpaceDE w:val="0"/>
              <w:autoSpaceDN w:val="0"/>
              <w:adjustRightInd w:val="0"/>
              <w:jc w:val="both"/>
              <w:rPr>
                <w:rFonts w:eastAsia="Calibri" w:cs="Arial"/>
                <w:color w:val="000000"/>
                <w:sz w:val="18"/>
                <w:szCs w:val="18"/>
              </w:rPr>
            </w:pPr>
            <w:r w:rsidRPr="000F166D">
              <w:rPr>
                <w:rFonts w:eastAsia="Calibri" w:cs="Arial"/>
                <w:color w:val="000000"/>
                <w:sz w:val="18"/>
                <w:szCs w:val="18"/>
              </w:rPr>
              <w:t>(VP)</w:t>
            </w:r>
          </w:p>
        </w:tc>
        <w:tc>
          <w:tcPr>
            <w:tcW w:w="1800" w:type="dxa"/>
            <w:shd w:val="clear" w:color="auto" w:fill="auto"/>
          </w:tcPr>
          <w:p w14:paraId="0070310C" w14:textId="77777777" w:rsidR="004912DC" w:rsidRPr="000F166D" w:rsidRDefault="004912DC" w:rsidP="00906890">
            <w:pPr>
              <w:autoSpaceDE w:val="0"/>
              <w:autoSpaceDN w:val="0"/>
              <w:adjustRightInd w:val="0"/>
              <w:spacing w:after="120"/>
              <w:jc w:val="both"/>
              <w:rPr>
                <w:rFonts w:eastAsia="Calibri" w:cs="Arial"/>
                <w:color w:val="000000"/>
                <w:sz w:val="18"/>
                <w:szCs w:val="18"/>
              </w:rPr>
            </w:pPr>
            <w:r w:rsidRPr="000F166D">
              <w:rPr>
                <w:rFonts w:eastAsia="Calibri" w:cs="Arial"/>
                <w:color w:val="000000"/>
                <w:sz w:val="18"/>
                <w:szCs w:val="18"/>
              </w:rPr>
              <w:t>Vsa podjetja</w:t>
            </w:r>
          </w:p>
        </w:tc>
        <w:tc>
          <w:tcPr>
            <w:tcW w:w="1359" w:type="dxa"/>
            <w:shd w:val="clear" w:color="auto" w:fill="BDD6EE" w:themeFill="accent1" w:themeFillTint="66"/>
          </w:tcPr>
          <w:p w14:paraId="6B163F7F" w14:textId="77777777" w:rsidR="004912DC" w:rsidRPr="000F166D" w:rsidRDefault="004912DC" w:rsidP="00906890">
            <w:pPr>
              <w:autoSpaceDE w:val="0"/>
              <w:autoSpaceDN w:val="0"/>
              <w:adjustRightInd w:val="0"/>
              <w:spacing w:after="120"/>
              <w:jc w:val="both"/>
              <w:rPr>
                <w:rFonts w:eastAsia="Calibri" w:cs="Arial"/>
                <w:color w:val="000000"/>
                <w:sz w:val="18"/>
                <w:szCs w:val="18"/>
              </w:rPr>
            </w:pPr>
            <w:r w:rsidRPr="000F166D">
              <w:rPr>
                <w:rFonts w:eastAsia="Calibri" w:cs="Arial"/>
                <w:color w:val="000000"/>
                <w:sz w:val="18"/>
                <w:szCs w:val="18"/>
              </w:rPr>
              <w:t>Vsa podjetja</w:t>
            </w:r>
          </w:p>
        </w:tc>
      </w:tr>
      <w:tr w:rsidR="004912DC" w:rsidRPr="000F166D" w14:paraId="0138FAC8" w14:textId="77777777" w:rsidTr="00906890">
        <w:trPr>
          <w:trHeight w:val="820"/>
        </w:trPr>
        <w:tc>
          <w:tcPr>
            <w:tcW w:w="1133" w:type="dxa"/>
            <w:vMerge/>
          </w:tcPr>
          <w:p w14:paraId="35C549E6" w14:textId="77777777" w:rsidR="004912DC" w:rsidRPr="000F166D" w:rsidRDefault="004912DC" w:rsidP="00906890">
            <w:pPr>
              <w:autoSpaceDE w:val="0"/>
              <w:autoSpaceDN w:val="0"/>
              <w:adjustRightInd w:val="0"/>
              <w:jc w:val="both"/>
              <w:rPr>
                <w:rFonts w:eastAsia="Calibri" w:cs="Arial"/>
                <w:color w:val="000000"/>
                <w:sz w:val="18"/>
                <w:szCs w:val="18"/>
              </w:rPr>
            </w:pPr>
          </w:p>
        </w:tc>
        <w:tc>
          <w:tcPr>
            <w:tcW w:w="1163" w:type="dxa"/>
          </w:tcPr>
          <w:p w14:paraId="6CB0D3C5" w14:textId="77777777" w:rsidR="004912DC" w:rsidRPr="000F166D" w:rsidRDefault="004912DC" w:rsidP="00906890">
            <w:pPr>
              <w:autoSpaceDE w:val="0"/>
              <w:autoSpaceDN w:val="0"/>
              <w:adjustRightInd w:val="0"/>
              <w:jc w:val="both"/>
              <w:rPr>
                <w:rFonts w:eastAsia="Calibri" w:cs="Arial"/>
                <w:color w:val="000000"/>
                <w:sz w:val="18"/>
                <w:szCs w:val="18"/>
              </w:rPr>
            </w:pPr>
            <w:r w:rsidRPr="000F166D">
              <w:rPr>
                <w:rFonts w:eastAsia="Calibri" w:cs="Arial"/>
                <w:color w:val="000000"/>
                <w:sz w:val="18"/>
                <w:szCs w:val="18"/>
              </w:rPr>
              <w:t>Portfeljske garancije</w:t>
            </w:r>
          </w:p>
        </w:tc>
        <w:tc>
          <w:tcPr>
            <w:tcW w:w="1143" w:type="dxa"/>
          </w:tcPr>
          <w:p w14:paraId="56B916E3" w14:textId="77777777" w:rsidR="004912DC" w:rsidRPr="000F166D" w:rsidRDefault="004912DC" w:rsidP="00906890">
            <w:pPr>
              <w:autoSpaceDE w:val="0"/>
              <w:autoSpaceDN w:val="0"/>
              <w:adjustRightInd w:val="0"/>
              <w:rPr>
                <w:rFonts w:eastAsia="Calibri" w:cs="Arial"/>
                <w:bCs/>
                <w:color w:val="000000"/>
                <w:sz w:val="18"/>
                <w:szCs w:val="18"/>
              </w:rPr>
            </w:pPr>
          </w:p>
        </w:tc>
        <w:tc>
          <w:tcPr>
            <w:tcW w:w="1545" w:type="dxa"/>
            <w:shd w:val="clear" w:color="auto" w:fill="BDD6EE" w:themeFill="accent1" w:themeFillTint="66"/>
          </w:tcPr>
          <w:p w14:paraId="15AFF914" w14:textId="77777777" w:rsidR="004912DC" w:rsidRPr="000F166D" w:rsidRDefault="004912DC" w:rsidP="00906890">
            <w:pPr>
              <w:autoSpaceDE w:val="0"/>
              <w:autoSpaceDN w:val="0"/>
              <w:adjustRightInd w:val="0"/>
              <w:jc w:val="both"/>
              <w:rPr>
                <w:rFonts w:eastAsia="Calibri" w:cs="Arial"/>
                <w:color w:val="000000"/>
                <w:sz w:val="18"/>
                <w:szCs w:val="18"/>
              </w:rPr>
            </w:pPr>
            <w:r w:rsidRPr="000F166D">
              <w:rPr>
                <w:rFonts w:eastAsia="Calibri" w:cs="Arial"/>
                <w:color w:val="000000"/>
                <w:sz w:val="18"/>
                <w:szCs w:val="18"/>
              </w:rPr>
              <w:t>Portfeljske garancije</w:t>
            </w:r>
          </w:p>
        </w:tc>
        <w:tc>
          <w:tcPr>
            <w:tcW w:w="1192" w:type="dxa"/>
            <w:shd w:val="clear" w:color="auto" w:fill="auto"/>
          </w:tcPr>
          <w:p w14:paraId="1AF33C59" w14:textId="77777777" w:rsidR="004912DC" w:rsidRPr="000F166D" w:rsidRDefault="004912DC" w:rsidP="00906890">
            <w:pPr>
              <w:autoSpaceDE w:val="0"/>
              <w:autoSpaceDN w:val="0"/>
              <w:adjustRightInd w:val="0"/>
              <w:jc w:val="both"/>
              <w:rPr>
                <w:rFonts w:eastAsia="Calibri" w:cs="Arial"/>
                <w:color w:val="000000"/>
                <w:sz w:val="18"/>
                <w:szCs w:val="18"/>
              </w:rPr>
            </w:pPr>
            <w:r w:rsidRPr="000F166D">
              <w:rPr>
                <w:rFonts w:eastAsia="Calibri" w:cs="Arial"/>
                <w:color w:val="000000"/>
                <w:sz w:val="18"/>
                <w:szCs w:val="18"/>
              </w:rPr>
              <w:t>58 mio EUR (MSP)</w:t>
            </w:r>
          </w:p>
          <w:p w14:paraId="005EF223" w14:textId="77777777" w:rsidR="004912DC" w:rsidRPr="000F166D" w:rsidRDefault="004912DC" w:rsidP="00906890">
            <w:pPr>
              <w:autoSpaceDE w:val="0"/>
              <w:autoSpaceDN w:val="0"/>
              <w:adjustRightInd w:val="0"/>
              <w:jc w:val="both"/>
              <w:rPr>
                <w:rFonts w:eastAsia="Calibri" w:cs="Arial"/>
                <w:color w:val="000000"/>
                <w:sz w:val="18"/>
                <w:szCs w:val="18"/>
              </w:rPr>
            </w:pPr>
          </w:p>
          <w:p w14:paraId="557BC6FC" w14:textId="77777777" w:rsidR="004912DC" w:rsidRPr="000F166D" w:rsidRDefault="004912DC" w:rsidP="00906890">
            <w:pPr>
              <w:autoSpaceDE w:val="0"/>
              <w:autoSpaceDN w:val="0"/>
              <w:adjustRightInd w:val="0"/>
              <w:jc w:val="both"/>
              <w:rPr>
                <w:rFonts w:eastAsia="Calibri" w:cs="Arial"/>
                <w:color w:val="000000"/>
                <w:sz w:val="18"/>
                <w:szCs w:val="18"/>
              </w:rPr>
            </w:pPr>
            <w:r w:rsidRPr="000F166D">
              <w:rPr>
                <w:rFonts w:eastAsia="Calibri" w:cs="Arial"/>
                <w:color w:val="000000"/>
                <w:sz w:val="18"/>
                <w:szCs w:val="18"/>
              </w:rPr>
              <w:t>30 mio EUR (VP)</w:t>
            </w:r>
          </w:p>
        </w:tc>
        <w:tc>
          <w:tcPr>
            <w:tcW w:w="1192" w:type="dxa"/>
            <w:shd w:val="clear" w:color="auto" w:fill="BDD6EE" w:themeFill="accent1" w:themeFillTint="66"/>
          </w:tcPr>
          <w:p w14:paraId="088D9A14" w14:textId="77777777" w:rsidR="004912DC" w:rsidRPr="000F166D" w:rsidRDefault="004912DC" w:rsidP="00906890">
            <w:pPr>
              <w:autoSpaceDE w:val="0"/>
              <w:autoSpaceDN w:val="0"/>
              <w:adjustRightInd w:val="0"/>
              <w:jc w:val="both"/>
              <w:rPr>
                <w:rFonts w:eastAsia="Calibri" w:cs="Arial"/>
                <w:color w:val="000000"/>
                <w:sz w:val="18"/>
                <w:szCs w:val="18"/>
              </w:rPr>
            </w:pPr>
            <w:r w:rsidRPr="000F166D">
              <w:rPr>
                <w:rFonts w:eastAsia="Calibri" w:cs="Arial"/>
                <w:color w:val="000000"/>
                <w:sz w:val="18"/>
                <w:szCs w:val="18"/>
              </w:rPr>
              <w:t>20 mio EUR</w:t>
            </w:r>
          </w:p>
          <w:p w14:paraId="3B5C9BAD" w14:textId="77777777" w:rsidR="004912DC" w:rsidRPr="000F166D" w:rsidRDefault="004912DC" w:rsidP="00906890">
            <w:pPr>
              <w:autoSpaceDE w:val="0"/>
              <w:autoSpaceDN w:val="0"/>
              <w:adjustRightInd w:val="0"/>
              <w:spacing w:after="120"/>
              <w:jc w:val="both"/>
              <w:rPr>
                <w:rFonts w:eastAsia="Calibri" w:cs="Arial"/>
                <w:color w:val="000000"/>
                <w:sz w:val="18"/>
                <w:szCs w:val="18"/>
              </w:rPr>
            </w:pPr>
            <w:r w:rsidRPr="000F166D">
              <w:rPr>
                <w:rFonts w:eastAsia="Calibri" w:cs="Arial"/>
                <w:color w:val="000000"/>
                <w:sz w:val="18"/>
                <w:szCs w:val="18"/>
              </w:rPr>
              <w:t>(MSP)</w:t>
            </w:r>
            <w:r w:rsidRPr="000F166D" w:rsidDel="00FE62E8">
              <w:rPr>
                <w:rFonts w:eastAsia="Calibri" w:cs="Arial"/>
                <w:color w:val="000000"/>
                <w:sz w:val="18"/>
                <w:szCs w:val="18"/>
              </w:rPr>
              <w:t xml:space="preserve"> </w:t>
            </w:r>
          </w:p>
        </w:tc>
        <w:tc>
          <w:tcPr>
            <w:tcW w:w="1800" w:type="dxa"/>
            <w:shd w:val="clear" w:color="auto" w:fill="auto"/>
          </w:tcPr>
          <w:p w14:paraId="6ACD0E57" w14:textId="77777777" w:rsidR="004912DC" w:rsidRPr="000F166D" w:rsidRDefault="004912DC" w:rsidP="00906890">
            <w:pPr>
              <w:autoSpaceDE w:val="0"/>
              <w:autoSpaceDN w:val="0"/>
              <w:adjustRightInd w:val="0"/>
              <w:spacing w:after="120"/>
              <w:jc w:val="both"/>
              <w:rPr>
                <w:rFonts w:eastAsia="Calibri" w:cs="Arial"/>
                <w:color w:val="000000"/>
                <w:sz w:val="18"/>
                <w:szCs w:val="18"/>
              </w:rPr>
            </w:pPr>
            <w:r w:rsidRPr="000F166D">
              <w:rPr>
                <w:rFonts w:eastAsia="Calibri" w:cs="Arial"/>
                <w:color w:val="000000"/>
                <w:sz w:val="18"/>
                <w:szCs w:val="18"/>
              </w:rPr>
              <w:t>Vsa podjetja</w:t>
            </w:r>
          </w:p>
        </w:tc>
        <w:tc>
          <w:tcPr>
            <w:tcW w:w="1359" w:type="dxa"/>
            <w:shd w:val="clear" w:color="auto" w:fill="BDD6EE" w:themeFill="accent1" w:themeFillTint="66"/>
          </w:tcPr>
          <w:p w14:paraId="57AC1F48" w14:textId="77777777" w:rsidR="004912DC" w:rsidRPr="000F166D" w:rsidRDefault="004912DC" w:rsidP="00906890">
            <w:pPr>
              <w:autoSpaceDE w:val="0"/>
              <w:autoSpaceDN w:val="0"/>
              <w:adjustRightInd w:val="0"/>
              <w:spacing w:after="120"/>
              <w:jc w:val="both"/>
              <w:rPr>
                <w:rFonts w:eastAsia="Calibri" w:cs="Arial"/>
                <w:color w:val="000000"/>
                <w:sz w:val="18"/>
                <w:szCs w:val="18"/>
              </w:rPr>
            </w:pPr>
            <w:r>
              <w:rPr>
                <w:rFonts w:eastAsia="Calibri" w:cs="Arial"/>
                <w:color w:val="000000"/>
                <w:sz w:val="18"/>
                <w:szCs w:val="18"/>
              </w:rPr>
              <w:t>MSP</w:t>
            </w:r>
          </w:p>
        </w:tc>
      </w:tr>
      <w:tr w:rsidR="004912DC" w:rsidRPr="000F166D" w14:paraId="1C708195" w14:textId="77777777" w:rsidTr="00906890">
        <w:trPr>
          <w:trHeight w:val="383"/>
        </w:trPr>
        <w:tc>
          <w:tcPr>
            <w:tcW w:w="1133" w:type="dxa"/>
            <w:vMerge/>
          </w:tcPr>
          <w:p w14:paraId="01F9742C" w14:textId="77777777" w:rsidR="004912DC" w:rsidRPr="000F166D" w:rsidRDefault="004912DC" w:rsidP="00906890">
            <w:pPr>
              <w:autoSpaceDE w:val="0"/>
              <w:autoSpaceDN w:val="0"/>
              <w:adjustRightInd w:val="0"/>
              <w:jc w:val="both"/>
              <w:rPr>
                <w:rFonts w:eastAsia="Calibri" w:cs="Arial"/>
                <w:color w:val="000000"/>
                <w:sz w:val="18"/>
                <w:szCs w:val="18"/>
              </w:rPr>
            </w:pPr>
          </w:p>
        </w:tc>
        <w:tc>
          <w:tcPr>
            <w:tcW w:w="1163" w:type="dxa"/>
            <w:shd w:val="clear" w:color="auto" w:fill="auto"/>
          </w:tcPr>
          <w:p w14:paraId="59EA6139" w14:textId="77777777" w:rsidR="004912DC" w:rsidRPr="000F166D" w:rsidRDefault="004912DC" w:rsidP="00906890">
            <w:pPr>
              <w:autoSpaceDE w:val="0"/>
              <w:autoSpaceDN w:val="0"/>
              <w:adjustRightInd w:val="0"/>
              <w:jc w:val="both"/>
              <w:rPr>
                <w:rFonts w:eastAsia="Calibri" w:cs="Arial"/>
                <w:color w:val="000000"/>
                <w:sz w:val="18"/>
                <w:szCs w:val="18"/>
              </w:rPr>
            </w:pPr>
            <w:r w:rsidRPr="000F166D">
              <w:rPr>
                <w:rFonts w:eastAsia="Calibri" w:cs="Arial"/>
                <w:color w:val="000000"/>
                <w:sz w:val="18"/>
                <w:szCs w:val="18"/>
              </w:rPr>
              <w:t>Lastniško financiranje</w:t>
            </w:r>
          </w:p>
        </w:tc>
        <w:tc>
          <w:tcPr>
            <w:tcW w:w="1143" w:type="dxa"/>
            <w:shd w:val="clear" w:color="auto" w:fill="auto"/>
          </w:tcPr>
          <w:p w14:paraId="0FA0B79D" w14:textId="77777777" w:rsidR="004912DC" w:rsidRPr="000F166D" w:rsidRDefault="004912DC" w:rsidP="00906890">
            <w:pPr>
              <w:autoSpaceDE w:val="0"/>
              <w:autoSpaceDN w:val="0"/>
              <w:adjustRightInd w:val="0"/>
              <w:rPr>
                <w:rFonts w:eastAsia="Calibri" w:cs="Arial"/>
                <w:bCs/>
                <w:color w:val="000000"/>
                <w:sz w:val="18"/>
                <w:szCs w:val="18"/>
              </w:rPr>
            </w:pPr>
          </w:p>
        </w:tc>
        <w:tc>
          <w:tcPr>
            <w:tcW w:w="1545" w:type="dxa"/>
            <w:shd w:val="clear" w:color="auto" w:fill="BDD6EE" w:themeFill="accent1" w:themeFillTint="66"/>
          </w:tcPr>
          <w:p w14:paraId="23B0BC7B" w14:textId="77777777" w:rsidR="004912DC" w:rsidRPr="000F166D" w:rsidRDefault="004912DC" w:rsidP="00906890">
            <w:pPr>
              <w:autoSpaceDE w:val="0"/>
              <w:autoSpaceDN w:val="0"/>
              <w:adjustRightInd w:val="0"/>
              <w:jc w:val="both"/>
              <w:rPr>
                <w:rFonts w:eastAsia="Calibri" w:cs="Arial"/>
                <w:color w:val="000000"/>
                <w:sz w:val="18"/>
                <w:szCs w:val="18"/>
              </w:rPr>
            </w:pPr>
            <w:r w:rsidRPr="000F166D">
              <w:rPr>
                <w:rFonts w:eastAsia="Calibri" w:cs="Arial"/>
                <w:color w:val="000000"/>
                <w:sz w:val="18"/>
                <w:szCs w:val="18"/>
              </w:rPr>
              <w:t>Lastniško financiranje, kvazi-lastniško financiranje</w:t>
            </w:r>
          </w:p>
        </w:tc>
        <w:tc>
          <w:tcPr>
            <w:tcW w:w="1192" w:type="dxa"/>
            <w:shd w:val="clear" w:color="auto" w:fill="auto"/>
          </w:tcPr>
          <w:p w14:paraId="4E3B883C" w14:textId="77777777" w:rsidR="004912DC" w:rsidRPr="000F166D" w:rsidRDefault="004912DC" w:rsidP="00906890">
            <w:pPr>
              <w:autoSpaceDE w:val="0"/>
              <w:autoSpaceDN w:val="0"/>
              <w:adjustRightInd w:val="0"/>
              <w:jc w:val="both"/>
              <w:rPr>
                <w:rFonts w:eastAsia="Calibri" w:cs="Arial"/>
                <w:color w:val="000000"/>
                <w:sz w:val="18"/>
                <w:szCs w:val="18"/>
              </w:rPr>
            </w:pPr>
            <w:r w:rsidRPr="000F166D">
              <w:rPr>
                <w:rFonts w:eastAsia="Calibri" w:cs="Arial"/>
                <w:color w:val="000000"/>
                <w:sz w:val="18"/>
                <w:szCs w:val="18"/>
              </w:rPr>
              <w:t>10 mio EUR VP</w:t>
            </w:r>
          </w:p>
        </w:tc>
        <w:tc>
          <w:tcPr>
            <w:tcW w:w="1192" w:type="dxa"/>
            <w:shd w:val="clear" w:color="auto" w:fill="BDD6EE" w:themeFill="accent1" w:themeFillTint="66"/>
          </w:tcPr>
          <w:p w14:paraId="5CE63F8F" w14:textId="77777777" w:rsidR="004912DC" w:rsidRPr="000F166D" w:rsidRDefault="004912DC" w:rsidP="00906890">
            <w:pPr>
              <w:autoSpaceDE w:val="0"/>
              <w:autoSpaceDN w:val="0"/>
              <w:adjustRightInd w:val="0"/>
              <w:jc w:val="both"/>
              <w:rPr>
                <w:rFonts w:eastAsia="Calibri" w:cs="Arial"/>
                <w:color w:val="000000"/>
                <w:sz w:val="18"/>
                <w:szCs w:val="18"/>
              </w:rPr>
            </w:pPr>
            <w:r w:rsidRPr="000F166D">
              <w:rPr>
                <w:rFonts w:eastAsia="Calibri" w:cs="Arial"/>
                <w:color w:val="000000"/>
                <w:sz w:val="18"/>
                <w:szCs w:val="18"/>
              </w:rPr>
              <w:t>/</w:t>
            </w:r>
          </w:p>
        </w:tc>
        <w:tc>
          <w:tcPr>
            <w:tcW w:w="1800" w:type="dxa"/>
            <w:shd w:val="clear" w:color="auto" w:fill="auto"/>
          </w:tcPr>
          <w:p w14:paraId="08214205" w14:textId="77777777" w:rsidR="004912DC" w:rsidRPr="000F166D" w:rsidRDefault="004912DC" w:rsidP="00906890">
            <w:pPr>
              <w:autoSpaceDE w:val="0"/>
              <w:autoSpaceDN w:val="0"/>
              <w:adjustRightInd w:val="0"/>
              <w:jc w:val="both"/>
              <w:rPr>
                <w:rFonts w:eastAsia="Calibri" w:cs="Arial"/>
                <w:color w:val="000000"/>
                <w:sz w:val="18"/>
                <w:szCs w:val="18"/>
              </w:rPr>
            </w:pPr>
            <w:r w:rsidRPr="000F166D">
              <w:rPr>
                <w:rFonts w:eastAsia="Calibri" w:cs="Arial"/>
                <w:color w:val="000000"/>
                <w:sz w:val="18"/>
                <w:szCs w:val="18"/>
              </w:rPr>
              <w:t>Velika podjetja</w:t>
            </w:r>
          </w:p>
        </w:tc>
        <w:tc>
          <w:tcPr>
            <w:tcW w:w="1359" w:type="dxa"/>
            <w:shd w:val="clear" w:color="auto" w:fill="BDD6EE" w:themeFill="accent1" w:themeFillTint="66"/>
          </w:tcPr>
          <w:p w14:paraId="7EEE70F6" w14:textId="77777777" w:rsidR="004912DC" w:rsidRPr="000F166D" w:rsidRDefault="004912DC" w:rsidP="00906890">
            <w:pPr>
              <w:autoSpaceDE w:val="0"/>
              <w:autoSpaceDN w:val="0"/>
              <w:adjustRightInd w:val="0"/>
              <w:jc w:val="both"/>
              <w:rPr>
                <w:rFonts w:eastAsia="Calibri" w:cs="Arial"/>
                <w:color w:val="000000"/>
                <w:sz w:val="18"/>
                <w:szCs w:val="18"/>
              </w:rPr>
            </w:pPr>
            <w:r w:rsidRPr="000F166D">
              <w:rPr>
                <w:rFonts w:eastAsia="Calibri" w:cs="Arial"/>
                <w:color w:val="000000"/>
                <w:sz w:val="18"/>
                <w:szCs w:val="18"/>
              </w:rPr>
              <w:t>/</w:t>
            </w:r>
          </w:p>
        </w:tc>
      </w:tr>
      <w:tr w:rsidR="004912DC" w:rsidRPr="000F166D" w14:paraId="743BBD9D" w14:textId="77777777" w:rsidTr="00906890">
        <w:trPr>
          <w:trHeight w:val="383"/>
        </w:trPr>
        <w:tc>
          <w:tcPr>
            <w:tcW w:w="1133" w:type="dxa"/>
            <w:vMerge w:val="restart"/>
          </w:tcPr>
          <w:p w14:paraId="2328007B" w14:textId="77777777" w:rsidR="004912DC" w:rsidRPr="000F166D" w:rsidRDefault="004912DC" w:rsidP="00906890">
            <w:pPr>
              <w:autoSpaceDE w:val="0"/>
              <w:autoSpaceDN w:val="0"/>
              <w:adjustRightInd w:val="0"/>
              <w:jc w:val="both"/>
              <w:rPr>
                <w:rFonts w:eastAsia="Calibri" w:cs="Arial"/>
                <w:color w:val="000000"/>
                <w:sz w:val="18"/>
                <w:szCs w:val="18"/>
              </w:rPr>
            </w:pPr>
            <w:r w:rsidRPr="000F166D">
              <w:rPr>
                <w:rFonts w:eastAsia="Calibri" w:cs="Arial"/>
                <w:color w:val="000000"/>
                <w:sz w:val="18"/>
                <w:szCs w:val="18"/>
              </w:rPr>
              <w:t>MSP</w:t>
            </w:r>
          </w:p>
        </w:tc>
        <w:tc>
          <w:tcPr>
            <w:tcW w:w="1163" w:type="dxa"/>
          </w:tcPr>
          <w:p w14:paraId="50A72FDF" w14:textId="77777777" w:rsidR="004912DC" w:rsidRPr="000F166D" w:rsidRDefault="004912DC" w:rsidP="00906890">
            <w:pPr>
              <w:autoSpaceDE w:val="0"/>
              <w:autoSpaceDN w:val="0"/>
              <w:adjustRightInd w:val="0"/>
              <w:jc w:val="both"/>
              <w:rPr>
                <w:rFonts w:eastAsia="Calibri" w:cs="Arial"/>
                <w:color w:val="000000"/>
                <w:sz w:val="18"/>
                <w:szCs w:val="18"/>
              </w:rPr>
            </w:pPr>
            <w:r w:rsidRPr="000F166D">
              <w:rPr>
                <w:rFonts w:eastAsia="Calibri" w:cs="Arial"/>
                <w:color w:val="000000"/>
                <w:sz w:val="18"/>
                <w:szCs w:val="18"/>
              </w:rPr>
              <w:t>Mikrokrediti</w:t>
            </w:r>
          </w:p>
        </w:tc>
        <w:tc>
          <w:tcPr>
            <w:tcW w:w="1143" w:type="dxa"/>
          </w:tcPr>
          <w:p w14:paraId="38E458E7" w14:textId="77777777" w:rsidR="004912DC" w:rsidRPr="000F166D" w:rsidRDefault="004912DC" w:rsidP="00906890">
            <w:pPr>
              <w:autoSpaceDE w:val="0"/>
              <w:autoSpaceDN w:val="0"/>
              <w:adjustRightInd w:val="0"/>
              <w:rPr>
                <w:rFonts w:eastAsia="Calibri" w:cs="Arial"/>
                <w:color w:val="000000"/>
                <w:sz w:val="18"/>
                <w:szCs w:val="18"/>
              </w:rPr>
            </w:pPr>
            <w:r w:rsidRPr="000F166D">
              <w:rPr>
                <w:rFonts w:eastAsia="Calibri" w:cs="Arial"/>
                <w:bCs/>
                <w:color w:val="000000"/>
                <w:sz w:val="18"/>
                <w:szCs w:val="18"/>
              </w:rPr>
              <w:t xml:space="preserve">1.138 – 1.260 </w:t>
            </w:r>
          </w:p>
          <w:p w14:paraId="2B33560F" w14:textId="77777777" w:rsidR="004912DC" w:rsidRPr="000F166D" w:rsidRDefault="004912DC" w:rsidP="00906890">
            <w:pPr>
              <w:autoSpaceDE w:val="0"/>
              <w:autoSpaceDN w:val="0"/>
              <w:adjustRightInd w:val="0"/>
              <w:jc w:val="both"/>
              <w:rPr>
                <w:rFonts w:eastAsia="Calibri" w:cs="Arial"/>
                <w:color w:val="000000"/>
                <w:sz w:val="18"/>
                <w:szCs w:val="18"/>
              </w:rPr>
            </w:pPr>
          </w:p>
        </w:tc>
        <w:tc>
          <w:tcPr>
            <w:tcW w:w="1545" w:type="dxa"/>
            <w:shd w:val="clear" w:color="auto" w:fill="BDD6EE" w:themeFill="accent1" w:themeFillTint="66"/>
          </w:tcPr>
          <w:p w14:paraId="6B794381" w14:textId="77777777" w:rsidR="004912DC" w:rsidRPr="000F166D" w:rsidRDefault="004912DC" w:rsidP="00906890">
            <w:pPr>
              <w:autoSpaceDE w:val="0"/>
              <w:autoSpaceDN w:val="0"/>
              <w:adjustRightInd w:val="0"/>
              <w:jc w:val="both"/>
              <w:rPr>
                <w:rFonts w:eastAsia="Calibri" w:cs="Arial"/>
                <w:color w:val="000000"/>
                <w:sz w:val="18"/>
                <w:szCs w:val="18"/>
              </w:rPr>
            </w:pPr>
            <w:r w:rsidRPr="000F166D">
              <w:rPr>
                <w:rFonts w:eastAsia="Calibri" w:cs="Arial"/>
                <w:color w:val="000000"/>
                <w:sz w:val="18"/>
                <w:szCs w:val="18"/>
              </w:rPr>
              <w:t>Mikrokrediti za mikro in mala podjetja</w:t>
            </w:r>
          </w:p>
        </w:tc>
        <w:tc>
          <w:tcPr>
            <w:tcW w:w="1192" w:type="dxa"/>
            <w:shd w:val="clear" w:color="auto" w:fill="auto"/>
          </w:tcPr>
          <w:p w14:paraId="261FA5B3" w14:textId="77777777" w:rsidR="004912DC" w:rsidRPr="000F166D" w:rsidRDefault="004912DC" w:rsidP="00906890">
            <w:pPr>
              <w:autoSpaceDE w:val="0"/>
              <w:autoSpaceDN w:val="0"/>
              <w:adjustRightInd w:val="0"/>
              <w:jc w:val="both"/>
              <w:rPr>
                <w:rFonts w:eastAsia="Calibri" w:cs="Arial"/>
                <w:color w:val="000000"/>
                <w:sz w:val="18"/>
                <w:szCs w:val="18"/>
              </w:rPr>
            </w:pPr>
            <w:r w:rsidRPr="000F166D">
              <w:rPr>
                <w:rFonts w:eastAsia="Calibri" w:cs="Arial"/>
                <w:color w:val="000000"/>
                <w:sz w:val="18"/>
                <w:szCs w:val="18"/>
              </w:rPr>
              <w:t>79 mio EUR</w:t>
            </w:r>
          </w:p>
        </w:tc>
        <w:tc>
          <w:tcPr>
            <w:tcW w:w="1192" w:type="dxa"/>
            <w:shd w:val="clear" w:color="auto" w:fill="BDD6EE" w:themeFill="accent1" w:themeFillTint="66"/>
          </w:tcPr>
          <w:p w14:paraId="272484FE" w14:textId="77777777" w:rsidR="004912DC" w:rsidRPr="000F166D" w:rsidRDefault="004912DC" w:rsidP="00906890">
            <w:pPr>
              <w:autoSpaceDE w:val="0"/>
              <w:autoSpaceDN w:val="0"/>
              <w:adjustRightInd w:val="0"/>
              <w:jc w:val="both"/>
              <w:rPr>
                <w:rFonts w:eastAsia="Calibri" w:cs="Arial"/>
                <w:color w:val="000000"/>
                <w:sz w:val="18"/>
                <w:szCs w:val="18"/>
              </w:rPr>
            </w:pPr>
            <w:r w:rsidRPr="000F166D">
              <w:rPr>
                <w:rFonts w:eastAsia="Calibri" w:cs="Arial"/>
                <w:color w:val="000000"/>
                <w:sz w:val="18"/>
                <w:szCs w:val="18"/>
              </w:rPr>
              <w:t>60 mio EUR</w:t>
            </w:r>
          </w:p>
        </w:tc>
        <w:tc>
          <w:tcPr>
            <w:tcW w:w="1800" w:type="dxa"/>
            <w:shd w:val="clear" w:color="auto" w:fill="auto"/>
          </w:tcPr>
          <w:p w14:paraId="3F0ECA42" w14:textId="77777777" w:rsidR="004912DC" w:rsidRPr="000F166D" w:rsidRDefault="004912DC" w:rsidP="00906890">
            <w:pPr>
              <w:autoSpaceDE w:val="0"/>
              <w:autoSpaceDN w:val="0"/>
              <w:adjustRightInd w:val="0"/>
              <w:jc w:val="both"/>
              <w:rPr>
                <w:rFonts w:eastAsia="Calibri" w:cs="Arial"/>
                <w:color w:val="000000"/>
                <w:sz w:val="18"/>
                <w:szCs w:val="18"/>
              </w:rPr>
            </w:pPr>
            <w:r w:rsidRPr="000F166D">
              <w:rPr>
                <w:rFonts w:eastAsia="Calibri" w:cs="Arial"/>
                <w:color w:val="000000"/>
                <w:sz w:val="18"/>
                <w:szCs w:val="18"/>
              </w:rPr>
              <w:t>MSP</w:t>
            </w:r>
          </w:p>
        </w:tc>
        <w:tc>
          <w:tcPr>
            <w:tcW w:w="1359" w:type="dxa"/>
            <w:shd w:val="clear" w:color="auto" w:fill="BDD6EE" w:themeFill="accent1" w:themeFillTint="66"/>
          </w:tcPr>
          <w:p w14:paraId="3572127B" w14:textId="77777777" w:rsidR="004912DC" w:rsidRPr="000F166D" w:rsidRDefault="004912DC" w:rsidP="00906890">
            <w:pPr>
              <w:autoSpaceDE w:val="0"/>
              <w:autoSpaceDN w:val="0"/>
              <w:adjustRightInd w:val="0"/>
              <w:jc w:val="both"/>
              <w:rPr>
                <w:rFonts w:eastAsia="Calibri" w:cs="Arial"/>
                <w:color w:val="000000"/>
                <w:sz w:val="18"/>
                <w:szCs w:val="18"/>
              </w:rPr>
            </w:pPr>
            <w:r w:rsidRPr="000F166D">
              <w:rPr>
                <w:rFonts w:eastAsia="Calibri" w:cs="Arial"/>
                <w:color w:val="000000"/>
                <w:sz w:val="18"/>
                <w:szCs w:val="18"/>
              </w:rPr>
              <w:t>mikro in mala podjetja in samostojni podjetniki</w:t>
            </w:r>
          </w:p>
        </w:tc>
      </w:tr>
      <w:tr w:rsidR="004912DC" w:rsidRPr="000F166D" w14:paraId="5D6885E2" w14:textId="77777777" w:rsidTr="00906890">
        <w:trPr>
          <w:trHeight w:val="396"/>
        </w:trPr>
        <w:tc>
          <w:tcPr>
            <w:tcW w:w="1133" w:type="dxa"/>
            <w:vMerge/>
          </w:tcPr>
          <w:p w14:paraId="32E6346F" w14:textId="77777777" w:rsidR="004912DC" w:rsidRPr="000F166D" w:rsidRDefault="004912DC" w:rsidP="00906890">
            <w:pPr>
              <w:autoSpaceDE w:val="0"/>
              <w:autoSpaceDN w:val="0"/>
              <w:adjustRightInd w:val="0"/>
              <w:jc w:val="both"/>
              <w:rPr>
                <w:rFonts w:eastAsia="Calibri" w:cs="Arial"/>
                <w:color w:val="000000"/>
                <w:sz w:val="18"/>
                <w:szCs w:val="18"/>
              </w:rPr>
            </w:pPr>
          </w:p>
        </w:tc>
        <w:tc>
          <w:tcPr>
            <w:tcW w:w="1163" w:type="dxa"/>
          </w:tcPr>
          <w:p w14:paraId="44765EAA" w14:textId="77777777" w:rsidR="004912DC" w:rsidRPr="000F166D" w:rsidRDefault="004912DC" w:rsidP="00906890">
            <w:pPr>
              <w:autoSpaceDE w:val="0"/>
              <w:autoSpaceDN w:val="0"/>
              <w:adjustRightInd w:val="0"/>
              <w:jc w:val="both"/>
              <w:rPr>
                <w:rFonts w:eastAsia="Calibri" w:cs="Arial"/>
                <w:color w:val="000000"/>
                <w:sz w:val="18"/>
                <w:szCs w:val="18"/>
              </w:rPr>
            </w:pPr>
            <w:r w:rsidRPr="000F166D">
              <w:rPr>
                <w:rFonts w:eastAsia="Calibri" w:cs="Arial"/>
                <w:color w:val="000000"/>
                <w:sz w:val="18"/>
                <w:szCs w:val="18"/>
              </w:rPr>
              <w:t>Kratkoročna posojila</w:t>
            </w:r>
          </w:p>
        </w:tc>
        <w:tc>
          <w:tcPr>
            <w:tcW w:w="1143" w:type="dxa"/>
          </w:tcPr>
          <w:p w14:paraId="0C1A7F85" w14:textId="77777777" w:rsidR="004912DC" w:rsidRPr="000F166D" w:rsidRDefault="004912DC" w:rsidP="00906890">
            <w:pPr>
              <w:autoSpaceDE w:val="0"/>
              <w:autoSpaceDN w:val="0"/>
              <w:adjustRightInd w:val="0"/>
              <w:rPr>
                <w:rFonts w:eastAsia="Calibri" w:cs="Arial"/>
                <w:color w:val="000000"/>
                <w:sz w:val="18"/>
                <w:szCs w:val="18"/>
              </w:rPr>
            </w:pPr>
            <w:r w:rsidRPr="000F166D">
              <w:rPr>
                <w:rFonts w:eastAsia="Calibri" w:cs="Arial"/>
                <w:bCs/>
                <w:color w:val="000000"/>
                <w:sz w:val="18"/>
                <w:szCs w:val="18"/>
              </w:rPr>
              <w:t xml:space="preserve">730 – 807 </w:t>
            </w:r>
          </w:p>
          <w:p w14:paraId="6F9ACA09" w14:textId="77777777" w:rsidR="004912DC" w:rsidRPr="000F166D" w:rsidRDefault="004912DC" w:rsidP="00906890">
            <w:pPr>
              <w:autoSpaceDE w:val="0"/>
              <w:autoSpaceDN w:val="0"/>
              <w:adjustRightInd w:val="0"/>
              <w:jc w:val="both"/>
              <w:rPr>
                <w:rFonts w:eastAsia="Calibri" w:cs="Arial"/>
                <w:color w:val="000000"/>
                <w:sz w:val="18"/>
                <w:szCs w:val="18"/>
              </w:rPr>
            </w:pPr>
          </w:p>
        </w:tc>
        <w:tc>
          <w:tcPr>
            <w:tcW w:w="1545" w:type="dxa"/>
            <w:vMerge w:val="restart"/>
            <w:shd w:val="clear" w:color="auto" w:fill="BDD6EE" w:themeFill="accent1" w:themeFillTint="66"/>
          </w:tcPr>
          <w:p w14:paraId="2045A85E" w14:textId="77777777" w:rsidR="004912DC" w:rsidRPr="000F166D" w:rsidRDefault="004912DC" w:rsidP="00906890">
            <w:pPr>
              <w:autoSpaceDE w:val="0"/>
              <w:autoSpaceDN w:val="0"/>
              <w:adjustRightInd w:val="0"/>
              <w:jc w:val="both"/>
              <w:rPr>
                <w:rFonts w:eastAsia="Calibri" w:cs="Arial"/>
                <w:color w:val="000000"/>
                <w:sz w:val="18"/>
                <w:szCs w:val="18"/>
              </w:rPr>
            </w:pPr>
            <w:r w:rsidRPr="000F166D">
              <w:rPr>
                <w:rFonts w:eastAsia="Calibri" w:cs="Arial"/>
                <w:color w:val="000000"/>
                <w:sz w:val="18"/>
                <w:szCs w:val="18"/>
              </w:rPr>
              <w:t xml:space="preserve">Portfeljske garancije, </w:t>
            </w:r>
            <w:r w:rsidRPr="000F166D">
              <w:rPr>
                <w:rFonts w:eastAsia="Calibri" w:cs="Arial"/>
                <w:color w:val="000000"/>
                <w:sz w:val="18"/>
                <w:szCs w:val="18"/>
              </w:rPr>
              <w:lastRenderedPageBreak/>
              <w:t>vključno z mikrogarancijami</w:t>
            </w:r>
          </w:p>
        </w:tc>
        <w:tc>
          <w:tcPr>
            <w:tcW w:w="1192" w:type="dxa"/>
            <w:vMerge w:val="restart"/>
            <w:shd w:val="clear" w:color="auto" w:fill="auto"/>
          </w:tcPr>
          <w:p w14:paraId="2B58E39C" w14:textId="77777777" w:rsidR="004912DC" w:rsidRPr="000F166D" w:rsidRDefault="004912DC" w:rsidP="00906890">
            <w:pPr>
              <w:autoSpaceDE w:val="0"/>
              <w:autoSpaceDN w:val="0"/>
              <w:adjustRightInd w:val="0"/>
              <w:jc w:val="both"/>
              <w:rPr>
                <w:rFonts w:eastAsia="Calibri" w:cs="Arial"/>
                <w:color w:val="000000"/>
                <w:sz w:val="18"/>
                <w:szCs w:val="18"/>
              </w:rPr>
            </w:pPr>
            <w:r w:rsidRPr="000F166D">
              <w:rPr>
                <w:rFonts w:eastAsia="Calibri" w:cs="Arial"/>
                <w:color w:val="000000"/>
                <w:sz w:val="18"/>
                <w:szCs w:val="18"/>
              </w:rPr>
              <w:lastRenderedPageBreak/>
              <w:t>96 mio EUR (MSP)</w:t>
            </w:r>
          </w:p>
          <w:p w14:paraId="0C2099C3" w14:textId="77777777" w:rsidR="004912DC" w:rsidRPr="000F166D" w:rsidRDefault="004912DC" w:rsidP="00906890">
            <w:pPr>
              <w:autoSpaceDE w:val="0"/>
              <w:autoSpaceDN w:val="0"/>
              <w:adjustRightInd w:val="0"/>
              <w:jc w:val="both"/>
              <w:rPr>
                <w:rFonts w:eastAsia="Calibri" w:cs="Arial"/>
                <w:color w:val="000000"/>
                <w:sz w:val="18"/>
                <w:szCs w:val="18"/>
              </w:rPr>
            </w:pPr>
          </w:p>
          <w:p w14:paraId="59B78942" w14:textId="77777777" w:rsidR="004912DC" w:rsidRPr="000F166D" w:rsidRDefault="004912DC" w:rsidP="00906890">
            <w:pPr>
              <w:autoSpaceDE w:val="0"/>
              <w:autoSpaceDN w:val="0"/>
              <w:adjustRightInd w:val="0"/>
              <w:jc w:val="both"/>
              <w:rPr>
                <w:rFonts w:eastAsia="Calibri" w:cs="Arial"/>
                <w:color w:val="000000"/>
                <w:sz w:val="18"/>
                <w:szCs w:val="18"/>
              </w:rPr>
            </w:pPr>
            <w:r w:rsidRPr="000F166D">
              <w:rPr>
                <w:rFonts w:eastAsia="Calibri" w:cs="Arial"/>
                <w:color w:val="000000"/>
                <w:sz w:val="18"/>
                <w:szCs w:val="18"/>
              </w:rPr>
              <w:t>60 mio EUR (snovna in energetska učinkovitost)</w:t>
            </w:r>
          </w:p>
        </w:tc>
        <w:tc>
          <w:tcPr>
            <w:tcW w:w="1192" w:type="dxa"/>
            <w:shd w:val="clear" w:color="auto" w:fill="BDD6EE" w:themeFill="accent1" w:themeFillTint="66"/>
          </w:tcPr>
          <w:p w14:paraId="71198463" w14:textId="77777777" w:rsidR="004912DC" w:rsidRPr="000F166D" w:rsidRDefault="004912DC" w:rsidP="00906890">
            <w:pPr>
              <w:autoSpaceDE w:val="0"/>
              <w:autoSpaceDN w:val="0"/>
              <w:adjustRightInd w:val="0"/>
              <w:jc w:val="both"/>
              <w:rPr>
                <w:rFonts w:eastAsia="Calibri" w:cs="Arial"/>
                <w:color w:val="000000"/>
                <w:sz w:val="18"/>
                <w:szCs w:val="18"/>
              </w:rPr>
            </w:pPr>
            <w:r w:rsidRPr="000F166D">
              <w:rPr>
                <w:rFonts w:eastAsia="Calibri" w:cs="Arial"/>
                <w:color w:val="000000"/>
                <w:sz w:val="18"/>
                <w:szCs w:val="18"/>
              </w:rPr>
              <w:lastRenderedPageBreak/>
              <w:t>40 mio EUR</w:t>
            </w:r>
          </w:p>
        </w:tc>
        <w:tc>
          <w:tcPr>
            <w:tcW w:w="1800" w:type="dxa"/>
            <w:shd w:val="clear" w:color="auto" w:fill="auto"/>
          </w:tcPr>
          <w:p w14:paraId="7AF8BAE1" w14:textId="77777777" w:rsidR="004912DC" w:rsidRPr="000F166D" w:rsidRDefault="004912DC" w:rsidP="00906890">
            <w:pPr>
              <w:autoSpaceDE w:val="0"/>
              <w:autoSpaceDN w:val="0"/>
              <w:adjustRightInd w:val="0"/>
              <w:jc w:val="both"/>
              <w:rPr>
                <w:rFonts w:eastAsia="Calibri" w:cs="Arial"/>
                <w:color w:val="000000"/>
                <w:sz w:val="18"/>
                <w:szCs w:val="18"/>
              </w:rPr>
            </w:pPr>
            <w:r w:rsidRPr="000F166D">
              <w:rPr>
                <w:rFonts w:eastAsia="Calibri" w:cs="Arial"/>
                <w:color w:val="000000"/>
                <w:sz w:val="18"/>
                <w:szCs w:val="18"/>
              </w:rPr>
              <w:t>MSP</w:t>
            </w:r>
          </w:p>
        </w:tc>
        <w:tc>
          <w:tcPr>
            <w:tcW w:w="1359" w:type="dxa"/>
            <w:shd w:val="clear" w:color="auto" w:fill="BDD6EE" w:themeFill="accent1" w:themeFillTint="66"/>
          </w:tcPr>
          <w:p w14:paraId="33263FC0" w14:textId="77777777" w:rsidR="004912DC" w:rsidRPr="000F166D" w:rsidRDefault="004912DC" w:rsidP="00906890">
            <w:pPr>
              <w:autoSpaceDE w:val="0"/>
              <w:autoSpaceDN w:val="0"/>
              <w:adjustRightInd w:val="0"/>
              <w:jc w:val="both"/>
              <w:rPr>
                <w:rFonts w:eastAsia="Calibri" w:cs="Arial"/>
                <w:color w:val="000000"/>
                <w:sz w:val="18"/>
                <w:szCs w:val="18"/>
              </w:rPr>
            </w:pPr>
            <w:r w:rsidRPr="000F166D">
              <w:rPr>
                <w:rFonts w:eastAsia="Calibri" w:cs="Arial"/>
                <w:color w:val="000000"/>
                <w:sz w:val="18"/>
                <w:szCs w:val="18"/>
              </w:rPr>
              <w:t>MSP</w:t>
            </w:r>
          </w:p>
        </w:tc>
      </w:tr>
      <w:tr w:rsidR="004912DC" w:rsidRPr="000F166D" w14:paraId="17F17C0B" w14:textId="77777777" w:rsidTr="00906890">
        <w:trPr>
          <w:trHeight w:val="750"/>
        </w:trPr>
        <w:tc>
          <w:tcPr>
            <w:tcW w:w="1133" w:type="dxa"/>
            <w:vMerge/>
          </w:tcPr>
          <w:p w14:paraId="0DE526D7" w14:textId="77777777" w:rsidR="004912DC" w:rsidRPr="000F166D" w:rsidRDefault="004912DC" w:rsidP="00906890">
            <w:pPr>
              <w:autoSpaceDE w:val="0"/>
              <w:autoSpaceDN w:val="0"/>
              <w:adjustRightInd w:val="0"/>
              <w:jc w:val="both"/>
              <w:rPr>
                <w:rFonts w:eastAsia="Calibri" w:cs="Arial"/>
                <w:color w:val="000000"/>
                <w:sz w:val="18"/>
                <w:szCs w:val="18"/>
              </w:rPr>
            </w:pPr>
          </w:p>
        </w:tc>
        <w:tc>
          <w:tcPr>
            <w:tcW w:w="1163" w:type="dxa"/>
          </w:tcPr>
          <w:p w14:paraId="2B0FC3A0" w14:textId="77777777" w:rsidR="004912DC" w:rsidRPr="000F166D" w:rsidRDefault="004912DC" w:rsidP="00906890">
            <w:pPr>
              <w:autoSpaceDE w:val="0"/>
              <w:autoSpaceDN w:val="0"/>
              <w:adjustRightInd w:val="0"/>
              <w:jc w:val="both"/>
              <w:rPr>
                <w:rFonts w:eastAsia="Calibri" w:cs="Arial"/>
                <w:color w:val="000000"/>
                <w:sz w:val="18"/>
                <w:szCs w:val="18"/>
              </w:rPr>
            </w:pPr>
            <w:r w:rsidRPr="000F166D">
              <w:rPr>
                <w:rFonts w:eastAsia="Calibri" w:cs="Arial"/>
                <w:color w:val="000000"/>
                <w:sz w:val="18"/>
                <w:szCs w:val="18"/>
              </w:rPr>
              <w:t>Srednje in dolgoročna posojila</w:t>
            </w:r>
          </w:p>
        </w:tc>
        <w:tc>
          <w:tcPr>
            <w:tcW w:w="1143" w:type="dxa"/>
          </w:tcPr>
          <w:p w14:paraId="16D08979" w14:textId="77777777" w:rsidR="004912DC" w:rsidRPr="000F166D" w:rsidRDefault="004912DC" w:rsidP="00906890">
            <w:pPr>
              <w:autoSpaceDE w:val="0"/>
              <w:autoSpaceDN w:val="0"/>
              <w:adjustRightInd w:val="0"/>
              <w:rPr>
                <w:rFonts w:eastAsia="Calibri" w:cs="Arial"/>
                <w:color w:val="000000"/>
                <w:sz w:val="18"/>
                <w:szCs w:val="18"/>
              </w:rPr>
            </w:pPr>
            <w:r w:rsidRPr="000F166D">
              <w:rPr>
                <w:rFonts w:eastAsia="Calibri" w:cs="Arial"/>
                <w:bCs/>
                <w:color w:val="000000"/>
                <w:sz w:val="18"/>
                <w:szCs w:val="18"/>
              </w:rPr>
              <w:t xml:space="preserve">1.196 – 1.322 </w:t>
            </w:r>
          </w:p>
          <w:p w14:paraId="5936B136" w14:textId="77777777" w:rsidR="004912DC" w:rsidRPr="000F166D" w:rsidRDefault="004912DC" w:rsidP="00906890">
            <w:pPr>
              <w:autoSpaceDE w:val="0"/>
              <w:autoSpaceDN w:val="0"/>
              <w:adjustRightInd w:val="0"/>
              <w:jc w:val="both"/>
              <w:rPr>
                <w:rFonts w:eastAsia="Calibri" w:cs="Arial"/>
                <w:color w:val="000000"/>
                <w:sz w:val="18"/>
                <w:szCs w:val="18"/>
              </w:rPr>
            </w:pPr>
          </w:p>
        </w:tc>
        <w:tc>
          <w:tcPr>
            <w:tcW w:w="1545" w:type="dxa"/>
            <w:vMerge/>
            <w:shd w:val="clear" w:color="auto" w:fill="BDD6EE" w:themeFill="accent1" w:themeFillTint="66"/>
          </w:tcPr>
          <w:p w14:paraId="22393EAF" w14:textId="77777777" w:rsidR="004912DC" w:rsidRPr="000F166D" w:rsidRDefault="004912DC" w:rsidP="00906890">
            <w:pPr>
              <w:autoSpaceDE w:val="0"/>
              <w:autoSpaceDN w:val="0"/>
              <w:adjustRightInd w:val="0"/>
              <w:jc w:val="both"/>
              <w:rPr>
                <w:rFonts w:eastAsia="Calibri" w:cs="Arial"/>
                <w:color w:val="000000"/>
                <w:sz w:val="18"/>
                <w:szCs w:val="18"/>
              </w:rPr>
            </w:pPr>
          </w:p>
        </w:tc>
        <w:tc>
          <w:tcPr>
            <w:tcW w:w="1192" w:type="dxa"/>
            <w:vMerge/>
            <w:shd w:val="clear" w:color="auto" w:fill="auto"/>
          </w:tcPr>
          <w:p w14:paraId="09267FCB" w14:textId="77777777" w:rsidR="004912DC" w:rsidRPr="000F166D" w:rsidRDefault="004912DC" w:rsidP="00906890">
            <w:pPr>
              <w:autoSpaceDE w:val="0"/>
              <w:autoSpaceDN w:val="0"/>
              <w:adjustRightInd w:val="0"/>
              <w:jc w:val="both"/>
              <w:rPr>
                <w:rFonts w:eastAsia="Calibri" w:cs="Arial"/>
                <w:color w:val="000000"/>
                <w:sz w:val="18"/>
                <w:szCs w:val="18"/>
              </w:rPr>
            </w:pPr>
          </w:p>
        </w:tc>
        <w:tc>
          <w:tcPr>
            <w:tcW w:w="1192" w:type="dxa"/>
            <w:shd w:val="clear" w:color="auto" w:fill="BDD6EE" w:themeFill="accent1" w:themeFillTint="66"/>
          </w:tcPr>
          <w:p w14:paraId="25013569" w14:textId="77777777" w:rsidR="004912DC" w:rsidRPr="000F166D" w:rsidRDefault="004912DC" w:rsidP="00906890">
            <w:pPr>
              <w:autoSpaceDE w:val="0"/>
              <w:autoSpaceDN w:val="0"/>
              <w:adjustRightInd w:val="0"/>
              <w:jc w:val="both"/>
              <w:rPr>
                <w:rFonts w:eastAsia="Calibri" w:cs="Arial"/>
                <w:color w:val="000000"/>
                <w:sz w:val="18"/>
                <w:szCs w:val="18"/>
              </w:rPr>
            </w:pPr>
            <w:r w:rsidRPr="000F166D">
              <w:rPr>
                <w:rFonts w:eastAsia="Calibri" w:cs="Arial"/>
                <w:color w:val="000000"/>
                <w:sz w:val="18"/>
                <w:szCs w:val="18"/>
              </w:rPr>
              <w:t>25 mio EUR (snovna in energetska učinkovitost)</w:t>
            </w:r>
          </w:p>
        </w:tc>
        <w:tc>
          <w:tcPr>
            <w:tcW w:w="1800" w:type="dxa"/>
            <w:shd w:val="clear" w:color="auto" w:fill="auto"/>
          </w:tcPr>
          <w:p w14:paraId="3A6ACC7F" w14:textId="77777777" w:rsidR="004912DC" w:rsidRPr="000F166D" w:rsidRDefault="004912DC" w:rsidP="00906890">
            <w:pPr>
              <w:autoSpaceDE w:val="0"/>
              <w:autoSpaceDN w:val="0"/>
              <w:adjustRightInd w:val="0"/>
              <w:jc w:val="both"/>
              <w:rPr>
                <w:rFonts w:eastAsia="Calibri" w:cs="Arial"/>
                <w:color w:val="000000"/>
                <w:sz w:val="18"/>
                <w:szCs w:val="18"/>
              </w:rPr>
            </w:pPr>
            <w:r w:rsidRPr="000F166D">
              <w:rPr>
                <w:rFonts w:eastAsia="Calibri" w:cs="Arial"/>
                <w:color w:val="000000"/>
                <w:sz w:val="18"/>
                <w:szCs w:val="18"/>
              </w:rPr>
              <w:t>MSP</w:t>
            </w:r>
          </w:p>
        </w:tc>
        <w:tc>
          <w:tcPr>
            <w:tcW w:w="1359" w:type="dxa"/>
            <w:shd w:val="clear" w:color="auto" w:fill="BDD6EE" w:themeFill="accent1" w:themeFillTint="66"/>
          </w:tcPr>
          <w:p w14:paraId="2E33E553" w14:textId="77777777" w:rsidR="004912DC" w:rsidRPr="000F166D" w:rsidRDefault="004912DC" w:rsidP="00906890">
            <w:pPr>
              <w:autoSpaceDE w:val="0"/>
              <w:autoSpaceDN w:val="0"/>
              <w:adjustRightInd w:val="0"/>
              <w:jc w:val="both"/>
              <w:rPr>
                <w:rFonts w:eastAsia="Calibri" w:cs="Arial"/>
                <w:color w:val="000000"/>
                <w:sz w:val="18"/>
                <w:szCs w:val="18"/>
              </w:rPr>
            </w:pPr>
            <w:r w:rsidRPr="000F166D">
              <w:rPr>
                <w:rFonts w:eastAsia="Calibri" w:cs="Arial"/>
                <w:color w:val="000000"/>
                <w:sz w:val="18"/>
                <w:szCs w:val="18"/>
              </w:rPr>
              <w:t>MSP</w:t>
            </w:r>
          </w:p>
        </w:tc>
      </w:tr>
      <w:tr w:rsidR="004912DC" w:rsidRPr="000F166D" w14:paraId="73208474" w14:textId="77777777" w:rsidTr="00906890">
        <w:trPr>
          <w:trHeight w:val="584"/>
        </w:trPr>
        <w:tc>
          <w:tcPr>
            <w:tcW w:w="1133" w:type="dxa"/>
            <w:vMerge/>
          </w:tcPr>
          <w:p w14:paraId="26307223" w14:textId="77777777" w:rsidR="004912DC" w:rsidRPr="000F166D" w:rsidRDefault="004912DC" w:rsidP="00906890">
            <w:pPr>
              <w:autoSpaceDE w:val="0"/>
              <w:autoSpaceDN w:val="0"/>
              <w:adjustRightInd w:val="0"/>
              <w:jc w:val="both"/>
              <w:rPr>
                <w:rFonts w:eastAsia="Calibri" w:cs="Arial"/>
                <w:color w:val="000000"/>
                <w:sz w:val="18"/>
                <w:szCs w:val="18"/>
              </w:rPr>
            </w:pPr>
          </w:p>
        </w:tc>
        <w:tc>
          <w:tcPr>
            <w:tcW w:w="1163" w:type="dxa"/>
          </w:tcPr>
          <w:p w14:paraId="2B976EC6" w14:textId="77777777" w:rsidR="004912DC" w:rsidRPr="000F166D" w:rsidRDefault="004912DC" w:rsidP="00906890">
            <w:pPr>
              <w:autoSpaceDE w:val="0"/>
              <w:autoSpaceDN w:val="0"/>
              <w:adjustRightInd w:val="0"/>
              <w:jc w:val="both"/>
              <w:rPr>
                <w:rFonts w:eastAsia="Calibri" w:cs="Arial"/>
                <w:color w:val="000000"/>
                <w:sz w:val="18"/>
                <w:szCs w:val="18"/>
              </w:rPr>
            </w:pPr>
            <w:r w:rsidRPr="000F166D">
              <w:rPr>
                <w:rFonts w:eastAsia="Calibri" w:cs="Arial"/>
                <w:color w:val="000000"/>
                <w:sz w:val="18"/>
                <w:szCs w:val="18"/>
              </w:rPr>
              <w:t>Lastniško financiranje</w:t>
            </w:r>
          </w:p>
        </w:tc>
        <w:tc>
          <w:tcPr>
            <w:tcW w:w="1143" w:type="dxa"/>
          </w:tcPr>
          <w:p w14:paraId="6B817566" w14:textId="77777777" w:rsidR="004912DC" w:rsidRPr="000F166D" w:rsidRDefault="004912DC" w:rsidP="00906890">
            <w:pPr>
              <w:autoSpaceDE w:val="0"/>
              <w:autoSpaceDN w:val="0"/>
              <w:adjustRightInd w:val="0"/>
              <w:rPr>
                <w:rFonts w:eastAsia="Calibri" w:cs="Arial"/>
                <w:color w:val="000000"/>
                <w:sz w:val="18"/>
                <w:szCs w:val="18"/>
              </w:rPr>
            </w:pPr>
            <w:r w:rsidRPr="000F166D">
              <w:rPr>
                <w:rFonts w:eastAsia="Calibri" w:cs="Arial"/>
                <w:bCs/>
                <w:color w:val="000000"/>
                <w:sz w:val="18"/>
                <w:szCs w:val="18"/>
              </w:rPr>
              <w:t xml:space="preserve">14 – 92 </w:t>
            </w:r>
          </w:p>
          <w:p w14:paraId="6081B13B" w14:textId="77777777" w:rsidR="004912DC" w:rsidRPr="000F166D" w:rsidRDefault="004912DC" w:rsidP="00906890">
            <w:pPr>
              <w:autoSpaceDE w:val="0"/>
              <w:autoSpaceDN w:val="0"/>
              <w:adjustRightInd w:val="0"/>
              <w:jc w:val="both"/>
              <w:rPr>
                <w:rFonts w:eastAsia="Calibri" w:cs="Arial"/>
                <w:color w:val="000000"/>
                <w:sz w:val="18"/>
                <w:szCs w:val="18"/>
              </w:rPr>
            </w:pPr>
          </w:p>
        </w:tc>
        <w:tc>
          <w:tcPr>
            <w:tcW w:w="1545" w:type="dxa"/>
            <w:shd w:val="clear" w:color="auto" w:fill="BDD6EE" w:themeFill="accent1" w:themeFillTint="66"/>
          </w:tcPr>
          <w:p w14:paraId="6A7902EA" w14:textId="77777777" w:rsidR="004912DC" w:rsidRPr="000F166D" w:rsidRDefault="004912DC" w:rsidP="00906890">
            <w:pPr>
              <w:autoSpaceDE w:val="0"/>
              <w:autoSpaceDN w:val="0"/>
              <w:adjustRightInd w:val="0"/>
              <w:jc w:val="both"/>
              <w:rPr>
                <w:rFonts w:eastAsia="Calibri" w:cs="Arial"/>
                <w:color w:val="000000"/>
                <w:sz w:val="18"/>
                <w:szCs w:val="18"/>
              </w:rPr>
            </w:pPr>
            <w:r w:rsidRPr="000F166D">
              <w:rPr>
                <w:rFonts w:eastAsia="Calibri" w:cs="Arial"/>
                <w:color w:val="000000"/>
                <w:sz w:val="18"/>
                <w:szCs w:val="18"/>
              </w:rPr>
              <w:t>Lastniško financiranje, kvazi-lastniško financiranje</w:t>
            </w:r>
          </w:p>
        </w:tc>
        <w:tc>
          <w:tcPr>
            <w:tcW w:w="1192" w:type="dxa"/>
            <w:shd w:val="clear" w:color="auto" w:fill="auto"/>
          </w:tcPr>
          <w:p w14:paraId="3F71CD15" w14:textId="77777777" w:rsidR="004912DC" w:rsidRPr="000F166D" w:rsidRDefault="004912DC" w:rsidP="00906890">
            <w:pPr>
              <w:autoSpaceDE w:val="0"/>
              <w:autoSpaceDN w:val="0"/>
              <w:adjustRightInd w:val="0"/>
              <w:jc w:val="both"/>
              <w:rPr>
                <w:rFonts w:eastAsia="Calibri" w:cs="Arial"/>
                <w:sz w:val="18"/>
                <w:szCs w:val="18"/>
              </w:rPr>
            </w:pPr>
          </w:p>
          <w:p w14:paraId="0BD5850F" w14:textId="77777777" w:rsidR="004912DC" w:rsidRPr="000F166D" w:rsidRDefault="004912DC" w:rsidP="00906890">
            <w:pPr>
              <w:autoSpaceDE w:val="0"/>
              <w:autoSpaceDN w:val="0"/>
              <w:adjustRightInd w:val="0"/>
              <w:jc w:val="both"/>
              <w:rPr>
                <w:rFonts w:eastAsia="Calibri" w:cs="Arial"/>
                <w:sz w:val="18"/>
                <w:szCs w:val="18"/>
              </w:rPr>
            </w:pPr>
          </w:p>
          <w:p w14:paraId="195E4F8B" w14:textId="77777777" w:rsidR="004912DC" w:rsidRPr="000F166D" w:rsidRDefault="004912DC" w:rsidP="00906890">
            <w:pPr>
              <w:autoSpaceDE w:val="0"/>
              <w:autoSpaceDN w:val="0"/>
              <w:adjustRightInd w:val="0"/>
              <w:jc w:val="both"/>
              <w:rPr>
                <w:rFonts w:eastAsia="Calibri" w:cs="Arial"/>
                <w:sz w:val="18"/>
                <w:szCs w:val="18"/>
              </w:rPr>
            </w:pPr>
            <w:r w:rsidRPr="000F166D">
              <w:rPr>
                <w:rFonts w:eastAsia="Calibri" w:cs="Arial"/>
                <w:sz w:val="18"/>
                <w:szCs w:val="18"/>
              </w:rPr>
              <w:t>20 mio EUR (MSP)</w:t>
            </w:r>
          </w:p>
        </w:tc>
        <w:tc>
          <w:tcPr>
            <w:tcW w:w="1192" w:type="dxa"/>
            <w:shd w:val="clear" w:color="auto" w:fill="BDD6EE" w:themeFill="accent1" w:themeFillTint="66"/>
          </w:tcPr>
          <w:p w14:paraId="521E38B9" w14:textId="77777777" w:rsidR="004912DC" w:rsidRPr="000F166D" w:rsidRDefault="004912DC" w:rsidP="00906890">
            <w:pPr>
              <w:autoSpaceDE w:val="0"/>
              <w:autoSpaceDN w:val="0"/>
              <w:adjustRightInd w:val="0"/>
              <w:jc w:val="both"/>
              <w:rPr>
                <w:rFonts w:eastAsia="Calibri" w:cs="Arial"/>
                <w:sz w:val="18"/>
                <w:szCs w:val="18"/>
              </w:rPr>
            </w:pPr>
            <w:r w:rsidRPr="000F166D">
              <w:rPr>
                <w:rFonts w:eastAsia="Calibri" w:cs="Arial"/>
                <w:sz w:val="18"/>
                <w:szCs w:val="18"/>
              </w:rPr>
              <w:t>10 mio EUR</w:t>
            </w:r>
          </w:p>
        </w:tc>
        <w:tc>
          <w:tcPr>
            <w:tcW w:w="1800" w:type="dxa"/>
            <w:shd w:val="clear" w:color="auto" w:fill="auto"/>
          </w:tcPr>
          <w:p w14:paraId="6C72F802" w14:textId="77777777" w:rsidR="004912DC" w:rsidRPr="000F166D" w:rsidRDefault="004912DC" w:rsidP="00906890">
            <w:pPr>
              <w:autoSpaceDE w:val="0"/>
              <w:autoSpaceDN w:val="0"/>
              <w:adjustRightInd w:val="0"/>
              <w:jc w:val="both"/>
              <w:rPr>
                <w:rFonts w:eastAsia="Calibri" w:cs="Arial"/>
                <w:sz w:val="18"/>
                <w:szCs w:val="18"/>
              </w:rPr>
            </w:pPr>
            <w:r w:rsidRPr="000F166D">
              <w:rPr>
                <w:rFonts w:eastAsia="Calibri" w:cs="Arial"/>
                <w:sz w:val="18"/>
                <w:szCs w:val="18"/>
              </w:rPr>
              <w:t>MSP</w:t>
            </w:r>
          </w:p>
        </w:tc>
        <w:tc>
          <w:tcPr>
            <w:tcW w:w="1359" w:type="dxa"/>
            <w:shd w:val="clear" w:color="auto" w:fill="BDD6EE" w:themeFill="accent1" w:themeFillTint="66"/>
          </w:tcPr>
          <w:p w14:paraId="11A146A9" w14:textId="77777777" w:rsidR="004912DC" w:rsidRPr="000F166D" w:rsidRDefault="004912DC" w:rsidP="00906890">
            <w:pPr>
              <w:autoSpaceDE w:val="0"/>
              <w:autoSpaceDN w:val="0"/>
              <w:adjustRightInd w:val="0"/>
              <w:jc w:val="both"/>
              <w:rPr>
                <w:rFonts w:eastAsia="Calibri" w:cs="Arial"/>
                <w:sz w:val="18"/>
                <w:szCs w:val="18"/>
              </w:rPr>
            </w:pPr>
            <w:r w:rsidRPr="000F166D">
              <w:rPr>
                <w:rFonts w:eastAsia="Calibri" w:cs="Arial"/>
                <w:sz w:val="18"/>
                <w:szCs w:val="18"/>
              </w:rPr>
              <w:t>MSP</w:t>
            </w:r>
          </w:p>
        </w:tc>
      </w:tr>
      <w:tr w:rsidR="004912DC" w:rsidRPr="000F166D" w14:paraId="4096E2DB" w14:textId="77777777" w:rsidTr="00906890">
        <w:trPr>
          <w:trHeight w:val="383"/>
        </w:trPr>
        <w:tc>
          <w:tcPr>
            <w:tcW w:w="1133" w:type="dxa"/>
            <w:vMerge w:val="restart"/>
          </w:tcPr>
          <w:p w14:paraId="418645C9" w14:textId="77777777" w:rsidR="004912DC" w:rsidRPr="000F166D" w:rsidRDefault="004912DC" w:rsidP="00906890">
            <w:pPr>
              <w:autoSpaceDE w:val="0"/>
              <w:autoSpaceDN w:val="0"/>
              <w:adjustRightInd w:val="0"/>
              <w:jc w:val="both"/>
              <w:rPr>
                <w:rFonts w:eastAsia="Calibri" w:cs="Arial"/>
                <w:color w:val="000000"/>
                <w:sz w:val="18"/>
                <w:szCs w:val="18"/>
              </w:rPr>
            </w:pPr>
            <w:r w:rsidRPr="000F166D">
              <w:rPr>
                <w:rFonts w:eastAsia="Calibri" w:cs="Arial"/>
                <w:color w:val="000000"/>
                <w:sz w:val="18"/>
                <w:szCs w:val="18"/>
              </w:rPr>
              <w:t>Energetska</w:t>
            </w:r>
            <w:r>
              <w:rPr>
                <w:rFonts w:eastAsia="Calibri" w:cs="Arial"/>
                <w:color w:val="000000"/>
                <w:sz w:val="18"/>
                <w:szCs w:val="18"/>
              </w:rPr>
              <w:t xml:space="preserve">                         </w:t>
            </w:r>
            <w:r w:rsidRPr="000F166D">
              <w:rPr>
                <w:rFonts w:eastAsia="Calibri" w:cs="Arial"/>
                <w:color w:val="000000"/>
                <w:sz w:val="18"/>
                <w:szCs w:val="18"/>
              </w:rPr>
              <w:t xml:space="preserve"> učinkovitost</w:t>
            </w:r>
          </w:p>
        </w:tc>
        <w:tc>
          <w:tcPr>
            <w:tcW w:w="1163" w:type="dxa"/>
          </w:tcPr>
          <w:p w14:paraId="572FFC5F" w14:textId="77777777" w:rsidR="004912DC" w:rsidRPr="000F166D" w:rsidRDefault="004912DC" w:rsidP="00906890">
            <w:pPr>
              <w:autoSpaceDE w:val="0"/>
              <w:autoSpaceDN w:val="0"/>
              <w:adjustRightInd w:val="0"/>
              <w:jc w:val="both"/>
              <w:rPr>
                <w:rFonts w:eastAsia="Calibri" w:cs="Arial"/>
                <w:color w:val="000000"/>
                <w:sz w:val="18"/>
                <w:szCs w:val="18"/>
              </w:rPr>
            </w:pPr>
            <w:r w:rsidRPr="000F166D">
              <w:rPr>
                <w:rFonts w:eastAsia="Calibri" w:cs="Arial"/>
                <w:color w:val="000000"/>
                <w:sz w:val="18"/>
                <w:szCs w:val="18"/>
              </w:rPr>
              <w:t>Posojila</w:t>
            </w:r>
          </w:p>
        </w:tc>
        <w:tc>
          <w:tcPr>
            <w:tcW w:w="1143" w:type="dxa"/>
          </w:tcPr>
          <w:p w14:paraId="66F1A5DF" w14:textId="77777777" w:rsidR="004912DC" w:rsidRPr="000F166D" w:rsidRDefault="004912DC" w:rsidP="00906890">
            <w:pPr>
              <w:autoSpaceDE w:val="0"/>
              <w:autoSpaceDN w:val="0"/>
              <w:adjustRightInd w:val="0"/>
              <w:rPr>
                <w:rFonts w:eastAsia="Calibri" w:cs="Arial"/>
                <w:color w:val="000000"/>
                <w:sz w:val="18"/>
                <w:szCs w:val="18"/>
              </w:rPr>
            </w:pPr>
            <w:r w:rsidRPr="000F166D">
              <w:rPr>
                <w:rFonts w:eastAsia="Calibri" w:cs="Arial"/>
                <w:bCs/>
                <w:color w:val="000000"/>
                <w:sz w:val="18"/>
                <w:szCs w:val="18"/>
              </w:rPr>
              <w:t xml:space="preserve">65-132 </w:t>
            </w:r>
          </w:p>
          <w:p w14:paraId="5F75424A" w14:textId="77777777" w:rsidR="004912DC" w:rsidRPr="000F166D" w:rsidRDefault="004912DC" w:rsidP="00906890">
            <w:pPr>
              <w:autoSpaceDE w:val="0"/>
              <w:autoSpaceDN w:val="0"/>
              <w:adjustRightInd w:val="0"/>
              <w:jc w:val="both"/>
              <w:rPr>
                <w:rFonts w:eastAsia="Calibri" w:cs="Arial"/>
                <w:color w:val="000000"/>
                <w:sz w:val="18"/>
                <w:szCs w:val="18"/>
              </w:rPr>
            </w:pPr>
          </w:p>
        </w:tc>
        <w:tc>
          <w:tcPr>
            <w:tcW w:w="1545" w:type="dxa"/>
            <w:vMerge w:val="restart"/>
            <w:shd w:val="clear" w:color="auto" w:fill="BDD6EE" w:themeFill="accent1" w:themeFillTint="66"/>
          </w:tcPr>
          <w:p w14:paraId="307CE866" w14:textId="77777777" w:rsidR="004912DC" w:rsidRPr="000F166D" w:rsidRDefault="004912DC" w:rsidP="00906890">
            <w:pPr>
              <w:autoSpaceDE w:val="0"/>
              <w:autoSpaceDN w:val="0"/>
              <w:adjustRightInd w:val="0"/>
              <w:jc w:val="both"/>
              <w:rPr>
                <w:rFonts w:eastAsia="Calibri" w:cs="Arial"/>
                <w:color w:val="000000"/>
                <w:sz w:val="18"/>
                <w:szCs w:val="18"/>
              </w:rPr>
            </w:pPr>
            <w:r w:rsidRPr="000F166D">
              <w:rPr>
                <w:rFonts w:eastAsia="Calibri" w:cs="Arial"/>
                <w:color w:val="000000"/>
                <w:sz w:val="18"/>
                <w:szCs w:val="18"/>
              </w:rPr>
              <w:t>Posojila za celovito energetsko prenovo javnih</w:t>
            </w:r>
            <w:r>
              <w:rPr>
                <w:rFonts w:eastAsia="Calibri" w:cs="Arial"/>
                <w:color w:val="000000"/>
                <w:sz w:val="18"/>
                <w:szCs w:val="18"/>
              </w:rPr>
              <w:t xml:space="preserve"> </w:t>
            </w:r>
            <w:r w:rsidRPr="000F166D">
              <w:rPr>
                <w:rFonts w:eastAsia="Calibri" w:cs="Arial"/>
                <w:color w:val="000000"/>
                <w:sz w:val="18"/>
                <w:szCs w:val="18"/>
              </w:rPr>
              <w:t>stavb</w:t>
            </w:r>
          </w:p>
        </w:tc>
        <w:tc>
          <w:tcPr>
            <w:tcW w:w="1192" w:type="dxa"/>
            <w:vMerge w:val="restart"/>
            <w:shd w:val="clear" w:color="auto" w:fill="auto"/>
          </w:tcPr>
          <w:p w14:paraId="42EC70E3" w14:textId="77777777" w:rsidR="004912DC" w:rsidRPr="000F166D" w:rsidRDefault="004912DC" w:rsidP="00906890">
            <w:pPr>
              <w:autoSpaceDE w:val="0"/>
              <w:autoSpaceDN w:val="0"/>
              <w:adjustRightInd w:val="0"/>
              <w:jc w:val="both"/>
              <w:rPr>
                <w:rFonts w:eastAsia="Calibri" w:cs="Arial"/>
                <w:color w:val="000000"/>
                <w:sz w:val="18"/>
                <w:szCs w:val="18"/>
              </w:rPr>
            </w:pPr>
          </w:p>
          <w:p w14:paraId="03B39A85" w14:textId="77777777" w:rsidR="004912DC" w:rsidRPr="000F166D" w:rsidRDefault="004912DC" w:rsidP="00906890">
            <w:pPr>
              <w:autoSpaceDE w:val="0"/>
              <w:autoSpaceDN w:val="0"/>
              <w:adjustRightInd w:val="0"/>
              <w:jc w:val="both"/>
              <w:rPr>
                <w:rFonts w:eastAsia="Calibri" w:cs="Arial"/>
                <w:color w:val="000000"/>
                <w:sz w:val="18"/>
                <w:szCs w:val="18"/>
              </w:rPr>
            </w:pPr>
          </w:p>
          <w:p w14:paraId="1C3BA2EE" w14:textId="77777777" w:rsidR="004912DC" w:rsidRPr="000F166D" w:rsidRDefault="004912DC" w:rsidP="00906890">
            <w:pPr>
              <w:autoSpaceDE w:val="0"/>
              <w:autoSpaceDN w:val="0"/>
              <w:adjustRightInd w:val="0"/>
              <w:jc w:val="both"/>
              <w:rPr>
                <w:rFonts w:eastAsia="Calibri" w:cs="Arial"/>
                <w:color w:val="000000"/>
                <w:sz w:val="18"/>
                <w:szCs w:val="18"/>
              </w:rPr>
            </w:pPr>
          </w:p>
          <w:p w14:paraId="36E64A4C" w14:textId="77777777" w:rsidR="004912DC" w:rsidRPr="000F166D" w:rsidRDefault="004912DC" w:rsidP="00906890">
            <w:pPr>
              <w:autoSpaceDE w:val="0"/>
              <w:autoSpaceDN w:val="0"/>
              <w:adjustRightInd w:val="0"/>
              <w:jc w:val="both"/>
              <w:rPr>
                <w:rFonts w:eastAsia="Calibri" w:cs="Arial"/>
                <w:color w:val="000000"/>
                <w:sz w:val="18"/>
                <w:szCs w:val="18"/>
              </w:rPr>
            </w:pPr>
          </w:p>
          <w:p w14:paraId="3BBD042D" w14:textId="77777777" w:rsidR="004912DC" w:rsidRPr="000F166D" w:rsidRDefault="004912DC" w:rsidP="00906890">
            <w:pPr>
              <w:autoSpaceDE w:val="0"/>
              <w:autoSpaceDN w:val="0"/>
              <w:adjustRightInd w:val="0"/>
              <w:jc w:val="both"/>
              <w:rPr>
                <w:rFonts w:eastAsia="Calibri" w:cs="Arial"/>
                <w:color w:val="000000"/>
                <w:sz w:val="18"/>
                <w:szCs w:val="18"/>
              </w:rPr>
            </w:pPr>
          </w:p>
          <w:p w14:paraId="5D55FF86" w14:textId="77777777" w:rsidR="004912DC" w:rsidRPr="000F166D" w:rsidRDefault="004912DC" w:rsidP="00906890">
            <w:pPr>
              <w:autoSpaceDE w:val="0"/>
              <w:autoSpaceDN w:val="0"/>
              <w:adjustRightInd w:val="0"/>
              <w:jc w:val="both"/>
              <w:rPr>
                <w:rFonts w:eastAsia="Calibri" w:cs="Arial"/>
                <w:color w:val="000000"/>
                <w:sz w:val="18"/>
                <w:szCs w:val="18"/>
              </w:rPr>
            </w:pPr>
            <w:r w:rsidRPr="000F166D">
              <w:rPr>
                <w:rFonts w:eastAsia="Calibri" w:cs="Arial"/>
                <w:color w:val="000000"/>
                <w:sz w:val="18"/>
                <w:szCs w:val="18"/>
              </w:rPr>
              <w:t>56 mio EUR</w:t>
            </w:r>
          </w:p>
        </w:tc>
        <w:tc>
          <w:tcPr>
            <w:tcW w:w="1192" w:type="dxa"/>
            <w:vMerge w:val="restart"/>
            <w:shd w:val="clear" w:color="auto" w:fill="BDD6EE" w:themeFill="accent1" w:themeFillTint="66"/>
          </w:tcPr>
          <w:p w14:paraId="473894F7" w14:textId="77777777" w:rsidR="004912DC" w:rsidRPr="000F166D" w:rsidRDefault="004912DC" w:rsidP="00906890">
            <w:pPr>
              <w:autoSpaceDE w:val="0"/>
              <w:autoSpaceDN w:val="0"/>
              <w:adjustRightInd w:val="0"/>
              <w:jc w:val="both"/>
              <w:rPr>
                <w:rFonts w:eastAsia="Calibri" w:cs="Arial"/>
                <w:color w:val="000000"/>
                <w:sz w:val="18"/>
                <w:szCs w:val="18"/>
              </w:rPr>
            </w:pPr>
            <w:r w:rsidRPr="000F166D">
              <w:rPr>
                <w:rFonts w:eastAsia="Calibri" w:cs="Arial"/>
                <w:color w:val="000000"/>
                <w:sz w:val="18"/>
                <w:szCs w:val="18"/>
              </w:rPr>
              <w:t xml:space="preserve"> 25 mio EUR</w:t>
            </w:r>
          </w:p>
          <w:p w14:paraId="60B7A70A" w14:textId="77777777" w:rsidR="004912DC" w:rsidRPr="000F166D" w:rsidRDefault="004912DC" w:rsidP="00906890">
            <w:pPr>
              <w:autoSpaceDE w:val="0"/>
              <w:autoSpaceDN w:val="0"/>
              <w:adjustRightInd w:val="0"/>
              <w:jc w:val="both"/>
              <w:rPr>
                <w:rFonts w:eastAsia="Calibri" w:cs="Arial"/>
                <w:color w:val="000000"/>
                <w:sz w:val="18"/>
                <w:szCs w:val="18"/>
              </w:rPr>
            </w:pPr>
            <w:r w:rsidRPr="000F166D">
              <w:rPr>
                <w:rFonts w:eastAsia="Calibri" w:cs="Arial"/>
                <w:color w:val="000000"/>
                <w:sz w:val="18"/>
                <w:szCs w:val="18"/>
              </w:rPr>
              <w:t xml:space="preserve"> </w:t>
            </w:r>
          </w:p>
          <w:p w14:paraId="00900646" w14:textId="77777777" w:rsidR="004912DC" w:rsidRPr="000F166D" w:rsidRDefault="004912DC" w:rsidP="00906890">
            <w:pPr>
              <w:autoSpaceDE w:val="0"/>
              <w:autoSpaceDN w:val="0"/>
              <w:adjustRightInd w:val="0"/>
              <w:jc w:val="both"/>
              <w:rPr>
                <w:rFonts w:eastAsia="Calibri" w:cs="Arial"/>
                <w:color w:val="000000"/>
                <w:sz w:val="18"/>
                <w:szCs w:val="18"/>
              </w:rPr>
            </w:pPr>
          </w:p>
        </w:tc>
        <w:tc>
          <w:tcPr>
            <w:tcW w:w="1800" w:type="dxa"/>
            <w:vMerge w:val="restart"/>
            <w:shd w:val="clear" w:color="auto" w:fill="auto"/>
          </w:tcPr>
          <w:p w14:paraId="304D6487" w14:textId="77777777" w:rsidR="004912DC" w:rsidRPr="000F166D" w:rsidRDefault="004912DC" w:rsidP="00906890">
            <w:pPr>
              <w:autoSpaceDE w:val="0"/>
              <w:autoSpaceDN w:val="0"/>
              <w:adjustRightInd w:val="0"/>
              <w:jc w:val="both"/>
              <w:rPr>
                <w:rFonts w:eastAsia="Calibri" w:cs="Arial"/>
                <w:color w:val="000000"/>
                <w:sz w:val="18"/>
                <w:szCs w:val="18"/>
              </w:rPr>
            </w:pPr>
            <w:r w:rsidRPr="000F166D">
              <w:rPr>
                <w:rFonts w:eastAsia="Calibri" w:cs="Arial"/>
                <w:color w:val="000000"/>
                <w:sz w:val="18"/>
                <w:szCs w:val="18"/>
              </w:rPr>
              <w:t>Osebe javnega in zasebnega prava</w:t>
            </w:r>
          </w:p>
          <w:p w14:paraId="24165242" w14:textId="77777777" w:rsidR="004912DC" w:rsidRPr="000F166D" w:rsidRDefault="004912DC" w:rsidP="00906890">
            <w:pPr>
              <w:autoSpaceDE w:val="0"/>
              <w:autoSpaceDN w:val="0"/>
              <w:adjustRightInd w:val="0"/>
              <w:jc w:val="both"/>
              <w:rPr>
                <w:rFonts w:eastAsia="Calibri" w:cs="Arial"/>
                <w:color w:val="000000"/>
                <w:sz w:val="18"/>
                <w:szCs w:val="18"/>
              </w:rPr>
            </w:pPr>
          </w:p>
          <w:p w14:paraId="075E6A56" w14:textId="77777777" w:rsidR="004912DC" w:rsidRPr="000F166D" w:rsidRDefault="004912DC" w:rsidP="00906890">
            <w:pPr>
              <w:autoSpaceDE w:val="0"/>
              <w:autoSpaceDN w:val="0"/>
              <w:adjustRightInd w:val="0"/>
              <w:jc w:val="both"/>
              <w:rPr>
                <w:rFonts w:eastAsia="Calibri" w:cs="Arial"/>
                <w:color w:val="000000"/>
                <w:sz w:val="18"/>
                <w:szCs w:val="18"/>
              </w:rPr>
            </w:pPr>
            <w:r w:rsidRPr="000F166D">
              <w:rPr>
                <w:rFonts w:eastAsia="Calibri" w:cs="Arial"/>
                <w:color w:val="000000"/>
                <w:sz w:val="18"/>
                <w:szCs w:val="18"/>
              </w:rPr>
              <w:t xml:space="preserve"> ESCO podjetja</w:t>
            </w:r>
          </w:p>
        </w:tc>
        <w:tc>
          <w:tcPr>
            <w:tcW w:w="1359" w:type="dxa"/>
            <w:vMerge w:val="restart"/>
            <w:shd w:val="clear" w:color="auto" w:fill="BDD6EE" w:themeFill="accent1" w:themeFillTint="66"/>
          </w:tcPr>
          <w:p w14:paraId="4C22117D" w14:textId="77777777" w:rsidR="004912DC" w:rsidRPr="000F166D" w:rsidRDefault="004912DC" w:rsidP="00906890">
            <w:pPr>
              <w:autoSpaceDE w:val="0"/>
              <w:autoSpaceDN w:val="0"/>
              <w:adjustRightInd w:val="0"/>
              <w:jc w:val="both"/>
              <w:rPr>
                <w:rFonts w:eastAsia="Calibri" w:cs="Arial"/>
                <w:color w:val="000000"/>
                <w:sz w:val="18"/>
                <w:szCs w:val="18"/>
              </w:rPr>
            </w:pPr>
            <w:r w:rsidRPr="000F166D">
              <w:rPr>
                <w:rFonts w:eastAsia="Calibri" w:cs="Arial"/>
                <w:color w:val="000000"/>
                <w:sz w:val="18"/>
                <w:szCs w:val="18"/>
              </w:rPr>
              <w:t>Javni sektor, ESCO podjetja</w:t>
            </w:r>
          </w:p>
          <w:p w14:paraId="5205B8FF" w14:textId="77777777" w:rsidR="004912DC" w:rsidRPr="000F166D" w:rsidRDefault="004912DC" w:rsidP="00906890">
            <w:pPr>
              <w:autoSpaceDE w:val="0"/>
              <w:autoSpaceDN w:val="0"/>
              <w:adjustRightInd w:val="0"/>
              <w:jc w:val="both"/>
              <w:rPr>
                <w:rFonts w:eastAsia="Calibri" w:cs="Arial"/>
                <w:color w:val="000000"/>
                <w:sz w:val="18"/>
                <w:szCs w:val="18"/>
              </w:rPr>
            </w:pPr>
          </w:p>
        </w:tc>
      </w:tr>
      <w:tr w:rsidR="004912DC" w:rsidRPr="000F166D" w14:paraId="6CCD7990" w14:textId="77777777" w:rsidTr="00906890">
        <w:trPr>
          <w:trHeight w:val="464"/>
        </w:trPr>
        <w:tc>
          <w:tcPr>
            <w:tcW w:w="1133" w:type="dxa"/>
            <w:vMerge/>
          </w:tcPr>
          <w:p w14:paraId="7789CBB0" w14:textId="77777777" w:rsidR="004912DC" w:rsidRPr="000F166D" w:rsidRDefault="004912DC" w:rsidP="00906890">
            <w:pPr>
              <w:autoSpaceDE w:val="0"/>
              <w:autoSpaceDN w:val="0"/>
              <w:adjustRightInd w:val="0"/>
              <w:jc w:val="both"/>
              <w:rPr>
                <w:rFonts w:eastAsia="Calibri" w:cs="Arial"/>
                <w:color w:val="000000"/>
                <w:sz w:val="18"/>
                <w:szCs w:val="18"/>
              </w:rPr>
            </w:pPr>
          </w:p>
        </w:tc>
        <w:tc>
          <w:tcPr>
            <w:tcW w:w="1163" w:type="dxa"/>
          </w:tcPr>
          <w:p w14:paraId="7C5820DC" w14:textId="77777777" w:rsidR="004912DC" w:rsidRPr="000F166D" w:rsidRDefault="004912DC" w:rsidP="00906890">
            <w:pPr>
              <w:autoSpaceDE w:val="0"/>
              <w:autoSpaceDN w:val="0"/>
              <w:adjustRightInd w:val="0"/>
              <w:jc w:val="both"/>
              <w:rPr>
                <w:rFonts w:eastAsia="Calibri" w:cs="Arial"/>
                <w:color w:val="000000"/>
                <w:sz w:val="18"/>
                <w:szCs w:val="18"/>
              </w:rPr>
            </w:pPr>
            <w:r w:rsidRPr="000F166D">
              <w:rPr>
                <w:rFonts w:eastAsia="Calibri" w:cs="Arial"/>
                <w:color w:val="000000"/>
                <w:sz w:val="18"/>
                <w:szCs w:val="18"/>
              </w:rPr>
              <w:t>Posojila</w:t>
            </w:r>
          </w:p>
        </w:tc>
        <w:tc>
          <w:tcPr>
            <w:tcW w:w="1143" w:type="dxa"/>
          </w:tcPr>
          <w:p w14:paraId="5BF196ED" w14:textId="77777777" w:rsidR="004912DC" w:rsidRPr="000F166D" w:rsidRDefault="004912DC" w:rsidP="00906890">
            <w:pPr>
              <w:autoSpaceDE w:val="0"/>
              <w:autoSpaceDN w:val="0"/>
              <w:adjustRightInd w:val="0"/>
              <w:rPr>
                <w:rFonts w:eastAsia="Calibri" w:cs="Arial"/>
                <w:color w:val="000000"/>
                <w:sz w:val="18"/>
                <w:szCs w:val="18"/>
              </w:rPr>
            </w:pPr>
            <w:r w:rsidRPr="000F166D">
              <w:rPr>
                <w:rFonts w:eastAsia="Calibri" w:cs="Arial"/>
                <w:bCs/>
                <w:color w:val="000000"/>
                <w:sz w:val="18"/>
                <w:szCs w:val="18"/>
              </w:rPr>
              <w:t xml:space="preserve">645 – 783 </w:t>
            </w:r>
          </w:p>
          <w:p w14:paraId="5E37D771" w14:textId="77777777" w:rsidR="004912DC" w:rsidRPr="000F166D" w:rsidRDefault="004912DC" w:rsidP="00906890">
            <w:pPr>
              <w:autoSpaceDE w:val="0"/>
              <w:autoSpaceDN w:val="0"/>
              <w:adjustRightInd w:val="0"/>
              <w:jc w:val="both"/>
              <w:rPr>
                <w:rFonts w:eastAsia="Calibri" w:cs="Arial"/>
                <w:color w:val="000000"/>
                <w:sz w:val="18"/>
                <w:szCs w:val="18"/>
              </w:rPr>
            </w:pPr>
          </w:p>
        </w:tc>
        <w:tc>
          <w:tcPr>
            <w:tcW w:w="1545" w:type="dxa"/>
            <w:vMerge/>
            <w:shd w:val="clear" w:color="auto" w:fill="BDD6EE" w:themeFill="accent1" w:themeFillTint="66"/>
          </w:tcPr>
          <w:p w14:paraId="1F50DF9F" w14:textId="77777777" w:rsidR="004912DC" w:rsidRPr="000F166D" w:rsidRDefault="004912DC" w:rsidP="00906890">
            <w:pPr>
              <w:autoSpaceDE w:val="0"/>
              <w:autoSpaceDN w:val="0"/>
              <w:adjustRightInd w:val="0"/>
              <w:jc w:val="both"/>
              <w:rPr>
                <w:rFonts w:eastAsia="Calibri" w:cs="Arial"/>
                <w:color w:val="000000"/>
                <w:sz w:val="18"/>
                <w:szCs w:val="18"/>
              </w:rPr>
            </w:pPr>
          </w:p>
        </w:tc>
        <w:tc>
          <w:tcPr>
            <w:tcW w:w="1192" w:type="dxa"/>
            <w:vMerge/>
            <w:shd w:val="clear" w:color="auto" w:fill="auto"/>
          </w:tcPr>
          <w:p w14:paraId="7C9F9ADE" w14:textId="77777777" w:rsidR="004912DC" w:rsidRPr="000F166D" w:rsidRDefault="004912DC" w:rsidP="00906890">
            <w:pPr>
              <w:autoSpaceDE w:val="0"/>
              <w:autoSpaceDN w:val="0"/>
              <w:adjustRightInd w:val="0"/>
              <w:jc w:val="both"/>
              <w:rPr>
                <w:rFonts w:eastAsia="Calibri" w:cs="Arial"/>
                <w:color w:val="000000"/>
                <w:sz w:val="18"/>
                <w:szCs w:val="18"/>
              </w:rPr>
            </w:pPr>
          </w:p>
        </w:tc>
        <w:tc>
          <w:tcPr>
            <w:tcW w:w="1192" w:type="dxa"/>
            <w:vMerge/>
            <w:shd w:val="clear" w:color="auto" w:fill="BDD6EE" w:themeFill="accent1" w:themeFillTint="66"/>
          </w:tcPr>
          <w:p w14:paraId="12053B20" w14:textId="77777777" w:rsidR="004912DC" w:rsidRPr="000F166D" w:rsidRDefault="004912DC" w:rsidP="00906890">
            <w:pPr>
              <w:autoSpaceDE w:val="0"/>
              <w:autoSpaceDN w:val="0"/>
              <w:adjustRightInd w:val="0"/>
              <w:jc w:val="both"/>
              <w:rPr>
                <w:rFonts w:eastAsia="Calibri" w:cs="Arial"/>
                <w:color w:val="000000"/>
                <w:sz w:val="18"/>
                <w:szCs w:val="18"/>
              </w:rPr>
            </w:pPr>
          </w:p>
        </w:tc>
        <w:tc>
          <w:tcPr>
            <w:tcW w:w="1800" w:type="dxa"/>
            <w:vMerge/>
            <w:shd w:val="clear" w:color="auto" w:fill="auto"/>
          </w:tcPr>
          <w:p w14:paraId="6DB9F37E" w14:textId="77777777" w:rsidR="004912DC" w:rsidRPr="000F166D" w:rsidRDefault="004912DC" w:rsidP="00906890">
            <w:pPr>
              <w:autoSpaceDE w:val="0"/>
              <w:autoSpaceDN w:val="0"/>
              <w:adjustRightInd w:val="0"/>
              <w:jc w:val="both"/>
              <w:rPr>
                <w:rFonts w:eastAsia="Calibri" w:cs="Arial"/>
                <w:color w:val="000000"/>
                <w:sz w:val="18"/>
                <w:szCs w:val="18"/>
              </w:rPr>
            </w:pPr>
          </w:p>
        </w:tc>
        <w:tc>
          <w:tcPr>
            <w:tcW w:w="1359" w:type="dxa"/>
            <w:vMerge/>
            <w:shd w:val="clear" w:color="auto" w:fill="BDD6EE" w:themeFill="accent1" w:themeFillTint="66"/>
          </w:tcPr>
          <w:p w14:paraId="11BF23CF" w14:textId="77777777" w:rsidR="004912DC" w:rsidRPr="000F166D" w:rsidRDefault="004912DC" w:rsidP="00906890">
            <w:pPr>
              <w:autoSpaceDE w:val="0"/>
              <w:autoSpaceDN w:val="0"/>
              <w:adjustRightInd w:val="0"/>
              <w:jc w:val="both"/>
              <w:rPr>
                <w:rFonts w:eastAsia="Calibri" w:cs="Arial"/>
                <w:color w:val="000000"/>
                <w:sz w:val="18"/>
                <w:szCs w:val="18"/>
              </w:rPr>
            </w:pPr>
          </w:p>
        </w:tc>
      </w:tr>
      <w:tr w:rsidR="004912DC" w:rsidRPr="000F166D" w14:paraId="19534B3E" w14:textId="77777777" w:rsidTr="00906890">
        <w:trPr>
          <w:trHeight w:val="837"/>
        </w:trPr>
        <w:tc>
          <w:tcPr>
            <w:tcW w:w="1133" w:type="dxa"/>
            <w:vMerge/>
          </w:tcPr>
          <w:p w14:paraId="21BD8073" w14:textId="77777777" w:rsidR="004912DC" w:rsidRPr="000F166D" w:rsidRDefault="004912DC" w:rsidP="00906890">
            <w:pPr>
              <w:autoSpaceDE w:val="0"/>
              <w:autoSpaceDN w:val="0"/>
              <w:adjustRightInd w:val="0"/>
              <w:jc w:val="both"/>
              <w:rPr>
                <w:rFonts w:eastAsia="Calibri" w:cs="Arial"/>
                <w:color w:val="000000"/>
                <w:sz w:val="18"/>
                <w:szCs w:val="18"/>
              </w:rPr>
            </w:pPr>
          </w:p>
        </w:tc>
        <w:tc>
          <w:tcPr>
            <w:tcW w:w="1163" w:type="dxa"/>
          </w:tcPr>
          <w:p w14:paraId="7DF58E6B" w14:textId="77777777" w:rsidR="004912DC" w:rsidRPr="000F166D" w:rsidRDefault="004912DC" w:rsidP="00906890">
            <w:pPr>
              <w:autoSpaceDE w:val="0"/>
              <w:autoSpaceDN w:val="0"/>
              <w:adjustRightInd w:val="0"/>
              <w:jc w:val="both"/>
              <w:rPr>
                <w:rFonts w:eastAsia="Calibri" w:cs="Arial"/>
                <w:color w:val="000000"/>
                <w:sz w:val="18"/>
                <w:szCs w:val="18"/>
              </w:rPr>
            </w:pPr>
          </w:p>
          <w:p w14:paraId="5065AC7C" w14:textId="77777777" w:rsidR="004912DC" w:rsidRPr="000F166D" w:rsidRDefault="004912DC" w:rsidP="00906890">
            <w:pPr>
              <w:autoSpaceDE w:val="0"/>
              <w:autoSpaceDN w:val="0"/>
              <w:adjustRightInd w:val="0"/>
              <w:jc w:val="both"/>
              <w:rPr>
                <w:rFonts w:eastAsia="Calibri" w:cs="Arial"/>
                <w:color w:val="000000"/>
                <w:sz w:val="18"/>
                <w:szCs w:val="18"/>
              </w:rPr>
            </w:pPr>
            <w:r w:rsidRPr="000F166D">
              <w:rPr>
                <w:rFonts w:eastAsia="Calibri" w:cs="Arial"/>
                <w:color w:val="000000"/>
                <w:sz w:val="18"/>
                <w:szCs w:val="18"/>
              </w:rPr>
              <w:t>Lastniško financiranje</w:t>
            </w:r>
          </w:p>
        </w:tc>
        <w:tc>
          <w:tcPr>
            <w:tcW w:w="1143" w:type="dxa"/>
          </w:tcPr>
          <w:p w14:paraId="6796F693" w14:textId="77777777" w:rsidR="004912DC" w:rsidRPr="000F166D" w:rsidRDefault="004912DC" w:rsidP="00906890">
            <w:pPr>
              <w:autoSpaceDE w:val="0"/>
              <w:autoSpaceDN w:val="0"/>
              <w:adjustRightInd w:val="0"/>
              <w:rPr>
                <w:rFonts w:eastAsia="Calibri" w:cs="Arial"/>
                <w:color w:val="000000"/>
                <w:sz w:val="18"/>
                <w:szCs w:val="18"/>
              </w:rPr>
            </w:pPr>
            <w:r w:rsidRPr="000F166D">
              <w:rPr>
                <w:rFonts w:eastAsia="Calibri" w:cs="Arial"/>
                <w:bCs/>
                <w:color w:val="000000"/>
                <w:sz w:val="18"/>
                <w:szCs w:val="18"/>
              </w:rPr>
              <w:t xml:space="preserve">568 – 607 </w:t>
            </w:r>
          </w:p>
          <w:p w14:paraId="257E43F7" w14:textId="77777777" w:rsidR="004912DC" w:rsidRPr="000F166D" w:rsidRDefault="004912DC" w:rsidP="00906890">
            <w:pPr>
              <w:autoSpaceDE w:val="0"/>
              <w:autoSpaceDN w:val="0"/>
              <w:adjustRightInd w:val="0"/>
              <w:rPr>
                <w:rFonts w:eastAsia="Calibri" w:cs="Arial"/>
                <w:bCs/>
                <w:color w:val="000000"/>
                <w:sz w:val="18"/>
                <w:szCs w:val="18"/>
              </w:rPr>
            </w:pPr>
          </w:p>
        </w:tc>
        <w:tc>
          <w:tcPr>
            <w:tcW w:w="1545" w:type="dxa"/>
            <w:shd w:val="clear" w:color="auto" w:fill="BDD6EE" w:themeFill="accent1" w:themeFillTint="66"/>
          </w:tcPr>
          <w:p w14:paraId="7802170B" w14:textId="77777777" w:rsidR="004912DC" w:rsidRPr="000F166D" w:rsidRDefault="004912DC" w:rsidP="00906890">
            <w:pPr>
              <w:autoSpaceDE w:val="0"/>
              <w:autoSpaceDN w:val="0"/>
              <w:adjustRightInd w:val="0"/>
              <w:jc w:val="both"/>
              <w:rPr>
                <w:rFonts w:eastAsia="Calibri" w:cs="Arial"/>
                <w:color w:val="000000"/>
                <w:sz w:val="18"/>
                <w:szCs w:val="18"/>
              </w:rPr>
            </w:pPr>
            <w:r w:rsidRPr="000F166D">
              <w:rPr>
                <w:rFonts w:eastAsia="Calibri" w:cs="Arial"/>
                <w:color w:val="000000"/>
                <w:sz w:val="18"/>
                <w:szCs w:val="18"/>
              </w:rPr>
              <w:t>Garancijske sheme, lastniško financiranje</w:t>
            </w:r>
            <w:r w:rsidRPr="000F166D">
              <w:rPr>
                <w:rFonts w:eastAsia="Calibri" w:cs="Arial"/>
                <w:color w:val="000000"/>
                <w:sz w:val="18"/>
                <w:szCs w:val="18"/>
                <w:vertAlign w:val="superscript"/>
              </w:rPr>
              <w:footnoteReference w:id="10"/>
            </w:r>
          </w:p>
          <w:p w14:paraId="033B09AB" w14:textId="77777777" w:rsidR="004912DC" w:rsidRPr="000F166D" w:rsidRDefault="004912DC" w:rsidP="00906890">
            <w:pPr>
              <w:autoSpaceDE w:val="0"/>
              <w:autoSpaceDN w:val="0"/>
              <w:adjustRightInd w:val="0"/>
              <w:rPr>
                <w:rFonts w:eastAsia="Calibri" w:cs="Arial"/>
                <w:color w:val="000000"/>
                <w:sz w:val="18"/>
                <w:szCs w:val="18"/>
              </w:rPr>
            </w:pPr>
            <w:r w:rsidRPr="000F166D">
              <w:rPr>
                <w:rFonts w:eastAsia="Calibri" w:cs="Arial"/>
                <w:color w:val="000000"/>
                <w:sz w:val="18"/>
                <w:szCs w:val="18"/>
              </w:rPr>
              <w:t xml:space="preserve"> </w:t>
            </w:r>
          </w:p>
        </w:tc>
        <w:tc>
          <w:tcPr>
            <w:tcW w:w="1192" w:type="dxa"/>
            <w:vMerge/>
            <w:shd w:val="clear" w:color="auto" w:fill="auto"/>
          </w:tcPr>
          <w:p w14:paraId="0AEEA497" w14:textId="77777777" w:rsidR="004912DC" w:rsidRPr="000F166D" w:rsidRDefault="004912DC" w:rsidP="00906890">
            <w:pPr>
              <w:autoSpaceDE w:val="0"/>
              <w:autoSpaceDN w:val="0"/>
              <w:adjustRightInd w:val="0"/>
              <w:jc w:val="both"/>
              <w:rPr>
                <w:rFonts w:eastAsia="Calibri" w:cs="Arial"/>
                <w:color w:val="000000"/>
                <w:sz w:val="18"/>
                <w:szCs w:val="18"/>
              </w:rPr>
            </w:pPr>
          </w:p>
        </w:tc>
        <w:tc>
          <w:tcPr>
            <w:tcW w:w="1192" w:type="dxa"/>
            <w:vMerge/>
            <w:shd w:val="clear" w:color="auto" w:fill="BDD6EE" w:themeFill="accent1" w:themeFillTint="66"/>
          </w:tcPr>
          <w:p w14:paraId="002CE291" w14:textId="77777777" w:rsidR="004912DC" w:rsidRPr="000F166D" w:rsidRDefault="004912DC" w:rsidP="00906890">
            <w:pPr>
              <w:autoSpaceDE w:val="0"/>
              <w:autoSpaceDN w:val="0"/>
              <w:adjustRightInd w:val="0"/>
              <w:jc w:val="both"/>
              <w:rPr>
                <w:rFonts w:eastAsia="Calibri" w:cs="Arial"/>
                <w:color w:val="000000"/>
                <w:sz w:val="18"/>
                <w:szCs w:val="18"/>
              </w:rPr>
            </w:pPr>
          </w:p>
        </w:tc>
        <w:tc>
          <w:tcPr>
            <w:tcW w:w="1800" w:type="dxa"/>
            <w:shd w:val="clear" w:color="auto" w:fill="auto"/>
          </w:tcPr>
          <w:p w14:paraId="54FC9780" w14:textId="77777777" w:rsidR="004912DC" w:rsidRPr="000F166D" w:rsidRDefault="004912DC" w:rsidP="00906890">
            <w:pPr>
              <w:autoSpaceDE w:val="0"/>
              <w:autoSpaceDN w:val="0"/>
              <w:adjustRightInd w:val="0"/>
              <w:jc w:val="both"/>
              <w:rPr>
                <w:rFonts w:eastAsia="Calibri" w:cs="Arial"/>
                <w:color w:val="000000"/>
                <w:sz w:val="18"/>
                <w:szCs w:val="18"/>
              </w:rPr>
            </w:pPr>
            <w:r w:rsidRPr="000F166D">
              <w:rPr>
                <w:rFonts w:eastAsia="Calibri" w:cs="Arial"/>
                <w:color w:val="000000"/>
                <w:sz w:val="18"/>
                <w:szCs w:val="18"/>
              </w:rPr>
              <w:t xml:space="preserve"> </w:t>
            </w:r>
          </w:p>
        </w:tc>
        <w:tc>
          <w:tcPr>
            <w:tcW w:w="1359" w:type="dxa"/>
            <w:vMerge/>
            <w:shd w:val="clear" w:color="auto" w:fill="BDD6EE" w:themeFill="accent1" w:themeFillTint="66"/>
          </w:tcPr>
          <w:p w14:paraId="794CFB58" w14:textId="77777777" w:rsidR="004912DC" w:rsidRPr="000F166D" w:rsidRDefault="004912DC" w:rsidP="00906890">
            <w:pPr>
              <w:autoSpaceDE w:val="0"/>
              <w:autoSpaceDN w:val="0"/>
              <w:adjustRightInd w:val="0"/>
              <w:jc w:val="both"/>
              <w:rPr>
                <w:rFonts w:eastAsia="Calibri" w:cs="Arial"/>
                <w:color w:val="000000"/>
                <w:sz w:val="18"/>
                <w:szCs w:val="18"/>
              </w:rPr>
            </w:pPr>
          </w:p>
        </w:tc>
      </w:tr>
      <w:tr w:rsidR="004912DC" w:rsidRPr="000F166D" w14:paraId="006F5CFB" w14:textId="77777777" w:rsidTr="00906890">
        <w:trPr>
          <w:trHeight w:val="1540"/>
        </w:trPr>
        <w:tc>
          <w:tcPr>
            <w:tcW w:w="1133" w:type="dxa"/>
            <w:vMerge w:val="restart"/>
          </w:tcPr>
          <w:p w14:paraId="2B7A4F22" w14:textId="77777777" w:rsidR="004912DC" w:rsidRPr="000F166D" w:rsidRDefault="004912DC" w:rsidP="00906890">
            <w:pPr>
              <w:autoSpaceDE w:val="0"/>
              <w:autoSpaceDN w:val="0"/>
              <w:adjustRightInd w:val="0"/>
              <w:jc w:val="both"/>
              <w:rPr>
                <w:rFonts w:eastAsia="Calibri" w:cs="Arial"/>
                <w:color w:val="000000"/>
                <w:sz w:val="18"/>
                <w:szCs w:val="18"/>
              </w:rPr>
            </w:pPr>
            <w:r w:rsidRPr="000F166D">
              <w:rPr>
                <w:rFonts w:eastAsia="Calibri" w:cs="Arial"/>
                <w:color w:val="000000"/>
                <w:sz w:val="18"/>
                <w:szCs w:val="18"/>
              </w:rPr>
              <w:t>Urbani razvoj</w:t>
            </w:r>
          </w:p>
        </w:tc>
        <w:tc>
          <w:tcPr>
            <w:tcW w:w="1163" w:type="dxa"/>
          </w:tcPr>
          <w:p w14:paraId="0E3A9B61" w14:textId="77777777" w:rsidR="004912DC" w:rsidRPr="000F166D" w:rsidRDefault="004912DC" w:rsidP="00906890">
            <w:pPr>
              <w:autoSpaceDE w:val="0"/>
              <w:autoSpaceDN w:val="0"/>
              <w:adjustRightInd w:val="0"/>
              <w:jc w:val="both"/>
              <w:rPr>
                <w:rFonts w:eastAsia="Calibri" w:cs="Arial"/>
                <w:color w:val="000000"/>
                <w:sz w:val="18"/>
                <w:szCs w:val="18"/>
              </w:rPr>
            </w:pPr>
            <w:r w:rsidRPr="000F166D">
              <w:rPr>
                <w:rFonts w:eastAsia="Calibri" w:cs="Arial"/>
                <w:color w:val="000000"/>
                <w:sz w:val="18"/>
                <w:szCs w:val="18"/>
              </w:rPr>
              <w:t>Posojila za projekte mestnih občin, ki so pripravljeni na izvedbo</w:t>
            </w:r>
          </w:p>
        </w:tc>
        <w:tc>
          <w:tcPr>
            <w:tcW w:w="1143" w:type="dxa"/>
          </w:tcPr>
          <w:p w14:paraId="79678B69" w14:textId="77777777" w:rsidR="004912DC" w:rsidRPr="000F166D" w:rsidRDefault="004912DC" w:rsidP="00906890">
            <w:pPr>
              <w:autoSpaceDE w:val="0"/>
              <w:autoSpaceDN w:val="0"/>
              <w:adjustRightInd w:val="0"/>
              <w:rPr>
                <w:rFonts w:eastAsia="Calibri" w:cs="Arial"/>
                <w:color w:val="000000"/>
                <w:sz w:val="18"/>
                <w:szCs w:val="18"/>
              </w:rPr>
            </w:pPr>
            <w:r w:rsidRPr="000F166D">
              <w:rPr>
                <w:rFonts w:eastAsia="Calibri" w:cs="Arial"/>
                <w:bCs/>
                <w:color w:val="000000"/>
                <w:sz w:val="18"/>
                <w:szCs w:val="18"/>
              </w:rPr>
              <w:t xml:space="preserve">590—594 </w:t>
            </w:r>
          </w:p>
          <w:p w14:paraId="145C3DAC" w14:textId="77777777" w:rsidR="004912DC" w:rsidRPr="000F166D" w:rsidRDefault="004912DC" w:rsidP="00906890">
            <w:pPr>
              <w:autoSpaceDE w:val="0"/>
              <w:autoSpaceDN w:val="0"/>
              <w:adjustRightInd w:val="0"/>
              <w:rPr>
                <w:rFonts w:eastAsia="Calibri" w:cs="Arial"/>
                <w:bCs/>
                <w:color w:val="000000"/>
                <w:sz w:val="18"/>
                <w:szCs w:val="18"/>
              </w:rPr>
            </w:pPr>
          </w:p>
        </w:tc>
        <w:tc>
          <w:tcPr>
            <w:tcW w:w="1545" w:type="dxa"/>
            <w:vMerge w:val="restart"/>
            <w:shd w:val="clear" w:color="auto" w:fill="BDD6EE" w:themeFill="accent1" w:themeFillTint="66"/>
          </w:tcPr>
          <w:p w14:paraId="31B6B325" w14:textId="77777777" w:rsidR="004912DC" w:rsidRPr="000F166D" w:rsidRDefault="004912DC" w:rsidP="00906890">
            <w:pPr>
              <w:autoSpaceDE w:val="0"/>
              <w:autoSpaceDN w:val="0"/>
              <w:adjustRightInd w:val="0"/>
              <w:jc w:val="both"/>
              <w:rPr>
                <w:rFonts w:eastAsia="Calibri" w:cs="Arial"/>
                <w:color w:val="000000"/>
                <w:sz w:val="18"/>
                <w:szCs w:val="18"/>
              </w:rPr>
            </w:pPr>
            <w:r w:rsidRPr="000F166D">
              <w:rPr>
                <w:rFonts w:eastAsia="Calibri" w:cs="Arial"/>
                <w:color w:val="000000"/>
                <w:sz w:val="18"/>
                <w:szCs w:val="18"/>
              </w:rPr>
              <w:t>Posojila za projekte mestnih občin</w:t>
            </w:r>
          </w:p>
        </w:tc>
        <w:tc>
          <w:tcPr>
            <w:tcW w:w="1192" w:type="dxa"/>
            <w:vMerge w:val="restart"/>
            <w:shd w:val="clear" w:color="auto" w:fill="auto"/>
          </w:tcPr>
          <w:p w14:paraId="49036D1B" w14:textId="77777777" w:rsidR="004912DC" w:rsidRPr="000F166D" w:rsidRDefault="004912DC" w:rsidP="00906890">
            <w:pPr>
              <w:autoSpaceDE w:val="0"/>
              <w:autoSpaceDN w:val="0"/>
              <w:adjustRightInd w:val="0"/>
              <w:jc w:val="both"/>
              <w:rPr>
                <w:rFonts w:eastAsia="Calibri" w:cs="Arial"/>
                <w:color w:val="000000"/>
                <w:sz w:val="18"/>
                <w:szCs w:val="18"/>
              </w:rPr>
            </w:pPr>
          </w:p>
          <w:p w14:paraId="237D7668" w14:textId="77777777" w:rsidR="004912DC" w:rsidRPr="000F166D" w:rsidRDefault="004912DC" w:rsidP="00906890">
            <w:pPr>
              <w:autoSpaceDE w:val="0"/>
              <w:autoSpaceDN w:val="0"/>
              <w:adjustRightInd w:val="0"/>
              <w:jc w:val="both"/>
              <w:rPr>
                <w:rFonts w:eastAsia="Calibri" w:cs="Arial"/>
                <w:color w:val="000000"/>
                <w:sz w:val="18"/>
                <w:szCs w:val="18"/>
              </w:rPr>
            </w:pPr>
          </w:p>
          <w:p w14:paraId="1F344634" w14:textId="77777777" w:rsidR="004912DC" w:rsidRPr="000F166D" w:rsidRDefault="004912DC" w:rsidP="00906890">
            <w:pPr>
              <w:autoSpaceDE w:val="0"/>
              <w:autoSpaceDN w:val="0"/>
              <w:adjustRightInd w:val="0"/>
              <w:jc w:val="both"/>
              <w:rPr>
                <w:rFonts w:eastAsia="Calibri" w:cs="Arial"/>
                <w:color w:val="000000"/>
                <w:sz w:val="18"/>
                <w:szCs w:val="18"/>
              </w:rPr>
            </w:pPr>
            <w:r w:rsidRPr="000F166D">
              <w:rPr>
                <w:rFonts w:eastAsia="Calibri" w:cs="Arial"/>
                <w:color w:val="000000"/>
                <w:sz w:val="18"/>
                <w:szCs w:val="18"/>
              </w:rPr>
              <w:t>16,7 mio EUR</w:t>
            </w:r>
          </w:p>
        </w:tc>
        <w:tc>
          <w:tcPr>
            <w:tcW w:w="1192" w:type="dxa"/>
            <w:vMerge w:val="restart"/>
            <w:shd w:val="clear" w:color="auto" w:fill="BDD6EE" w:themeFill="accent1" w:themeFillTint="66"/>
          </w:tcPr>
          <w:p w14:paraId="33760B3D" w14:textId="77777777" w:rsidR="004912DC" w:rsidRPr="000F166D" w:rsidRDefault="004912DC" w:rsidP="00906890">
            <w:pPr>
              <w:autoSpaceDE w:val="0"/>
              <w:autoSpaceDN w:val="0"/>
              <w:adjustRightInd w:val="0"/>
              <w:jc w:val="both"/>
              <w:rPr>
                <w:rFonts w:eastAsia="Calibri" w:cs="Arial"/>
                <w:color w:val="000000"/>
                <w:sz w:val="18"/>
                <w:szCs w:val="18"/>
              </w:rPr>
            </w:pPr>
            <w:r w:rsidRPr="000F166D">
              <w:rPr>
                <w:rFonts w:eastAsia="Calibri" w:cs="Arial"/>
                <w:color w:val="000000"/>
                <w:sz w:val="18"/>
                <w:szCs w:val="18"/>
              </w:rPr>
              <w:t>5 mio EUR</w:t>
            </w:r>
          </w:p>
        </w:tc>
        <w:tc>
          <w:tcPr>
            <w:tcW w:w="1800" w:type="dxa"/>
            <w:shd w:val="clear" w:color="auto" w:fill="auto"/>
          </w:tcPr>
          <w:p w14:paraId="5299EE8A" w14:textId="77777777" w:rsidR="004912DC" w:rsidRPr="000F166D" w:rsidRDefault="004912DC" w:rsidP="00906890">
            <w:pPr>
              <w:autoSpaceDE w:val="0"/>
              <w:autoSpaceDN w:val="0"/>
              <w:adjustRightInd w:val="0"/>
              <w:jc w:val="both"/>
              <w:rPr>
                <w:rFonts w:eastAsia="Calibri" w:cs="Arial"/>
                <w:color w:val="000000"/>
                <w:sz w:val="18"/>
                <w:szCs w:val="18"/>
              </w:rPr>
            </w:pPr>
            <w:r w:rsidRPr="000F166D">
              <w:rPr>
                <w:rFonts w:eastAsia="Calibri" w:cs="Arial"/>
                <w:color w:val="000000"/>
                <w:sz w:val="18"/>
                <w:szCs w:val="18"/>
              </w:rPr>
              <w:t>Regionalni in lokalni organi, občine, podjetja za izvajanje/upravljanje javnih storitev, nosilci nepremičninskih projektov.</w:t>
            </w:r>
          </w:p>
        </w:tc>
        <w:tc>
          <w:tcPr>
            <w:tcW w:w="1359" w:type="dxa"/>
            <w:shd w:val="clear" w:color="auto" w:fill="BDD6EE" w:themeFill="accent1" w:themeFillTint="66"/>
          </w:tcPr>
          <w:p w14:paraId="7660F3A1" w14:textId="77777777" w:rsidR="004912DC" w:rsidRPr="000F166D" w:rsidRDefault="004912DC" w:rsidP="00906890">
            <w:pPr>
              <w:autoSpaceDE w:val="0"/>
              <w:autoSpaceDN w:val="0"/>
              <w:adjustRightInd w:val="0"/>
              <w:jc w:val="both"/>
              <w:rPr>
                <w:rFonts w:eastAsia="Calibri" w:cs="Arial"/>
                <w:color w:val="000000"/>
                <w:sz w:val="18"/>
                <w:szCs w:val="18"/>
              </w:rPr>
            </w:pPr>
            <w:r w:rsidRPr="000F166D">
              <w:rPr>
                <w:rFonts w:eastAsia="Calibri" w:cs="Arial"/>
                <w:color w:val="000000"/>
                <w:sz w:val="18"/>
                <w:szCs w:val="18"/>
              </w:rPr>
              <w:t xml:space="preserve">Gospodarstvo, lokalne skupnosti, upravljavci javnih površin in stavb, stanovanjske kooperative in ponudniki drugih alternativnih oblik bivanja v mestih, </w:t>
            </w:r>
          </w:p>
        </w:tc>
      </w:tr>
      <w:tr w:rsidR="004912DC" w:rsidRPr="000F166D" w14:paraId="3F82C513" w14:textId="77777777" w:rsidTr="00906890">
        <w:trPr>
          <w:trHeight w:val="1129"/>
        </w:trPr>
        <w:tc>
          <w:tcPr>
            <w:tcW w:w="1133" w:type="dxa"/>
            <w:vMerge/>
          </w:tcPr>
          <w:p w14:paraId="4B4EB577" w14:textId="77777777" w:rsidR="004912DC" w:rsidRPr="000F166D" w:rsidRDefault="004912DC" w:rsidP="00906890">
            <w:pPr>
              <w:autoSpaceDE w:val="0"/>
              <w:autoSpaceDN w:val="0"/>
              <w:adjustRightInd w:val="0"/>
              <w:jc w:val="both"/>
              <w:rPr>
                <w:rFonts w:eastAsia="Calibri" w:cs="Arial"/>
                <w:color w:val="000000"/>
                <w:sz w:val="18"/>
                <w:szCs w:val="18"/>
              </w:rPr>
            </w:pPr>
          </w:p>
        </w:tc>
        <w:tc>
          <w:tcPr>
            <w:tcW w:w="1163" w:type="dxa"/>
          </w:tcPr>
          <w:p w14:paraId="25947D7C" w14:textId="77777777" w:rsidR="004912DC" w:rsidRPr="000F166D" w:rsidRDefault="004912DC" w:rsidP="00906890">
            <w:pPr>
              <w:autoSpaceDE w:val="0"/>
              <w:autoSpaceDN w:val="0"/>
              <w:adjustRightInd w:val="0"/>
              <w:jc w:val="both"/>
              <w:rPr>
                <w:rFonts w:eastAsia="Calibri" w:cs="Arial"/>
                <w:color w:val="000000"/>
                <w:sz w:val="18"/>
                <w:szCs w:val="18"/>
              </w:rPr>
            </w:pPr>
          </w:p>
          <w:p w14:paraId="4C9EC886" w14:textId="77777777" w:rsidR="004912DC" w:rsidRPr="000F166D" w:rsidRDefault="004912DC" w:rsidP="00906890">
            <w:pPr>
              <w:autoSpaceDE w:val="0"/>
              <w:autoSpaceDN w:val="0"/>
              <w:adjustRightInd w:val="0"/>
              <w:jc w:val="both"/>
              <w:rPr>
                <w:rFonts w:eastAsia="Calibri" w:cs="Arial"/>
                <w:color w:val="000000"/>
                <w:sz w:val="18"/>
                <w:szCs w:val="18"/>
              </w:rPr>
            </w:pPr>
          </w:p>
          <w:p w14:paraId="027FABA7" w14:textId="77777777" w:rsidR="004912DC" w:rsidRPr="000F166D" w:rsidRDefault="004912DC" w:rsidP="00906890">
            <w:pPr>
              <w:autoSpaceDE w:val="0"/>
              <w:autoSpaceDN w:val="0"/>
              <w:adjustRightInd w:val="0"/>
              <w:jc w:val="both"/>
              <w:rPr>
                <w:rFonts w:eastAsia="Calibri" w:cs="Arial"/>
                <w:color w:val="000000"/>
                <w:sz w:val="18"/>
                <w:szCs w:val="18"/>
              </w:rPr>
            </w:pPr>
            <w:r w:rsidRPr="000F166D">
              <w:rPr>
                <w:rFonts w:eastAsia="Calibri" w:cs="Arial"/>
                <w:color w:val="000000"/>
                <w:sz w:val="18"/>
                <w:szCs w:val="18"/>
              </w:rPr>
              <w:t>Posojila za projekte mestnih občin v pripravi</w:t>
            </w:r>
          </w:p>
        </w:tc>
        <w:tc>
          <w:tcPr>
            <w:tcW w:w="1143" w:type="dxa"/>
          </w:tcPr>
          <w:p w14:paraId="76E8D984" w14:textId="77777777" w:rsidR="004912DC" w:rsidRPr="000F166D" w:rsidRDefault="004912DC" w:rsidP="00906890">
            <w:pPr>
              <w:autoSpaceDE w:val="0"/>
              <w:autoSpaceDN w:val="0"/>
              <w:adjustRightInd w:val="0"/>
              <w:rPr>
                <w:rFonts w:eastAsia="Calibri" w:cs="Arial"/>
                <w:color w:val="000000"/>
                <w:sz w:val="18"/>
                <w:szCs w:val="18"/>
              </w:rPr>
            </w:pPr>
            <w:r w:rsidRPr="000F166D">
              <w:rPr>
                <w:rFonts w:eastAsia="Calibri" w:cs="Arial"/>
                <w:bCs/>
                <w:color w:val="000000"/>
                <w:sz w:val="18"/>
                <w:szCs w:val="18"/>
              </w:rPr>
              <w:t xml:space="preserve">68—74 </w:t>
            </w:r>
          </w:p>
          <w:p w14:paraId="5DED9178" w14:textId="77777777" w:rsidR="004912DC" w:rsidRPr="000F166D" w:rsidRDefault="004912DC" w:rsidP="00906890">
            <w:pPr>
              <w:autoSpaceDE w:val="0"/>
              <w:autoSpaceDN w:val="0"/>
              <w:adjustRightInd w:val="0"/>
              <w:rPr>
                <w:rFonts w:eastAsia="Calibri" w:cs="Arial"/>
                <w:bCs/>
                <w:color w:val="000000"/>
                <w:sz w:val="18"/>
                <w:szCs w:val="18"/>
              </w:rPr>
            </w:pPr>
          </w:p>
        </w:tc>
        <w:tc>
          <w:tcPr>
            <w:tcW w:w="1545" w:type="dxa"/>
            <w:vMerge/>
            <w:shd w:val="clear" w:color="auto" w:fill="BDD6EE" w:themeFill="accent1" w:themeFillTint="66"/>
          </w:tcPr>
          <w:p w14:paraId="7DF28461" w14:textId="77777777" w:rsidR="004912DC" w:rsidRPr="000F166D" w:rsidRDefault="004912DC" w:rsidP="00906890">
            <w:pPr>
              <w:autoSpaceDE w:val="0"/>
              <w:autoSpaceDN w:val="0"/>
              <w:adjustRightInd w:val="0"/>
              <w:jc w:val="both"/>
              <w:rPr>
                <w:rFonts w:eastAsia="Calibri" w:cs="Arial"/>
                <w:color w:val="000000"/>
                <w:sz w:val="18"/>
                <w:szCs w:val="18"/>
              </w:rPr>
            </w:pPr>
          </w:p>
        </w:tc>
        <w:tc>
          <w:tcPr>
            <w:tcW w:w="1192" w:type="dxa"/>
            <w:vMerge/>
            <w:shd w:val="clear" w:color="auto" w:fill="auto"/>
          </w:tcPr>
          <w:p w14:paraId="5BCD6AA2" w14:textId="77777777" w:rsidR="004912DC" w:rsidRPr="000F166D" w:rsidRDefault="004912DC" w:rsidP="00906890">
            <w:pPr>
              <w:autoSpaceDE w:val="0"/>
              <w:autoSpaceDN w:val="0"/>
              <w:adjustRightInd w:val="0"/>
              <w:jc w:val="both"/>
              <w:rPr>
                <w:rFonts w:eastAsia="Calibri" w:cs="Arial"/>
                <w:color w:val="000000"/>
                <w:sz w:val="18"/>
                <w:szCs w:val="18"/>
              </w:rPr>
            </w:pPr>
          </w:p>
        </w:tc>
        <w:tc>
          <w:tcPr>
            <w:tcW w:w="1192" w:type="dxa"/>
            <w:vMerge/>
            <w:shd w:val="clear" w:color="auto" w:fill="BDD6EE" w:themeFill="accent1" w:themeFillTint="66"/>
          </w:tcPr>
          <w:p w14:paraId="7280AA2E" w14:textId="77777777" w:rsidR="004912DC" w:rsidRPr="000F166D" w:rsidRDefault="004912DC" w:rsidP="00906890">
            <w:pPr>
              <w:autoSpaceDE w:val="0"/>
              <w:autoSpaceDN w:val="0"/>
              <w:adjustRightInd w:val="0"/>
              <w:jc w:val="both"/>
              <w:rPr>
                <w:rFonts w:eastAsia="Calibri" w:cs="Arial"/>
                <w:color w:val="000000"/>
                <w:sz w:val="18"/>
                <w:szCs w:val="18"/>
              </w:rPr>
            </w:pPr>
          </w:p>
        </w:tc>
        <w:tc>
          <w:tcPr>
            <w:tcW w:w="1800" w:type="dxa"/>
            <w:shd w:val="clear" w:color="auto" w:fill="auto"/>
          </w:tcPr>
          <w:p w14:paraId="4D0DA50A" w14:textId="77777777" w:rsidR="004912DC" w:rsidRPr="000F166D" w:rsidRDefault="004912DC" w:rsidP="00906890">
            <w:pPr>
              <w:autoSpaceDE w:val="0"/>
              <w:autoSpaceDN w:val="0"/>
              <w:adjustRightInd w:val="0"/>
              <w:jc w:val="both"/>
              <w:rPr>
                <w:rFonts w:eastAsia="Calibri" w:cs="Arial"/>
                <w:color w:val="000000"/>
                <w:sz w:val="18"/>
                <w:szCs w:val="18"/>
              </w:rPr>
            </w:pPr>
          </w:p>
        </w:tc>
        <w:tc>
          <w:tcPr>
            <w:tcW w:w="1359" w:type="dxa"/>
            <w:shd w:val="clear" w:color="auto" w:fill="BDD6EE" w:themeFill="accent1" w:themeFillTint="66"/>
          </w:tcPr>
          <w:p w14:paraId="1F815411" w14:textId="77777777" w:rsidR="004912DC" w:rsidRPr="000F166D" w:rsidRDefault="004912DC" w:rsidP="00906890">
            <w:pPr>
              <w:autoSpaceDE w:val="0"/>
              <w:autoSpaceDN w:val="0"/>
              <w:adjustRightInd w:val="0"/>
              <w:jc w:val="both"/>
              <w:rPr>
                <w:rFonts w:eastAsia="Calibri" w:cs="Arial"/>
                <w:color w:val="000000"/>
                <w:sz w:val="18"/>
                <w:szCs w:val="18"/>
              </w:rPr>
            </w:pPr>
          </w:p>
        </w:tc>
      </w:tr>
    </w:tbl>
    <w:p w14:paraId="16CF4CE3" w14:textId="77777777" w:rsidR="004912DC" w:rsidRPr="000F166D" w:rsidRDefault="004912DC" w:rsidP="004912DC">
      <w:pPr>
        <w:spacing w:after="9"/>
        <w:jc w:val="both"/>
        <w:rPr>
          <w:rFonts w:eastAsia="Georgia" w:cs="Arial"/>
          <w:lang w:eastAsia="sl-SI"/>
        </w:rPr>
      </w:pPr>
      <w:r w:rsidRPr="000F166D">
        <w:rPr>
          <w:rFonts w:eastAsia="Georgia" w:cs="Arial"/>
          <w:lang w:eastAsia="sl-SI"/>
        </w:rPr>
        <w:t>*Razporeditev sredstev za finančne instrumente za TC6 temelji na razdelitvi sredstev med regije, ki je bila pripravljena na OU in bo vključena v OP 2014 – 2020 ob spremembi oz. dopolnitvi OP 2014 - 2020.</w:t>
      </w:r>
    </w:p>
    <w:p w14:paraId="29C551EB" w14:textId="77777777" w:rsidR="004912DC" w:rsidRPr="000F166D" w:rsidRDefault="004912DC" w:rsidP="004912DC">
      <w:pPr>
        <w:autoSpaceDE w:val="0"/>
        <w:autoSpaceDN w:val="0"/>
        <w:adjustRightInd w:val="0"/>
        <w:jc w:val="both"/>
        <w:rPr>
          <w:rFonts w:eastAsia="Calibri" w:cs="Arial"/>
          <w:color w:val="000000"/>
          <w:sz w:val="22"/>
        </w:rPr>
      </w:pPr>
    </w:p>
    <w:p w14:paraId="11E479B8" w14:textId="77777777" w:rsidR="004912DC" w:rsidRPr="000F166D" w:rsidRDefault="004912DC" w:rsidP="004912DC">
      <w:pPr>
        <w:ind w:left="-15" w:right="256" w:firstLine="2"/>
        <w:jc w:val="both"/>
        <w:rPr>
          <w:rFonts w:eastAsia="Georgia" w:cs="Arial"/>
          <w:sz w:val="22"/>
          <w:szCs w:val="22"/>
          <w:lang w:eastAsia="sl-SI"/>
        </w:rPr>
      </w:pPr>
      <w:r w:rsidRPr="000F166D">
        <w:rPr>
          <w:rFonts w:eastAsia="Georgia" w:cs="Arial"/>
          <w:sz w:val="22"/>
          <w:szCs w:val="22"/>
          <w:lang w:eastAsia="sl-SI"/>
        </w:rPr>
        <w:lastRenderedPageBreak/>
        <w:t>Sredstva, ki so na voljo za posamezen FI so določena na osnovi zneskov, ki so predlagani v OP 2014 – 2020 z dne 11. 12. 2014</w:t>
      </w:r>
      <w:r w:rsidRPr="000F166D">
        <w:rPr>
          <w:rFonts w:eastAsia="Georgia" w:cs="Arial"/>
          <w:sz w:val="22"/>
          <w:szCs w:val="22"/>
          <w:vertAlign w:val="superscript"/>
          <w:lang w:eastAsia="sl-SI"/>
        </w:rPr>
        <w:footnoteReference w:id="11"/>
      </w:r>
      <w:r w:rsidRPr="000F166D">
        <w:rPr>
          <w:rFonts w:eastAsia="Georgia" w:cs="Arial"/>
          <w:sz w:val="22"/>
          <w:szCs w:val="22"/>
          <w:lang w:eastAsia="sl-SI"/>
        </w:rPr>
        <w:t xml:space="preserve">. Za izvajanje FI okviru OP 2014 - 2020 pod TC1 je namenjenih 128 mio EUR, za izvajaje FI pod TC 3 je namenjenih 255 mio EUR in za izvajanje FI pod TC 4 je namenjenih 25 mio EUR, za izvajanje FI pod TC 6 je namenjenih 5 mio EUR. Sredstva pod TC1 in TC3 so razdeljena na dve kohezijski regiji, Vzhodno in Zahodno Slovenijo. </w:t>
      </w:r>
    </w:p>
    <w:p w14:paraId="051E370D" w14:textId="77777777" w:rsidR="004912DC" w:rsidRPr="000F166D" w:rsidRDefault="004912DC" w:rsidP="004912DC">
      <w:pPr>
        <w:spacing w:after="9"/>
        <w:ind w:left="-5" w:hanging="10"/>
        <w:jc w:val="both"/>
        <w:rPr>
          <w:rFonts w:eastAsia="Georgia" w:cs="Arial"/>
          <w:sz w:val="22"/>
          <w:szCs w:val="22"/>
          <w:lang w:eastAsia="sl-SI"/>
        </w:rPr>
      </w:pPr>
    </w:p>
    <w:p w14:paraId="7332B1D4" w14:textId="77777777" w:rsidR="004912DC" w:rsidRPr="000F166D" w:rsidRDefault="004912DC" w:rsidP="004912DC">
      <w:pPr>
        <w:spacing w:after="10"/>
        <w:ind w:right="256"/>
        <w:jc w:val="both"/>
        <w:rPr>
          <w:rFonts w:eastAsia="Georgia" w:cs="Arial"/>
          <w:sz w:val="22"/>
          <w:szCs w:val="22"/>
          <w:lang w:eastAsia="sl-SI"/>
        </w:rPr>
      </w:pPr>
      <w:r w:rsidRPr="000F166D">
        <w:rPr>
          <w:rFonts w:eastAsia="Georgia" w:cs="Arial"/>
          <w:sz w:val="22"/>
          <w:szCs w:val="22"/>
          <w:lang w:eastAsia="sl-SI"/>
        </w:rPr>
        <w:t>Vir sredstev za FI za MSP v okviru OP 2014 - 2020 na TC 1 in TC 3, in sicer v višini 333 mio EUR, od tega 255 mio EUR iz TC 3 in 78 mio EUR iz TC 1. Za velika podjetja je v okviru TC 1 namenjenih 50 mio EUR.</w:t>
      </w:r>
      <w:r w:rsidRPr="000F166D">
        <w:rPr>
          <w:rFonts w:eastAsia="Georgia" w:cs="Arial"/>
          <w:sz w:val="22"/>
          <w:szCs w:val="22"/>
          <w:vertAlign w:val="superscript"/>
          <w:lang w:eastAsia="sl-SI"/>
        </w:rPr>
        <w:footnoteReference w:id="12"/>
      </w:r>
    </w:p>
    <w:p w14:paraId="7ADD167C" w14:textId="77777777" w:rsidR="004912DC" w:rsidRPr="000F166D" w:rsidRDefault="004912DC" w:rsidP="004912DC">
      <w:pPr>
        <w:spacing w:after="10"/>
        <w:ind w:right="256"/>
        <w:jc w:val="both"/>
        <w:rPr>
          <w:rFonts w:eastAsia="Georgia" w:cs="Arial"/>
          <w:sz w:val="22"/>
          <w:szCs w:val="22"/>
          <w:lang w:eastAsia="sl-SI"/>
        </w:rPr>
      </w:pPr>
    </w:p>
    <w:p w14:paraId="0EB498A6" w14:textId="77777777" w:rsidR="004912DC" w:rsidRPr="000F166D" w:rsidRDefault="004912DC" w:rsidP="004912DC">
      <w:pPr>
        <w:jc w:val="both"/>
        <w:rPr>
          <w:rFonts w:cs="Arial"/>
          <w:sz w:val="22"/>
          <w:szCs w:val="22"/>
        </w:rPr>
      </w:pPr>
      <w:r w:rsidRPr="000F166D">
        <w:rPr>
          <w:rFonts w:cs="Arial"/>
          <w:sz w:val="22"/>
          <w:szCs w:val="22"/>
        </w:rPr>
        <w:t>Za izvedbo FI je predvideno, da bodo sredstva zagotovljena za vzhodno in zahodno kohezijsko regijo (razen pri prednostni naložbi 4.1, ki pokriva celotno Slovenijo) ter v naslednjih tranšah:</w:t>
      </w:r>
    </w:p>
    <w:p w14:paraId="4150C6B0" w14:textId="77777777" w:rsidR="004912DC" w:rsidRPr="000F166D" w:rsidRDefault="004912DC" w:rsidP="004912DC">
      <w:pPr>
        <w:jc w:val="both"/>
        <w:rPr>
          <w:rFonts w:cs="Arial"/>
          <w:szCs w:val="20"/>
        </w:rPr>
      </w:pPr>
    </w:p>
    <w:p w14:paraId="52E3121F" w14:textId="77777777" w:rsidR="004912DC" w:rsidRPr="00582F4F" w:rsidRDefault="004912DC" w:rsidP="004912DC">
      <w:pPr>
        <w:pStyle w:val="Telobesedila"/>
        <w:rPr>
          <w:rFonts w:ascii="Arial" w:hAnsi="Arial" w:cs="Arial"/>
          <w:color w:val="auto"/>
          <w:lang w:val="sl-SI"/>
        </w:rPr>
      </w:pPr>
      <w:bookmarkStart w:id="77" w:name="_Toc66786229"/>
      <w:r w:rsidRPr="00593E96">
        <w:rPr>
          <w:rFonts w:ascii="Arial" w:hAnsi="Arial" w:cs="Arial"/>
          <w:color w:val="auto"/>
        </w:rPr>
        <w:t xml:space="preserve">Tabela </w:t>
      </w:r>
      <w:r w:rsidRPr="00593E96">
        <w:rPr>
          <w:rFonts w:ascii="Arial" w:hAnsi="Arial" w:cs="Arial"/>
          <w:color w:val="auto"/>
        </w:rPr>
        <w:fldChar w:fldCharType="begin"/>
      </w:r>
      <w:r w:rsidRPr="00593E96">
        <w:rPr>
          <w:rFonts w:ascii="Arial" w:hAnsi="Arial" w:cs="Arial"/>
          <w:color w:val="auto"/>
        </w:rPr>
        <w:instrText xml:space="preserve"> SEQ Tabela \* ARABIC </w:instrText>
      </w:r>
      <w:r w:rsidRPr="00593E96">
        <w:rPr>
          <w:rFonts w:ascii="Arial" w:hAnsi="Arial" w:cs="Arial"/>
          <w:color w:val="auto"/>
        </w:rPr>
        <w:fldChar w:fldCharType="separate"/>
      </w:r>
      <w:r w:rsidRPr="00593E96">
        <w:rPr>
          <w:rFonts w:ascii="Arial" w:hAnsi="Arial" w:cs="Arial"/>
          <w:noProof/>
          <w:color w:val="auto"/>
        </w:rPr>
        <w:t>10</w:t>
      </w:r>
      <w:r w:rsidRPr="00593E96">
        <w:rPr>
          <w:rFonts w:ascii="Arial" w:hAnsi="Arial" w:cs="Arial"/>
          <w:color w:val="auto"/>
        </w:rPr>
        <w:fldChar w:fldCharType="end"/>
      </w:r>
      <w:r w:rsidRPr="00593E96">
        <w:rPr>
          <w:rFonts w:ascii="Arial" w:hAnsi="Arial" w:cs="Arial"/>
          <w:color w:val="auto"/>
        </w:rPr>
        <w:t>:</w:t>
      </w:r>
      <w:r w:rsidRPr="00593E96">
        <w:rPr>
          <w:rFonts w:ascii="Arial" w:hAnsi="Arial" w:cs="Arial"/>
          <w:color w:val="auto"/>
          <w:lang w:val="sl-SI"/>
        </w:rPr>
        <w:t xml:space="preserve"> </w:t>
      </w:r>
      <w:r w:rsidRPr="00582F4F">
        <w:rPr>
          <w:rFonts w:ascii="Arial" w:hAnsi="Arial" w:cs="Arial"/>
          <w:color w:val="auto"/>
          <w:lang w:val="sl-SI"/>
        </w:rPr>
        <w:t>Finančna sredstva za FI po letih in kohezijskih regijah</w:t>
      </w:r>
      <w:bookmarkEnd w:id="77"/>
    </w:p>
    <w:tbl>
      <w:tblPr>
        <w:tblW w:w="101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60"/>
        <w:gridCol w:w="850"/>
        <w:gridCol w:w="1430"/>
        <w:gridCol w:w="1547"/>
        <w:gridCol w:w="1430"/>
        <w:gridCol w:w="1688"/>
        <w:gridCol w:w="1660"/>
      </w:tblGrid>
      <w:tr w:rsidR="004912DC" w:rsidRPr="00582F4F" w14:paraId="24C64502" w14:textId="77777777" w:rsidTr="00906890">
        <w:trPr>
          <w:trHeight w:val="300"/>
        </w:trPr>
        <w:tc>
          <w:tcPr>
            <w:tcW w:w="1560" w:type="dxa"/>
            <w:shd w:val="clear" w:color="auto" w:fill="auto"/>
            <w:noWrap/>
            <w:vAlign w:val="bottom"/>
            <w:hideMark/>
          </w:tcPr>
          <w:p w14:paraId="6C3B1456" w14:textId="77777777" w:rsidR="004912DC" w:rsidRPr="00582F4F" w:rsidRDefault="004912DC" w:rsidP="00906890">
            <w:pPr>
              <w:pStyle w:val="Telobesedila"/>
              <w:rPr>
                <w:rFonts w:ascii="Arial" w:eastAsia="Georgia" w:hAnsi="Arial" w:cs="Arial"/>
                <w:color w:val="auto"/>
                <w:sz w:val="16"/>
                <w:szCs w:val="16"/>
                <w:lang w:val="sl-SI" w:eastAsia="sl-SI"/>
              </w:rPr>
            </w:pPr>
            <w:r w:rsidRPr="00582F4F">
              <w:rPr>
                <w:rFonts w:ascii="Arial" w:eastAsia="Georgia" w:hAnsi="Arial" w:cs="Arial"/>
                <w:color w:val="auto"/>
                <w:sz w:val="16"/>
                <w:szCs w:val="16"/>
                <w:lang w:val="sl-SI" w:eastAsia="sl-SI"/>
              </w:rPr>
              <w:t>Prednostna naložba</w:t>
            </w:r>
          </w:p>
        </w:tc>
        <w:tc>
          <w:tcPr>
            <w:tcW w:w="850" w:type="dxa"/>
            <w:shd w:val="clear" w:color="auto" w:fill="auto"/>
            <w:noWrap/>
            <w:vAlign w:val="bottom"/>
            <w:hideMark/>
          </w:tcPr>
          <w:p w14:paraId="318828B8" w14:textId="77777777" w:rsidR="004912DC" w:rsidRPr="00582F4F" w:rsidRDefault="004912DC" w:rsidP="00906890">
            <w:pPr>
              <w:pStyle w:val="Telobesedila"/>
              <w:rPr>
                <w:rFonts w:ascii="Arial" w:eastAsia="Georgia" w:hAnsi="Arial" w:cs="Arial"/>
                <w:color w:val="auto"/>
                <w:sz w:val="16"/>
                <w:szCs w:val="16"/>
                <w:lang w:val="sl-SI" w:eastAsia="sl-SI"/>
              </w:rPr>
            </w:pPr>
            <w:r w:rsidRPr="00582F4F">
              <w:rPr>
                <w:rFonts w:ascii="Arial" w:eastAsia="Georgia" w:hAnsi="Arial" w:cs="Arial"/>
                <w:color w:val="auto"/>
                <w:sz w:val="16"/>
                <w:szCs w:val="16"/>
                <w:lang w:val="sl-SI" w:eastAsia="sl-SI"/>
              </w:rPr>
              <w:t>Regija</w:t>
            </w:r>
          </w:p>
        </w:tc>
        <w:tc>
          <w:tcPr>
            <w:tcW w:w="1430" w:type="dxa"/>
            <w:shd w:val="clear" w:color="auto" w:fill="auto"/>
            <w:noWrap/>
            <w:vAlign w:val="bottom"/>
            <w:hideMark/>
          </w:tcPr>
          <w:p w14:paraId="4F8EEFE3" w14:textId="77777777" w:rsidR="004912DC" w:rsidRPr="00582F4F" w:rsidRDefault="004912DC" w:rsidP="00906890">
            <w:pPr>
              <w:pStyle w:val="Telobesedila"/>
              <w:rPr>
                <w:rFonts w:ascii="Arial" w:eastAsia="Georgia" w:hAnsi="Arial" w:cs="Arial"/>
                <w:color w:val="auto"/>
                <w:sz w:val="16"/>
                <w:szCs w:val="16"/>
                <w:lang w:val="sl-SI" w:eastAsia="sl-SI"/>
              </w:rPr>
            </w:pPr>
            <w:r w:rsidRPr="00582F4F">
              <w:rPr>
                <w:rFonts w:ascii="Arial" w:eastAsia="Georgia" w:hAnsi="Arial" w:cs="Arial"/>
                <w:color w:val="auto"/>
                <w:sz w:val="16"/>
                <w:szCs w:val="16"/>
                <w:lang w:val="sl-SI" w:eastAsia="sl-SI"/>
              </w:rPr>
              <w:t>2017</w:t>
            </w:r>
          </w:p>
        </w:tc>
        <w:tc>
          <w:tcPr>
            <w:tcW w:w="1547" w:type="dxa"/>
            <w:shd w:val="clear" w:color="auto" w:fill="auto"/>
            <w:noWrap/>
            <w:vAlign w:val="bottom"/>
            <w:hideMark/>
          </w:tcPr>
          <w:p w14:paraId="3995B786" w14:textId="77777777" w:rsidR="004912DC" w:rsidRPr="00582F4F" w:rsidRDefault="004912DC" w:rsidP="00906890">
            <w:pPr>
              <w:pStyle w:val="Telobesedila"/>
              <w:rPr>
                <w:rFonts w:ascii="Arial" w:eastAsia="Georgia" w:hAnsi="Arial" w:cs="Arial"/>
                <w:color w:val="auto"/>
                <w:sz w:val="16"/>
                <w:szCs w:val="16"/>
                <w:lang w:val="sl-SI" w:eastAsia="sl-SI"/>
              </w:rPr>
            </w:pPr>
            <w:r w:rsidRPr="00582F4F">
              <w:rPr>
                <w:rFonts w:ascii="Arial" w:eastAsia="Georgia" w:hAnsi="Arial" w:cs="Arial"/>
                <w:color w:val="auto"/>
                <w:sz w:val="16"/>
                <w:szCs w:val="16"/>
                <w:lang w:val="sl-SI" w:eastAsia="sl-SI"/>
              </w:rPr>
              <w:t>2019</w:t>
            </w:r>
          </w:p>
        </w:tc>
        <w:tc>
          <w:tcPr>
            <w:tcW w:w="1430" w:type="dxa"/>
            <w:shd w:val="clear" w:color="auto" w:fill="auto"/>
            <w:noWrap/>
            <w:vAlign w:val="bottom"/>
            <w:hideMark/>
          </w:tcPr>
          <w:p w14:paraId="3FAE6446" w14:textId="77777777" w:rsidR="004912DC" w:rsidRPr="00582F4F" w:rsidRDefault="004912DC" w:rsidP="00906890">
            <w:pPr>
              <w:pStyle w:val="Telobesedila"/>
              <w:rPr>
                <w:rFonts w:ascii="Arial" w:eastAsia="Georgia" w:hAnsi="Arial" w:cs="Arial"/>
                <w:color w:val="auto"/>
                <w:sz w:val="16"/>
                <w:szCs w:val="16"/>
                <w:lang w:val="sl-SI" w:eastAsia="sl-SI"/>
              </w:rPr>
            </w:pPr>
            <w:r w:rsidRPr="00582F4F">
              <w:rPr>
                <w:rFonts w:ascii="Arial" w:eastAsia="Georgia" w:hAnsi="Arial" w:cs="Arial"/>
                <w:color w:val="auto"/>
                <w:sz w:val="16"/>
                <w:szCs w:val="16"/>
                <w:lang w:val="sl-SI" w:eastAsia="sl-SI"/>
              </w:rPr>
              <w:t>2021</w:t>
            </w:r>
          </w:p>
        </w:tc>
        <w:tc>
          <w:tcPr>
            <w:tcW w:w="1688" w:type="dxa"/>
            <w:shd w:val="clear" w:color="auto" w:fill="auto"/>
            <w:noWrap/>
            <w:vAlign w:val="bottom"/>
            <w:hideMark/>
          </w:tcPr>
          <w:p w14:paraId="2049AE0B" w14:textId="77777777" w:rsidR="004912DC" w:rsidRPr="00582F4F" w:rsidRDefault="004912DC" w:rsidP="00906890">
            <w:pPr>
              <w:pStyle w:val="Telobesedila"/>
              <w:rPr>
                <w:rFonts w:ascii="Arial" w:eastAsia="Georgia" w:hAnsi="Arial" w:cs="Arial"/>
                <w:color w:val="auto"/>
                <w:sz w:val="16"/>
                <w:szCs w:val="16"/>
                <w:lang w:val="sl-SI" w:eastAsia="sl-SI"/>
              </w:rPr>
            </w:pPr>
            <w:r w:rsidRPr="00582F4F">
              <w:rPr>
                <w:rFonts w:ascii="Arial" w:eastAsia="Georgia" w:hAnsi="Arial" w:cs="Arial"/>
                <w:color w:val="auto"/>
                <w:sz w:val="16"/>
                <w:szCs w:val="16"/>
                <w:lang w:val="sl-SI" w:eastAsia="sl-SI"/>
              </w:rPr>
              <w:t>2022</w:t>
            </w:r>
          </w:p>
        </w:tc>
        <w:tc>
          <w:tcPr>
            <w:tcW w:w="1660" w:type="dxa"/>
            <w:shd w:val="clear" w:color="auto" w:fill="auto"/>
            <w:noWrap/>
            <w:vAlign w:val="bottom"/>
            <w:hideMark/>
          </w:tcPr>
          <w:p w14:paraId="45A6A2F4" w14:textId="77777777" w:rsidR="004912DC" w:rsidRPr="00582F4F" w:rsidRDefault="004912DC" w:rsidP="00906890">
            <w:pPr>
              <w:pStyle w:val="Telobesedila"/>
              <w:rPr>
                <w:rFonts w:ascii="Arial" w:eastAsia="Georgia" w:hAnsi="Arial" w:cs="Arial"/>
                <w:color w:val="auto"/>
                <w:sz w:val="16"/>
                <w:szCs w:val="16"/>
                <w:lang w:val="sl-SI" w:eastAsia="sl-SI"/>
              </w:rPr>
            </w:pPr>
            <w:r w:rsidRPr="00582F4F">
              <w:rPr>
                <w:rFonts w:ascii="Arial" w:eastAsia="Georgia" w:hAnsi="Arial" w:cs="Arial"/>
                <w:color w:val="auto"/>
                <w:sz w:val="16"/>
                <w:szCs w:val="16"/>
                <w:lang w:val="sl-SI" w:eastAsia="sl-SI"/>
              </w:rPr>
              <w:t>Skupaj</w:t>
            </w:r>
          </w:p>
        </w:tc>
      </w:tr>
      <w:tr w:rsidR="004912DC" w:rsidRPr="00582F4F" w14:paraId="1FFA8C80" w14:textId="77777777" w:rsidTr="00906890">
        <w:trPr>
          <w:trHeight w:val="300"/>
        </w:trPr>
        <w:tc>
          <w:tcPr>
            <w:tcW w:w="1560" w:type="dxa"/>
            <w:shd w:val="clear" w:color="auto" w:fill="auto"/>
            <w:noWrap/>
            <w:vAlign w:val="bottom"/>
            <w:hideMark/>
          </w:tcPr>
          <w:p w14:paraId="65521373" w14:textId="77777777" w:rsidR="004912DC" w:rsidRPr="00582F4F" w:rsidRDefault="004912DC" w:rsidP="00906890">
            <w:pPr>
              <w:pStyle w:val="Telobesedila"/>
              <w:rPr>
                <w:rFonts w:ascii="Arial" w:eastAsia="Georgia" w:hAnsi="Arial" w:cs="Arial"/>
                <w:color w:val="auto"/>
                <w:sz w:val="16"/>
                <w:szCs w:val="16"/>
                <w:lang w:val="sl-SI" w:eastAsia="sl-SI"/>
              </w:rPr>
            </w:pPr>
            <w:r w:rsidRPr="00582F4F">
              <w:rPr>
                <w:rFonts w:ascii="Arial" w:eastAsia="Georgia" w:hAnsi="Arial" w:cs="Arial"/>
                <w:color w:val="auto"/>
                <w:sz w:val="16"/>
                <w:szCs w:val="16"/>
                <w:lang w:val="sl-SI" w:eastAsia="sl-SI"/>
              </w:rPr>
              <w:t>1.2</w:t>
            </w:r>
          </w:p>
        </w:tc>
        <w:tc>
          <w:tcPr>
            <w:tcW w:w="850" w:type="dxa"/>
            <w:shd w:val="clear" w:color="auto" w:fill="auto"/>
            <w:noWrap/>
            <w:vAlign w:val="bottom"/>
            <w:hideMark/>
          </w:tcPr>
          <w:p w14:paraId="18C105AF" w14:textId="77777777" w:rsidR="004912DC" w:rsidRPr="00582F4F" w:rsidRDefault="004912DC" w:rsidP="00906890">
            <w:pPr>
              <w:pStyle w:val="Telobesedila"/>
              <w:rPr>
                <w:rFonts w:ascii="Arial" w:eastAsia="Georgia" w:hAnsi="Arial" w:cs="Arial"/>
                <w:color w:val="auto"/>
                <w:sz w:val="16"/>
                <w:szCs w:val="16"/>
                <w:lang w:val="sl-SI" w:eastAsia="sl-SI"/>
              </w:rPr>
            </w:pPr>
            <w:r w:rsidRPr="00582F4F">
              <w:rPr>
                <w:rFonts w:ascii="Arial" w:eastAsia="Georgia" w:hAnsi="Arial" w:cs="Arial"/>
                <w:color w:val="auto"/>
                <w:sz w:val="16"/>
                <w:szCs w:val="16"/>
                <w:lang w:val="sl-SI" w:eastAsia="sl-SI"/>
              </w:rPr>
              <w:t>Vzhod</w:t>
            </w:r>
          </w:p>
        </w:tc>
        <w:tc>
          <w:tcPr>
            <w:tcW w:w="1430" w:type="dxa"/>
            <w:shd w:val="clear" w:color="auto" w:fill="auto"/>
            <w:noWrap/>
            <w:vAlign w:val="bottom"/>
            <w:hideMark/>
          </w:tcPr>
          <w:p w14:paraId="4003DB6C" w14:textId="77777777" w:rsidR="004912DC" w:rsidRPr="00582F4F" w:rsidRDefault="004912DC" w:rsidP="00906890">
            <w:pPr>
              <w:pStyle w:val="Telobesedila"/>
              <w:jc w:val="right"/>
              <w:rPr>
                <w:rFonts w:ascii="Arial" w:eastAsia="Georgia" w:hAnsi="Arial" w:cs="Arial"/>
                <w:color w:val="auto"/>
                <w:sz w:val="16"/>
                <w:szCs w:val="16"/>
                <w:lang w:val="sl-SI" w:eastAsia="sl-SI"/>
              </w:rPr>
            </w:pPr>
            <w:r w:rsidRPr="00582F4F">
              <w:rPr>
                <w:rFonts w:ascii="Arial" w:eastAsia="Georgia" w:hAnsi="Arial" w:cs="Arial"/>
                <w:color w:val="auto"/>
                <w:sz w:val="16"/>
                <w:szCs w:val="16"/>
                <w:lang w:val="sl-SI" w:eastAsia="sl-SI"/>
              </w:rPr>
              <w:t>8.550.000,00</w:t>
            </w:r>
          </w:p>
          <w:p w14:paraId="6F0597B2" w14:textId="77777777" w:rsidR="004912DC" w:rsidRPr="00582F4F" w:rsidRDefault="004912DC" w:rsidP="00906890">
            <w:pPr>
              <w:pStyle w:val="Telobesedila"/>
              <w:jc w:val="right"/>
              <w:rPr>
                <w:rFonts w:ascii="Arial" w:eastAsia="Georgia" w:hAnsi="Arial" w:cs="Arial"/>
                <w:color w:val="auto"/>
                <w:sz w:val="16"/>
                <w:szCs w:val="16"/>
                <w:lang w:val="sl-SI" w:eastAsia="sl-SI"/>
              </w:rPr>
            </w:pPr>
          </w:p>
        </w:tc>
        <w:tc>
          <w:tcPr>
            <w:tcW w:w="1547" w:type="dxa"/>
            <w:shd w:val="clear" w:color="auto" w:fill="auto"/>
            <w:noWrap/>
            <w:vAlign w:val="bottom"/>
            <w:hideMark/>
          </w:tcPr>
          <w:p w14:paraId="44998339" w14:textId="77777777" w:rsidR="004912DC" w:rsidRPr="00582F4F" w:rsidRDefault="004912DC" w:rsidP="00906890">
            <w:pPr>
              <w:pStyle w:val="Telobesedila"/>
              <w:jc w:val="right"/>
              <w:rPr>
                <w:rFonts w:ascii="Arial" w:eastAsia="Georgia" w:hAnsi="Arial" w:cs="Arial"/>
                <w:color w:val="auto"/>
                <w:sz w:val="16"/>
                <w:szCs w:val="16"/>
                <w:lang w:val="sl-SI" w:eastAsia="sl-SI"/>
              </w:rPr>
            </w:pPr>
            <w:r w:rsidRPr="00582F4F">
              <w:rPr>
                <w:rFonts w:ascii="Arial" w:eastAsia="Georgia" w:hAnsi="Arial" w:cs="Arial"/>
                <w:color w:val="auto"/>
                <w:sz w:val="16"/>
                <w:szCs w:val="16"/>
                <w:lang w:val="sl-SI" w:eastAsia="sl-SI"/>
              </w:rPr>
              <w:t>8.550.000,00</w:t>
            </w:r>
          </w:p>
          <w:p w14:paraId="504BE96A" w14:textId="77777777" w:rsidR="004912DC" w:rsidRPr="00582F4F" w:rsidRDefault="004912DC" w:rsidP="00906890">
            <w:pPr>
              <w:pStyle w:val="Telobesedila"/>
              <w:jc w:val="right"/>
              <w:rPr>
                <w:rFonts w:ascii="Arial" w:eastAsia="Georgia" w:hAnsi="Arial" w:cs="Arial"/>
                <w:color w:val="auto"/>
                <w:sz w:val="16"/>
                <w:szCs w:val="16"/>
                <w:lang w:val="sl-SI" w:eastAsia="sl-SI"/>
              </w:rPr>
            </w:pPr>
          </w:p>
        </w:tc>
        <w:tc>
          <w:tcPr>
            <w:tcW w:w="1430" w:type="dxa"/>
            <w:shd w:val="clear" w:color="auto" w:fill="auto"/>
            <w:noWrap/>
            <w:vAlign w:val="bottom"/>
            <w:hideMark/>
          </w:tcPr>
          <w:p w14:paraId="0B465AD5" w14:textId="77777777" w:rsidR="004912DC" w:rsidRPr="00582F4F" w:rsidRDefault="004912DC" w:rsidP="00906890">
            <w:pPr>
              <w:pStyle w:val="Telobesedila"/>
              <w:jc w:val="right"/>
              <w:rPr>
                <w:rFonts w:ascii="Arial" w:eastAsia="Georgia" w:hAnsi="Arial" w:cs="Arial"/>
                <w:color w:val="auto"/>
                <w:sz w:val="16"/>
                <w:szCs w:val="16"/>
                <w:lang w:val="sl-SI" w:eastAsia="sl-SI"/>
              </w:rPr>
            </w:pPr>
            <w:r w:rsidRPr="00582F4F">
              <w:rPr>
                <w:rFonts w:ascii="Arial" w:eastAsia="Georgia" w:hAnsi="Arial" w:cs="Arial"/>
                <w:color w:val="auto"/>
                <w:sz w:val="16"/>
                <w:szCs w:val="16"/>
                <w:lang w:val="sl-SI" w:eastAsia="sl-SI"/>
              </w:rPr>
              <w:t>8.550.000,00</w:t>
            </w:r>
          </w:p>
          <w:p w14:paraId="25175042" w14:textId="77777777" w:rsidR="004912DC" w:rsidRPr="00582F4F" w:rsidRDefault="004912DC" w:rsidP="00906890">
            <w:pPr>
              <w:pStyle w:val="Telobesedila"/>
              <w:jc w:val="right"/>
              <w:rPr>
                <w:rFonts w:ascii="Arial" w:eastAsia="Georgia" w:hAnsi="Arial" w:cs="Arial"/>
                <w:color w:val="auto"/>
                <w:sz w:val="16"/>
                <w:szCs w:val="16"/>
                <w:lang w:val="sl-SI" w:eastAsia="sl-SI"/>
              </w:rPr>
            </w:pPr>
          </w:p>
        </w:tc>
        <w:tc>
          <w:tcPr>
            <w:tcW w:w="1688" w:type="dxa"/>
            <w:shd w:val="clear" w:color="auto" w:fill="auto"/>
            <w:noWrap/>
            <w:vAlign w:val="bottom"/>
            <w:hideMark/>
          </w:tcPr>
          <w:p w14:paraId="0A6EB445" w14:textId="77777777" w:rsidR="004912DC" w:rsidRPr="00582F4F" w:rsidRDefault="004912DC" w:rsidP="00906890">
            <w:pPr>
              <w:pStyle w:val="Telobesedila"/>
              <w:jc w:val="right"/>
              <w:rPr>
                <w:rFonts w:ascii="Arial" w:eastAsia="Georgia" w:hAnsi="Arial" w:cs="Arial"/>
                <w:color w:val="auto"/>
                <w:sz w:val="16"/>
                <w:szCs w:val="16"/>
                <w:lang w:val="sl-SI" w:eastAsia="sl-SI"/>
              </w:rPr>
            </w:pPr>
            <w:r w:rsidRPr="00582F4F">
              <w:rPr>
                <w:rFonts w:ascii="Arial" w:eastAsia="Georgia" w:hAnsi="Arial" w:cs="Arial"/>
                <w:color w:val="auto"/>
                <w:sz w:val="16"/>
                <w:szCs w:val="16"/>
                <w:lang w:val="sl-SI" w:eastAsia="sl-SI"/>
              </w:rPr>
              <w:t>8.550.000,00</w:t>
            </w:r>
          </w:p>
          <w:p w14:paraId="540668B2" w14:textId="77777777" w:rsidR="004912DC" w:rsidRPr="00582F4F" w:rsidRDefault="004912DC" w:rsidP="00906890">
            <w:pPr>
              <w:pStyle w:val="Telobesedila"/>
              <w:jc w:val="right"/>
              <w:rPr>
                <w:rFonts w:ascii="Arial" w:eastAsia="Georgia" w:hAnsi="Arial" w:cs="Arial"/>
                <w:color w:val="auto"/>
                <w:sz w:val="16"/>
                <w:szCs w:val="16"/>
                <w:lang w:val="sl-SI" w:eastAsia="sl-SI"/>
              </w:rPr>
            </w:pPr>
          </w:p>
        </w:tc>
        <w:tc>
          <w:tcPr>
            <w:tcW w:w="1660" w:type="dxa"/>
            <w:shd w:val="clear" w:color="auto" w:fill="auto"/>
            <w:noWrap/>
            <w:vAlign w:val="bottom"/>
            <w:hideMark/>
          </w:tcPr>
          <w:p w14:paraId="14EB6642" w14:textId="77777777" w:rsidR="004912DC" w:rsidRPr="00582F4F" w:rsidRDefault="004912DC" w:rsidP="00906890">
            <w:pPr>
              <w:pStyle w:val="Telobesedila"/>
              <w:jc w:val="right"/>
              <w:rPr>
                <w:rFonts w:ascii="Arial" w:eastAsia="Georgia" w:hAnsi="Arial" w:cs="Arial"/>
                <w:color w:val="auto"/>
                <w:sz w:val="16"/>
                <w:szCs w:val="16"/>
                <w:lang w:val="sl-SI" w:eastAsia="sl-SI"/>
              </w:rPr>
            </w:pPr>
            <w:r w:rsidRPr="00582F4F">
              <w:rPr>
                <w:rFonts w:ascii="Arial" w:eastAsia="Georgia" w:hAnsi="Arial" w:cs="Arial"/>
                <w:color w:val="auto"/>
                <w:sz w:val="16"/>
                <w:szCs w:val="16"/>
                <w:lang w:val="sl-SI" w:eastAsia="sl-SI"/>
              </w:rPr>
              <w:t>34.200.000,00</w:t>
            </w:r>
          </w:p>
          <w:p w14:paraId="25BEB38A" w14:textId="77777777" w:rsidR="004912DC" w:rsidRPr="00582F4F" w:rsidRDefault="004912DC" w:rsidP="00906890">
            <w:pPr>
              <w:pStyle w:val="Telobesedila"/>
              <w:jc w:val="right"/>
              <w:rPr>
                <w:rFonts w:ascii="Arial" w:eastAsia="Georgia" w:hAnsi="Arial" w:cs="Arial"/>
                <w:color w:val="auto"/>
                <w:sz w:val="16"/>
                <w:szCs w:val="16"/>
                <w:lang w:val="sl-SI" w:eastAsia="sl-SI"/>
              </w:rPr>
            </w:pPr>
          </w:p>
        </w:tc>
      </w:tr>
      <w:tr w:rsidR="004912DC" w:rsidRPr="00582F4F" w14:paraId="775AAD5B" w14:textId="77777777" w:rsidTr="00906890">
        <w:trPr>
          <w:trHeight w:val="300"/>
        </w:trPr>
        <w:tc>
          <w:tcPr>
            <w:tcW w:w="1560" w:type="dxa"/>
            <w:shd w:val="clear" w:color="auto" w:fill="auto"/>
            <w:noWrap/>
            <w:vAlign w:val="bottom"/>
            <w:hideMark/>
          </w:tcPr>
          <w:p w14:paraId="69ECDC65" w14:textId="77777777" w:rsidR="004912DC" w:rsidRPr="00582F4F" w:rsidRDefault="004912DC" w:rsidP="00906890">
            <w:pPr>
              <w:pStyle w:val="Telobesedila"/>
              <w:rPr>
                <w:rFonts w:ascii="Arial" w:eastAsia="Georgia" w:hAnsi="Arial" w:cs="Arial"/>
                <w:color w:val="auto"/>
                <w:sz w:val="16"/>
                <w:szCs w:val="16"/>
                <w:lang w:val="sl-SI" w:eastAsia="sl-SI"/>
              </w:rPr>
            </w:pPr>
            <w:r w:rsidRPr="00582F4F">
              <w:rPr>
                <w:rFonts w:ascii="Arial" w:eastAsia="Georgia" w:hAnsi="Arial" w:cs="Arial"/>
                <w:color w:val="auto"/>
                <w:sz w:val="16"/>
                <w:szCs w:val="16"/>
                <w:lang w:val="sl-SI" w:eastAsia="sl-SI"/>
              </w:rPr>
              <w:t>1.2</w:t>
            </w:r>
          </w:p>
        </w:tc>
        <w:tc>
          <w:tcPr>
            <w:tcW w:w="850" w:type="dxa"/>
            <w:shd w:val="clear" w:color="auto" w:fill="auto"/>
            <w:noWrap/>
            <w:vAlign w:val="bottom"/>
            <w:hideMark/>
          </w:tcPr>
          <w:p w14:paraId="3ECFFCFC" w14:textId="77777777" w:rsidR="004912DC" w:rsidRPr="00582F4F" w:rsidRDefault="004912DC" w:rsidP="00906890">
            <w:pPr>
              <w:pStyle w:val="Telobesedila"/>
              <w:rPr>
                <w:rFonts w:ascii="Arial" w:eastAsia="Georgia" w:hAnsi="Arial" w:cs="Arial"/>
                <w:color w:val="auto"/>
                <w:sz w:val="16"/>
                <w:szCs w:val="16"/>
                <w:lang w:val="sl-SI" w:eastAsia="sl-SI"/>
              </w:rPr>
            </w:pPr>
            <w:r w:rsidRPr="00582F4F">
              <w:rPr>
                <w:rFonts w:ascii="Arial" w:eastAsia="Georgia" w:hAnsi="Arial" w:cs="Arial"/>
                <w:color w:val="auto"/>
                <w:sz w:val="16"/>
                <w:szCs w:val="16"/>
                <w:lang w:val="sl-SI" w:eastAsia="sl-SI"/>
              </w:rPr>
              <w:t>Zahod</w:t>
            </w:r>
          </w:p>
        </w:tc>
        <w:tc>
          <w:tcPr>
            <w:tcW w:w="1430" w:type="dxa"/>
            <w:shd w:val="clear" w:color="auto" w:fill="auto"/>
            <w:noWrap/>
            <w:vAlign w:val="bottom"/>
            <w:hideMark/>
          </w:tcPr>
          <w:p w14:paraId="4C2937C6" w14:textId="77777777" w:rsidR="004912DC" w:rsidRPr="00582F4F" w:rsidRDefault="004912DC" w:rsidP="00906890">
            <w:pPr>
              <w:pStyle w:val="Telobesedila"/>
              <w:jc w:val="right"/>
              <w:rPr>
                <w:rFonts w:ascii="Arial" w:eastAsia="Georgia" w:hAnsi="Arial" w:cs="Arial"/>
                <w:color w:val="auto"/>
                <w:sz w:val="16"/>
                <w:szCs w:val="16"/>
                <w:lang w:val="sl-SI" w:eastAsia="sl-SI"/>
              </w:rPr>
            </w:pPr>
            <w:r w:rsidRPr="00582F4F">
              <w:rPr>
                <w:rFonts w:ascii="Arial" w:eastAsia="Georgia" w:hAnsi="Arial" w:cs="Arial"/>
                <w:color w:val="auto"/>
                <w:sz w:val="16"/>
                <w:szCs w:val="16"/>
                <w:lang w:val="sl-SI" w:eastAsia="sl-SI"/>
              </w:rPr>
              <w:t>13.450.000,00</w:t>
            </w:r>
          </w:p>
          <w:p w14:paraId="644D73CE" w14:textId="77777777" w:rsidR="004912DC" w:rsidRPr="00582F4F" w:rsidRDefault="004912DC" w:rsidP="00906890">
            <w:pPr>
              <w:pStyle w:val="Telobesedila"/>
              <w:jc w:val="right"/>
              <w:rPr>
                <w:rFonts w:ascii="Arial" w:eastAsia="Georgia" w:hAnsi="Arial" w:cs="Arial"/>
                <w:color w:val="auto"/>
                <w:sz w:val="16"/>
                <w:szCs w:val="16"/>
                <w:lang w:val="sl-SI" w:eastAsia="sl-SI"/>
              </w:rPr>
            </w:pPr>
          </w:p>
        </w:tc>
        <w:tc>
          <w:tcPr>
            <w:tcW w:w="1547" w:type="dxa"/>
            <w:shd w:val="clear" w:color="auto" w:fill="auto"/>
            <w:noWrap/>
            <w:vAlign w:val="bottom"/>
            <w:hideMark/>
          </w:tcPr>
          <w:p w14:paraId="0A608D9D" w14:textId="77777777" w:rsidR="004912DC" w:rsidRPr="00582F4F" w:rsidRDefault="004912DC" w:rsidP="00906890">
            <w:pPr>
              <w:pStyle w:val="Telobesedila"/>
              <w:jc w:val="right"/>
              <w:rPr>
                <w:rFonts w:ascii="Arial" w:eastAsia="Georgia" w:hAnsi="Arial" w:cs="Arial"/>
                <w:color w:val="auto"/>
                <w:sz w:val="16"/>
                <w:szCs w:val="16"/>
                <w:lang w:val="sl-SI" w:eastAsia="sl-SI"/>
              </w:rPr>
            </w:pPr>
            <w:r w:rsidRPr="00582F4F">
              <w:rPr>
                <w:rFonts w:ascii="Arial" w:eastAsia="Georgia" w:hAnsi="Arial" w:cs="Arial"/>
                <w:color w:val="auto"/>
                <w:sz w:val="16"/>
                <w:szCs w:val="16"/>
                <w:lang w:val="sl-SI" w:eastAsia="sl-SI"/>
              </w:rPr>
              <w:t>13.450.000,00</w:t>
            </w:r>
          </w:p>
          <w:p w14:paraId="35258977" w14:textId="77777777" w:rsidR="004912DC" w:rsidRPr="00582F4F" w:rsidRDefault="004912DC" w:rsidP="00906890">
            <w:pPr>
              <w:pStyle w:val="Telobesedila"/>
              <w:jc w:val="right"/>
              <w:rPr>
                <w:rFonts w:ascii="Arial" w:eastAsia="Georgia" w:hAnsi="Arial" w:cs="Arial"/>
                <w:color w:val="auto"/>
                <w:sz w:val="16"/>
                <w:szCs w:val="16"/>
                <w:lang w:val="sl-SI" w:eastAsia="sl-SI"/>
              </w:rPr>
            </w:pPr>
          </w:p>
        </w:tc>
        <w:tc>
          <w:tcPr>
            <w:tcW w:w="1430" w:type="dxa"/>
            <w:shd w:val="clear" w:color="auto" w:fill="auto"/>
            <w:noWrap/>
            <w:vAlign w:val="bottom"/>
            <w:hideMark/>
          </w:tcPr>
          <w:p w14:paraId="7C17745E" w14:textId="77777777" w:rsidR="004912DC" w:rsidRPr="00582F4F" w:rsidRDefault="004912DC" w:rsidP="00906890">
            <w:pPr>
              <w:pStyle w:val="Telobesedila"/>
              <w:jc w:val="right"/>
              <w:rPr>
                <w:rFonts w:ascii="Arial" w:eastAsia="Georgia" w:hAnsi="Arial" w:cs="Arial"/>
                <w:color w:val="auto"/>
                <w:sz w:val="16"/>
                <w:szCs w:val="16"/>
                <w:lang w:val="sl-SI" w:eastAsia="sl-SI"/>
              </w:rPr>
            </w:pPr>
            <w:r w:rsidRPr="00582F4F">
              <w:rPr>
                <w:rFonts w:ascii="Arial" w:eastAsia="Georgia" w:hAnsi="Arial" w:cs="Arial"/>
                <w:color w:val="auto"/>
                <w:sz w:val="16"/>
                <w:szCs w:val="16"/>
                <w:lang w:val="sl-SI" w:eastAsia="sl-SI"/>
              </w:rPr>
              <w:t>13.450.000,00</w:t>
            </w:r>
          </w:p>
          <w:p w14:paraId="2AD827B2" w14:textId="77777777" w:rsidR="004912DC" w:rsidRPr="00582F4F" w:rsidRDefault="004912DC" w:rsidP="00906890">
            <w:pPr>
              <w:pStyle w:val="Telobesedila"/>
              <w:jc w:val="right"/>
              <w:rPr>
                <w:rFonts w:ascii="Arial" w:eastAsia="Georgia" w:hAnsi="Arial" w:cs="Arial"/>
                <w:color w:val="auto"/>
                <w:sz w:val="16"/>
                <w:szCs w:val="16"/>
                <w:lang w:val="sl-SI" w:eastAsia="sl-SI"/>
              </w:rPr>
            </w:pPr>
          </w:p>
        </w:tc>
        <w:tc>
          <w:tcPr>
            <w:tcW w:w="1688" w:type="dxa"/>
            <w:shd w:val="clear" w:color="auto" w:fill="auto"/>
            <w:noWrap/>
            <w:vAlign w:val="bottom"/>
            <w:hideMark/>
          </w:tcPr>
          <w:p w14:paraId="4177A0B8" w14:textId="77777777" w:rsidR="004912DC" w:rsidRPr="00582F4F" w:rsidRDefault="004912DC" w:rsidP="00906890">
            <w:pPr>
              <w:pStyle w:val="Telobesedila"/>
              <w:jc w:val="right"/>
              <w:rPr>
                <w:rFonts w:ascii="Arial" w:eastAsia="Georgia" w:hAnsi="Arial" w:cs="Arial"/>
                <w:color w:val="auto"/>
                <w:sz w:val="16"/>
                <w:szCs w:val="16"/>
                <w:lang w:val="sl-SI" w:eastAsia="sl-SI"/>
              </w:rPr>
            </w:pPr>
            <w:r w:rsidRPr="00582F4F">
              <w:rPr>
                <w:rFonts w:ascii="Arial" w:eastAsia="Georgia" w:hAnsi="Arial" w:cs="Arial"/>
                <w:color w:val="auto"/>
                <w:sz w:val="16"/>
                <w:szCs w:val="16"/>
                <w:lang w:val="sl-SI" w:eastAsia="sl-SI"/>
              </w:rPr>
              <w:t>13.450.000,00</w:t>
            </w:r>
          </w:p>
          <w:p w14:paraId="255D9082" w14:textId="77777777" w:rsidR="004912DC" w:rsidRPr="00582F4F" w:rsidRDefault="004912DC" w:rsidP="00906890">
            <w:pPr>
              <w:pStyle w:val="Telobesedila"/>
              <w:jc w:val="right"/>
              <w:rPr>
                <w:rFonts w:ascii="Arial" w:eastAsia="Georgia" w:hAnsi="Arial" w:cs="Arial"/>
                <w:color w:val="auto"/>
                <w:sz w:val="16"/>
                <w:szCs w:val="16"/>
                <w:lang w:val="sl-SI" w:eastAsia="sl-SI"/>
              </w:rPr>
            </w:pPr>
          </w:p>
        </w:tc>
        <w:tc>
          <w:tcPr>
            <w:tcW w:w="1660" w:type="dxa"/>
            <w:shd w:val="clear" w:color="auto" w:fill="auto"/>
            <w:noWrap/>
            <w:vAlign w:val="bottom"/>
            <w:hideMark/>
          </w:tcPr>
          <w:p w14:paraId="117D80A7" w14:textId="77777777" w:rsidR="004912DC" w:rsidRPr="00582F4F" w:rsidRDefault="004912DC" w:rsidP="00906890">
            <w:pPr>
              <w:pStyle w:val="Telobesedila"/>
              <w:jc w:val="right"/>
              <w:rPr>
                <w:rFonts w:ascii="Arial" w:eastAsia="Georgia" w:hAnsi="Arial" w:cs="Arial"/>
                <w:color w:val="auto"/>
                <w:sz w:val="16"/>
                <w:szCs w:val="16"/>
                <w:lang w:val="sl-SI" w:eastAsia="sl-SI"/>
              </w:rPr>
            </w:pPr>
            <w:r w:rsidRPr="00582F4F">
              <w:rPr>
                <w:rFonts w:ascii="Arial" w:eastAsia="Georgia" w:hAnsi="Arial" w:cs="Arial"/>
                <w:color w:val="auto"/>
                <w:sz w:val="16"/>
                <w:szCs w:val="16"/>
                <w:lang w:val="sl-SI" w:eastAsia="sl-SI"/>
              </w:rPr>
              <w:t>53.800.000,00</w:t>
            </w:r>
          </w:p>
          <w:p w14:paraId="16BD4DB4" w14:textId="77777777" w:rsidR="004912DC" w:rsidRPr="00582F4F" w:rsidRDefault="004912DC" w:rsidP="00906890">
            <w:pPr>
              <w:pStyle w:val="Telobesedila"/>
              <w:jc w:val="right"/>
              <w:rPr>
                <w:rFonts w:ascii="Arial" w:eastAsia="Georgia" w:hAnsi="Arial" w:cs="Arial"/>
                <w:color w:val="auto"/>
                <w:sz w:val="16"/>
                <w:szCs w:val="16"/>
                <w:lang w:val="sl-SI" w:eastAsia="sl-SI"/>
              </w:rPr>
            </w:pPr>
          </w:p>
        </w:tc>
      </w:tr>
      <w:tr w:rsidR="004912DC" w:rsidRPr="00582F4F" w14:paraId="374E55EE" w14:textId="77777777" w:rsidTr="00906890">
        <w:trPr>
          <w:trHeight w:val="300"/>
        </w:trPr>
        <w:tc>
          <w:tcPr>
            <w:tcW w:w="1560" w:type="dxa"/>
            <w:shd w:val="clear" w:color="auto" w:fill="auto"/>
            <w:noWrap/>
            <w:vAlign w:val="bottom"/>
            <w:hideMark/>
          </w:tcPr>
          <w:p w14:paraId="6CB97A63" w14:textId="77777777" w:rsidR="004912DC" w:rsidRPr="00582F4F" w:rsidRDefault="004912DC" w:rsidP="00906890">
            <w:pPr>
              <w:pStyle w:val="Telobesedila"/>
              <w:rPr>
                <w:rFonts w:ascii="Arial" w:eastAsia="Georgia" w:hAnsi="Arial" w:cs="Arial"/>
                <w:b/>
                <w:color w:val="auto"/>
                <w:sz w:val="16"/>
                <w:szCs w:val="16"/>
                <w:lang w:val="sl-SI" w:eastAsia="sl-SI"/>
              </w:rPr>
            </w:pPr>
            <w:r w:rsidRPr="00582F4F">
              <w:rPr>
                <w:rFonts w:ascii="Arial" w:eastAsia="Georgia" w:hAnsi="Arial" w:cs="Arial"/>
                <w:b/>
                <w:color w:val="auto"/>
                <w:sz w:val="16"/>
                <w:szCs w:val="16"/>
                <w:lang w:val="sl-SI" w:eastAsia="sl-SI"/>
              </w:rPr>
              <w:t>1.2 Vsota</w:t>
            </w:r>
          </w:p>
        </w:tc>
        <w:tc>
          <w:tcPr>
            <w:tcW w:w="850" w:type="dxa"/>
            <w:shd w:val="clear" w:color="auto" w:fill="auto"/>
            <w:noWrap/>
            <w:vAlign w:val="bottom"/>
            <w:hideMark/>
          </w:tcPr>
          <w:p w14:paraId="22990B66" w14:textId="77777777" w:rsidR="004912DC" w:rsidRPr="00582F4F" w:rsidRDefault="004912DC" w:rsidP="00906890">
            <w:pPr>
              <w:pStyle w:val="Telobesedila"/>
              <w:rPr>
                <w:rFonts w:ascii="Arial" w:eastAsia="Georgia" w:hAnsi="Arial" w:cs="Arial"/>
                <w:b/>
                <w:color w:val="auto"/>
                <w:sz w:val="16"/>
                <w:szCs w:val="16"/>
                <w:lang w:val="sl-SI" w:eastAsia="sl-SI"/>
              </w:rPr>
            </w:pPr>
          </w:p>
        </w:tc>
        <w:tc>
          <w:tcPr>
            <w:tcW w:w="1430" w:type="dxa"/>
            <w:shd w:val="clear" w:color="auto" w:fill="auto"/>
            <w:noWrap/>
            <w:vAlign w:val="bottom"/>
            <w:hideMark/>
          </w:tcPr>
          <w:p w14:paraId="6456FD07" w14:textId="77777777" w:rsidR="004912DC" w:rsidRPr="00582F4F" w:rsidRDefault="004912DC" w:rsidP="00906890">
            <w:pPr>
              <w:pStyle w:val="Telobesedila"/>
              <w:jc w:val="right"/>
              <w:rPr>
                <w:rFonts w:ascii="Arial" w:eastAsia="Georgia" w:hAnsi="Arial" w:cs="Arial"/>
                <w:b/>
                <w:color w:val="auto"/>
                <w:sz w:val="16"/>
                <w:szCs w:val="16"/>
                <w:lang w:val="sl-SI" w:eastAsia="sl-SI"/>
              </w:rPr>
            </w:pPr>
            <w:r w:rsidRPr="00582F4F">
              <w:rPr>
                <w:rFonts w:ascii="Arial" w:eastAsia="Georgia" w:hAnsi="Arial" w:cs="Arial"/>
                <w:b/>
                <w:color w:val="auto"/>
                <w:sz w:val="16"/>
                <w:szCs w:val="16"/>
                <w:lang w:val="sl-SI" w:eastAsia="sl-SI"/>
              </w:rPr>
              <w:t>22.000.000,00</w:t>
            </w:r>
          </w:p>
        </w:tc>
        <w:tc>
          <w:tcPr>
            <w:tcW w:w="1547" w:type="dxa"/>
            <w:shd w:val="clear" w:color="auto" w:fill="auto"/>
            <w:noWrap/>
            <w:vAlign w:val="bottom"/>
            <w:hideMark/>
          </w:tcPr>
          <w:p w14:paraId="7835DF7D" w14:textId="77777777" w:rsidR="004912DC" w:rsidRPr="00582F4F" w:rsidRDefault="004912DC" w:rsidP="00906890">
            <w:pPr>
              <w:pStyle w:val="Telobesedila"/>
              <w:jc w:val="right"/>
              <w:rPr>
                <w:rFonts w:ascii="Arial" w:eastAsia="Georgia" w:hAnsi="Arial" w:cs="Arial"/>
                <w:b/>
                <w:color w:val="auto"/>
                <w:sz w:val="16"/>
                <w:szCs w:val="16"/>
                <w:lang w:val="sl-SI" w:eastAsia="sl-SI"/>
              </w:rPr>
            </w:pPr>
            <w:r w:rsidRPr="00582F4F">
              <w:rPr>
                <w:rFonts w:ascii="Arial" w:eastAsia="Georgia" w:hAnsi="Arial" w:cs="Arial"/>
                <w:b/>
                <w:color w:val="auto"/>
                <w:sz w:val="16"/>
                <w:szCs w:val="16"/>
                <w:lang w:val="sl-SI" w:eastAsia="sl-SI"/>
              </w:rPr>
              <w:t>22.000.000,00</w:t>
            </w:r>
          </w:p>
        </w:tc>
        <w:tc>
          <w:tcPr>
            <w:tcW w:w="1430" w:type="dxa"/>
            <w:shd w:val="clear" w:color="auto" w:fill="auto"/>
            <w:noWrap/>
            <w:vAlign w:val="bottom"/>
            <w:hideMark/>
          </w:tcPr>
          <w:p w14:paraId="45CBB878" w14:textId="77777777" w:rsidR="004912DC" w:rsidRPr="00582F4F" w:rsidRDefault="004912DC" w:rsidP="00906890">
            <w:pPr>
              <w:pStyle w:val="Telobesedila"/>
              <w:jc w:val="right"/>
              <w:rPr>
                <w:rFonts w:ascii="Arial" w:eastAsia="Georgia" w:hAnsi="Arial" w:cs="Arial"/>
                <w:b/>
                <w:color w:val="auto"/>
                <w:sz w:val="16"/>
                <w:szCs w:val="16"/>
                <w:lang w:val="sl-SI" w:eastAsia="sl-SI"/>
              </w:rPr>
            </w:pPr>
            <w:r w:rsidRPr="00582F4F">
              <w:rPr>
                <w:rFonts w:ascii="Arial" w:eastAsia="Georgia" w:hAnsi="Arial" w:cs="Arial"/>
                <w:b/>
                <w:color w:val="auto"/>
                <w:sz w:val="16"/>
                <w:szCs w:val="16"/>
                <w:lang w:val="sl-SI" w:eastAsia="sl-SI"/>
              </w:rPr>
              <w:t>22.000.000,00</w:t>
            </w:r>
          </w:p>
        </w:tc>
        <w:tc>
          <w:tcPr>
            <w:tcW w:w="1688" w:type="dxa"/>
            <w:shd w:val="clear" w:color="auto" w:fill="auto"/>
            <w:noWrap/>
            <w:vAlign w:val="bottom"/>
            <w:hideMark/>
          </w:tcPr>
          <w:p w14:paraId="3370A963" w14:textId="77777777" w:rsidR="004912DC" w:rsidRPr="00582F4F" w:rsidRDefault="004912DC" w:rsidP="00906890">
            <w:pPr>
              <w:pStyle w:val="Telobesedila"/>
              <w:jc w:val="right"/>
              <w:rPr>
                <w:rFonts w:ascii="Arial" w:eastAsia="Georgia" w:hAnsi="Arial" w:cs="Arial"/>
                <w:b/>
                <w:color w:val="auto"/>
                <w:sz w:val="16"/>
                <w:szCs w:val="16"/>
                <w:lang w:val="sl-SI" w:eastAsia="sl-SI"/>
              </w:rPr>
            </w:pPr>
            <w:r w:rsidRPr="00582F4F">
              <w:rPr>
                <w:rFonts w:ascii="Arial" w:eastAsia="Georgia" w:hAnsi="Arial" w:cs="Arial"/>
                <w:b/>
                <w:color w:val="auto"/>
                <w:sz w:val="16"/>
                <w:szCs w:val="16"/>
                <w:lang w:val="sl-SI" w:eastAsia="sl-SI"/>
              </w:rPr>
              <w:t>22.000.000,00</w:t>
            </w:r>
          </w:p>
        </w:tc>
        <w:tc>
          <w:tcPr>
            <w:tcW w:w="1660" w:type="dxa"/>
            <w:shd w:val="clear" w:color="auto" w:fill="auto"/>
            <w:noWrap/>
            <w:vAlign w:val="bottom"/>
            <w:hideMark/>
          </w:tcPr>
          <w:p w14:paraId="041F13FC" w14:textId="77777777" w:rsidR="004912DC" w:rsidRPr="00582F4F" w:rsidRDefault="004912DC" w:rsidP="00906890">
            <w:pPr>
              <w:pStyle w:val="Telobesedila"/>
              <w:jc w:val="right"/>
              <w:rPr>
                <w:rFonts w:ascii="Arial" w:eastAsia="Georgia" w:hAnsi="Arial" w:cs="Arial"/>
                <w:b/>
                <w:color w:val="auto"/>
                <w:sz w:val="16"/>
                <w:szCs w:val="16"/>
                <w:lang w:val="sl-SI" w:eastAsia="sl-SI"/>
              </w:rPr>
            </w:pPr>
            <w:r w:rsidRPr="00582F4F">
              <w:rPr>
                <w:rFonts w:ascii="Arial" w:eastAsia="Georgia" w:hAnsi="Arial" w:cs="Arial"/>
                <w:b/>
                <w:color w:val="auto"/>
                <w:sz w:val="16"/>
                <w:szCs w:val="16"/>
                <w:lang w:val="sl-SI" w:eastAsia="sl-SI"/>
              </w:rPr>
              <w:t>88.000.000,00</w:t>
            </w:r>
          </w:p>
        </w:tc>
      </w:tr>
      <w:tr w:rsidR="004912DC" w:rsidRPr="00582F4F" w14:paraId="214CC521" w14:textId="77777777" w:rsidTr="00906890">
        <w:trPr>
          <w:trHeight w:val="300"/>
        </w:trPr>
        <w:tc>
          <w:tcPr>
            <w:tcW w:w="1560" w:type="dxa"/>
            <w:shd w:val="clear" w:color="auto" w:fill="auto"/>
            <w:noWrap/>
            <w:vAlign w:val="bottom"/>
            <w:hideMark/>
          </w:tcPr>
          <w:p w14:paraId="53436BD1" w14:textId="77777777" w:rsidR="004912DC" w:rsidRPr="00582F4F" w:rsidRDefault="004912DC" w:rsidP="00906890">
            <w:pPr>
              <w:pStyle w:val="Telobesedila"/>
              <w:rPr>
                <w:rFonts w:ascii="Arial" w:eastAsia="Georgia" w:hAnsi="Arial" w:cs="Arial"/>
                <w:color w:val="auto"/>
                <w:sz w:val="16"/>
                <w:szCs w:val="16"/>
                <w:lang w:val="sl-SI" w:eastAsia="sl-SI"/>
              </w:rPr>
            </w:pPr>
            <w:r w:rsidRPr="00582F4F">
              <w:rPr>
                <w:rFonts w:ascii="Arial" w:eastAsia="Georgia" w:hAnsi="Arial" w:cs="Arial"/>
                <w:color w:val="auto"/>
                <w:sz w:val="16"/>
                <w:szCs w:val="16"/>
                <w:lang w:val="sl-SI" w:eastAsia="sl-SI"/>
              </w:rPr>
              <w:t>3.1</w:t>
            </w:r>
          </w:p>
        </w:tc>
        <w:tc>
          <w:tcPr>
            <w:tcW w:w="850" w:type="dxa"/>
            <w:shd w:val="clear" w:color="auto" w:fill="auto"/>
            <w:noWrap/>
            <w:vAlign w:val="bottom"/>
            <w:hideMark/>
          </w:tcPr>
          <w:p w14:paraId="5C8C2164" w14:textId="77777777" w:rsidR="004912DC" w:rsidRPr="00582F4F" w:rsidRDefault="004912DC" w:rsidP="00906890">
            <w:pPr>
              <w:pStyle w:val="Telobesedila"/>
              <w:rPr>
                <w:rFonts w:ascii="Arial" w:eastAsia="Georgia" w:hAnsi="Arial" w:cs="Arial"/>
                <w:color w:val="auto"/>
                <w:sz w:val="16"/>
                <w:szCs w:val="16"/>
                <w:lang w:val="sl-SI" w:eastAsia="sl-SI"/>
              </w:rPr>
            </w:pPr>
            <w:r w:rsidRPr="00582F4F">
              <w:rPr>
                <w:rFonts w:ascii="Arial" w:eastAsia="Georgia" w:hAnsi="Arial" w:cs="Arial"/>
                <w:color w:val="auto"/>
                <w:sz w:val="16"/>
                <w:szCs w:val="16"/>
                <w:lang w:val="sl-SI" w:eastAsia="sl-SI"/>
              </w:rPr>
              <w:t>Vzhod</w:t>
            </w:r>
          </w:p>
        </w:tc>
        <w:tc>
          <w:tcPr>
            <w:tcW w:w="1430" w:type="dxa"/>
            <w:shd w:val="clear" w:color="auto" w:fill="auto"/>
            <w:noWrap/>
            <w:vAlign w:val="bottom"/>
            <w:hideMark/>
          </w:tcPr>
          <w:p w14:paraId="06E9EBD3" w14:textId="77777777" w:rsidR="004912DC" w:rsidRPr="00582F4F" w:rsidRDefault="004912DC" w:rsidP="00906890">
            <w:pPr>
              <w:pStyle w:val="Telobesedila"/>
              <w:jc w:val="right"/>
              <w:rPr>
                <w:rFonts w:ascii="Arial" w:eastAsia="Georgia" w:hAnsi="Arial" w:cs="Arial"/>
                <w:color w:val="auto"/>
                <w:sz w:val="16"/>
                <w:szCs w:val="16"/>
                <w:lang w:val="sl-SI" w:eastAsia="sl-SI"/>
              </w:rPr>
            </w:pPr>
            <w:r w:rsidRPr="00582F4F">
              <w:rPr>
                <w:rFonts w:ascii="Arial" w:eastAsia="Georgia" w:hAnsi="Arial" w:cs="Arial"/>
                <w:color w:val="auto"/>
                <w:sz w:val="16"/>
                <w:szCs w:val="16"/>
                <w:lang w:val="sl-SI" w:eastAsia="sl-SI"/>
              </w:rPr>
              <w:t>13.875.000,00</w:t>
            </w:r>
          </w:p>
          <w:p w14:paraId="57089FBE" w14:textId="77777777" w:rsidR="004912DC" w:rsidRPr="00582F4F" w:rsidRDefault="004912DC" w:rsidP="00906890">
            <w:pPr>
              <w:pStyle w:val="Telobesedila"/>
              <w:jc w:val="right"/>
              <w:rPr>
                <w:rFonts w:ascii="Arial" w:eastAsia="Georgia" w:hAnsi="Arial" w:cs="Arial"/>
                <w:color w:val="auto"/>
                <w:sz w:val="16"/>
                <w:szCs w:val="16"/>
                <w:lang w:val="sl-SI" w:eastAsia="sl-SI"/>
              </w:rPr>
            </w:pPr>
          </w:p>
        </w:tc>
        <w:tc>
          <w:tcPr>
            <w:tcW w:w="1547" w:type="dxa"/>
            <w:shd w:val="clear" w:color="auto" w:fill="auto"/>
            <w:noWrap/>
            <w:vAlign w:val="bottom"/>
            <w:hideMark/>
          </w:tcPr>
          <w:p w14:paraId="00E52EAB" w14:textId="77777777" w:rsidR="004912DC" w:rsidRPr="00582F4F" w:rsidRDefault="004912DC" w:rsidP="00906890">
            <w:pPr>
              <w:pStyle w:val="Telobesedila"/>
              <w:jc w:val="right"/>
              <w:rPr>
                <w:rFonts w:ascii="Arial" w:eastAsia="Georgia" w:hAnsi="Arial" w:cs="Arial"/>
                <w:color w:val="auto"/>
                <w:sz w:val="16"/>
                <w:szCs w:val="16"/>
                <w:lang w:val="sl-SI" w:eastAsia="sl-SI"/>
              </w:rPr>
            </w:pPr>
            <w:r w:rsidRPr="00582F4F">
              <w:rPr>
                <w:rFonts w:ascii="Arial" w:eastAsia="Georgia" w:hAnsi="Arial" w:cs="Arial"/>
                <w:color w:val="auto"/>
                <w:sz w:val="16"/>
                <w:szCs w:val="16"/>
                <w:lang w:val="sl-SI" w:eastAsia="sl-SI"/>
              </w:rPr>
              <w:t>13.875.000,00</w:t>
            </w:r>
          </w:p>
          <w:p w14:paraId="733C0626" w14:textId="77777777" w:rsidR="004912DC" w:rsidRPr="00582F4F" w:rsidRDefault="004912DC" w:rsidP="00906890">
            <w:pPr>
              <w:pStyle w:val="Telobesedila"/>
              <w:jc w:val="right"/>
              <w:rPr>
                <w:rFonts w:ascii="Arial" w:eastAsia="Georgia" w:hAnsi="Arial" w:cs="Arial"/>
                <w:color w:val="auto"/>
                <w:sz w:val="16"/>
                <w:szCs w:val="16"/>
                <w:lang w:val="sl-SI" w:eastAsia="sl-SI"/>
              </w:rPr>
            </w:pPr>
          </w:p>
        </w:tc>
        <w:tc>
          <w:tcPr>
            <w:tcW w:w="1430" w:type="dxa"/>
            <w:shd w:val="clear" w:color="auto" w:fill="auto"/>
            <w:noWrap/>
            <w:vAlign w:val="bottom"/>
            <w:hideMark/>
          </w:tcPr>
          <w:p w14:paraId="60C4CA34" w14:textId="77777777" w:rsidR="004912DC" w:rsidRPr="00582F4F" w:rsidRDefault="004912DC" w:rsidP="00906890">
            <w:pPr>
              <w:pStyle w:val="Telobesedila"/>
              <w:jc w:val="right"/>
              <w:rPr>
                <w:rFonts w:ascii="Arial" w:eastAsia="Georgia" w:hAnsi="Arial" w:cs="Arial"/>
                <w:color w:val="auto"/>
                <w:sz w:val="16"/>
                <w:szCs w:val="16"/>
                <w:lang w:val="sl-SI" w:eastAsia="sl-SI"/>
              </w:rPr>
            </w:pPr>
            <w:r w:rsidRPr="00582F4F">
              <w:rPr>
                <w:rFonts w:ascii="Arial" w:eastAsia="Georgia" w:hAnsi="Arial" w:cs="Arial"/>
                <w:color w:val="auto"/>
                <w:sz w:val="16"/>
                <w:szCs w:val="16"/>
                <w:lang w:val="sl-SI" w:eastAsia="sl-SI"/>
              </w:rPr>
              <w:t>13.875.000,00</w:t>
            </w:r>
          </w:p>
          <w:p w14:paraId="788E0F91" w14:textId="77777777" w:rsidR="004912DC" w:rsidRPr="00582F4F" w:rsidRDefault="004912DC" w:rsidP="00906890">
            <w:pPr>
              <w:pStyle w:val="Telobesedila"/>
              <w:jc w:val="right"/>
              <w:rPr>
                <w:rFonts w:ascii="Arial" w:eastAsia="Georgia" w:hAnsi="Arial" w:cs="Arial"/>
                <w:color w:val="auto"/>
                <w:sz w:val="16"/>
                <w:szCs w:val="16"/>
                <w:lang w:val="sl-SI" w:eastAsia="sl-SI"/>
              </w:rPr>
            </w:pPr>
          </w:p>
        </w:tc>
        <w:tc>
          <w:tcPr>
            <w:tcW w:w="1688" w:type="dxa"/>
            <w:shd w:val="clear" w:color="auto" w:fill="auto"/>
            <w:noWrap/>
            <w:vAlign w:val="bottom"/>
            <w:hideMark/>
          </w:tcPr>
          <w:p w14:paraId="7CF83657" w14:textId="77777777" w:rsidR="004912DC" w:rsidRPr="00582F4F" w:rsidRDefault="004912DC" w:rsidP="00906890">
            <w:pPr>
              <w:pStyle w:val="Telobesedila"/>
              <w:jc w:val="right"/>
              <w:rPr>
                <w:rFonts w:ascii="Arial" w:eastAsia="Georgia" w:hAnsi="Arial" w:cs="Arial"/>
                <w:color w:val="auto"/>
                <w:sz w:val="16"/>
                <w:szCs w:val="16"/>
                <w:lang w:val="sl-SI" w:eastAsia="sl-SI"/>
              </w:rPr>
            </w:pPr>
            <w:r w:rsidRPr="00582F4F">
              <w:rPr>
                <w:rFonts w:ascii="Arial" w:eastAsia="Georgia" w:hAnsi="Arial" w:cs="Arial"/>
                <w:color w:val="auto"/>
                <w:sz w:val="16"/>
                <w:szCs w:val="16"/>
                <w:lang w:val="sl-SI" w:eastAsia="sl-SI"/>
              </w:rPr>
              <w:t>13.875.000,00</w:t>
            </w:r>
          </w:p>
          <w:p w14:paraId="5949B3CC" w14:textId="77777777" w:rsidR="004912DC" w:rsidRPr="00582F4F" w:rsidRDefault="004912DC" w:rsidP="00906890">
            <w:pPr>
              <w:pStyle w:val="Telobesedila"/>
              <w:jc w:val="right"/>
              <w:rPr>
                <w:rFonts w:ascii="Arial" w:eastAsia="Georgia" w:hAnsi="Arial" w:cs="Arial"/>
                <w:color w:val="auto"/>
                <w:sz w:val="16"/>
                <w:szCs w:val="16"/>
                <w:lang w:val="sl-SI" w:eastAsia="sl-SI"/>
              </w:rPr>
            </w:pPr>
          </w:p>
        </w:tc>
        <w:tc>
          <w:tcPr>
            <w:tcW w:w="1660" w:type="dxa"/>
            <w:shd w:val="clear" w:color="auto" w:fill="auto"/>
            <w:noWrap/>
            <w:vAlign w:val="bottom"/>
            <w:hideMark/>
          </w:tcPr>
          <w:p w14:paraId="7B836D40" w14:textId="77777777" w:rsidR="004912DC" w:rsidRPr="00582F4F" w:rsidRDefault="004912DC" w:rsidP="00906890">
            <w:pPr>
              <w:pStyle w:val="Telobesedila"/>
              <w:jc w:val="right"/>
              <w:rPr>
                <w:rFonts w:ascii="Arial" w:eastAsia="Georgia" w:hAnsi="Arial" w:cs="Arial"/>
                <w:color w:val="auto"/>
                <w:sz w:val="16"/>
                <w:szCs w:val="16"/>
                <w:lang w:val="sl-SI" w:eastAsia="sl-SI"/>
              </w:rPr>
            </w:pPr>
            <w:r w:rsidRPr="00582F4F">
              <w:rPr>
                <w:rFonts w:ascii="Arial" w:eastAsia="Georgia" w:hAnsi="Arial" w:cs="Arial"/>
                <w:color w:val="auto"/>
                <w:sz w:val="16"/>
                <w:szCs w:val="16"/>
                <w:lang w:val="sl-SI" w:eastAsia="sl-SI"/>
              </w:rPr>
              <w:t>55.500.000,00</w:t>
            </w:r>
          </w:p>
          <w:p w14:paraId="7C032FC6" w14:textId="77777777" w:rsidR="004912DC" w:rsidRPr="00582F4F" w:rsidRDefault="004912DC" w:rsidP="00906890">
            <w:pPr>
              <w:pStyle w:val="Telobesedila"/>
              <w:jc w:val="right"/>
              <w:rPr>
                <w:rFonts w:ascii="Arial" w:eastAsia="Georgia" w:hAnsi="Arial" w:cs="Arial"/>
                <w:color w:val="auto"/>
                <w:sz w:val="16"/>
                <w:szCs w:val="16"/>
                <w:lang w:val="sl-SI" w:eastAsia="sl-SI"/>
              </w:rPr>
            </w:pPr>
          </w:p>
        </w:tc>
      </w:tr>
      <w:tr w:rsidR="004912DC" w:rsidRPr="00582F4F" w14:paraId="2B37BC45" w14:textId="77777777" w:rsidTr="00906890">
        <w:trPr>
          <w:trHeight w:val="300"/>
        </w:trPr>
        <w:tc>
          <w:tcPr>
            <w:tcW w:w="1560" w:type="dxa"/>
            <w:shd w:val="clear" w:color="auto" w:fill="auto"/>
            <w:noWrap/>
            <w:vAlign w:val="bottom"/>
            <w:hideMark/>
          </w:tcPr>
          <w:p w14:paraId="193342C1" w14:textId="77777777" w:rsidR="004912DC" w:rsidRPr="00582F4F" w:rsidRDefault="004912DC" w:rsidP="00906890">
            <w:pPr>
              <w:pStyle w:val="Telobesedila"/>
              <w:rPr>
                <w:rFonts w:ascii="Arial" w:eastAsia="Georgia" w:hAnsi="Arial" w:cs="Arial"/>
                <w:color w:val="auto"/>
                <w:sz w:val="16"/>
                <w:szCs w:val="16"/>
                <w:lang w:val="sl-SI" w:eastAsia="sl-SI"/>
              </w:rPr>
            </w:pPr>
            <w:r w:rsidRPr="00582F4F">
              <w:rPr>
                <w:rFonts w:ascii="Arial" w:eastAsia="Georgia" w:hAnsi="Arial" w:cs="Arial"/>
                <w:color w:val="auto"/>
                <w:sz w:val="16"/>
                <w:szCs w:val="16"/>
                <w:lang w:val="sl-SI" w:eastAsia="sl-SI"/>
              </w:rPr>
              <w:t>3.1</w:t>
            </w:r>
          </w:p>
        </w:tc>
        <w:tc>
          <w:tcPr>
            <w:tcW w:w="850" w:type="dxa"/>
            <w:shd w:val="clear" w:color="auto" w:fill="auto"/>
            <w:noWrap/>
            <w:vAlign w:val="bottom"/>
            <w:hideMark/>
          </w:tcPr>
          <w:p w14:paraId="5E94AFB1" w14:textId="77777777" w:rsidR="004912DC" w:rsidRPr="00582F4F" w:rsidRDefault="004912DC" w:rsidP="00906890">
            <w:pPr>
              <w:pStyle w:val="Telobesedila"/>
              <w:rPr>
                <w:rFonts w:ascii="Arial" w:eastAsia="Georgia" w:hAnsi="Arial" w:cs="Arial"/>
                <w:color w:val="auto"/>
                <w:sz w:val="16"/>
                <w:szCs w:val="16"/>
                <w:lang w:val="sl-SI" w:eastAsia="sl-SI"/>
              </w:rPr>
            </w:pPr>
            <w:r w:rsidRPr="00582F4F">
              <w:rPr>
                <w:rFonts w:ascii="Arial" w:eastAsia="Georgia" w:hAnsi="Arial" w:cs="Arial"/>
                <w:color w:val="auto"/>
                <w:sz w:val="16"/>
                <w:szCs w:val="16"/>
                <w:lang w:val="sl-SI" w:eastAsia="sl-SI"/>
              </w:rPr>
              <w:t>Zahod</w:t>
            </w:r>
          </w:p>
        </w:tc>
        <w:tc>
          <w:tcPr>
            <w:tcW w:w="1430" w:type="dxa"/>
            <w:shd w:val="clear" w:color="auto" w:fill="auto"/>
            <w:noWrap/>
            <w:vAlign w:val="bottom"/>
            <w:hideMark/>
          </w:tcPr>
          <w:p w14:paraId="09250161" w14:textId="77777777" w:rsidR="004912DC" w:rsidRPr="00582F4F" w:rsidRDefault="004912DC" w:rsidP="00906890">
            <w:pPr>
              <w:pStyle w:val="Telobesedila"/>
              <w:jc w:val="right"/>
              <w:rPr>
                <w:rFonts w:ascii="Arial" w:eastAsia="Georgia" w:hAnsi="Arial" w:cs="Arial"/>
                <w:color w:val="auto"/>
                <w:sz w:val="16"/>
                <w:szCs w:val="16"/>
                <w:lang w:val="sl-SI" w:eastAsia="sl-SI"/>
              </w:rPr>
            </w:pPr>
            <w:r w:rsidRPr="00582F4F">
              <w:rPr>
                <w:rFonts w:ascii="Arial" w:eastAsia="Georgia" w:hAnsi="Arial" w:cs="Arial"/>
                <w:color w:val="auto"/>
                <w:sz w:val="16"/>
                <w:szCs w:val="16"/>
                <w:lang w:val="sl-SI" w:eastAsia="sl-SI"/>
              </w:rPr>
              <w:t>19.875.000,00</w:t>
            </w:r>
          </w:p>
          <w:p w14:paraId="6BB2A52D" w14:textId="77777777" w:rsidR="004912DC" w:rsidRPr="00582F4F" w:rsidRDefault="004912DC" w:rsidP="00906890">
            <w:pPr>
              <w:pStyle w:val="Telobesedila"/>
              <w:jc w:val="right"/>
              <w:rPr>
                <w:rFonts w:ascii="Arial" w:eastAsia="Georgia" w:hAnsi="Arial" w:cs="Arial"/>
                <w:color w:val="auto"/>
                <w:sz w:val="16"/>
                <w:szCs w:val="16"/>
                <w:lang w:val="sl-SI" w:eastAsia="sl-SI"/>
              </w:rPr>
            </w:pPr>
          </w:p>
        </w:tc>
        <w:tc>
          <w:tcPr>
            <w:tcW w:w="1547" w:type="dxa"/>
            <w:shd w:val="clear" w:color="auto" w:fill="auto"/>
            <w:noWrap/>
            <w:vAlign w:val="bottom"/>
            <w:hideMark/>
          </w:tcPr>
          <w:p w14:paraId="3F779F5E" w14:textId="77777777" w:rsidR="004912DC" w:rsidRPr="00582F4F" w:rsidRDefault="004912DC" w:rsidP="00906890">
            <w:pPr>
              <w:pStyle w:val="Telobesedila"/>
              <w:jc w:val="right"/>
              <w:rPr>
                <w:rFonts w:ascii="Arial" w:eastAsia="Georgia" w:hAnsi="Arial" w:cs="Arial"/>
                <w:color w:val="auto"/>
                <w:sz w:val="16"/>
                <w:szCs w:val="16"/>
                <w:lang w:val="sl-SI" w:eastAsia="sl-SI"/>
              </w:rPr>
            </w:pPr>
            <w:r w:rsidRPr="00582F4F">
              <w:rPr>
                <w:rFonts w:ascii="Arial" w:eastAsia="Georgia" w:hAnsi="Arial" w:cs="Arial"/>
                <w:color w:val="auto"/>
                <w:sz w:val="16"/>
                <w:szCs w:val="16"/>
                <w:lang w:val="sl-SI" w:eastAsia="sl-SI"/>
              </w:rPr>
              <w:t>19.875.000,00</w:t>
            </w:r>
          </w:p>
          <w:p w14:paraId="6B29A1E7" w14:textId="77777777" w:rsidR="004912DC" w:rsidRPr="00582F4F" w:rsidRDefault="004912DC" w:rsidP="00906890">
            <w:pPr>
              <w:pStyle w:val="Telobesedila"/>
              <w:jc w:val="right"/>
              <w:rPr>
                <w:rFonts w:ascii="Arial" w:eastAsia="Georgia" w:hAnsi="Arial" w:cs="Arial"/>
                <w:color w:val="auto"/>
                <w:sz w:val="16"/>
                <w:szCs w:val="16"/>
                <w:lang w:val="sl-SI" w:eastAsia="sl-SI"/>
              </w:rPr>
            </w:pPr>
          </w:p>
        </w:tc>
        <w:tc>
          <w:tcPr>
            <w:tcW w:w="1430" w:type="dxa"/>
            <w:shd w:val="clear" w:color="auto" w:fill="auto"/>
            <w:noWrap/>
            <w:vAlign w:val="bottom"/>
            <w:hideMark/>
          </w:tcPr>
          <w:p w14:paraId="37350312" w14:textId="77777777" w:rsidR="004912DC" w:rsidRPr="00582F4F" w:rsidRDefault="004912DC" w:rsidP="00906890">
            <w:pPr>
              <w:pStyle w:val="Telobesedila"/>
              <w:jc w:val="right"/>
              <w:rPr>
                <w:rFonts w:ascii="Arial" w:eastAsia="Georgia" w:hAnsi="Arial" w:cs="Arial"/>
                <w:color w:val="auto"/>
                <w:sz w:val="16"/>
                <w:szCs w:val="16"/>
                <w:lang w:val="sl-SI" w:eastAsia="sl-SI"/>
              </w:rPr>
            </w:pPr>
            <w:r w:rsidRPr="00582F4F">
              <w:rPr>
                <w:rFonts w:ascii="Arial" w:eastAsia="Georgia" w:hAnsi="Arial" w:cs="Arial"/>
                <w:color w:val="auto"/>
                <w:sz w:val="16"/>
                <w:szCs w:val="16"/>
                <w:lang w:val="sl-SI" w:eastAsia="sl-SI"/>
              </w:rPr>
              <w:t>19.875.000,00</w:t>
            </w:r>
          </w:p>
          <w:p w14:paraId="07C38F9A" w14:textId="77777777" w:rsidR="004912DC" w:rsidRPr="00582F4F" w:rsidRDefault="004912DC" w:rsidP="00906890">
            <w:pPr>
              <w:pStyle w:val="Telobesedila"/>
              <w:jc w:val="right"/>
              <w:rPr>
                <w:rFonts w:ascii="Arial" w:eastAsia="Georgia" w:hAnsi="Arial" w:cs="Arial"/>
                <w:color w:val="auto"/>
                <w:sz w:val="16"/>
                <w:szCs w:val="16"/>
                <w:lang w:val="sl-SI" w:eastAsia="sl-SI"/>
              </w:rPr>
            </w:pPr>
          </w:p>
        </w:tc>
        <w:tc>
          <w:tcPr>
            <w:tcW w:w="1688" w:type="dxa"/>
            <w:shd w:val="clear" w:color="auto" w:fill="auto"/>
            <w:noWrap/>
            <w:vAlign w:val="bottom"/>
            <w:hideMark/>
          </w:tcPr>
          <w:p w14:paraId="7468B40D" w14:textId="77777777" w:rsidR="004912DC" w:rsidRPr="00582F4F" w:rsidRDefault="004912DC" w:rsidP="00906890">
            <w:pPr>
              <w:pStyle w:val="Telobesedila"/>
              <w:jc w:val="right"/>
              <w:rPr>
                <w:rFonts w:ascii="Arial" w:eastAsia="Georgia" w:hAnsi="Arial" w:cs="Arial"/>
                <w:color w:val="auto"/>
                <w:sz w:val="16"/>
                <w:szCs w:val="16"/>
                <w:lang w:val="sl-SI" w:eastAsia="sl-SI"/>
              </w:rPr>
            </w:pPr>
            <w:r w:rsidRPr="00582F4F">
              <w:rPr>
                <w:rFonts w:ascii="Arial" w:eastAsia="Georgia" w:hAnsi="Arial" w:cs="Arial"/>
                <w:color w:val="auto"/>
                <w:sz w:val="16"/>
                <w:szCs w:val="16"/>
                <w:lang w:val="sl-SI" w:eastAsia="sl-SI"/>
              </w:rPr>
              <w:t>19.875.000,00</w:t>
            </w:r>
          </w:p>
          <w:p w14:paraId="6FD03DE5" w14:textId="77777777" w:rsidR="004912DC" w:rsidRPr="00582F4F" w:rsidRDefault="004912DC" w:rsidP="00906890">
            <w:pPr>
              <w:pStyle w:val="Telobesedila"/>
              <w:jc w:val="right"/>
              <w:rPr>
                <w:rFonts w:ascii="Arial" w:eastAsia="Georgia" w:hAnsi="Arial" w:cs="Arial"/>
                <w:color w:val="auto"/>
                <w:sz w:val="16"/>
                <w:szCs w:val="16"/>
                <w:lang w:val="sl-SI" w:eastAsia="sl-SI"/>
              </w:rPr>
            </w:pPr>
          </w:p>
        </w:tc>
        <w:tc>
          <w:tcPr>
            <w:tcW w:w="1660" w:type="dxa"/>
            <w:shd w:val="clear" w:color="auto" w:fill="auto"/>
            <w:noWrap/>
            <w:vAlign w:val="bottom"/>
            <w:hideMark/>
          </w:tcPr>
          <w:p w14:paraId="22E37F0B" w14:textId="77777777" w:rsidR="004912DC" w:rsidRPr="00582F4F" w:rsidRDefault="004912DC" w:rsidP="00906890">
            <w:pPr>
              <w:pStyle w:val="Telobesedila"/>
              <w:jc w:val="right"/>
              <w:rPr>
                <w:rFonts w:ascii="Arial" w:eastAsia="Georgia" w:hAnsi="Arial" w:cs="Arial"/>
                <w:color w:val="auto"/>
                <w:sz w:val="16"/>
                <w:szCs w:val="16"/>
                <w:lang w:val="sl-SI" w:eastAsia="sl-SI"/>
              </w:rPr>
            </w:pPr>
            <w:r w:rsidRPr="00582F4F">
              <w:rPr>
                <w:rFonts w:ascii="Arial" w:eastAsia="Georgia" w:hAnsi="Arial" w:cs="Arial"/>
                <w:color w:val="auto"/>
                <w:sz w:val="16"/>
                <w:szCs w:val="16"/>
                <w:lang w:val="sl-SI" w:eastAsia="sl-SI"/>
              </w:rPr>
              <w:t>79.500.000,00</w:t>
            </w:r>
          </w:p>
          <w:p w14:paraId="0C8D7E6C" w14:textId="77777777" w:rsidR="004912DC" w:rsidRPr="00582F4F" w:rsidRDefault="004912DC" w:rsidP="00906890">
            <w:pPr>
              <w:pStyle w:val="Telobesedila"/>
              <w:jc w:val="right"/>
              <w:rPr>
                <w:rFonts w:ascii="Arial" w:eastAsia="Georgia" w:hAnsi="Arial" w:cs="Arial"/>
                <w:color w:val="auto"/>
                <w:sz w:val="16"/>
                <w:szCs w:val="16"/>
                <w:lang w:val="sl-SI" w:eastAsia="sl-SI"/>
              </w:rPr>
            </w:pPr>
          </w:p>
        </w:tc>
      </w:tr>
      <w:tr w:rsidR="004912DC" w:rsidRPr="00582F4F" w14:paraId="1A6777DD" w14:textId="77777777" w:rsidTr="00906890">
        <w:trPr>
          <w:trHeight w:val="300"/>
        </w:trPr>
        <w:tc>
          <w:tcPr>
            <w:tcW w:w="1560" w:type="dxa"/>
            <w:shd w:val="clear" w:color="auto" w:fill="auto"/>
            <w:noWrap/>
            <w:vAlign w:val="bottom"/>
            <w:hideMark/>
          </w:tcPr>
          <w:p w14:paraId="143E5E0A" w14:textId="77777777" w:rsidR="004912DC" w:rsidRPr="00582F4F" w:rsidRDefault="004912DC" w:rsidP="00906890">
            <w:pPr>
              <w:pStyle w:val="Telobesedila"/>
              <w:rPr>
                <w:rFonts w:ascii="Arial" w:eastAsia="Georgia" w:hAnsi="Arial" w:cs="Arial"/>
                <w:b/>
                <w:color w:val="auto"/>
                <w:sz w:val="16"/>
                <w:szCs w:val="16"/>
                <w:lang w:val="sl-SI" w:eastAsia="sl-SI"/>
              </w:rPr>
            </w:pPr>
            <w:r w:rsidRPr="00582F4F">
              <w:rPr>
                <w:rFonts w:ascii="Arial" w:eastAsia="Georgia" w:hAnsi="Arial" w:cs="Arial"/>
                <w:b/>
                <w:color w:val="auto"/>
                <w:sz w:val="16"/>
                <w:szCs w:val="16"/>
                <w:lang w:val="sl-SI" w:eastAsia="sl-SI"/>
              </w:rPr>
              <w:t>3.1 Vsota</w:t>
            </w:r>
          </w:p>
        </w:tc>
        <w:tc>
          <w:tcPr>
            <w:tcW w:w="850" w:type="dxa"/>
            <w:shd w:val="clear" w:color="auto" w:fill="auto"/>
            <w:noWrap/>
            <w:vAlign w:val="bottom"/>
            <w:hideMark/>
          </w:tcPr>
          <w:p w14:paraId="37AA573C" w14:textId="77777777" w:rsidR="004912DC" w:rsidRPr="00582F4F" w:rsidRDefault="004912DC" w:rsidP="00906890">
            <w:pPr>
              <w:pStyle w:val="Telobesedila"/>
              <w:rPr>
                <w:rFonts w:ascii="Arial" w:eastAsia="Georgia" w:hAnsi="Arial" w:cs="Arial"/>
                <w:b/>
                <w:color w:val="auto"/>
                <w:sz w:val="16"/>
                <w:szCs w:val="16"/>
                <w:lang w:val="sl-SI" w:eastAsia="sl-SI"/>
              </w:rPr>
            </w:pPr>
          </w:p>
        </w:tc>
        <w:tc>
          <w:tcPr>
            <w:tcW w:w="1430" w:type="dxa"/>
            <w:shd w:val="clear" w:color="auto" w:fill="auto"/>
            <w:noWrap/>
            <w:vAlign w:val="bottom"/>
            <w:hideMark/>
          </w:tcPr>
          <w:p w14:paraId="1CE17C14" w14:textId="77777777" w:rsidR="004912DC" w:rsidRPr="00582F4F" w:rsidRDefault="004912DC" w:rsidP="00906890">
            <w:pPr>
              <w:pStyle w:val="Telobesedila"/>
              <w:jc w:val="right"/>
              <w:rPr>
                <w:rFonts w:ascii="Arial" w:eastAsia="Georgia" w:hAnsi="Arial" w:cs="Arial"/>
                <w:b/>
                <w:color w:val="auto"/>
                <w:sz w:val="16"/>
                <w:szCs w:val="16"/>
                <w:lang w:val="sl-SI" w:eastAsia="sl-SI"/>
              </w:rPr>
            </w:pPr>
            <w:r w:rsidRPr="00582F4F">
              <w:rPr>
                <w:rFonts w:ascii="Arial" w:eastAsia="Georgia" w:hAnsi="Arial" w:cs="Arial"/>
                <w:b/>
                <w:color w:val="auto"/>
                <w:sz w:val="16"/>
                <w:szCs w:val="16"/>
                <w:lang w:val="sl-SI" w:eastAsia="sl-SI"/>
              </w:rPr>
              <w:t>33.750.000,00</w:t>
            </w:r>
          </w:p>
        </w:tc>
        <w:tc>
          <w:tcPr>
            <w:tcW w:w="1547" w:type="dxa"/>
            <w:shd w:val="clear" w:color="auto" w:fill="auto"/>
            <w:noWrap/>
            <w:vAlign w:val="bottom"/>
            <w:hideMark/>
          </w:tcPr>
          <w:p w14:paraId="1161D898" w14:textId="77777777" w:rsidR="004912DC" w:rsidRPr="00582F4F" w:rsidRDefault="004912DC" w:rsidP="00906890">
            <w:pPr>
              <w:pStyle w:val="Telobesedila"/>
              <w:jc w:val="right"/>
              <w:rPr>
                <w:rFonts w:ascii="Arial" w:eastAsia="Georgia" w:hAnsi="Arial" w:cs="Arial"/>
                <w:b/>
                <w:color w:val="auto"/>
                <w:sz w:val="16"/>
                <w:szCs w:val="16"/>
                <w:lang w:val="sl-SI" w:eastAsia="sl-SI"/>
              </w:rPr>
            </w:pPr>
            <w:r w:rsidRPr="00582F4F">
              <w:rPr>
                <w:rFonts w:ascii="Arial" w:eastAsia="Georgia" w:hAnsi="Arial" w:cs="Arial"/>
                <w:b/>
                <w:color w:val="auto"/>
                <w:sz w:val="16"/>
                <w:szCs w:val="16"/>
                <w:lang w:val="sl-SI" w:eastAsia="sl-SI"/>
              </w:rPr>
              <w:t>33.750.000,00</w:t>
            </w:r>
          </w:p>
        </w:tc>
        <w:tc>
          <w:tcPr>
            <w:tcW w:w="1430" w:type="dxa"/>
            <w:shd w:val="clear" w:color="auto" w:fill="auto"/>
            <w:noWrap/>
            <w:vAlign w:val="bottom"/>
            <w:hideMark/>
          </w:tcPr>
          <w:p w14:paraId="71BF0413" w14:textId="77777777" w:rsidR="004912DC" w:rsidRPr="00582F4F" w:rsidRDefault="004912DC" w:rsidP="00906890">
            <w:pPr>
              <w:pStyle w:val="Telobesedila"/>
              <w:jc w:val="right"/>
              <w:rPr>
                <w:rFonts w:ascii="Arial" w:eastAsia="Georgia" w:hAnsi="Arial" w:cs="Arial"/>
                <w:b/>
                <w:color w:val="auto"/>
                <w:sz w:val="16"/>
                <w:szCs w:val="16"/>
                <w:lang w:val="sl-SI" w:eastAsia="sl-SI"/>
              </w:rPr>
            </w:pPr>
            <w:r w:rsidRPr="00582F4F">
              <w:rPr>
                <w:rFonts w:ascii="Arial" w:eastAsia="Georgia" w:hAnsi="Arial" w:cs="Arial"/>
                <w:b/>
                <w:color w:val="auto"/>
                <w:sz w:val="16"/>
                <w:szCs w:val="16"/>
                <w:lang w:val="sl-SI" w:eastAsia="sl-SI"/>
              </w:rPr>
              <w:t>33.750.000,00</w:t>
            </w:r>
          </w:p>
        </w:tc>
        <w:tc>
          <w:tcPr>
            <w:tcW w:w="1688" w:type="dxa"/>
            <w:shd w:val="clear" w:color="auto" w:fill="auto"/>
            <w:noWrap/>
            <w:vAlign w:val="bottom"/>
            <w:hideMark/>
          </w:tcPr>
          <w:p w14:paraId="480C4A55" w14:textId="77777777" w:rsidR="004912DC" w:rsidRPr="00582F4F" w:rsidRDefault="004912DC" w:rsidP="00906890">
            <w:pPr>
              <w:pStyle w:val="Telobesedila"/>
              <w:jc w:val="right"/>
              <w:rPr>
                <w:rFonts w:ascii="Arial" w:eastAsia="Georgia" w:hAnsi="Arial" w:cs="Arial"/>
                <w:b/>
                <w:color w:val="auto"/>
                <w:sz w:val="16"/>
                <w:szCs w:val="16"/>
                <w:lang w:val="sl-SI" w:eastAsia="sl-SI"/>
              </w:rPr>
            </w:pPr>
            <w:r w:rsidRPr="00582F4F">
              <w:rPr>
                <w:rFonts w:ascii="Arial" w:eastAsia="Georgia" w:hAnsi="Arial" w:cs="Arial"/>
                <w:b/>
                <w:color w:val="auto"/>
                <w:sz w:val="16"/>
                <w:szCs w:val="16"/>
                <w:lang w:val="sl-SI" w:eastAsia="sl-SI"/>
              </w:rPr>
              <w:t>33.750.000,00</w:t>
            </w:r>
          </w:p>
        </w:tc>
        <w:tc>
          <w:tcPr>
            <w:tcW w:w="1660" w:type="dxa"/>
            <w:shd w:val="clear" w:color="auto" w:fill="auto"/>
            <w:noWrap/>
            <w:vAlign w:val="bottom"/>
            <w:hideMark/>
          </w:tcPr>
          <w:p w14:paraId="1A8C7B6B" w14:textId="77777777" w:rsidR="004912DC" w:rsidRPr="00582F4F" w:rsidRDefault="004912DC" w:rsidP="00906890">
            <w:pPr>
              <w:pStyle w:val="Telobesedila"/>
              <w:jc w:val="right"/>
              <w:rPr>
                <w:rFonts w:ascii="Arial" w:eastAsia="Georgia" w:hAnsi="Arial" w:cs="Arial"/>
                <w:b/>
                <w:color w:val="auto"/>
                <w:sz w:val="16"/>
                <w:szCs w:val="16"/>
                <w:lang w:val="sl-SI" w:eastAsia="sl-SI"/>
              </w:rPr>
            </w:pPr>
            <w:r w:rsidRPr="00582F4F">
              <w:rPr>
                <w:rFonts w:ascii="Arial" w:eastAsia="Georgia" w:hAnsi="Arial" w:cs="Arial"/>
                <w:b/>
                <w:color w:val="auto"/>
                <w:sz w:val="16"/>
                <w:szCs w:val="16"/>
                <w:lang w:val="sl-SI" w:eastAsia="sl-SI"/>
              </w:rPr>
              <w:t>135.000.000,00</w:t>
            </w:r>
          </w:p>
        </w:tc>
      </w:tr>
      <w:tr w:rsidR="004912DC" w:rsidRPr="00582F4F" w14:paraId="4FCBE80A" w14:textId="77777777" w:rsidTr="00906890">
        <w:trPr>
          <w:trHeight w:val="300"/>
        </w:trPr>
        <w:tc>
          <w:tcPr>
            <w:tcW w:w="1560" w:type="dxa"/>
            <w:shd w:val="clear" w:color="auto" w:fill="auto"/>
            <w:noWrap/>
            <w:vAlign w:val="bottom"/>
            <w:hideMark/>
          </w:tcPr>
          <w:p w14:paraId="0E6E1169" w14:textId="77777777" w:rsidR="004912DC" w:rsidRPr="00582F4F" w:rsidRDefault="004912DC" w:rsidP="00906890">
            <w:pPr>
              <w:pStyle w:val="Telobesedila"/>
              <w:rPr>
                <w:rFonts w:ascii="Arial" w:eastAsia="Georgia" w:hAnsi="Arial" w:cs="Arial"/>
                <w:color w:val="auto"/>
                <w:sz w:val="16"/>
                <w:szCs w:val="16"/>
                <w:lang w:val="sl-SI" w:eastAsia="sl-SI"/>
              </w:rPr>
            </w:pPr>
            <w:r w:rsidRPr="00582F4F">
              <w:rPr>
                <w:rFonts w:ascii="Arial" w:eastAsia="Georgia" w:hAnsi="Arial" w:cs="Arial"/>
                <w:color w:val="auto"/>
                <w:sz w:val="16"/>
                <w:szCs w:val="16"/>
                <w:lang w:val="sl-SI" w:eastAsia="sl-SI"/>
              </w:rPr>
              <w:t>4.1</w:t>
            </w:r>
          </w:p>
        </w:tc>
        <w:tc>
          <w:tcPr>
            <w:tcW w:w="850" w:type="dxa"/>
            <w:shd w:val="clear" w:color="auto" w:fill="auto"/>
            <w:noWrap/>
            <w:vAlign w:val="bottom"/>
            <w:hideMark/>
          </w:tcPr>
          <w:p w14:paraId="2F9E9E7F" w14:textId="77777777" w:rsidR="004912DC" w:rsidRPr="00582F4F" w:rsidRDefault="004912DC" w:rsidP="00906890">
            <w:pPr>
              <w:pStyle w:val="Telobesedila"/>
              <w:rPr>
                <w:rFonts w:ascii="Arial" w:eastAsia="Georgia" w:hAnsi="Arial" w:cs="Arial"/>
                <w:color w:val="auto"/>
                <w:sz w:val="16"/>
                <w:szCs w:val="16"/>
                <w:lang w:val="sl-SI" w:eastAsia="sl-SI"/>
              </w:rPr>
            </w:pPr>
            <w:r w:rsidRPr="00582F4F">
              <w:rPr>
                <w:rFonts w:ascii="Arial" w:eastAsia="Georgia" w:hAnsi="Arial" w:cs="Arial"/>
                <w:color w:val="auto"/>
                <w:sz w:val="16"/>
                <w:szCs w:val="16"/>
                <w:lang w:val="sl-SI" w:eastAsia="sl-SI"/>
              </w:rPr>
              <w:t>SI</w:t>
            </w:r>
          </w:p>
        </w:tc>
        <w:tc>
          <w:tcPr>
            <w:tcW w:w="1430" w:type="dxa"/>
            <w:shd w:val="clear" w:color="auto" w:fill="auto"/>
            <w:noWrap/>
            <w:vAlign w:val="bottom"/>
            <w:hideMark/>
          </w:tcPr>
          <w:p w14:paraId="73332E33" w14:textId="77777777" w:rsidR="004912DC" w:rsidRPr="00582F4F" w:rsidRDefault="004912DC" w:rsidP="00906890">
            <w:pPr>
              <w:pStyle w:val="Telobesedila"/>
              <w:jc w:val="right"/>
              <w:rPr>
                <w:rFonts w:ascii="Arial" w:eastAsia="Georgia" w:hAnsi="Arial" w:cs="Arial"/>
                <w:color w:val="auto"/>
                <w:sz w:val="16"/>
                <w:szCs w:val="16"/>
                <w:lang w:val="sl-SI" w:eastAsia="sl-SI"/>
              </w:rPr>
            </w:pPr>
            <w:r w:rsidRPr="00582F4F">
              <w:rPr>
                <w:rFonts w:ascii="Arial" w:eastAsia="Georgia" w:hAnsi="Arial" w:cs="Arial"/>
                <w:color w:val="auto"/>
                <w:sz w:val="16"/>
                <w:szCs w:val="16"/>
                <w:lang w:val="sl-SI" w:eastAsia="sl-SI"/>
              </w:rPr>
              <w:t>6.250.000,00</w:t>
            </w:r>
          </w:p>
        </w:tc>
        <w:tc>
          <w:tcPr>
            <w:tcW w:w="1547" w:type="dxa"/>
            <w:shd w:val="clear" w:color="auto" w:fill="auto"/>
            <w:noWrap/>
            <w:vAlign w:val="bottom"/>
            <w:hideMark/>
          </w:tcPr>
          <w:p w14:paraId="0D803FFC" w14:textId="77777777" w:rsidR="004912DC" w:rsidRPr="00582F4F" w:rsidRDefault="004912DC" w:rsidP="00906890">
            <w:pPr>
              <w:pStyle w:val="Telobesedila"/>
              <w:jc w:val="right"/>
              <w:rPr>
                <w:rFonts w:ascii="Arial" w:eastAsia="Georgia" w:hAnsi="Arial" w:cs="Arial"/>
                <w:color w:val="auto"/>
                <w:sz w:val="16"/>
                <w:szCs w:val="16"/>
                <w:lang w:val="sl-SI" w:eastAsia="sl-SI"/>
              </w:rPr>
            </w:pPr>
            <w:r w:rsidRPr="00582F4F">
              <w:rPr>
                <w:rFonts w:ascii="Arial" w:eastAsia="Georgia" w:hAnsi="Arial" w:cs="Arial"/>
                <w:color w:val="auto"/>
                <w:sz w:val="16"/>
                <w:szCs w:val="16"/>
                <w:lang w:val="sl-SI" w:eastAsia="sl-SI"/>
              </w:rPr>
              <w:t>6.250.000,00</w:t>
            </w:r>
          </w:p>
        </w:tc>
        <w:tc>
          <w:tcPr>
            <w:tcW w:w="1430" w:type="dxa"/>
            <w:shd w:val="clear" w:color="auto" w:fill="auto"/>
            <w:noWrap/>
            <w:vAlign w:val="bottom"/>
            <w:hideMark/>
          </w:tcPr>
          <w:p w14:paraId="0C2357EE" w14:textId="77777777" w:rsidR="004912DC" w:rsidRPr="00582F4F" w:rsidRDefault="004912DC" w:rsidP="00906890">
            <w:pPr>
              <w:pStyle w:val="Telobesedila"/>
              <w:jc w:val="right"/>
              <w:rPr>
                <w:rFonts w:ascii="Arial" w:eastAsia="Georgia" w:hAnsi="Arial" w:cs="Arial"/>
                <w:color w:val="auto"/>
                <w:sz w:val="16"/>
                <w:szCs w:val="16"/>
                <w:lang w:val="sl-SI" w:eastAsia="sl-SI"/>
              </w:rPr>
            </w:pPr>
            <w:r w:rsidRPr="00582F4F">
              <w:rPr>
                <w:rFonts w:ascii="Arial" w:eastAsia="Georgia" w:hAnsi="Arial" w:cs="Arial"/>
                <w:color w:val="auto"/>
                <w:sz w:val="16"/>
                <w:szCs w:val="16"/>
                <w:lang w:val="sl-SI" w:eastAsia="sl-SI"/>
              </w:rPr>
              <w:t>6.250.000,00</w:t>
            </w:r>
          </w:p>
        </w:tc>
        <w:tc>
          <w:tcPr>
            <w:tcW w:w="1688" w:type="dxa"/>
            <w:shd w:val="clear" w:color="auto" w:fill="auto"/>
            <w:noWrap/>
            <w:vAlign w:val="bottom"/>
            <w:hideMark/>
          </w:tcPr>
          <w:p w14:paraId="42F0ED79" w14:textId="77777777" w:rsidR="004912DC" w:rsidRPr="00582F4F" w:rsidRDefault="004912DC" w:rsidP="00906890">
            <w:pPr>
              <w:pStyle w:val="Telobesedila"/>
              <w:jc w:val="right"/>
              <w:rPr>
                <w:rFonts w:ascii="Arial" w:eastAsia="Georgia" w:hAnsi="Arial" w:cs="Arial"/>
                <w:color w:val="auto"/>
                <w:sz w:val="16"/>
                <w:szCs w:val="16"/>
                <w:lang w:val="sl-SI" w:eastAsia="sl-SI"/>
              </w:rPr>
            </w:pPr>
            <w:r w:rsidRPr="00582F4F">
              <w:rPr>
                <w:rFonts w:ascii="Arial" w:eastAsia="Georgia" w:hAnsi="Arial" w:cs="Arial"/>
                <w:color w:val="auto"/>
                <w:sz w:val="16"/>
                <w:szCs w:val="16"/>
                <w:lang w:val="sl-SI" w:eastAsia="sl-SI"/>
              </w:rPr>
              <w:t>6.250.000,00</w:t>
            </w:r>
          </w:p>
        </w:tc>
        <w:tc>
          <w:tcPr>
            <w:tcW w:w="1660" w:type="dxa"/>
            <w:shd w:val="clear" w:color="auto" w:fill="auto"/>
            <w:noWrap/>
            <w:vAlign w:val="bottom"/>
            <w:hideMark/>
          </w:tcPr>
          <w:p w14:paraId="2FD314A6" w14:textId="77777777" w:rsidR="004912DC" w:rsidRPr="00582F4F" w:rsidRDefault="004912DC" w:rsidP="00906890">
            <w:pPr>
              <w:pStyle w:val="Telobesedila"/>
              <w:jc w:val="right"/>
              <w:rPr>
                <w:rFonts w:ascii="Arial" w:eastAsia="Georgia" w:hAnsi="Arial" w:cs="Arial"/>
                <w:color w:val="auto"/>
                <w:sz w:val="16"/>
                <w:szCs w:val="16"/>
                <w:lang w:val="sl-SI" w:eastAsia="sl-SI"/>
              </w:rPr>
            </w:pPr>
            <w:r w:rsidRPr="00582F4F">
              <w:rPr>
                <w:rFonts w:ascii="Arial" w:eastAsia="Georgia" w:hAnsi="Arial" w:cs="Arial"/>
                <w:color w:val="auto"/>
                <w:sz w:val="16"/>
                <w:szCs w:val="16"/>
                <w:lang w:val="sl-SI" w:eastAsia="sl-SI"/>
              </w:rPr>
              <w:t>25.000.000,00</w:t>
            </w:r>
          </w:p>
        </w:tc>
      </w:tr>
      <w:tr w:rsidR="004912DC" w:rsidRPr="00582F4F" w14:paraId="7E950355" w14:textId="77777777" w:rsidTr="00906890">
        <w:trPr>
          <w:trHeight w:val="300"/>
        </w:trPr>
        <w:tc>
          <w:tcPr>
            <w:tcW w:w="1560" w:type="dxa"/>
            <w:shd w:val="clear" w:color="auto" w:fill="auto"/>
            <w:noWrap/>
            <w:vAlign w:val="bottom"/>
            <w:hideMark/>
          </w:tcPr>
          <w:p w14:paraId="5C91A943" w14:textId="77777777" w:rsidR="004912DC" w:rsidRPr="00582F4F" w:rsidRDefault="004912DC" w:rsidP="00906890">
            <w:pPr>
              <w:pStyle w:val="Telobesedila"/>
              <w:rPr>
                <w:rFonts w:ascii="Arial" w:eastAsia="Georgia" w:hAnsi="Arial" w:cs="Arial"/>
                <w:b/>
                <w:color w:val="auto"/>
                <w:sz w:val="16"/>
                <w:szCs w:val="16"/>
                <w:lang w:val="sl-SI" w:eastAsia="sl-SI"/>
              </w:rPr>
            </w:pPr>
            <w:r w:rsidRPr="00582F4F">
              <w:rPr>
                <w:rFonts w:ascii="Arial" w:eastAsia="Georgia" w:hAnsi="Arial" w:cs="Arial"/>
                <w:b/>
                <w:color w:val="auto"/>
                <w:sz w:val="16"/>
                <w:szCs w:val="16"/>
                <w:lang w:val="sl-SI" w:eastAsia="sl-SI"/>
              </w:rPr>
              <w:t>4.1 Vsota</w:t>
            </w:r>
          </w:p>
        </w:tc>
        <w:tc>
          <w:tcPr>
            <w:tcW w:w="850" w:type="dxa"/>
            <w:shd w:val="clear" w:color="auto" w:fill="auto"/>
            <w:noWrap/>
            <w:vAlign w:val="bottom"/>
            <w:hideMark/>
          </w:tcPr>
          <w:p w14:paraId="5B17632D" w14:textId="77777777" w:rsidR="004912DC" w:rsidRPr="00582F4F" w:rsidRDefault="004912DC" w:rsidP="00906890">
            <w:pPr>
              <w:pStyle w:val="Telobesedila"/>
              <w:rPr>
                <w:rFonts w:ascii="Arial" w:eastAsia="Georgia" w:hAnsi="Arial" w:cs="Arial"/>
                <w:b/>
                <w:color w:val="auto"/>
                <w:sz w:val="16"/>
                <w:szCs w:val="16"/>
                <w:lang w:val="sl-SI" w:eastAsia="sl-SI"/>
              </w:rPr>
            </w:pPr>
          </w:p>
        </w:tc>
        <w:tc>
          <w:tcPr>
            <w:tcW w:w="1430" w:type="dxa"/>
            <w:shd w:val="clear" w:color="auto" w:fill="auto"/>
            <w:noWrap/>
            <w:vAlign w:val="bottom"/>
            <w:hideMark/>
          </w:tcPr>
          <w:p w14:paraId="2B44AE82" w14:textId="77777777" w:rsidR="004912DC" w:rsidRPr="00582F4F" w:rsidRDefault="004912DC" w:rsidP="00906890">
            <w:pPr>
              <w:pStyle w:val="Telobesedila"/>
              <w:jc w:val="right"/>
              <w:rPr>
                <w:rFonts w:ascii="Arial" w:eastAsia="Georgia" w:hAnsi="Arial" w:cs="Arial"/>
                <w:b/>
                <w:color w:val="auto"/>
                <w:sz w:val="16"/>
                <w:szCs w:val="16"/>
                <w:lang w:val="sl-SI" w:eastAsia="sl-SI"/>
              </w:rPr>
            </w:pPr>
            <w:r w:rsidRPr="00582F4F">
              <w:rPr>
                <w:rFonts w:ascii="Arial" w:eastAsia="Georgia" w:hAnsi="Arial" w:cs="Arial"/>
                <w:b/>
                <w:color w:val="auto"/>
                <w:sz w:val="16"/>
                <w:szCs w:val="16"/>
                <w:lang w:val="sl-SI" w:eastAsia="sl-SI"/>
              </w:rPr>
              <w:t>6.250.000,00</w:t>
            </w:r>
          </w:p>
        </w:tc>
        <w:tc>
          <w:tcPr>
            <w:tcW w:w="1547" w:type="dxa"/>
            <w:shd w:val="clear" w:color="auto" w:fill="auto"/>
            <w:noWrap/>
            <w:vAlign w:val="bottom"/>
            <w:hideMark/>
          </w:tcPr>
          <w:p w14:paraId="04E7800E" w14:textId="77777777" w:rsidR="004912DC" w:rsidRPr="00582F4F" w:rsidRDefault="004912DC" w:rsidP="00906890">
            <w:pPr>
              <w:pStyle w:val="Telobesedila"/>
              <w:jc w:val="right"/>
              <w:rPr>
                <w:rFonts w:ascii="Arial" w:eastAsia="Georgia" w:hAnsi="Arial" w:cs="Arial"/>
                <w:b/>
                <w:color w:val="auto"/>
                <w:sz w:val="16"/>
                <w:szCs w:val="16"/>
                <w:lang w:val="sl-SI" w:eastAsia="sl-SI"/>
              </w:rPr>
            </w:pPr>
            <w:r w:rsidRPr="00582F4F">
              <w:rPr>
                <w:rFonts w:ascii="Arial" w:eastAsia="Georgia" w:hAnsi="Arial" w:cs="Arial"/>
                <w:b/>
                <w:color w:val="auto"/>
                <w:sz w:val="16"/>
                <w:szCs w:val="16"/>
                <w:lang w:val="sl-SI" w:eastAsia="sl-SI"/>
              </w:rPr>
              <w:t>6.250.000,00</w:t>
            </w:r>
          </w:p>
        </w:tc>
        <w:tc>
          <w:tcPr>
            <w:tcW w:w="1430" w:type="dxa"/>
            <w:shd w:val="clear" w:color="auto" w:fill="auto"/>
            <w:noWrap/>
            <w:vAlign w:val="bottom"/>
            <w:hideMark/>
          </w:tcPr>
          <w:p w14:paraId="40284FDC" w14:textId="77777777" w:rsidR="004912DC" w:rsidRPr="00582F4F" w:rsidRDefault="004912DC" w:rsidP="00906890">
            <w:pPr>
              <w:pStyle w:val="Telobesedila"/>
              <w:jc w:val="right"/>
              <w:rPr>
                <w:rFonts w:ascii="Arial" w:eastAsia="Georgia" w:hAnsi="Arial" w:cs="Arial"/>
                <w:b/>
                <w:color w:val="auto"/>
                <w:sz w:val="16"/>
                <w:szCs w:val="16"/>
                <w:lang w:val="sl-SI" w:eastAsia="sl-SI"/>
              </w:rPr>
            </w:pPr>
            <w:r w:rsidRPr="00582F4F">
              <w:rPr>
                <w:rFonts w:ascii="Arial" w:eastAsia="Georgia" w:hAnsi="Arial" w:cs="Arial"/>
                <w:b/>
                <w:color w:val="auto"/>
                <w:sz w:val="16"/>
                <w:szCs w:val="16"/>
                <w:lang w:val="sl-SI" w:eastAsia="sl-SI"/>
              </w:rPr>
              <w:t>6.250.000,00</w:t>
            </w:r>
          </w:p>
        </w:tc>
        <w:tc>
          <w:tcPr>
            <w:tcW w:w="1688" w:type="dxa"/>
            <w:shd w:val="clear" w:color="auto" w:fill="auto"/>
            <w:noWrap/>
            <w:vAlign w:val="bottom"/>
            <w:hideMark/>
          </w:tcPr>
          <w:p w14:paraId="658C7C4B" w14:textId="77777777" w:rsidR="004912DC" w:rsidRPr="00582F4F" w:rsidRDefault="004912DC" w:rsidP="00906890">
            <w:pPr>
              <w:pStyle w:val="Telobesedila"/>
              <w:jc w:val="right"/>
              <w:rPr>
                <w:rFonts w:ascii="Arial" w:eastAsia="Georgia" w:hAnsi="Arial" w:cs="Arial"/>
                <w:b/>
                <w:color w:val="auto"/>
                <w:sz w:val="16"/>
                <w:szCs w:val="16"/>
                <w:lang w:val="sl-SI" w:eastAsia="sl-SI"/>
              </w:rPr>
            </w:pPr>
            <w:r w:rsidRPr="00582F4F">
              <w:rPr>
                <w:rFonts w:ascii="Arial" w:eastAsia="Georgia" w:hAnsi="Arial" w:cs="Arial"/>
                <w:b/>
                <w:color w:val="auto"/>
                <w:sz w:val="16"/>
                <w:szCs w:val="16"/>
                <w:lang w:val="sl-SI" w:eastAsia="sl-SI"/>
              </w:rPr>
              <w:t>6.250.000,00</w:t>
            </w:r>
          </w:p>
        </w:tc>
        <w:tc>
          <w:tcPr>
            <w:tcW w:w="1660" w:type="dxa"/>
            <w:shd w:val="clear" w:color="auto" w:fill="auto"/>
            <w:noWrap/>
            <w:vAlign w:val="bottom"/>
            <w:hideMark/>
          </w:tcPr>
          <w:p w14:paraId="59892D20" w14:textId="77777777" w:rsidR="004912DC" w:rsidRPr="00582F4F" w:rsidRDefault="004912DC" w:rsidP="00906890">
            <w:pPr>
              <w:pStyle w:val="Telobesedila"/>
              <w:jc w:val="right"/>
              <w:rPr>
                <w:rFonts w:ascii="Arial" w:eastAsia="Georgia" w:hAnsi="Arial" w:cs="Arial"/>
                <w:b/>
                <w:color w:val="auto"/>
                <w:sz w:val="16"/>
                <w:szCs w:val="16"/>
                <w:lang w:val="sl-SI" w:eastAsia="sl-SI"/>
              </w:rPr>
            </w:pPr>
            <w:r w:rsidRPr="00582F4F">
              <w:rPr>
                <w:rFonts w:ascii="Arial" w:eastAsia="Georgia" w:hAnsi="Arial" w:cs="Arial"/>
                <w:b/>
                <w:color w:val="auto"/>
                <w:sz w:val="16"/>
                <w:szCs w:val="16"/>
                <w:lang w:val="sl-SI" w:eastAsia="sl-SI"/>
              </w:rPr>
              <w:t>25.000.000,00</w:t>
            </w:r>
          </w:p>
        </w:tc>
      </w:tr>
      <w:tr w:rsidR="004912DC" w:rsidRPr="00582F4F" w14:paraId="4B7D4E47" w14:textId="77777777" w:rsidTr="00906890">
        <w:trPr>
          <w:trHeight w:val="300"/>
        </w:trPr>
        <w:tc>
          <w:tcPr>
            <w:tcW w:w="1560" w:type="dxa"/>
            <w:shd w:val="clear" w:color="auto" w:fill="auto"/>
            <w:noWrap/>
            <w:vAlign w:val="bottom"/>
            <w:hideMark/>
          </w:tcPr>
          <w:p w14:paraId="35ADC47F" w14:textId="77777777" w:rsidR="004912DC" w:rsidRPr="00582F4F" w:rsidRDefault="004912DC" w:rsidP="00906890">
            <w:pPr>
              <w:pStyle w:val="Telobesedila"/>
              <w:rPr>
                <w:rFonts w:ascii="Arial" w:eastAsia="Georgia" w:hAnsi="Arial" w:cs="Arial"/>
                <w:color w:val="auto"/>
                <w:sz w:val="16"/>
                <w:szCs w:val="16"/>
                <w:lang w:val="sl-SI" w:eastAsia="sl-SI"/>
              </w:rPr>
            </w:pPr>
            <w:r w:rsidRPr="00582F4F">
              <w:rPr>
                <w:rFonts w:ascii="Arial" w:eastAsia="Georgia" w:hAnsi="Arial" w:cs="Arial"/>
                <w:color w:val="auto"/>
                <w:sz w:val="16"/>
                <w:szCs w:val="16"/>
                <w:lang w:val="sl-SI" w:eastAsia="sl-SI"/>
              </w:rPr>
              <w:t>6.3</w:t>
            </w:r>
          </w:p>
        </w:tc>
        <w:tc>
          <w:tcPr>
            <w:tcW w:w="850" w:type="dxa"/>
            <w:shd w:val="clear" w:color="auto" w:fill="auto"/>
            <w:noWrap/>
            <w:vAlign w:val="bottom"/>
            <w:hideMark/>
          </w:tcPr>
          <w:p w14:paraId="66581646" w14:textId="77777777" w:rsidR="004912DC" w:rsidRPr="00582F4F" w:rsidRDefault="004912DC" w:rsidP="00906890">
            <w:pPr>
              <w:pStyle w:val="Telobesedila"/>
              <w:rPr>
                <w:rFonts w:ascii="Arial" w:eastAsia="Georgia" w:hAnsi="Arial" w:cs="Arial"/>
                <w:color w:val="auto"/>
                <w:sz w:val="16"/>
                <w:szCs w:val="16"/>
                <w:lang w:val="sl-SI" w:eastAsia="sl-SI"/>
              </w:rPr>
            </w:pPr>
            <w:r w:rsidRPr="00582F4F">
              <w:rPr>
                <w:rFonts w:ascii="Arial" w:eastAsia="Georgia" w:hAnsi="Arial" w:cs="Arial"/>
                <w:color w:val="auto"/>
                <w:sz w:val="16"/>
                <w:szCs w:val="16"/>
                <w:lang w:val="sl-SI" w:eastAsia="sl-SI"/>
              </w:rPr>
              <w:t>Vzhod</w:t>
            </w:r>
          </w:p>
        </w:tc>
        <w:tc>
          <w:tcPr>
            <w:tcW w:w="1430" w:type="dxa"/>
            <w:shd w:val="clear" w:color="auto" w:fill="auto"/>
            <w:noWrap/>
            <w:vAlign w:val="bottom"/>
            <w:hideMark/>
          </w:tcPr>
          <w:p w14:paraId="5C5B68F9" w14:textId="77777777" w:rsidR="004912DC" w:rsidRPr="00582F4F" w:rsidRDefault="004912DC" w:rsidP="00906890">
            <w:pPr>
              <w:pStyle w:val="Telobesedila"/>
              <w:jc w:val="right"/>
              <w:rPr>
                <w:rFonts w:ascii="Arial" w:eastAsia="Georgia" w:hAnsi="Arial" w:cs="Arial"/>
                <w:color w:val="auto"/>
                <w:sz w:val="16"/>
                <w:szCs w:val="16"/>
                <w:lang w:val="sl-SI" w:eastAsia="sl-SI"/>
              </w:rPr>
            </w:pPr>
            <w:r w:rsidRPr="00582F4F">
              <w:rPr>
                <w:rFonts w:ascii="Arial" w:eastAsia="Georgia" w:hAnsi="Arial" w:cs="Arial"/>
                <w:color w:val="auto"/>
                <w:sz w:val="16"/>
                <w:szCs w:val="16"/>
                <w:lang w:val="sl-SI" w:eastAsia="sl-SI"/>
              </w:rPr>
              <w:t>800.000,00</w:t>
            </w:r>
          </w:p>
        </w:tc>
        <w:tc>
          <w:tcPr>
            <w:tcW w:w="1547" w:type="dxa"/>
            <w:shd w:val="clear" w:color="auto" w:fill="auto"/>
            <w:noWrap/>
            <w:vAlign w:val="bottom"/>
            <w:hideMark/>
          </w:tcPr>
          <w:p w14:paraId="39D707BA" w14:textId="77777777" w:rsidR="004912DC" w:rsidRPr="00582F4F" w:rsidRDefault="004912DC" w:rsidP="00906890">
            <w:pPr>
              <w:pStyle w:val="Telobesedila"/>
              <w:jc w:val="right"/>
              <w:rPr>
                <w:rFonts w:ascii="Arial" w:eastAsia="Georgia" w:hAnsi="Arial" w:cs="Arial"/>
                <w:color w:val="auto"/>
                <w:sz w:val="16"/>
                <w:szCs w:val="16"/>
                <w:lang w:val="sl-SI" w:eastAsia="sl-SI"/>
              </w:rPr>
            </w:pPr>
            <w:r w:rsidRPr="00582F4F">
              <w:rPr>
                <w:rFonts w:ascii="Arial" w:eastAsia="Georgia" w:hAnsi="Arial" w:cs="Arial"/>
                <w:color w:val="auto"/>
                <w:sz w:val="16"/>
                <w:szCs w:val="16"/>
                <w:lang w:val="sl-SI" w:eastAsia="sl-SI"/>
              </w:rPr>
              <w:t>800.000,00</w:t>
            </w:r>
          </w:p>
        </w:tc>
        <w:tc>
          <w:tcPr>
            <w:tcW w:w="1430" w:type="dxa"/>
            <w:shd w:val="clear" w:color="auto" w:fill="auto"/>
            <w:noWrap/>
            <w:vAlign w:val="bottom"/>
            <w:hideMark/>
          </w:tcPr>
          <w:p w14:paraId="09503A4C" w14:textId="77777777" w:rsidR="004912DC" w:rsidRPr="00582F4F" w:rsidRDefault="004912DC" w:rsidP="00906890">
            <w:pPr>
              <w:pStyle w:val="Telobesedila"/>
              <w:jc w:val="right"/>
              <w:rPr>
                <w:rFonts w:ascii="Arial" w:eastAsia="Georgia" w:hAnsi="Arial" w:cs="Arial"/>
                <w:color w:val="auto"/>
                <w:sz w:val="16"/>
                <w:szCs w:val="16"/>
                <w:lang w:val="sl-SI" w:eastAsia="sl-SI"/>
              </w:rPr>
            </w:pPr>
            <w:r w:rsidRPr="00582F4F">
              <w:rPr>
                <w:rFonts w:ascii="Arial" w:eastAsia="Georgia" w:hAnsi="Arial" w:cs="Arial"/>
                <w:color w:val="auto"/>
                <w:sz w:val="16"/>
                <w:szCs w:val="16"/>
                <w:lang w:val="sl-SI" w:eastAsia="sl-SI"/>
              </w:rPr>
              <w:t>800.000,00</w:t>
            </w:r>
          </w:p>
        </w:tc>
        <w:tc>
          <w:tcPr>
            <w:tcW w:w="1688" w:type="dxa"/>
            <w:shd w:val="clear" w:color="auto" w:fill="auto"/>
            <w:noWrap/>
            <w:vAlign w:val="bottom"/>
            <w:hideMark/>
          </w:tcPr>
          <w:p w14:paraId="65D93346" w14:textId="77777777" w:rsidR="004912DC" w:rsidRPr="00582F4F" w:rsidRDefault="004912DC" w:rsidP="00906890">
            <w:pPr>
              <w:pStyle w:val="Telobesedila"/>
              <w:jc w:val="right"/>
              <w:rPr>
                <w:rFonts w:ascii="Arial" w:eastAsia="Georgia" w:hAnsi="Arial" w:cs="Arial"/>
                <w:color w:val="auto"/>
                <w:sz w:val="16"/>
                <w:szCs w:val="16"/>
                <w:lang w:val="sl-SI" w:eastAsia="sl-SI"/>
              </w:rPr>
            </w:pPr>
            <w:r w:rsidRPr="00582F4F">
              <w:rPr>
                <w:rFonts w:ascii="Arial" w:eastAsia="Georgia" w:hAnsi="Arial" w:cs="Arial"/>
                <w:color w:val="auto"/>
                <w:sz w:val="16"/>
                <w:szCs w:val="16"/>
                <w:lang w:val="sl-SI" w:eastAsia="sl-SI"/>
              </w:rPr>
              <w:t>800.000,00</w:t>
            </w:r>
          </w:p>
        </w:tc>
        <w:tc>
          <w:tcPr>
            <w:tcW w:w="1660" w:type="dxa"/>
            <w:shd w:val="clear" w:color="auto" w:fill="auto"/>
            <w:noWrap/>
            <w:vAlign w:val="bottom"/>
            <w:hideMark/>
          </w:tcPr>
          <w:p w14:paraId="5890F113" w14:textId="77777777" w:rsidR="004912DC" w:rsidRPr="00582F4F" w:rsidRDefault="004912DC" w:rsidP="00906890">
            <w:pPr>
              <w:pStyle w:val="Telobesedila"/>
              <w:jc w:val="right"/>
              <w:rPr>
                <w:rFonts w:ascii="Arial" w:eastAsia="Georgia" w:hAnsi="Arial" w:cs="Arial"/>
                <w:color w:val="auto"/>
                <w:sz w:val="16"/>
                <w:szCs w:val="16"/>
                <w:lang w:val="sl-SI" w:eastAsia="sl-SI"/>
              </w:rPr>
            </w:pPr>
            <w:r w:rsidRPr="00582F4F">
              <w:rPr>
                <w:rFonts w:ascii="Arial" w:eastAsia="Georgia" w:hAnsi="Arial" w:cs="Arial"/>
                <w:color w:val="auto"/>
                <w:sz w:val="16"/>
                <w:szCs w:val="16"/>
                <w:lang w:val="sl-SI" w:eastAsia="sl-SI"/>
              </w:rPr>
              <w:t>3.200.000,00</w:t>
            </w:r>
          </w:p>
        </w:tc>
      </w:tr>
      <w:tr w:rsidR="004912DC" w:rsidRPr="00582F4F" w14:paraId="370C4FB2" w14:textId="77777777" w:rsidTr="00906890">
        <w:trPr>
          <w:trHeight w:val="300"/>
        </w:trPr>
        <w:tc>
          <w:tcPr>
            <w:tcW w:w="1560" w:type="dxa"/>
            <w:shd w:val="clear" w:color="auto" w:fill="auto"/>
            <w:noWrap/>
            <w:vAlign w:val="bottom"/>
            <w:hideMark/>
          </w:tcPr>
          <w:p w14:paraId="2130D49C" w14:textId="77777777" w:rsidR="004912DC" w:rsidRPr="00582F4F" w:rsidRDefault="004912DC" w:rsidP="00906890">
            <w:pPr>
              <w:pStyle w:val="Telobesedila"/>
              <w:rPr>
                <w:rFonts w:ascii="Arial" w:eastAsia="Georgia" w:hAnsi="Arial" w:cs="Arial"/>
                <w:color w:val="auto"/>
                <w:sz w:val="16"/>
                <w:szCs w:val="16"/>
                <w:lang w:val="sl-SI" w:eastAsia="sl-SI"/>
              </w:rPr>
            </w:pPr>
            <w:r w:rsidRPr="00582F4F">
              <w:rPr>
                <w:rFonts w:ascii="Arial" w:eastAsia="Georgia" w:hAnsi="Arial" w:cs="Arial"/>
                <w:color w:val="auto"/>
                <w:sz w:val="16"/>
                <w:szCs w:val="16"/>
                <w:lang w:val="sl-SI" w:eastAsia="sl-SI"/>
              </w:rPr>
              <w:t>6.3</w:t>
            </w:r>
          </w:p>
        </w:tc>
        <w:tc>
          <w:tcPr>
            <w:tcW w:w="850" w:type="dxa"/>
            <w:shd w:val="clear" w:color="auto" w:fill="auto"/>
            <w:noWrap/>
            <w:vAlign w:val="bottom"/>
            <w:hideMark/>
          </w:tcPr>
          <w:p w14:paraId="69591DD7" w14:textId="77777777" w:rsidR="004912DC" w:rsidRPr="00582F4F" w:rsidRDefault="004912DC" w:rsidP="00906890">
            <w:pPr>
              <w:pStyle w:val="Telobesedila"/>
              <w:rPr>
                <w:rFonts w:ascii="Arial" w:eastAsia="Georgia" w:hAnsi="Arial" w:cs="Arial"/>
                <w:color w:val="auto"/>
                <w:sz w:val="16"/>
                <w:szCs w:val="16"/>
                <w:lang w:val="sl-SI" w:eastAsia="sl-SI"/>
              </w:rPr>
            </w:pPr>
            <w:r w:rsidRPr="00582F4F">
              <w:rPr>
                <w:rFonts w:ascii="Arial" w:eastAsia="Georgia" w:hAnsi="Arial" w:cs="Arial"/>
                <w:color w:val="auto"/>
                <w:sz w:val="16"/>
                <w:szCs w:val="16"/>
                <w:lang w:val="sl-SI" w:eastAsia="sl-SI"/>
              </w:rPr>
              <w:t>Zahod</w:t>
            </w:r>
          </w:p>
        </w:tc>
        <w:tc>
          <w:tcPr>
            <w:tcW w:w="1430" w:type="dxa"/>
            <w:shd w:val="clear" w:color="auto" w:fill="auto"/>
            <w:noWrap/>
            <w:vAlign w:val="bottom"/>
            <w:hideMark/>
          </w:tcPr>
          <w:p w14:paraId="1ADAB1A6" w14:textId="77777777" w:rsidR="004912DC" w:rsidRPr="00582F4F" w:rsidRDefault="004912DC" w:rsidP="00906890">
            <w:pPr>
              <w:pStyle w:val="Telobesedila"/>
              <w:jc w:val="right"/>
              <w:rPr>
                <w:rFonts w:ascii="Arial" w:eastAsia="Georgia" w:hAnsi="Arial" w:cs="Arial"/>
                <w:color w:val="auto"/>
                <w:sz w:val="16"/>
                <w:szCs w:val="16"/>
                <w:lang w:val="sl-SI" w:eastAsia="sl-SI"/>
              </w:rPr>
            </w:pPr>
            <w:r w:rsidRPr="00582F4F">
              <w:rPr>
                <w:rFonts w:ascii="Arial" w:eastAsia="Georgia" w:hAnsi="Arial" w:cs="Arial"/>
                <w:color w:val="auto"/>
                <w:sz w:val="16"/>
                <w:szCs w:val="16"/>
                <w:lang w:val="sl-SI" w:eastAsia="sl-SI"/>
              </w:rPr>
              <w:t>450.000,00</w:t>
            </w:r>
          </w:p>
        </w:tc>
        <w:tc>
          <w:tcPr>
            <w:tcW w:w="1547" w:type="dxa"/>
            <w:shd w:val="clear" w:color="auto" w:fill="auto"/>
            <w:noWrap/>
            <w:vAlign w:val="bottom"/>
            <w:hideMark/>
          </w:tcPr>
          <w:p w14:paraId="52DE0066" w14:textId="77777777" w:rsidR="004912DC" w:rsidRPr="00582F4F" w:rsidRDefault="004912DC" w:rsidP="00906890">
            <w:pPr>
              <w:pStyle w:val="Telobesedila"/>
              <w:jc w:val="right"/>
              <w:rPr>
                <w:rFonts w:ascii="Arial" w:eastAsia="Georgia" w:hAnsi="Arial" w:cs="Arial"/>
                <w:color w:val="auto"/>
                <w:sz w:val="16"/>
                <w:szCs w:val="16"/>
                <w:lang w:val="sl-SI" w:eastAsia="sl-SI"/>
              </w:rPr>
            </w:pPr>
            <w:r w:rsidRPr="00582F4F">
              <w:rPr>
                <w:rFonts w:ascii="Arial" w:eastAsia="Georgia" w:hAnsi="Arial" w:cs="Arial"/>
                <w:color w:val="auto"/>
                <w:sz w:val="16"/>
                <w:szCs w:val="16"/>
                <w:lang w:val="sl-SI" w:eastAsia="sl-SI"/>
              </w:rPr>
              <w:t>450.000,00</w:t>
            </w:r>
          </w:p>
        </w:tc>
        <w:tc>
          <w:tcPr>
            <w:tcW w:w="1430" w:type="dxa"/>
            <w:shd w:val="clear" w:color="auto" w:fill="auto"/>
            <w:noWrap/>
            <w:vAlign w:val="bottom"/>
            <w:hideMark/>
          </w:tcPr>
          <w:p w14:paraId="29C233C1" w14:textId="77777777" w:rsidR="004912DC" w:rsidRPr="00582F4F" w:rsidRDefault="004912DC" w:rsidP="00906890">
            <w:pPr>
              <w:pStyle w:val="Telobesedila"/>
              <w:jc w:val="right"/>
              <w:rPr>
                <w:rFonts w:ascii="Arial" w:eastAsia="Georgia" w:hAnsi="Arial" w:cs="Arial"/>
                <w:color w:val="auto"/>
                <w:sz w:val="16"/>
                <w:szCs w:val="16"/>
                <w:lang w:val="sl-SI" w:eastAsia="sl-SI"/>
              </w:rPr>
            </w:pPr>
            <w:r w:rsidRPr="00582F4F">
              <w:rPr>
                <w:rFonts w:ascii="Arial" w:eastAsia="Georgia" w:hAnsi="Arial" w:cs="Arial"/>
                <w:color w:val="auto"/>
                <w:sz w:val="16"/>
                <w:szCs w:val="16"/>
                <w:lang w:val="sl-SI" w:eastAsia="sl-SI"/>
              </w:rPr>
              <w:t>450.000,00</w:t>
            </w:r>
          </w:p>
        </w:tc>
        <w:tc>
          <w:tcPr>
            <w:tcW w:w="1688" w:type="dxa"/>
            <w:shd w:val="clear" w:color="auto" w:fill="auto"/>
            <w:noWrap/>
            <w:vAlign w:val="bottom"/>
            <w:hideMark/>
          </w:tcPr>
          <w:p w14:paraId="1A483FC4" w14:textId="77777777" w:rsidR="004912DC" w:rsidRPr="00582F4F" w:rsidRDefault="004912DC" w:rsidP="00906890">
            <w:pPr>
              <w:pStyle w:val="Telobesedila"/>
              <w:jc w:val="right"/>
              <w:rPr>
                <w:rFonts w:ascii="Arial" w:eastAsia="Georgia" w:hAnsi="Arial" w:cs="Arial"/>
                <w:color w:val="auto"/>
                <w:sz w:val="16"/>
                <w:szCs w:val="16"/>
                <w:lang w:val="sl-SI" w:eastAsia="sl-SI"/>
              </w:rPr>
            </w:pPr>
            <w:r w:rsidRPr="00582F4F">
              <w:rPr>
                <w:rFonts w:ascii="Arial" w:eastAsia="Georgia" w:hAnsi="Arial" w:cs="Arial"/>
                <w:color w:val="auto"/>
                <w:sz w:val="16"/>
                <w:szCs w:val="16"/>
                <w:lang w:val="sl-SI" w:eastAsia="sl-SI"/>
              </w:rPr>
              <w:t>450.000,00</w:t>
            </w:r>
          </w:p>
        </w:tc>
        <w:tc>
          <w:tcPr>
            <w:tcW w:w="1660" w:type="dxa"/>
            <w:shd w:val="clear" w:color="auto" w:fill="auto"/>
            <w:noWrap/>
            <w:vAlign w:val="bottom"/>
            <w:hideMark/>
          </w:tcPr>
          <w:p w14:paraId="60C31512" w14:textId="77777777" w:rsidR="004912DC" w:rsidRPr="00582F4F" w:rsidRDefault="004912DC" w:rsidP="00906890">
            <w:pPr>
              <w:pStyle w:val="Telobesedila"/>
              <w:jc w:val="right"/>
              <w:rPr>
                <w:rFonts w:ascii="Arial" w:eastAsia="Georgia" w:hAnsi="Arial" w:cs="Arial"/>
                <w:color w:val="auto"/>
                <w:sz w:val="16"/>
                <w:szCs w:val="16"/>
                <w:lang w:val="sl-SI" w:eastAsia="sl-SI"/>
              </w:rPr>
            </w:pPr>
            <w:r w:rsidRPr="00582F4F">
              <w:rPr>
                <w:rFonts w:ascii="Arial" w:eastAsia="Georgia" w:hAnsi="Arial" w:cs="Arial"/>
                <w:color w:val="auto"/>
                <w:sz w:val="16"/>
                <w:szCs w:val="16"/>
                <w:lang w:val="sl-SI" w:eastAsia="sl-SI"/>
              </w:rPr>
              <w:t>1.800.000,00</w:t>
            </w:r>
          </w:p>
        </w:tc>
      </w:tr>
      <w:tr w:rsidR="004912DC" w:rsidRPr="00582F4F" w14:paraId="374F88BE" w14:textId="77777777" w:rsidTr="00906890">
        <w:trPr>
          <w:trHeight w:val="300"/>
        </w:trPr>
        <w:tc>
          <w:tcPr>
            <w:tcW w:w="1560" w:type="dxa"/>
            <w:shd w:val="clear" w:color="auto" w:fill="auto"/>
            <w:noWrap/>
            <w:vAlign w:val="bottom"/>
            <w:hideMark/>
          </w:tcPr>
          <w:p w14:paraId="6E5A38AD" w14:textId="77777777" w:rsidR="004912DC" w:rsidRPr="00582F4F" w:rsidRDefault="004912DC" w:rsidP="00906890">
            <w:pPr>
              <w:pStyle w:val="Telobesedila"/>
              <w:rPr>
                <w:rFonts w:ascii="Arial" w:eastAsia="Georgia" w:hAnsi="Arial" w:cs="Arial"/>
                <w:b/>
                <w:color w:val="auto"/>
                <w:sz w:val="16"/>
                <w:szCs w:val="16"/>
                <w:lang w:val="sl-SI" w:eastAsia="sl-SI"/>
              </w:rPr>
            </w:pPr>
            <w:r w:rsidRPr="00582F4F">
              <w:rPr>
                <w:rFonts w:ascii="Arial" w:eastAsia="Georgia" w:hAnsi="Arial" w:cs="Arial"/>
                <w:b/>
                <w:color w:val="auto"/>
                <w:sz w:val="16"/>
                <w:szCs w:val="16"/>
                <w:lang w:val="sl-SI" w:eastAsia="sl-SI"/>
              </w:rPr>
              <w:t>6.3 Vsota</w:t>
            </w:r>
          </w:p>
        </w:tc>
        <w:tc>
          <w:tcPr>
            <w:tcW w:w="850" w:type="dxa"/>
            <w:shd w:val="clear" w:color="auto" w:fill="auto"/>
            <w:noWrap/>
            <w:vAlign w:val="bottom"/>
            <w:hideMark/>
          </w:tcPr>
          <w:p w14:paraId="163D3CF6" w14:textId="77777777" w:rsidR="004912DC" w:rsidRPr="00582F4F" w:rsidRDefault="004912DC" w:rsidP="00906890">
            <w:pPr>
              <w:pStyle w:val="Telobesedila"/>
              <w:rPr>
                <w:rFonts w:ascii="Arial" w:eastAsia="Georgia" w:hAnsi="Arial" w:cs="Arial"/>
                <w:b/>
                <w:color w:val="auto"/>
                <w:sz w:val="16"/>
                <w:szCs w:val="16"/>
                <w:lang w:val="sl-SI" w:eastAsia="sl-SI"/>
              </w:rPr>
            </w:pPr>
          </w:p>
        </w:tc>
        <w:tc>
          <w:tcPr>
            <w:tcW w:w="1430" w:type="dxa"/>
            <w:shd w:val="clear" w:color="auto" w:fill="auto"/>
            <w:noWrap/>
            <w:vAlign w:val="bottom"/>
            <w:hideMark/>
          </w:tcPr>
          <w:p w14:paraId="46586370" w14:textId="77777777" w:rsidR="004912DC" w:rsidRPr="00582F4F" w:rsidRDefault="004912DC" w:rsidP="00906890">
            <w:pPr>
              <w:pStyle w:val="Telobesedila"/>
              <w:jc w:val="right"/>
              <w:rPr>
                <w:rFonts w:ascii="Arial" w:eastAsia="Georgia" w:hAnsi="Arial" w:cs="Arial"/>
                <w:b/>
                <w:color w:val="auto"/>
                <w:sz w:val="16"/>
                <w:szCs w:val="16"/>
                <w:lang w:val="sl-SI" w:eastAsia="sl-SI"/>
              </w:rPr>
            </w:pPr>
            <w:r w:rsidRPr="00582F4F">
              <w:rPr>
                <w:rFonts w:ascii="Arial" w:eastAsia="Georgia" w:hAnsi="Arial" w:cs="Arial"/>
                <w:b/>
                <w:color w:val="auto"/>
                <w:sz w:val="16"/>
                <w:szCs w:val="16"/>
                <w:lang w:val="sl-SI" w:eastAsia="sl-SI"/>
              </w:rPr>
              <w:t>1.250.000,00</w:t>
            </w:r>
          </w:p>
        </w:tc>
        <w:tc>
          <w:tcPr>
            <w:tcW w:w="1547" w:type="dxa"/>
            <w:shd w:val="clear" w:color="auto" w:fill="auto"/>
            <w:noWrap/>
            <w:vAlign w:val="bottom"/>
            <w:hideMark/>
          </w:tcPr>
          <w:p w14:paraId="47EB90C2" w14:textId="77777777" w:rsidR="004912DC" w:rsidRPr="00582F4F" w:rsidRDefault="004912DC" w:rsidP="00906890">
            <w:pPr>
              <w:pStyle w:val="Telobesedila"/>
              <w:jc w:val="right"/>
              <w:rPr>
                <w:rFonts w:ascii="Arial" w:eastAsia="Georgia" w:hAnsi="Arial" w:cs="Arial"/>
                <w:b/>
                <w:color w:val="auto"/>
                <w:sz w:val="16"/>
                <w:szCs w:val="16"/>
                <w:lang w:val="sl-SI" w:eastAsia="sl-SI"/>
              </w:rPr>
            </w:pPr>
            <w:r w:rsidRPr="00582F4F">
              <w:rPr>
                <w:rFonts w:ascii="Arial" w:eastAsia="Georgia" w:hAnsi="Arial" w:cs="Arial"/>
                <w:b/>
                <w:color w:val="auto"/>
                <w:sz w:val="16"/>
                <w:szCs w:val="16"/>
                <w:lang w:val="sl-SI" w:eastAsia="sl-SI"/>
              </w:rPr>
              <w:t>1.250.000,00</w:t>
            </w:r>
          </w:p>
        </w:tc>
        <w:tc>
          <w:tcPr>
            <w:tcW w:w="1430" w:type="dxa"/>
            <w:shd w:val="clear" w:color="auto" w:fill="auto"/>
            <w:noWrap/>
            <w:vAlign w:val="bottom"/>
            <w:hideMark/>
          </w:tcPr>
          <w:p w14:paraId="331D50D9" w14:textId="77777777" w:rsidR="004912DC" w:rsidRPr="00582F4F" w:rsidRDefault="004912DC" w:rsidP="00906890">
            <w:pPr>
              <w:pStyle w:val="Telobesedila"/>
              <w:jc w:val="right"/>
              <w:rPr>
                <w:rFonts w:ascii="Arial" w:eastAsia="Georgia" w:hAnsi="Arial" w:cs="Arial"/>
                <w:b/>
                <w:color w:val="auto"/>
                <w:sz w:val="16"/>
                <w:szCs w:val="16"/>
                <w:lang w:val="sl-SI" w:eastAsia="sl-SI"/>
              </w:rPr>
            </w:pPr>
            <w:r w:rsidRPr="00582F4F">
              <w:rPr>
                <w:rFonts w:ascii="Arial" w:eastAsia="Georgia" w:hAnsi="Arial" w:cs="Arial"/>
                <w:b/>
                <w:color w:val="auto"/>
                <w:sz w:val="16"/>
                <w:szCs w:val="16"/>
                <w:lang w:val="sl-SI" w:eastAsia="sl-SI"/>
              </w:rPr>
              <w:t>1.250.000,00</w:t>
            </w:r>
          </w:p>
        </w:tc>
        <w:tc>
          <w:tcPr>
            <w:tcW w:w="1688" w:type="dxa"/>
            <w:shd w:val="clear" w:color="auto" w:fill="auto"/>
            <w:noWrap/>
            <w:vAlign w:val="bottom"/>
            <w:hideMark/>
          </w:tcPr>
          <w:p w14:paraId="06B35DAB" w14:textId="77777777" w:rsidR="004912DC" w:rsidRPr="00582F4F" w:rsidRDefault="004912DC" w:rsidP="00906890">
            <w:pPr>
              <w:pStyle w:val="Telobesedila"/>
              <w:jc w:val="right"/>
              <w:rPr>
                <w:rFonts w:ascii="Arial" w:eastAsia="Georgia" w:hAnsi="Arial" w:cs="Arial"/>
                <w:b/>
                <w:color w:val="auto"/>
                <w:sz w:val="16"/>
                <w:szCs w:val="16"/>
                <w:lang w:val="sl-SI" w:eastAsia="sl-SI"/>
              </w:rPr>
            </w:pPr>
            <w:r w:rsidRPr="00582F4F">
              <w:rPr>
                <w:rFonts w:ascii="Arial" w:eastAsia="Georgia" w:hAnsi="Arial" w:cs="Arial"/>
                <w:b/>
                <w:color w:val="auto"/>
                <w:sz w:val="16"/>
                <w:szCs w:val="16"/>
                <w:lang w:val="sl-SI" w:eastAsia="sl-SI"/>
              </w:rPr>
              <w:t>1.250.000,00</w:t>
            </w:r>
          </w:p>
        </w:tc>
        <w:tc>
          <w:tcPr>
            <w:tcW w:w="1660" w:type="dxa"/>
            <w:shd w:val="clear" w:color="auto" w:fill="auto"/>
            <w:noWrap/>
            <w:vAlign w:val="bottom"/>
            <w:hideMark/>
          </w:tcPr>
          <w:p w14:paraId="2A1D0B84" w14:textId="77777777" w:rsidR="004912DC" w:rsidRPr="00582F4F" w:rsidRDefault="004912DC" w:rsidP="00906890">
            <w:pPr>
              <w:pStyle w:val="Telobesedila"/>
              <w:jc w:val="right"/>
              <w:rPr>
                <w:rFonts w:ascii="Arial" w:eastAsia="Georgia" w:hAnsi="Arial" w:cs="Arial"/>
                <w:b/>
                <w:color w:val="auto"/>
                <w:sz w:val="16"/>
                <w:szCs w:val="16"/>
                <w:lang w:val="sl-SI" w:eastAsia="sl-SI"/>
              </w:rPr>
            </w:pPr>
            <w:r w:rsidRPr="00582F4F">
              <w:rPr>
                <w:rFonts w:ascii="Arial" w:eastAsia="Georgia" w:hAnsi="Arial" w:cs="Arial"/>
                <w:b/>
                <w:color w:val="auto"/>
                <w:sz w:val="16"/>
                <w:szCs w:val="16"/>
                <w:lang w:val="sl-SI" w:eastAsia="sl-SI"/>
              </w:rPr>
              <w:t>5.000.000,00</w:t>
            </w:r>
          </w:p>
        </w:tc>
      </w:tr>
      <w:tr w:rsidR="004912DC" w:rsidRPr="00582F4F" w14:paraId="4F522A2B" w14:textId="77777777" w:rsidTr="00906890">
        <w:trPr>
          <w:trHeight w:val="300"/>
        </w:trPr>
        <w:tc>
          <w:tcPr>
            <w:tcW w:w="1560" w:type="dxa"/>
            <w:shd w:val="clear" w:color="auto" w:fill="auto"/>
            <w:noWrap/>
            <w:vAlign w:val="bottom"/>
            <w:hideMark/>
          </w:tcPr>
          <w:p w14:paraId="013DA6F0" w14:textId="77777777" w:rsidR="004912DC" w:rsidRPr="00582F4F" w:rsidRDefault="004912DC" w:rsidP="00906890">
            <w:pPr>
              <w:pStyle w:val="Telobesedila"/>
              <w:rPr>
                <w:rFonts w:ascii="Arial" w:eastAsia="Georgia" w:hAnsi="Arial" w:cs="Arial"/>
                <w:b/>
                <w:color w:val="auto"/>
                <w:sz w:val="16"/>
                <w:szCs w:val="16"/>
                <w:lang w:val="sl-SI" w:eastAsia="sl-SI"/>
              </w:rPr>
            </w:pPr>
            <w:r w:rsidRPr="00582F4F">
              <w:rPr>
                <w:rFonts w:ascii="Arial" w:eastAsia="Georgia" w:hAnsi="Arial" w:cs="Arial"/>
                <w:b/>
                <w:color w:val="auto"/>
                <w:sz w:val="16"/>
                <w:szCs w:val="16"/>
                <w:lang w:val="sl-SI" w:eastAsia="sl-SI"/>
              </w:rPr>
              <w:t>Skupna vsota</w:t>
            </w:r>
          </w:p>
        </w:tc>
        <w:tc>
          <w:tcPr>
            <w:tcW w:w="850" w:type="dxa"/>
            <w:shd w:val="clear" w:color="auto" w:fill="auto"/>
            <w:noWrap/>
            <w:vAlign w:val="bottom"/>
            <w:hideMark/>
          </w:tcPr>
          <w:p w14:paraId="3539E45C" w14:textId="77777777" w:rsidR="004912DC" w:rsidRPr="00582F4F" w:rsidRDefault="004912DC" w:rsidP="00906890">
            <w:pPr>
              <w:pStyle w:val="Telobesedila"/>
              <w:rPr>
                <w:rFonts w:ascii="Arial" w:eastAsia="Georgia" w:hAnsi="Arial" w:cs="Arial"/>
                <w:b/>
                <w:color w:val="auto"/>
                <w:sz w:val="16"/>
                <w:szCs w:val="16"/>
                <w:lang w:val="sl-SI" w:eastAsia="sl-SI"/>
              </w:rPr>
            </w:pPr>
          </w:p>
        </w:tc>
        <w:tc>
          <w:tcPr>
            <w:tcW w:w="1430" w:type="dxa"/>
            <w:shd w:val="clear" w:color="auto" w:fill="auto"/>
            <w:noWrap/>
            <w:vAlign w:val="bottom"/>
            <w:hideMark/>
          </w:tcPr>
          <w:p w14:paraId="08FA667B" w14:textId="77777777" w:rsidR="004912DC" w:rsidRPr="00582F4F" w:rsidRDefault="004912DC" w:rsidP="00906890">
            <w:pPr>
              <w:pStyle w:val="Telobesedila"/>
              <w:jc w:val="right"/>
              <w:rPr>
                <w:rFonts w:ascii="Arial" w:eastAsia="Georgia" w:hAnsi="Arial" w:cs="Arial"/>
                <w:b/>
                <w:color w:val="auto"/>
                <w:sz w:val="16"/>
                <w:szCs w:val="16"/>
                <w:lang w:val="sl-SI" w:eastAsia="sl-SI"/>
              </w:rPr>
            </w:pPr>
            <w:r w:rsidRPr="00582F4F">
              <w:rPr>
                <w:rFonts w:ascii="Arial" w:eastAsia="Georgia" w:hAnsi="Arial" w:cs="Arial"/>
                <w:b/>
                <w:color w:val="auto"/>
                <w:sz w:val="16"/>
                <w:szCs w:val="16"/>
                <w:lang w:val="sl-SI" w:eastAsia="sl-SI"/>
              </w:rPr>
              <w:t>63.250.000,00</w:t>
            </w:r>
          </w:p>
        </w:tc>
        <w:tc>
          <w:tcPr>
            <w:tcW w:w="1547" w:type="dxa"/>
            <w:shd w:val="clear" w:color="auto" w:fill="auto"/>
            <w:noWrap/>
            <w:vAlign w:val="bottom"/>
            <w:hideMark/>
          </w:tcPr>
          <w:p w14:paraId="093A3F7C" w14:textId="77777777" w:rsidR="004912DC" w:rsidRPr="00582F4F" w:rsidRDefault="004912DC" w:rsidP="00906890">
            <w:pPr>
              <w:pStyle w:val="Telobesedila"/>
              <w:jc w:val="right"/>
              <w:rPr>
                <w:rFonts w:ascii="Arial" w:eastAsia="Georgia" w:hAnsi="Arial" w:cs="Arial"/>
                <w:b/>
                <w:color w:val="auto"/>
                <w:sz w:val="16"/>
                <w:szCs w:val="16"/>
                <w:lang w:val="sl-SI" w:eastAsia="sl-SI"/>
              </w:rPr>
            </w:pPr>
            <w:r w:rsidRPr="00582F4F">
              <w:rPr>
                <w:rFonts w:ascii="Arial" w:eastAsia="Georgia" w:hAnsi="Arial" w:cs="Arial"/>
                <w:b/>
                <w:color w:val="auto"/>
                <w:sz w:val="16"/>
                <w:szCs w:val="16"/>
                <w:lang w:val="sl-SI" w:eastAsia="sl-SI"/>
              </w:rPr>
              <w:t>63.250.000,00</w:t>
            </w:r>
          </w:p>
        </w:tc>
        <w:tc>
          <w:tcPr>
            <w:tcW w:w="1430" w:type="dxa"/>
            <w:shd w:val="clear" w:color="auto" w:fill="auto"/>
            <w:noWrap/>
            <w:vAlign w:val="bottom"/>
            <w:hideMark/>
          </w:tcPr>
          <w:p w14:paraId="1AA23C1F" w14:textId="77777777" w:rsidR="004912DC" w:rsidRPr="00582F4F" w:rsidRDefault="004912DC" w:rsidP="00906890">
            <w:pPr>
              <w:pStyle w:val="Telobesedila"/>
              <w:jc w:val="right"/>
              <w:rPr>
                <w:rFonts w:ascii="Arial" w:eastAsia="Georgia" w:hAnsi="Arial" w:cs="Arial"/>
                <w:b/>
                <w:color w:val="auto"/>
                <w:sz w:val="16"/>
                <w:szCs w:val="16"/>
                <w:lang w:val="sl-SI" w:eastAsia="sl-SI"/>
              </w:rPr>
            </w:pPr>
            <w:r w:rsidRPr="00582F4F">
              <w:rPr>
                <w:rFonts w:ascii="Arial" w:eastAsia="Georgia" w:hAnsi="Arial" w:cs="Arial"/>
                <w:b/>
                <w:color w:val="auto"/>
                <w:sz w:val="16"/>
                <w:szCs w:val="16"/>
                <w:lang w:val="sl-SI" w:eastAsia="sl-SI"/>
              </w:rPr>
              <w:t>63.250.000,00</w:t>
            </w:r>
          </w:p>
        </w:tc>
        <w:tc>
          <w:tcPr>
            <w:tcW w:w="1688" w:type="dxa"/>
            <w:shd w:val="clear" w:color="auto" w:fill="auto"/>
            <w:noWrap/>
            <w:vAlign w:val="bottom"/>
            <w:hideMark/>
          </w:tcPr>
          <w:p w14:paraId="5CE938B4" w14:textId="77777777" w:rsidR="004912DC" w:rsidRPr="00582F4F" w:rsidRDefault="004912DC" w:rsidP="00906890">
            <w:pPr>
              <w:pStyle w:val="Telobesedila"/>
              <w:jc w:val="right"/>
              <w:rPr>
                <w:rFonts w:ascii="Arial" w:eastAsia="Georgia" w:hAnsi="Arial" w:cs="Arial"/>
                <w:b/>
                <w:color w:val="auto"/>
                <w:sz w:val="16"/>
                <w:szCs w:val="16"/>
                <w:lang w:val="sl-SI" w:eastAsia="sl-SI"/>
              </w:rPr>
            </w:pPr>
            <w:r w:rsidRPr="00582F4F">
              <w:rPr>
                <w:rFonts w:ascii="Arial" w:eastAsia="Georgia" w:hAnsi="Arial" w:cs="Arial"/>
                <w:b/>
                <w:color w:val="auto"/>
                <w:sz w:val="16"/>
                <w:szCs w:val="16"/>
                <w:lang w:val="sl-SI" w:eastAsia="sl-SI"/>
              </w:rPr>
              <w:t>63.250.000,00</w:t>
            </w:r>
          </w:p>
        </w:tc>
        <w:tc>
          <w:tcPr>
            <w:tcW w:w="1660" w:type="dxa"/>
            <w:shd w:val="clear" w:color="auto" w:fill="auto"/>
            <w:noWrap/>
            <w:vAlign w:val="bottom"/>
            <w:hideMark/>
          </w:tcPr>
          <w:p w14:paraId="7A3145DD" w14:textId="77777777" w:rsidR="004912DC" w:rsidRPr="00582F4F" w:rsidRDefault="004912DC" w:rsidP="00906890">
            <w:pPr>
              <w:pStyle w:val="Telobesedila"/>
              <w:jc w:val="right"/>
              <w:rPr>
                <w:rFonts w:ascii="Arial" w:eastAsia="Georgia" w:hAnsi="Arial" w:cs="Arial"/>
                <w:b/>
                <w:color w:val="auto"/>
                <w:sz w:val="16"/>
                <w:szCs w:val="16"/>
                <w:lang w:val="sl-SI" w:eastAsia="sl-SI"/>
              </w:rPr>
            </w:pPr>
            <w:r w:rsidRPr="00582F4F">
              <w:rPr>
                <w:rFonts w:ascii="Arial" w:eastAsia="Georgia" w:hAnsi="Arial" w:cs="Arial"/>
                <w:b/>
                <w:color w:val="auto"/>
                <w:sz w:val="16"/>
                <w:szCs w:val="16"/>
                <w:lang w:val="sl-SI" w:eastAsia="sl-SI"/>
              </w:rPr>
              <w:t>253.000.000,00</w:t>
            </w:r>
          </w:p>
        </w:tc>
      </w:tr>
    </w:tbl>
    <w:p w14:paraId="1E288944" w14:textId="77777777" w:rsidR="004912DC" w:rsidRPr="00582F4F" w:rsidRDefault="004912DC" w:rsidP="004912DC">
      <w:pPr>
        <w:pStyle w:val="Telobesedila"/>
        <w:rPr>
          <w:rFonts w:ascii="Arial" w:hAnsi="Arial" w:cs="Arial"/>
          <w:color w:val="auto"/>
          <w:lang w:val="sl-SI"/>
        </w:rPr>
      </w:pPr>
    </w:p>
    <w:p w14:paraId="1426C0C9" w14:textId="77777777" w:rsidR="004912DC" w:rsidRPr="00582F4F" w:rsidRDefault="004912DC" w:rsidP="004912DC">
      <w:pPr>
        <w:pStyle w:val="Telobesedila"/>
        <w:rPr>
          <w:rFonts w:ascii="Arial" w:eastAsia="Georgia" w:hAnsi="Arial" w:cs="Arial"/>
          <w:color w:val="auto"/>
          <w:lang w:val="sl-SI" w:eastAsia="sl-SI"/>
        </w:rPr>
      </w:pPr>
      <w:r w:rsidRPr="00582F4F">
        <w:rPr>
          <w:rFonts w:ascii="Arial" w:eastAsia="Calibri" w:hAnsi="Arial" w:cs="Arial"/>
          <w:color w:val="auto"/>
          <w:lang w:val="sl-SI"/>
        </w:rPr>
        <w:t>Upravljavec sklada skladov se v sporazumu o financiranju med drugim zaveže k rednemu plasiranju sredstev (prek finančnih posrednikov ali neposredno) do končnih prejemnikov.</w:t>
      </w:r>
    </w:p>
    <w:p w14:paraId="2DBE92A6" w14:textId="77777777" w:rsidR="004912DC" w:rsidRPr="00582F4F" w:rsidRDefault="004912DC" w:rsidP="004912DC">
      <w:pPr>
        <w:pStyle w:val="Telobesedila"/>
        <w:rPr>
          <w:rFonts w:ascii="Arial" w:eastAsia="Georgia" w:hAnsi="Arial" w:cs="Arial"/>
          <w:color w:val="auto"/>
          <w:lang w:val="sl-SI" w:eastAsia="sl-SI"/>
        </w:rPr>
      </w:pPr>
      <w:r w:rsidRPr="00582F4F">
        <w:rPr>
          <w:rFonts w:ascii="Arial" w:eastAsia="Georgia" w:hAnsi="Arial" w:cs="Arial"/>
          <w:color w:val="auto"/>
          <w:lang w:val="sl-SI" w:eastAsia="sl-SI"/>
        </w:rPr>
        <w:t>V nadaljevanju so predstavljeni finančni instrumenti po področjih in sicer:</w:t>
      </w:r>
    </w:p>
    <w:p w14:paraId="030CA38E" w14:textId="77777777" w:rsidR="004912DC" w:rsidRPr="00582F4F" w:rsidRDefault="004912DC" w:rsidP="004912DC">
      <w:pPr>
        <w:numPr>
          <w:ilvl w:val="0"/>
          <w:numId w:val="13"/>
        </w:numPr>
        <w:spacing w:after="10" w:line="240" w:lineRule="auto"/>
        <w:ind w:right="256"/>
        <w:jc w:val="both"/>
        <w:rPr>
          <w:rFonts w:eastAsia="Georgia" w:cs="Arial"/>
          <w:sz w:val="22"/>
          <w:szCs w:val="22"/>
          <w:lang w:eastAsia="sl-SI"/>
        </w:rPr>
      </w:pPr>
      <w:r w:rsidRPr="00582F4F">
        <w:rPr>
          <w:rFonts w:eastAsia="Georgia" w:cs="Arial"/>
          <w:sz w:val="22"/>
          <w:szCs w:val="22"/>
          <w:lang w:eastAsia="sl-SI"/>
        </w:rPr>
        <w:t>Finančni instrumenti za MSP (financirani iz TC 3),</w:t>
      </w:r>
    </w:p>
    <w:p w14:paraId="16EB295F" w14:textId="77777777" w:rsidR="004912DC" w:rsidRPr="00582F4F" w:rsidRDefault="004912DC" w:rsidP="004912DC">
      <w:pPr>
        <w:numPr>
          <w:ilvl w:val="0"/>
          <w:numId w:val="13"/>
        </w:numPr>
        <w:spacing w:after="10" w:line="240" w:lineRule="auto"/>
        <w:ind w:right="256"/>
        <w:jc w:val="both"/>
        <w:rPr>
          <w:rFonts w:eastAsia="Georgia" w:cs="Arial"/>
          <w:sz w:val="22"/>
          <w:szCs w:val="22"/>
          <w:lang w:eastAsia="sl-SI"/>
        </w:rPr>
      </w:pPr>
      <w:r w:rsidRPr="00582F4F">
        <w:rPr>
          <w:rFonts w:eastAsia="Georgia" w:cs="Arial"/>
          <w:sz w:val="22"/>
          <w:szCs w:val="22"/>
          <w:lang w:eastAsia="sl-SI"/>
        </w:rPr>
        <w:t>Finančni instrumenti za RRI za MSP in velika podjetja (financirani iz TC 1),</w:t>
      </w:r>
    </w:p>
    <w:p w14:paraId="569EF07D" w14:textId="77777777" w:rsidR="004912DC" w:rsidRPr="00582F4F" w:rsidRDefault="004912DC" w:rsidP="004912DC">
      <w:pPr>
        <w:numPr>
          <w:ilvl w:val="0"/>
          <w:numId w:val="13"/>
        </w:numPr>
        <w:spacing w:after="10" w:line="240" w:lineRule="auto"/>
        <w:ind w:right="256"/>
        <w:jc w:val="both"/>
        <w:rPr>
          <w:rFonts w:eastAsia="Georgia" w:cs="Arial"/>
          <w:sz w:val="22"/>
          <w:szCs w:val="22"/>
          <w:lang w:eastAsia="sl-SI"/>
        </w:rPr>
      </w:pPr>
      <w:r w:rsidRPr="00582F4F">
        <w:rPr>
          <w:rFonts w:eastAsia="Georgia" w:cs="Arial"/>
          <w:sz w:val="22"/>
          <w:szCs w:val="22"/>
          <w:lang w:eastAsia="sl-SI"/>
        </w:rPr>
        <w:t>Finančni instrumenti za energetsko učinkovitost (financirani iz TC 4) in</w:t>
      </w:r>
    </w:p>
    <w:p w14:paraId="2A7CC720" w14:textId="77777777" w:rsidR="004912DC" w:rsidRPr="00582F4F" w:rsidRDefault="004912DC" w:rsidP="004912DC">
      <w:pPr>
        <w:numPr>
          <w:ilvl w:val="0"/>
          <w:numId w:val="13"/>
        </w:numPr>
        <w:spacing w:after="10" w:line="240" w:lineRule="auto"/>
        <w:ind w:right="256"/>
        <w:jc w:val="both"/>
        <w:rPr>
          <w:rFonts w:eastAsia="Georgia" w:cs="Arial"/>
          <w:sz w:val="22"/>
          <w:szCs w:val="22"/>
          <w:lang w:eastAsia="sl-SI"/>
        </w:rPr>
      </w:pPr>
      <w:r w:rsidRPr="00582F4F">
        <w:rPr>
          <w:rFonts w:eastAsia="Georgia" w:cs="Arial"/>
          <w:sz w:val="22"/>
          <w:szCs w:val="22"/>
          <w:lang w:eastAsia="sl-SI"/>
        </w:rPr>
        <w:t>Finančni instrumenti za urbani razvoj (financirani iz TC 6).</w:t>
      </w:r>
    </w:p>
    <w:p w14:paraId="0FEFD6B1" w14:textId="77777777" w:rsidR="004912DC" w:rsidRPr="000F166D" w:rsidRDefault="004912DC" w:rsidP="004912DC">
      <w:pPr>
        <w:spacing w:after="90"/>
        <w:jc w:val="both"/>
        <w:rPr>
          <w:rFonts w:eastAsia="Georgia" w:cs="Arial"/>
          <w:sz w:val="22"/>
          <w:szCs w:val="22"/>
        </w:rPr>
      </w:pPr>
    </w:p>
    <w:p w14:paraId="7F0C0363" w14:textId="77777777" w:rsidR="004912DC" w:rsidRPr="000F166D" w:rsidRDefault="004912DC" w:rsidP="004912DC">
      <w:pPr>
        <w:keepNext/>
        <w:keepLines/>
        <w:spacing w:before="40"/>
        <w:jc w:val="both"/>
        <w:outlineLvl w:val="3"/>
        <w:rPr>
          <w:rFonts w:eastAsia="Georgia" w:cs="Arial"/>
          <w:b/>
          <w:i/>
          <w:iCs/>
          <w:color w:val="2E74B5"/>
          <w:sz w:val="22"/>
          <w:lang w:eastAsia="sl-SI"/>
        </w:rPr>
      </w:pPr>
      <w:r w:rsidRPr="000F166D">
        <w:rPr>
          <w:rFonts w:eastAsia="Georgia" w:cs="Arial"/>
          <w:b/>
          <w:i/>
          <w:iCs/>
          <w:color w:val="2E74B5"/>
          <w:sz w:val="22"/>
          <w:lang w:eastAsia="sl-SI"/>
        </w:rPr>
        <w:t xml:space="preserve">3.2.1 Finančni instrument za RRI </w:t>
      </w:r>
    </w:p>
    <w:p w14:paraId="0AEAEAEC" w14:textId="77777777" w:rsidR="004912DC" w:rsidRPr="000F166D" w:rsidRDefault="004912DC" w:rsidP="004912DC">
      <w:pPr>
        <w:spacing w:after="147"/>
        <w:ind w:left="-15" w:right="257" w:firstLine="2"/>
        <w:jc w:val="both"/>
        <w:rPr>
          <w:rFonts w:eastAsia="Georgia" w:cs="Arial"/>
          <w:sz w:val="22"/>
          <w:szCs w:val="22"/>
          <w:lang w:eastAsia="sl-SI"/>
        </w:rPr>
      </w:pPr>
      <w:r w:rsidRPr="000F166D">
        <w:rPr>
          <w:rFonts w:eastAsia="Georgia" w:cs="Arial"/>
          <w:sz w:val="22"/>
          <w:szCs w:val="22"/>
          <w:lang w:eastAsia="sl-SI"/>
        </w:rPr>
        <w:t xml:space="preserve">Predlagani FI za RRI se osredotoča na zagotavljanje posojil za projekte na področju RRI za start-up podjetja, MSP ter velika podjetja. Pridobljene izkušnje drugih držav članic so opozorile na dejstvo, </w:t>
      </w:r>
      <w:r w:rsidRPr="000F166D">
        <w:rPr>
          <w:rFonts w:eastAsia="Georgia" w:cs="Arial"/>
          <w:sz w:val="22"/>
          <w:szCs w:val="22"/>
          <w:lang w:eastAsia="sl-SI"/>
        </w:rPr>
        <w:lastRenderedPageBreak/>
        <w:t xml:space="preserve">da sta za pozitivne rezultate pri takšnem FI potrebna dobro razvit sistem inovacij ter jasna struktura projektov. </w:t>
      </w:r>
    </w:p>
    <w:p w14:paraId="7143203F" w14:textId="77777777" w:rsidR="004912DC" w:rsidRPr="000F166D" w:rsidRDefault="004912DC" w:rsidP="004912DC">
      <w:pPr>
        <w:ind w:right="257"/>
        <w:jc w:val="both"/>
        <w:rPr>
          <w:rFonts w:eastAsia="Georgia" w:cs="Arial"/>
          <w:sz w:val="22"/>
          <w:lang w:eastAsia="sl-SI"/>
        </w:rPr>
      </w:pPr>
    </w:p>
    <w:p w14:paraId="3738F9CA" w14:textId="77777777" w:rsidR="004912DC" w:rsidRPr="000F166D" w:rsidRDefault="004912DC" w:rsidP="004912DC">
      <w:pPr>
        <w:keepNext/>
        <w:keepLines/>
        <w:spacing w:before="40"/>
        <w:jc w:val="both"/>
        <w:outlineLvl w:val="4"/>
        <w:rPr>
          <w:rFonts w:eastAsia="Georgia" w:cs="Arial"/>
          <w:color w:val="2E74B5"/>
          <w:sz w:val="22"/>
          <w:lang w:eastAsia="sl-SI"/>
        </w:rPr>
      </w:pPr>
      <w:r w:rsidRPr="000F166D">
        <w:rPr>
          <w:rFonts w:eastAsia="Georgia" w:cs="Arial"/>
          <w:color w:val="2E74B5"/>
          <w:sz w:val="22"/>
          <w:lang w:eastAsia="sl-SI"/>
        </w:rPr>
        <w:t xml:space="preserve">3.2.1.1 Posojila </w:t>
      </w:r>
      <w:r>
        <w:rPr>
          <w:rFonts w:eastAsia="Georgia" w:cs="Arial"/>
          <w:color w:val="2E74B5"/>
          <w:sz w:val="22"/>
          <w:lang w:eastAsia="sl-SI"/>
        </w:rPr>
        <w:t xml:space="preserve">za RRI </w:t>
      </w:r>
      <w:r w:rsidRPr="000F166D">
        <w:rPr>
          <w:rFonts w:eastAsia="Georgia" w:cs="Arial"/>
          <w:color w:val="2E74B5"/>
          <w:sz w:val="22"/>
          <w:lang w:eastAsia="sl-SI"/>
        </w:rPr>
        <w:t>za MSP in velika podjetja</w:t>
      </w:r>
    </w:p>
    <w:p w14:paraId="1FD37940" w14:textId="77777777" w:rsidR="004912DC" w:rsidRPr="000F166D" w:rsidRDefault="004912DC" w:rsidP="004912DC">
      <w:pPr>
        <w:ind w:left="-15" w:right="257" w:firstLine="2"/>
        <w:jc w:val="both"/>
        <w:rPr>
          <w:rFonts w:eastAsia="Georgia" w:cs="Arial"/>
          <w:sz w:val="22"/>
          <w:szCs w:val="22"/>
          <w:lang w:eastAsia="sl-SI"/>
        </w:rPr>
      </w:pPr>
      <w:r w:rsidRPr="000F166D">
        <w:rPr>
          <w:rFonts w:eastAsia="Georgia" w:cs="Arial"/>
          <w:sz w:val="22"/>
          <w:szCs w:val="22"/>
          <w:lang w:eastAsia="sl-SI"/>
        </w:rPr>
        <w:t>Za spodbujanje RRI se bodo izvajala ugodna posojila (dolge ročnosti, nizka obrestna mera</w:t>
      </w:r>
      <w:r>
        <w:rPr>
          <w:rFonts w:eastAsia="Georgia" w:cs="Arial"/>
          <w:sz w:val="22"/>
          <w:szCs w:val="22"/>
          <w:lang w:eastAsia="sl-SI"/>
        </w:rPr>
        <w:t>,</w:t>
      </w:r>
      <w:r w:rsidRPr="000F166D">
        <w:rPr>
          <w:rFonts w:eastAsia="Georgia" w:cs="Arial"/>
          <w:sz w:val="22"/>
          <w:szCs w:val="22"/>
          <w:lang w:eastAsia="sl-SI"/>
        </w:rPr>
        <w:t xml:space="preserve"> slabša zavarovanja) za inovativna start-up podjetja in MSP ter za velika podjetja. </w:t>
      </w:r>
    </w:p>
    <w:p w14:paraId="0EDF4EF1" w14:textId="77777777" w:rsidR="004912DC" w:rsidRPr="000F166D" w:rsidRDefault="004912DC" w:rsidP="004912DC">
      <w:pPr>
        <w:ind w:right="48"/>
        <w:jc w:val="both"/>
        <w:rPr>
          <w:rFonts w:eastAsia="Georgia" w:cs="Arial"/>
          <w:sz w:val="22"/>
          <w:szCs w:val="22"/>
        </w:rPr>
      </w:pPr>
    </w:p>
    <w:p w14:paraId="27E419FE" w14:textId="77777777" w:rsidR="004912DC" w:rsidRPr="000F166D" w:rsidRDefault="004912DC" w:rsidP="004912DC">
      <w:pPr>
        <w:ind w:right="48"/>
        <w:jc w:val="both"/>
        <w:rPr>
          <w:rFonts w:eastAsia="Georgia" w:cs="Arial"/>
          <w:sz w:val="22"/>
          <w:szCs w:val="22"/>
        </w:rPr>
      </w:pPr>
      <w:r w:rsidRPr="000F166D">
        <w:rPr>
          <w:rFonts w:eastAsia="Georgia" w:cs="Arial"/>
          <w:sz w:val="22"/>
          <w:szCs w:val="22"/>
        </w:rPr>
        <w:t xml:space="preserve">Za posojila je namenjenih </w:t>
      </w:r>
      <w:r>
        <w:rPr>
          <w:rFonts w:eastAsia="Georgia" w:cs="Arial"/>
          <w:b/>
          <w:sz w:val="22"/>
          <w:szCs w:val="22"/>
        </w:rPr>
        <w:t>6</w:t>
      </w:r>
      <w:r w:rsidRPr="000F166D">
        <w:rPr>
          <w:rFonts w:eastAsia="Georgia" w:cs="Arial"/>
          <w:b/>
          <w:sz w:val="22"/>
          <w:szCs w:val="22"/>
        </w:rPr>
        <w:t>8 mio EUR</w:t>
      </w:r>
      <w:r w:rsidRPr="000F166D">
        <w:rPr>
          <w:rFonts w:eastAsia="Georgia" w:cs="Arial"/>
          <w:sz w:val="22"/>
          <w:szCs w:val="22"/>
        </w:rPr>
        <w:t xml:space="preserve">, ki izhajajo iz TC 1: </w:t>
      </w:r>
    </w:p>
    <w:p w14:paraId="74C5DFB7" w14:textId="77777777" w:rsidR="004912DC" w:rsidRPr="000F166D" w:rsidRDefault="004912DC" w:rsidP="004912DC">
      <w:pPr>
        <w:numPr>
          <w:ilvl w:val="0"/>
          <w:numId w:val="34"/>
        </w:numPr>
        <w:spacing w:line="240" w:lineRule="auto"/>
        <w:jc w:val="both"/>
        <w:rPr>
          <w:rFonts w:eastAsia="Georgia" w:cs="Arial"/>
          <w:sz w:val="22"/>
          <w:szCs w:val="22"/>
        </w:rPr>
      </w:pPr>
      <w:r w:rsidRPr="000F166D">
        <w:rPr>
          <w:rFonts w:eastAsia="Georgia" w:cs="Arial"/>
          <w:sz w:val="22"/>
          <w:szCs w:val="22"/>
        </w:rPr>
        <w:t>2</w:t>
      </w:r>
      <w:r>
        <w:rPr>
          <w:rFonts w:eastAsia="Georgia" w:cs="Arial"/>
          <w:sz w:val="22"/>
          <w:szCs w:val="22"/>
        </w:rPr>
        <w:t>3</w:t>
      </w:r>
      <w:r w:rsidRPr="000F166D">
        <w:rPr>
          <w:rFonts w:eastAsia="Georgia" w:cs="Arial"/>
          <w:sz w:val="22"/>
          <w:szCs w:val="22"/>
        </w:rPr>
        <w:t xml:space="preserve"> mio EUR za velika podjetja; </w:t>
      </w:r>
    </w:p>
    <w:p w14:paraId="66246364" w14:textId="77777777" w:rsidR="004912DC" w:rsidRPr="000F166D" w:rsidRDefault="004912DC" w:rsidP="004912DC">
      <w:pPr>
        <w:numPr>
          <w:ilvl w:val="0"/>
          <w:numId w:val="34"/>
        </w:numPr>
        <w:spacing w:line="240" w:lineRule="auto"/>
        <w:jc w:val="both"/>
        <w:rPr>
          <w:rFonts w:eastAsia="Georgia" w:cs="Arial"/>
          <w:sz w:val="22"/>
          <w:szCs w:val="22"/>
        </w:rPr>
      </w:pPr>
      <w:r>
        <w:rPr>
          <w:rFonts w:eastAsia="Georgia" w:cs="Arial"/>
          <w:sz w:val="22"/>
          <w:szCs w:val="22"/>
        </w:rPr>
        <w:t>45</w:t>
      </w:r>
      <w:r w:rsidRPr="000F166D">
        <w:rPr>
          <w:rFonts w:eastAsia="Georgia" w:cs="Arial"/>
          <w:sz w:val="22"/>
          <w:szCs w:val="22"/>
        </w:rPr>
        <w:t xml:space="preserve"> mio EUR za MSP. </w:t>
      </w:r>
    </w:p>
    <w:p w14:paraId="1D05F388" w14:textId="77777777" w:rsidR="004912DC" w:rsidRPr="000F166D" w:rsidRDefault="004912DC" w:rsidP="004912DC">
      <w:pPr>
        <w:ind w:left="-15" w:right="257" w:firstLine="2"/>
        <w:jc w:val="both"/>
        <w:rPr>
          <w:rFonts w:eastAsia="Georgia" w:cs="Arial"/>
          <w:sz w:val="22"/>
          <w:szCs w:val="22"/>
          <w:lang w:eastAsia="sl-SI"/>
        </w:rPr>
      </w:pPr>
      <w:r w:rsidRPr="000F166D">
        <w:rPr>
          <w:rFonts w:eastAsia="Georgia" w:cs="Arial"/>
          <w:b/>
          <w:sz w:val="22"/>
          <w:szCs w:val="22"/>
        </w:rPr>
        <w:t xml:space="preserve"> </w:t>
      </w:r>
    </w:p>
    <w:p w14:paraId="085C7A15" w14:textId="77777777" w:rsidR="004912DC" w:rsidRDefault="004912DC" w:rsidP="004912DC">
      <w:pPr>
        <w:ind w:left="-15" w:right="257" w:firstLine="2"/>
        <w:jc w:val="both"/>
        <w:rPr>
          <w:rFonts w:eastAsia="Georgia" w:cs="Arial"/>
          <w:sz w:val="22"/>
          <w:szCs w:val="22"/>
          <w:lang w:eastAsia="sl-SI"/>
        </w:rPr>
      </w:pPr>
      <w:r w:rsidRPr="000F166D">
        <w:rPr>
          <w:rFonts w:eastAsia="Georgia" w:cs="Arial"/>
          <w:sz w:val="22"/>
          <w:szCs w:val="22"/>
          <w:lang w:eastAsia="sl-SI"/>
        </w:rPr>
        <w:t>Pričakovani učinek finančnega vzvoda je 1,5 do 2,5.</w:t>
      </w:r>
    </w:p>
    <w:p w14:paraId="5EC42AA7" w14:textId="77777777" w:rsidR="004912DC" w:rsidRPr="000F166D" w:rsidRDefault="004912DC" w:rsidP="004912DC">
      <w:pPr>
        <w:ind w:left="-15" w:right="257" w:firstLine="2"/>
        <w:jc w:val="both"/>
        <w:rPr>
          <w:rFonts w:eastAsia="Georgia" w:cs="Arial"/>
          <w:sz w:val="22"/>
          <w:szCs w:val="22"/>
          <w:lang w:eastAsia="sl-SI"/>
        </w:rPr>
      </w:pPr>
    </w:p>
    <w:p w14:paraId="26A53D42" w14:textId="7E7FF779" w:rsidR="004912DC" w:rsidRPr="000F166D" w:rsidRDefault="004912DC" w:rsidP="004912DC">
      <w:pPr>
        <w:ind w:left="-5" w:hanging="10"/>
        <w:jc w:val="both"/>
        <w:rPr>
          <w:rFonts w:eastAsia="Georgia" w:cs="Arial"/>
          <w:sz w:val="22"/>
          <w:szCs w:val="22"/>
          <w:lang w:eastAsia="sl-SI"/>
        </w:rPr>
      </w:pPr>
      <w:r w:rsidRPr="0071594E">
        <w:rPr>
          <w:rFonts w:eastAsia="Georgia" w:cs="Arial"/>
          <w:sz w:val="22"/>
          <w:szCs w:val="22"/>
        </w:rPr>
        <w:t>Posojila lahko pokrivajo investicije (opredmetene in neopredmetene)</w:t>
      </w:r>
      <w:r w:rsidRPr="000F166D">
        <w:rPr>
          <w:rFonts w:eastAsia="Georgia" w:cs="Arial"/>
          <w:sz w:val="22"/>
          <w:szCs w:val="22"/>
        </w:rPr>
        <w:t>.</w:t>
      </w:r>
    </w:p>
    <w:p w14:paraId="2C2BD8BB" w14:textId="77777777" w:rsidR="004912DC" w:rsidRPr="000F166D" w:rsidRDefault="004912DC" w:rsidP="004912DC">
      <w:pPr>
        <w:ind w:left="-15" w:right="257" w:firstLine="2"/>
        <w:jc w:val="both"/>
        <w:rPr>
          <w:rFonts w:eastAsia="Georgia" w:cs="Arial"/>
          <w:sz w:val="22"/>
          <w:szCs w:val="22"/>
          <w:lang w:eastAsia="sl-SI"/>
        </w:rPr>
      </w:pPr>
    </w:p>
    <w:p w14:paraId="292649EA" w14:textId="77777777" w:rsidR="004912DC" w:rsidRPr="000F166D" w:rsidRDefault="004912DC" w:rsidP="004912DC">
      <w:pPr>
        <w:ind w:left="-15" w:right="257" w:firstLine="2"/>
        <w:jc w:val="both"/>
        <w:rPr>
          <w:rFonts w:eastAsia="Georgia" w:cs="Arial"/>
          <w:sz w:val="22"/>
          <w:szCs w:val="22"/>
          <w:lang w:eastAsia="sl-SI"/>
        </w:rPr>
      </w:pPr>
      <w:r w:rsidRPr="000F166D">
        <w:rPr>
          <w:rFonts w:eastAsia="Georgia" w:cs="Arial"/>
          <w:sz w:val="22"/>
          <w:szCs w:val="22"/>
          <w:lang w:eastAsia="sl-SI"/>
        </w:rPr>
        <w:t xml:space="preserve">Državne pomoči: </w:t>
      </w:r>
      <w:r w:rsidRPr="000F166D">
        <w:rPr>
          <w:rFonts w:eastAsia="Georgia" w:cs="Arial"/>
          <w:sz w:val="22"/>
          <w:szCs w:val="22"/>
        </w:rPr>
        <w:t>krediti se presojajo skladno z relevantno shemo državne pomoči ali pomoči de minimis</w:t>
      </w:r>
      <w:r w:rsidRPr="000F166D">
        <w:rPr>
          <w:rFonts w:eastAsia="Georgia" w:cs="Arial"/>
          <w:sz w:val="22"/>
          <w:szCs w:val="22"/>
          <w:lang w:eastAsia="sl-SI"/>
        </w:rPr>
        <w:t>.</w:t>
      </w:r>
    </w:p>
    <w:p w14:paraId="3CEE5087" w14:textId="77777777" w:rsidR="004912DC" w:rsidRPr="000F166D" w:rsidRDefault="004912DC" w:rsidP="004912DC">
      <w:pPr>
        <w:ind w:left="-15" w:right="257" w:firstLine="2"/>
        <w:jc w:val="both"/>
        <w:rPr>
          <w:rFonts w:eastAsia="Georgia" w:cs="Arial"/>
          <w:sz w:val="22"/>
          <w:szCs w:val="22"/>
          <w:lang w:eastAsia="sl-SI"/>
        </w:rPr>
      </w:pPr>
    </w:p>
    <w:p w14:paraId="1D941F91" w14:textId="77777777" w:rsidR="004912DC" w:rsidRPr="000F166D" w:rsidRDefault="004912DC" w:rsidP="004912DC">
      <w:pPr>
        <w:ind w:left="-15" w:right="257" w:firstLine="2"/>
        <w:jc w:val="both"/>
        <w:rPr>
          <w:rFonts w:eastAsia="Georgia" w:cs="Arial"/>
          <w:sz w:val="22"/>
          <w:szCs w:val="22"/>
          <w:lang w:eastAsia="sl-SI"/>
        </w:rPr>
      </w:pPr>
      <w:r w:rsidRPr="000F166D">
        <w:rPr>
          <w:rFonts w:eastAsia="Georgia" w:cs="Arial"/>
          <w:sz w:val="22"/>
          <w:szCs w:val="22"/>
          <w:lang w:eastAsia="sl-SI"/>
        </w:rPr>
        <w:t>Ciljne skupine:</w:t>
      </w:r>
    </w:p>
    <w:p w14:paraId="568BACF4" w14:textId="77777777" w:rsidR="004912DC" w:rsidRPr="000F166D" w:rsidRDefault="004912DC" w:rsidP="004912DC">
      <w:pPr>
        <w:numPr>
          <w:ilvl w:val="0"/>
          <w:numId w:val="35"/>
        </w:numPr>
        <w:spacing w:line="240" w:lineRule="auto"/>
        <w:jc w:val="both"/>
        <w:rPr>
          <w:rFonts w:eastAsia="Georgia" w:cs="Arial"/>
          <w:sz w:val="22"/>
          <w:szCs w:val="22"/>
        </w:rPr>
      </w:pPr>
      <w:r w:rsidRPr="000F166D">
        <w:rPr>
          <w:rFonts w:eastAsia="Georgia" w:cs="Arial"/>
          <w:sz w:val="22"/>
          <w:szCs w:val="22"/>
        </w:rPr>
        <w:t>Inovativna start-up podjetja, MSP in velika podjetja.</w:t>
      </w:r>
    </w:p>
    <w:p w14:paraId="4776FE15" w14:textId="77777777" w:rsidR="004912DC" w:rsidRPr="000F166D" w:rsidRDefault="004912DC" w:rsidP="004912DC">
      <w:pPr>
        <w:jc w:val="both"/>
        <w:rPr>
          <w:rFonts w:eastAsia="Georgia" w:cs="Arial"/>
          <w:sz w:val="22"/>
          <w:szCs w:val="22"/>
        </w:rPr>
      </w:pPr>
    </w:p>
    <w:p w14:paraId="3AFE459E" w14:textId="77777777" w:rsidR="004912DC" w:rsidRPr="000F166D" w:rsidRDefault="004912DC" w:rsidP="004912DC">
      <w:pPr>
        <w:jc w:val="both"/>
        <w:rPr>
          <w:rFonts w:eastAsia="Georgia" w:cs="Arial"/>
          <w:sz w:val="22"/>
          <w:szCs w:val="22"/>
        </w:rPr>
      </w:pPr>
      <w:r w:rsidRPr="000F166D">
        <w:rPr>
          <w:rFonts w:eastAsia="Georgia" w:cs="Arial"/>
          <w:sz w:val="22"/>
          <w:szCs w:val="22"/>
        </w:rPr>
        <w:t>Cilji:</w:t>
      </w:r>
    </w:p>
    <w:p w14:paraId="47C19E02" w14:textId="77777777" w:rsidR="004912DC" w:rsidRPr="000F166D" w:rsidRDefault="004912DC" w:rsidP="004912DC">
      <w:pPr>
        <w:numPr>
          <w:ilvl w:val="0"/>
          <w:numId w:val="35"/>
        </w:numPr>
        <w:spacing w:line="240" w:lineRule="auto"/>
        <w:jc w:val="both"/>
        <w:rPr>
          <w:rFonts w:eastAsia="Georgia" w:cs="Arial"/>
          <w:sz w:val="22"/>
          <w:szCs w:val="22"/>
        </w:rPr>
      </w:pPr>
      <w:r w:rsidRPr="000F166D">
        <w:rPr>
          <w:rFonts w:eastAsia="Georgia" w:cs="Arial"/>
          <w:sz w:val="22"/>
          <w:szCs w:val="22"/>
        </w:rPr>
        <w:t xml:space="preserve">Podpora za start-up podjetja, MSP ter velika podjetja z inovativnim projektom, naj bo podjetje v semenski fazi, fazi oblikovanja in/ali fazi razvoja (mogoče je tudi financiranje razvoja, čeprav je poudarek na semenski fazi in fazi oblikovanja); </w:t>
      </w:r>
    </w:p>
    <w:p w14:paraId="69D783DF" w14:textId="77777777" w:rsidR="004912DC" w:rsidRPr="000F166D" w:rsidRDefault="004912DC" w:rsidP="004912DC">
      <w:pPr>
        <w:numPr>
          <w:ilvl w:val="0"/>
          <w:numId w:val="35"/>
        </w:numPr>
        <w:spacing w:line="240" w:lineRule="auto"/>
        <w:jc w:val="both"/>
        <w:rPr>
          <w:rFonts w:eastAsia="Georgia" w:cs="Arial"/>
          <w:sz w:val="22"/>
          <w:szCs w:val="22"/>
        </w:rPr>
      </w:pPr>
      <w:r w:rsidRPr="000F166D">
        <w:rPr>
          <w:rFonts w:eastAsia="Georgia" w:cs="Arial"/>
          <w:sz w:val="22"/>
          <w:szCs w:val="22"/>
        </w:rPr>
        <w:t xml:space="preserve">Financiranje inovativnih start-up podjetij, MSP in velikih podjetij, ki si upajo tvegati; </w:t>
      </w:r>
    </w:p>
    <w:p w14:paraId="0BEAF75A" w14:textId="77777777" w:rsidR="004912DC" w:rsidRPr="000F166D" w:rsidRDefault="004912DC" w:rsidP="004912DC">
      <w:pPr>
        <w:numPr>
          <w:ilvl w:val="0"/>
          <w:numId w:val="35"/>
        </w:numPr>
        <w:spacing w:line="240" w:lineRule="auto"/>
        <w:jc w:val="both"/>
        <w:rPr>
          <w:rFonts w:eastAsia="Georgia" w:cs="Arial"/>
          <w:sz w:val="22"/>
          <w:szCs w:val="22"/>
        </w:rPr>
      </w:pPr>
      <w:r w:rsidRPr="000F166D">
        <w:rPr>
          <w:rFonts w:eastAsia="Georgia" w:cs="Arial"/>
          <w:sz w:val="22"/>
          <w:szCs w:val="22"/>
        </w:rPr>
        <w:t xml:space="preserve">Financiranje opredmetenih in neopredmetenih investicij (saj je financiranje neopredmetenih investicij za MSP lahko težavno); </w:t>
      </w:r>
    </w:p>
    <w:p w14:paraId="501FFC67" w14:textId="77777777" w:rsidR="004912DC" w:rsidRPr="000F166D" w:rsidRDefault="004912DC" w:rsidP="004912DC">
      <w:pPr>
        <w:numPr>
          <w:ilvl w:val="0"/>
          <w:numId w:val="35"/>
        </w:numPr>
        <w:spacing w:line="240" w:lineRule="auto"/>
        <w:jc w:val="both"/>
        <w:rPr>
          <w:rFonts w:eastAsia="Georgia" w:cs="Arial"/>
          <w:sz w:val="22"/>
          <w:szCs w:val="22"/>
        </w:rPr>
      </w:pPr>
      <w:r w:rsidRPr="000F166D">
        <w:rPr>
          <w:rFonts w:eastAsia="Georgia" w:cs="Arial"/>
          <w:sz w:val="22"/>
          <w:szCs w:val="22"/>
        </w:rPr>
        <w:t xml:space="preserve">Zagotavljanje delitve tveganja s finančnim posrednikom (kar omogoča približno 2x vzvod); </w:t>
      </w:r>
    </w:p>
    <w:p w14:paraId="7622EAE9" w14:textId="77777777" w:rsidR="004912DC" w:rsidRPr="000F166D" w:rsidRDefault="004912DC" w:rsidP="004912DC">
      <w:pPr>
        <w:numPr>
          <w:ilvl w:val="0"/>
          <w:numId w:val="35"/>
        </w:numPr>
        <w:spacing w:line="240" w:lineRule="auto"/>
        <w:jc w:val="both"/>
        <w:rPr>
          <w:rFonts w:eastAsia="Georgia" w:cs="Arial"/>
          <w:sz w:val="22"/>
          <w:szCs w:val="22"/>
        </w:rPr>
      </w:pPr>
      <w:r w:rsidRPr="000F166D">
        <w:rPr>
          <w:rFonts w:eastAsia="Georgia" w:cs="Arial"/>
          <w:sz w:val="22"/>
          <w:szCs w:val="22"/>
        </w:rPr>
        <w:t xml:space="preserve">Dopolnitev obstoječega financiranja, ki je namenjeno inovacijam; </w:t>
      </w:r>
    </w:p>
    <w:p w14:paraId="349AD146" w14:textId="77777777" w:rsidR="004912DC" w:rsidRPr="000F166D" w:rsidRDefault="004912DC" w:rsidP="004912DC">
      <w:pPr>
        <w:numPr>
          <w:ilvl w:val="0"/>
          <w:numId w:val="35"/>
        </w:numPr>
        <w:spacing w:line="240" w:lineRule="auto"/>
        <w:jc w:val="both"/>
        <w:rPr>
          <w:rFonts w:eastAsia="Georgia" w:cs="Arial"/>
          <w:sz w:val="22"/>
          <w:szCs w:val="22"/>
        </w:rPr>
      </w:pPr>
      <w:r w:rsidRPr="000F166D">
        <w:rPr>
          <w:rFonts w:eastAsia="Georgia" w:cs="Arial"/>
          <w:sz w:val="22"/>
          <w:szCs w:val="22"/>
        </w:rPr>
        <w:t>Zmanjšanje specifičnih težav ciljnih skupin in končnih prejemnikov pri dostopanju do financiranja, saj se finančni instituciji njihov projekt zdi preveč tvegan/bančno neprimeren.</w:t>
      </w:r>
    </w:p>
    <w:p w14:paraId="325B422C" w14:textId="77777777" w:rsidR="004912DC" w:rsidRPr="000F166D" w:rsidRDefault="004912DC" w:rsidP="004912DC">
      <w:pPr>
        <w:ind w:right="257"/>
        <w:jc w:val="both"/>
        <w:rPr>
          <w:rFonts w:eastAsia="Georgia" w:cs="Arial"/>
          <w:sz w:val="22"/>
          <w:szCs w:val="22"/>
          <w:lang w:eastAsia="sl-SI"/>
        </w:rPr>
      </w:pPr>
    </w:p>
    <w:p w14:paraId="7206605B" w14:textId="77777777" w:rsidR="004912DC" w:rsidRPr="000F166D" w:rsidRDefault="004912DC" w:rsidP="004912DC">
      <w:pPr>
        <w:ind w:left="-15" w:right="257" w:firstLine="2"/>
        <w:jc w:val="both"/>
        <w:rPr>
          <w:rFonts w:eastAsia="Georgia" w:cs="Arial"/>
          <w:sz w:val="22"/>
          <w:szCs w:val="22"/>
          <w:lang w:eastAsia="sl-SI"/>
        </w:rPr>
      </w:pPr>
      <w:r w:rsidRPr="000F166D">
        <w:rPr>
          <w:rFonts w:eastAsia="Georgia" w:cs="Arial"/>
          <w:sz w:val="22"/>
          <w:szCs w:val="22"/>
          <w:lang w:eastAsia="sl-SI"/>
        </w:rPr>
        <w:t>Kazalniki:</w:t>
      </w:r>
    </w:p>
    <w:p w14:paraId="79AB831C" w14:textId="77777777" w:rsidR="004912DC" w:rsidRPr="000F166D" w:rsidRDefault="004912DC" w:rsidP="004912DC">
      <w:pPr>
        <w:numPr>
          <w:ilvl w:val="0"/>
          <w:numId w:val="35"/>
        </w:numPr>
        <w:spacing w:line="240" w:lineRule="auto"/>
        <w:jc w:val="both"/>
        <w:rPr>
          <w:rFonts w:eastAsia="Georgia" w:cs="Arial"/>
          <w:sz w:val="22"/>
          <w:szCs w:val="22"/>
        </w:rPr>
      </w:pPr>
      <w:r w:rsidRPr="000F166D">
        <w:rPr>
          <w:rFonts w:eastAsia="Georgia" w:cs="Arial"/>
          <w:sz w:val="22"/>
          <w:szCs w:val="22"/>
        </w:rPr>
        <w:t>Število podprtih podjetij (z razdelitvijo na MSP in velika podjetja) in podjetnikov,</w:t>
      </w:r>
    </w:p>
    <w:p w14:paraId="43D1B358" w14:textId="77777777" w:rsidR="004912DC" w:rsidRPr="000F166D" w:rsidRDefault="004912DC" w:rsidP="004912DC">
      <w:pPr>
        <w:numPr>
          <w:ilvl w:val="0"/>
          <w:numId w:val="35"/>
        </w:numPr>
        <w:spacing w:line="240" w:lineRule="auto"/>
        <w:jc w:val="both"/>
        <w:rPr>
          <w:rFonts w:eastAsia="Georgia" w:cs="Arial"/>
          <w:sz w:val="22"/>
          <w:szCs w:val="22"/>
        </w:rPr>
      </w:pPr>
      <w:r w:rsidRPr="000F166D">
        <w:rPr>
          <w:rFonts w:eastAsia="Georgia" w:cs="Arial"/>
          <w:sz w:val="22"/>
          <w:szCs w:val="22"/>
        </w:rPr>
        <w:t>Skupni znesek, ki je dodeljen MSP in velikim podjetjem,</w:t>
      </w:r>
    </w:p>
    <w:p w14:paraId="5EDA1FA4" w14:textId="77777777" w:rsidR="004912DC" w:rsidRPr="000F166D" w:rsidRDefault="004912DC" w:rsidP="004912DC">
      <w:pPr>
        <w:numPr>
          <w:ilvl w:val="0"/>
          <w:numId w:val="35"/>
        </w:numPr>
        <w:spacing w:line="240" w:lineRule="auto"/>
        <w:jc w:val="both"/>
        <w:rPr>
          <w:rFonts w:eastAsia="Georgia" w:cs="Arial"/>
          <w:sz w:val="22"/>
          <w:szCs w:val="22"/>
        </w:rPr>
      </w:pPr>
      <w:r w:rsidRPr="000F166D">
        <w:rPr>
          <w:rFonts w:eastAsia="Georgia" w:cs="Arial"/>
          <w:sz w:val="22"/>
          <w:szCs w:val="22"/>
        </w:rPr>
        <w:t>Učinek finančnega vzvoda.</w:t>
      </w:r>
    </w:p>
    <w:p w14:paraId="70FCCD43" w14:textId="77777777" w:rsidR="004912DC" w:rsidRPr="000F166D" w:rsidRDefault="004912DC" w:rsidP="004912DC">
      <w:pPr>
        <w:ind w:right="14"/>
        <w:jc w:val="both"/>
        <w:rPr>
          <w:rFonts w:eastAsia="Georgia" w:cs="Arial"/>
          <w:sz w:val="22"/>
          <w:lang w:eastAsia="sl-SI"/>
        </w:rPr>
      </w:pPr>
    </w:p>
    <w:p w14:paraId="2D5B78C1" w14:textId="77777777" w:rsidR="004912DC" w:rsidRPr="000F166D" w:rsidRDefault="004912DC" w:rsidP="004912DC">
      <w:pPr>
        <w:keepNext/>
        <w:keepLines/>
        <w:spacing w:before="40"/>
        <w:jc w:val="both"/>
        <w:outlineLvl w:val="4"/>
        <w:rPr>
          <w:rFonts w:eastAsia="Georgia" w:cs="Arial"/>
          <w:color w:val="2E74B5"/>
          <w:sz w:val="22"/>
          <w:lang w:eastAsia="sl-SI"/>
        </w:rPr>
      </w:pPr>
      <w:r w:rsidRPr="000F166D">
        <w:rPr>
          <w:rFonts w:eastAsia="Georgia" w:cs="Arial"/>
          <w:color w:val="2E74B5"/>
          <w:sz w:val="22"/>
          <w:lang w:eastAsia="sl-SI"/>
        </w:rPr>
        <w:t xml:space="preserve">3.2.1.2 Portfeljske garancije za podporo </w:t>
      </w:r>
      <w:r>
        <w:rPr>
          <w:rFonts w:eastAsia="Georgia" w:cs="Arial"/>
          <w:color w:val="2E74B5"/>
          <w:sz w:val="22"/>
          <w:lang w:eastAsia="sl-SI"/>
        </w:rPr>
        <w:t xml:space="preserve">RRI v </w:t>
      </w:r>
      <w:r w:rsidRPr="000F166D">
        <w:rPr>
          <w:rFonts w:eastAsia="Georgia" w:cs="Arial"/>
          <w:color w:val="2E74B5"/>
          <w:sz w:val="22"/>
          <w:lang w:eastAsia="sl-SI"/>
        </w:rPr>
        <w:t>MSP</w:t>
      </w:r>
    </w:p>
    <w:p w14:paraId="29344FDE" w14:textId="77777777" w:rsidR="004912DC" w:rsidRPr="000F166D" w:rsidRDefault="004912DC" w:rsidP="004912DC">
      <w:pPr>
        <w:ind w:right="14"/>
        <w:jc w:val="both"/>
        <w:rPr>
          <w:rFonts w:eastAsia="Georgia" w:cs="Arial"/>
          <w:sz w:val="22"/>
          <w:szCs w:val="22"/>
          <w:lang w:eastAsia="sl-SI"/>
        </w:rPr>
      </w:pPr>
      <w:r w:rsidRPr="000F166D">
        <w:rPr>
          <w:rFonts w:eastAsia="Georgia" w:cs="Arial"/>
          <w:sz w:val="22"/>
          <w:szCs w:val="22"/>
          <w:lang w:eastAsia="sl-SI"/>
        </w:rPr>
        <w:t>Namen portfeljskih garancij je zagotovitev koristi za končnega prejemnika (podjetje), da (i) zmanjša maksimalno raven zavarovanja, ki jo od podjetij zahteva komercialna banka, (ii) zmanjša obrestne mere, ki je zahtevana pri posojilu, (iii) manjši stroški garancije od tržnih stroškov in (iv) možnost za obdobje odloga vračanja posojila, ki je daljše od tistega, ki ga običajno določi trg.</w:t>
      </w:r>
    </w:p>
    <w:p w14:paraId="56E8C3A0" w14:textId="77777777" w:rsidR="004912DC" w:rsidRPr="000F166D" w:rsidRDefault="004912DC" w:rsidP="004912DC">
      <w:pPr>
        <w:ind w:right="47"/>
        <w:jc w:val="both"/>
        <w:rPr>
          <w:rFonts w:eastAsia="Georgia" w:cs="Arial"/>
          <w:sz w:val="22"/>
          <w:szCs w:val="22"/>
        </w:rPr>
      </w:pPr>
    </w:p>
    <w:p w14:paraId="3AA5B202" w14:textId="77777777" w:rsidR="004912DC" w:rsidRPr="000F166D" w:rsidRDefault="004912DC" w:rsidP="004912DC">
      <w:pPr>
        <w:ind w:right="47"/>
        <w:jc w:val="both"/>
        <w:rPr>
          <w:rFonts w:eastAsia="Georgia" w:cs="Arial"/>
          <w:sz w:val="22"/>
          <w:szCs w:val="22"/>
        </w:rPr>
      </w:pPr>
      <w:r w:rsidRPr="000F166D">
        <w:rPr>
          <w:rFonts w:eastAsia="Georgia" w:cs="Arial"/>
          <w:sz w:val="22"/>
          <w:szCs w:val="22"/>
        </w:rPr>
        <w:t xml:space="preserve">Ta produkt bo zagotovljen v okviru instrumenta za porazdelitev tveganj, kjer del tveganja prevzema tudi kreditodajalec. Portfeljska garancija bo zagotovljena vnaprej kreditodajalcu. Garancija bo lahko </w:t>
      </w:r>
      <w:r w:rsidRPr="000F166D">
        <w:rPr>
          <w:rFonts w:eastAsia="Georgia" w:cs="Arial"/>
          <w:sz w:val="22"/>
          <w:szCs w:val="22"/>
        </w:rPr>
        <w:lastRenderedPageBreak/>
        <w:t xml:space="preserve">krila morebitne izgube kreditodajalca (izgube, ki so povezane z neplačevanjem glavnice in/ali obresti posojila). </w:t>
      </w:r>
    </w:p>
    <w:p w14:paraId="01AACB40" w14:textId="77777777" w:rsidR="004912DC" w:rsidRPr="000F166D" w:rsidRDefault="004912DC" w:rsidP="004912DC">
      <w:pPr>
        <w:ind w:right="47"/>
        <w:jc w:val="both"/>
        <w:rPr>
          <w:rFonts w:eastAsia="Georgia" w:cs="Arial"/>
          <w:sz w:val="22"/>
          <w:szCs w:val="22"/>
        </w:rPr>
      </w:pPr>
    </w:p>
    <w:p w14:paraId="10440588" w14:textId="77777777" w:rsidR="004912DC" w:rsidRPr="000F166D" w:rsidRDefault="004912DC" w:rsidP="004912DC">
      <w:pPr>
        <w:ind w:right="47"/>
        <w:jc w:val="both"/>
        <w:rPr>
          <w:rFonts w:eastAsia="Georgia" w:cs="Arial"/>
          <w:sz w:val="22"/>
          <w:szCs w:val="22"/>
        </w:rPr>
      </w:pPr>
      <w:r w:rsidRPr="000F166D">
        <w:rPr>
          <w:rFonts w:eastAsia="Georgia" w:cs="Arial"/>
          <w:sz w:val="22"/>
          <w:szCs w:val="22"/>
        </w:rPr>
        <w:t xml:space="preserve">Portfeljske garancije bodo pokrile izgube portfelja podjetij, ki ga je ustvaril izbrani kreditodajalec. Te ugodnosti, dodeljene kreditodajalcu (tj. komercialna banka), se bodo na ciljne skupine prenesle kot nižje zahteve po zavarovanju, nižje obrestne mere, daljše obdobje odplačevanja in daljše obdobje odloga plačevanja. To bo obravnavano v teku pogajanj s kreditodajalcem. </w:t>
      </w:r>
    </w:p>
    <w:p w14:paraId="1C94FD7D" w14:textId="77777777" w:rsidR="004912DC" w:rsidRPr="000F166D" w:rsidRDefault="004912DC" w:rsidP="004912DC">
      <w:pPr>
        <w:ind w:right="47"/>
        <w:jc w:val="both"/>
        <w:rPr>
          <w:rFonts w:eastAsia="Georgia" w:cs="Arial"/>
          <w:sz w:val="22"/>
          <w:szCs w:val="22"/>
        </w:rPr>
      </w:pPr>
    </w:p>
    <w:p w14:paraId="1ACD6F0B" w14:textId="6997E6C8" w:rsidR="004912DC" w:rsidRPr="000F166D" w:rsidRDefault="004912DC" w:rsidP="004912DC">
      <w:pPr>
        <w:ind w:right="47"/>
        <w:jc w:val="both"/>
        <w:rPr>
          <w:rFonts w:eastAsia="Georgia" w:cs="Arial"/>
          <w:sz w:val="22"/>
          <w:szCs w:val="22"/>
        </w:rPr>
      </w:pPr>
      <w:r w:rsidRPr="000F166D">
        <w:rPr>
          <w:rFonts w:eastAsia="Georgia" w:cs="Arial"/>
          <w:sz w:val="22"/>
          <w:szCs w:val="22"/>
        </w:rPr>
        <w:t>Portfeljske garancije pokrivajo (i) naložbeno financiranje (osnovna sredstva</w:t>
      </w:r>
      <w:r w:rsidR="00E97B14">
        <w:rPr>
          <w:rFonts w:eastAsia="Georgia" w:cs="Arial"/>
          <w:sz w:val="22"/>
          <w:szCs w:val="22"/>
        </w:rPr>
        <w:t>) in (ii) financiranje obratnega</w:t>
      </w:r>
      <w:r w:rsidRPr="000F166D">
        <w:rPr>
          <w:rFonts w:eastAsia="Georgia" w:cs="Arial"/>
          <w:sz w:val="22"/>
          <w:szCs w:val="22"/>
        </w:rPr>
        <w:t xml:space="preserve"> </w:t>
      </w:r>
      <w:r w:rsidR="00E97B14">
        <w:rPr>
          <w:rFonts w:eastAsia="Georgia" w:cs="Arial"/>
          <w:sz w:val="22"/>
          <w:szCs w:val="22"/>
        </w:rPr>
        <w:t>kapitala</w:t>
      </w:r>
      <w:r w:rsidRPr="000F166D">
        <w:rPr>
          <w:rFonts w:eastAsia="Georgia" w:cs="Arial"/>
          <w:sz w:val="22"/>
          <w:szCs w:val="22"/>
        </w:rPr>
        <w:t xml:space="preserve"> (podpora za obratn</w:t>
      </w:r>
      <w:r w:rsidR="00E97B14">
        <w:rPr>
          <w:rFonts w:eastAsia="Georgia" w:cs="Arial"/>
          <w:sz w:val="22"/>
          <w:szCs w:val="22"/>
        </w:rPr>
        <w:t>i</w:t>
      </w:r>
      <w:r w:rsidRPr="000F166D">
        <w:rPr>
          <w:rFonts w:eastAsia="Georgia" w:cs="Arial"/>
          <w:sz w:val="22"/>
          <w:szCs w:val="22"/>
        </w:rPr>
        <w:t xml:space="preserve"> </w:t>
      </w:r>
      <w:r w:rsidR="00E97B14">
        <w:rPr>
          <w:rFonts w:eastAsia="Georgia" w:cs="Arial"/>
          <w:sz w:val="22"/>
          <w:szCs w:val="22"/>
        </w:rPr>
        <w:t>kapital</w:t>
      </w:r>
      <w:r w:rsidRPr="000F166D">
        <w:rPr>
          <w:rFonts w:eastAsia="Georgia" w:cs="Arial"/>
          <w:sz w:val="22"/>
          <w:szCs w:val="22"/>
        </w:rPr>
        <w:t xml:space="preserve"> mogoča le v povezavi z investicijami). </w:t>
      </w:r>
    </w:p>
    <w:p w14:paraId="5629A92D" w14:textId="77777777" w:rsidR="004912DC" w:rsidRPr="000F166D" w:rsidRDefault="004912DC" w:rsidP="004912DC">
      <w:pPr>
        <w:ind w:right="14"/>
        <w:jc w:val="both"/>
        <w:rPr>
          <w:rFonts w:eastAsia="Georgia" w:cs="Arial"/>
          <w:sz w:val="22"/>
          <w:szCs w:val="22"/>
          <w:lang w:eastAsia="sl-SI"/>
        </w:rPr>
      </w:pPr>
    </w:p>
    <w:p w14:paraId="174BF552" w14:textId="77777777" w:rsidR="004912DC" w:rsidRPr="000F166D" w:rsidRDefault="004912DC" w:rsidP="004912DC">
      <w:pPr>
        <w:ind w:right="14"/>
        <w:jc w:val="both"/>
        <w:rPr>
          <w:rFonts w:eastAsia="Georgia" w:cs="Arial"/>
          <w:sz w:val="22"/>
          <w:szCs w:val="22"/>
          <w:lang w:eastAsia="sl-SI"/>
        </w:rPr>
      </w:pPr>
      <w:r w:rsidRPr="000F166D">
        <w:rPr>
          <w:rFonts w:eastAsia="Georgia" w:cs="Arial"/>
          <w:sz w:val="22"/>
          <w:szCs w:val="22"/>
          <w:lang w:eastAsia="sl-SI"/>
        </w:rPr>
        <w:t xml:space="preserve">Predvidena je izdaja portfeljskih garancij v višini </w:t>
      </w:r>
      <w:r>
        <w:rPr>
          <w:rFonts w:eastAsia="Georgia" w:cs="Arial"/>
          <w:b/>
          <w:sz w:val="22"/>
          <w:szCs w:val="22"/>
          <w:lang w:eastAsia="sl-SI"/>
        </w:rPr>
        <w:t>2</w:t>
      </w:r>
      <w:r w:rsidRPr="000F166D">
        <w:rPr>
          <w:rFonts w:eastAsia="Georgia" w:cs="Arial"/>
          <w:b/>
          <w:sz w:val="22"/>
          <w:szCs w:val="22"/>
          <w:lang w:eastAsia="sl-SI"/>
        </w:rPr>
        <w:t>0 mio EUR</w:t>
      </w:r>
      <w:r w:rsidRPr="000F166D">
        <w:rPr>
          <w:rFonts w:eastAsia="Georgia" w:cs="Arial"/>
          <w:sz w:val="22"/>
          <w:szCs w:val="22"/>
          <w:lang w:eastAsia="sl-SI"/>
        </w:rPr>
        <w:t xml:space="preserve"> iz TC 1: </w:t>
      </w:r>
    </w:p>
    <w:p w14:paraId="580F19B0" w14:textId="77777777" w:rsidR="004912DC" w:rsidRPr="000F166D" w:rsidRDefault="004912DC" w:rsidP="004912DC">
      <w:pPr>
        <w:numPr>
          <w:ilvl w:val="0"/>
          <w:numId w:val="34"/>
        </w:numPr>
        <w:spacing w:line="240" w:lineRule="auto"/>
        <w:jc w:val="both"/>
        <w:rPr>
          <w:rFonts w:eastAsia="Georgia" w:cs="Arial"/>
          <w:sz w:val="22"/>
          <w:szCs w:val="22"/>
        </w:rPr>
      </w:pPr>
      <w:r w:rsidRPr="000F166D">
        <w:rPr>
          <w:rFonts w:eastAsia="Georgia" w:cs="Arial"/>
          <w:sz w:val="22"/>
          <w:szCs w:val="22"/>
        </w:rPr>
        <w:t>20 mio EUR pod TC 1 za MSP</w:t>
      </w:r>
      <w:r>
        <w:rPr>
          <w:rFonts w:eastAsia="Georgia" w:cs="Arial"/>
          <w:sz w:val="22"/>
          <w:szCs w:val="22"/>
        </w:rPr>
        <w:t>.</w:t>
      </w:r>
    </w:p>
    <w:p w14:paraId="5659590A" w14:textId="77777777" w:rsidR="004912DC" w:rsidRPr="000F166D" w:rsidRDefault="004912DC" w:rsidP="004912DC">
      <w:pPr>
        <w:spacing w:after="190"/>
        <w:ind w:right="14"/>
        <w:jc w:val="both"/>
        <w:rPr>
          <w:rFonts w:eastAsia="Georgia" w:cs="Arial"/>
          <w:sz w:val="22"/>
          <w:szCs w:val="22"/>
          <w:lang w:eastAsia="sl-SI"/>
        </w:rPr>
      </w:pPr>
      <w:r w:rsidRPr="000F166D">
        <w:rPr>
          <w:rFonts w:eastAsia="Georgia" w:cs="Arial"/>
          <w:sz w:val="22"/>
          <w:szCs w:val="22"/>
          <w:lang w:eastAsia="sl-SI"/>
        </w:rPr>
        <w:br/>
        <w:t>Pričakovani učinek finančnega vzvoda je 1,5 do 5.</w:t>
      </w:r>
    </w:p>
    <w:p w14:paraId="3CB9C83F" w14:textId="77777777" w:rsidR="004912DC" w:rsidRPr="000F166D" w:rsidRDefault="004912DC" w:rsidP="004912DC">
      <w:pPr>
        <w:spacing w:after="190"/>
        <w:ind w:right="14"/>
        <w:jc w:val="both"/>
        <w:rPr>
          <w:rFonts w:eastAsia="Georgia" w:cs="Arial"/>
          <w:sz w:val="22"/>
          <w:szCs w:val="22"/>
          <w:lang w:eastAsia="sl-SI"/>
        </w:rPr>
      </w:pPr>
      <w:r w:rsidRPr="000F166D">
        <w:rPr>
          <w:rFonts w:eastAsia="Georgia" w:cs="Arial"/>
          <w:sz w:val="22"/>
          <w:szCs w:val="22"/>
          <w:lang w:eastAsia="sl-SI"/>
        </w:rPr>
        <w:t xml:space="preserve">Državne pomoči: </w:t>
      </w:r>
      <w:r w:rsidRPr="000F166D">
        <w:rPr>
          <w:rFonts w:eastAsia="Georgia" w:cs="Arial"/>
          <w:sz w:val="22"/>
          <w:szCs w:val="22"/>
        </w:rPr>
        <w:t>krediti se presojajo skladno z relevantno shemo državne pomoči ali pomoči de minimis</w:t>
      </w:r>
      <w:r w:rsidRPr="000F166D">
        <w:rPr>
          <w:rFonts w:eastAsia="Georgia" w:cs="Arial"/>
          <w:sz w:val="22"/>
          <w:szCs w:val="22"/>
          <w:lang w:eastAsia="sl-SI"/>
        </w:rPr>
        <w:t>.</w:t>
      </w:r>
    </w:p>
    <w:p w14:paraId="3E43FD24" w14:textId="77777777" w:rsidR="004912DC" w:rsidRPr="000F166D" w:rsidRDefault="004912DC" w:rsidP="004912DC">
      <w:pPr>
        <w:spacing w:after="190"/>
        <w:ind w:right="14"/>
        <w:jc w:val="both"/>
        <w:rPr>
          <w:rFonts w:eastAsia="Georgia" w:cs="Arial"/>
          <w:sz w:val="22"/>
          <w:szCs w:val="22"/>
          <w:lang w:eastAsia="sl-SI"/>
        </w:rPr>
      </w:pPr>
      <w:r w:rsidRPr="000F166D">
        <w:rPr>
          <w:rFonts w:eastAsia="Georgia" w:cs="Arial"/>
          <w:sz w:val="22"/>
          <w:szCs w:val="22"/>
          <w:lang w:eastAsia="sl-SI"/>
        </w:rPr>
        <w:t>Možna je kombinacija portfeljskih garancij z nepovratnimi viri.</w:t>
      </w:r>
    </w:p>
    <w:p w14:paraId="51532944" w14:textId="77777777" w:rsidR="004912DC" w:rsidRPr="000F166D" w:rsidRDefault="004912DC" w:rsidP="004912DC">
      <w:pPr>
        <w:ind w:left="5" w:right="45"/>
        <w:jc w:val="both"/>
        <w:rPr>
          <w:rFonts w:eastAsia="Georgia" w:cs="Arial"/>
          <w:sz w:val="22"/>
          <w:szCs w:val="22"/>
        </w:rPr>
      </w:pPr>
      <w:r w:rsidRPr="000F166D">
        <w:rPr>
          <w:rFonts w:eastAsia="Georgia" w:cs="Arial"/>
          <w:sz w:val="22"/>
          <w:szCs w:val="22"/>
        </w:rPr>
        <w:t>Ciljna skupina so: MSP</w:t>
      </w:r>
      <w:r>
        <w:rPr>
          <w:rFonts w:eastAsia="Georgia" w:cs="Arial"/>
          <w:sz w:val="22"/>
          <w:szCs w:val="22"/>
        </w:rPr>
        <w:t>.</w:t>
      </w:r>
    </w:p>
    <w:p w14:paraId="7E62F1B6" w14:textId="77777777" w:rsidR="004912DC" w:rsidRPr="000F166D" w:rsidRDefault="004912DC" w:rsidP="004912DC">
      <w:pPr>
        <w:ind w:right="45"/>
        <w:jc w:val="both"/>
        <w:rPr>
          <w:rFonts w:eastAsia="Georgia" w:cs="Arial"/>
          <w:sz w:val="22"/>
          <w:szCs w:val="22"/>
        </w:rPr>
      </w:pPr>
    </w:p>
    <w:p w14:paraId="34DFD56B" w14:textId="77777777" w:rsidR="004912DC" w:rsidRPr="000F166D" w:rsidRDefault="004912DC" w:rsidP="004912DC">
      <w:pPr>
        <w:ind w:left="5" w:right="45"/>
        <w:jc w:val="both"/>
        <w:rPr>
          <w:rFonts w:eastAsia="Georgia" w:cs="Arial"/>
          <w:sz w:val="22"/>
          <w:szCs w:val="22"/>
        </w:rPr>
      </w:pPr>
      <w:r w:rsidRPr="000F166D">
        <w:rPr>
          <w:rFonts w:eastAsia="Georgia" w:cs="Arial"/>
          <w:sz w:val="22"/>
          <w:szCs w:val="22"/>
        </w:rPr>
        <w:t>Cilji, ki jih zasledujemo z izvajanjem portfeljskih garancij:</w:t>
      </w:r>
    </w:p>
    <w:p w14:paraId="0A0B3EEB" w14:textId="77777777" w:rsidR="004912DC" w:rsidRPr="000F166D" w:rsidRDefault="004912DC" w:rsidP="004912DC">
      <w:pPr>
        <w:numPr>
          <w:ilvl w:val="0"/>
          <w:numId w:val="35"/>
        </w:numPr>
        <w:spacing w:line="240" w:lineRule="auto"/>
        <w:jc w:val="both"/>
        <w:rPr>
          <w:rFonts w:eastAsia="Georgia" w:cs="Arial"/>
          <w:sz w:val="22"/>
          <w:szCs w:val="22"/>
        </w:rPr>
      </w:pPr>
      <w:r w:rsidRPr="000F166D">
        <w:rPr>
          <w:rFonts w:eastAsia="Georgia" w:cs="Arial"/>
          <w:sz w:val="22"/>
          <w:szCs w:val="22"/>
        </w:rPr>
        <w:t xml:space="preserve">Dopolnjevanje obstoječih garancijskih instrumentov (garancije za posamične projekte, ki niso portfeljske garancije); </w:t>
      </w:r>
    </w:p>
    <w:p w14:paraId="6C797710" w14:textId="3DF90031" w:rsidR="004912DC" w:rsidRPr="000F166D" w:rsidRDefault="00E97B14" w:rsidP="004912DC">
      <w:pPr>
        <w:numPr>
          <w:ilvl w:val="0"/>
          <w:numId w:val="35"/>
        </w:numPr>
        <w:spacing w:line="240" w:lineRule="auto"/>
        <w:jc w:val="both"/>
        <w:rPr>
          <w:rFonts w:eastAsia="Georgia" w:cs="Arial"/>
          <w:sz w:val="22"/>
          <w:szCs w:val="22"/>
        </w:rPr>
      </w:pPr>
      <w:r>
        <w:rPr>
          <w:rFonts w:eastAsia="Georgia" w:cs="Arial"/>
          <w:sz w:val="22"/>
          <w:szCs w:val="22"/>
        </w:rPr>
        <w:t>Podpora financiranju obratnega</w:t>
      </w:r>
      <w:r w:rsidR="004912DC" w:rsidRPr="000F166D">
        <w:rPr>
          <w:rFonts w:eastAsia="Georgia" w:cs="Arial"/>
          <w:sz w:val="22"/>
          <w:szCs w:val="22"/>
        </w:rPr>
        <w:t xml:space="preserve"> </w:t>
      </w:r>
      <w:r>
        <w:rPr>
          <w:rFonts w:eastAsia="Georgia" w:cs="Arial"/>
          <w:sz w:val="22"/>
          <w:szCs w:val="22"/>
        </w:rPr>
        <w:t>kapitala</w:t>
      </w:r>
      <w:r w:rsidR="004912DC" w:rsidRPr="000F166D">
        <w:rPr>
          <w:rFonts w:eastAsia="Georgia" w:cs="Arial"/>
          <w:sz w:val="22"/>
          <w:szCs w:val="22"/>
        </w:rPr>
        <w:t xml:space="preserve"> in investicijam. </w:t>
      </w:r>
    </w:p>
    <w:p w14:paraId="0AD99BC6" w14:textId="77777777" w:rsidR="004912DC" w:rsidRPr="000F166D" w:rsidRDefault="004912DC" w:rsidP="004912DC">
      <w:pPr>
        <w:ind w:left="5" w:right="45"/>
        <w:jc w:val="both"/>
        <w:rPr>
          <w:rFonts w:eastAsia="Georgia" w:cs="Arial"/>
          <w:sz w:val="22"/>
          <w:szCs w:val="22"/>
        </w:rPr>
      </w:pPr>
    </w:p>
    <w:p w14:paraId="5939B140" w14:textId="77777777" w:rsidR="004912DC" w:rsidRPr="000F166D" w:rsidRDefault="004912DC" w:rsidP="004912DC">
      <w:pPr>
        <w:ind w:left="5" w:right="45"/>
        <w:jc w:val="both"/>
        <w:rPr>
          <w:rFonts w:eastAsia="Georgia" w:cs="Arial"/>
          <w:sz w:val="22"/>
          <w:szCs w:val="22"/>
        </w:rPr>
      </w:pPr>
      <w:r w:rsidRPr="000F166D">
        <w:rPr>
          <w:rFonts w:eastAsia="Georgia" w:cs="Arial"/>
          <w:sz w:val="22"/>
          <w:szCs w:val="22"/>
        </w:rPr>
        <w:t>Kazalniki:</w:t>
      </w:r>
    </w:p>
    <w:p w14:paraId="1551D88B" w14:textId="77777777" w:rsidR="004912DC" w:rsidRPr="000F166D" w:rsidRDefault="004912DC" w:rsidP="004912DC">
      <w:pPr>
        <w:numPr>
          <w:ilvl w:val="0"/>
          <w:numId w:val="35"/>
        </w:numPr>
        <w:spacing w:line="240" w:lineRule="auto"/>
        <w:jc w:val="both"/>
        <w:rPr>
          <w:rFonts w:eastAsia="Georgia" w:cs="Arial"/>
          <w:sz w:val="22"/>
          <w:szCs w:val="22"/>
        </w:rPr>
      </w:pPr>
      <w:r>
        <w:rPr>
          <w:rFonts w:eastAsia="Georgia" w:cs="Arial"/>
          <w:sz w:val="22"/>
          <w:szCs w:val="22"/>
        </w:rPr>
        <w:t>š</w:t>
      </w:r>
      <w:r w:rsidRPr="000F166D">
        <w:rPr>
          <w:rFonts w:eastAsia="Georgia" w:cs="Arial"/>
          <w:sz w:val="22"/>
          <w:szCs w:val="22"/>
        </w:rPr>
        <w:t xml:space="preserve">tevilo podprtih MSP (z razdelitvijo na mikro, mala </w:t>
      </w:r>
      <w:r>
        <w:rPr>
          <w:rFonts w:eastAsia="Georgia" w:cs="Arial"/>
          <w:sz w:val="22"/>
          <w:szCs w:val="22"/>
        </w:rPr>
        <w:t>in</w:t>
      </w:r>
      <w:r w:rsidRPr="000F166D">
        <w:rPr>
          <w:rFonts w:eastAsia="Georgia" w:cs="Arial"/>
          <w:sz w:val="22"/>
          <w:szCs w:val="22"/>
        </w:rPr>
        <w:t xml:space="preserve"> srednje velika podjetja) in podjetnikov; </w:t>
      </w:r>
    </w:p>
    <w:p w14:paraId="7FECFC5F" w14:textId="77777777" w:rsidR="004912DC" w:rsidRPr="000F166D" w:rsidRDefault="004912DC" w:rsidP="004912DC">
      <w:pPr>
        <w:numPr>
          <w:ilvl w:val="0"/>
          <w:numId w:val="35"/>
        </w:numPr>
        <w:spacing w:line="240" w:lineRule="auto"/>
        <w:jc w:val="both"/>
        <w:rPr>
          <w:rFonts w:eastAsia="Georgia" w:cs="Arial"/>
          <w:sz w:val="22"/>
          <w:szCs w:val="22"/>
        </w:rPr>
      </w:pPr>
      <w:r>
        <w:rPr>
          <w:rFonts w:eastAsia="Georgia" w:cs="Arial"/>
          <w:sz w:val="22"/>
          <w:szCs w:val="22"/>
        </w:rPr>
        <w:t>š</w:t>
      </w:r>
      <w:r w:rsidRPr="000F166D">
        <w:rPr>
          <w:rFonts w:eastAsia="Georgia" w:cs="Arial"/>
          <w:sz w:val="22"/>
          <w:szCs w:val="22"/>
        </w:rPr>
        <w:t>tevilo zaposlenih v posameznem podjetju ob vključitvi v portfelj.</w:t>
      </w:r>
    </w:p>
    <w:p w14:paraId="419ACB56" w14:textId="77777777" w:rsidR="004912DC" w:rsidRPr="000F166D" w:rsidRDefault="004912DC" w:rsidP="004912DC">
      <w:pPr>
        <w:spacing w:after="10"/>
        <w:ind w:right="256"/>
        <w:jc w:val="both"/>
        <w:rPr>
          <w:rFonts w:eastAsia="Georgia" w:cs="Arial"/>
          <w:sz w:val="22"/>
          <w:szCs w:val="22"/>
          <w:lang w:eastAsia="sl-SI"/>
        </w:rPr>
      </w:pPr>
      <w:r w:rsidRPr="000F166D">
        <w:rPr>
          <w:rFonts w:eastAsia="Georgia" w:cs="Arial"/>
          <w:sz w:val="22"/>
          <w:szCs w:val="22"/>
        </w:rPr>
        <w:t xml:space="preserve"> </w:t>
      </w:r>
    </w:p>
    <w:p w14:paraId="6A7781C6" w14:textId="77777777" w:rsidR="004912DC" w:rsidRPr="000F166D" w:rsidRDefault="004912DC" w:rsidP="004912DC">
      <w:pPr>
        <w:keepNext/>
        <w:keepLines/>
        <w:spacing w:before="40"/>
        <w:jc w:val="both"/>
        <w:outlineLvl w:val="3"/>
        <w:rPr>
          <w:rFonts w:eastAsia="Georgia" w:cs="Arial"/>
          <w:b/>
          <w:iCs/>
          <w:color w:val="2E74B5"/>
          <w:sz w:val="22"/>
          <w:lang w:eastAsia="sl-SI"/>
        </w:rPr>
      </w:pPr>
      <w:r w:rsidRPr="000F166D">
        <w:rPr>
          <w:rFonts w:eastAsia="Georgia" w:cs="Arial"/>
          <w:b/>
          <w:i/>
          <w:iCs/>
          <w:color w:val="2E74B5"/>
          <w:sz w:val="22"/>
          <w:lang w:eastAsia="sl-SI"/>
        </w:rPr>
        <w:t xml:space="preserve">3.2.2 Finančni instrumenti za MSP </w:t>
      </w:r>
    </w:p>
    <w:p w14:paraId="05BA797A" w14:textId="77777777" w:rsidR="004912DC" w:rsidRPr="000F166D" w:rsidRDefault="004912DC" w:rsidP="004912DC">
      <w:pPr>
        <w:ind w:right="14"/>
        <w:jc w:val="both"/>
        <w:rPr>
          <w:rFonts w:eastAsia="Georgia" w:cs="Arial"/>
          <w:sz w:val="22"/>
          <w:szCs w:val="22"/>
          <w:lang w:eastAsia="sl-SI"/>
        </w:rPr>
      </w:pPr>
      <w:r w:rsidRPr="000F166D">
        <w:rPr>
          <w:rFonts w:eastAsia="Georgia" w:cs="Arial"/>
          <w:sz w:val="22"/>
          <w:szCs w:val="22"/>
          <w:lang w:eastAsia="sl-SI"/>
        </w:rPr>
        <w:t>Upravljavec sklada skladov bo za MSP razvil in izvajal tri vrste finančnih produktov:</w:t>
      </w:r>
    </w:p>
    <w:p w14:paraId="5DD2EA0D" w14:textId="77777777" w:rsidR="004912DC" w:rsidRPr="000F166D" w:rsidRDefault="004912DC" w:rsidP="004912DC">
      <w:pPr>
        <w:numPr>
          <w:ilvl w:val="0"/>
          <w:numId w:val="13"/>
        </w:numPr>
        <w:spacing w:after="10" w:line="240" w:lineRule="auto"/>
        <w:ind w:right="256"/>
        <w:jc w:val="both"/>
        <w:rPr>
          <w:rFonts w:eastAsia="Georgia" w:cs="Arial"/>
          <w:sz w:val="22"/>
          <w:szCs w:val="22"/>
          <w:lang w:eastAsia="sl-SI"/>
        </w:rPr>
      </w:pPr>
      <w:r w:rsidRPr="000F166D">
        <w:rPr>
          <w:rFonts w:eastAsia="Georgia" w:cs="Arial"/>
          <w:sz w:val="22"/>
          <w:szCs w:val="22"/>
          <w:lang w:eastAsia="sl-SI"/>
        </w:rPr>
        <w:t>Portfeljske garancije, vključno z mikrogarancijami za MSP,</w:t>
      </w:r>
    </w:p>
    <w:p w14:paraId="7F69DF6B" w14:textId="77777777" w:rsidR="004912DC" w:rsidRPr="000F166D" w:rsidRDefault="004912DC" w:rsidP="004912DC">
      <w:pPr>
        <w:numPr>
          <w:ilvl w:val="0"/>
          <w:numId w:val="13"/>
        </w:numPr>
        <w:spacing w:after="10" w:line="240" w:lineRule="auto"/>
        <w:ind w:right="256"/>
        <w:jc w:val="both"/>
        <w:rPr>
          <w:rFonts w:eastAsia="Georgia" w:cs="Arial"/>
          <w:sz w:val="22"/>
          <w:szCs w:val="22"/>
          <w:lang w:eastAsia="sl-SI"/>
        </w:rPr>
      </w:pPr>
      <w:r w:rsidRPr="000F166D">
        <w:rPr>
          <w:rFonts w:eastAsia="Georgia" w:cs="Arial"/>
          <w:sz w:val="22"/>
          <w:szCs w:val="22"/>
          <w:lang w:eastAsia="sl-SI"/>
        </w:rPr>
        <w:t xml:space="preserve">Prednostno posojilo za zagotavljanje mikroposojil mikropodjetjem in podjetnikom; </w:t>
      </w:r>
    </w:p>
    <w:p w14:paraId="1BACFEE3" w14:textId="77777777" w:rsidR="004912DC" w:rsidRPr="000F166D" w:rsidRDefault="004912DC" w:rsidP="004912DC">
      <w:pPr>
        <w:numPr>
          <w:ilvl w:val="0"/>
          <w:numId w:val="13"/>
        </w:numPr>
        <w:spacing w:after="10" w:line="240" w:lineRule="auto"/>
        <w:ind w:right="256"/>
        <w:jc w:val="both"/>
        <w:rPr>
          <w:rFonts w:eastAsia="Georgia" w:cs="Arial"/>
          <w:sz w:val="22"/>
          <w:szCs w:val="22"/>
          <w:lang w:eastAsia="sl-SI"/>
        </w:rPr>
      </w:pPr>
      <w:r w:rsidRPr="000F166D">
        <w:rPr>
          <w:rFonts w:eastAsia="Georgia" w:cs="Arial"/>
          <w:sz w:val="22"/>
          <w:szCs w:val="22"/>
          <w:lang w:eastAsia="sl-SI"/>
        </w:rPr>
        <w:t>Lastniško financiranje za zagotavljanje lastniškega in kvazi-lastniškega financiranja za MSP.</w:t>
      </w:r>
    </w:p>
    <w:p w14:paraId="56BB1D69" w14:textId="77777777" w:rsidR="004912DC" w:rsidRPr="000F166D" w:rsidRDefault="004912DC" w:rsidP="004912DC">
      <w:pPr>
        <w:shd w:val="clear" w:color="auto" w:fill="FFFFFF"/>
        <w:ind w:left="-5" w:hanging="10"/>
        <w:jc w:val="both"/>
        <w:rPr>
          <w:rFonts w:eastAsia="Georgia" w:cs="Arial"/>
          <w:sz w:val="22"/>
          <w:szCs w:val="22"/>
        </w:rPr>
      </w:pPr>
    </w:p>
    <w:p w14:paraId="636421E7" w14:textId="77777777" w:rsidR="004912DC" w:rsidRPr="000F166D" w:rsidRDefault="004912DC" w:rsidP="004912DC">
      <w:pPr>
        <w:shd w:val="clear" w:color="auto" w:fill="FFFFFF"/>
        <w:ind w:left="-5" w:hanging="10"/>
        <w:jc w:val="both"/>
        <w:rPr>
          <w:rFonts w:eastAsia="Georgia" w:cs="Arial"/>
          <w:sz w:val="22"/>
          <w:szCs w:val="22"/>
          <w:lang w:eastAsia="sl-SI"/>
        </w:rPr>
      </w:pPr>
      <w:r w:rsidRPr="000F166D">
        <w:rPr>
          <w:rFonts w:eastAsia="Georgia" w:cs="Arial"/>
          <w:sz w:val="22"/>
          <w:szCs w:val="22"/>
        </w:rPr>
        <w:t xml:space="preserve">Pri vseh navedenih finančnih produktih je možna kombinacija z nepovratnimi viri. </w:t>
      </w:r>
    </w:p>
    <w:p w14:paraId="1375962E" w14:textId="77777777" w:rsidR="004912DC" w:rsidRPr="000F166D" w:rsidRDefault="004912DC" w:rsidP="004912DC">
      <w:pPr>
        <w:ind w:right="14"/>
        <w:jc w:val="both"/>
        <w:rPr>
          <w:rFonts w:eastAsia="Georgia" w:cs="Arial"/>
          <w:sz w:val="22"/>
          <w:lang w:eastAsia="sl-SI"/>
        </w:rPr>
      </w:pPr>
    </w:p>
    <w:p w14:paraId="210F0E79" w14:textId="77777777" w:rsidR="004912DC" w:rsidRPr="000F166D" w:rsidRDefault="004912DC" w:rsidP="004912DC">
      <w:pPr>
        <w:ind w:right="14"/>
        <w:jc w:val="both"/>
        <w:rPr>
          <w:rFonts w:eastAsia="Georgia" w:cs="Arial"/>
          <w:sz w:val="22"/>
          <w:lang w:eastAsia="sl-SI"/>
        </w:rPr>
      </w:pPr>
    </w:p>
    <w:p w14:paraId="59AAEE6E" w14:textId="77777777" w:rsidR="004912DC" w:rsidRPr="000F166D" w:rsidRDefault="004912DC" w:rsidP="004912DC">
      <w:pPr>
        <w:keepNext/>
        <w:keepLines/>
        <w:spacing w:before="40"/>
        <w:jc w:val="both"/>
        <w:outlineLvl w:val="4"/>
        <w:rPr>
          <w:rFonts w:eastAsia="Georgia" w:cs="Arial"/>
          <w:color w:val="2E74B5"/>
          <w:sz w:val="22"/>
          <w:lang w:eastAsia="sl-SI"/>
        </w:rPr>
      </w:pPr>
      <w:r w:rsidRPr="000F166D">
        <w:rPr>
          <w:rFonts w:eastAsia="Georgia" w:cs="Arial"/>
          <w:color w:val="2E74B5"/>
          <w:sz w:val="22"/>
          <w:lang w:eastAsia="sl-SI"/>
        </w:rPr>
        <w:t>3.2.2.1 Portfeljske garancije za podporo MSP</w:t>
      </w:r>
    </w:p>
    <w:p w14:paraId="0D89CDD4" w14:textId="77777777" w:rsidR="004912DC" w:rsidRPr="000F166D" w:rsidRDefault="004912DC" w:rsidP="004912DC">
      <w:pPr>
        <w:ind w:right="14"/>
        <w:jc w:val="both"/>
        <w:rPr>
          <w:rFonts w:eastAsia="Georgia" w:cs="Arial"/>
          <w:sz w:val="22"/>
          <w:szCs w:val="22"/>
          <w:lang w:eastAsia="sl-SI"/>
        </w:rPr>
      </w:pPr>
      <w:r w:rsidRPr="000F166D">
        <w:rPr>
          <w:rFonts w:eastAsia="Georgia" w:cs="Arial"/>
          <w:sz w:val="22"/>
          <w:szCs w:val="22"/>
          <w:lang w:eastAsia="sl-SI"/>
        </w:rPr>
        <w:t>Namen portfeljskih garancij je zagotovitev koristi za končnega prejemnika (MSP), da (i) maksimalno zmanjša delež zavarovanja, ki jo od podjetij zahteva komercialna banka, (ii) zmanjša obrestne mere, ki je zahtevana pri posojilu, (iii) manjši stroški garancije od tržnih stroškov in (iv) možnost za obdobje odloga, ki je daljše od tistega, ki ga običajno določi trg.</w:t>
      </w:r>
    </w:p>
    <w:p w14:paraId="7AA9E5A6" w14:textId="77777777" w:rsidR="004912DC" w:rsidRPr="000F166D" w:rsidRDefault="004912DC" w:rsidP="004912DC">
      <w:pPr>
        <w:ind w:right="47"/>
        <w:jc w:val="both"/>
        <w:rPr>
          <w:rFonts w:eastAsia="Georgia" w:cs="Arial"/>
          <w:sz w:val="22"/>
          <w:szCs w:val="22"/>
        </w:rPr>
      </w:pPr>
    </w:p>
    <w:p w14:paraId="62DC14E1" w14:textId="77777777" w:rsidR="004912DC" w:rsidRPr="000F166D" w:rsidRDefault="004912DC" w:rsidP="004912DC">
      <w:pPr>
        <w:ind w:right="47"/>
        <w:jc w:val="both"/>
        <w:rPr>
          <w:rFonts w:eastAsia="Georgia" w:cs="Arial"/>
          <w:sz w:val="22"/>
          <w:szCs w:val="22"/>
        </w:rPr>
      </w:pPr>
      <w:r w:rsidRPr="000F166D">
        <w:rPr>
          <w:rFonts w:eastAsia="Georgia" w:cs="Arial"/>
          <w:sz w:val="22"/>
          <w:szCs w:val="22"/>
        </w:rPr>
        <w:lastRenderedPageBreak/>
        <w:t>Ta produkt bo zagotovljen v okviru instrumenta za porazdelitev tveganj, kjer del tveganja prevzema tudi kreditodajalec</w:t>
      </w:r>
      <w:r w:rsidRPr="000F166D">
        <w:rPr>
          <w:rFonts w:eastAsia="Georgia" w:cs="Arial"/>
          <w:sz w:val="22"/>
          <w:szCs w:val="22"/>
          <w:vertAlign w:val="superscript"/>
        </w:rPr>
        <w:footnoteReference w:id="13"/>
      </w:r>
      <w:r w:rsidRPr="000F166D">
        <w:rPr>
          <w:rFonts w:eastAsia="Georgia" w:cs="Arial"/>
          <w:sz w:val="22"/>
          <w:szCs w:val="22"/>
        </w:rPr>
        <w:t xml:space="preserve">. Portfeljska garancija bo zagotovljena vnaprej kreditodajalcu. Garancija bo lahko krila morebitne izgube kreditodajalca (izgube, ki so povezane z neplačevanjem glavnice in obresti posojila). </w:t>
      </w:r>
    </w:p>
    <w:p w14:paraId="3019D414" w14:textId="77777777" w:rsidR="004912DC" w:rsidRPr="000F166D" w:rsidRDefault="004912DC" w:rsidP="004912DC">
      <w:pPr>
        <w:ind w:right="47"/>
        <w:jc w:val="both"/>
        <w:rPr>
          <w:rFonts w:eastAsia="Georgia" w:cs="Arial"/>
          <w:sz w:val="22"/>
          <w:szCs w:val="22"/>
        </w:rPr>
      </w:pPr>
    </w:p>
    <w:p w14:paraId="69E9E306" w14:textId="77777777" w:rsidR="004912DC" w:rsidRPr="000F166D" w:rsidRDefault="004912DC" w:rsidP="004912DC">
      <w:pPr>
        <w:ind w:right="47"/>
        <w:jc w:val="both"/>
        <w:rPr>
          <w:rFonts w:eastAsia="Georgia" w:cs="Arial"/>
          <w:sz w:val="22"/>
          <w:szCs w:val="22"/>
        </w:rPr>
      </w:pPr>
      <w:r w:rsidRPr="000F166D">
        <w:rPr>
          <w:rFonts w:eastAsia="Georgia" w:cs="Arial"/>
          <w:sz w:val="22"/>
          <w:szCs w:val="22"/>
        </w:rPr>
        <w:t xml:space="preserve">Portfeljske garancije bodo pomenile predvsem – ne pa samo – nižje zahteve po zavarovanju, ki jih bodo kreditodajalci zahtevali od končnih prejemnikov in nižjo pogodbeno obrestno mero, pokrile pa bodo tudi morebitne izgube kreditodajalcev, iz naslova plasiranih sredstev končnim prejemnikom. Te ugodnosti, dodeljene kreditodajalcu se bodo na ciljne skupine (tj. MSP, start-up podjetja, socialna podjetja) prenesle lahko tudi kot nižje zahteve po zavarovanju, nižje obrestne mere, daljše obdobje odplačevanja in daljše obdobje odloga plačevanja. To bo obravnavano v teku pogajanj s kreditodajalcem. </w:t>
      </w:r>
    </w:p>
    <w:p w14:paraId="4CB73C43" w14:textId="77777777" w:rsidR="004912DC" w:rsidRPr="000F166D" w:rsidRDefault="004912DC" w:rsidP="004912DC">
      <w:pPr>
        <w:ind w:right="47"/>
        <w:jc w:val="both"/>
        <w:rPr>
          <w:rFonts w:eastAsia="Georgia" w:cs="Arial"/>
          <w:sz w:val="22"/>
          <w:szCs w:val="22"/>
        </w:rPr>
      </w:pPr>
    </w:p>
    <w:p w14:paraId="2C8FC370" w14:textId="242F1FFB" w:rsidR="004912DC" w:rsidRPr="000F166D" w:rsidRDefault="004912DC" w:rsidP="004912DC">
      <w:pPr>
        <w:spacing w:after="86"/>
        <w:ind w:right="47"/>
        <w:jc w:val="both"/>
        <w:rPr>
          <w:rFonts w:eastAsia="Georgia" w:cs="Arial"/>
          <w:sz w:val="22"/>
          <w:szCs w:val="22"/>
        </w:rPr>
      </w:pPr>
      <w:r w:rsidRPr="000F166D">
        <w:rPr>
          <w:rFonts w:eastAsia="Georgia" w:cs="Arial"/>
          <w:sz w:val="22"/>
          <w:szCs w:val="22"/>
        </w:rPr>
        <w:t xml:space="preserve">Končni prejemnik lahko sredstva kredita, kritega z garancijo, nameni za (i) naložbeno financiranje (osnovna sredstva) in (ii) </w:t>
      </w:r>
      <w:r w:rsidRPr="00E97B14">
        <w:rPr>
          <w:rFonts w:eastAsia="Georgia" w:cs="Arial"/>
          <w:sz w:val="22"/>
          <w:szCs w:val="22"/>
        </w:rPr>
        <w:t>financiranje obratn</w:t>
      </w:r>
      <w:r w:rsidR="00E97B14">
        <w:rPr>
          <w:rFonts w:eastAsia="Georgia" w:cs="Arial"/>
          <w:sz w:val="22"/>
          <w:szCs w:val="22"/>
        </w:rPr>
        <w:t>ega</w:t>
      </w:r>
      <w:r w:rsidRPr="00E97B14">
        <w:rPr>
          <w:rFonts w:eastAsia="Georgia" w:cs="Arial"/>
          <w:sz w:val="22"/>
          <w:szCs w:val="22"/>
        </w:rPr>
        <w:t xml:space="preserve"> </w:t>
      </w:r>
      <w:r w:rsidR="00E97B14">
        <w:rPr>
          <w:rFonts w:eastAsia="Georgia" w:cs="Arial"/>
          <w:sz w:val="22"/>
          <w:szCs w:val="22"/>
        </w:rPr>
        <w:t>kapitala</w:t>
      </w:r>
      <w:r w:rsidRPr="00E97B14">
        <w:rPr>
          <w:rFonts w:eastAsia="Georgia" w:cs="Arial"/>
          <w:sz w:val="22"/>
          <w:szCs w:val="22"/>
        </w:rPr>
        <w:t>.</w:t>
      </w:r>
      <w:r w:rsidRPr="000F166D">
        <w:rPr>
          <w:rFonts w:eastAsia="Georgia" w:cs="Arial"/>
          <w:sz w:val="22"/>
          <w:szCs w:val="22"/>
        </w:rPr>
        <w:t xml:space="preserve"> </w:t>
      </w:r>
    </w:p>
    <w:p w14:paraId="22496526" w14:textId="77777777" w:rsidR="004912DC" w:rsidRPr="000F166D" w:rsidRDefault="004912DC" w:rsidP="004912DC">
      <w:pPr>
        <w:ind w:right="14"/>
        <w:jc w:val="both"/>
        <w:rPr>
          <w:rFonts w:eastAsia="Georgia" w:cs="Arial"/>
          <w:sz w:val="22"/>
          <w:szCs w:val="22"/>
          <w:lang w:eastAsia="sl-SI"/>
        </w:rPr>
      </w:pPr>
    </w:p>
    <w:p w14:paraId="74BA24E3" w14:textId="77777777" w:rsidR="004912DC" w:rsidRPr="000F166D" w:rsidRDefault="004912DC" w:rsidP="004912DC">
      <w:pPr>
        <w:ind w:right="14"/>
        <w:jc w:val="both"/>
        <w:rPr>
          <w:rFonts w:eastAsia="Georgia" w:cs="Arial"/>
          <w:sz w:val="22"/>
          <w:szCs w:val="22"/>
          <w:lang w:eastAsia="sl-SI"/>
        </w:rPr>
      </w:pPr>
      <w:r w:rsidRPr="000F166D">
        <w:rPr>
          <w:rFonts w:eastAsia="Georgia" w:cs="Arial"/>
          <w:sz w:val="22"/>
          <w:szCs w:val="22"/>
          <w:lang w:eastAsia="sl-SI"/>
        </w:rPr>
        <w:t xml:space="preserve">Predvidena je izdaja portfeljskih garancij v višini </w:t>
      </w:r>
      <w:r w:rsidRPr="000F166D">
        <w:rPr>
          <w:rFonts w:eastAsia="Georgia" w:cs="Arial"/>
          <w:b/>
          <w:sz w:val="22"/>
          <w:szCs w:val="22"/>
          <w:lang w:eastAsia="sl-SI"/>
        </w:rPr>
        <w:t>65 mio EUR</w:t>
      </w:r>
      <w:r w:rsidRPr="000F166D">
        <w:rPr>
          <w:rFonts w:eastAsia="Georgia" w:cs="Arial"/>
          <w:sz w:val="22"/>
          <w:szCs w:val="22"/>
          <w:lang w:eastAsia="sl-SI"/>
        </w:rPr>
        <w:t xml:space="preserve"> iz TC 3: </w:t>
      </w:r>
    </w:p>
    <w:p w14:paraId="2426209D" w14:textId="77777777" w:rsidR="004912DC" w:rsidRPr="000F166D" w:rsidRDefault="004912DC" w:rsidP="004912DC">
      <w:pPr>
        <w:numPr>
          <w:ilvl w:val="0"/>
          <w:numId w:val="34"/>
        </w:numPr>
        <w:spacing w:line="240" w:lineRule="auto"/>
        <w:jc w:val="both"/>
        <w:rPr>
          <w:rFonts w:eastAsia="Georgia" w:cs="Arial"/>
          <w:sz w:val="22"/>
          <w:szCs w:val="22"/>
        </w:rPr>
      </w:pPr>
      <w:r w:rsidRPr="000F166D">
        <w:rPr>
          <w:rFonts w:eastAsia="Georgia" w:cs="Arial"/>
          <w:sz w:val="22"/>
          <w:szCs w:val="22"/>
        </w:rPr>
        <w:t>40 mio EUR</w:t>
      </w:r>
    </w:p>
    <w:p w14:paraId="65BDDC28" w14:textId="77777777" w:rsidR="004912DC" w:rsidRPr="000F166D" w:rsidRDefault="004912DC" w:rsidP="004912DC">
      <w:pPr>
        <w:numPr>
          <w:ilvl w:val="0"/>
          <w:numId w:val="34"/>
        </w:numPr>
        <w:spacing w:line="240" w:lineRule="auto"/>
        <w:jc w:val="both"/>
        <w:rPr>
          <w:rFonts w:eastAsia="Georgia" w:cs="Arial"/>
          <w:sz w:val="22"/>
          <w:szCs w:val="22"/>
        </w:rPr>
      </w:pPr>
      <w:r w:rsidRPr="000F166D">
        <w:rPr>
          <w:rFonts w:eastAsia="Georgia" w:cs="Arial"/>
          <w:sz w:val="22"/>
          <w:szCs w:val="22"/>
        </w:rPr>
        <w:t>25 mio EUR za MSP za spodbujanje snovne in energetske učinkovitosti, krepitve in integracije sistemov ter optimizacijo tehnologij in procesov</w:t>
      </w:r>
      <w:r>
        <w:rPr>
          <w:rFonts w:eastAsia="Georgia" w:cs="Arial"/>
          <w:sz w:val="22"/>
          <w:szCs w:val="22"/>
        </w:rPr>
        <w:t>.</w:t>
      </w:r>
      <w:r w:rsidRPr="000F166D">
        <w:rPr>
          <w:rFonts w:eastAsia="Georgia" w:cs="Arial"/>
          <w:sz w:val="22"/>
          <w:szCs w:val="22"/>
        </w:rPr>
        <w:t xml:space="preserve"> </w:t>
      </w:r>
    </w:p>
    <w:p w14:paraId="3FB3E26B" w14:textId="77777777" w:rsidR="004912DC" w:rsidRPr="000F166D" w:rsidRDefault="004912DC" w:rsidP="004912DC">
      <w:pPr>
        <w:spacing w:after="190"/>
        <w:ind w:right="14"/>
        <w:jc w:val="both"/>
        <w:rPr>
          <w:rFonts w:eastAsia="Georgia" w:cs="Arial"/>
          <w:sz w:val="22"/>
          <w:szCs w:val="22"/>
          <w:lang w:eastAsia="sl-SI"/>
        </w:rPr>
      </w:pPr>
      <w:r w:rsidRPr="000F166D">
        <w:rPr>
          <w:rFonts w:eastAsia="Georgia" w:cs="Arial"/>
          <w:sz w:val="22"/>
          <w:szCs w:val="22"/>
          <w:lang w:eastAsia="sl-SI"/>
        </w:rPr>
        <w:br/>
        <w:t>Pričakovani učinek finančnega vzvoda je 1,5 do 5.</w:t>
      </w:r>
    </w:p>
    <w:p w14:paraId="7301EE52" w14:textId="77777777" w:rsidR="004912DC" w:rsidRPr="000F166D" w:rsidRDefault="004912DC" w:rsidP="004912DC">
      <w:pPr>
        <w:spacing w:after="190"/>
        <w:ind w:right="14"/>
        <w:jc w:val="both"/>
        <w:rPr>
          <w:rFonts w:eastAsia="Georgia" w:cs="Arial"/>
          <w:sz w:val="22"/>
          <w:szCs w:val="22"/>
          <w:lang w:eastAsia="sl-SI"/>
        </w:rPr>
      </w:pPr>
      <w:r w:rsidRPr="000F166D">
        <w:rPr>
          <w:rFonts w:eastAsia="Georgia" w:cs="Arial"/>
          <w:sz w:val="22"/>
          <w:szCs w:val="22"/>
          <w:lang w:eastAsia="sl-SI"/>
        </w:rPr>
        <w:t>Državne pomoči: kredit končnemu prejemniku zaradi portfeljske garancije ali mikrogarancije se presoja skladno z relevantno shemo državne pomoči ali pomoči de minimis.</w:t>
      </w:r>
    </w:p>
    <w:p w14:paraId="2C20BC9F" w14:textId="77777777" w:rsidR="004912DC" w:rsidRPr="000F166D" w:rsidRDefault="004912DC" w:rsidP="004912DC">
      <w:pPr>
        <w:spacing w:after="190"/>
        <w:ind w:right="14"/>
        <w:jc w:val="both"/>
        <w:rPr>
          <w:rFonts w:eastAsia="Georgia" w:cs="Arial"/>
          <w:sz w:val="22"/>
          <w:szCs w:val="22"/>
          <w:lang w:eastAsia="sl-SI"/>
        </w:rPr>
      </w:pPr>
      <w:r w:rsidRPr="000F166D">
        <w:rPr>
          <w:rFonts w:eastAsia="Georgia" w:cs="Arial"/>
          <w:sz w:val="22"/>
          <w:szCs w:val="22"/>
          <w:lang w:eastAsia="sl-SI"/>
        </w:rPr>
        <w:t>Možna je kombinacija portfeljskih garancij z nepovratnimi sredstvi evropskih strukturnih in investicijskih skladov v okviru sklada skladov ali v okviru ločene operacije.</w:t>
      </w:r>
    </w:p>
    <w:p w14:paraId="7EF0EAE9" w14:textId="77777777" w:rsidR="004912DC" w:rsidRPr="000F166D" w:rsidRDefault="004912DC" w:rsidP="004912DC">
      <w:pPr>
        <w:spacing w:after="86"/>
        <w:ind w:left="5" w:right="45"/>
        <w:jc w:val="both"/>
        <w:rPr>
          <w:rFonts w:eastAsia="Georgia" w:cs="Arial"/>
          <w:sz w:val="22"/>
          <w:szCs w:val="22"/>
        </w:rPr>
      </w:pPr>
      <w:r w:rsidRPr="000F166D">
        <w:rPr>
          <w:rFonts w:eastAsia="Georgia" w:cs="Arial"/>
          <w:sz w:val="22"/>
          <w:szCs w:val="22"/>
        </w:rPr>
        <w:t>Ciljna skupina so: MSP (vključno s socialnimi podjetji, inovativnimi podjetji, itd.)</w:t>
      </w:r>
    </w:p>
    <w:p w14:paraId="7B70F3F6" w14:textId="77777777" w:rsidR="004912DC" w:rsidRPr="000F166D" w:rsidRDefault="004912DC" w:rsidP="004912DC">
      <w:pPr>
        <w:ind w:right="45"/>
        <w:jc w:val="both"/>
        <w:rPr>
          <w:rFonts w:eastAsia="Georgia" w:cs="Arial"/>
          <w:sz w:val="22"/>
          <w:szCs w:val="22"/>
        </w:rPr>
      </w:pPr>
    </w:p>
    <w:p w14:paraId="374C265E" w14:textId="77777777" w:rsidR="004912DC" w:rsidRPr="000F166D" w:rsidRDefault="004912DC" w:rsidP="004912DC">
      <w:pPr>
        <w:ind w:left="5" w:right="45"/>
        <w:jc w:val="both"/>
        <w:rPr>
          <w:rFonts w:eastAsia="Georgia" w:cs="Arial"/>
          <w:sz w:val="22"/>
          <w:szCs w:val="22"/>
        </w:rPr>
      </w:pPr>
      <w:r w:rsidRPr="000F166D">
        <w:rPr>
          <w:rFonts w:eastAsia="Georgia" w:cs="Arial"/>
          <w:sz w:val="22"/>
          <w:szCs w:val="22"/>
        </w:rPr>
        <w:t>Cilji, ki jih zasledujemo z izvajanjem portfeljskih garancij, so:</w:t>
      </w:r>
    </w:p>
    <w:p w14:paraId="7F68C3AE" w14:textId="77777777" w:rsidR="004912DC" w:rsidRPr="000F166D" w:rsidRDefault="004912DC" w:rsidP="004912DC">
      <w:pPr>
        <w:numPr>
          <w:ilvl w:val="0"/>
          <w:numId w:val="20"/>
        </w:numPr>
        <w:spacing w:line="240" w:lineRule="auto"/>
        <w:jc w:val="both"/>
        <w:rPr>
          <w:rFonts w:eastAsia="Georgia" w:cs="Arial"/>
          <w:sz w:val="22"/>
          <w:szCs w:val="22"/>
        </w:rPr>
      </w:pPr>
      <w:r w:rsidRPr="000F166D">
        <w:rPr>
          <w:rFonts w:eastAsia="Georgia" w:cs="Arial"/>
          <w:sz w:val="22"/>
          <w:szCs w:val="22"/>
        </w:rPr>
        <w:t xml:space="preserve">zmanjšanje težav pri dostopanju do financiranja s posojili, s katerimi se soočajo MSP in podjetniki (na primer z mikrogarancijo, ki bi omogočala posojilo v vrednosti pod 25.000 EUR), saj MSP/podjetniki pogosto nimajo potrebnega zavarovanja ali pa komercialne banke njihove ekonomsko upravičene projekte obravnavajo kot preveč tvegane; </w:t>
      </w:r>
    </w:p>
    <w:p w14:paraId="7127DAC0" w14:textId="77777777" w:rsidR="004912DC" w:rsidRPr="000F166D" w:rsidRDefault="004912DC" w:rsidP="004912DC">
      <w:pPr>
        <w:numPr>
          <w:ilvl w:val="0"/>
          <w:numId w:val="20"/>
        </w:numPr>
        <w:spacing w:line="240" w:lineRule="auto"/>
        <w:jc w:val="both"/>
        <w:rPr>
          <w:rFonts w:eastAsia="Georgia" w:cs="Arial"/>
          <w:sz w:val="22"/>
          <w:szCs w:val="22"/>
        </w:rPr>
      </w:pPr>
      <w:r w:rsidRPr="000F166D">
        <w:rPr>
          <w:rFonts w:eastAsia="Georgia" w:cs="Arial"/>
          <w:sz w:val="22"/>
          <w:szCs w:val="22"/>
        </w:rPr>
        <w:t xml:space="preserve">podpora zagotavljanju mikroposojil in posojil MSP ter podjetnikom; </w:t>
      </w:r>
    </w:p>
    <w:p w14:paraId="20FFF15C" w14:textId="77777777" w:rsidR="004912DC" w:rsidRPr="000F166D" w:rsidRDefault="004912DC" w:rsidP="004912DC">
      <w:pPr>
        <w:numPr>
          <w:ilvl w:val="0"/>
          <w:numId w:val="20"/>
        </w:numPr>
        <w:spacing w:line="240" w:lineRule="auto"/>
        <w:jc w:val="both"/>
        <w:rPr>
          <w:rFonts w:eastAsia="Georgia" w:cs="Arial"/>
          <w:sz w:val="22"/>
          <w:szCs w:val="22"/>
        </w:rPr>
      </w:pPr>
      <w:r w:rsidRPr="000F166D">
        <w:rPr>
          <w:rFonts w:eastAsia="Georgia" w:cs="Arial"/>
          <w:sz w:val="22"/>
          <w:szCs w:val="22"/>
        </w:rPr>
        <w:t xml:space="preserve">dopolnjevanje obstoječih garancijskih instrumentov (garancije za posamične projekte, ki niso portfeljske garancije); </w:t>
      </w:r>
    </w:p>
    <w:p w14:paraId="15DB28C5" w14:textId="5AE2144A" w:rsidR="004912DC" w:rsidRPr="000F166D" w:rsidRDefault="004912DC" w:rsidP="004912DC">
      <w:pPr>
        <w:numPr>
          <w:ilvl w:val="0"/>
          <w:numId w:val="20"/>
        </w:numPr>
        <w:spacing w:line="240" w:lineRule="auto"/>
        <w:jc w:val="both"/>
        <w:rPr>
          <w:rFonts w:eastAsia="Georgia" w:cs="Arial"/>
          <w:sz w:val="22"/>
          <w:szCs w:val="22"/>
        </w:rPr>
      </w:pPr>
      <w:r w:rsidRPr="000F166D">
        <w:rPr>
          <w:rFonts w:eastAsia="Georgia" w:cs="Arial"/>
          <w:sz w:val="22"/>
          <w:szCs w:val="22"/>
        </w:rPr>
        <w:t>podpora financiranju obratn</w:t>
      </w:r>
      <w:r w:rsidR="00E97B14">
        <w:rPr>
          <w:rFonts w:eastAsia="Georgia" w:cs="Arial"/>
          <w:sz w:val="22"/>
          <w:szCs w:val="22"/>
        </w:rPr>
        <w:t>ega</w:t>
      </w:r>
      <w:r w:rsidRPr="000F166D">
        <w:rPr>
          <w:rFonts w:eastAsia="Georgia" w:cs="Arial"/>
          <w:sz w:val="22"/>
          <w:szCs w:val="22"/>
        </w:rPr>
        <w:t xml:space="preserve"> </w:t>
      </w:r>
      <w:r w:rsidR="00E97B14">
        <w:rPr>
          <w:rFonts w:eastAsia="Georgia" w:cs="Arial"/>
          <w:sz w:val="22"/>
          <w:szCs w:val="22"/>
        </w:rPr>
        <w:t>kapitala</w:t>
      </w:r>
      <w:r w:rsidRPr="000F166D">
        <w:rPr>
          <w:rFonts w:eastAsia="Georgia" w:cs="Arial"/>
          <w:sz w:val="22"/>
          <w:szCs w:val="22"/>
        </w:rPr>
        <w:t xml:space="preserve"> in investicijam. </w:t>
      </w:r>
    </w:p>
    <w:p w14:paraId="13B7D8F3" w14:textId="77777777" w:rsidR="004912DC" w:rsidRPr="000F166D" w:rsidRDefault="004912DC" w:rsidP="004912DC">
      <w:pPr>
        <w:ind w:left="5" w:right="45"/>
        <w:jc w:val="both"/>
        <w:rPr>
          <w:rFonts w:eastAsia="Georgia" w:cs="Arial"/>
          <w:sz w:val="22"/>
          <w:szCs w:val="22"/>
        </w:rPr>
      </w:pPr>
    </w:p>
    <w:p w14:paraId="0F0A8B6B" w14:textId="77777777" w:rsidR="004912DC" w:rsidRPr="000F166D" w:rsidRDefault="004912DC" w:rsidP="004912DC">
      <w:pPr>
        <w:ind w:left="5" w:right="45"/>
        <w:jc w:val="both"/>
        <w:rPr>
          <w:rFonts w:eastAsia="Georgia" w:cs="Arial"/>
          <w:sz w:val="22"/>
          <w:szCs w:val="22"/>
        </w:rPr>
      </w:pPr>
    </w:p>
    <w:p w14:paraId="229330A2" w14:textId="77777777" w:rsidR="004912DC" w:rsidRPr="000F166D" w:rsidRDefault="004912DC" w:rsidP="004912DC">
      <w:pPr>
        <w:ind w:right="45"/>
        <w:jc w:val="both"/>
        <w:rPr>
          <w:rFonts w:eastAsia="Georgia" w:cs="Arial"/>
          <w:sz w:val="22"/>
          <w:szCs w:val="22"/>
        </w:rPr>
      </w:pPr>
      <w:r w:rsidRPr="000F166D">
        <w:rPr>
          <w:rFonts w:eastAsia="Georgia" w:cs="Arial"/>
          <w:sz w:val="22"/>
          <w:szCs w:val="22"/>
        </w:rPr>
        <w:t>Kazalniki:</w:t>
      </w:r>
    </w:p>
    <w:p w14:paraId="03BD8980" w14:textId="77777777" w:rsidR="004912DC" w:rsidRPr="000F166D" w:rsidRDefault="004912DC" w:rsidP="004912DC">
      <w:pPr>
        <w:numPr>
          <w:ilvl w:val="0"/>
          <w:numId w:val="20"/>
        </w:numPr>
        <w:spacing w:line="240" w:lineRule="auto"/>
        <w:jc w:val="both"/>
        <w:rPr>
          <w:rFonts w:eastAsia="Georgia" w:cs="Arial"/>
          <w:sz w:val="22"/>
          <w:szCs w:val="22"/>
        </w:rPr>
      </w:pPr>
      <w:r w:rsidRPr="000F166D">
        <w:rPr>
          <w:rFonts w:eastAsia="Georgia" w:cs="Arial"/>
          <w:sz w:val="22"/>
          <w:szCs w:val="22"/>
        </w:rPr>
        <w:t xml:space="preserve">Število podprtih MSP in podjetnikov (z razdelitvijo na mikro podjetja, mala podjetja, srednje velika podjetja); </w:t>
      </w:r>
    </w:p>
    <w:p w14:paraId="1950B464" w14:textId="77777777" w:rsidR="004912DC" w:rsidRPr="000F166D" w:rsidRDefault="004912DC" w:rsidP="004912DC">
      <w:pPr>
        <w:numPr>
          <w:ilvl w:val="0"/>
          <w:numId w:val="35"/>
        </w:numPr>
        <w:spacing w:line="240" w:lineRule="auto"/>
        <w:jc w:val="both"/>
        <w:rPr>
          <w:rFonts w:eastAsia="Georgia" w:cs="Arial"/>
          <w:sz w:val="22"/>
          <w:szCs w:val="22"/>
        </w:rPr>
      </w:pPr>
      <w:r w:rsidRPr="000F166D">
        <w:rPr>
          <w:rFonts w:eastAsia="Georgia" w:cs="Arial"/>
          <w:sz w:val="22"/>
          <w:szCs w:val="22"/>
        </w:rPr>
        <w:t>Število zaposlenih v posameznem MSP ob vključitvi MSP v portfelj</w:t>
      </w:r>
    </w:p>
    <w:p w14:paraId="48251F58" w14:textId="77777777" w:rsidR="004912DC" w:rsidRPr="000F166D" w:rsidRDefault="004912DC" w:rsidP="004912DC">
      <w:pPr>
        <w:numPr>
          <w:ilvl w:val="0"/>
          <w:numId w:val="35"/>
        </w:numPr>
        <w:spacing w:line="240" w:lineRule="auto"/>
        <w:jc w:val="both"/>
        <w:rPr>
          <w:rFonts w:eastAsia="Georgia" w:cs="Arial"/>
          <w:sz w:val="22"/>
          <w:szCs w:val="22"/>
        </w:rPr>
      </w:pPr>
      <w:r w:rsidRPr="000F166D">
        <w:rPr>
          <w:rFonts w:eastAsia="Georgia" w:cs="Arial"/>
          <w:sz w:val="22"/>
          <w:szCs w:val="22"/>
        </w:rPr>
        <w:lastRenderedPageBreak/>
        <w:t>Število novo zaposlenih.</w:t>
      </w:r>
    </w:p>
    <w:p w14:paraId="53304397" w14:textId="77777777" w:rsidR="004912DC" w:rsidRPr="000F166D" w:rsidRDefault="004912DC" w:rsidP="004912DC">
      <w:pPr>
        <w:ind w:left="-5" w:hanging="10"/>
        <w:jc w:val="both"/>
        <w:rPr>
          <w:rFonts w:eastAsia="Georgia" w:cs="Arial"/>
          <w:i/>
          <w:sz w:val="22"/>
          <w:szCs w:val="22"/>
          <w:lang w:eastAsia="sl-SI"/>
        </w:rPr>
      </w:pPr>
    </w:p>
    <w:p w14:paraId="7D9DE2C6" w14:textId="77777777" w:rsidR="004912DC" w:rsidRPr="000F166D" w:rsidRDefault="004912DC" w:rsidP="004912DC">
      <w:pPr>
        <w:keepNext/>
        <w:keepLines/>
        <w:spacing w:before="40"/>
        <w:jc w:val="both"/>
        <w:outlineLvl w:val="4"/>
        <w:rPr>
          <w:rFonts w:eastAsia="Georgia" w:cs="Arial"/>
          <w:color w:val="2E74B5"/>
          <w:sz w:val="22"/>
          <w:lang w:eastAsia="sl-SI"/>
        </w:rPr>
      </w:pPr>
      <w:r w:rsidRPr="000F166D">
        <w:rPr>
          <w:rFonts w:eastAsia="Georgia" w:cs="Arial"/>
          <w:color w:val="2E74B5"/>
          <w:sz w:val="22"/>
          <w:lang w:eastAsia="sl-SI"/>
        </w:rPr>
        <w:t>3.2.2.2 Mikroposojila za podporo mikro in malim podjetjem do vrednosti 25.000 EUR.</w:t>
      </w:r>
      <w:r>
        <w:rPr>
          <w:rFonts w:eastAsia="Georgia" w:cs="Arial"/>
          <w:color w:val="2E74B5"/>
          <w:sz w:val="22"/>
          <w:lang w:eastAsia="sl-SI"/>
        </w:rPr>
        <w:t xml:space="preserve"> </w:t>
      </w:r>
    </w:p>
    <w:p w14:paraId="2D11CDDA" w14:textId="00569C58" w:rsidR="004912DC" w:rsidRPr="000F166D" w:rsidRDefault="004912DC" w:rsidP="004912DC">
      <w:pPr>
        <w:shd w:val="clear" w:color="auto" w:fill="FFFFFF"/>
        <w:jc w:val="both"/>
        <w:rPr>
          <w:rFonts w:eastAsia="Georgia" w:cs="Arial"/>
          <w:sz w:val="22"/>
          <w:szCs w:val="22"/>
        </w:rPr>
      </w:pPr>
      <w:r w:rsidRPr="000F166D">
        <w:rPr>
          <w:rFonts w:eastAsia="Georgia" w:cs="Arial"/>
          <w:sz w:val="22"/>
          <w:szCs w:val="22"/>
        </w:rPr>
        <w:t xml:space="preserve">Produkt mikroposojil je namenjen mikro in malim podjetjem in samostojnim podjetnikom za naložbe v osnovna sredstva in za financiranje </w:t>
      </w:r>
      <w:r w:rsidR="00E97B14">
        <w:rPr>
          <w:rFonts w:eastAsia="Georgia" w:cs="Arial"/>
          <w:sz w:val="22"/>
          <w:szCs w:val="22"/>
        </w:rPr>
        <w:t>obratnih sredstev</w:t>
      </w:r>
      <w:r w:rsidRPr="000F166D">
        <w:rPr>
          <w:rFonts w:eastAsia="Georgia" w:cs="Arial"/>
          <w:sz w:val="22"/>
          <w:szCs w:val="22"/>
        </w:rPr>
        <w:t>.</w:t>
      </w:r>
    </w:p>
    <w:p w14:paraId="1F12EADB" w14:textId="77777777" w:rsidR="004912DC" w:rsidRPr="000F166D" w:rsidRDefault="004912DC" w:rsidP="004912DC">
      <w:pPr>
        <w:shd w:val="clear" w:color="auto" w:fill="FFFFFF"/>
        <w:jc w:val="both"/>
        <w:rPr>
          <w:rFonts w:eastAsia="Georgia" w:cs="Arial"/>
          <w:sz w:val="22"/>
          <w:szCs w:val="22"/>
        </w:rPr>
      </w:pPr>
    </w:p>
    <w:p w14:paraId="33C8920D" w14:textId="77777777" w:rsidR="004912DC" w:rsidRPr="000F166D" w:rsidRDefault="004912DC" w:rsidP="004912DC">
      <w:pPr>
        <w:ind w:right="24"/>
        <w:jc w:val="both"/>
        <w:rPr>
          <w:rFonts w:eastAsia="Georgia" w:cs="Arial"/>
          <w:sz w:val="22"/>
          <w:szCs w:val="22"/>
        </w:rPr>
      </w:pPr>
      <w:r w:rsidRPr="000F166D">
        <w:rPr>
          <w:rFonts w:eastAsia="Georgia" w:cs="Arial"/>
          <w:sz w:val="22"/>
          <w:szCs w:val="22"/>
        </w:rPr>
        <w:t>Okvirni pogoji financiranja se opredelijo v naložbeni strategiji.</w:t>
      </w:r>
    </w:p>
    <w:p w14:paraId="3097C2EF" w14:textId="77777777" w:rsidR="004912DC" w:rsidRPr="000F166D" w:rsidRDefault="004912DC" w:rsidP="004912DC">
      <w:pPr>
        <w:shd w:val="clear" w:color="auto" w:fill="FFFFFF"/>
        <w:jc w:val="both"/>
        <w:rPr>
          <w:rFonts w:eastAsia="Georgia" w:cs="Arial"/>
          <w:sz w:val="22"/>
          <w:szCs w:val="22"/>
        </w:rPr>
      </w:pPr>
    </w:p>
    <w:p w14:paraId="491E05DE" w14:textId="77777777" w:rsidR="004912DC" w:rsidRPr="000F166D" w:rsidRDefault="004912DC" w:rsidP="004912DC">
      <w:pPr>
        <w:shd w:val="clear" w:color="auto" w:fill="FFFFFF"/>
        <w:ind w:left="-5" w:hanging="10"/>
        <w:jc w:val="both"/>
        <w:rPr>
          <w:rFonts w:eastAsia="Georgia" w:cs="Arial"/>
          <w:sz w:val="22"/>
          <w:szCs w:val="22"/>
        </w:rPr>
      </w:pPr>
      <w:r w:rsidRPr="000F166D">
        <w:rPr>
          <w:rFonts w:eastAsia="Georgia" w:cs="Arial"/>
          <w:sz w:val="22"/>
          <w:szCs w:val="22"/>
        </w:rPr>
        <w:t xml:space="preserve">Predlog vrednosti za mikro financiranje je </w:t>
      </w:r>
      <w:r w:rsidRPr="000F166D">
        <w:rPr>
          <w:rFonts w:eastAsia="Georgia" w:cs="Arial"/>
          <w:b/>
          <w:sz w:val="22"/>
          <w:szCs w:val="22"/>
        </w:rPr>
        <w:t>60 mio EUR</w:t>
      </w:r>
      <w:r w:rsidRPr="000F166D">
        <w:rPr>
          <w:rFonts w:eastAsia="Georgia" w:cs="Arial"/>
          <w:sz w:val="22"/>
          <w:szCs w:val="22"/>
        </w:rPr>
        <w:t>, ki izhajajo iz TC3.</w:t>
      </w:r>
    </w:p>
    <w:p w14:paraId="1FD3F496" w14:textId="77777777" w:rsidR="004912DC" w:rsidRPr="000F166D" w:rsidRDefault="004912DC" w:rsidP="004912DC">
      <w:pPr>
        <w:shd w:val="clear" w:color="auto" w:fill="FFFFFF"/>
        <w:ind w:left="-5" w:hanging="10"/>
        <w:jc w:val="both"/>
        <w:rPr>
          <w:rFonts w:eastAsia="Georgia" w:cs="Arial"/>
          <w:sz w:val="22"/>
          <w:szCs w:val="22"/>
        </w:rPr>
      </w:pPr>
      <w:r w:rsidRPr="000F166D">
        <w:rPr>
          <w:rFonts w:eastAsia="Georgia" w:cs="Arial"/>
          <w:sz w:val="22"/>
          <w:szCs w:val="22"/>
        </w:rPr>
        <w:br/>
        <w:t>Pričakovan učinek finančnega vzvoda je 1,5 do 2,5.</w:t>
      </w:r>
    </w:p>
    <w:p w14:paraId="215AD74A" w14:textId="77777777" w:rsidR="004912DC" w:rsidRPr="000F166D" w:rsidRDefault="004912DC" w:rsidP="004912DC">
      <w:pPr>
        <w:shd w:val="clear" w:color="auto" w:fill="FFFFFF"/>
        <w:ind w:left="-5" w:hanging="10"/>
        <w:jc w:val="both"/>
        <w:rPr>
          <w:rFonts w:eastAsia="Georgia" w:cs="Arial"/>
          <w:sz w:val="22"/>
          <w:szCs w:val="22"/>
        </w:rPr>
      </w:pPr>
    </w:p>
    <w:p w14:paraId="3501FF96" w14:textId="77777777" w:rsidR="004912DC" w:rsidRPr="000F166D" w:rsidRDefault="004912DC" w:rsidP="004912DC">
      <w:pPr>
        <w:ind w:right="14"/>
        <w:jc w:val="both"/>
        <w:rPr>
          <w:rFonts w:eastAsia="Georgia" w:cs="Arial"/>
          <w:sz w:val="22"/>
          <w:szCs w:val="22"/>
          <w:lang w:eastAsia="sl-SI"/>
        </w:rPr>
      </w:pPr>
      <w:r w:rsidRPr="000F166D">
        <w:rPr>
          <w:rFonts w:eastAsia="Georgia" w:cs="Arial"/>
          <w:sz w:val="22"/>
          <w:szCs w:val="22"/>
          <w:lang w:eastAsia="sl-SI"/>
        </w:rPr>
        <w:t>Možna je kombinacija mikroposojil z nepovratnimi viri.</w:t>
      </w:r>
    </w:p>
    <w:p w14:paraId="28B6DED5" w14:textId="77777777" w:rsidR="004912DC" w:rsidRPr="000F166D" w:rsidRDefault="004912DC" w:rsidP="004912DC">
      <w:pPr>
        <w:ind w:right="14"/>
        <w:jc w:val="both"/>
        <w:rPr>
          <w:rFonts w:eastAsia="Georgia" w:cs="Arial"/>
          <w:sz w:val="22"/>
          <w:szCs w:val="22"/>
          <w:lang w:eastAsia="sl-SI"/>
        </w:rPr>
      </w:pPr>
      <w:r w:rsidRPr="000F166D">
        <w:rPr>
          <w:rFonts w:eastAsia="Georgia" w:cs="Arial"/>
          <w:sz w:val="22"/>
          <w:szCs w:val="22"/>
          <w:lang w:eastAsia="sl-SI"/>
        </w:rPr>
        <w:t xml:space="preserve"> </w:t>
      </w:r>
    </w:p>
    <w:p w14:paraId="0A8F53D8" w14:textId="77777777" w:rsidR="004912DC" w:rsidRPr="000F166D" w:rsidRDefault="004912DC" w:rsidP="004912DC">
      <w:pPr>
        <w:shd w:val="clear" w:color="auto" w:fill="FFFFFF"/>
        <w:ind w:left="-5" w:hanging="10"/>
        <w:jc w:val="both"/>
        <w:rPr>
          <w:rFonts w:eastAsia="Georgia" w:cs="Arial"/>
          <w:sz w:val="22"/>
          <w:szCs w:val="22"/>
        </w:rPr>
      </w:pPr>
      <w:r w:rsidRPr="000F166D">
        <w:rPr>
          <w:rFonts w:eastAsia="Georgia" w:cs="Arial"/>
          <w:sz w:val="22"/>
          <w:szCs w:val="22"/>
        </w:rPr>
        <w:t>Državne pomoči: mikrokrediti se presojajo skladno z relevantno shemo državne pomoči ali pomoči de minimis.</w:t>
      </w:r>
    </w:p>
    <w:p w14:paraId="37903D5E" w14:textId="77777777" w:rsidR="004912DC" w:rsidRPr="000F166D" w:rsidRDefault="004912DC" w:rsidP="004912DC">
      <w:pPr>
        <w:shd w:val="clear" w:color="auto" w:fill="FFFFFF"/>
        <w:jc w:val="both"/>
        <w:rPr>
          <w:rFonts w:eastAsia="Georgia" w:cs="Arial"/>
          <w:sz w:val="22"/>
          <w:szCs w:val="22"/>
          <w:lang w:eastAsia="sl-SI"/>
        </w:rPr>
      </w:pPr>
    </w:p>
    <w:p w14:paraId="338F05F5" w14:textId="77777777" w:rsidR="004912DC" w:rsidRPr="000F166D" w:rsidRDefault="004912DC" w:rsidP="004912DC">
      <w:pPr>
        <w:shd w:val="clear" w:color="auto" w:fill="FFFFFF"/>
        <w:ind w:left="-5" w:hanging="10"/>
        <w:jc w:val="both"/>
        <w:rPr>
          <w:rFonts w:eastAsia="Georgia" w:cs="Arial"/>
          <w:sz w:val="22"/>
          <w:szCs w:val="22"/>
          <w:lang w:eastAsia="sl-SI"/>
        </w:rPr>
      </w:pPr>
      <w:r w:rsidRPr="000F166D">
        <w:rPr>
          <w:rFonts w:eastAsia="Georgia" w:cs="Arial"/>
          <w:sz w:val="22"/>
          <w:szCs w:val="22"/>
          <w:lang w:eastAsia="sl-SI"/>
        </w:rPr>
        <w:t>Ciljne skupine so p</w:t>
      </w:r>
      <w:r w:rsidRPr="000F166D">
        <w:rPr>
          <w:rFonts w:eastAsia="Georgia" w:cs="Arial"/>
          <w:sz w:val="22"/>
          <w:szCs w:val="22"/>
        </w:rPr>
        <w:t>osamezniki in mikro in mala podjetja ter samostojni podjetniki.</w:t>
      </w:r>
    </w:p>
    <w:p w14:paraId="10E4546F" w14:textId="77777777" w:rsidR="004912DC" w:rsidRPr="000F166D" w:rsidRDefault="004912DC" w:rsidP="004912DC">
      <w:pPr>
        <w:shd w:val="clear" w:color="auto" w:fill="FFFFFF"/>
        <w:jc w:val="both"/>
        <w:rPr>
          <w:rFonts w:eastAsia="Georgia" w:cs="Arial"/>
          <w:sz w:val="22"/>
          <w:szCs w:val="22"/>
          <w:lang w:eastAsia="sl-SI"/>
        </w:rPr>
      </w:pPr>
    </w:p>
    <w:p w14:paraId="2287E44B" w14:textId="77777777" w:rsidR="004912DC" w:rsidRPr="000F166D" w:rsidRDefault="004912DC" w:rsidP="004912DC">
      <w:pPr>
        <w:keepNext/>
        <w:keepLines/>
        <w:widowControl w:val="0"/>
        <w:shd w:val="clear" w:color="auto" w:fill="FFFFFF"/>
        <w:jc w:val="both"/>
        <w:rPr>
          <w:rFonts w:eastAsia="Georgia" w:cs="Arial"/>
          <w:sz w:val="22"/>
          <w:szCs w:val="22"/>
          <w:lang w:eastAsia="sl-SI"/>
        </w:rPr>
      </w:pPr>
      <w:r w:rsidRPr="000F166D">
        <w:rPr>
          <w:rFonts w:eastAsia="Georgia" w:cs="Arial"/>
          <w:sz w:val="22"/>
          <w:szCs w:val="22"/>
          <w:lang w:eastAsia="sl-SI"/>
        </w:rPr>
        <w:t>Cilji:</w:t>
      </w:r>
    </w:p>
    <w:p w14:paraId="524DCD0A" w14:textId="77777777" w:rsidR="004912DC" w:rsidRPr="000F166D" w:rsidRDefault="004912DC" w:rsidP="004912DC">
      <w:pPr>
        <w:keepNext/>
        <w:keepLines/>
        <w:widowControl w:val="0"/>
        <w:numPr>
          <w:ilvl w:val="0"/>
          <w:numId w:val="35"/>
        </w:numPr>
        <w:spacing w:line="240" w:lineRule="auto"/>
        <w:jc w:val="both"/>
        <w:rPr>
          <w:rFonts w:eastAsia="Georgia" w:cs="Arial"/>
          <w:sz w:val="22"/>
          <w:szCs w:val="22"/>
        </w:rPr>
      </w:pPr>
      <w:r w:rsidRPr="000F166D">
        <w:rPr>
          <w:rFonts w:eastAsia="Georgia" w:cs="Arial"/>
          <w:sz w:val="22"/>
          <w:szCs w:val="22"/>
        </w:rPr>
        <w:t xml:space="preserve">Zmanjšanje specifičnih težav ciljnih skupin in končnih upravičencev pri dostopanju do financiranja, saj finančne institucije njihove projekte obravnavajo kot preveč tvegane/bančno neprimerne. </w:t>
      </w:r>
    </w:p>
    <w:p w14:paraId="0DBFD087" w14:textId="77777777" w:rsidR="004912DC" w:rsidRPr="000F166D" w:rsidRDefault="004912DC" w:rsidP="004912DC">
      <w:pPr>
        <w:numPr>
          <w:ilvl w:val="0"/>
          <w:numId w:val="35"/>
        </w:numPr>
        <w:spacing w:line="240" w:lineRule="auto"/>
        <w:jc w:val="both"/>
        <w:rPr>
          <w:rFonts w:eastAsia="Georgia" w:cs="Arial"/>
          <w:sz w:val="22"/>
          <w:szCs w:val="22"/>
        </w:rPr>
      </w:pPr>
      <w:r w:rsidRPr="000F166D">
        <w:rPr>
          <w:rFonts w:eastAsia="Georgia" w:cs="Arial"/>
          <w:sz w:val="22"/>
          <w:szCs w:val="22"/>
        </w:rPr>
        <w:t xml:space="preserve">Vzpostavitev finančne sheme delitve tveganja s finančnimi posredniki v smislu zagotavljanja posojil v zelo majhnih zneskih za bančno neprimerne posameznike, ki financiranje potrebujejo za izboljšan dostop do trga dela. </w:t>
      </w:r>
    </w:p>
    <w:p w14:paraId="12AF80FF" w14:textId="77777777" w:rsidR="004912DC" w:rsidRPr="000F166D" w:rsidRDefault="004912DC" w:rsidP="004912DC">
      <w:pPr>
        <w:shd w:val="clear" w:color="auto" w:fill="FFFFFF"/>
        <w:ind w:left="-5" w:hanging="10"/>
        <w:jc w:val="both"/>
        <w:rPr>
          <w:rFonts w:eastAsia="Georgia" w:cs="Arial"/>
          <w:sz w:val="22"/>
          <w:szCs w:val="22"/>
          <w:lang w:eastAsia="sl-SI"/>
        </w:rPr>
      </w:pPr>
    </w:p>
    <w:p w14:paraId="71F461B8" w14:textId="77777777" w:rsidR="004912DC" w:rsidRPr="000F166D" w:rsidRDefault="004912DC" w:rsidP="004912DC">
      <w:pPr>
        <w:shd w:val="clear" w:color="auto" w:fill="FFFFFF"/>
        <w:ind w:left="-5" w:hanging="10"/>
        <w:jc w:val="both"/>
        <w:rPr>
          <w:rFonts w:eastAsia="Georgia" w:cs="Arial"/>
          <w:sz w:val="22"/>
          <w:szCs w:val="22"/>
          <w:lang w:eastAsia="sl-SI"/>
        </w:rPr>
      </w:pPr>
      <w:r w:rsidRPr="000F166D">
        <w:rPr>
          <w:rFonts w:eastAsia="Georgia" w:cs="Arial"/>
          <w:sz w:val="22"/>
          <w:szCs w:val="22"/>
          <w:lang w:eastAsia="sl-SI"/>
        </w:rPr>
        <w:t>Kazalniki:</w:t>
      </w:r>
    </w:p>
    <w:p w14:paraId="4755BAB1" w14:textId="77777777" w:rsidR="004912DC" w:rsidRPr="000F166D" w:rsidRDefault="004912DC" w:rsidP="004912DC">
      <w:pPr>
        <w:numPr>
          <w:ilvl w:val="0"/>
          <w:numId w:val="35"/>
        </w:numPr>
        <w:spacing w:line="240" w:lineRule="auto"/>
        <w:jc w:val="both"/>
        <w:rPr>
          <w:rFonts w:eastAsia="Georgia" w:cs="Arial"/>
          <w:sz w:val="22"/>
          <w:szCs w:val="22"/>
        </w:rPr>
      </w:pPr>
      <w:r w:rsidRPr="000F166D">
        <w:rPr>
          <w:rFonts w:eastAsia="Georgia" w:cs="Arial"/>
          <w:sz w:val="22"/>
          <w:szCs w:val="22"/>
        </w:rPr>
        <w:t xml:space="preserve">Število podprtih mikro in malih podjetij in podjetnikov; </w:t>
      </w:r>
    </w:p>
    <w:p w14:paraId="3EE7F30A" w14:textId="77777777" w:rsidR="004912DC" w:rsidRPr="000F166D" w:rsidRDefault="004912DC" w:rsidP="004912DC">
      <w:pPr>
        <w:numPr>
          <w:ilvl w:val="0"/>
          <w:numId w:val="35"/>
        </w:numPr>
        <w:spacing w:line="240" w:lineRule="auto"/>
        <w:jc w:val="both"/>
        <w:rPr>
          <w:rFonts w:eastAsia="Georgia" w:cs="Arial"/>
          <w:sz w:val="22"/>
          <w:szCs w:val="22"/>
        </w:rPr>
      </w:pPr>
      <w:r w:rsidRPr="000F166D">
        <w:rPr>
          <w:rFonts w:eastAsia="Georgia" w:cs="Arial"/>
          <w:sz w:val="22"/>
          <w:szCs w:val="22"/>
        </w:rPr>
        <w:t xml:space="preserve">Število novo zaposlenih; </w:t>
      </w:r>
    </w:p>
    <w:p w14:paraId="63639F32" w14:textId="77777777" w:rsidR="004912DC" w:rsidRPr="000F166D" w:rsidRDefault="004912DC" w:rsidP="004912DC">
      <w:pPr>
        <w:numPr>
          <w:ilvl w:val="0"/>
          <w:numId w:val="35"/>
        </w:numPr>
        <w:spacing w:line="240" w:lineRule="auto"/>
        <w:jc w:val="both"/>
        <w:rPr>
          <w:rFonts w:eastAsia="Georgia" w:cs="Arial"/>
          <w:sz w:val="22"/>
          <w:szCs w:val="22"/>
        </w:rPr>
      </w:pPr>
      <w:r w:rsidRPr="000F166D">
        <w:rPr>
          <w:rFonts w:eastAsia="Georgia" w:cs="Arial"/>
          <w:sz w:val="22"/>
          <w:szCs w:val="22"/>
        </w:rPr>
        <w:t>Finančni vzvod.</w:t>
      </w:r>
    </w:p>
    <w:p w14:paraId="7FDF35D3" w14:textId="77777777" w:rsidR="004912DC" w:rsidRPr="000F166D" w:rsidRDefault="004912DC" w:rsidP="004912DC">
      <w:pPr>
        <w:shd w:val="clear" w:color="auto" w:fill="FFFFFF"/>
        <w:spacing w:after="9"/>
        <w:ind w:left="-5" w:hanging="10"/>
        <w:jc w:val="both"/>
        <w:rPr>
          <w:rFonts w:eastAsia="Georgia" w:cs="Arial"/>
          <w:sz w:val="22"/>
          <w:lang w:eastAsia="sl-SI"/>
        </w:rPr>
      </w:pPr>
    </w:p>
    <w:p w14:paraId="3120D8BD" w14:textId="77777777" w:rsidR="004912DC" w:rsidRPr="000F166D" w:rsidRDefault="004912DC" w:rsidP="004912DC">
      <w:pPr>
        <w:keepNext/>
        <w:keepLines/>
        <w:spacing w:before="40"/>
        <w:jc w:val="both"/>
        <w:outlineLvl w:val="4"/>
        <w:rPr>
          <w:rFonts w:eastAsia="Georgia" w:cs="Arial"/>
          <w:color w:val="2E74B5"/>
          <w:sz w:val="22"/>
          <w:lang w:eastAsia="sl-SI"/>
        </w:rPr>
      </w:pPr>
      <w:r w:rsidRPr="000F166D">
        <w:rPr>
          <w:rFonts w:eastAsia="Georgia" w:cs="Arial"/>
          <w:color w:val="2E74B5"/>
          <w:sz w:val="22"/>
          <w:lang w:eastAsia="sl-SI"/>
        </w:rPr>
        <w:t>3.2.2.3 Lastniško financiranje</w:t>
      </w:r>
    </w:p>
    <w:p w14:paraId="54279284" w14:textId="77777777" w:rsidR="004912DC" w:rsidRPr="000F166D" w:rsidRDefault="004912DC" w:rsidP="004912DC">
      <w:pPr>
        <w:spacing w:after="9"/>
        <w:ind w:left="-5" w:hanging="10"/>
        <w:jc w:val="both"/>
        <w:rPr>
          <w:rFonts w:eastAsia="Georgia" w:cs="Arial"/>
          <w:sz w:val="22"/>
          <w:szCs w:val="22"/>
          <w:lang w:eastAsia="sl-SI"/>
        </w:rPr>
      </w:pPr>
      <w:r w:rsidRPr="000F166D">
        <w:rPr>
          <w:rFonts w:eastAsia="Georgia" w:cs="Arial"/>
          <w:sz w:val="22"/>
          <w:szCs w:val="22"/>
          <w:lang w:eastAsia="sl-SI"/>
        </w:rPr>
        <w:t>Gre za produkt, ki zagotavlja lastniško financiranje za MSP (lastniško in kvazi-lastniško).</w:t>
      </w:r>
    </w:p>
    <w:p w14:paraId="0D2CB337" w14:textId="77777777" w:rsidR="004912DC" w:rsidRPr="000F166D" w:rsidRDefault="004912DC" w:rsidP="004912DC">
      <w:pPr>
        <w:jc w:val="both"/>
        <w:rPr>
          <w:rFonts w:eastAsia="Georgia" w:cs="Arial"/>
          <w:sz w:val="22"/>
          <w:szCs w:val="22"/>
          <w:lang w:eastAsia="sl-SI"/>
        </w:rPr>
      </w:pPr>
    </w:p>
    <w:p w14:paraId="06E3EF9E" w14:textId="77777777" w:rsidR="004912DC" w:rsidRPr="000F166D" w:rsidRDefault="004912DC" w:rsidP="004912DC">
      <w:pPr>
        <w:spacing w:after="67"/>
        <w:ind w:left="5"/>
        <w:jc w:val="both"/>
        <w:rPr>
          <w:rFonts w:eastAsia="Georgia" w:cs="Arial"/>
          <w:sz w:val="22"/>
          <w:szCs w:val="22"/>
        </w:rPr>
      </w:pPr>
      <w:r w:rsidRPr="000F166D">
        <w:rPr>
          <w:rFonts w:eastAsia="Georgia" w:cs="Arial"/>
          <w:sz w:val="22"/>
          <w:szCs w:val="22"/>
        </w:rPr>
        <w:t>Predviden znesek v OP 2014 - 2020 je 40 mio EUR. Skladno s Predhodno analizo FI pa je predlog vrednosti lastniškega financiranja 30 mio EUR iz TC 3 in TC 1. Predlagana višina sredstev za izvedbo lastniškega financiranja pa je</w:t>
      </w:r>
      <w:r w:rsidRPr="000F166D">
        <w:rPr>
          <w:rFonts w:eastAsia="Georgia" w:cs="Arial"/>
          <w:b/>
          <w:sz w:val="22"/>
          <w:szCs w:val="22"/>
        </w:rPr>
        <w:t xml:space="preserve"> 10 mio EUR</w:t>
      </w:r>
      <w:r w:rsidRPr="000F166D">
        <w:rPr>
          <w:rFonts w:eastAsia="Georgia" w:cs="Arial"/>
          <w:sz w:val="22"/>
          <w:szCs w:val="22"/>
        </w:rPr>
        <w:t xml:space="preserve"> pod TC3 za MSP. Lastniško financiranje za velika podjetja (TC 1) trenutno ni predvideno.</w:t>
      </w:r>
    </w:p>
    <w:p w14:paraId="716C416F" w14:textId="77777777" w:rsidR="004912DC" w:rsidRPr="000F166D" w:rsidRDefault="004912DC" w:rsidP="004912DC">
      <w:pPr>
        <w:ind w:right="24"/>
        <w:jc w:val="both"/>
        <w:rPr>
          <w:rFonts w:eastAsia="Georgia" w:cs="Arial"/>
          <w:sz w:val="22"/>
          <w:szCs w:val="22"/>
        </w:rPr>
      </w:pPr>
    </w:p>
    <w:p w14:paraId="611732A3" w14:textId="77777777" w:rsidR="004912DC" w:rsidRPr="000F166D" w:rsidRDefault="004912DC" w:rsidP="004912DC">
      <w:pPr>
        <w:spacing w:after="9"/>
        <w:ind w:left="-5" w:hanging="10"/>
        <w:jc w:val="both"/>
        <w:rPr>
          <w:rFonts w:eastAsia="Georgia" w:cs="Arial"/>
          <w:sz w:val="22"/>
          <w:szCs w:val="22"/>
          <w:lang w:eastAsia="sl-SI"/>
        </w:rPr>
      </w:pPr>
      <w:r w:rsidRPr="000F166D">
        <w:rPr>
          <w:rFonts w:eastAsia="Georgia" w:cs="Arial"/>
          <w:sz w:val="22"/>
          <w:szCs w:val="22"/>
          <w:lang w:eastAsia="sl-SI"/>
        </w:rPr>
        <w:t xml:space="preserve">Državne pomoči: </w:t>
      </w:r>
      <w:r w:rsidRPr="000F166D">
        <w:rPr>
          <w:rFonts w:eastAsia="Georgia" w:cs="Arial"/>
          <w:sz w:val="22"/>
          <w:szCs w:val="22"/>
        </w:rPr>
        <w:t>ukrep se presoja skladno z relevantno shemo državne pomoči ali pomoči de minimis.</w:t>
      </w:r>
    </w:p>
    <w:p w14:paraId="51FE8608" w14:textId="77777777" w:rsidR="004912DC" w:rsidRPr="000F166D" w:rsidRDefault="004912DC" w:rsidP="004912DC">
      <w:pPr>
        <w:spacing w:after="9"/>
        <w:ind w:left="-5" w:hanging="10"/>
        <w:jc w:val="both"/>
        <w:rPr>
          <w:rFonts w:eastAsia="Georgia" w:cs="Arial"/>
          <w:sz w:val="22"/>
          <w:szCs w:val="22"/>
          <w:lang w:eastAsia="sl-SI"/>
        </w:rPr>
      </w:pPr>
    </w:p>
    <w:p w14:paraId="2C68D38C" w14:textId="77777777" w:rsidR="004912DC" w:rsidRPr="000F166D" w:rsidRDefault="004912DC" w:rsidP="004912DC">
      <w:pPr>
        <w:ind w:right="45"/>
        <w:jc w:val="both"/>
        <w:rPr>
          <w:rFonts w:eastAsia="Georgia" w:cs="Arial"/>
          <w:sz w:val="22"/>
          <w:szCs w:val="22"/>
        </w:rPr>
      </w:pPr>
      <w:r w:rsidRPr="000F166D">
        <w:rPr>
          <w:rFonts w:eastAsia="Georgia" w:cs="Arial"/>
          <w:sz w:val="22"/>
          <w:szCs w:val="22"/>
          <w:lang w:eastAsia="sl-SI"/>
        </w:rPr>
        <w:t xml:space="preserve">Možna je kombinacija lastniškega financiranja z nepovratnimi viri. </w:t>
      </w:r>
    </w:p>
    <w:p w14:paraId="4C887840" w14:textId="77777777" w:rsidR="004912DC" w:rsidRPr="000F166D" w:rsidRDefault="004912DC" w:rsidP="004912DC">
      <w:pPr>
        <w:spacing w:after="9"/>
        <w:ind w:left="-5" w:hanging="10"/>
        <w:jc w:val="both"/>
        <w:rPr>
          <w:rFonts w:eastAsia="Georgia" w:cs="Arial"/>
          <w:sz w:val="22"/>
          <w:szCs w:val="22"/>
          <w:lang w:eastAsia="sl-SI"/>
        </w:rPr>
      </w:pPr>
    </w:p>
    <w:p w14:paraId="2A7A19A6" w14:textId="77777777" w:rsidR="004912DC" w:rsidRPr="000F166D" w:rsidRDefault="004912DC" w:rsidP="004912DC">
      <w:pPr>
        <w:ind w:right="24"/>
        <w:jc w:val="both"/>
        <w:rPr>
          <w:rFonts w:eastAsia="Georgia" w:cs="Arial"/>
          <w:sz w:val="22"/>
          <w:szCs w:val="22"/>
        </w:rPr>
      </w:pPr>
      <w:r w:rsidRPr="000F166D">
        <w:rPr>
          <w:rFonts w:eastAsia="Georgia" w:cs="Arial"/>
          <w:sz w:val="22"/>
          <w:szCs w:val="22"/>
        </w:rPr>
        <w:t>Ciljne skupine: MSP.</w:t>
      </w:r>
    </w:p>
    <w:p w14:paraId="2936CC73" w14:textId="77777777" w:rsidR="004912DC" w:rsidRPr="000F166D" w:rsidRDefault="004912DC" w:rsidP="004912DC">
      <w:pPr>
        <w:ind w:left="-5" w:hanging="10"/>
        <w:jc w:val="both"/>
        <w:rPr>
          <w:rFonts w:eastAsia="Georgia" w:cs="Arial"/>
          <w:sz w:val="22"/>
          <w:szCs w:val="22"/>
          <w:lang w:eastAsia="sl-SI"/>
        </w:rPr>
      </w:pPr>
    </w:p>
    <w:p w14:paraId="364E14C5" w14:textId="77777777" w:rsidR="004912DC" w:rsidRPr="000F166D" w:rsidRDefault="004912DC" w:rsidP="004912DC">
      <w:pPr>
        <w:ind w:left="-5" w:hanging="10"/>
        <w:jc w:val="both"/>
        <w:rPr>
          <w:rFonts w:eastAsia="Georgia" w:cs="Arial"/>
          <w:sz w:val="22"/>
          <w:szCs w:val="22"/>
          <w:lang w:eastAsia="sl-SI"/>
        </w:rPr>
      </w:pPr>
      <w:r w:rsidRPr="000F166D">
        <w:rPr>
          <w:rFonts w:eastAsia="Georgia" w:cs="Arial"/>
          <w:sz w:val="22"/>
          <w:szCs w:val="22"/>
          <w:lang w:eastAsia="sl-SI"/>
        </w:rPr>
        <w:lastRenderedPageBreak/>
        <w:t>Cilji so:</w:t>
      </w:r>
    </w:p>
    <w:p w14:paraId="6C7F9DDC" w14:textId="77777777" w:rsidR="004912DC" w:rsidRPr="000F166D" w:rsidRDefault="004912DC" w:rsidP="004912DC">
      <w:pPr>
        <w:numPr>
          <w:ilvl w:val="0"/>
          <w:numId w:val="35"/>
        </w:numPr>
        <w:spacing w:line="240" w:lineRule="auto"/>
        <w:jc w:val="both"/>
        <w:rPr>
          <w:rFonts w:eastAsia="Georgia" w:cs="Arial"/>
          <w:sz w:val="22"/>
          <w:szCs w:val="22"/>
        </w:rPr>
      </w:pPr>
      <w:r w:rsidRPr="000F166D">
        <w:rPr>
          <w:rFonts w:eastAsia="Georgia" w:cs="Arial"/>
          <w:sz w:val="22"/>
          <w:szCs w:val="22"/>
        </w:rPr>
        <w:t xml:space="preserve">Izboljšati lastniško in kvazi-lastniško financiranje za podjetja v semenski fazi, fazi oblikovanja, fazi razvoja in fazi preobrata; </w:t>
      </w:r>
    </w:p>
    <w:p w14:paraId="76D7E805" w14:textId="77777777" w:rsidR="004912DC" w:rsidRPr="000F166D" w:rsidRDefault="004912DC" w:rsidP="004912DC">
      <w:pPr>
        <w:numPr>
          <w:ilvl w:val="0"/>
          <w:numId w:val="35"/>
        </w:numPr>
        <w:spacing w:line="240" w:lineRule="auto"/>
        <w:jc w:val="both"/>
        <w:rPr>
          <w:rFonts w:eastAsia="Georgia" w:cs="Arial"/>
          <w:sz w:val="22"/>
          <w:szCs w:val="22"/>
        </w:rPr>
      </w:pPr>
      <w:r w:rsidRPr="000F166D">
        <w:rPr>
          <w:rFonts w:eastAsia="Georgia" w:cs="Arial"/>
          <w:sz w:val="22"/>
          <w:szCs w:val="22"/>
        </w:rPr>
        <w:t xml:space="preserve">Podpora podjetjem v vseh fazah na podlagi dobrega poslovnega načrta; </w:t>
      </w:r>
    </w:p>
    <w:p w14:paraId="53ED059F" w14:textId="77777777" w:rsidR="004912DC" w:rsidRPr="000F166D" w:rsidRDefault="004912DC" w:rsidP="004912DC">
      <w:pPr>
        <w:numPr>
          <w:ilvl w:val="0"/>
          <w:numId w:val="35"/>
        </w:numPr>
        <w:spacing w:line="240" w:lineRule="auto"/>
        <w:jc w:val="both"/>
        <w:rPr>
          <w:rFonts w:eastAsia="Georgia" w:cs="Arial"/>
          <w:sz w:val="22"/>
          <w:szCs w:val="22"/>
        </w:rPr>
      </w:pPr>
      <w:r w:rsidRPr="000F166D">
        <w:rPr>
          <w:rFonts w:eastAsia="Georgia" w:cs="Arial"/>
          <w:sz w:val="22"/>
          <w:szCs w:val="22"/>
        </w:rPr>
        <w:t xml:space="preserve">Izboljšanje kapitalizacije MSP z visokim potencialom rasti v Sloveniji </w:t>
      </w:r>
    </w:p>
    <w:p w14:paraId="46FD7DB4" w14:textId="77777777" w:rsidR="004912DC" w:rsidRPr="000F166D" w:rsidRDefault="004912DC" w:rsidP="004912DC">
      <w:pPr>
        <w:numPr>
          <w:ilvl w:val="0"/>
          <w:numId w:val="35"/>
        </w:numPr>
        <w:spacing w:line="240" w:lineRule="auto"/>
        <w:jc w:val="both"/>
        <w:rPr>
          <w:rFonts w:eastAsia="Georgia" w:cs="Arial"/>
          <w:sz w:val="22"/>
          <w:szCs w:val="22"/>
        </w:rPr>
      </w:pPr>
      <w:r w:rsidRPr="000F166D">
        <w:rPr>
          <w:rFonts w:eastAsia="Georgia" w:cs="Arial"/>
          <w:sz w:val="22"/>
          <w:szCs w:val="22"/>
        </w:rPr>
        <w:t xml:space="preserve">Spodbujanje oblikovanja kapitalskega trga v Sloveniji, vključno s poslovnimi angeli; </w:t>
      </w:r>
    </w:p>
    <w:p w14:paraId="05CC2D2C" w14:textId="77777777" w:rsidR="004912DC" w:rsidRPr="000F166D" w:rsidRDefault="004912DC" w:rsidP="004912DC">
      <w:pPr>
        <w:numPr>
          <w:ilvl w:val="0"/>
          <w:numId w:val="35"/>
        </w:numPr>
        <w:spacing w:line="240" w:lineRule="auto"/>
        <w:jc w:val="both"/>
        <w:rPr>
          <w:rFonts w:eastAsia="Georgia" w:cs="Arial"/>
          <w:sz w:val="22"/>
          <w:szCs w:val="22"/>
        </w:rPr>
      </w:pPr>
      <w:r w:rsidRPr="000F166D">
        <w:rPr>
          <w:rFonts w:eastAsia="Georgia" w:cs="Arial"/>
          <w:sz w:val="22"/>
          <w:szCs w:val="22"/>
        </w:rPr>
        <w:t>Dopolnitev obstoječe ponudbe lastniškega financiranja, so-vlaganje skupaj z upravljalci trga (poslovni angeli, naložbeni skladi, itd.), ki so prisotni v državi, in pritegnitev zunanjih investitorjev, ki običajno niso dejavni v državi.</w:t>
      </w:r>
    </w:p>
    <w:p w14:paraId="04EDAF1B" w14:textId="77777777" w:rsidR="004912DC" w:rsidRPr="000F166D" w:rsidRDefault="004912DC" w:rsidP="004912DC">
      <w:pPr>
        <w:jc w:val="both"/>
        <w:rPr>
          <w:rFonts w:eastAsia="Georgia" w:cs="Arial"/>
          <w:sz w:val="22"/>
          <w:szCs w:val="22"/>
        </w:rPr>
      </w:pPr>
    </w:p>
    <w:p w14:paraId="2D63422D" w14:textId="77777777" w:rsidR="004912DC" w:rsidRPr="000F166D" w:rsidRDefault="004912DC" w:rsidP="004912DC">
      <w:pPr>
        <w:jc w:val="both"/>
        <w:rPr>
          <w:rFonts w:eastAsia="Georgia" w:cs="Arial"/>
          <w:sz w:val="22"/>
          <w:szCs w:val="22"/>
        </w:rPr>
      </w:pPr>
      <w:r w:rsidRPr="000F166D">
        <w:rPr>
          <w:rFonts w:eastAsia="Georgia" w:cs="Arial"/>
          <w:sz w:val="22"/>
          <w:szCs w:val="22"/>
        </w:rPr>
        <w:t>Kazalniki spremljanja:</w:t>
      </w:r>
    </w:p>
    <w:p w14:paraId="53EE87FF" w14:textId="77777777" w:rsidR="004912DC" w:rsidRPr="000F166D" w:rsidRDefault="004912DC" w:rsidP="004912DC">
      <w:pPr>
        <w:numPr>
          <w:ilvl w:val="0"/>
          <w:numId w:val="35"/>
        </w:numPr>
        <w:spacing w:line="240" w:lineRule="auto"/>
        <w:jc w:val="both"/>
        <w:rPr>
          <w:rFonts w:eastAsia="Georgia" w:cs="Arial"/>
          <w:sz w:val="22"/>
          <w:szCs w:val="22"/>
        </w:rPr>
      </w:pPr>
      <w:r w:rsidRPr="000F166D">
        <w:rPr>
          <w:rFonts w:eastAsia="Georgia" w:cs="Arial"/>
          <w:sz w:val="22"/>
          <w:szCs w:val="22"/>
        </w:rPr>
        <w:t xml:space="preserve">Število podprtih MSP (mikro, mala, srednje velika podjetja) in podjetnikov; </w:t>
      </w:r>
    </w:p>
    <w:p w14:paraId="00E41EB4" w14:textId="77777777" w:rsidR="004912DC" w:rsidRPr="000F166D" w:rsidRDefault="004912DC" w:rsidP="004912DC">
      <w:pPr>
        <w:numPr>
          <w:ilvl w:val="0"/>
          <w:numId w:val="35"/>
        </w:numPr>
        <w:spacing w:line="240" w:lineRule="auto"/>
        <w:jc w:val="both"/>
        <w:rPr>
          <w:rFonts w:eastAsia="Georgia" w:cs="Arial"/>
          <w:sz w:val="22"/>
          <w:szCs w:val="22"/>
        </w:rPr>
      </w:pPr>
      <w:r w:rsidRPr="000F166D">
        <w:rPr>
          <w:rFonts w:eastAsia="Georgia" w:cs="Arial"/>
          <w:sz w:val="22"/>
          <w:szCs w:val="22"/>
        </w:rPr>
        <w:t xml:space="preserve">Število zaposlenih v MSP ob vključitvi v portfelj; </w:t>
      </w:r>
    </w:p>
    <w:p w14:paraId="4A7A836E" w14:textId="77777777" w:rsidR="004912DC" w:rsidRPr="000F166D" w:rsidRDefault="004912DC" w:rsidP="004912DC">
      <w:pPr>
        <w:numPr>
          <w:ilvl w:val="0"/>
          <w:numId w:val="35"/>
        </w:numPr>
        <w:spacing w:line="240" w:lineRule="auto"/>
        <w:jc w:val="both"/>
        <w:rPr>
          <w:rFonts w:eastAsia="Georgia" w:cs="Arial"/>
          <w:sz w:val="22"/>
          <w:szCs w:val="22"/>
        </w:rPr>
      </w:pPr>
      <w:r w:rsidRPr="000F166D">
        <w:rPr>
          <w:rFonts w:eastAsia="Georgia" w:cs="Arial"/>
          <w:sz w:val="22"/>
          <w:szCs w:val="22"/>
        </w:rPr>
        <w:t>Število novih zaposlitev;</w:t>
      </w:r>
    </w:p>
    <w:p w14:paraId="5910FAF6" w14:textId="77777777" w:rsidR="004912DC" w:rsidRPr="000F166D" w:rsidRDefault="004912DC" w:rsidP="004912DC">
      <w:pPr>
        <w:numPr>
          <w:ilvl w:val="0"/>
          <w:numId w:val="35"/>
        </w:numPr>
        <w:spacing w:line="240" w:lineRule="auto"/>
        <w:jc w:val="both"/>
        <w:rPr>
          <w:rFonts w:eastAsia="Georgia" w:cs="Arial"/>
          <w:sz w:val="22"/>
          <w:szCs w:val="22"/>
        </w:rPr>
      </w:pPr>
      <w:r w:rsidRPr="000F166D">
        <w:rPr>
          <w:rFonts w:eastAsia="Georgia" w:cs="Arial"/>
          <w:sz w:val="22"/>
          <w:szCs w:val="22"/>
        </w:rPr>
        <w:t xml:space="preserve">Skupen zagotovljen znesek; </w:t>
      </w:r>
    </w:p>
    <w:p w14:paraId="7B78992A" w14:textId="77777777" w:rsidR="004912DC" w:rsidRPr="000F166D" w:rsidRDefault="004912DC" w:rsidP="004912DC">
      <w:pPr>
        <w:numPr>
          <w:ilvl w:val="0"/>
          <w:numId w:val="35"/>
        </w:numPr>
        <w:spacing w:line="240" w:lineRule="auto"/>
        <w:jc w:val="both"/>
        <w:rPr>
          <w:rFonts w:eastAsia="Georgia" w:cs="Arial"/>
          <w:sz w:val="22"/>
          <w:szCs w:val="22"/>
        </w:rPr>
      </w:pPr>
      <w:r w:rsidRPr="000F166D">
        <w:rPr>
          <w:rFonts w:eastAsia="Georgia" w:cs="Arial"/>
          <w:sz w:val="22"/>
          <w:szCs w:val="22"/>
        </w:rPr>
        <w:t>Finančni vzvod.</w:t>
      </w:r>
    </w:p>
    <w:p w14:paraId="5C98CC61" w14:textId="77777777" w:rsidR="004912DC" w:rsidRPr="000F166D" w:rsidRDefault="004912DC" w:rsidP="004912DC">
      <w:pPr>
        <w:jc w:val="both"/>
        <w:rPr>
          <w:rFonts w:eastAsia="Georgia" w:cs="Arial"/>
          <w:sz w:val="22"/>
        </w:rPr>
      </w:pPr>
    </w:p>
    <w:p w14:paraId="6CE58345" w14:textId="77777777" w:rsidR="004912DC" w:rsidRPr="000F166D" w:rsidRDefault="004912DC" w:rsidP="004912DC">
      <w:pPr>
        <w:keepNext/>
        <w:keepLines/>
        <w:widowControl w:val="0"/>
        <w:spacing w:before="40"/>
        <w:jc w:val="both"/>
        <w:outlineLvl w:val="3"/>
        <w:rPr>
          <w:rFonts w:eastAsia="Georgia" w:cs="Arial"/>
          <w:b/>
          <w:iCs/>
          <w:color w:val="2E74B5"/>
          <w:sz w:val="22"/>
          <w:lang w:eastAsia="sl-SI"/>
        </w:rPr>
      </w:pPr>
      <w:r w:rsidRPr="000F166D">
        <w:rPr>
          <w:rFonts w:eastAsia="Georgia" w:cs="Arial"/>
          <w:b/>
          <w:i/>
          <w:iCs/>
          <w:color w:val="2E74B5"/>
          <w:sz w:val="22"/>
          <w:lang w:eastAsia="sl-SI"/>
        </w:rPr>
        <w:t xml:space="preserve">3.2.3 Finančni instrument za energetsko učinkovitost </w:t>
      </w:r>
    </w:p>
    <w:p w14:paraId="3BE9ECB2" w14:textId="77777777" w:rsidR="004912DC" w:rsidRPr="000F166D" w:rsidRDefault="004912DC" w:rsidP="004912DC">
      <w:pPr>
        <w:keepNext/>
        <w:keepLines/>
        <w:widowControl w:val="0"/>
        <w:ind w:left="-15" w:right="14" w:firstLine="2"/>
        <w:jc w:val="both"/>
        <w:rPr>
          <w:rFonts w:eastAsia="Georgia" w:cs="Arial"/>
          <w:sz w:val="22"/>
          <w:lang w:eastAsia="sl-SI"/>
        </w:rPr>
      </w:pPr>
    </w:p>
    <w:p w14:paraId="182A419B" w14:textId="77777777" w:rsidR="004912DC" w:rsidRPr="000F166D" w:rsidRDefault="004912DC" w:rsidP="004912DC">
      <w:pPr>
        <w:keepNext/>
        <w:keepLines/>
        <w:widowControl w:val="0"/>
        <w:jc w:val="both"/>
        <w:rPr>
          <w:rFonts w:eastAsia="Georgia" w:cs="Arial"/>
          <w:sz w:val="22"/>
          <w:szCs w:val="22"/>
        </w:rPr>
      </w:pPr>
      <w:bookmarkStart w:id="78" w:name="_Toc66786230"/>
      <w:r w:rsidRPr="00A75659">
        <w:rPr>
          <w:rFonts w:cs="Arial"/>
          <w:sz w:val="22"/>
          <w:szCs w:val="22"/>
        </w:rPr>
        <w:t xml:space="preserve">Tabela </w:t>
      </w:r>
      <w:r w:rsidRPr="00A75659">
        <w:rPr>
          <w:rFonts w:cs="Arial"/>
          <w:sz w:val="22"/>
          <w:szCs w:val="22"/>
        </w:rPr>
        <w:fldChar w:fldCharType="begin"/>
      </w:r>
      <w:r w:rsidRPr="00A75659">
        <w:rPr>
          <w:rFonts w:cs="Arial"/>
          <w:sz w:val="22"/>
          <w:szCs w:val="22"/>
        </w:rPr>
        <w:instrText xml:space="preserve"> SEQ Tabela \* ARABIC </w:instrText>
      </w:r>
      <w:r w:rsidRPr="00A75659">
        <w:rPr>
          <w:rFonts w:cs="Arial"/>
          <w:sz w:val="22"/>
          <w:szCs w:val="22"/>
        </w:rPr>
        <w:fldChar w:fldCharType="separate"/>
      </w:r>
      <w:r>
        <w:rPr>
          <w:rFonts w:cs="Arial"/>
          <w:noProof/>
          <w:sz w:val="22"/>
          <w:szCs w:val="22"/>
        </w:rPr>
        <w:t>11</w:t>
      </w:r>
      <w:r w:rsidRPr="00A75659">
        <w:rPr>
          <w:rFonts w:cs="Arial"/>
          <w:sz w:val="22"/>
          <w:szCs w:val="22"/>
        </w:rPr>
        <w:fldChar w:fldCharType="end"/>
      </w:r>
      <w:r w:rsidRPr="00A75659">
        <w:rPr>
          <w:rFonts w:cs="Arial"/>
          <w:sz w:val="22"/>
          <w:szCs w:val="22"/>
        </w:rPr>
        <w:t>:</w:t>
      </w:r>
      <w:r w:rsidRPr="000F166D">
        <w:rPr>
          <w:rFonts w:eastAsia="Georgia" w:cs="Arial"/>
          <w:sz w:val="22"/>
          <w:szCs w:val="22"/>
        </w:rPr>
        <w:t xml:space="preserve"> Predvideni finančni produkti za področje energetske učinkovitosti</w:t>
      </w:r>
      <w:bookmarkEnd w:id="78"/>
      <w:r w:rsidRPr="000F166D">
        <w:rPr>
          <w:rFonts w:eastAsia="Georgia" w:cs="Arial"/>
          <w:sz w:val="22"/>
          <w:szCs w:val="22"/>
        </w:rPr>
        <w:t xml:space="preserve"> </w:t>
      </w:r>
    </w:p>
    <w:tbl>
      <w:tblPr>
        <w:tblStyle w:val="Tabelamrea"/>
        <w:tblW w:w="5248" w:type="pct"/>
        <w:tblLook w:val="04A0" w:firstRow="1" w:lastRow="0" w:firstColumn="1" w:lastColumn="0" w:noHBand="0" w:noVBand="1"/>
      </w:tblPr>
      <w:tblGrid>
        <w:gridCol w:w="2688"/>
        <w:gridCol w:w="1638"/>
        <w:gridCol w:w="1992"/>
        <w:gridCol w:w="2205"/>
        <w:gridCol w:w="1821"/>
      </w:tblGrid>
      <w:tr w:rsidR="004912DC" w:rsidRPr="000F166D" w14:paraId="6239A9FA" w14:textId="77777777" w:rsidTr="00906890">
        <w:tc>
          <w:tcPr>
            <w:tcW w:w="1299" w:type="pct"/>
            <w:vAlign w:val="center"/>
          </w:tcPr>
          <w:p w14:paraId="2823A217" w14:textId="77777777" w:rsidR="004912DC" w:rsidRPr="000F166D" w:rsidRDefault="004912DC" w:rsidP="00906890">
            <w:pPr>
              <w:keepNext/>
              <w:keepLines/>
              <w:widowControl w:val="0"/>
              <w:autoSpaceDE w:val="0"/>
              <w:autoSpaceDN w:val="0"/>
              <w:adjustRightInd w:val="0"/>
              <w:jc w:val="center"/>
              <w:rPr>
                <w:rFonts w:eastAsia="Calibri" w:cs="Arial"/>
                <w:color w:val="000000"/>
                <w:sz w:val="22"/>
                <w:szCs w:val="22"/>
              </w:rPr>
            </w:pPr>
            <w:r w:rsidRPr="000F166D">
              <w:rPr>
                <w:rFonts w:eastAsia="Calibri" w:cs="Arial"/>
                <w:color w:val="000000"/>
                <w:sz w:val="22"/>
                <w:szCs w:val="22"/>
              </w:rPr>
              <w:t>Področje z zaznano finančno vrzeljo</w:t>
            </w:r>
          </w:p>
        </w:tc>
        <w:tc>
          <w:tcPr>
            <w:tcW w:w="792" w:type="pct"/>
            <w:vAlign w:val="center"/>
          </w:tcPr>
          <w:p w14:paraId="7A0E0A78" w14:textId="77777777" w:rsidR="004912DC" w:rsidRPr="000F166D" w:rsidRDefault="004912DC" w:rsidP="00906890">
            <w:pPr>
              <w:keepNext/>
              <w:keepLines/>
              <w:widowControl w:val="0"/>
              <w:autoSpaceDE w:val="0"/>
              <w:autoSpaceDN w:val="0"/>
              <w:adjustRightInd w:val="0"/>
              <w:jc w:val="center"/>
              <w:rPr>
                <w:rFonts w:eastAsia="Calibri" w:cs="Arial"/>
                <w:color w:val="000000"/>
                <w:sz w:val="22"/>
                <w:szCs w:val="22"/>
              </w:rPr>
            </w:pPr>
            <w:r w:rsidRPr="000F166D">
              <w:rPr>
                <w:rFonts w:eastAsia="Calibri" w:cs="Arial"/>
                <w:color w:val="000000"/>
                <w:sz w:val="22"/>
                <w:szCs w:val="22"/>
              </w:rPr>
              <w:t>Finančni produkt glede na vrzel financiranja</w:t>
            </w:r>
          </w:p>
        </w:tc>
        <w:tc>
          <w:tcPr>
            <w:tcW w:w="963" w:type="pct"/>
            <w:vAlign w:val="center"/>
          </w:tcPr>
          <w:p w14:paraId="07B48DB1" w14:textId="77777777" w:rsidR="004912DC" w:rsidRPr="000F166D" w:rsidRDefault="004912DC" w:rsidP="00906890">
            <w:pPr>
              <w:keepNext/>
              <w:keepLines/>
              <w:widowControl w:val="0"/>
              <w:autoSpaceDE w:val="0"/>
              <w:autoSpaceDN w:val="0"/>
              <w:adjustRightInd w:val="0"/>
              <w:jc w:val="center"/>
              <w:rPr>
                <w:rFonts w:eastAsia="Calibri" w:cs="Arial"/>
                <w:color w:val="000000"/>
                <w:sz w:val="22"/>
                <w:szCs w:val="22"/>
              </w:rPr>
            </w:pPr>
            <w:r w:rsidRPr="000F166D">
              <w:rPr>
                <w:rFonts w:eastAsia="Calibri" w:cs="Arial"/>
                <w:color w:val="000000"/>
                <w:sz w:val="22"/>
                <w:szCs w:val="22"/>
              </w:rPr>
              <w:t>Ugotovljena vrzel financiranja</w:t>
            </w:r>
          </w:p>
          <w:p w14:paraId="34AC6896" w14:textId="77777777" w:rsidR="004912DC" w:rsidRPr="000F166D" w:rsidRDefault="004912DC" w:rsidP="00906890">
            <w:pPr>
              <w:keepNext/>
              <w:keepLines/>
              <w:widowControl w:val="0"/>
              <w:autoSpaceDE w:val="0"/>
              <w:autoSpaceDN w:val="0"/>
              <w:adjustRightInd w:val="0"/>
              <w:jc w:val="center"/>
              <w:rPr>
                <w:rFonts w:eastAsia="Calibri" w:cs="Arial"/>
                <w:color w:val="000000"/>
                <w:sz w:val="22"/>
                <w:szCs w:val="22"/>
              </w:rPr>
            </w:pPr>
            <w:r w:rsidRPr="000F166D">
              <w:rPr>
                <w:rFonts w:eastAsia="Calibri" w:cs="Arial"/>
                <w:color w:val="000000"/>
                <w:sz w:val="22"/>
                <w:szCs w:val="22"/>
              </w:rPr>
              <w:t>(v mio EUR)</w:t>
            </w:r>
          </w:p>
        </w:tc>
        <w:tc>
          <w:tcPr>
            <w:tcW w:w="1066" w:type="pct"/>
            <w:shd w:val="clear" w:color="auto" w:fill="auto"/>
            <w:vAlign w:val="center"/>
          </w:tcPr>
          <w:p w14:paraId="55351F8D" w14:textId="77777777" w:rsidR="004912DC" w:rsidRPr="000F166D" w:rsidRDefault="004912DC" w:rsidP="00906890">
            <w:pPr>
              <w:keepNext/>
              <w:keepLines/>
              <w:widowControl w:val="0"/>
              <w:autoSpaceDE w:val="0"/>
              <w:autoSpaceDN w:val="0"/>
              <w:adjustRightInd w:val="0"/>
              <w:jc w:val="center"/>
              <w:rPr>
                <w:rFonts w:eastAsia="Calibri" w:cs="Arial"/>
                <w:color w:val="000000"/>
                <w:sz w:val="22"/>
                <w:szCs w:val="22"/>
              </w:rPr>
            </w:pPr>
            <w:r w:rsidRPr="000F166D">
              <w:rPr>
                <w:rFonts w:eastAsia="Calibri" w:cs="Arial"/>
                <w:color w:val="000000"/>
                <w:sz w:val="22"/>
                <w:szCs w:val="22"/>
              </w:rPr>
              <w:t>Finančni produkt</w:t>
            </w:r>
          </w:p>
        </w:tc>
        <w:tc>
          <w:tcPr>
            <w:tcW w:w="878" w:type="pct"/>
            <w:shd w:val="clear" w:color="auto" w:fill="auto"/>
            <w:vAlign w:val="center"/>
          </w:tcPr>
          <w:p w14:paraId="720854FD" w14:textId="77777777" w:rsidR="004912DC" w:rsidRPr="000F166D" w:rsidRDefault="004912DC" w:rsidP="00906890">
            <w:pPr>
              <w:keepNext/>
              <w:keepLines/>
              <w:widowControl w:val="0"/>
              <w:autoSpaceDE w:val="0"/>
              <w:autoSpaceDN w:val="0"/>
              <w:adjustRightInd w:val="0"/>
              <w:jc w:val="center"/>
              <w:rPr>
                <w:rFonts w:eastAsia="Calibri" w:cs="Arial"/>
                <w:color w:val="000000"/>
                <w:sz w:val="22"/>
                <w:szCs w:val="22"/>
              </w:rPr>
            </w:pPr>
            <w:r w:rsidRPr="000F166D">
              <w:rPr>
                <w:rFonts w:eastAsia="Calibri" w:cs="Arial"/>
                <w:color w:val="000000"/>
                <w:sz w:val="22"/>
                <w:szCs w:val="22"/>
              </w:rPr>
              <w:t>Predvidena višina javnih sredstev - FI</w:t>
            </w:r>
          </w:p>
          <w:p w14:paraId="44B155E9" w14:textId="77777777" w:rsidR="004912DC" w:rsidRPr="000F166D" w:rsidRDefault="004912DC" w:rsidP="00906890">
            <w:pPr>
              <w:keepNext/>
              <w:keepLines/>
              <w:widowControl w:val="0"/>
              <w:autoSpaceDE w:val="0"/>
              <w:autoSpaceDN w:val="0"/>
              <w:adjustRightInd w:val="0"/>
              <w:jc w:val="center"/>
              <w:rPr>
                <w:rFonts w:eastAsia="Calibri" w:cs="Arial"/>
                <w:color w:val="000000"/>
                <w:sz w:val="22"/>
                <w:szCs w:val="22"/>
              </w:rPr>
            </w:pPr>
            <w:r w:rsidRPr="000F166D">
              <w:rPr>
                <w:rFonts w:eastAsia="Calibri" w:cs="Arial"/>
                <w:color w:val="000000"/>
                <w:sz w:val="22"/>
                <w:szCs w:val="22"/>
              </w:rPr>
              <w:t>(v mio EUR)</w:t>
            </w:r>
          </w:p>
        </w:tc>
      </w:tr>
      <w:tr w:rsidR="004912DC" w:rsidRPr="000F166D" w14:paraId="4048D8AC" w14:textId="77777777" w:rsidTr="00906890">
        <w:trPr>
          <w:trHeight w:val="427"/>
        </w:trPr>
        <w:tc>
          <w:tcPr>
            <w:tcW w:w="5000" w:type="pct"/>
            <w:gridSpan w:val="5"/>
            <w:shd w:val="clear" w:color="auto" w:fill="auto"/>
          </w:tcPr>
          <w:p w14:paraId="593ACFF5" w14:textId="77777777" w:rsidR="004912DC" w:rsidRPr="000F166D" w:rsidRDefault="004912DC" w:rsidP="00906890">
            <w:pPr>
              <w:autoSpaceDE w:val="0"/>
              <w:autoSpaceDN w:val="0"/>
              <w:adjustRightInd w:val="0"/>
              <w:jc w:val="center"/>
              <w:rPr>
                <w:rFonts w:eastAsia="Calibri" w:cs="Arial"/>
                <w:color w:val="000000"/>
                <w:sz w:val="22"/>
                <w:szCs w:val="22"/>
              </w:rPr>
            </w:pPr>
            <w:r w:rsidRPr="000F166D">
              <w:rPr>
                <w:rFonts w:eastAsia="Calibri" w:cs="Arial"/>
                <w:color w:val="000000"/>
                <w:sz w:val="22"/>
                <w:szCs w:val="22"/>
              </w:rPr>
              <w:t>ENERGETSKA UČINKOVITOST</w:t>
            </w:r>
          </w:p>
        </w:tc>
      </w:tr>
      <w:tr w:rsidR="004912DC" w:rsidRPr="000F166D" w14:paraId="1E2BC713" w14:textId="77777777" w:rsidTr="00906890">
        <w:tc>
          <w:tcPr>
            <w:tcW w:w="5000" w:type="pct"/>
            <w:gridSpan w:val="5"/>
            <w:shd w:val="clear" w:color="auto" w:fill="auto"/>
            <w:vAlign w:val="center"/>
          </w:tcPr>
          <w:p w14:paraId="45AD2330" w14:textId="77777777" w:rsidR="004912DC" w:rsidRPr="000F166D" w:rsidRDefault="004912DC" w:rsidP="00906890">
            <w:pPr>
              <w:autoSpaceDE w:val="0"/>
              <w:autoSpaceDN w:val="0"/>
              <w:adjustRightInd w:val="0"/>
              <w:jc w:val="center"/>
              <w:rPr>
                <w:rFonts w:eastAsia="Calibri" w:cs="Arial"/>
                <w:i/>
                <w:color w:val="000000"/>
                <w:sz w:val="22"/>
                <w:szCs w:val="22"/>
              </w:rPr>
            </w:pPr>
            <w:r w:rsidRPr="000F166D">
              <w:rPr>
                <w:rFonts w:eastAsia="Calibri" w:cs="Arial"/>
                <w:i/>
                <w:color w:val="000000"/>
                <w:sz w:val="22"/>
                <w:szCs w:val="22"/>
              </w:rPr>
              <w:t>Prednostna os: 4/ Tematski cilj: 4</w:t>
            </w:r>
          </w:p>
        </w:tc>
      </w:tr>
      <w:tr w:rsidR="004912DC" w:rsidRPr="000F166D" w14:paraId="3C31FA9F" w14:textId="77777777" w:rsidTr="00906890">
        <w:tc>
          <w:tcPr>
            <w:tcW w:w="5000" w:type="pct"/>
            <w:gridSpan w:val="5"/>
            <w:shd w:val="clear" w:color="auto" w:fill="auto"/>
          </w:tcPr>
          <w:p w14:paraId="1080E731" w14:textId="77777777" w:rsidR="004912DC" w:rsidRPr="000F166D" w:rsidRDefault="004912DC" w:rsidP="00906890">
            <w:pPr>
              <w:autoSpaceDE w:val="0"/>
              <w:autoSpaceDN w:val="0"/>
              <w:adjustRightInd w:val="0"/>
              <w:jc w:val="center"/>
              <w:rPr>
                <w:rFonts w:eastAsia="Calibri" w:cs="Arial"/>
                <w:i/>
                <w:color w:val="000000"/>
                <w:sz w:val="22"/>
                <w:szCs w:val="22"/>
              </w:rPr>
            </w:pPr>
            <w:r w:rsidRPr="000F166D">
              <w:rPr>
                <w:rFonts w:cs="Arial"/>
                <w:bCs/>
                <w:i/>
                <w:sz w:val="22"/>
                <w:szCs w:val="22"/>
              </w:rPr>
              <w:t>Prednostna naložba: 4.1</w:t>
            </w:r>
          </w:p>
        </w:tc>
      </w:tr>
      <w:tr w:rsidR="004912DC" w:rsidRPr="000F166D" w14:paraId="19CE5348" w14:textId="77777777" w:rsidTr="00906890">
        <w:tc>
          <w:tcPr>
            <w:tcW w:w="5000" w:type="pct"/>
            <w:gridSpan w:val="5"/>
            <w:tcBorders>
              <w:bottom w:val="single" w:sz="4" w:space="0" w:color="auto"/>
            </w:tcBorders>
            <w:shd w:val="clear" w:color="auto" w:fill="auto"/>
          </w:tcPr>
          <w:p w14:paraId="64688BF6" w14:textId="77777777" w:rsidR="004912DC" w:rsidRPr="000F166D" w:rsidRDefault="004912DC" w:rsidP="00906890">
            <w:pPr>
              <w:autoSpaceDE w:val="0"/>
              <w:autoSpaceDN w:val="0"/>
              <w:adjustRightInd w:val="0"/>
              <w:jc w:val="both"/>
              <w:rPr>
                <w:rFonts w:eastAsia="Calibri" w:cs="Arial"/>
                <w:b/>
                <w:i/>
                <w:color w:val="000000"/>
                <w:sz w:val="22"/>
                <w:szCs w:val="22"/>
              </w:rPr>
            </w:pPr>
            <w:r w:rsidRPr="000F166D">
              <w:rPr>
                <w:rFonts w:eastAsia="Calibri" w:cs="Arial"/>
                <w:b/>
                <w:i/>
                <w:color w:val="000000"/>
                <w:sz w:val="22"/>
                <w:szCs w:val="22"/>
              </w:rPr>
              <w:t>Specifični cilj: 1</w:t>
            </w:r>
          </w:p>
        </w:tc>
      </w:tr>
      <w:tr w:rsidR="004912DC" w:rsidRPr="000F166D" w14:paraId="75D710EA" w14:textId="77777777" w:rsidTr="00906890">
        <w:tc>
          <w:tcPr>
            <w:tcW w:w="1299" w:type="pct"/>
            <w:tcBorders>
              <w:bottom w:val="single" w:sz="4" w:space="0" w:color="auto"/>
            </w:tcBorders>
          </w:tcPr>
          <w:p w14:paraId="1B5DAEC0" w14:textId="77777777" w:rsidR="004912DC" w:rsidRPr="000F166D" w:rsidRDefault="004912DC" w:rsidP="00906890">
            <w:pPr>
              <w:autoSpaceDE w:val="0"/>
              <w:autoSpaceDN w:val="0"/>
              <w:adjustRightInd w:val="0"/>
              <w:jc w:val="both"/>
              <w:rPr>
                <w:rFonts w:eastAsia="Calibri" w:cs="Arial"/>
                <w:color w:val="000000"/>
                <w:sz w:val="22"/>
                <w:szCs w:val="22"/>
              </w:rPr>
            </w:pPr>
            <w:r w:rsidRPr="000F166D">
              <w:rPr>
                <w:rFonts w:eastAsia="Calibri" w:cs="Arial"/>
                <w:color w:val="000000"/>
                <w:sz w:val="22"/>
                <w:szCs w:val="22"/>
              </w:rPr>
              <w:t>Energetska prenova javnih stavb</w:t>
            </w:r>
          </w:p>
        </w:tc>
        <w:tc>
          <w:tcPr>
            <w:tcW w:w="792" w:type="pct"/>
            <w:tcBorders>
              <w:bottom w:val="single" w:sz="4" w:space="0" w:color="auto"/>
            </w:tcBorders>
          </w:tcPr>
          <w:p w14:paraId="7405BB10" w14:textId="77777777" w:rsidR="004912DC" w:rsidRPr="000F166D" w:rsidRDefault="004912DC" w:rsidP="00906890">
            <w:pPr>
              <w:autoSpaceDE w:val="0"/>
              <w:autoSpaceDN w:val="0"/>
              <w:adjustRightInd w:val="0"/>
              <w:jc w:val="center"/>
              <w:rPr>
                <w:rFonts w:eastAsia="Calibri" w:cs="Arial"/>
                <w:color w:val="000000"/>
                <w:sz w:val="22"/>
                <w:szCs w:val="22"/>
              </w:rPr>
            </w:pPr>
            <w:r w:rsidRPr="000F166D">
              <w:rPr>
                <w:rFonts w:eastAsia="Calibri" w:cs="Arial"/>
                <w:color w:val="000000"/>
                <w:sz w:val="22"/>
                <w:szCs w:val="22"/>
              </w:rPr>
              <w:t>Posojila</w:t>
            </w:r>
          </w:p>
        </w:tc>
        <w:tc>
          <w:tcPr>
            <w:tcW w:w="963" w:type="pct"/>
            <w:tcBorders>
              <w:bottom w:val="single" w:sz="4" w:space="0" w:color="auto"/>
            </w:tcBorders>
          </w:tcPr>
          <w:p w14:paraId="1AE64150" w14:textId="77777777" w:rsidR="004912DC" w:rsidRPr="000F166D" w:rsidRDefault="004912DC" w:rsidP="00906890">
            <w:pPr>
              <w:autoSpaceDE w:val="0"/>
              <w:autoSpaceDN w:val="0"/>
              <w:adjustRightInd w:val="0"/>
              <w:jc w:val="center"/>
              <w:rPr>
                <w:rFonts w:eastAsia="Calibri" w:cs="Arial"/>
                <w:color w:val="000000"/>
                <w:sz w:val="22"/>
                <w:szCs w:val="22"/>
              </w:rPr>
            </w:pPr>
            <w:r w:rsidRPr="000F166D">
              <w:rPr>
                <w:rFonts w:eastAsia="Calibri" w:cs="Arial"/>
                <w:bCs/>
                <w:color w:val="000000"/>
                <w:sz w:val="22"/>
                <w:szCs w:val="22"/>
              </w:rPr>
              <w:t>65-132</w:t>
            </w:r>
          </w:p>
        </w:tc>
        <w:tc>
          <w:tcPr>
            <w:tcW w:w="1066" w:type="pct"/>
            <w:tcBorders>
              <w:bottom w:val="single" w:sz="4" w:space="0" w:color="auto"/>
            </w:tcBorders>
            <w:shd w:val="clear" w:color="auto" w:fill="auto"/>
          </w:tcPr>
          <w:p w14:paraId="0E644E24" w14:textId="77777777" w:rsidR="004912DC" w:rsidRPr="000F166D" w:rsidRDefault="004912DC" w:rsidP="00906890">
            <w:pPr>
              <w:autoSpaceDE w:val="0"/>
              <w:autoSpaceDN w:val="0"/>
              <w:adjustRightInd w:val="0"/>
              <w:jc w:val="both"/>
              <w:rPr>
                <w:rFonts w:eastAsia="Calibri" w:cs="Arial"/>
                <w:color w:val="000000"/>
                <w:sz w:val="22"/>
                <w:szCs w:val="22"/>
              </w:rPr>
            </w:pPr>
            <w:r w:rsidRPr="000F166D">
              <w:rPr>
                <w:rFonts w:eastAsia="Calibri" w:cs="Arial"/>
                <w:color w:val="000000"/>
                <w:sz w:val="22"/>
                <w:szCs w:val="22"/>
              </w:rPr>
              <w:t xml:space="preserve">Posojila za celovito </w:t>
            </w:r>
          </w:p>
          <w:p w14:paraId="391677C5" w14:textId="77777777" w:rsidR="004912DC" w:rsidRPr="000F166D" w:rsidRDefault="004912DC" w:rsidP="00906890">
            <w:pPr>
              <w:autoSpaceDE w:val="0"/>
              <w:autoSpaceDN w:val="0"/>
              <w:adjustRightInd w:val="0"/>
              <w:jc w:val="both"/>
              <w:rPr>
                <w:rFonts w:eastAsia="Calibri" w:cs="Arial"/>
                <w:color w:val="000000"/>
                <w:sz w:val="22"/>
                <w:szCs w:val="22"/>
              </w:rPr>
            </w:pPr>
            <w:r w:rsidRPr="000F166D">
              <w:rPr>
                <w:rFonts w:eastAsia="Calibri" w:cs="Arial"/>
                <w:color w:val="000000"/>
                <w:sz w:val="22"/>
                <w:szCs w:val="22"/>
              </w:rPr>
              <w:t>energetsko prenovo javnih stavb, garancijske sheme, lastniško financiranje</w:t>
            </w:r>
            <w:r w:rsidRPr="000F166D">
              <w:rPr>
                <w:rFonts w:eastAsia="Calibri" w:cs="Arial"/>
                <w:color w:val="000000"/>
                <w:sz w:val="22"/>
                <w:szCs w:val="22"/>
                <w:vertAlign w:val="superscript"/>
              </w:rPr>
              <w:footnoteReference w:id="14"/>
            </w:r>
          </w:p>
        </w:tc>
        <w:tc>
          <w:tcPr>
            <w:tcW w:w="878" w:type="pct"/>
            <w:tcBorders>
              <w:bottom w:val="single" w:sz="4" w:space="0" w:color="auto"/>
            </w:tcBorders>
            <w:shd w:val="clear" w:color="auto" w:fill="auto"/>
          </w:tcPr>
          <w:p w14:paraId="2DFD9F5A" w14:textId="77777777" w:rsidR="004912DC" w:rsidRPr="000F166D" w:rsidRDefault="004912DC" w:rsidP="00906890">
            <w:pPr>
              <w:autoSpaceDE w:val="0"/>
              <w:autoSpaceDN w:val="0"/>
              <w:adjustRightInd w:val="0"/>
              <w:jc w:val="center"/>
              <w:rPr>
                <w:rFonts w:eastAsia="Calibri" w:cs="Arial"/>
                <w:color w:val="000000"/>
                <w:sz w:val="22"/>
                <w:szCs w:val="22"/>
              </w:rPr>
            </w:pPr>
            <w:r w:rsidRPr="000F166D">
              <w:rPr>
                <w:rFonts w:eastAsia="Calibri" w:cs="Arial"/>
                <w:color w:val="000000"/>
                <w:sz w:val="22"/>
                <w:szCs w:val="22"/>
              </w:rPr>
              <w:t>25</w:t>
            </w:r>
          </w:p>
        </w:tc>
      </w:tr>
    </w:tbl>
    <w:p w14:paraId="56B0DD50" w14:textId="77777777" w:rsidR="004912DC" w:rsidRDefault="004912DC" w:rsidP="004912DC">
      <w:pPr>
        <w:keepNext/>
        <w:keepLines/>
        <w:spacing w:before="40"/>
        <w:jc w:val="both"/>
        <w:outlineLvl w:val="4"/>
        <w:rPr>
          <w:rFonts w:eastAsia="Georgia" w:cs="Arial"/>
          <w:color w:val="2E74B5"/>
          <w:sz w:val="22"/>
          <w:lang w:eastAsia="sl-SI"/>
        </w:rPr>
      </w:pPr>
    </w:p>
    <w:p w14:paraId="5A272D16" w14:textId="77777777" w:rsidR="004912DC" w:rsidRPr="000F166D" w:rsidRDefault="004912DC" w:rsidP="004912DC">
      <w:pPr>
        <w:keepNext/>
        <w:keepLines/>
        <w:spacing w:before="40"/>
        <w:jc w:val="both"/>
        <w:outlineLvl w:val="4"/>
        <w:rPr>
          <w:rFonts w:eastAsia="Georgia" w:cs="Arial"/>
          <w:color w:val="2E74B5"/>
          <w:sz w:val="22"/>
          <w:lang w:eastAsia="sl-SI"/>
        </w:rPr>
      </w:pPr>
      <w:r w:rsidRPr="000F166D">
        <w:rPr>
          <w:rFonts w:eastAsia="Georgia" w:cs="Arial"/>
          <w:color w:val="2E74B5"/>
          <w:sz w:val="22"/>
          <w:lang w:eastAsia="sl-SI"/>
        </w:rPr>
        <w:t>3.2.3.1 Posojilo za celovito energetsko prenovo javnih stavb</w:t>
      </w:r>
    </w:p>
    <w:p w14:paraId="2BF99BD4" w14:textId="77777777" w:rsidR="004912DC" w:rsidRPr="000F166D" w:rsidRDefault="004912DC" w:rsidP="004912DC">
      <w:pPr>
        <w:ind w:right="45"/>
        <w:jc w:val="both"/>
        <w:rPr>
          <w:rFonts w:eastAsia="Georgia" w:cs="Arial"/>
          <w:sz w:val="22"/>
          <w:szCs w:val="22"/>
        </w:rPr>
      </w:pPr>
      <w:r w:rsidRPr="000F166D">
        <w:rPr>
          <w:rFonts w:eastAsia="Georgia" w:cs="Arial"/>
          <w:sz w:val="22"/>
          <w:szCs w:val="22"/>
        </w:rPr>
        <w:t>S FI se omogoči posojilo z nižjimi zahtevami za zavarovanje, nižjo obrestno mero in daljšo odplačilno dobo za javne subjekte za celovito energetsko prenovo javnih stavb.</w:t>
      </w:r>
    </w:p>
    <w:p w14:paraId="21DBF101" w14:textId="77777777" w:rsidR="004912DC" w:rsidRPr="000F166D" w:rsidRDefault="004912DC" w:rsidP="004912DC">
      <w:pPr>
        <w:ind w:right="45"/>
        <w:jc w:val="both"/>
        <w:rPr>
          <w:rFonts w:eastAsia="Georgia" w:cs="Arial"/>
          <w:sz w:val="22"/>
          <w:szCs w:val="22"/>
        </w:rPr>
      </w:pPr>
    </w:p>
    <w:p w14:paraId="0DB976CD" w14:textId="77777777" w:rsidR="004912DC" w:rsidRPr="000F166D" w:rsidRDefault="004912DC" w:rsidP="004912DC">
      <w:pPr>
        <w:ind w:right="45"/>
        <w:jc w:val="both"/>
        <w:rPr>
          <w:rFonts w:eastAsia="Georgia" w:cs="Arial"/>
          <w:sz w:val="22"/>
          <w:szCs w:val="22"/>
        </w:rPr>
      </w:pPr>
      <w:r w:rsidRPr="000F166D">
        <w:rPr>
          <w:rFonts w:eastAsia="Georgia" w:cs="Arial"/>
          <w:sz w:val="22"/>
          <w:szCs w:val="22"/>
        </w:rPr>
        <w:t xml:space="preserve">Finančni posrednik bo imel neposredno kreditno povezavo z javnim subjektom, ki celovito energetsko prenavlja javno stavbo (končnim prejemnikom). </w:t>
      </w:r>
    </w:p>
    <w:p w14:paraId="1F0F5C3C" w14:textId="77777777" w:rsidR="004912DC" w:rsidRPr="000F166D" w:rsidRDefault="004912DC" w:rsidP="004912DC">
      <w:pPr>
        <w:ind w:left="-15" w:right="258" w:firstLine="2"/>
        <w:jc w:val="both"/>
        <w:rPr>
          <w:rFonts w:eastAsia="Georgia" w:cs="Arial"/>
          <w:sz w:val="22"/>
          <w:szCs w:val="22"/>
        </w:rPr>
      </w:pPr>
    </w:p>
    <w:p w14:paraId="2B522165" w14:textId="77777777" w:rsidR="004912DC" w:rsidRPr="000F166D" w:rsidRDefault="004912DC" w:rsidP="004912DC">
      <w:pPr>
        <w:ind w:left="-5" w:hanging="10"/>
        <w:jc w:val="both"/>
        <w:rPr>
          <w:rFonts w:eastAsia="Georgia" w:cs="Arial"/>
          <w:sz w:val="22"/>
          <w:szCs w:val="22"/>
        </w:rPr>
      </w:pPr>
      <w:r w:rsidRPr="000F166D">
        <w:rPr>
          <w:rFonts w:eastAsia="Georgia" w:cs="Arial"/>
          <w:sz w:val="22"/>
          <w:szCs w:val="22"/>
          <w:lang w:eastAsia="sl-SI"/>
        </w:rPr>
        <w:lastRenderedPageBreak/>
        <w:t>Možna je kombinacija posojila z nepovratnimi viri.</w:t>
      </w:r>
      <w:r>
        <w:rPr>
          <w:rFonts w:eastAsia="Georgia" w:cs="Arial"/>
          <w:sz w:val="22"/>
          <w:szCs w:val="22"/>
          <w:lang w:eastAsia="sl-SI"/>
        </w:rPr>
        <w:t xml:space="preserve"> </w:t>
      </w:r>
    </w:p>
    <w:p w14:paraId="08D7F0FE" w14:textId="77777777" w:rsidR="004912DC" w:rsidRPr="000F166D" w:rsidRDefault="004912DC" w:rsidP="004912DC">
      <w:pPr>
        <w:ind w:right="257"/>
        <w:jc w:val="both"/>
        <w:rPr>
          <w:rFonts w:eastAsia="Georgia" w:cs="Arial"/>
          <w:sz w:val="22"/>
          <w:szCs w:val="22"/>
          <w:lang w:eastAsia="sl-SI"/>
        </w:rPr>
      </w:pPr>
    </w:p>
    <w:p w14:paraId="5F44F6D2" w14:textId="77777777" w:rsidR="004912DC" w:rsidRPr="000F166D" w:rsidRDefault="004912DC" w:rsidP="004912DC">
      <w:pPr>
        <w:ind w:left="-15" w:right="257" w:firstLine="2"/>
        <w:jc w:val="both"/>
        <w:rPr>
          <w:rFonts w:eastAsia="Georgia" w:cs="Arial"/>
          <w:sz w:val="22"/>
          <w:szCs w:val="22"/>
          <w:lang w:eastAsia="sl-SI"/>
        </w:rPr>
      </w:pPr>
      <w:r w:rsidRPr="000F166D">
        <w:rPr>
          <w:rFonts w:eastAsia="Georgia" w:cs="Arial"/>
          <w:sz w:val="22"/>
          <w:szCs w:val="22"/>
          <w:lang w:eastAsia="sl-SI"/>
        </w:rPr>
        <w:t>Državne pomoči: posojila se presojajo skladno z relevantno shemo državne pomoči ali pomoči de minimis.</w:t>
      </w:r>
    </w:p>
    <w:p w14:paraId="73BDB91E" w14:textId="77777777" w:rsidR="004912DC" w:rsidRPr="000F166D" w:rsidRDefault="004912DC" w:rsidP="004912DC">
      <w:pPr>
        <w:ind w:left="-15" w:right="257" w:firstLine="2"/>
        <w:jc w:val="both"/>
        <w:rPr>
          <w:rFonts w:eastAsia="Georgia" w:cs="Arial"/>
          <w:sz w:val="22"/>
          <w:szCs w:val="22"/>
          <w:lang w:eastAsia="sl-SI"/>
        </w:rPr>
      </w:pPr>
    </w:p>
    <w:p w14:paraId="5073A424" w14:textId="77777777" w:rsidR="004912DC" w:rsidRPr="000F166D" w:rsidRDefault="004912DC" w:rsidP="004912DC">
      <w:pPr>
        <w:autoSpaceDE w:val="0"/>
        <w:autoSpaceDN w:val="0"/>
        <w:adjustRightInd w:val="0"/>
        <w:contextualSpacing/>
        <w:jc w:val="both"/>
        <w:rPr>
          <w:rFonts w:eastAsia="Georgia" w:cs="Arial"/>
          <w:sz w:val="22"/>
          <w:szCs w:val="22"/>
        </w:rPr>
      </w:pPr>
      <w:bookmarkStart w:id="79" w:name="_Toc66786231"/>
      <w:r w:rsidRPr="00A75659">
        <w:rPr>
          <w:rFonts w:cs="Arial"/>
          <w:sz w:val="22"/>
          <w:szCs w:val="22"/>
        </w:rPr>
        <w:t xml:space="preserve">Tabela </w:t>
      </w:r>
      <w:r w:rsidRPr="00A75659">
        <w:rPr>
          <w:rFonts w:cs="Arial"/>
          <w:sz w:val="22"/>
          <w:szCs w:val="22"/>
        </w:rPr>
        <w:fldChar w:fldCharType="begin"/>
      </w:r>
      <w:r w:rsidRPr="00A75659">
        <w:rPr>
          <w:rFonts w:cs="Arial"/>
          <w:sz w:val="22"/>
          <w:szCs w:val="22"/>
        </w:rPr>
        <w:instrText xml:space="preserve"> SEQ Tabela \* ARABIC </w:instrText>
      </w:r>
      <w:r w:rsidRPr="00A75659">
        <w:rPr>
          <w:rFonts w:cs="Arial"/>
          <w:sz w:val="22"/>
          <w:szCs w:val="22"/>
        </w:rPr>
        <w:fldChar w:fldCharType="separate"/>
      </w:r>
      <w:r>
        <w:rPr>
          <w:rFonts w:cs="Arial"/>
          <w:noProof/>
          <w:sz w:val="22"/>
          <w:szCs w:val="22"/>
        </w:rPr>
        <w:t>12</w:t>
      </w:r>
      <w:r w:rsidRPr="00A75659">
        <w:rPr>
          <w:rFonts w:cs="Arial"/>
          <w:sz w:val="22"/>
          <w:szCs w:val="22"/>
        </w:rPr>
        <w:fldChar w:fldCharType="end"/>
      </w:r>
      <w:r w:rsidRPr="00A75659">
        <w:rPr>
          <w:rFonts w:cs="Arial"/>
          <w:sz w:val="22"/>
          <w:szCs w:val="22"/>
        </w:rPr>
        <w:t>:</w:t>
      </w:r>
      <w:r w:rsidRPr="000F166D">
        <w:rPr>
          <w:rFonts w:eastAsia="Georgia" w:cs="Arial"/>
          <w:sz w:val="22"/>
          <w:szCs w:val="22"/>
        </w:rPr>
        <w:t xml:space="preserve"> Ciljni končni prejemniki posameznih finančnih produktov</w:t>
      </w:r>
      <w:bookmarkEnd w:id="79"/>
      <w:r w:rsidRPr="000F166D">
        <w:rPr>
          <w:rFonts w:eastAsia="Georgia"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544"/>
        <w:gridCol w:w="3714"/>
      </w:tblGrid>
      <w:tr w:rsidR="004912DC" w:rsidRPr="000F166D" w14:paraId="5F4BFC79" w14:textId="77777777" w:rsidTr="00906890">
        <w:tc>
          <w:tcPr>
            <w:tcW w:w="2376" w:type="dxa"/>
            <w:shd w:val="clear" w:color="auto" w:fill="auto"/>
            <w:vAlign w:val="center"/>
          </w:tcPr>
          <w:p w14:paraId="7F6CD6CF" w14:textId="77777777" w:rsidR="004912DC" w:rsidRPr="000F166D" w:rsidRDefault="004912DC" w:rsidP="00906890">
            <w:pPr>
              <w:autoSpaceDE w:val="0"/>
              <w:autoSpaceDN w:val="0"/>
              <w:adjustRightInd w:val="0"/>
              <w:jc w:val="center"/>
              <w:rPr>
                <w:rFonts w:eastAsia="Georgia" w:cs="Arial"/>
                <w:sz w:val="22"/>
                <w:szCs w:val="22"/>
              </w:rPr>
            </w:pPr>
            <w:r w:rsidRPr="000F166D">
              <w:rPr>
                <w:rFonts w:eastAsia="Georgia" w:cs="Arial"/>
                <w:sz w:val="22"/>
                <w:szCs w:val="22"/>
              </w:rPr>
              <w:t>Področje</w:t>
            </w:r>
          </w:p>
        </w:tc>
        <w:tc>
          <w:tcPr>
            <w:tcW w:w="3544" w:type="dxa"/>
            <w:shd w:val="clear" w:color="auto" w:fill="auto"/>
            <w:vAlign w:val="center"/>
          </w:tcPr>
          <w:p w14:paraId="0D79CC52" w14:textId="77777777" w:rsidR="004912DC" w:rsidRPr="000F166D" w:rsidRDefault="004912DC" w:rsidP="00906890">
            <w:pPr>
              <w:autoSpaceDE w:val="0"/>
              <w:autoSpaceDN w:val="0"/>
              <w:adjustRightInd w:val="0"/>
              <w:jc w:val="center"/>
              <w:rPr>
                <w:rFonts w:eastAsia="Georgia" w:cs="Arial"/>
                <w:sz w:val="22"/>
                <w:szCs w:val="22"/>
              </w:rPr>
            </w:pPr>
            <w:r w:rsidRPr="000F166D">
              <w:rPr>
                <w:rFonts w:eastAsia="Georgia" w:cs="Arial"/>
                <w:sz w:val="22"/>
                <w:szCs w:val="22"/>
              </w:rPr>
              <w:t>Finančni produkt</w:t>
            </w:r>
          </w:p>
        </w:tc>
        <w:tc>
          <w:tcPr>
            <w:tcW w:w="3714" w:type="dxa"/>
            <w:shd w:val="clear" w:color="auto" w:fill="auto"/>
            <w:vAlign w:val="center"/>
          </w:tcPr>
          <w:p w14:paraId="14A028DA" w14:textId="77777777" w:rsidR="004912DC" w:rsidRPr="000F166D" w:rsidRDefault="004912DC" w:rsidP="00906890">
            <w:pPr>
              <w:autoSpaceDE w:val="0"/>
              <w:autoSpaceDN w:val="0"/>
              <w:adjustRightInd w:val="0"/>
              <w:jc w:val="center"/>
              <w:rPr>
                <w:rFonts w:eastAsia="Georgia" w:cs="Arial"/>
                <w:sz w:val="22"/>
                <w:szCs w:val="22"/>
              </w:rPr>
            </w:pPr>
            <w:r w:rsidRPr="000F166D">
              <w:rPr>
                <w:rFonts w:eastAsia="Georgia" w:cs="Arial"/>
                <w:sz w:val="22"/>
                <w:szCs w:val="22"/>
              </w:rPr>
              <w:t>Ciljni končni prejemniki</w:t>
            </w:r>
          </w:p>
        </w:tc>
      </w:tr>
      <w:tr w:rsidR="004912DC" w:rsidRPr="000F166D" w14:paraId="16E60546" w14:textId="77777777" w:rsidTr="00906890">
        <w:trPr>
          <w:trHeight w:val="592"/>
        </w:trPr>
        <w:tc>
          <w:tcPr>
            <w:tcW w:w="2376" w:type="dxa"/>
            <w:shd w:val="clear" w:color="auto" w:fill="auto"/>
            <w:vAlign w:val="center"/>
          </w:tcPr>
          <w:p w14:paraId="0121A087" w14:textId="77777777" w:rsidR="004912DC" w:rsidRPr="000F166D" w:rsidRDefault="004912DC" w:rsidP="00906890">
            <w:pPr>
              <w:autoSpaceDE w:val="0"/>
              <w:autoSpaceDN w:val="0"/>
              <w:adjustRightInd w:val="0"/>
              <w:jc w:val="center"/>
              <w:rPr>
                <w:rFonts w:eastAsia="Georgia" w:cs="Arial"/>
                <w:sz w:val="22"/>
                <w:szCs w:val="22"/>
              </w:rPr>
            </w:pPr>
            <w:r w:rsidRPr="000F166D">
              <w:rPr>
                <w:rFonts w:eastAsia="Georgia" w:cs="Arial"/>
                <w:sz w:val="22"/>
                <w:szCs w:val="22"/>
              </w:rPr>
              <w:t>Energetska učinkovitost</w:t>
            </w:r>
          </w:p>
        </w:tc>
        <w:tc>
          <w:tcPr>
            <w:tcW w:w="3544" w:type="dxa"/>
            <w:shd w:val="clear" w:color="auto" w:fill="auto"/>
          </w:tcPr>
          <w:p w14:paraId="0218041C" w14:textId="77777777" w:rsidR="004912DC" w:rsidRPr="000F166D" w:rsidRDefault="004912DC" w:rsidP="00906890">
            <w:pPr>
              <w:autoSpaceDE w:val="0"/>
              <w:autoSpaceDN w:val="0"/>
              <w:adjustRightInd w:val="0"/>
              <w:jc w:val="both"/>
              <w:rPr>
                <w:rFonts w:eastAsia="Georgia" w:cs="Arial"/>
                <w:sz w:val="22"/>
                <w:szCs w:val="22"/>
              </w:rPr>
            </w:pPr>
            <w:r w:rsidRPr="000F166D">
              <w:rPr>
                <w:rFonts w:eastAsia="Georgia" w:cs="Arial"/>
                <w:sz w:val="22"/>
                <w:szCs w:val="22"/>
              </w:rPr>
              <w:t>Posojilo za celovito energetsko prenovo javnih stavb</w:t>
            </w:r>
            <w:r w:rsidRPr="000F166D" w:rsidDel="00015CBA">
              <w:rPr>
                <w:rFonts w:eastAsia="Georgia" w:cs="Arial"/>
                <w:sz w:val="22"/>
                <w:szCs w:val="22"/>
              </w:rPr>
              <w:t xml:space="preserve"> </w:t>
            </w:r>
          </w:p>
        </w:tc>
        <w:tc>
          <w:tcPr>
            <w:tcW w:w="3714" w:type="dxa"/>
            <w:shd w:val="clear" w:color="auto" w:fill="auto"/>
          </w:tcPr>
          <w:p w14:paraId="6E6247F7" w14:textId="77777777" w:rsidR="004912DC" w:rsidRPr="000F166D" w:rsidRDefault="004912DC" w:rsidP="00906890">
            <w:pPr>
              <w:autoSpaceDE w:val="0"/>
              <w:autoSpaceDN w:val="0"/>
              <w:adjustRightInd w:val="0"/>
              <w:jc w:val="both"/>
              <w:rPr>
                <w:rFonts w:eastAsia="Georgia" w:cs="Arial"/>
                <w:sz w:val="22"/>
                <w:szCs w:val="22"/>
              </w:rPr>
            </w:pPr>
            <w:r w:rsidRPr="000F166D">
              <w:rPr>
                <w:rFonts w:eastAsia="Georgia" w:cs="Arial"/>
                <w:sz w:val="22"/>
                <w:szCs w:val="22"/>
              </w:rPr>
              <w:t>javni sektor, ESCO podjetja</w:t>
            </w:r>
          </w:p>
          <w:p w14:paraId="4B6FB0FF" w14:textId="77777777" w:rsidR="004912DC" w:rsidRPr="000F166D" w:rsidRDefault="004912DC" w:rsidP="00906890">
            <w:pPr>
              <w:autoSpaceDE w:val="0"/>
              <w:autoSpaceDN w:val="0"/>
              <w:adjustRightInd w:val="0"/>
              <w:jc w:val="both"/>
              <w:rPr>
                <w:rFonts w:eastAsia="Georgia" w:cs="Arial"/>
                <w:sz w:val="22"/>
                <w:szCs w:val="22"/>
              </w:rPr>
            </w:pPr>
          </w:p>
        </w:tc>
      </w:tr>
    </w:tbl>
    <w:p w14:paraId="116511B8" w14:textId="77777777" w:rsidR="004912DC" w:rsidRPr="000F166D" w:rsidRDefault="004912DC" w:rsidP="004912DC">
      <w:pPr>
        <w:autoSpaceDE w:val="0"/>
        <w:autoSpaceDN w:val="0"/>
        <w:adjustRightInd w:val="0"/>
        <w:jc w:val="both"/>
        <w:rPr>
          <w:rFonts w:eastAsia="Georgia" w:cs="Arial"/>
          <w:sz w:val="22"/>
          <w:szCs w:val="22"/>
        </w:rPr>
      </w:pPr>
    </w:p>
    <w:p w14:paraId="6D6577AA" w14:textId="77777777" w:rsidR="004912DC" w:rsidRPr="000F166D" w:rsidRDefault="004912DC" w:rsidP="004912DC">
      <w:pPr>
        <w:ind w:right="258"/>
        <w:jc w:val="both"/>
        <w:rPr>
          <w:rFonts w:eastAsia="Georgia" w:cs="Arial"/>
          <w:sz w:val="22"/>
          <w:szCs w:val="22"/>
        </w:rPr>
      </w:pPr>
      <w:r w:rsidRPr="000F166D">
        <w:rPr>
          <w:rFonts w:eastAsia="Georgia" w:cs="Arial"/>
          <w:sz w:val="22"/>
          <w:szCs w:val="22"/>
        </w:rPr>
        <w:t>Cilj:</w:t>
      </w:r>
    </w:p>
    <w:p w14:paraId="68AC9AF5" w14:textId="77777777" w:rsidR="004912DC" w:rsidRPr="000F166D" w:rsidRDefault="004912DC" w:rsidP="004912DC">
      <w:pPr>
        <w:numPr>
          <w:ilvl w:val="0"/>
          <w:numId w:val="35"/>
        </w:numPr>
        <w:spacing w:line="240" w:lineRule="auto"/>
        <w:jc w:val="both"/>
        <w:rPr>
          <w:rFonts w:eastAsia="Georgia" w:cs="Arial"/>
          <w:sz w:val="22"/>
          <w:szCs w:val="22"/>
        </w:rPr>
      </w:pPr>
      <w:r w:rsidRPr="000F166D">
        <w:rPr>
          <w:rFonts w:eastAsia="Georgia" w:cs="Arial"/>
          <w:sz w:val="22"/>
          <w:szCs w:val="22"/>
        </w:rPr>
        <w:t xml:space="preserve">ustvarjanje dodatne finančne ponudbe za celovito energetsko prenovo javnih stavb za osebe javnega sektorja s pričakovanim finančnim vzvodom 2,27 </w:t>
      </w:r>
    </w:p>
    <w:p w14:paraId="40C19FEA" w14:textId="77777777" w:rsidR="004912DC" w:rsidRPr="000F166D" w:rsidRDefault="004912DC" w:rsidP="004912DC">
      <w:pPr>
        <w:ind w:left="398"/>
        <w:jc w:val="both"/>
        <w:rPr>
          <w:rFonts w:eastAsia="Georgia" w:cs="Arial"/>
          <w:sz w:val="22"/>
          <w:szCs w:val="22"/>
        </w:rPr>
      </w:pPr>
    </w:p>
    <w:p w14:paraId="5F20B7F6" w14:textId="77777777" w:rsidR="004912DC" w:rsidRPr="000F166D" w:rsidRDefault="004912DC" w:rsidP="004912DC">
      <w:pPr>
        <w:ind w:right="258"/>
        <w:jc w:val="both"/>
        <w:rPr>
          <w:rFonts w:eastAsia="Georgia" w:cs="Arial"/>
          <w:sz w:val="22"/>
          <w:szCs w:val="22"/>
        </w:rPr>
      </w:pPr>
      <w:r w:rsidRPr="000F166D">
        <w:rPr>
          <w:rFonts w:eastAsia="Georgia" w:cs="Arial"/>
          <w:sz w:val="22"/>
          <w:szCs w:val="22"/>
          <w:lang w:eastAsia="sl-SI"/>
        </w:rPr>
        <w:t>Kazalniki:</w:t>
      </w:r>
      <w:r w:rsidRPr="000F166D">
        <w:rPr>
          <w:rFonts w:eastAsia="Georgia" w:cs="Arial"/>
          <w:sz w:val="22"/>
          <w:szCs w:val="22"/>
        </w:rPr>
        <w:t xml:space="preserve"> </w:t>
      </w:r>
    </w:p>
    <w:p w14:paraId="053E3E0C" w14:textId="77777777" w:rsidR="004912DC" w:rsidRPr="000F166D" w:rsidRDefault="004912DC" w:rsidP="004912DC">
      <w:pPr>
        <w:numPr>
          <w:ilvl w:val="0"/>
          <w:numId w:val="36"/>
        </w:numPr>
        <w:spacing w:line="240" w:lineRule="auto"/>
        <w:jc w:val="both"/>
        <w:rPr>
          <w:rFonts w:eastAsia="Georgia" w:cs="Arial"/>
          <w:sz w:val="22"/>
          <w:szCs w:val="22"/>
        </w:rPr>
      </w:pPr>
      <w:r w:rsidRPr="000F166D">
        <w:rPr>
          <w:rFonts w:eastAsia="Georgia" w:cs="Arial"/>
          <w:sz w:val="22"/>
          <w:szCs w:val="22"/>
        </w:rPr>
        <w:t>Število celovito energetsko prenovljenih javnih stavb,</w:t>
      </w:r>
    </w:p>
    <w:p w14:paraId="3FDF187E" w14:textId="77777777" w:rsidR="004912DC" w:rsidRPr="000F166D" w:rsidRDefault="004912DC" w:rsidP="004912DC">
      <w:pPr>
        <w:numPr>
          <w:ilvl w:val="0"/>
          <w:numId w:val="36"/>
        </w:numPr>
        <w:spacing w:line="240" w:lineRule="auto"/>
        <w:jc w:val="both"/>
        <w:rPr>
          <w:rFonts w:eastAsia="Georgia" w:cs="Arial"/>
          <w:sz w:val="22"/>
          <w:szCs w:val="22"/>
        </w:rPr>
      </w:pPr>
      <w:r w:rsidRPr="000F166D">
        <w:rPr>
          <w:rFonts w:eastAsia="Georgia" w:cs="Arial"/>
          <w:sz w:val="22"/>
          <w:szCs w:val="22"/>
        </w:rPr>
        <w:t xml:space="preserve">Tlorisna površina celovito energetsko prenovljenih stavb celotnega javnega </w:t>
      </w:r>
    </w:p>
    <w:p w14:paraId="6CBB7436" w14:textId="77777777" w:rsidR="004912DC" w:rsidRPr="000F166D" w:rsidRDefault="004912DC" w:rsidP="004912DC">
      <w:pPr>
        <w:ind w:left="398"/>
        <w:jc w:val="both"/>
        <w:rPr>
          <w:rFonts w:eastAsia="Georgia" w:cs="Arial"/>
          <w:sz w:val="22"/>
          <w:szCs w:val="22"/>
        </w:rPr>
      </w:pPr>
      <w:r w:rsidRPr="000F166D">
        <w:rPr>
          <w:rFonts w:eastAsia="Georgia" w:cs="Arial"/>
          <w:sz w:val="22"/>
          <w:szCs w:val="22"/>
        </w:rPr>
        <w:t>sektorja (m2);</w:t>
      </w:r>
    </w:p>
    <w:p w14:paraId="6E661EAB" w14:textId="77777777" w:rsidR="004912DC" w:rsidRPr="000F166D" w:rsidRDefault="004912DC" w:rsidP="004912DC">
      <w:pPr>
        <w:numPr>
          <w:ilvl w:val="0"/>
          <w:numId w:val="36"/>
        </w:numPr>
        <w:spacing w:line="240" w:lineRule="auto"/>
        <w:jc w:val="both"/>
        <w:rPr>
          <w:rFonts w:eastAsia="Georgia" w:cs="Arial"/>
          <w:sz w:val="22"/>
          <w:szCs w:val="22"/>
        </w:rPr>
      </w:pPr>
      <w:r w:rsidRPr="000F166D">
        <w:rPr>
          <w:rFonts w:eastAsia="Georgia" w:cs="Arial"/>
          <w:sz w:val="22"/>
          <w:szCs w:val="22"/>
        </w:rPr>
        <w:t>Tlorisna površina celovito energetsko prenovljenih stavb v lasti in uporabi osrednje oziroma ožje vlade (m2);</w:t>
      </w:r>
    </w:p>
    <w:p w14:paraId="5EB38B6B" w14:textId="77777777" w:rsidR="004912DC" w:rsidRPr="000F166D" w:rsidRDefault="004912DC" w:rsidP="004912DC">
      <w:pPr>
        <w:numPr>
          <w:ilvl w:val="0"/>
          <w:numId w:val="36"/>
        </w:numPr>
        <w:spacing w:line="240" w:lineRule="auto"/>
        <w:jc w:val="both"/>
        <w:rPr>
          <w:rFonts w:eastAsia="Georgia" w:cs="Arial"/>
          <w:sz w:val="22"/>
          <w:szCs w:val="22"/>
        </w:rPr>
      </w:pPr>
      <w:r w:rsidRPr="000F166D">
        <w:rPr>
          <w:rFonts w:eastAsia="Georgia" w:cs="Arial"/>
          <w:sz w:val="22"/>
          <w:szCs w:val="22"/>
        </w:rPr>
        <w:t>Skupni dodeljeni znesek za celovito energetsko prenovo javnih stavb (EUR);</w:t>
      </w:r>
    </w:p>
    <w:p w14:paraId="28F8671B" w14:textId="77777777" w:rsidR="004912DC" w:rsidRPr="000F166D" w:rsidRDefault="004912DC" w:rsidP="004912DC">
      <w:pPr>
        <w:numPr>
          <w:ilvl w:val="0"/>
          <w:numId w:val="36"/>
        </w:numPr>
        <w:spacing w:line="240" w:lineRule="auto"/>
        <w:jc w:val="both"/>
        <w:rPr>
          <w:rFonts w:eastAsia="Georgia" w:cs="Arial"/>
          <w:sz w:val="22"/>
          <w:szCs w:val="22"/>
        </w:rPr>
      </w:pPr>
      <w:r w:rsidRPr="000F166D">
        <w:rPr>
          <w:rFonts w:eastAsia="Georgia" w:cs="Arial"/>
          <w:sz w:val="22"/>
          <w:szCs w:val="22"/>
        </w:rPr>
        <w:t>Zmanjšanje letne porabe primarne energije v javnih stavbah (kWh/leto);</w:t>
      </w:r>
    </w:p>
    <w:p w14:paraId="5C984B7A" w14:textId="77777777" w:rsidR="004912DC" w:rsidRPr="000F166D" w:rsidRDefault="004912DC" w:rsidP="004912DC">
      <w:pPr>
        <w:numPr>
          <w:ilvl w:val="0"/>
          <w:numId w:val="36"/>
        </w:numPr>
        <w:spacing w:line="240" w:lineRule="auto"/>
        <w:jc w:val="both"/>
        <w:rPr>
          <w:rFonts w:eastAsia="Georgia" w:cs="Arial"/>
          <w:sz w:val="22"/>
          <w:szCs w:val="22"/>
        </w:rPr>
      </w:pPr>
      <w:r w:rsidRPr="000F166D">
        <w:rPr>
          <w:rFonts w:eastAsia="Georgia" w:cs="Arial"/>
          <w:sz w:val="22"/>
          <w:szCs w:val="22"/>
        </w:rPr>
        <w:t>Zmanjšanje izpustov toplogrednih plinov (te CO2);</w:t>
      </w:r>
    </w:p>
    <w:p w14:paraId="59946AE6" w14:textId="77777777" w:rsidR="004912DC" w:rsidRPr="000F166D" w:rsidRDefault="004912DC" w:rsidP="004912DC">
      <w:pPr>
        <w:numPr>
          <w:ilvl w:val="0"/>
          <w:numId w:val="36"/>
        </w:numPr>
        <w:spacing w:line="240" w:lineRule="auto"/>
        <w:jc w:val="both"/>
        <w:rPr>
          <w:rFonts w:eastAsia="Georgia" w:cs="Arial"/>
          <w:sz w:val="22"/>
          <w:szCs w:val="22"/>
        </w:rPr>
      </w:pPr>
      <w:r w:rsidRPr="000F166D">
        <w:rPr>
          <w:rFonts w:eastAsia="Georgia" w:cs="Arial"/>
          <w:sz w:val="22"/>
          <w:szCs w:val="22"/>
        </w:rPr>
        <w:t>Finančni vzvod.</w:t>
      </w:r>
    </w:p>
    <w:p w14:paraId="2DD5E2C1" w14:textId="77777777" w:rsidR="004912DC" w:rsidRPr="000F166D" w:rsidRDefault="004912DC" w:rsidP="004912DC">
      <w:pPr>
        <w:ind w:left="26"/>
        <w:jc w:val="both"/>
        <w:rPr>
          <w:rFonts w:eastAsia="Georgia" w:cs="Arial"/>
          <w:sz w:val="22"/>
          <w:lang w:eastAsia="sl-SI"/>
        </w:rPr>
      </w:pPr>
    </w:p>
    <w:p w14:paraId="0168E0DB" w14:textId="77777777" w:rsidR="004912DC" w:rsidRPr="000F166D" w:rsidRDefault="004912DC" w:rsidP="004912DC">
      <w:pPr>
        <w:keepNext/>
        <w:keepLines/>
        <w:spacing w:before="40"/>
        <w:jc w:val="both"/>
        <w:outlineLvl w:val="3"/>
        <w:rPr>
          <w:rFonts w:eastAsia="Georgia" w:cs="Arial"/>
          <w:b/>
          <w:iCs/>
          <w:color w:val="2E74B5"/>
          <w:sz w:val="22"/>
          <w:lang w:eastAsia="sl-SI"/>
        </w:rPr>
      </w:pPr>
      <w:r w:rsidRPr="000F166D">
        <w:rPr>
          <w:rFonts w:eastAsia="Georgia" w:cs="Arial"/>
          <w:b/>
          <w:i/>
          <w:iCs/>
          <w:color w:val="2E74B5"/>
          <w:sz w:val="22"/>
          <w:lang w:eastAsia="sl-SI"/>
        </w:rPr>
        <w:t xml:space="preserve">3.2.4 Finančni instrument za urbani razvoj </w:t>
      </w:r>
    </w:p>
    <w:p w14:paraId="2F86E3C3" w14:textId="77777777" w:rsidR="004912DC" w:rsidRPr="000F166D" w:rsidRDefault="004912DC" w:rsidP="004912DC">
      <w:pPr>
        <w:ind w:left="-15" w:right="256" w:firstLine="2"/>
        <w:jc w:val="both"/>
        <w:rPr>
          <w:rFonts w:eastAsia="Georgia" w:cs="Arial"/>
          <w:sz w:val="22"/>
          <w:szCs w:val="22"/>
          <w:lang w:eastAsia="sl-SI"/>
        </w:rPr>
      </w:pPr>
      <w:r w:rsidRPr="000F166D">
        <w:rPr>
          <w:rFonts w:eastAsia="Georgia" w:cs="Arial"/>
          <w:sz w:val="22"/>
          <w:szCs w:val="22"/>
          <w:lang w:eastAsia="sl-SI"/>
        </w:rPr>
        <w:t>V programskem obdobju 2014—2020 je v sklopu TC4 in TC6 za izvajanje trajnostnih urbanih strategij v okviru mehanizma CTN namenjeno 117 mil EUR. Za implementacijo pilotnih projektov s finančnimi instrumenti v mestnih občinah je v predhodni oceni za FI predvidenih</w:t>
      </w:r>
      <w:r w:rsidRPr="000F166D" w:rsidDel="00062CC0">
        <w:rPr>
          <w:rFonts w:eastAsia="Georgia" w:cs="Arial"/>
          <w:sz w:val="22"/>
          <w:szCs w:val="22"/>
          <w:lang w:eastAsia="sl-SI"/>
        </w:rPr>
        <w:t xml:space="preserve"> </w:t>
      </w:r>
      <w:r w:rsidRPr="000F166D">
        <w:rPr>
          <w:rFonts w:eastAsia="Georgia" w:cs="Arial"/>
          <w:sz w:val="22"/>
          <w:szCs w:val="22"/>
          <w:lang w:eastAsia="sl-SI"/>
        </w:rPr>
        <w:t>16,7 mio EUR</w:t>
      </w:r>
    </w:p>
    <w:p w14:paraId="64DC7E24" w14:textId="77777777" w:rsidR="004912DC" w:rsidRPr="000F166D" w:rsidRDefault="004912DC" w:rsidP="004912DC">
      <w:pPr>
        <w:ind w:left="-15" w:right="256" w:firstLine="2"/>
        <w:jc w:val="both"/>
        <w:rPr>
          <w:rFonts w:eastAsia="Georgia" w:cs="Arial"/>
          <w:sz w:val="22"/>
          <w:szCs w:val="22"/>
          <w:lang w:eastAsia="sl-SI"/>
        </w:rPr>
      </w:pPr>
    </w:p>
    <w:p w14:paraId="79E0094C" w14:textId="77777777" w:rsidR="004912DC" w:rsidRPr="000F166D" w:rsidRDefault="004912DC" w:rsidP="004912DC">
      <w:pPr>
        <w:ind w:left="-15" w:right="256" w:firstLine="2"/>
        <w:jc w:val="both"/>
        <w:rPr>
          <w:rFonts w:eastAsia="Georgia" w:cs="Arial"/>
          <w:sz w:val="22"/>
          <w:szCs w:val="22"/>
          <w:lang w:eastAsia="sl-SI"/>
        </w:rPr>
      </w:pPr>
      <w:r w:rsidRPr="000F166D">
        <w:rPr>
          <w:rFonts w:eastAsia="Georgia" w:cs="Arial"/>
          <w:sz w:val="22"/>
          <w:szCs w:val="22"/>
          <w:lang w:eastAsia="sl-SI"/>
        </w:rPr>
        <w:t>Na podlagi odločitve OU pa bo za to področje v obliki FI namenjenih 5 mio EUR kohezijskih sredstev, ki bodo prispevali k doseganju specifičnega cilja prednostne naložbe 6.3 in morebitna druga sredstva, ki bodo spodbujala izvedbo investicij urbane prenove v mestih in prispevala tudi k drugim prednostnim naložbam OP 2014 - 2020.</w:t>
      </w:r>
    </w:p>
    <w:p w14:paraId="22D1A571" w14:textId="77777777" w:rsidR="004912DC" w:rsidRPr="000F166D" w:rsidRDefault="004912DC" w:rsidP="004912DC">
      <w:pPr>
        <w:ind w:left="-15" w:right="256" w:firstLine="2"/>
        <w:jc w:val="both"/>
        <w:rPr>
          <w:rFonts w:eastAsia="Georgia" w:cs="Arial"/>
          <w:sz w:val="22"/>
          <w:lang w:eastAsia="sl-SI"/>
        </w:rPr>
      </w:pPr>
    </w:p>
    <w:p w14:paraId="5FC4AB34" w14:textId="77777777" w:rsidR="004912DC" w:rsidRPr="000F166D" w:rsidRDefault="004912DC" w:rsidP="004912DC">
      <w:pPr>
        <w:keepNext/>
        <w:keepLines/>
        <w:spacing w:before="40"/>
        <w:jc w:val="both"/>
        <w:outlineLvl w:val="4"/>
        <w:rPr>
          <w:rFonts w:eastAsia="Georgia" w:cs="Arial"/>
          <w:color w:val="2E74B5"/>
          <w:sz w:val="22"/>
          <w:lang w:eastAsia="sl-SI"/>
        </w:rPr>
      </w:pPr>
      <w:r w:rsidRPr="000F166D">
        <w:rPr>
          <w:rFonts w:eastAsia="Georgia" w:cs="Arial"/>
          <w:color w:val="2E74B5"/>
          <w:sz w:val="22"/>
          <w:lang w:eastAsia="sl-SI"/>
        </w:rPr>
        <w:t>3.2.4.1 Posojila za urbani razvoj</w:t>
      </w:r>
    </w:p>
    <w:p w14:paraId="16E8CADA" w14:textId="77777777" w:rsidR="004912DC" w:rsidRPr="000F166D" w:rsidRDefault="004912DC" w:rsidP="004912DC">
      <w:pPr>
        <w:ind w:left="-15" w:right="259" w:firstLine="2"/>
        <w:jc w:val="both"/>
        <w:rPr>
          <w:rFonts w:eastAsia="Georgia" w:cs="Arial"/>
          <w:sz w:val="22"/>
          <w:szCs w:val="22"/>
          <w:lang w:eastAsia="sl-SI"/>
        </w:rPr>
      </w:pPr>
      <w:r w:rsidRPr="000F166D">
        <w:rPr>
          <w:rFonts w:eastAsia="Georgia" w:cs="Arial"/>
          <w:sz w:val="22"/>
          <w:szCs w:val="22"/>
          <w:lang w:eastAsia="sl-SI"/>
        </w:rPr>
        <w:t xml:space="preserve">Predlagani FI za spodbujanje urbanega razvoja zajema posojila za mestne občine, podjetja za upravljanje z javnimi površinami in stavbami, stanovanjske kooperative in ponudnike drugih alternativnih oblik bivanja v mestih. Sredstva bodo namenjena projektom, ki bodo prispevali k izvajanju trajnostnih urbanih strategij v (11) mestnih občinah. </w:t>
      </w:r>
    </w:p>
    <w:p w14:paraId="7BBAC251" w14:textId="77777777" w:rsidR="004912DC" w:rsidRPr="000F166D" w:rsidRDefault="004912DC" w:rsidP="004912DC">
      <w:pPr>
        <w:ind w:left="-15" w:right="259" w:firstLine="2"/>
        <w:jc w:val="both"/>
        <w:rPr>
          <w:rFonts w:eastAsia="Georgia" w:cs="Arial"/>
          <w:sz w:val="22"/>
          <w:szCs w:val="22"/>
        </w:rPr>
      </w:pPr>
      <w:r w:rsidRPr="000F166D">
        <w:rPr>
          <w:rFonts w:eastAsia="Georgia" w:cs="Arial"/>
          <w:sz w:val="22"/>
          <w:szCs w:val="22"/>
          <w:lang w:eastAsia="sl-SI"/>
        </w:rPr>
        <w:t xml:space="preserve"> </w:t>
      </w:r>
    </w:p>
    <w:p w14:paraId="46BD9550" w14:textId="77777777" w:rsidR="004912DC" w:rsidRPr="000F166D" w:rsidRDefault="004912DC" w:rsidP="004912DC">
      <w:pPr>
        <w:ind w:left="2"/>
        <w:jc w:val="both"/>
        <w:rPr>
          <w:rFonts w:eastAsia="Georgia" w:cs="Arial"/>
          <w:sz w:val="22"/>
          <w:szCs w:val="22"/>
        </w:rPr>
      </w:pPr>
      <w:r w:rsidRPr="000F166D">
        <w:rPr>
          <w:rFonts w:eastAsia="Georgia" w:cs="Arial"/>
          <w:sz w:val="22"/>
          <w:szCs w:val="22"/>
        </w:rPr>
        <w:t xml:space="preserve">Za izvajanje posojil bo namenjenih </w:t>
      </w:r>
      <w:r w:rsidRPr="000F166D">
        <w:rPr>
          <w:rFonts w:eastAsia="Georgia" w:cs="Arial"/>
          <w:b/>
          <w:sz w:val="22"/>
          <w:szCs w:val="22"/>
        </w:rPr>
        <w:t xml:space="preserve">5 mio EUR </w:t>
      </w:r>
      <w:r w:rsidRPr="000F166D">
        <w:rPr>
          <w:rFonts w:eastAsia="Georgia" w:cs="Arial"/>
          <w:sz w:val="22"/>
          <w:szCs w:val="22"/>
        </w:rPr>
        <w:t>EU sredstev iz TC 6. Predlagani znesek je namenjen projektom v 11 mestnih občinah</w:t>
      </w:r>
      <w:r w:rsidRPr="000F166D">
        <w:rPr>
          <w:rFonts w:eastAsia="Georgia" w:cs="Arial"/>
          <w:sz w:val="22"/>
          <w:szCs w:val="22"/>
          <w:vertAlign w:val="superscript"/>
        </w:rPr>
        <w:footnoteReference w:id="15"/>
      </w:r>
      <w:r w:rsidRPr="000F166D">
        <w:rPr>
          <w:rFonts w:eastAsia="Georgia" w:cs="Arial"/>
          <w:sz w:val="22"/>
          <w:szCs w:val="22"/>
        </w:rPr>
        <w:t>, pri čemer se predvideva spodbuditev manjšega števila večjih pilotnih projektov (V in Z kohezijska regija).</w:t>
      </w:r>
    </w:p>
    <w:p w14:paraId="7215E983" w14:textId="77777777" w:rsidR="004912DC" w:rsidRPr="000F166D" w:rsidRDefault="004912DC" w:rsidP="004912DC">
      <w:pPr>
        <w:ind w:left="-15" w:right="256" w:firstLine="2"/>
        <w:jc w:val="both"/>
        <w:rPr>
          <w:rFonts w:eastAsia="Georgia" w:cs="Arial"/>
          <w:sz w:val="22"/>
          <w:szCs w:val="22"/>
          <w:lang w:eastAsia="sl-SI"/>
        </w:rPr>
      </w:pPr>
    </w:p>
    <w:p w14:paraId="4DAC436B" w14:textId="77777777" w:rsidR="004912DC" w:rsidRPr="000F166D" w:rsidRDefault="004912DC" w:rsidP="004912DC">
      <w:pPr>
        <w:ind w:left="-15" w:right="256" w:firstLine="2"/>
        <w:jc w:val="both"/>
        <w:rPr>
          <w:rFonts w:eastAsia="Georgia" w:cs="Arial"/>
          <w:sz w:val="22"/>
          <w:szCs w:val="22"/>
          <w:lang w:eastAsia="sl-SI"/>
        </w:rPr>
      </w:pPr>
      <w:r w:rsidRPr="000F166D">
        <w:rPr>
          <w:rFonts w:eastAsia="Georgia" w:cs="Arial"/>
          <w:sz w:val="22"/>
          <w:szCs w:val="22"/>
          <w:lang w:eastAsia="sl-SI"/>
        </w:rPr>
        <w:t>Pričakovani učinek finančnega vzvoda je 1,5 do 2,5.</w:t>
      </w:r>
    </w:p>
    <w:p w14:paraId="64A35163" w14:textId="77777777" w:rsidR="004912DC" w:rsidRPr="000F166D" w:rsidRDefault="004912DC" w:rsidP="004912DC">
      <w:pPr>
        <w:ind w:left="-5" w:hanging="10"/>
        <w:jc w:val="both"/>
        <w:rPr>
          <w:rFonts w:eastAsia="Georgia" w:cs="Arial"/>
          <w:sz w:val="22"/>
          <w:szCs w:val="22"/>
          <w:lang w:eastAsia="sl-SI"/>
        </w:rPr>
      </w:pPr>
    </w:p>
    <w:p w14:paraId="687623EB" w14:textId="77777777" w:rsidR="004912DC" w:rsidRPr="000F166D" w:rsidRDefault="004912DC" w:rsidP="004912DC">
      <w:pPr>
        <w:ind w:left="-5" w:hanging="10"/>
        <w:jc w:val="both"/>
        <w:rPr>
          <w:rFonts w:eastAsia="Georgia" w:cs="Arial"/>
          <w:sz w:val="22"/>
          <w:szCs w:val="22"/>
          <w:lang w:eastAsia="sl-SI"/>
        </w:rPr>
      </w:pPr>
      <w:r w:rsidRPr="000F166D">
        <w:rPr>
          <w:rFonts w:eastAsia="Georgia" w:cs="Arial"/>
          <w:sz w:val="22"/>
          <w:szCs w:val="22"/>
          <w:lang w:eastAsia="sl-SI"/>
        </w:rPr>
        <w:t xml:space="preserve">Možna je kombinacija posojil z nepovratnimi viri. </w:t>
      </w:r>
    </w:p>
    <w:p w14:paraId="174CF03A" w14:textId="77777777" w:rsidR="004912DC" w:rsidRPr="000F166D" w:rsidRDefault="004912DC" w:rsidP="004912DC">
      <w:pPr>
        <w:ind w:left="-5" w:hanging="10"/>
        <w:jc w:val="both"/>
        <w:rPr>
          <w:rFonts w:eastAsia="Georgia" w:cs="Arial"/>
          <w:sz w:val="22"/>
          <w:szCs w:val="22"/>
          <w:lang w:eastAsia="sl-SI"/>
        </w:rPr>
      </w:pPr>
    </w:p>
    <w:p w14:paraId="7DA88C3A" w14:textId="77777777" w:rsidR="004912DC" w:rsidRPr="000F166D" w:rsidRDefault="004912DC" w:rsidP="004912DC">
      <w:pPr>
        <w:ind w:left="-15" w:right="256" w:firstLine="2"/>
        <w:jc w:val="both"/>
        <w:rPr>
          <w:rFonts w:eastAsia="Georgia" w:cs="Arial"/>
          <w:sz w:val="22"/>
          <w:szCs w:val="22"/>
          <w:lang w:eastAsia="sl-SI"/>
        </w:rPr>
      </w:pPr>
      <w:r w:rsidRPr="000F166D">
        <w:rPr>
          <w:rFonts w:eastAsia="Georgia" w:cs="Arial"/>
          <w:sz w:val="22"/>
          <w:szCs w:val="22"/>
          <w:lang w:eastAsia="sl-SI"/>
        </w:rPr>
        <w:t xml:space="preserve">Državne pomoči: </w:t>
      </w:r>
      <w:r w:rsidRPr="000F166D">
        <w:rPr>
          <w:rFonts w:eastAsia="Georgia" w:cs="Arial"/>
          <w:sz w:val="22"/>
          <w:szCs w:val="22"/>
        </w:rPr>
        <w:t>krediti se presojajo skladno z relevantno shemo državne pomoči ali pomoči de minimis</w:t>
      </w:r>
      <w:r w:rsidRPr="000F166D">
        <w:rPr>
          <w:rFonts w:eastAsia="Georgia" w:cs="Arial"/>
          <w:sz w:val="22"/>
          <w:szCs w:val="22"/>
          <w:lang w:eastAsia="sl-SI"/>
        </w:rPr>
        <w:t>.</w:t>
      </w:r>
    </w:p>
    <w:p w14:paraId="46187EE3" w14:textId="77777777" w:rsidR="004912DC" w:rsidRPr="000F166D" w:rsidRDefault="004912DC" w:rsidP="004912DC">
      <w:pPr>
        <w:ind w:left="-15" w:right="256" w:firstLine="2"/>
        <w:jc w:val="both"/>
        <w:rPr>
          <w:rFonts w:eastAsia="Georgia" w:cs="Arial"/>
          <w:sz w:val="22"/>
          <w:szCs w:val="22"/>
          <w:lang w:eastAsia="sl-SI"/>
        </w:rPr>
      </w:pPr>
    </w:p>
    <w:p w14:paraId="34C8A102" w14:textId="77777777" w:rsidR="004912DC" w:rsidRPr="000F166D" w:rsidRDefault="004912DC" w:rsidP="004912DC">
      <w:pPr>
        <w:jc w:val="both"/>
        <w:rPr>
          <w:rFonts w:eastAsia="Georgia" w:cs="Arial"/>
          <w:sz w:val="22"/>
          <w:szCs w:val="22"/>
          <w:lang w:eastAsia="sl-SI"/>
        </w:rPr>
      </w:pPr>
      <w:r w:rsidRPr="000F166D">
        <w:rPr>
          <w:rFonts w:eastAsia="Georgia" w:cs="Arial"/>
          <w:sz w:val="22"/>
          <w:szCs w:val="22"/>
          <w:lang w:eastAsia="sl-SI"/>
        </w:rPr>
        <w:t>Upravičenci do sredstev so:</w:t>
      </w:r>
    </w:p>
    <w:p w14:paraId="0FD59BB4" w14:textId="77777777" w:rsidR="004912DC" w:rsidRPr="000F166D" w:rsidRDefault="004912DC" w:rsidP="004912DC">
      <w:pPr>
        <w:numPr>
          <w:ilvl w:val="0"/>
          <w:numId w:val="35"/>
        </w:numPr>
        <w:spacing w:line="240" w:lineRule="auto"/>
        <w:jc w:val="both"/>
        <w:rPr>
          <w:rFonts w:eastAsia="Georgia" w:cs="Arial"/>
          <w:sz w:val="22"/>
          <w:szCs w:val="22"/>
        </w:rPr>
      </w:pPr>
      <w:r w:rsidRPr="000F166D">
        <w:rPr>
          <w:rFonts w:eastAsia="Georgia" w:cs="Arial"/>
          <w:sz w:val="22"/>
          <w:szCs w:val="22"/>
        </w:rPr>
        <w:t>Javni sektor (mestne občine, javna podjetja, ki upravljajo z javnimi površinami in stavbami),</w:t>
      </w:r>
    </w:p>
    <w:p w14:paraId="10C2F0EE" w14:textId="77777777" w:rsidR="004912DC" w:rsidRPr="000F166D" w:rsidRDefault="004912DC" w:rsidP="004912DC">
      <w:pPr>
        <w:numPr>
          <w:ilvl w:val="0"/>
          <w:numId w:val="35"/>
        </w:numPr>
        <w:spacing w:line="240" w:lineRule="auto"/>
        <w:jc w:val="both"/>
        <w:rPr>
          <w:rFonts w:eastAsia="Georgia" w:cs="Arial"/>
          <w:sz w:val="22"/>
          <w:szCs w:val="22"/>
        </w:rPr>
      </w:pPr>
      <w:r w:rsidRPr="000F166D">
        <w:rPr>
          <w:rFonts w:eastAsia="Georgia" w:cs="Arial"/>
          <w:sz w:val="22"/>
          <w:szCs w:val="22"/>
        </w:rPr>
        <w:t>Zasebni sektor (npr. koncesionarji, zasebna podjetja, ki upravljajo z javnimi površinami in stavbami, neprofitne stanovanjske organizacije, stanovanjske kooperative),</w:t>
      </w:r>
    </w:p>
    <w:p w14:paraId="21A19834" w14:textId="77777777" w:rsidR="004912DC" w:rsidRPr="000F166D" w:rsidRDefault="004912DC" w:rsidP="004912DC">
      <w:pPr>
        <w:numPr>
          <w:ilvl w:val="0"/>
          <w:numId w:val="35"/>
        </w:numPr>
        <w:spacing w:line="240" w:lineRule="auto"/>
        <w:jc w:val="both"/>
        <w:rPr>
          <w:rFonts w:eastAsia="Georgia" w:cs="Arial"/>
          <w:sz w:val="22"/>
          <w:szCs w:val="22"/>
        </w:rPr>
      </w:pPr>
      <w:r w:rsidRPr="000F166D">
        <w:rPr>
          <w:rFonts w:eastAsia="Georgia" w:cs="Arial"/>
          <w:sz w:val="22"/>
          <w:szCs w:val="22"/>
        </w:rPr>
        <w:t>Javno zasebna partnerstva.</w:t>
      </w:r>
    </w:p>
    <w:p w14:paraId="4F58D024" w14:textId="77777777" w:rsidR="004912DC" w:rsidRPr="000F166D" w:rsidRDefault="004912DC" w:rsidP="004912DC">
      <w:pPr>
        <w:ind w:right="256"/>
        <w:jc w:val="both"/>
        <w:rPr>
          <w:rFonts w:eastAsia="Georgia" w:cs="Arial"/>
          <w:sz w:val="22"/>
          <w:szCs w:val="22"/>
          <w:lang w:eastAsia="sl-SI"/>
        </w:rPr>
      </w:pPr>
    </w:p>
    <w:p w14:paraId="1D35D956" w14:textId="77777777" w:rsidR="004912DC" w:rsidRPr="000F166D" w:rsidRDefault="004912DC" w:rsidP="004912DC">
      <w:pPr>
        <w:ind w:left="-15" w:right="256" w:firstLine="2"/>
        <w:jc w:val="both"/>
        <w:rPr>
          <w:rFonts w:eastAsia="Georgia" w:cs="Arial"/>
          <w:sz w:val="22"/>
          <w:szCs w:val="22"/>
          <w:lang w:eastAsia="sl-SI"/>
        </w:rPr>
      </w:pPr>
      <w:r w:rsidRPr="000F166D">
        <w:rPr>
          <w:rFonts w:eastAsia="Georgia" w:cs="Arial"/>
          <w:sz w:val="22"/>
          <w:szCs w:val="22"/>
          <w:lang w:eastAsia="sl-SI"/>
        </w:rPr>
        <w:t>Cilji:</w:t>
      </w:r>
    </w:p>
    <w:p w14:paraId="35DF6D11" w14:textId="77777777" w:rsidR="004912DC" w:rsidRPr="000F166D" w:rsidRDefault="004912DC" w:rsidP="004912DC">
      <w:pPr>
        <w:numPr>
          <w:ilvl w:val="0"/>
          <w:numId w:val="35"/>
        </w:numPr>
        <w:spacing w:line="240" w:lineRule="auto"/>
        <w:jc w:val="both"/>
        <w:rPr>
          <w:rFonts w:eastAsia="Georgia" w:cs="Arial"/>
          <w:sz w:val="22"/>
          <w:szCs w:val="22"/>
        </w:rPr>
      </w:pPr>
      <w:r w:rsidRPr="000F166D">
        <w:rPr>
          <w:rFonts w:eastAsia="Georgia" w:cs="Arial"/>
          <w:sz w:val="22"/>
          <w:szCs w:val="22"/>
        </w:rPr>
        <w:t>Zmanjšanje specifičnih težav ciljnih skupin in končnih upravičencev pri dostopanju do financiranja,</w:t>
      </w:r>
      <w:r>
        <w:rPr>
          <w:rFonts w:eastAsia="Georgia" w:cs="Arial"/>
          <w:sz w:val="22"/>
          <w:szCs w:val="22"/>
        </w:rPr>
        <w:t xml:space="preserve">                        </w:t>
      </w:r>
      <w:r w:rsidRPr="000F166D">
        <w:rPr>
          <w:rFonts w:eastAsia="Georgia" w:cs="Arial"/>
          <w:sz w:val="22"/>
          <w:szCs w:val="22"/>
        </w:rPr>
        <w:t xml:space="preserve"> </w:t>
      </w:r>
    </w:p>
    <w:p w14:paraId="57680130" w14:textId="77777777" w:rsidR="004912DC" w:rsidRPr="000F166D" w:rsidRDefault="004912DC" w:rsidP="004912DC">
      <w:pPr>
        <w:numPr>
          <w:ilvl w:val="0"/>
          <w:numId w:val="35"/>
        </w:numPr>
        <w:spacing w:line="240" w:lineRule="auto"/>
        <w:jc w:val="both"/>
        <w:rPr>
          <w:rFonts w:eastAsia="Georgia" w:cs="Arial"/>
          <w:sz w:val="22"/>
          <w:szCs w:val="22"/>
        </w:rPr>
      </w:pPr>
      <w:r w:rsidRPr="000F166D">
        <w:rPr>
          <w:rFonts w:eastAsia="Georgia" w:cs="Arial"/>
          <w:sz w:val="22"/>
          <w:szCs w:val="22"/>
        </w:rPr>
        <w:t>Podpora projekto</w:t>
      </w:r>
      <w:r>
        <w:rPr>
          <w:rFonts w:eastAsia="Georgia" w:cs="Arial"/>
          <w:sz w:val="22"/>
          <w:szCs w:val="22"/>
        </w:rPr>
        <w:t>m na področju urbanega razvoja.</w:t>
      </w:r>
    </w:p>
    <w:p w14:paraId="4C026A60" w14:textId="77777777" w:rsidR="004912DC" w:rsidRPr="000F166D" w:rsidRDefault="004912DC" w:rsidP="004912DC">
      <w:pPr>
        <w:ind w:left="-15" w:right="256" w:firstLine="2"/>
        <w:jc w:val="both"/>
        <w:rPr>
          <w:rFonts w:eastAsia="Georgia" w:cs="Arial"/>
          <w:sz w:val="22"/>
          <w:szCs w:val="22"/>
          <w:lang w:eastAsia="sl-SI"/>
        </w:rPr>
      </w:pPr>
      <w:r w:rsidRPr="000F166D">
        <w:rPr>
          <w:rFonts w:eastAsia="Georgia" w:cs="Arial"/>
          <w:sz w:val="22"/>
          <w:szCs w:val="22"/>
          <w:lang w:eastAsia="sl-SI"/>
        </w:rPr>
        <w:t>Kazalniki:</w:t>
      </w:r>
    </w:p>
    <w:p w14:paraId="13B7B9D9" w14:textId="77777777" w:rsidR="004912DC" w:rsidRPr="000F166D" w:rsidRDefault="004912DC" w:rsidP="004912DC">
      <w:pPr>
        <w:numPr>
          <w:ilvl w:val="0"/>
          <w:numId w:val="35"/>
        </w:numPr>
        <w:spacing w:line="240" w:lineRule="auto"/>
        <w:jc w:val="both"/>
        <w:rPr>
          <w:rFonts w:eastAsia="Georgia" w:cs="Arial"/>
          <w:sz w:val="22"/>
          <w:szCs w:val="22"/>
        </w:rPr>
      </w:pPr>
      <w:r w:rsidRPr="000F166D">
        <w:rPr>
          <w:rFonts w:eastAsia="Georgia" w:cs="Arial"/>
          <w:sz w:val="22"/>
          <w:szCs w:val="22"/>
        </w:rPr>
        <w:t>Število financiranih projektov,</w:t>
      </w:r>
    </w:p>
    <w:p w14:paraId="0A616C90" w14:textId="77777777" w:rsidR="004912DC" w:rsidRPr="000F166D" w:rsidRDefault="004912DC" w:rsidP="004912DC">
      <w:pPr>
        <w:numPr>
          <w:ilvl w:val="0"/>
          <w:numId w:val="35"/>
        </w:numPr>
        <w:spacing w:line="240" w:lineRule="auto"/>
        <w:jc w:val="both"/>
        <w:rPr>
          <w:rFonts w:eastAsia="Georgia" w:cs="Arial"/>
          <w:sz w:val="22"/>
          <w:szCs w:val="22"/>
        </w:rPr>
      </w:pPr>
      <w:r w:rsidRPr="000F166D">
        <w:rPr>
          <w:rFonts w:eastAsia="Georgia" w:cs="Arial"/>
          <w:sz w:val="22"/>
          <w:szCs w:val="22"/>
        </w:rPr>
        <w:t>Skupen znesek financiranih projektov urbane prenove,</w:t>
      </w:r>
    </w:p>
    <w:p w14:paraId="568E82AA" w14:textId="77777777" w:rsidR="004912DC" w:rsidRPr="000F166D" w:rsidRDefault="004912DC" w:rsidP="004912DC">
      <w:pPr>
        <w:numPr>
          <w:ilvl w:val="0"/>
          <w:numId w:val="35"/>
        </w:numPr>
        <w:spacing w:line="240" w:lineRule="auto"/>
        <w:jc w:val="both"/>
        <w:rPr>
          <w:rFonts w:eastAsia="Georgia" w:cs="Arial"/>
          <w:sz w:val="22"/>
          <w:szCs w:val="22"/>
        </w:rPr>
      </w:pPr>
      <w:r w:rsidRPr="000F166D">
        <w:rPr>
          <w:rFonts w:eastAsia="Georgia" w:cs="Arial"/>
          <w:sz w:val="22"/>
          <w:szCs w:val="22"/>
        </w:rPr>
        <w:t xml:space="preserve">Predvideno doseganje kazalnikov učinka glede na skupno dodeljen znesek FI, </w:t>
      </w:r>
    </w:p>
    <w:p w14:paraId="34378FFF" w14:textId="77777777" w:rsidR="004912DC" w:rsidRPr="000F166D" w:rsidRDefault="004912DC" w:rsidP="004912DC">
      <w:pPr>
        <w:numPr>
          <w:ilvl w:val="0"/>
          <w:numId w:val="35"/>
        </w:numPr>
        <w:spacing w:line="240" w:lineRule="auto"/>
        <w:jc w:val="both"/>
        <w:rPr>
          <w:rFonts w:eastAsia="Georgia" w:cs="Arial"/>
          <w:sz w:val="22"/>
          <w:szCs w:val="22"/>
        </w:rPr>
      </w:pPr>
      <w:r w:rsidRPr="000F166D">
        <w:rPr>
          <w:rFonts w:eastAsia="Georgia" w:cs="Arial"/>
          <w:sz w:val="22"/>
          <w:szCs w:val="22"/>
        </w:rPr>
        <w:t>Učinek finančnega vzvoda.</w:t>
      </w:r>
    </w:p>
    <w:p w14:paraId="529BF41D" w14:textId="77777777" w:rsidR="004912DC" w:rsidRPr="000F166D" w:rsidRDefault="004912DC" w:rsidP="004912DC">
      <w:pPr>
        <w:ind w:left="-15" w:right="14" w:firstLine="2"/>
        <w:jc w:val="both"/>
        <w:rPr>
          <w:rFonts w:eastAsia="Georgia" w:cs="Arial"/>
          <w:sz w:val="22"/>
          <w:lang w:eastAsia="sl-SI"/>
        </w:rPr>
      </w:pPr>
    </w:p>
    <w:p w14:paraId="43F0EB81" w14:textId="77777777" w:rsidR="004912DC" w:rsidRPr="000F166D" w:rsidRDefault="004912DC" w:rsidP="004912DC">
      <w:pPr>
        <w:keepNext/>
        <w:keepLines/>
        <w:spacing w:before="40"/>
        <w:jc w:val="both"/>
        <w:outlineLvl w:val="2"/>
        <w:rPr>
          <w:rFonts w:eastAsia="Calibri" w:cs="Arial"/>
          <w:b/>
          <w:color w:val="1F4D78"/>
          <w:sz w:val="28"/>
          <w:szCs w:val="28"/>
        </w:rPr>
      </w:pPr>
      <w:bookmarkStart w:id="80" w:name="_Toc54857919"/>
      <w:r w:rsidRPr="000F166D">
        <w:rPr>
          <w:rFonts w:eastAsia="Calibri" w:cs="Arial"/>
          <w:b/>
          <w:color w:val="1F4D78"/>
          <w:sz w:val="28"/>
          <w:szCs w:val="28"/>
        </w:rPr>
        <w:t>3.3 Kombinacija z nepovratnimi sredstvi ESI skladov</w:t>
      </w:r>
      <w:bookmarkEnd w:id="80"/>
      <w:r w:rsidRPr="000F166D">
        <w:rPr>
          <w:rFonts w:eastAsia="Calibri" w:cs="Arial"/>
          <w:b/>
          <w:color w:val="1F4D78"/>
          <w:sz w:val="28"/>
          <w:szCs w:val="28"/>
        </w:rPr>
        <w:t xml:space="preserve"> </w:t>
      </w:r>
    </w:p>
    <w:p w14:paraId="0C878E15" w14:textId="77777777" w:rsidR="004912DC" w:rsidRPr="000F166D" w:rsidRDefault="004912DC" w:rsidP="004912DC">
      <w:pPr>
        <w:autoSpaceDE w:val="0"/>
        <w:autoSpaceDN w:val="0"/>
        <w:adjustRightInd w:val="0"/>
        <w:jc w:val="both"/>
        <w:rPr>
          <w:rFonts w:eastAsia="Calibri" w:cs="Arial"/>
          <w:iCs/>
          <w:color w:val="000000"/>
          <w:sz w:val="22"/>
        </w:rPr>
      </w:pPr>
    </w:p>
    <w:p w14:paraId="4762636A" w14:textId="77777777" w:rsidR="004912DC" w:rsidRPr="000F166D" w:rsidRDefault="004912DC" w:rsidP="004912DC">
      <w:pPr>
        <w:autoSpaceDE w:val="0"/>
        <w:autoSpaceDN w:val="0"/>
        <w:adjustRightInd w:val="0"/>
        <w:jc w:val="both"/>
        <w:rPr>
          <w:rFonts w:eastAsia="Calibri" w:cs="Arial"/>
          <w:iCs/>
          <w:color w:val="000000"/>
          <w:sz w:val="22"/>
          <w:szCs w:val="22"/>
        </w:rPr>
      </w:pPr>
      <w:r w:rsidRPr="000F166D">
        <w:rPr>
          <w:rFonts w:eastAsia="Calibri" w:cs="Arial"/>
          <w:iCs/>
          <w:color w:val="000000"/>
          <w:sz w:val="22"/>
          <w:szCs w:val="22"/>
        </w:rPr>
        <w:t>Skladno s Predhodno oceno FI je predvidena tudi kombinacija z nepovratnimi sredstvi ESIF, kar je že predstavljeno pri posameznem FI.</w:t>
      </w:r>
      <w:r>
        <w:rPr>
          <w:rFonts w:eastAsia="Calibri" w:cs="Arial"/>
          <w:iCs/>
          <w:color w:val="000000"/>
          <w:sz w:val="22"/>
          <w:szCs w:val="22"/>
        </w:rPr>
        <w:t xml:space="preserve"> </w:t>
      </w:r>
    </w:p>
    <w:p w14:paraId="248CC4A8" w14:textId="77777777" w:rsidR="004912DC" w:rsidRPr="000F166D" w:rsidRDefault="004912DC" w:rsidP="004912DC">
      <w:pPr>
        <w:autoSpaceDE w:val="0"/>
        <w:autoSpaceDN w:val="0"/>
        <w:adjustRightInd w:val="0"/>
        <w:jc w:val="both"/>
        <w:rPr>
          <w:rFonts w:eastAsia="Calibri" w:cs="Arial"/>
          <w:iCs/>
          <w:color w:val="000000"/>
          <w:sz w:val="22"/>
          <w:szCs w:val="22"/>
        </w:rPr>
      </w:pPr>
    </w:p>
    <w:p w14:paraId="47613121" w14:textId="77777777" w:rsidR="004912DC" w:rsidRPr="000F166D" w:rsidRDefault="004912DC" w:rsidP="004912DC">
      <w:pPr>
        <w:spacing w:after="195"/>
        <w:ind w:right="14"/>
        <w:jc w:val="both"/>
        <w:rPr>
          <w:rFonts w:eastAsia="Georgia" w:cs="Arial"/>
          <w:sz w:val="22"/>
          <w:szCs w:val="22"/>
          <w:lang w:eastAsia="sl-SI"/>
        </w:rPr>
      </w:pPr>
      <w:r w:rsidRPr="000F166D">
        <w:rPr>
          <w:rFonts w:eastAsia="Georgia" w:cs="Arial"/>
          <w:sz w:val="22"/>
          <w:szCs w:val="22"/>
          <w:lang w:eastAsia="sl-SI"/>
        </w:rPr>
        <w:t>Dopustna sta dva načina kombiniranja FI z nepovratnimi sredstvi ESI skladov ali drugimi oblikami podpore ESI sredstev</w:t>
      </w:r>
      <w:r w:rsidRPr="000F166D">
        <w:rPr>
          <w:rFonts w:eastAsia="Georgia" w:cs="Arial"/>
          <w:sz w:val="22"/>
          <w:szCs w:val="22"/>
          <w:vertAlign w:val="superscript"/>
          <w:lang w:eastAsia="sl-SI"/>
        </w:rPr>
        <w:footnoteReference w:id="16"/>
      </w:r>
      <w:r w:rsidRPr="000F166D">
        <w:rPr>
          <w:rFonts w:eastAsia="Georgia" w:cs="Arial"/>
          <w:sz w:val="22"/>
          <w:szCs w:val="22"/>
          <w:lang w:eastAsia="sl-SI"/>
        </w:rPr>
        <w:t xml:space="preserve">: </w:t>
      </w:r>
    </w:p>
    <w:p w14:paraId="76A69F7E" w14:textId="77777777" w:rsidR="004912DC" w:rsidRPr="000F166D" w:rsidRDefault="004912DC" w:rsidP="004912DC">
      <w:pPr>
        <w:numPr>
          <w:ilvl w:val="0"/>
          <w:numId w:val="21"/>
        </w:numPr>
        <w:spacing w:after="114" w:line="240" w:lineRule="auto"/>
        <w:ind w:right="160"/>
        <w:jc w:val="both"/>
        <w:rPr>
          <w:rFonts w:eastAsia="Georgia" w:cs="Arial"/>
          <w:sz w:val="22"/>
          <w:szCs w:val="22"/>
          <w:lang w:eastAsia="sl-SI"/>
        </w:rPr>
      </w:pPr>
      <w:r w:rsidRPr="000F166D">
        <w:rPr>
          <w:rFonts w:eastAsia="Georgia" w:cs="Arial"/>
          <w:sz w:val="22"/>
          <w:szCs w:val="22"/>
          <w:lang w:eastAsia="sl-SI"/>
        </w:rPr>
        <w:t xml:space="preserve">v okviru </w:t>
      </w:r>
      <w:r w:rsidRPr="000F166D">
        <w:rPr>
          <w:rFonts w:eastAsia="Georgia" w:cs="Arial"/>
          <w:b/>
          <w:sz w:val="22"/>
          <w:szCs w:val="22"/>
          <w:lang w:eastAsia="sl-SI"/>
        </w:rPr>
        <w:t>ene same operacije</w:t>
      </w:r>
      <w:r w:rsidRPr="000F166D">
        <w:rPr>
          <w:rFonts w:eastAsia="Georgia" w:cs="Arial"/>
          <w:sz w:val="22"/>
          <w:szCs w:val="22"/>
          <w:lang w:eastAsia="sl-SI"/>
        </w:rPr>
        <w:t>, tj. sklad skladov, če gre za subvencije obrestnih mer, subvencije garancijske provizije ali tehnično pomoč</w:t>
      </w:r>
      <w:r w:rsidRPr="000F166D">
        <w:rPr>
          <w:rFonts w:eastAsia="Georgia" w:cs="Arial"/>
          <w:sz w:val="22"/>
          <w:szCs w:val="22"/>
          <w:vertAlign w:val="superscript"/>
          <w:lang w:eastAsia="sl-SI"/>
        </w:rPr>
        <w:footnoteReference w:id="17"/>
      </w:r>
      <w:r w:rsidRPr="000F166D">
        <w:rPr>
          <w:rFonts w:eastAsia="Georgia" w:cs="Arial"/>
          <w:sz w:val="22"/>
          <w:szCs w:val="22"/>
          <w:lang w:eastAsia="sl-SI"/>
        </w:rPr>
        <w:t>). V primeru takšne podpore pri eni sami operaciji se upoštevajo določbe, ki se uporabljajo pri finančnih produktih, zagotovljenih preko finančnih instrumentov (7. odstavek 37. člena Uredbe EU št. 1303/2013).</w:t>
      </w:r>
      <w:r w:rsidRPr="000F166D">
        <w:rPr>
          <w:rFonts w:ascii="Calibri" w:eastAsia="Calibri" w:hAnsi="Calibri" w:cs="Calibri"/>
          <w:sz w:val="22"/>
          <w:szCs w:val="22"/>
        </w:rPr>
        <w:t xml:space="preserve"> </w:t>
      </w:r>
      <w:r w:rsidRPr="000F166D">
        <w:rPr>
          <w:rFonts w:eastAsia="Georgia" w:cs="Arial"/>
          <w:sz w:val="22"/>
          <w:szCs w:val="22"/>
          <w:lang w:eastAsia="sl-SI"/>
        </w:rPr>
        <w:t>V takšnih primerih se spoštujejo veljavna pravila EU o državni pomoči, za vsako obliko podpore pa se vodi ločena evidenca.</w:t>
      </w:r>
    </w:p>
    <w:p w14:paraId="7141A32D" w14:textId="77777777" w:rsidR="004912DC" w:rsidRPr="000F166D" w:rsidRDefault="004912DC" w:rsidP="004912DC">
      <w:pPr>
        <w:spacing w:after="147"/>
        <w:ind w:left="720" w:right="256"/>
        <w:jc w:val="both"/>
        <w:rPr>
          <w:rFonts w:eastAsia="Georgia" w:cs="Arial"/>
          <w:sz w:val="22"/>
          <w:szCs w:val="22"/>
          <w:lang w:eastAsia="sl-SI"/>
        </w:rPr>
      </w:pPr>
      <w:r w:rsidRPr="000F166D">
        <w:rPr>
          <w:rFonts w:eastAsia="Georgia" w:cs="Arial"/>
          <w:sz w:val="22"/>
          <w:szCs w:val="22"/>
          <w:lang w:eastAsia="sl-SI"/>
        </w:rPr>
        <w:t xml:space="preserve">Subvencije obrestnih mer in/ali subvencije garancijskih provizij se lahko uporabljajo le za izboljšanje možnosti in pogojev dostopanja končnega prejemnika do zasebnih ali drugih </w:t>
      </w:r>
      <w:r w:rsidRPr="000F166D">
        <w:rPr>
          <w:rFonts w:eastAsia="Georgia" w:cs="Arial"/>
          <w:sz w:val="22"/>
          <w:szCs w:val="22"/>
          <w:lang w:eastAsia="sl-SI"/>
        </w:rPr>
        <w:lastRenderedPageBreak/>
        <w:t>javnih sredstev na ravni zadevnega končnega prejemnika. S tem se lahko doseže boljšo realizacijo ciljev Programa prenesenega na FI</w:t>
      </w:r>
      <w:r w:rsidRPr="000F166D">
        <w:rPr>
          <w:rFonts w:eastAsia="Calibri" w:cs="Arial"/>
          <w:sz w:val="22"/>
          <w:szCs w:val="22"/>
          <w:vertAlign w:val="superscript"/>
          <w:lang w:eastAsia="sl-SI"/>
        </w:rPr>
        <w:footnoteReference w:id="18"/>
      </w:r>
      <w:r w:rsidRPr="000F166D">
        <w:rPr>
          <w:rFonts w:eastAsia="Georgia" w:cs="Arial"/>
          <w:sz w:val="22"/>
          <w:szCs w:val="22"/>
          <w:lang w:eastAsia="sl-SI"/>
        </w:rPr>
        <w:t>.</w:t>
      </w:r>
      <w:r>
        <w:rPr>
          <w:rFonts w:eastAsia="Georgia" w:cs="Arial"/>
          <w:sz w:val="22"/>
          <w:szCs w:val="22"/>
          <w:lang w:eastAsia="sl-SI"/>
        </w:rPr>
        <w:t xml:space="preserve"> </w:t>
      </w:r>
    </w:p>
    <w:p w14:paraId="7E1DDFAB" w14:textId="77777777" w:rsidR="004912DC" w:rsidRPr="000F166D" w:rsidRDefault="004912DC" w:rsidP="004912DC">
      <w:pPr>
        <w:spacing w:after="194"/>
        <w:ind w:left="720" w:right="14"/>
        <w:jc w:val="both"/>
        <w:rPr>
          <w:rFonts w:eastAsia="Georgia" w:cs="Arial"/>
          <w:sz w:val="22"/>
          <w:szCs w:val="22"/>
          <w:lang w:eastAsia="sl-SI"/>
        </w:rPr>
      </w:pPr>
      <w:r w:rsidRPr="000F166D">
        <w:rPr>
          <w:rFonts w:eastAsia="Georgia" w:cs="Arial"/>
          <w:sz w:val="22"/>
          <w:szCs w:val="22"/>
          <w:lang w:eastAsia="sl-SI"/>
        </w:rPr>
        <w:t>Nepovratna sredstva za tehnično pomoč pa se lahko kombinirajo s finančnimi produkti le za namene tehnične priprave predvidene naložbe za korist in podporo končnemu upravičencu</w:t>
      </w:r>
      <w:r w:rsidRPr="000F166D">
        <w:rPr>
          <w:rFonts w:eastAsia="Calibri" w:cs="Arial"/>
          <w:sz w:val="22"/>
          <w:szCs w:val="22"/>
          <w:vertAlign w:val="superscript"/>
          <w:lang w:eastAsia="sl-SI"/>
        </w:rPr>
        <w:footnoteReference w:id="19"/>
      </w:r>
      <w:r w:rsidRPr="000F166D">
        <w:rPr>
          <w:rFonts w:eastAsia="Georgia" w:cs="Arial"/>
          <w:sz w:val="22"/>
          <w:szCs w:val="22"/>
          <w:lang w:eastAsia="sl-SI"/>
        </w:rPr>
        <w:t xml:space="preserve">. </w:t>
      </w:r>
    </w:p>
    <w:p w14:paraId="5B1A99BB" w14:textId="77777777" w:rsidR="004912DC" w:rsidRPr="000F166D" w:rsidRDefault="004912DC" w:rsidP="004912DC">
      <w:pPr>
        <w:numPr>
          <w:ilvl w:val="0"/>
          <w:numId w:val="21"/>
        </w:numPr>
        <w:spacing w:after="194" w:line="240" w:lineRule="auto"/>
        <w:ind w:right="14"/>
        <w:jc w:val="both"/>
        <w:rPr>
          <w:rFonts w:eastAsia="Georgia" w:cs="Arial"/>
          <w:sz w:val="22"/>
          <w:szCs w:val="22"/>
          <w:lang w:eastAsia="sl-SI"/>
        </w:rPr>
      </w:pPr>
      <w:r w:rsidRPr="000F166D">
        <w:rPr>
          <w:rFonts w:eastAsia="Georgia" w:cs="Arial"/>
          <w:sz w:val="22"/>
          <w:szCs w:val="22"/>
          <w:lang w:eastAsia="sl-SI"/>
        </w:rPr>
        <w:t xml:space="preserve">Finančni produkti se lahko kombinirajo z nepovratnimi sredstvi ESIF za druge namene kot je določeno v prejšnji točki tudi </w:t>
      </w:r>
      <w:r w:rsidRPr="000F166D">
        <w:rPr>
          <w:rFonts w:eastAsia="Georgia" w:cs="Arial"/>
          <w:b/>
          <w:sz w:val="22"/>
          <w:szCs w:val="22"/>
          <w:lang w:eastAsia="sl-SI"/>
        </w:rPr>
        <w:t>v obliki ločenih operacij</w:t>
      </w:r>
      <w:r w:rsidRPr="000F166D">
        <w:rPr>
          <w:rFonts w:eastAsia="Georgia" w:cs="Arial"/>
          <w:sz w:val="22"/>
          <w:szCs w:val="22"/>
          <w:lang w:eastAsia="sl-SI"/>
        </w:rPr>
        <w:t xml:space="preserve">. Kadar se nepovratna sredstva uporabljajo kot dopolnitev naložbe FI, se morajo ta nepovratna sredstva obravnavati kot samostojna operacija, tudi če so lahko upravljana s strani istega organa. </w:t>
      </w:r>
    </w:p>
    <w:p w14:paraId="26888974" w14:textId="77777777" w:rsidR="004912DC" w:rsidRPr="000F166D" w:rsidRDefault="004912DC" w:rsidP="004912DC">
      <w:pPr>
        <w:autoSpaceDE w:val="0"/>
        <w:autoSpaceDN w:val="0"/>
        <w:adjustRightInd w:val="0"/>
        <w:jc w:val="both"/>
        <w:rPr>
          <w:rFonts w:eastAsia="Calibri" w:cs="Arial"/>
          <w:iCs/>
          <w:color w:val="000000"/>
          <w:sz w:val="22"/>
        </w:rPr>
      </w:pPr>
    </w:p>
    <w:p w14:paraId="5F0DFDE8" w14:textId="77777777" w:rsidR="004912DC" w:rsidRPr="000F166D" w:rsidRDefault="004912DC" w:rsidP="004912DC">
      <w:pPr>
        <w:keepNext/>
        <w:keepLines/>
        <w:spacing w:before="40"/>
        <w:jc w:val="both"/>
        <w:outlineLvl w:val="2"/>
        <w:rPr>
          <w:rFonts w:eastAsia="Calibri" w:cs="Arial"/>
          <w:b/>
          <w:color w:val="1F4D78"/>
          <w:sz w:val="28"/>
          <w:szCs w:val="28"/>
        </w:rPr>
      </w:pPr>
      <w:bookmarkStart w:id="81" w:name="_Toc54857920"/>
      <w:r w:rsidRPr="000F166D">
        <w:rPr>
          <w:rFonts w:eastAsia="Calibri" w:cs="Arial"/>
          <w:b/>
          <w:color w:val="1F4D78"/>
          <w:sz w:val="28"/>
          <w:szCs w:val="28"/>
        </w:rPr>
        <w:t>3.4 Drugi viri financiranja finančnih instrumentov</w:t>
      </w:r>
      <w:bookmarkEnd w:id="81"/>
    </w:p>
    <w:p w14:paraId="36D29429" w14:textId="77777777" w:rsidR="004912DC" w:rsidRPr="000F166D" w:rsidRDefault="004912DC" w:rsidP="004912DC">
      <w:pPr>
        <w:autoSpaceDE w:val="0"/>
        <w:autoSpaceDN w:val="0"/>
        <w:adjustRightInd w:val="0"/>
        <w:jc w:val="both"/>
        <w:rPr>
          <w:rFonts w:eastAsia="Calibri" w:cs="Arial"/>
          <w:iCs/>
          <w:color w:val="000000"/>
          <w:sz w:val="22"/>
        </w:rPr>
      </w:pPr>
    </w:p>
    <w:p w14:paraId="478AAB6E" w14:textId="77777777" w:rsidR="004912DC" w:rsidRPr="000F166D" w:rsidRDefault="004912DC" w:rsidP="004912DC">
      <w:pPr>
        <w:autoSpaceDE w:val="0"/>
        <w:autoSpaceDN w:val="0"/>
        <w:adjustRightInd w:val="0"/>
        <w:jc w:val="both"/>
        <w:rPr>
          <w:rFonts w:eastAsia="Calibri" w:cs="Arial"/>
          <w:iCs/>
          <w:color w:val="000000"/>
          <w:sz w:val="22"/>
          <w:szCs w:val="22"/>
        </w:rPr>
      </w:pPr>
      <w:r w:rsidRPr="000F166D">
        <w:rPr>
          <w:rFonts w:eastAsia="Calibri" w:cs="Arial"/>
          <w:iCs/>
          <w:color w:val="000000"/>
          <w:sz w:val="22"/>
          <w:szCs w:val="22"/>
        </w:rPr>
        <w:t>Upravljavec sklada skladov lahko poleg sredstev ESIF zagotavlja tudi druge vire financiranja na ravni sklada skladov, FI ali končnih prejemnikov, kot bo dogovorjeno v sporazumu o financiranju. Upravljavec sklada skladov mora obvestiti PO, če bo finančni produkt dopolnjeval z drugimi viri. Upravljavec sklada skladov mora skladno s tem voditi tudi evidenco sredstev po virih financiranja.</w:t>
      </w:r>
    </w:p>
    <w:p w14:paraId="2DDF8031" w14:textId="77777777" w:rsidR="004912DC" w:rsidRPr="000F166D" w:rsidRDefault="004912DC" w:rsidP="004912DC">
      <w:pPr>
        <w:autoSpaceDE w:val="0"/>
        <w:autoSpaceDN w:val="0"/>
        <w:adjustRightInd w:val="0"/>
        <w:jc w:val="both"/>
        <w:rPr>
          <w:rFonts w:eastAsia="Calibri" w:cs="Arial"/>
          <w:iCs/>
          <w:color w:val="000000"/>
          <w:sz w:val="22"/>
          <w:szCs w:val="22"/>
        </w:rPr>
      </w:pPr>
    </w:p>
    <w:p w14:paraId="72459A7C" w14:textId="77777777" w:rsidR="004912DC" w:rsidRPr="000F166D" w:rsidRDefault="004912DC" w:rsidP="004912DC">
      <w:pPr>
        <w:jc w:val="both"/>
        <w:rPr>
          <w:rFonts w:cs="Arial"/>
          <w:sz w:val="22"/>
          <w:szCs w:val="22"/>
        </w:rPr>
      </w:pPr>
      <w:r w:rsidRPr="000F166D">
        <w:rPr>
          <w:rFonts w:eastAsia="Calibri" w:cs="Arial"/>
          <w:iCs/>
          <w:color w:val="000000"/>
          <w:sz w:val="22"/>
          <w:szCs w:val="22"/>
        </w:rPr>
        <w:t xml:space="preserve">Drugi viri (poleg ESIF) za </w:t>
      </w:r>
      <w:r w:rsidRPr="000F166D">
        <w:rPr>
          <w:rFonts w:cs="Arial"/>
          <w:sz w:val="22"/>
          <w:szCs w:val="22"/>
        </w:rPr>
        <w:t>izvajanje FI se lahko zagotavljajo tudi iz:</w:t>
      </w:r>
    </w:p>
    <w:p w14:paraId="73447A35" w14:textId="77777777" w:rsidR="004912DC" w:rsidRPr="000F166D" w:rsidRDefault="004912DC" w:rsidP="004912DC">
      <w:pPr>
        <w:numPr>
          <w:ilvl w:val="0"/>
          <w:numId w:val="18"/>
        </w:numPr>
        <w:spacing w:line="240" w:lineRule="auto"/>
        <w:contextualSpacing/>
        <w:jc w:val="both"/>
        <w:rPr>
          <w:rFonts w:eastAsia="Calibri" w:cs="Arial"/>
          <w:sz w:val="22"/>
          <w:szCs w:val="22"/>
        </w:rPr>
      </w:pPr>
      <w:r w:rsidRPr="000F166D">
        <w:rPr>
          <w:rFonts w:eastAsia="Calibri" w:cs="Calibri"/>
          <w:sz w:val="22"/>
          <w:szCs w:val="22"/>
        </w:rPr>
        <w:t>nacionalnih virov</w:t>
      </w:r>
      <w:r w:rsidRPr="000F166D">
        <w:rPr>
          <w:rFonts w:eastAsia="Calibri" w:cs="Arial"/>
          <w:sz w:val="22"/>
          <w:szCs w:val="22"/>
        </w:rPr>
        <w:t>,</w:t>
      </w:r>
    </w:p>
    <w:p w14:paraId="25114A80" w14:textId="77777777" w:rsidR="004912DC" w:rsidRPr="000F166D" w:rsidRDefault="004912DC" w:rsidP="004912DC">
      <w:pPr>
        <w:numPr>
          <w:ilvl w:val="0"/>
          <w:numId w:val="18"/>
        </w:numPr>
        <w:spacing w:line="240" w:lineRule="auto"/>
        <w:contextualSpacing/>
        <w:jc w:val="both"/>
        <w:rPr>
          <w:rFonts w:eastAsia="Calibri" w:cs="Arial"/>
          <w:sz w:val="22"/>
          <w:szCs w:val="22"/>
        </w:rPr>
      </w:pPr>
      <w:r w:rsidRPr="000F166D">
        <w:rPr>
          <w:rFonts w:eastAsia="Calibri" w:cs="Arial"/>
          <w:iCs/>
          <w:color w:val="000000"/>
          <w:sz w:val="22"/>
          <w:szCs w:val="22"/>
        </w:rPr>
        <w:t xml:space="preserve">drugih EU virov (viri COSME, Obzorje 2020, Evropski sklad za strateške investicije (EFSI), EASI itd.) </w:t>
      </w:r>
    </w:p>
    <w:p w14:paraId="2363E519" w14:textId="77777777" w:rsidR="004912DC" w:rsidRPr="000F166D" w:rsidRDefault="004912DC" w:rsidP="004912DC">
      <w:pPr>
        <w:numPr>
          <w:ilvl w:val="0"/>
          <w:numId w:val="18"/>
        </w:numPr>
        <w:spacing w:line="240" w:lineRule="auto"/>
        <w:contextualSpacing/>
        <w:jc w:val="both"/>
        <w:rPr>
          <w:rFonts w:eastAsia="Calibri" w:cs="Arial"/>
          <w:sz w:val="22"/>
          <w:szCs w:val="22"/>
        </w:rPr>
      </w:pPr>
      <w:r w:rsidRPr="000F166D">
        <w:rPr>
          <w:rFonts w:eastAsia="Calibri" w:cs="Arial"/>
          <w:sz w:val="22"/>
          <w:szCs w:val="22"/>
        </w:rPr>
        <w:t>drugih lastnih virov upravljavca sklada skladov,</w:t>
      </w:r>
    </w:p>
    <w:p w14:paraId="4A58A654" w14:textId="77777777" w:rsidR="004912DC" w:rsidRPr="000F166D" w:rsidRDefault="004912DC" w:rsidP="004912DC">
      <w:pPr>
        <w:numPr>
          <w:ilvl w:val="0"/>
          <w:numId w:val="18"/>
        </w:numPr>
        <w:spacing w:line="240" w:lineRule="auto"/>
        <w:contextualSpacing/>
        <w:jc w:val="both"/>
        <w:rPr>
          <w:rFonts w:eastAsia="Calibri" w:cs="Arial"/>
          <w:sz w:val="22"/>
          <w:szCs w:val="22"/>
        </w:rPr>
      </w:pPr>
      <w:r w:rsidRPr="000F166D">
        <w:rPr>
          <w:rFonts w:eastAsia="Calibri" w:cs="Arial"/>
          <w:sz w:val="22"/>
          <w:szCs w:val="22"/>
        </w:rPr>
        <w:t>drugih lastnih virov finančnih posrednikov,</w:t>
      </w:r>
    </w:p>
    <w:p w14:paraId="45F1D1D6" w14:textId="77777777" w:rsidR="004912DC" w:rsidRPr="000F166D" w:rsidRDefault="004912DC" w:rsidP="004912DC">
      <w:pPr>
        <w:numPr>
          <w:ilvl w:val="0"/>
          <w:numId w:val="18"/>
        </w:numPr>
        <w:spacing w:line="240" w:lineRule="auto"/>
        <w:contextualSpacing/>
        <w:jc w:val="both"/>
        <w:rPr>
          <w:rFonts w:eastAsia="Calibri" w:cs="Arial"/>
          <w:sz w:val="22"/>
          <w:szCs w:val="22"/>
        </w:rPr>
      </w:pPr>
      <w:r w:rsidRPr="000F166D">
        <w:rPr>
          <w:rFonts w:eastAsia="Calibri" w:cs="Arial"/>
          <w:sz w:val="22"/>
          <w:szCs w:val="22"/>
        </w:rPr>
        <w:t>drugih virov.</w:t>
      </w:r>
    </w:p>
    <w:p w14:paraId="690BD91B" w14:textId="77777777" w:rsidR="004912DC" w:rsidRPr="000F166D" w:rsidRDefault="004912DC" w:rsidP="004912DC">
      <w:pPr>
        <w:jc w:val="both"/>
        <w:rPr>
          <w:rFonts w:cs="Arial"/>
          <w:sz w:val="22"/>
          <w:szCs w:val="22"/>
        </w:rPr>
      </w:pPr>
    </w:p>
    <w:p w14:paraId="0694BCE6" w14:textId="77777777" w:rsidR="004912DC" w:rsidRPr="000F166D" w:rsidRDefault="004912DC" w:rsidP="004912DC">
      <w:pPr>
        <w:jc w:val="both"/>
        <w:rPr>
          <w:rFonts w:cs="Arial"/>
          <w:sz w:val="22"/>
          <w:szCs w:val="22"/>
        </w:rPr>
      </w:pPr>
      <w:r w:rsidRPr="000F166D">
        <w:rPr>
          <w:rFonts w:cs="Arial"/>
          <w:sz w:val="22"/>
          <w:szCs w:val="22"/>
        </w:rPr>
        <w:t xml:space="preserve">Po prvem obratu sredstev iz naslova evropske kohezijske politike 2014 - 2020 za izvajanje FI se ponovno pripravi predhodna ocena vrzeli financiranja (na tej prednostni naložbi), ki pokaže, ali, kje in v kakšnem obsegu še obstajajo vrzeli in kakšni FI so potrebni. V kolikor obstaja vrzel financiranja, se temu na podlagi nove naložbene strategije in v okviru določil sporazuma o financiranju namenijo vrnjena sredstva za FI skladno z ugotovitvami predhodne ocene vrzeli financiranja. </w:t>
      </w:r>
    </w:p>
    <w:p w14:paraId="131F801A" w14:textId="77777777" w:rsidR="004912DC" w:rsidRPr="000F166D" w:rsidRDefault="004912DC" w:rsidP="004912DC">
      <w:pPr>
        <w:autoSpaceDE w:val="0"/>
        <w:autoSpaceDN w:val="0"/>
        <w:adjustRightInd w:val="0"/>
        <w:jc w:val="both"/>
        <w:rPr>
          <w:rFonts w:cs="Arial"/>
          <w:sz w:val="22"/>
          <w:szCs w:val="22"/>
        </w:rPr>
      </w:pPr>
    </w:p>
    <w:p w14:paraId="3A820FEE" w14:textId="77777777" w:rsidR="004912DC" w:rsidRPr="000F166D" w:rsidRDefault="004912DC" w:rsidP="004912DC">
      <w:pPr>
        <w:spacing w:after="160"/>
        <w:jc w:val="both"/>
        <w:rPr>
          <w:rFonts w:eastAsia="Calibri" w:cs="Arial"/>
          <w:iCs/>
          <w:color w:val="000000"/>
          <w:sz w:val="22"/>
        </w:rPr>
      </w:pPr>
      <w:r w:rsidRPr="000F166D">
        <w:rPr>
          <w:rFonts w:eastAsia="Calibri" w:cs="Arial"/>
          <w:iCs/>
          <w:color w:val="000000"/>
          <w:sz w:val="22"/>
        </w:rPr>
        <w:br w:type="page"/>
      </w:r>
    </w:p>
    <w:p w14:paraId="2AA9F6ED" w14:textId="77777777" w:rsidR="004912DC" w:rsidRPr="000F166D" w:rsidRDefault="004912DC" w:rsidP="004912DC">
      <w:pPr>
        <w:keepNext/>
        <w:shd w:val="clear" w:color="auto" w:fill="9CC2E5"/>
        <w:outlineLvl w:val="1"/>
        <w:rPr>
          <w:rFonts w:cs="Arial"/>
          <w:b/>
          <w:sz w:val="32"/>
          <w:szCs w:val="32"/>
        </w:rPr>
      </w:pPr>
      <w:bookmarkStart w:id="82" w:name="_Toc54857921"/>
      <w:r w:rsidRPr="000F166D">
        <w:rPr>
          <w:rFonts w:cs="Arial"/>
          <w:b/>
          <w:sz w:val="32"/>
          <w:szCs w:val="32"/>
        </w:rPr>
        <w:lastRenderedPageBreak/>
        <w:t>4. Spremljanje izvajanja in poročanje</w:t>
      </w:r>
      <w:bookmarkEnd w:id="82"/>
    </w:p>
    <w:p w14:paraId="5572B74A" w14:textId="77777777" w:rsidR="004912DC" w:rsidRPr="000F166D" w:rsidRDefault="004912DC" w:rsidP="004912DC">
      <w:pPr>
        <w:autoSpaceDE w:val="0"/>
        <w:autoSpaceDN w:val="0"/>
        <w:adjustRightInd w:val="0"/>
        <w:jc w:val="both"/>
        <w:rPr>
          <w:rFonts w:eastAsia="Calibri" w:cs="Arial"/>
          <w:iCs/>
          <w:color w:val="000000"/>
          <w:sz w:val="22"/>
        </w:rPr>
      </w:pPr>
    </w:p>
    <w:p w14:paraId="2CEE7FE1" w14:textId="77777777" w:rsidR="004912DC" w:rsidRPr="000F166D" w:rsidRDefault="004912DC" w:rsidP="004912DC">
      <w:pPr>
        <w:suppressAutoHyphens/>
        <w:jc w:val="both"/>
        <w:rPr>
          <w:rFonts w:eastAsia="Calibri" w:cs="Arial"/>
          <w:color w:val="000000"/>
          <w:sz w:val="22"/>
          <w:szCs w:val="22"/>
        </w:rPr>
      </w:pPr>
      <w:r w:rsidRPr="000F166D">
        <w:rPr>
          <w:rFonts w:eastAsia="Calibri" w:cs="Arial"/>
          <w:color w:val="000000"/>
          <w:sz w:val="22"/>
          <w:szCs w:val="22"/>
        </w:rPr>
        <w:t xml:space="preserve">Upravljavec sklada skladov je dolžan voditi </w:t>
      </w:r>
      <w:r w:rsidRPr="000F166D">
        <w:rPr>
          <w:rFonts w:eastAsia="Calibri" w:cs="Arial"/>
          <w:b/>
          <w:color w:val="000000"/>
          <w:sz w:val="22"/>
          <w:szCs w:val="22"/>
        </w:rPr>
        <w:t>evidence</w:t>
      </w:r>
      <w:r w:rsidRPr="000F166D">
        <w:rPr>
          <w:rFonts w:eastAsia="Calibri" w:cs="Arial"/>
          <w:color w:val="000000"/>
          <w:sz w:val="22"/>
          <w:szCs w:val="22"/>
        </w:rPr>
        <w:t>, iz katerih bo mogoče razlikovati med razpolaganjem s sredstvi evropske kohezijske politike in morebitnimi ostalimi sredstvi sklada skladov.</w:t>
      </w:r>
    </w:p>
    <w:p w14:paraId="54ACA717" w14:textId="77777777" w:rsidR="004912DC" w:rsidRPr="000F166D" w:rsidRDefault="004912DC" w:rsidP="004912DC">
      <w:pPr>
        <w:suppressAutoHyphens/>
        <w:jc w:val="both"/>
        <w:rPr>
          <w:rFonts w:eastAsia="Calibri" w:cs="Arial"/>
          <w:color w:val="000000"/>
          <w:sz w:val="22"/>
          <w:szCs w:val="22"/>
        </w:rPr>
      </w:pPr>
    </w:p>
    <w:p w14:paraId="7E92FAB6" w14:textId="77777777" w:rsidR="004912DC" w:rsidRPr="000F166D" w:rsidRDefault="004912DC" w:rsidP="004912DC">
      <w:pPr>
        <w:suppressAutoHyphens/>
        <w:jc w:val="both"/>
        <w:rPr>
          <w:rFonts w:eastAsia="Calibri" w:cs="Arial"/>
          <w:color w:val="000000"/>
          <w:sz w:val="22"/>
          <w:szCs w:val="22"/>
        </w:rPr>
      </w:pPr>
      <w:r w:rsidRPr="000F166D">
        <w:rPr>
          <w:rFonts w:eastAsia="Calibri" w:cs="Arial"/>
          <w:color w:val="000000"/>
          <w:sz w:val="22"/>
          <w:szCs w:val="22"/>
        </w:rPr>
        <w:t>Upravljavec sklada skladov bo spremljal porabo sredstev v okviru naložbene strategije s poslovnimi načrti po prednostnih naložbah, posameznih FI, po končnih prejemnikih in teritorialni pripadnosti ter terminsko.</w:t>
      </w:r>
    </w:p>
    <w:p w14:paraId="67A924C1" w14:textId="77777777" w:rsidR="004912DC" w:rsidRPr="000F166D" w:rsidRDefault="004912DC" w:rsidP="004912DC">
      <w:pPr>
        <w:autoSpaceDE w:val="0"/>
        <w:autoSpaceDN w:val="0"/>
        <w:adjustRightInd w:val="0"/>
        <w:jc w:val="both"/>
        <w:rPr>
          <w:rFonts w:eastAsia="Calibri" w:cs="Arial"/>
          <w:iCs/>
          <w:color w:val="000000"/>
          <w:sz w:val="22"/>
          <w:szCs w:val="22"/>
        </w:rPr>
      </w:pPr>
    </w:p>
    <w:p w14:paraId="5EF3FE11" w14:textId="77777777" w:rsidR="004912DC" w:rsidRPr="000F166D" w:rsidRDefault="004912DC" w:rsidP="004912DC">
      <w:pPr>
        <w:autoSpaceDE w:val="0"/>
        <w:autoSpaceDN w:val="0"/>
        <w:adjustRightInd w:val="0"/>
        <w:jc w:val="both"/>
        <w:rPr>
          <w:rFonts w:eastAsia="Calibri" w:cs="Arial"/>
          <w:iCs/>
          <w:color w:val="000000"/>
          <w:sz w:val="22"/>
          <w:szCs w:val="22"/>
        </w:rPr>
      </w:pPr>
      <w:r w:rsidRPr="000F166D">
        <w:rPr>
          <w:rFonts w:eastAsia="Calibri" w:cs="Arial"/>
          <w:iCs/>
          <w:color w:val="000000"/>
          <w:sz w:val="22"/>
          <w:szCs w:val="22"/>
        </w:rPr>
        <w:t xml:space="preserve">PO bo spremljal izvajanje operacije sklad skladov </w:t>
      </w:r>
      <w:r w:rsidRPr="000F166D">
        <w:rPr>
          <w:rFonts w:eastAsia="Calibri" w:cs="Arial"/>
          <w:b/>
          <w:iCs/>
          <w:color w:val="000000"/>
          <w:sz w:val="22"/>
          <w:szCs w:val="22"/>
        </w:rPr>
        <w:t>prek naslednjih poročil upravljavca sklada skladov</w:t>
      </w:r>
      <w:r w:rsidRPr="000F166D">
        <w:rPr>
          <w:rFonts w:eastAsia="Calibri" w:cs="Arial"/>
          <w:iCs/>
          <w:color w:val="000000"/>
          <w:sz w:val="22"/>
          <w:szCs w:val="22"/>
        </w:rPr>
        <w:t>, ki bodo podrobneje opredeljena v sporazumu o financiranju:</w:t>
      </w:r>
    </w:p>
    <w:p w14:paraId="5166B8FA" w14:textId="77777777" w:rsidR="004912DC" w:rsidRPr="000F166D" w:rsidRDefault="004912DC" w:rsidP="004912DC">
      <w:pPr>
        <w:numPr>
          <w:ilvl w:val="0"/>
          <w:numId w:val="13"/>
        </w:numPr>
        <w:spacing w:line="240" w:lineRule="auto"/>
        <w:jc w:val="both"/>
        <w:rPr>
          <w:rFonts w:eastAsia="Calibri" w:cs="Arial"/>
          <w:sz w:val="22"/>
          <w:szCs w:val="22"/>
        </w:rPr>
      </w:pPr>
      <w:r w:rsidRPr="000F166D">
        <w:rPr>
          <w:rFonts w:eastAsia="Calibri" w:cs="Arial"/>
          <w:sz w:val="22"/>
          <w:szCs w:val="22"/>
        </w:rPr>
        <w:t>četrtletno (vključuje poročilo za določeno obdobje in tudi kumulativni seštevek vseh preteklih četrtletij in napredek v obdobju poročanja (izračun agregatov plasmajev (npr. po prednostnih naložbah, regijah, sektorjih, pravnoorganizacijskih oblikah in produktih) ter deležev prispevka obdobja glede na celotno obdobje in nakazila, itd.),</w:t>
      </w:r>
    </w:p>
    <w:p w14:paraId="6CD330C0" w14:textId="77777777" w:rsidR="004912DC" w:rsidRPr="000F166D" w:rsidRDefault="004912DC" w:rsidP="004912DC">
      <w:pPr>
        <w:numPr>
          <w:ilvl w:val="0"/>
          <w:numId w:val="13"/>
        </w:numPr>
        <w:spacing w:line="240" w:lineRule="auto"/>
        <w:jc w:val="both"/>
        <w:rPr>
          <w:rFonts w:eastAsia="Calibri" w:cs="Arial"/>
          <w:sz w:val="22"/>
          <w:szCs w:val="22"/>
        </w:rPr>
      </w:pPr>
      <w:r w:rsidRPr="000F166D">
        <w:rPr>
          <w:rFonts w:eastAsia="Calibri" w:cs="Arial"/>
          <w:sz w:val="22"/>
          <w:szCs w:val="22"/>
        </w:rPr>
        <w:t>letno (vključuje poleg finančnega dela še dodatno vsebinsko obrazložitev stanja in napredka (potek izvajanja, težave pri izvajanju, predloge za spremembo FI in/ali produktov, itd.)),</w:t>
      </w:r>
    </w:p>
    <w:p w14:paraId="7D021F19" w14:textId="77777777" w:rsidR="004912DC" w:rsidRPr="000F166D" w:rsidRDefault="004912DC" w:rsidP="004912DC">
      <w:pPr>
        <w:numPr>
          <w:ilvl w:val="0"/>
          <w:numId w:val="13"/>
        </w:numPr>
        <w:spacing w:line="240" w:lineRule="auto"/>
        <w:jc w:val="both"/>
        <w:rPr>
          <w:rFonts w:eastAsia="Calibri" w:cs="Arial"/>
          <w:sz w:val="22"/>
          <w:szCs w:val="22"/>
        </w:rPr>
      </w:pPr>
      <w:r w:rsidRPr="000F166D">
        <w:rPr>
          <w:rFonts w:eastAsia="Calibri" w:cs="Arial"/>
          <w:sz w:val="22"/>
          <w:szCs w:val="22"/>
        </w:rPr>
        <w:t>poročilo o zaključku operacije (časovno obdobje, višina načrtovane porabe, dejanska poraba, aktivnosti, opravljene naložbe, realizirana nakazila, upravljavska provizija, kazalniki, itd.),</w:t>
      </w:r>
    </w:p>
    <w:p w14:paraId="556FEAE8" w14:textId="77777777" w:rsidR="004912DC" w:rsidRPr="000F166D" w:rsidRDefault="004912DC" w:rsidP="004912DC">
      <w:pPr>
        <w:numPr>
          <w:ilvl w:val="0"/>
          <w:numId w:val="13"/>
        </w:numPr>
        <w:spacing w:line="240" w:lineRule="auto"/>
        <w:jc w:val="both"/>
        <w:rPr>
          <w:rFonts w:eastAsia="Calibri" w:cs="Arial"/>
          <w:sz w:val="22"/>
          <w:szCs w:val="22"/>
        </w:rPr>
      </w:pPr>
      <w:r w:rsidRPr="000F166D">
        <w:rPr>
          <w:rFonts w:eastAsia="Calibri" w:cs="Arial"/>
          <w:sz w:val="22"/>
          <w:szCs w:val="22"/>
        </w:rPr>
        <w:t>druga poročila skladno s sporazumom o financiranju (vključno z ad hoc poizvedbami glede na potrebe OU, PO in sodelujočih ministrstev s prilagojeno razčlembo finančnih in/ali vsebinskih kazalnikov FI).</w:t>
      </w:r>
    </w:p>
    <w:p w14:paraId="4193A49E" w14:textId="77777777" w:rsidR="004912DC" w:rsidRPr="000F166D" w:rsidRDefault="004912DC" w:rsidP="004912DC">
      <w:pPr>
        <w:jc w:val="both"/>
        <w:rPr>
          <w:rFonts w:eastAsia="Calibri" w:cs="Arial"/>
          <w:snapToGrid w:val="0"/>
          <w:sz w:val="22"/>
          <w:szCs w:val="22"/>
        </w:rPr>
      </w:pPr>
      <w:r w:rsidRPr="000F166D">
        <w:rPr>
          <w:rFonts w:eastAsia="Calibri" w:cs="Arial"/>
          <w:snapToGrid w:val="0"/>
          <w:sz w:val="22"/>
          <w:szCs w:val="22"/>
        </w:rPr>
        <w:t>Rok za predložitev in podrobnejša vsebina posameznega poročila iz prejšnjega odstavka se opredelila v sporazumu o financiranju.</w:t>
      </w:r>
    </w:p>
    <w:p w14:paraId="581F0F2C" w14:textId="77777777" w:rsidR="004912DC" w:rsidRPr="000F166D" w:rsidRDefault="004912DC" w:rsidP="004912DC">
      <w:pPr>
        <w:jc w:val="both"/>
        <w:rPr>
          <w:sz w:val="22"/>
          <w:szCs w:val="22"/>
        </w:rPr>
      </w:pPr>
    </w:p>
    <w:p w14:paraId="3A95F9A7" w14:textId="77777777" w:rsidR="004912DC" w:rsidRPr="000F166D" w:rsidRDefault="004912DC" w:rsidP="004912DC">
      <w:pPr>
        <w:jc w:val="both"/>
        <w:rPr>
          <w:rFonts w:eastAsia="Calibri" w:cs="Arial"/>
          <w:snapToGrid w:val="0"/>
          <w:sz w:val="22"/>
          <w:szCs w:val="22"/>
        </w:rPr>
      </w:pPr>
      <w:r w:rsidRPr="000F166D">
        <w:rPr>
          <w:rFonts w:cs="Arial"/>
          <w:sz w:val="22"/>
          <w:szCs w:val="22"/>
        </w:rPr>
        <w:t>Upravljavec sklada skladov mora letno (do 31. 1. za preteklo leto) ali tudi prej na poziv PO le-tega pisno seznaniti o trenutnem stanju na področju porabe sredstev evropske kohezijske politike ter podati predlog morebitne preusmeritve sredstev.</w:t>
      </w:r>
    </w:p>
    <w:p w14:paraId="26976060" w14:textId="77777777" w:rsidR="004912DC" w:rsidRPr="000F166D" w:rsidRDefault="004912DC" w:rsidP="004912DC">
      <w:pPr>
        <w:autoSpaceDE w:val="0"/>
        <w:autoSpaceDN w:val="0"/>
        <w:adjustRightInd w:val="0"/>
        <w:jc w:val="both"/>
        <w:rPr>
          <w:rFonts w:eastAsia="Calibri" w:cs="Arial"/>
          <w:iCs/>
          <w:color w:val="000000"/>
          <w:sz w:val="22"/>
          <w:szCs w:val="22"/>
        </w:rPr>
      </w:pPr>
    </w:p>
    <w:p w14:paraId="1858FB26" w14:textId="77777777" w:rsidR="004912DC" w:rsidRPr="000F166D" w:rsidRDefault="004912DC" w:rsidP="004912DC">
      <w:pPr>
        <w:autoSpaceDE w:val="0"/>
        <w:autoSpaceDN w:val="0"/>
        <w:adjustRightInd w:val="0"/>
        <w:jc w:val="both"/>
        <w:rPr>
          <w:rFonts w:eastAsia="Calibri" w:cs="Arial"/>
          <w:iCs/>
          <w:color w:val="000000"/>
          <w:sz w:val="22"/>
          <w:szCs w:val="22"/>
        </w:rPr>
      </w:pPr>
      <w:r w:rsidRPr="000F166D">
        <w:rPr>
          <w:rFonts w:eastAsia="Calibri" w:cs="Arial"/>
          <w:iCs/>
          <w:color w:val="000000"/>
          <w:sz w:val="22"/>
          <w:szCs w:val="22"/>
        </w:rPr>
        <w:t>PO bo v sporazumu o financiranju zavezal upravljavca sklada skladov, da mora glede spremljanja izvajanja in poročanja upoštevati Uredbo EU 1303/2013, Delegirano uredbo EU 480/2014 in Izvedbeno uredbo EU 821/2014 ter morebitne smernice Evropske komisije ter navodila OU.</w:t>
      </w:r>
    </w:p>
    <w:p w14:paraId="28A7A418" w14:textId="77777777" w:rsidR="004912DC" w:rsidRPr="000F166D" w:rsidRDefault="004912DC" w:rsidP="004912DC">
      <w:pPr>
        <w:autoSpaceDE w:val="0"/>
        <w:autoSpaceDN w:val="0"/>
        <w:adjustRightInd w:val="0"/>
        <w:jc w:val="both"/>
        <w:rPr>
          <w:rFonts w:eastAsia="Calibri" w:cs="Arial"/>
          <w:iCs/>
          <w:color w:val="000000"/>
          <w:sz w:val="22"/>
          <w:szCs w:val="22"/>
        </w:rPr>
      </w:pPr>
    </w:p>
    <w:p w14:paraId="424EE48A" w14:textId="77777777" w:rsidR="004912DC" w:rsidRPr="000F166D" w:rsidRDefault="004912DC" w:rsidP="004912DC">
      <w:pPr>
        <w:autoSpaceDE w:val="0"/>
        <w:autoSpaceDN w:val="0"/>
        <w:adjustRightInd w:val="0"/>
        <w:jc w:val="both"/>
        <w:rPr>
          <w:rFonts w:eastAsia="Calibri" w:cs="Arial"/>
          <w:iCs/>
          <w:color w:val="000000"/>
          <w:sz w:val="22"/>
          <w:szCs w:val="22"/>
        </w:rPr>
      </w:pPr>
      <w:r w:rsidRPr="000F166D">
        <w:rPr>
          <w:rFonts w:eastAsia="Calibri" w:cs="Arial"/>
          <w:iCs/>
          <w:color w:val="000000"/>
          <w:sz w:val="22"/>
          <w:szCs w:val="22"/>
        </w:rPr>
        <w:t>Upravljavec sklada skladov bo moral vzpostaviti sistem za sprotno dnevno računalniško beleženje podatkov z namenom spremljanja dodeljenih sredstev, doseganja ciljev in kazalnikov in izpolnjevanja obveznosti upravljavca sklada skladov glede poročanja PO odgovornemu za FI. V informacijskem sistemu upravljavca sklada skladov se zbirajo in trajno hranijo</w:t>
      </w:r>
      <w:r w:rsidRPr="000F166D">
        <w:rPr>
          <w:rFonts w:eastAsia="Calibri" w:cs="Arial"/>
          <w:iCs/>
          <w:color w:val="000000"/>
          <w:sz w:val="22"/>
          <w:szCs w:val="22"/>
          <w:vertAlign w:val="superscript"/>
        </w:rPr>
        <w:footnoteReference w:id="20"/>
      </w:r>
      <w:r w:rsidRPr="000F166D">
        <w:rPr>
          <w:rFonts w:eastAsia="Calibri" w:cs="Arial"/>
          <w:iCs/>
          <w:color w:val="000000"/>
          <w:sz w:val="22"/>
          <w:szCs w:val="22"/>
        </w:rPr>
        <w:t xml:space="preserve"> relevantni podatki finančnih posrednikov o končnih prejemnikih (da se zagotovi revizijska sled do končnih prejemnikov) in alociranih sredstvih FI.</w:t>
      </w:r>
    </w:p>
    <w:p w14:paraId="67A26855" w14:textId="77777777" w:rsidR="004912DC" w:rsidRPr="000F166D" w:rsidRDefault="004912DC" w:rsidP="004912DC">
      <w:pPr>
        <w:autoSpaceDE w:val="0"/>
        <w:autoSpaceDN w:val="0"/>
        <w:adjustRightInd w:val="0"/>
        <w:jc w:val="both"/>
        <w:rPr>
          <w:rFonts w:eastAsia="Calibri" w:cs="Arial"/>
          <w:iCs/>
          <w:color w:val="000000"/>
          <w:sz w:val="22"/>
          <w:szCs w:val="22"/>
        </w:rPr>
      </w:pPr>
    </w:p>
    <w:p w14:paraId="5C897BCA" w14:textId="77777777" w:rsidR="004912DC" w:rsidRPr="000F166D" w:rsidRDefault="004912DC" w:rsidP="004912DC">
      <w:pPr>
        <w:autoSpaceDE w:val="0"/>
        <w:autoSpaceDN w:val="0"/>
        <w:adjustRightInd w:val="0"/>
        <w:jc w:val="both"/>
        <w:rPr>
          <w:rFonts w:eastAsia="Calibri" w:cs="Arial"/>
          <w:iCs/>
          <w:color w:val="000000"/>
          <w:sz w:val="22"/>
          <w:szCs w:val="22"/>
        </w:rPr>
      </w:pPr>
      <w:r w:rsidRPr="000F166D">
        <w:rPr>
          <w:rFonts w:eastAsia="Calibri" w:cs="Arial"/>
          <w:iCs/>
          <w:color w:val="000000"/>
          <w:sz w:val="22"/>
          <w:szCs w:val="22"/>
        </w:rPr>
        <w:t xml:space="preserve">PO bo za potrebe EK pripravil posebno poročilo o FI skladno s 46. členom Uredbe EU št. 1303/2013 in na osnovi poročil upravljavca sklada skladov. </w:t>
      </w:r>
      <w:r w:rsidRPr="000F166D">
        <w:rPr>
          <w:rFonts w:eastAsia="Calibri" w:cs="Arial"/>
          <w:snapToGrid w:val="0"/>
          <w:sz w:val="22"/>
          <w:szCs w:val="22"/>
        </w:rPr>
        <w:t xml:space="preserve">PO redno ocenjuje dejavnosti in poslovanje sklada skladov ter o tem obvešča ustrezne institucije </w:t>
      </w:r>
      <w:r w:rsidRPr="000F166D">
        <w:rPr>
          <w:rFonts w:eastAsia="Calibri" w:cs="Arial"/>
          <w:iCs/>
          <w:color w:val="000000"/>
          <w:sz w:val="22"/>
          <w:szCs w:val="22"/>
        </w:rPr>
        <w:t xml:space="preserve">Evropske unije. </w:t>
      </w:r>
    </w:p>
    <w:p w14:paraId="215ED857" w14:textId="77777777" w:rsidR="004912DC" w:rsidRPr="000F166D" w:rsidRDefault="004912DC" w:rsidP="004912DC">
      <w:pPr>
        <w:autoSpaceDE w:val="0"/>
        <w:autoSpaceDN w:val="0"/>
        <w:adjustRightInd w:val="0"/>
        <w:jc w:val="both"/>
        <w:rPr>
          <w:rFonts w:eastAsia="Calibri" w:cs="Arial"/>
          <w:iCs/>
          <w:color w:val="000000"/>
          <w:sz w:val="22"/>
          <w:szCs w:val="22"/>
        </w:rPr>
      </w:pPr>
    </w:p>
    <w:p w14:paraId="4E9E40EB" w14:textId="77777777" w:rsidR="004912DC" w:rsidRPr="000F166D" w:rsidRDefault="004912DC" w:rsidP="004912DC">
      <w:pPr>
        <w:autoSpaceDE w:val="0"/>
        <w:autoSpaceDN w:val="0"/>
        <w:adjustRightInd w:val="0"/>
        <w:jc w:val="both"/>
        <w:rPr>
          <w:rFonts w:eastAsia="Calibri" w:cs="Arial"/>
          <w:iCs/>
          <w:color w:val="000000"/>
          <w:sz w:val="22"/>
          <w:szCs w:val="22"/>
        </w:rPr>
      </w:pPr>
      <w:r w:rsidRPr="000F166D">
        <w:rPr>
          <w:rFonts w:eastAsia="Calibri" w:cs="Arial"/>
          <w:iCs/>
          <w:color w:val="000000"/>
          <w:sz w:val="22"/>
          <w:szCs w:val="22"/>
        </w:rPr>
        <w:lastRenderedPageBreak/>
        <w:t>V skladu s 4. odstavkom 125. člena Uredbe (EU) št. 1303/2013 bo PO poleg preverjanja izvajanja operacije preko poročil upravljavca sklada skladov izvajal tudi upravljalna preverjanja, in sicer od sklenitve sporazuma o financiranju do zaključka operacije. Upravljalna preverjanja bodo izvedena pri upravljavcu sklada skladov. Upravljalna preverjanja bodo vključevala tako administrativno kontrolo, kot tudi preverjanje na kraju samem skladno z Navodili OU za izvajanje upravljalnih preverjanj po 125. členu Uredbe (EU) št. 1303/2013.</w:t>
      </w:r>
    </w:p>
    <w:p w14:paraId="282D63DE" w14:textId="77777777" w:rsidR="004912DC" w:rsidRPr="000F166D" w:rsidRDefault="004912DC" w:rsidP="004912DC">
      <w:pPr>
        <w:autoSpaceDE w:val="0"/>
        <w:autoSpaceDN w:val="0"/>
        <w:adjustRightInd w:val="0"/>
        <w:jc w:val="both"/>
        <w:rPr>
          <w:rFonts w:eastAsia="Calibri" w:cs="Arial"/>
          <w:iCs/>
          <w:color w:val="000000"/>
          <w:sz w:val="22"/>
          <w:szCs w:val="22"/>
        </w:rPr>
      </w:pPr>
    </w:p>
    <w:p w14:paraId="705D1616" w14:textId="77777777" w:rsidR="004912DC" w:rsidRPr="000F166D" w:rsidRDefault="004912DC" w:rsidP="004912DC">
      <w:pPr>
        <w:autoSpaceDE w:val="0"/>
        <w:autoSpaceDN w:val="0"/>
        <w:adjustRightInd w:val="0"/>
        <w:jc w:val="both"/>
        <w:rPr>
          <w:rFonts w:eastAsia="Calibri" w:cs="Arial"/>
          <w:iCs/>
          <w:color w:val="000000"/>
          <w:sz w:val="22"/>
          <w:szCs w:val="22"/>
        </w:rPr>
      </w:pPr>
      <w:r w:rsidRPr="000F166D">
        <w:rPr>
          <w:rFonts w:eastAsia="Calibri" w:cs="Arial"/>
          <w:iCs/>
          <w:color w:val="000000"/>
          <w:sz w:val="22"/>
          <w:szCs w:val="22"/>
        </w:rPr>
        <w:t>Spremljanje izvajanja in zahteve o poročanju bodo zajete tudi v informacijskem sistemu OU.</w:t>
      </w:r>
    </w:p>
    <w:p w14:paraId="3E252D0C" w14:textId="77777777" w:rsidR="004912DC" w:rsidRPr="000F166D" w:rsidRDefault="004912DC" w:rsidP="004912DC">
      <w:pPr>
        <w:autoSpaceDE w:val="0"/>
        <w:autoSpaceDN w:val="0"/>
        <w:adjustRightInd w:val="0"/>
        <w:jc w:val="both"/>
        <w:rPr>
          <w:rFonts w:eastAsia="Calibri" w:cs="Arial"/>
          <w:iCs/>
          <w:color w:val="000000"/>
          <w:sz w:val="22"/>
          <w:szCs w:val="22"/>
        </w:rPr>
      </w:pPr>
    </w:p>
    <w:p w14:paraId="333E044B" w14:textId="77777777" w:rsidR="004912DC" w:rsidRPr="000F166D" w:rsidRDefault="004912DC" w:rsidP="004912DC">
      <w:pPr>
        <w:autoSpaceDE w:val="0"/>
        <w:autoSpaceDN w:val="0"/>
        <w:adjustRightInd w:val="0"/>
        <w:jc w:val="both"/>
        <w:rPr>
          <w:rFonts w:eastAsia="Calibri" w:cs="Arial"/>
          <w:iCs/>
          <w:color w:val="000000"/>
          <w:sz w:val="22"/>
          <w:szCs w:val="22"/>
        </w:rPr>
      </w:pPr>
    </w:p>
    <w:p w14:paraId="6D379067" w14:textId="77777777" w:rsidR="004912DC" w:rsidRPr="000F166D" w:rsidRDefault="004912DC" w:rsidP="004912DC">
      <w:pPr>
        <w:autoSpaceDE w:val="0"/>
        <w:autoSpaceDN w:val="0"/>
        <w:adjustRightInd w:val="0"/>
        <w:jc w:val="both"/>
        <w:rPr>
          <w:rFonts w:eastAsia="Calibri" w:cs="Arial"/>
          <w:iCs/>
          <w:color w:val="000000"/>
          <w:sz w:val="22"/>
        </w:rPr>
      </w:pPr>
    </w:p>
    <w:p w14:paraId="07ABB37C" w14:textId="77777777" w:rsidR="004912DC" w:rsidRPr="000F166D" w:rsidRDefault="004912DC" w:rsidP="004912DC">
      <w:pPr>
        <w:autoSpaceDE w:val="0"/>
        <w:autoSpaceDN w:val="0"/>
        <w:adjustRightInd w:val="0"/>
        <w:jc w:val="both"/>
        <w:rPr>
          <w:rFonts w:eastAsia="Calibri" w:cs="Arial"/>
          <w:iCs/>
          <w:color w:val="000000"/>
          <w:sz w:val="22"/>
        </w:rPr>
      </w:pPr>
    </w:p>
    <w:p w14:paraId="61115D75" w14:textId="77777777" w:rsidR="004912DC" w:rsidRPr="000F166D" w:rsidRDefault="004912DC" w:rsidP="004912DC">
      <w:pPr>
        <w:spacing w:after="160"/>
        <w:jc w:val="both"/>
        <w:rPr>
          <w:rFonts w:cs="Arial"/>
          <w:b/>
          <w:sz w:val="32"/>
          <w:szCs w:val="32"/>
        </w:rPr>
      </w:pPr>
      <w:r w:rsidRPr="000F166D">
        <w:rPr>
          <w:rFonts w:cs="Arial"/>
          <w:bCs/>
          <w:iCs/>
          <w:sz w:val="32"/>
          <w:szCs w:val="32"/>
        </w:rPr>
        <w:br w:type="page"/>
      </w:r>
    </w:p>
    <w:p w14:paraId="723B414B" w14:textId="77777777" w:rsidR="004912DC" w:rsidRPr="000F166D" w:rsidRDefault="004912DC" w:rsidP="004912DC">
      <w:pPr>
        <w:keepNext/>
        <w:shd w:val="clear" w:color="auto" w:fill="9CC2E5"/>
        <w:outlineLvl w:val="1"/>
        <w:rPr>
          <w:rFonts w:cs="Arial"/>
          <w:b/>
          <w:sz w:val="32"/>
          <w:szCs w:val="32"/>
        </w:rPr>
      </w:pPr>
      <w:bookmarkStart w:id="83" w:name="_Toc54857922"/>
      <w:r w:rsidRPr="000F166D">
        <w:rPr>
          <w:rFonts w:cs="Arial"/>
          <w:b/>
          <w:sz w:val="32"/>
          <w:szCs w:val="32"/>
        </w:rPr>
        <w:lastRenderedPageBreak/>
        <w:t>5. Izdelan program porabe sredstev za FI</w:t>
      </w:r>
      <w:bookmarkEnd w:id="83"/>
    </w:p>
    <w:p w14:paraId="6644DABF" w14:textId="77777777" w:rsidR="004912DC" w:rsidRPr="000F166D" w:rsidRDefault="004912DC" w:rsidP="004912DC">
      <w:pPr>
        <w:autoSpaceDE w:val="0"/>
        <w:autoSpaceDN w:val="0"/>
        <w:adjustRightInd w:val="0"/>
        <w:jc w:val="both"/>
        <w:rPr>
          <w:rFonts w:eastAsia="Calibri" w:cs="Arial"/>
          <w:color w:val="000000"/>
          <w:sz w:val="22"/>
        </w:rPr>
      </w:pPr>
    </w:p>
    <w:p w14:paraId="7A88BF01" w14:textId="77777777" w:rsidR="004912DC" w:rsidRPr="000F166D" w:rsidRDefault="004912DC" w:rsidP="004912DC">
      <w:pPr>
        <w:autoSpaceDE w:val="0"/>
        <w:autoSpaceDN w:val="0"/>
        <w:adjustRightInd w:val="0"/>
        <w:jc w:val="both"/>
        <w:rPr>
          <w:rFonts w:eastAsia="Calibri" w:cs="Arial"/>
          <w:color w:val="000000"/>
          <w:sz w:val="22"/>
          <w:szCs w:val="22"/>
        </w:rPr>
      </w:pPr>
      <w:r w:rsidRPr="000F166D">
        <w:rPr>
          <w:rFonts w:eastAsia="Calibri" w:cs="Arial"/>
          <w:color w:val="000000"/>
          <w:sz w:val="22"/>
          <w:szCs w:val="22"/>
        </w:rPr>
        <w:t>PO v sporazumu o financiranju določi rok za nakazilo sredstev ESIF na podlagi prejetega zahtevka upravljavca sklada skladov za črpanje. V sporazumu o financiranju se bo tudi določilo vse v zvezi z zamudami pri nakazilu sredstev ESI upravljavcu sklada skladov, kakor tudi način zagotavljanja teh sredstev s strani RS .</w:t>
      </w:r>
    </w:p>
    <w:p w14:paraId="6B147F99" w14:textId="77777777" w:rsidR="004912DC" w:rsidRPr="000F166D" w:rsidRDefault="004912DC" w:rsidP="004912DC">
      <w:pPr>
        <w:autoSpaceDE w:val="0"/>
        <w:autoSpaceDN w:val="0"/>
        <w:adjustRightInd w:val="0"/>
        <w:jc w:val="both"/>
        <w:rPr>
          <w:rFonts w:eastAsia="Calibri" w:cs="Arial"/>
          <w:color w:val="000000"/>
          <w:sz w:val="22"/>
          <w:szCs w:val="22"/>
        </w:rPr>
      </w:pPr>
    </w:p>
    <w:p w14:paraId="0C7002B4" w14:textId="77777777" w:rsidR="004912DC" w:rsidRPr="000F166D" w:rsidRDefault="004912DC" w:rsidP="004912DC">
      <w:pPr>
        <w:autoSpaceDE w:val="0"/>
        <w:autoSpaceDN w:val="0"/>
        <w:adjustRightInd w:val="0"/>
        <w:jc w:val="both"/>
        <w:rPr>
          <w:rFonts w:eastAsia="Calibri" w:cs="Arial"/>
          <w:color w:val="000000"/>
          <w:sz w:val="22"/>
          <w:szCs w:val="22"/>
        </w:rPr>
      </w:pPr>
      <w:r w:rsidRPr="000F166D">
        <w:rPr>
          <w:rFonts w:eastAsia="Calibri" w:cs="Arial"/>
          <w:color w:val="000000"/>
          <w:sz w:val="22"/>
          <w:szCs w:val="22"/>
        </w:rPr>
        <w:t>Nakazila sredstev ESIF upravljavcu sklada skladov bodo v tranšah do največ 25% dodeljenih sredstev ESIF za operacijo Sklad skladov. Pogoji za nakazilo posamezne tranše se določijo v sporazumu o financiranju skladno z 41. členom Uredbe EU 1303/2013. Upravljavec sklada skladov je upravičen do prvega nakazila takoj po sklenitvi sporazuma o financiranju, do drugega nakazila, ko je porabljenih 60% zneska prvega nakazila ter do nadaljnjih nakazil, ko je porabljenih 85% zneskov iz predhodnih zahtevkov. Kot porabljeni znesek se razume nakazilo sredstev končnim prejemnikom v primeru kreditov in lastniškega financiranja ter odobritev financiranja končnemu prejemniku v primeru garancij in drugih instrumentov delitve tveganj.</w:t>
      </w:r>
    </w:p>
    <w:p w14:paraId="40245914" w14:textId="77777777" w:rsidR="004912DC" w:rsidRPr="000F166D" w:rsidRDefault="004912DC" w:rsidP="004912DC">
      <w:pPr>
        <w:autoSpaceDE w:val="0"/>
        <w:autoSpaceDN w:val="0"/>
        <w:adjustRightInd w:val="0"/>
        <w:jc w:val="both"/>
        <w:rPr>
          <w:rFonts w:eastAsia="Calibri" w:cs="Arial"/>
          <w:color w:val="000000"/>
          <w:sz w:val="22"/>
          <w:szCs w:val="22"/>
        </w:rPr>
      </w:pPr>
    </w:p>
    <w:p w14:paraId="4D7A3C1E" w14:textId="77777777" w:rsidR="004912DC" w:rsidRPr="000F166D" w:rsidRDefault="004912DC" w:rsidP="004912DC">
      <w:pPr>
        <w:autoSpaceDE w:val="0"/>
        <w:autoSpaceDN w:val="0"/>
        <w:adjustRightInd w:val="0"/>
        <w:jc w:val="both"/>
        <w:rPr>
          <w:rFonts w:eastAsia="Calibri" w:cs="Arial"/>
          <w:color w:val="000000"/>
          <w:sz w:val="22"/>
          <w:szCs w:val="22"/>
        </w:rPr>
      </w:pPr>
      <w:r w:rsidRPr="000F166D">
        <w:rPr>
          <w:rFonts w:eastAsia="Calibri" w:cs="Arial"/>
          <w:color w:val="000000"/>
          <w:sz w:val="22"/>
          <w:szCs w:val="22"/>
        </w:rPr>
        <w:t>V kolikor prva poraba sredstev ESI skladov ne bo dosegala plana prve porabe sredstev ESIF skladov iz sporazuma o financiranju ali v primeru nedoseganja ciljev ali v primeru nedoseganja terminskih planov, bo upravljavec sklada skladov pripravil poročilo o razlogih za odstopanja od plana. PO in upravljavec sklada skladov dogovorita spremembo naložbene strategije sklada skladov ali druge ukrepe, katerih okvir je opredeljen v sporazumu o financiranju (npr. posodobitev/revizija predhodne ocene, prerazporeditev med FI, prilagoditev produktov itn., v skrajnem primeru tudi sprememba upravljavca sklada skladov).</w:t>
      </w:r>
    </w:p>
    <w:p w14:paraId="65611B4B" w14:textId="77777777" w:rsidR="004912DC" w:rsidRPr="000F166D" w:rsidRDefault="004912DC" w:rsidP="004912DC">
      <w:pPr>
        <w:autoSpaceDE w:val="0"/>
        <w:autoSpaceDN w:val="0"/>
        <w:adjustRightInd w:val="0"/>
        <w:jc w:val="both"/>
        <w:rPr>
          <w:rFonts w:eastAsia="Calibri" w:cs="Arial"/>
          <w:color w:val="000000"/>
          <w:sz w:val="22"/>
          <w:szCs w:val="22"/>
        </w:rPr>
      </w:pPr>
    </w:p>
    <w:p w14:paraId="596108A0" w14:textId="77777777" w:rsidR="004912DC" w:rsidRPr="000F166D" w:rsidRDefault="004912DC" w:rsidP="004912DC">
      <w:pPr>
        <w:autoSpaceDE w:val="0"/>
        <w:autoSpaceDN w:val="0"/>
        <w:adjustRightInd w:val="0"/>
        <w:jc w:val="both"/>
        <w:rPr>
          <w:rFonts w:eastAsia="Calibri" w:cs="Arial"/>
          <w:color w:val="000000"/>
          <w:sz w:val="22"/>
          <w:szCs w:val="22"/>
        </w:rPr>
      </w:pPr>
      <w:r w:rsidRPr="000F166D">
        <w:rPr>
          <w:rFonts w:eastAsia="Calibri" w:cs="Arial"/>
          <w:color w:val="000000"/>
          <w:sz w:val="22"/>
          <w:szCs w:val="22"/>
        </w:rPr>
        <w:t>Upravljanje in nadzor FI se bosta izvajala skladno s 40. členom Uredbe EU št. 1303/2013 in 9. členom Delegirane Uredbe Komisije EU št. 480/2014.</w:t>
      </w:r>
    </w:p>
    <w:p w14:paraId="7A94D00B" w14:textId="77777777" w:rsidR="004912DC" w:rsidRPr="000F166D" w:rsidRDefault="004912DC" w:rsidP="004912DC">
      <w:pPr>
        <w:autoSpaceDE w:val="0"/>
        <w:autoSpaceDN w:val="0"/>
        <w:adjustRightInd w:val="0"/>
        <w:jc w:val="both"/>
        <w:rPr>
          <w:rFonts w:eastAsia="Calibri" w:cs="Arial"/>
          <w:sz w:val="22"/>
          <w:szCs w:val="22"/>
        </w:rPr>
      </w:pPr>
    </w:p>
    <w:p w14:paraId="39FE21BE" w14:textId="77777777" w:rsidR="004912DC" w:rsidRPr="000F166D" w:rsidRDefault="004912DC" w:rsidP="004912DC">
      <w:pPr>
        <w:autoSpaceDE w:val="0"/>
        <w:autoSpaceDN w:val="0"/>
        <w:adjustRightInd w:val="0"/>
        <w:jc w:val="both"/>
        <w:rPr>
          <w:rFonts w:cs="Arial"/>
          <w:sz w:val="22"/>
          <w:szCs w:val="22"/>
        </w:rPr>
      </w:pPr>
      <w:r w:rsidRPr="000F166D">
        <w:rPr>
          <w:rFonts w:cs="Arial"/>
          <w:sz w:val="22"/>
          <w:szCs w:val="22"/>
        </w:rPr>
        <w:t>Analiza EIB izpostavlja, da kombinacija finančnih sredstev iz različnih prednostnih osi v okviru enega sklada skladov postavlja tudi nekatere izzive, ki jih je potrebno nasloviti v primeru zamud posameznega finančnega posrednika/področja oziroma prednostne naložbe. To je mogoče ublažiti s:</w:t>
      </w:r>
    </w:p>
    <w:p w14:paraId="656157A7" w14:textId="77777777" w:rsidR="004912DC" w:rsidRPr="000F166D" w:rsidRDefault="004912DC" w:rsidP="004912DC">
      <w:pPr>
        <w:numPr>
          <w:ilvl w:val="0"/>
          <w:numId w:val="13"/>
        </w:numPr>
        <w:autoSpaceDE w:val="0"/>
        <w:autoSpaceDN w:val="0"/>
        <w:adjustRightInd w:val="0"/>
        <w:spacing w:line="240" w:lineRule="auto"/>
        <w:jc w:val="both"/>
        <w:rPr>
          <w:rFonts w:eastAsia="Calibri" w:cs="Arial"/>
          <w:sz w:val="22"/>
          <w:szCs w:val="22"/>
        </w:rPr>
      </w:pPr>
      <w:r w:rsidRPr="000F166D">
        <w:rPr>
          <w:rFonts w:eastAsia="Calibri" w:cs="Arial"/>
          <w:sz w:val="22"/>
          <w:szCs w:val="22"/>
        </w:rPr>
        <w:t>poglobljenim spremljanjem uspešnosti v okviru prednostne naložbe in zgodnjim prepoznavanjem zamud na posameznih investicijskih področjih;</w:t>
      </w:r>
    </w:p>
    <w:p w14:paraId="626C9581" w14:textId="77777777" w:rsidR="004912DC" w:rsidRPr="000F166D" w:rsidRDefault="004912DC" w:rsidP="004912DC">
      <w:pPr>
        <w:numPr>
          <w:ilvl w:val="0"/>
          <w:numId w:val="13"/>
        </w:numPr>
        <w:autoSpaceDE w:val="0"/>
        <w:autoSpaceDN w:val="0"/>
        <w:adjustRightInd w:val="0"/>
        <w:spacing w:line="240" w:lineRule="auto"/>
        <w:jc w:val="both"/>
        <w:rPr>
          <w:rFonts w:eastAsia="Calibri" w:cs="Arial"/>
          <w:sz w:val="22"/>
          <w:szCs w:val="22"/>
        </w:rPr>
      </w:pPr>
      <w:r w:rsidRPr="000F166D">
        <w:rPr>
          <w:rFonts w:eastAsia="Calibri" w:cs="Arial"/>
          <w:sz w:val="22"/>
          <w:szCs w:val="22"/>
        </w:rPr>
        <w:t xml:space="preserve">predčasnim izvajanjem omilitvenih ukrepov, kot so prerazporeditve sredstev in možnost zmanjšanja sredstev, namenjenim manj uspešnim naložbenim področjem itd. </w:t>
      </w:r>
    </w:p>
    <w:p w14:paraId="7AB06F05" w14:textId="77777777" w:rsidR="004912DC" w:rsidRPr="000F166D" w:rsidRDefault="004912DC" w:rsidP="004912DC">
      <w:pPr>
        <w:autoSpaceDE w:val="0"/>
        <w:autoSpaceDN w:val="0"/>
        <w:adjustRightInd w:val="0"/>
        <w:jc w:val="both"/>
        <w:rPr>
          <w:rFonts w:eastAsia="Calibri" w:cs="Arial"/>
          <w:sz w:val="22"/>
          <w:szCs w:val="22"/>
        </w:rPr>
      </w:pPr>
    </w:p>
    <w:p w14:paraId="5DA00801" w14:textId="77777777" w:rsidR="004912DC" w:rsidRPr="000F166D" w:rsidRDefault="004912DC" w:rsidP="004912DC">
      <w:pPr>
        <w:autoSpaceDE w:val="0"/>
        <w:autoSpaceDN w:val="0"/>
        <w:adjustRightInd w:val="0"/>
        <w:jc w:val="both"/>
        <w:rPr>
          <w:rFonts w:eastAsia="Calibri" w:cs="Arial"/>
          <w:sz w:val="22"/>
          <w:szCs w:val="22"/>
        </w:rPr>
      </w:pPr>
      <w:r w:rsidRPr="000F166D">
        <w:rPr>
          <w:rFonts w:eastAsia="Calibri" w:cs="Arial"/>
          <w:sz w:val="22"/>
          <w:szCs w:val="22"/>
        </w:rPr>
        <w:t xml:space="preserve">V skladu z navedenim je zaradi nemotene izvedbe FI v obdobju upravičenosti zagotoviti določeno </w:t>
      </w:r>
      <w:r w:rsidRPr="000F166D">
        <w:rPr>
          <w:rFonts w:eastAsia="Calibri" w:cs="Arial"/>
          <w:b/>
          <w:sz w:val="22"/>
          <w:szCs w:val="22"/>
        </w:rPr>
        <w:t xml:space="preserve">fleksibilnost </w:t>
      </w:r>
      <w:r w:rsidRPr="000F166D">
        <w:rPr>
          <w:rFonts w:eastAsia="Calibri" w:cs="Arial"/>
          <w:sz w:val="22"/>
          <w:szCs w:val="22"/>
        </w:rPr>
        <w:t>skladno z Delegirano uredbo EK 480/2014, in sicer je mogoče:</w:t>
      </w:r>
    </w:p>
    <w:p w14:paraId="5F5FEB7F" w14:textId="77777777" w:rsidR="004912DC" w:rsidRPr="000F166D" w:rsidRDefault="004912DC" w:rsidP="004912DC">
      <w:pPr>
        <w:numPr>
          <w:ilvl w:val="0"/>
          <w:numId w:val="13"/>
        </w:numPr>
        <w:autoSpaceDE w:val="0"/>
        <w:autoSpaceDN w:val="0"/>
        <w:adjustRightInd w:val="0"/>
        <w:spacing w:line="240" w:lineRule="auto"/>
        <w:jc w:val="both"/>
        <w:rPr>
          <w:rFonts w:eastAsia="Calibri" w:cs="Arial"/>
          <w:sz w:val="22"/>
          <w:szCs w:val="22"/>
        </w:rPr>
      </w:pPr>
      <w:r w:rsidRPr="000F166D">
        <w:rPr>
          <w:rFonts w:eastAsia="Calibri" w:cs="Arial"/>
          <w:sz w:val="22"/>
          <w:szCs w:val="22"/>
        </w:rPr>
        <w:t>prenašati sredstva med finančnimi produkti v okviru iste prednostne naložbe,</w:t>
      </w:r>
    </w:p>
    <w:p w14:paraId="7DDA5EDE" w14:textId="77777777" w:rsidR="004912DC" w:rsidRPr="000F166D" w:rsidRDefault="004912DC" w:rsidP="004912DC">
      <w:pPr>
        <w:numPr>
          <w:ilvl w:val="0"/>
          <w:numId w:val="13"/>
        </w:numPr>
        <w:autoSpaceDE w:val="0"/>
        <w:autoSpaceDN w:val="0"/>
        <w:adjustRightInd w:val="0"/>
        <w:spacing w:line="240" w:lineRule="auto"/>
        <w:jc w:val="both"/>
        <w:rPr>
          <w:rFonts w:eastAsia="Calibri" w:cs="Arial"/>
          <w:color w:val="000000"/>
          <w:sz w:val="22"/>
          <w:szCs w:val="22"/>
        </w:rPr>
      </w:pPr>
      <w:r w:rsidRPr="000F166D">
        <w:rPr>
          <w:rFonts w:eastAsia="Calibri" w:cs="Arial"/>
          <w:color w:val="000000"/>
          <w:sz w:val="22"/>
          <w:szCs w:val="22"/>
        </w:rPr>
        <w:t>likvidnostno prenašati sredstva med prednostnimi naložbami,</w:t>
      </w:r>
    </w:p>
    <w:p w14:paraId="3D7674E4" w14:textId="77777777" w:rsidR="004912DC" w:rsidRPr="000F166D" w:rsidRDefault="004912DC" w:rsidP="004912DC">
      <w:pPr>
        <w:numPr>
          <w:ilvl w:val="0"/>
          <w:numId w:val="13"/>
        </w:numPr>
        <w:autoSpaceDE w:val="0"/>
        <w:autoSpaceDN w:val="0"/>
        <w:adjustRightInd w:val="0"/>
        <w:spacing w:line="240" w:lineRule="auto"/>
        <w:jc w:val="both"/>
        <w:rPr>
          <w:rFonts w:eastAsia="Calibri" w:cs="Arial"/>
          <w:color w:val="000000"/>
          <w:sz w:val="22"/>
          <w:szCs w:val="22"/>
        </w:rPr>
      </w:pPr>
      <w:r w:rsidRPr="000F166D">
        <w:rPr>
          <w:rFonts w:eastAsia="Calibri" w:cs="Arial"/>
          <w:color w:val="000000"/>
          <w:sz w:val="22"/>
          <w:szCs w:val="22"/>
        </w:rPr>
        <w:t>spremembe znotraj prednostne naložbe,</w:t>
      </w:r>
    </w:p>
    <w:p w14:paraId="046F2D9E" w14:textId="77777777" w:rsidR="004912DC" w:rsidRPr="000F166D" w:rsidRDefault="004912DC" w:rsidP="004912DC">
      <w:pPr>
        <w:numPr>
          <w:ilvl w:val="0"/>
          <w:numId w:val="13"/>
        </w:numPr>
        <w:autoSpaceDE w:val="0"/>
        <w:autoSpaceDN w:val="0"/>
        <w:adjustRightInd w:val="0"/>
        <w:spacing w:line="240" w:lineRule="auto"/>
        <w:jc w:val="both"/>
        <w:rPr>
          <w:rFonts w:eastAsia="Calibri" w:cs="Arial"/>
          <w:color w:val="000000"/>
          <w:sz w:val="22"/>
          <w:szCs w:val="22"/>
        </w:rPr>
      </w:pPr>
      <w:r w:rsidRPr="000F166D">
        <w:rPr>
          <w:rFonts w:eastAsia="Calibri" w:cs="Arial"/>
          <w:color w:val="000000"/>
          <w:sz w:val="22"/>
          <w:szCs w:val="22"/>
        </w:rPr>
        <w:t>spremembe likvidnosti med leti,</w:t>
      </w:r>
    </w:p>
    <w:p w14:paraId="3835B142" w14:textId="77777777" w:rsidR="004912DC" w:rsidRPr="000F166D" w:rsidRDefault="004912DC" w:rsidP="004912DC">
      <w:pPr>
        <w:numPr>
          <w:ilvl w:val="0"/>
          <w:numId w:val="13"/>
        </w:numPr>
        <w:autoSpaceDE w:val="0"/>
        <w:autoSpaceDN w:val="0"/>
        <w:adjustRightInd w:val="0"/>
        <w:spacing w:line="240" w:lineRule="auto"/>
        <w:jc w:val="both"/>
        <w:rPr>
          <w:rFonts w:eastAsia="Calibri" w:cs="Arial"/>
          <w:color w:val="000000"/>
          <w:sz w:val="22"/>
          <w:szCs w:val="22"/>
        </w:rPr>
      </w:pPr>
      <w:r w:rsidRPr="000F166D">
        <w:rPr>
          <w:rFonts w:eastAsia="Calibri" w:cs="Arial"/>
          <w:color w:val="000000"/>
          <w:sz w:val="22"/>
          <w:szCs w:val="22"/>
        </w:rPr>
        <w:t>likvidnostno prenašati sredstva med vzhodno in zahodno kohezijsko regijo,</w:t>
      </w:r>
    </w:p>
    <w:p w14:paraId="7EDE06EA" w14:textId="77777777" w:rsidR="004912DC" w:rsidRPr="000F166D" w:rsidRDefault="004912DC" w:rsidP="004912DC">
      <w:pPr>
        <w:numPr>
          <w:ilvl w:val="0"/>
          <w:numId w:val="13"/>
        </w:numPr>
        <w:autoSpaceDE w:val="0"/>
        <w:autoSpaceDN w:val="0"/>
        <w:adjustRightInd w:val="0"/>
        <w:spacing w:line="240" w:lineRule="auto"/>
        <w:jc w:val="both"/>
        <w:rPr>
          <w:rFonts w:eastAsia="Calibri" w:cs="Arial"/>
          <w:color w:val="000000"/>
          <w:sz w:val="22"/>
          <w:szCs w:val="22"/>
        </w:rPr>
      </w:pPr>
      <w:r w:rsidRPr="000F166D">
        <w:rPr>
          <w:rFonts w:eastAsia="Calibri" w:cs="Arial"/>
          <w:color w:val="000000"/>
          <w:sz w:val="22"/>
          <w:szCs w:val="22"/>
        </w:rPr>
        <w:t>povečati sredstva v primeru (i) dodatnih virov (npr. nacionalni proračun, drugi viri), (ii) dopolnitve Ključnih elementov FI z novimi prednostnimi naložbami, (iii) ostankov sredstev ob zaključku obdobja upravičenosti, (iv) dodatnih virov EKP sredstev</w:t>
      </w:r>
      <w:r>
        <w:rPr>
          <w:rFonts w:eastAsia="Calibri" w:cs="Arial"/>
          <w:color w:val="000000"/>
          <w:sz w:val="22"/>
          <w:szCs w:val="22"/>
        </w:rPr>
        <w:t xml:space="preserve"> </w:t>
      </w:r>
      <w:r w:rsidRPr="000F166D">
        <w:rPr>
          <w:rFonts w:eastAsia="Calibri" w:cs="Arial"/>
          <w:color w:val="000000"/>
          <w:sz w:val="22"/>
          <w:szCs w:val="22"/>
        </w:rPr>
        <w:t>itd.,</w:t>
      </w:r>
    </w:p>
    <w:p w14:paraId="26BC4C53" w14:textId="77777777" w:rsidR="004912DC" w:rsidRPr="000F166D" w:rsidRDefault="004912DC" w:rsidP="004912DC">
      <w:pPr>
        <w:numPr>
          <w:ilvl w:val="0"/>
          <w:numId w:val="13"/>
        </w:numPr>
        <w:autoSpaceDE w:val="0"/>
        <w:autoSpaceDN w:val="0"/>
        <w:adjustRightInd w:val="0"/>
        <w:spacing w:line="240" w:lineRule="auto"/>
        <w:jc w:val="both"/>
        <w:rPr>
          <w:rFonts w:eastAsia="Calibri" w:cs="Arial"/>
          <w:color w:val="000000"/>
          <w:sz w:val="22"/>
          <w:szCs w:val="22"/>
        </w:rPr>
      </w:pPr>
      <w:r w:rsidRPr="000F166D">
        <w:rPr>
          <w:rFonts w:eastAsia="Calibri" w:cs="Arial"/>
          <w:color w:val="000000"/>
          <w:sz w:val="22"/>
          <w:szCs w:val="22"/>
        </w:rPr>
        <w:t>vključiti dodatno prednostno naložbo (potrebna sprememba OP 2014 - 2020),</w:t>
      </w:r>
    </w:p>
    <w:p w14:paraId="20C8D5CF" w14:textId="77777777" w:rsidR="004912DC" w:rsidRPr="000F166D" w:rsidRDefault="004912DC" w:rsidP="004912DC">
      <w:pPr>
        <w:numPr>
          <w:ilvl w:val="0"/>
          <w:numId w:val="13"/>
        </w:numPr>
        <w:autoSpaceDE w:val="0"/>
        <w:autoSpaceDN w:val="0"/>
        <w:adjustRightInd w:val="0"/>
        <w:spacing w:after="240" w:line="240" w:lineRule="auto"/>
        <w:jc w:val="both"/>
        <w:rPr>
          <w:rFonts w:eastAsia="Calibri" w:cs="Arial"/>
          <w:color w:val="000000"/>
          <w:sz w:val="22"/>
          <w:szCs w:val="22"/>
        </w:rPr>
      </w:pPr>
      <w:r w:rsidRPr="000F166D">
        <w:rPr>
          <w:rFonts w:eastAsia="Calibri" w:cs="Arial"/>
          <w:color w:val="000000"/>
          <w:sz w:val="22"/>
          <w:szCs w:val="22"/>
        </w:rPr>
        <w:t>spremeniti predhodno oceno FI.</w:t>
      </w:r>
    </w:p>
    <w:p w14:paraId="53BF2EE1" w14:textId="77777777" w:rsidR="004912DC" w:rsidRPr="000F166D" w:rsidRDefault="004912DC" w:rsidP="004912DC">
      <w:pPr>
        <w:spacing w:after="240"/>
        <w:jc w:val="both"/>
        <w:rPr>
          <w:rFonts w:ascii="Calibri" w:hAnsi="Calibri"/>
          <w:sz w:val="22"/>
          <w:szCs w:val="22"/>
        </w:rPr>
      </w:pPr>
      <w:r w:rsidRPr="000F166D">
        <w:rPr>
          <w:rFonts w:eastAsia="Calibri" w:cs="Arial"/>
          <w:color w:val="000000"/>
          <w:sz w:val="22"/>
          <w:szCs w:val="22"/>
        </w:rPr>
        <w:lastRenderedPageBreak/>
        <w:t xml:space="preserve">Navedeno se zagotavlja tudi s korektivnimi ukrepi v okviru zahtevkov za izplačilo. </w:t>
      </w:r>
    </w:p>
    <w:p w14:paraId="68764EEB" w14:textId="77777777" w:rsidR="004912DC" w:rsidRPr="000F166D" w:rsidRDefault="004912DC" w:rsidP="004912DC">
      <w:pPr>
        <w:jc w:val="both"/>
        <w:rPr>
          <w:rFonts w:cs="Arial"/>
          <w:b/>
          <w:sz w:val="22"/>
          <w:szCs w:val="22"/>
          <w:u w:val="single"/>
        </w:rPr>
      </w:pPr>
      <w:r w:rsidRPr="000F166D">
        <w:rPr>
          <w:rFonts w:cs="Arial"/>
          <w:b/>
          <w:sz w:val="22"/>
          <w:szCs w:val="22"/>
          <w:u w:val="single"/>
        </w:rPr>
        <w:t>Napovedovanje likvidnosti in zahtevkov za izplačilo:</w:t>
      </w:r>
    </w:p>
    <w:p w14:paraId="1DBE7DC4" w14:textId="77777777" w:rsidR="004912DC" w:rsidRPr="000F166D" w:rsidRDefault="004912DC" w:rsidP="004912DC">
      <w:pPr>
        <w:jc w:val="both"/>
        <w:rPr>
          <w:rFonts w:cs="Arial"/>
          <w:sz w:val="22"/>
          <w:szCs w:val="22"/>
        </w:rPr>
      </w:pPr>
    </w:p>
    <w:p w14:paraId="2FEB8D5D" w14:textId="77777777" w:rsidR="004912DC" w:rsidRPr="000F166D" w:rsidRDefault="004912DC" w:rsidP="004912DC">
      <w:pPr>
        <w:jc w:val="both"/>
        <w:rPr>
          <w:rFonts w:cs="Arial"/>
          <w:sz w:val="22"/>
          <w:szCs w:val="22"/>
        </w:rPr>
      </w:pPr>
      <w:r w:rsidRPr="000F166D">
        <w:rPr>
          <w:rFonts w:cs="Arial"/>
          <w:sz w:val="22"/>
          <w:szCs w:val="22"/>
        </w:rPr>
        <w:t xml:space="preserve">Ob priprava sporazuma o financiranju, je potrebno roke za predložitev zahtevkov za izplačilo uskladiti s plačilnim organom. </w:t>
      </w:r>
    </w:p>
    <w:p w14:paraId="7A9AF55C" w14:textId="77777777" w:rsidR="004912DC" w:rsidRPr="000F166D" w:rsidRDefault="004912DC" w:rsidP="004912DC">
      <w:pPr>
        <w:autoSpaceDE w:val="0"/>
        <w:autoSpaceDN w:val="0"/>
        <w:adjustRightInd w:val="0"/>
        <w:jc w:val="both"/>
        <w:rPr>
          <w:rFonts w:eastAsia="Calibri" w:cs="Arial"/>
          <w:color w:val="000000"/>
          <w:sz w:val="22"/>
          <w:szCs w:val="22"/>
        </w:rPr>
      </w:pPr>
    </w:p>
    <w:p w14:paraId="25C3BCB0" w14:textId="77777777" w:rsidR="004912DC" w:rsidRPr="000F166D" w:rsidRDefault="004912DC" w:rsidP="004912DC">
      <w:pPr>
        <w:autoSpaceDE w:val="0"/>
        <w:autoSpaceDN w:val="0"/>
        <w:adjustRightInd w:val="0"/>
        <w:jc w:val="both"/>
        <w:rPr>
          <w:rFonts w:eastAsia="Calibri" w:cs="Arial"/>
          <w:color w:val="000000"/>
          <w:sz w:val="22"/>
          <w:szCs w:val="22"/>
        </w:rPr>
      </w:pPr>
      <w:r w:rsidRPr="000F166D">
        <w:rPr>
          <w:rFonts w:eastAsia="Calibri" w:cs="Arial"/>
          <w:color w:val="000000"/>
          <w:sz w:val="22"/>
          <w:szCs w:val="22"/>
        </w:rPr>
        <w:t>Datum nakazila sredstev ESI skladov upravljavcu sklada skladov mora PO napovedati Ministrstvu za finance-CA najmanj 3 mesece pred nakazilom.</w:t>
      </w:r>
      <w:r w:rsidRPr="000F166D">
        <w:rPr>
          <w:rFonts w:eastAsia="Calibri" w:cs="Arial"/>
          <w:color w:val="000000"/>
          <w:sz w:val="22"/>
          <w:szCs w:val="22"/>
          <w:vertAlign w:val="superscript"/>
        </w:rPr>
        <w:footnoteReference w:id="21"/>
      </w:r>
      <w:r w:rsidRPr="000F166D" w:rsidDel="0000146F">
        <w:rPr>
          <w:rFonts w:eastAsia="Calibri" w:cs="Arial"/>
          <w:color w:val="000000"/>
          <w:sz w:val="22"/>
          <w:szCs w:val="22"/>
        </w:rPr>
        <w:t xml:space="preserve"> </w:t>
      </w:r>
    </w:p>
    <w:p w14:paraId="612A85ED" w14:textId="77777777" w:rsidR="004912DC" w:rsidRPr="000F166D" w:rsidRDefault="004912DC" w:rsidP="004912DC">
      <w:pPr>
        <w:autoSpaceDE w:val="0"/>
        <w:autoSpaceDN w:val="0"/>
        <w:adjustRightInd w:val="0"/>
        <w:jc w:val="both"/>
        <w:rPr>
          <w:rFonts w:eastAsia="Calibri" w:cs="Arial"/>
          <w:color w:val="000000"/>
          <w:sz w:val="22"/>
          <w:szCs w:val="22"/>
        </w:rPr>
      </w:pPr>
    </w:p>
    <w:p w14:paraId="3760B4B5" w14:textId="77777777" w:rsidR="004912DC" w:rsidRPr="000F166D" w:rsidRDefault="004912DC" w:rsidP="004912DC">
      <w:pPr>
        <w:spacing w:after="160"/>
        <w:jc w:val="both"/>
        <w:rPr>
          <w:rFonts w:eastAsia="Calibri" w:cs="Arial"/>
          <w:color w:val="000000"/>
          <w:sz w:val="22"/>
          <w:szCs w:val="22"/>
        </w:rPr>
      </w:pPr>
      <w:r w:rsidRPr="000F166D">
        <w:rPr>
          <w:rFonts w:eastAsia="Calibri" w:cs="Arial"/>
          <w:color w:val="000000"/>
          <w:sz w:val="22"/>
          <w:szCs w:val="22"/>
        </w:rPr>
        <w:t xml:space="preserve"> </w:t>
      </w:r>
      <w:r w:rsidRPr="000F166D">
        <w:rPr>
          <w:rFonts w:eastAsia="Calibri" w:cs="Arial"/>
          <w:color w:val="000000"/>
          <w:sz w:val="22"/>
          <w:szCs w:val="22"/>
        </w:rPr>
        <w:br w:type="page"/>
      </w:r>
    </w:p>
    <w:p w14:paraId="140154E7" w14:textId="77777777" w:rsidR="004912DC" w:rsidRPr="000F166D" w:rsidRDefault="004912DC" w:rsidP="004912DC">
      <w:pPr>
        <w:keepNext/>
        <w:shd w:val="clear" w:color="auto" w:fill="9CC2E5"/>
        <w:outlineLvl w:val="1"/>
        <w:rPr>
          <w:rFonts w:cs="Arial"/>
          <w:b/>
          <w:sz w:val="32"/>
          <w:szCs w:val="32"/>
        </w:rPr>
      </w:pPr>
      <w:bookmarkStart w:id="84" w:name="_Toc54857923"/>
      <w:r w:rsidRPr="000F166D">
        <w:rPr>
          <w:rFonts w:cs="Arial"/>
          <w:b/>
          <w:sz w:val="32"/>
          <w:szCs w:val="32"/>
        </w:rPr>
        <w:lastRenderedPageBreak/>
        <w:t>6. Obdobje porabe sredstev</w:t>
      </w:r>
      <w:bookmarkEnd w:id="84"/>
    </w:p>
    <w:p w14:paraId="1222F0E5" w14:textId="77777777" w:rsidR="004912DC" w:rsidRPr="000F166D" w:rsidRDefault="004912DC" w:rsidP="004912DC">
      <w:pPr>
        <w:autoSpaceDE w:val="0"/>
        <w:autoSpaceDN w:val="0"/>
        <w:adjustRightInd w:val="0"/>
        <w:jc w:val="both"/>
        <w:rPr>
          <w:rFonts w:eastAsia="Calibri" w:cs="Arial"/>
          <w:color w:val="000000"/>
          <w:sz w:val="22"/>
        </w:rPr>
      </w:pPr>
    </w:p>
    <w:p w14:paraId="618045E6" w14:textId="77777777" w:rsidR="004912DC" w:rsidRPr="000F166D" w:rsidRDefault="004912DC" w:rsidP="004912DC">
      <w:pPr>
        <w:autoSpaceDE w:val="0"/>
        <w:autoSpaceDN w:val="0"/>
        <w:adjustRightInd w:val="0"/>
        <w:jc w:val="both"/>
        <w:rPr>
          <w:rFonts w:eastAsia="Calibri" w:cs="Arial"/>
          <w:color w:val="000000"/>
          <w:sz w:val="22"/>
          <w:szCs w:val="22"/>
        </w:rPr>
      </w:pPr>
      <w:r w:rsidRPr="000F166D">
        <w:rPr>
          <w:rFonts w:eastAsia="Calibri" w:cs="Arial"/>
          <w:color w:val="000000"/>
          <w:sz w:val="22"/>
          <w:szCs w:val="22"/>
        </w:rPr>
        <w:t xml:space="preserve">Sredstva ESIF so lahko upravljavcu sklada skladov nakazana v obdobju od </w:t>
      </w:r>
      <w:r w:rsidRPr="000F166D">
        <w:rPr>
          <w:rFonts w:eastAsia="Calibri" w:cs="Arial"/>
          <w:b/>
          <w:color w:val="000000"/>
          <w:sz w:val="22"/>
          <w:szCs w:val="22"/>
        </w:rPr>
        <w:t>sklenitve sporazuma o financiranju do 31.12.2022</w:t>
      </w:r>
      <w:r w:rsidRPr="000F166D">
        <w:rPr>
          <w:rFonts w:eastAsia="Calibri" w:cs="Arial"/>
          <w:color w:val="000000"/>
          <w:sz w:val="22"/>
          <w:szCs w:val="22"/>
        </w:rPr>
        <w:t xml:space="preserve">. </w:t>
      </w:r>
    </w:p>
    <w:p w14:paraId="1106780D" w14:textId="77777777" w:rsidR="004912DC" w:rsidRPr="000F166D" w:rsidRDefault="004912DC" w:rsidP="004912DC">
      <w:pPr>
        <w:autoSpaceDE w:val="0"/>
        <w:autoSpaceDN w:val="0"/>
        <w:adjustRightInd w:val="0"/>
        <w:jc w:val="both"/>
        <w:rPr>
          <w:rFonts w:eastAsia="Calibri" w:cs="Arial"/>
          <w:color w:val="000000"/>
          <w:sz w:val="22"/>
          <w:szCs w:val="22"/>
        </w:rPr>
      </w:pPr>
    </w:p>
    <w:p w14:paraId="403848FD" w14:textId="77777777" w:rsidR="004912DC" w:rsidRPr="000F166D" w:rsidRDefault="004912DC" w:rsidP="004912DC">
      <w:pPr>
        <w:autoSpaceDE w:val="0"/>
        <w:autoSpaceDN w:val="0"/>
        <w:adjustRightInd w:val="0"/>
        <w:jc w:val="both"/>
        <w:rPr>
          <w:rFonts w:cs="Arial"/>
          <w:sz w:val="22"/>
          <w:szCs w:val="22"/>
        </w:rPr>
      </w:pPr>
      <w:r w:rsidRPr="000F166D">
        <w:rPr>
          <w:rFonts w:eastAsia="Calibri" w:cs="Arial"/>
          <w:color w:val="000000"/>
          <w:sz w:val="22"/>
          <w:szCs w:val="22"/>
        </w:rPr>
        <w:t xml:space="preserve">Skrajni rok za nakazilo sredstev kreditov ali instrumentov lastniškega financiranja ali odobritev garancije končnim prejemnikom (ciljnim skupinam) je </w:t>
      </w:r>
      <w:r w:rsidRPr="000F166D">
        <w:rPr>
          <w:rFonts w:eastAsia="Calibri" w:cs="Arial"/>
          <w:b/>
          <w:color w:val="000000"/>
          <w:sz w:val="22"/>
          <w:szCs w:val="22"/>
        </w:rPr>
        <w:t xml:space="preserve">31.12.2023 </w:t>
      </w:r>
      <w:r w:rsidRPr="000F166D">
        <w:rPr>
          <w:rFonts w:eastAsia="Calibri" w:cs="Arial"/>
          <w:color w:val="000000"/>
          <w:sz w:val="22"/>
          <w:szCs w:val="22"/>
        </w:rPr>
        <w:t>oziroma</w:t>
      </w:r>
      <w:r w:rsidRPr="000F166D">
        <w:rPr>
          <w:rFonts w:eastAsia="Calibri" w:cs="Arial"/>
          <w:b/>
          <w:color w:val="000000"/>
          <w:sz w:val="22"/>
          <w:szCs w:val="22"/>
        </w:rPr>
        <w:t xml:space="preserve"> </w:t>
      </w:r>
      <w:r w:rsidRPr="000F166D">
        <w:rPr>
          <w:rFonts w:cs="Arial"/>
          <w:sz w:val="22"/>
          <w:szCs w:val="22"/>
        </w:rPr>
        <w:t>kasneje v primeru podaljšanja rokov s strani Evropske komisije</w:t>
      </w:r>
      <w:r w:rsidRPr="000F166D">
        <w:rPr>
          <w:rFonts w:eastAsia="Calibri" w:cs="Arial"/>
          <w:color w:val="000000"/>
          <w:sz w:val="22"/>
          <w:szCs w:val="22"/>
        </w:rPr>
        <w:t xml:space="preserve"> </w:t>
      </w:r>
      <w:r w:rsidRPr="000F166D">
        <w:rPr>
          <w:rFonts w:cs="Arial"/>
          <w:sz w:val="22"/>
          <w:szCs w:val="22"/>
        </w:rPr>
        <w:t>in se določi s sporazumom o financiranju. Rok se lahko tudi skrajša zaradi postopkov zaključevanja OP 2014 – 2020.</w:t>
      </w:r>
    </w:p>
    <w:p w14:paraId="4A54E993" w14:textId="77777777" w:rsidR="004912DC" w:rsidRPr="000F166D" w:rsidRDefault="004912DC" w:rsidP="004912DC">
      <w:pPr>
        <w:autoSpaceDE w:val="0"/>
        <w:autoSpaceDN w:val="0"/>
        <w:adjustRightInd w:val="0"/>
        <w:jc w:val="both"/>
        <w:rPr>
          <w:rFonts w:eastAsia="Calibri" w:cs="Arial"/>
          <w:color w:val="000000"/>
          <w:sz w:val="22"/>
          <w:szCs w:val="22"/>
        </w:rPr>
      </w:pPr>
    </w:p>
    <w:p w14:paraId="36919A2C" w14:textId="77777777" w:rsidR="004912DC" w:rsidRPr="000F166D" w:rsidRDefault="004912DC" w:rsidP="004912DC">
      <w:pPr>
        <w:jc w:val="both"/>
        <w:rPr>
          <w:rFonts w:eastAsia="Calibri" w:cs="Arial"/>
          <w:color w:val="000000"/>
          <w:sz w:val="22"/>
          <w:szCs w:val="22"/>
        </w:rPr>
      </w:pPr>
      <w:r w:rsidRPr="000F166D">
        <w:rPr>
          <w:rFonts w:eastAsia="Calibri" w:cs="Arial"/>
          <w:color w:val="000000"/>
          <w:sz w:val="22"/>
          <w:szCs w:val="22"/>
        </w:rPr>
        <w:t>Skladno z 41. in 42. členom Uredbe EU št. 1303/2013 pomeni poraba sredstev ESIF za FI in poraba nacionalne udeležbe</w:t>
      </w:r>
      <w:r w:rsidRPr="000F166D">
        <w:rPr>
          <w:rFonts w:eastAsia="Calibri" w:cs="Arial"/>
          <w:color w:val="000000"/>
          <w:sz w:val="22"/>
          <w:szCs w:val="22"/>
          <w:vertAlign w:val="superscript"/>
        </w:rPr>
        <w:footnoteReference w:id="22"/>
      </w:r>
      <w:r w:rsidRPr="000F166D">
        <w:rPr>
          <w:rFonts w:eastAsia="Calibri" w:cs="Arial"/>
          <w:color w:val="000000"/>
          <w:sz w:val="22"/>
          <w:szCs w:val="22"/>
        </w:rPr>
        <w:t xml:space="preserve"> za FI upravičene izdatke FI za skupen znesek sredstev, ki jih je FI dejansko izplačal oziroma v primeru garancij ali drugih instrumentov prevzema tveganj, odobril v obdobju upravičenosti, kar ustreza:</w:t>
      </w:r>
    </w:p>
    <w:p w14:paraId="0AD467CC" w14:textId="77777777" w:rsidR="004912DC" w:rsidRPr="000F166D" w:rsidRDefault="004912DC" w:rsidP="004912DC">
      <w:pPr>
        <w:numPr>
          <w:ilvl w:val="0"/>
          <w:numId w:val="13"/>
        </w:numPr>
        <w:autoSpaceDE w:val="0"/>
        <w:autoSpaceDN w:val="0"/>
        <w:adjustRightInd w:val="0"/>
        <w:spacing w:line="240" w:lineRule="auto"/>
        <w:jc w:val="both"/>
        <w:rPr>
          <w:rFonts w:eastAsia="Calibri" w:cs="Calibri"/>
          <w:color w:val="000000"/>
          <w:sz w:val="22"/>
          <w:szCs w:val="22"/>
        </w:rPr>
      </w:pPr>
      <w:r w:rsidRPr="000F166D">
        <w:rPr>
          <w:rFonts w:eastAsia="Calibri" w:cs="Arial"/>
          <w:color w:val="000000"/>
          <w:sz w:val="22"/>
          <w:szCs w:val="22"/>
        </w:rPr>
        <w:t>izplačilom sredstev FI končnim prejemnikom in izplačilo nepovratnih sredstev v kombinaciji s FI na podlagi 7. odstavka 37. člena Uredbe EU št. 1303/2013,</w:t>
      </w:r>
    </w:p>
    <w:p w14:paraId="119EC079" w14:textId="77777777" w:rsidR="004912DC" w:rsidRPr="000F166D" w:rsidRDefault="004912DC" w:rsidP="004912DC">
      <w:pPr>
        <w:numPr>
          <w:ilvl w:val="0"/>
          <w:numId w:val="13"/>
        </w:numPr>
        <w:autoSpaceDE w:val="0"/>
        <w:autoSpaceDN w:val="0"/>
        <w:adjustRightInd w:val="0"/>
        <w:spacing w:line="240" w:lineRule="auto"/>
        <w:jc w:val="both"/>
        <w:rPr>
          <w:rFonts w:eastAsia="Calibri" w:cs="Calibri"/>
          <w:color w:val="000000"/>
          <w:sz w:val="22"/>
          <w:szCs w:val="22"/>
        </w:rPr>
      </w:pPr>
      <w:r w:rsidRPr="000F166D">
        <w:rPr>
          <w:rFonts w:eastAsia="Calibri" w:cs="Arial"/>
          <w:color w:val="000000"/>
          <w:sz w:val="22"/>
          <w:szCs w:val="22"/>
        </w:rPr>
        <w:t>virom, odobrenim končnim prejemnikom na podlagi garancij in drugih instrumentov prevzema tveganja,</w:t>
      </w:r>
    </w:p>
    <w:p w14:paraId="124AA0C0" w14:textId="77777777" w:rsidR="004912DC" w:rsidRPr="000F166D" w:rsidRDefault="004912DC" w:rsidP="004912DC">
      <w:pPr>
        <w:numPr>
          <w:ilvl w:val="0"/>
          <w:numId w:val="13"/>
        </w:numPr>
        <w:autoSpaceDE w:val="0"/>
        <w:autoSpaceDN w:val="0"/>
        <w:adjustRightInd w:val="0"/>
        <w:spacing w:line="240" w:lineRule="auto"/>
        <w:jc w:val="both"/>
        <w:rPr>
          <w:rFonts w:eastAsia="Calibri" w:cs="Calibri"/>
          <w:color w:val="000000"/>
          <w:sz w:val="22"/>
          <w:szCs w:val="22"/>
        </w:rPr>
      </w:pPr>
      <w:r w:rsidRPr="000F166D">
        <w:rPr>
          <w:rFonts w:eastAsia="Calibri" w:cs="Arial"/>
          <w:color w:val="000000"/>
          <w:sz w:val="22"/>
          <w:szCs w:val="22"/>
        </w:rPr>
        <w:t>kapitaliziranim subvencioniranim obrestnim meram ali subvencioniranim provizijam za garancije, ki ji je treba plačati za največ 10 let po obdobju upravičenosti za naložbe v končne prejemnike v obdobju upravičenosti,</w:t>
      </w:r>
    </w:p>
    <w:p w14:paraId="5405A178" w14:textId="77777777" w:rsidR="004912DC" w:rsidRPr="000F166D" w:rsidRDefault="004912DC" w:rsidP="004912DC">
      <w:pPr>
        <w:numPr>
          <w:ilvl w:val="0"/>
          <w:numId w:val="13"/>
        </w:numPr>
        <w:autoSpaceDE w:val="0"/>
        <w:autoSpaceDN w:val="0"/>
        <w:adjustRightInd w:val="0"/>
        <w:spacing w:line="240" w:lineRule="auto"/>
        <w:jc w:val="both"/>
        <w:rPr>
          <w:rFonts w:eastAsia="Calibri" w:cs="Calibri"/>
          <w:color w:val="000000"/>
          <w:sz w:val="22"/>
          <w:szCs w:val="22"/>
        </w:rPr>
      </w:pPr>
      <w:r w:rsidRPr="000F166D">
        <w:rPr>
          <w:rFonts w:eastAsia="Calibri" w:cs="Arial"/>
          <w:color w:val="000000"/>
          <w:sz w:val="22"/>
          <w:szCs w:val="22"/>
        </w:rPr>
        <w:t xml:space="preserve">povračilu nastalih stroškov upravljanja ali plačilu provizij za upravljanje FI. </w:t>
      </w:r>
    </w:p>
    <w:p w14:paraId="77104983" w14:textId="77777777" w:rsidR="004912DC" w:rsidRPr="000F166D" w:rsidRDefault="004912DC" w:rsidP="004912DC">
      <w:pPr>
        <w:jc w:val="both"/>
        <w:rPr>
          <w:rFonts w:eastAsia="Calibri" w:cs="Arial"/>
          <w:color w:val="000000"/>
          <w:sz w:val="22"/>
          <w:szCs w:val="22"/>
        </w:rPr>
      </w:pPr>
    </w:p>
    <w:p w14:paraId="46E12D63" w14:textId="77777777" w:rsidR="004912DC" w:rsidRPr="000F166D" w:rsidRDefault="004912DC" w:rsidP="004912DC">
      <w:pPr>
        <w:jc w:val="both"/>
        <w:rPr>
          <w:rFonts w:eastAsia="Calibri" w:cs="Arial"/>
          <w:color w:val="000000"/>
          <w:sz w:val="22"/>
          <w:szCs w:val="22"/>
        </w:rPr>
      </w:pPr>
      <w:r w:rsidRPr="000F166D">
        <w:rPr>
          <w:rFonts w:eastAsia="Calibri" w:cs="Arial"/>
          <w:color w:val="000000"/>
          <w:sz w:val="22"/>
          <w:szCs w:val="22"/>
        </w:rPr>
        <w:t>Upravljavec sklada skladov bo pred zaključkom programa pripravil podatke o evidentiranih upravičenih izdatkih ob zaključku obdobja upravičenosti skladno z 42. členom Uredbe EU št. 1303/2013. Upravljavec sklada skladov pripravi tudi vsako leto letno poročilo.</w:t>
      </w:r>
    </w:p>
    <w:p w14:paraId="4797001D" w14:textId="77777777" w:rsidR="004912DC" w:rsidRPr="000F166D" w:rsidRDefault="004912DC" w:rsidP="004912DC">
      <w:pPr>
        <w:jc w:val="both"/>
        <w:rPr>
          <w:rFonts w:eastAsia="Calibri" w:cs="Arial"/>
          <w:color w:val="000000"/>
          <w:sz w:val="22"/>
          <w:szCs w:val="22"/>
        </w:rPr>
      </w:pPr>
    </w:p>
    <w:p w14:paraId="06EC2783" w14:textId="77777777" w:rsidR="004912DC" w:rsidRPr="000F166D" w:rsidRDefault="004912DC" w:rsidP="004912DC">
      <w:pPr>
        <w:spacing w:after="200"/>
        <w:jc w:val="both"/>
        <w:rPr>
          <w:rFonts w:eastAsia="Calibri" w:cs="Arial"/>
          <w:color w:val="000000"/>
          <w:sz w:val="22"/>
          <w:szCs w:val="22"/>
        </w:rPr>
      </w:pPr>
      <w:r w:rsidRPr="000F166D">
        <w:rPr>
          <w:rFonts w:eastAsia="Calibri" w:cs="Arial"/>
          <w:color w:val="000000"/>
          <w:sz w:val="22"/>
          <w:szCs w:val="22"/>
        </w:rPr>
        <w:t>Z operacijo sklad skladov se bo zagotavljala dopolnilna ponudba FI na finančnih in kapitalskih trgih. Sredstva ESIF za FI nosijo kreditno tveganje financiranja končnega prejemnika, zato neodplačani krediti in kapital ter unovčene garancije ali drugi instrumenti prevzema tveganja pomenijo oslabitve (izgubo) zmanjšanje sredstev, ki jih je mogoče pripisati ESIF, za ponovno porabo. FI praviloma nosijo večje kreditno tveganje v primerjavi z komercialno ponudbo lastniških in dolžniških instrumentov na trgu oz. se od njih pričakuje nižja donosnost v primerjavi s komercialnimi instrumenti financiranja. Prav tako na višino sredstev za ponovno uporabo, ki jih je mogoče pripisati sredstva ESIF, vplivajo (negativne) obresti in drugi donosi iz naslova prostih sredstev. Finančna tveganja ob sklenitvi sporazuma o financiranju oceni upravljavec sklada skladov na podlagi usklajene naložbene strategije in takšna ocena se v sporazumu o financiranju določi kot delež od sredstev ESIF. Če se ocena finančnih tveganj spremeni zaradi spremembe naložbene strategije, se takšna sprememba uredi s sporazumom o financiranju. Če mora upravljavec sklada skladov zaradi zahtev predpisov oz. zaradi zahtev pristojnih regulatornih, nadzornih ali revizijskih organov spremeniti višino ocene finančnih tveganj se v sporazumu o financiranju določi nova višina ocene finančnih tveganj. Ne glede na oceno finančnih tveganj upravljavec sklada skladov ali finančni posrednik ne pokriva zmanjšanja vrnjenih sredstev ESIF iz FI.</w:t>
      </w:r>
    </w:p>
    <w:p w14:paraId="2CB4914D" w14:textId="77777777" w:rsidR="004912DC" w:rsidRPr="000F166D" w:rsidRDefault="004912DC" w:rsidP="004912DC">
      <w:pPr>
        <w:spacing w:after="200"/>
        <w:jc w:val="both"/>
        <w:rPr>
          <w:rFonts w:eastAsia="Calibri" w:cs="Arial"/>
          <w:color w:val="000000"/>
          <w:sz w:val="22"/>
          <w:szCs w:val="22"/>
        </w:rPr>
      </w:pPr>
      <w:r w:rsidRPr="000F166D">
        <w:rPr>
          <w:rFonts w:eastAsia="Calibri" w:cs="Arial"/>
          <w:color w:val="000000"/>
          <w:sz w:val="22"/>
          <w:szCs w:val="22"/>
        </w:rPr>
        <w:lastRenderedPageBreak/>
        <w:t>Izvajanje operacije sklad skladov pa vpliva tudi na (i) likvidnostno tveganje sklada skladov in finančnih posrednikov zaradi morebitnih zamud pri nakazilu sredstev ESIF, (ii) operativno tveganje sklada skladov ter upravljavca sklada skladov in finančnih posrednikov, (iii) tržno tveganje sklada skladov in finančnih posrednikov predvsem zaradi prenizke stopnje komplementarnosti drugih javnih finančnih spodbud za iste ciljne skupine končnih prejemnikov, (iv) tveganje ugleda sklada skladov ter upravljavca sklada skladov in finančnih posrednikov in morebitna druga tveganja.</w:t>
      </w:r>
    </w:p>
    <w:p w14:paraId="2637001B" w14:textId="77777777" w:rsidR="004912DC" w:rsidRPr="000F166D" w:rsidRDefault="004912DC" w:rsidP="004912DC">
      <w:pPr>
        <w:spacing w:after="200"/>
        <w:jc w:val="both"/>
        <w:rPr>
          <w:rFonts w:eastAsia="Calibri" w:cs="Arial"/>
          <w:color w:val="000000"/>
          <w:sz w:val="22"/>
          <w:szCs w:val="22"/>
        </w:rPr>
      </w:pPr>
      <w:r w:rsidRPr="000F166D">
        <w:rPr>
          <w:rFonts w:eastAsia="Calibri" w:cs="Arial"/>
          <w:color w:val="000000"/>
          <w:sz w:val="22"/>
          <w:szCs w:val="22"/>
        </w:rPr>
        <w:t>Tveganje izgube sredstev predstavljajo unovčena garancija, nevračilo kredita ali slaba lastniška naložba, ki pomeni, da pri izstopu iz naložbe izgubimo del ali vsa sredstva. Glede na dosedanje izkušnje, izvedene evalvacije in stanje na trgu so predvidena tveganja za prvo porabo sredstev na nivoju sklada skladov in sicer ocenjujemo, da je lahko tveganje izgube sredstev 30% v odvisnosti od produkta in ciljnih skupin, za namen doseganja ciljev pa tudi višje. Za posamezne FI pripravi analizo tveganja upravljavec sklada skladov.</w:t>
      </w:r>
    </w:p>
    <w:p w14:paraId="270BCA13" w14:textId="77777777" w:rsidR="004912DC" w:rsidRPr="000F166D" w:rsidRDefault="004912DC" w:rsidP="004912DC">
      <w:pPr>
        <w:autoSpaceDE w:val="0"/>
        <w:autoSpaceDN w:val="0"/>
        <w:adjustRightInd w:val="0"/>
        <w:jc w:val="both"/>
        <w:rPr>
          <w:rFonts w:eastAsia="Calibri" w:cs="Arial"/>
          <w:color w:val="000000"/>
          <w:sz w:val="22"/>
        </w:rPr>
      </w:pPr>
    </w:p>
    <w:p w14:paraId="0A541292" w14:textId="77777777" w:rsidR="004912DC" w:rsidRPr="000F166D" w:rsidRDefault="004912DC" w:rsidP="004912DC">
      <w:pPr>
        <w:spacing w:after="160"/>
        <w:jc w:val="both"/>
        <w:rPr>
          <w:rFonts w:cs="Arial"/>
          <w:b/>
          <w:sz w:val="32"/>
          <w:szCs w:val="32"/>
        </w:rPr>
      </w:pPr>
      <w:r w:rsidRPr="000F166D">
        <w:rPr>
          <w:rFonts w:cs="Arial"/>
          <w:bCs/>
          <w:iCs/>
          <w:sz w:val="32"/>
          <w:szCs w:val="32"/>
        </w:rPr>
        <w:br w:type="page"/>
      </w:r>
    </w:p>
    <w:p w14:paraId="56593272" w14:textId="77777777" w:rsidR="004912DC" w:rsidRPr="000F166D" w:rsidRDefault="004912DC" w:rsidP="004912DC">
      <w:pPr>
        <w:keepNext/>
        <w:shd w:val="clear" w:color="auto" w:fill="9CC2E5"/>
        <w:outlineLvl w:val="1"/>
        <w:rPr>
          <w:rFonts w:cs="Arial"/>
          <w:b/>
          <w:sz w:val="32"/>
          <w:szCs w:val="32"/>
        </w:rPr>
      </w:pPr>
      <w:bookmarkStart w:id="85" w:name="_Toc54857924"/>
      <w:r w:rsidRPr="000F166D">
        <w:rPr>
          <w:rFonts w:cs="Arial"/>
          <w:b/>
          <w:sz w:val="32"/>
          <w:szCs w:val="32"/>
        </w:rPr>
        <w:lastRenderedPageBreak/>
        <w:t>7. Način ponovne uporabe sredstev</w:t>
      </w:r>
      <w:bookmarkEnd w:id="85"/>
    </w:p>
    <w:p w14:paraId="36F11D3A" w14:textId="77777777" w:rsidR="004912DC" w:rsidRPr="000F166D" w:rsidRDefault="004912DC" w:rsidP="004912DC">
      <w:pPr>
        <w:autoSpaceDE w:val="0"/>
        <w:autoSpaceDN w:val="0"/>
        <w:adjustRightInd w:val="0"/>
        <w:jc w:val="both"/>
        <w:rPr>
          <w:rFonts w:eastAsia="Calibri" w:cs="Arial"/>
          <w:color w:val="000000"/>
          <w:sz w:val="22"/>
        </w:rPr>
      </w:pPr>
    </w:p>
    <w:p w14:paraId="5AFAFD6E" w14:textId="77777777" w:rsidR="004912DC" w:rsidRPr="000F166D" w:rsidRDefault="004912DC" w:rsidP="004912DC">
      <w:pPr>
        <w:autoSpaceDE w:val="0"/>
        <w:autoSpaceDN w:val="0"/>
        <w:adjustRightInd w:val="0"/>
        <w:jc w:val="both"/>
        <w:rPr>
          <w:rFonts w:eastAsia="Calibri" w:cs="Arial"/>
          <w:color w:val="000000"/>
          <w:sz w:val="22"/>
          <w:szCs w:val="22"/>
        </w:rPr>
      </w:pPr>
      <w:r w:rsidRPr="000F166D">
        <w:rPr>
          <w:rFonts w:eastAsia="Calibri" w:cs="Arial"/>
          <w:color w:val="000000"/>
          <w:sz w:val="22"/>
          <w:szCs w:val="22"/>
        </w:rPr>
        <w:t>Ponovna uporaba sredstev iz naložb je okvirno predvidena v Predhodni oceni FI. Skladno s 44. členom Uredbe EK 1303/2013 je možno ponovno uporabiti sredstva do konca obdobja upravičenosti, in sicer za:</w:t>
      </w:r>
    </w:p>
    <w:p w14:paraId="69D94A1D" w14:textId="77777777" w:rsidR="004912DC" w:rsidRPr="000F166D" w:rsidRDefault="004912DC" w:rsidP="004912DC">
      <w:pPr>
        <w:numPr>
          <w:ilvl w:val="0"/>
          <w:numId w:val="13"/>
        </w:numPr>
        <w:autoSpaceDE w:val="0"/>
        <w:autoSpaceDN w:val="0"/>
        <w:adjustRightInd w:val="0"/>
        <w:spacing w:line="240" w:lineRule="auto"/>
        <w:jc w:val="both"/>
        <w:rPr>
          <w:rFonts w:eastAsia="Calibri" w:cs="Arial"/>
          <w:color w:val="000000"/>
          <w:sz w:val="22"/>
          <w:szCs w:val="22"/>
        </w:rPr>
      </w:pPr>
      <w:r w:rsidRPr="000F166D">
        <w:rPr>
          <w:rFonts w:eastAsia="Calibri" w:cs="Arial"/>
          <w:color w:val="000000"/>
          <w:sz w:val="22"/>
          <w:szCs w:val="22"/>
        </w:rPr>
        <w:t xml:space="preserve">nadaljnje naložbe z istimi ali drugimi FI, </w:t>
      </w:r>
    </w:p>
    <w:p w14:paraId="4FFD1C9E" w14:textId="77777777" w:rsidR="004912DC" w:rsidRPr="000F166D" w:rsidRDefault="004912DC" w:rsidP="004912DC">
      <w:pPr>
        <w:numPr>
          <w:ilvl w:val="0"/>
          <w:numId w:val="13"/>
        </w:numPr>
        <w:autoSpaceDE w:val="0"/>
        <w:autoSpaceDN w:val="0"/>
        <w:adjustRightInd w:val="0"/>
        <w:spacing w:line="240" w:lineRule="auto"/>
        <w:jc w:val="both"/>
        <w:rPr>
          <w:rFonts w:eastAsia="Calibri" w:cs="Arial"/>
          <w:color w:val="000000"/>
          <w:sz w:val="22"/>
          <w:szCs w:val="22"/>
        </w:rPr>
      </w:pPr>
      <w:r w:rsidRPr="000F166D">
        <w:rPr>
          <w:rFonts w:eastAsia="Calibri" w:cs="Arial"/>
          <w:color w:val="000000"/>
          <w:sz w:val="22"/>
          <w:szCs w:val="22"/>
        </w:rPr>
        <w:t xml:space="preserve">preferenčno izplačilo zasebnih ali javnih vlagateljev in </w:t>
      </w:r>
    </w:p>
    <w:p w14:paraId="3C3FAA52" w14:textId="77777777" w:rsidR="004912DC" w:rsidRPr="000F166D" w:rsidRDefault="004912DC" w:rsidP="004912DC">
      <w:pPr>
        <w:numPr>
          <w:ilvl w:val="0"/>
          <w:numId w:val="13"/>
        </w:numPr>
        <w:autoSpaceDE w:val="0"/>
        <w:autoSpaceDN w:val="0"/>
        <w:adjustRightInd w:val="0"/>
        <w:spacing w:line="240" w:lineRule="auto"/>
        <w:jc w:val="both"/>
        <w:rPr>
          <w:rFonts w:eastAsia="Calibri" w:cs="Arial"/>
          <w:color w:val="000000"/>
          <w:sz w:val="22"/>
          <w:szCs w:val="22"/>
        </w:rPr>
      </w:pPr>
      <w:r w:rsidRPr="000F166D">
        <w:rPr>
          <w:rFonts w:eastAsia="Calibri" w:cs="Arial"/>
          <w:color w:val="000000"/>
          <w:sz w:val="22"/>
          <w:szCs w:val="22"/>
        </w:rPr>
        <w:t>povračilo nastalih stroškov upravljanja in plačilo provizij za upravljanje FI.</w:t>
      </w:r>
    </w:p>
    <w:p w14:paraId="7175EC38" w14:textId="77777777" w:rsidR="004912DC" w:rsidRPr="000F166D" w:rsidRDefault="004912DC" w:rsidP="004912DC">
      <w:pPr>
        <w:autoSpaceDE w:val="0"/>
        <w:autoSpaceDN w:val="0"/>
        <w:adjustRightInd w:val="0"/>
        <w:jc w:val="both"/>
        <w:rPr>
          <w:rFonts w:eastAsia="Calibri" w:cs="Arial"/>
          <w:color w:val="000000"/>
          <w:sz w:val="22"/>
          <w:szCs w:val="22"/>
        </w:rPr>
      </w:pPr>
    </w:p>
    <w:p w14:paraId="53F417C7" w14:textId="77777777" w:rsidR="004912DC" w:rsidRPr="000F166D" w:rsidRDefault="004912DC" w:rsidP="004912DC">
      <w:pPr>
        <w:autoSpaceDE w:val="0"/>
        <w:autoSpaceDN w:val="0"/>
        <w:adjustRightInd w:val="0"/>
        <w:jc w:val="both"/>
        <w:rPr>
          <w:rFonts w:eastAsia="Calibri" w:cs="Arial"/>
          <w:color w:val="000000"/>
          <w:sz w:val="22"/>
          <w:szCs w:val="22"/>
        </w:rPr>
      </w:pPr>
      <w:r w:rsidRPr="000F166D">
        <w:rPr>
          <w:rFonts w:cs="Arial"/>
          <w:sz w:val="22"/>
          <w:szCs w:val="22"/>
        </w:rPr>
        <w:t>Ob sprostitvi sredstev (i) oblikovanih rezervacij za izdane garancije in kredite, ki nastopi ob celotnem poplačilu posameznega kredita s strani končnih prejemnikov ali (ii) vseh kreditov s strani končnih prejemnikov ali (iii) izstopa iz naložb lastniškega financiranja sredstva evropske kohezijske politike upravljavec sklada skladov zbira na ločenem podračunu računa pri finančni instituciji v državi članici EU.</w:t>
      </w:r>
      <w:r>
        <w:rPr>
          <w:rFonts w:cs="Arial"/>
          <w:sz w:val="22"/>
          <w:szCs w:val="22"/>
        </w:rPr>
        <w:t xml:space="preserve"> </w:t>
      </w:r>
      <w:r w:rsidRPr="000F166D">
        <w:rPr>
          <w:rFonts w:eastAsia="Calibri" w:cs="Arial"/>
          <w:color w:val="000000"/>
          <w:sz w:val="22"/>
          <w:szCs w:val="22"/>
        </w:rPr>
        <w:t>Na tem podračunu upravljavec sklada skladov zbira tudi dobičke ter druge dohodke ali donose, ustvarjene v obdobju najmanj osem let</w:t>
      </w:r>
      <w:r w:rsidRPr="000F166D">
        <w:rPr>
          <w:rFonts w:eastAsia="Calibri" w:cs="Arial"/>
          <w:color w:val="000000"/>
          <w:sz w:val="22"/>
          <w:szCs w:val="22"/>
          <w:vertAlign w:val="superscript"/>
        </w:rPr>
        <w:footnoteReference w:id="23"/>
      </w:r>
      <w:r w:rsidRPr="000F166D">
        <w:rPr>
          <w:rFonts w:eastAsia="Calibri" w:cs="Arial"/>
          <w:color w:val="000000"/>
          <w:sz w:val="22"/>
          <w:szCs w:val="22"/>
        </w:rPr>
        <w:t xml:space="preserve"> po koncu obdobja upravičenosti, ki se lahko pripišejo podpori FI iz sredstev ESIF. Upravljavec sklada skladov ta sredstva lahko začasno vloži v skladu z načeli dobrega finančnega poslovodenja, obresti in druge dobičke iz takšnega naložbenja prostih sredstev pa zbira na podračunu. Strategijo naložbenja takšnih sredstev upravljavec sklada skladov in PO dogovorita v sporazumu o financiranju </w:t>
      </w:r>
      <w:r w:rsidRPr="000F166D">
        <w:rPr>
          <w:rFonts w:cs="Arial"/>
          <w:sz w:val="22"/>
          <w:szCs w:val="22"/>
        </w:rPr>
        <w:t>v skladu z načeli dobrega finančnega poslovodenja</w:t>
      </w:r>
      <w:r w:rsidRPr="000F166D">
        <w:rPr>
          <w:rFonts w:eastAsia="Calibri" w:cs="Arial"/>
          <w:color w:val="000000"/>
          <w:sz w:val="22"/>
          <w:szCs w:val="22"/>
        </w:rPr>
        <w:t>. Eventualni negativni donosi, obresti in izgube so v okviru politike naložbenja in upravljanja prostih sredstev, ki jo dogovorita PO in upravljavec sklada skladov v sporazumu o financiranju, in so v breme sklada skladov.</w:t>
      </w:r>
    </w:p>
    <w:p w14:paraId="56411BD0" w14:textId="77777777" w:rsidR="004912DC" w:rsidRPr="000F166D" w:rsidRDefault="004912DC" w:rsidP="004912DC">
      <w:pPr>
        <w:suppressAutoHyphens/>
        <w:jc w:val="both"/>
        <w:rPr>
          <w:rFonts w:cs="Arial"/>
          <w:sz w:val="22"/>
          <w:szCs w:val="22"/>
          <w:lang w:eastAsia="ar-SA"/>
        </w:rPr>
      </w:pPr>
    </w:p>
    <w:p w14:paraId="1AD4D155" w14:textId="77777777" w:rsidR="004912DC" w:rsidRPr="000F166D" w:rsidRDefault="004912DC" w:rsidP="004912DC">
      <w:pPr>
        <w:suppressAutoHyphens/>
        <w:jc w:val="both"/>
        <w:rPr>
          <w:rFonts w:cs="Arial"/>
          <w:sz w:val="22"/>
          <w:szCs w:val="22"/>
          <w:lang w:eastAsia="ar-SA"/>
        </w:rPr>
      </w:pPr>
      <w:r w:rsidRPr="000F166D">
        <w:rPr>
          <w:rFonts w:cs="Arial"/>
          <w:sz w:val="22"/>
          <w:szCs w:val="22"/>
          <w:lang w:eastAsia="ar-SA"/>
        </w:rPr>
        <w:t xml:space="preserve">Sredstva iz prejšnjega odstavka upravljavec sklada skladov ponovno uporabi skladno z namenom in cilji, ki jih bodo določila MGRT, MZI in MOP. </w:t>
      </w:r>
    </w:p>
    <w:p w14:paraId="716F6A64" w14:textId="77777777" w:rsidR="004912DC" w:rsidRPr="000F166D" w:rsidRDefault="004912DC" w:rsidP="004912DC">
      <w:pPr>
        <w:suppressAutoHyphens/>
        <w:jc w:val="both"/>
        <w:rPr>
          <w:rFonts w:cs="Arial"/>
          <w:sz w:val="22"/>
          <w:szCs w:val="22"/>
          <w:lang w:eastAsia="ar-SA"/>
        </w:rPr>
      </w:pPr>
    </w:p>
    <w:p w14:paraId="5A51673A" w14:textId="77777777" w:rsidR="004912DC" w:rsidRPr="000F166D" w:rsidRDefault="004912DC" w:rsidP="004912DC">
      <w:pPr>
        <w:autoSpaceDE w:val="0"/>
        <w:autoSpaceDN w:val="0"/>
        <w:adjustRightInd w:val="0"/>
        <w:jc w:val="both"/>
        <w:rPr>
          <w:rFonts w:eastAsia="Calibri" w:cs="Arial"/>
          <w:color w:val="000000"/>
          <w:sz w:val="22"/>
          <w:szCs w:val="22"/>
        </w:rPr>
      </w:pPr>
      <w:r w:rsidRPr="000F166D">
        <w:rPr>
          <w:rFonts w:eastAsia="Calibri" w:cs="Arial"/>
          <w:color w:val="000000"/>
          <w:sz w:val="22"/>
          <w:szCs w:val="22"/>
        </w:rPr>
        <w:t>Upravljavec sklada skladov bo spremljal ponovno porabo sredstev in o tem poročal PO. PO bo seznanil o tem Usmerjevalni odbor FI, ki bo podal mnenje. Ponovna uporaba sredstev se podrobneje opredeli v sporazumu o financiranju.</w:t>
      </w:r>
    </w:p>
    <w:p w14:paraId="7FF2014B" w14:textId="77777777" w:rsidR="004912DC" w:rsidRPr="000F166D" w:rsidRDefault="004912DC" w:rsidP="004912DC">
      <w:pPr>
        <w:autoSpaceDE w:val="0"/>
        <w:autoSpaceDN w:val="0"/>
        <w:adjustRightInd w:val="0"/>
        <w:jc w:val="both"/>
        <w:rPr>
          <w:rFonts w:eastAsia="Calibri" w:cs="Arial"/>
          <w:color w:val="000000"/>
          <w:sz w:val="22"/>
          <w:szCs w:val="22"/>
        </w:rPr>
      </w:pPr>
    </w:p>
    <w:p w14:paraId="0228A9AA" w14:textId="77777777" w:rsidR="004912DC" w:rsidRPr="000F166D" w:rsidRDefault="004912DC" w:rsidP="004912DC">
      <w:pPr>
        <w:autoSpaceDE w:val="0"/>
        <w:autoSpaceDN w:val="0"/>
        <w:adjustRightInd w:val="0"/>
        <w:jc w:val="both"/>
        <w:rPr>
          <w:rFonts w:eastAsia="Calibri" w:cs="Arial"/>
          <w:color w:val="000000"/>
          <w:sz w:val="22"/>
          <w:szCs w:val="22"/>
        </w:rPr>
      </w:pPr>
      <w:r w:rsidRPr="000F166D">
        <w:rPr>
          <w:rFonts w:eastAsia="Calibri" w:cs="Arial"/>
          <w:color w:val="000000"/>
          <w:sz w:val="22"/>
          <w:szCs w:val="22"/>
        </w:rPr>
        <w:t>V kolikor prva poraba sredstev ESIF ne bo dosegala plana prve porabe sredstev ESIF iz sporazuma o financiranju ali v primeru nedoseganja ciljev, bo upravljavec sklada skladov pripravil poročilo o razlogih za odstopanja od plana. PO in upravljavec sklada skladov lahko dogovorita spremembo naložbene strategije sklada skladov ali druge ukrepe, katerih okvir je opredeljen v sporazumu o financiranju (npr. posodobitev/revizija predhodne ocene, prerazporeditev med FI, prilagoditev produktov itn., v skrajnem primeru tudi sprememba upravljavca sklada skladov).</w:t>
      </w:r>
    </w:p>
    <w:p w14:paraId="6D018558" w14:textId="77777777" w:rsidR="004912DC" w:rsidRPr="000F166D" w:rsidRDefault="004912DC" w:rsidP="004912DC">
      <w:pPr>
        <w:autoSpaceDE w:val="0"/>
        <w:autoSpaceDN w:val="0"/>
        <w:adjustRightInd w:val="0"/>
        <w:jc w:val="both"/>
        <w:rPr>
          <w:rFonts w:eastAsia="Calibri" w:cs="Arial"/>
          <w:color w:val="000000"/>
          <w:sz w:val="22"/>
          <w:szCs w:val="22"/>
        </w:rPr>
      </w:pPr>
    </w:p>
    <w:p w14:paraId="6E656FB6" w14:textId="6C60C73C" w:rsidR="004912DC" w:rsidRDefault="004912DC" w:rsidP="004912DC">
      <w:pPr>
        <w:autoSpaceDE w:val="0"/>
        <w:autoSpaceDN w:val="0"/>
        <w:adjustRightInd w:val="0"/>
        <w:jc w:val="both"/>
        <w:rPr>
          <w:rFonts w:eastAsia="Calibri" w:cs="Arial"/>
          <w:color w:val="000000"/>
          <w:sz w:val="22"/>
          <w:szCs w:val="22"/>
        </w:rPr>
      </w:pPr>
      <w:r w:rsidRPr="000F166D">
        <w:rPr>
          <w:rFonts w:eastAsia="Calibri" w:cs="Arial"/>
          <w:color w:val="000000"/>
          <w:sz w:val="22"/>
          <w:szCs w:val="22"/>
        </w:rPr>
        <w:t xml:space="preserve">Sredstva uporablja upravljavec sklada skladov </w:t>
      </w:r>
      <w:r w:rsidRPr="000F166D">
        <w:rPr>
          <w:rFonts w:eastAsia="Calibri" w:cs="Arial"/>
          <w:b/>
          <w:color w:val="000000"/>
          <w:sz w:val="22"/>
          <w:szCs w:val="22"/>
        </w:rPr>
        <w:t>najmanj 8 let</w:t>
      </w:r>
      <w:r w:rsidRPr="000F166D">
        <w:rPr>
          <w:rFonts w:eastAsia="Calibri" w:cs="Arial"/>
          <w:color w:val="000000"/>
          <w:sz w:val="22"/>
          <w:szCs w:val="22"/>
        </w:rPr>
        <w:t xml:space="preserve"> po zaključku upravičenega obdobja za iste namene skladno s 44. in 45. členom Uredbe EK 1303/2013.</w:t>
      </w:r>
    </w:p>
    <w:p w14:paraId="57C837EA" w14:textId="6711BB3F" w:rsidR="009F337A" w:rsidRDefault="009F337A" w:rsidP="004912DC">
      <w:pPr>
        <w:autoSpaceDE w:val="0"/>
        <w:autoSpaceDN w:val="0"/>
        <w:adjustRightInd w:val="0"/>
        <w:jc w:val="both"/>
        <w:rPr>
          <w:rFonts w:eastAsia="Calibri" w:cs="Arial"/>
          <w:color w:val="000000"/>
          <w:sz w:val="22"/>
          <w:szCs w:val="22"/>
        </w:rPr>
      </w:pPr>
    </w:p>
    <w:p w14:paraId="2E493E86" w14:textId="4A3F446B" w:rsidR="009F337A" w:rsidRPr="000F166D" w:rsidRDefault="009F337A" w:rsidP="004912DC">
      <w:pPr>
        <w:autoSpaceDE w:val="0"/>
        <w:autoSpaceDN w:val="0"/>
        <w:adjustRightInd w:val="0"/>
        <w:jc w:val="both"/>
        <w:rPr>
          <w:rFonts w:eastAsia="Calibri" w:cs="Arial"/>
          <w:color w:val="000000"/>
          <w:sz w:val="22"/>
          <w:szCs w:val="22"/>
        </w:rPr>
      </w:pPr>
    </w:p>
    <w:p w14:paraId="447B9BDE" w14:textId="77777777" w:rsidR="004912DC" w:rsidRPr="000F166D" w:rsidRDefault="004912DC" w:rsidP="004912DC">
      <w:pPr>
        <w:spacing w:after="160" w:line="259" w:lineRule="auto"/>
        <w:jc w:val="both"/>
        <w:rPr>
          <w:rFonts w:eastAsia="Calibri" w:cs="Arial"/>
          <w:color w:val="000000"/>
          <w:sz w:val="22"/>
          <w:szCs w:val="22"/>
        </w:rPr>
      </w:pPr>
      <w:r w:rsidRPr="000F166D">
        <w:rPr>
          <w:rFonts w:eastAsia="Calibri" w:cs="Arial"/>
          <w:color w:val="000000"/>
          <w:sz w:val="22"/>
          <w:szCs w:val="22"/>
        </w:rPr>
        <w:br w:type="page"/>
      </w:r>
    </w:p>
    <w:p w14:paraId="55176C23" w14:textId="77777777" w:rsidR="004912DC" w:rsidRPr="000F166D" w:rsidRDefault="004912DC" w:rsidP="004912DC">
      <w:pPr>
        <w:keepNext/>
        <w:shd w:val="clear" w:color="auto" w:fill="9CC2E5"/>
        <w:outlineLvl w:val="1"/>
        <w:rPr>
          <w:rFonts w:cs="Arial"/>
          <w:b/>
          <w:sz w:val="32"/>
          <w:szCs w:val="32"/>
        </w:rPr>
      </w:pPr>
      <w:bookmarkStart w:id="86" w:name="_Toc54857925"/>
      <w:r w:rsidRPr="000F166D">
        <w:rPr>
          <w:rFonts w:cs="Arial"/>
          <w:b/>
          <w:sz w:val="32"/>
          <w:szCs w:val="32"/>
        </w:rPr>
        <w:lastRenderedPageBreak/>
        <w:t>8. Obresti in drugi donosi od finančnih instrumentov</w:t>
      </w:r>
      <w:bookmarkEnd w:id="86"/>
      <w:r w:rsidRPr="000F166D">
        <w:rPr>
          <w:rFonts w:cs="Arial"/>
          <w:b/>
          <w:sz w:val="32"/>
          <w:szCs w:val="32"/>
        </w:rPr>
        <w:t xml:space="preserve"> </w:t>
      </w:r>
    </w:p>
    <w:p w14:paraId="7E9C6868" w14:textId="77777777" w:rsidR="004912DC" w:rsidRPr="000F166D" w:rsidRDefault="004912DC" w:rsidP="004912DC">
      <w:pPr>
        <w:autoSpaceDE w:val="0"/>
        <w:autoSpaceDN w:val="0"/>
        <w:adjustRightInd w:val="0"/>
        <w:jc w:val="both"/>
        <w:rPr>
          <w:rFonts w:eastAsia="Calibri" w:cs="Arial"/>
          <w:color w:val="000000"/>
          <w:sz w:val="22"/>
        </w:rPr>
      </w:pPr>
    </w:p>
    <w:p w14:paraId="515E5AFC" w14:textId="77777777" w:rsidR="004912DC" w:rsidRPr="000F166D" w:rsidRDefault="004912DC" w:rsidP="004912DC">
      <w:pPr>
        <w:autoSpaceDE w:val="0"/>
        <w:autoSpaceDN w:val="0"/>
        <w:adjustRightInd w:val="0"/>
        <w:jc w:val="both"/>
        <w:rPr>
          <w:rFonts w:eastAsia="Calibri" w:cs="Arial"/>
          <w:color w:val="000000"/>
          <w:sz w:val="22"/>
          <w:szCs w:val="22"/>
        </w:rPr>
      </w:pPr>
      <w:r w:rsidRPr="000F166D">
        <w:rPr>
          <w:rFonts w:eastAsia="Calibri" w:cs="Arial"/>
          <w:color w:val="000000"/>
          <w:sz w:val="22"/>
          <w:szCs w:val="22"/>
        </w:rPr>
        <w:t>Sredstva ESIF so nakazana upravljavcu sklada skladov se skladno z 43. členom Uredbe (EU) št. 1303/2013. V ta namen mora upravljavec sklada skladov zagotoviti ločen podračun računa pri finančni instituciji v državi članici EU. Upravljavec sklada skladov ta sredstva lahko začasno vloži v skladu z načeli dobrega finančnega poslovodenja.</w:t>
      </w:r>
    </w:p>
    <w:p w14:paraId="2BD56378" w14:textId="77777777" w:rsidR="004912DC" w:rsidRPr="000F166D" w:rsidRDefault="004912DC" w:rsidP="004912DC">
      <w:pPr>
        <w:autoSpaceDE w:val="0"/>
        <w:autoSpaceDN w:val="0"/>
        <w:adjustRightInd w:val="0"/>
        <w:jc w:val="both"/>
        <w:rPr>
          <w:rFonts w:eastAsia="Calibri" w:cs="Arial"/>
          <w:color w:val="000000"/>
          <w:sz w:val="22"/>
          <w:szCs w:val="22"/>
        </w:rPr>
      </w:pPr>
    </w:p>
    <w:p w14:paraId="3455B7FA" w14:textId="77777777" w:rsidR="004912DC" w:rsidRPr="000F166D" w:rsidRDefault="004912DC" w:rsidP="004912DC">
      <w:pPr>
        <w:autoSpaceDE w:val="0"/>
        <w:autoSpaceDN w:val="0"/>
        <w:adjustRightInd w:val="0"/>
        <w:jc w:val="both"/>
        <w:rPr>
          <w:rFonts w:eastAsia="Calibri" w:cs="Arial"/>
          <w:color w:val="000000"/>
          <w:sz w:val="22"/>
          <w:szCs w:val="22"/>
        </w:rPr>
      </w:pPr>
      <w:r w:rsidRPr="000F166D">
        <w:rPr>
          <w:rFonts w:eastAsia="Calibri" w:cs="Arial"/>
          <w:color w:val="000000"/>
          <w:sz w:val="22"/>
          <w:szCs w:val="22"/>
        </w:rPr>
        <w:t>Strategijo naložbenja takšnih sredstev upravljavec sklada skladov in PO dogovorita v sporazumu o financiranju. Na tem podračunu upravljavec sklada skladov zbira obresti in druge dobičke iz takšnega naložbenja prostih sredstev. Upravljavec sklada skladov mora voditi evidenco o takšnih obrestih in drugih dobičkih. Takšne obresti in dobički povečujejo sredstva ESIF in jih mora upravljavec sklada skladov uporabiti za namene in vsebino, kot izhajata iz ciljev OP 2014 – 2020, vključno s plačilom provizij za upravljanje finančnega instrumenta, ter skladno s 44. in 45. členom Uredbe EU št. 1303/2013. Eventualni negativni donosi, obresti in izgube so v okviru politike naložbenja in upravljanja prostih sredstev, ki jo dogovorita PO in upravljavec sklada skladov v sporazumu o financiranju, in gredo v breme sklada skladov.</w:t>
      </w:r>
    </w:p>
    <w:p w14:paraId="577FD34D" w14:textId="77777777" w:rsidR="004912DC" w:rsidRPr="000F166D" w:rsidRDefault="004912DC" w:rsidP="004912DC">
      <w:pPr>
        <w:autoSpaceDE w:val="0"/>
        <w:autoSpaceDN w:val="0"/>
        <w:adjustRightInd w:val="0"/>
        <w:jc w:val="both"/>
        <w:rPr>
          <w:rFonts w:eastAsia="Calibri" w:cs="Arial"/>
          <w:color w:val="000000"/>
          <w:sz w:val="22"/>
          <w:szCs w:val="22"/>
        </w:rPr>
      </w:pPr>
    </w:p>
    <w:p w14:paraId="5DDA16E0" w14:textId="77777777" w:rsidR="004912DC" w:rsidRPr="000F166D" w:rsidRDefault="004912DC" w:rsidP="004912DC">
      <w:pPr>
        <w:spacing w:after="160"/>
        <w:jc w:val="both"/>
        <w:rPr>
          <w:rFonts w:cs="Arial"/>
          <w:b/>
          <w:sz w:val="32"/>
          <w:szCs w:val="32"/>
        </w:rPr>
      </w:pPr>
      <w:r w:rsidRPr="000F166D">
        <w:rPr>
          <w:rFonts w:cs="Arial"/>
          <w:bCs/>
          <w:iCs/>
          <w:sz w:val="32"/>
          <w:szCs w:val="32"/>
        </w:rPr>
        <w:br w:type="page"/>
      </w:r>
    </w:p>
    <w:p w14:paraId="12AC6A6A" w14:textId="77777777" w:rsidR="004912DC" w:rsidRPr="000F166D" w:rsidRDefault="004912DC" w:rsidP="004912DC">
      <w:pPr>
        <w:keepNext/>
        <w:shd w:val="clear" w:color="auto" w:fill="9CC2E5"/>
        <w:outlineLvl w:val="1"/>
        <w:rPr>
          <w:rFonts w:cs="Arial"/>
          <w:b/>
          <w:sz w:val="32"/>
          <w:szCs w:val="32"/>
        </w:rPr>
      </w:pPr>
      <w:bookmarkStart w:id="87" w:name="_Toc54857926"/>
      <w:r w:rsidRPr="000F166D">
        <w:rPr>
          <w:rFonts w:cs="Arial"/>
          <w:b/>
          <w:sz w:val="32"/>
          <w:szCs w:val="32"/>
        </w:rPr>
        <w:lastRenderedPageBreak/>
        <w:t>9. Pogoji prispevka v finančne instrumente</w:t>
      </w:r>
      <w:bookmarkEnd w:id="87"/>
    </w:p>
    <w:p w14:paraId="7B7B3294" w14:textId="77777777" w:rsidR="004912DC" w:rsidRPr="000F166D" w:rsidRDefault="004912DC" w:rsidP="004912DC">
      <w:pPr>
        <w:autoSpaceDE w:val="0"/>
        <w:autoSpaceDN w:val="0"/>
        <w:adjustRightInd w:val="0"/>
        <w:jc w:val="both"/>
        <w:rPr>
          <w:rFonts w:eastAsia="Calibri" w:cs="Arial"/>
          <w:color w:val="000000"/>
          <w:sz w:val="22"/>
        </w:rPr>
      </w:pPr>
    </w:p>
    <w:p w14:paraId="4050624F" w14:textId="77777777" w:rsidR="004912DC" w:rsidRPr="000F166D" w:rsidRDefault="004912DC" w:rsidP="004912DC">
      <w:pPr>
        <w:autoSpaceDE w:val="0"/>
        <w:autoSpaceDN w:val="0"/>
        <w:adjustRightInd w:val="0"/>
        <w:jc w:val="both"/>
        <w:rPr>
          <w:rFonts w:eastAsia="Calibri" w:cs="Arial"/>
          <w:color w:val="000000"/>
          <w:sz w:val="22"/>
          <w:szCs w:val="22"/>
        </w:rPr>
      </w:pPr>
      <w:r w:rsidRPr="000F166D">
        <w:rPr>
          <w:rFonts w:eastAsia="Calibri" w:cs="Arial"/>
          <w:color w:val="000000"/>
          <w:sz w:val="22"/>
          <w:szCs w:val="22"/>
        </w:rPr>
        <w:t>Sredstva vplačana iz sredstev kohezijske politike in drugih virov se uporabljajo skladno z opredeljenimi cilji, ki izhajajo iz OP 2014 - 2020 in ciljno skupino. FI se izvajajo na področju celotne Slovenije – sredstva so razdeljena na vzhodno in zahodno kohezijsko regijo.</w:t>
      </w:r>
    </w:p>
    <w:p w14:paraId="66D844FE" w14:textId="77777777" w:rsidR="004912DC" w:rsidRPr="000F166D" w:rsidRDefault="004912DC" w:rsidP="004912DC">
      <w:pPr>
        <w:autoSpaceDE w:val="0"/>
        <w:autoSpaceDN w:val="0"/>
        <w:adjustRightInd w:val="0"/>
        <w:jc w:val="both"/>
        <w:rPr>
          <w:rFonts w:eastAsia="Calibri" w:cs="Arial"/>
          <w:color w:val="000000"/>
          <w:sz w:val="22"/>
          <w:szCs w:val="22"/>
        </w:rPr>
      </w:pPr>
    </w:p>
    <w:p w14:paraId="11DBAB61" w14:textId="77777777" w:rsidR="004912DC" w:rsidRPr="000F166D" w:rsidRDefault="004912DC" w:rsidP="004912DC">
      <w:pPr>
        <w:autoSpaceDE w:val="0"/>
        <w:autoSpaceDN w:val="0"/>
        <w:adjustRightInd w:val="0"/>
        <w:jc w:val="both"/>
        <w:rPr>
          <w:rFonts w:eastAsia="Calibri" w:cs="Arial"/>
          <w:color w:val="000000"/>
          <w:sz w:val="22"/>
          <w:szCs w:val="22"/>
        </w:rPr>
      </w:pPr>
      <w:r w:rsidRPr="000F166D">
        <w:rPr>
          <w:rFonts w:eastAsia="Calibri" w:cs="Arial"/>
          <w:color w:val="000000"/>
          <w:sz w:val="22"/>
          <w:szCs w:val="22"/>
        </w:rPr>
        <w:t>Upravičeni izdatki predstavljajo skladno z 42. členom Uredbe (EU) 1303/2013 skupni znesek, ki jih je finančni instrument dejansko izplačal ali, v primeru garancij, odobril v obdobju upravičenosti, kar ustreza:</w:t>
      </w:r>
    </w:p>
    <w:p w14:paraId="334A5951" w14:textId="77777777" w:rsidR="004912DC" w:rsidRPr="000F166D" w:rsidRDefault="004912DC" w:rsidP="004912DC">
      <w:pPr>
        <w:numPr>
          <w:ilvl w:val="0"/>
          <w:numId w:val="13"/>
        </w:numPr>
        <w:autoSpaceDE w:val="0"/>
        <w:autoSpaceDN w:val="0"/>
        <w:adjustRightInd w:val="0"/>
        <w:spacing w:line="240" w:lineRule="auto"/>
        <w:jc w:val="both"/>
        <w:rPr>
          <w:rFonts w:eastAsia="Calibri" w:cs="Arial"/>
          <w:color w:val="000000"/>
          <w:sz w:val="22"/>
          <w:szCs w:val="22"/>
        </w:rPr>
      </w:pPr>
      <w:r w:rsidRPr="000F166D">
        <w:rPr>
          <w:rFonts w:eastAsia="Calibri" w:cs="Arial"/>
          <w:color w:val="000000"/>
          <w:sz w:val="22"/>
          <w:szCs w:val="22"/>
        </w:rPr>
        <w:t xml:space="preserve">izplačilom končnim prejemnikom v primeru </w:t>
      </w:r>
    </w:p>
    <w:p w14:paraId="4651514A" w14:textId="77777777" w:rsidR="004912DC" w:rsidRPr="000F166D" w:rsidRDefault="004912DC" w:rsidP="004912DC">
      <w:pPr>
        <w:numPr>
          <w:ilvl w:val="0"/>
          <w:numId w:val="13"/>
        </w:numPr>
        <w:autoSpaceDE w:val="0"/>
        <w:autoSpaceDN w:val="0"/>
        <w:adjustRightInd w:val="0"/>
        <w:spacing w:line="240" w:lineRule="auto"/>
        <w:jc w:val="both"/>
        <w:rPr>
          <w:rFonts w:eastAsia="Calibri" w:cs="Arial"/>
          <w:color w:val="000000"/>
          <w:sz w:val="22"/>
          <w:szCs w:val="22"/>
        </w:rPr>
      </w:pPr>
      <w:r w:rsidRPr="000F166D">
        <w:rPr>
          <w:rFonts w:eastAsia="Calibri" w:cs="Arial"/>
          <w:color w:val="000000"/>
          <w:sz w:val="22"/>
          <w:szCs w:val="22"/>
        </w:rPr>
        <w:t>virom, odobrenimi za pogodbe o garancijah, neporavnanim ali zapadlim,</w:t>
      </w:r>
    </w:p>
    <w:p w14:paraId="38A86E0F" w14:textId="77777777" w:rsidR="004912DC" w:rsidRPr="000F166D" w:rsidRDefault="004912DC" w:rsidP="004912DC">
      <w:pPr>
        <w:numPr>
          <w:ilvl w:val="0"/>
          <w:numId w:val="13"/>
        </w:numPr>
        <w:autoSpaceDE w:val="0"/>
        <w:autoSpaceDN w:val="0"/>
        <w:adjustRightInd w:val="0"/>
        <w:spacing w:line="240" w:lineRule="auto"/>
        <w:jc w:val="both"/>
        <w:rPr>
          <w:rFonts w:eastAsia="Calibri" w:cs="Arial"/>
          <w:color w:val="000000"/>
          <w:sz w:val="22"/>
          <w:szCs w:val="22"/>
        </w:rPr>
      </w:pPr>
      <w:r w:rsidRPr="000F166D">
        <w:rPr>
          <w:rFonts w:eastAsia="Calibri" w:cs="Arial"/>
          <w:color w:val="000000"/>
          <w:sz w:val="22"/>
          <w:szCs w:val="22"/>
        </w:rPr>
        <w:t>kapitaliziranim subvencioniranim obrestnim meram ali subvencioniranim provizijam za jamstvo,</w:t>
      </w:r>
    </w:p>
    <w:p w14:paraId="3092F7B0" w14:textId="77777777" w:rsidR="004912DC" w:rsidRPr="000F166D" w:rsidRDefault="004912DC" w:rsidP="004912DC">
      <w:pPr>
        <w:numPr>
          <w:ilvl w:val="0"/>
          <w:numId w:val="13"/>
        </w:numPr>
        <w:autoSpaceDE w:val="0"/>
        <w:autoSpaceDN w:val="0"/>
        <w:adjustRightInd w:val="0"/>
        <w:spacing w:line="240" w:lineRule="auto"/>
        <w:jc w:val="both"/>
        <w:rPr>
          <w:rFonts w:eastAsia="Calibri" w:cs="Arial"/>
          <w:color w:val="000000"/>
          <w:sz w:val="22"/>
          <w:szCs w:val="22"/>
        </w:rPr>
      </w:pPr>
      <w:r w:rsidRPr="000F166D">
        <w:rPr>
          <w:rFonts w:eastAsia="Calibri" w:cs="Arial"/>
          <w:color w:val="000000"/>
          <w:sz w:val="22"/>
          <w:szCs w:val="22"/>
        </w:rPr>
        <w:t xml:space="preserve">povračilu nastalih stroškov upravljanja ali plačilu provizij za upravljanje FI. </w:t>
      </w:r>
    </w:p>
    <w:p w14:paraId="1134E44C" w14:textId="77777777" w:rsidR="004912DC" w:rsidRPr="000F166D" w:rsidRDefault="004912DC" w:rsidP="004912DC">
      <w:pPr>
        <w:autoSpaceDE w:val="0"/>
        <w:autoSpaceDN w:val="0"/>
        <w:adjustRightInd w:val="0"/>
        <w:jc w:val="both"/>
        <w:rPr>
          <w:rFonts w:eastAsia="Calibri" w:cs="Arial"/>
          <w:color w:val="000000"/>
          <w:sz w:val="22"/>
          <w:szCs w:val="22"/>
        </w:rPr>
      </w:pPr>
    </w:p>
    <w:p w14:paraId="3526E46B" w14:textId="77777777" w:rsidR="004912DC" w:rsidRPr="000F166D" w:rsidRDefault="004912DC" w:rsidP="004912DC">
      <w:pPr>
        <w:autoSpaceDE w:val="0"/>
        <w:autoSpaceDN w:val="0"/>
        <w:adjustRightInd w:val="0"/>
        <w:jc w:val="both"/>
        <w:rPr>
          <w:rFonts w:eastAsia="Calibri" w:cs="Arial"/>
          <w:color w:val="000000"/>
          <w:sz w:val="22"/>
          <w:szCs w:val="22"/>
        </w:rPr>
      </w:pPr>
      <w:r w:rsidRPr="000F166D">
        <w:rPr>
          <w:rFonts w:eastAsia="Calibri" w:cs="Arial"/>
          <w:color w:val="000000"/>
          <w:sz w:val="22"/>
          <w:szCs w:val="22"/>
        </w:rPr>
        <w:t>Upravljavec sklada skladov bo moral upoštevati pogoje na ravni posameznega FI skladno z naložbeno strategijo: učinek finančnega vzvoda, obrestna mera, vodenje posebnih evidenc, hranjenje dokumentacije, spremljanje državnih pomoči, informiranje in obveščanje in druge pogoje. Pogoji se podrobneje določijo v finančnem sporazumu med PO in skladom skladov.</w:t>
      </w:r>
    </w:p>
    <w:p w14:paraId="3015A82D" w14:textId="77777777" w:rsidR="004912DC" w:rsidRPr="000F166D" w:rsidRDefault="004912DC" w:rsidP="004912DC">
      <w:pPr>
        <w:autoSpaceDE w:val="0"/>
        <w:autoSpaceDN w:val="0"/>
        <w:adjustRightInd w:val="0"/>
        <w:jc w:val="both"/>
        <w:rPr>
          <w:rFonts w:eastAsia="Calibri" w:cs="Arial"/>
          <w:color w:val="000000"/>
          <w:sz w:val="22"/>
        </w:rPr>
      </w:pPr>
    </w:p>
    <w:p w14:paraId="49E18EE1" w14:textId="77777777" w:rsidR="004912DC" w:rsidRPr="000F166D" w:rsidRDefault="004912DC" w:rsidP="004912DC">
      <w:pPr>
        <w:keepNext/>
        <w:keepLines/>
        <w:spacing w:before="40"/>
        <w:jc w:val="both"/>
        <w:outlineLvl w:val="2"/>
        <w:rPr>
          <w:rFonts w:eastAsia="Calibri" w:cs="Arial"/>
          <w:b/>
          <w:color w:val="1F4D78"/>
          <w:sz w:val="22"/>
        </w:rPr>
      </w:pPr>
      <w:bookmarkStart w:id="88" w:name="_Toc54857927"/>
      <w:r w:rsidRPr="000F166D">
        <w:rPr>
          <w:rFonts w:eastAsia="Calibri" w:cs="Arial"/>
          <w:b/>
          <w:color w:val="1F4D78"/>
          <w:sz w:val="22"/>
        </w:rPr>
        <w:t>9.1 Učinek finančnega vzvoda (»leverage effect«)</w:t>
      </w:r>
      <w:bookmarkEnd w:id="88"/>
    </w:p>
    <w:p w14:paraId="6D3320FB" w14:textId="77777777" w:rsidR="004912DC" w:rsidRPr="000F166D" w:rsidRDefault="004912DC" w:rsidP="004912DC">
      <w:pPr>
        <w:autoSpaceDE w:val="0"/>
        <w:autoSpaceDN w:val="0"/>
        <w:adjustRightInd w:val="0"/>
        <w:jc w:val="both"/>
        <w:rPr>
          <w:rFonts w:eastAsia="Calibri" w:cs="Arial"/>
          <w:color w:val="000000"/>
          <w:sz w:val="22"/>
          <w:szCs w:val="22"/>
        </w:rPr>
      </w:pPr>
      <w:r w:rsidRPr="000F166D">
        <w:rPr>
          <w:rFonts w:eastAsia="Calibri" w:cs="Arial"/>
          <w:color w:val="000000"/>
          <w:sz w:val="22"/>
          <w:szCs w:val="22"/>
        </w:rPr>
        <w:t xml:space="preserve">Učinek finančnega vzvoda pri FI pomeni multipliciranje sredstev vloženih v sklad skladov, finančnega posrednika in/ali neposredno v končnega prejemnika. Takšna sredstva lahko zagotavlja tudi upravljavec sklada skladov in/ali finančni posredniki. </w:t>
      </w:r>
    </w:p>
    <w:p w14:paraId="5D8535D1" w14:textId="77777777" w:rsidR="004912DC" w:rsidRPr="000F166D" w:rsidRDefault="004912DC" w:rsidP="004912DC">
      <w:pPr>
        <w:autoSpaceDE w:val="0"/>
        <w:autoSpaceDN w:val="0"/>
        <w:adjustRightInd w:val="0"/>
        <w:jc w:val="both"/>
        <w:rPr>
          <w:rFonts w:eastAsia="Calibri" w:cs="Arial"/>
          <w:color w:val="000000"/>
          <w:sz w:val="22"/>
          <w:szCs w:val="22"/>
        </w:rPr>
      </w:pPr>
    </w:p>
    <w:p w14:paraId="5A6E7DD9" w14:textId="77777777" w:rsidR="004912DC" w:rsidRPr="000F166D" w:rsidRDefault="004912DC" w:rsidP="004912DC">
      <w:pPr>
        <w:autoSpaceDE w:val="0"/>
        <w:autoSpaceDN w:val="0"/>
        <w:adjustRightInd w:val="0"/>
        <w:jc w:val="both"/>
        <w:rPr>
          <w:rFonts w:eastAsia="Calibri" w:cs="Arial"/>
          <w:color w:val="000000"/>
          <w:sz w:val="22"/>
          <w:szCs w:val="22"/>
        </w:rPr>
      </w:pPr>
      <w:r w:rsidRPr="000F166D">
        <w:rPr>
          <w:rFonts w:eastAsia="Calibri" w:cs="Arial"/>
          <w:color w:val="000000"/>
          <w:sz w:val="22"/>
          <w:szCs w:val="22"/>
        </w:rPr>
        <w:t xml:space="preserve">Minimalni finančni vzvod, ki ga je na posamezni prednostni osi potrebno zagotoviti, izhaja iz razmerja med EU in SLO (nacionalno udeležbo) in sicer znaša na 1,2 na 1. prednostni osi, 1,25 (vzhodna kohezijska regija) in 1,3 (zahodna kohezijska regija) na 3. prednostni osi, 1,15 na 4. prednostni osi in 1,2 na 6. prednostni osi. </w:t>
      </w:r>
    </w:p>
    <w:p w14:paraId="5BDECF63" w14:textId="77777777" w:rsidR="004912DC" w:rsidRPr="000F166D" w:rsidRDefault="004912DC" w:rsidP="004912DC">
      <w:pPr>
        <w:autoSpaceDE w:val="0"/>
        <w:autoSpaceDN w:val="0"/>
        <w:adjustRightInd w:val="0"/>
        <w:jc w:val="both"/>
        <w:rPr>
          <w:rFonts w:eastAsia="Calibri" w:cs="Arial"/>
          <w:color w:val="000000"/>
          <w:sz w:val="22"/>
          <w:szCs w:val="22"/>
        </w:rPr>
      </w:pPr>
    </w:p>
    <w:p w14:paraId="0DC6F5D7" w14:textId="77777777" w:rsidR="004912DC" w:rsidRPr="000F166D" w:rsidRDefault="004912DC" w:rsidP="004912DC">
      <w:pPr>
        <w:spacing w:after="49"/>
        <w:jc w:val="both"/>
        <w:rPr>
          <w:rFonts w:eastAsia="Calibri" w:cs="Arial"/>
          <w:color w:val="000000"/>
          <w:sz w:val="22"/>
          <w:szCs w:val="22"/>
        </w:rPr>
      </w:pPr>
      <w:r w:rsidRPr="000F166D">
        <w:rPr>
          <w:rFonts w:eastAsia="Calibri" w:cs="Arial"/>
          <w:color w:val="000000"/>
          <w:sz w:val="22"/>
          <w:szCs w:val="22"/>
        </w:rPr>
        <w:t>FI omogoča dodatno podporo, usmerjeno h končnim prejemnikom s potencialno večjim finančnim učinkom kot ga imajo nepovratna sredstva zaradi sposobnosti, da privlačijo dodatna sredstva iz javnega ali zasebnega sektorja in tako večkratno povečajo učinke ESIF ter nacionalnih/regionalnih prispevkov (npr. vsak investiran evro s strani OP 2014 - 2020 ustvarja večkratni učinek, ki povečuje sredstva, ki so na voljo končnim prejemnikom). Na podlagi objavljenih raziskav</w:t>
      </w:r>
      <w:r w:rsidRPr="000F166D">
        <w:rPr>
          <w:rFonts w:eastAsia="Calibri" w:cs="Arial"/>
          <w:color w:val="000000"/>
          <w:sz w:val="22"/>
          <w:szCs w:val="22"/>
          <w:vertAlign w:val="superscript"/>
        </w:rPr>
        <w:footnoteReference w:id="24"/>
      </w:r>
      <w:r w:rsidRPr="000F166D">
        <w:rPr>
          <w:rFonts w:eastAsia="Calibri" w:cs="Arial"/>
          <w:color w:val="000000"/>
          <w:sz w:val="22"/>
          <w:szCs w:val="22"/>
        </w:rPr>
        <w:t xml:space="preserve"> je takšen učinek vzvoda še bolj pomemben za majhne države, kot je Slovenija, torej tradicionalno manj privlačne za mednarodne naložbe. </w:t>
      </w:r>
    </w:p>
    <w:p w14:paraId="24D1E9A9" w14:textId="77777777" w:rsidR="004912DC" w:rsidRPr="000F166D" w:rsidRDefault="004912DC" w:rsidP="004912DC">
      <w:pPr>
        <w:autoSpaceDE w:val="0"/>
        <w:autoSpaceDN w:val="0"/>
        <w:adjustRightInd w:val="0"/>
        <w:jc w:val="both"/>
        <w:rPr>
          <w:rFonts w:eastAsia="Calibri" w:cs="Arial"/>
          <w:color w:val="000000"/>
          <w:sz w:val="22"/>
          <w:szCs w:val="22"/>
        </w:rPr>
      </w:pPr>
    </w:p>
    <w:p w14:paraId="23FDC6D9" w14:textId="77777777" w:rsidR="004912DC" w:rsidRPr="000F166D" w:rsidRDefault="004912DC" w:rsidP="004912DC">
      <w:pPr>
        <w:autoSpaceDE w:val="0"/>
        <w:autoSpaceDN w:val="0"/>
        <w:adjustRightInd w:val="0"/>
        <w:jc w:val="both"/>
        <w:rPr>
          <w:rFonts w:eastAsia="Calibri" w:cs="Arial"/>
          <w:color w:val="000000"/>
          <w:sz w:val="22"/>
          <w:szCs w:val="22"/>
        </w:rPr>
      </w:pPr>
      <w:r w:rsidRPr="000F166D">
        <w:rPr>
          <w:rFonts w:eastAsia="Calibri" w:cs="Arial"/>
          <w:color w:val="000000"/>
          <w:sz w:val="22"/>
          <w:szCs w:val="22"/>
        </w:rPr>
        <w:t xml:space="preserve">Učinek vzvoda vsakega posameznega FI je odvisen od vrste instrumenta, področja in tudi drugih pogojev. </w:t>
      </w:r>
    </w:p>
    <w:p w14:paraId="59C22D20" w14:textId="77777777" w:rsidR="004912DC" w:rsidRPr="000F166D" w:rsidRDefault="004912DC" w:rsidP="004912DC">
      <w:pPr>
        <w:autoSpaceDE w:val="0"/>
        <w:autoSpaceDN w:val="0"/>
        <w:adjustRightInd w:val="0"/>
        <w:jc w:val="both"/>
        <w:rPr>
          <w:rFonts w:eastAsia="Calibri" w:cs="Arial"/>
          <w:color w:val="000000"/>
          <w:sz w:val="22"/>
          <w:szCs w:val="22"/>
        </w:rPr>
      </w:pPr>
    </w:p>
    <w:p w14:paraId="094A0A9B" w14:textId="77777777" w:rsidR="004912DC" w:rsidRPr="000F166D" w:rsidRDefault="004912DC" w:rsidP="004912DC">
      <w:pPr>
        <w:autoSpaceDE w:val="0"/>
        <w:autoSpaceDN w:val="0"/>
        <w:adjustRightInd w:val="0"/>
        <w:jc w:val="both"/>
        <w:rPr>
          <w:rFonts w:eastAsia="Calibri" w:cs="Arial"/>
          <w:color w:val="000000"/>
          <w:sz w:val="22"/>
          <w:szCs w:val="22"/>
        </w:rPr>
      </w:pPr>
      <w:r w:rsidRPr="000F166D">
        <w:rPr>
          <w:rFonts w:eastAsia="Calibri" w:cs="Arial"/>
          <w:color w:val="000000"/>
          <w:sz w:val="22"/>
          <w:szCs w:val="22"/>
        </w:rPr>
        <w:t>Na podlagi Predhodne ocene FI so predvideni finančni vzvodi predstavljeni v spodnji tabeli.</w:t>
      </w:r>
    </w:p>
    <w:p w14:paraId="788597F3" w14:textId="77777777" w:rsidR="004912DC" w:rsidRPr="000F166D" w:rsidRDefault="004912DC" w:rsidP="004912DC">
      <w:pPr>
        <w:autoSpaceDE w:val="0"/>
        <w:autoSpaceDN w:val="0"/>
        <w:adjustRightInd w:val="0"/>
        <w:jc w:val="both"/>
        <w:rPr>
          <w:rFonts w:eastAsia="Calibri" w:cs="Arial"/>
          <w:color w:val="000000"/>
          <w:sz w:val="22"/>
          <w:szCs w:val="22"/>
        </w:rPr>
      </w:pPr>
    </w:p>
    <w:p w14:paraId="38233598" w14:textId="77777777" w:rsidR="004912DC" w:rsidRPr="000F166D" w:rsidRDefault="004912DC" w:rsidP="004912DC">
      <w:pPr>
        <w:autoSpaceDE w:val="0"/>
        <w:autoSpaceDN w:val="0"/>
        <w:adjustRightInd w:val="0"/>
        <w:jc w:val="both"/>
        <w:rPr>
          <w:rFonts w:eastAsia="Calibri" w:cs="Arial"/>
          <w:color w:val="000000"/>
          <w:sz w:val="22"/>
          <w:szCs w:val="22"/>
        </w:rPr>
      </w:pPr>
    </w:p>
    <w:p w14:paraId="39CBECD9" w14:textId="77777777" w:rsidR="004912DC" w:rsidRPr="000F166D" w:rsidRDefault="004912DC" w:rsidP="004912DC">
      <w:pPr>
        <w:keepNext/>
        <w:keepLines/>
        <w:widowControl w:val="0"/>
        <w:autoSpaceDE w:val="0"/>
        <w:autoSpaceDN w:val="0"/>
        <w:adjustRightInd w:val="0"/>
        <w:jc w:val="both"/>
        <w:rPr>
          <w:rFonts w:eastAsia="Calibri" w:cs="Arial"/>
          <w:color w:val="000000"/>
          <w:sz w:val="22"/>
          <w:szCs w:val="22"/>
        </w:rPr>
      </w:pPr>
      <w:bookmarkStart w:id="89" w:name="_Toc66786232"/>
      <w:r w:rsidRPr="00A75659">
        <w:rPr>
          <w:rFonts w:cs="Arial"/>
          <w:sz w:val="22"/>
          <w:szCs w:val="22"/>
        </w:rPr>
        <w:lastRenderedPageBreak/>
        <w:t xml:space="preserve">Tabela </w:t>
      </w:r>
      <w:r w:rsidRPr="00A75659">
        <w:rPr>
          <w:rFonts w:cs="Arial"/>
          <w:sz w:val="22"/>
          <w:szCs w:val="22"/>
        </w:rPr>
        <w:fldChar w:fldCharType="begin"/>
      </w:r>
      <w:r w:rsidRPr="00A75659">
        <w:rPr>
          <w:rFonts w:cs="Arial"/>
          <w:sz w:val="22"/>
          <w:szCs w:val="22"/>
        </w:rPr>
        <w:instrText xml:space="preserve"> SEQ Tabela \* ARABIC </w:instrText>
      </w:r>
      <w:r w:rsidRPr="00A75659">
        <w:rPr>
          <w:rFonts w:cs="Arial"/>
          <w:sz w:val="22"/>
          <w:szCs w:val="22"/>
        </w:rPr>
        <w:fldChar w:fldCharType="separate"/>
      </w:r>
      <w:r>
        <w:rPr>
          <w:rFonts w:cs="Arial"/>
          <w:noProof/>
          <w:sz w:val="22"/>
          <w:szCs w:val="22"/>
        </w:rPr>
        <w:t>13</w:t>
      </w:r>
      <w:r w:rsidRPr="00A75659">
        <w:rPr>
          <w:rFonts w:cs="Arial"/>
          <w:sz w:val="22"/>
          <w:szCs w:val="22"/>
        </w:rPr>
        <w:fldChar w:fldCharType="end"/>
      </w:r>
      <w:r w:rsidRPr="00A75659">
        <w:rPr>
          <w:rFonts w:cs="Arial"/>
          <w:sz w:val="22"/>
          <w:szCs w:val="22"/>
        </w:rPr>
        <w:t>:</w:t>
      </w:r>
      <w:r w:rsidRPr="000F166D">
        <w:rPr>
          <w:rFonts w:eastAsia="Calibri" w:cs="Arial"/>
          <w:color w:val="000000"/>
          <w:sz w:val="22"/>
          <w:szCs w:val="22"/>
        </w:rPr>
        <w:t xml:space="preserve"> </w:t>
      </w:r>
      <w:r>
        <w:rPr>
          <w:rFonts w:eastAsia="Calibri" w:cs="Arial"/>
          <w:color w:val="000000"/>
          <w:sz w:val="22"/>
          <w:szCs w:val="22"/>
        </w:rPr>
        <w:t>Pričakovani</w:t>
      </w:r>
      <w:r w:rsidRPr="000F166D">
        <w:rPr>
          <w:rFonts w:eastAsia="Calibri" w:cs="Arial"/>
          <w:color w:val="000000"/>
          <w:sz w:val="22"/>
          <w:szCs w:val="22"/>
        </w:rPr>
        <w:t xml:space="preserve"> </w:t>
      </w:r>
      <w:r w:rsidRPr="004E6000">
        <w:rPr>
          <w:rFonts w:eastAsia="Calibri" w:cs="Arial"/>
          <w:color w:val="000000"/>
          <w:sz w:val="22"/>
          <w:szCs w:val="22"/>
        </w:rPr>
        <w:t>finančni vzvod</w:t>
      </w:r>
      <w:bookmarkEnd w:id="89"/>
      <w:r w:rsidRPr="000F166D">
        <w:rPr>
          <w:rFonts w:eastAsia="Calibri" w:cs="Arial"/>
          <w:b/>
          <w:color w:val="000000"/>
          <w:sz w:val="22"/>
          <w:szCs w:val="22"/>
        </w:rPr>
        <w:t xml:space="preserve"> </w:t>
      </w:r>
    </w:p>
    <w:tbl>
      <w:tblPr>
        <w:tblStyle w:val="Tabelamrea"/>
        <w:tblW w:w="9634" w:type="dxa"/>
        <w:tblLook w:val="04A0" w:firstRow="1" w:lastRow="0" w:firstColumn="1" w:lastColumn="0" w:noHBand="0" w:noVBand="1"/>
      </w:tblPr>
      <w:tblGrid>
        <w:gridCol w:w="1667"/>
        <w:gridCol w:w="2949"/>
        <w:gridCol w:w="2750"/>
        <w:gridCol w:w="2268"/>
      </w:tblGrid>
      <w:tr w:rsidR="004912DC" w:rsidRPr="000F166D" w14:paraId="19DF61F4" w14:textId="77777777" w:rsidTr="00906890">
        <w:tc>
          <w:tcPr>
            <w:tcW w:w="1667" w:type="dxa"/>
            <w:shd w:val="clear" w:color="auto" w:fill="FFFFFF" w:themeFill="background1"/>
          </w:tcPr>
          <w:p w14:paraId="5F4A187F" w14:textId="77777777" w:rsidR="004912DC" w:rsidRPr="000F166D" w:rsidRDefault="004912DC" w:rsidP="00906890">
            <w:pPr>
              <w:keepNext/>
              <w:keepLines/>
              <w:widowControl w:val="0"/>
              <w:autoSpaceDE w:val="0"/>
              <w:autoSpaceDN w:val="0"/>
              <w:adjustRightInd w:val="0"/>
              <w:jc w:val="both"/>
              <w:rPr>
                <w:rFonts w:eastAsia="Calibri" w:cs="Arial"/>
                <w:color w:val="000000"/>
                <w:sz w:val="22"/>
                <w:szCs w:val="22"/>
              </w:rPr>
            </w:pPr>
            <w:r w:rsidRPr="000F166D">
              <w:rPr>
                <w:rFonts w:eastAsia="Calibri" w:cs="Arial"/>
                <w:color w:val="000000"/>
                <w:sz w:val="22"/>
                <w:szCs w:val="22"/>
              </w:rPr>
              <w:t>Področje</w:t>
            </w:r>
          </w:p>
        </w:tc>
        <w:tc>
          <w:tcPr>
            <w:tcW w:w="2949" w:type="dxa"/>
          </w:tcPr>
          <w:p w14:paraId="389AADE8" w14:textId="77777777" w:rsidR="004912DC" w:rsidRPr="000F166D" w:rsidRDefault="004912DC" w:rsidP="00906890">
            <w:pPr>
              <w:keepNext/>
              <w:keepLines/>
              <w:widowControl w:val="0"/>
              <w:autoSpaceDE w:val="0"/>
              <w:autoSpaceDN w:val="0"/>
              <w:adjustRightInd w:val="0"/>
              <w:jc w:val="both"/>
              <w:rPr>
                <w:rFonts w:eastAsia="Calibri" w:cs="Arial"/>
                <w:color w:val="000000"/>
                <w:sz w:val="22"/>
                <w:szCs w:val="22"/>
              </w:rPr>
            </w:pPr>
            <w:r w:rsidRPr="000F166D">
              <w:rPr>
                <w:rFonts w:eastAsia="Calibri" w:cs="Arial"/>
                <w:color w:val="000000"/>
                <w:sz w:val="22"/>
                <w:szCs w:val="22"/>
              </w:rPr>
              <w:t>Finančni instrument</w:t>
            </w:r>
          </w:p>
        </w:tc>
        <w:tc>
          <w:tcPr>
            <w:tcW w:w="2750" w:type="dxa"/>
          </w:tcPr>
          <w:p w14:paraId="210E7B18" w14:textId="77777777" w:rsidR="004912DC" w:rsidRPr="000F166D" w:rsidRDefault="004912DC" w:rsidP="00906890">
            <w:pPr>
              <w:keepNext/>
              <w:keepLines/>
              <w:widowControl w:val="0"/>
              <w:autoSpaceDE w:val="0"/>
              <w:autoSpaceDN w:val="0"/>
              <w:adjustRightInd w:val="0"/>
              <w:jc w:val="both"/>
              <w:rPr>
                <w:rFonts w:eastAsia="Calibri" w:cs="Arial"/>
                <w:color w:val="000000"/>
                <w:sz w:val="22"/>
                <w:szCs w:val="22"/>
              </w:rPr>
            </w:pPr>
            <w:r w:rsidRPr="000F166D">
              <w:rPr>
                <w:rFonts w:eastAsia="Calibri" w:cs="Arial"/>
                <w:color w:val="000000"/>
                <w:sz w:val="22"/>
                <w:szCs w:val="22"/>
              </w:rPr>
              <w:t>Finančni vzvod glede na Predhodno oceno FI</w:t>
            </w:r>
          </w:p>
          <w:p w14:paraId="43950B14" w14:textId="77777777" w:rsidR="004912DC" w:rsidRPr="000F166D" w:rsidRDefault="004912DC" w:rsidP="00906890">
            <w:pPr>
              <w:keepNext/>
              <w:keepLines/>
              <w:widowControl w:val="0"/>
              <w:autoSpaceDE w:val="0"/>
              <w:autoSpaceDN w:val="0"/>
              <w:adjustRightInd w:val="0"/>
              <w:jc w:val="both"/>
              <w:rPr>
                <w:rFonts w:eastAsia="Calibri" w:cs="Arial"/>
                <w:color w:val="000000"/>
                <w:sz w:val="22"/>
                <w:szCs w:val="22"/>
              </w:rPr>
            </w:pPr>
          </w:p>
        </w:tc>
        <w:tc>
          <w:tcPr>
            <w:tcW w:w="2268" w:type="dxa"/>
            <w:shd w:val="clear" w:color="auto" w:fill="BDD6EE" w:themeFill="accent1" w:themeFillTint="66"/>
          </w:tcPr>
          <w:p w14:paraId="47D6E36B" w14:textId="77777777" w:rsidR="004912DC" w:rsidRPr="000F166D" w:rsidRDefault="004912DC" w:rsidP="00906890">
            <w:pPr>
              <w:keepNext/>
              <w:keepLines/>
              <w:widowControl w:val="0"/>
              <w:autoSpaceDE w:val="0"/>
              <w:autoSpaceDN w:val="0"/>
              <w:adjustRightInd w:val="0"/>
              <w:jc w:val="both"/>
              <w:rPr>
                <w:rFonts w:eastAsia="Calibri" w:cs="Arial"/>
                <w:color w:val="000000"/>
                <w:sz w:val="22"/>
                <w:szCs w:val="22"/>
              </w:rPr>
            </w:pPr>
            <w:r w:rsidRPr="000F166D">
              <w:rPr>
                <w:rFonts w:eastAsia="Calibri" w:cs="Arial"/>
                <w:color w:val="000000"/>
                <w:sz w:val="22"/>
                <w:szCs w:val="22"/>
              </w:rPr>
              <w:t>Pričakovani finančni vzvod</w:t>
            </w:r>
          </w:p>
        </w:tc>
      </w:tr>
      <w:tr w:rsidR="004912DC" w:rsidRPr="000F166D" w14:paraId="22A86A35" w14:textId="77777777" w:rsidTr="00906890">
        <w:tc>
          <w:tcPr>
            <w:tcW w:w="1667" w:type="dxa"/>
          </w:tcPr>
          <w:p w14:paraId="29BD9E91" w14:textId="77777777" w:rsidR="004912DC" w:rsidRPr="000F166D" w:rsidRDefault="004912DC" w:rsidP="00906890">
            <w:pPr>
              <w:autoSpaceDE w:val="0"/>
              <w:autoSpaceDN w:val="0"/>
              <w:adjustRightInd w:val="0"/>
              <w:jc w:val="both"/>
              <w:rPr>
                <w:rFonts w:eastAsia="Calibri" w:cs="Arial"/>
                <w:color w:val="000000"/>
                <w:sz w:val="22"/>
                <w:szCs w:val="22"/>
              </w:rPr>
            </w:pPr>
            <w:r w:rsidRPr="000F166D">
              <w:rPr>
                <w:rFonts w:eastAsia="Calibri" w:cs="Arial"/>
                <w:color w:val="000000"/>
                <w:sz w:val="22"/>
                <w:szCs w:val="22"/>
              </w:rPr>
              <w:t>MSP</w:t>
            </w:r>
          </w:p>
        </w:tc>
        <w:tc>
          <w:tcPr>
            <w:tcW w:w="2949" w:type="dxa"/>
          </w:tcPr>
          <w:p w14:paraId="6A78DABE" w14:textId="77777777" w:rsidR="004912DC" w:rsidRPr="000F166D" w:rsidRDefault="004912DC" w:rsidP="00906890">
            <w:pPr>
              <w:autoSpaceDE w:val="0"/>
              <w:autoSpaceDN w:val="0"/>
              <w:adjustRightInd w:val="0"/>
              <w:jc w:val="both"/>
              <w:rPr>
                <w:rFonts w:eastAsia="Calibri" w:cs="Arial"/>
                <w:color w:val="000000"/>
                <w:sz w:val="22"/>
                <w:szCs w:val="22"/>
              </w:rPr>
            </w:pPr>
            <w:r w:rsidRPr="000F166D">
              <w:rPr>
                <w:rFonts w:eastAsia="Calibri" w:cs="Arial"/>
                <w:color w:val="000000"/>
                <w:sz w:val="22"/>
                <w:szCs w:val="22"/>
              </w:rPr>
              <w:t>Mikrokrediti</w:t>
            </w:r>
          </w:p>
        </w:tc>
        <w:tc>
          <w:tcPr>
            <w:tcW w:w="2750" w:type="dxa"/>
          </w:tcPr>
          <w:p w14:paraId="396CA276" w14:textId="77777777" w:rsidR="004912DC" w:rsidRPr="000F166D" w:rsidRDefault="004912DC" w:rsidP="00906890">
            <w:pPr>
              <w:autoSpaceDE w:val="0"/>
              <w:autoSpaceDN w:val="0"/>
              <w:adjustRightInd w:val="0"/>
              <w:jc w:val="both"/>
              <w:rPr>
                <w:rFonts w:eastAsia="Calibri" w:cs="Arial"/>
                <w:color w:val="000000"/>
                <w:sz w:val="22"/>
                <w:szCs w:val="22"/>
              </w:rPr>
            </w:pPr>
            <w:r w:rsidRPr="000F166D">
              <w:rPr>
                <w:rFonts w:eastAsia="Calibri" w:cs="Arial"/>
                <w:color w:val="000000"/>
                <w:sz w:val="22"/>
                <w:szCs w:val="22"/>
              </w:rPr>
              <w:t>1,5 – 2,5</w:t>
            </w:r>
          </w:p>
        </w:tc>
        <w:tc>
          <w:tcPr>
            <w:tcW w:w="2268" w:type="dxa"/>
            <w:shd w:val="clear" w:color="auto" w:fill="BDD6EE" w:themeFill="accent1" w:themeFillTint="66"/>
          </w:tcPr>
          <w:p w14:paraId="17A150E0" w14:textId="77777777" w:rsidR="004912DC" w:rsidRPr="000F166D" w:rsidRDefault="004912DC" w:rsidP="00906890">
            <w:pPr>
              <w:autoSpaceDE w:val="0"/>
              <w:autoSpaceDN w:val="0"/>
              <w:adjustRightInd w:val="0"/>
              <w:jc w:val="both"/>
              <w:rPr>
                <w:rFonts w:eastAsia="Calibri" w:cs="Arial"/>
                <w:color w:val="000000"/>
                <w:sz w:val="22"/>
                <w:szCs w:val="22"/>
              </w:rPr>
            </w:pPr>
            <w:r w:rsidRPr="000F166D">
              <w:rPr>
                <w:rFonts w:eastAsia="Calibri" w:cs="Arial"/>
                <w:color w:val="000000"/>
                <w:sz w:val="22"/>
                <w:szCs w:val="22"/>
              </w:rPr>
              <w:t>1,5</w:t>
            </w:r>
          </w:p>
        </w:tc>
      </w:tr>
      <w:tr w:rsidR="004912DC" w:rsidRPr="000F166D" w14:paraId="31871729" w14:textId="77777777" w:rsidTr="00906890">
        <w:tc>
          <w:tcPr>
            <w:tcW w:w="1667" w:type="dxa"/>
          </w:tcPr>
          <w:p w14:paraId="31FF3C03" w14:textId="77777777" w:rsidR="004912DC" w:rsidRPr="000F166D" w:rsidRDefault="004912DC" w:rsidP="00906890">
            <w:pPr>
              <w:autoSpaceDE w:val="0"/>
              <w:autoSpaceDN w:val="0"/>
              <w:adjustRightInd w:val="0"/>
              <w:jc w:val="both"/>
              <w:rPr>
                <w:rFonts w:eastAsia="Calibri" w:cs="Arial"/>
                <w:color w:val="000000"/>
                <w:sz w:val="22"/>
                <w:szCs w:val="22"/>
              </w:rPr>
            </w:pPr>
          </w:p>
        </w:tc>
        <w:tc>
          <w:tcPr>
            <w:tcW w:w="2949" w:type="dxa"/>
          </w:tcPr>
          <w:p w14:paraId="27AE00E1" w14:textId="77777777" w:rsidR="004912DC" w:rsidRPr="000F166D" w:rsidRDefault="004912DC" w:rsidP="00906890">
            <w:pPr>
              <w:autoSpaceDE w:val="0"/>
              <w:autoSpaceDN w:val="0"/>
              <w:adjustRightInd w:val="0"/>
              <w:jc w:val="both"/>
              <w:rPr>
                <w:rFonts w:eastAsia="Calibri" w:cs="Arial"/>
                <w:color w:val="000000"/>
                <w:sz w:val="22"/>
                <w:szCs w:val="22"/>
              </w:rPr>
            </w:pPr>
            <w:r w:rsidRPr="000F166D">
              <w:rPr>
                <w:rFonts w:eastAsia="Calibri" w:cs="Arial"/>
                <w:color w:val="000000"/>
                <w:sz w:val="22"/>
                <w:szCs w:val="22"/>
              </w:rPr>
              <w:t>Portfeljske garancije</w:t>
            </w:r>
          </w:p>
        </w:tc>
        <w:tc>
          <w:tcPr>
            <w:tcW w:w="2750" w:type="dxa"/>
          </w:tcPr>
          <w:p w14:paraId="59647DA5" w14:textId="77777777" w:rsidR="004912DC" w:rsidRPr="000F166D" w:rsidRDefault="004912DC" w:rsidP="00906890">
            <w:pPr>
              <w:autoSpaceDE w:val="0"/>
              <w:autoSpaceDN w:val="0"/>
              <w:adjustRightInd w:val="0"/>
              <w:jc w:val="both"/>
              <w:rPr>
                <w:rFonts w:eastAsia="Calibri" w:cs="Arial"/>
                <w:color w:val="000000"/>
                <w:sz w:val="22"/>
                <w:szCs w:val="22"/>
              </w:rPr>
            </w:pPr>
            <w:r w:rsidRPr="000F166D">
              <w:rPr>
                <w:rFonts w:eastAsia="Calibri" w:cs="Arial"/>
                <w:color w:val="000000"/>
                <w:sz w:val="22"/>
                <w:szCs w:val="22"/>
              </w:rPr>
              <w:t>1,5 - 5</w:t>
            </w:r>
          </w:p>
        </w:tc>
        <w:tc>
          <w:tcPr>
            <w:tcW w:w="2268" w:type="dxa"/>
            <w:shd w:val="clear" w:color="auto" w:fill="BDD6EE" w:themeFill="accent1" w:themeFillTint="66"/>
          </w:tcPr>
          <w:p w14:paraId="7F350ED6" w14:textId="77777777" w:rsidR="004912DC" w:rsidRPr="000F166D" w:rsidRDefault="004912DC" w:rsidP="00906890">
            <w:pPr>
              <w:autoSpaceDE w:val="0"/>
              <w:autoSpaceDN w:val="0"/>
              <w:adjustRightInd w:val="0"/>
              <w:jc w:val="both"/>
              <w:rPr>
                <w:rFonts w:eastAsia="Calibri" w:cs="Arial"/>
                <w:color w:val="000000"/>
                <w:sz w:val="22"/>
                <w:szCs w:val="22"/>
              </w:rPr>
            </w:pPr>
            <w:r w:rsidRPr="000F166D">
              <w:rPr>
                <w:rFonts w:eastAsia="Calibri" w:cs="Arial"/>
                <w:color w:val="000000"/>
                <w:sz w:val="22"/>
                <w:szCs w:val="22"/>
              </w:rPr>
              <w:t>1,5</w:t>
            </w:r>
          </w:p>
        </w:tc>
      </w:tr>
      <w:tr w:rsidR="004912DC" w:rsidRPr="000F166D" w14:paraId="3E73F45F" w14:textId="77777777" w:rsidTr="00906890">
        <w:tc>
          <w:tcPr>
            <w:tcW w:w="1667" w:type="dxa"/>
          </w:tcPr>
          <w:p w14:paraId="26905DA2" w14:textId="77777777" w:rsidR="004912DC" w:rsidRPr="000F166D" w:rsidRDefault="004912DC" w:rsidP="00906890">
            <w:pPr>
              <w:autoSpaceDE w:val="0"/>
              <w:autoSpaceDN w:val="0"/>
              <w:adjustRightInd w:val="0"/>
              <w:jc w:val="both"/>
              <w:rPr>
                <w:rFonts w:eastAsia="Calibri" w:cs="Arial"/>
                <w:color w:val="000000"/>
                <w:sz w:val="22"/>
                <w:szCs w:val="22"/>
              </w:rPr>
            </w:pPr>
          </w:p>
        </w:tc>
        <w:tc>
          <w:tcPr>
            <w:tcW w:w="2949" w:type="dxa"/>
          </w:tcPr>
          <w:p w14:paraId="0B64CC3F" w14:textId="77777777" w:rsidR="004912DC" w:rsidRPr="000F166D" w:rsidRDefault="004912DC" w:rsidP="00906890">
            <w:pPr>
              <w:autoSpaceDE w:val="0"/>
              <w:autoSpaceDN w:val="0"/>
              <w:adjustRightInd w:val="0"/>
              <w:jc w:val="both"/>
              <w:rPr>
                <w:rFonts w:eastAsia="Calibri" w:cs="Arial"/>
                <w:color w:val="000000"/>
                <w:sz w:val="22"/>
                <w:szCs w:val="22"/>
              </w:rPr>
            </w:pPr>
            <w:r w:rsidRPr="000F166D">
              <w:rPr>
                <w:rFonts w:eastAsia="Calibri" w:cs="Arial"/>
                <w:color w:val="000000"/>
                <w:sz w:val="22"/>
                <w:szCs w:val="22"/>
              </w:rPr>
              <w:t>Lastniško financiranje</w:t>
            </w:r>
          </w:p>
        </w:tc>
        <w:tc>
          <w:tcPr>
            <w:tcW w:w="2750" w:type="dxa"/>
          </w:tcPr>
          <w:p w14:paraId="34FC4FCC" w14:textId="77777777" w:rsidR="004912DC" w:rsidRPr="000F166D" w:rsidRDefault="004912DC" w:rsidP="00906890">
            <w:pPr>
              <w:autoSpaceDE w:val="0"/>
              <w:autoSpaceDN w:val="0"/>
              <w:adjustRightInd w:val="0"/>
              <w:rPr>
                <w:rFonts w:eastAsia="Calibri" w:cs="Arial"/>
                <w:color w:val="000000"/>
                <w:sz w:val="22"/>
                <w:szCs w:val="22"/>
              </w:rPr>
            </w:pPr>
            <w:r w:rsidRPr="000F166D">
              <w:rPr>
                <w:rFonts w:eastAsia="Calibri" w:cs="Arial"/>
                <w:color w:val="000000"/>
                <w:sz w:val="22"/>
                <w:szCs w:val="22"/>
              </w:rPr>
              <w:t>Odvisno od stopnje razvitosti podjetja</w:t>
            </w:r>
          </w:p>
        </w:tc>
        <w:tc>
          <w:tcPr>
            <w:tcW w:w="2268" w:type="dxa"/>
            <w:shd w:val="clear" w:color="auto" w:fill="BDD6EE" w:themeFill="accent1" w:themeFillTint="66"/>
          </w:tcPr>
          <w:p w14:paraId="4E8E26D1" w14:textId="77777777" w:rsidR="004912DC" w:rsidRPr="000F166D" w:rsidRDefault="004912DC" w:rsidP="00906890">
            <w:pPr>
              <w:autoSpaceDE w:val="0"/>
              <w:autoSpaceDN w:val="0"/>
              <w:adjustRightInd w:val="0"/>
              <w:rPr>
                <w:rFonts w:eastAsia="Calibri" w:cs="Arial"/>
                <w:color w:val="000000"/>
                <w:sz w:val="22"/>
                <w:szCs w:val="22"/>
              </w:rPr>
            </w:pPr>
            <w:r w:rsidRPr="000F166D">
              <w:rPr>
                <w:rFonts w:eastAsia="Calibri" w:cs="Arial"/>
                <w:color w:val="000000"/>
                <w:sz w:val="22"/>
                <w:szCs w:val="22"/>
              </w:rPr>
              <w:t>Odvisno od stopnje razvitosti podjetja</w:t>
            </w:r>
          </w:p>
        </w:tc>
      </w:tr>
      <w:tr w:rsidR="004912DC" w:rsidRPr="000F166D" w14:paraId="06548A62" w14:textId="77777777" w:rsidTr="00906890">
        <w:tc>
          <w:tcPr>
            <w:tcW w:w="1667" w:type="dxa"/>
          </w:tcPr>
          <w:p w14:paraId="0172AF31" w14:textId="77777777" w:rsidR="004912DC" w:rsidRPr="000F166D" w:rsidRDefault="004912DC" w:rsidP="00906890">
            <w:pPr>
              <w:autoSpaceDE w:val="0"/>
              <w:autoSpaceDN w:val="0"/>
              <w:adjustRightInd w:val="0"/>
              <w:jc w:val="both"/>
              <w:rPr>
                <w:rFonts w:eastAsia="Calibri" w:cs="Arial"/>
                <w:color w:val="000000"/>
                <w:sz w:val="22"/>
                <w:szCs w:val="22"/>
              </w:rPr>
            </w:pPr>
            <w:r w:rsidRPr="000F166D">
              <w:rPr>
                <w:rFonts w:eastAsia="Calibri" w:cs="Arial"/>
                <w:color w:val="000000"/>
                <w:sz w:val="22"/>
                <w:szCs w:val="22"/>
              </w:rPr>
              <w:t>RRI</w:t>
            </w:r>
          </w:p>
        </w:tc>
        <w:tc>
          <w:tcPr>
            <w:tcW w:w="2949" w:type="dxa"/>
          </w:tcPr>
          <w:p w14:paraId="27B793A3" w14:textId="77777777" w:rsidR="004912DC" w:rsidRPr="000F166D" w:rsidRDefault="004912DC" w:rsidP="00906890">
            <w:pPr>
              <w:autoSpaceDE w:val="0"/>
              <w:autoSpaceDN w:val="0"/>
              <w:adjustRightInd w:val="0"/>
              <w:jc w:val="both"/>
              <w:rPr>
                <w:rFonts w:eastAsia="Calibri" w:cs="Arial"/>
                <w:color w:val="000000"/>
                <w:sz w:val="22"/>
                <w:szCs w:val="22"/>
              </w:rPr>
            </w:pPr>
            <w:r w:rsidRPr="000F166D">
              <w:rPr>
                <w:rFonts w:eastAsia="Calibri" w:cs="Arial"/>
                <w:color w:val="000000"/>
                <w:sz w:val="22"/>
                <w:szCs w:val="22"/>
              </w:rPr>
              <w:t>Posojila</w:t>
            </w:r>
          </w:p>
        </w:tc>
        <w:tc>
          <w:tcPr>
            <w:tcW w:w="2750" w:type="dxa"/>
          </w:tcPr>
          <w:p w14:paraId="48A7ADD4" w14:textId="77777777" w:rsidR="004912DC" w:rsidRPr="000F166D" w:rsidRDefault="004912DC" w:rsidP="00906890">
            <w:pPr>
              <w:autoSpaceDE w:val="0"/>
              <w:autoSpaceDN w:val="0"/>
              <w:adjustRightInd w:val="0"/>
              <w:jc w:val="both"/>
              <w:rPr>
                <w:rFonts w:eastAsia="Calibri" w:cs="Arial"/>
                <w:color w:val="000000"/>
                <w:sz w:val="22"/>
                <w:szCs w:val="22"/>
              </w:rPr>
            </w:pPr>
            <w:r w:rsidRPr="000F166D">
              <w:rPr>
                <w:rFonts w:eastAsia="Calibri" w:cs="Arial"/>
                <w:color w:val="000000"/>
                <w:sz w:val="22"/>
                <w:szCs w:val="22"/>
              </w:rPr>
              <w:t>1,5 – 2,5</w:t>
            </w:r>
          </w:p>
        </w:tc>
        <w:tc>
          <w:tcPr>
            <w:tcW w:w="2268" w:type="dxa"/>
            <w:shd w:val="clear" w:color="auto" w:fill="BDD6EE" w:themeFill="accent1" w:themeFillTint="66"/>
          </w:tcPr>
          <w:p w14:paraId="63C48CA5" w14:textId="77777777" w:rsidR="004912DC" w:rsidRPr="000F166D" w:rsidRDefault="004912DC" w:rsidP="00906890">
            <w:pPr>
              <w:autoSpaceDE w:val="0"/>
              <w:autoSpaceDN w:val="0"/>
              <w:adjustRightInd w:val="0"/>
              <w:jc w:val="both"/>
              <w:rPr>
                <w:rFonts w:eastAsia="Calibri" w:cs="Arial"/>
                <w:color w:val="000000"/>
                <w:sz w:val="22"/>
                <w:szCs w:val="22"/>
              </w:rPr>
            </w:pPr>
            <w:r w:rsidRPr="000F166D">
              <w:rPr>
                <w:rFonts w:eastAsia="Calibri" w:cs="Arial"/>
                <w:color w:val="000000"/>
                <w:sz w:val="22"/>
                <w:szCs w:val="22"/>
              </w:rPr>
              <w:t>1,5</w:t>
            </w:r>
          </w:p>
        </w:tc>
      </w:tr>
      <w:tr w:rsidR="004912DC" w:rsidRPr="000F166D" w14:paraId="635D18F3" w14:textId="77777777" w:rsidTr="00906890">
        <w:tc>
          <w:tcPr>
            <w:tcW w:w="1667" w:type="dxa"/>
          </w:tcPr>
          <w:p w14:paraId="744D8F6A" w14:textId="77777777" w:rsidR="004912DC" w:rsidRPr="000F166D" w:rsidRDefault="004912DC" w:rsidP="00906890">
            <w:pPr>
              <w:autoSpaceDE w:val="0"/>
              <w:autoSpaceDN w:val="0"/>
              <w:adjustRightInd w:val="0"/>
              <w:jc w:val="both"/>
              <w:rPr>
                <w:rFonts w:eastAsia="Calibri" w:cs="Arial"/>
                <w:color w:val="000000"/>
                <w:sz w:val="22"/>
                <w:szCs w:val="22"/>
              </w:rPr>
            </w:pPr>
          </w:p>
        </w:tc>
        <w:tc>
          <w:tcPr>
            <w:tcW w:w="2949" w:type="dxa"/>
          </w:tcPr>
          <w:p w14:paraId="5E83D017" w14:textId="77777777" w:rsidR="004912DC" w:rsidRPr="000F166D" w:rsidRDefault="004912DC" w:rsidP="00906890">
            <w:pPr>
              <w:autoSpaceDE w:val="0"/>
              <w:autoSpaceDN w:val="0"/>
              <w:adjustRightInd w:val="0"/>
              <w:jc w:val="both"/>
              <w:rPr>
                <w:rFonts w:eastAsia="Calibri" w:cs="Arial"/>
                <w:color w:val="000000"/>
                <w:sz w:val="22"/>
                <w:szCs w:val="22"/>
              </w:rPr>
            </w:pPr>
            <w:r w:rsidRPr="000F166D">
              <w:rPr>
                <w:rFonts w:eastAsia="Calibri" w:cs="Arial"/>
                <w:color w:val="000000"/>
                <w:sz w:val="22"/>
                <w:szCs w:val="22"/>
              </w:rPr>
              <w:t>Portfeljske garancije</w:t>
            </w:r>
          </w:p>
        </w:tc>
        <w:tc>
          <w:tcPr>
            <w:tcW w:w="2750" w:type="dxa"/>
          </w:tcPr>
          <w:p w14:paraId="01D2E27E" w14:textId="77777777" w:rsidR="004912DC" w:rsidRPr="000F166D" w:rsidRDefault="004912DC" w:rsidP="00906890">
            <w:pPr>
              <w:autoSpaceDE w:val="0"/>
              <w:autoSpaceDN w:val="0"/>
              <w:adjustRightInd w:val="0"/>
              <w:jc w:val="both"/>
              <w:rPr>
                <w:rFonts w:eastAsia="Calibri" w:cs="Arial"/>
                <w:color w:val="000000"/>
                <w:sz w:val="22"/>
                <w:szCs w:val="22"/>
              </w:rPr>
            </w:pPr>
            <w:r w:rsidRPr="000F166D">
              <w:rPr>
                <w:rFonts w:eastAsia="Calibri" w:cs="Arial"/>
                <w:color w:val="000000"/>
                <w:sz w:val="22"/>
                <w:szCs w:val="22"/>
              </w:rPr>
              <w:t>/</w:t>
            </w:r>
          </w:p>
        </w:tc>
        <w:tc>
          <w:tcPr>
            <w:tcW w:w="2268" w:type="dxa"/>
            <w:shd w:val="clear" w:color="auto" w:fill="BDD6EE" w:themeFill="accent1" w:themeFillTint="66"/>
          </w:tcPr>
          <w:p w14:paraId="1247B0FA" w14:textId="77777777" w:rsidR="004912DC" w:rsidRPr="000F166D" w:rsidRDefault="004912DC" w:rsidP="00906890">
            <w:pPr>
              <w:autoSpaceDE w:val="0"/>
              <w:autoSpaceDN w:val="0"/>
              <w:adjustRightInd w:val="0"/>
              <w:jc w:val="both"/>
              <w:rPr>
                <w:rFonts w:eastAsia="Calibri" w:cs="Arial"/>
                <w:color w:val="000000"/>
                <w:sz w:val="22"/>
                <w:szCs w:val="22"/>
              </w:rPr>
            </w:pPr>
            <w:r w:rsidRPr="000F166D">
              <w:rPr>
                <w:rFonts w:eastAsia="Calibri" w:cs="Arial"/>
                <w:color w:val="000000"/>
                <w:sz w:val="22"/>
                <w:szCs w:val="22"/>
              </w:rPr>
              <w:t>1,5</w:t>
            </w:r>
          </w:p>
        </w:tc>
      </w:tr>
      <w:tr w:rsidR="004912DC" w:rsidRPr="000F166D" w14:paraId="41398F33" w14:textId="77777777" w:rsidTr="00906890">
        <w:tc>
          <w:tcPr>
            <w:tcW w:w="1667" w:type="dxa"/>
          </w:tcPr>
          <w:p w14:paraId="0593009E" w14:textId="77777777" w:rsidR="004912DC" w:rsidRPr="000F166D" w:rsidRDefault="004912DC" w:rsidP="00906890">
            <w:pPr>
              <w:autoSpaceDE w:val="0"/>
              <w:autoSpaceDN w:val="0"/>
              <w:adjustRightInd w:val="0"/>
              <w:jc w:val="both"/>
              <w:rPr>
                <w:rFonts w:eastAsia="Calibri" w:cs="Arial"/>
                <w:color w:val="000000"/>
                <w:sz w:val="22"/>
                <w:szCs w:val="22"/>
              </w:rPr>
            </w:pPr>
            <w:r w:rsidRPr="000F166D">
              <w:rPr>
                <w:rFonts w:eastAsia="Calibri" w:cs="Arial"/>
                <w:color w:val="000000"/>
                <w:sz w:val="22"/>
                <w:szCs w:val="22"/>
              </w:rPr>
              <w:t>Energetska učinkovitost</w:t>
            </w:r>
          </w:p>
        </w:tc>
        <w:tc>
          <w:tcPr>
            <w:tcW w:w="2949" w:type="dxa"/>
          </w:tcPr>
          <w:p w14:paraId="738B54CF" w14:textId="77777777" w:rsidR="004912DC" w:rsidRPr="000F166D" w:rsidRDefault="004912DC" w:rsidP="00906890">
            <w:pPr>
              <w:autoSpaceDE w:val="0"/>
              <w:autoSpaceDN w:val="0"/>
              <w:adjustRightInd w:val="0"/>
              <w:rPr>
                <w:rFonts w:eastAsia="Calibri" w:cs="Arial"/>
                <w:color w:val="000000"/>
                <w:sz w:val="22"/>
                <w:szCs w:val="22"/>
              </w:rPr>
            </w:pPr>
            <w:r w:rsidRPr="000F166D">
              <w:rPr>
                <w:rFonts w:eastAsia="Calibri" w:cs="Arial"/>
                <w:color w:val="000000"/>
                <w:sz w:val="22"/>
                <w:szCs w:val="22"/>
              </w:rPr>
              <w:t>Posojila, garancijske sheme, lastniško financiranje</w:t>
            </w:r>
            <w:r w:rsidRPr="000F166D">
              <w:rPr>
                <w:rFonts w:eastAsia="Calibri" w:cs="Arial"/>
                <w:color w:val="000000"/>
                <w:sz w:val="22"/>
                <w:szCs w:val="22"/>
                <w:vertAlign w:val="superscript"/>
              </w:rPr>
              <w:footnoteReference w:id="25"/>
            </w:r>
          </w:p>
        </w:tc>
        <w:tc>
          <w:tcPr>
            <w:tcW w:w="2750" w:type="dxa"/>
          </w:tcPr>
          <w:p w14:paraId="434177DE" w14:textId="77777777" w:rsidR="004912DC" w:rsidRPr="000F166D" w:rsidRDefault="004912DC" w:rsidP="00906890">
            <w:pPr>
              <w:autoSpaceDE w:val="0"/>
              <w:autoSpaceDN w:val="0"/>
              <w:adjustRightInd w:val="0"/>
              <w:jc w:val="both"/>
              <w:rPr>
                <w:rFonts w:eastAsia="Calibri" w:cs="Arial"/>
                <w:color w:val="000000"/>
                <w:sz w:val="22"/>
                <w:szCs w:val="22"/>
              </w:rPr>
            </w:pPr>
            <w:r w:rsidRPr="000F166D">
              <w:rPr>
                <w:rFonts w:eastAsia="Calibri" w:cs="Arial"/>
                <w:color w:val="000000"/>
                <w:sz w:val="22"/>
                <w:szCs w:val="22"/>
              </w:rPr>
              <w:t>1,5</w:t>
            </w:r>
          </w:p>
        </w:tc>
        <w:tc>
          <w:tcPr>
            <w:tcW w:w="2268" w:type="dxa"/>
            <w:shd w:val="clear" w:color="auto" w:fill="BDD6EE" w:themeFill="accent1" w:themeFillTint="66"/>
          </w:tcPr>
          <w:p w14:paraId="41A0646D" w14:textId="77777777" w:rsidR="004912DC" w:rsidRPr="000F166D" w:rsidRDefault="004912DC" w:rsidP="00906890">
            <w:pPr>
              <w:autoSpaceDE w:val="0"/>
              <w:autoSpaceDN w:val="0"/>
              <w:adjustRightInd w:val="0"/>
              <w:jc w:val="both"/>
              <w:rPr>
                <w:rFonts w:eastAsia="Calibri" w:cs="Arial"/>
                <w:color w:val="000000"/>
                <w:sz w:val="22"/>
                <w:szCs w:val="22"/>
              </w:rPr>
            </w:pPr>
            <w:r w:rsidRPr="000F166D">
              <w:rPr>
                <w:rFonts w:eastAsia="Calibri" w:cs="Arial"/>
                <w:color w:val="000000"/>
                <w:sz w:val="22"/>
                <w:szCs w:val="22"/>
              </w:rPr>
              <w:t>2,27</w:t>
            </w:r>
          </w:p>
        </w:tc>
      </w:tr>
      <w:tr w:rsidR="004912DC" w:rsidRPr="000F166D" w14:paraId="28F7EC01" w14:textId="77777777" w:rsidTr="00906890">
        <w:tc>
          <w:tcPr>
            <w:tcW w:w="1667" w:type="dxa"/>
          </w:tcPr>
          <w:p w14:paraId="58377D0E" w14:textId="77777777" w:rsidR="004912DC" w:rsidRPr="000F166D" w:rsidRDefault="004912DC" w:rsidP="00906890">
            <w:pPr>
              <w:autoSpaceDE w:val="0"/>
              <w:autoSpaceDN w:val="0"/>
              <w:adjustRightInd w:val="0"/>
              <w:jc w:val="both"/>
              <w:rPr>
                <w:rFonts w:eastAsia="Calibri" w:cs="Arial"/>
                <w:color w:val="000000"/>
                <w:sz w:val="22"/>
                <w:szCs w:val="22"/>
              </w:rPr>
            </w:pPr>
            <w:r w:rsidRPr="000F166D">
              <w:rPr>
                <w:rFonts w:eastAsia="Calibri" w:cs="Arial"/>
                <w:color w:val="000000"/>
                <w:sz w:val="22"/>
                <w:szCs w:val="22"/>
              </w:rPr>
              <w:t>Urbani razvoj</w:t>
            </w:r>
          </w:p>
        </w:tc>
        <w:tc>
          <w:tcPr>
            <w:tcW w:w="2949" w:type="dxa"/>
          </w:tcPr>
          <w:p w14:paraId="63C560A5" w14:textId="77777777" w:rsidR="004912DC" w:rsidRPr="000F166D" w:rsidRDefault="004912DC" w:rsidP="00906890">
            <w:pPr>
              <w:autoSpaceDE w:val="0"/>
              <w:autoSpaceDN w:val="0"/>
              <w:adjustRightInd w:val="0"/>
              <w:jc w:val="both"/>
              <w:rPr>
                <w:rFonts w:eastAsia="Calibri" w:cs="Arial"/>
                <w:color w:val="000000"/>
                <w:sz w:val="22"/>
                <w:szCs w:val="22"/>
              </w:rPr>
            </w:pPr>
            <w:r w:rsidRPr="000F166D">
              <w:rPr>
                <w:rFonts w:eastAsia="Calibri" w:cs="Arial"/>
                <w:color w:val="000000"/>
                <w:sz w:val="22"/>
                <w:szCs w:val="22"/>
              </w:rPr>
              <w:t>Posojila</w:t>
            </w:r>
          </w:p>
        </w:tc>
        <w:tc>
          <w:tcPr>
            <w:tcW w:w="2750" w:type="dxa"/>
          </w:tcPr>
          <w:p w14:paraId="26197CA0" w14:textId="77777777" w:rsidR="004912DC" w:rsidRPr="000F166D" w:rsidRDefault="004912DC" w:rsidP="00906890">
            <w:pPr>
              <w:autoSpaceDE w:val="0"/>
              <w:autoSpaceDN w:val="0"/>
              <w:adjustRightInd w:val="0"/>
              <w:jc w:val="both"/>
              <w:rPr>
                <w:rFonts w:eastAsia="Calibri" w:cs="Arial"/>
                <w:color w:val="000000"/>
                <w:sz w:val="22"/>
                <w:szCs w:val="22"/>
              </w:rPr>
            </w:pPr>
            <w:r w:rsidRPr="000F166D">
              <w:rPr>
                <w:rFonts w:eastAsia="Calibri" w:cs="Arial"/>
                <w:color w:val="000000"/>
                <w:sz w:val="22"/>
                <w:szCs w:val="22"/>
              </w:rPr>
              <w:t>1,5-2,5</w:t>
            </w:r>
          </w:p>
        </w:tc>
        <w:tc>
          <w:tcPr>
            <w:tcW w:w="2268" w:type="dxa"/>
            <w:shd w:val="clear" w:color="auto" w:fill="BDD6EE" w:themeFill="accent1" w:themeFillTint="66"/>
          </w:tcPr>
          <w:p w14:paraId="3ACEC211" w14:textId="77777777" w:rsidR="004912DC" w:rsidRPr="000F166D" w:rsidRDefault="004912DC" w:rsidP="00906890">
            <w:pPr>
              <w:autoSpaceDE w:val="0"/>
              <w:autoSpaceDN w:val="0"/>
              <w:adjustRightInd w:val="0"/>
              <w:jc w:val="both"/>
              <w:rPr>
                <w:rFonts w:eastAsia="Calibri" w:cs="Arial"/>
                <w:color w:val="000000"/>
                <w:sz w:val="22"/>
                <w:szCs w:val="22"/>
              </w:rPr>
            </w:pPr>
            <w:r w:rsidRPr="000F166D">
              <w:rPr>
                <w:rFonts w:eastAsia="Calibri" w:cs="Arial"/>
                <w:color w:val="000000"/>
                <w:sz w:val="22"/>
                <w:szCs w:val="22"/>
              </w:rPr>
              <w:t>1,5</w:t>
            </w:r>
          </w:p>
        </w:tc>
      </w:tr>
    </w:tbl>
    <w:p w14:paraId="4A25B66F" w14:textId="77777777" w:rsidR="004912DC" w:rsidRPr="000F166D" w:rsidRDefault="004912DC" w:rsidP="004912DC">
      <w:pPr>
        <w:ind w:left="-15" w:right="14"/>
        <w:jc w:val="both"/>
        <w:rPr>
          <w:rFonts w:cs="Arial"/>
          <w:sz w:val="22"/>
          <w:szCs w:val="22"/>
        </w:rPr>
      </w:pPr>
    </w:p>
    <w:p w14:paraId="23D49286" w14:textId="77777777" w:rsidR="004912DC" w:rsidRPr="000F166D" w:rsidRDefault="004912DC" w:rsidP="004912DC">
      <w:pPr>
        <w:ind w:right="14"/>
        <w:jc w:val="both"/>
        <w:rPr>
          <w:rFonts w:cs="Arial"/>
          <w:sz w:val="22"/>
          <w:szCs w:val="22"/>
        </w:rPr>
      </w:pPr>
      <w:r w:rsidRPr="000F166D">
        <w:rPr>
          <w:rFonts w:cs="Arial"/>
          <w:sz w:val="22"/>
          <w:szCs w:val="22"/>
        </w:rPr>
        <w:t>Spodnja slika prikazuje mehanizem, ki dovoljuje nastanek vzvoda.</w:t>
      </w:r>
      <w:r>
        <w:rPr>
          <w:rFonts w:cs="Arial"/>
          <w:sz w:val="22"/>
          <w:szCs w:val="22"/>
        </w:rPr>
        <w:t xml:space="preserve"> </w:t>
      </w:r>
    </w:p>
    <w:p w14:paraId="2D05DC1F" w14:textId="77777777" w:rsidR="004912DC" w:rsidRPr="000F166D" w:rsidRDefault="004912DC" w:rsidP="004912DC">
      <w:pPr>
        <w:jc w:val="both"/>
        <w:rPr>
          <w:rFonts w:cs="Arial"/>
          <w:sz w:val="22"/>
        </w:rPr>
      </w:pPr>
    </w:p>
    <w:p w14:paraId="54DA6900" w14:textId="77777777" w:rsidR="004912DC" w:rsidRPr="000F166D" w:rsidRDefault="004912DC" w:rsidP="004912DC">
      <w:pPr>
        <w:ind w:left="-5" w:hanging="10"/>
        <w:jc w:val="both"/>
        <w:rPr>
          <w:rFonts w:cs="Arial"/>
          <w:sz w:val="22"/>
          <w:szCs w:val="22"/>
        </w:rPr>
      </w:pPr>
      <w:bookmarkStart w:id="90" w:name="_Toc66786236"/>
      <w:r w:rsidRPr="00593E96">
        <w:rPr>
          <w:rFonts w:cs="Arial"/>
          <w:bCs/>
          <w:color w:val="222222"/>
          <w:sz w:val="22"/>
          <w:szCs w:val="22"/>
        </w:rPr>
        <w:t xml:space="preserve">Slika </w:t>
      </w:r>
      <w:r w:rsidRPr="00593E96">
        <w:rPr>
          <w:rFonts w:cs="Arial"/>
          <w:bCs/>
          <w:color w:val="222222"/>
          <w:sz w:val="22"/>
          <w:szCs w:val="22"/>
        </w:rPr>
        <w:fldChar w:fldCharType="begin"/>
      </w:r>
      <w:r w:rsidRPr="00593E96">
        <w:rPr>
          <w:rFonts w:cs="Arial"/>
          <w:bCs/>
          <w:color w:val="222222"/>
          <w:sz w:val="22"/>
          <w:szCs w:val="22"/>
        </w:rPr>
        <w:instrText xml:space="preserve"> SEQ Slika \* ARABIC </w:instrText>
      </w:r>
      <w:r w:rsidRPr="00593E96">
        <w:rPr>
          <w:rFonts w:cs="Arial"/>
          <w:bCs/>
          <w:color w:val="222222"/>
          <w:sz w:val="22"/>
          <w:szCs w:val="22"/>
        </w:rPr>
        <w:fldChar w:fldCharType="separate"/>
      </w:r>
      <w:r w:rsidRPr="00593E96">
        <w:rPr>
          <w:rFonts w:cs="Arial"/>
          <w:bCs/>
          <w:noProof/>
          <w:color w:val="222222"/>
          <w:sz w:val="22"/>
          <w:szCs w:val="22"/>
        </w:rPr>
        <w:t>4</w:t>
      </w:r>
      <w:r w:rsidRPr="00593E96">
        <w:rPr>
          <w:rFonts w:cs="Arial"/>
          <w:bCs/>
          <w:color w:val="222222"/>
          <w:sz w:val="22"/>
          <w:szCs w:val="22"/>
        </w:rPr>
        <w:fldChar w:fldCharType="end"/>
      </w:r>
      <w:r w:rsidRPr="00593E96">
        <w:rPr>
          <w:rFonts w:cs="Arial"/>
          <w:sz w:val="22"/>
          <w:szCs w:val="22"/>
        </w:rPr>
        <w:t>: Pretok sredstev in stopnja dodatnih javnih in zasebnih sredstev, ki zagotavljajo spodbudo za</w:t>
      </w:r>
      <w:r w:rsidRPr="000F166D">
        <w:rPr>
          <w:rFonts w:cs="Arial"/>
          <w:sz w:val="22"/>
          <w:szCs w:val="22"/>
        </w:rPr>
        <w:t xml:space="preserve"> FI</w:t>
      </w:r>
      <w:bookmarkEnd w:id="90"/>
    </w:p>
    <w:p w14:paraId="59FB19BD" w14:textId="77777777" w:rsidR="004912DC" w:rsidRPr="000F166D" w:rsidRDefault="004912DC" w:rsidP="004912DC">
      <w:pPr>
        <w:ind w:left="-5" w:hanging="10"/>
        <w:jc w:val="both"/>
        <w:rPr>
          <w:rFonts w:cs="Arial"/>
          <w:sz w:val="22"/>
          <w:szCs w:val="22"/>
        </w:rPr>
      </w:pPr>
    </w:p>
    <w:p w14:paraId="1117415A" w14:textId="77777777" w:rsidR="004912DC" w:rsidRPr="000F166D" w:rsidRDefault="004912DC" w:rsidP="004912DC">
      <w:pPr>
        <w:spacing w:after="75"/>
        <w:ind w:right="891"/>
        <w:jc w:val="center"/>
        <w:rPr>
          <w:rFonts w:cs="Arial"/>
          <w:sz w:val="22"/>
          <w:szCs w:val="22"/>
        </w:rPr>
      </w:pPr>
      <w:r w:rsidRPr="000F166D">
        <w:rPr>
          <w:rFonts w:cs="Arial"/>
          <w:noProof/>
          <w:sz w:val="22"/>
          <w:szCs w:val="22"/>
          <w:lang w:eastAsia="sl-SI"/>
        </w:rPr>
        <w:drawing>
          <wp:inline distT="0" distB="0" distL="0" distR="0" wp14:anchorId="0BA7AC09" wp14:editId="3A7F8A52">
            <wp:extent cx="3733800" cy="2276475"/>
            <wp:effectExtent l="0" t="0" r="0" b="9525"/>
            <wp:docPr id="6" name="Picture 24270"/>
            <wp:cNvGraphicFramePr/>
            <a:graphic xmlns:a="http://schemas.openxmlformats.org/drawingml/2006/main">
              <a:graphicData uri="http://schemas.openxmlformats.org/drawingml/2006/picture">
                <pic:pic xmlns:pic="http://schemas.openxmlformats.org/drawingml/2006/picture">
                  <pic:nvPicPr>
                    <pic:cNvPr id="24270" name="Picture 24270"/>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733800" cy="2276475"/>
                    </a:xfrm>
                    <a:prstGeom prst="rect">
                      <a:avLst/>
                    </a:prstGeom>
                  </pic:spPr>
                </pic:pic>
              </a:graphicData>
            </a:graphic>
          </wp:inline>
        </w:drawing>
      </w:r>
      <w:r w:rsidRPr="000F166D">
        <w:rPr>
          <w:rFonts w:cs="Arial"/>
          <w:sz w:val="22"/>
          <w:szCs w:val="22"/>
        </w:rPr>
        <w:t xml:space="preserve"> </w:t>
      </w:r>
    </w:p>
    <w:p w14:paraId="4432DD6E" w14:textId="77777777" w:rsidR="004912DC" w:rsidRPr="000F166D" w:rsidRDefault="004912DC" w:rsidP="004912DC">
      <w:pPr>
        <w:spacing w:after="154"/>
        <w:jc w:val="both"/>
        <w:rPr>
          <w:rFonts w:cs="Arial"/>
          <w:sz w:val="22"/>
          <w:szCs w:val="22"/>
        </w:rPr>
      </w:pPr>
      <w:r w:rsidRPr="000F166D">
        <w:rPr>
          <w:rFonts w:cs="Arial"/>
          <w:sz w:val="22"/>
          <w:szCs w:val="22"/>
        </w:rPr>
        <w:t>Vir: Predhodna ocena FI, 2015</w:t>
      </w:r>
    </w:p>
    <w:p w14:paraId="6E65A697" w14:textId="77777777" w:rsidR="004912DC" w:rsidRPr="000F166D" w:rsidRDefault="004912DC" w:rsidP="004912DC">
      <w:pPr>
        <w:keepNext/>
        <w:keepLines/>
        <w:spacing w:before="40"/>
        <w:jc w:val="both"/>
        <w:outlineLvl w:val="2"/>
        <w:rPr>
          <w:rFonts w:eastAsia="Calibri" w:cs="Arial"/>
          <w:b/>
          <w:color w:val="1F4D78"/>
          <w:sz w:val="22"/>
        </w:rPr>
      </w:pPr>
    </w:p>
    <w:p w14:paraId="73039586" w14:textId="7750D096" w:rsidR="004912DC" w:rsidRPr="000F166D" w:rsidRDefault="004912DC" w:rsidP="004912DC">
      <w:pPr>
        <w:keepNext/>
        <w:keepLines/>
        <w:widowControl w:val="0"/>
        <w:spacing w:before="40"/>
        <w:jc w:val="both"/>
        <w:outlineLvl w:val="2"/>
        <w:rPr>
          <w:rFonts w:eastAsia="Calibri" w:cs="Arial"/>
          <w:b/>
          <w:color w:val="1F4D78"/>
          <w:sz w:val="22"/>
        </w:rPr>
      </w:pPr>
      <w:bookmarkStart w:id="91" w:name="_Toc54857929"/>
      <w:r>
        <w:rPr>
          <w:rFonts w:eastAsia="Calibri" w:cs="Arial"/>
          <w:b/>
          <w:color w:val="1F4D78"/>
          <w:sz w:val="22"/>
        </w:rPr>
        <w:t>9.</w:t>
      </w:r>
      <w:r w:rsidR="00653DB1">
        <w:rPr>
          <w:rFonts w:eastAsia="Calibri" w:cs="Arial"/>
          <w:b/>
          <w:color w:val="1F4D78"/>
          <w:sz w:val="22"/>
        </w:rPr>
        <w:t>2</w:t>
      </w:r>
      <w:r>
        <w:rPr>
          <w:rFonts w:eastAsia="Calibri" w:cs="Arial"/>
          <w:b/>
          <w:color w:val="1F4D78"/>
          <w:sz w:val="22"/>
        </w:rPr>
        <w:t xml:space="preserve"> </w:t>
      </w:r>
      <w:r w:rsidRPr="000F166D">
        <w:rPr>
          <w:rFonts w:eastAsia="Calibri" w:cs="Arial"/>
          <w:b/>
          <w:color w:val="1F4D78"/>
          <w:sz w:val="22"/>
        </w:rPr>
        <w:t>Upravljavska provizija sklada skladov in finančnih posrednikov</w:t>
      </w:r>
      <w:bookmarkEnd w:id="91"/>
    </w:p>
    <w:p w14:paraId="6B8C3129" w14:textId="77777777" w:rsidR="004912DC" w:rsidRPr="000F166D" w:rsidRDefault="004912DC" w:rsidP="004912DC">
      <w:pPr>
        <w:keepNext/>
        <w:keepLines/>
        <w:widowControl w:val="0"/>
        <w:autoSpaceDE w:val="0"/>
        <w:autoSpaceDN w:val="0"/>
        <w:adjustRightInd w:val="0"/>
        <w:jc w:val="both"/>
        <w:rPr>
          <w:rFonts w:eastAsia="Calibri" w:cs="Arial"/>
          <w:color w:val="000000"/>
          <w:sz w:val="22"/>
          <w:szCs w:val="22"/>
        </w:rPr>
      </w:pPr>
      <w:r w:rsidRPr="000F166D">
        <w:rPr>
          <w:rFonts w:eastAsia="Calibri" w:cs="Arial"/>
          <w:color w:val="000000"/>
          <w:sz w:val="22"/>
          <w:szCs w:val="22"/>
        </w:rPr>
        <w:t xml:space="preserve">Upravljavcu sklada skladov od vključno dneva sklenitve sporazuma o financiranju s PO pripada </w:t>
      </w:r>
      <w:r w:rsidRPr="000F166D">
        <w:rPr>
          <w:rFonts w:eastAsia="Calibri" w:cs="Arial"/>
          <w:b/>
          <w:color w:val="000000"/>
          <w:sz w:val="22"/>
          <w:szCs w:val="22"/>
        </w:rPr>
        <w:t>upravljavska provizija</w:t>
      </w:r>
      <w:r w:rsidRPr="000F166D">
        <w:rPr>
          <w:rFonts w:eastAsia="Calibri" w:cs="Arial"/>
          <w:color w:val="000000"/>
          <w:sz w:val="22"/>
          <w:szCs w:val="22"/>
        </w:rPr>
        <w:t xml:space="preserve"> skladno s 13. členom Delegirane uredbo Komisije (EU) št. 480/2014 v določnem odstotku od zneskov v sporazumu o financiranju. </w:t>
      </w:r>
    </w:p>
    <w:p w14:paraId="7C46D8EB" w14:textId="77777777" w:rsidR="004912DC" w:rsidRPr="000F166D" w:rsidRDefault="004912DC" w:rsidP="004912DC">
      <w:pPr>
        <w:autoSpaceDE w:val="0"/>
        <w:autoSpaceDN w:val="0"/>
        <w:adjustRightInd w:val="0"/>
        <w:jc w:val="both"/>
        <w:rPr>
          <w:rFonts w:eastAsia="Calibri" w:cs="Arial"/>
          <w:color w:val="000000"/>
          <w:sz w:val="22"/>
          <w:szCs w:val="22"/>
        </w:rPr>
      </w:pPr>
    </w:p>
    <w:p w14:paraId="44FCA648" w14:textId="77777777" w:rsidR="004912DC" w:rsidRPr="000F166D" w:rsidRDefault="004912DC" w:rsidP="004912DC">
      <w:pPr>
        <w:autoSpaceDE w:val="0"/>
        <w:autoSpaceDN w:val="0"/>
        <w:adjustRightInd w:val="0"/>
        <w:jc w:val="both"/>
        <w:rPr>
          <w:rFonts w:eastAsia="Calibri" w:cs="Arial"/>
          <w:color w:val="000000"/>
          <w:sz w:val="22"/>
          <w:szCs w:val="22"/>
        </w:rPr>
      </w:pPr>
      <w:r w:rsidRPr="000F166D">
        <w:rPr>
          <w:rFonts w:eastAsia="Calibri" w:cs="Arial"/>
          <w:color w:val="000000"/>
          <w:sz w:val="22"/>
          <w:szCs w:val="22"/>
        </w:rPr>
        <w:t xml:space="preserve">Upravljavska provizija se bo določila v sporazumu o financiranju skladno z 12., 13. in 14. členom Delegirane uredbe (EU) št. 480/2014. </w:t>
      </w:r>
    </w:p>
    <w:p w14:paraId="2B83FC30" w14:textId="77777777" w:rsidR="004912DC" w:rsidRPr="000F166D" w:rsidRDefault="004912DC" w:rsidP="004912DC">
      <w:pPr>
        <w:jc w:val="both"/>
        <w:rPr>
          <w:rFonts w:cs="Arial"/>
          <w:sz w:val="22"/>
          <w:szCs w:val="22"/>
          <w:lang w:eastAsia="sl-SI"/>
        </w:rPr>
      </w:pPr>
    </w:p>
    <w:p w14:paraId="016E83B9" w14:textId="77777777" w:rsidR="004912DC" w:rsidRPr="000F166D" w:rsidRDefault="004912DC" w:rsidP="004912DC">
      <w:pPr>
        <w:autoSpaceDE w:val="0"/>
        <w:autoSpaceDN w:val="0"/>
        <w:adjustRightInd w:val="0"/>
        <w:jc w:val="both"/>
        <w:rPr>
          <w:rFonts w:eastAsia="Calibri" w:cs="Arial"/>
          <w:color w:val="000000"/>
          <w:sz w:val="22"/>
          <w:szCs w:val="22"/>
        </w:rPr>
      </w:pPr>
      <w:r w:rsidRPr="000F166D">
        <w:rPr>
          <w:rFonts w:eastAsia="Calibri" w:cs="Arial"/>
          <w:color w:val="000000"/>
          <w:sz w:val="22"/>
          <w:szCs w:val="22"/>
        </w:rPr>
        <w:t>Upravljavska provizija krije organizacijske in infrastrukturne ter operativne stroške upravljavca sklada skladov, potrebne za izvajanje njegovih nalog v zvezi z izvajanjem sklada skladov.</w:t>
      </w:r>
    </w:p>
    <w:p w14:paraId="07C01239" w14:textId="77777777" w:rsidR="004912DC" w:rsidRPr="000F166D" w:rsidRDefault="004912DC" w:rsidP="004912DC">
      <w:pPr>
        <w:autoSpaceDE w:val="0"/>
        <w:autoSpaceDN w:val="0"/>
        <w:adjustRightInd w:val="0"/>
        <w:jc w:val="both"/>
        <w:rPr>
          <w:rFonts w:eastAsia="Calibri" w:cs="Arial"/>
          <w:color w:val="000000"/>
          <w:sz w:val="22"/>
          <w:szCs w:val="22"/>
        </w:rPr>
      </w:pPr>
    </w:p>
    <w:p w14:paraId="6E87C928" w14:textId="77777777" w:rsidR="004912DC" w:rsidRPr="000F166D" w:rsidRDefault="004912DC" w:rsidP="004912DC">
      <w:pPr>
        <w:autoSpaceDE w:val="0"/>
        <w:autoSpaceDN w:val="0"/>
        <w:adjustRightInd w:val="0"/>
        <w:jc w:val="both"/>
        <w:rPr>
          <w:rFonts w:eastAsia="Calibri" w:cs="Arial"/>
          <w:color w:val="000000"/>
          <w:sz w:val="22"/>
          <w:szCs w:val="22"/>
        </w:rPr>
      </w:pPr>
      <w:r w:rsidRPr="000F166D">
        <w:rPr>
          <w:rFonts w:eastAsia="Calibri" w:cs="Arial"/>
          <w:color w:val="000000"/>
          <w:sz w:val="22"/>
          <w:szCs w:val="22"/>
        </w:rPr>
        <w:t>Do upravljavske provizije so upravičeni tudi finančni posredniki po Delegirani uredbi Komisije (EU) št. 480/2014.</w:t>
      </w:r>
      <w:r w:rsidRPr="000F166D" w:rsidDel="000154F0">
        <w:rPr>
          <w:rFonts w:eastAsia="Calibri" w:cs="Arial"/>
          <w:color w:val="000000"/>
          <w:sz w:val="22"/>
          <w:szCs w:val="22"/>
        </w:rPr>
        <w:t xml:space="preserve"> </w:t>
      </w:r>
      <w:r w:rsidRPr="000F166D">
        <w:rPr>
          <w:rFonts w:eastAsia="Calibri" w:cs="Arial"/>
          <w:color w:val="000000"/>
          <w:sz w:val="22"/>
          <w:szCs w:val="22"/>
        </w:rPr>
        <w:t>Takšno provizijo in nadomestilo dogovorita finančni posrednik in upravljavec sklada skladov v medsebojni pogodbi, pri čemer le-ta ne presega pragov iz 13. člena Delegirane uredbe EK 480/2014.</w:t>
      </w:r>
    </w:p>
    <w:p w14:paraId="6A3CEE90" w14:textId="77777777" w:rsidR="004912DC" w:rsidRPr="000F166D" w:rsidRDefault="004912DC" w:rsidP="004912DC">
      <w:pPr>
        <w:autoSpaceDE w:val="0"/>
        <w:autoSpaceDN w:val="0"/>
        <w:adjustRightInd w:val="0"/>
        <w:jc w:val="both"/>
        <w:rPr>
          <w:rFonts w:eastAsia="Calibri" w:cs="Arial"/>
          <w:color w:val="000000"/>
          <w:sz w:val="22"/>
          <w:szCs w:val="22"/>
        </w:rPr>
      </w:pPr>
    </w:p>
    <w:p w14:paraId="3E99099E" w14:textId="77777777" w:rsidR="004912DC" w:rsidRPr="000F166D" w:rsidRDefault="004912DC" w:rsidP="004912DC">
      <w:pPr>
        <w:autoSpaceDE w:val="0"/>
        <w:autoSpaceDN w:val="0"/>
        <w:adjustRightInd w:val="0"/>
        <w:jc w:val="both"/>
        <w:rPr>
          <w:rFonts w:eastAsia="Calibri" w:cs="Arial"/>
          <w:color w:val="000000"/>
          <w:sz w:val="22"/>
          <w:szCs w:val="22"/>
        </w:rPr>
      </w:pPr>
      <w:r w:rsidRPr="000F166D">
        <w:rPr>
          <w:rFonts w:eastAsia="Calibri" w:cs="Arial"/>
          <w:color w:val="000000"/>
          <w:sz w:val="22"/>
          <w:szCs w:val="22"/>
        </w:rPr>
        <w:t>Sredstva ESIF dodeljena za operacijo Sklad skladov uporabljena za upravljavsko provizijo vplivajo na obseg sredstev ESIF za končne prejemnike.</w:t>
      </w:r>
    </w:p>
    <w:p w14:paraId="1012BD2E" w14:textId="77777777" w:rsidR="004912DC" w:rsidRPr="000F166D" w:rsidRDefault="004912DC" w:rsidP="004912DC">
      <w:pPr>
        <w:suppressAutoHyphens/>
        <w:jc w:val="both"/>
        <w:rPr>
          <w:rFonts w:eastAsia="Calibri" w:cs="Arial"/>
          <w:color w:val="000000"/>
        </w:rPr>
      </w:pPr>
    </w:p>
    <w:p w14:paraId="39F04BD4" w14:textId="1E022969" w:rsidR="004912DC" w:rsidRPr="000F166D" w:rsidRDefault="004912DC" w:rsidP="004912DC">
      <w:pPr>
        <w:keepNext/>
        <w:keepLines/>
        <w:spacing w:before="40"/>
        <w:jc w:val="both"/>
        <w:outlineLvl w:val="2"/>
        <w:rPr>
          <w:rFonts w:eastAsia="Calibri" w:cs="Arial"/>
          <w:b/>
          <w:color w:val="1F4D78"/>
          <w:sz w:val="22"/>
        </w:rPr>
      </w:pPr>
      <w:bookmarkStart w:id="92" w:name="_Toc54857930"/>
      <w:r>
        <w:rPr>
          <w:rFonts w:eastAsia="Calibri" w:cs="Arial"/>
          <w:b/>
          <w:color w:val="1F4D78"/>
          <w:sz w:val="22"/>
        </w:rPr>
        <w:t>9.</w:t>
      </w:r>
      <w:r w:rsidR="00653DB1">
        <w:rPr>
          <w:rFonts w:eastAsia="Calibri" w:cs="Arial"/>
          <w:b/>
          <w:color w:val="1F4D78"/>
          <w:sz w:val="22"/>
        </w:rPr>
        <w:t>3</w:t>
      </w:r>
      <w:r w:rsidRPr="000F166D">
        <w:rPr>
          <w:rFonts w:eastAsia="Calibri" w:cs="Arial"/>
          <w:b/>
          <w:color w:val="1F4D78"/>
          <w:sz w:val="22"/>
        </w:rPr>
        <w:t xml:space="preserve"> Hranjenje dokumentacije</w:t>
      </w:r>
      <w:bookmarkEnd w:id="92"/>
    </w:p>
    <w:p w14:paraId="5299CDBF" w14:textId="77777777" w:rsidR="004912DC" w:rsidRPr="000F166D" w:rsidRDefault="004912DC" w:rsidP="004912DC">
      <w:pPr>
        <w:suppressAutoHyphens/>
        <w:jc w:val="both"/>
        <w:rPr>
          <w:rFonts w:eastAsia="Calibri" w:cs="Arial"/>
          <w:color w:val="000000"/>
          <w:sz w:val="22"/>
          <w:szCs w:val="22"/>
        </w:rPr>
      </w:pPr>
      <w:r w:rsidRPr="000F166D">
        <w:rPr>
          <w:rFonts w:eastAsia="Calibri" w:cs="Arial"/>
          <w:color w:val="000000"/>
          <w:sz w:val="22"/>
          <w:szCs w:val="22"/>
        </w:rPr>
        <w:t xml:space="preserve">Upravljavec sklada skladov je dolžan </w:t>
      </w:r>
      <w:r w:rsidRPr="000F166D">
        <w:rPr>
          <w:rFonts w:eastAsia="Calibri" w:cs="Arial"/>
          <w:b/>
          <w:color w:val="000000"/>
          <w:sz w:val="22"/>
          <w:szCs w:val="22"/>
        </w:rPr>
        <w:t>hraniti vse dokumente</w:t>
      </w:r>
      <w:r w:rsidRPr="000F166D">
        <w:rPr>
          <w:rFonts w:eastAsia="Calibri" w:cs="Arial"/>
          <w:color w:val="000000"/>
          <w:sz w:val="22"/>
          <w:szCs w:val="22"/>
        </w:rPr>
        <w:t xml:space="preserve"> v zvezi z nalaganjem sredstev evropske kohezijske politike </w:t>
      </w:r>
      <w:r w:rsidRPr="000F166D">
        <w:rPr>
          <w:rFonts w:eastAsia="Calibri" w:cs="Arial"/>
          <w:b/>
          <w:color w:val="000000"/>
          <w:sz w:val="22"/>
          <w:szCs w:val="22"/>
        </w:rPr>
        <w:t>najmanj 10 let</w:t>
      </w:r>
      <w:r w:rsidRPr="000F166D">
        <w:rPr>
          <w:rFonts w:eastAsia="Calibri" w:cs="Arial"/>
          <w:color w:val="000000"/>
          <w:sz w:val="22"/>
          <w:szCs w:val="22"/>
        </w:rPr>
        <w:t xml:space="preserve"> po zaključku izvajanja FI. Podrobneje je določeno v sporazumu o financiranju.</w:t>
      </w:r>
    </w:p>
    <w:p w14:paraId="7176E808" w14:textId="77777777" w:rsidR="004912DC" w:rsidRPr="000F166D" w:rsidRDefault="004912DC" w:rsidP="004912DC">
      <w:pPr>
        <w:jc w:val="both"/>
        <w:rPr>
          <w:rFonts w:eastAsia="Calibri" w:cs="Arial"/>
          <w:color w:val="000000"/>
          <w:sz w:val="22"/>
          <w:szCs w:val="22"/>
        </w:rPr>
      </w:pPr>
    </w:p>
    <w:p w14:paraId="79B07E54" w14:textId="77777777" w:rsidR="004912DC" w:rsidRPr="000F166D" w:rsidRDefault="004912DC" w:rsidP="004912DC">
      <w:pPr>
        <w:jc w:val="both"/>
        <w:rPr>
          <w:rFonts w:eastAsia="Calibri" w:cs="Arial"/>
          <w:color w:val="000000"/>
          <w:sz w:val="22"/>
          <w:szCs w:val="22"/>
        </w:rPr>
      </w:pPr>
      <w:r w:rsidRPr="000F166D">
        <w:rPr>
          <w:rFonts w:eastAsia="Calibri" w:cs="Arial"/>
          <w:color w:val="000000"/>
          <w:sz w:val="22"/>
          <w:szCs w:val="22"/>
        </w:rPr>
        <w:t xml:space="preserve">Vsi deležniki vključeni v izvajanje FI (upravljavec sklada skladov, finančni posredniki, PO, sodelujoča ministrstva in drugi) hranijo vso dokumentacijo in omogočajo kontrolo izvajanja nadzora nad porabo sredstev ter vpogled v celotno dokumentacijo kontrolnim in revizijskim organom (Računskemu sodišču RS, Uradu RS za nadzor proračuna, OU, PO, Ministrstvu za finance, Organu za potrjevanje in predstavnikom Evropske komisije ter Evropskega računskega sodišča ter ostalim institucijam, vključenim v izvajanje evropske kohezijske politike), vsaj </w:t>
      </w:r>
      <w:r w:rsidRPr="000F166D">
        <w:rPr>
          <w:rFonts w:eastAsia="Calibri" w:cs="Arial"/>
          <w:b/>
          <w:color w:val="000000"/>
          <w:sz w:val="22"/>
          <w:szCs w:val="22"/>
        </w:rPr>
        <w:t>do 31.12.2027</w:t>
      </w:r>
      <w:r w:rsidRPr="000F166D">
        <w:rPr>
          <w:rFonts w:eastAsia="Calibri" w:cs="Arial"/>
          <w:color w:val="000000"/>
          <w:sz w:val="22"/>
          <w:szCs w:val="22"/>
        </w:rPr>
        <w:t xml:space="preserve"> oz. 10 let po zaključku FI.</w:t>
      </w:r>
    </w:p>
    <w:p w14:paraId="02EB4D70" w14:textId="77777777" w:rsidR="004912DC" w:rsidRPr="000F166D" w:rsidRDefault="004912DC" w:rsidP="004912DC">
      <w:pPr>
        <w:jc w:val="both"/>
        <w:rPr>
          <w:rFonts w:eastAsia="Calibri" w:cs="Arial"/>
          <w:color w:val="000000"/>
          <w:sz w:val="22"/>
          <w:szCs w:val="22"/>
        </w:rPr>
      </w:pPr>
    </w:p>
    <w:p w14:paraId="18066AFA" w14:textId="77777777" w:rsidR="004912DC" w:rsidRPr="000F166D" w:rsidRDefault="004912DC" w:rsidP="004912DC">
      <w:pPr>
        <w:jc w:val="both"/>
        <w:rPr>
          <w:rFonts w:eastAsia="Calibri" w:cs="Arial"/>
          <w:color w:val="000000"/>
          <w:sz w:val="22"/>
          <w:szCs w:val="22"/>
        </w:rPr>
      </w:pPr>
      <w:r w:rsidRPr="000F166D">
        <w:rPr>
          <w:rFonts w:eastAsia="Calibri" w:cs="Arial"/>
          <w:color w:val="000000"/>
          <w:sz w:val="22"/>
          <w:szCs w:val="22"/>
        </w:rPr>
        <w:t xml:space="preserve">Upravljavec sklada skladov je dolžan hraniti vse dokumente v zvezi z izvajanjem FI. Natančnejši obseg dokumentacije se določi v okviru sporazuma o financiranju. </w:t>
      </w:r>
    </w:p>
    <w:p w14:paraId="4942AF85" w14:textId="77777777" w:rsidR="004912DC" w:rsidRPr="000F166D" w:rsidRDefault="004912DC" w:rsidP="004912DC">
      <w:pPr>
        <w:jc w:val="both"/>
        <w:rPr>
          <w:rFonts w:eastAsia="Calibri" w:cs="Arial"/>
          <w:color w:val="000000"/>
          <w:sz w:val="22"/>
          <w:szCs w:val="22"/>
        </w:rPr>
      </w:pPr>
    </w:p>
    <w:p w14:paraId="1E5462BA" w14:textId="77777777" w:rsidR="004912DC" w:rsidRPr="000F166D" w:rsidRDefault="004912DC" w:rsidP="004912DC">
      <w:pPr>
        <w:jc w:val="both"/>
        <w:rPr>
          <w:rFonts w:eastAsia="Calibri" w:cs="Arial"/>
          <w:color w:val="000000"/>
          <w:sz w:val="22"/>
          <w:szCs w:val="22"/>
        </w:rPr>
      </w:pPr>
      <w:r w:rsidRPr="000F166D">
        <w:rPr>
          <w:rFonts w:eastAsia="Calibri" w:cs="Arial"/>
          <w:color w:val="000000"/>
          <w:sz w:val="22"/>
          <w:szCs w:val="22"/>
        </w:rPr>
        <w:t>Prav tako so končni prejemniki dolžni hraniti vse dokumente v zvezi s sredstvi evropske kohezijske politike. Ti dokumenti lahko obsegajo:</w:t>
      </w:r>
    </w:p>
    <w:p w14:paraId="265C3225" w14:textId="77777777" w:rsidR="004912DC" w:rsidRPr="000F166D" w:rsidRDefault="004912DC" w:rsidP="004912DC">
      <w:pPr>
        <w:numPr>
          <w:ilvl w:val="0"/>
          <w:numId w:val="13"/>
        </w:numPr>
        <w:autoSpaceDE w:val="0"/>
        <w:autoSpaceDN w:val="0"/>
        <w:adjustRightInd w:val="0"/>
        <w:spacing w:line="240" w:lineRule="auto"/>
        <w:jc w:val="both"/>
        <w:rPr>
          <w:rFonts w:eastAsia="Calibri" w:cs="Arial"/>
          <w:color w:val="000000"/>
          <w:sz w:val="22"/>
          <w:szCs w:val="22"/>
        </w:rPr>
      </w:pPr>
      <w:r w:rsidRPr="000F166D">
        <w:rPr>
          <w:rFonts w:eastAsia="Calibri" w:cs="Arial"/>
          <w:color w:val="000000"/>
          <w:sz w:val="22"/>
          <w:szCs w:val="22"/>
        </w:rPr>
        <w:t>prijavne obrazce s spremljajočimi dokumenti, vključno s poslovnimi načrti in preteklimi letnimi izkazi,</w:t>
      </w:r>
    </w:p>
    <w:p w14:paraId="39FC6E3D" w14:textId="77777777" w:rsidR="004912DC" w:rsidRPr="000F166D" w:rsidRDefault="004912DC" w:rsidP="004912DC">
      <w:pPr>
        <w:numPr>
          <w:ilvl w:val="0"/>
          <w:numId w:val="13"/>
        </w:numPr>
        <w:autoSpaceDE w:val="0"/>
        <w:autoSpaceDN w:val="0"/>
        <w:adjustRightInd w:val="0"/>
        <w:spacing w:line="240" w:lineRule="auto"/>
        <w:jc w:val="both"/>
        <w:rPr>
          <w:rFonts w:eastAsia="Calibri" w:cs="Arial"/>
          <w:color w:val="000000"/>
          <w:sz w:val="22"/>
          <w:szCs w:val="22"/>
        </w:rPr>
      </w:pPr>
      <w:r w:rsidRPr="000F166D">
        <w:rPr>
          <w:rFonts w:eastAsia="Calibri" w:cs="Arial"/>
          <w:color w:val="000000"/>
          <w:sz w:val="22"/>
          <w:szCs w:val="22"/>
        </w:rPr>
        <w:t>letna poročila, poslovna poročila in morebitna druga poročila.</w:t>
      </w:r>
    </w:p>
    <w:p w14:paraId="241DE7DD" w14:textId="77777777" w:rsidR="004912DC" w:rsidRPr="000F166D" w:rsidRDefault="004912DC" w:rsidP="004912DC">
      <w:pPr>
        <w:jc w:val="both"/>
        <w:rPr>
          <w:rFonts w:eastAsia="Calibri" w:cs="Arial"/>
          <w:color w:val="000000"/>
          <w:sz w:val="22"/>
          <w:szCs w:val="22"/>
        </w:rPr>
      </w:pPr>
    </w:p>
    <w:p w14:paraId="2A54CAA0" w14:textId="77777777" w:rsidR="004912DC" w:rsidRPr="000F166D" w:rsidRDefault="004912DC" w:rsidP="004912DC">
      <w:pPr>
        <w:jc w:val="both"/>
        <w:rPr>
          <w:rFonts w:eastAsia="Calibri" w:cs="Arial"/>
          <w:color w:val="000000"/>
          <w:sz w:val="22"/>
          <w:szCs w:val="22"/>
        </w:rPr>
      </w:pPr>
      <w:r w:rsidRPr="000F166D">
        <w:rPr>
          <w:rFonts w:eastAsia="Calibri" w:cs="Arial"/>
          <w:color w:val="000000"/>
          <w:sz w:val="22"/>
          <w:szCs w:val="22"/>
        </w:rPr>
        <w:t>Končni prejemniki so dolžni predhodno navedeno dokumentacijo in evidence, na pisno zahtevo, posredovati pristojnim državnim organom in organom Evropske komisije.</w:t>
      </w:r>
    </w:p>
    <w:p w14:paraId="11EE1E97" w14:textId="77777777" w:rsidR="004912DC" w:rsidRPr="000F166D" w:rsidRDefault="004912DC" w:rsidP="004912DC">
      <w:pPr>
        <w:suppressAutoHyphens/>
        <w:jc w:val="both"/>
        <w:rPr>
          <w:rFonts w:eastAsia="Calibri" w:cs="Arial"/>
          <w:color w:val="000000"/>
          <w:sz w:val="22"/>
          <w:szCs w:val="22"/>
        </w:rPr>
      </w:pPr>
    </w:p>
    <w:p w14:paraId="77183EC0" w14:textId="6D994EBF" w:rsidR="004912DC" w:rsidRPr="000F166D" w:rsidRDefault="004912DC" w:rsidP="004912DC">
      <w:pPr>
        <w:keepNext/>
        <w:keepLines/>
        <w:spacing w:before="40"/>
        <w:jc w:val="both"/>
        <w:outlineLvl w:val="2"/>
        <w:rPr>
          <w:rFonts w:cs="Arial"/>
          <w:b/>
          <w:color w:val="1F4D78"/>
          <w:sz w:val="22"/>
        </w:rPr>
      </w:pPr>
      <w:bookmarkStart w:id="93" w:name="_Toc54857931"/>
      <w:r>
        <w:rPr>
          <w:rFonts w:cs="Arial"/>
          <w:b/>
          <w:color w:val="1F4D78"/>
          <w:sz w:val="22"/>
        </w:rPr>
        <w:t>9.</w:t>
      </w:r>
      <w:r w:rsidR="00653DB1">
        <w:rPr>
          <w:rFonts w:cs="Arial"/>
          <w:b/>
          <w:color w:val="1F4D78"/>
          <w:sz w:val="22"/>
        </w:rPr>
        <w:t>4</w:t>
      </w:r>
      <w:r w:rsidRPr="000F166D">
        <w:rPr>
          <w:rFonts w:cs="Arial"/>
          <w:b/>
          <w:color w:val="1F4D78"/>
          <w:sz w:val="22"/>
        </w:rPr>
        <w:t xml:space="preserve"> Spremljanje državnih pomoči</w:t>
      </w:r>
      <w:bookmarkEnd w:id="93"/>
    </w:p>
    <w:p w14:paraId="782C38EB" w14:textId="77777777" w:rsidR="004912DC" w:rsidRPr="000F166D" w:rsidRDefault="004912DC" w:rsidP="004912DC">
      <w:pPr>
        <w:suppressAutoHyphens/>
        <w:jc w:val="both"/>
        <w:rPr>
          <w:rFonts w:eastAsia="Calibri" w:cs="Arial"/>
          <w:color w:val="000000"/>
          <w:sz w:val="22"/>
          <w:szCs w:val="22"/>
        </w:rPr>
      </w:pPr>
      <w:r w:rsidRPr="000F166D">
        <w:rPr>
          <w:rFonts w:eastAsia="Calibri" w:cs="Arial"/>
          <w:color w:val="000000"/>
          <w:sz w:val="22"/>
          <w:szCs w:val="22"/>
        </w:rPr>
        <w:t>Državne pomoči se pri izvajanju finančnih instrumentov lahko pojavijo na več ravneh: na ravni sklada skladov, finančnih posrednikov in zasebnih investitorjev ter končnih prejemnikov. Pri zasnovi sistema izvajanja FI v Republiki Sloveniji se zasleduje cilj, da se pogoji opredelijo na način, da do državne pomoči na ravni sklada skladov ter finančnih posrednikov in zasebnih investitorjev ne bi prišlo. Slednje bo opredeljeno v sporazumih o financiranju. Na ravni končnih upravičencev se bodo FI izvajali skladno s pravili državnih pomoči oz. de minimis pomoči. V tem primeru se bodo uporabile obstoječe sheme državnih oz. de minimis pomoči ali se bo priglasila nova državna oz. de minimis pomoč. Podrobneje bodo pogoji glede državnih pomoči opredeljeni v sporazumu o financiranju.</w:t>
      </w:r>
    </w:p>
    <w:p w14:paraId="5390823C" w14:textId="77777777" w:rsidR="004912DC" w:rsidRPr="000F166D" w:rsidRDefault="004912DC" w:rsidP="004912DC">
      <w:pPr>
        <w:suppressAutoHyphens/>
        <w:jc w:val="both"/>
        <w:rPr>
          <w:rFonts w:eastAsia="Calibri" w:cs="Arial"/>
          <w:color w:val="000000"/>
          <w:sz w:val="22"/>
          <w:szCs w:val="22"/>
        </w:rPr>
      </w:pPr>
    </w:p>
    <w:p w14:paraId="69E1232B" w14:textId="77777777" w:rsidR="004912DC" w:rsidRPr="000F166D" w:rsidRDefault="004912DC" w:rsidP="004912DC">
      <w:pPr>
        <w:suppressAutoHyphens/>
        <w:jc w:val="both"/>
        <w:rPr>
          <w:rFonts w:eastAsia="Calibri" w:cs="Arial"/>
          <w:color w:val="000000"/>
          <w:sz w:val="22"/>
          <w:szCs w:val="22"/>
        </w:rPr>
      </w:pPr>
      <w:r w:rsidRPr="000F166D">
        <w:rPr>
          <w:rFonts w:eastAsia="Calibri" w:cs="Arial"/>
          <w:color w:val="000000"/>
          <w:sz w:val="22"/>
          <w:szCs w:val="22"/>
        </w:rPr>
        <w:lastRenderedPageBreak/>
        <w:t xml:space="preserve">Upravljavec sklada skladov </w:t>
      </w:r>
      <w:r w:rsidRPr="000F166D">
        <w:rPr>
          <w:rFonts w:eastAsia="Calibri" w:cs="Arial"/>
          <w:b/>
          <w:color w:val="000000"/>
          <w:sz w:val="22"/>
          <w:szCs w:val="22"/>
        </w:rPr>
        <w:t>spremlja državne in de minimis pomoči</w:t>
      </w:r>
      <w:r w:rsidRPr="000F166D">
        <w:rPr>
          <w:rFonts w:eastAsia="Calibri" w:cs="Arial"/>
          <w:color w:val="000000"/>
          <w:sz w:val="22"/>
          <w:szCs w:val="22"/>
        </w:rPr>
        <w:t xml:space="preserve"> na vseh nivojih (na nivoju finančnih posrednikov in zasebne investitorje ter končnih prejemnikov) ter o tem poroča Ministrstvu za finance skladno z Zakonom o spremljanju državnih pomoči (Uradni list RS, št. 37/04) .</w:t>
      </w:r>
    </w:p>
    <w:p w14:paraId="7D0F0D9F" w14:textId="77777777" w:rsidR="004912DC" w:rsidRPr="000F166D" w:rsidRDefault="004912DC" w:rsidP="004912DC">
      <w:pPr>
        <w:suppressAutoHyphens/>
        <w:jc w:val="both"/>
        <w:rPr>
          <w:rFonts w:eastAsia="Calibri" w:cs="Arial"/>
          <w:color w:val="000000"/>
        </w:rPr>
      </w:pPr>
    </w:p>
    <w:p w14:paraId="458A8745" w14:textId="0629D025" w:rsidR="004912DC" w:rsidRPr="000F166D" w:rsidRDefault="004912DC" w:rsidP="004912DC">
      <w:pPr>
        <w:keepNext/>
        <w:keepLines/>
        <w:spacing w:before="40"/>
        <w:jc w:val="both"/>
        <w:outlineLvl w:val="2"/>
        <w:rPr>
          <w:rFonts w:eastAsia="Calibri" w:cs="Arial"/>
          <w:b/>
          <w:color w:val="1F4D78"/>
          <w:sz w:val="22"/>
        </w:rPr>
      </w:pPr>
      <w:bookmarkStart w:id="94" w:name="_Toc54857932"/>
      <w:r>
        <w:rPr>
          <w:rFonts w:eastAsia="Calibri" w:cs="Arial"/>
          <w:b/>
          <w:color w:val="1F4D78"/>
          <w:sz w:val="22"/>
        </w:rPr>
        <w:t>9.</w:t>
      </w:r>
      <w:r w:rsidR="00653DB1">
        <w:rPr>
          <w:rFonts w:eastAsia="Calibri" w:cs="Arial"/>
          <w:b/>
          <w:color w:val="1F4D78"/>
          <w:sz w:val="22"/>
        </w:rPr>
        <w:t>5</w:t>
      </w:r>
      <w:r w:rsidRPr="000F166D">
        <w:rPr>
          <w:rFonts w:eastAsia="Calibri" w:cs="Arial"/>
          <w:b/>
          <w:color w:val="1F4D78"/>
          <w:sz w:val="22"/>
        </w:rPr>
        <w:t xml:space="preserve"> Spremljanje ciljev in kazalnikov</w:t>
      </w:r>
      <w:bookmarkEnd w:id="94"/>
    </w:p>
    <w:p w14:paraId="6E743B4E" w14:textId="77777777" w:rsidR="004912DC" w:rsidRPr="000F166D" w:rsidRDefault="004912DC" w:rsidP="004912DC">
      <w:pPr>
        <w:suppressAutoHyphens/>
        <w:jc w:val="both"/>
        <w:rPr>
          <w:rFonts w:eastAsia="Calibri" w:cs="Arial"/>
          <w:color w:val="000000"/>
          <w:sz w:val="22"/>
          <w:szCs w:val="22"/>
        </w:rPr>
      </w:pPr>
      <w:r w:rsidRPr="000F166D">
        <w:rPr>
          <w:rFonts w:eastAsia="Calibri" w:cs="Arial"/>
          <w:color w:val="000000"/>
          <w:sz w:val="22"/>
          <w:szCs w:val="22"/>
        </w:rPr>
        <w:t xml:space="preserve">Upravljavec sklada skladov je dolžan tudi </w:t>
      </w:r>
      <w:r w:rsidRPr="000F166D">
        <w:rPr>
          <w:rFonts w:eastAsia="Calibri" w:cs="Arial"/>
          <w:b/>
          <w:color w:val="000000"/>
          <w:sz w:val="22"/>
          <w:szCs w:val="22"/>
        </w:rPr>
        <w:t>spremljati izvajanje vsebin, slediti ciljem in spremljati izpolnjevanje kazalnikov ter o njih poročati PO</w:t>
      </w:r>
      <w:r w:rsidRPr="000F166D">
        <w:rPr>
          <w:rFonts w:eastAsia="Calibri" w:cs="Arial"/>
          <w:color w:val="000000"/>
          <w:sz w:val="22"/>
          <w:szCs w:val="22"/>
        </w:rPr>
        <w:t xml:space="preserve"> skladno s prednostnimi naložbami OP 2014 - 2020, ki ga potrdi OU.</w:t>
      </w:r>
    </w:p>
    <w:p w14:paraId="7C1405FC" w14:textId="77777777" w:rsidR="004912DC" w:rsidRPr="000F166D" w:rsidRDefault="004912DC" w:rsidP="004912DC">
      <w:pPr>
        <w:suppressAutoHyphens/>
        <w:jc w:val="both"/>
        <w:rPr>
          <w:rFonts w:eastAsia="Calibri" w:cs="Arial"/>
          <w:color w:val="000000"/>
          <w:sz w:val="22"/>
          <w:szCs w:val="22"/>
        </w:rPr>
      </w:pPr>
    </w:p>
    <w:p w14:paraId="27368F0E" w14:textId="77777777" w:rsidR="004912DC" w:rsidRPr="000F166D" w:rsidRDefault="004912DC" w:rsidP="004912DC">
      <w:pPr>
        <w:jc w:val="both"/>
        <w:rPr>
          <w:rFonts w:cs="Arial"/>
          <w:sz w:val="22"/>
          <w:szCs w:val="22"/>
        </w:rPr>
      </w:pPr>
      <w:r w:rsidRPr="000F166D">
        <w:rPr>
          <w:rFonts w:eastAsia="Calibri" w:cs="Arial"/>
          <w:color w:val="000000"/>
          <w:sz w:val="22"/>
          <w:szCs w:val="22"/>
        </w:rPr>
        <w:t xml:space="preserve">V spodnji tabeli so predstavljeni kazalniki po posameznih področjih iz OP 2014-2020: MSP, RRI, energetska učinkovitost in urbani razvoj. </w:t>
      </w:r>
      <w:r w:rsidRPr="000F166D">
        <w:rPr>
          <w:rFonts w:cs="Arial"/>
          <w:sz w:val="22"/>
          <w:szCs w:val="22"/>
        </w:rPr>
        <w:t xml:space="preserve">Vrednosti kazalnikov so okvirne, v sporazumu o financiranju pa bodo podrobneje opredeljene, prav tako pa tudi vsebina, dinamika poročanja, način izračuna, način zajema, ipd. </w:t>
      </w:r>
    </w:p>
    <w:p w14:paraId="731AE553" w14:textId="77777777" w:rsidR="004912DC" w:rsidRPr="000F166D" w:rsidRDefault="004912DC" w:rsidP="004912DC">
      <w:pPr>
        <w:jc w:val="both"/>
        <w:rPr>
          <w:rFonts w:cs="Arial"/>
          <w:sz w:val="22"/>
          <w:szCs w:val="22"/>
        </w:rPr>
      </w:pPr>
    </w:p>
    <w:p w14:paraId="69DC87CD" w14:textId="77777777" w:rsidR="004912DC" w:rsidRPr="000F166D" w:rsidRDefault="004912DC" w:rsidP="004912DC">
      <w:pPr>
        <w:jc w:val="both"/>
        <w:rPr>
          <w:rFonts w:cs="Arial"/>
          <w:sz w:val="22"/>
          <w:szCs w:val="22"/>
        </w:rPr>
      </w:pPr>
      <w:r w:rsidRPr="000F166D">
        <w:rPr>
          <w:rFonts w:cs="Arial"/>
          <w:sz w:val="22"/>
          <w:szCs w:val="22"/>
        </w:rPr>
        <w:t>V sporazumu o financiranju se lahko opredelijo dodatni kazalniki, ki jih je potrebno spremljati (npr. dodana vrednost na zaposlenega v podprtih podjetjih, nova in ohranjena delovna mesta v podprtih podjetjih ipd.).</w:t>
      </w:r>
    </w:p>
    <w:p w14:paraId="4C52BDFB" w14:textId="77777777" w:rsidR="004912DC" w:rsidRPr="000F166D" w:rsidRDefault="004912DC" w:rsidP="004912DC">
      <w:pPr>
        <w:jc w:val="both"/>
        <w:rPr>
          <w:sz w:val="22"/>
          <w:szCs w:val="22"/>
        </w:rPr>
      </w:pPr>
    </w:p>
    <w:p w14:paraId="1D4F1F5A" w14:textId="4E285D99" w:rsidR="004912DC" w:rsidRPr="000F166D" w:rsidRDefault="004912DC" w:rsidP="004912DC">
      <w:pPr>
        <w:suppressAutoHyphens/>
        <w:jc w:val="both"/>
        <w:rPr>
          <w:rFonts w:eastAsia="Calibri" w:cs="Arial"/>
          <w:color w:val="000000"/>
          <w:sz w:val="22"/>
          <w:szCs w:val="22"/>
        </w:rPr>
      </w:pPr>
      <w:r w:rsidRPr="00A75659">
        <w:rPr>
          <w:rFonts w:cs="Arial"/>
          <w:sz w:val="22"/>
          <w:szCs w:val="22"/>
        </w:rPr>
        <w:t xml:space="preserve">Tabela </w:t>
      </w:r>
      <w:r w:rsidR="00653DB1">
        <w:rPr>
          <w:rFonts w:cs="Arial"/>
          <w:sz w:val="22"/>
          <w:szCs w:val="22"/>
        </w:rPr>
        <w:t>14</w:t>
      </w:r>
      <w:r w:rsidRPr="00A75659">
        <w:rPr>
          <w:rFonts w:cs="Arial"/>
          <w:sz w:val="22"/>
          <w:szCs w:val="22"/>
        </w:rPr>
        <w:t>:</w:t>
      </w:r>
      <w:r w:rsidRPr="000F166D">
        <w:rPr>
          <w:rFonts w:eastAsia="Calibri" w:cs="Arial"/>
          <w:color w:val="000000"/>
          <w:sz w:val="22"/>
          <w:szCs w:val="22"/>
        </w:rPr>
        <w:t xml:space="preserve"> Kvantitativni cilji po prednostnih naložbah in finančnih instrumentih*</w:t>
      </w:r>
    </w:p>
    <w:tbl>
      <w:tblPr>
        <w:tblStyle w:val="Tabelamrea"/>
        <w:tblW w:w="10598" w:type="dxa"/>
        <w:tblInd w:w="-113" w:type="dxa"/>
        <w:tblLook w:val="04A0" w:firstRow="1" w:lastRow="0" w:firstColumn="1" w:lastColumn="0" w:noHBand="0" w:noVBand="1"/>
      </w:tblPr>
      <w:tblGrid>
        <w:gridCol w:w="1372"/>
        <w:gridCol w:w="1384"/>
        <w:gridCol w:w="1198"/>
        <w:gridCol w:w="834"/>
        <w:gridCol w:w="2371"/>
        <w:gridCol w:w="1662"/>
        <w:gridCol w:w="1777"/>
      </w:tblGrid>
      <w:tr w:rsidR="004912DC" w:rsidRPr="000F166D" w14:paraId="20A4E405" w14:textId="77777777" w:rsidTr="00906890">
        <w:tc>
          <w:tcPr>
            <w:tcW w:w="1372" w:type="dxa"/>
          </w:tcPr>
          <w:p w14:paraId="7F727903" w14:textId="77777777" w:rsidR="004912DC" w:rsidRPr="000F166D" w:rsidRDefault="004912DC" w:rsidP="00906890">
            <w:pPr>
              <w:suppressAutoHyphens/>
              <w:jc w:val="both"/>
              <w:rPr>
                <w:rFonts w:eastAsia="Calibri" w:cs="Arial"/>
                <w:color w:val="000000"/>
                <w:szCs w:val="20"/>
              </w:rPr>
            </w:pPr>
            <w:r w:rsidRPr="000F166D">
              <w:rPr>
                <w:rFonts w:eastAsia="Calibri" w:cs="Arial"/>
                <w:color w:val="000000"/>
                <w:szCs w:val="20"/>
              </w:rPr>
              <w:t>Prednostna naložba</w:t>
            </w:r>
          </w:p>
        </w:tc>
        <w:tc>
          <w:tcPr>
            <w:tcW w:w="1384" w:type="dxa"/>
          </w:tcPr>
          <w:p w14:paraId="65996691" w14:textId="77777777" w:rsidR="004912DC" w:rsidRPr="000F166D" w:rsidRDefault="004912DC" w:rsidP="00906890">
            <w:pPr>
              <w:suppressAutoHyphens/>
              <w:jc w:val="both"/>
              <w:rPr>
                <w:rFonts w:eastAsia="Calibri" w:cs="Arial"/>
                <w:color w:val="000000"/>
                <w:szCs w:val="20"/>
              </w:rPr>
            </w:pPr>
            <w:r w:rsidRPr="000F166D">
              <w:rPr>
                <w:rFonts w:eastAsia="Calibri" w:cs="Arial"/>
                <w:color w:val="000000"/>
                <w:szCs w:val="20"/>
              </w:rPr>
              <w:t>Finančni instrument</w:t>
            </w:r>
          </w:p>
        </w:tc>
        <w:tc>
          <w:tcPr>
            <w:tcW w:w="1198" w:type="dxa"/>
          </w:tcPr>
          <w:p w14:paraId="4900B9E4" w14:textId="77777777" w:rsidR="004912DC" w:rsidRPr="000F166D" w:rsidRDefault="004912DC" w:rsidP="00906890">
            <w:pPr>
              <w:suppressAutoHyphens/>
              <w:jc w:val="both"/>
              <w:rPr>
                <w:rFonts w:eastAsia="Calibri" w:cs="Arial"/>
                <w:color w:val="000000"/>
                <w:szCs w:val="20"/>
              </w:rPr>
            </w:pPr>
            <w:r w:rsidRPr="000F166D">
              <w:rPr>
                <w:rFonts w:eastAsia="Calibri" w:cs="Arial"/>
                <w:color w:val="000000"/>
                <w:szCs w:val="20"/>
              </w:rPr>
              <w:t xml:space="preserve"> Vrsta kazalnika</w:t>
            </w:r>
          </w:p>
        </w:tc>
        <w:tc>
          <w:tcPr>
            <w:tcW w:w="834" w:type="dxa"/>
          </w:tcPr>
          <w:p w14:paraId="3BE84B47" w14:textId="77777777" w:rsidR="004912DC" w:rsidRPr="000F166D" w:rsidRDefault="004912DC" w:rsidP="00906890">
            <w:pPr>
              <w:suppressAutoHyphens/>
              <w:jc w:val="both"/>
              <w:rPr>
                <w:rFonts w:eastAsia="Calibri" w:cs="Arial"/>
                <w:color w:val="000000"/>
                <w:szCs w:val="20"/>
              </w:rPr>
            </w:pPr>
          </w:p>
        </w:tc>
        <w:tc>
          <w:tcPr>
            <w:tcW w:w="2371" w:type="dxa"/>
          </w:tcPr>
          <w:p w14:paraId="599CA866" w14:textId="77777777" w:rsidR="004912DC" w:rsidRPr="000F166D" w:rsidRDefault="004912DC" w:rsidP="00906890">
            <w:pPr>
              <w:suppressAutoHyphens/>
              <w:jc w:val="both"/>
              <w:rPr>
                <w:rFonts w:eastAsia="Calibri" w:cs="Arial"/>
                <w:color w:val="000000"/>
                <w:szCs w:val="20"/>
              </w:rPr>
            </w:pPr>
            <w:r w:rsidRPr="000F166D">
              <w:rPr>
                <w:rFonts w:eastAsia="Calibri" w:cs="Arial"/>
                <w:color w:val="000000"/>
                <w:szCs w:val="20"/>
              </w:rPr>
              <w:t xml:space="preserve"> Kazalnik</w:t>
            </w:r>
          </w:p>
        </w:tc>
        <w:tc>
          <w:tcPr>
            <w:tcW w:w="1662" w:type="dxa"/>
          </w:tcPr>
          <w:p w14:paraId="69F54770" w14:textId="77777777" w:rsidR="004912DC" w:rsidRPr="000F166D" w:rsidRDefault="004912DC" w:rsidP="00906890">
            <w:pPr>
              <w:suppressAutoHyphens/>
              <w:jc w:val="both"/>
              <w:rPr>
                <w:rFonts w:eastAsia="Calibri" w:cs="Arial"/>
                <w:color w:val="000000"/>
                <w:szCs w:val="20"/>
              </w:rPr>
            </w:pPr>
            <w:r w:rsidRPr="000F166D">
              <w:rPr>
                <w:rFonts w:eastAsia="Calibri" w:cs="Arial"/>
                <w:color w:val="000000"/>
                <w:szCs w:val="20"/>
              </w:rPr>
              <w:t>Vrednost kazalnika</w:t>
            </w:r>
          </w:p>
        </w:tc>
        <w:tc>
          <w:tcPr>
            <w:tcW w:w="1777" w:type="dxa"/>
          </w:tcPr>
          <w:p w14:paraId="01C29398" w14:textId="77777777" w:rsidR="004912DC" w:rsidRPr="000F166D" w:rsidRDefault="004912DC" w:rsidP="00906890">
            <w:pPr>
              <w:suppressAutoHyphens/>
              <w:jc w:val="both"/>
              <w:rPr>
                <w:rFonts w:eastAsia="Calibri" w:cs="Arial"/>
                <w:color w:val="000000"/>
                <w:szCs w:val="20"/>
              </w:rPr>
            </w:pPr>
            <w:r w:rsidRPr="000F166D">
              <w:rPr>
                <w:rFonts w:eastAsia="Calibri" w:cs="Arial"/>
                <w:color w:val="000000"/>
                <w:szCs w:val="20"/>
              </w:rPr>
              <w:t>Vrednost kazalnika – prispevek k OP 2014 - 2020</w:t>
            </w:r>
          </w:p>
        </w:tc>
      </w:tr>
      <w:tr w:rsidR="004912DC" w:rsidRPr="000F166D" w14:paraId="6E956B6D" w14:textId="77777777" w:rsidTr="00906890">
        <w:tc>
          <w:tcPr>
            <w:tcW w:w="1372" w:type="dxa"/>
            <w:vMerge w:val="restart"/>
          </w:tcPr>
          <w:p w14:paraId="70CC5754" w14:textId="77777777" w:rsidR="004912DC" w:rsidRPr="000F166D" w:rsidRDefault="004912DC" w:rsidP="00906890">
            <w:pPr>
              <w:suppressAutoHyphens/>
              <w:jc w:val="both"/>
              <w:rPr>
                <w:rFonts w:eastAsia="Calibri" w:cs="Arial"/>
                <w:color w:val="000000"/>
                <w:szCs w:val="20"/>
              </w:rPr>
            </w:pPr>
            <w:r w:rsidRPr="000F166D">
              <w:rPr>
                <w:rFonts w:eastAsia="Calibri" w:cs="Arial"/>
                <w:color w:val="000000"/>
                <w:szCs w:val="20"/>
              </w:rPr>
              <w:t>3.1 MSP</w:t>
            </w:r>
          </w:p>
        </w:tc>
        <w:tc>
          <w:tcPr>
            <w:tcW w:w="1384" w:type="dxa"/>
            <w:vMerge w:val="restart"/>
          </w:tcPr>
          <w:p w14:paraId="6A3F153E" w14:textId="77777777" w:rsidR="004912DC" w:rsidRPr="000F166D" w:rsidRDefault="004912DC" w:rsidP="00906890">
            <w:pPr>
              <w:suppressAutoHyphens/>
              <w:jc w:val="both"/>
              <w:rPr>
                <w:rFonts w:eastAsia="Calibri" w:cs="Arial"/>
                <w:color w:val="000000"/>
                <w:szCs w:val="20"/>
              </w:rPr>
            </w:pPr>
            <w:r w:rsidRPr="000F166D">
              <w:rPr>
                <w:rFonts w:eastAsia="Calibri" w:cs="Arial"/>
                <w:color w:val="000000"/>
                <w:szCs w:val="20"/>
              </w:rPr>
              <w:t>Mikrokrediti</w:t>
            </w:r>
          </w:p>
        </w:tc>
        <w:tc>
          <w:tcPr>
            <w:tcW w:w="1198" w:type="dxa"/>
          </w:tcPr>
          <w:p w14:paraId="111EE2BD" w14:textId="77777777" w:rsidR="004912DC" w:rsidRPr="000F166D" w:rsidRDefault="004912DC" w:rsidP="00906890">
            <w:pPr>
              <w:suppressAutoHyphens/>
              <w:jc w:val="both"/>
              <w:rPr>
                <w:rFonts w:eastAsia="Calibri" w:cs="Arial"/>
                <w:color w:val="000000"/>
                <w:szCs w:val="20"/>
              </w:rPr>
            </w:pPr>
            <w:r w:rsidRPr="000F166D">
              <w:rPr>
                <w:rFonts w:eastAsia="Calibri" w:cs="Arial"/>
                <w:color w:val="000000"/>
                <w:szCs w:val="20"/>
              </w:rPr>
              <w:t>Kazalnik učinka</w:t>
            </w:r>
          </w:p>
        </w:tc>
        <w:tc>
          <w:tcPr>
            <w:tcW w:w="834" w:type="dxa"/>
          </w:tcPr>
          <w:p w14:paraId="68ED1FC2" w14:textId="77777777" w:rsidR="004912DC" w:rsidRPr="000F166D" w:rsidRDefault="004912DC" w:rsidP="00906890">
            <w:pPr>
              <w:suppressAutoHyphens/>
              <w:jc w:val="both"/>
              <w:rPr>
                <w:rFonts w:eastAsia="Calibri" w:cs="Arial"/>
                <w:color w:val="000000"/>
                <w:szCs w:val="20"/>
              </w:rPr>
            </w:pPr>
            <w:r w:rsidRPr="000F166D">
              <w:rPr>
                <w:rFonts w:eastAsia="Calibri" w:cs="Arial"/>
                <w:color w:val="000000"/>
                <w:szCs w:val="20"/>
              </w:rPr>
              <w:t>C001</w:t>
            </w:r>
          </w:p>
        </w:tc>
        <w:tc>
          <w:tcPr>
            <w:tcW w:w="2371" w:type="dxa"/>
          </w:tcPr>
          <w:p w14:paraId="6BE85108" w14:textId="77777777" w:rsidR="004912DC" w:rsidRPr="000F166D" w:rsidRDefault="004912DC" w:rsidP="00906890">
            <w:pPr>
              <w:suppressAutoHyphens/>
              <w:jc w:val="both"/>
              <w:rPr>
                <w:rFonts w:eastAsia="Calibri" w:cs="Arial"/>
                <w:color w:val="000000"/>
                <w:szCs w:val="20"/>
              </w:rPr>
            </w:pPr>
            <w:r w:rsidRPr="000F166D">
              <w:rPr>
                <w:rFonts w:eastAsia="Calibri" w:cs="Arial"/>
                <w:color w:val="000000"/>
                <w:szCs w:val="20"/>
              </w:rPr>
              <w:t>Število podprtih podjetij</w:t>
            </w:r>
          </w:p>
        </w:tc>
        <w:tc>
          <w:tcPr>
            <w:tcW w:w="1662" w:type="dxa"/>
          </w:tcPr>
          <w:p w14:paraId="4A798DE7" w14:textId="77777777" w:rsidR="004912DC" w:rsidRPr="000F166D" w:rsidRDefault="004912DC" w:rsidP="00906890">
            <w:pPr>
              <w:suppressAutoHyphens/>
              <w:jc w:val="both"/>
              <w:rPr>
                <w:rFonts w:eastAsia="Calibri" w:cs="Arial"/>
                <w:color w:val="000000"/>
                <w:szCs w:val="20"/>
              </w:rPr>
            </w:pPr>
            <w:r w:rsidRPr="000F166D">
              <w:rPr>
                <w:rFonts w:eastAsia="Calibri" w:cs="Arial"/>
                <w:color w:val="000000"/>
                <w:szCs w:val="20"/>
              </w:rPr>
              <w:t>40 podjetij/1 mio EUR</w:t>
            </w:r>
          </w:p>
        </w:tc>
        <w:tc>
          <w:tcPr>
            <w:tcW w:w="1777" w:type="dxa"/>
          </w:tcPr>
          <w:p w14:paraId="3445A345" w14:textId="77777777" w:rsidR="004912DC" w:rsidRPr="000F166D" w:rsidRDefault="004912DC" w:rsidP="00906890">
            <w:pPr>
              <w:suppressAutoHyphens/>
              <w:jc w:val="both"/>
              <w:rPr>
                <w:rFonts w:eastAsia="Calibri" w:cs="Arial"/>
                <w:color w:val="000000"/>
                <w:szCs w:val="20"/>
              </w:rPr>
            </w:pPr>
            <w:r w:rsidRPr="000F166D">
              <w:rPr>
                <w:rFonts w:eastAsia="Calibri" w:cs="Arial"/>
                <w:color w:val="000000"/>
                <w:szCs w:val="20"/>
              </w:rPr>
              <w:t>3.200 podjetij</w:t>
            </w:r>
          </w:p>
        </w:tc>
      </w:tr>
      <w:tr w:rsidR="004912DC" w:rsidRPr="000F166D" w14:paraId="7DDE10E3" w14:textId="77777777" w:rsidTr="00906890">
        <w:tc>
          <w:tcPr>
            <w:tcW w:w="1372" w:type="dxa"/>
            <w:vMerge/>
          </w:tcPr>
          <w:p w14:paraId="75471ADF" w14:textId="77777777" w:rsidR="004912DC" w:rsidRPr="000F166D" w:rsidRDefault="004912DC" w:rsidP="00906890">
            <w:pPr>
              <w:suppressAutoHyphens/>
              <w:jc w:val="both"/>
              <w:rPr>
                <w:rFonts w:eastAsia="Calibri" w:cs="Arial"/>
                <w:color w:val="000000"/>
                <w:szCs w:val="20"/>
              </w:rPr>
            </w:pPr>
          </w:p>
        </w:tc>
        <w:tc>
          <w:tcPr>
            <w:tcW w:w="1384" w:type="dxa"/>
            <w:vMerge/>
          </w:tcPr>
          <w:p w14:paraId="43DEDAF7" w14:textId="77777777" w:rsidR="004912DC" w:rsidRPr="000F166D" w:rsidRDefault="004912DC" w:rsidP="00906890">
            <w:pPr>
              <w:suppressAutoHyphens/>
              <w:jc w:val="both"/>
              <w:rPr>
                <w:rFonts w:eastAsia="Calibri" w:cs="Arial"/>
                <w:color w:val="000000"/>
                <w:szCs w:val="20"/>
              </w:rPr>
            </w:pPr>
          </w:p>
        </w:tc>
        <w:tc>
          <w:tcPr>
            <w:tcW w:w="1198" w:type="dxa"/>
          </w:tcPr>
          <w:p w14:paraId="57831C9B" w14:textId="77777777" w:rsidR="004912DC" w:rsidRPr="000F166D" w:rsidRDefault="004912DC" w:rsidP="00906890">
            <w:pPr>
              <w:suppressAutoHyphens/>
              <w:jc w:val="both"/>
              <w:rPr>
                <w:rFonts w:eastAsia="Calibri" w:cs="Arial"/>
                <w:color w:val="000000"/>
                <w:szCs w:val="20"/>
              </w:rPr>
            </w:pPr>
            <w:r w:rsidRPr="000F166D">
              <w:rPr>
                <w:rFonts w:eastAsia="Calibri" w:cs="Arial"/>
                <w:color w:val="000000"/>
                <w:szCs w:val="20"/>
              </w:rPr>
              <w:t>Kazalnik učinka</w:t>
            </w:r>
          </w:p>
        </w:tc>
        <w:tc>
          <w:tcPr>
            <w:tcW w:w="834" w:type="dxa"/>
          </w:tcPr>
          <w:p w14:paraId="5BED4F35" w14:textId="77777777" w:rsidR="004912DC" w:rsidRPr="000F166D" w:rsidRDefault="004912DC" w:rsidP="00906890">
            <w:pPr>
              <w:suppressAutoHyphens/>
              <w:jc w:val="both"/>
              <w:rPr>
                <w:rFonts w:eastAsia="Calibri" w:cs="Arial"/>
                <w:color w:val="000000"/>
                <w:szCs w:val="20"/>
              </w:rPr>
            </w:pPr>
            <w:r w:rsidRPr="000F166D">
              <w:rPr>
                <w:rFonts w:eastAsia="Calibri" w:cs="Arial"/>
                <w:color w:val="000000"/>
                <w:szCs w:val="20"/>
              </w:rPr>
              <w:t>C008</w:t>
            </w:r>
          </w:p>
        </w:tc>
        <w:tc>
          <w:tcPr>
            <w:tcW w:w="2371" w:type="dxa"/>
          </w:tcPr>
          <w:p w14:paraId="3A04897C" w14:textId="77777777" w:rsidR="004912DC" w:rsidRPr="000F166D" w:rsidRDefault="004912DC" w:rsidP="00906890">
            <w:pPr>
              <w:suppressAutoHyphens/>
              <w:jc w:val="both"/>
              <w:rPr>
                <w:rFonts w:eastAsia="Calibri" w:cs="Arial"/>
                <w:color w:val="000000"/>
                <w:szCs w:val="20"/>
              </w:rPr>
            </w:pPr>
            <w:r w:rsidRPr="000F166D">
              <w:rPr>
                <w:rFonts w:eastAsia="Calibri" w:cs="Arial"/>
                <w:color w:val="000000"/>
                <w:szCs w:val="20"/>
              </w:rPr>
              <w:t>Število novih delovnih mest</w:t>
            </w:r>
          </w:p>
        </w:tc>
        <w:tc>
          <w:tcPr>
            <w:tcW w:w="1662" w:type="dxa"/>
          </w:tcPr>
          <w:p w14:paraId="5B1B1CBB" w14:textId="77777777" w:rsidR="004912DC" w:rsidRPr="000F166D" w:rsidRDefault="004912DC" w:rsidP="00906890">
            <w:pPr>
              <w:suppressAutoHyphens/>
              <w:jc w:val="both"/>
              <w:rPr>
                <w:rFonts w:eastAsia="Calibri" w:cs="Arial"/>
                <w:color w:val="000000"/>
                <w:szCs w:val="20"/>
              </w:rPr>
            </w:pPr>
            <w:r w:rsidRPr="000F166D">
              <w:rPr>
                <w:rFonts w:eastAsia="Calibri" w:cs="Arial"/>
                <w:color w:val="000000"/>
                <w:szCs w:val="20"/>
              </w:rPr>
              <w:t>1 delovno mesto/1 mio EUR</w:t>
            </w:r>
          </w:p>
        </w:tc>
        <w:tc>
          <w:tcPr>
            <w:tcW w:w="1777" w:type="dxa"/>
          </w:tcPr>
          <w:p w14:paraId="3A2A2519" w14:textId="77777777" w:rsidR="004912DC" w:rsidRPr="000F166D" w:rsidRDefault="004912DC" w:rsidP="00906890">
            <w:pPr>
              <w:suppressAutoHyphens/>
              <w:jc w:val="both"/>
              <w:rPr>
                <w:rFonts w:eastAsia="Calibri" w:cs="Arial"/>
                <w:color w:val="000000"/>
                <w:szCs w:val="20"/>
              </w:rPr>
            </w:pPr>
            <w:r w:rsidRPr="000F166D">
              <w:rPr>
                <w:rFonts w:eastAsia="Calibri" w:cs="Arial"/>
                <w:color w:val="000000"/>
                <w:szCs w:val="20"/>
              </w:rPr>
              <w:t>80 delovnih mest</w:t>
            </w:r>
          </w:p>
        </w:tc>
      </w:tr>
      <w:tr w:rsidR="004912DC" w:rsidRPr="000F166D" w14:paraId="4AF13D12" w14:textId="77777777" w:rsidTr="00906890">
        <w:tc>
          <w:tcPr>
            <w:tcW w:w="1372" w:type="dxa"/>
            <w:vMerge/>
          </w:tcPr>
          <w:p w14:paraId="4B3AC861" w14:textId="77777777" w:rsidR="004912DC" w:rsidRPr="000F166D" w:rsidRDefault="004912DC" w:rsidP="00906890">
            <w:pPr>
              <w:suppressAutoHyphens/>
              <w:jc w:val="both"/>
              <w:rPr>
                <w:rFonts w:eastAsia="Calibri" w:cs="Arial"/>
                <w:color w:val="000000"/>
                <w:szCs w:val="20"/>
              </w:rPr>
            </w:pPr>
          </w:p>
        </w:tc>
        <w:tc>
          <w:tcPr>
            <w:tcW w:w="1384" w:type="dxa"/>
            <w:vMerge w:val="restart"/>
          </w:tcPr>
          <w:p w14:paraId="29260B14" w14:textId="77777777" w:rsidR="004912DC" w:rsidRPr="000F166D" w:rsidRDefault="004912DC" w:rsidP="00906890">
            <w:pPr>
              <w:suppressAutoHyphens/>
              <w:jc w:val="both"/>
              <w:rPr>
                <w:rFonts w:eastAsia="Calibri" w:cs="Arial"/>
                <w:color w:val="000000"/>
                <w:szCs w:val="20"/>
              </w:rPr>
            </w:pPr>
            <w:r w:rsidRPr="000F166D">
              <w:rPr>
                <w:rFonts w:eastAsia="Calibri" w:cs="Arial"/>
                <w:color w:val="000000"/>
                <w:szCs w:val="20"/>
              </w:rPr>
              <w:t>Portfeljske garancije</w:t>
            </w:r>
          </w:p>
        </w:tc>
        <w:tc>
          <w:tcPr>
            <w:tcW w:w="1198" w:type="dxa"/>
          </w:tcPr>
          <w:p w14:paraId="3383CFF0" w14:textId="77777777" w:rsidR="004912DC" w:rsidRPr="000F166D" w:rsidRDefault="004912DC" w:rsidP="00906890">
            <w:pPr>
              <w:suppressAutoHyphens/>
              <w:jc w:val="both"/>
              <w:rPr>
                <w:rFonts w:eastAsia="Calibri" w:cs="Arial"/>
                <w:color w:val="000000"/>
                <w:szCs w:val="20"/>
              </w:rPr>
            </w:pPr>
            <w:r w:rsidRPr="000F166D">
              <w:rPr>
                <w:rFonts w:eastAsia="Calibri" w:cs="Arial"/>
                <w:color w:val="000000"/>
                <w:szCs w:val="20"/>
              </w:rPr>
              <w:t>Kazalnik učinka</w:t>
            </w:r>
          </w:p>
        </w:tc>
        <w:tc>
          <w:tcPr>
            <w:tcW w:w="834" w:type="dxa"/>
          </w:tcPr>
          <w:p w14:paraId="62CD0393" w14:textId="77777777" w:rsidR="004912DC" w:rsidRPr="000F166D" w:rsidRDefault="004912DC" w:rsidP="00906890">
            <w:pPr>
              <w:suppressAutoHyphens/>
              <w:jc w:val="both"/>
              <w:rPr>
                <w:rFonts w:eastAsia="Calibri" w:cs="Arial"/>
                <w:color w:val="000000"/>
                <w:szCs w:val="20"/>
              </w:rPr>
            </w:pPr>
            <w:r w:rsidRPr="000F166D">
              <w:rPr>
                <w:rFonts w:eastAsia="Calibri" w:cs="Arial"/>
                <w:color w:val="000000"/>
                <w:szCs w:val="20"/>
              </w:rPr>
              <w:t>C001</w:t>
            </w:r>
          </w:p>
        </w:tc>
        <w:tc>
          <w:tcPr>
            <w:tcW w:w="2371" w:type="dxa"/>
          </w:tcPr>
          <w:p w14:paraId="6E0F12FD" w14:textId="77777777" w:rsidR="004912DC" w:rsidRPr="000F166D" w:rsidRDefault="004912DC" w:rsidP="00906890">
            <w:pPr>
              <w:suppressAutoHyphens/>
              <w:jc w:val="both"/>
              <w:rPr>
                <w:rFonts w:eastAsia="Calibri" w:cs="Arial"/>
                <w:color w:val="000000"/>
                <w:szCs w:val="20"/>
              </w:rPr>
            </w:pPr>
            <w:r w:rsidRPr="000F166D">
              <w:rPr>
                <w:rFonts w:eastAsia="Calibri" w:cs="Arial"/>
                <w:color w:val="000000"/>
                <w:szCs w:val="20"/>
              </w:rPr>
              <w:t>Število podprtih podjetij</w:t>
            </w:r>
          </w:p>
        </w:tc>
        <w:tc>
          <w:tcPr>
            <w:tcW w:w="1662" w:type="dxa"/>
          </w:tcPr>
          <w:p w14:paraId="53586606" w14:textId="77777777" w:rsidR="004912DC" w:rsidRPr="000F166D" w:rsidRDefault="004912DC" w:rsidP="00906890">
            <w:pPr>
              <w:suppressAutoHyphens/>
              <w:jc w:val="both"/>
              <w:rPr>
                <w:rFonts w:eastAsia="Calibri" w:cs="Arial"/>
                <w:color w:val="000000"/>
                <w:szCs w:val="20"/>
              </w:rPr>
            </w:pPr>
            <w:r w:rsidRPr="000F166D">
              <w:rPr>
                <w:rFonts w:eastAsia="Calibri" w:cs="Arial"/>
                <w:color w:val="000000"/>
                <w:szCs w:val="20"/>
              </w:rPr>
              <w:t>6 MSP/1 mio EUR</w:t>
            </w:r>
          </w:p>
        </w:tc>
        <w:tc>
          <w:tcPr>
            <w:tcW w:w="1777" w:type="dxa"/>
          </w:tcPr>
          <w:p w14:paraId="014EE699" w14:textId="77777777" w:rsidR="004912DC" w:rsidRPr="000F166D" w:rsidRDefault="004912DC" w:rsidP="00906890">
            <w:pPr>
              <w:suppressAutoHyphens/>
              <w:jc w:val="both"/>
              <w:rPr>
                <w:rFonts w:eastAsia="Calibri" w:cs="Arial"/>
                <w:color w:val="000000"/>
                <w:szCs w:val="20"/>
              </w:rPr>
            </w:pPr>
            <w:r w:rsidRPr="000F166D">
              <w:rPr>
                <w:rFonts w:eastAsia="Calibri" w:cs="Arial"/>
                <w:color w:val="000000"/>
                <w:szCs w:val="20"/>
              </w:rPr>
              <w:t>520 podjetij</w:t>
            </w:r>
          </w:p>
        </w:tc>
      </w:tr>
      <w:tr w:rsidR="004912DC" w:rsidRPr="000F166D" w14:paraId="17E7B8B0" w14:textId="77777777" w:rsidTr="00906890">
        <w:tc>
          <w:tcPr>
            <w:tcW w:w="1372" w:type="dxa"/>
            <w:vMerge/>
          </w:tcPr>
          <w:p w14:paraId="23C0ABF1" w14:textId="77777777" w:rsidR="004912DC" w:rsidRPr="000F166D" w:rsidRDefault="004912DC" w:rsidP="00906890">
            <w:pPr>
              <w:suppressAutoHyphens/>
              <w:jc w:val="both"/>
              <w:rPr>
                <w:rFonts w:eastAsia="Calibri" w:cs="Arial"/>
                <w:color w:val="000000"/>
                <w:szCs w:val="20"/>
              </w:rPr>
            </w:pPr>
          </w:p>
        </w:tc>
        <w:tc>
          <w:tcPr>
            <w:tcW w:w="1384" w:type="dxa"/>
            <w:vMerge/>
          </w:tcPr>
          <w:p w14:paraId="3190F7AC" w14:textId="77777777" w:rsidR="004912DC" w:rsidRPr="000F166D" w:rsidRDefault="004912DC" w:rsidP="00906890">
            <w:pPr>
              <w:suppressAutoHyphens/>
              <w:jc w:val="both"/>
              <w:rPr>
                <w:rFonts w:eastAsia="Calibri" w:cs="Arial"/>
                <w:color w:val="000000"/>
                <w:szCs w:val="20"/>
              </w:rPr>
            </w:pPr>
          </w:p>
        </w:tc>
        <w:tc>
          <w:tcPr>
            <w:tcW w:w="1198" w:type="dxa"/>
          </w:tcPr>
          <w:p w14:paraId="217A4107" w14:textId="77777777" w:rsidR="004912DC" w:rsidRPr="000F166D" w:rsidRDefault="004912DC" w:rsidP="00906890">
            <w:pPr>
              <w:suppressAutoHyphens/>
              <w:jc w:val="both"/>
              <w:rPr>
                <w:rFonts w:eastAsia="Calibri" w:cs="Arial"/>
                <w:color w:val="000000"/>
                <w:szCs w:val="20"/>
              </w:rPr>
            </w:pPr>
            <w:r w:rsidRPr="000F166D">
              <w:rPr>
                <w:rFonts w:eastAsia="Calibri" w:cs="Arial"/>
                <w:color w:val="000000"/>
                <w:szCs w:val="20"/>
              </w:rPr>
              <w:t>Kazalnik učinka</w:t>
            </w:r>
          </w:p>
        </w:tc>
        <w:tc>
          <w:tcPr>
            <w:tcW w:w="834" w:type="dxa"/>
          </w:tcPr>
          <w:p w14:paraId="6A1D5E37" w14:textId="77777777" w:rsidR="004912DC" w:rsidRPr="000F166D" w:rsidRDefault="004912DC" w:rsidP="00906890">
            <w:pPr>
              <w:suppressAutoHyphens/>
              <w:jc w:val="both"/>
              <w:rPr>
                <w:rFonts w:eastAsia="Calibri" w:cs="Arial"/>
                <w:color w:val="000000"/>
                <w:szCs w:val="20"/>
              </w:rPr>
            </w:pPr>
            <w:r w:rsidRPr="000F166D">
              <w:rPr>
                <w:rFonts w:eastAsia="Calibri" w:cs="Arial"/>
                <w:color w:val="000000"/>
                <w:szCs w:val="20"/>
              </w:rPr>
              <w:t>C008</w:t>
            </w:r>
          </w:p>
        </w:tc>
        <w:tc>
          <w:tcPr>
            <w:tcW w:w="2371" w:type="dxa"/>
          </w:tcPr>
          <w:p w14:paraId="03B4586C" w14:textId="77777777" w:rsidR="004912DC" w:rsidRPr="000F166D" w:rsidRDefault="004912DC" w:rsidP="00906890">
            <w:pPr>
              <w:suppressAutoHyphens/>
              <w:jc w:val="both"/>
              <w:rPr>
                <w:rFonts w:eastAsia="Calibri" w:cs="Arial"/>
                <w:color w:val="000000"/>
                <w:szCs w:val="20"/>
              </w:rPr>
            </w:pPr>
            <w:r w:rsidRPr="000F166D">
              <w:rPr>
                <w:rFonts w:eastAsia="Calibri" w:cs="Arial"/>
                <w:color w:val="000000"/>
                <w:szCs w:val="20"/>
              </w:rPr>
              <w:t>Število novih delovnih mest</w:t>
            </w:r>
          </w:p>
        </w:tc>
        <w:tc>
          <w:tcPr>
            <w:tcW w:w="1662" w:type="dxa"/>
          </w:tcPr>
          <w:p w14:paraId="38B0E50D" w14:textId="77777777" w:rsidR="004912DC" w:rsidRPr="000F166D" w:rsidRDefault="004912DC" w:rsidP="00906890">
            <w:pPr>
              <w:suppressAutoHyphens/>
              <w:jc w:val="both"/>
              <w:rPr>
                <w:rFonts w:eastAsia="Calibri" w:cs="Arial"/>
                <w:color w:val="000000"/>
                <w:szCs w:val="20"/>
              </w:rPr>
            </w:pPr>
            <w:r w:rsidRPr="000F166D">
              <w:rPr>
                <w:rFonts w:eastAsia="Calibri" w:cs="Arial"/>
                <w:color w:val="000000"/>
                <w:szCs w:val="20"/>
              </w:rPr>
              <w:t>1,5 delovnih mest/1 mio EUR</w:t>
            </w:r>
          </w:p>
        </w:tc>
        <w:tc>
          <w:tcPr>
            <w:tcW w:w="1777" w:type="dxa"/>
          </w:tcPr>
          <w:p w14:paraId="754FF7F0" w14:textId="77777777" w:rsidR="004912DC" w:rsidRPr="000F166D" w:rsidRDefault="004912DC" w:rsidP="00906890">
            <w:pPr>
              <w:suppressAutoHyphens/>
              <w:rPr>
                <w:rFonts w:eastAsia="Calibri" w:cs="Arial"/>
                <w:color w:val="000000"/>
                <w:szCs w:val="20"/>
              </w:rPr>
            </w:pPr>
            <w:r w:rsidRPr="000F166D">
              <w:rPr>
                <w:rFonts w:eastAsia="Calibri" w:cs="Arial"/>
                <w:color w:val="000000"/>
                <w:szCs w:val="20"/>
              </w:rPr>
              <w:t>129 delovnih mest</w:t>
            </w:r>
          </w:p>
        </w:tc>
      </w:tr>
      <w:tr w:rsidR="004912DC" w:rsidRPr="000F166D" w14:paraId="4DDBD325" w14:textId="77777777" w:rsidTr="00906890">
        <w:trPr>
          <w:trHeight w:val="579"/>
        </w:trPr>
        <w:tc>
          <w:tcPr>
            <w:tcW w:w="1372" w:type="dxa"/>
            <w:vMerge/>
          </w:tcPr>
          <w:p w14:paraId="2FA4ED36" w14:textId="77777777" w:rsidR="004912DC" w:rsidRPr="000F166D" w:rsidRDefault="004912DC" w:rsidP="00906890">
            <w:pPr>
              <w:suppressAutoHyphens/>
              <w:jc w:val="both"/>
              <w:rPr>
                <w:rFonts w:eastAsia="Calibri" w:cs="Arial"/>
                <w:color w:val="000000"/>
                <w:szCs w:val="20"/>
              </w:rPr>
            </w:pPr>
          </w:p>
        </w:tc>
        <w:tc>
          <w:tcPr>
            <w:tcW w:w="1384" w:type="dxa"/>
            <w:vMerge/>
          </w:tcPr>
          <w:p w14:paraId="652D1013" w14:textId="77777777" w:rsidR="004912DC" w:rsidRPr="000F166D" w:rsidRDefault="004912DC" w:rsidP="00906890">
            <w:pPr>
              <w:suppressAutoHyphens/>
              <w:jc w:val="both"/>
              <w:rPr>
                <w:rFonts w:eastAsia="Calibri" w:cs="Arial"/>
                <w:color w:val="000000"/>
                <w:szCs w:val="20"/>
              </w:rPr>
            </w:pPr>
          </w:p>
        </w:tc>
        <w:tc>
          <w:tcPr>
            <w:tcW w:w="1198" w:type="dxa"/>
          </w:tcPr>
          <w:p w14:paraId="0CCE927B" w14:textId="77777777" w:rsidR="004912DC" w:rsidRPr="000F166D" w:rsidRDefault="004912DC" w:rsidP="00906890">
            <w:pPr>
              <w:suppressAutoHyphens/>
              <w:jc w:val="both"/>
              <w:rPr>
                <w:rFonts w:eastAsia="Calibri" w:cs="Arial"/>
                <w:color w:val="000000"/>
                <w:szCs w:val="20"/>
              </w:rPr>
            </w:pPr>
            <w:r w:rsidRPr="000F166D">
              <w:rPr>
                <w:rFonts w:eastAsia="Calibri" w:cs="Arial"/>
                <w:color w:val="000000"/>
                <w:szCs w:val="20"/>
              </w:rPr>
              <w:t>Kazalnik učinka</w:t>
            </w:r>
          </w:p>
        </w:tc>
        <w:tc>
          <w:tcPr>
            <w:tcW w:w="834" w:type="dxa"/>
          </w:tcPr>
          <w:p w14:paraId="6BD62989" w14:textId="77777777" w:rsidR="004912DC" w:rsidRPr="000F166D" w:rsidRDefault="004912DC" w:rsidP="00906890">
            <w:pPr>
              <w:suppressAutoHyphens/>
              <w:jc w:val="both"/>
              <w:rPr>
                <w:rFonts w:eastAsia="Calibri" w:cs="Arial"/>
                <w:color w:val="000000"/>
                <w:szCs w:val="20"/>
              </w:rPr>
            </w:pPr>
            <w:r w:rsidRPr="000F166D">
              <w:rPr>
                <w:rFonts w:eastAsia="Calibri" w:cs="Arial"/>
                <w:color w:val="000000"/>
                <w:szCs w:val="20"/>
              </w:rPr>
              <w:t>3.7</w:t>
            </w:r>
          </w:p>
        </w:tc>
        <w:tc>
          <w:tcPr>
            <w:tcW w:w="2371" w:type="dxa"/>
          </w:tcPr>
          <w:p w14:paraId="12045719" w14:textId="77777777" w:rsidR="004912DC" w:rsidRPr="000F166D" w:rsidRDefault="004912DC" w:rsidP="00906890">
            <w:pPr>
              <w:suppressAutoHyphens/>
              <w:jc w:val="both"/>
              <w:rPr>
                <w:rFonts w:eastAsia="Calibri" w:cs="Arial"/>
                <w:color w:val="000000"/>
                <w:szCs w:val="20"/>
              </w:rPr>
            </w:pPr>
            <w:r w:rsidRPr="000F166D">
              <w:rPr>
                <w:rFonts w:eastAsia="Calibri" w:cs="Arial"/>
                <w:color w:val="000000"/>
                <w:szCs w:val="20"/>
              </w:rPr>
              <w:t>Število podjetij, ki so uvedla ukrepe za učinkovito ravnanje z viri</w:t>
            </w:r>
          </w:p>
        </w:tc>
        <w:tc>
          <w:tcPr>
            <w:tcW w:w="1662" w:type="dxa"/>
          </w:tcPr>
          <w:p w14:paraId="4B8E03F7" w14:textId="77777777" w:rsidR="004912DC" w:rsidRPr="000F166D" w:rsidRDefault="004912DC" w:rsidP="00906890">
            <w:pPr>
              <w:suppressAutoHyphens/>
              <w:jc w:val="both"/>
              <w:rPr>
                <w:rFonts w:eastAsia="Calibri" w:cs="Arial"/>
                <w:color w:val="000000"/>
                <w:szCs w:val="20"/>
              </w:rPr>
            </w:pPr>
            <w:r w:rsidRPr="000F166D">
              <w:rPr>
                <w:rFonts w:eastAsia="Calibri" w:cs="Arial"/>
                <w:color w:val="000000"/>
                <w:szCs w:val="20"/>
              </w:rPr>
              <w:t>6 MSP/1 mio EUR</w:t>
            </w:r>
          </w:p>
        </w:tc>
        <w:tc>
          <w:tcPr>
            <w:tcW w:w="1777" w:type="dxa"/>
          </w:tcPr>
          <w:p w14:paraId="223B092D" w14:textId="77777777" w:rsidR="004912DC" w:rsidRPr="000F166D" w:rsidRDefault="004912DC" w:rsidP="00906890">
            <w:pPr>
              <w:suppressAutoHyphens/>
              <w:jc w:val="both"/>
              <w:rPr>
                <w:rFonts w:eastAsia="Calibri" w:cs="Arial"/>
                <w:color w:val="000000"/>
                <w:szCs w:val="20"/>
              </w:rPr>
            </w:pPr>
            <w:r>
              <w:rPr>
                <w:rFonts w:eastAsia="Calibri" w:cs="Arial"/>
                <w:color w:val="000000"/>
                <w:szCs w:val="20"/>
              </w:rPr>
              <w:t>200</w:t>
            </w:r>
            <w:r w:rsidRPr="000F166D">
              <w:rPr>
                <w:rFonts w:eastAsia="Calibri" w:cs="Arial"/>
                <w:color w:val="000000"/>
                <w:szCs w:val="20"/>
              </w:rPr>
              <w:t xml:space="preserve"> podjetij</w:t>
            </w:r>
          </w:p>
        </w:tc>
      </w:tr>
      <w:tr w:rsidR="004912DC" w:rsidRPr="000F166D" w14:paraId="4E93D0CC" w14:textId="77777777" w:rsidTr="00906890">
        <w:tc>
          <w:tcPr>
            <w:tcW w:w="1372" w:type="dxa"/>
            <w:vMerge/>
          </w:tcPr>
          <w:p w14:paraId="05401D71" w14:textId="77777777" w:rsidR="004912DC" w:rsidRPr="000F166D" w:rsidRDefault="004912DC" w:rsidP="00906890">
            <w:pPr>
              <w:suppressAutoHyphens/>
              <w:jc w:val="both"/>
              <w:rPr>
                <w:rFonts w:eastAsia="Calibri" w:cs="Arial"/>
                <w:color w:val="000000"/>
                <w:szCs w:val="20"/>
              </w:rPr>
            </w:pPr>
          </w:p>
        </w:tc>
        <w:tc>
          <w:tcPr>
            <w:tcW w:w="1384" w:type="dxa"/>
          </w:tcPr>
          <w:p w14:paraId="07B63A37" w14:textId="77777777" w:rsidR="004912DC" w:rsidRPr="000F166D" w:rsidRDefault="004912DC" w:rsidP="00906890">
            <w:pPr>
              <w:suppressAutoHyphens/>
              <w:jc w:val="both"/>
              <w:rPr>
                <w:rFonts w:eastAsia="Calibri" w:cs="Arial"/>
                <w:color w:val="000000"/>
                <w:szCs w:val="20"/>
              </w:rPr>
            </w:pPr>
            <w:r w:rsidRPr="000F166D">
              <w:rPr>
                <w:rFonts w:eastAsia="Calibri" w:cs="Arial"/>
                <w:color w:val="000000"/>
                <w:szCs w:val="20"/>
              </w:rPr>
              <w:t>Lastniško financiranje</w:t>
            </w:r>
          </w:p>
        </w:tc>
        <w:tc>
          <w:tcPr>
            <w:tcW w:w="1198" w:type="dxa"/>
          </w:tcPr>
          <w:p w14:paraId="74E4125D" w14:textId="77777777" w:rsidR="004912DC" w:rsidRPr="000F166D" w:rsidRDefault="004912DC" w:rsidP="00906890">
            <w:pPr>
              <w:suppressAutoHyphens/>
              <w:jc w:val="both"/>
              <w:rPr>
                <w:rFonts w:eastAsia="Calibri" w:cs="Arial"/>
                <w:color w:val="000000"/>
                <w:szCs w:val="20"/>
              </w:rPr>
            </w:pPr>
            <w:r w:rsidRPr="000F166D">
              <w:rPr>
                <w:rFonts w:eastAsia="Calibri" w:cs="Arial"/>
                <w:color w:val="000000"/>
                <w:szCs w:val="20"/>
              </w:rPr>
              <w:t>Kazalnik učinka</w:t>
            </w:r>
          </w:p>
        </w:tc>
        <w:tc>
          <w:tcPr>
            <w:tcW w:w="834" w:type="dxa"/>
          </w:tcPr>
          <w:p w14:paraId="6CA17770" w14:textId="77777777" w:rsidR="004912DC" w:rsidRPr="000F166D" w:rsidRDefault="004912DC" w:rsidP="00906890">
            <w:pPr>
              <w:suppressAutoHyphens/>
              <w:jc w:val="both"/>
              <w:rPr>
                <w:rFonts w:eastAsia="Calibri" w:cs="Arial"/>
                <w:color w:val="000000"/>
                <w:szCs w:val="20"/>
              </w:rPr>
            </w:pPr>
            <w:r w:rsidRPr="000F166D">
              <w:rPr>
                <w:rFonts w:eastAsia="Calibri" w:cs="Arial"/>
                <w:color w:val="000000"/>
                <w:szCs w:val="20"/>
              </w:rPr>
              <w:t>C001</w:t>
            </w:r>
          </w:p>
        </w:tc>
        <w:tc>
          <w:tcPr>
            <w:tcW w:w="2371" w:type="dxa"/>
          </w:tcPr>
          <w:p w14:paraId="096FF50F" w14:textId="77777777" w:rsidR="004912DC" w:rsidRPr="000F166D" w:rsidRDefault="004912DC" w:rsidP="00906890">
            <w:pPr>
              <w:suppressAutoHyphens/>
              <w:jc w:val="both"/>
              <w:rPr>
                <w:rFonts w:eastAsia="Calibri" w:cs="Arial"/>
                <w:color w:val="000000"/>
                <w:szCs w:val="20"/>
              </w:rPr>
            </w:pPr>
            <w:r w:rsidRPr="000F166D">
              <w:rPr>
                <w:rFonts w:eastAsia="Calibri" w:cs="Arial"/>
                <w:color w:val="000000"/>
                <w:szCs w:val="20"/>
              </w:rPr>
              <w:t>Število podprtih podjetij</w:t>
            </w:r>
          </w:p>
        </w:tc>
        <w:tc>
          <w:tcPr>
            <w:tcW w:w="1662" w:type="dxa"/>
          </w:tcPr>
          <w:p w14:paraId="2718ED2F" w14:textId="77777777" w:rsidR="004912DC" w:rsidRPr="000F166D" w:rsidRDefault="004912DC" w:rsidP="00906890">
            <w:pPr>
              <w:suppressAutoHyphens/>
              <w:jc w:val="both"/>
              <w:rPr>
                <w:rFonts w:eastAsia="Calibri" w:cs="Arial"/>
                <w:color w:val="000000"/>
                <w:szCs w:val="20"/>
              </w:rPr>
            </w:pPr>
            <w:r w:rsidRPr="000F166D">
              <w:rPr>
                <w:rFonts w:eastAsia="Calibri" w:cs="Arial"/>
                <w:color w:val="000000"/>
                <w:szCs w:val="20"/>
              </w:rPr>
              <w:t>5 MSP/1 mio EUR</w:t>
            </w:r>
          </w:p>
        </w:tc>
        <w:tc>
          <w:tcPr>
            <w:tcW w:w="1777" w:type="dxa"/>
          </w:tcPr>
          <w:p w14:paraId="024FE86A" w14:textId="77777777" w:rsidR="004912DC" w:rsidRPr="000F166D" w:rsidRDefault="004912DC" w:rsidP="00906890">
            <w:pPr>
              <w:suppressAutoHyphens/>
              <w:jc w:val="both"/>
              <w:rPr>
                <w:rFonts w:eastAsia="Calibri" w:cs="Arial"/>
                <w:color w:val="000000"/>
                <w:szCs w:val="20"/>
              </w:rPr>
            </w:pPr>
            <w:r w:rsidRPr="000F166D">
              <w:rPr>
                <w:rFonts w:eastAsia="Calibri" w:cs="Arial"/>
                <w:color w:val="000000"/>
                <w:szCs w:val="20"/>
              </w:rPr>
              <w:t>66 podjetij</w:t>
            </w:r>
          </w:p>
        </w:tc>
      </w:tr>
      <w:tr w:rsidR="004912DC" w:rsidRPr="000F166D" w14:paraId="2D974A48" w14:textId="77777777" w:rsidTr="00906890">
        <w:tc>
          <w:tcPr>
            <w:tcW w:w="1372" w:type="dxa"/>
            <w:vMerge w:val="restart"/>
          </w:tcPr>
          <w:p w14:paraId="17BDF4FC" w14:textId="77777777" w:rsidR="004912DC" w:rsidRPr="000F166D" w:rsidRDefault="004912DC" w:rsidP="00906890">
            <w:pPr>
              <w:suppressAutoHyphens/>
              <w:jc w:val="both"/>
              <w:rPr>
                <w:rFonts w:eastAsia="Calibri" w:cs="Arial"/>
                <w:color w:val="000000"/>
                <w:szCs w:val="20"/>
              </w:rPr>
            </w:pPr>
            <w:r w:rsidRPr="000F166D">
              <w:rPr>
                <w:rFonts w:eastAsia="Calibri" w:cs="Arial"/>
                <w:color w:val="000000"/>
                <w:szCs w:val="20"/>
              </w:rPr>
              <w:t>1.2 RRI</w:t>
            </w:r>
          </w:p>
        </w:tc>
        <w:tc>
          <w:tcPr>
            <w:tcW w:w="1384" w:type="dxa"/>
          </w:tcPr>
          <w:p w14:paraId="6D6C2DFA" w14:textId="77777777" w:rsidR="004912DC" w:rsidRPr="000F166D" w:rsidRDefault="004912DC" w:rsidP="00906890">
            <w:pPr>
              <w:suppressAutoHyphens/>
              <w:jc w:val="both"/>
              <w:rPr>
                <w:rFonts w:eastAsia="Calibri" w:cs="Arial"/>
                <w:color w:val="000000"/>
                <w:szCs w:val="20"/>
              </w:rPr>
            </w:pPr>
            <w:r w:rsidRPr="000F166D">
              <w:rPr>
                <w:rFonts w:eastAsia="Calibri" w:cs="Arial"/>
                <w:color w:val="000000"/>
                <w:szCs w:val="20"/>
              </w:rPr>
              <w:t>Posojila</w:t>
            </w:r>
          </w:p>
        </w:tc>
        <w:tc>
          <w:tcPr>
            <w:tcW w:w="1198" w:type="dxa"/>
          </w:tcPr>
          <w:p w14:paraId="6A2CC621" w14:textId="77777777" w:rsidR="004912DC" w:rsidRPr="000F166D" w:rsidRDefault="004912DC" w:rsidP="00906890">
            <w:pPr>
              <w:suppressAutoHyphens/>
              <w:jc w:val="both"/>
              <w:rPr>
                <w:rFonts w:eastAsia="Calibri" w:cs="Arial"/>
                <w:color w:val="000000"/>
                <w:szCs w:val="20"/>
              </w:rPr>
            </w:pPr>
            <w:r w:rsidRPr="000F166D">
              <w:rPr>
                <w:rFonts w:eastAsia="Calibri" w:cs="Arial"/>
                <w:color w:val="000000"/>
                <w:szCs w:val="20"/>
              </w:rPr>
              <w:t>Kazalnik učinka</w:t>
            </w:r>
          </w:p>
        </w:tc>
        <w:tc>
          <w:tcPr>
            <w:tcW w:w="834" w:type="dxa"/>
          </w:tcPr>
          <w:p w14:paraId="52B9D8FF" w14:textId="77777777" w:rsidR="004912DC" w:rsidRPr="000F166D" w:rsidRDefault="004912DC" w:rsidP="00906890">
            <w:pPr>
              <w:suppressAutoHyphens/>
              <w:jc w:val="both"/>
              <w:rPr>
                <w:rFonts w:eastAsia="Calibri" w:cs="Arial"/>
                <w:color w:val="000000"/>
                <w:szCs w:val="20"/>
              </w:rPr>
            </w:pPr>
            <w:r w:rsidRPr="000F166D">
              <w:rPr>
                <w:rFonts w:eastAsia="Calibri" w:cs="Arial"/>
                <w:color w:val="000000"/>
                <w:szCs w:val="20"/>
              </w:rPr>
              <w:t>C001</w:t>
            </w:r>
          </w:p>
        </w:tc>
        <w:tc>
          <w:tcPr>
            <w:tcW w:w="2371" w:type="dxa"/>
          </w:tcPr>
          <w:p w14:paraId="3EC695E3" w14:textId="77777777" w:rsidR="004912DC" w:rsidRPr="000F166D" w:rsidRDefault="004912DC" w:rsidP="00906890">
            <w:pPr>
              <w:suppressAutoHyphens/>
              <w:jc w:val="both"/>
              <w:rPr>
                <w:rFonts w:eastAsia="Calibri" w:cs="Arial"/>
                <w:color w:val="000000"/>
                <w:szCs w:val="20"/>
              </w:rPr>
            </w:pPr>
            <w:r w:rsidRPr="000F166D">
              <w:rPr>
                <w:rFonts w:eastAsia="Calibri" w:cs="Arial"/>
                <w:color w:val="000000"/>
                <w:szCs w:val="20"/>
              </w:rPr>
              <w:t>Število podprtih podjetij</w:t>
            </w:r>
          </w:p>
        </w:tc>
        <w:tc>
          <w:tcPr>
            <w:tcW w:w="1662" w:type="dxa"/>
          </w:tcPr>
          <w:p w14:paraId="63710AD7" w14:textId="2BA87884" w:rsidR="004912DC" w:rsidRPr="000F166D" w:rsidRDefault="003F02D6" w:rsidP="00906890">
            <w:pPr>
              <w:suppressAutoHyphens/>
              <w:jc w:val="both"/>
              <w:rPr>
                <w:rFonts w:eastAsia="Calibri" w:cs="Arial"/>
                <w:color w:val="000000"/>
                <w:szCs w:val="20"/>
              </w:rPr>
            </w:pPr>
            <w:r>
              <w:rPr>
                <w:rFonts w:eastAsia="Calibri" w:cs="Arial"/>
                <w:color w:val="000000"/>
                <w:szCs w:val="20"/>
              </w:rPr>
              <w:t>5</w:t>
            </w:r>
            <w:r w:rsidR="004912DC" w:rsidRPr="000F166D">
              <w:rPr>
                <w:rFonts w:eastAsia="Calibri" w:cs="Arial"/>
                <w:color w:val="000000"/>
                <w:szCs w:val="20"/>
              </w:rPr>
              <w:t xml:space="preserve"> </w:t>
            </w:r>
            <w:r w:rsidR="004912DC">
              <w:rPr>
                <w:rFonts w:eastAsia="Calibri" w:cs="Arial"/>
                <w:color w:val="000000"/>
                <w:szCs w:val="20"/>
              </w:rPr>
              <w:t>podjetij</w:t>
            </w:r>
            <w:r w:rsidR="004912DC" w:rsidRPr="000F166D">
              <w:rPr>
                <w:rFonts w:eastAsia="Calibri" w:cs="Arial"/>
                <w:color w:val="000000"/>
                <w:szCs w:val="20"/>
              </w:rPr>
              <w:t>/1 mio EUR</w:t>
            </w:r>
          </w:p>
        </w:tc>
        <w:tc>
          <w:tcPr>
            <w:tcW w:w="1777" w:type="dxa"/>
          </w:tcPr>
          <w:p w14:paraId="02B9D118" w14:textId="77777777" w:rsidR="004912DC" w:rsidRPr="000F166D" w:rsidRDefault="004912DC" w:rsidP="00906890">
            <w:pPr>
              <w:suppressAutoHyphens/>
              <w:jc w:val="both"/>
              <w:rPr>
                <w:rFonts w:eastAsia="Calibri" w:cs="Arial"/>
                <w:color w:val="000000"/>
                <w:szCs w:val="20"/>
              </w:rPr>
            </w:pPr>
            <w:r>
              <w:rPr>
                <w:rFonts w:eastAsia="Calibri" w:cs="Arial"/>
                <w:color w:val="000000"/>
                <w:szCs w:val="20"/>
              </w:rPr>
              <w:t>449 podjetij</w:t>
            </w:r>
          </w:p>
        </w:tc>
      </w:tr>
      <w:tr w:rsidR="004912DC" w:rsidRPr="000F166D" w14:paraId="6F690631" w14:textId="77777777" w:rsidTr="00906890">
        <w:tc>
          <w:tcPr>
            <w:tcW w:w="1372" w:type="dxa"/>
            <w:vMerge/>
          </w:tcPr>
          <w:p w14:paraId="2009675B" w14:textId="77777777" w:rsidR="004912DC" w:rsidRPr="000F166D" w:rsidRDefault="004912DC" w:rsidP="00906890">
            <w:pPr>
              <w:suppressAutoHyphens/>
              <w:jc w:val="both"/>
              <w:rPr>
                <w:rFonts w:eastAsia="Calibri" w:cs="Arial"/>
                <w:color w:val="000000"/>
                <w:szCs w:val="20"/>
              </w:rPr>
            </w:pPr>
          </w:p>
        </w:tc>
        <w:tc>
          <w:tcPr>
            <w:tcW w:w="1384" w:type="dxa"/>
          </w:tcPr>
          <w:p w14:paraId="23CEC535" w14:textId="77777777" w:rsidR="004912DC" w:rsidRPr="000F166D" w:rsidRDefault="004912DC" w:rsidP="00906890">
            <w:pPr>
              <w:suppressAutoHyphens/>
              <w:jc w:val="both"/>
              <w:rPr>
                <w:rFonts w:eastAsia="Calibri" w:cs="Arial"/>
                <w:color w:val="000000"/>
                <w:szCs w:val="20"/>
              </w:rPr>
            </w:pPr>
            <w:r w:rsidRPr="000F166D">
              <w:rPr>
                <w:rFonts w:eastAsia="Calibri" w:cs="Arial"/>
                <w:color w:val="000000"/>
                <w:szCs w:val="20"/>
              </w:rPr>
              <w:t>Portfeljske garancije</w:t>
            </w:r>
          </w:p>
        </w:tc>
        <w:tc>
          <w:tcPr>
            <w:tcW w:w="1198" w:type="dxa"/>
          </w:tcPr>
          <w:p w14:paraId="4E70501B" w14:textId="77777777" w:rsidR="004912DC" w:rsidRPr="000F166D" w:rsidRDefault="004912DC" w:rsidP="00906890">
            <w:pPr>
              <w:suppressAutoHyphens/>
              <w:jc w:val="both"/>
              <w:rPr>
                <w:rFonts w:eastAsia="Calibri" w:cs="Arial"/>
                <w:color w:val="000000"/>
                <w:szCs w:val="20"/>
              </w:rPr>
            </w:pPr>
            <w:r w:rsidRPr="000F166D">
              <w:rPr>
                <w:rFonts w:eastAsia="Calibri" w:cs="Arial"/>
                <w:color w:val="000000"/>
                <w:szCs w:val="20"/>
              </w:rPr>
              <w:t>Kazalnik učinka</w:t>
            </w:r>
          </w:p>
        </w:tc>
        <w:tc>
          <w:tcPr>
            <w:tcW w:w="834" w:type="dxa"/>
          </w:tcPr>
          <w:p w14:paraId="45BDEB15" w14:textId="77777777" w:rsidR="004912DC" w:rsidRPr="000F166D" w:rsidRDefault="004912DC" w:rsidP="00906890">
            <w:pPr>
              <w:suppressAutoHyphens/>
              <w:jc w:val="both"/>
              <w:rPr>
                <w:rFonts w:eastAsia="Calibri" w:cs="Arial"/>
                <w:color w:val="000000"/>
                <w:szCs w:val="20"/>
              </w:rPr>
            </w:pPr>
            <w:r w:rsidRPr="000F166D">
              <w:rPr>
                <w:rFonts w:eastAsia="Calibri" w:cs="Arial"/>
                <w:color w:val="000000"/>
                <w:szCs w:val="20"/>
              </w:rPr>
              <w:t>C001</w:t>
            </w:r>
          </w:p>
        </w:tc>
        <w:tc>
          <w:tcPr>
            <w:tcW w:w="2371" w:type="dxa"/>
          </w:tcPr>
          <w:p w14:paraId="21F06537" w14:textId="77777777" w:rsidR="004912DC" w:rsidRPr="000F166D" w:rsidRDefault="004912DC" w:rsidP="00906890">
            <w:pPr>
              <w:suppressAutoHyphens/>
              <w:jc w:val="both"/>
              <w:rPr>
                <w:rFonts w:eastAsia="Calibri" w:cs="Arial"/>
                <w:color w:val="000000"/>
                <w:szCs w:val="20"/>
              </w:rPr>
            </w:pPr>
            <w:r w:rsidRPr="000F166D">
              <w:rPr>
                <w:rFonts w:eastAsia="Calibri" w:cs="Arial"/>
                <w:color w:val="000000"/>
                <w:szCs w:val="20"/>
              </w:rPr>
              <w:t>Število podprtih podjetij</w:t>
            </w:r>
          </w:p>
        </w:tc>
        <w:tc>
          <w:tcPr>
            <w:tcW w:w="1662" w:type="dxa"/>
          </w:tcPr>
          <w:p w14:paraId="1E67A7A1" w14:textId="77777777" w:rsidR="004912DC" w:rsidRPr="000F166D" w:rsidRDefault="004912DC" w:rsidP="00906890">
            <w:pPr>
              <w:suppressAutoHyphens/>
              <w:jc w:val="both"/>
              <w:rPr>
                <w:rFonts w:eastAsia="Calibri" w:cs="Arial"/>
                <w:color w:val="000000"/>
                <w:szCs w:val="20"/>
              </w:rPr>
            </w:pPr>
            <w:r w:rsidRPr="000F166D">
              <w:rPr>
                <w:rFonts w:eastAsia="Calibri" w:cs="Arial"/>
                <w:color w:val="000000"/>
                <w:szCs w:val="20"/>
              </w:rPr>
              <w:t>5 MSP/1 mio EUR</w:t>
            </w:r>
          </w:p>
        </w:tc>
        <w:tc>
          <w:tcPr>
            <w:tcW w:w="1777" w:type="dxa"/>
          </w:tcPr>
          <w:p w14:paraId="09968B42" w14:textId="77777777" w:rsidR="004912DC" w:rsidRPr="000F166D" w:rsidRDefault="004912DC" w:rsidP="00906890">
            <w:pPr>
              <w:suppressAutoHyphens/>
              <w:jc w:val="both"/>
              <w:rPr>
                <w:rFonts w:eastAsia="Calibri" w:cs="Arial"/>
                <w:color w:val="000000"/>
                <w:szCs w:val="20"/>
              </w:rPr>
            </w:pPr>
            <w:r>
              <w:rPr>
                <w:rFonts w:eastAsia="Calibri" w:cs="Arial"/>
                <w:color w:val="000000"/>
                <w:szCs w:val="20"/>
              </w:rPr>
              <w:t>100 podjetij</w:t>
            </w:r>
          </w:p>
        </w:tc>
      </w:tr>
      <w:tr w:rsidR="004912DC" w:rsidRPr="000F166D" w14:paraId="58BDB967" w14:textId="77777777" w:rsidTr="00906890">
        <w:trPr>
          <w:trHeight w:val="635"/>
        </w:trPr>
        <w:tc>
          <w:tcPr>
            <w:tcW w:w="1372" w:type="dxa"/>
            <w:vMerge w:val="restart"/>
          </w:tcPr>
          <w:p w14:paraId="2B1F6DE1" w14:textId="77777777" w:rsidR="004912DC" w:rsidRPr="000F166D" w:rsidRDefault="004912DC" w:rsidP="00906890">
            <w:pPr>
              <w:suppressAutoHyphens/>
              <w:jc w:val="both"/>
              <w:rPr>
                <w:rFonts w:eastAsia="Calibri" w:cs="Arial"/>
                <w:color w:val="000000"/>
                <w:szCs w:val="20"/>
              </w:rPr>
            </w:pPr>
            <w:r w:rsidRPr="000F166D">
              <w:rPr>
                <w:rFonts w:eastAsia="Calibri" w:cs="Arial"/>
                <w:color w:val="000000"/>
                <w:szCs w:val="20"/>
              </w:rPr>
              <w:t>4.1 Energetska učinkovitost</w:t>
            </w:r>
          </w:p>
        </w:tc>
        <w:tc>
          <w:tcPr>
            <w:tcW w:w="1384" w:type="dxa"/>
            <w:vMerge w:val="restart"/>
          </w:tcPr>
          <w:p w14:paraId="6FC70FC0" w14:textId="77777777" w:rsidR="004912DC" w:rsidRPr="000F166D" w:rsidRDefault="004912DC" w:rsidP="00906890">
            <w:pPr>
              <w:suppressAutoHyphens/>
              <w:jc w:val="both"/>
              <w:rPr>
                <w:rFonts w:eastAsia="Calibri" w:cs="Arial"/>
                <w:color w:val="000000"/>
                <w:szCs w:val="20"/>
              </w:rPr>
            </w:pPr>
            <w:r w:rsidRPr="000F166D">
              <w:rPr>
                <w:rFonts w:eastAsia="Calibri" w:cs="Arial"/>
                <w:color w:val="000000"/>
                <w:szCs w:val="20"/>
              </w:rPr>
              <w:t xml:space="preserve">Posojila, garancijske sheme, </w:t>
            </w:r>
            <w:r w:rsidRPr="000F166D">
              <w:rPr>
                <w:rFonts w:eastAsia="Calibri" w:cs="Arial"/>
                <w:color w:val="000000"/>
                <w:szCs w:val="20"/>
              </w:rPr>
              <w:lastRenderedPageBreak/>
              <w:t>lastniško financiranje</w:t>
            </w:r>
            <w:r w:rsidRPr="000F166D">
              <w:rPr>
                <w:rFonts w:eastAsia="Calibri" w:cs="Arial"/>
                <w:color w:val="000000"/>
                <w:szCs w:val="20"/>
                <w:vertAlign w:val="superscript"/>
              </w:rPr>
              <w:footnoteReference w:id="26"/>
            </w:r>
          </w:p>
        </w:tc>
        <w:tc>
          <w:tcPr>
            <w:tcW w:w="1198" w:type="dxa"/>
          </w:tcPr>
          <w:p w14:paraId="42B42FBC" w14:textId="77777777" w:rsidR="004912DC" w:rsidRPr="000F166D" w:rsidRDefault="004912DC" w:rsidP="00906890">
            <w:pPr>
              <w:suppressAutoHyphens/>
              <w:jc w:val="both"/>
              <w:rPr>
                <w:rFonts w:eastAsia="Calibri" w:cs="Arial"/>
                <w:color w:val="000000"/>
                <w:szCs w:val="20"/>
              </w:rPr>
            </w:pPr>
            <w:r w:rsidRPr="000F166D">
              <w:rPr>
                <w:rFonts w:eastAsia="Calibri" w:cs="Arial"/>
                <w:color w:val="000000"/>
                <w:szCs w:val="20"/>
              </w:rPr>
              <w:lastRenderedPageBreak/>
              <w:t>Kazalnik učinka</w:t>
            </w:r>
          </w:p>
        </w:tc>
        <w:tc>
          <w:tcPr>
            <w:tcW w:w="834" w:type="dxa"/>
          </w:tcPr>
          <w:p w14:paraId="15982A39" w14:textId="77777777" w:rsidR="004912DC" w:rsidRPr="000F166D" w:rsidRDefault="004912DC" w:rsidP="00906890">
            <w:pPr>
              <w:suppressAutoHyphens/>
              <w:jc w:val="both"/>
              <w:rPr>
                <w:rFonts w:eastAsia="Calibri" w:cs="Arial"/>
                <w:color w:val="000000"/>
                <w:szCs w:val="20"/>
              </w:rPr>
            </w:pPr>
            <w:r w:rsidRPr="000F166D">
              <w:rPr>
                <w:rFonts w:eastAsia="Calibri" w:cs="Arial"/>
                <w:color w:val="000000"/>
                <w:szCs w:val="20"/>
              </w:rPr>
              <w:t>4.4</w:t>
            </w:r>
          </w:p>
        </w:tc>
        <w:tc>
          <w:tcPr>
            <w:tcW w:w="2371" w:type="dxa"/>
          </w:tcPr>
          <w:p w14:paraId="099887E7" w14:textId="77777777" w:rsidR="004912DC" w:rsidRPr="000F166D" w:rsidRDefault="004912DC" w:rsidP="00906890">
            <w:pPr>
              <w:suppressAutoHyphens/>
              <w:jc w:val="both"/>
              <w:rPr>
                <w:rFonts w:eastAsia="Calibri" w:cs="Arial"/>
                <w:color w:val="000000"/>
                <w:szCs w:val="20"/>
              </w:rPr>
            </w:pPr>
            <w:r w:rsidRPr="000F166D">
              <w:rPr>
                <w:rFonts w:eastAsia="Calibri" w:cs="Arial"/>
                <w:color w:val="000000"/>
                <w:szCs w:val="20"/>
              </w:rPr>
              <w:t>Uporabna površina energetsko obnovljenih stavb celotnega javnega sektorja (m2)</w:t>
            </w:r>
          </w:p>
        </w:tc>
        <w:tc>
          <w:tcPr>
            <w:tcW w:w="1662" w:type="dxa"/>
          </w:tcPr>
          <w:p w14:paraId="3BA26F6D" w14:textId="77777777" w:rsidR="004912DC" w:rsidRPr="000F166D" w:rsidRDefault="004912DC" w:rsidP="00906890">
            <w:pPr>
              <w:suppressAutoHyphens/>
              <w:jc w:val="both"/>
              <w:rPr>
                <w:rFonts w:eastAsia="Calibri" w:cs="Arial"/>
                <w:color w:val="000000"/>
                <w:szCs w:val="20"/>
              </w:rPr>
            </w:pPr>
            <w:r w:rsidRPr="000F166D">
              <w:rPr>
                <w:rFonts w:eastAsia="Calibri" w:cs="Arial"/>
                <w:color w:val="000000"/>
                <w:szCs w:val="20"/>
              </w:rPr>
              <w:t>272.727 m2**</w:t>
            </w:r>
          </w:p>
        </w:tc>
        <w:tc>
          <w:tcPr>
            <w:tcW w:w="1777" w:type="dxa"/>
          </w:tcPr>
          <w:p w14:paraId="61997F83" w14:textId="77777777" w:rsidR="004912DC" w:rsidRPr="000F166D" w:rsidRDefault="004912DC" w:rsidP="00906890">
            <w:pPr>
              <w:suppressAutoHyphens/>
              <w:jc w:val="both"/>
              <w:rPr>
                <w:rFonts w:eastAsia="Calibri" w:cs="Arial"/>
                <w:color w:val="000000"/>
                <w:szCs w:val="20"/>
              </w:rPr>
            </w:pPr>
            <w:r w:rsidRPr="000F166D">
              <w:rPr>
                <w:rFonts w:eastAsia="Calibri" w:cs="Arial"/>
                <w:color w:val="000000"/>
                <w:szCs w:val="20"/>
              </w:rPr>
              <w:t>272.727</w:t>
            </w:r>
            <w:r>
              <w:rPr>
                <w:rFonts w:eastAsia="Calibri" w:cs="Arial"/>
                <w:color w:val="000000"/>
                <w:szCs w:val="20"/>
              </w:rPr>
              <w:t xml:space="preserve"> </w:t>
            </w:r>
            <w:r w:rsidRPr="000F166D">
              <w:rPr>
                <w:rFonts w:eastAsia="Calibri" w:cs="Arial"/>
                <w:color w:val="000000"/>
                <w:szCs w:val="20"/>
              </w:rPr>
              <w:t>m2**</w:t>
            </w:r>
          </w:p>
        </w:tc>
      </w:tr>
      <w:tr w:rsidR="004912DC" w:rsidRPr="000F166D" w14:paraId="4D658E6C" w14:textId="77777777" w:rsidTr="00906890">
        <w:trPr>
          <w:trHeight w:val="699"/>
        </w:trPr>
        <w:tc>
          <w:tcPr>
            <w:tcW w:w="1372" w:type="dxa"/>
            <w:vMerge/>
          </w:tcPr>
          <w:p w14:paraId="017E8514" w14:textId="77777777" w:rsidR="004912DC" w:rsidRPr="000F166D" w:rsidRDefault="004912DC" w:rsidP="00906890">
            <w:pPr>
              <w:suppressAutoHyphens/>
              <w:jc w:val="both"/>
              <w:rPr>
                <w:rFonts w:eastAsia="Calibri" w:cs="Arial"/>
                <w:color w:val="000000"/>
                <w:szCs w:val="20"/>
              </w:rPr>
            </w:pPr>
          </w:p>
        </w:tc>
        <w:tc>
          <w:tcPr>
            <w:tcW w:w="1384" w:type="dxa"/>
            <w:vMerge/>
          </w:tcPr>
          <w:p w14:paraId="6DC40FE1" w14:textId="77777777" w:rsidR="004912DC" w:rsidRPr="000F166D" w:rsidRDefault="004912DC" w:rsidP="00906890">
            <w:pPr>
              <w:suppressAutoHyphens/>
              <w:jc w:val="both"/>
              <w:rPr>
                <w:rFonts w:eastAsia="Calibri" w:cs="Arial"/>
                <w:color w:val="000000"/>
                <w:szCs w:val="20"/>
              </w:rPr>
            </w:pPr>
          </w:p>
        </w:tc>
        <w:tc>
          <w:tcPr>
            <w:tcW w:w="1198" w:type="dxa"/>
          </w:tcPr>
          <w:p w14:paraId="15A20CC0" w14:textId="77777777" w:rsidR="004912DC" w:rsidRPr="000F166D" w:rsidRDefault="004912DC" w:rsidP="00906890">
            <w:pPr>
              <w:suppressAutoHyphens/>
              <w:jc w:val="both"/>
              <w:rPr>
                <w:rFonts w:eastAsia="Calibri" w:cs="Arial"/>
                <w:color w:val="000000"/>
                <w:szCs w:val="20"/>
              </w:rPr>
            </w:pPr>
            <w:r w:rsidRPr="000F166D">
              <w:rPr>
                <w:rFonts w:eastAsia="Calibri" w:cs="Arial"/>
                <w:color w:val="000000"/>
                <w:szCs w:val="20"/>
              </w:rPr>
              <w:t xml:space="preserve"> </w:t>
            </w:r>
          </w:p>
          <w:p w14:paraId="04CFD0E2" w14:textId="77777777" w:rsidR="004912DC" w:rsidRPr="000F166D" w:rsidRDefault="004912DC" w:rsidP="00906890">
            <w:pPr>
              <w:suppressAutoHyphens/>
              <w:jc w:val="both"/>
              <w:rPr>
                <w:rFonts w:eastAsia="Calibri" w:cs="Arial"/>
                <w:color w:val="000000"/>
                <w:szCs w:val="20"/>
              </w:rPr>
            </w:pPr>
            <w:r w:rsidRPr="000F166D">
              <w:rPr>
                <w:rFonts w:eastAsia="Calibri" w:cs="Arial"/>
                <w:color w:val="000000"/>
                <w:szCs w:val="20"/>
              </w:rPr>
              <w:t>Kazalnik učinka</w:t>
            </w:r>
          </w:p>
          <w:p w14:paraId="338D2B3E" w14:textId="77777777" w:rsidR="004912DC" w:rsidRPr="000F166D" w:rsidRDefault="004912DC" w:rsidP="00906890">
            <w:pPr>
              <w:suppressAutoHyphens/>
              <w:jc w:val="both"/>
              <w:rPr>
                <w:rFonts w:eastAsia="Calibri" w:cs="Arial"/>
                <w:color w:val="000000"/>
                <w:szCs w:val="20"/>
              </w:rPr>
            </w:pPr>
          </w:p>
        </w:tc>
        <w:tc>
          <w:tcPr>
            <w:tcW w:w="834" w:type="dxa"/>
          </w:tcPr>
          <w:p w14:paraId="49C0CBC1" w14:textId="77777777" w:rsidR="004912DC" w:rsidRPr="000F166D" w:rsidRDefault="004912DC" w:rsidP="00906890">
            <w:pPr>
              <w:suppressAutoHyphens/>
              <w:jc w:val="both"/>
              <w:rPr>
                <w:rFonts w:eastAsia="Calibri" w:cs="Arial"/>
                <w:color w:val="000000"/>
                <w:szCs w:val="20"/>
              </w:rPr>
            </w:pPr>
            <w:r w:rsidRPr="000F166D">
              <w:rPr>
                <w:rFonts w:eastAsia="Calibri" w:cs="Arial"/>
                <w:color w:val="000000"/>
                <w:szCs w:val="20"/>
              </w:rPr>
              <w:t xml:space="preserve"> </w:t>
            </w:r>
          </w:p>
          <w:p w14:paraId="045589FA" w14:textId="77777777" w:rsidR="004912DC" w:rsidRPr="000F166D" w:rsidRDefault="004912DC" w:rsidP="00906890">
            <w:pPr>
              <w:suppressAutoHyphens/>
              <w:jc w:val="both"/>
              <w:rPr>
                <w:rFonts w:eastAsia="Calibri" w:cs="Arial"/>
                <w:color w:val="000000"/>
                <w:szCs w:val="20"/>
              </w:rPr>
            </w:pPr>
            <w:r w:rsidRPr="000F166D">
              <w:rPr>
                <w:rFonts w:eastAsia="Calibri" w:cs="Arial"/>
                <w:color w:val="000000"/>
                <w:szCs w:val="20"/>
              </w:rPr>
              <w:t>C032</w:t>
            </w:r>
          </w:p>
          <w:p w14:paraId="609AEDA5" w14:textId="77777777" w:rsidR="004912DC" w:rsidRPr="000F166D" w:rsidRDefault="004912DC" w:rsidP="00906890">
            <w:pPr>
              <w:suppressAutoHyphens/>
              <w:jc w:val="both"/>
              <w:rPr>
                <w:rFonts w:eastAsia="Calibri" w:cs="Arial"/>
                <w:color w:val="000000"/>
                <w:szCs w:val="20"/>
              </w:rPr>
            </w:pPr>
            <w:r w:rsidRPr="000F166D">
              <w:rPr>
                <w:rFonts w:eastAsia="Calibri" w:cs="Arial"/>
                <w:color w:val="000000"/>
                <w:szCs w:val="20"/>
              </w:rPr>
              <w:t xml:space="preserve"> </w:t>
            </w:r>
          </w:p>
        </w:tc>
        <w:tc>
          <w:tcPr>
            <w:tcW w:w="2371" w:type="dxa"/>
          </w:tcPr>
          <w:p w14:paraId="329BCB21" w14:textId="77777777" w:rsidR="004912DC" w:rsidRPr="000F166D" w:rsidRDefault="004912DC" w:rsidP="00906890">
            <w:pPr>
              <w:suppressAutoHyphens/>
              <w:jc w:val="both"/>
              <w:rPr>
                <w:rFonts w:eastAsia="Calibri" w:cs="Arial"/>
                <w:color w:val="000000"/>
                <w:szCs w:val="20"/>
              </w:rPr>
            </w:pPr>
            <w:r w:rsidRPr="000F166D">
              <w:rPr>
                <w:rFonts w:eastAsia="Calibri" w:cs="Arial"/>
                <w:color w:val="000000"/>
                <w:szCs w:val="20"/>
              </w:rPr>
              <w:t>Zmanjšanje letne porabe primarne energije v javnih stavbah (kWh/a)</w:t>
            </w:r>
          </w:p>
        </w:tc>
        <w:tc>
          <w:tcPr>
            <w:tcW w:w="1662" w:type="dxa"/>
          </w:tcPr>
          <w:p w14:paraId="1DCC71F4" w14:textId="77777777" w:rsidR="004912DC" w:rsidRPr="000F166D" w:rsidRDefault="004912DC" w:rsidP="00906890">
            <w:pPr>
              <w:suppressAutoHyphens/>
              <w:jc w:val="both"/>
              <w:rPr>
                <w:rFonts w:eastAsia="Calibri" w:cs="Arial"/>
                <w:color w:val="000000"/>
                <w:szCs w:val="20"/>
              </w:rPr>
            </w:pPr>
            <w:r w:rsidRPr="000F166D">
              <w:rPr>
                <w:rFonts w:eastAsia="Calibri" w:cs="Arial"/>
                <w:color w:val="000000"/>
                <w:szCs w:val="20"/>
              </w:rPr>
              <w:t>3.500.000</w:t>
            </w:r>
          </w:p>
          <w:p w14:paraId="473C63A0" w14:textId="77777777" w:rsidR="004912DC" w:rsidRPr="000F166D" w:rsidRDefault="004912DC" w:rsidP="00906890">
            <w:pPr>
              <w:suppressAutoHyphens/>
              <w:jc w:val="both"/>
              <w:rPr>
                <w:rFonts w:eastAsia="Calibri" w:cs="Arial"/>
                <w:color w:val="000000"/>
                <w:szCs w:val="20"/>
              </w:rPr>
            </w:pPr>
            <w:r w:rsidRPr="000F166D">
              <w:rPr>
                <w:rFonts w:eastAsia="Calibri" w:cs="Arial"/>
                <w:color w:val="000000"/>
                <w:szCs w:val="20"/>
              </w:rPr>
              <w:t>kWh/leto***</w:t>
            </w:r>
          </w:p>
        </w:tc>
        <w:tc>
          <w:tcPr>
            <w:tcW w:w="1777" w:type="dxa"/>
          </w:tcPr>
          <w:p w14:paraId="72C6BDA0" w14:textId="77777777" w:rsidR="004912DC" w:rsidRPr="000F166D" w:rsidRDefault="004912DC" w:rsidP="00906890">
            <w:pPr>
              <w:suppressAutoHyphens/>
              <w:jc w:val="both"/>
              <w:rPr>
                <w:rFonts w:eastAsia="Calibri" w:cs="Arial"/>
                <w:color w:val="000000"/>
                <w:szCs w:val="20"/>
              </w:rPr>
            </w:pPr>
            <w:r w:rsidRPr="000F166D">
              <w:rPr>
                <w:rFonts w:eastAsia="Calibri" w:cs="Arial"/>
                <w:color w:val="000000"/>
                <w:szCs w:val="20"/>
              </w:rPr>
              <w:t>3.500.000 kWh/leto***</w:t>
            </w:r>
          </w:p>
        </w:tc>
      </w:tr>
      <w:tr w:rsidR="004912DC" w:rsidRPr="000F166D" w14:paraId="5D5AC3BB" w14:textId="77777777" w:rsidTr="00906890">
        <w:tc>
          <w:tcPr>
            <w:tcW w:w="1372" w:type="dxa"/>
            <w:vMerge w:val="restart"/>
          </w:tcPr>
          <w:p w14:paraId="4C15A345" w14:textId="77777777" w:rsidR="004912DC" w:rsidRPr="000F166D" w:rsidRDefault="004912DC" w:rsidP="00906890">
            <w:pPr>
              <w:suppressAutoHyphens/>
              <w:jc w:val="both"/>
              <w:rPr>
                <w:rFonts w:eastAsia="Calibri" w:cs="Arial"/>
                <w:szCs w:val="20"/>
              </w:rPr>
            </w:pPr>
            <w:r w:rsidRPr="000F166D">
              <w:rPr>
                <w:rFonts w:eastAsia="Calibri" w:cs="Arial"/>
                <w:szCs w:val="20"/>
              </w:rPr>
              <w:lastRenderedPageBreak/>
              <w:t xml:space="preserve">6.3 Urbani razvoj </w:t>
            </w:r>
          </w:p>
        </w:tc>
        <w:tc>
          <w:tcPr>
            <w:tcW w:w="1384" w:type="dxa"/>
            <w:vMerge w:val="restart"/>
          </w:tcPr>
          <w:p w14:paraId="75256654" w14:textId="77777777" w:rsidR="004912DC" w:rsidRPr="000F166D" w:rsidRDefault="004912DC" w:rsidP="00906890">
            <w:pPr>
              <w:suppressAutoHyphens/>
              <w:jc w:val="both"/>
              <w:rPr>
                <w:rFonts w:eastAsia="Calibri" w:cs="Arial"/>
                <w:szCs w:val="20"/>
              </w:rPr>
            </w:pPr>
            <w:r w:rsidRPr="000F166D">
              <w:rPr>
                <w:rFonts w:eastAsia="Calibri" w:cs="Arial"/>
                <w:szCs w:val="20"/>
              </w:rPr>
              <w:t>Posojila****</w:t>
            </w:r>
          </w:p>
        </w:tc>
        <w:tc>
          <w:tcPr>
            <w:tcW w:w="1198" w:type="dxa"/>
          </w:tcPr>
          <w:p w14:paraId="36D3A3AB" w14:textId="77777777" w:rsidR="004912DC" w:rsidRPr="000F166D" w:rsidRDefault="004912DC" w:rsidP="00906890">
            <w:pPr>
              <w:suppressAutoHyphens/>
              <w:jc w:val="both"/>
              <w:rPr>
                <w:rFonts w:eastAsia="Calibri" w:cs="Arial"/>
                <w:szCs w:val="20"/>
              </w:rPr>
            </w:pPr>
            <w:r w:rsidRPr="000F166D">
              <w:rPr>
                <w:rFonts w:eastAsia="Calibri" w:cs="Arial"/>
                <w:szCs w:val="20"/>
              </w:rPr>
              <w:t>Kazalnik učinka</w:t>
            </w:r>
          </w:p>
        </w:tc>
        <w:tc>
          <w:tcPr>
            <w:tcW w:w="834" w:type="dxa"/>
          </w:tcPr>
          <w:p w14:paraId="703ABA66" w14:textId="77777777" w:rsidR="004912DC" w:rsidRPr="000F166D" w:rsidRDefault="004912DC" w:rsidP="00906890">
            <w:pPr>
              <w:suppressAutoHyphens/>
              <w:jc w:val="both"/>
              <w:rPr>
                <w:rFonts w:eastAsia="Calibri" w:cs="Arial"/>
                <w:szCs w:val="20"/>
              </w:rPr>
            </w:pPr>
            <w:r w:rsidRPr="000F166D">
              <w:rPr>
                <w:rFonts w:cs="Arial"/>
                <w:szCs w:val="20"/>
                <w:lang w:eastAsia="ar-SA"/>
              </w:rPr>
              <w:t>CO39</w:t>
            </w:r>
          </w:p>
        </w:tc>
        <w:tc>
          <w:tcPr>
            <w:tcW w:w="2371" w:type="dxa"/>
          </w:tcPr>
          <w:p w14:paraId="180DCEBF" w14:textId="77777777" w:rsidR="004912DC" w:rsidRPr="000F166D" w:rsidRDefault="004912DC" w:rsidP="00906890">
            <w:pPr>
              <w:suppressAutoHyphens/>
              <w:jc w:val="both"/>
              <w:rPr>
                <w:rFonts w:eastAsia="Calibri" w:cs="Arial"/>
                <w:szCs w:val="20"/>
              </w:rPr>
            </w:pPr>
            <w:r w:rsidRPr="000F166D">
              <w:rPr>
                <w:szCs w:val="20"/>
                <w:lang w:eastAsia="ar-SA"/>
              </w:rPr>
              <w:t>Javne ali poslovne stavbe, zgrajene ali prenovljene na urbanih območjih</w:t>
            </w:r>
          </w:p>
        </w:tc>
        <w:tc>
          <w:tcPr>
            <w:tcW w:w="1662" w:type="dxa"/>
          </w:tcPr>
          <w:p w14:paraId="64C13A3E" w14:textId="77777777" w:rsidR="004912DC" w:rsidRPr="000F166D" w:rsidRDefault="004912DC" w:rsidP="00906890">
            <w:pPr>
              <w:suppressAutoHyphens/>
              <w:jc w:val="both"/>
              <w:rPr>
                <w:rFonts w:eastAsia="Calibri" w:cs="Arial"/>
                <w:szCs w:val="20"/>
              </w:rPr>
            </w:pPr>
            <w:r w:rsidRPr="000F166D">
              <w:rPr>
                <w:rFonts w:eastAsia="Calibri" w:cs="Arial"/>
                <w:szCs w:val="20"/>
              </w:rPr>
              <w:t>Okvirno 1200 EUR/ m2</w:t>
            </w:r>
          </w:p>
          <w:p w14:paraId="63E459F4" w14:textId="77777777" w:rsidR="004912DC" w:rsidRPr="000F166D" w:rsidRDefault="004912DC" w:rsidP="00906890">
            <w:pPr>
              <w:suppressAutoHyphens/>
              <w:jc w:val="both"/>
              <w:rPr>
                <w:rFonts w:eastAsia="Calibri" w:cs="Arial"/>
                <w:szCs w:val="20"/>
              </w:rPr>
            </w:pPr>
            <w:r w:rsidRPr="000F166D">
              <w:rPr>
                <w:rFonts w:eastAsia="Calibri" w:cs="Arial"/>
                <w:szCs w:val="20"/>
              </w:rPr>
              <w:t>(za izvedbo z upoštevanjem minimalnega fin. vzvoda namenjeno 3 mio EUR)</w:t>
            </w:r>
          </w:p>
        </w:tc>
        <w:tc>
          <w:tcPr>
            <w:tcW w:w="1777" w:type="dxa"/>
          </w:tcPr>
          <w:p w14:paraId="4A5BC207" w14:textId="77777777" w:rsidR="004912DC" w:rsidRPr="000F166D" w:rsidRDefault="004912DC" w:rsidP="00906890">
            <w:pPr>
              <w:suppressAutoHyphens/>
              <w:jc w:val="both"/>
              <w:rPr>
                <w:rFonts w:eastAsia="Calibri" w:cs="Arial"/>
                <w:szCs w:val="20"/>
              </w:rPr>
            </w:pPr>
            <w:r w:rsidRPr="000F166D">
              <w:rPr>
                <w:rFonts w:eastAsia="Calibri" w:cs="Arial"/>
                <w:szCs w:val="20"/>
              </w:rPr>
              <w:t>2.500</w:t>
            </w:r>
            <w:r>
              <w:rPr>
                <w:rFonts w:eastAsia="Calibri" w:cs="Arial"/>
                <w:szCs w:val="20"/>
              </w:rPr>
              <w:t xml:space="preserve"> </w:t>
            </w:r>
            <w:r w:rsidRPr="000F166D">
              <w:rPr>
                <w:rFonts w:eastAsia="Calibri" w:cs="Arial"/>
                <w:szCs w:val="20"/>
              </w:rPr>
              <w:t xml:space="preserve">m2 </w:t>
            </w:r>
          </w:p>
          <w:p w14:paraId="3D2F5EF5" w14:textId="77777777" w:rsidR="004912DC" w:rsidRPr="000F166D" w:rsidRDefault="004912DC" w:rsidP="00906890">
            <w:pPr>
              <w:suppressAutoHyphens/>
              <w:jc w:val="both"/>
              <w:rPr>
                <w:rFonts w:eastAsia="Calibri" w:cs="Arial"/>
                <w:szCs w:val="20"/>
              </w:rPr>
            </w:pPr>
          </w:p>
        </w:tc>
      </w:tr>
      <w:tr w:rsidR="004912DC" w:rsidRPr="000F166D" w14:paraId="4803FE12" w14:textId="77777777" w:rsidTr="00906890">
        <w:tc>
          <w:tcPr>
            <w:tcW w:w="1372" w:type="dxa"/>
            <w:vMerge/>
          </w:tcPr>
          <w:p w14:paraId="7E13B7E5" w14:textId="77777777" w:rsidR="004912DC" w:rsidRPr="000F166D" w:rsidRDefault="004912DC" w:rsidP="00906890">
            <w:pPr>
              <w:suppressAutoHyphens/>
              <w:jc w:val="both"/>
              <w:rPr>
                <w:rFonts w:eastAsia="Calibri" w:cs="Arial"/>
                <w:szCs w:val="20"/>
              </w:rPr>
            </w:pPr>
          </w:p>
        </w:tc>
        <w:tc>
          <w:tcPr>
            <w:tcW w:w="1384" w:type="dxa"/>
            <w:vMerge/>
          </w:tcPr>
          <w:p w14:paraId="5582B9A9" w14:textId="77777777" w:rsidR="004912DC" w:rsidRPr="000F166D" w:rsidRDefault="004912DC" w:rsidP="00906890">
            <w:pPr>
              <w:suppressAutoHyphens/>
              <w:jc w:val="both"/>
              <w:rPr>
                <w:rFonts w:eastAsia="Calibri" w:cs="Arial"/>
                <w:szCs w:val="20"/>
              </w:rPr>
            </w:pPr>
          </w:p>
        </w:tc>
        <w:tc>
          <w:tcPr>
            <w:tcW w:w="1198" w:type="dxa"/>
          </w:tcPr>
          <w:p w14:paraId="131970C6" w14:textId="77777777" w:rsidR="004912DC" w:rsidRPr="000F166D" w:rsidRDefault="004912DC" w:rsidP="00906890">
            <w:pPr>
              <w:suppressAutoHyphens/>
              <w:jc w:val="both"/>
              <w:rPr>
                <w:rFonts w:eastAsia="Calibri" w:cs="Arial"/>
                <w:szCs w:val="20"/>
              </w:rPr>
            </w:pPr>
            <w:r w:rsidRPr="000F166D">
              <w:rPr>
                <w:rFonts w:eastAsia="Calibri" w:cs="Arial"/>
                <w:szCs w:val="20"/>
              </w:rPr>
              <w:t>Kazalnik učinka</w:t>
            </w:r>
          </w:p>
        </w:tc>
        <w:tc>
          <w:tcPr>
            <w:tcW w:w="834" w:type="dxa"/>
          </w:tcPr>
          <w:p w14:paraId="52081061" w14:textId="77777777" w:rsidR="004912DC" w:rsidRPr="000F166D" w:rsidRDefault="004912DC" w:rsidP="00906890">
            <w:pPr>
              <w:suppressAutoHyphens/>
              <w:jc w:val="both"/>
              <w:rPr>
                <w:rFonts w:eastAsia="Calibri" w:cs="Arial"/>
                <w:szCs w:val="20"/>
              </w:rPr>
            </w:pPr>
            <w:r w:rsidRPr="000F166D">
              <w:rPr>
                <w:rFonts w:cs="Arial"/>
                <w:szCs w:val="20"/>
                <w:lang w:eastAsia="ar-SA"/>
              </w:rPr>
              <w:t>CO40</w:t>
            </w:r>
          </w:p>
        </w:tc>
        <w:tc>
          <w:tcPr>
            <w:tcW w:w="2371" w:type="dxa"/>
          </w:tcPr>
          <w:p w14:paraId="1A6938C6" w14:textId="77777777" w:rsidR="004912DC" w:rsidRPr="000F166D" w:rsidRDefault="004912DC" w:rsidP="00906890">
            <w:pPr>
              <w:suppressAutoHyphens/>
              <w:jc w:val="both"/>
              <w:rPr>
                <w:rFonts w:eastAsia="Calibri" w:cs="Arial"/>
                <w:szCs w:val="20"/>
              </w:rPr>
            </w:pPr>
            <w:r w:rsidRPr="000F166D">
              <w:rPr>
                <w:szCs w:val="20"/>
                <w:lang w:eastAsia="ar-SA"/>
              </w:rPr>
              <w:t>Sanirane stanovanjske površine na urbanih območjih</w:t>
            </w:r>
          </w:p>
        </w:tc>
        <w:tc>
          <w:tcPr>
            <w:tcW w:w="1662" w:type="dxa"/>
          </w:tcPr>
          <w:p w14:paraId="51B3CE1C" w14:textId="77777777" w:rsidR="004912DC" w:rsidRPr="000F166D" w:rsidRDefault="004912DC" w:rsidP="00906890">
            <w:pPr>
              <w:suppressAutoHyphens/>
              <w:jc w:val="both"/>
              <w:rPr>
                <w:rFonts w:eastAsia="Calibri" w:cs="Arial"/>
                <w:szCs w:val="20"/>
              </w:rPr>
            </w:pPr>
            <w:r w:rsidRPr="000F166D">
              <w:rPr>
                <w:rFonts w:eastAsia="Calibri" w:cs="Arial"/>
                <w:szCs w:val="20"/>
              </w:rPr>
              <w:t>Okvirno 100.000 EUR/stanovanje</w:t>
            </w:r>
          </w:p>
          <w:p w14:paraId="79F6DB44" w14:textId="77777777" w:rsidR="004912DC" w:rsidRPr="000F166D" w:rsidRDefault="004912DC" w:rsidP="00906890">
            <w:pPr>
              <w:suppressAutoHyphens/>
              <w:jc w:val="both"/>
              <w:rPr>
                <w:rFonts w:eastAsia="Calibri" w:cs="Arial"/>
                <w:szCs w:val="20"/>
              </w:rPr>
            </w:pPr>
            <w:r w:rsidRPr="000F166D">
              <w:rPr>
                <w:rFonts w:eastAsia="Calibri" w:cs="Arial"/>
                <w:szCs w:val="20"/>
              </w:rPr>
              <w:t>(za izvedbo z upoštevanjem minimalnega fin. vzvoda namenjeno 4,5 mio EUR)</w:t>
            </w:r>
          </w:p>
        </w:tc>
        <w:tc>
          <w:tcPr>
            <w:tcW w:w="1777" w:type="dxa"/>
          </w:tcPr>
          <w:p w14:paraId="0E46AA68" w14:textId="77777777" w:rsidR="004912DC" w:rsidRPr="000F166D" w:rsidRDefault="004912DC" w:rsidP="00906890">
            <w:pPr>
              <w:suppressAutoHyphens/>
              <w:jc w:val="both"/>
              <w:rPr>
                <w:rFonts w:eastAsia="Calibri" w:cs="Arial"/>
                <w:szCs w:val="20"/>
              </w:rPr>
            </w:pPr>
            <w:r w:rsidRPr="000F166D">
              <w:rPr>
                <w:rFonts w:eastAsia="Calibri" w:cs="Arial"/>
                <w:szCs w:val="20"/>
              </w:rPr>
              <w:t>45 stanovanj</w:t>
            </w:r>
          </w:p>
        </w:tc>
      </w:tr>
    </w:tbl>
    <w:p w14:paraId="5C36CB69" w14:textId="77777777" w:rsidR="004912DC" w:rsidRPr="000F166D" w:rsidRDefault="004912DC" w:rsidP="004912DC">
      <w:pPr>
        <w:suppressAutoHyphens/>
        <w:jc w:val="both"/>
        <w:rPr>
          <w:rFonts w:eastAsia="Calibri" w:cs="Arial"/>
          <w:color w:val="000000"/>
          <w:sz w:val="22"/>
          <w:szCs w:val="22"/>
        </w:rPr>
      </w:pPr>
    </w:p>
    <w:p w14:paraId="3D2650F0" w14:textId="77777777" w:rsidR="004912DC" w:rsidRPr="000F166D" w:rsidRDefault="004912DC" w:rsidP="004912DC">
      <w:pPr>
        <w:suppressAutoHyphens/>
        <w:jc w:val="both"/>
        <w:rPr>
          <w:rFonts w:eastAsia="Calibri" w:cs="Arial"/>
          <w:color w:val="000000"/>
          <w:sz w:val="22"/>
          <w:szCs w:val="22"/>
        </w:rPr>
      </w:pPr>
      <w:r w:rsidRPr="000F166D">
        <w:rPr>
          <w:rFonts w:eastAsia="Calibri" w:cs="Arial"/>
          <w:color w:val="000000"/>
          <w:sz w:val="22"/>
          <w:szCs w:val="22"/>
        </w:rPr>
        <w:t xml:space="preserve">*Kazalnike spremlja sklad skladov za </w:t>
      </w:r>
      <w:r w:rsidRPr="000F166D">
        <w:rPr>
          <w:rFonts w:eastAsia="Calibri" w:cs="Arial"/>
          <w:color w:val="000000"/>
          <w:sz w:val="22"/>
          <w:szCs w:val="22"/>
          <w:u w:val="single"/>
        </w:rPr>
        <w:t>podprte</w:t>
      </w:r>
      <w:r w:rsidRPr="000F166D">
        <w:rPr>
          <w:rFonts w:eastAsia="Calibri" w:cs="Arial"/>
          <w:color w:val="000000"/>
          <w:sz w:val="22"/>
          <w:szCs w:val="22"/>
        </w:rPr>
        <w:t xml:space="preserve"> končne prejemnike (ciljne skupine).</w:t>
      </w:r>
    </w:p>
    <w:p w14:paraId="01FBE035" w14:textId="77777777" w:rsidR="004912DC" w:rsidRPr="000F166D" w:rsidRDefault="004912DC" w:rsidP="004912DC">
      <w:pPr>
        <w:suppressAutoHyphens/>
        <w:jc w:val="both"/>
        <w:rPr>
          <w:rFonts w:eastAsia="Calibri" w:cs="Arial"/>
          <w:color w:val="000000"/>
          <w:szCs w:val="20"/>
        </w:rPr>
      </w:pPr>
      <w:r w:rsidRPr="000F166D">
        <w:rPr>
          <w:rFonts w:eastAsia="Calibri" w:cs="Arial"/>
          <w:color w:val="000000"/>
          <w:sz w:val="22"/>
          <w:szCs w:val="22"/>
        </w:rPr>
        <w:t xml:space="preserve">** Vrednost se nanaša samo na s FI podprte operacije </w:t>
      </w:r>
      <w:r w:rsidRPr="000F166D">
        <w:rPr>
          <w:rFonts w:ascii="Tahoma" w:hAnsi="Tahoma" w:cs="Arial"/>
          <w:sz w:val="22"/>
          <w:szCs w:val="20"/>
          <w:lang w:eastAsia="ar-SA"/>
        </w:rPr>
        <w:t xml:space="preserve">celovite energetske prenove </w:t>
      </w:r>
      <w:r w:rsidRPr="000F166D">
        <w:rPr>
          <w:rFonts w:eastAsia="Calibri" w:cs="Arial"/>
          <w:color w:val="000000"/>
          <w:sz w:val="22"/>
          <w:szCs w:val="22"/>
        </w:rPr>
        <w:t>stavb javnega sektorja.</w:t>
      </w:r>
    </w:p>
    <w:p w14:paraId="36D4FCA3" w14:textId="77777777" w:rsidR="004912DC" w:rsidRPr="000F166D" w:rsidRDefault="004912DC" w:rsidP="004912DC">
      <w:pPr>
        <w:suppressAutoHyphens/>
        <w:jc w:val="both"/>
        <w:rPr>
          <w:rFonts w:eastAsia="Calibri" w:cs="Arial"/>
          <w:color w:val="000000"/>
          <w:sz w:val="22"/>
          <w:szCs w:val="22"/>
        </w:rPr>
      </w:pPr>
      <w:r w:rsidRPr="000F166D">
        <w:rPr>
          <w:rFonts w:eastAsia="Calibri" w:cs="Arial"/>
          <w:color w:val="000000"/>
          <w:sz w:val="22"/>
          <w:szCs w:val="22"/>
        </w:rPr>
        <w:t xml:space="preserve">*** Vrednost se nanaša samo na s FI podprte operacije </w:t>
      </w:r>
      <w:r w:rsidRPr="000F166D">
        <w:rPr>
          <w:rFonts w:ascii="Tahoma" w:hAnsi="Tahoma" w:cs="Arial"/>
          <w:sz w:val="22"/>
          <w:szCs w:val="20"/>
          <w:lang w:eastAsia="ar-SA"/>
        </w:rPr>
        <w:t xml:space="preserve">celovite energetske prenove </w:t>
      </w:r>
      <w:r w:rsidRPr="000F166D">
        <w:rPr>
          <w:rFonts w:eastAsia="Calibri" w:cs="Arial"/>
          <w:color w:val="000000"/>
          <w:sz w:val="22"/>
          <w:szCs w:val="22"/>
        </w:rPr>
        <w:t>stavb javnega sektorja.</w:t>
      </w:r>
    </w:p>
    <w:p w14:paraId="23ECD994" w14:textId="77777777" w:rsidR="004912DC" w:rsidRPr="000F166D" w:rsidRDefault="004912DC" w:rsidP="004912DC">
      <w:pPr>
        <w:suppressAutoHyphens/>
        <w:jc w:val="both"/>
        <w:rPr>
          <w:rFonts w:eastAsia="Calibri" w:cs="Arial"/>
          <w:color w:val="000000"/>
          <w:sz w:val="22"/>
          <w:szCs w:val="22"/>
        </w:rPr>
      </w:pPr>
      <w:r w:rsidRPr="000F166D">
        <w:rPr>
          <w:rFonts w:eastAsia="Calibri" w:cs="Arial"/>
          <w:color w:val="000000"/>
          <w:sz w:val="22"/>
          <w:szCs w:val="22"/>
        </w:rPr>
        <w:t xml:space="preserve">****Sredstva se po opravljenem market testu lahko smiselno prerazporeja na vsebine, kjer se izkazujejo večje potrebe po financiranju s FI za projekte, ki so pripravljeni za izvedbo. </w:t>
      </w:r>
    </w:p>
    <w:p w14:paraId="5063BD82" w14:textId="77777777" w:rsidR="004912DC" w:rsidRPr="000F166D" w:rsidRDefault="004912DC" w:rsidP="004912DC">
      <w:pPr>
        <w:suppressAutoHyphens/>
        <w:jc w:val="both"/>
        <w:rPr>
          <w:rFonts w:eastAsia="Calibri" w:cs="Arial"/>
          <w:color w:val="000000"/>
          <w:sz w:val="22"/>
          <w:szCs w:val="22"/>
        </w:rPr>
      </w:pPr>
    </w:p>
    <w:p w14:paraId="1D6A0DA7" w14:textId="7D9B9C8E" w:rsidR="004912DC" w:rsidRPr="000F166D" w:rsidRDefault="004912DC" w:rsidP="004912DC">
      <w:pPr>
        <w:keepNext/>
        <w:keepLines/>
        <w:spacing w:before="40"/>
        <w:jc w:val="both"/>
        <w:outlineLvl w:val="2"/>
        <w:rPr>
          <w:rFonts w:eastAsia="Calibri" w:cs="Arial"/>
          <w:b/>
          <w:color w:val="1F4D78"/>
          <w:sz w:val="22"/>
        </w:rPr>
      </w:pPr>
      <w:bookmarkStart w:id="95" w:name="_Toc54857933"/>
      <w:r>
        <w:rPr>
          <w:rFonts w:eastAsia="Calibri" w:cs="Arial"/>
          <w:b/>
          <w:color w:val="1F4D78"/>
          <w:sz w:val="22"/>
        </w:rPr>
        <w:t>9.</w:t>
      </w:r>
      <w:r w:rsidR="00653DB1">
        <w:rPr>
          <w:rFonts w:eastAsia="Calibri" w:cs="Arial"/>
          <w:b/>
          <w:color w:val="1F4D78"/>
          <w:sz w:val="22"/>
        </w:rPr>
        <w:t>6</w:t>
      </w:r>
      <w:r w:rsidRPr="000F166D">
        <w:rPr>
          <w:rFonts w:eastAsia="Calibri" w:cs="Arial"/>
          <w:b/>
          <w:color w:val="1F4D78"/>
          <w:sz w:val="22"/>
        </w:rPr>
        <w:t xml:space="preserve"> Informiranje in obveščanje</w:t>
      </w:r>
      <w:bookmarkEnd w:id="95"/>
    </w:p>
    <w:p w14:paraId="089A88F4" w14:textId="77777777" w:rsidR="004912DC" w:rsidRPr="000F166D" w:rsidRDefault="004912DC" w:rsidP="004912DC">
      <w:pPr>
        <w:autoSpaceDE w:val="0"/>
        <w:autoSpaceDN w:val="0"/>
        <w:adjustRightInd w:val="0"/>
        <w:jc w:val="both"/>
        <w:rPr>
          <w:rFonts w:eastAsia="Calibri" w:cs="Arial"/>
          <w:color w:val="000000"/>
          <w:sz w:val="22"/>
          <w:szCs w:val="22"/>
        </w:rPr>
      </w:pPr>
      <w:r w:rsidRPr="000F166D">
        <w:rPr>
          <w:rFonts w:eastAsia="Calibri" w:cs="Arial"/>
          <w:color w:val="000000"/>
          <w:sz w:val="22"/>
          <w:szCs w:val="22"/>
        </w:rPr>
        <w:t xml:space="preserve">Upravljavec sklada skladov je dolžan upoštevati tudi določbe glede </w:t>
      </w:r>
      <w:r w:rsidRPr="000F166D">
        <w:rPr>
          <w:rFonts w:eastAsia="Calibri" w:cs="Arial"/>
          <w:b/>
          <w:color w:val="000000"/>
          <w:sz w:val="22"/>
          <w:szCs w:val="22"/>
        </w:rPr>
        <w:t>informiranja in obveščanja</w:t>
      </w:r>
      <w:r w:rsidRPr="000F166D">
        <w:rPr>
          <w:rFonts w:eastAsia="Calibri" w:cs="Arial"/>
          <w:color w:val="000000"/>
          <w:sz w:val="22"/>
          <w:szCs w:val="22"/>
        </w:rPr>
        <w:t xml:space="preserve"> javnosti ter zagotoviti, da se te določbe upoštevajo tudi na ravni finančnih posrednikov. Podrobneje bodo določbe navedene v sporazumu o financiranju.</w:t>
      </w:r>
    </w:p>
    <w:p w14:paraId="2B849E7B" w14:textId="77777777" w:rsidR="004912DC" w:rsidRPr="000F166D" w:rsidRDefault="004912DC" w:rsidP="004912DC">
      <w:pPr>
        <w:autoSpaceDE w:val="0"/>
        <w:autoSpaceDN w:val="0"/>
        <w:adjustRightInd w:val="0"/>
        <w:jc w:val="both"/>
        <w:rPr>
          <w:rFonts w:eastAsia="Calibri" w:cs="Arial"/>
          <w:color w:val="000000"/>
          <w:sz w:val="22"/>
          <w:szCs w:val="22"/>
        </w:rPr>
      </w:pPr>
    </w:p>
    <w:p w14:paraId="19C0A41C" w14:textId="77777777" w:rsidR="004912DC" w:rsidRPr="000F166D" w:rsidRDefault="004912DC" w:rsidP="004912DC">
      <w:pPr>
        <w:jc w:val="both"/>
        <w:rPr>
          <w:rFonts w:eastAsia="Calibri" w:cs="Arial"/>
          <w:color w:val="000000"/>
          <w:sz w:val="22"/>
          <w:szCs w:val="22"/>
        </w:rPr>
      </w:pPr>
      <w:r w:rsidRPr="000F166D">
        <w:rPr>
          <w:rFonts w:eastAsia="Calibri" w:cs="Arial"/>
          <w:color w:val="000000"/>
          <w:sz w:val="22"/>
          <w:szCs w:val="22"/>
        </w:rPr>
        <w:t>Upravljavec sklada skladov na javen in transparenten način seznani zainteresirane ciljne skupine o možnostih financiranja s FI.</w:t>
      </w:r>
    </w:p>
    <w:p w14:paraId="0E648E55" w14:textId="77777777" w:rsidR="004912DC" w:rsidRPr="000F166D" w:rsidRDefault="004912DC" w:rsidP="004912DC">
      <w:pPr>
        <w:jc w:val="both"/>
        <w:rPr>
          <w:rFonts w:eastAsia="Calibri" w:cs="Arial"/>
          <w:color w:val="000000"/>
          <w:sz w:val="22"/>
          <w:szCs w:val="22"/>
        </w:rPr>
      </w:pPr>
    </w:p>
    <w:p w14:paraId="42B50348" w14:textId="77777777" w:rsidR="004912DC" w:rsidRPr="000F166D" w:rsidRDefault="004912DC" w:rsidP="004912DC">
      <w:pPr>
        <w:jc w:val="both"/>
        <w:rPr>
          <w:rFonts w:eastAsia="Calibri" w:cs="Arial"/>
          <w:color w:val="000000"/>
          <w:sz w:val="22"/>
          <w:szCs w:val="22"/>
        </w:rPr>
      </w:pPr>
      <w:r w:rsidRPr="000F166D">
        <w:rPr>
          <w:rFonts w:eastAsia="Calibri" w:cs="Arial"/>
          <w:color w:val="000000"/>
          <w:sz w:val="22"/>
          <w:szCs w:val="22"/>
        </w:rPr>
        <w:t>Upravljavec sklada skladov mora izpolnjevati zahteve glede označevanja, obveščanja in informiranja javnosti o operaciji sklad skladov v skladu z Uredbe (EU) št. 1303/2013 o ukrepih informiranja in obveščanja javnosti o pomoči strukturnih skladov, ki jih izvajajo države članice. Prav tako mora smiselno upoštevati zahteve glede informiranja in obveščanja javnosti, ki jih določajo Navodila OU o komuniciranju vsebin evropske kohezijske politike v programskem obdobju 2014 - 2020.</w:t>
      </w:r>
    </w:p>
    <w:p w14:paraId="354BC809" w14:textId="77777777" w:rsidR="004912DC" w:rsidRPr="000F166D" w:rsidRDefault="004912DC" w:rsidP="004912DC">
      <w:pPr>
        <w:jc w:val="both"/>
        <w:rPr>
          <w:rFonts w:eastAsia="Calibri" w:cs="Arial"/>
          <w:color w:val="000000"/>
          <w:sz w:val="22"/>
        </w:rPr>
      </w:pPr>
    </w:p>
    <w:p w14:paraId="3745C3CF" w14:textId="1F6586F2" w:rsidR="004912DC" w:rsidRPr="000F166D" w:rsidRDefault="004912DC" w:rsidP="004912DC">
      <w:pPr>
        <w:keepNext/>
        <w:keepLines/>
        <w:spacing w:before="40"/>
        <w:jc w:val="both"/>
        <w:outlineLvl w:val="2"/>
        <w:rPr>
          <w:rFonts w:eastAsia="Calibri" w:cs="Arial"/>
          <w:b/>
          <w:color w:val="1F4D78"/>
          <w:sz w:val="22"/>
        </w:rPr>
      </w:pPr>
      <w:bookmarkStart w:id="96" w:name="_Toc54857934"/>
      <w:r w:rsidRPr="000F166D">
        <w:rPr>
          <w:rFonts w:eastAsia="Calibri" w:cs="Arial"/>
          <w:b/>
          <w:color w:val="1F4D78"/>
          <w:sz w:val="22"/>
        </w:rPr>
        <w:lastRenderedPageBreak/>
        <w:t>9</w:t>
      </w:r>
      <w:r>
        <w:rPr>
          <w:rFonts w:eastAsia="Calibri" w:cs="Arial"/>
          <w:b/>
          <w:color w:val="1F4D78"/>
          <w:sz w:val="22"/>
        </w:rPr>
        <w:t>.</w:t>
      </w:r>
      <w:r w:rsidR="00653DB1">
        <w:rPr>
          <w:rFonts w:eastAsia="Calibri" w:cs="Arial"/>
          <w:b/>
          <w:color w:val="1F4D78"/>
          <w:sz w:val="22"/>
        </w:rPr>
        <w:t>7</w:t>
      </w:r>
      <w:r w:rsidRPr="000F166D">
        <w:rPr>
          <w:rFonts w:eastAsia="Calibri" w:cs="Arial"/>
          <w:b/>
          <w:color w:val="1F4D78"/>
          <w:sz w:val="22"/>
        </w:rPr>
        <w:t xml:space="preserve"> Obvladovanje tveganj</w:t>
      </w:r>
      <w:bookmarkEnd w:id="96"/>
    </w:p>
    <w:p w14:paraId="0A759B11" w14:textId="77777777" w:rsidR="004912DC" w:rsidRPr="000F166D" w:rsidRDefault="004912DC" w:rsidP="004912DC">
      <w:pPr>
        <w:jc w:val="both"/>
        <w:rPr>
          <w:rFonts w:cs="Arial"/>
          <w:sz w:val="22"/>
          <w:szCs w:val="22"/>
        </w:rPr>
      </w:pPr>
      <w:r w:rsidRPr="000F166D">
        <w:rPr>
          <w:rFonts w:cs="Arial"/>
          <w:sz w:val="22"/>
          <w:szCs w:val="22"/>
        </w:rPr>
        <w:t>Sklad skladov je izpostavljen različnim tveganjem. Zato je pomembno, da upravljavec sklada skladov skrbi za zmanjšanje in obvladovanje teh tveganj.</w:t>
      </w:r>
    </w:p>
    <w:p w14:paraId="5CCA9DDC" w14:textId="77777777" w:rsidR="004912DC" w:rsidRPr="000F166D" w:rsidRDefault="004912DC" w:rsidP="004912DC">
      <w:pPr>
        <w:jc w:val="both"/>
        <w:rPr>
          <w:rFonts w:cs="Arial"/>
          <w:sz w:val="22"/>
          <w:szCs w:val="22"/>
        </w:rPr>
      </w:pPr>
    </w:p>
    <w:p w14:paraId="6416F416" w14:textId="77777777" w:rsidR="004912DC" w:rsidRPr="000F166D" w:rsidRDefault="004912DC" w:rsidP="004912DC">
      <w:pPr>
        <w:jc w:val="both"/>
        <w:rPr>
          <w:rFonts w:cs="Arial"/>
          <w:sz w:val="22"/>
          <w:szCs w:val="22"/>
        </w:rPr>
      </w:pPr>
      <w:r w:rsidRPr="000F166D">
        <w:rPr>
          <w:rFonts w:cs="Arial"/>
          <w:sz w:val="22"/>
          <w:szCs w:val="22"/>
        </w:rPr>
        <w:t>Upravljavec sklada skladov pripravi (ali uporabi obstoječi)</w:t>
      </w:r>
      <w:r w:rsidRPr="000F166D">
        <w:rPr>
          <w:rFonts w:cs="Arial"/>
          <w:b/>
          <w:sz w:val="22"/>
          <w:szCs w:val="22"/>
        </w:rPr>
        <w:t xml:space="preserve"> interni akt o upravljanju s tveganji</w:t>
      </w:r>
      <w:r w:rsidRPr="000F166D">
        <w:rPr>
          <w:rFonts w:cs="Arial"/>
          <w:sz w:val="22"/>
          <w:szCs w:val="22"/>
        </w:rPr>
        <w:t xml:space="preserve">, ki podrobno določa aktivnosti delovnega procesa upravljanja s tveganji sklada skladov tako, da le-ta: </w:t>
      </w:r>
    </w:p>
    <w:p w14:paraId="5F9ED0CC" w14:textId="77777777" w:rsidR="004912DC" w:rsidRPr="000F166D" w:rsidRDefault="004912DC" w:rsidP="004912DC">
      <w:pPr>
        <w:numPr>
          <w:ilvl w:val="0"/>
          <w:numId w:val="13"/>
        </w:numPr>
        <w:autoSpaceDE w:val="0"/>
        <w:autoSpaceDN w:val="0"/>
        <w:adjustRightInd w:val="0"/>
        <w:spacing w:line="240" w:lineRule="auto"/>
        <w:jc w:val="both"/>
        <w:rPr>
          <w:rFonts w:eastAsia="Calibri" w:cs="Arial"/>
          <w:color w:val="000000"/>
          <w:sz w:val="22"/>
          <w:szCs w:val="22"/>
        </w:rPr>
      </w:pPr>
      <w:r w:rsidRPr="000F166D">
        <w:rPr>
          <w:rFonts w:eastAsia="Calibri" w:cs="Arial"/>
          <w:color w:val="000000"/>
          <w:sz w:val="22"/>
          <w:szCs w:val="22"/>
        </w:rPr>
        <w:t xml:space="preserve">spremlja in ocenjuje potencialna tveganja zaradi izvajanja posameznih FI, </w:t>
      </w:r>
    </w:p>
    <w:p w14:paraId="6ABD1605" w14:textId="77777777" w:rsidR="004912DC" w:rsidRPr="000F166D" w:rsidRDefault="004912DC" w:rsidP="004912DC">
      <w:pPr>
        <w:numPr>
          <w:ilvl w:val="0"/>
          <w:numId w:val="13"/>
        </w:numPr>
        <w:autoSpaceDE w:val="0"/>
        <w:autoSpaceDN w:val="0"/>
        <w:adjustRightInd w:val="0"/>
        <w:spacing w:line="240" w:lineRule="auto"/>
        <w:jc w:val="both"/>
        <w:rPr>
          <w:rFonts w:eastAsia="Calibri" w:cs="Arial"/>
          <w:color w:val="000000"/>
          <w:sz w:val="22"/>
          <w:szCs w:val="22"/>
        </w:rPr>
      </w:pPr>
      <w:r w:rsidRPr="000F166D">
        <w:rPr>
          <w:rFonts w:eastAsia="Calibri" w:cs="Arial"/>
          <w:color w:val="000000"/>
          <w:sz w:val="22"/>
          <w:szCs w:val="22"/>
        </w:rPr>
        <w:t>spremlja in ocenjuje sposobnost finančnih posrednikov, da izpolnijo finančne obveznosti do sklada skladov,</w:t>
      </w:r>
    </w:p>
    <w:p w14:paraId="7302BDF1" w14:textId="77777777" w:rsidR="004912DC" w:rsidRPr="000F166D" w:rsidRDefault="004912DC" w:rsidP="004912DC">
      <w:pPr>
        <w:numPr>
          <w:ilvl w:val="0"/>
          <w:numId w:val="13"/>
        </w:numPr>
        <w:autoSpaceDE w:val="0"/>
        <w:autoSpaceDN w:val="0"/>
        <w:adjustRightInd w:val="0"/>
        <w:spacing w:line="240" w:lineRule="auto"/>
        <w:jc w:val="both"/>
        <w:rPr>
          <w:rFonts w:eastAsia="Calibri" w:cs="Arial"/>
          <w:color w:val="000000"/>
          <w:sz w:val="22"/>
          <w:szCs w:val="22"/>
        </w:rPr>
      </w:pPr>
      <w:r w:rsidRPr="000F166D">
        <w:rPr>
          <w:rFonts w:eastAsia="Calibri" w:cs="Arial"/>
          <w:color w:val="000000"/>
          <w:sz w:val="22"/>
          <w:szCs w:val="22"/>
        </w:rPr>
        <w:t xml:space="preserve">spremlja in ocenjuje kreditno tveganje finančnih posrednikov. </w:t>
      </w:r>
    </w:p>
    <w:p w14:paraId="4B3DB79E" w14:textId="77777777" w:rsidR="004912DC" w:rsidRPr="000F166D" w:rsidRDefault="004912DC" w:rsidP="004912DC">
      <w:pPr>
        <w:jc w:val="both"/>
        <w:rPr>
          <w:rFonts w:cs="Arial"/>
          <w:sz w:val="22"/>
          <w:szCs w:val="22"/>
        </w:rPr>
      </w:pPr>
      <w:r w:rsidRPr="000F166D">
        <w:rPr>
          <w:rFonts w:cs="Arial"/>
          <w:sz w:val="22"/>
          <w:szCs w:val="22"/>
        </w:rPr>
        <w:t xml:space="preserve"> </w:t>
      </w:r>
    </w:p>
    <w:p w14:paraId="19BA05FD" w14:textId="77777777" w:rsidR="004912DC" w:rsidRPr="000F166D" w:rsidRDefault="004912DC" w:rsidP="004912DC">
      <w:pPr>
        <w:jc w:val="both"/>
        <w:rPr>
          <w:rFonts w:cs="Arial"/>
          <w:sz w:val="22"/>
          <w:szCs w:val="22"/>
        </w:rPr>
      </w:pPr>
      <w:r w:rsidRPr="000F166D">
        <w:rPr>
          <w:rFonts w:cs="Arial"/>
          <w:sz w:val="22"/>
          <w:szCs w:val="22"/>
        </w:rPr>
        <w:t xml:space="preserve">Upravljavec sklada skladov opravi oceno tveganj skupaj z naložbeno strategijo, kar je kasneje podlaga za izdelavo poslovnega in finančnega načrta sklada skladov. </w:t>
      </w:r>
    </w:p>
    <w:p w14:paraId="1084695E" w14:textId="77777777" w:rsidR="004912DC" w:rsidRPr="000F166D" w:rsidRDefault="004912DC" w:rsidP="004912DC">
      <w:pPr>
        <w:jc w:val="both"/>
        <w:rPr>
          <w:rFonts w:cs="Arial"/>
          <w:sz w:val="22"/>
          <w:szCs w:val="22"/>
        </w:rPr>
      </w:pPr>
    </w:p>
    <w:p w14:paraId="42CB064D" w14:textId="77777777" w:rsidR="004912DC" w:rsidRPr="000F166D" w:rsidRDefault="004912DC" w:rsidP="004912DC">
      <w:pPr>
        <w:jc w:val="both"/>
        <w:rPr>
          <w:rFonts w:cs="Arial"/>
          <w:sz w:val="22"/>
          <w:szCs w:val="22"/>
        </w:rPr>
      </w:pPr>
      <w:r w:rsidRPr="000F166D">
        <w:rPr>
          <w:rFonts w:cs="Arial"/>
          <w:sz w:val="22"/>
          <w:szCs w:val="22"/>
        </w:rPr>
        <w:t xml:space="preserve">Vzporedno z obvladovanjem kreditnega tveganja namenja sklad skladov enako pozornost obvladovanju ostalih tveganj kot je tržno tveganje, upravljavsko tveganje, likvidnostno tveganje in operativno tveganje s ciljem zagotavljanja nemotenega učinkovitega delovanja. V ta namen upravljavec sklada skladov nadgradi obstoječ </w:t>
      </w:r>
      <w:r w:rsidRPr="000F166D">
        <w:rPr>
          <w:rFonts w:cs="Arial"/>
          <w:b/>
          <w:sz w:val="22"/>
          <w:szCs w:val="22"/>
        </w:rPr>
        <w:t>interni akt o upravljanju s tveganji</w:t>
      </w:r>
      <w:r w:rsidRPr="000F166D" w:rsidDel="001C372C">
        <w:rPr>
          <w:rFonts w:cs="Arial"/>
          <w:sz w:val="22"/>
          <w:szCs w:val="22"/>
        </w:rPr>
        <w:t xml:space="preserve"> </w:t>
      </w:r>
      <w:r w:rsidRPr="000F166D">
        <w:rPr>
          <w:rFonts w:cs="Arial"/>
          <w:sz w:val="22"/>
          <w:szCs w:val="22"/>
        </w:rPr>
        <w:t>ali izdela novega, ki na enem mestu združuje vse potrebne korake za doseganje učinkovitega procesa obvladovanja tveganj.</w:t>
      </w:r>
    </w:p>
    <w:p w14:paraId="01BD98EF" w14:textId="77777777" w:rsidR="004912DC" w:rsidRPr="000F166D" w:rsidRDefault="004912DC" w:rsidP="004912DC">
      <w:pPr>
        <w:jc w:val="both"/>
        <w:rPr>
          <w:rFonts w:cs="Arial"/>
          <w:sz w:val="22"/>
          <w:szCs w:val="22"/>
        </w:rPr>
      </w:pPr>
    </w:p>
    <w:p w14:paraId="61A0BDF2" w14:textId="7A5A9CA9" w:rsidR="004912DC" w:rsidRPr="000F166D" w:rsidRDefault="004912DC" w:rsidP="004912DC">
      <w:pPr>
        <w:keepNext/>
        <w:keepLines/>
        <w:spacing w:before="40"/>
        <w:jc w:val="both"/>
        <w:outlineLvl w:val="2"/>
        <w:rPr>
          <w:rFonts w:eastAsia="Calibri" w:cs="Arial"/>
          <w:b/>
          <w:color w:val="1F4D78"/>
          <w:sz w:val="22"/>
        </w:rPr>
      </w:pPr>
      <w:bookmarkStart w:id="97" w:name="_Toc54857935"/>
      <w:r w:rsidRPr="000F166D">
        <w:rPr>
          <w:rFonts w:eastAsia="Calibri" w:cs="Arial"/>
          <w:b/>
          <w:color w:val="1F4D78"/>
          <w:sz w:val="22"/>
        </w:rPr>
        <w:t>9.</w:t>
      </w:r>
      <w:r w:rsidR="00653DB1">
        <w:rPr>
          <w:rFonts w:eastAsia="Calibri" w:cs="Arial"/>
          <w:b/>
          <w:color w:val="1F4D78"/>
          <w:sz w:val="22"/>
        </w:rPr>
        <w:t>8</w:t>
      </w:r>
      <w:r w:rsidRPr="000F166D">
        <w:rPr>
          <w:rFonts w:eastAsia="Calibri" w:cs="Arial"/>
          <w:b/>
          <w:color w:val="1F4D78"/>
          <w:sz w:val="22"/>
        </w:rPr>
        <w:t xml:space="preserve"> Strategija izstopa</w:t>
      </w:r>
      <w:bookmarkEnd w:id="97"/>
    </w:p>
    <w:p w14:paraId="6EA3E4CD" w14:textId="77777777" w:rsidR="004912DC" w:rsidRPr="000F166D" w:rsidRDefault="004912DC" w:rsidP="004912DC">
      <w:pPr>
        <w:autoSpaceDE w:val="0"/>
        <w:autoSpaceDN w:val="0"/>
        <w:adjustRightInd w:val="0"/>
        <w:jc w:val="both"/>
        <w:rPr>
          <w:rFonts w:eastAsia="Calibri" w:cs="Arial"/>
          <w:color w:val="000000"/>
          <w:sz w:val="22"/>
          <w:szCs w:val="22"/>
        </w:rPr>
      </w:pPr>
      <w:r w:rsidRPr="000F166D">
        <w:rPr>
          <w:rFonts w:eastAsia="Calibri" w:cs="Arial"/>
          <w:color w:val="000000"/>
          <w:sz w:val="22"/>
          <w:szCs w:val="22"/>
        </w:rPr>
        <w:t xml:space="preserve">Strategija izstopa se opredeli v sporazumu o financiranju, kjer pa je potrebno predvideti fleksibilni in indikativni čas izstopa ter način izstopa. V finančnem sporazumu se določi tudi obveznost finančnih posrednikov, da pripravijo ustrezne strategije izstopa. Finančni posredniki opredelijo v poslovnem načrtu politiko izstopa iz investicij pri različnih projektih. </w:t>
      </w:r>
    </w:p>
    <w:p w14:paraId="208D6EEE" w14:textId="77777777" w:rsidR="004912DC" w:rsidRPr="000F166D" w:rsidRDefault="004912DC" w:rsidP="004912DC">
      <w:pPr>
        <w:autoSpaceDE w:val="0"/>
        <w:autoSpaceDN w:val="0"/>
        <w:adjustRightInd w:val="0"/>
        <w:jc w:val="both"/>
        <w:rPr>
          <w:rFonts w:eastAsia="Calibri" w:cs="Arial"/>
          <w:color w:val="000000"/>
          <w:sz w:val="22"/>
          <w:szCs w:val="22"/>
        </w:rPr>
      </w:pPr>
    </w:p>
    <w:p w14:paraId="6CE56E02" w14:textId="77777777" w:rsidR="004912DC" w:rsidRPr="000F166D" w:rsidRDefault="004912DC" w:rsidP="004912DC">
      <w:pPr>
        <w:autoSpaceDE w:val="0"/>
        <w:autoSpaceDN w:val="0"/>
        <w:adjustRightInd w:val="0"/>
        <w:jc w:val="both"/>
        <w:rPr>
          <w:rFonts w:eastAsia="Calibri" w:cs="Arial"/>
          <w:color w:val="000000"/>
          <w:sz w:val="22"/>
          <w:szCs w:val="22"/>
        </w:rPr>
      </w:pPr>
      <w:r w:rsidRPr="000F166D">
        <w:rPr>
          <w:rFonts w:eastAsia="Calibri" w:cs="Arial"/>
          <w:color w:val="000000"/>
          <w:sz w:val="22"/>
          <w:szCs w:val="22"/>
        </w:rPr>
        <w:t>Strategija izstopa na ravni FI je odvisna od vrste finančnega produkta. Za posojila in garancije je potrebno določiti minimalno in maksimalno pričakovano dobo vračila sredstev, ki je odvisna od trajanja kreditov. Za lastniško financiranje pa mora strategija izstopa vsebovati čas (ki se razlikuje od primera do primera) in način izstopa.</w:t>
      </w:r>
    </w:p>
    <w:p w14:paraId="38BA42DB" w14:textId="77777777" w:rsidR="004912DC" w:rsidRPr="000F166D" w:rsidRDefault="004912DC" w:rsidP="004912DC">
      <w:pPr>
        <w:autoSpaceDE w:val="0"/>
        <w:autoSpaceDN w:val="0"/>
        <w:adjustRightInd w:val="0"/>
        <w:jc w:val="both"/>
        <w:rPr>
          <w:rFonts w:eastAsia="Calibri" w:cs="Arial"/>
          <w:color w:val="000000"/>
          <w:sz w:val="22"/>
          <w:szCs w:val="22"/>
        </w:rPr>
      </w:pPr>
    </w:p>
    <w:p w14:paraId="5CA39669" w14:textId="77777777" w:rsidR="004912DC" w:rsidRPr="000F166D" w:rsidRDefault="004912DC" w:rsidP="004912DC">
      <w:pPr>
        <w:autoSpaceDE w:val="0"/>
        <w:autoSpaceDN w:val="0"/>
        <w:adjustRightInd w:val="0"/>
        <w:jc w:val="both"/>
        <w:rPr>
          <w:rFonts w:eastAsia="Calibri" w:cs="Arial"/>
          <w:color w:val="000000"/>
          <w:sz w:val="22"/>
          <w:szCs w:val="22"/>
        </w:rPr>
      </w:pPr>
      <w:r w:rsidRPr="000F166D">
        <w:rPr>
          <w:rFonts w:eastAsia="Calibri" w:cs="Arial"/>
          <w:color w:val="000000"/>
          <w:sz w:val="22"/>
          <w:szCs w:val="22"/>
        </w:rPr>
        <w:t>Možni scenariji izstopa iz sklada skladov so:</w:t>
      </w:r>
    </w:p>
    <w:p w14:paraId="0ACE2598" w14:textId="77777777" w:rsidR="004912DC" w:rsidRPr="000F166D" w:rsidRDefault="004912DC" w:rsidP="004912DC">
      <w:pPr>
        <w:numPr>
          <w:ilvl w:val="0"/>
          <w:numId w:val="13"/>
        </w:numPr>
        <w:autoSpaceDE w:val="0"/>
        <w:autoSpaceDN w:val="0"/>
        <w:adjustRightInd w:val="0"/>
        <w:spacing w:line="240" w:lineRule="auto"/>
        <w:jc w:val="both"/>
        <w:rPr>
          <w:rFonts w:eastAsia="Calibri" w:cs="Arial"/>
          <w:color w:val="000000"/>
          <w:sz w:val="22"/>
          <w:szCs w:val="22"/>
        </w:rPr>
      </w:pPr>
      <w:r w:rsidRPr="000F166D">
        <w:rPr>
          <w:rFonts w:eastAsia="Calibri" w:cs="Arial"/>
          <w:color w:val="000000"/>
          <w:sz w:val="22"/>
          <w:szCs w:val="22"/>
        </w:rPr>
        <w:t>ponovno vzpostaviti sklad skladov z istim ali drugim upravljavcem sklada skladov, kar se uredi z dodatkom k sporazumu o financiranju ali</w:t>
      </w:r>
    </w:p>
    <w:p w14:paraId="2184FDD4" w14:textId="77777777" w:rsidR="004912DC" w:rsidRPr="000F166D" w:rsidRDefault="004912DC" w:rsidP="004912DC">
      <w:pPr>
        <w:numPr>
          <w:ilvl w:val="0"/>
          <w:numId w:val="13"/>
        </w:numPr>
        <w:autoSpaceDE w:val="0"/>
        <w:autoSpaceDN w:val="0"/>
        <w:adjustRightInd w:val="0"/>
        <w:spacing w:line="240" w:lineRule="auto"/>
        <w:jc w:val="both"/>
        <w:rPr>
          <w:rFonts w:ascii="Calibri" w:eastAsia="Calibri" w:hAnsi="Calibri" w:cs="Calibri"/>
          <w:sz w:val="22"/>
          <w:szCs w:val="22"/>
        </w:rPr>
      </w:pPr>
      <w:r w:rsidRPr="000F166D">
        <w:rPr>
          <w:rFonts w:eastAsia="Calibri" w:cs="Arial"/>
          <w:color w:val="000000"/>
          <w:sz w:val="22"/>
          <w:szCs w:val="22"/>
        </w:rPr>
        <w:t>prenos sredstev v proračun RS ali na finančne posrednike.</w:t>
      </w:r>
    </w:p>
    <w:p w14:paraId="060A7E0B" w14:textId="77777777" w:rsidR="004912DC" w:rsidRPr="000F166D" w:rsidRDefault="004912DC" w:rsidP="004912DC">
      <w:pPr>
        <w:spacing w:after="160" w:line="259" w:lineRule="auto"/>
        <w:jc w:val="both"/>
        <w:rPr>
          <w:rFonts w:eastAsia="Calibri" w:cs="Arial"/>
          <w:color w:val="000000"/>
          <w:sz w:val="22"/>
          <w:szCs w:val="22"/>
        </w:rPr>
      </w:pPr>
      <w:r w:rsidRPr="000F166D">
        <w:rPr>
          <w:rFonts w:eastAsia="Calibri" w:cs="Arial"/>
          <w:color w:val="000000"/>
          <w:sz w:val="22"/>
          <w:szCs w:val="22"/>
        </w:rPr>
        <w:br w:type="page"/>
      </w:r>
    </w:p>
    <w:p w14:paraId="5B921F2C" w14:textId="77777777" w:rsidR="004912DC" w:rsidRPr="000F166D" w:rsidRDefault="004912DC" w:rsidP="004912DC">
      <w:pPr>
        <w:keepNext/>
        <w:shd w:val="clear" w:color="auto" w:fill="9CC2E5"/>
        <w:outlineLvl w:val="1"/>
        <w:rPr>
          <w:rFonts w:cs="Arial"/>
          <w:b/>
          <w:sz w:val="32"/>
          <w:szCs w:val="32"/>
        </w:rPr>
      </w:pPr>
      <w:bookmarkStart w:id="98" w:name="_Toc54857936"/>
      <w:r w:rsidRPr="000F166D">
        <w:rPr>
          <w:rFonts w:cs="Arial"/>
          <w:b/>
          <w:sz w:val="32"/>
          <w:szCs w:val="32"/>
        </w:rPr>
        <w:lastRenderedPageBreak/>
        <w:t>10. Politika prekinitve finančnega instrumenta</w:t>
      </w:r>
      <w:bookmarkEnd w:id="98"/>
      <w:r w:rsidRPr="000F166D">
        <w:rPr>
          <w:rFonts w:cs="Arial"/>
          <w:b/>
          <w:sz w:val="32"/>
          <w:szCs w:val="32"/>
        </w:rPr>
        <w:t xml:space="preserve"> </w:t>
      </w:r>
    </w:p>
    <w:p w14:paraId="0FC2B726" w14:textId="77777777" w:rsidR="004912DC" w:rsidRPr="000F166D" w:rsidRDefault="004912DC" w:rsidP="004912DC">
      <w:pPr>
        <w:autoSpaceDE w:val="0"/>
        <w:autoSpaceDN w:val="0"/>
        <w:adjustRightInd w:val="0"/>
        <w:jc w:val="both"/>
        <w:rPr>
          <w:rFonts w:eastAsia="Calibri" w:cs="Arial"/>
          <w:color w:val="000000"/>
          <w:sz w:val="22"/>
        </w:rPr>
      </w:pPr>
    </w:p>
    <w:p w14:paraId="3BF8F051" w14:textId="77777777" w:rsidR="004912DC" w:rsidRPr="000F166D" w:rsidRDefault="004912DC" w:rsidP="004912DC">
      <w:pPr>
        <w:autoSpaceDE w:val="0"/>
        <w:autoSpaceDN w:val="0"/>
        <w:adjustRightInd w:val="0"/>
        <w:jc w:val="both"/>
        <w:rPr>
          <w:rFonts w:eastAsia="Calibri" w:cs="Arial"/>
          <w:color w:val="000000"/>
          <w:sz w:val="22"/>
          <w:szCs w:val="22"/>
        </w:rPr>
      </w:pPr>
      <w:r w:rsidRPr="000F166D">
        <w:rPr>
          <w:rFonts w:eastAsia="Calibri" w:cs="Arial"/>
          <w:color w:val="000000"/>
          <w:sz w:val="22"/>
          <w:szCs w:val="22"/>
        </w:rPr>
        <w:t>V skladu s 25. členom Uredbe o postopkih, merilih in načinih dodeljevanja sredstev za spodbujanje razvojnih programov in prednostnih nalog bo PO odgovoren za FI lahko zahteval (delno ali celotno) vračilo sredstev, v kolikor se le-ta ne bodo dodeljevala skladno z določbami v sporazumu o financiranju med PO in upravljavcem sklada skladov v obdobju izvajanja FI. Okoliščine in način vračila sredstev, prenehanje in likvidacijo sklada skladov PO in upravljavec sklada skladov dogovorita v sporazumu o financiranju.</w:t>
      </w:r>
    </w:p>
    <w:p w14:paraId="58282027" w14:textId="77777777" w:rsidR="004912DC" w:rsidRPr="000F166D" w:rsidRDefault="004912DC" w:rsidP="004912DC">
      <w:pPr>
        <w:autoSpaceDE w:val="0"/>
        <w:autoSpaceDN w:val="0"/>
        <w:adjustRightInd w:val="0"/>
        <w:jc w:val="both"/>
        <w:rPr>
          <w:rFonts w:eastAsia="Calibri" w:cs="Arial"/>
          <w:color w:val="000000"/>
          <w:sz w:val="22"/>
          <w:szCs w:val="22"/>
        </w:rPr>
      </w:pPr>
    </w:p>
    <w:p w14:paraId="16665203" w14:textId="77777777" w:rsidR="004912DC" w:rsidRPr="000F166D" w:rsidRDefault="004912DC" w:rsidP="004912DC">
      <w:pPr>
        <w:autoSpaceDE w:val="0"/>
        <w:autoSpaceDN w:val="0"/>
        <w:adjustRightInd w:val="0"/>
        <w:jc w:val="both"/>
        <w:rPr>
          <w:rFonts w:eastAsia="Calibri" w:cs="Arial"/>
          <w:color w:val="000000"/>
          <w:sz w:val="22"/>
          <w:szCs w:val="22"/>
        </w:rPr>
      </w:pPr>
      <w:r w:rsidRPr="000F166D">
        <w:rPr>
          <w:rFonts w:eastAsia="Calibri" w:cs="Arial"/>
          <w:color w:val="000000"/>
          <w:sz w:val="22"/>
          <w:szCs w:val="22"/>
        </w:rPr>
        <w:t xml:space="preserve">V sporazumu o financiranju se določijo tudi (i) okoliščine in način rednega ali izrednega prenehanja in likvidacije sklada skladov ter (ii) okoliščine in način zamenjave upravljavca sklada skladov. </w:t>
      </w:r>
    </w:p>
    <w:p w14:paraId="6E64E865" w14:textId="77777777" w:rsidR="004912DC" w:rsidRPr="000F166D" w:rsidRDefault="004912DC" w:rsidP="004912DC">
      <w:pPr>
        <w:autoSpaceDE w:val="0"/>
        <w:autoSpaceDN w:val="0"/>
        <w:adjustRightInd w:val="0"/>
        <w:jc w:val="both"/>
        <w:rPr>
          <w:rFonts w:eastAsia="Calibri" w:cs="Arial"/>
          <w:color w:val="000000"/>
          <w:sz w:val="22"/>
          <w:szCs w:val="22"/>
        </w:rPr>
      </w:pPr>
    </w:p>
    <w:p w14:paraId="30346A72" w14:textId="77777777" w:rsidR="004912DC" w:rsidRPr="000F166D" w:rsidRDefault="004912DC" w:rsidP="004912DC">
      <w:pPr>
        <w:autoSpaceDE w:val="0"/>
        <w:autoSpaceDN w:val="0"/>
        <w:adjustRightInd w:val="0"/>
        <w:jc w:val="both"/>
        <w:rPr>
          <w:rFonts w:eastAsia="Calibri" w:cs="Arial"/>
          <w:color w:val="000000"/>
          <w:sz w:val="22"/>
          <w:szCs w:val="22"/>
        </w:rPr>
      </w:pPr>
      <w:r w:rsidRPr="000F166D">
        <w:rPr>
          <w:rFonts w:eastAsia="Calibri" w:cs="Arial"/>
          <w:color w:val="000000"/>
          <w:sz w:val="22"/>
          <w:szCs w:val="22"/>
        </w:rPr>
        <w:t>Način umika (delni ali celotni) in razlogi ter odgovornost za morebitne nepravilnosti za to se opredelijo v sporazumu o financiranju.</w:t>
      </w:r>
    </w:p>
    <w:p w14:paraId="65E465B6" w14:textId="77777777" w:rsidR="004912DC" w:rsidRPr="000F166D" w:rsidRDefault="004912DC" w:rsidP="004912DC">
      <w:pPr>
        <w:suppressAutoHyphens/>
        <w:jc w:val="both"/>
        <w:rPr>
          <w:rFonts w:cs="Arial"/>
          <w:sz w:val="22"/>
          <w:szCs w:val="22"/>
          <w:lang w:eastAsia="ar-SA"/>
        </w:rPr>
      </w:pPr>
    </w:p>
    <w:p w14:paraId="061EF035" w14:textId="77777777" w:rsidR="004912DC" w:rsidRPr="000F166D" w:rsidRDefault="004912DC" w:rsidP="004912DC">
      <w:pPr>
        <w:autoSpaceDE w:val="0"/>
        <w:autoSpaceDN w:val="0"/>
        <w:adjustRightInd w:val="0"/>
        <w:jc w:val="both"/>
        <w:rPr>
          <w:rFonts w:eastAsia="Calibri" w:cs="Arial"/>
          <w:color w:val="000000"/>
          <w:sz w:val="22"/>
          <w:szCs w:val="22"/>
        </w:rPr>
      </w:pPr>
      <w:r w:rsidRPr="000F166D">
        <w:rPr>
          <w:rFonts w:cs="Arial"/>
          <w:sz w:val="22"/>
          <w:szCs w:val="22"/>
        </w:rPr>
        <w:t>V primeru, da sredstva niso porabljena, to je plasirana končnim prejemnikom, v okviru sklada skladov do 31.12.2023 oz. kasneje v primeru podaljšanja rokov s strani Evropske komisije, se vrnejo v proračun EK, kar se podrobneje določi s sporazumom o financiranju. Rok se lahko zaradi zaključevanja na predlog revizijskega organa oziroma OU tudi skrajša, pri čemer se za tak primer pogoji in posledice dogovorijo v sporazumu o financiranju.</w:t>
      </w:r>
    </w:p>
    <w:p w14:paraId="6BF1C2BF" w14:textId="77777777" w:rsidR="004912DC" w:rsidRPr="000F166D" w:rsidRDefault="004912DC" w:rsidP="004912DC">
      <w:pPr>
        <w:autoSpaceDE w:val="0"/>
        <w:autoSpaceDN w:val="0"/>
        <w:adjustRightInd w:val="0"/>
        <w:jc w:val="both"/>
        <w:rPr>
          <w:rFonts w:eastAsia="Calibri" w:cs="Arial"/>
          <w:color w:val="000000"/>
          <w:sz w:val="22"/>
          <w:szCs w:val="22"/>
        </w:rPr>
      </w:pPr>
    </w:p>
    <w:p w14:paraId="34C8FAA5" w14:textId="77777777" w:rsidR="004912DC" w:rsidRPr="000F166D" w:rsidRDefault="004912DC" w:rsidP="004912DC">
      <w:pPr>
        <w:spacing w:after="160"/>
        <w:jc w:val="both"/>
        <w:rPr>
          <w:rFonts w:eastAsia="Calibri" w:cs="Arial"/>
          <w:b/>
          <w:bCs/>
          <w:iCs/>
          <w:color w:val="000000"/>
          <w:sz w:val="22"/>
          <w:szCs w:val="22"/>
        </w:rPr>
      </w:pPr>
      <w:r w:rsidRPr="000F166D">
        <w:rPr>
          <w:rFonts w:eastAsia="Calibri" w:cs="Arial"/>
          <w:color w:val="000000"/>
          <w:sz w:val="22"/>
          <w:szCs w:val="22"/>
        </w:rPr>
        <w:br w:type="page"/>
      </w:r>
    </w:p>
    <w:p w14:paraId="1D445D17" w14:textId="77777777" w:rsidR="004912DC" w:rsidRPr="000F166D" w:rsidRDefault="004912DC" w:rsidP="004912DC">
      <w:pPr>
        <w:keepNext/>
        <w:shd w:val="clear" w:color="auto" w:fill="9CC2E5"/>
        <w:outlineLvl w:val="1"/>
        <w:rPr>
          <w:rFonts w:cs="Arial"/>
          <w:b/>
          <w:sz w:val="32"/>
          <w:szCs w:val="32"/>
        </w:rPr>
      </w:pPr>
      <w:bookmarkStart w:id="99" w:name="_Toc54857937"/>
      <w:r w:rsidRPr="000F166D">
        <w:rPr>
          <w:rFonts w:cs="Arial"/>
          <w:b/>
          <w:sz w:val="32"/>
          <w:szCs w:val="32"/>
        </w:rPr>
        <w:lastRenderedPageBreak/>
        <w:t>11. Podlaga za izvajanje nadzora</w:t>
      </w:r>
      <w:bookmarkEnd w:id="99"/>
    </w:p>
    <w:p w14:paraId="62B40A54" w14:textId="77777777" w:rsidR="004912DC" w:rsidRPr="000F166D" w:rsidRDefault="004912DC" w:rsidP="004912DC">
      <w:pPr>
        <w:jc w:val="both"/>
        <w:rPr>
          <w:rFonts w:cs="Arial"/>
          <w:sz w:val="22"/>
        </w:rPr>
      </w:pPr>
    </w:p>
    <w:p w14:paraId="2FFD2397" w14:textId="77777777" w:rsidR="004912DC" w:rsidRPr="000F166D" w:rsidRDefault="004912DC" w:rsidP="004912DC">
      <w:pPr>
        <w:jc w:val="both"/>
        <w:rPr>
          <w:rFonts w:cs="Arial"/>
          <w:sz w:val="22"/>
          <w:szCs w:val="22"/>
        </w:rPr>
      </w:pPr>
      <w:r w:rsidRPr="000F166D">
        <w:rPr>
          <w:rFonts w:cs="Arial"/>
          <w:sz w:val="22"/>
          <w:szCs w:val="22"/>
        </w:rPr>
        <w:t>Sporazum o financiranju med PO in upravljavcem sklada skladov bo vseboval določbe, ki bodo omogočale PO, OU ter pristojnim državnim in revizijskim organom dostop do podatkov in dokumentacije, ki bo potrebna za nadzor nad izvajanjem aktivnosti sklada skladov in nad namensko porabo sredstev.</w:t>
      </w:r>
    </w:p>
    <w:p w14:paraId="1D4B20FD" w14:textId="77777777" w:rsidR="004912DC" w:rsidRPr="000F166D" w:rsidRDefault="004912DC" w:rsidP="004912DC">
      <w:pPr>
        <w:jc w:val="both"/>
        <w:rPr>
          <w:rFonts w:cs="Arial"/>
          <w:sz w:val="22"/>
          <w:szCs w:val="22"/>
        </w:rPr>
      </w:pPr>
    </w:p>
    <w:p w14:paraId="663D482C" w14:textId="77777777" w:rsidR="004912DC" w:rsidRPr="000F166D" w:rsidRDefault="004912DC" w:rsidP="004912DC">
      <w:pPr>
        <w:jc w:val="both"/>
        <w:rPr>
          <w:rFonts w:cs="Arial"/>
          <w:sz w:val="22"/>
          <w:szCs w:val="22"/>
        </w:rPr>
      </w:pPr>
      <w:r w:rsidRPr="000F166D">
        <w:rPr>
          <w:rFonts w:cs="Arial"/>
          <w:sz w:val="22"/>
          <w:szCs w:val="22"/>
        </w:rPr>
        <w:t>Upravljavec sklada skladov mora pri vodenju evidenc zagotoviti ločeno vodenje evidenc in s tem razlikovanje med novimi sredstvi, vloženimi v FI, vključno s sredstvi, ki jih prispeva evropska kohezijska politika in ostalimi sredstvi.</w:t>
      </w:r>
    </w:p>
    <w:p w14:paraId="5806BE03" w14:textId="77777777" w:rsidR="004912DC" w:rsidRPr="000F166D" w:rsidRDefault="004912DC" w:rsidP="004912DC">
      <w:pPr>
        <w:jc w:val="both"/>
        <w:rPr>
          <w:rFonts w:cs="Arial"/>
          <w:sz w:val="22"/>
          <w:szCs w:val="22"/>
        </w:rPr>
      </w:pPr>
    </w:p>
    <w:p w14:paraId="15B466DD" w14:textId="77777777" w:rsidR="004912DC" w:rsidRPr="000F166D" w:rsidRDefault="004912DC" w:rsidP="004912DC">
      <w:pPr>
        <w:jc w:val="both"/>
        <w:rPr>
          <w:rFonts w:cs="Arial"/>
          <w:sz w:val="22"/>
          <w:szCs w:val="22"/>
        </w:rPr>
      </w:pPr>
      <w:r w:rsidRPr="000F166D">
        <w:rPr>
          <w:rFonts w:cs="Arial"/>
          <w:sz w:val="22"/>
          <w:szCs w:val="22"/>
        </w:rPr>
        <w:t>Upravljavec sklada skladov ima za namen upravljanja in izvajanja sklada skladov vzpostavljeno ustrezno organizacijsko, odločevalsko in nadzorno strukturo.</w:t>
      </w:r>
    </w:p>
    <w:p w14:paraId="44DAE3BB" w14:textId="77777777" w:rsidR="004912DC" w:rsidRPr="000F166D" w:rsidRDefault="004912DC" w:rsidP="004912DC">
      <w:pPr>
        <w:jc w:val="both"/>
        <w:rPr>
          <w:rFonts w:cs="Arial"/>
          <w:sz w:val="22"/>
          <w:szCs w:val="22"/>
        </w:rPr>
      </w:pPr>
    </w:p>
    <w:p w14:paraId="1C5F66A9" w14:textId="77777777" w:rsidR="004912DC" w:rsidRPr="000F166D" w:rsidRDefault="004912DC" w:rsidP="004912DC">
      <w:pPr>
        <w:jc w:val="both"/>
        <w:rPr>
          <w:rFonts w:cs="Arial"/>
          <w:sz w:val="22"/>
          <w:szCs w:val="22"/>
        </w:rPr>
      </w:pPr>
      <w:r w:rsidRPr="000F166D">
        <w:rPr>
          <w:rFonts w:cs="Arial"/>
          <w:sz w:val="22"/>
          <w:szCs w:val="22"/>
        </w:rPr>
        <w:t>Upravljavec sklada skladov posluje v skladu s svojimi internimi akti.</w:t>
      </w:r>
    </w:p>
    <w:p w14:paraId="12F22030" w14:textId="77777777" w:rsidR="004912DC" w:rsidRPr="000F166D" w:rsidRDefault="004912DC" w:rsidP="004912DC">
      <w:pPr>
        <w:jc w:val="both"/>
        <w:rPr>
          <w:rFonts w:cs="Arial"/>
          <w:sz w:val="22"/>
          <w:szCs w:val="22"/>
        </w:rPr>
      </w:pPr>
    </w:p>
    <w:p w14:paraId="6DC98D27" w14:textId="77777777" w:rsidR="004912DC" w:rsidRPr="000F166D" w:rsidRDefault="004912DC" w:rsidP="004912DC">
      <w:pPr>
        <w:jc w:val="both"/>
        <w:rPr>
          <w:rFonts w:cs="Arial"/>
          <w:sz w:val="22"/>
          <w:szCs w:val="22"/>
        </w:rPr>
      </w:pPr>
      <w:r w:rsidRPr="000F166D">
        <w:rPr>
          <w:rFonts w:cs="Arial"/>
          <w:sz w:val="22"/>
          <w:szCs w:val="22"/>
        </w:rPr>
        <w:t xml:space="preserve">Upravljavec sklada skladov ima organizirano službo notranje revizije, v okviru katere se preverja vzpostavitev in delovanje notranjih kontrol za izvajanje operacije sklad skladov. </w:t>
      </w:r>
    </w:p>
    <w:p w14:paraId="68390874" w14:textId="77777777" w:rsidR="004912DC" w:rsidRPr="000F166D" w:rsidRDefault="004912DC" w:rsidP="004912DC">
      <w:pPr>
        <w:jc w:val="both"/>
        <w:rPr>
          <w:rFonts w:cs="Arial"/>
          <w:sz w:val="22"/>
          <w:szCs w:val="22"/>
        </w:rPr>
      </w:pPr>
    </w:p>
    <w:p w14:paraId="6F062A92" w14:textId="77777777" w:rsidR="004912DC" w:rsidRPr="000F166D" w:rsidRDefault="004912DC" w:rsidP="004912DC">
      <w:pPr>
        <w:jc w:val="both"/>
        <w:rPr>
          <w:rFonts w:cs="Arial"/>
          <w:sz w:val="22"/>
          <w:szCs w:val="22"/>
        </w:rPr>
      </w:pPr>
      <w:r w:rsidRPr="000F166D">
        <w:rPr>
          <w:rFonts w:cs="Arial"/>
          <w:sz w:val="22"/>
          <w:szCs w:val="22"/>
        </w:rPr>
        <w:t>Upravljavec sklada skladov podrobneje opredeli nadzor in spremljanje tudi v pogodbah s finančnimi posredniki, ki mora biti vsaj enakovreden nadzoru, ki ga izvaja PO.</w:t>
      </w:r>
    </w:p>
    <w:p w14:paraId="5A9C1A79" w14:textId="77777777" w:rsidR="004912DC" w:rsidRPr="000F166D" w:rsidRDefault="004912DC" w:rsidP="004912DC">
      <w:pPr>
        <w:jc w:val="both"/>
        <w:rPr>
          <w:rFonts w:cs="Arial"/>
          <w:sz w:val="22"/>
          <w:szCs w:val="22"/>
        </w:rPr>
      </w:pPr>
    </w:p>
    <w:p w14:paraId="31B0827A" w14:textId="77777777" w:rsidR="004912DC" w:rsidRPr="000F166D" w:rsidRDefault="004912DC" w:rsidP="004912DC">
      <w:pPr>
        <w:spacing w:after="160"/>
        <w:jc w:val="both"/>
        <w:rPr>
          <w:rFonts w:cs="Arial"/>
          <w:b/>
          <w:sz w:val="32"/>
          <w:szCs w:val="32"/>
        </w:rPr>
      </w:pPr>
      <w:r w:rsidRPr="000F166D">
        <w:rPr>
          <w:rFonts w:cs="Arial"/>
          <w:bCs/>
          <w:iCs/>
          <w:sz w:val="32"/>
          <w:szCs w:val="32"/>
        </w:rPr>
        <w:br w:type="page"/>
      </w:r>
    </w:p>
    <w:p w14:paraId="5B8A5916" w14:textId="77777777" w:rsidR="004912DC" w:rsidRPr="000F166D" w:rsidRDefault="004912DC" w:rsidP="004912DC">
      <w:pPr>
        <w:keepNext/>
        <w:jc w:val="both"/>
        <w:outlineLvl w:val="1"/>
        <w:rPr>
          <w:rFonts w:cs="Arial"/>
          <w:b/>
          <w:sz w:val="32"/>
          <w:szCs w:val="32"/>
        </w:rPr>
      </w:pPr>
      <w:bookmarkStart w:id="100" w:name="_Toc54857938"/>
      <w:r w:rsidRPr="000F166D">
        <w:rPr>
          <w:rFonts w:cs="Arial"/>
          <w:b/>
          <w:sz w:val="32"/>
          <w:szCs w:val="32"/>
        </w:rPr>
        <w:lastRenderedPageBreak/>
        <w:t>Priloga 1: Preverjanje izpolnjevanja pogojev po 28. členu ZJN-3 SID banke za izvajalca sklada skladov ter evidentiranje sredstev za finančne instrumente</w:t>
      </w:r>
      <w:bookmarkEnd w:id="100"/>
    </w:p>
    <w:p w14:paraId="658887DE" w14:textId="77777777" w:rsidR="004912DC" w:rsidRPr="000F166D" w:rsidRDefault="004912DC" w:rsidP="004912DC">
      <w:pPr>
        <w:jc w:val="both"/>
        <w:rPr>
          <w:rFonts w:cs="Arial"/>
          <w:sz w:val="22"/>
          <w:szCs w:val="22"/>
        </w:rPr>
      </w:pPr>
    </w:p>
    <w:p w14:paraId="41D1388C" w14:textId="77777777" w:rsidR="004912DC" w:rsidRPr="000F166D" w:rsidRDefault="004912DC" w:rsidP="004912DC">
      <w:pPr>
        <w:jc w:val="both"/>
        <w:rPr>
          <w:rFonts w:cs="Arial"/>
          <w:sz w:val="22"/>
          <w:szCs w:val="22"/>
        </w:rPr>
      </w:pPr>
      <w:r w:rsidRPr="000F166D">
        <w:rPr>
          <w:rFonts w:cs="Arial"/>
          <w:sz w:val="22"/>
          <w:szCs w:val="22"/>
        </w:rPr>
        <w:t xml:space="preserve">Evropska komisija enači izbiro izvajalca sklada skladov z naročilom finančnih storitev, zato je potrebno upoštevati postopke Zakona o javnem naročanju. V primeru izpolnjevanja pogojev je mogoče oddati naročilo po preprostem postopku, med osebami javnega prava. </w:t>
      </w:r>
    </w:p>
    <w:p w14:paraId="12733817" w14:textId="77777777" w:rsidR="004912DC" w:rsidRPr="000F166D" w:rsidRDefault="004912DC" w:rsidP="004912DC">
      <w:pPr>
        <w:jc w:val="both"/>
        <w:rPr>
          <w:rFonts w:cs="Arial"/>
          <w:sz w:val="22"/>
          <w:szCs w:val="22"/>
        </w:rPr>
      </w:pPr>
    </w:p>
    <w:p w14:paraId="693B8D0A" w14:textId="77777777" w:rsidR="004912DC" w:rsidRPr="000F166D" w:rsidRDefault="004912DC" w:rsidP="004912DC">
      <w:pPr>
        <w:jc w:val="both"/>
        <w:rPr>
          <w:rFonts w:cs="Arial"/>
          <w:sz w:val="22"/>
          <w:szCs w:val="22"/>
        </w:rPr>
      </w:pPr>
      <w:r w:rsidRPr="000F166D">
        <w:rPr>
          <w:rFonts w:cs="Arial"/>
          <w:sz w:val="22"/>
          <w:szCs w:val="22"/>
        </w:rPr>
        <w:t>Evropska komisija se na podlagi pripomb držav članic zaveda, da trenutno status promocijskih bank in ostalih javnih finančnih institucij v okviru sprejete zakonodaje za izvajanje ESIF ni nikjer posebej izpostavljen (kot npr. je EIB) in jih ni mogoče neposredno nominirati za izvajalca. Izbor takšne institucije je zato podvržen pravilom izbora na področju javnega naročanja. Na podlagi tega je pripravljen predlog sprememb Finančne uredbe in Uredbe o skupnih določbah, kjer se uvaja možnost, da lahko država članica izvajanje neposredno zaupa banki ali druga finančni instituciji v javni lasti in je ustanovljena zato, da izvaja finančne posle na strokovni ravni, ki izpolnjuje naslednje pogoje</w:t>
      </w:r>
      <w:r w:rsidRPr="000F166D">
        <w:rPr>
          <w:rFonts w:cs="Arial"/>
          <w:sz w:val="22"/>
          <w:szCs w:val="22"/>
          <w:vertAlign w:val="superscript"/>
        </w:rPr>
        <w:footnoteReference w:id="27"/>
      </w:r>
      <w:r w:rsidRPr="000F166D">
        <w:rPr>
          <w:rFonts w:cs="Arial"/>
          <w:sz w:val="22"/>
          <w:szCs w:val="22"/>
        </w:rPr>
        <w:t>:</w:t>
      </w:r>
    </w:p>
    <w:p w14:paraId="2C9EABCD" w14:textId="77777777" w:rsidR="004912DC" w:rsidRPr="000F166D" w:rsidRDefault="004912DC" w:rsidP="004912DC">
      <w:pPr>
        <w:numPr>
          <w:ilvl w:val="0"/>
          <w:numId w:val="38"/>
        </w:numPr>
        <w:shd w:val="clear" w:color="auto" w:fill="FFFFFF"/>
        <w:spacing w:line="240" w:lineRule="auto"/>
        <w:contextualSpacing/>
        <w:jc w:val="both"/>
        <w:rPr>
          <w:rFonts w:cs="Arial"/>
          <w:sz w:val="22"/>
          <w:szCs w:val="22"/>
        </w:rPr>
      </w:pPr>
      <w:r w:rsidRPr="000F166D">
        <w:rPr>
          <w:rFonts w:cs="Arial"/>
          <w:sz w:val="22"/>
          <w:szCs w:val="22"/>
        </w:rPr>
        <w:t xml:space="preserve">v kapitalu institucije ni neposredno udeležen zasebni kapital, razen v primeru ko gre za kontrolno ali »non-blocking« obliko, kar je zahtevano z nacionalno zakonodajo, v skladu s Pogodbo o EU, ki ne omogoča odločilnega vpliva na institucijo </w:t>
      </w:r>
    </w:p>
    <w:p w14:paraId="5E3191EA" w14:textId="77777777" w:rsidR="004912DC" w:rsidRPr="000F166D" w:rsidRDefault="004912DC" w:rsidP="004912DC">
      <w:pPr>
        <w:numPr>
          <w:ilvl w:val="0"/>
          <w:numId w:val="38"/>
        </w:numPr>
        <w:shd w:val="clear" w:color="auto" w:fill="FFFFFF"/>
        <w:spacing w:line="240" w:lineRule="auto"/>
        <w:contextualSpacing/>
        <w:jc w:val="both"/>
        <w:rPr>
          <w:rFonts w:cs="Arial"/>
          <w:sz w:val="22"/>
          <w:szCs w:val="22"/>
        </w:rPr>
      </w:pPr>
      <w:r w:rsidRPr="000F166D">
        <w:rPr>
          <w:rFonts w:cs="Arial"/>
          <w:sz w:val="22"/>
          <w:szCs w:val="22"/>
        </w:rPr>
        <w:t xml:space="preserve">deluje na podlagi javnih pooblastil, ki mu jih je podelila pristojna institucija države članice na nacionalni ali regionalni ravni, da izvaja razvojne naloge, ki so v skladu s cilji ESIF </w:t>
      </w:r>
    </w:p>
    <w:p w14:paraId="2EB7B1EC" w14:textId="77777777" w:rsidR="004912DC" w:rsidRPr="000F166D" w:rsidRDefault="004912DC" w:rsidP="004912DC">
      <w:pPr>
        <w:numPr>
          <w:ilvl w:val="0"/>
          <w:numId w:val="38"/>
        </w:numPr>
        <w:shd w:val="clear" w:color="auto" w:fill="FFFFFF"/>
        <w:spacing w:line="240" w:lineRule="auto"/>
        <w:contextualSpacing/>
        <w:jc w:val="both"/>
        <w:rPr>
          <w:rFonts w:cs="Arial"/>
          <w:sz w:val="22"/>
          <w:szCs w:val="22"/>
        </w:rPr>
      </w:pPr>
      <w:r w:rsidRPr="000F166D">
        <w:rPr>
          <w:rFonts w:cs="Arial"/>
          <w:sz w:val="22"/>
          <w:szCs w:val="22"/>
        </w:rPr>
        <w:t xml:space="preserve">svoje razvojne naloge izvaja v regija politikah in sektorjih, za katere je značilno, da financiranje na trgu ni na voljo ali ni na voljo v zadostnem obsegu, torej v vrzelih, </w:t>
      </w:r>
    </w:p>
    <w:p w14:paraId="5831847F" w14:textId="77777777" w:rsidR="004912DC" w:rsidRPr="000F166D" w:rsidRDefault="004912DC" w:rsidP="004912DC">
      <w:pPr>
        <w:numPr>
          <w:ilvl w:val="0"/>
          <w:numId w:val="38"/>
        </w:numPr>
        <w:shd w:val="clear" w:color="auto" w:fill="FFFFFF"/>
        <w:spacing w:line="240" w:lineRule="auto"/>
        <w:contextualSpacing/>
        <w:jc w:val="both"/>
        <w:rPr>
          <w:rFonts w:cs="Arial"/>
          <w:sz w:val="22"/>
          <w:szCs w:val="22"/>
        </w:rPr>
      </w:pPr>
      <w:r w:rsidRPr="000F166D">
        <w:rPr>
          <w:rFonts w:cs="Arial"/>
          <w:sz w:val="22"/>
          <w:szCs w:val="22"/>
        </w:rPr>
        <w:t>njen primarni cilj ni maksimiranje dobička temveč trajnostna naravnanost,</w:t>
      </w:r>
    </w:p>
    <w:p w14:paraId="7EB4ED33" w14:textId="77777777" w:rsidR="004912DC" w:rsidRPr="000F166D" w:rsidRDefault="004912DC" w:rsidP="004912DC">
      <w:pPr>
        <w:numPr>
          <w:ilvl w:val="0"/>
          <w:numId w:val="38"/>
        </w:numPr>
        <w:shd w:val="clear" w:color="auto" w:fill="FFFFFF"/>
        <w:spacing w:line="240" w:lineRule="auto"/>
        <w:contextualSpacing/>
        <w:jc w:val="both"/>
        <w:rPr>
          <w:rFonts w:cs="Arial"/>
          <w:sz w:val="22"/>
          <w:szCs w:val="22"/>
        </w:rPr>
      </w:pPr>
      <w:r w:rsidRPr="000F166D">
        <w:rPr>
          <w:rFonts w:cs="Arial"/>
          <w:sz w:val="22"/>
          <w:szCs w:val="22"/>
        </w:rPr>
        <w:t>pooblastila ne zagotavljajo neposredne ali posredne koristi za tržne aktivnosti v skladu z zadevno zakonodajo,</w:t>
      </w:r>
    </w:p>
    <w:p w14:paraId="7DFCC166" w14:textId="77777777" w:rsidR="004912DC" w:rsidRPr="000F166D" w:rsidRDefault="004912DC" w:rsidP="004912DC">
      <w:pPr>
        <w:numPr>
          <w:ilvl w:val="0"/>
          <w:numId w:val="38"/>
        </w:numPr>
        <w:shd w:val="clear" w:color="auto" w:fill="FFFFFF"/>
        <w:spacing w:line="240" w:lineRule="auto"/>
        <w:contextualSpacing/>
        <w:jc w:val="both"/>
        <w:rPr>
          <w:rFonts w:cs="Arial"/>
          <w:sz w:val="22"/>
          <w:szCs w:val="22"/>
        </w:rPr>
      </w:pPr>
      <w:r w:rsidRPr="000F166D">
        <w:rPr>
          <w:rFonts w:cs="Arial"/>
          <w:sz w:val="22"/>
          <w:szCs w:val="22"/>
        </w:rPr>
        <w:t>je podvržena nadzoru neodvisnega organa v skladu z nacionalno zakonodajo.</w:t>
      </w:r>
    </w:p>
    <w:p w14:paraId="64945A44" w14:textId="77777777" w:rsidR="004912DC" w:rsidRPr="000F166D" w:rsidRDefault="004912DC" w:rsidP="004912DC">
      <w:pPr>
        <w:jc w:val="both"/>
        <w:rPr>
          <w:rFonts w:cs="Arial"/>
          <w:sz w:val="22"/>
          <w:szCs w:val="22"/>
        </w:rPr>
      </w:pPr>
    </w:p>
    <w:p w14:paraId="2A57D86B" w14:textId="77777777" w:rsidR="004912DC" w:rsidRPr="000F166D" w:rsidRDefault="004912DC" w:rsidP="004912DC">
      <w:pPr>
        <w:jc w:val="both"/>
        <w:rPr>
          <w:rFonts w:cs="Arial"/>
          <w:sz w:val="22"/>
          <w:szCs w:val="22"/>
        </w:rPr>
      </w:pPr>
      <w:r w:rsidRPr="000F166D">
        <w:rPr>
          <w:rFonts w:cs="Arial"/>
          <w:sz w:val="22"/>
          <w:szCs w:val="22"/>
        </w:rPr>
        <w:t>Aktualen predlog spremembe torej nedvoumno izraža namero in interes Evropske komisije, da se z vidika zaupanja nalog izvajanja sklada skladov ali posameznih FI imenuje (neposredno) razvojne banke.</w:t>
      </w:r>
    </w:p>
    <w:p w14:paraId="07164210" w14:textId="77777777" w:rsidR="004912DC" w:rsidRPr="000F166D" w:rsidRDefault="004912DC" w:rsidP="004912DC">
      <w:pPr>
        <w:jc w:val="both"/>
        <w:rPr>
          <w:rFonts w:cs="Arial"/>
          <w:sz w:val="22"/>
          <w:szCs w:val="22"/>
        </w:rPr>
      </w:pPr>
    </w:p>
    <w:p w14:paraId="7BF11455" w14:textId="77777777" w:rsidR="004912DC" w:rsidRPr="000F166D" w:rsidRDefault="004912DC" w:rsidP="004912DC">
      <w:pPr>
        <w:jc w:val="both"/>
        <w:rPr>
          <w:rFonts w:cs="Arial"/>
          <w:sz w:val="22"/>
          <w:szCs w:val="22"/>
        </w:rPr>
      </w:pPr>
      <w:r w:rsidRPr="000F166D">
        <w:rPr>
          <w:rFonts w:cs="Arial"/>
          <w:sz w:val="22"/>
          <w:szCs w:val="22"/>
        </w:rPr>
        <w:t xml:space="preserve">Do sprejetja opisanih normativnih sprememb pa velja, da podpis finančnega sporazuma z izvajalcem sklada skladov z vidika pravil javnega naročanja pomeni naročilo finančnih storitev. Zato je pri izboru izvajalca sklada skladov, v kolikor evropska zakonodaja za izvajanje ESIF za posamezen subjekt (kot na primer za EIB) ne določa drugače, potrebno upoštevati postopke javnega naročanja. </w:t>
      </w:r>
    </w:p>
    <w:p w14:paraId="6AA60DBE" w14:textId="77777777" w:rsidR="004912DC" w:rsidRPr="000F166D" w:rsidRDefault="004912DC" w:rsidP="004912DC">
      <w:pPr>
        <w:jc w:val="both"/>
        <w:rPr>
          <w:rFonts w:cs="Arial"/>
          <w:sz w:val="22"/>
          <w:szCs w:val="22"/>
        </w:rPr>
      </w:pPr>
      <w:r w:rsidRPr="000F166D">
        <w:rPr>
          <w:rFonts w:cs="Arial"/>
          <w:sz w:val="22"/>
          <w:szCs w:val="22"/>
        </w:rPr>
        <w:br/>
        <w:t>V nacionalni zakonodaji so ti postopki urejeni z Zakonom o javnem naročanju (ZJN-3), ki v nacionalni pravni red med drugim vnaša tudi izjemo od uporabe pravil javnega naročanja. Gre za izjemo t.i. notranjega izvajalca, razvito na podlagi prakse Sodišča EU.</w:t>
      </w:r>
    </w:p>
    <w:p w14:paraId="7F6A1E71" w14:textId="77777777" w:rsidR="004912DC" w:rsidRPr="000F166D" w:rsidRDefault="004912DC" w:rsidP="004912DC">
      <w:pPr>
        <w:shd w:val="clear" w:color="auto" w:fill="FFFFFF"/>
        <w:jc w:val="both"/>
        <w:rPr>
          <w:rFonts w:cs="Arial"/>
          <w:sz w:val="22"/>
          <w:szCs w:val="22"/>
        </w:rPr>
      </w:pPr>
    </w:p>
    <w:p w14:paraId="251ECEE3" w14:textId="77777777" w:rsidR="004912DC" w:rsidRPr="000F166D" w:rsidRDefault="004912DC" w:rsidP="004912DC">
      <w:pPr>
        <w:shd w:val="clear" w:color="auto" w:fill="FFFFFF"/>
        <w:jc w:val="both"/>
        <w:rPr>
          <w:rFonts w:cs="Arial"/>
          <w:sz w:val="22"/>
          <w:szCs w:val="22"/>
        </w:rPr>
      </w:pPr>
    </w:p>
    <w:p w14:paraId="29F39B6E" w14:textId="77777777" w:rsidR="004912DC" w:rsidRPr="000F166D" w:rsidRDefault="004912DC" w:rsidP="004912DC">
      <w:pPr>
        <w:shd w:val="clear" w:color="auto" w:fill="FFFFFF"/>
        <w:jc w:val="both"/>
        <w:rPr>
          <w:rFonts w:cs="Arial"/>
          <w:sz w:val="22"/>
          <w:szCs w:val="22"/>
        </w:rPr>
      </w:pPr>
    </w:p>
    <w:p w14:paraId="019E90F3" w14:textId="77777777" w:rsidR="004912DC" w:rsidRPr="000F166D" w:rsidRDefault="004912DC" w:rsidP="004912DC">
      <w:pPr>
        <w:shd w:val="clear" w:color="auto" w:fill="FFFFFF"/>
        <w:jc w:val="both"/>
        <w:rPr>
          <w:rFonts w:cs="Arial"/>
          <w:sz w:val="22"/>
          <w:szCs w:val="22"/>
        </w:rPr>
      </w:pPr>
    </w:p>
    <w:p w14:paraId="3B2B606B" w14:textId="77777777" w:rsidR="004912DC" w:rsidRPr="000F166D" w:rsidRDefault="004912DC" w:rsidP="004912DC">
      <w:pPr>
        <w:keepNext/>
        <w:keepLines/>
        <w:widowControl w:val="0"/>
        <w:shd w:val="clear" w:color="auto" w:fill="FFFFFF"/>
        <w:jc w:val="both"/>
        <w:rPr>
          <w:rFonts w:cs="Arial"/>
          <w:b/>
          <w:sz w:val="22"/>
          <w:szCs w:val="22"/>
        </w:rPr>
      </w:pPr>
      <w:r w:rsidRPr="000F166D">
        <w:rPr>
          <w:rFonts w:cs="Arial"/>
          <w:b/>
          <w:sz w:val="22"/>
          <w:szCs w:val="22"/>
        </w:rPr>
        <w:lastRenderedPageBreak/>
        <w:t>Prvi odstavek 28. člena Zakona o javnem naročanju (ZJN-3) določa:</w:t>
      </w:r>
    </w:p>
    <w:p w14:paraId="0A1EADCF" w14:textId="77777777" w:rsidR="004912DC" w:rsidRPr="000F166D" w:rsidRDefault="004912DC" w:rsidP="004912DC">
      <w:pPr>
        <w:keepNext/>
        <w:keepLines/>
        <w:widowControl w:val="0"/>
        <w:shd w:val="clear" w:color="auto" w:fill="FFFFFF"/>
        <w:jc w:val="both"/>
        <w:rPr>
          <w:rFonts w:cs="Arial"/>
          <w:sz w:val="22"/>
          <w:szCs w:val="22"/>
        </w:rPr>
      </w:pPr>
    </w:p>
    <w:p w14:paraId="55FEA155" w14:textId="77777777" w:rsidR="004912DC" w:rsidRPr="000F166D" w:rsidRDefault="004912DC" w:rsidP="004912DC">
      <w:pPr>
        <w:keepNext/>
        <w:keepLines/>
        <w:widowControl w:val="0"/>
        <w:shd w:val="clear" w:color="auto" w:fill="FFFFFF"/>
        <w:jc w:val="both"/>
        <w:rPr>
          <w:rFonts w:cs="Arial"/>
          <w:sz w:val="22"/>
          <w:szCs w:val="22"/>
        </w:rPr>
      </w:pPr>
      <w:r w:rsidRPr="000F166D">
        <w:rPr>
          <w:rFonts w:cs="Arial"/>
          <w:sz w:val="22"/>
          <w:szCs w:val="22"/>
        </w:rPr>
        <w:t>(1) Ta zakon se ne uporablja za javno naročilo, ki ga naročnik iz a), b) ali c) točke prvega odstavka 9. člena tega zakona odda pravni osebi javnega ali zasebnega prava, če so izpolnjeni naslednji pogoji:</w:t>
      </w:r>
    </w:p>
    <w:p w14:paraId="2480307E" w14:textId="77777777" w:rsidR="004912DC" w:rsidRPr="000F166D" w:rsidRDefault="004912DC" w:rsidP="004912DC">
      <w:pPr>
        <w:shd w:val="clear" w:color="auto" w:fill="FFFFFF"/>
        <w:jc w:val="both"/>
        <w:rPr>
          <w:rFonts w:cs="Arial"/>
          <w:sz w:val="22"/>
          <w:szCs w:val="22"/>
        </w:rPr>
      </w:pPr>
      <w:r w:rsidRPr="000F166D">
        <w:rPr>
          <w:rFonts w:cs="Arial"/>
          <w:sz w:val="22"/>
          <w:szCs w:val="22"/>
        </w:rPr>
        <w:t>a)</w:t>
      </w:r>
      <w:r>
        <w:rPr>
          <w:rFonts w:cs="Arial"/>
          <w:sz w:val="22"/>
          <w:szCs w:val="22"/>
        </w:rPr>
        <w:t xml:space="preserve"> </w:t>
      </w:r>
      <w:r w:rsidRPr="000F166D">
        <w:rPr>
          <w:rFonts w:cs="Arial"/>
          <w:sz w:val="22"/>
          <w:szCs w:val="22"/>
        </w:rPr>
        <w:t xml:space="preserve"> ta naročnik obvladuje določeno pravno osebo podobno kot svoje službe;</w:t>
      </w:r>
    </w:p>
    <w:p w14:paraId="64D119DA" w14:textId="77777777" w:rsidR="004912DC" w:rsidRPr="000F166D" w:rsidRDefault="004912DC" w:rsidP="004912DC">
      <w:pPr>
        <w:shd w:val="clear" w:color="auto" w:fill="FFFFFF"/>
        <w:jc w:val="both"/>
        <w:rPr>
          <w:rFonts w:cs="Arial"/>
          <w:sz w:val="22"/>
          <w:szCs w:val="22"/>
        </w:rPr>
      </w:pPr>
      <w:r w:rsidRPr="000F166D">
        <w:rPr>
          <w:rFonts w:cs="Arial"/>
          <w:sz w:val="22"/>
          <w:szCs w:val="22"/>
        </w:rPr>
        <w:t>b)</w:t>
      </w:r>
      <w:r>
        <w:rPr>
          <w:rFonts w:cs="Arial"/>
          <w:sz w:val="22"/>
          <w:szCs w:val="22"/>
        </w:rPr>
        <w:t xml:space="preserve"> </w:t>
      </w:r>
      <w:r w:rsidRPr="000F166D">
        <w:rPr>
          <w:rFonts w:cs="Arial"/>
          <w:sz w:val="22"/>
          <w:szCs w:val="22"/>
        </w:rPr>
        <w:t xml:space="preserve"> odvisna pravna oseba izvaja več kot 80 odstotkov svojih dejavnosti za izpolnitev nalog, ki ji jih je dal ta naročnik, ki jo obvladuje, ali ki so ji jih dale druge pravne osebe, ki jih obvladuje ta naročnik;</w:t>
      </w:r>
    </w:p>
    <w:p w14:paraId="44D9B65B" w14:textId="77777777" w:rsidR="004912DC" w:rsidRPr="000F166D" w:rsidRDefault="004912DC" w:rsidP="004912DC">
      <w:pPr>
        <w:shd w:val="clear" w:color="auto" w:fill="FFFFFF"/>
        <w:jc w:val="both"/>
        <w:rPr>
          <w:rFonts w:cs="Arial"/>
          <w:sz w:val="22"/>
          <w:szCs w:val="22"/>
        </w:rPr>
      </w:pPr>
      <w:r w:rsidRPr="000F166D">
        <w:rPr>
          <w:rFonts w:cs="Arial"/>
          <w:sz w:val="22"/>
          <w:szCs w:val="22"/>
        </w:rPr>
        <w:t>c)</w:t>
      </w:r>
      <w:r>
        <w:rPr>
          <w:rFonts w:cs="Arial"/>
          <w:sz w:val="22"/>
          <w:szCs w:val="22"/>
        </w:rPr>
        <w:t xml:space="preserve"> </w:t>
      </w:r>
      <w:r w:rsidRPr="000F166D">
        <w:rPr>
          <w:rFonts w:cs="Arial"/>
          <w:sz w:val="22"/>
          <w:szCs w:val="22"/>
        </w:rPr>
        <w:t xml:space="preserve"> v odvisni pravni osebi neposreden zasebni kapital ni udeležen in</w:t>
      </w:r>
    </w:p>
    <w:p w14:paraId="6F35AC0E" w14:textId="77777777" w:rsidR="004912DC" w:rsidRPr="000F166D" w:rsidRDefault="004912DC" w:rsidP="004912DC">
      <w:pPr>
        <w:shd w:val="clear" w:color="auto" w:fill="FFFFFF"/>
        <w:jc w:val="both"/>
        <w:rPr>
          <w:rFonts w:cs="Arial"/>
          <w:sz w:val="22"/>
          <w:szCs w:val="22"/>
        </w:rPr>
      </w:pPr>
      <w:r w:rsidRPr="000F166D">
        <w:rPr>
          <w:rFonts w:cs="Arial"/>
          <w:sz w:val="22"/>
          <w:szCs w:val="22"/>
        </w:rPr>
        <w:t>č)</w:t>
      </w:r>
      <w:r>
        <w:rPr>
          <w:rFonts w:cs="Arial"/>
          <w:sz w:val="22"/>
          <w:szCs w:val="22"/>
        </w:rPr>
        <w:t xml:space="preserve"> </w:t>
      </w:r>
      <w:r w:rsidRPr="000F166D">
        <w:rPr>
          <w:rFonts w:cs="Arial"/>
          <w:sz w:val="22"/>
          <w:szCs w:val="22"/>
        </w:rPr>
        <w:t>vrednost predmeta naročanja je enaka ali nižja od cen za ta predmet na trgu.</w:t>
      </w:r>
    </w:p>
    <w:p w14:paraId="79167D9C" w14:textId="77777777" w:rsidR="004912DC" w:rsidRPr="000F166D" w:rsidRDefault="004912DC" w:rsidP="004912DC">
      <w:pPr>
        <w:shd w:val="clear" w:color="auto" w:fill="FFFFFF"/>
        <w:jc w:val="both"/>
        <w:rPr>
          <w:rFonts w:cs="Arial"/>
          <w:b/>
          <w:sz w:val="22"/>
          <w:szCs w:val="22"/>
        </w:rPr>
      </w:pPr>
    </w:p>
    <w:p w14:paraId="6EDDB27E" w14:textId="77777777" w:rsidR="004912DC" w:rsidRPr="000F166D" w:rsidRDefault="004912DC" w:rsidP="004912DC">
      <w:pPr>
        <w:shd w:val="clear" w:color="auto" w:fill="FFFFFF"/>
        <w:jc w:val="both"/>
        <w:rPr>
          <w:rFonts w:cs="Arial"/>
          <w:sz w:val="22"/>
          <w:szCs w:val="22"/>
        </w:rPr>
      </w:pPr>
      <w:r w:rsidRPr="000F166D">
        <w:rPr>
          <w:rFonts w:cs="Arial"/>
          <w:sz w:val="22"/>
          <w:szCs w:val="22"/>
        </w:rPr>
        <w:t>1. Izpolnjevanje pogoja iz točke a) ta naročnik obvladuje določeno pravno osebo podobno kot svoje službe se v skladu z zahtevami prava EU nanaša na pravni položaj, ko javni naročnik obvladuje zadevno pravno osebo zasebnega ali javnega prava podobno kot svoje službe (t.i. pogoj organizacijske odvisnosti), pri čemer se šteje, da javni naročnik obvladuje pravno osebo podobno kot svoje službe, če odločilno vpliva na strateške cilje in pomembne odločitve odvisne pravne osebe . Ta pogoj je izpolnjen tako v primeru, če imata oseba javni naročnik in odvisna družba isti organ odločanja ali, če je oseba javni naročnik (oziroma nekateri izmed njegovih organov) pristojen za imenovanje in razreševanje organa odločanja v gospodarski družbi ali pa, če bi organ vodenja odvisne družbe za sprejem strateških ciljev oziroma pomembnih odločitev potreboval soglasje osebe javnega naročnika (oziroma katerega od njegovih organov).Tako obvladovanje lahko izvaja tudi druga pravna oseba, ki jo na enak način obvladuje ta naročnik.</w:t>
      </w:r>
    </w:p>
    <w:p w14:paraId="4A159079" w14:textId="77777777" w:rsidR="004912DC" w:rsidRPr="000F166D" w:rsidRDefault="004912DC" w:rsidP="004912DC">
      <w:pPr>
        <w:shd w:val="clear" w:color="auto" w:fill="FFFFFF"/>
        <w:jc w:val="both"/>
        <w:rPr>
          <w:rFonts w:cs="Arial"/>
          <w:sz w:val="22"/>
          <w:szCs w:val="22"/>
        </w:rPr>
      </w:pPr>
    </w:p>
    <w:tbl>
      <w:tblPr>
        <w:tblStyle w:val="Tabelamrea"/>
        <w:tblW w:w="9776" w:type="dxa"/>
        <w:shd w:val="clear" w:color="auto" w:fill="FFFFFF" w:themeFill="background1"/>
        <w:tblLook w:val="04A0" w:firstRow="1" w:lastRow="0" w:firstColumn="1" w:lastColumn="0" w:noHBand="0" w:noVBand="1"/>
      </w:tblPr>
      <w:tblGrid>
        <w:gridCol w:w="9776"/>
      </w:tblGrid>
      <w:tr w:rsidR="004912DC" w:rsidRPr="000F166D" w14:paraId="14C71146" w14:textId="77777777" w:rsidTr="00906890">
        <w:tc>
          <w:tcPr>
            <w:tcW w:w="9776" w:type="dxa"/>
            <w:shd w:val="clear" w:color="auto" w:fill="FFFFFF" w:themeFill="background1"/>
          </w:tcPr>
          <w:p w14:paraId="38543FCF" w14:textId="77777777" w:rsidR="004912DC" w:rsidRPr="000F166D" w:rsidRDefault="004912DC" w:rsidP="00906890">
            <w:pPr>
              <w:shd w:val="clear" w:color="auto" w:fill="FFFFFF"/>
              <w:jc w:val="both"/>
              <w:rPr>
                <w:rFonts w:cs="Arial"/>
                <w:sz w:val="22"/>
                <w:szCs w:val="22"/>
              </w:rPr>
            </w:pPr>
            <w:r w:rsidRPr="000F166D">
              <w:rPr>
                <w:rFonts w:cs="Arial"/>
                <w:sz w:val="22"/>
                <w:szCs w:val="22"/>
              </w:rPr>
              <w:t>V primeru SID banke je zakonsko določeno, da je zaradi zagotavljanja izvajanja zakonsko določenih nalog in uresničevanja ciljev po tem zakonu Republika Slovenija edini delničar SID banke (4. člen Zakona o Slovenski izvozni in razvojni banki</w:t>
            </w:r>
            <w:r w:rsidRPr="000F166D">
              <w:rPr>
                <w:rFonts w:cs="Arial"/>
                <w:sz w:val="22"/>
                <w:szCs w:val="22"/>
                <w:vertAlign w:val="superscript"/>
              </w:rPr>
              <w:footnoteReference w:id="28"/>
            </w:r>
            <w:r w:rsidRPr="000F166D">
              <w:rPr>
                <w:rFonts w:cs="Arial"/>
                <w:sz w:val="22"/>
                <w:szCs w:val="22"/>
              </w:rPr>
              <w:t xml:space="preserve"> (v nadaljevanju: ZSIRB), kar kaže na to, da je lahko pogoj izpolnjen. SID banka mora o izvrševanju pooblastil po ZSIRB enkrat letno poročati Vladi, ta pa nadalje Državnemu zboru (ZSIRB, 17. člen). Nadalje člane nadzornega sveta SID banke imenuje Vlada Republike Slovenije, in sicer pet članov kot predstavnike strokovne javnosti na predlog ministra, pristojnega za razvoj in evropske zadeve, enega člana kot predstavnika ministrstva, pristojnega za finance, na predlog ministra, pristojnega za finance in enega člana kot predstavnika ministrstva, pristojnega za gospodarstvo, na predlog ministra, pristojnega za gospodarstvo (četrti odstavek 18. člena ZSIRB). V tem delu je odločilno to, da vse člane nadzornega sveta imenuje in razrešuje ustanovitelj (t.j. Vlada RS v imenu Republike Slovenije) na predlog ministra, kot člana vlade. Člane uprave SID banke pa imenuje nadzorni svet. Gre za klasičen dvotirni sistem upravljanja, ki sicer izhaja že iz samega ZSIRB, podobno kot ga ureja Zakon o bančništvu in kot velja za gospodarske družbe na splošno po ZGD-1.</w:t>
            </w:r>
          </w:p>
          <w:p w14:paraId="1320B77A" w14:textId="77777777" w:rsidR="004912DC" w:rsidRPr="000F166D" w:rsidRDefault="004912DC" w:rsidP="00906890">
            <w:pPr>
              <w:shd w:val="clear" w:color="auto" w:fill="FFFFFF"/>
              <w:jc w:val="both"/>
              <w:rPr>
                <w:rFonts w:cs="Arial"/>
                <w:sz w:val="22"/>
                <w:szCs w:val="22"/>
              </w:rPr>
            </w:pPr>
          </w:p>
          <w:p w14:paraId="692B7D8A" w14:textId="77777777" w:rsidR="004912DC" w:rsidRPr="000F166D" w:rsidRDefault="004912DC" w:rsidP="00906890">
            <w:pPr>
              <w:shd w:val="clear" w:color="auto" w:fill="FFFFFF"/>
              <w:jc w:val="both"/>
              <w:rPr>
                <w:rFonts w:cs="Arial"/>
                <w:sz w:val="22"/>
                <w:szCs w:val="22"/>
              </w:rPr>
            </w:pPr>
            <w:r w:rsidRPr="000F166D">
              <w:rPr>
                <w:rFonts w:cs="Arial"/>
                <w:sz w:val="22"/>
                <w:szCs w:val="22"/>
              </w:rPr>
              <w:t>Zaradi tega je bistvenega pomena, kolikšen je dejanski obseg pristojnosti nadzornega sveta SID banke v razmerju do njene uprave. Ta je opredeljen v Statutu SID banke</w:t>
            </w:r>
            <w:r w:rsidRPr="000F166D">
              <w:rPr>
                <w:rFonts w:cs="Arial"/>
                <w:sz w:val="22"/>
                <w:szCs w:val="22"/>
                <w:vertAlign w:val="superscript"/>
              </w:rPr>
              <w:footnoteReference w:id="29"/>
            </w:r>
            <w:r w:rsidRPr="000F166D">
              <w:rPr>
                <w:rFonts w:cs="Arial"/>
                <w:sz w:val="22"/>
                <w:szCs w:val="22"/>
              </w:rPr>
              <w:t xml:space="preserve"> (15. člen), ki med drugim določa, da brez soglasja nadzornega sveta SID banke ni možno sprejeti strategije, letnega poslovnega in finančnega načrta ali skleniti večjih poslov, s čimer je izkazan vpliv nadzornega sveta ter da so določene meje samostojnemu operativnemu odločanju uprave SID banke. Dodatno je pomembno, da ima, kljub temu da je SID banka organizirana kot delniška družba in da je način imenovanja članov uprave s strani nadzornega sveta, Republika Slovenija že na podlagi posameznih zakonsko dodeljenih pooblastil SID banki, s pogodbeno ureditvijo razmerij s SID banko </w:t>
            </w:r>
            <w:r w:rsidRPr="000F166D">
              <w:rPr>
                <w:rFonts w:cs="Arial"/>
                <w:sz w:val="22"/>
                <w:szCs w:val="22"/>
              </w:rPr>
              <w:lastRenderedPageBreak/>
              <w:t>možnost odločilno vplivati na strateške cilje. Tako v okviru SID banke deluje tudi Komisija za pospeševanje mednarodne menjave, katere pristojnosti so omejene na posle po Zakonu o zavarovanju in financiranju mednarodnih gospodarskih poslov</w:t>
            </w:r>
            <w:r w:rsidRPr="000F166D">
              <w:rPr>
                <w:rFonts w:cs="Arial"/>
                <w:sz w:val="22"/>
                <w:szCs w:val="22"/>
                <w:vertAlign w:val="superscript"/>
              </w:rPr>
              <w:footnoteReference w:id="30"/>
            </w:r>
            <w:r w:rsidRPr="000F166D">
              <w:rPr>
                <w:rFonts w:cs="Arial"/>
                <w:sz w:val="22"/>
                <w:szCs w:val="22"/>
              </w:rPr>
              <w:t xml:space="preserve">. </w:t>
            </w:r>
          </w:p>
          <w:p w14:paraId="447BF624" w14:textId="77777777" w:rsidR="004912DC" w:rsidRPr="000F166D" w:rsidRDefault="004912DC" w:rsidP="00906890">
            <w:pPr>
              <w:shd w:val="clear" w:color="auto" w:fill="FFFFFF"/>
              <w:jc w:val="both"/>
              <w:rPr>
                <w:rFonts w:cs="Arial"/>
                <w:sz w:val="22"/>
                <w:szCs w:val="22"/>
              </w:rPr>
            </w:pPr>
          </w:p>
          <w:p w14:paraId="629EA934" w14:textId="77777777" w:rsidR="004912DC" w:rsidRPr="000F166D" w:rsidRDefault="004912DC" w:rsidP="00906890">
            <w:pPr>
              <w:shd w:val="clear" w:color="auto" w:fill="FFFFFF"/>
              <w:jc w:val="both"/>
              <w:rPr>
                <w:rFonts w:cs="Arial"/>
                <w:sz w:val="22"/>
                <w:szCs w:val="22"/>
              </w:rPr>
            </w:pPr>
            <w:r w:rsidRPr="000F166D">
              <w:rPr>
                <w:rFonts w:cs="Arial"/>
                <w:sz w:val="22"/>
                <w:szCs w:val="22"/>
              </w:rPr>
              <w:t>Ob tem, da se v konkretnem primeru z vidika doktrine notranjega izvajalca (in-house) presoja povezanost določenih pravnih oseb z državo, velja tudi omeniti, da z vidika te doktrine ni relevanten organizacijski ustroj ministrstev in je torej nepomembno, katero ministrstvo v imenu Republike Slovenije sklepa pogodbo s subjektom, ki se mu odda naročilo.</w:t>
            </w:r>
          </w:p>
          <w:p w14:paraId="7BCE1FD5" w14:textId="77777777" w:rsidR="004912DC" w:rsidRPr="000F166D" w:rsidRDefault="004912DC" w:rsidP="00906890">
            <w:pPr>
              <w:shd w:val="clear" w:color="auto" w:fill="FFFFFF"/>
              <w:jc w:val="both"/>
              <w:rPr>
                <w:rFonts w:cs="Arial"/>
                <w:sz w:val="22"/>
                <w:szCs w:val="22"/>
              </w:rPr>
            </w:pPr>
            <w:r w:rsidRPr="000F166D">
              <w:rPr>
                <w:rFonts w:cs="Arial"/>
                <w:sz w:val="22"/>
                <w:szCs w:val="22"/>
              </w:rPr>
              <w:t xml:space="preserve"> </w:t>
            </w:r>
          </w:p>
          <w:p w14:paraId="2DA81675" w14:textId="77777777" w:rsidR="004912DC" w:rsidRPr="000F166D" w:rsidRDefault="004912DC" w:rsidP="00906890">
            <w:pPr>
              <w:shd w:val="clear" w:color="auto" w:fill="FFFFFF"/>
              <w:jc w:val="both"/>
              <w:rPr>
                <w:rFonts w:cs="Arial"/>
                <w:sz w:val="22"/>
                <w:szCs w:val="22"/>
              </w:rPr>
            </w:pPr>
          </w:p>
          <w:p w14:paraId="24724585" w14:textId="77777777" w:rsidR="004912DC" w:rsidRPr="000F166D" w:rsidRDefault="004912DC" w:rsidP="00906890">
            <w:pPr>
              <w:shd w:val="clear" w:color="auto" w:fill="FFFFFF"/>
              <w:jc w:val="both"/>
              <w:rPr>
                <w:rFonts w:cs="Arial"/>
                <w:sz w:val="22"/>
                <w:szCs w:val="22"/>
              </w:rPr>
            </w:pPr>
            <w:r w:rsidRPr="000F166D">
              <w:rPr>
                <w:rFonts w:cs="Arial"/>
                <w:sz w:val="22"/>
                <w:szCs w:val="22"/>
              </w:rPr>
              <w:t>Z »Uredbo o porabi sredstev evropske kohezijske politike v Republiki Sloveniji v programskem obdobju 2014–2020 za cilj naložbe za rast in delovna mesta« je namreč določeno, da MGRT sklene finančni sporazum s skladom skladov. RS je pravna oseba, ki jo zastopa Vlada RS, katere del so ministrstva (skladno z Zakonom o Vladi Republike Slovenije</w:t>
            </w:r>
            <w:r w:rsidRPr="000F166D">
              <w:rPr>
                <w:rFonts w:cs="Arial"/>
                <w:sz w:val="22"/>
                <w:szCs w:val="22"/>
                <w:vertAlign w:val="superscript"/>
              </w:rPr>
              <w:footnoteReference w:id="31"/>
            </w:r>
            <w:r w:rsidRPr="000F166D">
              <w:rPr>
                <w:rFonts w:cs="Arial"/>
                <w:sz w:val="22"/>
                <w:szCs w:val="22"/>
              </w:rPr>
              <w:t>). Zakon o državni upravi pa določa področja dela posameznega ministrstva</w:t>
            </w:r>
            <w:r w:rsidRPr="000F166D">
              <w:rPr>
                <w:rFonts w:cs="Arial"/>
                <w:sz w:val="22"/>
                <w:szCs w:val="22"/>
                <w:vertAlign w:val="superscript"/>
              </w:rPr>
              <w:footnoteReference w:id="32"/>
            </w:r>
            <w:r w:rsidRPr="000F166D">
              <w:rPr>
                <w:rFonts w:cs="Arial"/>
                <w:sz w:val="22"/>
                <w:szCs w:val="22"/>
              </w:rPr>
              <w:t xml:space="preserve">. </w:t>
            </w:r>
          </w:p>
          <w:p w14:paraId="4EE1CFF0" w14:textId="77777777" w:rsidR="004912DC" w:rsidRPr="000F166D" w:rsidRDefault="004912DC" w:rsidP="00906890">
            <w:pPr>
              <w:shd w:val="clear" w:color="auto" w:fill="FFFFFF"/>
              <w:jc w:val="both"/>
              <w:rPr>
                <w:rFonts w:cs="Arial"/>
                <w:sz w:val="22"/>
                <w:szCs w:val="22"/>
              </w:rPr>
            </w:pPr>
          </w:p>
          <w:p w14:paraId="47F3151C" w14:textId="77777777" w:rsidR="004912DC" w:rsidRPr="000F166D" w:rsidRDefault="004912DC" w:rsidP="00906890">
            <w:pPr>
              <w:shd w:val="clear" w:color="auto" w:fill="FFFFFF"/>
              <w:jc w:val="both"/>
              <w:rPr>
                <w:rFonts w:cs="Arial"/>
                <w:sz w:val="22"/>
                <w:szCs w:val="22"/>
              </w:rPr>
            </w:pPr>
            <w:r w:rsidRPr="000F166D">
              <w:rPr>
                <w:rFonts w:cs="Arial"/>
                <w:sz w:val="22"/>
                <w:szCs w:val="22"/>
              </w:rPr>
              <w:t xml:space="preserve">Vlada RS je z Uredbo o porabi sredstev evropske kohezijske politike v Republiki Sloveniji v programskem obdobju 2014–2020 za cilj naložbe za rast in delovna mesta naloge na MGRT. </w:t>
            </w:r>
          </w:p>
          <w:p w14:paraId="537DB4BA" w14:textId="77777777" w:rsidR="004912DC" w:rsidRPr="000F166D" w:rsidRDefault="004912DC" w:rsidP="00906890">
            <w:pPr>
              <w:shd w:val="clear" w:color="auto" w:fill="FFFFFF"/>
              <w:jc w:val="both"/>
              <w:rPr>
                <w:rFonts w:cs="Arial"/>
                <w:sz w:val="22"/>
                <w:szCs w:val="22"/>
              </w:rPr>
            </w:pPr>
          </w:p>
          <w:p w14:paraId="188B3072" w14:textId="77777777" w:rsidR="004912DC" w:rsidRPr="000F166D" w:rsidRDefault="004912DC" w:rsidP="00906890">
            <w:pPr>
              <w:shd w:val="clear" w:color="auto" w:fill="FFFFFF"/>
              <w:jc w:val="both"/>
              <w:rPr>
                <w:rFonts w:cs="Arial"/>
                <w:sz w:val="22"/>
                <w:szCs w:val="22"/>
              </w:rPr>
            </w:pPr>
            <w:r w:rsidRPr="000F166D">
              <w:rPr>
                <w:rFonts w:cs="Arial"/>
                <w:sz w:val="22"/>
                <w:szCs w:val="22"/>
              </w:rPr>
              <w:t xml:space="preserve">Dodatno je pomembno, da ima, kljub temu da je SID banka organizirana kot delniška družba in da je način imenovanja članov uprave s strani nadzornega sveta, Republika Slovenija že na podlagi posameznih zakonsko dodeljenih pooblastil SID banki, pogodbene ureditve razmerij s SID banko in določb Statuta SID banke možnost odločilno vplivati na strateške cilje in na bistvene odločitve. </w:t>
            </w:r>
          </w:p>
          <w:p w14:paraId="2ECE35F8" w14:textId="77777777" w:rsidR="004912DC" w:rsidRPr="000F166D" w:rsidRDefault="004912DC" w:rsidP="00906890">
            <w:pPr>
              <w:shd w:val="clear" w:color="auto" w:fill="FFFFFF"/>
              <w:jc w:val="both"/>
              <w:rPr>
                <w:rFonts w:cs="Arial"/>
                <w:sz w:val="22"/>
                <w:szCs w:val="22"/>
              </w:rPr>
            </w:pPr>
          </w:p>
          <w:p w14:paraId="37F9398B" w14:textId="77777777" w:rsidR="004912DC" w:rsidRPr="000F166D" w:rsidRDefault="004912DC" w:rsidP="00906890">
            <w:pPr>
              <w:shd w:val="clear" w:color="auto" w:fill="FFFFFF"/>
              <w:jc w:val="both"/>
              <w:rPr>
                <w:rFonts w:cs="Arial"/>
                <w:sz w:val="22"/>
                <w:szCs w:val="22"/>
              </w:rPr>
            </w:pPr>
            <w:r w:rsidRPr="000F166D">
              <w:rPr>
                <w:rFonts w:cs="Arial"/>
                <w:sz w:val="22"/>
                <w:szCs w:val="22"/>
              </w:rPr>
              <w:t>Prav tako nadzor nad poslovanjem SID banke v okviru svojih pristojnosti izvajajo Banka Slovenije, Agencija za zavarovalni nadzor in ministrstvo, pristojno za finance.</w:t>
            </w:r>
          </w:p>
          <w:p w14:paraId="6F216A27" w14:textId="77777777" w:rsidR="004912DC" w:rsidRPr="000F166D" w:rsidRDefault="004912DC" w:rsidP="00906890">
            <w:pPr>
              <w:shd w:val="clear" w:color="auto" w:fill="FFFFFF"/>
              <w:jc w:val="both"/>
              <w:rPr>
                <w:rFonts w:cs="Arial"/>
                <w:sz w:val="22"/>
                <w:szCs w:val="22"/>
              </w:rPr>
            </w:pPr>
          </w:p>
          <w:p w14:paraId="6FF24025" w14:textId="77777777" w:rsidR="004912DC" w:rsidRPr="000F166D" w:rsidRDefault="004912DC" w:rsidP="00906890">
            <w:pPr>
              <w:shd w:val="clear" w:color="auto" w:fill="FFFFFF"/>
              <w:jc w:val="both"/>
              <w:rPr>
                <w:rFonts w:cs="Arial"/>
                <w:sz w:val="22"/>
                <w:szCs w:val="22"/>
              </w:rPr>
            </w:pPr>
          </w:p>
          <w:p w14:paraId="3B93AD86" w14:textId="77777777" w:rsidR="004912DC" w:rsidRPr="000F166D" w:rsidRDefault="004912DC" w:rsidP="00906890">
            <w:pPr>
              <w:shd w:val="clear" w:color="auto" w:fill="FFFFFF"/>
              <w:jc w:val="both"/>
              <w:rPr>
                <w:rFonts w:cs="Arial"/>
                <w:sz w:val="22"/>
                <w:szCs w:val="22"/>
              </w:rPr>
            </w:pPr>
            <w:r w:rsidRPr="000F166D">
              <w:rPr>
                <w:rFonts w:cs="Arial"/>
                <w:sz w:val="22"/>
                <w:szCs w:val="22"/>
              </w:rPr>
              <w:t xml:space="preserve">Vlada RS preko Slovenskega državnega holdinga potrjuje letni načrt, letno poročilo, delitev dobička, razrešuje in imenuje nadzorni svet (192,. 193. člen ZGD). Glasovalne in druge pravice edinega delničarja na skupščini v skladu s 4. členom ZSRIP uresničuje Republika Slovenija. </w:t>
            </w:r>
          </w:p>
          <w:p w14:paraId="2B74BEAE" w14:textId="77777777" w:rsidR="004912DC" w:rsidRPr="000F166D" w:rsidRDefault="004912DC" w:rsidP="00906890">
            <w:pPr>
              <w:shd w:val="clear" w:color="auto" w:fill="FFFFFF"/>
              <w:jc w:val="both"/>
              <w:rPr>
                <w:rFonts w:cs="Arial"/>
                <w:sz w:val="22"/>
                <w:szCs w:val="22"/>
              </w:rPr>
            </w:pPr>
          </w:p>
          <w:p w14:paraId="38C3DA40" w14:textId="77777777" w:rsidR="004912DC" w:rsidRPr="000F166D" w:rsidRDefault="004912DC" w:rsidP="00906890">
            <w:pPr>
              <w:shd w:val="clear" w:color="auto" w:fill="FFFFFF"/>
              <w:jc w:val="both"/>
              <w:rPr>
                <w:rFonts w:cs="Arial"/>
                <w:sz w:val="22"/>
                <w:szCs w:val="22"/>
              </w:rPr>
            </w:pPr>
            <w:r w:rsidRPr="000F166D">
              <w:rPr>
                <w:rFonts w:cs="Arial"/>
                <w:sz w:val="22"/>
                <w:szCs w:val="22"/>
              </w:rPr>
              <w:t>Statut namreč določa, da brez soglasja nadzornega sveta SID banke ni možno sprejeti strategije, letnega poslovnega in finančnega načrta ali skleniti večjih poslov. Poleg tega je v 16. členu Statuta SID banke določeno, da ima nadzorni svet tudi druge pomembnejše pristojnosti, s čimer je izkazan vpliv na dejavnost SID banke ter da so določeni meje samostojnemu operativnemu odločanju uprave SID banke.</w:t>
            </w:r>
          </w:p>
          <w:p w14:paraId="4C989633" w14:textId="77777777" w:rsidR="004912DC" w:rsidRPr="000F166D" w:rsidRDefault="004912DC" w:rsidP="00906890">
            <w:pPr>
              <w:shd w:val="clear" w:color="auto" w:fill="FFFFFF"/>
              <w:jc w:val="both"/>
              <w:rPr>
                <w:rFonts w:cs="Arial"/>
                <w:sz w:val="22"/>
                <w:szCs w:val="22"/>
              </w:rPr>
            </w:pPr>
          </w:p>
        </w:tc>
      </w:tr>
    </w:tbl>
    <w:p w14:paraId="33EE6FBD" w14:textId="77777777" w:rsidR="004912DC" w:rsidRPr="000F166D" w:rsidRDefault="004912DC" w:rsidP="004912DC">
      <w:pPr>
        <w:shd w:val="clear" w:color="auto" w:fill="FFFFFF"/>
        <w:jc w:val="both"/>
        <w:rPr>
          <w:rFonts w:cs="Arial"/>
          <w:sz w:val="22"/>
          <w:szCs w:val="22"/>
        </w:rPr>
      </w:pPr>
    </w:p>
    <w:p w14:paraId="5D41802C" w14:textId="77777777" w:rsidR="004912DC" w:rsidRPr="000F166D" w:rsidRDefault="004912DC" w:rsidP="004912DC">
      <w:pPr>
        <w:shd w:val="clear" w:color="auto" w:fill="FFFFFF"/>
        <w:jc w:val="both"/>
        <w:rPr>
          <w:rFonts w:cs="Arial"/>
          <w:sz w:val="22"/>
          <w:szCs w:val="22"/>
        </w:rPr>
      </w:pPr>
      <w:r w:rsidRPr="000F166D">
        <w:rPr>
          <w:rFonts w:cs="Arial"/>
          <w:sz w:val="22"/>
          <w:szCs w:val="22"/>
        </w:rPr>
        <w:lastRenderedPageBreak/>
        <w:t>2. Izpolnjevanje pogoje iz točke b) odvisna pravna oseba izvaja več kot 80 odstotkov svojih dejavnosti za izpolnitev nalog, ki ji jih je dal ta naročnik, ki jo obvladuje, ali ki so ji jih dale druge pravne osebe, ki jih obvladuje ta naročnik. Pretežni del dejavnosti notranjega subjekta torej morajo biti naloge, ki mu jih dodelijo nadzorni subjekti. Za oceno tega so po mnenju EK pomembne vse dejavnosti, pri čemer pa niso zajeta samo javna naročila, sploh pa ne samo javne službe/naloge, ki jih notranji subjekt izvaja kot del naročila, ki mu ga je dodelil naročnik in sicer ne glede na identiteto prejemnika (ali je to naročnik sam ali uporabnik storitev), subjekt, ki plačuje naročnika (ali je to nadzorni organ ali tretja oseba kot uporabnik storitev), ali ozemlje izvajanja storitev.</w:t>
      </w:r>
    </w:p>
    <w:p w14:paraId="34DF0202" w14:textId="77777777" w:rsidR="004912DC" w:rsidRPr="000F166D" w:rsidRDefault="004912DC" w:rsidP="004912DC">
      <w:pPr>
        <w:shd w:val="clear" w:color="auto" w:fill="FFFFFF"/>
        <w:jc w:val="both"/>
        <w:rPr>
          <w:rFonts w:cs="Arial"/>
          <w:sz w:val="22"/>
          <w:szCs w:val="22"/>
        </w:rPr>
      </w:pPr>
      <w:r w:rsidRPr="000F166D">
        <w:rPr>
          <w:rFonts w:cs="Arial"/>
          <w:sz w:val="22"/>
          <w:szCs w:val="22"/>
        </w:rPr>
        <w:t>Pri določanju odstotka dejavnosti se upošteva skupni povprečni promet ali drug ustrezen dejavnik, ki temelji na dejavnosti, kot so stroški pravne osebe ali naročnika v zvezi s storitvami, blagom in gradnjami v treh letih pred oddajo javnega naročila.</w:t>
      </w:r>
    </w:p>
    <w:p w14:paraId="6A5CE163" w14:textId="77777777" w:rsidR="004912DC" w:rsidRPr="000F166D" w:rsidRDefault="004912DC" w:rsidP="004912DC">
      <w:pPr>
        <w:shd w:val="clear" w:color="auto" w:fill="FFFFFF"/>
        <w:jc w:val="both"/>
        <w:rPr>
          <w:rFonts w:cs="Arial"/>
          <w:sz w:val="22"/>
          <w:szCs w:val="22"/>
        </w:rPr>
      </w:pPr>
    </w:p>
    <w:tbl>
      <w:tblPr>
        <w:tblStyle w:val="Tabelamrea"/>
        <w:tblW w:w="9776" w:type="dxa"/>
        <w:shd w:val="clear" w:color="auto" w:fill="DEEAF6" w:themeFill="accent1" w:themeFillTint="33"/>
        <w:tblLook w:val="04A0" w:firstRow="1" w:lastRow="0" w:firstColumn="1" w:lastColumn="0" w:noHBand="0" w:noVBand="1"/>
      </w:tblPr>
      <w:tblGrid>
        <w:gridCol w:w="9776"/>
      </w:tblGrid>
      <w:tr w:rsidR="004912DC" w:rsidRPr="000F166D" w14:paraId="4BA46F87" w14:textId="77777777" w:rsidTr="00906890">
        <w:tc>
          <w:tcPr>
            <w:tcW w:w="9776" w:type="dxa"/>
            <w:shd w:val="clear" w:color="auto" w:fill="FFFFFF" w:themeFill="background1"/>
          </w:tcPr>
          <w:p w14:paraId="083F8AEE" w14:textId="77777777" w:rsidR="004912DC" w:rsidRPr="000F166D" w:rsidRDefault="004912DC" w:rsidP="00906890">
            <w:pPr>
              <w:shd w:val="clear" w:color="auto" w:fill="FFFFFF"/>
              <w:jc w:val="both"/>
              <w:rPr>
                <w:rFonts w:cs="Arial"/>
                <w:sz w:val="22"/>
                <w:szCs w:val="22"/>
              </w:rPr>
            </w:pPr>
            <w:r w:rsidRPr="000F166D">
              <w:rPr>
                <w:rFonts w:cs="Arial"/>
                <w:sz w:val="22"/>
                <w:szCs w:val="22"/>
              </w:rPr>
              <w:t>Edini delničar SID banke d.d. je Republika Slovenija in sicer zaradi zagotavljanja izvajanja nalog in uresničevanja ciljev po ZSIRB (4. člen). Na podlagi 2. člena ZSIRB SID banka vse svoje posle opravlja po pooblastilu države. Podrobneje so ti posli opredeljeni v 11. členu tega zakona.</w:t>
            </w:r>
          </w:p>
          <w:p w14:paraId="08C17886" w14:textId="77777777" w:rsidR="004912DC" w:rsidRPr="000F166D" w:rsidRDefault="004912DC" w:rsidP="00906890">
            <w:pPr>
              <w:shd w:val="clear" w:color="auto" w:fill="FFFFFF"/>
              <w:jc w:val="both"/>
              <w:rPr>
                <w:rFonts w:cs="Arial"/>
                <w:sz w:val="22"/>
                <w:szCs w:val="22"/>
              </w:rPr>
            </w:pPr>
          </w:p>
          <w:p w14:paraId="013958AB" w14:textId="77777777" w:rsidR="004912DC" w:rsidRPr="000F166D" w:rsidRDefault="004912DC" w:rsidP="00906890">
            <w:pPr>
              <w:shd w:val="clear" w:color="auto" w:fill="FFFFFF"/>
              <w:jc w:val="both"/>
              <w:rPr>
                <w:rFonts w:cs="Arial"/>
                <w:sz w:val="22"/>
                <w:szCs w:val="22"/>
              </w:rPr>
            </w:pPr>
            <w:r w:rsidRPr="000F166D">
              <w:rPr>
                <w:rFonts w:cs="Arial"/>
                <w:sz w:val="22"/>
                <w:szCs w:val="22"/>
              </w:rPr>
              <w:t>Skladno z vlogo SID banke, kot je predvidena v ZSIRB, je vsa dejavnost SID banke namenjena uresničevanju nalog v javnem interesu, neodvisno od tega, ali je za opravljene storitve SID banka plačana neposredno iz proračuna RS, ko gre za poslovanje v imenu in za račun RS, ali s strani drugih neposrednih uporabnikov njenih storitev, ko gre za poslovanje v lastnem imenu in za lasten račun.</w:t>
            </w:r>
          </w:p>
          <w:p w14:paraId="100B3D24" w14:textId="77777777" w:rsidR="004912DC" w:rsidRPr="000F166D" w:rsidRDefault="004912DC" w:rsidP="00906890">
            <w:pPr>
              <w:shd w:val="clear" w:color="auto" w:fill="FFFFFF"/>
              <w:jc w:val="both"/>
              <w:rPr>
                <w:rFonts w:cs="Arial"/>
                <w:sz w:val="22"/>
                <w:szCs w:val="22"/>
              </w:rPr>
            </w:pPr>
          </w:p>
          <w:p w14:paraId="1A353738" w14:textId="77777777" w:rsidR="004912DC" w:rsidRPr="000F166D" w:rsidRDefault="004912DC" w:rsidP="00906890">
            <w:pPr>
              <w:shd w:val="clear" w:color="auto" w:fill="FFFFFF"/>
              <w:jc w:val="both"/>
              <w:rPr>
                <w:rFonts w:cs="Arial"/>
                <w:sz w:val="22"/>
                <w:szCs w:val="22"/>
              </w:rPr>
            </w:pPr>
            <w:r w:rsidRPr="000F166D">
              <w:rPr>
                <w:rFonts w:cs="Arial"/>
                <w:sz w:val="22"/>
                <w:szCs w:val="22"/>
              </w:rPr>
              <w:t xml:space="preserve">Prihodki iz naslova poslov po pooblastilu Republike Slovenije so prejeta nadomestila za izvajanje poslov po pooblastilu (zavarovanje in financiranje mednarodnih gospodarskih poslov v imenu in za račun RS, jamstvene sheme, izvajanje dražb emisijskih kuponov) in jih SID banka zaračunava neposredno pristojnemu ministrstvu. Ti prihodki v povprečju predstavljajo 4,1% povprečnih skupnih finančnih poslovnih prihodkov in odhodkov SID banke v obdobju 2014-2016. </w:t>
            </w:r>
          </w:p>
          <w:p w14:paraId="0694139C" w14:textId="77777777" w:rsidR="004912DC" w:rsidRPr="000F166D" w:rsidRDefault="004912DC" w:rsidP="00906890">
            <w:pPr>
              <w:shd w:val="clear" w:color="auto" w:fill="FFFFFF"/>
              <w:jc w:val="both"/>
              <w:rPr>
                <w:rFonts w:cs="Arial"/>
                <w:sz w:val="22"/>
                <w:szCs w:val="22"/>
              </w:rPr>
            </w:pPr>
          </w:p>
          <w:p w14:paraId="79C1029A" w14:textId="77777777" w:rsidR="004912DC" w:rsidRPr="000F166D" w:rsidRDefault="004912DC" w:rsidP="00906890">
            <w:pPr>
              <w:shd w:val="clear" w:color="auto" w:fill="FFFFFF"/>
              <w:jc w:val="both"/>
              <w:rPr>
                <w:rFonts w:cs="Arial"/>
                <w:sz w:val="22"/>
                <w:szCs w:val="22"/>
              </w:rPr>
            </w:pPr>
            <w:r w:rsidRPr="000F166D">
              <w:rPr>
                <w:rFonts w:cs="Arial"/>
                <w:sz w:val="22"/>
                <w:szCs w:val="22"/>
              </w:rPr>
              <w:t>Republika Slovenija kot edini delničar nepreklicno in neomejeno odgovarja za obveznosti SID banke iz poslov, sklenjenih pri izvajanju vseh temeljnih dejavnosti banke, ki jih opravlja, skladno z 11. in 12. členom ZSIRB:</w:t>
            </w:r>
          </w:p>
          <w:p w14:paraId="7C8DB59B" w14:textId="77777777" w:rsidR="004912DC" w:rsidRPr="000F166D" w:rsidRDefault="004912DC" w:rsidP="004912DC">
            <w:pPr>
              <w:numPr>
                <w:ilvl w:val="0"/>
                <w:numId w:val="39"/>
              </w:numPr>
              <w:shd w:val="clear" w:color="auto" w:fill="FFFFFF"/>
              <w:spacing w:line="240" w:lineRule="auto"/>
              <w:contextualSpacing/>
              <w:jc w:val="both"/>
              <w:rPr>
                <w:rFonts w:eastAsia="Calibri" w:cs="Arial"/>
                <w:sz w:val="22"/>
                <w:szCs w:val="22"/>
              </w:rPr>
            </w:pPr>
            <w:r w:rsidRPr="000F166D">
              <w:rPr>
                <w:rFonts w:eastAsia="Calibri" w:cs="Arial"/>
                <w:sz w:val="22"/>
                <w:szCs w:val="22"/>
              </w:rPr>
              <w:t>Podpira ekonomske, strukturne, socialne in druge politike tako, da opravlja finančne storitve na segmentih, kjer nastajajo oz. so ugotovljene tržne vrzeli,</w:t>
            </w:r>
          </w:p>
          <w:p w14:paraId="637CF3DE" w14:textId="77777777" w:rsidR="004912DC" w:rsidRPr="000F166D" w:rsidRDefault="004912DC" w:rsidP="004912DC">
            <w:pPr>
              <w:numPr>
                <w:ilvl w:val="0"/>
                <w:numId w:val="39"/>
              </w:numPr>
              <w:spacing w:after="200" w:line="240" w:lineRule="auto"/>
              <w:jc w:val="both"/>
              <w:rPr>
                <w:rFonts w:eastAsia="Calibri" w:cs="Arial"/>
                <w:sz w:val="22"/>
                <w:szCs w:val="22"/>
              </w:rPr>
            </w:pPr>
            <w:r w:rsidRPr="000F166D">
              <w:rPr>
                <w:rFonts w:eastAsia="Calibri" w:cs="Arial"/>
                <w:sz w:val="22"/>
                <w:szCs w:val="22"/>
              </w:rPr>
              <w:t>za izvajanje dejavnosti iz prejšnje alineje lahko SID banka opravlja vse storitve, ki se lahko opravljajo po zakonu, ki ureja bančništvo in tudi druge storitve (svetovanje, izobraževanje in druge), če so le-te namenjene za podporo storitvam iz prejšnje alineje.</w:t>
            </w:r>
          </w:p>
        </w:tc>
      </w:tr>
    </w:tbl>
    <w:p w14:paraId="7E576CC0" w14:textId="77777777" w:rsidR="004912DC" w:rsidRPr="000F166D" w:rsidRDefault="004912DC" w:rsidP="004912DC">
      <w:pPr>
        <w:shd w:val="clear" w:color="auto" w:fill="FFFFFF"/>
        <w:jc w:val="both"/>
        <w:rPr>
          <w:rFonts w:cs="Arial"/>
          <w:sz w:val="22"/>
          <w:szCs w:val="22"/>
        </w:rPr>
      </w:pPr>
    </w:p>
    <w:p w14:paraId="7AF3F25D" w14:textId="77777777" w:rsidR="004912DC" w:rsidRPr="000F166D" w:rsidRDefault="004912DC" w:rsidP="004912DC">
      <w:pPr>
        <w:shd w:val="clear" w:color="auto" w:fill="FFFFFF"/>
        <w:jc w:val="both"/>
        <w:rPr>
          <w:rFonts w:cs="Arial"/>
          <w:sz w:val="22"/>
          <w:szCs w:val="22"/>
        </w:rPr>
      </w:pPr>
      <w:r w:rsidRPr="000F166D">
        <w:rPr>
          <w:rFonts w:cs="Arial"/>
          <w:sz w:val="22"/>
          <w:szCs w:val="22"/>
        </w:rPr>
        <w:t>3. v odvisni pravni osebi neposreden zasebni kapital ni udeležen</w:t>
      </w:r>
    </w:p>
    <w:p w14:paraId="7BA5DA49" w14:textId="77777777" w:rsidR="004912DC" w:rsidRPr="000F166D" w:rsidRDefault="004912DC" w:rsidP="004912DC">
      <w:pPr>
        <w:shd w:val="clear" w:color="auto" w:fill="FFFFFF"/>
        <w:jc w:val="both"/>
        <w:rPr>
          <w:rFonts w:cs="Arial"/>
          <w:sz w:val="22"/>
          <w:szCs w:val="22"/>
        </w:rPr>
      </w:pPr>
    </w:p>
    <w:tbl>
      <w:tblPr>
        <w:tblStyle w:val="Tabelamrea"/>
        <w:tblW w:w="0" w:type="auto"/>
        <w:shd w:val="clear" w:color="auto" w:fill="DEEAF6" w:themeFill="accent1" w:themeFillTint="33"/>
        <w:tblLook w:val="04A0" w:firstRow="1" w:lastRow="0" w:firstColumn="1" w:lastColumn="0" w:noHBand="0" w:noVBand="1"/>
      </w:tblPr>
      <w:tblGrid>
        <w:gridCol w:w="9776"/>
      </w:tblGrid>
      <w:tr w:rsidR="004912DC" w:rsidRPr="000F166D" w14:paraId="2ADC0507" w14:textId="77777777" w:rsidTr="00906890">
        <w:tc>
          <w:tcPr>
            <w:tcW w:w="9776" w:type="dxa"/>
            <w:shd w:val="clear" w:color="auto" w:fill="FFFFFF" w:themeFill="background1"/>
          </w:tcPr>
          <w:p w14:paraId="24B41024" w14:textId="77777777" w:rsidR="004912DC" w:rsidRPr="000F166D" w:rsidRDefault="004912DC" w:rsidP="00906890">
            <w:pPr>
              <w:shd w:val="clear" w:color="auto" w:fill="FFFFFF"/>
              <w:jc w:val="both"/>
              <w:rPr>
                <w:rFonts w:cs="Arial"/>
                <w:sz w:val="22"/>
                <w:szCs w:val="22"/>
              </w:rPr>
            </w:pPr>
            <w:r w:rsidRPr="000F166D">
              <w:rPr>
                <w:rFonts w:cs="Arial"/>
                <w:sz w:val="22"/>
                <w:szCs w:val="22"/>
              </w:rPr>
              <w:t>V SID banki zasebni kapital ni udeležen. Lastnik SID banke je Republika Slovenija (99,41). Poleg tega ima SID banka d.d., Ljubljana, katere ustanovitelj je Republika Slovenija, v lasti nekaj lastnih delnic, ki jih še ni odsvojila (0,59%).</w:t>
            </w:r>
          </w:p>
        </w:tc>
      </w:tr>
    </w:tbl>
    <w:p w14:paraId="55B9B01D" w14:textId="77777777" w:rsidR="004912DC" w:rsidRPr="000F166D" w:rsidRDefault="004912DC" w:rsidP="004912DC">
      <w:pPr>
        <w:shd w:val="clear" w:color="auto" w:fill="FFFFFF"/>
        <w:jc w:val="both"/>
        <w:rPr>
          <w:rFonts w:cs="Arial"/>
          <w:sz w:val="22"/>
          <w:szCs w:val="22"/>
        </w:rPr>
      </w:pPr>
    </w:p>
    <w:p w14:paraId="4FA628D1" w14:textId="77777777" w:rsidR="004912DC" w:rsidRPr="000F166D" w:rsidRDefault="004912DC" w:rsidP="004912DC">
      <w:pPr>
        <w:shd w:val="clear" w:color="auto" w:fill="FFFFFF"/>
        <w:jc w:val="both"/>
        <w:rPr>
          <w:rFonts w:cs="Arial"/>
          <w:sz w:val="22"/>
          <w:szCs w:val="22"/>
        </w:rPr>
      </w:pPr>
      <w:r w:rsidRPr="000F166D">
        <w:rPr>
          <w:rFonts w:cs="Arial"/>
          <w:sz w:val="22"/>
          <w:szCs w:val="22"/>
        </w:rPr>
        <w:t>4. vrednost predmeta naročanja je enaka ali nižja od cen za ta predmet na trgu</w:t>
      </w:r>
    </w:p>
    <w:p w14:paraId="3478C36D" w14:textId="77777777" w:rsidR="004912DC" w:rsidRPr="000F166D" w:rsidRDefault="004912DC" w:rsidP="004912DC">
      <w:pPr>
        <w:shd w:val="clear" w:color="auto" w:fill="FFFFFF"/>
        <w:jc w:val="both"/>
        <w:rPr>
          <w:rFonts w:cs="Arial"/>
          <w:sz w:val="22"/>
          <w:szCs w:val="22"/>
        </w:rPr>
      </w:pPr>
    </w:p>
    <w:tbl>
      <w:tblPr>
        <w:tblStyle w:val="Tabelamrea"/>
        <w:tblW w:w="0" w:type="auto"/>
        <w:shd w:val="clear" w:color="auto" w:fill="FFFFFF" w:themeFill="background1"/>
        <w:tblLook w:val="04A0" w:firstRow="1" w:lastRow="0" w:firstColumn="1" w:lastColumn="0" w:noHBand="0" w:noVBand="1"/>
      </w:tblPr>
      <w:tblGrid>
        <w:gridCol w:w="9776"/>
      </w:tblGrid>
      <w:tr w:rsidR="004912DC" w:rsidRPr="000F166D" w14:paraId="2B02C1D6" w14:textId="77777777" w:rsidTr="00906890">
        <w:tc>
          <w:tcPr>
            <w:tcW w:w="9776" w:type="dxa"/>
            <w:shd w:val="clear" w:color="auto" w:fill="FFFFFF" w:themeFill="background1"/>
          </w:tcPr>
          <w:p w14:paraId="17EDFCD9" w14:textId="77777777" w:rsidR="004912DC" w:rsidRPr="000F166D" w:rsidRDefault="004912DC" w:rsidP="00906890">
            <w:pPr>
              <w:shd w:val="clear" w:color="auto" w:fill="FFFFFF"/>
              <w:jc w:val="both"/>
              <w:rPr>
                <w:rFonts w:cs="Arial"/>
                <w:sz w:val="22"/>
                <w:szCs w:val="22"/>
              </w:rPr>
            </w:pPr>
            <w:r w:rsidRPr="000F166D">
              <w:rPr>
                <w:rFonts w:cs="Arial"/>
                <w:sz w:val="22"/>
                <w:szCs w:val="22"/>
              </w:rPr>
              <w:lastRenderedPageBreak/>
              <w:t>Najvišje možne cene in način izračuna vrednosti storitve upravljavec sklad skladov , so določne z EU zakonodajo (Delegirana uredba 480/2014, 13. člen) in so enake, ne glede na to, koga bi Republika Slovenija izbrala kot upravljavca sklada skladov. Pragovi so lahko preseženi samo, če bi potreba po višjih cenah bila izkazana v okviru konkurenčnega postopka izbora upravljala sklada skladov. Ob isti dinamiki vplačil v sklad skladov in izplačil finančnim posrednikom se izračuni upravljavskih provizij glede na Uredbo EK 480/2014 ne razlikujejo.</w:t>
            </w:r>
          </w:p>
          <w:p w14:paraId="2009D8EA" w14:textId="77777777" w:rsidR="004912DC" w:rsidRPr="000F166D" w:rsidRDefault="004912DC" w:rsidP="00906890">
            <w:pPr>
              <w:shd w:val="clear" w:color="auto" w:fill="FFFFFF"/>
              <w:jc w:val="both"/>
              <w:rPr>
                <w:rFonts w:cs="Arial"/>
                <w:sz w:val="22"/>
                <w:szCs w:val="22"/>
              </w:rPr>
            </w:pPr>
          </w:p>
          <w:p w14:paraId="34D358CF" w14:textId="77777777" w:rsidR="004912DC" w:rsidRPr="000F166D" w:rsidRDefault="004912DC" w:rsidP="00906890">
            <w:pPr>
              <w:shd w:val="clear" w:color="auto" w:fill="FFFFFF"/>
              <w:jc w:val="both"/>
              <w:rPr>
                <w:rFonts w:cs="Arial"/>
                <w:sz w:val="22"/>
                <w:szCs w:val="22"/>
              </w:rPr>
            </w:pPr>
            <w:r w:rsidRPr="000F166D">
              <w:rPr>
                <w:rFonts w:cs="Arial"/>
                <w:sz w:val="22"/>
                <w:szCs w:val="22"/>
              </w:rPr>
              <w:t xml:space="preserve">Za preveritev dejanskih stroškov je Ministrstvo za gospodarski razvoj in tehnologijo pripravilo izračun predvidenih dejanskih stroškov, ki bi jih upravljavec sklada skladov lahko imel za izvajanje upravljanja, v kolikor bi izračun temeljil na dejanskih stroških. Dodatno k temu je Ministrstvo za gospodarski razvoj in tehnologijo dne 14.11.2016 poslalo na Banko Slovenije dopis z namenom preveritve realne določitve upravljavske provizije, vendar ni prejelo odgovora. SID banka bo v nadaljevanju predložila vlogo in investicijsko strategijo ter predlog za upravljavsko provizijo. Predlog države bo skladen z izračunom navedenim v Uredbi EK 480/2014 ob predpostavki štirih vplačil v sklad skladov (vsako 25%) v letih 2017, 2019, 2021 in 2022 ter predpostavki, da sklad skladov izplača finančnim posrednikom pred drugo tranšo 60% sredstev prve tranše, ter v nadaljevanju 85% predhodnih vplačil v sklad skladov (skladno z Uredbo EK 1303/2013). Glede na preverjanje na trgu (posredovan dopis na Banko Slovenija), ugotavljamo, da primerjava cen ni možna. </w:t>
            </w:r>
          </w:p>
        </w:tc>
      </w:tr>
    </w:tbl>
    <w:p w14:paraId="23D2F0E8" w14:textId="77777777" w:rsidR="004912DC" w:rsidRPr="000F166D" w:rsidRDefault="004912DC" w:rsidP="004912DC">
      <w:pPr>
        <w:shd w:val="clear" w:color="auto" w:fill="FFFFFF"/>
        <w:jc w:val="both"/>
        <w:rPr>
          <w:rFonts w:cs="Arial"/>
          <w:sz w:val="22"/>
          <w:szCs w:val="22"/>
        </w:rPr>
      </w:pPr>
    </w:p>
    <w:p w14:paraId="6E70B6AA" w14:textId="77777777" w:rsidR="004912DC" w:rsidRPr="000F166D" w:rsidRDefault="004912DC" w:rsidP="004912DC">
      <w:pPr>
        <w:shd w:val="clear" w:color="auto" w:fill="FFFFFF"/>
        <w:jc w:val="both"/>
        <w:rPr>
          <w:rFonts w:cs="Arial"/>
          <w:b/>
          <w:sz w:val="22"/>
          <w:szCs w:val="22"/>
        </w:rPr>
      </w:pPr>
      <w:r w:rsidRPr="000F166D">
        <w:rPr>
          <w:rFonts w:cs="Arial"/>
          <w:b/>
          <w:sz w:val="22"/>
          <w:szCs w:val="22"/>
        </w:rPr>
        <w:t>Vsebinska obrazložitev:</w:t>
      </w:r>
    </w:p>
    <w:p w14:paraId="751C9569" w14:textId="77777777" w:rsidR="004912DC" w:rsidRPr="000F166D" w:rsidRDefault="004912DC" w:rsidP="004912DC">
      <w:pPr>
        <w:shd w:val="clear" w:color="auto" w:fill="FFFFFF"/>
        <w:jc w:val="both"/>
        <w:rPr>
          <w:rFonts w:cs="Arial"/>
          <w:sz w:val="22"/>
          <w:szCs w:val="22"/>
        </w:rPr>
      </w:pPr>
      <w:r w:rsidRPr="000F166D">
        <w:rPr>
          <w:rFonts w:cs="Arial"/>
          <w:sz w:val="22"/>
          <w:szCs w:val="22"/>
        </w:rPr>
        <w:t>Predhodna analiza vrzeli finančnih instrumentov 2014 – 2020 in dodatna EIB analiza potrjujeta, da je izvedba FI prek sklada skladov najbolj optimalna opcija. Iz prej omenjenih analiz izhaja, da obstajajo vrzeli financiranja na področju:</w:t>
      </w:r>
    </w:p>
    <w:p w14:paraId="649CCE82" w14:textId="77777777" w:rsidR="004912DC" w:rsidRPr="000F166D" w:rsidRDefault="004912DC" w:rsidP="004912DC">
      <w:pPr>
        <w:numPr>
          <w:ilvl w:val="0"/>
          <w:numId w:val="41"/>
        </w:numPr>
        <w:shd w:val="clear" w:color="auto" w:fill="FFFFFF"/>
        <w:spacing w:after="160" w:line="259" w:lineRule="auto"/>
        <w:contextualSpacing/>
        <w:jc w:val="both"/>
        <w:rPr>
          <w:rFonts w:eastAsia="Calibri" w:cs="Arial"/>
          <w:sz w:val="22"/>
          <w:szCs w:val="22"/>
        </w:rPr>
      </w:pPr>
      <w:r w:rsidRPr="000F166D">
        <w:rPr>
          <w:rFonts w:eastAsia="Calibri" w:cs="Arial"/>
          <w:sz w:val="22"/>
          <w:szCs w:val="22"/>
        </w:rPr>
        <w:t>raziskav, razvoja in inovacij;</w:t>
      </w:r>
    </w:p>
    <w:p w14:paraId="6EAB4AAF" w14:textId="77777777" w:rsidR="004912DC" w:rsidRPr="000F166D" w:rsidRDefault="004912DC" w:rsidP="004912DC">
      <w:pPr>
        <w:numPr>
          <w:ilvl w:val="0"/>
          <w:numId w:val="41"/>
        </w:numPr>
        <w:shd w:val="clear" w:color="auto" w:fill="FFFFFF"/>
        <w:spacing w:after="160" w:line="259" w:lineRule="auto"/>
        <w:contextualSpacing/>
        <w:jc w:val="both"/>
        <w:rPr>
          <w:rFonts w:eastAsia="Calibri" w:cs="Arial"/>
          <w:sz w:val="22"/>
          <w:szCs w:val="22"/>
        </w:rPr>
      </w:pPr>
      <w:r w:rsidRPr="000F166D">
        <w:rPr>
          <w:rFonts w:eastAsia="Calibri" w:cs="Arial"/>
          <w:sz w:val="22"/>
          <w:szCs w:val="22"/>
        </w:rPr>
        <w:t>malih in srednje velikih podjetij,</w:t>
      </w:r>
    </w:p>
    <w:p w14:paraId="3C5D0646" w14:textId="77777777" w:rsidR="004912DC" w:rsidRPr="000F166D" w:rsidRDefault="004912DC" w:rsidP="004912DC">
      <w:pPr>
        <w:numPr>
          <w:ilvl w:val="0"/>
          <w:numId w:val="41"/>
        </w:numPr>
        <w:shd w:val="clear" w:color="auto" w:fill="FFFFFF"/>
        <w:spacing w:after="160" w:line="259" w:lineRule="auto"/>
        <w:contextualSpacing/>
        <w:jc w:val="both"/>
        <w:rPr>
          <w:rFonts w:eastAsia="Calibri" w:cs="Arial"/>
          <w:sz w:val="22"/>
          <w:szCs w:val="22"/>
        </w:rPr>
      </w:pPr>
      <w:r w:rsidRPr="000F166D">
        <w:rPr>
          <w:rFonts w:eastAsia="Calibri" w:cs="Arial"/>
          <w:sz w:val="22"/>
          <w:szCs w:val="22"/>
        </w:rPr>
        <w:t xml:space="preserve">energetske učinkovitosti in </w:t>
      </w:r>
    </w:p>
    <w:p w14:paraId="57C67815" w14:textId="77777777" w:rsidR="004912DC" w:rsidRPr="000F166D" w:rsidRDefault="004912DC" w:rsidP="004912DC">
      <w:pPr>
        <w:numPr>
          <w:ilvl w:val="0"/>
          <w:numId w:val="41"/>
        </w:numPr>
        <w:shd w:val="clear" w:color="auto" w:fill="FFFFFF"/>
        <w:spacing w:after="160" w:line="259" w:lineRule="auto"/>
        <w:contextualSpacing/>
        <w:jc w:val="both"/>
        <w:rPr>
          <w:rFonts w:eastAsia="Calibri" w:cs="Arial"/>
          <w:sz w:val="22"/>
          <w:szCs w:val="22"/>
        </w:rPr>
      </w:pPr>
      <w:r w:rsidRPr="000F166D">
        <w:rPr>
          <w:rFonts w:eastAsia="Calibri" w:cs="Arial"/>
          <w:sz w:val="22"/>
          <w:szCs w:val="22"/>
        </w:rPr>
        <w:t>urbanega razvoja.</w:t>
      </w:r>
    </w:p>
    <w:p w14:paraId="73F9907F" w14:textId="77777777" w:rsidR="004912DC" w:rsidRPr="000F166D" w:rsidRDefault="004912DC" w:rsidP="004912DC">
      <w:pPr>
        <w:shd w:val="clear" w:color="auto" w:fill="FFFFFF"/>
        <w:jc w:val="both"/>
        <w:rPr>
          <w:rFonts w:cs="Arial"/>
          <w:sz w:val="22"/>
          <w:szCs w:val="22"/>
        </w:rPr>
      </w:pPr>
      <w:r w:rsidRPr="000F166D">
        <w:rPr>
          <w:rFonts w:cs="Arial"/>
          <w:sz w:val="22"/>
          <w:szCs w:val="22"/>
        </w:rPr>
        <w:t>SID banka je edina institucija, ki že izvaja storitve – neposredno in posredno - na vseh navedenih štirih področjih.</w:t>
      </w:r>
    </w:p>
    <w:p w14:paraId="4829544B" w14:textId="77777777" w:rsidR="004912DC" w:rsidRPr="000F166D" w:rsidRDefault="004912DC" w:rsidP="004912DC">
      <w:pPr>
        <w:shd w:val="clear" w:color="auto" w:fill="FFFFFF"/>
        <w:jc w:val="both"/>
        <w:rPr>
          <w:rFonts w:cs="Arial"/>
          <w:sz w:val="22"/>
          <w:szCs w:val="22"/>
        </w:rPr>
      </w:pPr>
    </w:p>
    <w:p w14:paraId="74939A55" w14:textId="77777777" w:rsidR="004912DC" w:rsidRPr="000F166D" w:rsidRDefault="004912DC" w:rsidP="004912DC">
      <w:pPr>
        <w:shd w:val="clear" w:color="auto" w:fill="FFFFFF"/>
        <w:jc w:val="both"/>
        <w:rPr>
          <w:rFonts w:cs="Arial"/>
          <w:sz w:val="22"/>
          <w:szCs w:val="22"/>
        </w:rPr>
      </w:pPr>
      <w:r w:rsidRPr="000F166D">
        <w:rPr>
          <w:rFonts w:cs="Arial"/>
          <w:sz w:val="22"/>
          <w:szCs w:val="22"/>
        </w:rPr>
        <w:t>V Zakonu o slovenski izvozni in razvojni banki (ZSIRB) so v 11. členu navedena področja izvajanja dejavnosti SID banke. V 12. členu ZSIRB pa so navedene storitve in instrumenti za opravljanje njene dejavnosti.</w:t>
      </w:r>
    </w:p>
    <w:p w14:paraId="5D94ADF5" w14:textId="77777777" w:rsidR="004912DC" w:rsidRPr="000F166D" w:rsidRDefault="004912DC" w:rsidP="004912DC">
      <w:pPr>
        <w:shd w:val="clear" w:color="auto" w:fill="FFFFFF"/>
        <w:jc w:val="both"/>
        <w:rPr>
          <w:rFonts w:cs="Arial"/>
          <w:sz w:val="22"/>
          <w:szCs w:val="22"/>
        </w:rPr>
      </w:pPr>
      <w:r w:rsidRPr="000F166D">
        <w:rPr>
          <w:rFonts w:cs="Arial"/>
          <w:sz w:val="22"/>
          <w:szCs w:val="22"/>
        </w:rPr>
        <w:t>Ostale državne institucije (Slovenski podjetniški sklad, Slovenski regionalni razvojni sklad, Eko sklad) so specializirane na določena področja:</w:t>
      </w:r>
    </w:p>
    <w:p w14:paraId="2BE26C3E" w14:textId="77777777" w:rsidR="004912DC" w:rsidRPr="000F166D" w:rsidRDefault="004912DC" w:rsidP="004912DC">
      <w:pPr>
        <w:numPr>
          <w:ilvl w:val="0"/>
          <w:numId w:val="40"/>
        </w:numPr>
        <w:shd w:val="clear" w:color="auto" w:fill="FFFFFF"/>
        <w:spacing w:after="160" w:line="259" w:lineRule="auto"/>
        <w:contextualSpacing/>
        <w:jc w:val="both"/>
        <w:rPr>
          <w:rFonts w:eastAsia="Calibri" w:cs="Arial"/>
          <w:sz w:val="22"/>
          <w:szCs w:val="22"/>
        </w:rPr>
      </w:pPr>
      <w:r w:rsidRPr="000F166D">
        <w:rPr>
          <w:rFonts w:eastAsia="Calibri" w:cs="Arial"/>
          <w:sz w:val="22"/>
          <w:szCs w:val="22"/>
        </w:rPr>
        <w:t>Slovenski regionalno razvojni sklad ima svoje področje delovanja opredeljenega v Zakonu o skladnem regionalnem razvoju,</w:t>
      </w:r>
    </w:p>
    <w:p w14:paraId="285F5101" w14:textId="77777777" w:rsidR="004912DC" w:rsidRPr="000F166D" w:rsidRDefault="004912DC" w:rsidP="004912DC">
      <w:pPr>
        <w:numPr>
          <w:ilvl w:val="0"/>
          <w:numId w:val="40"/>
        </w:numPr>
        <w:shd w:val="clear" w:color="auto" w:fill="FFFFFF"/>
        <w:spacing w:after="160" w:line="259" w:lineRule="auto"/>
        <w:contextualSpacing/>
        <w:jc w:val="both"/>
        <w:rPr>
          <w:rFonts w:eastAsia="Calibri" w:cs="Arial"/>
          <w:sz w:val="22"/>
          <w:szCs w:val="22"/>
        </w:rPr>
      </w:pPr>
      <w:r w:rsidRPr="000F166D">
        <w:rPr>
          <w:rFonts w:eastAsia="Calibri" w:cs="Arial"/>
          <w:sz w:val="22"/>
          <w:szCs w:val="22"/>
        </w:rPr>
        <w:t>Javni sklad RS za podjetništvo v Zakonu o podpornem okolju za podjetništvo ter</w:t>
      </w:r>
    </w:p>
    <w:p w14:paraId="6BB35BF7" w14:textId="77777777" w:rsidR="004912DC" w:rsidRPr="000F166D" w:rsidRDefault="004912DC" w:rsidP="004912DC">
      <w:pPr>
        <w:numPr>
          <w:ilvl w:val="0"/>
          <w:numId w:val="40"/>
        </w:numPr>
        <w:shd w:val="clear" w:color="auto" w:fill="FFFFFF"/>
        <w:spacing w:after="160" w:line="259" w:lineRule="auto"/>
        <w:contextualSpacing/>
        <w:jc w:val="both"/>
        <w:rPr>
          <w:rFonts w:eastAsia="Calibri" w:cs="Arial"/>
          <w:sz w:val="22"/>
          <w:szCs w:val="22"/>
        </w:rPr>
      </w:pPr>
      <w:r w:rsidRPr="000F166D">
        <w:rPr>
          <w:rFonts w:eastAsia="Calibri" w:cs="Arial"/>
          <w:sz w:val="22"/>
          <w:szCs w:val="22"/>
        </w:rPr>
        <w:t>Slovenski okoljski javni sklad v Zakonu o varstvu okolja.</w:t>
      </w:r>
      <w:r>
        <w:rPr>
          <w:rFonts w:eastAsia="Calibri" w:cs="Arial"/>
          <w:sz w:val="22"/>
          <w:szCs w:val="22"/>
        </w:rPr>
        <w:t xml:space="preserve"> </w:t>
      </w:r>
    </w:p>
    <w:p w14:paraId="5ADC134E" w14:textId="77777777" w:rsidR="004912DC" w:rsidRPr="000F166D" w:rsidRDefault="004912DC" w:rsidP="004912DC">
      <w:pPr>
        <w:shd w:val="clear" w:color="auto" w:fill="FFFFFF"/>
        <w:jc w:val="both"/>
        <w:rPr>
          <w:rFonts w:cs="Arial"/>
          <w:sz w:val="22"/>
          <w:szCs w:val="22"/>
        </w:rPr>
      </w:pPr>
      <w:r w:rsidRPr="000F166D">
        <w:rPr>
          <w:rFonts w:cs="Arial"/>
          <w:sz w:val="22"/>
          <w:szCs w:val="22"/>
        </w:rPr>
        <w:t>Ministrstvo za gospodarski razvoj in tehnologijo bo skladno z Uredbo o porabi sredstev evropske kohezijske politike v Republiki Sloveniji v programskem obdobju 2014–2020 za cilj naložbe za rast in delovna mesta pozvalo SID banko k predložitvi vloge, ki bo vsebovala tudi investicijo strategijo. SID banka bo v vlogi predložila tudi dokazila glede izpolnjevanja minimalnih zahtev in meril za izbor iz 7. člena Uredbe EK 480/2014.</w:t>
      </w:r>
    </w:p>
    <w:p w14:paraId="47DD8BD9" w14:textId="77777777" w:rsidR="004912DC" w:rsidRPr="000F166D" w:rsidRDefault="004912DC" w:rsidP="004912DC">
      <w:pPr>
        <w:shd w:val="clear" w:color="auto" w:fill="FFFFFF"/>
        <w:ind w:left="360"/>
        <w:jc w:val="both"/>
        <w:rPr>
          <w:rFonts w:cs="Arial"/>
          <w:sz w:val="22"/>
          <w:szCs w:val="22"/>
        </w:rPr>
      </w:pPr>
    </w:p>
    <w:p w14:paraId="194AEEFB" w14:textId="77777777" w:rsidR="004912DC" w:rsidRPr="000F166D" w:rsidRDefault="004912DC" w:rsidP="004912DC">
      <w:pPr>
        <w:shd w:val="clear" w:color="auto" w:fill="FFFFFF"/>
        <w:jc w:val="both"/>
        <w:rPr>
          <w:rFonts w:cs="Arial"/>
          <w:sz w:val="22"/>
          <w:szCs w:val="22"/>
        </w:rPr>
      </w:pPr>
      <w:r w:rsidRPr="000F166D">
        <w:rPr>
          <w:rFonts w:cs="Arial"/>
          <w:sz w:val="22"/>
          <w:szCs w:val="22"/>
        </w:rPr>
        <w:lastRenderedPageBreak/>
        <w:t xml:space="preserve"> V Sloveniji deluje kot razvojna banka SID banka. Zato je potrebno izvesti postopek izbora</w:t>
      </w:r>
      <w:r>
        <w:rPr>
          <w:rFonts w:cs="Arial"/>
          <w:sz w:val="22"/>
          <w:szCs w:val="22"/>
        </w:rPr>
        <w:t xml:space="preserve"> </w:t>
      </w:r>
      <w:r w:rsidRPr="000F166D">
        <w:rPr>
          <w:rFonts w:cs="Arial"/>
          <w:sz w:val="22"/>
          <w:szCs w:val="22"/>
        </w:rPr>
        <w:t>SID banke kot sklada skladov ter preveriti izpolnjevanje pogojev za oddajo naročila med osebami javnega prava. SID banka je institucija, kjer glede na rezultate Predhodne ocene FI, status izpolnjevanja pogojev za tako imenovanje, ni vprašljiv, je pa le-to lahko povezano s tveganjem prerazvrstitve SID banke iz sektorja finančne družbe v sektor država.</w:t>
      </w:r>
    </w:p>
    <w:p w14:paraId="6ABEE348" w14:textId="77777777" w:rsidR="004912DC" w:rsidRPr="000F166D" w:rsidRDefault="004912DC" w:rsidP="004912DC">
      <w:pPr>
        <w:spacing w:before="240"/>
        <w:jc w:val="both"/>
        <w:rPr>
          <w:rFonts w:cs="Arial"/>
          <w:sz w:val="22"/>
          <w:szCs w:val="22"/>
        </w:rPr>
      </w:pPr>
      <w:r w:rsidRPr="000F166D">
        <w:rPr>
          <w:rFonts w:cs="Arial"/>
          <w:sz w:val="22"/>
          <w:szCs w:val="22"/>
        </w:rPr>
        <w:t>Po mnenju Eurostata iz leta 2015 SID banka v delu aktivnosti, ki jih SID banka izvaja v svojem imenu, ni bila uvrščena v sektor država, in je njena dejavnost z vidika izračuna višine javnega dolga nevtralna. Status SID banke izven sektorja država je z vidika Eurostata tako odvisen od (ne)izpolnjevanja določenih pogojev, pri čemer nekateri kriteriji za (ne)uvrstitev niso nedvoumni. Zato je toliko bolj pomembno pri imenovanju SID banke za upravljavca sklada skladov strukturo izvajanja opredeliti ter umestitev v njen organizacijski in korporacijski ustroj urediti tako, da bo ohranila trenutni status (tj. izven sektorja država).</w:t>
      </w:r>
    </w:p>
    <w:p w14:paraId="382221AA" w14:textId="77777777" w:rsidR="004912DC" w:rsidRPr="000F166D" w:rsidRDefault="004912DC" w:rsidP="004912DC">
      <w:pPr>
        <w:spacing w:before="240"/>
        <w:jc w:val="both"/>
        <w:rPr>
          <w:rFonts w:cs="Arial"/>
          <w:sz w:val="22"/>
          <w:szCs w:val="22"/>
        </w:rPr>
      </w:pPr>
      <w:r w:rsidRPr="000F166D">
        <w:rPr>
          <w:rFonts w:cs="Arial"/>
          <w:sz w:val="22"/>
          <w:szCs w:val="22"/>
        </w:rPr>
        <w:t xml:space="preserve">Vpliv sredstev ESIF na proračun RS in javni dolg je nevtralen, saj se za ta namene uporabijo le EU sredstva, brez slovenske udeležbe, vsi stroški, provizije in slabitve pa bremenijo le EU sredstva. </w:t>
      </w:r>
    </w:p>
    <w:p w14:paraId="10724ECD" w14:textId="77777777" w:rsidR="004912DC" w:rsidRPr="000F166D" w:rsidRDefault="004912DC" w:rsidP="004912DC">
      <w:pPr>
        <w:spacing w:before="240"/>
        <w:jc w:val="both"/>
        <w:rPr>
          <w:rFonts w:cs="Arial"/>
          <w:sz w:val="22"/>
          <w:szCs w:val="22"/>
        </w:rPr>
      </w:pPr>
      <w:r w:rsidRPr="000F166D">
        <w:rPr>
          <w:rFonts w:cs="Arial"/>
          <w:sz w:val="22"/>
          <w:szCs w:val="22"/>
        </w:rPr>
        <w:t>S tega vidika je pomembno, da se (1) zagotovi ustrezen način evidentiranja/knjiženja sredstev (do ravni končnega prejemnika) in da (2) se pri izvajanju novega pooblastila države za upravljanje sklada skladov v ustroj SID banke intenzivnost obvladovanja ne bo povečala oziroma spremenila, in torej v tem delu odločanje SID banke ostane avtonomno in neodvisno.</w:t>
      </w:r>
    </w:p>
    <w:p w14:paraId="0C45D25C" w14:textId="77777777" w:rsidR="004912DC" w:rsidRPr="000F166D" w:rsidRDefault="004912DC" w:rsidP="004912DC">
      <w:pPr>
        <w:jc w:val="both"/>
        <w:rPr>
          <w:rFonts w:cs="Arial"/>
          <w:sz w:val="22"/>
          <w:szCs w:val="22"/>
        </w:rPr>
      </w:pPr>
    </w:p>
    <w:p w14:paraId="6DA3DCA0" w14:textId="77777777" w:rsidR="004912DC" w:rsidRPr="000F166D" w:rsidRDefault="004912DC" w:rsidP="004912DC">
      <w:pPr>
        <w:jc w:val="both"/>
        <w:rPr>
          <w:rFonts w:cs="Arial"/>
          <w:b/>
          <w:sz w:val="22"/>
          <w:szCs w:val="22"/>
        </w:rPr>
      </w:pPr>
      <w:r w:rsidRPr="000F166D">
        <w:rPr>
          <w:rFonts w:cs="Arial"/>
          <w:b/>
          <w:sz w:val="22"/>
          <w:szCs w:val="22"/>
        </w:rPr>
        <w:t>Ukrepi za obvladovanje tveganj povezanih z izborom SID banke</w:t>
      </w:r>
    </w:p>
    <w:p w14:paraId="4253D1B9" w14:textId="77777777" w:rsidR="004912DC" w:rsidRPr="000F166D" w:rsidRDefault="004912DC" w:rsidP="004912DC">
      <w:pPr>
        <w:jc w:val="both"/>
        <w:rPr>
          <w:rFonts w:cs="Arial"/>
          <w:sz w:val="22"/>
          <w:szCs w:val="22"/>
        </w:rPr>
      </w:pPr>
      <w:r w:rsidRPr="000F166D">
        <w:rPr>
          <w:rFonts w:cs="Arial"/>
          <w:sz w:val="22"/>
          <w:szCs w:val="22"/>
        </w:rPr>
        <w:t>Na podlagi podatkov, ki so na voljo so v smislu zmanjševanja tveganj ob izboru SID banke na podlagi postopka javnega naročila med osebami v javnem sektorju, so predvidene naslednje rešitve.</w:t>
      </w:r>
    </w:p>
    <w:p w14:paraId="24A179C1" w14:textId="77777777" w:rsidR="004912DC" w:rsidRPr="000F166D" w:rsidRDefault="004912DC" w:rsidP="004912DC">
      <w:pPr>
        <w:jc w:val="both"/>
        <w:rPr>
          <w:rFonts w:cs="Arial"/>
          <w:sz w:val="22"/>
          <w:szCs w:val="22"/>
        </w:rPr>
      </w:pPr>
    </w:p>
    <w:p w14:paraId="61C8A8E5" w14:textId="77777777" w:rsidR="004912DC" w:rsidRPr="000F166D" w:rsidRDefault="004912DC" w:rsidP="004912DC">
      <w:pPr>
        <w:jc w:val="both"/>
        <w:rPr>
          <w:rFonts w:cs="Arial"/>
          <w:sz w:val="22"/>
          <w:szCs w:val="22"/>
        </w:rPr>
      </w:pPr>
      <w:r w:rsidRPr="000F166D">
        <w:rPr>
          <w:rFonts w:cs="Arial"/>
          <w:sz w:val="22"/>
          <w:szCs w:val="22"/>
        </w:rPr>
        <w:t>SID banka bo upravljanje sklada skladov izvajala v svojem imenu in za račun države. V sporazumu o financiranju se podrobneje dogovorijo medsebojna razmerja glede načina evidentiranja in knjiženja sredstev med različnimi deležniki ter avtonomnost in neodvisnost SID banke pri izvajanju sklada skladov.</w:t>
      </w:r>
    </w:p>
    <w:p w14:paraId="6A04337A" w14:textId="77777777" w:rsidR="004912DC" w:rsidRPr="000F166D" w:rsidRDefault="004912DC" w:rsidP="004912DC">
      <w:pPr>
        <w:jc w:val="both"/>
        <w:rPr>
          <w:rFonts w:cs="Arial"/>
          <w:sz w:val="22"/>
          <w:szCs w:val="22"/>
        </w:rPr>
      </w:pPr>
    </w:p>
    <w:p w14:paraId="3E37CACD" w14:textId="77777777" w:rsidR="004912DC" w:rsidRPr="000F166D" w:rsidRDefault="004912DC" w:rsidP="004912DC">
      <w:pPr>
        <w:jc w:val="both"/>
        <w:rPr>
          <w:rFonts w:cs="Arial"/>
          <w:sz w:val="22"/>
          <w:szCs w:val="22"/>
        </w:rPr>
      </w:pPr>
      <w:r w:rsidRPr="000F166D">
        <w:rPr>
          <w:rFonts w:cs="Arial"/>
          <w:sz w:val="22"/>
          <w:szCs w:val="22"/>
        </w:rPr>
        <w:t>V skladu s tem je tudi predviden način knjiženja ESIF sredstev, ki bodo nakazana v sklad skladov, ki se bodo prikazovala v poslovnih knjigah države v okviru bilance stanja.</w:t>
      </w:r>
    </w:p>
    <w:p w14:paraId="7D6C017F" w14:textId="77777777" w:rsidR="004912DC" w:rsidRPr="000F166D" w:rsidRDefault="004912DC" w:rsidP="004912DC">
      <w:pPr>
        <w:jc w:val="both"/>
        <w:rPr>
          <w:rFonts w:cs="Arial"/>
          <w:sz w:val="22"/>
          <w:szCs w:val="22"/>
        </w:rPr>
      </w:pPr>
    </w:p>
    <w:p w14:paraId="33825BF9" w14:textId="77777777" w:rsidR="004912DC" w:rsidRPr="000F166D" w:rsidRDefault="004912DC" w:rsidP="004912DC">
      <w:pPr>
        <w:jc w:val="both"/>
        <w:rPr>
          <w:rFonts w:cs="Arial"/>
          <w:sz w:val="22"/>
          <w:szCs w:val="22"/>
        </w:rPr>
      </w:pPr>
      <w:r w:rsidRPr="000F166D">
        <w:rPr>
          <w:rFonts w:cs="Arial"/>
          <w:sz w:val="22"/>
          <w:szCs w:val="22"/>
        </w:rPr>
        <w:t>SID banka bo finančne posrednike izbirala v skladu z ZJN-3, h katerem je zavezana.</w:t>
      </w:r>
    </w:p>
    <w:p w14:paraId="2B0F3C98" w14:textId="77777777" w:rsidR="004912DC" w:rsidRPr="000F166D" w:rsidRDefault="004912DC" w:rsidP="004912DC">
      <w:pPr>
        <w:jc w:val="both"/>
        <w:rPr>
          <w:rFonts w:cs="Arial"/>
          <w:sz w:val="22"/>
          <w:szCs w:val="22"/>
        </w:rPr>
      </w:pPr>
    </w:p>
    <w:p w14:paraId="02946498" w14:textId="77777777" w:rsidR="004912DC" w:rsidRPr="000F166D" w:rsidRDefault="004912DC" w:rsidP="004912DC">
      <w:pPr>
        <w:jc w:val="both"/>
        <w:rPr>
          <w:rFonts w:cs="Arial"/>
          <w:b/>
          <w:sz w:val="22"/>
          <w:szCs w:val="22"/>
        </w:rPr>
      </w:pPr>
      <w:r w:rsidRPr="000F166D">
        <w:rPr>
          <w:rFonts w:cs="Arial"/>
          <w:b/>
          <w:sz w:val="22"/>
          <w:szCs w:val="22"/>
        </w:rPr>
        <w:t>Način evidentiranja EU sredstev</w:t>
      </w:r>
    </w:p>
    <w:p w14:paraId="11E3D8BD" w14:textId="77777777" w:rsidR="004912DC" w:rsidRPr="000F166D" w:rsidRDefault="004912DC" w:rsidP="004912DC">
      <w:pPr>
        <w:jc w:val="both"/>
        <w:rPr>
          <w:rFonts w:cs="Arial"/>
          <w:sz w:val="22"/>
          <w:szCs w:val="22"/>
        </w:rPr>
      </w:pPr>
      <w:r w:rsidRPr="000F166D">
        <w:rPr>
          <w:rFonts w:cs="Arial"/>
          <w:sz w:val="22"/>
          <w:szCs w:val="22"/>
        </w:rPr>
        <w:t>Načini evidentiranja sredstev ESIF za finančne instrumente, ki bodo nakazana v sklad skladov so v skladu s statističnimi navodili Eurostata in zagotavljajo nevtralnost z vidika vpliva na saldo sektorja država ter ločeno problematiko odnosa med državo in skladom skladov.</w:t>
      </w:r>
    </w:p>
    <w:p w14:paraId="6CFE8302" w14:textId="77777777" w:rsidR="004912DC" w:rsidRPr="000F166D" w:rsidRDefault="004912DC" w:rsidP="004912DC">
      <w:pPr>
        <w:jc w:val="both"/>
        <w:rPr>
          <w:rFonts w:cs="Arial"/>
          <w:sz w:val="22"/>
          <w:szCs w:val="22"/>
        </w:rPr>
      </w:pPr>
    </w:p>
    <w:p w14:paraId="7AF4C4FB" w14:textId="77777777" w:rsidR="004912DC" w:rsidRPr="000F166D" w:rsidRDefault="004912DC" w:rsidP="004912DC">
      <w:pPr>
        <w:jc w:val="both"/>
        <w:rPr>
          <w:rFonts w:cs="Arial"/>
          <w:sz w:val="22"/>
          <w:szCs w:val="22"/>
        </w:rPr>
      </w:pPr>
      <w:r w:rsidRPr="000F166D">
        <w:rPr>
          <w:rFonts w:cs="Arial"/>
          <w:sz w:val="22"/>
          <w:szCs w:val="22"/>
        </w:rPr>
        <w:t xml:space="preserve">Evidentiranje poslovnih dogodkov bo potekalo samo preko bilance stanja države. </w:t>
      </w:r>
    </w:p>
    <w:p w14:paraId="1B35C8B2" w14:textId="77777777" w:rsidR="004912DC" w:rsidRPr="000F166D" w:rsidRDefault="004912DC" w:rsidP="004912DC">
      <w:pPr>
        <w:jc w:val="both"/>
        <w:rPr>
          <w:rFonts w:cs="Arial"/>
          <w:sz w:val="22"/>
          <w:szCs w:val="22"/>
        </w:rPr>
      </w:pPr>
    </w:p>
    <w:p w14:paraId="796123B6" w14:textId="77777777" w:rsidR="004912DC" w:rsidRPr="000F166D" w:rsidRDefault="004912DC" w:rsidP="004912DC">
      <w:pPr>
        <w:jc w:val="both"/>
        <w:rPr>
          <w:rFonts w:cs="Arial"/>
          <w:sz w:val="22"/>
          <w:szCs w:val="22"/>
        </w:rPr>
      </w:pPr>
      <w:r w:rsidRPr="000F166D">
        <w:rPr>
          <w:rFonts w:cs="Arial"/>
          <w:sz w:val="22"/>
          <w:szCs w:val="22"/>
        </w:rPr>
        <w:t xml:space="preserve">Predlagan način temelji na predpostavki, da je država posrednik oziroma "agent" pri dodeljevanju sredstev EU (ESIF) za namene FI. V vlogi agenta država kohezijska sredstva samo dodeljuje koristnikom pod ustreznimi pogoji. To pa dela za račun EU in sredstva niso last države (so dodeljena z namenom in z v naprej dogovorjenimi cilji, temelječimi na analizi vrzeli in postavljenimi cilji). Zato so </w:t>
      </w:r>
      <w:r w:rsidRPr="000F166D">
        <w:rPr>
          <w:rFonts w:cs="Arial"/>
          <w:sz w:val="22"/>
          <w:szCs w:val="22"/>
        </w:rPr>
        <w:lastRenderedPageBreak/>
        <w:t xml:space="preserve">predvidene knjižbe samo na kontih stanja (dolgoročne terjatve do koristnikov ter na drugi strani dolgoročna obveznost do EU) pravilne. Šele z odločitvijo EU, da postanejo sredstva last države članice, se sme evidentirati v poslovne knjige države tudi prihodke (A bilanca, skupina kontov 78). </w:t>
      </w:r>
    </w:p>
    <w:p w14:paraId="1EA3EF29" w14:textId="77777777" w:rsidR="004912DC" w:rsidRPr="000F166D" w:rsidRDefault="004912DC" w:rsidP="004912DC">
      <w:pPr>
        <w:jc w:val="both"/>
        <w:rPr>
          <w:rFonts w:cs="Arial"/>
          <w:sz w:val="22"/>
          <w:szCs w:val="22"/>
        </w:rPr>
      </w:pPr>
    </w:p>
    <w:p w14:paraId="121ABD0E" w14:textId="77777777" w:rsidR="004912DC" w:rsidRPr="000F166D" w:rsidRDefault="004912DC" w:rsidP="004912DC">
      <w:pPr>
        <w:jc w:val="both"/>
        <w:rPr>
          <w:rFonts w:cs="Arial"/>
          <w:sz w:val="22"/>
          <w:szCs w:val="22"/>
        </w:rPr>
      </w:pPr>
      <w:r w:rsidRPr="000F166D">
        <w:rPr>
          <w:rFonts w:cs="Arial"/>
          <w:sz w:val="22"/>
          <w:szCs w:val="22"/>
        </w:rPr>
        <w:t xml:space="preserve">Odločitev o načinu uporabe revolving sredstev pričakujemo od EU (v gradivu je predvidena odločitev EU o načinu porabe sredstev na koncu obdobja po zaključenih dveh obratih (takrat so lahko prikazana sredstva kot prihodek A bilance). Tudi višina sredstev (253 mio) ni nujno enaka na koncu, lahko je večja (obresti), lahko pa tudi bistveno manjša (odpisi in dogovorjena politika tveganj). Koristnik sredstev (finančni posrednik ali SID banka, če sama </w:t>
      </w:r>
      <w:r w:rsidRPr="000F166D">
        <w:rPr>
          <w:rFonts w:eastAsia="Calibri" w:cs="Arial"/>
          <w:color w:val="000000"/>
          <w:sz w:val="22"/>
          <w:szCs w:val="22"/>
        </w:rPr>
        <w:t>izvaja FI)</w:t>
      </w:r>
      <w:r w:rsidRPr="000F166D">
        <w:rPr>
          <w:rFonts w:cs="Arial"/>
          <w:sz w:val="22"/>
          <w:szCs w:val="22"/>
        </w:rPr>
        <w:t xml:space="preserve"> ima tudi v svojih poslovnih knjigah vzpostavljeno obveznost do RS (namesto direktno do EU), kar z našega vidika dodatno pripomore k nadzoru nad temi sredstvi: država ima s tem vpeljan sistem kontrole nad sredstvi za FI. Sprotno evidentiranje sredstev, bodisi v bilanci A ali B, torej preko proračunskih evidenc, ne bi izkazovalo pravilnega stanja, saj v primeru, da država članica ni »lastnica » sredstev in da dela za račun drugega (EU), ne sme prikazovati prihodkov, ker to še niso. Prav tako se krši nevtralnost vpliva na proračun (ne glede na to, da se sedaj vse nevtralizira).</w:t>
      </w:r>
    </w:p>
    <w:p w14:paraId="26D38EAA" w14:textId="77777777" w:rsidR="004912DC" w:rsidRPr="000F166D" w:rsidRDefault="004912DC" w:rsidP="004912DC">
      <w:pPr>
        <w:jc w:val="both"/>
        <w:rPr>
          <w:rFonts w:cs="Arial"/>
          <w:sz w:val="22"/>
          <w:szCs w:val="22"/>
        </w:rPr>
      </w:pPr>
    </w:p>
    <w:p w14:paraId="68A3A332" w14:textId="3CD27295" w:rsidR="00BB768E" w:rsidRPr="004912DC" w:rsidRDefault="004912DC" w:rsidP="004912DC">
      <w:pPr>
        <w:jc w:val="both"/>
        <w:rPr>
          <w:rFonts w:cs="Arial"/>
          <w:sz w:val="22"/>
          <w:szCs w:val="22"/>
        </w:rPr>
      </w:pPr>
      <w:r w:rsidRPr="000F166D">
        <w:rPr>
          <w:rFonts w:cs="Arial"/>
          <w:sz w:val="22"/>
          <w:szCs w:val="22"/>
        </w:rPr>
        <w:t>V Državni zbor RS se bo ob vsakokratni obravnavi predloga proračuna, predložilo poročilo, v katerem bi se navedla višina dodeljenih/počrpanih sredstev, namen porabe, prejemniki in s tem dodatno opredelilo razvojno politiko spodbujanja konkurenčnosti, katere temeljni program je tudi zagotavljanje dostopa do financiranja. Poročilo bi moralo vsebovati vse potrebne podatke, da bi jih Državni zbor RS lahko sprejel skupaj s sprejetim proračunom. Z vidika kasnejšega poročanja pa je zadeva urejena: zbirna bilanca stanja je sestavni del zaključnega računa proračuna in gre t</w:t>
      </w:r>
      <w:r>
        <w:rPr>
          <w:rFonts w:cs="Arial"/>
          <w:sz w:val="22"/>
          <w:szCs w:val="22"/>
        </w:rPr>
        <w:t>orej v sprejem Državni zbor RS.</w:t>
      </w:r>
    </w:p>
    <w:sectPr w:rsidR="00BB768E" w:rsidRPr="004912DC" w:rsidSect="00906890">
      <w:headerReference w:type="default" r:id="rId17"/>
      <w:footerReference w:type="default" r:id="rId18"/>
      <w:headerReference w:type="first" r:id="rId19"/>
      <w:pgSz w:w="11909" w:h="16834" w:code="9"/>
      <w:pgMar w:top="568" w:right="1022" w:bottom="2160" w:left="792" w:header="2074" w:footer="720" w:gutter="23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E9AF3" w14:textId="77777777" w:rsidR="00C3736E" w:rsidRDefault="00C3736E">
      <w:pPr>
        <w:spacing w:line="240" w:lineRule="auto"/>
      </w:pPr>
      <w:r>
        <w:separator/>
      </w:r>
    </w:p>
  </w:endnote>
  <w:endnote w:type="continuationSeparator" w:id="0">
    <w:p w14:paraId="0CFF7638" w14:textId="77777777" w:rsidR="00C3736E" w:rsidRDefault="00C373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Century Gothic"/>
    <w:charset w:val="00"/>
    <w:family w:val="swiss"/>
    <w:pitch w:val="variable"/>
    <w:sig w:usb0="00000087" w:usb1="00000000" w:usb2="00000000" w:usb3="00000000" w:csb0="0000001B"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Roboto">
    <w:altName w:val="Times New Roman"/>
    <w:charset w:val="00"/>
    <w:family w:val="auto"/>
    <w:pitch w:val="default"/>
  </w:font>
  <w:font w:name="inherit">
    <w:altName w:val="Times New Roman"/>
    <w:panose1 w:val="00000000000000000000"/>
    <w:charset w:val="00"/>
    <w:family w:val="roman"/>
    <w:notTrueType/>
    <w:pitch w:val="default"/>
  </w:font>
  <w:font w:name="Consolas">
    <w:panose1 w:val="020B0609020204030204"/>
    <w:charset w:val="EE"/>
    <w:family w:val="modern"/>
    <w:pitch w:val="fixed"/>
    <w:sig w:usb0="E00006FF" w:usb1="0000F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EE"/>
    <w:family w:val="swiss"/>
    <w:pitch w:val="variable"/>
    <w:sig w:usb0="A00002AF" w:usb1="400078FB" w:usb2="00000000" w:usb3="00000000" w:csb0="0000009F" w:csb1="00000000"/>
  </w:font>
  <w:font w:name="EUAlbertina">
    <w:altName w:val="Arial"/>
    <w:panose1 w:val="00000000000000000000"/>
    <w:charset w:val="00"/>
    <w:family w:val="swiss"/>
    <w:notTrueType/>
    <w:pitch w:val="default"/>
    <w:sig w:usb0="00000001" w:usb1="00000000" w:usb2="00000000" w:usb3="00000000" w:csb0="00000003" w:csb1="00000000"/>
  </w:font>
  <w:font w:name="Liberation Sans">
    <w:altName w:val="Arial"/>
    <w:charset w:val="01"/>
    <w:family w:val="swiss"/>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Republika">
    <w:altName w:val="Franklin Gothic Medium Cond"/>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2534517"/>
      <w:docPartObj>
        <w:docPartGallery w:val="Page Numbers (Bottom of Page)"/>
        <w:docPartUnique/>
      </w:docPartObj>
    </w:sdtPr>
    <w:sdtEndPr>
      <w:rPr>
        <w:szCs w:val="20"/>
      </w:rPr>
    </w:sdtEndPr>
    <w:sdtContent>
      <w:sdt>
        <w:sdtPr>
          <w:id w:val="1728636285"/>
          <w:docPartObj>
            <w:docPartGallery w:val="Page Numbers (Top of Page)"/>
            <w:docPartUnique/>
          </w:docPartObj>
        </w:sdtPr>
        <w:sdtEndPr>
          <w:rPr>
            <w:szCs w:val="20"/>
          </w:rPr>
        </w:sdtEndPr>
        <w:sdtContent>
          <w:p w14:paraId="59B54375" w14:textId="5A4E7B34" w:rsidR="00C3736E" w:rsidRPr="005C35C9" w:rsidRDefault="00C3736E">
            <w:pPr>
              <w:pStyle w:val="Noga"/>
              <w:jc w:val="center"/>
              <w:rPr>
                <w:szCs w:val="20"/>
              </w:rPr>
            </w:pPr>
            <w:r w:rsidRPr="005C35C9">
              <w:rPr>
                <w:bCs/>
                <w:szCs w:val="20"/>
              </w:rPr>
              <w:fldChar w:fldCharType="begin"/>
            </w:r>
            <w:r w:rsidRPr="005C35C9">
              <w:rPr>
                <w:bCs/>
                <w:szCs w:val="20"/>
              </w:rPr>
              <w:instrText>PAGE</w:instrText>
            </w:r>
            <w:r w:rsidRPr="005C35C9">
              <w:rPr>
                <w:bCs/>
                <w:szCs w:val="20"/>
              </w:rPr>
              <w:fldChar w:fldCharType="separate"/>
            </w:r>
            <w:r w:rsidR="003F3255">
              <w:rPr>
                <w:bCs/>
                <w:noProof/>
                <w:szCs w:val="20"/>
              </w:rPr>
              <w:t>71</w:t>
            </w:r>
            <w:r w:rsidRPr="005C35C9">
              <w:rPr>
                <w:bCs/>
                <w:szCs w:val="20"/>
              </w:rPr>
              <w:fldChar w:fldCharType="end"/>
            </w:r>
            <w:r w:rsidRPr="005C35C9">
              <w:rPr>
                <w:bCs/>
                <w:szCs w:val="20"/>
              </w:rPr>
              <w:t>/</w:t>
            </w:r>
            <w:r w:rsidRPr="005C35C9">
              <w:rPr>
                <w:szCs w:val="20"/>
              </w:rPr>
              <w:t xml:space="preserve"> </w:t>
            </w:r>
            <w:r w:rsidRPr="005C35C9">
              <w:rPr>
                <w:bCs/>
                <w:szCs w:val="20"/>
              </w:rPr>
              <w:fldChar w:fldCharType="begin"/>
            </w:r>
            <w:r w:rsidRPr="005C35C9">
              <w:rPr>
                <w:bCs/>
                <w:szCs w:val="20"/>
              </w:rPr>
              <w:instrText>NUMPAGES</w:instrText>
            </w:r>
            <w:r w:rsidRPr="005C35C9">
              <w:rPr>
                <w:bCs/>
                <w:szCs w:val="20"/>
              </w:rPr>
              <w:fldChar w:fldCharType="separate"/>
            </w:r>
            <w:r w:rsidR="003F3255">
              <w:rPr>
                <w:bCs/>
                <w:noProof/>
                <w:szCs w:val="20"/>
              </w:rPr>
              <w:t>71</w:t>
            </w:r>
            <w:r w:rsidRPr="005C35C9">
              <w:rPr>
                <w:bCs/>
                <w:szCs w:val="20"/>
              </w:rPr>
              <w:fldChar w:fldCharType="end"/>
            </w:r>
          </w:p>
        </w:sdtContent>
      </w:sdt>
    </w:sdtContent>
  </w:sdt>
  <w:p w14:paraId="19E9D4EB" w14:textId="77777777" w:rsidR="00C3736E" w:rsidRDefault="00C3736E">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6D950" w14:textId="77777777" w:rsidR="00C3736E" w:rsidRDefault="00C3736E">
      <w:pPr>
        <w:spacing w:line="240" w:lineRule="auto"/>
      </w:pPr>
      <w:r>
        <w:separator/>
      </w:r>
    </w:p>
  </w:footnote>
  <w:footnote w:type="continuationSeparator" w:id="0">
    <w:p w14:paraId="582EAFB2" w14:textId="77777777" w:rsidR="00C3736E" w:rsidRDefault="00C3736E">
      <w:pPr>
        <w:spacing w:line="240" w:lineRule="auto"/>
      </w:pPr>
      <w:r>
        <w:continuationSeparator/>
      </w:r>
    </w:p>
  </w:footnote>
  <w:footnote w:id="1">
    <w:p w14:paraId="49EA3658" w14:textId="77777777" w:rsidR="00C3736E" w:rsidRPr="00442423" w:rsidRDefault="00C3736E" w:rsidP="004912DC">
      <w:pPr>
        <w:pStyle w:val="Sprotnaopomba-besedilo"/>
        <w:jc w:val="both"/>
        <w:rPr>
          <w:rFonts w:ascii="Arial" w:hAnsi="Arial" w:cs="Arial"/>
          <w:sz w:val="16"/>
          <w:szCs w:val="16"/>
          <w:lang w:val="sl-SI"/>
        </w:rPr>
      </w:pPr>
      <w:r w:rsidRPr="00442423">
        <w:rPr>
          <w:rStyle w:val="Sprotnaopomba-sklic"/>
          <w:rFonts w:ascii="Arial" w:eastAsiaTheme="majorEastAsia" w:hAnsi="Arial" w:cs="Arial"/>
          <w:sz w:val="16"/>
          <w:szCs w:val="16"/>
          <w:lang w:val="sl-SI"/>
        </w:rPr>
        <w:footnoteRef/>
      </w:r>
      <w:r w:rsidRPr="00442423">
        <w:rPr>
          <w:rFonts w:ascii="Arial" w:hAnsi="Arial" w:cs="Arial"/>
          <w:sz w:val="16"/>
          <w:szCs w:val="16"/>
          <w:lang w:val="sl-SI"/>
        </w:rPr>
        <w:t xml:space="preserve"> Po Predhodni oceni finančnih instrumentov v Sloveniji, PwC 2015, so za področje energetske učinkovitosti predvideni vsi našteti finančni produkti. Za samo izvajanje energetskih prenov javnih stavb po EPC modelu (energy performance contracting) se primarno predvideva uporaba finančnega produkta posojil, uporaba ostalih dveh finančnih produktov pa ob upoštevanju omejitev glede javnofinančne stabilnosti.</w:t>
      </w:r>
    </w:p>
  </w:footnote>
  <w:footnote w:id="2">
    <w:p w14:paraId="39339D8B" w14:textId="77777777" w:rsidR="00C3736E" w:rsidRPr="00442423" w:rsidRDefault="00C3736E" w:rsidP="004912DC">
      <w:pPr>
        <w:pStyle w:val="Sprotnaopomba-besedilo"/>
        <w:rPr>
          <w:rFonts w:ascii="Arial" w:hAnsi="Arial" w:cs="Arial"/>
          <w:sz w:val="16"/>
          <w:szCs w:val="16"/>
          <w:lang w:val="sl-SI"/>
        </w:rPr>
      </w:pPr>
      <w:r w:rsidRPr="00442423">
        <w:rPr>
          <w:rStyle w:val="Sprotnaopomba-sklic"/>
          <w:rFonts w:ascii="Arial" w:eastAsiaTheme="majorEastAsia" w:hAnsi="Arial" w:cs="Arial"/>
          <w:sz w:val="16"/>
          <w:szCs w:val="16"/>
          <w:lang w:val="sl-SI"/>
        </w:rPr>
        <w:footnoteRef/>
      </w:r>
      <w:r w:rsidRPr="00442423">
        <w:rPr>
          <w:rFonts w:ascii="Arial" w:hAnsi="Arial" w:cs="Arial"/>
          <w:sz w:val="16"/>
          <w:szCs w:val="16"/>
          <w:lang w:val="sl-SI"/>
        </w:rPr>
        <w:t xml:space="preserve"> Uporablja se za potrebe določitve velikosti podjetja.</w:t>
      </w:r>
    </w:p>
  </w:footnote>
  <w:footnote w:id="3">
    <w:p w14:paraId="0C2FB398" w14:textId="77777777" w:rsidR="00C3736E" w:rsidRPr="00442423" w:rsidRDefault="00C3736E" w:rsidP="004912DC">
      <w:pPr>
        <w:pStyle w:val="Pripombabesedilo"/>
        <w:jc w:val="both"/>
        <w:rPr>
          <w:rFonts w:ascii="Arial" w:hAnsi="Arial" w:cs="Arial"/>
          <w:sz w:val="16"/>
          <w:szCs w:val="16"/>
        </w:rPr>
      </w:pPr>
      <w:r w:rsidRPr="00442423">
        <w:rPr>
          <w:rStyle w:val="Sprotnaopomba-sklic"/>
          <w:rFonts w:ascii="Arial" w:hAnsi="Arial" w:cs="Arial"/>
          <w:sz w:val="16"/>
          <w:szCs w:val="16"/>
        </w:rPr>
        <w:footnoteRef/>
      </w:r>
      <w:r w:rsidRPr="00442423">
        <w:rPr>
          <w:rFonts w:ascii="Arial" w:hAnsi="Arial" w:cs="Arial"/>
          <w:sz w:val="16"/>
          <w:szCs w:val="16"/>
        </w:rPr>
        <w:t xml:space="preserve"> </w:t>
      </w:r>
      <w:r w:rsidRPr="00442423">
        <w:rPr>
          <w:rFonts w:ascii="Arial" w:hAnsi="Arial" w:cs="Arial"/>
          <w:b/>
          <w:sz w:val="16"/>
          <w:szCs w:val="16"/>
        </w:rPr>
        <w:t>Prvi stolpec</w:t>
      </w:r>
      <w:r w:rsidRPr="00442423">
        <w:rPr>
          <w:rFonts w:ascii="Arial" w:hAnsi="Arial" w:cs="Arial"/>
          <w:sz w:val="16"/>
          <w:szCs w:val="16"/>
        </w:rPr>
        <w:t xml:space="preserve"> predstavlja finančno vrzel, ki temelji na morebitnem povpraševanju po mikrofinančnih produktih obstoječih mikro podjetij v Sloveniji. </w:t>
      </w:r>
      <w:r w:rsidRPr="00442423">
        <w:rPr>
          <w:rFonts w:ascii="Arial" w:hAnsi="Arial" w:cs="Arial"/>
          <w:b/>
          <w:sz w:val="16"/>
          <w:szCs w:val="16"/>
        </w:rPr>
        <w:t>Drugi stolpec</w:t>
      </w:r>
      <w:r w:rsidRPr="00442423">
        <w:rPr>
          <w:rFonts w:ascii="Arial" w:hAnsi="Arial" w:cs="Arial"/>
          <w:sz w:val="16"/>
          <w:szCs w:val="16"/>
        </w:rPr>
        <w:t xml:space="preserve"> predstavlja finančno vrzel, vključno s povpraševanjem po finančni vključenosti. Rast ustreza znesku mikrofinanciranja, ki bi ga potrebovali novi ustanovitelji podjetij, ki se trenutno soočajo s socialno izključenostjo, in ki bi morda želeli ustanoviti podjetje, če bi pri dostopu do financiranja imeli boljšo podporo, še posebej pri mikrofinanciranju. </w:t>
      </w:r>
      <w:r w:rsidRPr="00442423">
        <w:rPr>
          <w:rFonts w:ascii="Arial" w:hAnsi="Arial" w:cs="Arial"/>
          <w:b/>
          <w:sz w:val="16"/>
          <w:szCs w:val="16"/>
        </w:rPr>
        <w:t>Zadnji stolpec</w:t>
      </w:r>
      <w:r w:rsidRPr="00442423">
        <w:rPr>
          <w:rFonts w:ascii="Arial" w:hAnsi="Arial" w:cs="Arial"/>
          <w:sz w:val="16"/>
          <w:szCs w:val="16"/>
        </w:rPr>
        <w:t xml:space="preserve"> vključuje tudi vrzel obstoječih socialnih podjetij, ki bi želela pridobiti mikrofinanciranje za nadaljnje poslovanje.</w:t>
      </w:r>
    </w:p>
  </w:footnote>
  <w:footnote w:id="4">
    <w:p w14:paraId="1D097662" w14:textId="77777777" w:rsidR="00C3736E" w:rsidRPr="00442423" w:rsidRDefault="00C3736E" w:rsidP="004912DC">
      <w:pPr>
        <w:jc w:val="both"/>
        <w:rPr>
          <w:rFonts w:cs="Arial"/>
          <w:sz w:val="16"/>
          <w:szCs w:val="16"/>
        </w:rPr>
      </w:pPr>
      <w:r w:rsidRPr="00442423">
        <w:rPr>
          <w:rStyle w:val="Sprotnaopomba-sklic"/>
          <w:rFonts w:eastAsiaTheme="majorEastAsia" w:cs="Arial"/>
          <w:sz w:val="16"/>
          <w:szCs w:val="16"/>
        </w:rPr>
        <w:footnoteRef/>
      </w:r>
      <w:r w:rsidRPr="00442423">
        <w:rPr>
          <w:rFonts w:cs="Arial"/>
          <w:sz w:val="16"/>
          <w:szCs w:val="16"/>
        </w:rPr>
        <w:t xml:space="preserve"> Vrzel je pri projektih, ki se začnejo v letih 2015 in 2016 veliko večja, saj vsebuje tudi projekte mestne občine Ljubljana, ki seznama projektov za obdobje 2017—2020 ni posredovala. </w:t>
      </w:r>
    </w:p>
    <w:p w14:paraId="0F0F4EDE" w14:textId="77777777" w:rsidR="00C3736E" w:rsidRPr="00442423" w:rsidRDefault="00C3736E" w:rsidP="004912DC">
      <w:pPr>
        <w:pStyle w:val="Sprotnaopomba-besedilo"/>
        <w:jc w:val="both"/>
        <w:rPr>
          <w:rFonts w:ascii="Arial" w:hAnsi="Arial" w:cs="Arial"/>
          <w:sz w:val="16"/>
          <w:szCs w:val="16"/>
          <w:lang w:val="sl-SI"/>
        </w:rPr>
      </w:pPr>
    </w:p>
  </w:footnote>
  <w:footnote w:id="5">
    <w:p w14:paraId="59515624" w14:textId="77777777" w:rsidR="00C3736E" w:rsidRPr="00442423" w:rsidRDefault="00C3736E" w:rsidP="004912DC">
      <w:pPr>
        <w:pStyle w:val="Sprotnaopomba-besedilo"/>
        <w:jc w:val="both"/>
        <w:rPr>
          <w:rFonts w:ascii="Arial" w:hAnsi="Arial" w:cs="Arial"/>
          <w:sz w:val="16"/>
          <w:szCs w:val="16"/>
          <w:lang w:val="sl-SI"/>
        </w:rPr>
      </w:pPr>
      <w:r w:rsidRPr="00442423">
        <w:rPr>
          <w:rStyle w:val="Sprotnaopomba-sklic"/>
          <w:rFonts w:ascii="Arial" w:eastAsiaTheme="majorEastAsia" w:hAnsi="Arial" w:cs="Arial"/>
          <w:sz w:val="16"/>
          <w:szCs w:val="16"/>
          <w:lang w:val="sl-SI"/>
        </w:rPr>
        <w:footnoteRef/>
      </w:r>
      <w:r w:rsidRPr="00442423">
        <w:rPr>
          <w:rFonts w:ascii="Arial" w:hAnsi="Arial" w:cs="Arial"/>
          <w:sz w:val="16"/>
          <w:szCs w:val="16"/>
          <w:lang w:val="sl-SI"/>
        </w:rPr>
        <w:t xml:space="preserve"> Finančni instrumenti so izraz, ki izhaja iz opredelitev Evropske komisije, in se razlikuje od finančnih produktov (krediti, garancije, itd.), ki jih je izvajala večina slovenskih finančnih institucij. EU definicija finančnega instrumenta je, da gre za EU ukrep finančne podpore, ki je komplementaren proračunu in naslavlja eno ali več političnih ciljev EU. Takšen instrument se lahko izvaja v obliki lastniških ali kvazi-lastniških naložb, kreditov ali garancij ali drugih instrumentov delitve tveganja. Kjer je primerno, se lahko kombinirajo z nepovratnimi sredstvi.</w:t>
      </w:r>
    </w:p>
  </w:footnote>
  <w:footnote w:id="6">
    <w:p w14:paraId="20628576" w14:textId="77777777" w:rsidR="00C3736E" w:rsidRPr="00442423" w:rsidRDefault="00C3736E" w:rsidP="004912DC">
      <w:pPr>
        <w:pStyle w:val="Sprotnaopomba-besedilo"/>
        <w:jc w:val="both"/>
        <w:rPr>
          <w:rFonts w:ascii="Arial" w:hAnsi="Arial" w:cs="Arial"/>
          <w:sz w:val="16"/>
          <w:szCs w:val="16"/>
          <w:lang w:val="sl-SI"/>
        </w:rPr>
      </w:pPr>
      <w:r w:rsidRPr="00442423">
        <w:rPr>
          <w:rStyle w:val="Sprotnaopomba-sklic"/>
          <w:rFonts w:ascii="Arial" w:eastAsiaTheme="majorEastAsia" w:hAnsi="Arial" w:cs="Arial"/>
          <w:sz w:val="16"/>
          <w:szCs w:val="16"/>
          <w:lang w:val="sl-SI"/>
        </w:rPr>
        <w:footnoteRef/>
      </w:r>
      <w:r w:rsidRPr="00442423">
        <w:rPr>
          <w:rFonts w:ascii="Arial" w:hAnsi="Arial" w:cs="Arial"/>
          <w:sz w:val="16"/>
          <w:szCs w:val="16"/>
          <w:lang w:val="sl-SI"/>
        </w:rPr>
        <w:t xml:space="preserve"> Naložbena strategija zajema naslednje elemente: (i) strateški okvir , ki vključuje ugotovljene tržne vrzeli, usklajenost s cilji OP 2014 - 2020 ter drugimi strateškimi dokumenti, (ii) predlog naložbene strategije (cilji, deležniki, struktura, produkti, postopek dopolnjevanja naložbene strategije), (iii) slovenski sklad skladov (cilji po posameznih področjih – pogoji za ciljne skupine/projekte), (iv) naložbena struktura sklada skladov, (v) izbor finančnih posrednikov, (vi) tehnična pomoč, (vii) ponovna uporaba sredstev, (viii) strategija izstopa.</w:t>
      </w:r>
    </w:p>
  </w:footnote>
  <w:footnote w:id="7">
    <w:p w14:paraId="7EA6C64C" w14:textId="77777777" w:rsidR="00C3736E" w:rsidRPr="00442423" w:rsidRDefault="00C3736E" w:rsidP="004912DC">
      <w:pPr>
        <w:pStyle w:val="Sprotnaopomba-besedilo"/>
        <w:rPr>
          <w:rFonts w:ascii="Arial" w:hAnsi="Arial" w:cs="Arial"/>
          <w:sz w:val="16"/>
          <w:szCs w:val="16"/>
          <w:lang w:val="sl-SI"/>
        </w:rPr>
      </w:pPr>
      <w:r w:rsidRPr="00442423">
        <w:rPr>
          <w:rFonts w:ascii="Arial" w:hAnsi="Arial" w:cs="Arial"/>
          <w:sz w:val="16"/>
          <w:szCs w:val="16"/>
          <w:vertAlign w:val="superscript"/>
          <w:lang w:val="sl-SI"/>
        </w:rPr>
        <w:footnoteRef/>
      </w:r>
      <w:r w:rsidRPr="00442423">
        <w:rPr>
          <w:rFonts w:ascii="Arial" w:hAnsi="Arial" w:cs="Arial"/>
          <w:sz w:val="16"/>
          <w:szCs w:val="16"/>
          <w:lang w:val="sl-SI"/>
        </w:rPr>
        <w:t xml:space="preserve"> Vsebina sporazuma o financiranju je določena v Uredbi EK 1303/2013, Priloga IV.</w:t>
      </w:r>
    </w:p>
  </w:footnote>
  <w:footnote w:id="8">
    <w:p w14:paraId="5F1247EB" w14:textId="77777777" w:rsidR="00C3736E" w:rsidRPr="00442423" w:rsidRDefault="00C3736E" w:rsidP="004912DC">
      <w:pPr>
        <w:autoSpaceDE w:val="0"/>
        <w:autoSpaceDN w:val="0"/>
        <w:adjustRightInd w:val="0"/>
        <w:rPr>
          <w:rFonts w:eastAsiaTheme="minorHAnsi" w:cs="Arial"/>
          <w:color w:val="000000"/>
          <w:sz w:val="16"/>
          <w:szCs w:val="16"/>
        </w:rPr>
      </w:pPr>
      <w:r w:rsidRPr="00442423">
        <w:rPr>
          <w:rStyle w:val="Sprotnaopomba-sklic"/>
          <w:rFonts w:eastAsiaTheme="majorEastAsia" w:cs="Arial"/>
          <w:sz w:val="16"/>
          <w:szCs w:val="16"/>
        </w:rPr>
        <w:footnoteRef/>
      </w:r>
      <w:r w:rsidRPr="00442423">
        <w:rPr>
          <w:rFonts w:cs="Arial"/>
          <w:sz w:val="16"/>
          <w:szCs w:val="16"/>
        </w:rPr>
        <w:t xml:space="preserve"> Kot npr.:</w:t>
      </w:r>
    </w:p>
    <w:p w14:paraId="5B5DFB61" w14:textId="77777777" w:rsidR="00C3736E" w:rsidRPr="00442423" w:rsidRDefault="00C3736E" w:rsidP="004912DC">
      <w:pPr>
        <w:pStyle w:val="Odstavekseznama"/>
        <w:numPr>
          <w:ilvl w:val="0"/>
          <w:numId w:val="13"/>
        </w:numPr>
        <w:autoSpaceDE w:val="0"/>
        <w:autoSpaceDN w:val="0"/>
        <w:adjustRightInd w:val="0"/>
        <w:contextualSpacing w:val="0"/>
        <w:jc w:val="both"/>
        <w:rPr>
          <w:rFonts w:ascii="Arial" w:hAnsi="Arial" w:cs="Arial"/>
          <w:color w:val="000000"/>
          <w:sz w:val="16"/>
          <w:szCs w:val="16"/>
        </w:rPr>
      </w:pPr>
      <w:r w:rsidRPr="00442423">
        <w:rPr>
          <w:rFonts w:ascii="Arial" w:hAnsi="Arial" w:cs="Arial"/>
          <w:color w:val="000000"/>
          <w:sz w:val="16"/>
          <w:szCs w:val="16"/>
        </w:rPr>
        <w:t>posojila za izvedbo projektov prenove ali novogradnje stanovanj, ki so rezultat urbane prenove s ciljem povečanja javnega stanovanjskega fonda, skladno z izkazanimi potrebami po posameznih mestnih občinah;</w:t>
      </w:r>
    </w:p>
    <w:p w14:paraId="3F819F7D" w14:textId="77777777" w:rsidR="00C3736E" w:rsidRPr="00442423" w:rsidRDefault="00C3736E" w:rsidP="004912DC">
      <w:pPr>
        <w:pStyle w:val="Odstavekseznama"/>
        <w:numPr>
          <w:ilvl w:val="0"/>
          <w:numId w:val="13"/>
        </w:numPr>
        <w:autoSpaceDE w:val="0"/>
        <w:autoSpaceDN w:val="0"/>
        <w:adjustRightInd w:val="0"/>
        <w:contextualSpacing w:val="0"/>
        <w:jc w:val="both"/>
        <w:rPr>
          <w:rFonts w:ascii="Arial" w:hAnsi="Arial" w:cs="Arial"/>
          <w:color w:val="000000"/>
          <w:sz w:val="16"/>
          <w:szCs w:val="16"/>
        </w:rPr>
      </w:pPr>
      <w:r w:rsidRPr="00442423">
        <w:rPr>
          <w:rFonts w:ascii="Arial" w:hAnsi="Arial" w:cs="Arial"/>
          <w:color w:val="000000"/>
          <w:sz w:val="16"/>
          <w:szCs w:val="16"/>
        </w:rPr>
        <w:t xml:space="preserve">posojila za izvedbo drugih operacij, katerih namen bo izvajanje posegov fizične prenove urbanih območij, ki so skladni s cilji trajnostnih urbanih strategij v 11 mestnih občinah. </w:t>
      </w:r>
    </w:p>
    <w:p w14:paraId="6AD063C9" w14:textId="77777777" w:rsidR="00C3736E" w:rsidRPr="00442423" w:rsidRDefault="00C3736E" w:rsidP="004912DC">
      <w:pPr>
        <w:pStyle w:val="Sprotnaopomba-besedilo"/>
        <w:rPr>
          <w:rFonts w:ascii="Arial" w:hAnsi="Arial" w:cs="Arial"/>
          <w:sz w:val="16"/>
          <w:szCs w:val="16"/>
          <w:lang w:val="sl-SI"/>
        </w:rPr>
      </w:pPr>
    </w:p>
  </w:footnote>
  <w:footnote w:id="9">
    <w:p w14:paraId="57910D01" w14:textId="77777777" w:rsidR="00C3736E" w:rsidRPr="00442423" w:rsidRDefault="00C3736E" w:rsidP="004912DC">
      <w:pPr>
        <w:pStyle w:val="Sprotnaopomba-besedilo"/>
        <w:jc w:val="both"/>
        <w:rPr>
          <w:rFonts w:ascii="Arial" w:eastAsiaTheme="minorHAnsi" w:hAnsi="Arial" w:cs="Arial"/>
          <w:color w:val="000000"/>
          <w:sz w:val="16"/>
          <w:szCs w:val="16"/>
          <w:lang w:val="sl-SI"/>
        </w:rPr>
      </w:pPr>
      <w:r w:rsidRPr="00442423">
        <w:rPr>
          <w:rStyle w:val="Sprotnaopomba-sklic"/>
          <w:rFonts w:ascii="Arial" w:eastAsiaTheme="majorEastAsia" w:hAnsi="Arial" w:cs="Arial"/>
          <w:sz w:val="16"/>
          <w:szCs w:val="16"/>
          <w:lang w:val="sl-SI"/>
        </w:rPr>
        <w:footnoteRef/>
      </w:r>
      <w:r w:rsidRPr="00442423">
        <w:rPr>
          <w:rFonts w:ascii="Arial" w:hAnsi="Arial" w:cs="Arial"/>
          <w:sz w:val="16"/>
          <w:szCs w:val="16"/>
          <w:lang w:val="sl-SI"/>
        </w:rPr>
        <w:t xml:space="preserve"> </w:t>
      </w:r>
      <w:r w:rsidRPr="00442423">
        <w:rPr>
          <w:rFonts w:ascii="Arial" w:eastAsiaTheme="minorHAnsi" w:hAnsi="Arial" w:cs="Arial"/>
          <w:color w:val="000000"/>
          <w:sz w:val="16"/>
          <w:szCs w:val="16"/>
          <w:lang w:val="sl-SI"/>
        </w:rPr>
        <w:t>Zneski vključujejo plasmaje končnim prejemnikom in pripadajoče rezervacije in/ali oslabitve, upravljavske in druge provizije ter nepovratna sredstva.</w:t>
      </w:r>
    </w:p>
    <w:p w14:paraId="72ACCA48" w14:textId="77777777" w:rsidR="00C3736E" w:rsidRPr="00442423" w:rsidRDefault="00C3736E" w:rsidP="004912DC">
      <w:pPr>
        <w:pStyle w:val="Sprotnaopomba-besedilo"/>
        <w:jc w:val="both"/>
        <w:rPr>
          <w:rFonts w:ascii="Arial" w:hAnsi="Arial" w:cs="Arial"/>
          <w:sz w:val="16"/>
          <w:szCs w:val="16"/>
          <w:lang w:val="sl-SI"/>
        </w:rPr>
      </w:pPr>
      <w:r w:rsidRPr="00442423">
        <w:rPr>
          <w:rFonts w:ascii="Arial" w:eastAsiaTheme="minorHAnsi" w:hAnsi="Arial" w:cs="Arial"/>
          <w:color w:val="000000"/>
          <w:sz w:val="16"/>
          <w:szCs w:val="16"/>
          <w:lang w:val="sl-SI"/>
        </w:rPr>
        <w:t>Predlagana višina sredstev po posameznem finančnem produktu je okvirna in se lahko spremeni glede na izsledke market testa.</w:t>
      </w:r>
    </w:p>
  </w:footnote>
  <w:footnote w:id="10">
    <w:p w14:paraId="69D93413" w14:textId="77777777" w:rsidR="00C3736E" w:rsidRPr="00442423" w:rsidRDefault="00C3736E" w:rsidP="004912DC">
      <w:pPr>
        <w:pStyle w:val="Sprotnaopomba-besedilo"/>
        <w:rPr>
          <w:rFonts w:ascii="Arial" w:hAnsi="Arial" w:cs="Arial"/>
          <w:sz w:val="16"/>
          <w:szCs w:val="16"/>
          <w:lang w:val="sl-SI"/>
        </w:rPr>
      </w:pPr>
      <w:r w:rsidRPr="00442423">
        <w:rPr>
          <w:rStyle w:val="Sprotnaopomba-sklic"/>
          <w:rFonts w:ascii="Arial" w:eastAsiaTheme="majorEastAsia" w:hAnsi="Arial" w:cs="Arial"/>
          <w:sz w:val="16"/>
          <w:szCs w:val="16"/>
          <w:lang w:val="sl-SI"/>
        </w:rPr>
        <w:footnoteRef/>
      </w:r>
      <w:r w:rsidRPr="00442423">
        <w:rPr>
          <w:rFonts w:ascii="Arial" w:hAnsi="Arial" w:cs="Arial"/>
          <w:sz w:val="16"/>
          <w:szCs w:val="16"/>
          <w:lang w:val="sl-SI"/>
        </w:rPr>
        <w:t xml:space="preserve"> Po Predhodni oceni finančnih instrumentov v Sloveniji, PwC 2015, so za področje energetske učinkovitosti predvideni vsi našteti finančni produkti. Za samo izvajanje energetskih prenov javnih stavb po EPC modelu (energy performance contracting) se primarno predvideva uporaba finančnega produkta posojil, uporaba ostalih dveh finančnih produktov pa ob upoštevanju omejitev glede javnofinančne stabilnosti.</w:t>
      </w:r>
    </w:p>
  </w:footnote>
  <w:footnote w:id="11">
    <w:p w14:paraId="4CAFA9EC" w14:textId="77777777" w:rsidR="00C3736E" w:rsidRPr="00442423" w:rsidRDefault="00C3736E" w:rsidP="004912DC">
      <w:pPr>
        <w:pStyle w:val="Sprotnaopomba-besedilo"/>
        <w:jc w:val="both"/>
        <w:rPr>
          <w:rFonts w:ascii="Arial" w:hAnsi="Arial" w:cs="Arial"/>
          <w:sz w:val="16"/>
          <w:szCs w:val="16"/>
          <w:lang w:val="sl-SI"/>
        </w:rPr>
      </w:pPr>
      <w:r w:rsidRPr="00442423">
        <w:rPr>
          <w:rStyle w:val="Sprotnaopomba-sklic"/>
          <w:rFonts w:ascii="Arial" w:eastAsiaTheme="majorEastAsia" w:hAnsi="Arial" w:cs="Arial"/>
          <w:sz w:val="16"/>
          <w:szCs w:val="16"/>
          <w:lang w:val="sl-SI"/>
        </w:rPr>
        <w:footnoteRef/>
      </w:r>
      <w:r w:rsidRPr="00442423">
        <w:rPr>
          <w:rFonts w:ascii="Arial" w:hAnsi="Arial" w:cs="Arial"/>
          <w:sz w:val="16"/>
          <w:szCs w:val="16"/>
          <w:lang w:val="sl-SI"/>
        </w:rPr>
        <w:t xml:space="preserve"> Predstavljeni zneski temeljijo na trenutno sprejetem Operativnem programu 2014-2020 in se bodo uskladili ob spremembi Operativnega programa 2014-2020.</w:t>
      </w:r>
    </w:p>
  </w:footnote>
  <w:footnote w:id="12">
    <w:p w14:paraId="0A16A797" w14:textId="77777777" w:rsidR="00C3736E" w:rsidRPr="00442423" w:rsidRDefault="00C3736E" w:rsidP="004912DC">
      <w:pPr>
        <w:pStyle w:val="Sprotnaopomba-besedilo"/>
        <w:rPr>
          <w:rFonts w:ascii="Arial" w:hAnsi="Arial" w:cs="Arial"/>
          <w:sz w:val="16"/>
          <w:szCs w:val="16"/>
          <w:lang w:val="sl-SI"/>
        </w:rPr>
      </w:pPr>
      <w:r w:rsidRPr="00442423">
        <w:rPr>
          <w:rStyle w:val="Sprotnaopomba-sklic"/>
          <w:rFonts w:ascii="Arial" w:eastAsiaTheme="majorEastAsia" w:hAnsi="Arial" w:cs="Arial"/>
          <w:sz w:val="16"/>
          <w:szCs w:val="16"/>
          <w:lang w:val="sl-SI"/>
        </w:rPr>
        <w:footnoteRef/>
      </w:r>
      <w:r w:rsidRPr="00442423">
        <w:rPr>
          <w:rFonts w:ascii="Arial" w:hAnsi="Arial" w:cs="Arial"/>
          <w:sz w:val="16"/>
          <w:szCs w:val="16"/>
          <w:lang w:val="sl-SI"/>
        </w:rPr>
        <w:t xml:space="preserve"> Predstavljeni zneski temeljijo na trenutno sprejetem Operativnem programu 2014-2020 in se bodo uskladili ob spremembi Operativnega programa 2014-2020.</w:t>
      </w:r>
    </w:p>
  </w:footnote>
  <w:footnote w:id="13">
    <w:p w14:paraId="22281211" w14:textId="77777777" w:rsidR="00C3736E" w:rsidRPr="00442423" w:rsidRDefault="00C3736E" w:rsidP="004912DC">
      <w:pPr>
        <w:pStyle w:val="Sprotnaopomba-besedilo"/>
        <w:rPr>
          <w:rFonts w:ascii="Arial" w:hAnsi="Arial" w:cs="Arial"/>
          <w:sz w:val="16"/>
          <w:szCs w:val="16"/>
          <w:lang w:val="sl-SI"/>
        </w:rPr>
      </w:pPr>
      <w:r w:rsidRPr="00442423">
        <w:rPr>
          <w:rStyle w:val="Sprotnaopomba-sklic"/>
          <w:rFonts w:ascii="Arial" w:eastAsiaTheme="majorEastAsia" w:hAnsi="Arial" w:cs="Arial"/>
          <w:sz w:val="16"/>
          <w:szCs w:val="16"/>
          <w:lang w:val="sl-SI"/>
        </w:rPr>
        <w:footnoteRef/>
      </w:r>
      <w:r w:rsidRPr="00442423">
        <w:rPr>
          <w:rFonts w:ascii="Arial" w:hAnsi="Arial" w:cs="Arial"/>
          <w:sz w:val="16"/>
          <w:szCs w:val="16"/>
          <w:lang w:val="sl-SI"/>
        </w:rPr>
        <w:t xml:space="preserve"> Kreditodajalec (upnik) je pravna oseba, ki sklene kreditno pogodbo s kreditojemalcem (dolžnikom) za določeno ceno (obresti).</w:t>
      </w:r>
    </w:p>
  </w:footnote>
  <w:footnote w:id="14">
    <w:p w14:paraId="7649D137" w14:textId="77777777" w:rsidR="00C3736E" w:rsidRPr="00442423" w:rsidRDefault="00C3736E" w:rsidP="004912DC">
      <w:pPr>
        <w:pStyle w:val="Sprotnaopomba-besedilo"/>
        <w:tabs>
          <w:tab w:val="left" w:pos="810"/>
        </w:tabs>
        <w:jc w:val="both"/>
        <w:rPr>
          <w:rFonts w:ascii="Arial" w:hAnsi="Arial" w:cs="Arial"/>
          <w:sz w:val="16"/>
          <w:szCs w:val="16"/>
          <w:lang w:val="sl-SI"/>
        </w:rPr>
      </w:pPr>
      <w:r w:rsidRPr="00442423">
        <w:rPr>
          <w:rStyle w:val="Sprotnaopomba-sklic"/>
          <w:rFonts w:ascii="Arial" w:eastAsiaTheme="majorEastAsia" w:hAnsi="Arial" w:cs="Arial"/>
          <w:sz w:val="16"/>
          <w:szCs w:val="16"/>
          <w:lang w:val="sl-SI"/>
        </w:rPr>
        <w:footnoteRef/>
      </w:r>
      <w:r w:rsidRPr="00442423">
        <w:rPr>
          <w:rFonts w:ascii="Arial" w:hAnsi="Arial" w:cs="Arial"/>
          <w:sz w:val="16"/>
          <w:szCs w:val="16"/>
          <w:lang w:val="sl-SI"/>
        </w:rPr>
        <w:t xml:space="preserve"> </w:t>
      </w:r>
      <w:r w:rsidRPr="00442423">
        <w:rPr>
          <w:rFonts w:ascii="Arial" w:hAnsi="Arial" w:cs="Arial"/>
          <w:sz w:val="16"/>
          <w:szCs w:val="16"/>
          <w:lang w:val="sl-SI"/>
        </w:rPr>
        <w:tab/>
        <w:t>Po Predhodni oceni finančnih instrumentov v Sloveniji, PwC 2015, so za področje energetske učinkovitosti predvideni vsi našteti finančni produkti. Za samo izvajanje energetskih prenov javnih stavb po EPC modelu (energy performance contracting) se primarno predvideva uporaba finančnega produkta posojil, uporaba ostalih dveh finančnih produktov pa ob upoštevanju omejitev glede javnofinančne stabilnosti.</w:t>
      </w:r>
    </w:p>
  </w:footnote>
  <w:footnote w:id="15">
    <w:p w14:paraId="08EC3048" w14:textId="77777777" w:rsidR="00C3736E" w:rsidRPr="00442423" w:rsidRDefault="00C3736E" w:rsidP="004912DC">
      <w:pPr>
        <w:pStyle w:val="footnotedescription"/>
        <w:spacing w:line="243" w:lineRule="auto"/>
        <w:ind w:left="228" w:hanging="228"/>
        <w:rPr>
          <w:rFonts w:ascii="Arial" w:hAnsi="Arial" w:cs="Arial"/>
          <w:sz w:val="16"/>
          <w:szCs w:val="16"/>
        </w:rPr>
      </w:pPr>
      <w:r w:rsidRPr="00442423">
        <w:rPr>
          <w:rStyle w:val="footnotemark"/>
          <w:rFonts w:ascii="Arial" w:hAnsi="Arial" w:cs="Arial"/>
          <w:szCs w:val="16"/>
        </w:rPr>
        <w:footnoteRef/>
      </w:r>
      <w:r w:rsidRPr="00442423">
        <w:rPr>
          <w:rFonts w:ascii="Arial" w:hAnsi="Arial" w:cs="Arial"/>
          <w:sz w:val="16"/>
          <w:szCs w:val="16"/>
        </w:rPr>
        <w:t xml:space="preserve"> Znesek, ki bi obravnaval vrzeli v financiranju projektov urbanega razvoja v vseh slovenskih me</w:t>
      </w:r>
      <w:r>
        <w:rPr>
          <w:rFonts w:ascii="Arial" w:hAnsi="Arial" w:cs="Arial"/>
          <w:sz w:val="16"/>
          <w:szCs w:val="16"/>
        </w:rPr>
        <w:t>stnih občinah je ocenjen med 50–</w:t>
      </w:r>
      <w:r w:rsidRPr="00442423">
        <w:rPr>
          <w:rFonts w:ascii="Arial" w:hAnsi="Arial" w:cs="Arial"/>
          <w:sz w:val="16"/>
          <w:szCs w:val="16"/>
        </w:rPr>
        <w:t xml:space="preserve">100 mio EUR.    </w:t>
      </w:r>
    </w:p>
  </w:footnote>
  <w:footnote w:id="16">
    <w:p w14:paraId="6804F306" w14:textId="77777777" w:rsidR="00C3736E" w:rsidRPr="00442423" w:rsidRDefault="00C3736E" w:rsidP="004912DC">
      <w:pPr>
        <w:pStyle w:val="footnotedescription"/>
        <w:spacing w:line="248" w:lineRule="auto"/>
        <w:ind w:left="228" w:right="244" w:hanging="228"/>
        <w:jc w:val="both"/>
        <w:rPr>
          <w:rFonts w:ascii="Arial" w:hAnsi="Arial" w:cs="Arial"/>
          <w:sz w:val="16"/>
          <w:szCs w:val="16"/>
        </w:rPr>
      </w:pPr>
      <w:r w:rsidRPr="00442423">
        <w:rPr>
          <w:rStyle w:val="footnotemark"/>
          <w:rFonts w:ascii="Arial" w:hAnsi="Arial" w:cs="Arial"/>
          <w:szCs w:val="16"/>
        </w:rPr>
        <w:footnoteRef/>
      </w:r>
      <w:r w:rsidRPr="00442423">
        <w:rPr>
          <w:rFonts w:ascii="Arial" w:hAnsi="Arial" w:cs="Arial"/>
          <w:sz w:val="16"/>
          <w:szCs w:val="16"/>
        </w:rPr>
        <w:t xml:space="preserve"> European Structural and Investment Funds Guidance for Member States and Programme Authorities: CPR_37_7_8_9 Combination of support from a financial instrument with other support, 2015 </w:t>
      </w:r>
    </w:p>
  </w:footnote>
  <w:footnote w:id="17">
    <w:p w14:paraId="20EC2837" w14:textId="77777777" w:rsidR="00C3736E" w:rsidRPr="00442423" w:rsidRDefault="00C3736E" w:rsidP="004912DC">
      <w:pPr>
        <w:tabs>
          <w:tab w:val="left" w:pos="3261"/>
        </w:tabs>
        <w:ind w:right="256"/>
        <w:jc w:val="both"/>
        <w:rPr>
          <w:rFonts w:eastAsia="Georgia" w:cs="Arial"/>
          <w:color w:val="000000"/>
          <w:sz w:val="16"/>
          <w:szCs w:val="16"/>
          <w:lang w:eastAsia="sl-SI"/>
        </w:rPr>
      </w:pPr>
      <w:r w:rsidRPr="00442423">
        <w:rPr>
          <w:rStyle w:val="Sprotnaopomba-sklic"/>
          <w:rFonts w:eastAsiaTheme="majorEastAsia" w:cs="Arial"/>
          <w:sz w:val="16"/>
          <w:szCs w:val="16"/>
        </w:rPr>
        <w:footnoteRef/>
      </w:r>
      <w:r w:rsidRPr="00442423">
        <w:rPr>
          <w:rFonts w:cs="Arial"/>
          <w:sz w:val="16"/>
          <w:szCs w:val="16"/>
        </w:rPr>
        <w:t xml:space="preserve"> </w:t>
      </w:r>
      <w:r w:rsidRPr="00442423">
        <w:rPr>
          <w:rFonts w:eastAsia="Georgia" w:cs="Arial"/>
          <w:color w:val="000000"/>
          <w:sz w:val="16"/>
          <w:szCs w:val="16"/>
          <w:lang w:eastAsia="sl-SI"/>
        </w:rPr>
        <w:t>Tehnična pomoč predstavlja nepovratna sredstva za svetovanje in mentorstvo za spodbujanje ter predajanje znanja glede uporabe FI in produktov iz naložbene strategije finančnim posrednikom in končnim prejemnikom, če izpolnjuje pogoje za kombinacijo v okviru ene operacije..</w:t>
      </w:r>
    </w:p>
  </w:footnote>
  <w:footnote w:id="18">
    <w:p w14:paraId="1ECF8333" w14:textId="77777777" w:rsidR="00C3736E" w:rsidRPr="00442423" w:rsidRDefault="00C3736E" w:rsidP="004912DC">
      <w:pPr>
        <w:pStyle w:val="footnotedescription"/>
        <w:spacing w:line="254" w:lineRule="auto"/>
        <w:ind w:left="228" w:hanging="228"/>
        <w:jc w:val="both"/>
        <w:rPr>
          <w:rFonts w:ascii="Arial" w:hAnsi="Arial" w:cs="Arial"/>
          <w:sz w:val="16"/>
          <w:szCs w:val="16"/>
        </w:rPr>
      </w:pPr>
      <w:r w:rsidRPr="00442423">
        <w:rPr>
          <w:rStyle w:val="footnotemark"/>
          <w:rFonts w:ascii="Arial" w:hAnsi="Arial" w:cs="Arial"/>
          <w:szCs w:val="16"/>
        </w:rPr>
        <w:footnoteRef/>
      </w:r>
      <w:r w:rsidRPr="00442423">
        <w:rPr>
          <w:rFonts w:ascii="Arial" w:hAnsi="Arial" w:cs="Arial"/>
          <w:sz w:val="16"/>
          <w:szCs w:val="16"/>
        </w:rPr>
        <w:t xml:space="preserve"> European Structural and Investment Funds Guidance for Member States and Programme Authorities: CPR_37_7_8_9 Combination of support from a financial instrument with other support, 2015 </w:t>
      </w:r>
    </w:p>
  </w:footnote>
  <w:footnote w:id="19">
    <w:p w14:paraId="19E8FE5E" w14:textId="77777777" w:rsidR="00C3736E" w:rsidRPr="00442423" w:rsidRDefault="00C3736E" w:rsidP="004912DC">
      <w:pPr>
        <w:pStyle w:val="footnotedescription"/>
        <w:spacing w:line="254" w:lineRule="auto"/>
        <w:ind w:left="228" w:right="164" w:hanging="228"/>
        <w:jc w:val="both"/>
        <w:rPr>
          <w:rFonts w:ascii="Arial" w:hAnsi="Arial" w:cs="Arial"/>
          <w:sz w:val="16"/>
          <w:szCs w:val="16"/>
        </w:rPr>
      </w:pPr>
      <w:r w:rsidRPr="00442423">
        <w:rPr>
          <w:rStyle w:val="footnotemark"/>
          <w:rFonts w:ascii="Arial" w:hAnsi="Arial" w:cs="Arial"/>
          <w:szCs w:val="16"/>
        </w:rPr>
        <w:footnoteRef/>
      </w:r>
      <w:r w:rsidRPr="00442423">
        <w:rPr>
          <w:rFonts w:ascii="Arial" w:hAnsi="Arial" w:cs="Arial"/>
          <w:sz w:val="16"/>
          <w:szCs w:val="16"/>
        </w:rPr>
        <w:t xml:space="preserve"> Official Journal of the European Union: COMMISSION DELEGATED REGULATION (EU) No 480/2014 f 3 March 2014 </w:t>
      </w:r>
    </w:p>
  </w:footnote>
  <w:footnote w:id="20">
    <w:p w14:paraId="1A731087" w14:textId="77777777" w:rsidR="00C3736E" w:rsidRPr="00442423" w:rsidRDefault="00C3736E" w:rsidP="004912DC">
      <w:pPr>
        <w:pStyle w:val="Sprotnaopomba-besedilo"/>
        <w:jc w:val="both"/>
        <w:rPr>
          <w:rFonts w:ascii="Arial" w:hAnsi="Arial" w:cs="Arial"/>
          <w:sz w:val="16"/>
          <w:szCs w:val="16"/>
          <w:lang w:val="sl-SI"/>
        </w:rPr>
      </w:pPr>
      <w:r w:rsidRPr="00442423">
        <w:rPr>
          <w:rStyle w:val="Sprotnaopomba-sklic"/>
          <w:rFonts w:ascii="Arial" w:eastAsiaTheme="majorEastAsia" w:hAnsi="Arial" w:cs="Arial"/>
          <w:sz w:val="16"/>
          <w:szCs w:val="16"/>
          <w:lang w:val="sl-SI"/>
        </w:rPr>
        <w:footnoteRef/>
      </w:r>
      <w:r w:rsidRPr="00442423">
        <w:rPr>
          <w:rFonts w:ascii="Arial" w:hAnsi="Arial" w:cs="Arial"/>
          <w:sz w:val="16"/>
          <w:szCs w:val="16"/>
          <w:lang w:val="sl-SI"/>
        </w:rPr>
        <w:t xml:space="preserve"> Redne varnostne kopije celotne vsebine elektronskega repozitorija se hranijo vsaj 10 let po zaključku izvajanja FI in so fizično in elektronsko zaščiteni pred izgubo in spreminjanjem, ki bi ogrozil njihovo integriteto oz. celovitost. </w:t>
      </w:r>
    </w:p>
  </w:footnote>
  <w:footnote w:id="21">
    <w:p w14:paraId="4B4DBD3F" w14:textId="77777777" w:rsidR="00C3736E" w:rsidRPr="00442423" w:rsidRDefault="00C3736E" w:rsidP="004912DC">
      <w:pPr>
        <w:pStyle w:val="Sprotnaopomba-besedilo"/>
        <w:jc w:val="both"/>
        <w:rPr>
          <w:rFonts w:ascii="Arial" w:hAnsi="Arial" w:cs="Arial"/>
          <w:sz w:val="16"/>
          <w:szCs w:val="16"/>
          <w:lang w:val="sl-SI"/>
        </w:rPr>
      </w:pPr>
      <w:r w:rsidRPr="00442423">
        <w:rPr>
          <w:rStyle w:val="Sprotnaopomba-sklic"/>
          <w:rFonts w:ascii="Arial" w:eastAsiaTheme="majorEastAsia" w:hAnsi="Arial" w:cs="Arial"/>
          <w:sz w:val="16"/>
          <w:szCs w:val="16"/>
          <w:lang w:val="sl-SI"/>
        </w:rPr>
        <w:footnoteRef/>
      </w:r>
      <w:r w:rsidRPr="00442423">
        <w:rPr>
          <w:rFonts w:ascii="Arial" w:hAnsi="Arial" w:cs="Arial"/>
          <w:sz w:val="16"/>
          <w:szCs w:val="16"/>
          <w:lang w:val="sl-SI"/>
        </w:rPr>
        <w:t xml:space="preserve"> </w:t>
      </w:r>
      <w:r w:rsidRPr="00442423">
        <w:rPr>
          <w:rFonts w:ascii="Arial" w:eastAsiaTheme="minorHAnsi" w:hAnsi="Arial" w:cs="Arial"/>
          <w:color w:val="000000"/>
          <w:sz w:val="16"/>
          <w:szCs w:val="16"/>
          <w:lang w:val="sl-SI"/>
        </w:rPr>
        <w:t>MF-CA zagotoviti likvidnostna sredstva na podračunu MF-CA.  V kolikor MF-CA v tem obdobju ne more zagotoviti likvidnostnih sredstev za nakazilo sredstev ESI skladov upravljavcu sklada skladov v višini napovedi, se nakazilo izvede do višine, ki jo omogoča stanje sredstev na podračunu MF-CA, preostanek  pa se nakaže takoj, ko bo stanje na podračunu MF-CA to omogočilo.</w:t>
      </w:r>
    </w:p>
  </w:footnote>
  <w:footnote w:id="22">
    <w:p w14:paraId="0061E831" w14:textId="77777777" w:rsidR="00C3736E" w:rsidRPr="00442423" w:rsidRDefault="00C3736E" w:rsidP="004912DC">
      <w:pPr>
        <w:pStyle w:val="Sprotnaopomba-besedilo"/>
        <w:jc w:val="both"/>
        <w:rPr>
          <w:rFonts w:ascii="Arial" w:hAnsi="Arial" w:cs="Arial"/>
          <w:sz w:val="16"/>
          <w:szCs w:val="16"/>
          <w:lang w:val="sl-SI"/>
        </w:rPr>
      </w:pPr>
      <w:r w:rsidRPr="00442423">
        <w:rPr>
          <w:rStyle w:val="Sprotnaopomba-sklic"/>
          <w:rFonts w:ascii="Arial" w:eastAsiaTheme="majorEastAsia" w:hAnsi="Arial" w:cs="Arial"/>
          <w:sz w:val="16"/>
          <w:szCs w:val="16"/>
          <w:lang w:val="sl-SI"/>
        </w:rPr>
        <w:footnoteRef/>
      </w:r>
      <w:r w:rsidRPr="00442423">
        <w:rPr>
          <w:rFonts w:ascii="Arial" w:hAnsi="Arial" w:cs="Arial"/>
          <w:sz w:val="16"/>
          <w:szCs w:val="16"/>
          <w:lang w:val="sl-SI"/>
        </w:rPr>
        <w:t xml:space="preserve"> Nacionalno udeležbo pri FI zagotavljamo na nivoju sklada skladov in/ali finančnih posrednikov, minimalna višina je opredeljena pri učinku finančnega vzvoda.</w:t>
      </w:r>
    </w:p>
  </w:footnote>
  <w:footnote w:id="23">
    <w:p w14:paraId="47154C29" w14:textId="77777777" w:rsidR="00C3736E" w:rsidRPr="00442423" w:rsidRDefault="00C3736E" w:rsidP="004912DC">
      <w:pPr>
        <w:pStyle w:val="Sprotnaopomba-besedilo"/>
        <w:jc w:val="both"/>
        <w:rPr>
          <w:rFonts w:ascii="Arial" w:hAnsi="Arial" w:cs="Arial"/>
          <w:sz w:val="16"/>
          <w:szCs w:val="16"/>
          <w:lang w:val="sl-SI"/>
        </w:rPr>
      </w:pPr>
      <w:r w:rsidRPr="00442423">
        <w:rPr>
          <w:rStyle w:val="Sprotnaopomba-sklic"/>
          <w:rFonts w:ascii="Arial" w:eastAsiaTheme="majorEastAsia" w:hAnsi="Arial" w:cs="Arial"/>
          <w:sz w:val="16"/>
          <w:szCs w:val="16"/>
          <w:lang w:val="sl-SI"/>
        </w:rPr>
        <w:footnoteRef/>
      </w:r>
      <w:r w:rsidRPr="00442423">
        <w:rPr>
          <w:rFonts w:ascii="Arial" w:hAnsi="Arial" w:cs="Arial"/>
          <w:sz w:val="16"/>
          <w:szCs w:val="16"/>
          <w:lang w:val="sl-SI"/>
        </w:rPr>
        <w:t xml:space="preserve"> Npr. r</w:t>
      </w:r>
      <w:r w:rsidRPr="00442423">
        <w:rPr>
          <w:rFonts w:ascii="Arial" w:eastAsiaTheme="minorHAnsi" w:hAnsi="Arial" w:cs="Arial"/>
          <w:color w:val="000000"/>
          <w:sz w:val="16"/>
          <w:szCs w:val="16"/>
          <w:lang w:val="sl-SI"/>
        </w:rPr>
        <w:t>očnost kreditov za financiranje v energetsko učinkovitost ne sme biti krajša od 10 let in ne daljša od 25 let.</w:t>
      </w:r>
    </w:p>
  </w:footnote>
  <w:footnote w:id="24">
    <w:p w14:paraId="171788C1" w14:textId="77777777" w:rsidR="00C3736E" w:rsidRPr="00442423" w:rsidRDefault="00C3736E" w:rsidP="004912DC">
      <w:pPr>
        <w:pStyle w:val="Sprotnaopomba-besedilo"/>
        <w:rPr>
          <w:rFonts w:ascii="Arial" w:hAnsi="Arial" w:cs="Arial"/>
          <w:sz w:val="16"/>
          <w:szCs w:val="16"/>
          <w:lang w:val="sl-SI"/>
        </w:rPr>
      </w:pPr>
      <w:r w:rsidRPr="00442423">
        <w:rPr>
          <w:rStyle w:val="Sprotnaopomba-sklic"/>
          <w:rFonts w:ascii="Arial" w:eastAsiaTheme="majorEastAsia" w:hAnsi="Arial" w:cs="Arial"/>
          <w:sz w:val="16"/>
          <w:szCs w:val="16"/>
          <w:lang w:val="sl-SI"/>
        </w:rPr>
        <w:footnoteRef/>
      </w:r>
      <w:r w:rsidRPr="00442423">
        <w:rPr>
          <w:rFonts w:ascii="Arial" w:hAnsi="Arial" w:cs="Arial"/>
          <w:sz w:val="16"/>
          <w:szCs w:val="16"/>
          <w:lang w:val="sl-SI"/>
        </w:rPr>
        <w:t xml:space="preserve"> Evropski parlament (2013) Instrumenti Finančnega Inženiringa v kohezijski politiki.  </w:t>
      </w:r>
    </w:p>
  </w:footnote>
  <w:footnote w:id="25">
    <w:p w14:paraId="7CE61D64" w14:textId="77777777" w:rsidR="00C3736E" w:rsidRPr="00442423" w:rsidRDefault="00C3736E" w:rsidP="004912DC">
      <w:pPr>
        <w:pStyle w:val="Sprotnaopomba-besedilo"/>
        <w:jc w:val="both"/>
        <w:rPr>
          <w:rFonts w:ascii="Arial" w:hAnsi="Arial" w:cs="Arial"/>
          <w:sz w:val="16"/>
          <w:szCs w:val="16"/>
          <w:lang w:val="sl-SI"/>
        </w:rPr>
      </w:pPr>
      <w:r w:rsidRPr="00442423">
        <w:rPr>
          <w:rStyle w:val="Sprotnaopomba-sklic"/>
          <w:rFonts w:ascii="Arial" w:eastAsiaTheme="majorEastAsia" w:hAnsi="Arial" w:cs="Arial"/>
          <w:sz w:val="16"/>
          <w:szCs w:val="16"/>
          <w:lang w:val="sl-SI"/>
        </w:rPr>
        <w:footnoteRef/>
      </w:r>
      <w:r w:rsidRPr="00442423">
        <w:rPr>
          <w:rFonts w:ascii="Arial" w:hAnsi="Arial" w:cs="Arial"/>
          <w:sz w:val="16"/>
          <w:szCs w:val="16"/>
          <w:lang w:val="sl-SI"/>
        </w:rPr>
        <w:t xml:space="preserve"> Po Predhodni oceni finančnih instrumentov v Sloveniji, PwC 2015, so za področje energetske učinkovitosti predvideni vsi našteti finančni produkti. Za samo izvajanje energetskih prenov javnih stavb po EPC modelu (energy performance contracting) se primarno predvideva uporaba finančnega produkta posojil, uporaba ostalih dveh finančnih produktov pa ob upoštevanju omejitev glede javnofinančne stabilnosti.</w:t>
      </w:r>
    </w:p>
  </w:footnote>
  <w:footnote w:id="26">
    <w:p w14:paraId="230277E5" w14:textId="77777777" w:rsidR="00C3736E" w:rsidRPr="00442423" w:rsidRDefault="00C3736E" w:rsidP="004912DC">
      <w:pPr>
        <w:pStyle w:val="Sprotnaopomba-besedilo"/>
        <w:jc w:val="both"/>
        <w:rPr>
          <w:rFonts w:ascii="Arial" w:hAnsi="Arial" w:cs="Arial"/>
          <w:sz w:val="16"/>
          <w:szCs w:val="16"/>
          <w:lang w:val="sl-SI"/>
        </w:rPr>
      </w:pPr>
      <w:r w:rsidRPr="00442423">
        <w:rPr>
          <w:rStyle w:val="Sprotnaopomba-sklic"/>
          <w:rFonts w:ascii="Arial" w:eastAsiaTheme="majorEastAsia" w:hAnsi="Arial" w:cs="Arial"/>
          <w:sz w:val="16"/>
          <w:szCs w:val="16"/>
          <w:lang w:val="sl-SI"/>
        </w:rPr>
        <w:footnoteRef/>
      </w:r>
      <w:r w:rsidRPr="00442423">
        <w:rPr>
          <w:rFonts w:ascii="Arial" w:hAnsi="Arial" w:cs="Arial"/>
          <w:sz w:val="16"/>
          <w:szCs w:val="16"/>
          <w:lang w:val="sl-SI"/>
        </w:rPr>
        <w:t xml:space="preserve"> Po Predhodni oceni finančnih instrumentov v Sloveniji, PwC 2015, so za področje energetske učinkovitosti predvideni vsi našteti finančni produkti. Za samo izvajanje energetskih prenov javnih stavb po EPC modelu (energy performance contracting) se primarno predvideva uporaba finančnega produkta posojil, uporaba ostalih dveh finančnih produktov pa ob upoštevanju omejitev glede javnofinančne stabilnosti.</w:t>
      </w:r>
    </w:p>
  </w:footnote>
  <w:footnote w:id="27">
    <w:p w14:paraId="30BE5BB1" w14:textId="77777777" w:rsidR="00C3736E" w:rsidRPr="00442423" w:rsidRDefault="00C3736E" w:rsidP="004912DC">
      <w:pPr>
        <w:pStyle w:val="Sprotnaopomba-besedilo"/>
        <w:rPr>
          <w:rFonts w:ascii="Arial" w:hAnsi="Arial" w:cs="Arial"/>
          <w:sz w:val="16"/>
          <w:szCs w:val="16"/>
          <w:lang w:val="sl-SI"/>
        </w:rPr>
      </w:pPr>
      <w:r w:rsidRPr="00442423">
        <w:rPr>
          <w:rStyle w:val="Sprotnaopomba-sklic"/>
          <w:rFonts w:ascii="Arial" w:eastAsiaTheme="majorEastAsia" w:hAnsi="Arial" w:cs="Arial"/>
          <w:sz w:val="16"/>
          <w:szCs w:val="16"/>
          <w:lang w:val="sl-SI"/>
        </w:rPr>
        <w:footnoteRef/>
      </w:r>
      <w:r w:rsidRPr="00442423">
        <w:rPr>
          <w:rFonts w:ascii="Arial" w:hAnsi="Arial" w:cs="Arial"/>
          <w:sz w:val="16"/>
          <w:szCs w:val="16"/>
          <w:lang w:val="sl-SI"/>
        </w:rPr>
        <w:t xml:space="preserve"> WK 2122/2017 INIT Working paper</w:t>
      </w:r>
    </w:p>
  </w:footnote>
  <w:footnote w:id="28">
    <w:p w14:paraId="11D0646E" w14:textId="77777777" w:rsidR="00C3736E" w:rsidRPr="00442423" w:rsidRDefault="00C3736E" w:rsidP="004912DC">
      <w:pPr>
        <w:pStyle w:val="Sprotnaopomba-besedilo"/>
        <w:rPr>
          <w:rFonts w:ascii="Arial" w:hAnsi="Arial" w:cs="Arial"/>
          <w:sz w:val="16"/>
          <w:szCs w:val="16"/>
          <w:lang w:val="sl-SI"/>
        </w:rPr>
      </w:pPr>
      <w:r w:rsidRPr="00442423">
        <w:rPr>
          <w:rStyle w:val="Sprotnaopomba-sklic"/>
          <w:rFonts w:ascii="Arial" w:eastAsiaTheme="majorEastAsia" w:hAnsi="Arial" w:cs="Arial"/>
          <w:sz w:val="16"/>
          <w:szCs w:val="16"/>
          <w:lang w:val="sl-SI"/>
        </w:rPr>
        <w:footnoteRef/>
      </w:r>
      <w:r w:rsidRPr="00442423">
        <w:rPr>
          <w:rFonts w:ascii="Arial" w:hAnsi="Arial" w:cs="Arial"/>
          <w:sz w:val="16"/>
          <w:szCs w:val="16"/>
          <w:lang w:val="sl-SI"/>
        </w:rPr>
        <w:t xml:space="preserve"> Zakon o Slovenski izvozni in razvojni banki, Uradni list RS, št. 56/08, 20/09, 25/15 – ZBan-2</w:t>
      </w:r>
    </w:p>
  </w:footnote>
  <w:footnote w:id="29">
    <w:p w14:paraId="02A97C3F" w14:textId="77777777" w:rsidR="00C3736E" w:rsidRPr="00442423" w:rsidRDefault="00C3736E" w:rsidP="004912DC">
      <w:pPr>
        <w:pStyle w:val="Sprotnaopomba-besedilo"/>
        <w:rPr>
          <w:rFonts w:ascii="Arial" w:hAnsi="Arial" w:cs="Arial"/>
          <w:sz w:val="16"/>
          <w:szCs w:val="16"/>
          <w:lang w:val="sl-SI"/>
        </w:rPr>
      </w:pPr>
      <w:r w:rsidRPr="00442423">
        <w:rPr>
          <w:rStyle w:val="Sprotnaopomba-sklic"/>
          <w:rFonts w:ascii="Arial" w:eastAsiaTheme="majorEastAsia" w:hAnsi="Arial" w:cs="Arial"/>
          <w:sz w:val="16"/>
          <w:szCs w:val="16"/>
          <w:lang w:val="sl-SI"/>
        </w:rPr>
        <w:footnoteRef/>
      </w:r>
      <w:r w:rsidRPr="00442423">
        <w:rPr>
          <w:rFonts w:ascii="Arial" w:hAnsi="Arial" w:cs="Arial"/>
          <w:sz w:val="16"/>
          <w:szCs w:val="16"/>
          <w:lang w:val="sl-SI"/>
        </w:rPr>
        <w:t xml:space="preserve"> Statut SID – Slovenske izvozne in razvojne banke, d.d., Ljubljana, Ljubljana, 6.7.2016</w:t>
      </w:r>
    </w:p>
  </w:footnote>
  <w:footnote w:id="30">
    <w:p w14:paraId="3B103DC6" w14:textId="77777777" w:rsidR="00C3736E" w:rsidRPr="00442423" w:rsidRDefault="00C3736E" w:rsidP="004912DC">
      <w:pPr>
        <w:pStyle w:val="Sprotnaopomba-besedilo"/>
        <w:jc w:val="both"/>
        <w:rPr>
          <w:rFonts w:ascii="Arial" w:hAnsi="Arial" w:cs="Arial"/>
          <w:sz w:val="16"/>
          <w:szCs w:val="16"/>
          <w:lang w:val="sl-SI"/>
        </w:rPr>
      </w:pPr>
      <w:r w:rsidRPr="00442423">
        <w:rPr>
          <w:rStyle w:val="Sprotnaopomba-sklic"/>
          <w:rFonts w:ascii="Arial" w:eastAsiaTheme="majorEastAsia" w:hAnsi="Arial" w:cs="Arial"/>
          <w:sz w:val="16"/>
          <w:szCs w:val="16"/>
          <w:lang w:val="sl-SI"/>
        </w:rPr>
        <w:footnoteRef/>
      </w:r>
      <w:r w:rsidRPr="00442423">
        <w:rPr>
          <w:rFonts w:ascii="Arial" w:hAnsi="Arial" w:cs="Arial"/>
          <w:sz w:val="16"/>
          <w:szCs w:val="16"/>
          <w:lang w:val="sl-SI"/>
        </w:rPr>
        <w:t xml:space="preserve"> Zakon o zavarovanju in financiranju mednarodnih gospodarskih poslov (Uradni list RS, št. 2/04, 56/08 – ZSIRB in 82/15)</w:t>
      </w:r>
    </w:p>
  </w:footnote>
  <w:footnote w:id="31">
    <w:p w14:paraId="791EBA4F" w14:textId="77777777" w:rsidR="00C3736E" w:rsidRPr="00442423" w:rsidRDefault="00C3736E" w:rsidP="004912DC">
      <w:pPr>
        <w:pStyle w:val="Sprotnaopomba-besedilo"/>
        <w:rPr>
          <w:rFonts w:ascii="Arial" w:hAnsi="Arial" w:cs="Arial"/>
          <w:sz w:val="16"/>
          <w:szCs w:val="16"/>
          <w:lang w:val="sl-SI" w:eastAsia="sl-SI"/>
        </w:rPr>
      </w:pPr>
      <w:r w:rsidRPr="00442423">
        <w:rPr>
          <w:rFonts w:ascii="Arial" w:hAnsi="Arial" w:cs="Arial"/>
          <w:sz w:val="16"/>
          <w:szCs w:val="16"/>
          <w:vertAlign w:val="superscript"/>
          <w:lang w:val="sl-SI" w:eastAsia="sl-SI"/>
        </w:rPr>
        <w:footnoteRef/>
      </w:r>
      <w:r w:rsidRPr="00442423">
        <w:rPr>
          <w:rFonts w:ascii="Arial" w:hAnsi="Arial" w:cs="Arial"/>
          <w:sz w:val="16"/>
          <w:szCs w:val="16"/>
          <w:lang w:val="sl-SI" w:eastAsia="sl-SI"/>
        </w:rPr>
        <w:t xml:space="preserve"> Zakon o Vladi Republike Slovenije v 8. členu določa, katera so resorna ministrstva.</w:t>
      </w:r>
    </w:p>
  </w:footnote>
  <w:footnote w:id="32">
    <w:p w14:paraId="2ADE5054" w14:textId="77777777" w:rsidR="00C3736E" w:rsidRPr="00442423" w:rsidRDefault="00C3736E" w:rsidP="004912DC">
      <w:pPr>
        <w:pStyle w:val="odstavek1"/>
        <w:spacing w:before="0"/>
        <w:ind w:firstLine="0"/>
        <w:rPr>
          <w:sz w:val="16"/>
          <w:szCs w:val="16"/>
        </w:rPr>
      </w:pPr>
      <w:r w:rsidRPr="00442423">
        <w:rPr>
          <w:rStyle w:val="Sprotnaopomba-sklic"/>
          <w:rFonts w:eastAsiaTheme="majorEastAsia"/>
          <w:sz w:val="16"/>
          <w:szCs w:val="16"/>
        </w:rPr>
        <w:footnoteRef/>
      </w:r>
      <w:r w:rsidRPr="00442423">
        <w:rPr>
          <w:sz w:val="16"/>
          <w:szCs w:val="16"/>
        </w:rPr>
        <w:t xml:space="preserve"> V 30. členu Zakona o državni upravi so določene naloge MGRT: »Ministrstvo za gospodarski razvoj in tehnologijo opravlja naloge na področjih ekonomskega sistema in razvoja, notranjega trga, tehnične zakonodaje in meril, varstva potrošnikov, varstva konkurence, ekonomskih odnosov s tujino, razvoja podjetniškega sektorja in konkurenčnosti, socialnega podjetništva, intelektualne lastnine, drobnega gospodarstva in turizma, industrijskih projektov, pokopališke in pogrebne dejavnosti, naloge na področju regionalnega razvoja ter naloge na področju tehnologije, meroslovja in pošte.«</w:t>
      </w:r>
    </w:p>
    <w:p w14:paraId="2DBC6216" w14:textId="77777777" w:rsidR="00C3736E" w:rsidRPr="00442423" w:rsidRDefault="00C3736E" w:rsidP="004912DC">
      <w:pPr>
        <w:pStyle w:val="Sprotnaopomba-besedilo"/>
        <w:rPr>
          <w:rFonts w:ascii="Arial" w:hAnsi="Arial" w:cs="Arial"/>
          <w:sz w:val="16"/>
          <w:szCs w:val="16"/>
          <w:lang w:val="sl-SI"/>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6F7B9" w14:textId="77777777" w:rsidR="00C3736E" w:rsidRPr="00110CBD" w:rsidRDefault="00C3736E" w:rsidP="00133AD7">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AF860" w14:textId="77777777" w:rsidR="00C3736E" w:rsidRPr="008F3500" w:rsidRDefault="00C3736E" w:rsidP="00133AD7">
    <w:pPr>
      <w:autoSpaceDE w:val="0"/>
      <w:autoSpaceDN w:val="0"/>
      <w:adjustRightInd w:val="0"/>
      <w:spacing w:line="240" w:lineRule="auto"/>
      <w:rPr>
        <w:rFonts w:ascii="Republika" w:hAnsi="Republika"/>
      </w:rPr>
    </w:pPr>
    <w:r>
      <w:rPr>
        <w:rFonts w:ascii="Republika" w:hAnsi="Republika"/>
        <w:noProof/>
        <w:sz w:val="60"/>
        <w:szCs w:val="60"/>
        <w:lang w:eastAsia="sl-SI"/>
      </w:rPr>
      <w:drawing>
        <wp:anchor distT="0" distB="0" distL="114300" distR="114300" simplePos="0" relativeHeight="251659264" behindDoc="0" locked="0" layoutInCell="1" allowOverlap="1" wp14:anchorId="0E0CA02E" wp14:editId="1569B21F">
          <wp:simplePos x="0" y="0"/>
          <wp:positionH relativeFrom="column">
            <wp:posOffset>-470535</wp:posOffset>
          </wp:positionH>
          <wp:positionV relativeFrom="paragraph">
            <wp:posOffset>6985</wp:posOffset>
          </wp:positionV>
          <wp:extent cx="309880" cy="349885"/>
          <wp:effectExtent l="0" t="0" r="0" b="0"/>
          <wp:wrapSquare wrapText="bothSides"/>
          <wp:docPr id="8" name="Slika 8" descr="Opis: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880" cy="349885"/>
                  </a:xfrm>
                  <a:prstGeom prst="rect">
                    <a:avLst/>
                  </a:prstGeom>
                  <a:noFill/>
                  <a:ln>
                    <a:noFill/>
                  </a:ln>
                </pic:spPr>
              </pic:pic>
            </a:graphicData>
          </a:graphic>
        </wp:anchor>
      </w:drawing>
    </w:r>
    <w:r>
      <w:rPr>
        <w:noProof/>
        <w:lang w:eastAsia="sl-SI"/>
      </w:rPr>
      <mc:AlternateContent>
        <mc:Choice Requires="wps">
          <w:drawing>
            <wp:anchor distT="4294967294" distB="4294967294" distL="114300" distR="114300" simplePos="0" relativeHeight="251660288" behindDoc="1" locked="0" layoutInCell="0" allowOverlap="1" wp14:anchorId="12E30596" wp14:editId="2A5A196B">
              <wp:simplePos x="0" y="0"/>
              <wp:positionH relativeFrom="column">
                <wp:posOffset>-431800</wp:posOffset>
              </wp:positionH>
              <wp:positionV relativeFrom="page">
                <wp:posOffset>3600449</wp:posOffset>
              </wp:positionV>
              <wp:extent cx="252095" cy="0"/>
              <wp:effectExtent l="0" t="0" r="14605" b="0"/>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7DE3CE" id="Line 11"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" o:allowincell="f" strokecolor="#428299" strokeweight=".5pt">
              <w10:wrap anchory="page"/>
            </v:line>
          </w:pict>
        </mc:Fallback>
      </mc:AlternateContent>
    </w:r>
    <w:r w:rsidRPr="008F3500">
      <w:rPr>
        <w:rFonts w:ascii="Republika" w:hAnsi="Republika"/>
      </w:rPr>
      <w:t>REPUBLIKA SLOVENIJA</w:t>
    </w:r>
  </w:p>
  <w:p w14:paraId="0C575E88" w14:textId="77777777" w:rsidR="00C3736E" w:rsidRPr="00B31792" w:rsidRDefault="00C3736E" w:rsidP="00B31792">
    <w:pPr>
      <w:spacing w:line="260" w:lineRule="exact"/>
      <w:outlineLvl w:val="0"/>
      <w:rPr>
        <w:rFonts w:cs="Arial"/>
        <w:b/>
        <w:szCs w:val="20"/>
      </w:rPr>
    </w:pPr>
    <w:r>
      <w:rPr>
        <w:rFonts w:ascii="Republika" w:hAnsi="Republika"/>
        <w:b/>
        <w:caps/>
      </w:rPr>
      <w:t>Ministrstvo za gospodarski razvoj in tehnologijo</w:t>
    </w:r>
    <w:r>
      <w:rPr>
        <w:rFonts w:ascii="Republika" w:hAnsi="Republika"/>
        <w:b/>
        <w:caps/>
      </w:rPr>
      <w:tab/>
    </w:r>
    <w:r>
      <w:rPr>
        <w:rFonts w:ascii="Republika" w:hAnsi="Republika"/>
        <w:b/>
        <w:caps/>
      </w:rPr>
      <w:tab/>
    </w:r>
    <w:r>
      <w:rPr>
        <w:rFonts w:ascii="Republika" w:hAnsi="Republika"/>
        <w:b/>
        <w:caps/>
      </w:rPr>
      <w:tab/>
    </w:r>
    <w:r>
      <w:rPr>
        <w:rFonts w:cs="Arial"/>
        <w:b/>
        <w:szCs w:val="20"/>
      </w:rPr>
      <w:t>ČISTOPIS</w:t>
    </w:r>
  </w:p>
  <w:p w14:paraId="0ED25137" w14:textId="77777777" w:rsidR="00C3736E" w:rsidRDefault="00C3736E" w:rsidP="00133AD7">
    <w:pPr>
      <w:pStyle w:val="Glava"/>
      <w:tabs>
        <w:tab w:val="clear" w:pos="4320"/>
        <w:tab w:val="clear" w:pos="8640"/>
        <w:tab w:val="left" w:pos="5112"/>
      </w:tabs>
      <w:spacing w:before="240" w:line="240" w:lineRule="exact"/>
      <w:rPr>
        <w:rFonts w:cs="Arial"/>
        <w:sz w:val="16"/>
      </w:rPr>
    </w:pPr>
  </w:p>
  <w:p w14:paraId="35825B3C" w14:textId="77777777" w:rsidR="00C3736E" w:rsidRPr="008F3500" w:rsidRDefault="00C3736E" w:rsidP="00133AD7">
    <w:pPr>
      <w:pStyle w:val="Glava"/>
      <w:tabs>
        <w:tab w:val="clear" w:pos="4320"/>
        <w:tab w:val="clear" w:pos="8640"/>
        <w:tab w:val="left" w:pos="5112"/>
      </w:tabs>
      <w:spacing w:before="240" w:line="240" w:lineRule="exact"/>
      <w:rPr>
        <w:rFonts w:cs="Arial"/>
        <w:sz w:val="16"/>
      </w:rPr>
    </w:pPr>
    <w:r>
      <w:rPr>
        <w:rFonts w:cs="Arial"/>
        <w:sz w:val="16"/>
      </w:rPr>
      <w:t>Kotnikova ulica 5</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01 400 36 00, 01 400 33 11</w:t>
    </w:r>
  </w:p>
  <w:p w14:paraId="64F2E5BC" w14:textId="77777777" w:rsidR="00C3736E" w:rsidRPr="008F3500" w:rsidRDefault="00C3736E" w:rsidP="00133AD7">
    <w:pPr>
      <w:pStyle w:val="Glava"/>
      <w:tabs>
        <w:tab w:val="clear" w:pos="4320"/>
        <w:tab w:val="clear" w:pos="8640"/>
        <w:tab w:val="left" w:pos="5112"/>
      </w:tabs>
      <w:spacing w:line="240" w:lineRule="exact"/>
      <w:rPr>
        <w:rFonts w:cs="Arial"/>
        <w:sz w:val="16"/>
      </w:rPr>
    </w:pPr>
    <w:r w:rsidRPr="008F3500">
      <w:rPr>
        <w:rFonts w:cs="Arial"/>
        <w:sz w:val="16"/>
      </w:rPr>
      <w:tab/>
      <w:t xml:space="preserve">E: </w:t>
    </w:r>
    <w:hyperlink r:id="rId2" w:history="1">
      <w:r w:rsidRPr="009403F0">
        <w:rPr>
          <w:rStyle w:val="Hiperpovezava"/>
          <w:sz w:val="16"/>
        </w:rPr>
        <w:t>gp.mgrt@gov.si</w:t>
      </w:r>
    </w:hyperlink>
    <w:r>
      <w:rPr>
        <w:rFonts w:cs="Arial"/>
        <w:sz w:val="16"/>
      </w:rPr>
      <w:t xml:space="preserve"> </w:t>
    </w:r>
  </w:p>
  <w:p w14:paraId="55644E70" w14:textId="77777777" w:rsidR="00C3736E" w:rsidRPr="008F3500" w:rsidRDefault="00C3736E" w:rsidP="00133AD7">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 xml:space="preserve">W: </w:t>
    </w:r>
    <w:hyperlink r:id="rId3" w:history="1">
      <w:r w:rsidRPr="00273BC2">
        <w:rPr>
          <w:rStyle w:val="Hiperpovezava"/>
          <w:sz w:val="16"/>
        </w:rPr>
        <w:t>www.gov.si</w:t>
      </w:r>
    </w:hyperlink>
    <w:r>
      <w:rPr>
        <w:rFonts w:cs="Arial"/>
        <w:sz w:val="16"/>
      </w:rPr>
      <w:t xml:space="preserve"> </w:t>
    </w:r>
  </w:p>
  <w:p w14:paraId="0422032C" w14:textId="77777777" w:rsidR="00C3736E" w:rsidRPr="008F3500" w:rsidRDefault="00C3736E" w:rsidP="00133AD7">
    <w:pPr>
      <w:pStyle w:val="Glava"/>
      <w:tabs>
        <w:tab w:val="clear" w:pos="4320"/>
        <w:tab w:val="clear" w:pos="8640"/>
        <w:tab w:val="left" w:pos="5112"/>
      </w:tabs>
      <w:spacing w:line="240" w:lineRule="exact"/>
      <w:rPr>
        <w:rFonts w:cs="Arial"/>
        <w:sz w:val="16"/>
      </w:rPr>
    </w:pPr>
  </w:p>
  <w:p w14:paraId="27E0525A" w14:textId="77777777" w:rsidR="00C3736E" w:rsidRPr="00B31792" w:rsidRDefault="00C3736E" w:rsidP="00B31792">
    <w:pPr>
      <w:pStyle w:val="Glava"/>
      <w:tabs>
        <w:tab w:val="clear" w:pos="4320"/>
        <w:tab w:val="clear" w:pos="8640"/>
        <w:tab w:val="left" w:pos="5112"/>
      </w:tabs>
      <w:spacing w:line="240" w:lineRule="exact"/>
      <w:rPr>
        <w:rFonts w:cs="Arial"/>
        <w:sz w:val="16"/>
      </w:rPr>
    </w:pPr>
    <w:r w:rsidRPr="008F3500">
      <w:rPr>
        <w:rFonts w:cs="Arial"/>
        <w:sz w:val="16"/>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BA8FB" w14:textId="77777777" w:rsidR="00C3736E" w:rsidRPr="004D434D" w:rsidRDefault="00C3736E" w:rsidP="00906890">
    <w:pPr>
      <w:pStyle w:val="Glava"/>
    </w:pPr>
    <w:r w:rsidRPr="004D434D">
      <w:t xml:space="preserve">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D42BB" w14:textId="77777777" w:rsidR="00C3736E" w:rsidRPr="005A552B" w:rsidRDefault="00C3736E" w:rsidP="00906890">
    <w:pPr>
      <w:autoSpaceDE w:val="0"/>
      <w:autoSpaceDN w:val="0"/>
      <w:adjustRightInd w:val="0"/>
      <w:rPr>
        <w:rFonts w:ascii="Republika" w:hAnsi="Republika"/>
        <w:lang w:val="it-IT"/>
      </w:rPr>
    </w:pPr>
    <w:r>
      <w:rPr>
        <w:noProof/>
        <w:lang w:eastAsia="sl-SI"/>
      </w:rPr>
      <w:drawing>
        <wp:anchor distT="0" distB="0" distL="114300" distR="114300" simplePos="0" relativeHeight="251664384" behindDoc="0" locked="0" layoutInCell="1" allowOverlap="1" wp14:anchorId="0084B00C" wp14:editId="7D626C3C">
          <wp:simplePos x="0" y="0"/>
          <wp:positionH relativeFrom="leftMargin">
            <wp:posOffset>647293</wp:posOffset>
          </wp:positionH>
          <wp:positionV relativeFrom="page">
            <wp:posOffset>796290</wp:posOffset>
          </wp:positionV>
          <wp:extent cx="381635" cy="393700"/>
          <wp:effectExtent l="0" t="0" r="0" b="6350"/>
          <wp:wrapThrough wrapText="bothSides">
            <wp:wrapPolygon edited="0">
              <wp:start x="0" y="0"/>
              <wp:lineTo x="0" y="20903"/>
              <wp:lineTo x="20486" y="20903"/>
              <wp:lineTo x="20486" y="0"/>
              <wp:lineTo x="0" y="0"/>
            </wp:wrapPolygon>
          </wp:wrapThrough>
          <wp:docPr id="10" name="Slika 10"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a:ln>
                    <a:noFill/>
                  </a:ln>
                </pic:spPr>
              </pic:pic>
            </a:graphicData>
          </a:graphic>
        </wp:anchor>
      </w:drawing>
    </w:r>
    <w:r w:rsidRPr="005A552B">
      <w:rPr>
        <w:rFonts w:ascii="Republika" w:hAnsi="Republika"/>
        <w:lang w:val="it-IT"/>
      </w:rPr>
      <w:t>REPUBLIKA SLOVENIJA</w:t>
    </w:r>
  </w:p>
  <w:p w14:paraId="11C5E4F1" w14:textId="77777777" w:rsidR="00C3736E" w:rsidRPr="005A552B" w:rsidRDefault="00C3736E" w:rsidP="00906890">
    <w:pPr>
      <w:pStyle w:val="Glava"/>
      <w:tabs>
        <w:tab w:val="left" w:pos="5112"/>
      </w:tabs>
      <w:spacing w:after="120" w:line="240" w:lineRule="exact"/>
      <w:rPr>
        <w:rFonts w:ascii="Republika" w:hAnsi="Republika"/>
        <w:b/>
        <w:caps/>
        <w:lang w:val="it-IT"/>
      </w:rPr>
    </w:pPr>
    <w:r w:rsidRPr="005A552B">
      <w:rPr>
        <w:rFonts w:ascii="Republika" w:hAnsi="Republika"/>
        <w:b/>
        <w:caps/>
        <w:lang w:val="it-IT"/>
      </w:rPr>
      <w:t>Ministrstvo za GOSPODARSKI RAZVOJ IN TEHNOLOGIJO</w:t>
    </w:r>
  </w:p>
  <w:p w14:paraId="6FEC9F54" w14:textId="77777777" w:rsidR="00C3736E" w:rsidRPr="005A552B" w:rsidRDefault="00C3736E" w:rsidP="00906890">
    <w:pPr>
      <w:pStyle w:val="Glava"/>
      <w:tabs>
        <w:tab w:val="left" w:pos="5112"/>
      </w:tabs>
      <w:spacing w:after="120" w:line="240" w:lineRule="exact"/>
      <w:rPr>
        <w:rFonts w:ascii="Republika" w:hAnsi="Republika"/>
        <w:b/>
        <w:caps/>
        <w:lang w:val="it-IT"/>
      </w:rPr>
    </w:pPr>
    <w:r w:rsidRPr="005A552B">
      <w:rPr>
        <w:rFonts w:ascii="Republika" w:hAnsi="Republika"/>
        <w:lang w:val="it-IT"/>
      </w:rPr>
      <w:t xml:space="preserve"> </w:t>
    </w:r>
  </w:p>
  <w:p w14:paraId="63A9590B" w14:textId="77777777" w:rsidR="00C3736E" w:rsidRPr="002F63AC" w:rsidRDefault="00C3736E" w:rsidP="00906890">
    <w:pPr>
      <w:pStyle w:val="Glava"/>
      <w:tabs>
        <w:tab w:val="left" w:pos="5112"/>
      </w:tabs>
      <w:spacing w:before="240" w:line="240" w:lineRule="exact"/>
      <w:rPr>
        <w:sz w:val="16"/>
        <w:lang w:val="de-DE"/>
      </w:rPr>
    </w:pPr>
    <w:r w:rsidRPr="002F63AC">
      <w:rPr>
        <w:sz w:val="16"/>
        <w:lang w:val="de-DE"/>
      </w:rPr>
      <w:t>Kotnikova 5, 1000 Ljubljana</w:t>
    </w:r>
    <w:r w:rsidRPr="002F63AC">
      <w:rPr>
        <w:sz w:val="16"/>
        <w:lang w:val="de-DE"/>
      </w:rPr>
      <w:tab/>
      <w:t xml:space="preserve">  </w:t>
    </w:r>
    <w:r w:rsidRPr="002F63AC">
      <w:rPr>
        <w:sz w:val="16"/>
        <w:lang w:val="de-DE"/>
      </w:rPr>
      <w:tab/>
      <w:t>T: 01 400 36 00, 400 36 21</w:t>
    </w:r>
  </w:p>
  <w:p w14:paraId="72C9DAD4" w14:textId="77777777" w:rsidR="00C3736E" w:rsidRPr="002F63AC" w:rsidRDefault="00C3736E" w:rsidP="00906890">
    <w:pPr>
      <w:pStyle w:val="Glava"/>
      <w:tabs>
        <w:tab w:val="left" w:pos="5112"/>
      </w:tabs>
      <w:spacing w:line="240" w:lineRule="exact"/>
      <w:rPr>
        <w:sz w:val="16"/>
        <w:lang w:val="de-DE"/>
      </w:rPr>
    </w:pPr>
    <w:r w:rsidRPr="002F63AC">
      <w:rPr>
        <w:sz w:val="16"/>
        <w:lang w:val="de-DE"/>
      </w:rPr>
      <w:tab/>
    </w:r>
    <w:r w:rsidRPr="002F63AC">
      <w:rPr>
        <w:sz w:val="16"/>
        <w:lang w:val="de-DE"/>
      </w:rPr>
      <w:tab/>
      <w:t xml:space="preserve">F: 01 400 35 22 </w:t>
    </w:r>
  </w:p>
  <w:p w14:paraId="44DCDD11" w14:textId="77777777" w:rsidR="00C3736E" w:rsidRPr="002F63AC" w:rsidRDefault="00C3736E" w:rsidP="00906890">
    <w:pPr>
      <w:pStyle w:val="Glava"/>
      <w:tabs>
        <w:tab w:val="left" w:pos="5112"/>
      </w:tabs>
      <w:spacing w:line="240" w:lineRule="exact"/>
      <w:rPr>
        <w:sz w:val="16"/>
        <w:lang w:val="de-DE"/>
      </w:rPr>
    </w:pPr>
    <w:r w:rsidRPr="002F63AC">
      <w:rPr>
        <w:sz w:val="16"/>
        <w:lang w:val="de-DE"/>
      </w:rPr>
      <w:tab/>
    </w:r>
    <w:r w:rsidRPr="002F63AC">
      <w:rPr>
        <w:sz w:val="16"/>
        <w:lang w:val="de-DE"/>
      </w:rPr>
      <w:tab/>
      <w:t xml:space="preserve">E: </w:t>
    </w:r>
    <w:hyperlink r:id="rId2" w:history="1">
      <w:r w:rsidRPr="002F63AC">
        <w:rPr>
          <w:rStyle w:val="Hiperpovezava"/>
          <w:rFonts w:eastAsia="Georgia"/>
          <w:sz w:val="16"/>
          <w:lang w:val="de-DE"/>
        </w:rPr>
        <w:t>gp.mgrt@gov.si</w:t>
      </w:r>
    </w:hyperlink>
    <w:r w:rsidRPr="002F63AC">
      <w:rPr>
        <w:sz w:val="16"/>
        <w:lang w:val="de-DE"/>
      </w:rPr>
      <w:t xml:space="preserve"> </w:t>
    </w:r>
  </w:p>
  <w:p w14:paraId="6819BE4C" w14:textId="77777777" w:rsidR="00C3736E" w:rsidRPr="00252A91" w:rsidRDefault="00C3736E" w:rsidP="00906890">
    <w:pPr>
      <w:pStyle w:val="Glava"/>
      <w:tabs>
        <w:tab w:val="left" w:pos="5112"/>
      </w:tabs>
      <w:spacing w:line="240" w:lineRule="exact"/>
      <w:rPr>
        <w:rFonts w:cs="Arial"/>
        <w:sz w:val="16"/>
      </w:rPr>
    </w:pPr>
    <w:r w:rsidRPr="002F63AC">
      <w:rPr>
        <w:sz w:val="16"/>
        <w:lang w:val="de-DE"/>
      </w:rPr>
      <w:tab/>
    </w:r>
    <w:r w:rsidRPr="002F63AC">
      <w:rPr>
        <w:sz w:val="16"/>
        <w:lang w:val="de-DE"/>
      </w:rPr>
      <w:tab/>
    </w:r>
    <w:r>
      <w:rPr>
        <w:sz w:val="16"/>
        <w:lang w:val="de-DE"/>
      </w:rPr>
      <w:t xml:space="preserve">W: </w:t>
    </w:r>
    <w:hyperlink r:id="rId3" w:history="1">
      <w:r w:rsidRPr="006832DF">
        <w:rPr>
          <w:rStyle w:val="Hiperpovezava"/>
          <w:rFonts w:eastAsia="Georgia" w:cs="Arial"/>
          <w:sz w:val="16"/>
        </w:rPr>
        <w:t>www.gov.si</w:t>
      </w:r>
    </w:hyperlink>
    <w:r w:rsidRPr="00252A91">
      <w:rPr>
        <w:rFonts w:cs="Arial"/>
        <w:sz w:val="16"/>
      </w:rPr>
      <w:t xml:space="preserve"> </w:t>
    </w:r>
  </w:p>
  <w:p w14:paraId="3EA663BE" w14:textId="77777777" w:rsidR="00C3736E" w:rsidRDefault="00C3736E" w:rsidP="00906890">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871A6C40"/>
    <w:lvl w:ilvl="0">
      <w:start w:val="1"/>
      <w:numFmt w:val="bullet"/>
      <w:pStyle w:val="Heading3new"/>
      <w:lvlText w:val=""/>
      <w:lvlJc w:val="left"/>
      <w:pPr>
        <w:tabs>
          <w:tab w:val="num" w:pos="1080"/>
        </w:tabs>
        <w:ind w:left="1080" w:hanging="360"/>
      </w:pPr>
      <w:rPr>
        <w:rFonts w:ascii="Symbol" w:hAnsi="Symbol" w:hint="default"/>
      </w:rPr>
    </w:lvl>
  </w:abstractNum>
  <w:abstractNum w:abstractNumId="1" w15:restartNumberingAfterBreak="0">
    <w:nsid w:val="019A23C8"/>
    <w:multiLevelType w:val="hybridMultilevel"/>
    <w:tmpl w:val="C11025E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42A7F36"/>
    <w:multiLevelType w:val="hybridMultilevel"/>
    <w:tmpl w:val="D92CE884"/>
    <w:lvl w:ilvl="0" w:tplc="BFBE5F0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515326E"/>
    <w:multiLevelType w:val="multilevel"/>
    <w:tmpl w:val="9E26B4E8"/>
    <w:styleLink w:val="lenOdsek"/>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0DEC3C77"/>
    <w:multiLevelType w:val="hybridMultilevel"/>
    <w:tmpl w:val="B79C68FA"/>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pStyle w:val="ExhibitHeading4"/>
      <w:lvlText w:val="%4."/>
      <w:lvlJc w:val="left"/>
      <w:pPr>
        <w:ind w:left="2880" w:hanging="360"/>
      </w:pPr>
    </w:lvl>
    <w:lvl w:ilvl="4" w:tplc="04240019" w:tentative="1">
      <w:start w:val="1"/>
      <w:numFmt w:val="lowerLetter"/>
      <w:pStyle w:val="ExhibitHeading5"/>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E405A04"/>
    <w:multiLevelType w:val="hybridMultilevel"/>
    <w:tmpl w:val="BAA26E9C"/>
    <w:lvl w:ilvl="0" w:tplc="D3808CE0">
      <w:start w:val="1"/>
      <w:numFmt w:val="bullet"/>
      <w:lvlText w:val=""/>
      <w:lvlJc w:val="left"/>
      <w:pPr>
        <w:ind w:left="720" w:hanging="360"/>
      </w:pPr>
      <w:rPr>
        <w:rFonts w:ascii="Symbol" w:hAnsi="Symbo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F560733"/>
    <w:multiLevelType w:val="hybridMultilevel"/>
    <w:tmpl w:val="0BBA2312"/>
    <w:lvl w:ilvl="0" w:tplc="63EE0A32">
      <w:numFmt w:val="bullet"/>
      <w:pStyle w:val="NormalBulleted"/>
      <w:lvlText w:val="•"/>
      <w:lvlJc w:val="left"/>
      <w:pPr>
        <w:ind w:left="720" w:hanging="360"/>
      </w:pPr>
      <w:rPr>
        <w:rFonts w:ascii="Futura Lt BT" w:eastAsia="Times New Roman" w:hAnsi="Futura Lt BT" w:cs="Times New Roman"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FA49E1"/>
    <w:multiLevelType w:val="hybridMultilevel"/>
    <w:tmpl w:val="03D0C5AC"/>
    <w:lvl w:ilvl="0" w:tplc="121883AC">
      <w:start w:val="253"/>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4105CA9"/>
    <w:multiLevelType w:val="hybridMultilevel"/>
    <w:tmpl w:val="8548B266"/>
    <w:lvl w:ilvl="0" w:tplc="7F520CE8">
      <w:start w:val="1"/>
      <w:numFmt w:val="decimal"/>
      <w:pStyle w:val="ParagraphNumbering"/>
      <w:lvlText w:val="%1.     "/>
      <w:lvlJc w:val="left"/>
      <w:pPr>
        <w:tabs>
          <w:tab w:val="num" w:pos="0"/>
        </w:tabs>
        <w:ind w:left="0" w:firstLine="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F2868CB"/>
    <w:multiLevelType w:val="multilevel"/>
    <w:tmpl w:val="3D94EA66"/>
    <w:lvl w:ilvl="0">
      <w:start w:val="1"/>
      <w:numFmt w:val="upperLetter"/>
      <w:pStyle w:val="AppendixHeading1"/>
      <w:suff w:val="space"/>
      <w:lvlText w:val="Priloga %1. -"/>
      <w:lvlJc w:val="left"/>
      <w:pPr>
        <w:ind w:left="9464" w:hanging="533"/>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ppendixHeading2"/>
      <w:suff w:val="space"/>
      <w:lvlText w:val="%1.%2."/>
      <w:lvlJc w:val="left"/>
      <w:pPr>
        <w:ind w:left="-7042" w:hanging="612"/>
      </w:pPr>
      <w:rPr>
        <w:rFonts w:hint="default"/>
      </w:rPr>
    </w:lvl>
    <w:lvl w:ilvl="2">
      <w:start w:val="1"/>
      <w:numFmt w:val="decimal"/>
      <w:suff w:val="space"/>
      <w:lvlText w:val="%1.%2.%3."/>
      <w:lvlJc w:val="left"/>
      <w:pPr>
        <w:ind w:left="-6877" w:hanging="777"/>
      </w:pPr>
      <w:rPr>
        <w:rFonts w:hint="default"/>
      </w:rPr>
    </w:lvl>
    <w:lvl w:ilvl="3">
      <w:start w:val="1"/>
      <w:numFmt w:val="decimal"/>
      <w:suff w:val="space"/>
      <w:lvlText w:val="%1.%2.%3.%4."/>
      <w:lvlJc w:val="left"/>
      <w:pPr>
        <w:ind w:left="-6792" w:hanging="862"/>
      </w:pPr>
      <w:rPr>
        <w:rFonts w:hint="default"/>
      </w:rPr>
    </w:lvl>
    <w:lvl w:ilvl="4">
      <w:start w:val="1"/>
      <w:numFmt w:val="decimal"/>
      <w:suff w:val="space"/>
      <w:lvlText w:val="%1.%2.%3.%4.%5."/>
      <w:lvlJc w:val="left"/>
      <w:pPr>
        <w:ind w:left="-6735" w:hanging="919"/>
      </w:pPr>
      <w:rPr>
        <w:rFonts w:hint="default"/>
      </w:rPr>
    </w:lvl>
    <w:lvl w:ilvl="5">
      <w:start w:val="1"/>
      <w:numFmt w:val="decimal"/>
      <w:suff w:val="space"/>
      <w:lvlText w:val="%1.%2.%3.%4.%5.%6."/>
      <w:lvlJc w:val="left"/>
      <w:pPr>
        <w:ind w:left="-4918" w:hanging="2736"/>
      </w:pPr>
      <w:rPr>
        <w:rFonts w:hint="default"/>
      </w:rPr>
    </w:lvl>
    <w:lvl w:ilvl="6">
      <w:start w:val="1"/>
      <w:numFmt w:val="decimal"/>
      <w:suff w:val="space"/>
      <w:lvlText w:val="%1.%2.%3.%4.%5.%6.%7."/>
      <w:lvlJc w:val="left"/>
      <w:pPr>
        <w:ind w:left="-4414" w:hanging="3240"/>
      </w:pPr>
      <w:rPr>
        <w:rFonts w:hint="default"/>
      </w:rPr>
    </w:lvl>
    <w:lvl w:ilvl="7">
      <w:start w:val="1"/>
      <w:numFmt w:val="decimal"/>
      <w:suff w:val="space"/>
      <w:lvlText w:val="%1.%2.%3.%4.%5.%6.%7.%8."/>
      <w:lvlJc w:val="left"/>
      <w:pPr>
        <w:ind w:left="-3910" w:hanging="3744"/>
      </w:pPr>
      <w:rPr>
        <w:rFonts w:hint="default"/>
      </w:rPr>
    </w:lvl>
    <w:lvl w:ilvl="8">
      <w:start w:val="1"/>
      <w:numFmt w:val="decimal"/>
      <w:suff w:val="space"/>
      <w:lvlText w:val="%1.%2.%3.%4.%5.%6.%7.%8.%9."/>
      <w:lvlJc w:val="left"/>
      <w:pPr>
        <w:ind w:left="-3334" w:hanging="4320"/>
      </w:pPr>
      <w:rPr>
        <w:rFonts w:hint="default"/>
      </w:rPr>
    </w:lvl>
  </w:abstractNum>
  <w:abstractNum w:abstractNumId="11" w15:restartNumberingAfterBreak="0">
    <w:nsid w:val="29487B96"/>
    <w:multiLevelType w:val="hybridMultilevel"/>
    <w:tmpl w:val="19D20ABE"/>
    <w:lvl w:ilvl="0" w:tplc="79E4B07E">
      <w:start w:val="1"/>
      <w:numFmt w:val="bullet"/>
      <w:pStyle w:val="NormalBulleted2"/>
      <w:lvlText w:val="–"/>
      <w:lvlJc w:val="left"/>
      <w:pPr>
        <w:ind w:left="1434" w:hanging="360"/>
      </w:pPr>
      <w:rPr>
        <w:rFonts w:ascii="Century Gothic" w:hAnsi="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2DED1FE4"/>
    <w:multiLevelType w:val="hybridMultilevel"/>
    <w:tmpl w:val="6868D7F2"/>
    <w:lvl w:ilvl="0" w:tplc="BFBE5F08">
      <w:start w:val="1"/>
      <w:numFmt w:val="bullet"/>
      <w:lvlText w:val=""/>
      <w:lvlJc w:val="left"/>
      <w:pPr>
        <w:ind w:left="398"/>
      </w:pPr>
      <w:rPr>
        <w:rFonts w:ascii="Symbol" w:hAnsi="Symbol" w:hint="default"/>
        <w:b w:val="0"/>
        <w:i w:val="0"/>
        <w:strike w:val="0"/>
        <w:dstrike w:val="0"/>
        <w:color w:val="000000"/>
        <w:sz w:val="18"/>
        <w:szCs w:val="18"/>
        <w:u w:val="none" w:color="000000"/>
        <w:bdr w:val="none" w:sz="0" w:space="0" w:color="auto"/>
        <w:shd w:val="clear" w:color="auto" w:fill="auto"/>
        <w:vertAlign w:val="baseline"/>
      </w:rPr>
    </w:lvl>
    <w:lvl w:ilvl="1" w:tplc="C74C459C">
      <w:start w:val="1"/>
      <w:numFmt w:val="bullet"/>
      <w:lvlText w:val="o"/>
      <w:lvlJc w:val="left"/>
      <w:pPr>
        <w:ind w:left="118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2" w:tplc="0324B50E">
      <w:start w:val="1"/>
      <w:numFmt w:val="bullet"/>
      <w:lvlText w:val="▪"/>
      <w:lvlJc w:val="left"/>
      <w:pPr>
        <w:ind w:left="190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3" w:tplc="8F5EA5B4">
      <w:start w:val="1"/>
      <w:numFmt w:val="bullet"/>
      <w:lvlText w:val="•"/>
      <w:lvlJc w:val="left"/>
      <w:pPr>
        <w:ind w:left="262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4" w:tplc="806408F6">
      <w:start w:val="1"/>
      <w:numFmt w:val="bullet"/>
      <w:lvlText w:val="o"/>
      <w:lvlJc w:val="left"/>
      <w:pPr>
        <w:ind w:left="334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5" w:tplc="277C25FC">
      <w:start w:val="1"/>
      <w:numFmt w:val="bullet"/>
      <w:lvlText w:val="▪"/>
      <w:lvlJc w:val="left"/>
      <w:pPr>
        <w:ind w:left="406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6" w:tplc="933CFF0A">
      <w:start w:val="1"/>
      <w:numFmt w:val="bullet"/>
      <w:lvlText w:val="•"/>
      <w:lvlJc w:val="left"/>
      <w:pPr>
        <w:ind w:left="478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7" w:tplc="E3EC6E78">
      <w:start w:val="1"/>
      <w:numFmt w:val="bullet"/>
      <w:lvlText w:val="o"/>
      <w:lvlJc w:val="left"/>
      <w:pPr>
        <w:ind w:left="550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8" w:tplc="643E185A">
      <w:start w:val="1"/>
      <w:numFmt w:val="bullet"/>
      <w:lvlText w:val="▪"/>
      <w:lvlJc w:val="left"/>
      <w:pPr>
        <w:ind w:left="622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300E3300"/>
    <w:multiLevelType w:val="hybridMultilevel"/>
    <w:tmpl w:val="415E203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120544E"/>
    <w:multiLevelType w:val="hybridMultilevel"/>
    <w:tmpl w:val="D366A7CE"/>
    <w:lvl w:ilvl="0" w:tplc="344EE580">
      <w:start w:val="1"/>
      <w:numFmt w:val="bullet"/>
      <w:lvlText w:val="•"/>
      <w:lvlJc w:val="left"/>
      <w:pPr>
        <w:tabs>
          <w:tab w:val="num" w:pos="720"/>
        </w:tabs>
        <w:ind w:left="720" w:hanging="360"/>
      </w:pPr>
      <w:rPr>
        <w:rFonts w:ascii="Arial" w:hAnsi="Arial" w:hint="default"/>
      </w:rPr>
    </w:lvl>
    <w:lvl w:ilvl="1" w:tplc="F006D110" w:tentative="1">
      <w:start w:val="1"/>
      <w:numFmt w:val="bullet"/>
      <w:lvlText w:val="•"/>
      <w:lvlJc w:val="left"/>
      <w:pPr>
        <w:tabs>
          <w:tab w:val="num" w:pos="1440"/>
        </w:tabs>
        <w:ind w:left="1440" w:hanging="360"/>
      </w:pPr>
      <w:rPr>
        <w:rFonts w:ascii="Arial" w:hAnsi="Arial" w:hint="default"/>
      </w:rPr>
    </w:lvl>
    <w:lvl w:ilvl="2" w:tplc="0240A384" w:tentative="1">
      <w:start w:val="1"/>
      <w:numFmt w:val="bullet"/>
      <w:lvlText w:val="•"/>
      <w:lvlJc w:val="left"/>
      <w:pPr>
        <w:tabs>
          <w:tab w:val="num" w:pos="2160"/>
        </w:tabs>
        <w:ind w:left="2160" w:hanging="360"/>
      </w:pPr>
      <w:rPr>
        <w:rFonts w:ascii="Arial" w:hAnsi="Arial" w:hint="default"/>
      </w:rPr>
    </w:lvl>
    <w:lvl w:ilvl="3" w:tplc="ABA69D7E" w:tentative="1">
      <w:start w:val="1"/>
      <w:numFmt w:val="bullet"/>
      <w:lvlText w:val="•"/>
      <w:lvlJc w:val="left"/>
      <w:pPr>
        <w:tabs>
          <w:tab w:val="num" w:pos="2880"/>
        </w:tabs>
        <w:ind w:left="2880" w:hanging="360"/>
      </w:pPr>
      <w:rPr>
        <w:rFonts w:ascii="Arial" w:hAnsi="Arial" w:hint="default"/>
      </w:rPr>
    </w:lvl>
    <w:lvl w:ilvl="4" w:tplc="90AA45DC" w:tentative="1">
      <w:start w:val="1"/>
      <w:numFmt w:val="bullet"/>
      <w:lvlText w:val="•"/>
      <w:lvlJc w:val="left"/>
      <w:pPr>
        <w:tabs>
          <w:tab w:val="num" w:pos="3600"/>
        </w:tabs>
        <w:ind w:left="3600" w:hanging="360"/>
      </w:pPr>
      <w:rPr>
        <w:rFonts w:ascii="Arial" w:hAnsi="Arial" w:hint="default"/>
      </w:rPr>
    </w:lvl>
    <w:lvl w:ilvl="5" w:tplc="7098D9C8" w:tentative="1">
      <w:start w:val="1"/>
      <w:numFmt w:val="bullet"/>
      <w:lvlText w:val="•"/>
      <w:lvlJc w:val="left"/>
      <w:pPr>
        <w:tabs>
          <w:tab w:val="num" w:pos="4320"/>
        </w:tabs>
        <w:ind w:left="4320" w:hanging="360"/>
      </w:pPr>
      <w:rPr>
        <w:rFonts w:ascii="Arial" w:hAnsi="Arial" w:hint="default"/>
      </w:rPr>
    </w:lvl>
    <w:lvl w:ilvl="6" w:tplc="8DA43260" w:tentative="1">
      <w:start w:val="1"/>
      <w:numFmt w:val="bullet"/>
      <w:lvlText w:val="•"/>
      <w:lvlJc w:val="left"/>
      <w:pPr>
        <w:tabs>
          <w:tab w:val="num" w:pos="5040"/>
        </w:tabs>
        <w:ind w:left="5040" w:hanging="360"/>
      </w:pPr>
      <w:rPr>
        <w:rFonts w:ascii="Arial" w:hAnsi="Arial" w:hint="default"/>
      </w:rPr>
    </w:lvl>
    <w:lvl w:ilvl="7" w:tplc="0228143C" w:tentative="1">
      <w:start w:val="1"/>
      <w:numFmt w:val="bullet"/>
      <w:lvlText w:val="•"/>
      <w:lvlJc w:val="left"/>
      <w:pPr>
        <w:tabs>
          <w:tab w:val="num" w:pos="5760"/>
        </w:tabs>
        <w:ind w:left="5760" w:hanging="360"/>
      </w:pPr>
      <w:rPr>
        <w:rFonts w:ascii="Arial" w:hAnsi="Arial" w:hint="default"/>
      </w:rPr>
    </w:lvl>
    <w:lvl w:ilvl="8" w:tplc="B2CCD7A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7"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8" w15:restartNumberingAfterBreak="0">
    <w:nsid w:val="3E337DCE"/>
    <w:multiLevelType w:val="hybridMultilevel"/>
    <w:tmpl w:val="4A0C0D8E"/>
    <w:lvl w:ilvl="0" w:tplc="A08209E2">
      <w:start w:val="1"/>
      <w:numFmt w:val="decimal"/>
      <w:pStyle w:val="Normal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501CBE"/>
    <w:multiLevelType w:val="hybridMultilevel"/>
    <w:tmpl w:val="43A8E0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1"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8117078"/>
    <w:multiLevelType w:val="hybridMultilevel"/>
    <w:tmpl w:val="12C42A0C"/>
    <w:lvl w:ilvl="0" w:tplc="B5DEBA36">
      <w:start w:val="2"/>
      <w:numFmt w:val="bullet"/>
      <w:lvlText w:val="-"/>
      <w:lvlJc w:val="left"/>
      <w:pPr>
        <w:ind w:left="720" w:hanging="360"/>
      </w:pPr>
      <w:rPr>
        <w:rFonts w:ascii="Arial" w:eastAsia="Times New Roman" w:hAnsi="Arial" w:cs="Arial"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9354B8D"/>
    <w:multiLevelType w:val="hybridMultilevel"/>
    <w:tmpl w:val="F864E15A"/>
    <w:lvl w:ilvl="0" w:tplc="3614084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A1E2DA4"/>
    <w:multiLevelType w:val="hybridMultilevel"/>
    <w:tmpl w:val="51E062B8"/>
    <w:lvl w:ilvl="0" w:tplc="BFBE5F0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D296EB8"/>
    <w:multiLevelType w:val="hybridMultilevel"/>
    <w:tmpl w:val="D436A088"/>
    <w:lvl w:ilvl="0" w:tplc="233E724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pStyle w:val="ZnakZnak1"/>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pStyle w:val="ListAlpha5"/>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E4B4E3E"/>
    <w:multiLevelType w:val="multilevel"/>
    <w:tmpl w:val="597EBFB8"/>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rPr>
        <w:i w:val="0"/>
        <w:iCs w:val="0"/>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51F744E9"/>
    <w:multiLevelType w:val="multilevel"/>
    <w:tmpl w:val="A1C4874A"/>
    <w:lvl w:ilvl="0">
      <w:start w:val="1"/>
      <w:numFmt w:val="lowerRoman"/>
      <w:pStyle w:val="ListRoman"/>
      <w:lvlText w:val="%1."/>
      <w:lvlJc w:val="left"/>
      <w:pPr>
        <w:tabs>
          <w:tab w:val="num" w:pos="346"/>
        </w:tabs>
        <w:ind w:left="346" w:hanging="346"/>
      </w:pPr>
      <w:rPr>
        <w:rFonts w:hint="default"/>
      </w:rPr>
    </w:lvl>
    <w:lvl w:ilvl="1">
      <w:start w:val="1"/>
      <w:numFmt w:val="lowerRoman"/>
      <w:pStyle w:val="ListRoman2"/>
      <w:lvlText w:val="%2."/>
      <w:lvlJc w:val="left"/>
      <w:pPr>
        <w:tabs>
          <w:tab w:val="num" w:pos="691"/>
        </w:tabs>
        <w:ind w:left="691" w:hanging="345"/>
      </w:pPr>
      <w:rPr>
        <w:rFonts w:hint="default"/>
      </w:rPr>
    </w:lvl>
    <w:lvl w:ilvl="2">
      <w:start w:val="1"/>
      <w:numFmt w:val="lowerRoman"/>
      <w:pStyle w:val="ListRoman3"/>
      <w:lvlText w:val="%3."/>
      <w:lvlJc w:val="left"/>
      <w:pPr>
        <w:tabs>
          <w:tab w:val="num" w:pos="1037"/>
        </w:tabs>
        <w:ind w:left="1037" w:hanging="346"/>
      </w:pPr>
      <w:rPr>
        <w:rFonts w:hint="default"/>
      </w:rPr>
    </w:lvl>
    <w:lvl w:ilvl="3">
      <w:start w:val="1"/>
      <w:numFmt w:val="lowerRoman"/>
      <w:pStyle w:val="ListRoman4"/>
      <w:lvlText w:val="%4."/>
      <w:lvlJc w:val="left"/>
      <w:pPr>
        <w:tabs>
          <w:tab w:val="num" w:pos="1382"/>
        </w:tabs>
        <w:ind w:left="1382" w:hanging="345"/>
      </w:pPr>
      <w:rPr>
        <w:rFonts w:hint="default"/>
      </w:rPr>
    </w:lvl>
    <w:lvl w:ilvl="4">
      <w:start w:val="1"/>
      <w:numFmt w:val="lowerRoman"/>
      <w:pStyle w:val="ListRoman5"/>
      <w:lvlText w:val="%5."/>
      <w:lvlJc w:val="left"/>
      <w:pPr>
        <w:tabs>
          <w:tab w:val="num" w:pos="1728"/>
        </w:tabs>
        <w:ind w:left="1728" w:hanging="346"/>
      </w:pPr>
      <w:rPr>
        <w:rFonts w:hint="default"/>
      </w:rPr>
    </w:lvl>
    <w:lvl w:ilvl="5">
      <w:start w:val="1"/>
      <w:numFmt w:val="lowerRoman"/>
      <w:lvlText w:val="%6."/>
      <w:lvlJc w:val="left"/>
      <w:pPr>
        <w:tabs>
          <w:tab w:val="num" w:pos="2074"/>
        </w:tabs>
        <w:ind w:left="2074" w:hanging="346"/>
      </w:pPr>
      <w:rPr>
        <w:rFonts w:hint="default"/>
      </w:rPr>
    </w:lvl>
    <w:lvl w:ilvl="6">
      <w:start w:val="1"/>
      <w:numFmt w:val="lowerRoman"/>
      <w:lvlText w:val="%7."/>
      <w:lvlJc w:val="left"/>
      <w:pPr>
        <w:tabs>
          <w:tab w:val="num" w:pos="2419"/>
        </w:tabs>
        <w:ind w:left="2419" w:hanging="345"/>
      </w:pPr>
      <w:rPr>
        <w:rFonts w:hint="default"/>
      </w:rPr>
    </w:lvl>
    <w:lvl w:ilvl="7">
      <w:start w:val="1"/>
      <w:numFmt w:val="lowerRoman"/>
      <w:lvlText w:val="%8."/>
      <w:lvlJc w:val="left"/>
      <w:pPr>
        <w:tabs>
          <w:tab w:val="num" w:pos="2765"/>
        </w:tabs>
        <w:ind w:left="2765" w:hanging="346"/>
      </w:pPr>
      <w:rPr>
        <w:rFonts w:hint="default"/>
      </w:rPr>
    </w:lvl>
    <w:lvl w:ilvl="8">
      <w:start w:val="1"/>
      <w:numFmt w:val="lowerRoman"/>
      <w:lvlText w:val="%9."/>
      <w:lvlJc w:val="left"/>
      <w:pPr>
        <w:tabs>
          <w:tab w:val="num" w:pos="3110"/>
        </w:tabs>
        <w:ind w:left="3110" w:hanging="345"/>
      </w:pPr>
      <w:rPr>
        <w:rFonts w:hint="default"/>
      </w:rPr>
    </w:lvl>
  </w:abstractNum>
  <w:abstractNum w:abstractNumId="28" w15:restartNumberingAfterBreak="0">
    <w:nsid w:val="59DC119E"/>
    <w:multiLevelType w:val="multilevel"/>
    <w:tmpl w:val="FA6A4740"/>
    <w:lvl w:ilvl="0">
      <w:start w:val="1"/>
      <w:numFmt w:val="lowerLetter"/>
      <w:pStyle w:val="ListAlpha"/>
      <w:lvlText w:val="%1."/>
      <w:lvlJc w:val="left"/>
      <w:pPr>
        <w:tabs>
          <w:tab w:val="num" w:pos="346"/>
        </w:tabs>
        <w:ind w:left="346" w:hanging="346"/>
      </w:pPr>
      <w:rPr>
        <w:rFonts w:hint="default"/>
      </w:rPr>
    </w:lvl>
    <w:lvl w:ilvl="1">
      <w:start w:val="1"/>
      <w:numFmt w:val="lowerLetter"/>
      <w:pStyle w:val="ListAlpha2"/>
      <w:lvlText w:val="%2."/>
      <w:lvlJc w:val="left"/>
      <w:pPr>
        <w:tabs>
          <w:tab w:val="num" w:pos="691"/>
        </w:tabs>
        <w:ind w:left="691" w:hanging="345"/>
      </w:pPr>
      <w:rPr>
        <w:rFonts w:hint="default"/>
      </w:rPr>
    </w:lvl>
    <w:lvl w:ilvl="2">
      <w:start w:val="1"/>
      <w:numFmt w:val="lowerLetter"/>
      <w:pStyle w:val="ListAlpha3"/>
      <w:lvlText w:val="%3."/>
      <w:lvlJc w:val="left"/>
      <w:pPr>
        <w:tabs>
          <w:tab w:val="num" w:pos="1037"/>
        </w:tabs>
        <w:ind w:left="1037" w:hanging="346"/>
      </w:pPr>
      <w:rPr>
        <w:rFonts w:hint="default"/>
      </w:rPr>
    </w:lvl>
    <w:lvl w:ilvl="3">
      <w:start w:val="1"/>
      <w:numFmt w:val="lowerLetter"/>
      <w:pStyle w:val="ListAlpha4"/>
      <w:lvlText w:val="%4."/>
      <w:lvlJc w:val="left"/>
      <w:pPr>
        <w:tabs>
          <w:tab w:val="num" w:pos="1382"/>
        </w:tabs>
        <w:ind w:left="1382" w:hanging="345"/>
      </w:pPr>
      <w:rPr>
        <w:rFonts w:hint="default"/>
      </w:rPr>
    </w:lvl>
    <w:lvl w:ilvl="4">
      <w:start w:val="1"/>
      <w:numFmt w:val="lowerLetter"/>
      <w:pStyle w:val="ListAlpha"/>
      <w:lvlText w:val="%5."/>
      <w:lvlJc w:val="left"/>
      <w:pPr>
        <w:tabs>
          <w:tab w:val="num" w:pos="1728"/>
        </w:tabs>
        <w:ind w:left="1728" w:hanging="346"/>
      </w:pPr>
      <w:rPr>
        <w:rFonts w:hint="default"/>
      </w:rPr>
    </w:lvl>
    <w:lvl w:ilvl="5">
      <w:start w:val="1"/>
      <w:numFmt w:val="lowerLetter"/>
      <w:lvlText w:val="%6."/>
      <w:lvlJc w:val="left"/>
      <w:pPr>
        <w:tabs>
          <w:tab w:val="num" w:pos="2074"/>
        </w:tabs>
        <w:ind w:left="2074" w:hanging="346"/>
      </w:pPr>
      <w:rPr>
        <w:rFonts w:hint="default"/>
      </w:rPr>
    </w:lvl>
    <w:lvl w:ilvl="6">
      <w:start w:val="1"/>
      <w:numFmt w:val="lowerLetter"/>
      <w:lvlText w:val="%7."/>
      <w:lvlJc w:val="left"/>
      <w:pPr>
        <w:tabs>
          <w:tab w:val="num" w:pos="2419"/>
        </w:tabs>
        <w:ind w:left="2419" w:hanging="345"/>
      </w:pPr>
      <w:rPr>
        <w:rFonts w:hint="default"/>
      </w:rPr>
    </w:lvl>
    <w:lvl w:ilvl="7">
      <w:start w:val="1"/>
      <w:numFmt w:val="lowerLetter"/>
      <w:lvlText w:val="%8."/>
      <w:lvlJc w:val="left"/>
      <w:pPr>
        <w:tabs>
          <w:tab w:val="num" w:pos="2765"/>
        </w:tabs>
        <w:ind w:left="2765" w:hanging="346"/>
      </w:pPr>
      <w:rPr>
        <w:rFonts w:hint="default"/>
      </w:rPr>
    </w:lvl>
    <w:lvl w:ilvl="8">
      <w:start w:val="1"/>
      <w:numFmt w:val="lowerLetter"/>
      <w:lvlText w:val="%9."/>
      <w:lvlJc w:val="left"/>
      <w:pPr>
        <w:tabs>
          <w:tab w:val="num" w:pos="3110"/>
        </w:tabs>
        <w:ind w:left="3110" w:hanging="345"/>
      </w:pPr>
      <w:rPr>
        <w:rFonts w:hint="default"/>
      </w:rPr>
    </w:lvl>
  </w:abstractNum>
  <w:abstractNum w:abstractNumId="29"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BE35175"/>
    <w:multiLevelType w:val="hybridMultilevel"/>
    <w:tmpl w:val="6C6A8F58"/>
    <w:lvl w:ilvl="0" w:tplc="B5DEBA36">
      <w:start w:val="2"/>
      <w:numFmt w:val="bullet"/>
      <w:lvlText w:val="-"/>
      <w:lvlJc w:val="left"/>
      <w:pPr>
        <w:ind w:left="720" w:hanging="360"/>
      </w:pPr>
      <w:rPr>
        <w:rFonts w:ascii="Arial" w:eastAsia="Times New Roman" w:hAnsi="Arial" w:cs="Arial"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CD229FA"/>
    <w:multiLevelType w:val="hybridMultilevel"/>
    <w:tmpl w:val="DC5AED6A"/>
    <w:lvl w:ilvl="0" w:tplc="976A35AE">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21A5C75"/>
    <w:multiLevelType w:val="hybridMultilevel"/>
    <w:tmpl w:val="4A004134"/>
    <w:lvl w:ilvl="0" w:tplc="B5DEBA36">
      <w:start w:val="2"/>
      <w:numFmt w:val="bullet"/>
      <w:lvlText w:val="-"/>
      <w:lvlJc w:val="left"/>
      <w:pPr>
        <w:ind w:left="720" w:hanging="360"/>
      </w:pPr>
      <w:rPr>
        <w:rFonts w:ascii="Arial" w:eastAsia="Times New Roman" w:hAnsi="Arial" w:cs="Arial"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3B31062"/>
    <w:multiLevelType w:val="hybridMultilevel"/>
    <w:tmpl w:val="48BA8D98"/>
    <w:lvl w:ilvl="0" w:tplc="7D7ECFB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73E6FB8"/>
    <w:multiLevelType w:val="hybridMultilevel"/>
    <w:tmpl w:val="3EF6F85A"/>
    <w:lvl w:ilvl="0" w:tplc="6EC03AC6">
      <w:start w:val="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7C300D9"/>
    <w:multiLevelType w:val="hybridMultilevel"/>
    <w:tmpl w:val="DFE049CC"/>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17B43F2"/>
    <w:multiLevelType w:val="multilevel"/>
    <w:tmpl w:val="20A6E5BC"/>
    <w:lvl w:ilvl="0">
      <w:start w:val="1"/>
      <w:numFmt w:val="bullet"/>
      <w:pStyle w:val="Oznaenseznam"/>
      <w:lvlText w:val="•"/>
      <w:lvlJc w:val="left"/>
      <w:pPr>
        <w:tabs>
          <w:tab w:val="num" w:pos="346"/>
        </w:tabs>
        <w:ind w:left="346" w:hanging="346"/>
      </w:pPr>
      <w:rPr>
        <w:rFonts w:ascii="Georgia" w:hAnsi="Georgia" w:hint="default"/>
        <w:color w:val="auto"/>
      </w:rPr>
    </w:lvl>
    <w:lvl w:ilvl="1">
      <w:start w:val="1"/>
      <w:numFmt w:val="bullet"/>
      <w:pStyle w:val="Oznaenseznam2"/>
      <w:lvlText w:val="-"/>
      <w:lvlJc w:val="left"/>
      <w:pPr>
        <w:tabs>
          <w:tab w:val="num" w:pos="691"/>
        </w:tabs>
        <w:ind w:left="691" w:hanging="345"/>
      </w:pPr>
      <w:rPr>
        <w:rFonts w:ascii="Arial" w:hAnsi="Arial" w:hint="default"/>
        <w:color w:val="auto"/>
      </w:rPr>
    </w:lvl>
    <w:lvl w:ilvl="2">
      <w:start w:val="1"/>
      <w:numFmt w:val="bullet"/>
      <w:pStyle w:val="Oznaenseznam3"/>
      <w:lvlText w:val="◦"/>
      <w:lvlJc w:val="left"/>
      <w:pPr>
        <w:tabs>
          <w:tab w:val="num" w:pos="1037"/>
        </w:tabs>
        <w:ind w:left="1037" w:hanging="346"/>
      </w:pPr>
      <w:rPr>
        <w:rFonts w:ascii="Georgia" w:hAnsi="Georgia" w:hint="default"/>
        <w:color w:val="auto"/>
      </w:rPr>
    </w:lvl>
    <w:lvl w:ilvl="3">
      <w:start w:val="1"/>
      <w:numFmt w:val="bullet"/>
      <w:pStyle w:val="Oznaenseznam4"/>
      <w:lvlText w:val="›"/>
      <w:lvlJc w:val="left"/>
      <w:pPr>
        <w:tabs>
          <w:tab w:val="num" w:pos="1382"/>
        </w:tabs>
        <w:ind w:left="1382" w:hanging="345"/>
      </w:pPr>
      <w:rPr>
        <w:rFonts w:ascii="Georgia" w:hAnsi="Georgia" w:hint="default"/>
        <w:color w:val="auto"/>
      </w:rPr>
    </w:lvl>
    <w:lvl w:ilvl="4">
      <w:start w:val="1"/>
      <w:numFmt w:val="bullet"/>
      <w:pStyle w:val="Oznaenseznam5"/>
      <w:lvlText w:val="~"/>
      <w:lvlJc w:val="left"/>
      <w:pPr>
        <w:tabs>
          <w:tab w:val="num" w:pos="1728"/>
        </w:tabs>
        <w:ind w:left="1728" w:hanging="346"/>
      </w:pPr>
      <w:rPr>
        <w:rFonts w:ascii="Georgia" w:hAnsi="Georgia" w:hint="default"/>
        <w:color w:val="auto"/>
      </w:rPr>
    </w:lvl>
    <w:lvl w:ilvl="5">
      <w:start w:val="1"/>
      <w:numFmt w:val="bullet"/>
      <w:pStyle w:val="Oznaenseznam"/>
      <w:lvlText w:val="•"/>
      <w:lvlJc w:val="left"/>
      <w:pPr>
        <w:tabs>
          <w:tab w:val="num" w:pos="2074"/>
        </w:tabs>
        <w:ind w:left="2074" w:hanging="346"/>
      </w:pPr>
      <w:rPr>
        <w:rFonts w:ascii="Georgia" w:hAnsi="Georgia" w:hint="default"/>
        <w:color w:val="auto"/>
      </w:rPr>
    </w:lvl>
    <w:lvl w:ilvl="6">
      <w:start w:val="1"/>
      <w:numFmt w:val="bullet"/>
      <w:pStyle w:val="Oznaenseznam2"/>
      <w:lvlText w:val="-"/>
      <w:lvlJc w:val="left"/>
      <w:pPr>
        <w:tabs>
          <w:tab w:val="num" w:pos="2419"/>
        </w:tabs>
        <w:ind w:left="2419" w:hanging="345"/>
      </w:pPr>
      <w:rPr>
        <w:rFonts w:ascii="Arial" w:hAnsi="Arial" w:hint="default"/>
        <w:color w:val="auto"/>
      </w:rPr>
    </w:lvl>
    <w:lvl w:ilvl="7">
      <w:start w:val="1"/>
      <w:numFmt w:val="bullet"/>
      <w:pStyle w:val="Oznaenseznam3"/>
      <w:lvlText w:val="◦"/>
      <w:lvlJc w:val="left"/>
      <w:pPr>
        <w:tabs>
          <w:tab w:val="num" w:pos="2765"/>
        </w:tabs>
        <w:ind w:left="2765" w:hanging="346"/>
      </w:pPr>
      <w:rPr>
        <w:rFonts w:ascii="Georgia" w:hAnsi="Georgia" w:hint="default"/>
        <w:color w:val="auto"/>
      </w:rPr>
    </w:lvl>
    <w:lvl w:ilvl="8">
      <w:start w:val="1"/>
      <w:numFmt w:val="bullet"/>
      <w:pStyle w:val="Oznaenseznam4"/>
      <w:lvlText w:val="›"/>
      <w:lvlJc w:val="left"/>
      <w:pPr>
        <w:tabs>
          <w:tab w:val="num" w:pos="3110"/>
        </w:tabs>
        <w:ind w:left="3110" w:hanging="345"/>
      </w:pPr>
      <w:rPr>
        <w:rFonts w:ascii="Georgia" w:hAnsi="Georgia" w:hint="default"/>
        <w:color w:val="auto"/>
      </w:rPr>
    </w:lvl>
  </w:abstractNum>
  <w:abstractNum w:abstractNumId="38" w15:restartNumberingAfterBreak="0">
    <w:nsid w:val="72934ABD"/>
    <w:multiLevelType w:val="multilevel"/>
    <w:tmpl w:val="747A11BC"/>
    <w:lvl w:ilvl="0">
      <w:start w:val="1"/>
      <w:numFmt w:val="decimal"/>
      <w:pStyle w:val="Otevilenseznam"/>
      <w:lvlText w:val="%1."/>
      <w:lvlJc w:val="left"/>
      <w:pPr>
        <w:tabs>
          <w:tab w:val="num" w:pos="346"/>
        </w:tabs>
        <w:ind w:left="346" w:hanging="346"/>
      </w:pPr>
      <w:rPr>
        <w:rFonts w:hint="default"/>
      </w:rPr>
    </w:lvl>
    <w:lvl w:ilvl="1">
      <w:start w:val="1"/>
      <w:numFmt w:val="decimal"/>
      <w:pStyle w:val="Otevilenseznam2"/>
      <w:lvlText w:val="%2."/>
      <w:lvlJc w:val="left"/>
      <w:pPr>
        <w:tabs>
          <w:tab w:val="num" w:pos="691"/>
        </w:tabs>
        <w:ind w:left="691" w:hanging="345"/>
      </w:pPr>
      <w:rPr>
        <w:rFonts w:hint="default"/>
      </w:rPr>
    </w:lvl>
    <w:lvl w:ilvl="2">
      <w:start w:val="1"/>
      <w:numFmt w:val="decimal"/>
      <w:pStyle w:val="Otevilenseznam3"/>
      <w:lvlText w:val="%3."/>
      <w:lvlJc w:val="left"/>
      <w:pPr>
        <w:tabs>
          <w:tab w:val="num" w:pos="1037"/>
        </w:tabs>
        <w:ind w:left="1037" w:hanging="346"/>
      </w:pPr>
      <w:rPr>
        <w:rFonts w:hint="default"/>
      </w:rPr>
    </w:lvl>
    <w:lvl w:ilvl="3">
      <w:start w:val="1"/>
      <w:numFmt w:val="decimal"/>
      <w:pStyle w:val="Otevilenseznam4"/>
      <w:lvlText w:val="%4."/>
      <w:lvlJc w:val="left"/>
      <w:pPr>
        <w:tabs>
          <w:tab w:val="num" w:pos="1382"/>
        </w:tabs>
        <w:ind w:left="1382" w:hanging="345"/>
      </w:pPr>
      <w:rPr>
        <w:rFonts w:hint="default"/>
      </w:rPr>
    </w:lvl>
    <w:lvl w:ilvl="4">
      <w:start w:val="1"/>
      <w:numFmt w:val="decimal"/>
      <w:pStyle w:val="Otevilenseznam5"/>
      <w:lvlText w:val="%5."/>
      <w:lvlJc w:val="left"/>
      <w:pPr>
        <w:tabs>
          <w:tab w:val="num" w:pos="1728"/>
        </w:tabs>
        <w:ind w:left="1728" w:hanging="346"/>
      </w:pPr>
      <w:rPr>
        <w:rFonts w:hint="default"/>
      </w:rPr>
    </w:lvl>
    <w:lvl w:ilvl="5">
      <w:start w:val="1"/>
      <w:numFmt w:val="decimal"/>
      <w:lvlText w:val="%6."/>
      <w:lvlJc w:val="left"/>
      <w:pPr>
        <w:tabs>
          <w:tab w:val="num" w:pos="2074"/>
        </w:tabs>
        <w:ind w:left="2074" w:hanging="346"/>
      </w:pPr>
      <w:rPr>
        <w:rFonts w:hint="default"/>
      </w:rPr>
    </w:lvl>
    <w:lvl w:ilvl="6">
      <w:start w:val="1"/>
      <w:numFmt w:val="decimal"/>
      <w:lvlText w:val="%7."/>
      <w:lvlJc w:val="left"/>
      <w:pPr>
        <w:tabs>
          <w:tab w:val="num" w:pos="2419"/>
        </w:tabs>
        <w:ind w:left="2419" w:hanging="345"/>
      </w:pPr>
      <w:rPr>
        <w:rFonts w:hint="default"/>
      </w:rPr>
    </w:lvl>
    <w:lvl w:ilvl="7">
      <w:start w:val="1"/>
      <w:numFmt w:val="decimal"/>
      <w:lvlText w:val="%8."/>
      <w:lvlJc w:val="left"/>
      <w:pPr>
        <w:tabs>
          <w:tab w:val="num" w:pos="2765"/>
        </w:tabs>
        <w:ind w:left="2765" w:hanging="346"/>
      </w:pPr>
      <w:rPr>
        <w:rFonts w:hint="default"/>
      </w:rPr>
    </w:lvl>
    <w:lvl w:ilvl="8">
      <w:start w:val="1"/>
      <w:numFmt w:val="decimal"/>
      <w:lvlText w:val="%9."/>
      <w:lvlJc w:val="left"/>
      <w:pPr>
        <w:tabs>
          <w:tab w:val="num" w:pos="3110"/>
        </w:tabs>
        <w:ind w:left="3110" w:hanging="345"/>
      </w:pPr>
      <w:rPr>
        <w:rFonts w:hint="default"/>
      </w:rPr>
    </w:lvl>
  </w:abstractNum>
  <w:abstractNum w:abstractNumId="39" w15:restartNumberingAfterBreak="0">
    <w:nsid w:val="73FA7F3D"/>
    <w:multiLevelType w:val="hybridMultilevel"/>
    <w:tmpl w:val="CF6AC5A4"/>
    <w:lvl w:ilvl="0" w:tplc="33B61BE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5854648"/>
    <w:multiLevelType w:val="hybridMultilevel"/>
    <w:tmpl w:val="D92CE884"/>
    <w:lvl w:ilvl="0" w:tplc="BFBE5F0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92F63C6"/>
    <w:multiLevelType w:val="multilevel"/>
    <w:tmpl w:val="3F3EBD72"/>
    <w:lvl w:ilvl="0">
      <w:start w:val="1"/>
      <w:numFmt w:val="decimal"/>
      <w:pStyle w:val="ExhibitHeading1"/>
      <w:suff w:val="space"/>
      <w:lvlText w:val="Exhibit %1. -"/>
      <w:lvlJc w:val="left"/>
      <w:pPr>
        <w:ind w:left="432" w:hanging="432"/>
      </w:pPr>
      <w:rPr>
        <w:rFonts w:hint="default"/>
      </w:rPr>
    </w:lvl>
    <w:lvl w:ilvl="1">
      <w:start w:val="1"/>
      <w:numFmt w:val="decimal"/>
      <w:pStyle w:val="ExhibitHeading2"/>
      <w:suff w:val="space"/>
      <w:lvlText w:val="%1.%2"/>
      <w:lvlJc w:val="left"/>
      <w:pPr>
        <w:ind w:left="576" w:hanging="576"/>
      </w:pPr>
      <w:rPr>
        <w:rFonts w:hint="default"/>
      </w:rPr>
    </w:lvl>
    <w:lvl w:ilvl="2">
      <w:start w:val="1"/>
      <w:numFmt w:val="decimal"/>
      <w:pStyle w:val="ExhibitHeading3"/>
      <w:suff w:val="space"/>
      <w:lvlText w:val="%1.%2.%3"/>
      <w:lvlJc w:val="left"/>
      <w:pPr>
        <w:ind w:left="720" w:hanging="720"/>
      </w:pPr>
      <w:rPr>
        <w:rFonts w:hint="default"/>
      </w:rPr>
    </w:lvl>
    <w:lvl w:ilvl="3">
      <w:start w:val="1"/>
      <w:numFmt w:val="decimal"/>
      <w:pStyle w:val="ExhibitHeading1"/>
      <w:suff w:val="space"/>
      <w:lvlText w:val="%1.%2.%3.%4"/>
      <w:lvlJc w:val="left"/>
      <w:pPr>
        <w:ind w:left="864" w:hanging="864"/>
      </w:pPr>
      <w:rPr>
        <w:rFonts w:hint="default"/>
      </w:rPr>
    </w:lvl>
    <w:lvl w:ilvl="4">
      <w:start w:val="1"/>
      <w:numFmt w:val="decimal"/>
      <w:pStyle w:val="ExhibitHeading2"/>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42" w15:restartNumberingAfterBreak="0">
    <w:nsid w:val="7BD16224"/>
    <w:multiLevelType w:val="hybridMultilevel"/>
    <w:tmpl w:val="A75E5C98"/>
    <w:lvl w:ilvl="0" w:tplc="233E724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32"/>
  </w:num>
  <w:num w:numId="3">
    <w:abstractNumId w:val="29"/>
  </w:num>
  <w:num w:numId="4">
    <w:abstractNumId w:val="36"/>
  </w:num>
  <w:num w:numId="5">
    <w:abstractNumId w:val="43"/>
  </w:num>
  <w:num w:numId="6">
    <w:abstractNumId w:val="20"/>
  </w:num>
  <w:num w:numId="7">
    <w:abstractNumId w:val="12"/>
  </w:num>
  <w:num w:numId="8">
    <w:abstractNumId w:val="21"/>
  </w:num>
  <w:num w:numId="9">
    <w:abstractNumId w:val="34"/>
  </w:num>
  <w:num w:numId="10">
    <w:abstractNumId w:val="19"/>
  </w:num>
  <w:num w:numId="11">
    <w:abstractNumId w:val="8"/>
  </w:num>
  <w:num w:numId="12">
    <w:abstractNumId w:val="25"/>
  </w:num>
  <w:num w:numId="13">
    <w:abstractNumId w:val="31"/>
  </w:num>
  <w:num w:numId="14">
    <w:abstractNumId w:val="26"/>
  </w:num>
  <w:num w:numId="15">
    <w:abstractNumId w:val="4"/>
  </w:num>
  <w:num w:numId="16">
    <w:abstractNumId w:val="16"/>
  </w:num>
  <w:num w:numId="17">
    <w:abstractNumId w:val="17"/>
    <w:lvlOverride w:ilvl="0">
      <w:startOverride w:val="1"/>
    </w:lvlOverride>
  </w:num>
  <w:num w:numId="18">
    <w:abstractNumId w:val="23"/>
  </w:num>
  <w:num w:numId="19">
    <w:abstractNumId w:val="39"/>
  </w:num>
  <w:num w:numId="20">
    <w:abstractNumId w:val="40"/>
  </w:num>
  <w:num w:numId="21">
    <w:abstractNumId w:val="1"/>
  </w:num>
  <w:num w:numId="22">
    <w:abstractNumId w:val="37"/>
  </w:num>
  <w:num w:numId="23">
    <w:abstractNumId w:val="10"/>
  </w:num>
  <w:num w:numId="24">
    <w:abstractNumId w:val="0"/>
  </w:num>
  <w:num w:numId="25">
    <w:abstractNumId w:val="28"/>
  </w:num>
  <w:num w:numId="26">
    <w:abstractNumId w:val="27"/>
  </w:num>
  <w:num w:numId="27">
    <w:abstractNumId w:val="41"/>
  </w:num>
  <w:num w:numId="28">
    <w:abstractNumId w:val="11"/>
  </w:num>
  <w:num w:numId="29">
    <w:abstractNumId w:val="18"/>
  </w:num>
  <w:num w:numId="30">
    <w:abstractNumId w:val="6"/>
  </w:num>
  <w:num w:numId="31">
    <w:abstractNumId w:val="3"/>
  </w:num>
  <w:num w:numId="32">
    <w:abstractNumId w:val="38"/>
  </w:num>
  <w:num w:numId="33">
    <w:abstractNumId w:val="33"/>
  </w:num>
  <w:num w:numId="34">
    <w:abstractNumId w:val="42"/>
  </w:num>
  <w:num w:numId="35">
    <w:abstractNumId w:val="2"/>
  </w:num>
  <w:num w:numId="36">
    <w:abstractNumId w:val="13"/>
  </w:num>
  <w:num w:numId="37">
    <w:abstractNumId w:val="15"/>
  </w:num>
  <w:num w:numId="38">
    <w:abstractNumId w:val="14"/>
  </w:num>
  <w:num w:numId="39">
    <w:abstractNumId w:val="35"/>
  </w:num>
  <w:num w:numId="40">
    <w:abstractNumId w:val="24"/>
  </w:num>
  <w:num w:numId="41">
    <w:abstractNumId w:val="7"/>
  </w:num>
  <w:num w:numId="42">
    <w:abstractNumId w:val="5"/>
  </w:num>
  <w:num w:numId="43">
    <w:abstractNumId w:val="22"/>
  </w:num>
  <w:num w:numId="44">
    <w:abstractNumId w:val="3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FAD"/>
    <w:rsid w:val="000005A2"/>
    <w:rsid w:val="0002198B"/>
    <w:rsid w:val="00021BF3"/>
    <w:rsid w:val="000236FF"/>
    <w:rsid w:val="000263C4"/>
    <w:rsid w:val="000344B2"/>
    <w:rsid w:val="00037797"/>
    <w:rsid w:val="00043E74"/>
    <w:rsid w:val="00073866"/>
    <w:rsid w:val="00073F10"/>
    <w:rsid w:val="00074744"/>
    <w:rsid w:val="00074998"/>
    <w:rsid w:val="00074F68"/>
    <w:rsid w:val="00096C40"/>
    <w:rsid w:val="000A0964"/>
    <w:rsid w:val="000A4D7E"/>
    <w:rsid w:val="000A4F01"/>
    <w:rsid w:val="000B3AF4"/>
    <w:rsid w:val="000B640D"/>
    <w:rsid w:val="000C3AF0"/>
    <w:rsid w:val="000E412E"/>
    <w:rsid w:val="000F0397"/>
    <w:rsid w:val="000F5367"/>
    <w:rsid w:val="00100821"/>
    <w:rsid w:val="00101FF5"/>
    <w:rsid w:val="001311E3"/>
    <w:rsid w:val="00131615"/>
    <w:rsid w:val="00133AD7"/>
    <w:rsid w:val="00133F3F"/>
    <w:rsid w:val="00144D56"/>
    <w:rsid w:val="00145F12"/>
    <w:rsid w:val="00155905"/>
    <w:rsid w:val="001627AD"/>
    <w:rsid w:val="00174CDF"/>
    <w:rsid w:val="001912C5"/>
    <w:rsid w:val="001A124E"/>
    <w:rsid w:val="001A4781"/>
    <w:rsid w:val="001A544B"/>
    <w:rsid w:val="001D4F41"/>
    <w:rsid w:val="001E5C6C"/>
    <w:rsid w:val="002077F4"/>
    <w:rsid w:val="00222FF0"/>
    <w:rsid w:val="00226A71"/>
    <w:rsid w:val="00234798"/>
    <w:rsid w:val="002643F4"/>
    <w:rsid w:val="0027172C"/>
    <w:rsid w:val="00272273"/>
    <w:rsid w:val="00274C9E"/>
    <w:rsid w:val="00285AEA"/>
    <w:rsid w:val="0029428D"/>
    <w:rsid w:val="00297632"/>
    <w:rsid w:val="002B2BCD"/>
    <w:rsid w:val="002B620C"/>
    <w:rsid w:val="002D42AC"/>
    <w:rsid w:val="002D7AEA"/>
    <w:rsid w:val="003307D8"/>
    <w:rsid w:val="00331624"/>
    <w:rsid w:val="00331A0E"/>
    <w:rsid w:val="00336F39"/>
    <w:rsid w:val="00337CD8"/>
    <w:rsid w:val="00343CE2"/>
    <w:rsid w:val="003613B3"/>
    <w:rsid w:val="00372B91"/>
    <w:rsid w:val="00397582"/>
    <w:rsid w:val="003B46F3"/>
    <w:rsid w:val="003E376D"/>
    <w:rsid w:val="003F02D6"/>
    <w:rsid w:val="003F3255"/>
    <w:rsid w:val="004000CE"/>
    <w:rsid w:val="004022E3"/>
    <w:rsid w:val="00403C65"/>
    <w:rsid w:val="00403DA3"/>
    <w:rsid w:val="00405923"/>
    <w:rsid w:val="00421679"/>
    <w:rsid w:val="00425796"/>
    <w:rsid w:val="00434A47"/>
    <w:rsid w:val="00443ADE"/>
    <w:rsid w:val="00456DE3"/>
    <w:rsid w:val="00463877"/>
    <w:rsid w:val="004659AB"/>
    <w:rsid w:val="0047086D"/>
    <w:rsid w:val="00472329"/>
    <w:rsid w:val="00481FC3"/>
    <w:rsid w:val="00482076"/>
    <w:rsid w:val="004912DC"/>
    <w:rsid w:val="004A0EAB"/>
    <w:rsid w:val="004A3DA0"/>
    <w:rsid w:val="004A7CE0"/>
    <w:rsid w:val="004B47C9"/>
    <w:rsid w:val="004E5BE8"/>
    <w:rsid w:val="004F23D2"/>
    <w:rsid w:val="004F362A"/>
    <w:rsid w:val="004F3904"/>
    <w:rsid w:val="005015CA"/>
    <w:rsid w:val="00502CD7"/>
    <w:rsid w:val="0051097A"/>
    <w:rsid w:val="00516444"/>
    <w:rsid w:val="00527C9D"/>
    <w:rsid w:val="005301C7"/>
    <w:rsid w:val="00537E8C"/>
    <w:rsid w:val="00543BEE"/>
    <w:rsid w:val="00556AA3"/>
    <w:rsid w:val="005720E5"/>
    <w:rsid w:val="00577C40"/>
    <w:rsid w:val="00595F06"/>
    <w:rsid w:val="005B0D77"/>
    <w:rsid w:val="005B4454"/>
    <w:rsid w:val="005E067F"/>
    <w:rsid w:val="005E655D"/>
    <w:rsid w:val="00601373"/>
    <w:rsid w:val="006015FB"/>
    <w:rsid w:val="00605E06"/>
    <w:rsid w:val="00613245"/>
    <w:rsid w:val="00627879"/>
    <w:rsid w:val="006406F8"/>
    <w:rsid w:val="00643D25"/>
    <w:rsid w:val="006513A1"/>
    <w:rsid w:val="00651F60"/>
    <w:rsid w:val="00653DB1"/>
    <w:rsid w:val="006627BD"/>
    <w:rsid w:val="00663C29"/>
    <w:rsid w:val="006748DC"/>
    <w:rsid w:val="00680591"/>
    <w:rsid w:val="00681167"/>
    <w:rsid w:val="006975AA"/>
    <w:rsid w:val="006A376F"/>
    <w:rsid w:val="006A3871"/>
    <w:rsid w:val="006B692D"/>
    <w:rsid w:val="006C1D4D"/>
    <w:rsid w:val="006C28AF"/>
    <w:rsid w:val="006C4996"/>
    <w:rsid w:val="006E1277"/>
    <w:rsid w:val="006E2294"/>
    <w:rsid w:val="00704263"/>
    <w:rsid w:val="007139C2"/>
    <w:rsid w:val="00722931"/>
    <w:rsid w:val="007322CF"/>
    <w:rsid w:val="00735F79"/>
    <w:rsid w:val="00747D13"/>
    <w:rsid w:val="007529DD"/>
    <w:rsid w:val="00757718"/>
    <w:rsid w:val="0078149E"/>
    <w:rsid w:val="007B65FA"/>
    <w:rsid w:val="007B7A57"/>
    <w:rsid w:val="007C0F1E"/>
    <w:rsid w:val="007C4746"/>
    <w:rsid w:val="007C5FDB"/>
    <w:rsid w:val="007D18E8"/>
    <w:rsid w:val="007F0A48"/>
    <w:rsid w:val="007F2F83"/>
    <w:rsid w:val="007F38F7"/>
    <w:rsid w:val="007F5149"/>
    <w:rsid w:val="00801B67"/>
    <w:rsid w:val="008210DD"/>
    <w:rsid w:val="008449CC"/>
    <w:rsid w:val="00851E60"/>
    <w:rsid w:val="008605FF"/>
    <w:rsid w:val="00861D11"/>
    <w:rsid w:val="00877392"/>
    <w:rsid w:val="00880648"/>
    <w:rsid w:val="00883E4D"/>
    <w:rsid w:val="008D1457"/>
    <w:rsid w:val="008E460F"/>
    <w:rsid w:val="008F08DE"/>
    <w:rsid w:val="00906890"/>
    <w:rsid w:val="0092286E"/>
    <w:rsid w:val="00946F25"/>
    <w:rsid w:val="0095184E"/>
    <w:rsid w:val="00953218"/>
    <w:rsid w:val="00960CF2"/>
    <w:rsid w:val="00963E98"/>
    <w:rsid w:val="00972620"/>
    <w:rsid w:val="009741F2"/>
    <w:rsid w:val="009753FA"/>
    <w:rsid w:val="00982FF6"/>
    <w:rsid w:val="009855DC"/>
    <w:rsid w:val="00986DAA"/>
    <w:rsid w:val="0099498E"/>
    <w:rsid w:val="009973D9"/>
    <w:rsid w:val="009A0451"/>
    <w:rsid w:val="009A236E"/>
    <w:rsid w:val="009A66C1"/>
    <w:rsid w:val="009C187B"/>
    <w:rsid w:val="009D0FAD"/>
    <w:rsid w:val="009D30E8"/>
    <w:rsid w:val="009E2AAE"/>
    <w:rsid w:val="009F337A"/>
    <w:rsid w:val="009F53A0"/>
    <w:rsid w:val="00A06902"/>
    <w:rsid w:val="00A31844"/>
    <w:rsid w:val="00A402C7"/>
    <w:rsid w:val="00A4033C"/>
    <w:rsid w:val="00A446FC"/>
    <w:rsid w:val="00A644FD"/>
    <w:rsid w:val="00A74AC6"/>
    <w:rsid w:val="00A8186B"/>
    <w:rsid w:val="00A91473"/>
    <w:rsid w:val="00AA4231"/>
    <w:rsid w:val="00AA6080"/>
    <w:rsid w:val="00AC0851"/>
    <w:rsid w:val="00AC2294"/>
    <w:rsid w:val="00AD6613"/>
    <w:rsid w:val="00AD7B58"/>
    <w:rsid w:val="00AE6351"/>
    <w:rsid w:val="00AF2065"/>
    <w:rsid w:val="00B02452"/>
    <w:rsid w:val="00B02BC0"/>
    <w:rsid w:val="00B14C10"/>
    <w:rsid w:val="00B232A6"/>
    <w:rsid w:val="00B30DC4"/>
    <w:rsid w:val="00B31792"/>
    <w:rsid w:val="00B3677E"/>
    <w:rsid w:val="00B572B4"/>
    <w:rsid w:val="00B62C2A"/>
    <w:rsid w:val="00B66C67"/>
    <w:rsid w:val="00B75A2B"/>
    <w:rsid w:val="00B831DC"/>
    <w:rsid w:val="00BB768E"/>
    <w:rsid w:val="00BC483A"/>
    <w:rsid w:val="00BC6CCC"/>
    <w:rsid w:val="00BF0D90"/>
    <w:rsid w:val="00BF1CD7"/>
    <w:rsid w:val="00C00CDE"/>
    <w:rsid w:val="00C05841"/>
    <w:rsid w:val="00C06E50"/>
    <w:rsid w:val="00C14808"/>
    <w:rsid w:val="00C209E6"/>
    <w:rsid w:val="00C218F8"/>
    <w:rsid w:val="00C227EF"/>
    <w:rsid w:val="00C3736E"/>
    <w:rsid w:val="00C639E5"/>
    <w:rsid w:val="00C6643E"/>
    <w:rsid w:val="00C74BB7"/>
    <w:rsid w:val="00C76131"/>
    <w:rsid w:val="00C843B0"/>
    <w:rsid w:val="00C91410"/>
    <w:rsid w:val="00C91470"/>
    <w:rsid w:val="00CC2D5B"/>
    <w:rsid w:val="00CC69B1"/>
    <w:rsid w:val="00CD3162"/>
    <w:rsid w:val="00CD34BB"/>
    <w:rsid w:val="00CF2990"/>
    <w:rsid w:val="00CF2C84"/>
    <w:rsid w:val="00D33C12"/>
    <w:rsid w:val="00D4259F"/>
    <w:rsid w:val="00D54790"/>
    <w:rsid w:val="00D8019E"/>
    <w:rsid w:val="00D95CEC"/>
    <w:rsid w:val="00DB589F"/>
    <w:rsid w:val="00DB71B2"/>
    <w:rsid w:val="00DC1023"/>
    <w:rsid w:val="00DC1EA1"/>
    <w:rsid w:val="00DC624F"/>
    <w:rsid w:val="00DC7689"/>
    <w:rsid w:val="00DD4D68"/>
    <w:rsid w:val="00DD6BA5"/>
    <w:rsid w:val="00DE0E3D"/>
    <w:rsid w:val="00DE54C9"/>
    <w:rsid w:val="00E014AD"/>
    <w:rsid w:val="00E042A8"/>
    <w:rsid w:val="00E070E4"/>
    <w:rsid w:val="00E17145"/>
    <w:rsid w:val="00E25184"/>
    <w:rsid w:val="00E27A49"/>
    <w:rsid w:val="00E446A3"/>
    <w:rsid w:val="00E72F8C"/>
    <w:rsid w:val="00E73BDB"/>
    <w:rsid w:val="00E773D2"/>
    <w:rsid w:val="00E84875"/>
    <w:rsid w:val="00E97B14"/>
    <w:rsid w:val="00ED4E5A"/>
    <w:rsid w:val="00ED5C09"/>
    <w:rsid w:val="00ED61DF"/>
    <w:rsid w:val="00ED7AEF"/>
    <w:rsid w:val="00EF27ED"/>
    <w:rsid w:val="00F02CBA"/>
    <w:rsid w:val="00F04F8F"/>
    <w:rsid w:val="00F0563C"/>
    <w:rsid w:val="00F30E5E"/>
    <w:rsid w:val="00F33D5D"/>
    <w:rsid w:val="00F4001A"/>
    <w:rsid w:val="00F4697C"/>
    <w:rsid w:val="00F60B40"/>
    <w:rsid w:val="00F62212"/>
    <w:rsid w:val="00F7104F"/>
    <w:rsid w:val="00F75EB9"/>
    <w:rsid w:val="00F84DE6"/>
    <w:rsid w:val="00F857E0"/>
    <w:rsid w:val="00FB359A"/>
    <w:rsid w:val="00FD4269"/>
    <w:rsid w:val="00FD5701"/>
    <w:rsid w:val="00FE3166"/>
    <w:rsid w:val="00FE6A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3217E07"/>
  <w15:docId w15:val="{4C7F1D73-7A81-4650-A645-3358CB4B0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qFormat="1"/>
    <w:lsdException w:name="List Bullet 4" w:semiHidden="1" w:uiPriority="0" w:unhideWhenUsed="1" w:qFormat="1"/>
    <w:lsdException w:name="List Bullet 5" w:semiHidden="1" w:uiPriority="0" w:unhideWhenUsed="1"/>
    <w:lsdException w:name="List Number 2" w:semiHidden="1" w:uiPriority="13" w:unhideWhenUsed="1" w:qFormat="1"/>
    <w:lsdException w:name="List Number 3" w:semiHidden="1" w:uiPriority="13" w:unhideWhenUsed="1" w:qFormat="1"/>
    <w:lsdException w:name="List Number 4" w:semiHidden="1" w:uiPriority="13" w:unhideWhenUsed="1" w:qFormat="1"/>
    <w:lsdException w:name="List Number 5" w:semiHidden="1" w:uiPriority="13"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D0FAD"/>
    <w:pPr>
      <w:spacing w:after="0" w:line="260" w:lineRule="atLeast"/>
    </w:pPr>
    <w:rPr>
      <w:rFonts w:ascii="Arial" w:eastAsia="Times New Roman" w:hAnsi="Arial" w:cs="Times New Roman"/>
      <w:sz w:val="20"/>
      <w:szCs w:val="24"/>
    </w:rPr>
  </w:style>
  <w:style w:type="paragraph" w:styleId="Naslov1">
    <w:name w:val="heading 1"/>
    <w:aliases w:val="NASLOV"/>
    <w:basedOn w:val="Navaden"/>
    <w:next w:val="Navaden"/>
    <w:link w:val="Naslov1Znak"/>
    <w:autoRedefine/>
    <w:uiPriority w:val="9"/>
    <w:qFormat/>
    <w:rsid w:val="009D0FAD"/>
    <w:pPr>
      <w:keepNext/>
      <w:spacing w:before="240" w:after="60"/>
      <w:outlineLvl w:val="0"/>
    </w:pPr>
    <w:rPr>
      <w:b/>
      <w:kern w:val="32"/>
      <w:sz w:val="28"/>
      <w:szCs w:val="32"/>
      <w:lang w:eastAsia="sl-SI"/>
    </w:rPr>
  </w:style>
  <w:style w:type="paragraph" w:styleId="Naslov2">
    <w:name w:val="heading 2"/>
    <w:basedOn w:val="Navaden"/>
    <w:next w:val="Navaden"/>
    <w:link w:val="Naslov2Znak"/>
    <w:uiPriority w:val="9"/>
    <w:qFormat/>
    <w:rsid w:val="00B31792"/>
    <w:pPr>
      <w:keepNext/>
      <w:spacing w:after="240" w:line="240" w:lineRule="auto"/>
      <w:ind w:left="1440"/>
      <w:jc w:val="center"/>
      <w:outlineLvl w:val="1"/>
    </w:pPr>
    <w:rPr>
      <w:rFonts w:ascii="Times New Roman" w:hAnsi="Times New Roman" w:cs="Arial"/>
      <w:b/>
      <w:bCs/>
      <w:iCs/>
      <w:sz w:val="24"/>
      <w:szCs w:val="28"/>
      <w:lang w:val="en-US"/>
    </w:rPr>
  </w:style>
  <w:style w:type="paragraph" w:styleId="Naslov3">
    <w:name w:val="heading 3"/>
    <w:basedOn w:val="Navaden"/>
    <w:next w:val="Navaden"/>
    <w:link w:val="Naslov3Znak"/>
    <w:uiPriority w:val="9"/>
    <w:unhideWhenUsed/>
    <w:qFormat/>
    <w:rsid w:val="00B31792"/>
    <w:pPr>
      <w:keepNext/>
      <w:keepLines/>
      <w:spacing w:before="40" w:line="240" w:lineRule="auto"/>
      <w:outlineLvl w:val="2"/>
    </w:pPr>
    <w:rPr>
      <w:rFonts w:asciiTheme="majorHAnsi" w:eastAsiaTheme="majorEastAsia" w:hAnsiTheme="majorHAnsi" w:cstheme="majorBidi"/>
      <w:color w:val="1F4D78" w:themeColor="accent1" w:themeShade="7F"/>
      <w:sz w:val="24"/>
      <w:lang w:val="en-US"/>
    </w:rPr>
  </w:style>
  <w:style w:type="paragraph" w:styleId="Naslov4">
    <w:name w:val="heading 4"/>
    <w:basedOn w:val="Navaden"/>
    <w:next w:val="Navaden"/>
    <w:link w:val="Naslov4Znak"/>
    <w:uiPriority w:val="9"/>
    <w:unhideWhenUsed/>
    <w:qFormat/>
    <w:rsid w:val="00B31792"/>
    <w:pPr>
      <w:keepNext/>
      <w:keepLines/>
      <w:spacing w:before="40" w:line="240" w:lineRule="auto"/>
      <w:outlineLvl w:val="3"/>
    </w:pPr>
    <w:rPr>
      <w:rFonts w:asciiTheme="majorHAnsi" w:eastAsiaTheme="majorEastAsia" w:hAnsiTheme="majorHAnsi" w:cstheme="majorBidi"/>
      <w:i/>
      <w:iCs/>
      <w:color w:val="2E74B5" w:themeColor="accent1" w:themeShade="BF"/>
      <w:sz w:val="24"/>
      <w:lang w:val="en-US"/>
    </w:rPr>
  </w:style>
  <w:style w:type="paragraph" w:styleId="Naslov5">
    <w:name w:val="heading 5"/>
    <w:basedOn w:val="Navaden"/>
    <w:next w:val="Navaden"/>
    <w:link w:val="Naslov5Znak"/>
    <w:uiPriority w:val="9"/>
    <w:unhideWhenUsed/>
    <w:qFormat/>
    <w:rsid w:val="00B31792"/>
    <w:pPr>
      <w:keepNext/>
      <w:keepLines/>
      <w:spacing w:before="40" w:line="240" w:lineRule="auto"/>
      <w:outlineLvl w:val="4"/>
    </w:pPr>
    <w:rPr>
      <w:rFonts w:asciiTheme="majorHAnsi" w:eastAsiaTheme="majorEastAsia" w:hAnsiTheme="majorHAnsi" w:cstheme="majorBidi"/>
      <w:color w:val="2E74B5" w:themeColor="accent1" w:themeShade="BF"/>
      <w:sz w:val="24"/>
      <w:lang w:val="en-US"/>
    </w:rPr>
  </w:style>
  <w:style w:type="paragraph" w:styleId="Naslov6">
    <w:name w:val="heading 6"/>
    <w:next w:val="Navaden"/>
    <w:link w:val="Naslov6Znak"/>
    <w:uiPriority w:val="9"/>
    <w:unhideWhenUsed/>
    <w:qFormat/>
    <w:rsid w:val="00B31792"/>
    <w:pPr>
      <w:keepNext/>
      <w:keepLines/>
      <w:spacing w:after="98"/>
      <w:ind w:left="10" w:hanging="10"/>
      <w:outlineLvl w:val="5"/>
    </w:pPr>
    <w:rPr>
      <w:rFonts w:ascii="Georgia" w:eastAsia="Georgia" w:hAnsi="Georgia" w:cs="Georgia"/>
      <w:color w:val="821A1A"/>
      <w:sz w:val="24"/>
      <w:lang w:eastAsia="sl-SI"/>
    </w:rPr>
  </w:style>
  <w:style w:type="paragraph" w:styleId="Naslov7">
    <w:name w:val="heading 7"/>
    <w:next w:val="Navaden"/>
    <w:link w:val="Naslov7Znak"/>
    <w:uiPriority w:val="9"/>
    <w:unhideWhenUsed/>
    <w:qFormat/>
    <w:rsid w:val="00B31792"/>
    <w:pPr>
      <w:keepNext/>
      <w:keepLines/>
      <w:spacing w:after="98"/>
      <w:ind w:left="10" w:hanging="10"/>
      <w:outlineLvl w:val="6"/>
    </w:pPr>
    <w:rPr>
      <w:rFonts w:ascii="Georgia" w:eastAsia="Georgia" w:hAnsi="Georgia" w:cs="Georgia"/>
      <w:color w:val="821A1A"/>
      <w:sz w:val="24"/>
      <w:lang w:eastAsia="sl-SI"/>
    </w:rPr>
  </w:style>
  <w:style w:type="paragraph" w:styleId="Naslov8">
    <w:name w:val="heading 8"/>
    <w:basedOn w:val="Navaden"/>
    <w:next w:val="Telobesedila"/>
    <w:link w:val="Naslov8Znak"/>
    <w:uiPriority w:val="9"/>
    <w:unhideWhenUsed/>
    <w:qFormat/>
    <w:rsid w:val="00B31792"/>
    <w:pPr>
      <w:keepNext/>
      <w:spacing w:after="240" w:line="240" w:lineRule="auto"/>
      <w:outlineLvl w:val="7"/>
    </w:pPr>
    <w:rPr>
      <w:rFonts w:asciiTheme="majorHAnsi" w:eastAsiaTheme="majorEastAsia" w:hAnsiTheme="majorHAnsi" w:cstheme="majorBidi"/>
      <w:b/>
      <w:color w:val="000000" w:themeColor="text1"/>
      <w:szCs w:val="21"/>
    </w:rPr>
  </w:style>
  <w:style w:type="paragraph" w:styleId="Naslov9">
    <w:name w:val="heading 9"/>
    <w:basedOn w:val="Navaden"/>
    <w:next w:val="Telobesedila"/>
    <w:link w:val="Naslov9Znak"/>
    <w:uiPriority w:val="9"/>
    <w:semiHidden/>
    <w:unhideWhenUsed/>
    <w:qFormat/>
    <w:rsid w:val="00B31792"/>
    <w:pPr>
      <w:keepNext/>
      <w:spacing w:after="240" w:line="240" w:lineRule="auto"/>
      <w:outlineLvl w:val="8"/>
    </w:pPr>
    <w:rPr>
      <w:rFonts w:asciiTheme="majorHAnsi" w:eastAsiaTheme="majorEastAsia" w:hAnsiTheme="majorHAnsi" w:cstheme="majorBidi"/>
      <w:i/>
      <w:iCs/>
      <w:color w:val="272727" w:themeColor="text1" w:themeTint="D8"/>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uiPriority w:val="9"/>
    <w:rsid w:val="009D0FAD"/>
    <w:rPr>
      <w:rFonts w:ascii="Arial" w:eastAsia="Times New Roman" w:hAnsi="Arial" w:cs="Times New Roman"/>
      <w:b/>
      <w:kern w:val="32"/>
      <w:sz w:val="28"/>
      <w:szCs w:val="32"/>
      <w:lang w:eastAsia="sl-SI"/>
    </w:rPr>
  </w:style>
  <w:style w:type="paragraph" w:styleId="Glava">
    <w:name w:val="header"/>
    <w:basedOn w:val="Navaden"/>
    <w:link w:val="GlavaZnak"/>
    <w:uiPriority w:val="99"/>
    <w:qFormat/>
    <w:rsid w:val="009D0FAD"/>
    <w:pPr>
      <w:tabs>
        <w:tab w:val="center" w:pos="4320"/>
        <w:tab w:val="right" w:pos="8640"/>
      </w:tabs>
    </w:pPr>
  </w:style>
  <w:style w:type="character" w:customStyle="1" w:styleId="GlavaZnak">
    <w:name w:val="Glava Znak"/>
    <w:basedOn w:val="Privzetapisavaodstavka"/>
    <w:link w:val="Glava"/>
    <w:uiPriority w:val="99"/>
    <w:rsid w:val="009D0FAD"/>
    <w:rPr>
      <w:rFonts w:ascii="Arial" w:eastAsia="Times New Roman" w:hAnsi="Arial" w:cs="Times New Roman"/>
      <w:sz w:val="20"/>
      <w:szCs w:val="24"/>
    </w:rPr>
  </w:style>
  <w:style w:type="character" w:styleId="Hiperpovezava">
    <w:name w:val="Hyperlink"/>
    <w:uiPriority w:val="99"/>
    <w:rsid w:val="009D0FAD"/>
    <w:rPr>
      <w:color w:val="0000FF"/>
      <w:u w:val="single"/>
    </w:rPr>
  </w:style>
  <w:style w:type="character" w:customStyle="1" w:styleId="OdstavekseznamaZnak">
    <w:name w:val="Odstavek seznama Znak"/>
    <w:aliases w:val="K1 Znak,Table of contents numbered Znak,Elenco num ARGEA Znak,body Znak,Odsek zoznamu2 Znak"/>
    <w:link w:val="Odstavekseznama"/>
    <w:uiPriority w:val="34"/>
    <w:qFormat/>
    <w:locked/>
    <w:rsid w:val="009D0FAD"/>
    <w:rPr>
      <w:sz w:val="24"/>
      <w:szCs w:val="24"/>
    </w:rPr>
  </w:style>
  <w:style w:type="paragraph" w:styleId="Odstavekseznama">
    <w:name w:val="List Paragraph"/>
    <w:aliases w:val="K1,Table of contents numbered,Elenco num ARGEA,body,Odsek zoznamu2"/>
    <w:basedOn w:val="Navaden"/>
    <w:link w:val="OdstavekseznamaZnak"/>
    <w:uiPriority w:val="34"/>
    <w:qFormat/>
    <w:rsid w:val="009D0FAD"/>
    <w:pPr>
      <w:spacing w:line="240" w:lineRule="auto"/>
      <w:ind w:left="720"/>
      <w:contextualSpacing/>
    </w:pPr>
    <w:rPr>
      <w:rFonts w:asciiTheme="minorHAnsi" w:eastAsiaTheme="minorHAnsi" w:hAnsiTheme="minorHAnsi" w:cstheme="minorBidi"/>
      <w:sz w:val="24"/>
    </w:rPr>
  </w:style>
  <w:style w:type="paragraph" w:customStyle="1" w:styleId="Naslovpredpisa">
    <w:name w:val="Naslov_predpisa"/>
    <w:basedOn w:val="Navaden"/>
    <w:link w:val="NaslovpredpisaZnak"/>
    <w:qFormat/>
    <w:rsid w:val="009D0FAD"/>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9D0FAD"/>
    <w:rPr>
      <w:rFonts w:ascii="Arial" w:eastAsia="Times New Roman" w:hAnsi="Arial" w:cs="Arial"/>
      <w:b/>
      <w:lang w:eastAsia="sl-SI"/>
    </w:rPr>
  </w:style>
  <w:style w:type="table" w:styleId="Tabelamrea">
    <w:name w:val="Table Grid"/>
    <w:basedOn w:val="Navadnatabela"/>
    <w:uiPriority w:val="39"/>
    <w:rsid w:val="00405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405923"/>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05923"/>
    <w:rPr>
      <w:rFonts w:ascii="Segoe UI" w:eastAsia="Times New Roman" w:hAnsi="Segoe UI" w:cs="Segoe UI"/>
      <w:sz w:val="18"/>
      <w:szCs w:val="18"/>
    </w:rPr>
  </w:style>
  <w:style w:type="paragraph" w:styleId="Noga">
    <w:name w:val="footer"/>
    <w:aliases w:val="|| Footer"/>
    <w:basedOn w:val="Navaden"/>
    <w:link w:val="NogaZnak"/>
    <w:uiPriority w:val="99"/>
    <w:unhideWhenUsed/>
    <w:rsid w:val="00B31792"/>
    <w:pPr>
      <w:tabs>
        <w:tab w:val="center" w:pos="4536"/>
        <w:tab w:val="right" w:pos="9072"/>
      </w:tabs>
      <w:spacing w:line="240" w:lineRule="auto"/>
    </w:pPr>
  </w:style>
  <w:style w:type="character" w:customStyle="1" w:styleId="NogaZnak">
    <w:name w:val="Noga Znak"/>
    <w:aliases w:val="|| Footer Znak"/>
    <w:basedOn w:val="Privzetapisavaodstavka"/>
    <w:link w:val="Noga"/>
    <w:uiPriority w:val="99"/>
    <w:rsid w:val="00B31792"/>
    <w:rPr>
      <w:rFonts w:ascii="Arial" w:eastAsia="Times New Roman" w:hAnsi="Arial" w:cs="Times New Roman"/>
      <w:sz w:val="20"/>
      <w:szCs w:val="24"/>
    </w:rPr>
  </w:style>
  <w:style w:type="character" w:customStyle="1" w:styleId="Naslov2Znak">
    <w:name w:val="Naslov 2 Znak"/>
    <w:basedOn w:val="Privzetapisavaodstavka"/>
    <w:link w:val="Naslov2"/>
    <w:uiPriority w:val="9"/>
    <w:rsid w:val="00B31792"/>
    <w:rPr>
      <w:rFonts w:ascii="Times New Roman" w:eastAsia="Times New Roman" w:hAnsi="Times New Roman" w:cs="Arial"/>
      <w:b/>
      <w:bCs/>
      <w:iCs/>
      <w:sz w:val="24"/>
      <w:szCs w:val="28"/>
      <w:lang w:val="en-US"/>
    </w:rPr>
  </w:style>
  <w:style w:type="character" w:customStyle="1" w:styleId="Naslov3Znak">
    <w:name w:val="Naslov 3 Znak"/>
    <w:basedOn w:val="Privzetapisavaodstavka"/>
    <w:link w:val="Naslov3"/>
    <w:uiPriority w:val="9"/>
    <w:rsid w:val="00B31792"/>
    <w:rPr>
      <w:rFonts w:asciiTheme="majorHAnsi" w:eastAsiaTheme="majorEastAsia" w:hAnsiTheme="majorHAnsi" w:cstheme="majorBidi"/>
      <w:color w:val="1F4D78" w:themeColor="accent1" w:themeShade="7F"/>
      <w:sz w:val="24"/>
      <w:szCs w:val="24"/>
      <w:lang w:val="en-US"/>
    </w:rPr>
  </w:style>
  <w:style w:type="character" w:customStyle="1" w:styleId="Naslov4Znak">
    <w:name w:val="Naslov 4 Znak"/>
    <w:basedOn w:val="Privzetapisavaodstavka"/>
    <w:link w:val="Naslov4"/>
    <w:uiPriority w:val="9"/>
    <w:rsid w:val="00B31792"/>
    <w:rPr>
      <w:rFonts w:asciiTheme="majorHAnsi" w:eastAsiaTheme="majorEastAsia" w:hAnsiTheme="majorHAnsi" w:cstheme="majorBidi"/>
      <w:i/>
      <w:iCs/>
      <w:color w:val="2E74B5" w:themeColor="accent1" w:themeShade="BF"/>
      <w:sz w:val="24"/>
      <w:szCs w:val="24"/>
      <w:lang w:val="en-US"/>
    </w:rPr>
  </w:style>
  <w:style w:type="character" w:customStyle="1" w:styleId="Naslov5Znak">
    <w:name w:val="Naslov 5 Znak"/>
    <w:basedOn w:val="Privzetapisavaodstavka"/>
    <w:link w:val="Naslov5"/>
    <w:uiPriority w:val="9"/>
    <w:rsid w:val="00B31792"/>
    <w:rPr>
      <w:rFonts w:asciiTheme="majorHAnsi" w:eastAsiaTheme="majorEastAsia" w:hAnsiTheme="majorHAnsi" w:cstheme="majorBidi"/>
      <w:color w:val="2E74B5" w:themeColor="accent1" w:themeShade="BF"/>
      <w:sz w:val="24"/>
      <w:szCs w:val="24"/>
      <w:lang w:val="en-US"/>
    </w:rPr>
  </w:style>
  <w:style w:type="character" w:customStyle="1" w:styleId="Naslov6Znak">
    <w:name w:val="Naslov 6 Znak"/>
    <w:basedOn w:val="Privzetapisavaodstavka"/>
    <w:link w:val="Naslov6"/>
    <w:uiPriority w:val="9"/>
    <w:rsid w:val="00B31792"/>
    <w:rPr>
      <w:rFonts w:ascii="Georgia" w:eastAsia="Georgia" w:hAnsi="Georgia" w:cs="Georgia"/>
      <w:color w:val="821A1A"/>
      <w:sz w:val="24"/>
      <w:lang w:eastAsia="sl-SI"/>
    </w:rPr>
  </w:style>
  <w:style w:type="character" w:customStyle="1" w:styleId="Naslov7Znak">
    <w:name w:val="Naslov 7 Znak"/>
    <w:basedOn w:val="Privzetapisavaodstavka"/>
    <w:link w:val="Naslov7"/>
    <w:uiPriority w:val="9"/>
    <w:rsid w:val="00B31792"/>
    <w:rPr>
      <w:rFonts w:ascii="Georgia" w:eastAsia="Georgia" w:hAnsi="Georgia" w:cs="Georgia"/>
      <w:color w:val="821A1A"/>
      <w:sz w:val="24"/>
      <w:lang w:eastAsia="sl-SI"/>
    </w:rPr>
  </w:style>
  <w:style w:type="character" w:customStyle="1" w:styleId="Naslov8Znak">
    <w:name w:val="Naslov 8 Znak"/>
    <w:basedOn w:val="Privzetapisavaodstavka"/>
    <w:link w:val="Naslov8"/>
    <w:uiPriority w:val="9"/>
    <w:rsid w:val="00B31792"/>
    <w:rPr>
      <w:rFonts w:asciiTheme="majorHAnsi" w:eastAsiaTheme="majorEastAsia" w:hAnsiTheme="majorHAnsi" w:cstheme="majorBidi"/>
      <w:b/>
      <w:color w:val="000000" w:themeColor="text1"/>
      <w:sz w:val="20"/>
      <w:szCs w:val="21"/>
    </w:rPr>
  </w:style>
  <w:style w:type="character" w:customStyle="1" w:styleId="Naslov9Znak">
    <w:name w:val="Naslov 9 Znak"/>
    <w:basedOn w:val="Privzetapisavaodstavka"/>
    <w:link w:val="Naslov9"/>
    <w:uiPriority w:val="9"/>
    <w:semiHidden/>
    <w:rsid w:val="00B31792"/>
    <w:rPr>
      <w:rFonts w:asciiTheme="majorHAnsi" w:eastAsiaTheme="majorEastAsia" w:hAnsiTheme="majorHAnsi" w:cstheme="majorBidi"/>
      <w:i/>
      <w:iCs/>
      <w:color w:val="272727" w:themeColor="text1" w:themeTint="D8"/>
      <w:sz w:val="20"/>
      <w:szCs w:val="21"/>
    </w:rPr>
  </w:style>
  <w:style w:type="paragraph" w:customStyle="1" w:styleId="ParagraphNumbering">
    <w:name w:val="Paragraph Numbering"/>
    <w:basedOn w:val="Navaden"/>
    <w:link w:val="ParagraphNumberingChar"/>
    <w:qFormat/>
    <w:rsid w:val="00B31792"/>
    <w:pPr>
      <w:numPr>
        <w:numId w:val="11"/>
      </w:numPr>
      <w:spacing w:after="240" w:line="240" w:lineRule="auto"/>
    </w:pPr>
    <w:rPr>
      <w:rFonts w:ascii="Times New Roman" w:hAnsi="Times New Roman"/>
      <w:sz w:val="24"/>
      <w:lang w:val="en-US"/>
    </w:rPr>
  </w:style>
  <w:style w:type="character" w:styleId="Sprotnaopomba-sklic">
    <w:name w:val="footnote reference"/>
    <w:aliases w:val="Footnote symbol,Fussnota,Footnote,Footnote reference number,note TESI,SUPERS,EN Footnote Reference,-E Fußnotenzeichen,Times 10 Point,Exposant 3 Point,E...,nota de rodapé,Footnote Reference_LVL6,Footnote Reference_LVL61,Footnot,fr"/>
    <w:uiPriority w:val="99"/>
    <w:qFormat/>
    <w:rsid w:val="00B31792"/>
    <w:rPr>
      <w:vertAlign w:val="superscript"/>
    </w:rPr>
  </w:style>
  <w:style w:type="character" w:customStyle="1" w:styleId="ParagraphNumberingChar">
    <w:name w:val="Paragraph Numbering Char"/>
    <w:link w:val="ParagraphNumbering"/>
    <w:rsid w:val="00B31792"/>
    <w:rPr>
      <w:rFonts w:ascii="Times New Roman" w:eastAsia="Times New Roman" w:hAnsi="Times New Roman" w:cs="Times New Roman"/>
      <w:sz w:val="24"/>
      <w:szCs w:val="24"/>
      <w:lang w:val="en-US"/>
    </w:rPr>
  </w:style>
  <w:style w:type="character" w:customStyle="1" w:styleId="hps">
    <w:name w:val="hps"/>
    <w:basedOn w:val="Privzetapisavaodstavka"/>
    <w:rsid w:val="00B31792"/>
  </w:style>
  <w:style w:type="paragraph" w:customStyle="1" w:styleId="Sprotnaopomba-besedilo1">
    <w:name w:val="Sprotna opomba - besedilo1"/>
    <w:basedOn w:val="Navaden"/>
    <w:rsid w:val="00B31792"/>
    <w:pPr>
      <w:tabs>
        <w:tab w:val="left" w:pos="1700"/>
        <w:tab w:val="left" w:pos="2041"/>
        <w:tab w:val="left" w:pos="2381"/>
      </w:tabs>
      <w:suppressAutoHyphens/>
      <w:autoSpaceDN w:val="0"/>
      <w:spacing w:after="120" w:line="240" w:lineRule="auto"/>
      <w:ind w:left="850" w:hanging="850"/>
      <w:jc w:val="both"/>
    </w:pPr>
    <w:rPr>
      <w:rFonts w:ascii="Times New Roman" w:eastAsia="MS Mincho" w:hAnsi="Times New Roman"/>
      <w:kern w:val="3"/>
      <w:szCs w:val="20"/>
      <w:lang w:val="en-GB" w:eastAsia="zh-CN"/>
    </w:rPr>
  </w:style>
  <w:style w:type="character" w:styleId="Pripombasklic">
    <w:name w:val="annotation reference"/>
    <w:basedOn w:val="Privzetapisavaodstavka"/>
    <w:uiPriority w:val="99"/>
    <w:unhideWhenUsed/>
    <w:rsid w:val="00B31792"/>
    <w:rPr>
      <w:sz w:val="16"/>
      <w:szCs w:val="16"/>
    </w:rPr>
  </w:style>
  <w:style w:type="paragraph" w:styleId="Pripombabesedilo">
    <w:name w:val="annotation text"/>
    <w:basedOn w:val="Navaden"/>
    <w:link w:val="PripombabesediloZnak"/>
    <w:uiPriority w:val="99"/>
    <w:unhideWhenUsed/>
    <w:rsid w:val="00B31792"/>
    <w:pPr>
      <w:spacing w:after="200" w:line="240" w:lineRule="auto"/>
    </w:pPr>
    <w:rPr>
      <w:rFonts w:asciiTheme="minorHAnsi" w:eastAsiaTheme="minorHAnsi" w:hAnsiTheme="minorHAnsi" w:cstheme="minorBidi"/>
      <w:szCs w:val="20"/>
    </w:rPr>
  </w:style>
  <w:style w:type="character" w:customStyle="1" w:styleId="PripombabesediloZnak">
    <w:name w:val="Pripomba – besedilo Znak"/>
    <w:basedOn w:val="Privzetapisavaodstavka"/>
    <w:link w:val="Pripombabesedilo"/>
    <w:uiPriority w:val="99"/>
    <w:rsid w:val="00B31792"/>
    <w:rPr>
      <w:sz w:val="20"/>
      <w:szCs w:val="20"/>
    </w:rPr>
  </w:style>
  <w:style w:type="paragraph" w:customStyle="1" w:styleId="Default">
    <w:name w:val="Default"/>
    <w:rsid w:val="00B31792"/>
    <w:pPr>
      <w:autoSpaceDE w:val="0"/>
      <w:autoSpaceDN w:val="0"/>
      <w:adjustRightInd w:val="0"/>
      <w:spacing w:after="0" w:line="240" w:lineRule="auto"/>
    </w:pPr>
    <w:rPr>
      <w:rFonts w:ascii="Georgia" w:hAnsi="Georgia" w:cs="Georgia"/>
      <w:color w:val="000000"/>
      <w:sz w:val="24"/>
      <w:szCs w:val="24"/>
    </w:rPr>
  </w:style>
  <w:style w:type="paragraph" w:styleId="Telobesedila">
    <w:name w:val="Body Text"/>
    <w:basedOn w:val="Navaden"/>
    <w:link w:val="TelobesedilaZnak"/>
    <w:uiPriority w:val="99"/>
    <w:qFormat/>
    <w:rsid w:val="00B31792"/>
    <w:pPr>
      <w:suppressAutoHyphens/>
      <w:spacing w:line="240" w:lineRule="auto"/>
    </w:pPr>
    <w:rPr>
      <w:rFonts w:ascii="Tahoma" w:hAnsi="Tahoma"/>
      <w:color w:val="008000"/>
      <w:sz w:val="22"/>
      <w:szCs w:val="22"/>
      <w:lang w:val="en-US" w:eastAsia="ar-SA"/>
    </w:rPr>
  </w:style>
  <w:style w:type="character" w:customStyle="1" w:styleId="TelobesedilaZnak">
    <w:name w:val="Telo besedila Znak"/>
    <w:basedOn w:val="Privzetapisavaodstavka"/>
    <w:link w:val="Telobesedila"/>
    <w:uiPriority w:val="99"/>
    <w:rsid w:val="00B31792"/>
    <w:rPr>
      <w:rFonts w:ascii="Tahoma" w:eastAsia="Times New Roman" w:hAnsi="Tahoma" w:cs="Times New Roman"/>
      <w:color w:val="008000"/>
      <w:lang w:val="en-US" w:eastAsia="ar-SA"/>
    </w:rPr>
  </w:style>
  <w:style w:type="paragraph" w:customStyle="1" w:styleId="AOHead1">
    <w:name w:val="AOHead1"/>
    <w:basedOn w:val="Navaden"/>
    <w:next w:val="Navaden"/>
    <w:rsid w:val="00B31792"/>
    <w:pPr>
      <w:keepNext/>
      <w:numPr>
        <w:numId w:val="14"/>
      </w:numPr>
      <w:spacing w:before="240"/>
      <w:jc w:val="both"/>
      <w:outlineLvl w:val="0"/>
    </w:pPr>
    <w:rPr>
      <w:rFonts w:ascii="Times New Roman" w:hAnsi="Times New Roman"/>
      <w:b/>
      <w:bCs/>
      <w:caps/>
      <w:snapToGrid w:val="0"/>
      <w:sz w:val="22"/>
      <w:szCs w:val="22"/>
      <w:lang w:val="hu-HU"/>
    </w:rPr>
  </w:style>
  <w:style w:type="paragraph" w:customStyle="1" w:styleId="AOHead2">
    <w:name w:val="AOHead2"/>
    <w:basedOn w:val="Navaden"/>
    <w:next w:val="Navaden"/>
    <w:rsid w:val="00B31792"/>
    <w:pPr>
      <w:keepNext/>
      <w:numPr>
        <w:ilvl w:val="1"/>
        <w:numId w:val="14"/>
      </w:numPr>
      <w:spacing w:before="240"/>
      <w:jc w:val="both"/>
      <w:outlineLvl w:val="1"/>
    </w:pPr>
    <w:rPr>
      <w:rFonts w:ascii="Times New Roman" w:hAnsi="Times New Roman"/>
      <w:b/>
      <w:bCs/>
      <w:snapToGrid w:val="0"/>
      <w:sz w:val="22"/>
      <w:szCs w:val="22"/>
      <w:lang w:val="hu-HU"/>
    </w:rPr>
  </w:style>
  <w:style w:type="paragraph" w:customStyle="1" w:styleId="AOHead3">
    <w:name w:val="AOHead3"/>
    <w:basedOn w:val="Navaden"/>
    <w:next w:val="Navaden"/>
    <w:rsid w:val="00B31792"/>
    <w:pPr>
      <w:numPr>
        <w:ilvl w:val="2"/>
        <w:numId w:val="14"/>
      </w:numPr>
      <w:spacing w:before="240"/>
      <w:jc w:val="both"/>
      <w:outlineLvl w:val="2"/>
    </w:pPr>
    <w:rPr>
      <w:rFonts w:ascii="Times New Roman" w:hAnsi="Times New Roman"/>
      <w:snapToGrid w:val="0"/>
      <w:sz w:val="22"/>
      <w:szCs w:val="22"/>
      <w:lang w:val="hu-HU"/>
    </w:rPr>
  </w:style>
  <w:style w:type="paragraph" w:customStyle="1" w:styleId="AOHead4">
    <w:name w:val="AOHead4"/>
    <w:basedOn w:val="Navaden"/>
    <w:next w:val="Navaden"/>
    <w:rsid w:val="00B31792"/>
    <w:pPr>
      <w:numPr>
        <w:ilvl w:val="3"/>
        <w:numId w:val="14"/>
      </w:numPr>
      <w:spacing w:before="240"/>
      <w:jc w:val="both"/>
      <w:outlineLvl w:val="3"/>
    </w:pPr>
    <w:rPr>
      <w:rFonts w:ascii="Times New Roman" w:hAnsi="Times New Roman"/>
      <w:snapToGrid w:val="0"/>
      <w:sz w:val="22"/>
      <w:szCs w:val="22"/>
      <w:lang w:val="hu-HU"/>
    </w:rPr>
  </w:style>
  <w:style w:type="paragraph" w:customStyle="1" w:styleId="AOHead5">
    <w:name w:val="AOHead5"/>
    <w:basedOn w:val="Navaden"/>
    <w:next w:val="Navaden"/>
    <w:rsid w:val="00B31792"/>
    <w:pPr>
      <w:numPr>
        <w:ilvl w:val="4"/>
        <w:numId w:val="14"/>
      </w:numPr>
      <w:spacing w:before="240"/>
      <w:jc w:val="both"/>
      <w:outlineLvl w:val="4"/>
    </w:pPr>
    <w:rPr>
      <w:rFonts w:ascii="Times New Roman" w:hAnsi="Times New Roman"/>
      <w:snapToGrid w:val="0"/>
      <w:sz w:val="22"/>
      <w:szCs w:val="22"/>
      <w:lang w:val="hu-HU"/>
    </w:rPr>
  </w:style>
  <w:style w:type="paragraph" w:customStyle="1" w:styleId="AOHead6">
    <w:name w:val="AOHead6"/>
    <w:basedOn w:val="Navaden"/>
    <w:next w:val="Navaden"/>
    <w:rsid w:val="00B31792"/>
    <w:pPr>
      <w:numPr>
        <w:ilvl w:val="5"/>
        <w:numId w:val="14"/>
      </w:numPr>
      <w:spacing w:before="240"/>
      <w:jc w:val="both"/>
      <w:outlineLvl w:val="5"/>
    </w:pPr>
    <w:rPr>
      <w:rFonts w:ascii="Times New Roman" w:hAnsi="Times New Roman"/>
      <w:snapToGrid w:val="0"/>
      <w:sz w:val="22"/>
      <w:szCs w:val="22"/>
      <w:lang w:val="hu-HU"/>
    </w:rPr>
  </w:style>
  <w:style w:type="paragraph" w:styleId="NaslovTOC">
    <w:name w:val="TOC Heading"/>
    <w:basedOn w:val="Naslov1"/>
    <w:next w:val="Navaden"/>
    <w:uiPriority w:val="39"/>
    <w:unhideWhenUsed/>
    <w:qFormat/>
    <w:rsid w:val="00B31792"/>
    <w:pPr>
      <w:keepLines/>
      <w:spacing w:after="0" w:line="259" w:lineRule="auto"/>
      <w:outlineLvl w:val="9"/>
    </w:pPr>
    <w:rPr>
      <w:rFonts w:asciiTheme="majorHAnsi" w:eastAsiaTheme="majorEastAsia" w:hAnsiTheme="majorHAnsi" w:cstheme="majorBidi"/>
      <w:b w:val="0"/>
      <w:color w:val="2E74B5" w:themeColor="accent1" w:themeShade="BF"/>
      <w:kern w:val="0"/>
      <w:sz w:val="32"/>
    </w:rPr>
  </w:style>
  <w:style w:type="paragraph" w:styleId="Kazalovsebine2">
    <w:name w:val="toc 2"/>
    <w:basedOn w:val="Navaden"/>
    <w:next w:val="Navaden"/>
    <w:autoRedefine/>
    <w:uiPriority w:val="39"/>
    <w:unhideWhenUsed/>
    <w:rsid w:val="00B31792"/>
    <w:pPr>
      <w:tabs>
        <w:tab w:val="left" w:pos="660"/>
        <w:tab w:val="right" w:leader="dot" w:pos="9062"/>
      </w:tabs>
      <w:spacing w:after="100" w:line="240" w:lineRule="auto"/>
      <w:ind w:left="220"/>
    </w:pPr>
    <w:rPr>
      <w:rFonts w:asciiTheme="minorHAnsi" w:eastAsiaTheme="minorEastAsia" w:hAnsiTheme="minorHAnsi"/>
      <w:sz w:val="22"/>
      <w:szCs w:val="22"/>
      <w:lang w:eastAsia="sl-SI"/>
    </w:rPr>
  </w:style>
  <w:style w:type="paragraph" w:styleId="Kazalovsebine1">
    <w:name w:val="toc 1"/>
    <w:basedOn w:val="Navaden"/>
    <w:next w:val="Navaden"/>
    <w:autoRedefine/>
    <w:uiPriority w:val="39"/>
    <w:unhideWhenUsed/>
    <w:rsid w:val="00B31792"/>
    <w:pPr>
      <w:spacing w:after="100" w:line="259" w:lineRule="auto"/>
    </w:pPr>
    <w:rPr>
      <w:rFonts w:asciiTheme="minorHAnsi" w:eastAsiaTheme="minorEastAsia" w:hAnsiTheme="minorHAnsi"/>
      <w:sz w:val="22"/>
      <w:szCs w:val="22"/>
      <w:lang w:eastAsia="sl-SI"/>
    </w:rPr>
  </w:style>
  <w:style w:type="paragraph" w:styleId="Kazalovsebine3">
    <w:name w:val="toc 3"/>
    <w:basedOn w:val="Navaden"/>
    <w:next w:val="Navaden"/>
    <w:autoRedefine/>
    <w:uiPriority w:val="39"/>
    <w:unhideWhenUsed/>
    <w:rsid w:val="00B31792"/>
    <w:pPr>
      <w:tabs>
        <w:tab w:val="right" w:leader="dot" w:pos="9062"/>
      </w:tabs>
      <w:spacing w:line="276" w:lineRule="auto"/>
      <w:ind w:left="440"/>
    </w:pPr>
    <w:rPr>
      <w:rFonts w:asciiTheme="minorHAnsi" w:eastAsiaTheme="minorEastAsia" w:hAnsiTheme="minorHAnsi"/>
      <w:sz w:val="22"/>
      <w:szCs w:val="22"/>
      <w:lang w:eastAsia="sl-SI"/>
    </w:rPr>
  </w:style>
  <w:style w:type="paragraph" w:customStyle="1" w:styleId="Golobesedilo1">
    <w:name w:val="Golo besedilo1"/>
    <w:basedOn w:val="Navaden"/>
    <w:rsid w:val="00B31792"/>
    <w:pPr>
      <w:suppressAutoHyphens/>
      <w:spacing w:line="240" w:lineRule="auto"/>
    </w:pPr>
    <w:rPr>
      <w:rFonts w:ascii="Courier New" w:hAnsi="Courier New"/>
      <w:szCs w:val="20"/>
      <w:lang w:eastAsia="ar-SA"/>
    </w:rPr>
  </w:style>
  <w:style w:type="paragraph" w:customStyle="1" w:styleId="ZnakZnak1">
    <w:name w:val="Znak Znak1"/>
    <w:basedOn w:val="AOHead3"/>
    <w:next w:val="Navaden"/>
    <w:rsid w:val="00B31792"/>
    <w:pPr>
      <w:numPr>
        <w:numId w:val="12"/>
      </w:numPr>
    </w:pPr>
  </w:style>
  <w:style w:type="paragraph" w:styleId="Zadevapripombe">
    <w:name w:val="annotation subject"/>
    <w:basedOn w:val="Pripombabesedilo"/>
    <w:next w:val="Pripombabesedilo"/>
    <w:link w:val="ZadevapripombeZnak"/>
    <w:uiPriority w:val="99"/>
    <w:semiHidden/>
    <w:unhideWhenUsed/>
    <w:rsid w:val="00B31792"/>
    <w:pPr>
      <w:spacing w:after="0"/>
    </w:pPr>
    <w:rPr>
      <w:rFonts w:ascii="Times New Roman" w:eastAsia="Times New Roman" w:hAnsi="Times New Roman" w:cs="Times New Roman"/>
      <w:b/>
      <w:bCs/>
      <w:lang w:val="en-US"/>
    </w:rPr>
  </w:style>
  <w:style w:type="character" w:customStyle="1" w:styleId="ZadevapripombeZnak">
    <w:name w:val="Zadeva pripombe Znak"/>
    <w:basedOn w:val="PripombabesediloZnak"/>
    <w:link w:val="Zadevapripombe"/>
    <w:uiPriority w:val="99"/>
    <w:semiHidden/>
    <w:rsid w:val="00B31792"/>
    <w:rPr>
      <w:rFonts w:ascii="Times New Roman" w:eastAsia="Times New Roman" w:hAnsi="Times New Roman" w:cs="Times New Roman"/>
      <w:b/>
      <w:bCs/>
      <w:sz w:val="20"/>
      <w:szCs w:val="20"/>
      <w:lang w:val="en-US"/>
    </w:rPr>
  </w:style>
  <w:style w:type="paragraph" w:styleId="Napis">
    <w:name w:val="caption"/>
    <w:aliases w:val="topic,c,topic1,topic2,topic3,3559Caption,topic4,c1,C1,Legend1,topic11,topic21,topic31,3559Caption1,Table,Légende italique,Figure Reference,Légende italique Char,kuvateksti Char,kuvateksti,Figure No,Figure-caption,CAPTION,t,Beschriftung Char2 Cha"/>
    <w:basedOn w:val="Navaden"/>
    <w:next w:val="Navaden"/>
    <w:link w:val="NapisZnak"/>
    <w:uiPriority w:val="35"/>
    <w:unhideWhenUsed/>
    <w:qFormat/>
    <w:rsid w:val="00B31792"/>
    <w:pPr>
      <w:spacing w:after="200" w:line="240" w:lineRule="auto"/>
    </w:pPr>
    <w:rPr>
      <w:rFonts w:ascii="Times New Roman" w:hAnsi="Times New Roman"/>
      <w:b/>
      <w:bCs/>
      <w:color w:val="5B9BD5" w:themeColor="accent1"/>
      <w:sz w:val="18"/>
      <w:szCs w:val="18"/>
      <w:lang w:val="en-US"/>
    </w:rPr>
  </w:style>
  <w:style w:type="paragraph" w:styleId="Revizija">
    <w:name w:val="Revision"/>
    <w:hidden/>
    <w:uiPriority w:val="99"/>
    <w:semiHidden/>
    <w:rsid w:val="00B31792"/>
    <w:pPr>
      <w:spacing w:after="0" w:line="240" w:lineRule="auto"/>
    </w:pPr>
    <w:rPr>
      <w:rFonts w:ascii="Times New Roman" w:eastAsia="Times New Roman" w:hAnsi="Times New Roman" w:cs="Times New Roman"/>
      <w:sz w:val="24"/>
      <w:szCs w:val="24"/>
      <w:lang w:val="en-US"/>
    </w:rPr>
  </w:style>
  <w:style w:type="paragraph" w:customStyle="1" w:styleId="tevilnatoka1">
    <w:name w:val="tevilnatoka1"/>
    <w:basedOn w:val="Navaden"/>
    <w:rsid w:val="00B31792"/>
    <w:pPr>
      <w:spacing w:line="240" w:lineRule="auto"/>
      <w:ind w:left="425" w:hanging="425"/>
      <w:jc w:val="both"/>
    </w:pPr>
    <w:rPr>
      <w:rFonts w:cs="Arial"/>
      <w:sz w:val="22"/>
      <w:szCs w:val="22"/>
      <w:lang w:eastAsia="sl-SI"/>
    </w:rPr>
  </w:style>
  <w:style w:type="paragraph" w:styleId="Sprotnaopomba-besedilo">
    <w:name w:val="footnote text"/>
    <w:aliases w:val=" Znak5,Znak5 Znak Znak,Znak5 Znak Znak Znak Znak, Char Char,Sprotna opomba - besedilo Znak1,Sprotna opomba - besedilo Znak Znak2,Sprotna opomba - besedilo Znak1 Znak Znak1,Sprotna opomba - besedilo Znak1 Znak Znak Znak,fn"/>
    <w:basedOn w:val="Navaden"/>
    <w:link w:val="Sprotnaopomba-besediloZnak"/>
    <w:uiPriority w:val="99"/>
    <w:unhideWhenUsed/>
    <w:qFormat/>
    <w:rsid w:val="00B31792"/>
    <w:pPr>
      <w:spacing w:line="240" w:lineRule="auto"/>
    </w:pPr>
    <w:rPr>
      <w:rFonts w:ascii="Times New Roman" w:hAnsi="Times New Roman"/>
      <w:szCs w:val="20"/>
      <w:lang w:val="en-US"/>
    </w:rPr>
  </w:style>
  <w:style w:type="character" w:customStyle="1" w:styleId="Sprotnaopomba-besediloZnak">
    <w:name w:val="Sprotna opomba - besedilo Znak"/>
    <w:aliases w:val=" Znak5 Znak,Znak5 Znak Znak Znak,Znak5 Znak Znak Znak Znak Znak, Char Char Znak,Sprotna opomba - besedilo Znak1 Znak,Sprotna opomba - besedilo Znak Znak2 Znak,Sprotna opomba - besedilo Znak1 Znak Znak1 Znak,fn Znak"/>
    <w:basedOn w:val="Privzetapisavaodstavka"/>
    <w:link w:val="Sprotnaopomba-besedilo"/>
    <w:uiPriority w:val="99"/>
    <w:rsid w:val="00B31792"/>
    <w:rPr>
      <w:rFonts w:ascii="Times New Roman" w:eastAsia="Times New Roman" w:hAnsi="Times New Roman" w:cs="Times New Roman"/>
      <w:sz w:val="20"/>
      <w:szCs w:val="20"/>
      <w:lang w:val="en-US"/>
    </w:rPr>
  </w:style>
  <w:style w:type="paragraph" w:customStyle="1" w:styleId="footnotedescription">
    <w:name w:val="footnote description"/>
    <w:next w:val="Navaden"/>
    <w:link w:val="footnotedescriptionChar"/>
    <w:hidden/>
    <w:rsid w:val="00B31792"/>
    <w:pPr>
      <w:spacing w:after="0"/>
    </w:pPr>
    <w:rPr>
      <w:rFonts w:ascii="Georgia" w:eastAsia="Georgia" w:hAnsi="Georgia" w:cs="Georgia"/>
      <w:color w:val="000000"/>
      <w:sz w:val="18"/>
      <w:lang w:eastAsia="sl-SI"/>
    </w:rPr>
  </w:style>
  <w:style w:type="character" w:customStyle="1" w:styleId="footnotedescriptionChar">
    <w:name w:val="footnote description Char"/>
    <w:link w:val="footnotedescription"/>
    <w:rsid w:val="00B31792"/>
    <w:rPr>
      <w:rFonts w:ascii="Georgia" w:eastAsia="Georgia" w:hAnsi="Georgia" w:cs="Georgia"/>
      <w:color w:val="000000"/>
      <w:sz w:val="18"/>
      <w:lang w:eastAsia="sl-SI"/>
    </w:rPr>
  </w:style>
  <w:style w:type="character" w:customStyle="1" w:styleId="footnotemark">
    <w:name w:val="footnote mark"/>
    <w:hidden/>
    <w:rsid w:val="00B31792"/>
    <w:rPr>
      <w:rFonts w:ascii="Georgia" w:eastAsia="Georgia" w:hAnsi="Georgia" w:cs="Georgia"/>
      <w:color w:val="000000"/>
      <w:sz w:val="16"/>
      <w:vertAlign w:val="superscript"/>
    </w:rPr>
  </w:style>
  <w:style w:type="table" w:customStyle="1" w:styleId="TableGrid">
    <w:name w:val="TableGrid"/>
    <w:rsid w:val="00B31792"/>
    <w:pPr>
      <w:spacing w:after="0" w:line="240" w:lineRule="auto"/>
    </w:pPr>
    <w:rPr>
      <w:rFonts w:eastAsiaTheme="minorEastAsia"/>
      <w:lang w:eastAsia="sl-SI"/>
    </w:rPr>
    <w:tblPr>
      <w:tblCellMar>
        <w:top w:w="0" w:type="dxa"/>
        <w:left w:w="0" w:type="dxa"/>
        <w:bottom w:w="0" w:type="dxa"/>
        <w:right w:w="0" w:type="dxa"/>
      </w:tblCellMar>
    </w:tblPr>
  </w:style>
  <w:style w:type="numbering" w:customStyle="1" w:styleId="Brezseznama1">
    <w:name w:val="Brez seznama1"/>
    <w:next w:val="Brezseznama"/>
    <w:uiPriority w:val="99"/>
    <w:semiHidden/>
    <w:unhideWhenUsed/>
    <w:rsid w:val="00B31792"/>
  </w:style>
  <w:style w:type="paragraph" w:customStyle="1" w:styleId="ZnakZnak11">
    <w:name w:val="Znak Znak11"/>
    <w:basedOn w:val="AOHead3"/>
    <w:next w:val="Navaden"/>
    <w:rsid w:val="00B31792"/>
    <w:pPr>
      <w:numPr>
        <w:ilvl w:val="0"/>
        <w:numId w:val="0"/>
      </w:numPr>
      <w:ind w:left="2160" w:hanging="360"/>
    </w:pPr>
  </w:style>
  <w:style w:type="paragraph" w:customStyle="1" w:styleId="Oddelek">
    <w:name w:val="Oddelek"/>
    <w:basedOn w:val="Navaden"/>
    <w:link w:val="OddelekZnak1"/>
    <w:qFormat/>
    <w:rsid w:val="00B31792"/>
    <w:pPr>
      <w:numPr>
        <w:numId w:val="16"/>
      </w:numPr>
      <w:suppressAutoHyphens/>
      <w:overflowPunct w:val="0"/>
      <w:autoSpaceDE w:val="0"/>
      <w:autoSpaceDN w:val="0"/>
      <w:adjustRightInd w:val="0"/>
      <w:spacing w:before="280" w:after="60" w:line="200" w:lineRule="exact"/>
      <w:ind w:left="0" w:firstLine="0"/>
      <w:jc w:val="center"/>
      <w:textAlignment w:val="baseline"/>
      <w:outlineLvl w:val="3"/>
    </w:pPr>
    <w:rPr>
      <w:b/>
      <w:sz w:val="22"/>
      <w:szCs w:val="22"/>
      <w:lang w:eastAsia="sl-SI"/>
    </w:rPr>
  </w:style>
  <w:style w:type="paragraph" w:customStyle="1" w:styleId="rkovnatokazaodstavkom">
    <w:name w:val="Črkovna točka_za odstavkom"/>
    <w:basedOn w:val="Navaden"/>
    <w:qFormat/>
    <w:rsid w:val="00B31792"/>
    <w:pPr>
      <w:numPr>
        <w:numId w:val="17"/>
      </w:numPr>
      <w:overflowPunct w:val="0"/>
      <w:autoSpaceDE w:val="0"/>
      <w:autoSpaceDN w:val="0"/>
      <w:adjustRightInd w:val="0"/>
      <w:spacing w:line="200" w:lineRule="exact"/>
      <w:jc w:val="both"/>
      <w:textAlignment w:val="baseline"/>
    </w:pPr>
    <w:rPr>
      <w:rFonts w:eastAsia="Calibri"/>
      <w:szCs w:val="20"/>
      <w:lang w:eastAsia="sl-SI"/>
    </w:rPr>
  </w:style>
  <w:style w:type="paragraph" w:styleId="Navadensplet">
    <w:name w:val="Normal (Web)"/>
    <w:basedOn w:val="Navaden"/>
    <w:uiPriority w:val="99"/>
    <w:unhideWhenUsed/>
    <w:rsid w:val="00B31792"/>
    <w:pPr>
      <w:spacing w:before="100" w:beforeAutospacing="1" w:after="100" w:afterAutospacing="1" w:line="240" w:lineRule="auto"/>
    </w:pPr>
    <w:rPr>
      <w:rFonts w:ascii="Roboto" w:hAnsi="Roboto"/>
      <w:color w:val="333333"/>
      <w:sz w:val="24"/>
      <w:lang w:eastAsia="sl-SI"/>
    </w:rPr>
  </w:style>
  <w:style w:type="paragraph" w:customStyle="1" w:styleId="slikasredina">
    <w:name w:val="slikasredina"/>
    <w:basedOn w:val="Navaden"/>
    <w:rsid w:val="00B31792"/>
    <w:pPr>
      <w:spacing w:before="300" w:after="300" w:line="240" w:lineRule="auto"/>
      <w:ind w:left="300" w:right="300"/>
      <w:jc w:val="center"/>
    </w:pPr>
    <w:rPr>
      <w:rFonts w:ascii="Roboto" w:hAnsi="Roboto"/>
      <w:color w:val="333333"/>
      <w:sz w:val="24"/>
      <w:lang w:eastAsia="sl-SI"/>
    </w:rPr>
  </w:style>
  <w:style w:type="character" w:styleId="Poudarek">
    <w:name w:val="Emphasis"/>
    <w:basedOn w:val="Privzetapisavaodstavka"/>
    <w:uiPriority w:val="99"/>
    <w:qFormat/>
    <w:rsid w:val="00B31792"/>
    <w:rPr>
      <w:rFonts w:ascii="inherit" w:hAnsi="inherit" w:hint="default"/>
      <w:i/>
      <w:iCs/>
      <w:bdr w:val="none" w:sz="0" w:space="0" w:color="auto" w:frame="1"/>
      <w:vertAlign w:val="baseline"/>
    </w:rPr>
  </w:style>
  <w:style w:type="paragraph" w:styleId="Oznaenseznam">
    <w:name w:val="List Bullet"/>
    <w:basedOn w:val="Navaden"/>
    <w:uiPriority w:val="99"/>
    <w:unhideWhenUsed/>
    <w:qFormat/>
    <w:rsid w:val="00B31792"/>
    <w:pPr>
      <w:numPr>
        <w:ilvl w:val="5"/>
        <w:numId w:val="22"/>
      </w:numPr>
      <w:spacing w:before="60" w:after="120" w:line="240" w:lineRule="auto"/>
      <w:ind w:left="346"/>
      <w:jc w:val="both"/>
    </w:pPr>
    <w:rPr>
      <w:rFonts w:asciiTheme="minorHAnsi" w:eastAsiaTheme="minorHAnsi" w:hAnsiTheme="minorHAnsi" w:cstheme="minorBidi"/>
      <w:szCs w:val="20"/>
    </w:rPr>
  </w:style>
  <w:style w:type="paragraph" w:styleId="Oznaenseznam2">
    <w:name w:val="List Bullet 2"/>
    <w:basedOn w:val="Navaden"/>
    <w:unhideWhenUsed/>
    <w:qFormat/>
    <w:rsid w:val="00B31792"/>
    <w:pPr>
      <w:numPr>
        <w:ilvl w:val="6"/>
        <w:numId w:val="22"/>
      </w:numPr>
      <w:spacing w:after="120" w:line="240" w:lineRule="auto"/>
      <w:ind w:left="692" w:hanging="346"/>
      <w:jc w:val="both"/>
    </w:pPr>
    <w:rPr>
      <w:rFonts w:asciiTheme="minorHAnsi" w:eastAsiaTheme="minorHAnsi" w:hAnsiTheme="minorHAnsi" w:cstheme="minorBidi"/>
      <w:szCs w:val="20"/>
    </w:rPr>
  </w:style>
  <w:style w:type="paragraph" w:styleId="Oznaenseznam3">
    <w:name w:val="List Bullet 3"/>
    <w:basedOn w:val="Navaden"/>
    <w:uiPriority w:val="99"/>
    <w:unhideWhenUsed/>
    <w:qFormat/>
    <w:rsid w:val="00B31792"/>
    <w:pPr>
      <w:numPr>
        <w:ilvl w:val="7"/>
        <w:numId w:val="22"/>
      </w:numPr>
      <w:spacing w:after="120" w:line="240" w:lineRule="auto"/>
      <w:ind w:left="1038"/>
    </w:pPr>
    <w:rPr>
      <w:rFonts w:asciiTheme="minorHAnsi" w:eastAsiaTheme="minorHAnsi" w:hAnsiTheme="minorHAnsi" w:cstheme="minorBidi"/>
      <w:szCs w:val="20"/>
    </w:rPr>
  </w:style>
  <w:style w:type="paragraph" w:styleId="Oznaenseznam4">
    <w:name w:val="List Bullet 4"/>
    <w:basedOn w:val="Navaden"/>
    <w:unhideWhenUsed/>
    <w:qFormat/>
    <w:rsid w:val="00B31792"/>
    <w:pPr>
      <w:numPr>
        <w:ilvl w:val="8"/>
        <w:numId w:val="22"/>
      </w:numPr>
      <w:spacing w:after="120" w:line="240" w:lineRule="auto"/>
    </w:pPr>
    <w:rPr>
      <w:rFonts w:asciiTheme="minorHAnsi" w:eastAsiaTheme="minorHAnsi" w:hAnsiTheme="minorHAnsi" w:cstheme="minorBidi"/>
      <w:szCs w:val="20"/>
    </w:rPr>
  </w:style>
  <w:style w:type="paragraph" w:styleId="Oznaenseznam5">
    <w:name w:val="List Bullet 5"/>
    <w:basedOn w:val="Navaden"/>
    <w:unhideWhenUsed/>
    <w:rsid w:val="00B31792"/>
    <w:pPr>
      <w:numPr>
        <w:ilvl w:val="4"/>
        <w:numId w:val="22"/>
      </w:numPr>
      <w:spacing w:after="120" w:line="240" w:lineRule="auto"/>
    </w:pPr>
    <w:rPr>
      <w:rFonts w:asciiTheme="minorHAnsi" w:eastAsiaTheme="minorHAnsi" w:hAnsiTheme="minorHAnsi" w:cstheme="minorBidi"/>
      <w:szCs w:val="20"/>
    </w:rPr>
  </w:style>
  <w:style w:type="character" w:customStyle="1" w:styleId="NapisZnak">
    <w:name w:val="Napis Znak"/>
    <w:aliases w:val="topic Znak,c Znak,topic1 Znak,topic2 Znak,topic3 Znak,3559Caption Znak,topic4 Znak,c1 Znak,C1 Znak,Legend1 Znak,topic11 Znak,topic21 Znak,topic31 Znak,3559Caption1 Znak,Table Znak,Légende italique Znak,Figure Reference Znak,kuvateksti Znak"/>
    <w:link w:val="Napis"/>
    <w:uiPriority w:val="35"/>
    <w:rsid w:val="00B31792"/>
    <w:rPr>
      <w:rFonts w:ascii="Times New Roman" w:eastAsia="Times New Roman" w:hAnsi="Times New Roman" w:cs="Times New Roman"/>
      <w:b/>
      <w:bCs/>
      <w:color w:val="5B9BD5" w:themeColor="accent1"/>
      <w:sz w:val="18"/>
      <w:szCs w:val="18"/>
      <w:lang w:val="en-US"/>
    </w:rPr>
  </w:style>
  <w:style w:type="paragraph" w:customStyle="1" w:styleId="Source">
    <w:name w:val="Source"/>
    <w:basedOn w:val="Telobesedila"/>
    <w:link w:val="SourceChar"/>
    <w:uiPriority w:val="99"/>
    <w:qFormat/>
    <w:rsid w:val="00B31792"/>
    <w:pPr>
      <w:suppressAutoHyphens w:val="0"/>
      <w:spacing w:before="120" w:after="160"/>
      <w:jc w:val="both"/>
    </w:pPr>
    <w:rPr>
      <w:rFonts w:asciiTheme="minorHAnsi" w:eastAsiaTheme="minorHAnsi" w:hAnsiTheme="minorHAnsi" w:cstheme="minorBidi"/>
      <w:i/>
      <w:color w:val="auto"/>
      <w:sz w:val="18"/>
      <w:szCs w:val="20"/>
      <w:lang w:val="sl-SI" w:eastAsia="en-US"/>
    </w:rPr>
  </w:style>
  <w:style w:type="character" w:customStyle="1" w:styleId="SourceChar">
    <w:name w:val="Source Char"/>
    <w:link w:val="Source"/>
    <w:uiPriority w:val="99"/>
    <w:locked/>
    <w:rsid w:val="00B31792"/>
    <w:rPr>
      <w:i/>
      <w:sz w:val="18"/>
      <w:szCs w:val="20"/>
    </w:rPr>
  </w:style>
  <w:style w:type="table" w:customStyle="1" w:styleId="PwCTableText">
    <w:name w:val="PwC Table Text"/>
    <w:basedOn w:val="Navadnatabela"/>
    <w:uiPriority w:val="99"/>
    <w:rsid w:val="00B31792"/>
    <w:pPr>
      <w:spacing w:before="100" w:beforeAutospacing="1" w:after="100" w:afterAutospacing="1" w:line="240" w:lineRule="auto"/>
    </w:pPr>
    <w:rPr>
      <w:rFonts w:ascii="Georgia" w:hAnsi="Georgia"/>
      <w:sz w:val="18"/>
      <w:szCs w:val="20"/>
      <w:lang w:val="en-US"/>
    </w:rPr>
    <w:tblPr>
      <w:tblBorders>
        <w:insideH w:val="dotted" w:sz="4" w:space="0" w:color="5B9BD5" w:themeColor="accent1"/>
      </w:tblBorders>
      <w:tblCellMar>
        <w:top w:w="72" w:type="dxa"/>
        <w:left w:w="115" w:type="dxa"/>
        <w:bottom w:w="72" w:type="dxa"/>
        <w:right w:w="115" w:type="dxa"/>
      </w:tblCellMar>
    </w:tblPr>
    <w:tcPr>
      <w:vAlign w:val="center"/>
    </w:tcPr>
    <w:tblStylePr w:type="firstRow">
      <w:pPr>
        <w:jc w:val="left"/>
      </w:pPr>
      <w:rPr>
        <w:rFonts w:asciiTheme="majorHAnsi" w:hAnsiTheme="majorHAnsi"/>
        <w:b/>
        <w:color w:val="44546A" w:themeColor="text2"/>
        <w:sz w:val="18"/>
      </w:rPr>
      <w:tblPr/>
      <w:tcPr>
        <w:tcBorders>
          <w:top w:val="single" w:sz="6" w:space="0" w:color="5B9BD5" w:themeColor="accent1"/>
          <w:left w:val="nil"/>
          <w:bottom w:val="single" w:sz="6" w:space="0" w:color="5B9BD5" w:themeColor="accent1"/>
          <w:right w:val="nil"/>
          <w:insideH w:val="nil"/>
          <w:insideV w:val="nil"/>
          <w:tl2br w:val="nil"/>
          <w:tr2bl w:val="nil"/>
        </w:tcBorders>
      </w:tcPr>
    </w:tblStylePr>
  </w:style>
  <w:style w:type="character" w:styleId="Krepko">
    <w:name w:val="Strong"/>
    <w:basedOn w:val="Privzetapisavaodstavka"/>
    <w:uiPriority w:val="22"/>
    <w:qFormat/>
    <w:rsid w:val="00B31792"/>
    <w:rPr>
      <w:b/>
      <w:bCs/>
    </w:rPr>
  </w:style>
  <w:style w:type="paragraph" w:customStyle="1" w:styleId="AppendixHeading1">
    <w:name w:val="Appendix Heading 1"/>
    <w:basedOn w:val="Naslov1"/>
    <w:next w:val="AppendixHeading2"/>
    <w:rsid w:val="00B31792"/>
    <w:pPr>
      <w:pageBreakBefore/>
      <w:numPr>
        <w:numId w:val="23"/>
      </w:numPr>
      <w:spacing w:before="0" w:after="480" w:line="0" w:lineRule="atLeast"/>
      <w:ind w:left="533"/>
    </w:pPr>
    <w:rPr>
      <w:rFonts w:asciiTheme="majorHAnsi" w:eastAsiaTheme="majorEastAsia" w:hAnsiTheme="majorHAnsi" w:cstheme="majorBidi"/>
      <w:i/>
      <w:color w:val="000000" w:themeColor="text1"/>
      <w:kern w:val="0"/>
      <w:sz w:val="32"/>
      <w:lang w:eastAsia="en-US"/>
    </w:rPr>
  </w:style>
  <w:style w:type="paragraph" w:customStyle="1" w:styleId="AppendixHeading2">
    <w:name w:val="Appendix Heading 2"/>
    <w:basedOn w:val="AppendixHeading1"/>
    <w:next w:val="Telobesedila"/>
    <w:rsid w:val="00B31792"/>
    <w:pPr>
      <w:pageBreakBefore w:val="0"/>
      <w:numPr>
        <w:ilvl w:val="1"/>
      </w:numPr>
      <w:spacing w:after="160"/>
      <w:ind w:left="612"/>
      <w:outlineLvl w:val="1"/>
    </w:pPr>
    <w:rPr>
      <w:color w:val="44546A" w:themeColor="text2"/>
      <w:sz w:val="28"/>
    </w:rPr>
  </w:style>
  <w:style w:type="paragraph" w:customStyle="1" w:styleId="Address">
    <w:name w:val="Address"/>
    <w:basedOn w:val="Navaden"/>
    <w:link w:val="AddressChar"/>
    <w:qFormat/>
    <w:rsid w:val="00B31792"/>
    <w:pPr>
      <w:spacing w:line="200" w:lineRule="atLeast"/>
    </w:pPr>
    <w:rPr>
      <w:rFonts w:asciiTheme="minorHAnsi" w:eastAsiaTheme="minorHAnsi" w:hAnsiTheme="minorHAnsi" w:cstheme="minorBidi"/>
      <w:i/>
      <w:sz w:val="18"/>
      <w:szCs w:val="20"/>
    </w:rPr>
  </w:style>
  <w:style w:type="character" w:customStyle="1" w:styleId="AddressChar">
    <w:name w:val="Address Char"/>
    <w:basedOn w:val="Privzetapisavaodstavka"/>
    <w:link w:val="Address"/>
    <w:locked/>
    <w:rsid w:val="00B31792"/>
    <w:rPr>
      <w:i/>
      <w:sz w:val="18"/>
      <w:szCs w:val="20"/>
    </w:rPr>
  </w:style>
  <w:style w:type="paragraph" w:styleId="Blokbesedila">
    <w:name w:val="Block Text"/>
    <w:basedOn w:val="Telobesedila"/>
    <w:uiPriority w:val="99"/>
    <w:unhideWhenUsed/>
    <w:rsid w:val="00B31792"/>
    <w:pPr>
      <w:framePr w:wrap="around" w:vAnchor="text" w:hAnchor="text" w:y="1"/>
      <w:pBdr>
        <w:top w:val="single" w:sz="2" w:space="10" w:color="000000" w:themeColor="text1" w:shadow="1"/>
        <w:left w:val="single" w:sz="2" w:space="10" w:color="000000" w:themeColor="text1" w:shadow="1"/>
        <w:bottom w:val="single" w:sz="2" w:space="10" w:color="000000" w:themeColor="text1" w:shadow="1"/>
        <w:right w:val="single" w:sz="2" w:space="10" w:color="000000" w:themeColor="text1" w:shadow="1"/>
      </w:pBdr>
      <w:suppressAutoHyphens w:val="0"/>
      <w:spacing w:after="160"/>
      <w:ind w:left="232" w:right="232"/>
      <w:jc w:val="both"/>
    </w:pPr>
    <w:rPr>
      <w:rFonts w:asciiTheme="minorHAnsi" w:eastAsiaTheme="minorEastAsia" w:hAnsiTheme="minorHAnsi" w:cstheme="minorBidi"/>
      <w:iCs/>
      <w:color w:val="000000" w:themeColor="text1"/>
      <w:szCs w:val="20"/>
      <w:lang w:val="sl-SI" w:eastAsia="en-US"/>
    </w:rPr>
  </w:style>
  <w:style w:type="paragraph" w:customStyle="1" w:styleId="BlockText3">
    <w:name w:val="Block Text 3"/>
    <w:basedOn w:val="Telobesedila"/>
    <w:rsid w:val="00B31792"/>
    <w:pPr>
      <w:pBdr>
        <w:top w:val="single" w:sz="8" w:space="10" w:color="5B9BD5" w:themeColor="accent1"/>
        <w:left w:val="single" w:sz="8" w:space="10" w:color="5B9BD5" w:themeColor="accent1"/>
        <w:bottom w:val="single" w:sz="8" w:space="10" w:color="5B9BD5" w:themeColor="accent1"/>
        <w:right w:val="single" w:sz="8" w:space="10" w:color="5B9BD5" w:themeColor="accent1"/>
      </w:pBdr>
      <w:shd w:val="clear" w:color="auto" w:fill="5B9BD5" w:themeFill="accent1"/>
      <w:suppressAutoHyphens w:val="0"/>
      <w:spacing w:after="160"/>
      <w:ind w:left="230" w:right="230"/>
      <w:jc w:val="both"/>
    </w:pPr>
    <w:rPr>
      <w:rFonts w:asciiTheme="minorHAnsi" w:eastAsiaTheme="minorHAnsi" w:hAnsiTheme="minorHAnsi" w:cstheme="minorBidi"/>
      <w:b/>
      <w:i/>
      <w:color w:val="E7E6E6" w:themeColor="background2"/>
      <w:szCs w:val="20"/>
      <w:lang w:val="sl-SI" w:eastAsia="en-US"/>
    </w:rPr>
  </w:style>
  <w:style w:type="paragraph" w:customStyle="1" w:styleId="Callout">
    <w:name w:val="Callout"/>
    <w:basedOn w:val="Telobesedila"/>
    <w:next w:val="Telobesedila"/>
    <w:rsid w:val="00B31792"/>
    <w:pPr>
      <w:framePr w:w="2102" w:hSpace="230" w:wrap="around" w:vAnchor="text" w:hAnchor="page" w:x="1023" w:y="203"/>
      <w:suppressAutoHyphens w:val="0"/>
      <w:spacing w:after="160"/>
      <w:jc w:val="both"/>
    </w:pPr>
    <w:rPr>
      <w:rFonts w:asciiTheme="minorHAnsi" w:eastAsiaTheme="minorHAnsi" w:hAnsiTheme="minorHAnsi" w:cstheme="minorBidi"/>
      <w:i/>
      <w:color w:val="44546A" w:themeColor="text2"/>
      <w:sz w:val="16"/>
      <w:szCs w:val="20"/>
      <w:lang w:val="sl-SI" w:eastAsia="en-US"/>
    </w:rPr>
  </w:style>
  <w:style w:type="paragraph" w:styleId="Datum">
    <w:name w:val="Date"/>
    <w:basedOn w:val="Navaden"/>
    <w:next w:val="Telobesedila"/>
    <w:link w:val="DatumZnak"/>
    <w:uiPriority w:val="99"/>
    <w:unhideWhenUsed/>
    <w:rsid w:val="00B31792"/>
    <w:pPr>
      <w:spacing w:after="160" w:line="276" w:lineRule="auto"/>
      <w:ind w:left="2376"/>
    </w:pPr>
    <w:rPr>
      <w:rFonts w:asciiTheme="minorHAnsi" w:eastAsiaTheme="minorHAnsi" w:hAnsiTheme="minorHAnsi" w:cstheme="minorBidi"/>
      <w:sz w:val="28"/>
      <w:szCs w:val="20"/>
    </w:rPr>
  </w:style>
  <w:style w:type="character" w:customStyle="1" w:styleId="DatumZnak">
    <w:name w:val="Datum Znak"/>
    <w:basedOn w:val="Privzetapisavaodstavka"/>
    <w:link w:val="Datum"/>
    <w:uiPriority w:val="99"/>
    <w:rsid w:val="00B31792"/>
    <w:rPr>
      <w:sz w:val="28"/>
      <w:szCs w:val="20"/>
    </w:rPr>
  </w:style>
  <w:style w:type="paragraph" w:customStyle="1" w:styleId="Disclaimer">
    <w:name w:val="Disclaimer"/>
    <w:basedOn w:val="Telobesedila"/>
    <w:link w:val="DisclaimerChar"/>
    <w:qFormat/>
    <w:rsid w:val="00B31792"/>
    <w:pPr>
      <w:suppressAutoHyphens w:val="0"/>
      <w:spacing w:line="140" w:lineRule="atLeast"/>
      <w:jc w:val="both"/>
    </w:pPr>
    <w:rPr>
      <w:rFonts w:asciiTheme="minorHAnsi" w:eastAsiaTheme="minorHAnsi" w:hAnsiTheme="minorHAnsi" w:cstheme="minorBidi"/>
      <w:color w:val="auto"/>
      <w:sz w:val="16"/>
      <w:szCs w:val="20"/>
      <w:lang w:val="sl-SI" w:eastAsia="en-US"/>
    </w:rPr>
  </w:style>
  <w:style w:type="character" w:customStyle="1" w:styleId="DisclaimerChar">
    <w:name w:val="Disclaimer Char"/>
    <w:basedOn w:val="Privzetapisavaodstavka"/>
    <w:link w:val="Disclaimer"/>
    <w:locked/>
    <w:rsid w:val="00B31792"/>
    <w:rPr>
      <w:sz w:val="16"/>
      <w:szCs w:val="20"/>
    </w:rPr>
  </w:style>
  <w:style w:type="paragraph" w:customStyle="1" w:styleId="DividerHeader">
    <w:name w:val="Divider Header"/>
    <w:rsid w:val="00B31792"/>
    <w:pPr>
      <w:spacing w:after="240" w:line="240" w:lineRule="atLeast"/>
    </w:pPr>
    <w:rPr>
      <w:rFonts w:asciiTheme="majorHAnsi" w:hAnsiTheme="majorHAnsi"/>
      <w:b/>
      <w:i/>
      <w:color w:val="000000" w:themeColor="text1"/>
      <w:sz w:val="64"/>
      <w:szCs w:val="20"/>
      <w:lang w:val="en-US"/>
    </w:rPr>
  </w:style>
  <w:style w:type="paragraph" w:customStyle="1" w:styleId="ExhibitHeading1">
    <w:name w:val="Exhibit Heading 1"/>
    <w:basedOn w:val="Telobesedila"/>
    <w:next w:val="Telobesedila"/>
    <w:qFormat/>
    <w:rsid w:val="00B31792"/>
    <w:pPr>
      <w:keepNext/>
      <w:pageBreakBefore/>
      <w:numPr>
        <w:ilvl w:val="3"/>
        <w:numId w:val="27"/>
      </w:numPr>
      <w:suppressAutoHyphens w:val="0"/>
      <w:spacing w:after="480" w:line="0" w:lineRule="atLeast"/>
      <w:ind w:left="0" w:firstLine="0"/>
      <w:jc w:val="both"/>
      <w:outlineLvl w:val="0"/>
    </w:pPr>
    <w:rPr>
      <w:rFonts w:asciiTheme="majorHAnsi" w:eastAsiaTheme="minorHAnsi" w:hAnsiTheme="majorHAnsi" w:cstheme="minorBidi"/>
      <w:b/>
      <w:i/>
      <w:color w:val="auto"/>
      <w:sz w:val="48"/>
      <w:szCs w:val="20"/>
      <w:lang w:val="sl-SI" w:eastAsia="en-US"/>
    </w:rPr>
  </w:style>
  <w:style w:type="paragraph" w:customStyle="1" w:styleId="ExhibitHeading2">
    <w:name w:val="Exhibit Heading 2"/>
    <w:basedOn w:val="ExhibitHeading1"/>
    <w:next w:val="Telobesedila"/>
    <w:qFormat/>
    <w:rsid w:val="00B31792"/>
    <w:pPr>
      <w:pageBreakBefore w:val="0"/>
      <w:numPr>
        <w:ilvl w:val="4"/>
      </w:numPr>
      <w:spacing w:after="160"/>
      <w:ind w:left="504" w:hanging="504"/>
      <w:outlineLvl w:val="1"/>
    </w:pPr>
    <w:rPr>
      <w:color w:val="44546A" w:themeColor="text2"/>
      <w:sz w:val="32"/>
    </w:rPr>
  </w:style>
  <w:style w:type="paragraph" w:customStyle="1" w:styleId="ExhibitHeading3">
    <w:name w:val="Exhibit Heading 3"/>
    <w:basedOn w:val="ExhibitHeading2"/>
    <w:next w:val="Telobesedila"/>
    <w:qFormat/>
    <w:rsid w:val="00B31792"/>
    <w:pPr>
      <w:numPr>
        <w:ilvl w:val="2"/>
      </w:numPr>
      <w:ind w:left="648" w:hanging="648"/>
      <w:outlineLvl w:val="2"/>
    </w:pPr>
    <w:rPr>
      <w:sz w:val="28"/>
    </w:rPr>
  </w:style>
  <w:style w:type="paragraph" w:customStyle="1" w:styleId="ExhibitHeading4">
    <w:name w:val="Exhibit Heading 4"/>
    <w:basedOn w:val="ExhibitHeading3"/>
    <w:next w:val="Telobesedila"/>
    <w:qFormat/>
    <w:rsid w:val="00B31792"/>
    <w:pPr>
      <w:numPr>
        <w:ilvl w:val="3"/>
        <w:numId w:val="15"/>
      </w:numPr>
      <w:ind w:left="792" w:hanging="792"/>
      <w:outlineLvl w:val="3"/>
    </w:pPr>
    <w:rPr>
      <w:b w:val="0"/>
    </w:rPr>
  </w:style>
  <w:style w:type="paragraph" w:customStyle="1" w:styleId="ExhibitHeading5">
    <w:name w:val="Exhibit Heading 5"/>
    <w:basedOn w:val="ExhibitHeading4"/>
    <w:next w:val="Telobesedila"/>
    <w:qFormat/>
    <w:rsid w:val="00B31792"/>
    <w:pPr>
      <w:numPr>
        <w:ilvl w:val="4"/>
      </w:numPr>
      <w:ind w:left="864" w:hanging="864"/>
      <w:outlineLvl w:val="4"/>
    </w:pPr>
    <w:rPr>
      <w:sz w:val="24"/>
    </w:rPr>
  </w:style>
  <w:style w:type="character" w:styleId="SledenaHiperpovezava">
    <w:name w:val="FollowedHyperlink"/>
    <w:basedOn w:val="Privzetapisavaodstavka"/>
    <w:uiPriority w:val="99"/>
    <w:semiHidden/>
    <w:unhideWhenUsed/>
    <w:rsid w:val="00B31792"/>
    <w:rPr>
      <w:color w:val="A8D08D" w:themeColor="accent6" w:themeTint="99"/>
      <w:u w:val="single"/>
    </w:rPr>
  </w:style>
  <w:style w:type="paragraph" w:customStyle="1" w:styleId="Guidance">
    <w:name w:val="Guidance"/>
    <w:basedOn w:val="Navaden"/>
    <w:link w:val="GuidanceChar"/>
    <w:uiPriority w:val="99"/>
    <w:qFormat/>
    <w:rsid w:val="00B31792"/>
    <w:pPr>
      <w:spacing w:after="100" w:afterAutospacing="1" w:line="276" w:lineRule="auto"/>
    </w:pPr>
    <w:rPr>
      <w:rFonts w:eastAsiaTheme="minorHAnsi" w:cstheme="minorBidi"/>
      <w:color w:val="00A5FF"/>
      <w:sz w:val="16"/>
      <w:szCs w:val="20"/>
    </w:rPr>
  </w:style>
  <w:style w:type="character" w:customStyle="1" w:styleId="GuidanceChar">
    <w:name w:val="Guidance Char"/>
    <w:basedOn w:val="Privzetapisavaodstavka"/>
    <w:link w:val="Guidance"/>
    <w:uiPriority w:val="99"/>
    <w:rsid w:val="00B31792"/>
    <w:rPr>
      <w:rFonts w:ascii="Arial" w:hAnsi="Arial"/>
      <w:color w:val="00A5FF"/>
      <w:sz w:val="16"/>
      <w:szCs w:val="20"/>
    </w:rPr>
  </w:style>
  <w:style w:type="character" w:styleId="HTML-kratica">
    <w:name w:val="HTML Acronym"/>
    <w:basedOn w:val="Privzetapisavaodstavka"/>
    <w:uiPriority w:val="99"/>
    <w:semiHidden/>
    <w:unhideWhenUsed/>
    <w:rsid w:val="00B31792"/>
    <w:rPr>
      <w:color w:val="000000" w:themeColor="text1"/>
    </w:rPr>
  </w:style>
  <w:style w:type="paragraph" w:styleId="Stvarnokazalo1">
    <w:name w:val="index 1"/>
    <w:basedOn w:val="Navaden"/>
    <w:next w:val="Navaden"/>
    <w:autoRedefine/>
    <w:uiPriority w:val="99"/>
    <w:unhideWhenUsed/>
    <w:rsid w:val="00B31792"/>
    <w:pPr>
      <w:spacing w:after="120" w:line="240" w:lineRule="auto"/>
      <w:ind w:left="202" w:hanging="202"/>
    </w:pPr>
    <w:rPr>
      <w:rFonts w:asciiTheme="minorHAnsi" w:eastAsiaTheme="minorHAnsi" w:hAnsiTheme="minorHAnsi" w:cstheme="minorBidi"/>
      <w:szCs w:val="20"/>
    </w:rPr>
  </w:style>
  <w:style w:type="paragraph" w:styleId="Stvarnokazalo2">
    <w:name w:val="index 2"/>
    <w:basedOn w:val="Navaden"/>
    <w:next w:val="Navaden"/>
    <w:autoRedefine/>
    <w:uiPriority w:val="99"/>
    <w:unhideWhenUsed/>
    <w:rsid w:val="00B31792"/>
    <w:pPr>
      <w:spacing w:after="120" w:line="240" w:lineRule="auto"/>
      <w:ind w:left="404" w:hanging="202"/>
    </w:pPr>
    <w:rPr>
      <w:rFonts w:asciiTheme="minorHAnsi" w:eastAsiaTheme="minorHAnsi" w:hAnsiTheme="minorHAnsi" w:cstheme="minorBidi"/>
      <w:szCs w:val="20"/>
    </w:rPr>
  </w:style>
  <w:style w:type="paragraph" w:styleId="Stvarnokazalo3">
    <w:name w:val="index 3"/>
    <w:basedOn w:val="Navaden"/>
    <w:next w:val="Navaden"/>
    <w:autoRedefine/>
    <w:uiPriority w:val="99"/>
    <w:unhideWhenUsed/>
    <w:rsid w:val="00B31792"/>
    <w:pPr>
      <w:spacing w:after="120" w:line="240" w:lineRule="auto"/>
      <w:ind w:left="605" w:hanging="202"/>
    </w:pPr>
    <w:rPr>
      <w:rFonts w:asciiTheme="minorHAnsi" w:eastAsiaTheme="minorHAnsi" w:hAnsiTheme="minorHAnsi" w:cstheme="minorBidi"/>
      <w:szCs w:val="20"/>
    </w:rPr>
  </w:style>
  <w:style w:type="paragraph" w:styleId="Stvarnokazalo4">
    <w:name w:val="index 4"/>
    <w:basedOn w:val="Navaden"/>
    <w:next w:val="Navaden"/>
    <w:autoRedefine/>
    <w:uiPriority w:val="99"/>
    <w:unhideWhenUsed/>
    <w:rsid w:val="00B31792"/>
    <w:pPr>
      <w:spacing w:line="240" w:lineRule="auto"/>
      <w:ind w:left="800" w:hanging="200"/>
    </w:pPr>
    <w:rPr>
      <w:rFonts w:asciiTheme="minorHAnsi" w:eastAsiaTheme="minorHAnsi" w:hAnsiTheme="minorHAnsi" w:cstheme="minorBidi"/>
      <w:szCs w:val="20"/>
    </w:rPr>
  </w:style>
  <w:style w:type="paragraph" w:styleId="Stvarnokazalo5">
    <w:name w:val="index 5"/>
    <w:basedOn w:val="Navaden"/>
    <w:next w:val="Navaden"/>
    <w:autoRedefine/>
    <w:uiPriority w:val="99"/>
    <w:unhideWhenUsed/>
    <w:rsid w:val="00B31792"/>
    <w:pPr>
      <w:spacing w:after="120" w:line="240" w:lineRule="auto"/>
      <w:ind w:left="1008" w:hanging="202"/>
    </w:pPr>
    <w:rPr>
      <w:rFonts w:asciiTheme="minorHAnsi" w:eastAsiaTheme="minorHAnsi" w:hAnsiTheme="minorHAnsi" w:cstheme="minorBidi"/>
      <w:szCs w:val="20"/>
    </w:rPr>
  </w:style>
  <w:style w:type="paragraph" w:styleId="Stvarnokazalo6">
    <w:name w:val="index 6"/>
    <w:basedOn w:val="Navaden"/>
    <w:next w:val="Navaden"/>
    <w:autoRedefine/>
    <w:uiPriority w:val="99"/>
    <w:unhideWhenUsed/>
    <w:rsid w:val="00B31792"/>
    <w:pPr>
      <w:spacing w:after="120" w:line="240" w:lineRule="auto"/>
      <w:ind w:left="1196" w:hanging="202"/>
    </w:pPr>
    <w:rPr>
      <w:rFonts w:asciiTheme="minorHAnsi" w:eastAsiaTheme="minorHAnsi" w:hAnsiTheme="minorHAnsi" w:cstheme="minorBidi"/>
      <w:szCs w:val="20"/>
    </w:rPr>
  </w:style>
  <w:style w:type="paragraph" w:styleId="Stvarnokazalo7">
    <w:name w:val="index 7"/>
    <w:basedOn w:val="Navaden"/>
    <w:next w:val="Navaden"/>
    <w:autoRedefine/>
    <w:uiPriority w:val="99"/>
    <w:unhideWhenUsed/>
    <w:rsid w:val="00B31792"/>
    <w:pPr>
      <w:spacing w:after="120" w:line="240" w:lineRule="auto"/>
      <w:ind w:left="1397" w:hanging="202"/>
    </w:pPr>
    <w:rPr>
      <w:rFonts w:asciiTheme="minorHAnsi" w:eastAsiaTheme="minorHAnsi" w:hAnsiTheme="minorHAnsi" w:cstheme="minorBidi"/>
      <w:szCs w:val="20"/>
    </w:rPr>
  </w:style>
  <w:style w:type="paragraph" w:styleId="Stvarnokazalo8">
    <w:name w:val="index 8"/>
    <w:basedOn w:val="Navaden"/>
    <w:next w:val="Navaden"/>
    <w:autoRedefine/>
    <w:uiPriority w:val="99"/>
    <w:unhideWhenUsed/>
    <w:rsid w:val="00B31792"/>
    <w:pPr>
      <w:spacing w:after="120" w:line="240" w:lineRule="auto"/>
      <w:ind w:left="1599" w:hanging="202"/>
    </w:pPr>
    <w:rPr>
      <w:rFonts w:asciiTheme="minorHAnsi" w:eastAsiaTheme="minorHAnsi" w:hAnsiTheme="minorHAnsi" w:cstheme="minorBidi"/>
      <w:szCs w:val="20"/>
    </w:rPr>
  </w:style>
  <w:style w:type="paragraph" w:styleId="Stvarnokazalo9">
    <w:name w:val="index 9"/>
    <w:basedOn w:val="Navaden"/>
    <w:next w:val="Navaden"/>
    <w:autoRedefine/>
    <w:uiPriority w:val="99"/>
    <w:unhideWhenUsed/>
    <w:rsid w:val="00B31792"/>
    <w:pPr>
      <w:spacing w:after="120" w:line="240" w:lineRule="auto"/>
      <w:ind w:left="1800" w:hanging="202"/>
    </w:pPr>
    <w:rPr>
      <w:rFonts w:asciiTheme="minorHAnsi" w:eastAsiaTheme="minorHAnsi" w:hAnsiTheme="minorHAnsi" w:cstheme="minorBidi"/>
      <w:szCs w:val="20"/>
    </w:rPr>
  </w:style>
  <w:style w:type="paragraph" w:styleId="Stvarnokazalo-naslov">
    <w:name w:val="index heading"/>
    <w:basedOn w:val="Navaden"/>
    <w:next w:val="Stvarnokazalo1"/>
    <w:uiPriority w:val="99"/>
    <w:unhideWhenUsed/>
    <w:rsid w:val="00B31792"/>
    <w:pPr>
      <w:spacing w:after="160" w:line="240" w:lineRule="auto"/>
    </w:pPr>
    <w:rPr>
      <w:rFonts w:asciiTheme="majorHAnsi" w:eastAsiaTheme="majorEastAsia" w:hAnsiTheme="majorHAnsi" w:cstheme="majorBidi"/>
      <w:b/>
      <w:bCs/>
      <w:szCs w:val="20"/>
    </w:rPr>
  </w:style>
  <w:style w:type="character" w:styleId="Intenzivenpoudarek">
    <w:name w:val="Intense Emphasis"/>
    <w:basedOn w:val="Privzetapisavaodstavka"/>
    <w:uiPriority w:val="21"/>
    <w:rsid w:val="00B31792"/>
    <w:rPr>
      <w:i/>
      <w:iCs/>
      <w:color w:val="5B9BD5" w:themeColor="accent1"/>
    </w:rPr>
  </w:style>
  <w:style w:type="paragraph" w:customStyle="1" w:styleId="HeadingText">
    <w:name w:val="Heading Text"/>
    <w:basedOn w:val="Telobesedila"/>
    <w:next w:val="Telobesedila"/>
    <w:qFormat/>
    <w:rsid w:val="00B31792"/>
    <w:pPr>
      <w:suppressAutoHyphens w:val="0"/>
      <w:spacing w:after="80"/>
      <w:jc w:val="both"/>
    </w:pPr>
    <w:rPr>
      <w:rFonts w:asciiTheme="minorHAnsi" w:eastAsiaTheme="minorHAnsi" w:hAnsiTheme="minorHAnsi" w:cstheme="minorBidi"/>
      <w:b/>
      <w:color w:val="44546A" w:themeColor="text2"/>
      <w:sz w:val="20"/>
      <w:szCs w:val="20"/>
      <w:lang w:val="sl-SI" w:eastAsia="en-US"/>
    </w:rPr>
  </w:style>
  <w:style w:type="character" w:styleId="Intenzivensklic">
    <w:name w:val="Intense Reference"/>
    <w:basedOn w:val="Privzetapisavaodstavka"/>
    <w:uiPriority w:val="32"/>
    <w:rsid w:val="00B31792"/>
    <w:rPr>
      <w:b/>
      <w:bCs/>
      <w:smallCaps/>
      <w:color w:val="5B9BD5" w:themeColor="accent1"/>
      <w:spacing w:val="5"/>
    </w:rPr>
  </w:style>
  <w:style w:type="paragraph" w:styleId="Intenzivencitat">
    <w:name w:val="Intense Quote"/>
    <w:basedOn w:val="Navaden"/>
    <w:next w:val="Navaden"/>
    <w:link w:val="IntenzivencitatZnak"/>
    <w:uiPriority w:val="30"/>
    <w:rsid w:val="00B31792"/>
    <w:pPr>
      <w:pBdr>
        <w:bottom w:val="single" w:sz="4" w:space="10" w:color="5B9BD5" w:themeColor="accent1"/>
      </w:pBdr>
      <w:spacing w:before="200" w:after="280" w:line="276" w:lineRule="auto"/>
      <w:ind w:left="936" w:right="936"/>
    </w:pPr>
    <w:rPr>
      <w:rFonts w:asciiTheme="minorHAnsi" w:eastAsiaTheme="minorHAnsi" w:hAnsiTheme="minorHAnsi" w:cstheme="minorBidi"/>
      <w:b/>
      <w:i/>
      <w:iCs/>
      <w:color w:val="5B9BD5" w:themeColor="accent1"/>
      <w:szCs w:val="20"/>
    </w:rPr>
  </w:style>
  <w:style w:type="character" w:customStyle="1" w:styleId="IntenzivencitatZnak">
    <w:name w:val="Intenziven citat Znak"/>
    <w:basedOn w:val="Privzetapisavaodstavka"/>
    <w:link w:val="Intenzivencitat"/>
    <w:uiPriority w:val="30"/>
    <w:rsid w:val="00B31792"/>
    <w:rPr>
      <w:b/>
      <w:i/>
      <w:iCs/>
      <w:color w:val="5B9BD5" w:themeColor="accent1"/>
      <w:sz w:val="20"/>
      <w:szCs w:val="20"/>
    </w:rPr>
  </w:style>
  <w:style w:type="character" w:styleId="tevilkavrstice">
    <w:name w:val="line number"/>
    <w:basedOn w:val="Privzetapisavaodstavka"/>
    <w:uiPriority w:val="99"/>
    <w:unhideWhenUsed/>
    <w:rsid w:val="00B31792"/>
  </w:style>
  <w:style w:type="paragraph" w:styleId="Seznam">
    <w:name w:val="List"/>
    <w:basedOn w:val="Navaden"/>
    <w:uiPriority w:val="99"/>
    <w:unhideWhenUsed/>
    <w:rsid w:val="00B31792"/>
    <w:pPr>
      <w:spacing w:after="120" w:line="240" w:lineRule="auto"/>
      <w:ind w:left="346"/>
    </w:pPr>
    <w:rPr>
      <w:rFonts w:asciiTheme="minorHAnsi" w:eastAsiaTheme="minorHAnsi" w:hAnsiTheme="minorHAnsi" w:cstheme="minorBidi"/>
      <w:szCs w:val="20"/>
    </w:rPr>
  </w:style>
  <w:style w:type="paragraph" w:styleId="Seznam2">
    <w:name w:val="List 2"/>
    <w:basedOn w:val="Seznam"/>
    <w:uiPriority w:val="99"/>
    <w:unhideWhenUsed/>
    <w:rsid w:val="00B31792"/>
    <w:pPr>
      <w:ind w:left="691"/>
    </w:pPr>
  </w:style>
  <w:style w:type="paragraph" w:styleId="Seznam4">
    <w:name w:val="List 4"/>
    <w:basedOn w:val="Seznam3"/>
    <w:uiPriority w:val="99"/>
    <w:unhideWhenUsed/>
    <w:rsid w:val="00B31792"/>
    <w:pPr>
      <w:ind w:left="1382" w:firstLine="0"/>
    </w:pPr>
  </w:style>
  <w:style w:type="paragraph" w:styleId="Seznam3">
    <w:name w:val="List 3"/>
    <w:basedOn w:val="Seznam2"/>
    <w:uiPriority w:val="99"/>
    <w:unhideWhenUsed/>
    <w:rsid w:val="00B31792"/>
    <w:pPr>
      <w:ind w:left="2232" w:hanging="1195"/>
    </w:pPr>
  </w:style>
  <w:style w:type="paragraph" w:styleId="Seznam5">
    <w:name w:val="List 5"/>
    <w:basedOn w:val="Navaden"/>
    <w:uiPriority w:val="99"/>
    <w:unhideWhenUsed/>
    <w:rsid w:val="00B31792"/>
    <w:pPr>
      <w:spacing w:after="120" w:line="240" w:lineRule="auto"/>
      <w:ind w:left="1728"/>
    </w:pPr>
    <w:rPr>
      <w:rFonts w:asciiTheme="minorHAnsi" w:eastAsiaTheme="minorHAnsi" w:hAnsiTheme="minorHAnsi" w:cstheme="minorBidi"/>
      <w:szCs w:val="20"/>
    </w:rPr>
  </w:style>
  <w:style w:type="paragraph" w:customStyle="1" w:styleId="ListAlpha">
    <w:name w:val="List Alpha"/>
    <w:basedOn w:val="Navaden"/>
    <w:qFormat/>
    <w:rsid w:val="00B31792"/>
    <w:pPr>
      <w:numPr>
        <w:ilvl w:val="4"/>
        <w:numId w:val="25"/>
      </w:numPr>
      <w:tabs>
        <w:tab w:val="clear" w:pos="1728"/>
        <w:tab w:val="num" w:pos="346"/>
      </w:tabs>
      <w:spacing w:after="120" w:line="240" w:lineRule="auto"/>
      <w:ind w:left="346"/>
    </w:pPr>
    <w:rPr>
      <w:rFonts w:asciiTheme="minorHAnsi" w:eastAsiaTheme="minorHAnsi" w:hAnsiTheme="minorHAnsi" w:cstheme="minorBidi"/>
      <w:szCs w:val="20"/>
    </w:rPr>
  </w:style>
  <w:style w:type="paragraph" w:customStyle="1" w:styleId="ListAlpha2">
    <w:name w:val="List Alpha 2"/>
    <w:basedOn w:val="ListAlpha"/>
    <w:qFormat/>
    <w:rsid w:val="00B31792"/>
    <w:pPr>
      <w:numPr>
        <w:ilvl w:val="1"/>
      </w:numPr>
      <w:ind w:left="692" w:hanging="346"/>
    </w:pPr>
  </w:style>
  <w:style w:type="paragraph" w:customStyle="1" w:styleId="ListAlpha3">
    <w:name w:val="List Alpha 3"/>
    <w:basedOn w:val="ListAlpha"/>
    <w:qFormat/>
    <w:rsid w:val="00B31792"/>
    <w:pPr>
      <w:numPr>
        <w:ilvl w:val="2"/>
      </w:numPr>
    </w:pPr>
  </w:style>
  <w:style w:type="paragraph" w:customStyle="1" w:styleId="ListAlpha4">
    <w:name w:val="List Alpha 4"/>
    <w:basedOn w:val="ListAlpha3"/>
    <w:qFormat/>
    <w:rsid w:val="00B31792"/>
    <w:pPr>
      <w:numPr>
        <w:ilvl w:val="3"/>
      </w:numPr>
    </w:pPr>
  </w:style>
  <w:style w:type="paragraph" w:customStyle="1" w:styleId="ListAlpha5">
    <w:name w:val="List Alpha 5"/>
    <w:basedOn w:val="ListAlpha4"/>
    <w:rsid w:val="00B31792"/>
    <w:pPr>
      <w:numPr>
        <w:ilvl w:val="4"/>
        <w:numId w:val="12"/>
      </w:numPr>
    </w:pPr>
  </w:style>
  <w:style w:type="paragraph" w:customStyle="1" w:styleId="ListBullet6">
    <w:name w:val="List Bullet 6"/>
    <w:basedOn w:val="Oznaenseznam5"/>
    <w:qFormat/>
    <w:rsid w:val="00B31792"/>
    <w:pPr>
      <w:numPr>
        <w:ilvl w:val="0"/>
        <w:numId w:val="0"/>
      </w:numPr>
      <w:tabs>
        <w:tab w:val="num" w:pos="2074"/>
      </w:tabs>
      <w:ind w:left="2074" w:hanging="346"/>
    </w:pPr>
  </w:style>
  <w:style w:type="paragraph" w:customStyle="1" w:styleId="ListBullet7">
    <w:name w:val="List Bullet 7"/>
    <w:basedOn w:val="ListBullet6"/>
    <w:qFormat/>
    <w:rsid w:val="00B31792"/>
    <w:pPr>
      <w:numPr>
        <w:ilvl w:val="6"/>
      </w:numPr>
      <w:tabs>
        <w:tab w:val="num" w:pos="2074"/>
      </w:tabs>
      <w:ind w:left="2074" w:hanging="346"/>
    </w:pPr>
  </w:style>
  <w:style w:type="paragraph" w:customStyle="1" w:styleId="ListBullet8">
    <w:name w:val="List Bullet 8"/>
    <w:basedOn w:val="ListBullet7"/>
    <w:qFormat/>
    <w:rsid w:val="00B31792"/>
    <w:pPr>
      <w:numPr>
        <w:ilvl w:val="7"/>
      </w:numPr>
      <w:tabs>
        <w:tab w:val="num" w:pos="2074"/>
      </w:tabs>
      <w:ind w:left="2074" w:hanging="346"/>
    </w:pPr>
  </w:style>
  <w:style w:type="paragraph" w:customStyle="1" w:styleId="ListBullet9">
    <w:name w:val="List Bullet 9"/>
    <w:basedOn w:val="ListBullet8"/>
    <w:qFormat/>
    <w:rsid w:val="00B31792"/>
    <w:pPr>
      <w:numPr>
        <w:ilvl w:val="8"/>
      </w:numPr>
      <w:tabs>
        <w:tab w:val="num" w:pos="2074"/>
      </w:tabs>
      <w:ind w:left="2074" w:hanging="346"/>
    </w:pPr>
  </w:style>
  <w:style w:type="paragraph" w:styleId="Otevilenseznam">
    <w:name w:val="List Number"/>
    <w:basedOn w:val="Navaden"/>
    <w:unhideWhenUsed/>
    <w:qFormat/>
    <w:rsid w:val="00B31792"/>
    <w:pPr>
      <w:numPr>
        <w:numId w:val="32"/>
      </w:numPr>
      <w:spacing w:after="120" w:line="240" w:lineRule="auto"/>
    </w:pPr>
    <w:rPr>
      <w:rFonts w:asciiTheme="minorHAnsi" w:eastAsiaTheme="minorHAnsi" w:hAnsiTheme="minorHAnsi" w:cstheme="minorBidi"/>
      <w:szCs w:val="20"/>
    </w:rPr>
  </w:style>
  <w:style w:type="paragraph" w:styleId="Otevilenseznam2">
    <w:name w:val="List Number 2"/>
    <w:basedOn w:val="Otevilenseznam"/>
    <w:uiPriority w:val="13"/>
    <w:unhideWhenUsed/>
    <w:qFormat/>
    <w:rsid w:val="00B31792"/>
    <w:pPr>
      <w:numPr>
        <w:ilvl w:val="1"/>
      </w:numPr>
      <w:tabs>
        <w:tab w:val="left" w:pos="792"/>
      </w:tabs>
    </w:pPr>
  </w:style>
  <w:style w:type="paragraph" w:styleId="Otevilenseznam3">
    <w:name w:val="List Number 3"/>
    <w:basedOn w:val="Otevilenseznam2"/>
    <w:uiPriority w:val="13"/>
    <w:unhideWhenUsed/>
    <w:qFormat/>
    <w:rsid w:val="00B31792"/>
    <w:pPr>
      <w:numPr>
        <w:ilvl w:val="2"/>
      </w:numPr>
      <w:tabs>
        <w:tab w:val="clear" w:pos="792"/>
        <w:tab w:val="left" w:pos="1195"/>
      </w:tabs>
    </w:pPr>
  </w:style>
  <w:style w:type="paragraph" w:styleId="Otevilenseznam4">
    <w:name w:val="List Number 4"/>
    <w:basedOn w:val="Otevilenseznam3"/>
    <w:uiPriority w:val="13"/>
    <w:unhideWhenUsed/>
    <w:qFormat/>
    <w:rsid w:val="00B31792"/>
    <w:pPr>
      <w:numPr>
        <w:ilvl w:val="3"/>
      </w:numPr>
      <w:tabs>
        <w:tab w:val="clear" w:pos="1195"/>
        <w:tab w:val="left" w:pos="1642"/>
      </w:tabs>
    </w:pPr>
  </w:style>
  <w:style w:type="paragraph" w:styleId="Otevilenseznam5">
    <w:name w:val="List Number 5"/>
    <w:basedOn w:val="Otevilenseznam4"/>
    <w:uiPriority w:val="13"/>
    <w:unhideWhenUsed/>
    <w:rsid w:val="00B31792"/>
    <w:pPr>
      <w:numPr>
        <w:ilvl w:val="4"/>
      </w:numPr>
      <w:tabs>
        <w:tab w:val="clear" w:pos="1642"/>
        <w:tab w:val="left" w:pos="1987"/>
      </w:tabs>
    </w:pPr>
  </w:style>
  <w:style w:type="paragraph" w:styleId="Seznam-nadaljevanje">
    <w:name w:val="List Continue"/>
    <w:basedOn w:val="Navaden"/>
    <w:uiPriority w:val="99"/>
    <w:unhideWhenUsed/>
    <w:qFormat/>
    <w:rsid w:val="00B31792"/>
    <w:pPr>
      <w:spacing w:after="120" w:line="240" w:lineRule="auto"/>
      <w:ind w:left="346"/>
    </w:pPr>
    <w:rPr>
      <w:rFonts w:asciiTheme="minorHAnsi" w:eastAsiaTheme="minorHAnsi" w:hAnsiTheme="minorHAnsi" w:cstheme="minorBidi"/>
      <w:szCs w:val="20"/>
    </w:rPr>
  </w:style>
  <w:style w:type="paragraph" w:styleId="Seznam-nadaljevanje2">
    <w:name w:val="List Continue 2"/>
    <w:basedOn w:val="Seznam-nadaljevanje"/>
    <w:uiPriority w:val="99"/>
    <w:unhideWhenUsed/>
    <w:qFormat/>
    <w:rsid w:val="00B31792"/>
    <w:pPr>
      <w:ind w:left="691"/>
    </w:pPr>
  </w:style>
  <w:style w:type="paragraph" w:styleId="Seznam-nadaljevanje3">
    <w:name w:val="List Continue 3"/>
    <w:basedOn w:val="Otevilenseznam2"/>
    <w:uiPriority w:val="99"/>
    <w:unhideWhenUsed/>
    <w:qFormat/>
    <w:rsid w:val="00B31792"/>
    <w:pPr>
      <w:numPr>
        <w:ilvl w:val="0"/>
        <w:numId w:val="0"/>
      </w:numPr>
      <w:ind w:left="1037"/>
    </w:pPr>
  </w:style>
  <w:style w:type="paragraph" w:styleId="Seznam-nadaljevanje4">
    <w:name w:val="List Continue 4"/>
    <w:basedOn w:val="Seznam-nadaljevanje3"/>
    <w:uiPriority w:val="99"/>
    <w:unhideWhenUsed/>
    <w:qFormat/>
    <w:rsid w:val="00B31792"/>
    <w:pPr>
      <w:ind w:left="1382"/>
    </w:pPr>
  </w:style>
  <w:style w:type="paragraph" w:styleId="Seznam-nadaljevanje5">
    <w:name w:val="List Continue 5"/>
    <w:basedOn w:val="Seznam-nadaljevanje4"/>
    <w:uiPriority w:val="99"/>
    <w:unhideWhenUsed/>
    <w:rsid w:val="00B31792"/>
    <w:pPr>
      <w:ind w:left="1728"/>
    </w:pPr>
  </w:style>
  <w:style w:type="paragraph" w:styleId="Makrobesedilo">
    <w:name w:val="macro"/>
    <w:link w:val="MakrobesediloZnak"/>
    <w:uiPriority w:val="99"/>
    <w:unhideWhenUsed/>
    <w:rsid w:val="00B3179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krobesediloZnak">
    <w:name w:val="Makro besedilo Znak"/>
    <w:basedOn w:val="Privzetapisavaodstavka"/>
    <w:link w:val="Makrobesedilo"/>
    <w:uiPriority w:val="99"/>
    <w:rsid w:val="00B31792"/>
    <w:rPr>
      <w:rFonts w:ascii="Consolas" w:hAnsi="Consolas"/>
      <w:sz w:val="20"/>
      <w:szCs w:val="20"/>
      <w:lang w:val="en-US"/>
    </w:rPr>
  </w:style>
  <w:style w:type="paragraph" w:styleId="Glavasporoila">
    <w:name w:val="Message Header"/>
    <w:basedOn w:val="Navaden"/>
    <w:link w:val="GlavasporoilaZnak"/>
    <w:uiPriority w:val="99"/>
    <w:semiHidden/>
    <w:unhideWhenUsed/>
    <w:rsid w:val="00B31792"/>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inorHAnsi" w:eastAsiaTheme="majorEastAsia" w:hAnsiTheme="minorHAnsi" w:cstheme="majorBidi"/>
      <w:sz w:val="24"/>
    </w:rPr>
  </w:style>
  <w:style w:type="character" w:customStyle="1" w:styleId="GlavasporoilaZnak">
    <w:name w:val="Glava sporočila Znak"/>
    <w:basedOn w:val="Privzetapisavaodstavka"/>
    <w:link w:val="Glavasporoila"/>
    <w:uiPriority w:val="99"/>
    <w:semiHidden/>
    <w:rsid w:val="00B31792"/>
    <w:rPr>
      <w:rFonts w:eastAsiaTheme="majorEastAsia" w:cstheme="majorBidi"/>
      <w:sz w:val="24"/>
      <w:szCs w:val="24"/>
      <w:shd w:val="pct20" w:color="auto" w:fill="auto"/>
    </w:rPr>
  </w:style>
  <w:style w:type="paragraph" w:customStyle="1" w:styleId="Non-numberedHeading1">
    <w:name w:val="Non-numbered Heading 1"/>
    <w:basedOn w:val="Subheading"/>
    <w:next w:val="Telobesedila"/>
    <w:qFormat/>
    <w:rsid w:val="00B31792"/>
    <w:pPr>
      <w:pageBreakBefore/>
    </w:pPr>
    <w:rPr>
      <w:b/>
      <w:i/>
      <w:sz w:val="48"/>
    </w:rPr>
  </w:style>
  <w:style w:type="paragraph" w:customStyle="1" w:styleId="Subheading">
    <w:name w:val="Subheading"/>
    <w:basedOn w:val="Heading1wSubheading"/>
    <w:rsid w:val="00B31792"/>
    <w:pPr>
      <w:pageBreakBefore w:val="0"/>
      <w:spacing w:after="480"/>
    </w:pPr>
    <w:rPr>
      <w:b w:val="0"/>
      <w:i w:val="0"/>
      <w:sz w:val="44"/>
    </w:rPr>
  </w:style>
  <w:style w:type="paragraph" w:customStyle="1" w:styleId="Heading1wSubheading">
    <w:name w:val="Heading 1 w/Subheading"/>
    <w:basedOn w:val="Naslov1"/>
    <w:next w:val="Subheading"/>
    <w:rsid w:val="00B31792"/>
    <w:pPr>
      <w:pageBreakBefore/>
      <w:spacing w:before="0" w:after="0" w:line="0" w:lineRule="atLeast"/>
    </w:pPr>
    <w:rPr>
      <w:rFonts w:asciiTheme="majorHAnsi" w:eastAsiaTheme="majorEastAsia" w:hAnsiTheme="majorHAnsi" w:cstheme="majorBidi"/>
      <w:i/>
      <w:color w:val="000000" w:themeColor="text1"/>
      <w:kern w:val="0"/>
      <w:sz w:val="48"/>
      <w:lang w:eastAsia="en-US"/>
    </w:rPr>
  </w:style>
  <w:style w:type="paragraph" w:customStyle="1" w:styleId="Non-numberedHeading2">
    <w:name w:val="Non-numbered Heading 2"/>
    <w:basedOn w:val="Non-numberedHeading1"/>
    <w:next w:val="Telobesedila"/>
    <w:qFormat/>
    <w:rsid w:val="00B31792"/>
    <w:pPr>
      <w:pageBreakBefore w:val="0"/>
      <w:spacing w:after="160"/>
      <w:outlineLvl w:val="1"/>
    </w:pPr>
    <w:rPr>
      <w:color w:val="44546A" w:themeColor="text2"/>
      <w:sz w:val="32"/>
    </w:rPr>
  </w:style>
  <w:style w:type="paragraph" w:customStyle="1" w:styleId="Non-numberedHeading3">
    <w:name w:val="Non-numbered Heading 3"/>
    <w:basedOn w:val="Naslov3"/>
    <w:next w:val="Telobesedila"/>
    <w:qFormat/>
    <w:rsid w:val="00B31792"/>
    <w:pPr>
      <w:keepLines w:val="0"/>
      <w:spacing w:before="0" w:after="160" w:line="0" w:lineRule="atLeast"/>
    </w:pPr>
    <w:rPr>
      <w:b/>
      <w:i/>
      <w:color w:val="44546A" w:themeColor="text2"/>
      <w:sz w:val="28"/>
      <w:lang w:val="sl-SI"/>
    </w:rPr>
  </w:style>
  <w:style w:type="paragraph" w:customStyle="1" w:styleId="Non-numberedHeading4">
    <w:name w:val="Non-numbered Heading 4"/>
    <w:basedOn w:val="Non-numberedHeading3"/>
    <w:next w:val="Telobesedila"/>
    <w:qFormat/>
    <w:rsid w:val="00B31792"/>
    <w:pPr>
      <w:outlineLvl w:val="3"/>
    </w:pPr>
    <w:rPr>
      <w:b w:val="0"/>
    </w:rPr>
  </w:style>
  <w:style w:type="paragraph" w:customStyle="1" w:styleId="Non-numberedHeading5">
    <w:name w:val="Non-numbered Heading 5"/>
    <w:basedOn w:val="Non-numberedHeading4"/>
    <w:next w:val="Telobesedila"/>
    <w:rsid w:val="00B31792"/>
    <w:pPr>
      <w:outlineLvl w:val="4"/>
    </w:pPr>
    <w:rPr>
      <w:sz w:val="24"/>
    </w:rPr>
  </w:style>
  <w:style w:type="paragraph" w:customStyle="1" w:styleId="PwCAddress">
    <w:name w:val="PwC Address"/>
    <w:qFormat/>
    <w:rsid w:val="00B31792"/>
    <w:pPr>
      <w:spacing w:after="0" w:line="200" w:lineRule="atLeast"/>
    </w:pPr>
    <w:rPr>
      <w:b/>
      <w:sz w:val="24"/>
      <w:szCs w:val="20"/>
      <w:lang w:val="en-US"/>
    </w:rPr>
  </w:style>
  <w:style w:type="paragraph" w:styleId="Citat">
    <w:name w:val="Quote"/>
    <w:basedOn w:val="Navaden"/>
    <w:next w:val="Navaden"/>
    <w:link w:val="CitatZnak"/>
    <w:uiPriority w:val="29"/>
    <w:rsid w:val="00B31792"/>
    <w:pPr>
      <w:spacing w:after="160" w:line="276" w:lineRule="auto"/>
      <w:jc w:val="center"/>
    </w:pPr>
    <w:rPr>
      <w:rFonts w:asciiTheme="minorHAnsi" w:eastAsiaTheme="minorHAnsi" w:hAnsiTheme="minorHAnsi" w:cstheme="minorBidi"/>
      <w:i/>
      <w:iCs/>
      <w:color w:val="404040" w:themeColor="text1" w:themeTint="BF"/>
      <w:szCs w:val="20"/>
    </w:rPr>
  </w:style>
  <w:style w:type="character" w:customStyle="1" w:styleId="CitatZnak">
    <w:name w:val="Citat Znak"/>
    <w:basedOn w:val="Privzetapisavaodstavka"/>
    <w:link w:val="Citat"/>
    <w:uiPriority w:val="29"/>
    <w:rsid w:val="00B31792"/>
    <w:rPr>
      <w:i/>
      <w:iCs/>
      <w:color w:val="404040" w:themeColor="text1" w:themeTint="BF"/>
      <w:sz w:val="20"/>
      <w:szCs w:val="20"/>
    </w:rPr>
  </w:style>
  <w:style w:type="paragraph" w:styleId="Podnaslov">
    <w:name w:val="Subtitle"/>
    <w:basedOn w:val="Navaden"/>
    <w:next w:val="Navaden"/>
    <w:link w:val="PodnaslovZnak"/>
    <w:uiPriority w:val="11"/>
    <w:rsid w:val="00B31792"/>
    <w:pPr>
      <w:numPr>
        <w:ilvl w:val="1"/>
      </w:numPr>
      <w:spacing w:after="1200" w:line="240" w:lineRule="auto"/>
      <w:ind w:left="2376"/>
    </w:pPr>
    <w:rPr>
      <w:rFonts w:asciiTheme="majorHAnsi" w:eastAsiaTheme="minorEastAsia" w:hAnsiTheme="majorHAnsi" w:cstheme="minorBidi"/>
      <w:spacing w:val="15"/>
      <w:sz w:val="64"/>
      <w:szCs w:val="20"/>
    </w:rPr>
  </w:style>
  <w:style w:type="character" w:customStyle="1" w:styleId="PodnaslovZnak">
    <w:name w:val="Podnaslov Znak"/>
    <w:basedOn w:val="Privzetapisavaodstavka"/>
    <w:link w:val="Podnaslov"/>
    <w:uiPriority w:val="11"/>
    <w:rsid w:val="00B31792"/>
    <w:rPr>
      <w:rFonts w:asciiTheme="majorHAnsi" w:eastAsiaTheme="minorEastAsia" w:hAnsiTheme="majorHAnsi"/>
      <w:spacing w:val="15"/>
      <w:sz w:val="64"/>
      <w:szCs w:val="20"/>
    </w:rPr>
  </w:style>
  <w:style w:type="character" w:styleId="Neenpoudarek">
    <w:name w:val="Subtle Emphasis"/>
    <w:basedOn w:val="Privzetapisavaodstavka"/>
    <w:uiPriority w:val="19"/>
    <w:rsid w:val="00B31792"/>
    <w:rPr>
      <w:i/>
      <w:iCs/>
      <w:color w:val="7F7F7F" w:themeColor="text1" w:themeTint="80"/>
    </w:rPr>
  </w:style>
  <w:style w:type="paragraph" w:styleId="Naslov">
    <w:name w:val="Title"/>
    <w:basedOn w:val="Navaden"/>
    <w:next w:val="Navaden"/>
    <w:link w:val="NaslovZnak"/>
    <w:uiPriority w:val="10"/>
    <w:rsid w:val="00B31792"/>
    <w:pPr>
      <w:spacing w:line="240" w:lineRule="auto"/>
      <w:ind w:left="2376"/>
      <w:contextualSpacing/>
    </w:pPr>
    <w:rPr>
      <w:rFonts w:asciiTheme="majorHAnsi" w:eastAsiaTheme="majorEastAsia" w:hAnsiTheme="majorHAnsi" w:cstheme="majorBidi"/>
      <w:b/>
      <w:i/>
      <w:spacing w:val="-10"/>
      <w:kern w:val="28"/>
      <w:sz w:val="64"/>
      <w:szCs w:val="56"/>
    </w:rPr>
  </w:style>
  <w:style w:type="character" w:customStyle="1" w:styleId="NaslovZnak">
    <w:name w:val="Naslov Znak"/>
    <w:basedOn w:val="Privzetapisavaodstavka"/>
    <w:link w:val="Naslov"/>
    <w:uiPriority w:val="10"/>
    <w:rsid w:val="00B31792"/>
    <w:rPr>
      <w:rFonts w:asciiTheme="majorHAnsi" w:eastAsiaTheme="majorEastAsia" w:hAnsiTheme="majorHAnsi" w:cstheme="majorBidi"/>
      <w:b/>
      <w:i/>
      <w:spacing w:val="-10"/>
      <w:kern w:val="28"/>
      <w:sz w:val="64"/>
      <w:szCs w:val="56"/>
    </w:rPr>
  </w:style>
  <w:style w:type="paragraph" w:styleId="Kazalovsebine4">
    <w:name w:val="toc 4"/>
    <w:basedOn w:val="Navaden"/>
    <w:next w:val="Navaden"/>
    <w:autoRedefine/>
    <w:uiPriority w:val="39"/>
    <w:unhideWhenUsed/>
    <w:rsid w:val="00B31792"/>
    <w:pPr>
      <w:tabs>
        <w:tab w:val="right" w:leader="dot" w:pos="9360"/>
      </w:tabs>
      <w:spacing w:line="360" w:lineRule="auto"/>
      <w:ind w:left="1077"/>
    </w:pPr>
    <w:rPr>
      <w:rFonts w:asciiTheme="minorHAnsi" w:eastAsiaTheme="minorHAnsi" w:hAnsiTheme="minorHAnsi" w:cstheme="minorBidi"/>
      <w:szCs w:val="20"/>
    </w:rPr>
  </w:style>
  <w:style w:type="paragraph" w:styleId="Kazalovsebine5">
    <w:name w:val="toc 5"/>
    <w:basedOn w:val="Navaden"/>
    <w:next w:val="Navaden"/>
    <w:autoRedefine/>
    <w:uiPriority w:val="39"/>
    <w:unhideWhenUsed/>
    <w:rsid w:val="00B31792"/>
    <w:pPr>
      <w:spacing w:before="120" w:after="120" w:line="240" w:lineRule="atLeast"/>
      <w:ind w:left="806"/>
    </w:pPr>
    <w:rPr>
      <w:rFonts w:asciiTheme="minorHAnsi" w:eastAsiaTheme="minorHAnsi" w:hAnsiTheme="minorHAnsi" w:cstheme="minorBidi"/>
      <w:szCs w:val="20"/>
    </w:rPr>
  </w:style>
  <w:style w:type="paragraph" w:customStyle="1" w:styleId="ListRoman">
    <w:name w:val="List Roman"/>
    <w:basedOn w:val="Telobesedila"/>
    <w:qFormat/>
    <w:rsid w:val="00B31792"/>
    <w:pPr>
      <w:numPr>
        <w:numId w:val="26"/>
      </w:numPr>
      <w:suppressAutoHyphens w:val="0"/>
      <w:spacing w:after="120"/>
      <w:jc w:val="both"/>
    </w:pPr>
    <w:rPr>
      <w:rFonts w:asciiTheme="minorHAnsi" w:eastAsiaTheme="minorHAnsi" w:hAnsiTheme="minorHAnsi" w:cstheme="minorBidi"/>
      <w:color w:val="auto"/>
      <w:sz w:val="20"/>
      <w:szCs w:val="20"/>
      <w:lang w:val="sl-SI" w:eastAsia="en-US"/>
    </w:rPr>
  </w:style>
  <w:style w:type="paragraph" w:customStyle="1" w:styleId="ListRoman2">
    <w:name w:val="List Roman 2"/>
    <w:basedOn w:val="ListRoman"/>
    <w:qFormat/>
    <w:rsid w:val="00B31792"/>
    <w:pPr>
      <w:numPr>
        <w:ilvl w:val="1"/>
      </w:numPr>
      <w:tabs>
        <w:tab w:val="left" w:pos="792"/>
      </w:tabs>
    </w:pPr>
  </w:style>
  <w:style w:type="paragraph" w:customStyle="1" w:styleId="ListRoman3">
    <w:name w:val="List Roman 3"/>
    <w:basedOn w:val="ListRoman2"/>
    <w:qFormat/>
    <w:rsid w:val="00B31792"/>
    <w:pPr>
      <w:numPr>
        <w:ilvl w:val="2"/>
      </w:numPr>
      <w:tabs>
        <w:tab w:val="clear" w:pos="792"/>
        <w:tab w:val="left" w:pos="1195"/>
      </w:tabs>
    </w:pPr>
  </w:style>
  <w:style w:type="paragraph" w:customStyle="1" w:styleId="ListRoman4">
    <w:name w:val="List Roman 4"/>
    <w:basedOn w:val="ListRoman3"/>
    <w:qFormat/>
    <w:rsid w:val="00B31792"/>
    <w:pPr>
      <w:numPr>
        <w:ilvl w:val="3"/>
      </w:numPr>
      <w:tabs>
        <w:tab w:val="clear" w:pos="1195"/>
        <w:tab w:val="left" w:pos="1584"/>
      </w:tabs>
    </w:pPr>
  </w:style>
  <w:style w:type="paragraph" w:customStyle="1" w:styleId="ListRoman5">
    <w:name w:val="List Roman 5"/>
    <w:basedOn w:val="ListRoman4"/>
    <w:qFormat/>
    <w:rsid w:val="00B31792"/>
    <w:pPr>
      <w:numPr>
        <w:ilvl w:val="4"/>
      </w:numPr>
      <w:tabs>
        <w:tab w:val="clear" w:pos="1584"/>
        <w:tab w:val="left" w:pos="1987"/>
      </w:tabs>
    </w:pPr>
  </w:style>
  <w:style w:type="character" w:styleId="Besedilooznabemesta">
    <w:name w:val="Placeholder Text"/>
    <w:basedOn w:val="Privzetapisavaodstavka"/>
    <w:uiPriority w:val="99"/>
    <w:semiHidden/>
    <w:rsid w:val="00B31792"/>
    <w:rPr>
      <w:color w:val="808080"/>
    </w:rPr>
  </w:style>
  <w:style w:type="table" w:customStyle="1" w:styleId="PwCTableofFigures">
    <w:name w:val="PwC Table of Figures"/>
    <w:basedOn w:val="PwCTableText"/>
    <w:uiPriority w:val="99"/>
    <w:rsid w:val="00B31792"/>
    <w:pPr>
      <w:spacing w:after="0"/>
      <w:jc w:val="right"/>
    </w:pPr>
    <w:rPr>
      <w:rFonts w:ascii="Arial" w:hAnsi="Arial"/>
    </w:rPr>
    <w:tblPr/>
    <w:tblStylePr w:type="firstRow">
      <w:pPr>
        <w:jc w:val="right"/>
      </w:pPr>
      <w:rPr>
        <w:rFonts w:asciiTheme="majorHAnsi" w:hAnsiTheme="majorHAnsi"/>
        <w:b/>
        <w:color w:val="44546A" w:themeColor="text2"/>
        <w:sz w:val="18"/>
      </w:rPr>
      <w:tblPr/>
      <w:tcPr>
        <w:tcBorders>
          <w:top w:val="single" w:sz="6" w:space="0" w:color="5B9BD5" w:themeColor="accent1"/>
          <w:left w:val="nil"/>
          <w:bottom w:val="single" w:sz="6" w:space="0" w:color="5B9BD5" w:themeColor="accent1"/>
          <w:right w:val="nil"/>
          <w:insideH w:val="nil"/>
          <w:insideV w:val="nil"/>
          <w:tl2br w:val="nil"/>
          <w:tr2bl w:val="nil"/>
        </w:tcBorders>
      </w:tcPr>
    </w:tblStylePr>
  </w:style>
  <w:style w:type="table" w:customStyle="1" w:styleId="Style1">
    <w:name w:val="Style1"/>
    <w:basedOn w:val="PwCTableText"/>
    <w:uiPriority w:val="99"/>
    <w:rsid w:val="00B31792"/>
    <w:pPr>
      <w:spacing w:after="0"/>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Pr>
    <w:tblStylePr w:type="firstRow">
      <w:pPr>
        <w:jc w:val="left"/>
      </w:pPr>
      <w:rPr>
        <w:rFonts w:asciiTheme="majorHAnsi" w:hAnsiTheme="majorHAnsi"/>
        <w:b/>
        <w:color w:val="44546A" w:themeColor="text2"/>
        <w:sz w:val="18"/>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single" w:sz="4" w:space="0" w:color="5B9BD5" w:themeColor="accent1"/>
          <w:tl2br w:val="nil"/>
          <w:tr2bl w:val="nil"/>
        </w:tcBorders>
      </w:tcPr>
    </w:tblStylePr>
  </w:style>
  <w:style w:type="table" w:customStyle="1" w:styleId="SmartTextListTable">
    <w:name w:val="Smart Text List Table"/>
    <w:basedOn w:val="PwCTableText"/>
    <w:uiPriority w:val="99"/>
    <w:rsid w:val="00B31792"/>
    <w:pPr>
      <w:spacing w:after="0"/>
    </w:pPr>
    <w:tblPr/>
    <w:tblStylePr w:type="firstRow">
      <w:pPr>
        <w:jc w:val="left"/>
      </w:pPr>
      <w:rPr>
        <w:rFonts w:asciiTheme="majorHAnsi" w:hAnsiTheme="majorHAnsi"/>
        <w:b/>
        <w:color w:val="44546A" w:themeColor="text2"/>
        <w:sz w:val="18"/>
      </w:rPr>
      <w:tblPr/>
      <w:tcPr>
        <w:tcBorders>
          <w:top w:val="nil"/>
          <w:left w:val="nil"/>
          <w:bottom w:val="single" w:sz="6" w:space="0" w:color="5B9BD5" w:themeColor="accent1"/>
          <w:right w:val="nil"/>
          <w:insideH w:val="nil"/>
          <w:insideV w:val="nil"/>
          <w:tl2br w:val="nil"/>
          <w:tr2bl w:val="nil"/>
        </w:tcBorders>
      </w:tcPr>
    </w:tblStylePr>
  </w:style>
  <w:style w:type="table" w:customStyle="1" w:styleId="SmartBasicTable">
    <w:name w:val="Smart Basic Table"/>
    <w:basedOn w:val="PwCTableText"/>
    <w:uiPriority w:val="99"/>
    <w:rsid w:val="00B31792"/>
    <w:pPr>
      <w:spacing w:after="0"/>
    </w:pPr>
    <w:tblPr/>
    <w:tblStylePr w:type="firstRow">
      <w:pPr>
        <w:jc w:val="left"/>
      </w:pPr>
      <w:rPr>
        <w:rFonts w:asciiTheme="majorHAnsi" w:hAnsiTheme="majorHAnsi"/>
        <w:b/>
        <w:color w:val="44546A" w:themeColor="text2"/>
        <w:sz w:val="18"/>
      </w:rPr>
      <w:tblPr/>
      <w:tcPr>
        <w:tcBorders>
          <w:top w:val="nil"/>
          <w:left w:val="nil"/>
          <w:bottom w:val="nil"/>
          <w:right w:val="nil"/>
          <w:insideH w:val="nil"/>
          <w:insideV w:val="nil"/>
          <w:tl2br w:val="nil"/>
          <w:tr2bl w:val="nil"/>
        </w:tcBorders>
      </w:tcPr>
    </w:tblStylePr>
    <w:tblStylePr w:type="firstCol">
      <w:rPr>
        <w:i/>
      </w:rPr>
    </w:tblStylePr>
  </w:style>
  <w:style w:type="paragraph" w:styleId="Telobesedila-zamik">
    <w:name w:val="Body Text Indent"/>
    <w:basedOn w:val="Navaden"/>
    <w:link w:val="Telobesedila-zamikZnak"/>
    <w:uiPriority w:val="99"/>
    <w:semiHidden/>
    <w:unhideWhenUsed/>
    <w:rsid w:val="00B31792"/>
    <w:pPr>
      <w:spacing w:after="120" w:line="240" w:lineRule="auto"/>
      <w:ind w:left="360"/>
    </w:pPr>
    <w:rPr>
      <w:rFonts w:asciiTheme="minorHAnsi" w:eastAsiaTheme="minorHAnsi" w:hAnsiTheme="minorHAnsi" w:cstheme="minorBidi"/>
      <w:szCs w:val="20"/>
    </w:rPr>
  </w:style>
  <w:style w:type="character" w:customStyle="1" w:styleId="Telobesedila-zamikZnak">
    <w:name w:val="Telo besedila - zamik Znak"/>
    <w:basedOn w:val="Privzetapisavaodstavka"/>
    <w:link w:val="Telobesedila-zamik"/>
    <w:uiPriority w:val="99"/>
    <w:semiHidden/>
    <w:rsid w:val="00B31792"/>
    <w:rPr>
      <w:sz w:val="20"/>
      <w:szCs w:val="20"/>
    </w:rPr>
  </w:style>
  <w:style w:type="character" w:styleId="Naslovknjige">
    <w:name w:val="Book Title"/>
    <w:basedOn w:val="Privzetapisavaodstavka"/>
    <w:uiPriority w:val="33"/>
    <w:rsid w:val="00B31792"/>
    <w:rPr>
      <w:b/>
      <w:bCs/>
      <w:i/>
      <w:iCs/>
      <w:spacing w:val="5"/>
    </w:rPr>
  </w:style>
  <w:style w:type="paragraph" w:styleId="Brezrazmikov">
    <w:name w:val="No Spacing"/>
    <w:uiPriority w:val="1"/>
    <w:rsid w:val="00B31792"/>
    <w:pPr>
      <w:spacing w:after="0" w:line="240" w:lineRule="auto"/>
    </w:pPr>
    <w:rPr>
      <w:sz w:val="20"/>
      <w:szCs w:val="20"/>
      <w:lang w:val="en-US"/>
    </w:rPr>
  </w:style>
  <w:style w:type="character" w:styleId="Neensklic">
    <w:name w:val="Subtle Reference"/>
    <w:basedOn w:val="Privzetapisavaodstavka"/>
    <w:uiPriority w:val="31"/>
    <w:rsid w:val="00B31792"/>
    <w:rPr>
      <w:smallCaps/>
      <w:color w:val="5A5A5A" w:themeColor="text1" w:themeTint="A5"/>
    </w:rPr>
  </w:style>
  <w:style w:type="paragraph" w:customStyle="1" w:styleId="AppendixHeading3">
    <w:name w:val="Appendix Heading 3"/>
    <w:basedOn w:val="AppendixHeading2"/>
    <w:next w:val="Telobesedila"/>
    <w:rsid w:val="00B31792"/>
    <w:pPr>
      <w:numPr>
        <w:ilvl w:val="0"/>
        <w:numId w:val="0"/>
      </w:numPr>
      <w:outlineLvl w:val="2"/>
    </w:pPr>
    <w:rPr>
      <w:sz w:val="24"/>
    </w:rPr>
  </w:style>
  <w:style w:type="paragraph" w:customStyle="1" w:styleId="AppendixHeading4">
    <w:name w:val="Appendix Heading 4"/>
    <w:basedOn w:val="AppendixHeading3"/>
    <w:next w:val="Telobesedila"/>
    <w:rsid w:val="00B31792"/>
    <w:pPr>
      <w:numPr>
        <w:ilvl w:val="3"/>
      </w:numPr>
      <w:outlineLvl w:val="3"/>
    </w:pPr>
    <w:rPr>
      <w:b w:val="0"/>
    </w:rPr>
  </w:style>
  <w:style w:type="paragraph" w:customStyle="1" w:styleId="AppendixHeading5">
    <w:name w:val="Appendix Heading 5"/>
    <w:basedOn w:val="AppendixHeading4"/>
    <w:next w:val="Telobesedila"/>
    <w:rsid w:val="00B31792"/>
    <w:pPr>
      <w:numPr>
        <w:ilvl w:val="4"/>
      </w:numPr>
      <w:outlineLvl w:val="4"/>
    </w:pPr>
    <w:rPr>
      <w:b/>
      <w:color w:val="000000" w:themeColor="text1"/>
      <w:sz w:val="20"/>
      <w:u w:val="single"/>
    </w:rPr>
  </w:style>
  <w:style w:type="paragraph" w:styleId="Kazalovirov-naslov">
    <w:name w:val="toa heading"/>
    <w:basedOn w:val="Navaden"/>
    <w:next w:val="Navaden"/>
    <w:uiPriority w:val="99"/>
    <w:unhideWhenUsed/>
    <w:rsid w:val="00B31792"/>
    <w:pPr>
      <w:spacing w:before="120" w:after="160" w:line="240" w:lineRule="auto"/>
    </w:pPr>
    <w:rPr>
      <w:rFonts w:asciiTheme="majorHAnsi" w:eastAsiaTheme="majorEastAsia" w:hAnsiTheme="majorHAnsi" w:cstheme="majorBidi"/>
      <w:b/>
      <w:bCs/>
      <w:sz w:val="24"/>
    </w:rPr>
  </w:style>
  <w:style w:type="paragraph" w:customStyle="1" w:styleId="BlockText2">
    <w:name w:val="Block Text 2"/>
    <w:basedOn w:val="Blokbesedila"/>
    <w:rsid w:val="00B31792"/>
    <w:pPr>
      <w:framePr w:wrap="around"/>
      <w:pBdr>
        <w:top w:val="single" w:sz="8" w:space="10" w:color="DBD9D9" w:themeColor="background2" w:themeShade="F2"/>
        <w:left w:val="single" w:sz="8" w:space="10" w:color="DBD9D9" w:themeColor="background2" w:themeShade="F2"/>
        <w:bottom w:val="single" w:sz="8" w:space="10" w:color="DBD9D9" w:themeColor="background2" w:themeShade="F2"/>
        <w:right w:val="single" w:sz="8" w:space="10" w:color="DBD9D9" w:themeColor="background2" w:themeShade="F2"/>
      </w:pBdr>
      <w:shd w:val="clear" w:color="auto" w:fill="C5C2C2" w:themeFill="background2" w:themeFillShade="D9"/>
    </w:pPr>
  </w:style>
  <w:style w:type="paragraph" w:customStyle="1" w:styleId="Non-numberedHeading1wSubheading">
    <w:name w:val="Non-numbered Heading 1 w/Subheading"/>
    <w:basedOn w:val="Non-numberedHeading1"/>
    <w:next w:val="Subheading"/>
    <w:rsid w:val="00B31792"/>
    <w:pPr>
      <w:spacing w:after="0"/>
    </w:pPr>
  </w:style>
  <w:style w:type="paragraph" w:customStyle="1" w:styleId="AppendixHeading1wSubheading">
    <w:name w:val="Appendix Heading 1 w/Subheading"/>
    <w:basedOn w:val="AppendixHeading1"/>
    <w:next w:val="Subheading"/>
    <w:rsid w:val="00B31792"/>
    <w:pPr>
      <w:numPr>
        <w:numId w:val="0"/>
      </w:numPr>
      <w:tabs>
        <w:tab w:val="num" w:pos="720"/>
      </w:tabs>
      <w:spacing w:after="0"/>
      <w:ind w:left="533" w:hanging="720"/>
    </w:pPr>
  </w:style>
  <w:style w:type="paragraph" w:customStyle="1" w:styleId="ExhibitHeading1wSubheading">
    <w:name w:val="Exhibit Heading 1 w/Subheading"/>
    <w:basedOn w:val="ExhibitHeading1"/>
    <w:next w:val="Subheading"/>
    <w:rsid w:val="00B31792"/>
    <w:pPr>
      <w:spacing w:after="0"/>
    </w:pPr>
  </w:style>
  <w:style w:type="paragraph" w:customStyle="1" w:styleId="Attorneyworkproduct">
    <w:name w:val="Attorney work product"/>
    <w:rsid w:val="00B31792"/>
    <w:pPr>
      <w:spacing w:after="200" w:line="240" w:lineRule="auto"/>
    </w:pPr>
    <w:rPr>
      <w:sz w:val="20"/>
      <w:lang w:val="en-US"/>
    </w:rPr>
  </w:style>
  <w:style w:type="paragraph" w:customStyle="1" w:styleId="Heading3new">
    <w:name w:val="Heading 3_new"/>
    <w:basedOn w:val="Naslov3"/>
    <w:next w:val="Telobesedila"/>
    <w:qFormat/>
    <w:rsid w:val="00B31792"/>
    <w:pPr>
      <w:keepLines w:val="0"/>
      <w:numPr>
        <w:numId w:val="24"/>
      </w:numPr>
      <w:spacing w:before="0" w:after="160" w:line="0" w:lineRule="atLeast"/>
    </w:pPr>
    <w:rPr>
      <w:b/>
      <w:i/>
      <w:color w:val="44546A" w:themeColor="text2"/>
      <w:sz w:val="28"/>
      <w:lang w:val="sl-SI"/>
    </w:rPr>
  </w:style>
  <w:style w:type="paragraph" w:styleId="Kazaloslik">
    <w:name w:val="table of figures"/>
    <w:basedOn w:val="Navaden"/>
    <w:next w:val="Navaden"/>
    <w:uiPriority w:val="99"/>
    <w:unhideWhenUsed/>
    <w:rsid w:val="00B31792"/>
    <w:pPr>
      <w:spacing w:line="240" w:lineRule="auto"/>
    </w:pPr>
    <w:rPr>
      <w:rFonts w:asciiTheme="minorHAnsi" w:eastAsiaTheme="minorHAnsi" w:hAnsiTheme="minorHAnsi" w:cstheme="minorBidi"/>
      <w:sz w:val="18"/>
      <w:szCs w:val="20"/>
    </w:rPr>
  </w:style>
  <w:style w:type="table" w:customStyle="1" w:styleId="MediumGrid3-Accent11">
    <w:name w:val="Medium Grid 3 - Accent 11"/>
    <w:basedOn w:val="Navadnatabela"/>
    <w:next w:val="Srednjamrea3poudarek1"/>
    <w:uiPriority w:val="69"/>
    <w:rsid w:val="00B31792"/>
    <w:pPr>
      <w:spacing w:after="0" w:line="240" w:lineRule="auto"/>
    </w:pPr>
    <w:rPr>
      <w:lang w:val="hr-H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Srednjamrea3poudarek1">
    <w:name w:val="Medium Grid 3 Accent 1"/>
    <w:basedOn w:val="Navadnatabela"/>
    <w:uiPriority w:val="69"/>
    <w:rsid w:val="00B31792"/>
    <w:pPr>
      <w:spacing w:after="0" w:line="240" w:lineRule="auto"/>
    </w:pPr>
    <w:rPr>
      <w:sz w:val="20"/>
      <w:szCs w:val="20"/>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paragraph" w:styleId="Konnaopomba-besedilo">
    <w:name w:val="endnote text"/>
    <w:basedOn w:val="Navaden"/>
    <w:link w:val="Konnaopomba-besediloZnak"/>
    <w:uiPriority w:val="99"/>
    <w:semiHidden/>
    <w:unhideWhenUsed/>
    <w:rsid w:val="00B31792"/>
    <w:pPr>
      <w:spacing w:line="240" w:lineRule="auto"/>
    </w:pPr>
    <w:rPr>
      <w:rFonts w:asciiTheme="minorHAnsi" w:eastAsiaTheme="minorHAnsi" w:hAnsiTheme="minorHAnsi" w:cstheme="minorBidi"/>
      <w:szCs w:val="20"/>
    </w:rPr>
  </w:style>
  <w:style w:type="character" w:customStyle="1" w:styleId="Konnaopomba-besediloZnak">
    <w:name w:val="Končna opomba - besedilo Znak"/>
    <w:basedOn w:val="Privzetapisavaodstavka"/>
    <w:link w:val="Konnaopomba-besedilo"/>
    <w:uiPriority w:val="99"/>
    <w:semiHidden/>
    <w:rsid w:val="00B31792"/>
    <w:rPr>
      <w:sz w:val="20"/>
      <w:szCs w:val="20"/>
    </w:rPr>
  </w:style>
  <w:style w:type="character" w:styleId="Konnaopomba-sklic">
    <w:name w:val="endnote reference"/>
    <w:basedOn w:val="Privzetapisavaodstavka"/>
    <w:uiPriority w:val="99"/>
    <w:unhideWhenUsed/>
    <w:rsid w:val="00B31792"/>
    <w:rPr>
      <w:vertAlign w:val="superscript"/>
    </w:rPr>
  </w:style>
  <w:style w:type="character" w:customStyle="1" w:styleId="apple-converted-space">
    <w:name w:val="apple-converted-space"/>
    <w:basedOn w:val="Privzetapisavaodstavka"/>
    <w:rsid w:val="00B31792"/>
  </w:style>
  <w:style w:type="character" w:customStyle="1" w:styleId="lexitem">
    <w:name w:val="lexitem"/>
    <w:basedOn w:val="Privzetapisavaodstavka"/>
    <w:rsid w:val="00B31792"/>
  </w:style>
  <w:style w:type="paragraph" w:styleId="HTML-oblikovano">
    <w:name w:val="HTML Preformatted"/>
    <w:basedOn w:val="Navaden"/>
    <w:link w:val="HTML-oblikovanoZnak"/>
    <w:uiPriority w:val="99"/>
    <w:unhideWhenUsed/>
    <w:rsid w:val="00B31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sl-SI"/>
    </w:rPr>
  </w:style>
  <w:style w:type="character" w:customStyle="1" w:styleId="HTML-oblikovanoZnak">
    <w:name w:val="HTML-oblikovano Znak"/>
    <w:basedOn w:val="Privzetapisavaodstavka"/>
    <w:link w:val="HTML-oblikovano"/>
    <w:uiPriority w:val="99"/>
    <w:rsid w:val="00B31792"/>
    <w:rPr>
      <w:rFonts w:ascii="Courier New" w:eastAsia="Times New Roman" w:hAnsi="Courier New" w:cs="Courier New"/>
      <w:sz w:val="20"/>
      <w:szCs w:val="20"/>
      <w:lang w:eastAsia="sl-SI"/>
    </w:rPr>
  </w:style>
  <w:style w:type="character" w:customStyle="1" w:styleId="blue">
    <w:name w:val="blue"/>
    <w:basedOn w:val="Privzetapisavaodstavka"/>
    <w:rsid w:val="00B31792"/>
  </w:style>
  <w:style w:type="character" w:customStyle="1" w:styleId="at1">
    <w:name w:val="a__t1"/>
    <w:basedOn w:val="Privzetapisavaodstavka"/>
    <w:rsid w:val="00B31792"/>
  </w:style>
  <w:style w:type="table" w:styleId="Srednjesenenje2poudarek1">
    <w:name w:val="Medium Shading 2 Accent 1"/>
    <w:basedOn w:val="Navadnatabela"/>
    <w:uiPriority w:val="64"/>
    <w:rsid w:val="00B31792"/>
    <w:pPr>
      <w:spacing w:after="0" w:line="240" w:lineRule="auto"/>
      <w:jc w:val="both"/>
    </w:pPr>
    <w:rPr>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Footnotecall1">
    <w:name w:val="Footnote call1"/>
    <w:basedOn w:val="Privzetapisavaodstavka"/>
    <w:unhideWhenUsed/>
    <w:qFormat/>
    <w:rsid w:val="00B31792"/>
    <w:rPr>
      <w:color w:val="000000"/>
      <w:vertAlign w:val="superscript"/>
    </w:rPr>
  </w:style>
  <w:style w:type="table" w:customStyle="1" w:styleId="Tabelatemnamrea5poudarek11">
    <w:name w:val="Tabela – temna mreža 5 (poudarek 1)1"/>
    <w:basedOn w:val="Navadnatabela"/>
    <w:uiPriority w:val="50"/>
    <w:rsid w:val="00B31792"/>
    <w:pPr>
      <w:spacing w:after="0" w:line="240" w:lineRule="auto"/>
    </w:pPr>
    <w:rPr>
      <w:sz w:val="20"/>
      <w:szCs w:val="20"/>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BodyText">
    <w:name w:val="BodyText"/>
    <w:basedOn w:val="Navaden"/>
    <w:uiPriority w:val="99"/>
    <w:rsid w:val="00B31792"/>
    <w:pPr>
      <w:widowControl w:val="0"/>
      <w:suppressAutoHyphens/>
      <w:autoSpaceDE w:val="0"/>
      <w:autoSpaceDN w:val="0"/>
      <w:adjustRightInd w:val="0"/>
      <w:spacing w:after="160" w:line="240" w:lineRule="atLeast"/>
      <w:ind w:firstLine="12"/>
      <w:jc w:val="both"/>
    </w:pPr>
    <w:rPr>
      <w:rFonts w:ascii="Calibri" w:eastAsiaTheme="minorEastAsia" w:hAnsi="Calibri" w:cs="Calibri"/>
      <w:color w:val="000000"/>
      <w:sz w:val="22"/>
      <w:szCs w:val="22"/>
      <w:u w:color="000000"/>
      <w:lang w:eastAsia="en-GB"/>
    </w:rPr>
  </w:style>
  <w:style w:type="table" w:customStyle="1" w:styleId="MediumGrid3-Accent112">
    <w:name w:val="Medium Grid 3 - Accent 112"/>
    <w:basedOn w:val="Navadnatabela"/>
    <w:uiPriority w:val="69"/>
    <w:rsid w:val="00B31792"/>
    <w:pPr>
      <w:spacing w:after="0" w:line="240" w:lineRule="auto"/>
    </w:pPr>
    <w:rPr>
      <w:lang w:val="hr-H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character" w:customStyle="1" w:styleId="Heading2Char1">
    <w:name w:val="Heading 2 Char1"/>
    <w:basedOn w:val="Privzetapisavaodstavka"/>
    <w:rsid w:val="00B31792"/>
    <w:rPr>
      <w:rFonts w:ascii="Futura Lt BT" w:eastAsiaTheme="majorEastAsia" w:hAnsi="Futura Lt BT" w:cstheme="majorBidi"/>
      <w:b/>
      <w:color w:val="333399"/>
      <w:sz w:val="26"/>
      <w:szCs w:val="26"/>
    </w:rPr>
  </w:style>
  <w:style w:type="table" w:customStyle="1" w:styleId="Tabelamrea4poudarek21">
    <w:name w:val="Tabela – mreža 4 (poudarek 2)1"/>
    <w:basedOn w:val="Navadnatabela"/>
    <w:uiPriority w:val="49"/>
    <w:rsid w:val="00B31792"/>
    <w:pPr>
      <w:spacing w:after="0" w:line="240" w:lineRule="auto"/>
    </w:pPr>
    <w:rPr>
      <w:sz w:val="20"/>
      <w:szCs w:val="20"/>
      <w:lang w:val="en-US"/>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NormalNumbered">
    <w:name w:val="Normal Numbered"/>
    <w:basedOn w:val="Navaden"/>
    <w:link w:val="NormalNumberedChar"/>
    <w:rsid w:val="00B31792"/>
    <w:pPr>
      <w:numPr>
        <w:numId w:val="29"/>
      </w:numPr>
      <w:spacing w:before="60" w:after="60" w:line="276" w:lineRule="auto"/>
      <w:ind w:left="714" w:hanging="357"/>
      <w:jc w:val="both"/>
    </w:pPr>
    <w:rPr>
      <w:rFonts w:ascii="Futura Lt BT" w:eastAsia="PMingLiU" w:hAnsi="Futura Lt BT"/>
      <w:sz w:val="22"/>
      <w:szCs w:val="20"/>
    </w:rPr>
  </w:style>
  <w:style w:type="character" w:customStyle="1" w:styleId="NormalNumberedChar">
    <w:name w:val="Normal Numbered Char"/>
    <w:basedOn w:val="Privzetapisavaodstavka"/>
    <w:link w:val="NormalNumbered"/>
    <w:rsid w:val="00B31792"/>
    <w:rPr>
      <w:rFonts w:ascii="Futura Lt BT" w:eastAsia="PMingLiU" w:hAnsi="Futura Lt BT" w:cs="Times New Roman"/>
      <w:szCs w:val="20"/>
    </w:rPr>
  </w:style>
  <w:style w:type="paragraph" w:customStyle="1" w:styleId="NormalBulleted2">
    <w:name w:val="Normal Bulleted 2"/>
    <w:basedOn w:val="Navaden"/>
    <w:link w:val="NormalBulleted2Char"/>
    <w:qFormat/>
    <w:rsid w:val="00B31792"/>
    <w:pPr>
      <w:keepNext/>
      <w:numPr>
        <w:numId w:val="28"/>
      </w:numPr>
      <w:tabs>
        <w:tab w:val="left" w:pos="1066"/>
      </w:tabs>
      <w:spacing w:line="276" w:lineRule="auto"/>
      <w:ind w:left="1066" w:hanging="357"/>
      <w:jc w:val="both"/>
    </w:pPr>
    <w:rPr>
      <w:rFonts w:ascii="Futura Lt BT" w:eastAsia="PMingLiU" w:hAnsi="Futura Lt BT"/>
      <w:sz w:val="22"/>
      <w:szCs w:val="20"/>
      <w:lang w:eastAsia="en-GB"/>
    </w:rPr>
  </w:style>
  <w:style w:type="character" w:customStyle="1" w:styleId="NormalBulleted2Char">
    <w:name w:val="Normal Bulleted 2 Char"/>
    <w:link w:val="NormalBulleted2"/>
    <w:rsid w:val="00B31792"/>
    <w:rPr>
      <w:rFonts w:ascii="Futura Lt BT" w:eastAsia="PMingLiU" w:hAnsi="Futura Lt BT" w:cs="Times New Roman"/>
      <w:szCs w:val="20"/>
      <w:lang w:eastAsia="en-GB"/>
    </w:rPr>
  </w:style>
  <w:style w:type="table" w:customStyle="1" w:styleId="TableGrid1">
    <w:name w:val="Table Grid1"/>
    <w:basedOn w:val="Navadnatabela"/>
    <w:next w:val="Tabelamrea"/>
    <w:uiPriority w:val="59"/>
    <w:rsid w:val="00B31792"/>
    <w:pPr>
      <w:spacing w:after="0" w:line="240" w:lineRule="auto"/>
    </w:pPr>
    <w:rPr>
      <w:rFonts w:ascii="Times New Roman" w:eastAsia="PMingLiU"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ulleted">
    <w:name w:val="Normal Bulleted"/>
    <w:basedOn w:val="Navaden"/>
    <w:link w:val="NormalBulletedChar"/>
    <w:qFormat/>
    <w:rsid w:val="00B31792"/>
    <w:pPr>
      <w:numPr>
        <w:numId w:val="30"/>
      </w:numPr>
      <w:spacing w:line="276" w:lineRule="auto"/>
      <w:contextualSpacing/>
      <w:jc w:val="both"/>
    </w:pPr>
    <w:rPr>
      <w:rFonts w:ascii="Futura Lt BT" w:eastAsia="PMingLiU" w:hAnsi="Futura Lt BT"/>
      <w:sz w:val="22"/>
      <w:szCs w:val="20"/>
      <w:lang w:eastAsia="en-GB"/>
    </w:rPr>
  </w:style>
  <w:style w:type="character" w:customStyle="1" w:styleId="NormalBulletedChar">
    <w:name w:val="Normal Bulleted Char"/>
    <w:link w:val="NormalBulleted"/>
    <w:rsid w:val="00B31792"/>
    <w:rPr>
      <w:rFonts w:ascii="Futura Lt BT" w:eastAsia="PMingLiU" w:hAnsi="Futura Lt BT" w:cs="Times New Roman"/>
      <w:szCs w:val="20"/>
      <w:lang w:eastAsia="en-GB"/>
    </w:rPr>
  </w:style>
  <w:style w:type="character" w:customStyle="1" w:styleId="left">
    <w:name w:val="left"/>
    <w:basedOn w:val="Privzetapisavaodstavka"/>
    <w:rsid w:val="00B31792"/>
  </w:style>
  <w:style w:type="table" w:customStyle="1" w:styleId="TableGrid3">
    <w:name w:val="Table Grid3"/>
    <w:basedOn w:val="Navadnatabela"/>
    <w:next w:val="Tabelamrea"/>
    <w:uiPriority w:val="59"/>
    <w:rsid w:val="00B31792"/>
    <w:pPr>
      <w:spacing w:after="0" w:line="240" w:lineRule="auto"/>
    </w:pPr>
    <w:rPr>
      <w:rFonts w:ascii="Times New Roman" w:eastAsia="PMingLiU"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poudarek11">
    <w:name w:val="Tabela – mreža 4 (poudarek 1)1"/>
    <w:basedOn w:val="Navadnatabela"/>
    <w:uiPriority w:val="49"/>
    <w:rsid w:val="00B31792"/>
    <w:pPr>
      <w:spacing w:after="0" w:line="240" w:lineRule="auto"/>
    </w:pPr>
    <w:rPr>
      <w:sz w:val="20"/>
      <w:szCs w:val="20"/>
      <w:lang w:val="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Uvodnipozdrav">
    <w:name w:val="Salutation"/>
    <w:basedOn w:val="Navaden"/>
    <w:next w:val="Navaden"/>
    <w:link w:val="UvodnipozdravZnak"/>
    <w:uiPriority w:val="99"/>
    <w:unhideWhenUsed/>
    <w:rsid w:val="00B31792"/>
    <w:pPr>
      <w:spacing w:after="160" w:line="240" w:lineRule="auto"/>
    </w:pPr>
    <w:rPr>
      <w:rFonts w:asciiTheme="minorHAnsi" w:eastAsiaTheme="minorHAnsi" w:hAnsiTheme="minorHAnsi" w:cstheme="minorBidi"/>
      <w:szCs w:val="20"/>
    </w:rPr>
  </w:style>
  <w:style w:type="character" w:customStyle="1" w:styleId="UvodnipozdravZnak">
    <w:name w:val="Uvodni pozdrav Znak"/>
    <w:basedOn w:val="Privzetapisavaodstavka"/>
    <w:link w:val="Uvodnipozdrav"/>
    <w:uiPriority w:val="99"/>
    <w:rsid w:val="00B31792"/>
    <w:rPr>
      <w:sz w:val="20"/>
      <w:szCs w:val="20"/>
    </w:rPr>
  </w:style>
  <w:style w:type="table" w:customStyle="1" w:styleId="TableGrid2">
    <w:name w:val="Table Grid2"/>
    <w:basedOn w:val="Navadnatabela"/>
    <w:next w:val="Tabelamrea"/>
    <w:uiPriority w:val="39"/>
    <w:rsid w:val="00B31792"/>
    <w:pPr>
      <w:spacing w:after="0" w:line="240" w:lineRule="auto"/>
    </w:pPr>
    <w:rPr>
      <w:rFonts w:ascii="Georgia" w:hAnsi="Georgia"/>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wCTableText1">
    <w:name w:val="PwC Table Text1"/>
    <w:basedOn w:val="Navadnatabela"/>
    <w:uiPriority w:val="99"/>
    <w:rsid w:val="00B31792"/>
    <w:pPr>
      <w:spacing w:before="100" w:beforeAutospacing="1" w:after="100" w:afterAutospacing="1" w:line="240" w:lineRule="auto"/>
    </w:pPr>
    <w:rPr>
      <w:rFonts w:ascii="Georgia" w:hAnsi="Georgia"/>
      <w:sz w:val="18"/>
      <w:szCs w:val="20"/>
      <w:lang w:val="en-US"/>
    </w:rPr>
    <w:tblPr>
      <w:tblBorders>
        <w:insideH w:val="dotted" w:sz="4" w:space="0" w:color="821A1A"/>
      </w:tblBorders>
      <w:tblCellMar>
        <w:top w:w="72" w:type="dxa"/>
        <w:left w:w="115" w:type="dxa"/>
        <w:bottom w:w="72" w:type="dxa"/>
        <w:right w:w="115" w:type="dxa"/>
      </w:tblCellMar>
    </w:tblPr>
    <w:tcPr>
      <w:vAlign w:val="center"/>
    </w:tcPr>
    <w:tblStylePr w:type="firstRow">
      <w:pPr>
        <w:jc w:val="left"/>
      </w:pPr>
      <w:rPr>
        <w:rFonts w:ascii="Arial Black" w:hAnsi="Arial Black"/>
        <w:b/>
        <w:color w:val="821A1A"/>
        <w:sz w:val="18"/>
      </w:rPr>
      <w:tblPr/>
      <w:tcPr>
        <w:tcBorders>
          <w:top w:val="single" w:sz="6" w:space="0" w:color="821A1A"/>
          <w:left w:val="nil"/>
          <w:bottom w:val="single" w:sz="6" w:space="0" w:color="821A1A"/>
          <w:right w:val="nil"/>
          <w:insideH w:val="nil"/>
          <w:insideV w:val="nil"/>
          <w:tl2br w:val="nil"/>
          <w:tr2bl w:val="nil"/>
        </w:tcBorders>
      </w:tcPr>
    </w:tblStylePr>
  </w:style>
  <w:style w:type="paragraph" w:styleId="Podpis">
    <w:name w:val="Signature"/>
    <w:basedOn w:val="Navaden"/>
    <w:link w:val="PodpisZnak"/>
    <w:uiPriority w:val="99"/>
    <w:unhideWhenUsed/>
    <w:rsid w:val="00B31792"/>
    <w:pPr>
      <w:spacing w:line="240" w:lineRule="auto"/>
      <w:ind w:left="4252"/>
    </w:pPr>
    <w:rPr>
      <w:rFonts w:asciiTheme="minorHAnsi" w:eastAsiaTheme="minorHAnsi" w:hAnsiTheme="minorHAnsi" w:cstheme="minorBidi"/>
      <w:szCs w:val="20"/>
    </w:rPr>
  </w:style>
  <w:style w:type="character" w:customStyle="1" w:styleId="PodpisZnak">
    <w:name w:val="Podpis Znak"/>
    <w:basedOn w:val="Privzetapisavaodstavka"/>
    <w:link w:val="Podpis"/>
    <w:uiPriority w:val="99"/>
    <w:rsid w:val="00B31792"/>
    <w:rPr>
      <w:sz w:val="20"/>
      <w:szCs w:val="20"/>
    </w:rPr>
  </w:style>
  <w:style w:type="paragraph" w:styleId="Opomba-naslov">
    <w:name w:val="Note Heading"/>
    <w:basedOn w:val="Navaden"/>
    <w:next w:val="Navaden"/>
    <w:link w:val="Opomba-naslovZnak"/>
    <w:uiPriority w:val="99"/>
    <w:unhideWhenUsed/>
    <w:rsid w:val="00B31792"/>
    <w:pPr>
      <w:spacing w:after="160" w:line="240" w:lineRule="auto"/>
    </w:pPr>
    <w:rPr>
      <w:rFonts w:asciiTheme="minorHAnsi" w:eastAsiaTheme="minorHAnsi" w:hAnsiTheme="minorHAnsi" w:cstheme="minorBidi"/>
      <w:sz w:val="16"/>
      <w:szCs w:val="20"/>
    </w:rPr>
  </w:style>
  <w:style w:type="character" w:customStyle="1" w:styleId="Opomba-naslovZnak">
    <w:name w:val="Opomba - naslov Znak"/>
    <w:basedOn w:val="Privzetapisavaodstavka"/>
    <w:link w:val="Opomba-naslov"/>
    <w:uiPriority w:val="99"/>
    <w:rsid w:val="00B31792"/>
    <w:rPr>
      <w:sz w:val="16"/>
      <w:szCs w:val="20"/>
    </w:rPr>
  </w:style>
  <w:style w:type="paragraph" w:styleId="Kazalovsebine6">
    <w:name w:val="toc 6"/>
    <w:basedOn w:val="Navaden"/>
    <w:next w:val="Navaden"/>
    <w:autoRedefine/>
    <w:uiPriority w:val="39"/>
    <w:unhideWhenUsed/>
    <w:rsid w:val="00B31792"/>
    <w:pPr>
      <w:spacing w:after="100" w:line="259" w:lineRule="auto"/>
      <w:ind w:left="1100"/>
    </w:pPr>
    <w:rPr>
      <w:rFonts w:asciiTheme="minorHAnsi" w:eastAsiaTheme="minorEastAsia" w:hAnsiTheme="minorHAnsi" w:cstheme="minorBidi"/>
      <w:sz w:val="22"/>
      <w:szCs w:val="22"/>
      <w:lang w:eastAsia="sl-SI"/>
    </w:rPr>
  </w:style>
  <w:style w:type="paragraph" w:styleId="Kazalovsebine7">
    <w:name w:val="toc 7"/>
    <w:basedOn w:val="Navaden"/>
    <w:next w:val="Navaden"/>
    <w:autoRedefine/>
    <w:uiPriority w:val="39"/>
    <w:unhideWhenUsed/>
    <w:rsid w:val="00B31792"/>
    <w:pPr>
      <w:spacing w:after="100" w:line="259" w:lineRule="auto"/>
      <w:ind w:left="1320"/>
    </w:pPr>
    <w:rPr>
      <w:rFonts w:asciiTheme="minorHAnsi" w:eastAsiaTheme="minorEastAsia" w:hAnsiTheme="minorHAnsi" w:cstheme="minorBidi"/>
      <w:sz w:val="22"/>
      <w:szCs w:val="22"/>
      <w:lang w:eastAsia="sl-SI"/>
    </w:rPr>
  </w:style>
  <w:style w:type="paragraph" w:styleId="Kazalovsebine8">
    <w:name w:val="toc 8"/>
    <w:basedOn w:val="Navaden"/>
    <w:next w:val="Navaden"/>
    <w:autoRedefine/>
    <w:uiPriority w:val="39"/>
    <w:unhideWhenUsed/>
    <w:rsid w:val="00B31792"/>
    <w:pPr>
      <w:spacing w:after="100" w:line="259" w:lineRule="auto"/>
      <w:ind w:left="1540"/>
    </w:pPr>
    <w:rPr>
      <w:rFonts w:asciiTheme="minorHAnsi" w:eastAsiaTheme="minorEastAsia" w:hAnsiTheme="minorHAnsi" w:cstheme="minorBidi"/>
      <w:sz w:val="22"/>
      <w:szCs w:val="22"/>
      <w:lang w:eastAsia="sl-SI"/>
    </w:rPr>
  </w:style>
  <w:style w:type="paragraph" w:styleId="Kazalovsebine9">
    <w:name w:val="toc 9"/>
    <w:basedOn w:val="Navaden"/>
    <w:next w:val="Navaden"/>
    <w:autoRedefine/>
    <w:uiPriority w:val="39"/>
    <w:unhideWhenUsed/>
    <w:rsid w:val="00B31792"/>
    <w:pPr>
      <w:spacing w:after="100" w:line="259" w:lineRule="auto"/>
      <w:ind w:left="1760"/>
    </w:pPr>
    <w:rPr>
      <w:rFonts w:asciiTheme="minorHAnsi" w:eastAsiaTheme="minorEastAsia" w:hAnsiTheme="minorHAnsi" w:cstheme="minorBidi"/>
      <w:sz w:val="22"/>
      <w:szCs w:val="22"/>
      <w:lang w:eastAsia="sl-SI"/>
    </w:rPr>
  </w:style>
  <w:style w:type="table" w:customStyle="1" w:styleId="TableGrid4">
    <w:name w:val="Table Grid4"/>
    <w:basedOn w:val="Navadnatabela"/>
    <w:next w:val="Tabelamrea"/>
    <w:uiPriority w:val="39"/>
    <w:rsid w:val="00B31792"/>
    <w:pPr>
      <w:spacing w:after="0" w:line="240" w:lineRule="auto"/>
    </w:pPr>
    <w:rPr>
      <w:rFonts w:ascii="Georgia" w:hAnsi="Georgia"/>
      <w:sz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Navadnatabela"/>
    <w:uiPriority w:val="69"/>
    <w:rsid w:val="00B31792"/>
    <w:pPr>
      <w:spacing w:after="0" w:line="240" w:lineRule="auto"/>
    </w:pPr>
    <w:rPr>
      <w:lang w:val="hr-H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0B5B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21A1A"/>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21A1A"/>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21A1A"/>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21A1A"/>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16C6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16C6C"/>
      </w:tcPr>
    </w:tblStylePr>
  </w:style>
  <w:style w:type="paragraph" w:customStyle="1" w:styleId="ListNumberLevel2">
    <w:name w:val="List Number (Level 2)"/>
    <w:basedOn w:val="Navaden"/>
    <w:rsid w:val="00B31792"/>
    <w:pPr>
      <w:tabs>
        <w:tab w:val="num" w:pos="1417"/>
      </w:tabs>
      <w:spacing w:after="240" w:line="240" w:lineRule="auto"/>
      <w:ind w:left="1417" w:hanging="708"/>
      <w:jc w:val="both"/>
    </w:pPr>
    <w:rPr>
      <w:rFonts w:ascii="Times New Roman" w:hAnsi="Times New Roman"/>
      <w:sz w:val="24"/>
      <w:szCs w:val="20"/>
    </w:rPr>
  </w:style>
  <w:style w:type="paragraph" w:customStyle="1" w:styleId="ListNumberLevel3">
    <w:name w:val="List Number (Level 3)"/>
    <w:basedOn w:val="Navaden"/>
    <w:rsid w:val="00B31792"/>
    <w:pPr>
      <w:tabs>
        <w:tab w:val="num" w:pos="2126"/>
      </w:tabs>
      <w:spacing w:after="240" w:line="240" w:lineRule="auto"/>
      <w:ind w:left="2126" w:hanging="709"/>
      <w:jc w:val="both"/>
    </w:pPr>
    <w:rPr>
      <w:rFonts w:ascii="Times New Roman" w:hAnsi="Times New Roman"/>
      <w:sz w:val="24"/>
      <w:szCs w:val="20"/>
    </w:rPr>
  </w:style>
  <w:style w:type="paragraph" w:customStyle="1" w:styleId="ListNumberLevel4">
    <w:name w:val="List Number (Level 4)"/>
    <w:basedOn w:val="Navaden"/>
    <w:rsid w:val="00B31792"/>
    <w:pPr>
      <w:tabs>
        <w:tab w:val="num" w:pos="2835"/>
      </w:tabs>
      <w:spacing w:after="240" w:line="240" w:lineRule="auto"/>
      <w:ind w:left="2835" w:hanging="709"/>
      <w:jc w:val="both"/>
    </w:pPr>
    <w:rPr>
      <w:rFonts w:ascii="Times New Roman" w:hAnsi="Times New Roman"/>
      <w:sz w:val="24"/>
      <w:szCs w:val="20"/>
    </w:rPr>
  </w:style>
  <w:style w:type="paragraph" w:customStyle="1" w:styleId="ListRoman6">
    <w:name w:val="List Roman 6"/>
    <w:basedOn w:val="ListRoman5"/>
    <w:qFormat/>
    <w:rsid w:val="00B31792"/>
    <w:pPr>
      <w:numPr>
        <w:ilvl w:val="0"/>
        <w:numId w:val="0"/>
      </w:numPr>
      <w:tabs>
        <w:tab w:val="clear" w:pos="1987"/>
        <w:tab w:val="num" w:pos="2381"/>
      </w:tabs>
      <w:spacing w:before="60" w:after="60"/>
      <w:ind w:left="2382" w:hanging="397"/>
    </w:pPr>
    <w:rPr>
      <w:rFonts w:eastAsiaTheme="minorEastAsia"/>
      <w:szCs w:val="22"/>
      <w:lang w:val="en-US"/>
    </w:rPr>
  </w:style>
  <w:style w:type="paragraph" w:customStyle="1" w:styleId="ListRoman7">
    <w:name w:val="List Roman 7"/>
    <w:basedOn w:val="ListRoman6"/>
    <w:qFormat/>
    <w:rsid w:val="00B31792"/>
    <w:pPr>
      <w:tabs>
        <w:tab w:val="clear" w:pos="2381"/>
        <w:tab w:val="num" w:pos="2778"/>
      </w:tabs>
      <w:ind w:left="2779"/>
    </w:pPr>
  </w:style>
  <w:style w:type="paragraph" w:customStyle="1" w:styleId="ListRoman8">
    <w:name w:val="List Roman 8"/>
    <w:basedOn w:val="ListRoman7"/>
    <w:qFormat/>
    <w:rsid w:val="00B31792"/>
    <w:pPr>
      <w:tabs>
        <w:tab w:val="clear" w:pos="2778"/>
        <w:tab w:val="num" w:pos="3175"/>
      </w:tabs>
      <w:ind w:left="3176"/>
    </w:pPr>
  </w:style>
  <w:style w:type="paragraph" w:customStyle="1" w:styleId="ListRoman9">
    <w:name w:val="List Roman 9"/>
    <w:basedOn w:val="ListRoman8"/>
    <w:qFormat/>
    <w:rsid w:val="00B31792"/>
    <w:pPr>
      <w:tabs>
        <w:tab w:val="clear" w:pos="3175"/>
        <w:tab w:val="num" w:pos="3572"/>
      </w:tabs>
      <w:ind w:left="3573"/>
    </w:pPr>
  </w:style>
  <w:style w:type="table" w:styleId="Srednjesenenje1poudarek1">
    <w:name w:val="Medium Shading 1 Accent 1"/>
    <w:basedOn w:val="Navadnatabela"/>
    <w:uiPriority w:val="63"/>
    <w:rsid w:val="00B31792"/>
    <w:pPr>
      <w:spacing w:after="0" w:line="240" w:lineRule="auto"/>
    </w:pPr>
    <w:rPr>
      <w:rFonts w:eastAsiaTheme="minorEastAsia"/>
      <w:lang w:val="en-U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customStyle="1" w:styleId="footnote">
    <w:name w:val="footnote"/>
    <w:autoRedefine/>
    <w:rsid w:val="00B31792"/>
    <w:pPr>
      <w:spacing w:after="0" w:line="240" w:lineRule="auto"/>
      <w:ind w:left="284" w:hanging="284"/>
    </w:pPr>
    <w:rPr>
      <w:rFonts w:ascii="Arial" w:eastAsia="Calibri" w:hAnsi="Arial" w:cs="Arial"/>
      <w:sz w:val="14"/>
      <w:szCs w:val="18"/>
      <w:lang w:val="en-US" w:eastAsia="en-GB"/>
    </w:rPr>
  </w:style>
  <w:style w:type="numbering" w:styleId="lenOdsek">
    <w:name w:val="Outline List 3"/>
    <w:basedOn w:val="Brezseznama"/>
    <w:rsid w:val="00B31792"/>
    <w:pPr>
      <w:numPr>
        <w:numId w:val="31"/>
      </w:numPr>
    </w:pPr>
  </w:style>
  <w:style w:type="table" w:customStyle="1" w:styleId="Tabelasvetlamrea1">
    <w:name w:val="Tabela – svetla mreža1"/>
    <w:basedOn w:val="Navadnatabela"/>
    <w:uiPriority w:val="40"/>
    <w:rsid w:val="00B31792"/>
    <w:pPr>
      <w:spacing w:after="0" w:line="240" w:lineRule="auto"/>
    </w:pPr>
    <w:rPr>
      <w:sz w:val="20"/>
      <w:szCs w:val="20"/>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lobesedila2">
    <w:name w:val="Body Text 2"/>
    <w:basedOn w:val="Navaden"/>
    <w:link w:val="Telobesedila2Znak"/>
    <w:uiPriority w:val="99"/>
    <w:unhideWhenUsed/>
    <w:rsid w:val="00B31792"/>
    <w:pPr>
      <w:spacing w:after="120" w:line="480" w:lineRule="auto"/>
    </w:pPr>
    <w:rPr>
      <w:rFonts w:asciiTheme="minorHAnsi" w:eastAsiaTheme="minorHAnsi" w:hAnsiTheme="minorHAnsi" w:cstheme="minorBidi"/>
      <w:szCs w:val="20"/>
    </w:rPr>
  </w:style>
  <w:style w:type="character" w:customStyle="1" w:styleId="Telobesedila2Znak">
    <w:name w:val="Telo besedila 2 Znak"/>
    <w:basedOn w:val="Privzetapisavaodstavka"/>
    <w:link w:val="Telobesedila2"/>
    <w:uiPriority w:val="99"/>
    <w:rsid w:val="00B31792"/>
    <w:rPr>
      <w:sz w:val="20"/>
      <w:szCs w:val="20"/>
    </w:rPr>
  </w:style>
  <w:style w:type="table" w:customStyle="1" w:styleId="GridTable5Dark-Accent11">
    <w:name w:val="Grid Table 5 Dark - Accent 11"/>
    <w:basedOn w:val="Navadnatabela"/>
    <w:uiPriority w:val="50"/>
    <w:rsid w:val="00B31792"/>
    <w:pPr>
      <w:spacing w:after="0" w:line="240" w:lineRule="auto"/>
    </w:pPr>
    <w:rPr>
      <w:sz w:val="20"/>
      <w:szCs w:val="20"/>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MediumShading2-Accent11">
    <w:name w:val="Medium Shading 2 - Accent 11"/>
    <w:basedOn w:val="Navadnatabela"/>
    <w:uiPriority w:val="64"/>
    <w:rsid w:val="00B31792"/>
    <w:pPr>
      <w:spacing w:after="0" w:line="240" w:lineRule="auto"/>
      <w:jc w:val="both"/>
    </w:pPr>
    <w:rPr>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ridTable4-Accent21">
    <w:name w:val="Grid Table 4 - Accent 21"/>
    <w:basedOn w:val="Navadnatabela"/>
    <w:uiPriority w:val="49"/>
    <w:rsid w:val="00B31792"/>
    <w:pPr>
      <w:spacing w:after="0" w:line="240" w:lineRule="auto"/>
    </w:pPr>
    <w:rPr>
      <w:sz w:val="20"/>
      <w:szCs w:val="20"/>
      <w:lang w:val="en-US"/>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11">
    <w:name w:val="Grid Table 4 - Accent 11"/>
    <w:basedOn w:val="Navadnatabela"/>
    <w:uiPriority w:val="49"/>
    <w:rsid w:val="00B31792"/>
    <w:pPr>
      <w:spacing w:after="0" w:line="240" w:lineRule="auto"/>
    </w:pPr>
    <w:rPr>
      <w:sz w:val="20"/>
      <w:szCs w:val="20"/>
      <w:lang w:val="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MediumShading1-Accent11">
    <w:name w:val="Medium Shading 1 - Accent 11"/>
    <w:basedOn w:val="Navadnatabela"/>
    <w:uiPriority w:val="63"/>
    <w:rsid w:val="00B31792"/>
    <w:pPr>
      <w:spacing w:after="0" w:line="240" w:lineRule="auto"/>
    </w:pPr>
    <w:rPr>
      <w:rFonts w:eastAsiaTheme="minorEastAsia"/>
      <w:lang w:val="en-U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TableGridLight1">
    <w:name w:val="Table Grid Light1"/>
    <w:basedOn w:val="Navadnatabela"/>
    <w:uiPriority w:val="40"/>
    <w:rsid w:val="00B31792"/>
    <w:pPr>
      <w:spacing w:after="0" w:line="240" w:lineRule="auto"/>
    </w:pPr>
    <w:rPr>
      <w:sz w:val="20"/>
      <w:szCs w:val="20"/>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t">
    <w:name w:val="st"/>
    <w:basedOn w:val="Privzetapisavaodstavka"/>
    <w:rsid w:val="00B31792"/>
  </w:style>
  <w:style w:type="paragraph" w:customStyle="1" w:styleId="odstavek1">
    <w:name w:val="odstavek1"/>
    <w:basedOn w:val="Navaden"/>
    <w:rsid w:val="00B31792"/>
    <w:pPr>
      <w:spacing w:before="240" w:line="240" w:lineRule="auto"/>
      <w:ind w:firstLine="1021"/>
      <w:jc w:val="both"/>
    </w:pPr>
    <w:rPr>
      <w:rFonts w:cs="Arial"/>
      <w:sz w:val="22"/>
      <w:szCs w:val="22"/>
      <w:lang w:eastAsia="sl-SI"/>
    </w:rPr>
  </w:style>
  <w:style w:type="paragraph" w:customStyle="1" w:styleId="alineazaodstavkom1">
    <w:name w:val="alineazaodstavkom1"/>
    <w:basedOn w:val="Navaden"/>
    <w:rsid w:val="00B31792"/>
    <w:pPr>
      <w:spacing w:line="240" w:lineRule="auto"/>
      <w:ind w:left="425" w:hanging="425"/>
      <w:jc w:val="both"/>
    </w:pPr>
    <w:rPr>
      <w:rFonts w:cs="Arial"/>
      <w:sz w:val="22"/>
      <w:szCs w:val="22"/>
      <w:lang w:eastAsia="sl-SI"/>
    </w:rPr>
  </w:style>
  <w:style w:type="paragraph" w:customStyle="1" w:styleId="rkovnatokazaodstavkom1">
    <w:name w:val="rkovnatokazaodstavkom1"/>
    <w:basedOn w:val="Navaden"/>
    <w:rsid w:val="00B31792"/>
    <w:pPr>
      <w:spacing w:line="240" w:lineRule="auto"/>
      <w:ind w:left="425" w:hanging="425"/>
      <w:jc w:val="both"/>
    </w:pPr>
    <w:rPr>
      <w:rFonts w:cs="Arial"/>
      <w:sz w:val="22"/>
      <w:szCs w:val="22"/>
      <w:lang w:eastAsia="sl-SI"/>
    </w:rPr>
  </w:style>
  <w:style w:type="paragraph" w:customStyle="1" w:styleId="normal2">
    <w:name w:val="normal2"/>
    <w:basedOn w:val="Navaden"/>
    <w:rsid w:val="00B31792"/>
    <w:pPr>
      <w:spacing w:before="120" w:line="312" w:lineRule="atLeast"/>
      <w:jc w:val="both"/>
    </w:pPr>
    <w:rPr>
      <w:rFonts w:ascii="Times New Roman" w:hAnsi="Times New Roman"/>
      <w:sz w:val="24"/>
      <w:lang w:eastAsia="sl-SI"/>
    </w:rPr>
  </w:style>
  <w:style w:type="paragraph" w:customStyle="1" w:styleId="podpisi">
    <w:name w:val="podpisi"/>
    <w:basedOn w:val="Navaden"/>
    <w:qFormat/>
    <w:rsid w:val="00B31792"/>
    <w:pPr>
      <w:tabs>
        <w:tab w:val="left" w:pos="3402"/>
      </w:tabs>
      <w:spacing w:line="260" w:lineRule="exact"/>
    </w:pPr>
    <w:rPr>
      <w:lang w:val="it-IT"/>
    </w:rPr>
  </w:style>
  <w:style w:type="paragraph" w:customStyle="1" w:styleId="Poglavje">
    <w:name w:val="Poglavje"/>
    <w:basedOn w:val="Navaden"/>
    <w:qFormat/>
    <w:rsid w:val="00B31792"/>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B31792"/>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B31792"/>
    <w:rPr>
      <w:rFonts w:ascii="Arial" w:eastAsia="Times New Roman" w:hAnsi="Arial" w:cs="Arial"/>
      <w:lang w:eastAsia="sl-SI"/>
    </w:rPr>
  </w:style>
  <w:style w:type="character" w:customStyle="1" w:styleId="OddelekZnak1">
    <w:name w:val="Oddelek Znak1"/>
    <w:link w:val="Oddelek"/>
    <w:rsid w:val="00B31792"/>
    <w:rPr>
      <w:rFonts w:ascii="Arial" w:eastAsia="Times New Roman" w:hAnsi="Arial" w:cs="Times New Roman"/>
      <w:b/>
      <w:lang w:eastAsia="sl-SI"/>
    </w:rPr>
  </w:style>
  <w:style w:type="paragraph" w:customStyle="1" w:styleId="Odstavekseznama1">
    <w:name w:val="Odstavek seznama1"/>
    <w:basedOn w:val="Navaden"/>
    <w:qFormat/>
    <w:rsid w:val="00B31792"/>
    <w:pPr>
      <w:spacing w:line="240" w:lineRule="auto"/>
      <w:ind w:left="720"/>
      <w:contextualSpacing/>
    </w:pPr>
    <w:rPr>
      <w:rFonts w:ascii="Times New Roman" w:hAnsi="Times New Roman"/>
      <w:sz w:val="24"/>
      <w:lang w:eastAsia="sl-SI"/>
    </w:rPr>
  </w:style>
  <w:style w:type="paragraph" w:customStyle="1" w:styleId="datumtevilka">
    <w:name w:val="datum številka"/>
    <w:basedOn w:val="Navaden"/>
    <w:qFormat/>
    <w:rsid w:val="00B31792"/>
    <w:pPr>
      <w:tabs>
        <w:tab w:val="left" w:pos="1701"/>
      </w:tabs>
    </w:pPr>
    <w:rPr>
      <w:rFonts w:cs="Arial"/>
      <w:szCs w:val="20"/>
      <w:lang w:eastAsia="sl-SI"/>
    </w:rPr>
  </w:style>
  <w:style w:type="paragraph" w:customStyle="1" w:styleId="alineazaodstavkom">
    <w:name w:val="alineazaodstavkom"/>
    <w:basedOn w:val="Navaden"/>
    <w:rsid w:val="00B31792"/>
    <w:pPr>
      <w:spacing w:before="100" w:beforeAutospacing="1" w:after="100" w:afterAutospacing="1" w:line="240" w:lineRule="auto"/>
    </w:pPr>
    <w:rPr>
      <w:rFonts w:ascii="Times New Roman" w:hAnsi="Times New Roman"/>
      <w:sz w:val="24"/>
      <w:lang w:eastAsia="sl-SI"/>
    </w:rPr>
  </w:style>
  <w:style w:type="character" w:styleId="HTMLpisalnistroj">
    <w:name w:val="HTML Typewriter"/>
    <w:basedOn w:val="Privzetapisavaodstavka"/>
    <w:uiPriority w:val="99"/>
    <w:semiHidden/>
    <w:unhideWhenUsed/>
    <w:rsid w:val="00B31792"/>
    <w:rPr>
      <w:rFonts w:ascii="Courier New" w:eastAsiaTheme="minorHAnsi" w:hAnsi="Courier New" w:cs="Courier New" w:hint="default"/>
      <w:sz w:val="20"/>
      <w:szCs w:val="20"/>
    </w:rPr>
  </w:style>
  <w:style w:type="paragraph" w:customStyle="1" w:styleId="doc-ti2">
    <w:name w:val="doc-ti2"/>
    <w:basedOn w:val="Navaden"/>
    <w:rsid w:val="00B31792"/>
    <w:pPr>
      <w:spacing w:before="240" w:after="120" w:line="312" w:lineRule="atLeast"/>
      <w:jc w:val="center"/>
    </w:pPr>
    <w:rPr>
      <w:rFonts w:ascii="Times New Roman" w:hAnsi="Times New Roman"/>
      <w:b/>
      <w:bCs/>
      <w:sz w:val="24"/>
      <w:lang w:eastAsia="sl-SI"/>
    </w:rPr>
  </w:style>
  <w:style w:type="paragraph" w:customStyle="1" w:styleId="CM1">
    <w:name w:val="CM1"/>
    <w:basedOn w:val="Default"/>
    <w:next w:val="Default"/>
    <w:uiPriority w:val="99"/>
    <w:rsid w:val="00B31792"/>
    <w:rPr>
      <w:rFonts w:ascii="EUAlbertina" w:hAnsi="EUAlbertina" w:cstheme="minorBidi"/>
      <w:color w:val="auto"/>
    </w:rPr>
  </w:style>
  <w:style w:type="paragraph" w:customStyle="1" w:styleId="CM3">
    <w:name w:val="CM3"/>
    <w:basedOn w:val="Default"/>
    <w:next w:val="Default"/>
    <w:uiPriority w:val="99"/>
    <w:rsid w:val="00B31792"/>
    <w:rPr>
      <w:rFonts w:ascii="EUAlbertina" w:hAnsi="EUAlbertina" w:cstheme="minorBidi"/>
      <w:color w:val="auto"/>
    </w:rPr>
  </w:style>
  <w:style w:type="numbering" w:customStyle="1" w:styleId="Brezseznama2">
    <w:name w:val="Brez seznama2"/>
    <w:next w:val="Brezseznama"/>
    <w:uiPriority w:val="99"/>
    <w:semiHidden/>
    <w:unhideWhenUsed/>
    <w:rsid w:val="00B31792"/>
  </w:style>
  <w:style w:type="numbering" w:customStyle="1" w:styleId="Brezseznama11">
    <w:name w:val="Brez seznama11"/>
    <w:next w:val="Brezseznama"/>
    <w:uiPriority w:val="99"/>
    <w:semiHidden/>
    <w:unhideWhenUsed/>
    <w:rsid w:val="00B31792"/>
  </w:style>
  <w:style w:type="paragraph" w:customStyle="1" w:styleId="COVERPAGE">
    <w:name w:val="COVERPAGE"/>
    <w:basedOn w:val="Navaden"/>
    <w:rsid w:val="00BB768E"/>
    <w:pPr>
      <w:suppressAutoHyphens/>
      <w:spacing w:line="288" w:lineRule="auto"/>
    </w:pPr>
    <w:rPr>
      <w:rFonts w:ascii="Liberation Sans" w:hAnsi="Liberation Sans" w:cs="CG Times"/>
      <w:kern w:val="1"/>
      <w:sz w:val="22"/>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52310">
      <w:bodyDiv w:val="1"/>
      <w:marLeft w:val="0"/>
      <w:marRight w:val="0"/>
      <w:marTop w:val="0"/>
      <w:marBottom w:val="0"/>
      <w:divBdr>
        <w:top w:val="none" w:sz="0" w:space="0" w:color="auto"/>
        <w:left w:val="none" w:sz="0" w:space="0" w:color="auto"/>
        <w:bottom w:val="none" w:sz="0" w:space="0" w:color="auto"/>
        <w:right w:val="none" w:sz="0" w:space="0" w:color="auto"/>
      </w:divBdr>
    </w:div>
    <w:div w:id="166990384">
      <w:bodyDiv w:val="1"/>
      <w:marLeft w:val="0"/>
      <w:marRight w:val="0"/>
      <w:marTop w:val="0"/>
      <w:marBottom w:val="0"/>
      <w:divBdr>
        <w:top w:val="none" w:sz="0" w:space="0" w:color="auto"/>
        <w:left w:val="none" w:sz="0" w:space="0" w:color="auto"/>
        <w:bottom w:val="none" w:sz="0" w:space="0" w:color="auto"/>
        <w:right w:val="none" w:sz="0" w:space="0" w:color="auto"/>
      </w:divBdr>
    </w:div>
    <w:div w:id="52267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ur-lex.europa.eu/legal-content/SL/AUTO/?uri=uriserv:OJ.L_.2013.347.01.0320.01.SLV&amp;toc=OJ:L:2013:347:TOC"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hyperlink" Target="http://www.gov.si" TargetMode="External"/><Relationship Id="rId2" Type="http://schemas.openxmlformats.org/officeDocument/2006/relationships/hyperlink" Target="mailto:gp.mgrt@gov.si" TargetMode="External"/><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hyperlink" Target="http://www.gov.si" TargetMode="External"/><Relationship Id="rId2" Type="http://schemas.openxmlformats.org/officeDocument/2006/relationships/hyperlink" Target="mailto:gp.mgrt@gov.si" TargetMode="External"/><Relationship Id="rId1" Type="http://schemas.openxmlformats.org/officeDocument/2006/relationships/image" Target="media/image7.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4BC7C-E1BF-405D-AA2C-3A35C59D5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71</Pages>
  <Words>23735</Words>
  <Characters>135290</Characters>
  <Application>Microsoft Office Word</Application>
  <DocSecurity>0</DocSecurity>
  <Lines>1127</Lines>
  <Paragraphs>317</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158708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Branka Bugarin</dc:creator>
  <cp:keywords/>
  <dc:description/>
  <cp:lastModifiedBy>Branka Bugarin</cp:lastModifiedBy>
  <cp:revision>12</cp:revision>
  <dcterms:created xsi:type="dcterms:W3CDTF">2021-04-15T12:46:00Z</dcterms:created>
  <dcterms:modified xsi:type="dcterms:W3CDTF">2021-04-19T06:35:00Z</dcterms:modified>
</cp:coreProperties>
</file>