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09" w:rsidRDefault="00BC2509" w:rsidP="00BC2509">
      <w:pPr>
        <w:pStyle w:val="Besedilo"/>
        <w:spacing w:line="260" w:lineRule="exact"/>
        <w:ind w:firstLine="0"/>
        <w:rPr>
          <w:rFonts w:eastAsiaTheme="minorHAnsi"/>
          <w:color w:val="000000" w:themeColor="text1"/>
          <w:lang w:eastAsia="x-none"/>
        </w:rPr>
      </w:pPr>
    </w:p>
    <w:p w:rsidR="00BC2509" w:rsidRPr="00BC2509" w:rsidRDefault="00BC2509" w:rsidP="00BC2509">
      <w:pPr>
        <w:pStyle w:val="Besedilo"/>
        <w:spacing w:line="260" w:lineRule="exact"/>
        <w:ind w:firstLine="0"/>
      </w:pPr>
      <w:r w:rsidRPr="00BC2509">
        <w:t>Na podlagi prvega odstavka 35. člena Zakona o rudarstvu (Uradni list RS, št. 14/14 – uradno prečiščeno besedilo in 61/17 – GZ) Vlada Republike Slovenije izdaja</w:t>
      </w:r>
    </w:p>
    <w:p w:rsidR="00BC2509" w:rsidRPr="00BC2509" w:rsidRDefault="00BC2509" w:rsidP="00BC2509">
      <w:pPr>
        <w:tabs>
          <w:tab w:val="left" w:pos="708"/>
        </w:tabs>
        <w:rPr>
          <w:rFonts w:cs="Arial"/>
          <w:szCs w:val="20"/>
        </w:rPr>
      </w:pPr>
    </w:p>
    <w:p w:rsidR="00BC2509" w:rsidRPr="00BC2509" w:rsidRDefault="00BC2509" w:rsidP="00BC2509">
      <w:pPr>
        <w:tabs>
          <w:tab w:val="left" w:pos="708"/>
        </w:tabs>
        <w:rPr>
          <w:rFonts w:cs="Arial"/>
          <w:szCs w:val="20"/>
        </w:rPr>
      </w:pPr>
    </w:p>
    <w:p w:rsidR="00BC2509" w:rsidRDefault="00BC2509" w:rsidP="00BC2509">
      <w:pPr>
        <w:tabs>
          <w:tab w:val="left" w:pos="708"/>
        </w:tabs>
        <w:jc w:val="center"/>
        <w:outlineLvl w:val="0"/>
        <w:rPr>
          <w:rFonts w:cs="Arial"/>
          <w:szCs w:val="20"/>
        </w:rPr>
      </w:pPr>
      <w:r w:rsidRPr="00BC2509">
        <w:rPr>
          <w:rFonts w:cs="Arial"/>
          <w:szCs w:val="20"/>
        </w:rPr>
        <w:t>U</w:t>
      </w:r>
      <w:r>
        <w:rPr>
          <w:rFonts w:cs="Arial"/>
          <w:szCs w:val="20"/>
        </w:rPr>
        <w:t xml:space="preserve"> </w:t>
      </w:r>
      <w:r w:rsidRPr="00BC2509">
        <w:rPr>
          <w:rFonts w:cs="Arial"/>
          <w:szCs w:val="20"/>
        </w:rPr>
        <w:t>R</w:t>
      </w:r>
      <w:r>
        <w:rPr>
          <w:rFonts w:cs="Arial"/>
          <w:szCs w:val="20"/>
        </w:rPr>
        <w:t xml:space="preserve"> </w:t>
      </w:r>
      <w:r w:rsidRPr="00BC2509">
        <w:rPr>
          <w:rFonts w:cs="Arial"/>
          <w:szCs w:val="20"/>
        </w:rPr>
        <w:t>E</w:t>
      </w:r>
      <w:r>
        <w:rPr>
          <w:rFonts w:cs="Arial"/>
          <w:szCs w:val="20"/>
        </w:rPr>
        <w:t xml:space="preserve"> </w:t>
      </w:r>
      <w:r w:rsidRPr="00BC2509">
        <w:rPr>
          <w:rFonts w:cs="Arial"/>
          <w:szCs w:val="20"/>
        </w:rPr>
        <w:t>D</w:t>
      </w:r>
      <w:r>
        <w:rPr>
          <w:rFonts w:cs="Arial"/>
          <w:szCs w:val="20"/>
        </w:rPr>
        <w:t xml:space="preserve"> </w:t>
      </w:r>
      <w:r w:rsidRPr="00BC2509">
        <w:rPr>
          <w:rFonts w:cs="Arial"/>
          <w:szCs w:val="20"/>
        </w:rPr>
        <w:t>B</w:t>
      </w:r>
      <w:r>
        <w:rPr>
          <w:rFonts w:cs="Arial"/>
          <w:szCs w:val="20"/>
        </w:rPr>
        <w:t xml:space="preserve"> </w:t>
      </w:r>
      <w:r w:rsidRPr="00BC2509">
        <w:rPr>
          <w:rFonts w:cs="Arial"/>
          <w:szCs w:val="20"/>
        </w:rPr>
        <w:t>O</w:t>
      </w:r>
    </w:p>
    <w:p w:rsidR="00BC2509" w:rsidRPr="00BC2509" w:rsidRDefault="00BC2509" w:rsidP="00BC2509">
      <w:pPr>
        <w:tabs>
          <w:tab w:val="left" w:pos="708"/>
        </w:tabs>
        <w:jc w:val="center"/>
        <w:outlineLvl w:val="0"/>
        <w:rPr>
          <w:rFonts w:cs="Arial"/>
          <w:szCs w:val="20"/>
        </w:rPr>
      </w:pPr>
    </w:p>
    <w:p w:rsidR="00BC2509" w:rsidRPr="00BC2509" w:rsidRDefault="00BC2509" w:rsidP="00BC2509">
      <w:pPr>
        <w:tabs>
          <w:tab w:val="left" w:pos="708"/>
        </w:tabs>
        <w:jc w:val="center"/>
        <w:rPr>
          <w:rFonts w:cs="Arial"/>
          <w:szCs w:val="20"/>
        </w:rPr>
      </w:pPr>
      <w:r w:rsidRPr="00BC2509">
        <w:rPr>
          <w:rFonts w:cs="Arial"/>
          <w:szCs w:val="20"/>
        </w:rPr>
        <w:t xml:space="preserve">o podelitvi rudarske pravice za izkoriščanje mineralne surovine tehnični kamen – dolomit </w:t>
      </w:r>
      <w:r w:rsidRPr="00BC2509">
        <w:rPr>
          <w:rFonts w:cs="Arial"/>
          <w:szCs w:val="20"/>
        </w:rPr>
        <w:br/>
        <w:t>v prid</w:t>
      </w:r>
      <w:r w:rsidR="00E17F57">
        <w:rPr>
          <w:rFonts w:cs="Arial"/>
          <w:szCs w:val="20"/>
        </w:rPr>
        <w:t>obivalnem prostoru Hrastje 2 v o</w:t>
      </w:r>
      <w:r w:rsidRPr="00BC2509">
        <w:rPr>
          <w:rFonts w:cs="Arial"/>
          <w:szCs w:val="20"/>
        </w:rPr>
        <w:t>bčini Šentjur</w:t>
      </w:r>
    </w:p>
    <w:p w:rsidR="00BC2509" w:rsidRPr="00BC2509" w:rsidRDefault="00BC2509" w:rsidP="00BC2509">
      <w:pPr>
        <w:tabs>
          <w:tab w:val="left" w:pos="708"/>
        </w:tabs>
        <w:rPr>
          <w:rFonts w:cs="Arial"/>
          <w:szCs w:val="20"/>
        </w:rPr>
      </w:pPr>
    </w:p>
    <w:p w:rsidR="00BC2509" w:rsidRPr="00BC2509" w:rsidRDefault="00BC2509" w:rsidP="00BC2509">
      <w:pPr>
        <w:jc w:val="center"/>
        <w:outlineLvl w:val="0"/>
        <w:rPr>
          <w:rFonts w:cs="Arial"/>
          <w:szCs w:val="20"/>
          <w:lang w:eastAsia="sl-SI"/>
        </w:rPr>
      </w:pPr>
    </w:p>
    <w:p w:rsidR="00BC2509" w:rsidRPr="00BC2509" w:rsidRDefault="00BC2509" w:rsidP="00BC2509">
      <w:pPr>
        <w:jc w:val="center"/>
        <w:outlineLvl w:val="0"/>
        <w:rPr>
          <w:rFonts w:cs="Arial"/>
          <w:szCs w:val="20"/>
          <w:lang w:eastAsia="sl-SI"/>
        </w:rPr>
      </w:pPr>
      <w:r w:rsidRPr="00BC2509">
        <w:rPr>
          <w:rFonts w:cs="Arial"/>
          <w:szCs w:val="20"/>
          <w:lang w:eastAsia="sl-SI"/>
        </w:rPr>
        <w:t>I. SPLOŠNE DOLOČBE</w:t>
      </w:r>
    </w:p>
    <w:p w:rsidR="00BC2509" w:rsidRPr="00BC2509" w:rsidRDefault="00BC2509" w:rsidP="00BC2509">
      <w:pPr>
        <w:tabs>
          <w:tab w:val="left" w:pos="708"/>
        </w:tabs>
        <w:rPr>
          <w:rFonts w:eastAsia="Calibri" w:cs="Arial"/>
          <w:szCs w:val="20"/>
        </w:rPr>
      </w:pPr>
    </w:p>
    <w:p w:rsidR="00BC2509" w:rsidRPr="00BC2509" w:rsidRDefault="00BC2509" w:rsidP="00BC2509">
      <w:pPr>
        <w:jc w:val="center"/>
        <w:outlineLvl w:val="0"/>
        <w:rPr>
          <w:rFonts w:cs="Arial"/>
          <w:szCs w:val="20"/>
          <w:lang w:eastAsia="sl-SI"/>
        </w:rPr>
      </w:pPr>
      <w:r w:rsidRPr="00BC2509">
        <w:rPr>
          <w:rFonts w:cs="Arial"/>
          <w:szCs w:val="20"/>
          <w:lang w:eastAsia="sl-SI"/>
        </w:rPr>
        <w:t>1. člen</w:t>
      </w:r>
    </w:p>
    <w:p w:rsidR="00BC2509" w:rsidRDefault="00BC2509" w:rsidP="00BC2509">
      <w:pPr>
        <w:jc w:val="center"/>
        <w:rPr>
          <w:rFonts w:cs="Arial"/>
          <w:szCs w:val="20"/>
          <w:lang w:eastAsia="sl-SI"/>
        </w:rPr>
      </w:pPr>
      <w:r w:rsidRPr="00BC2509">
        <w:rPr>
          <w:rFonts w:cs="Arial"/>
          <w:szCs w:val="20"/>
          <w:lang w:eastAsia="sl-SI"/>
        </w:rPr>
        <w:t>(vsebina)</w:t>
      </w:r>
    </w:p>
    <w:p w:rsidR="00BF2CDF" w:rsidRPr="00BC2509" w:rsidRDefault="00BF2CDF" w:rsidP="00BC2509">
      <w:pPr>
        <w:jc w:val="center"/>
        <w:rPr>
          <w:rFonts w:cs="Arial"/>
          <w:szCs w:val="20"/>
          <w:lang w:eastAsia="sl-SI"/>
        </w:rPr>
      </w:pPr>
    </w:p>
    <w:p w:rsidR="00BC2509" w:rsidRDefault="00BC2509" w:rsidP="00BF2CDF">
      <w:pPr>
        <w:pStyle w:val="Besedilo"/>
        <w:spacing w:line="260" w:lineRule="exact"/>
        <w:ind w:firstLine="0"/>
      </w:pPr>
      <w:r w:rsidRPr="00BC2509">
        <w:t xml:space="preserve">Ta uredba je rudarski koncesijski akt, ki določa pogoje za podelitev in izvajanje rudarske pravice za izkoriščanje mineralne surovine tehničnega kamna – dolomita v pridobivalnem prostoru Hrastje 2 v </w:t>
      </w:r>
      <w:r w:rsidR="00E17F57">
        <w:t>o</w:t>
      </w:r>
      <w:r w:rsidRPr="00BC2509">
        <w:t>bčini Šentjur.</w:t>
      </w:r>
    </w:p>
    <w:p w:rsidR="00BF2CDF" w:rsidRDefault="00BF2CDF" w:rsidP="00BC2509">
      <w:pPr>
        <w:pStyle w:val="Besedilo"/>
        <w:spacing w:line="260" w:lineRule="exact"/>
      </w:pPr>
    </w:p>
    <w:p w:rsidR="00BF2CDF" w:rsidRPr="00BC2509" w:rsidRDefault="00BF2CDF" w:rsidP="00BC2509">
      <w:pPr>
        <w:pStyle w:val="Besedilo"/>
        <w:spacing w:line="260" w:lineRule="exact"/>
      </w:pPr>
    </w:p>
    <w:p w:rsidR="00BC2509" w:rsidRPr="00BC2509" w:rsidRDefault="00BC2509" w:rsidP="00BC2509">
      <w:pPr>
        <w:jc w:val="center"/>
        <w:outlineLvl w:val="0"/>
        <w:rPr>
          <w:rFonts w:cs="Arial"/>
          <w:szCs w:val="20"/>
          <w:lang w:eastAsia="sl-SI"/>
        </w:rPr>
      </w:pPr>
      <w:r w:rsidRPr="00BC2509">
        <w:rPr>
          <w:rFonts w:cs="Arial"/>
          <w:szCs w:val="20"/>
          <w:lang w:eastAsia="sl-SI"/>
        </w:rPr>
        <w:t>2. člen</w:t>
      </w:r>
    </w:p>
    <w:p w:rsidR="00BC2509" w:rsidRPr="00BC2509" w:rsidRDefault="00BC2509" w:rsidP="00BC2509">
      <w:pPr>
        <w:jc w:val="center"/>
        <w:rPr>
          <w:rFonts w:cs="Arial"/>
          <w:szCs w:val="20"/>
          <w:lang w:eastAsia="sl-SI"/>
        </w:rPr>
      </w:pPr>
      <w:r w:rsidRPr="00BC2509">
        <w:rPr>
          <w:rFonts w:cs="Arial"/>
          <w:szCs w:val="20"/>
          <w:lang w:eastAsia="sl-SI"/>
        </w:rPr>
        <w:t>(koncesijska pogodba)</w:t>
      </w:r>
    </w:p>
    <w:p w:rsidR="00BF2CDF" w:rsidRDefault="00BF2CDF" w:rsidP="00BF2CDF">
      <w:pPr>
        <w:pStyle w:val="Besedilo"/>
        <w:spacing w:line="260" w:lineRule="exact"/>
        <w:ind w:firstLine="0"/>
      </w:pPr>
    </w:p>
    <w:p w:rsidR="00BC2509" w:rsidRPr="00BC2509" w:rsidRDefault="00BC2509" w:rsidP="00BF2CDF">
      <w:pPr>
        <w:pStyle w:val="Besedilo"/>
        <w:spacing w:line="260" w:lineRule="exact"/>
        <w:ind w:firstLine="0"/>
      </w:pPr>
      <w:r w:rsidRPr="00BC2509">
        <w:t>Ob neskladju določb te uredbe in določb koncesijske pogodbe veljajo določbe te uredbe.</w:t>
      </w:r>
    </w:p>
    <w:p w:rsidR="00BC2509" w:rsidRDefault="00BC2509" w:rsidP="00BC2509">
      <w:pPr>
        <w:tabs>
          <w:tab w:val="left" w:pos="708"/>
        </w:tabs>
        <w:rPr>
          <w:rFonts w:cs="Arial"/>
          <w:szCs w:val="20"/>
        </w:rPr>
      </w:pPr>
    </w:p>
    <w:p w:rsidR="00BF2CDF" w:rsidRPr="00BC2509" w:rsidRDefault="00BF2CDF" w:rsidP="00BC2509">
      <w:pPr>
        <w:tabs>
          <w:tab w:val="left" w:pos="708"/>
        </w:tabs>
        <w:rPr>
          <w:rFonts w:cs="Arial"/>
          <w:szCs w:val="20"/>
        </w:rPr>
      </w:pPr>
    </w:p>
    <w:p w:rsidR="00BC2509" w:rsidRPr="00BC2509" w:rsidRDefault="00BC2509" w:rsidP="00BC2509">
      <w:pPr>
        <w:jc w:val="center"/>
        <w:outlineLvl w:val="0"/>
        <w:rPr>
          <w:rFonts w:cs="Arial"/>
          <w:szCs w:val="20"/>
          <w:lang w:eastAsia="sl-SI"/>
        </w:rPr>
      </w:pPr>
      <w:r w:rsidRPr="00BC2509">
        <w:rPr>
          <w:rFonts w:cs="Arial"/>
          <w:szCs w:val="20"/>
          <w:lang w:eastAsia="sl-SI"/>
        </w:rPr>
        <w:t>3. člen</w:t>
      </w:r>
    </w:p>
    <w:p w:rsidR="00BC2509" w:rsidRPr="00BC2509" w:rsidRDefault="00BC2509" w:rsidP="00BC2509">
      <w:pPr>
        <w:jc w:val="center"/>
        <w:rPr>
          <w:rFonts w:cs="Arial"/>
          <w:szCs w:val="20"/>
          <w:lang w:eastAsia="sl-SI"/>
        </w:rPr>
      </w:pPr>
      <w:r w:rsidRPr="00BC2509">
        <w:rPr>
          <w:rFonts w:cs="Arial"/>
          <w:szCs w:val="20"/>
          <w:lang w:eastAsia="sl-SI"/>
        </w:rPr>
        <w:t>(splošni varstveni pogoji in ukrepi)</w:t>
      </w:r>
    </w:p>
    <w:p w:rsidR="00BF2CDF" w:rsidRDefault="00BF2CDF" w:rsidP="00BF2CDF">
      <w:pPr>
        <w:pStyle w:val="Besedilo"/>
        <w:spacing w:line="260" w:lineRule="exact"/>
        <w:ind w:firstLine="0"/>
      </w:pPr>
    </w:p>
    <w:p w:rsidR="00BC2509" w:rsidRPr="00BC2509" w:rsidRDefault="00BC2509" w:rsidP="00BF2CDF">
      <w:pPr>
        <w:pStyle w:val="Besedilo"/>
        <w:spacing w:line="260" w:lineRule="exact"/>
        <w:ind w:firstLine="0"/>
      </w:pPr>
      <w:r w:rsidRPr="00BC2509">
        <w:t>(1) Nosilec rudarske pravice za izkoriščanje mora med izvajanjem rudarske pravice in opustitvijo izvajanja rudarskih del izpolnjevati tudi vse pogoje po predpisih, ki urejajo ceste, gozdove, varstvo okolja, ohranjanje narave, varstvo voda, varstvo kulturne dediščine, varstvo pred naravnimi in drugimi nesrečami, ter po drugih predpisih, s katerimi se urejajo rudarska dela.</w:t>
      </w:r>
    </w:p>
    <w:p w:rsidR="00BF2CDF" w:rsidRDefault="00BF2CDF" w:rsidP="00BF2CDF">
      <w:pPr>
        <w:pStyle w:val="Besedilo"/>
        <w:spacing w:line="260" w:lineRule="exact"/>
        <w:ind w:firstLine="0"/>
      </w:pPr>
    </w:p>
    <w:p w:rsidR="00BC2509" w:rsidRPr="00BC2509" w:rsidRDefault="00BC2509" w:rsidP="00BF2CDF">
      <w:pPr>
        <w:pStyle w:val="Besedilo"/>
        <w:spacing w:line="260" w:lineRule="exact"/>
        <w:ind w:firstLine="0"/>
      </w:pPr>
      <w:r w:rsidRPr="00BC2509">
        <w:t>(2) Poleg izpolnjevanja pogojev iz prejšnjega odstavka mora nosilec rudarske pravice za izkoriščanje zagotoviti še:</w:t>
      </w:r>
    </w:p>
    <w:p w:rsidR="00BC2509" w:rsidRPr="00BC2509" w:rsidRDefault="00BC2509" w:rsidP="00BF2CDF">
      <w:pPr>
        <w:pStyle w:val="Besedilodash"/>
        <w:tabs>
          <w:tab w:val="clear" w:pos="680"/>
          <w:tab w:val="left" w:pos="708"/>
        </w:tabs>
        <w:spacing w:line="260" w:lineRule="exact"/>
        <w:ind w:left="709" w:hanging="709"/>
        <w:rPr>
          <w:sz w:val="20"/>
          <w:szCs w:val="20"/>
        </w:rPr>
      </w:pPr>
      <w:r w:rsidRPr="00BC2509">
        <w:rPr>
          <w:sz w:val="20"/>
          <w:szCs w:val="20"/>
        </w:rPr>
        <w:t>–</w:t>
      </w:r>
      <w:r w:rsidRPr="00BC2509">
        <w:rPr>
          <w:sz w:val="20"/>
          <w:szCs w:val="20"/>
        </w:rPr>
        <w:tab/>
        <w:t>ukrepe, da se predvideni poseg v okolje izvede tako, da se v največji mogoči meri zmanjša poraba prostora in energije;</w:t>
      </w:r>
    </w:p>
    <w:p w:rsidR="00BC2509" w:rsidRPr="00BC2509" w:rsidRDefault="00BC2509" w:rsidP="00BF2CDF">
      <w:pPr>
        <w:pStyle w:val="Besedilodash"/>
        <w:spacing w:line="260" w:lineRule="exact"/>
        <w:ind w:left="709" w:hanging="709"/>
        <w:rPr>
          <w:sz w:val="20"/>
          <w:szCs w:val="20"/>
        </w:rPr>
      </w:pPr>
      <w:r w:rsidRPr="00BC2509">
        <w:rPr>
          <w:sz w:val="20"/>
          <w:szCs w:val="20"/>
        </w:rPr>
        <w:t>–</w:t>
      </w:r>
      <w:r w:rsidRPr="00BC2509">
        <w:rPr>
          <w:sz w:val="20"/>
          <w:szCs w:val="20"/>
        </w:rPr>
        <w:tab/>
        <w:t>ukrepe, s katerimi se dosega največje mogoče varstvo okolja pred izpustom plinastih, tekočih ali trdnih snovi v zrak, tla, površinske vode ali podtalnico;</w:t>
      </w:r>
    </w:p>
    <w:p w:rsidR="00BC2509" w:rsidRPr="00BC2509" w:rsidRDefault="00BC2509" w:rsidP="00BF2CDF">
      <w:pPr>
        <w:pStyle w:val="Besedilodash"/>
        <w:spacing w:line="260" w:lineRule="exact"/>
        <w:ind w:left="709" w:hanging="709"/>
        <w:rPr>
          <w:sz w:val="20"/>
          <w:szCs w:val="20"/>
        </w:rPr>
      </w:pPr>
      <w:r w:rsidRPr="00BC2509">
        <w:rPr>
          <w:sz w:val="20"/>
          <w:szCs w:val="20"/>
        </w:rPr>
        <w:t>–</w:t>
      </w:r>
      <w:r w:rsidRPr="00BC2509">
        <w:rPr>
          <w:sz w:val="20"/>
          <w:szCs w:val="20"/>
        </w:rPr>
        <w:tab/>
        <w:t>ukrepe za preprečevanje čezmernega onesnaževanja okolja s hrupom;</w:t>
      </w:r>
    </w:p>
    <w:p w:rsidR="00BC2509" w:rsidRPr="00BC2509" w:rsidRDefault="00BC2509" w:rsidP="00BF2CDF">
      <w:pPr>
        <w:pStyle w:val="Besedilodash"/>
        <w:spacing w:line="260" w:lineRule="exact"/>
        <w:ind w:left="709" w:hanging="709"/>
        <w:rPr>
          <w:sz w:val="20"/>
          <w:szCs w:val="20"/>
        </w:rPr>
      </w:pPr>
      <w:r w:rsidRPr="00BC2509">
        <w:rPr>
          <w:sz w:val="20"/>
          <w:szCs w:val="20"/>
        </w:rPr>
        <w:t>–</w:t>
      </w:r>
      <w:r w:rsidRPr="00BC2509">
        <w:rPr>
          <w:sz w:val="20"/>
          <w:szCs w:val="20"/>
        </w:rPr>
        <w:tab/>
        <w:t>smotrno izkoriščanje mineralne surovine z uporabo ustrezne sodobne tehnologije;</w:t>
      </w:r>
    </w:p>
    <w:p w:rsidR="00BC2509" w:rsidRPr="00BC2509" w:rsidRDefault="00BC2509" w:rsidP="00BF2CDF">
      <w:pPr>
        <w:pStyle w:val="Besedilodash"/>
        <w:spacing w:line="260" w:lineRule="exact"/>
        <w:ind w:left="709" w:hanging="709"/>
        <w:rPr>
          <w:sz w:val="20"/>
          <w:szCs w:val="20"/>
        </w:rPr>
      </w:pPr>
      <w:r w:rsidRPr="00BC2509">
        <w:rPr>
          <w:sz w:val="20"/>
          <w:szCs w:val="20"/>
        </w:rPr>
        <w:t>–</w:t>
      </w:r>
      <w:r w:rsidRPr="00BC2509">
        <w:rPr>
          <w:sz w:val="20"/>
          <w:szCs w:val="20"/>
        </w:rPr>
        <w:tab/>
        <w:t>upoštevanje pravil ravnanja, varstvenih režimov, izhodišč in naravovarstvenih pogojev za varstvo naravnih vrednot in ohranjanje biotske raznovrstnosti;</w:t>
      </w:r>
    </w:p>
    <w:p w:rsidR="00BC2509" w:rsidRPr="00BC2509" w:rsidRDefault="00BC2509" w:rsidP="00BF2CDF">
      <w:pPr>
        <w:pStyle w:val="Besedilodash"/>
        <w:spacing w:line="260" w:lineRule="exact"/>
        <w:ind w:left="709" w:hanging="709"/>
        <w:rPr>
          <w:sz w:val="20"/>
          <w:szCs w:val="20"/>
        </w:rPr>
      </w:pPr>
      <w:r w:rsidRPr="00BC2509">
        <w:rPr>
          <w:sz w:val="20"/>
          <w:szCs w:val="20"/>
        </w:rPr>
        <w:t>–</w:t>
      </w:r>
      <w:r w:rsidRPr="00BC2509">
        <w:rPr>
          <w:sz w:val="20"/>
          <w:szCs w:val="20"/>
        </w:rPr>
        <w:tab/>
        <w:t>ukrepe pri tveganju in nevarnosti za okolje ob morebitni ekološki nesreči kot posledici posega;</w:t>
      </w:r>
    </w:p>
    <w:p w:rsidR="00BC2509" w:rsidRPr="00BC2509" w:rsidRDefault="00BC2509" w:rsidP="00BF2CDF">
      <w:pPr>
        <w:pStyle w:val="Besedilodash"/>
        <w:spacing w:line="260" w:lineRule="exact"/>
        <w:ind w:left="709" w:hanging="709"/>
        <w:rPr>
          <w:sz w:val="20"/>
          <w:szCs w:val="20"/>
        </w:rPr>
      </w:pPr>
      <w:r w:rsidRPr="00BC2509">
        <w:rPr>
          <w:sz w:val="20"/>
          <w:szCs w:val="20"/>
        </w:rPr>
        <w:t>–</w:t>
      </w:r>
      <w:r w:rsidRPr="00BC2509">
        <w:rPr>
          <w:sz w:val="20"/>
          <w:szCs w:val="20"/>
        </w:rPr>
        <w:tab/>
        <w:t>ukrepe za zavarovanje vodnih virov, če koncesionar odkrije nahajališče vode;</w:t>
      </w:r>
    </w:p>
    <w:p w:rsidR="00BC2509" w:rsidRPr="00BC2509" w:rsidRDefault="00BC2509" w:rsidP="00BF2CDF">
      <w:pPr>
        <w:pStyle w:val="Besedilodash"/>
        <w:spacing w:line="260" w:lineRule="exact"/>
        <w:ind w:left="709" w:hanging="709"/>
        <w:rPr>
          <w:sz w:val="20"/>
          <w:szCs w:val="20"/>
        </w:rPr>
      </w:pPr>
      <w:r w:rsidRPr="00BC2509">
        <w:rPr>
          <w:sz w:val="20"/>
          <w:szCs w:val="20"/>
        </w:rPr>
        <w:t>–</w:t>
      </w:r>
      <w:r w:rsidRPr="00BC2509">
        <w:rPr>
          <w:sz w:val="20"/>
          <w:szCs w:val="20"/>
        </w:rPr>
        <w:tab/>
        <w:t>dovozne poti do kraja posega in njihovo primerno ureditev;</w:t>
      </w:r>
    </w:p>
    <w:p w:rsidR="00BC2509" w:rsidRPr="00BC2509" w:rsidRDefault="00BC2509" w:rsidP="00BF2CDF">
      <w:pPr>
        <w:pStyle w:val="Besedilodash"/>
        <w:spacing w:line="260" w:lineRule="exact"/>
        <w:ind w:left="709" w:hanging="709"/>
        <w:rPr>
          <w:sz w:val="20"/>
          <w:szCs w:val="20"/>
        </w:rPr>
      </w:pPr>
      <w:r w:rsidRPr="00BC2509">
        <w:rPr>
          <w:sz w:val="20"/>
          <w:szCs w:val="20"/>
        </w:rPr>
        <w:lastRenderedPageBreak/>
        <w:t>–</w:t>
      </w:r>
      <w:r w:rsidRPr="00BC2509">
        <w:rPr>
          <w:sz w:val="20"/>
          <w:szCs w:val="20"/>
        </w:rPr>
        <w:tab/>
        <w:t>ukrepe za preprečitev razlitja motornih olj in naftnih derivatov;</w:t>
      </w:r>
    </w:p>
    <w:p w:rsidR="00BC2509" w:rsidRPr="00BC2509" w:rsidRDefault="00BC2509" w:rsidP="00BF2CDF">
      <w:pPr>
        <w:pStyle w:val="Besedilodash"/>
        <w:spacing w:line="260" w:lineRule="exact"/>
        <w:ind w:left="709" w:hanging="709"/>
        <w:rPr>
          <w:sz w:val="20"/>
          <w:szCs w:val="20"/>
        </w:rPr>
      </w:pPr>
      <w:r w:rsidRPr="00BC2509">
        <w:rPr>
          <w:sz w:val="20"/>
          <w:szCs w:val="20"/>
        </w:rPr>
        <w:t>–</w:t>
      </w:r>
      <w:r w:rsidRPr="00BC2509">
        <w:rPr>
          <w:sz w:val="20"/>
          <w:szCs w:val="20"/>
        </w:rPr>
        <w:tab/>
        <w:t>ukrepe v zvezi s sanacijo in vnovično ureditvijo zemljišč med dejavnostjo in po njenem prenehanju, in sicer tako, da se kar najbolj vzpostavi novo ali nadomesti prejšnje okoljsko stanje, in</w:t>
      </w:r>
    </w:p>
    <w:p w:rsidR="00BC2509" w:rsidRPr="00BC2509" w:rsidRDefault="00BC2509" w:rsidP="00BF2CDF">
      <w:pPr>
        <w:pStyle w:val="Besedilodash"/>
        <w:spacing w:line="260" w:lineRule="exact"/>
        <w:ind w:left="709" w:hanging="709"/>
        <w:rPr>
          <w:sz w:val="20"/>
          <w:szCs w:val="20"/>
        </w:rPr>
      </w:pPr>
      <w:r w:rsidRPr="00BC2509">
        <w:rPr>
          <w:sz w:val="20"/>
          <w:szCs w:val="20"/>
        </w:rPr>
        <w:t>–</w:t>
      </w:r>
      <w:r w:rsidRPr="00BC2509">
        <w:rPr>
          <w:sz w:val="20"/>
          <w:szCs w:val="20"/>
        </w:rPr>
        <w:tab/>
        <w:t>ukrepe, da se ne poslabšata stanje voda in vodni režim.</w:t>
      </w:r>
    </w:p>
    <w:p w:rsidR="00BC2509" w:rsidRDefault="00BC2509" w:rsidP="00BC2509">
      <w:pPr>
        <w:tabs>
          <w:tab w:val="left" w:pos="708"/>
        </w:tabs>
        <w:rPr>
          <w:rFonts w:cs="Arial"/>
          <w:szCs w:val="20"/>
        </w:rPr>
      </w:pPr>
    </w:p>
    <w:p w:rsidR="00BF2CDF" w:rsidRPr="00BC2509" w:rsidRDefault="00BF2CDF" w:rsidP="00BC2509">
      <w:pPr>
        <w:tabs>
          <w:tab w:val="left" w:pos="708"/>
        </w:tabs>
        <w:rPr>
          <w:rFonts w:cs="Arial"/>
          <w:szCs w:val="20"/>
        </w:rPr>
      </w:pPr>
    </w:p>
    <w:p w:rsidR="00BC2509" w:rsidRPr="00BC2509" w:rsidRDefault="00BC2509" w:rsidP="00BC2509">
      <w:pPr>
        <w:jc w:val="center"/>
        <w:outlineLvl w:val="0"/>
        <w:rPr>
          <w:rFonts w:cs="Arial"/>
          <w:szCs w:val="20"/>
          <w:lang w:eastAsia="sl-SI"/>
        </w:rPr>
      </w:pPr>
      <w:r w:rsidRPr="00BC2509">
        <w:rPr>
          <w:rFonts w:cs="Arial"/>
          <w:szCs w:val="20"/>
          <w:lang w:eastAsia="sl-SI"/>
        </w:rPr>
        <w:t>4. člen</w:t>
      </w:r>
    </w:p>
    <w:p w:rsidR="00BC2509" w:rsidRPr="00BC2509" w:rsidRDefault="00BC2509" w:rsidP="00BC2509">
      <w:pPr>
        <w:jc w:val="center"/>
        <w:rPr>
          <w:rFonts w:cs="Arial"/>
          <w:szCs w:val="20"/>
          <w:lang w:eastAsia="sl-SI"/>
        </w:rPr>
      </w:pPr>
      <w:r w:rsidRPr="00BC2509">
        <w:rPr>
          <w:rFonts w:cs="Arial"/>
          <w:szCs w:val="20"/>
          <w:lang w:eastAsia="sl-SI"/>
        </w:rPr>
        <w:t>(zagotavljanje varstva in zdravja pri delu)</w:t>
      </w:r>
    </w:p>
    <w:p w:rsidR="00BF2CDF" w:rsidRDefault="00BF2CDF" w:rsidP="00BF2CDF">
      <w:pPr>
        <w:pStyle w:val="Besedilo"/>
        <w:spacing w:line="260" w:lineRule="exact"/>
        <w:ind w:firstLine="0"/>
      </w:pPr>
    </w:p>
    <w:p w:rsidR="00BC2509" w:rsidRPr="00BC2509" w:rsidRDefault="00BC2509" w:rsidP="00BF2CDF">
      <w:pPr>
        <w:pStyle w:val="Besedilo"/>
        <w:spacing w:line="260" w:lineRule="exact"/>
        <w:ind w:firstLine="0"/>
      </w:pPr>
      <w:r w:rsidRPr="00BC2509">
        <w:t>Varstvo in zdravje pri delu nosilec rudarske pravice za izkoriščanje zagotavlja v skladu z zakonom, ki ureja rudarstvo.</w:t>
      </w:r>
    </w:p>
    <w:p w:rsidR="00BC2509" w:rsidRDefault="00BC2509" w:rsidP="00BC2509">
      <w:pPr>
        <w:tabs>
          <w:tab w:val="left" w:pos="708"/>
        </w:tabs>
        <w:rPr>
          <w:rFonts w:cs="Arial"/>
          <w:szCs w:val="20"/>
        </w:rPr>
      </w:pPr>
    </w:p>
    <w:p w:rsidR="00BF2CDF" w:rsidRPr="00BC2509" w:rsidRDefault="00BF2CDF" w:rsidP="00BC2509">
      <w:pPr>
        <w:tabs>
          <w:tab w:val="left" w:pos="708"/>
        </w:tabs>
        <w:rPr>
          <w:rFonts w:cs="Arial"/>
          <w:szCs w:val="20"/>
        </w:rPr>
      </w:pPr>
    </w:p>
    <w:p w:rsidR="00BC2509" w:rsidRPr="00BC2509" w:rsidRDefault="00BC2509" w:rsidP="00BC2509">
      <w:pPr>
        <w:jc w:val="center"/>
        <w:outlineLvl w:val="0"/>
        <w:rPr>
          <w:rFonts w:cs="Arial"/>
          <w:szCs w:val="20"/>
          <w:lang w:eastAsia="sl-SI"/>
        </w:rPr>
      </w:pPr>
      <w:r w:rsidRPr="00BC2509">
        <w:rPr>
          <w:rFonts w:cs="Arial"/>
          <w:szCs w:val="20"/>
          <w:lang w:eastAsia="sl-SI"/>
        </w:rPr>
        <w:t>5. člen</w:t>
      </w:r>
    </w:p>
    <w:p w:rsidR="00BC2509" w:rsidRPr="00BC2509" w:rsidRDefault="00BC2509" w:rsidP="00BC2509">
      <w:pPr>
        <w:jc w:val="center"/>
        <w:rPr>
          <w:rFonts w:cs="Arial"/>
          <w:szCs w:val="20"/>
          <w:lang w:eastAsia="sl-SI"/>
        </w:rPr>
      </w:pPr>
      <w:r w:rsidRPr="00BC2509">
        <w:rPr>
          <w:rFonts w:cs="Arial"/>
          <w:szCs w:val="20"/>
          <w:lang w:eastAsia="sl-SI"/>
        </w:rPr>
        <w:t>(obveznost obveščanja in poročanja)</w:t>
      </w:r>
    </w:p>
    <w:p w:rsidR="00BF2CDF" w:rsidRDefault="00BF2CDF" w:rsidP="00BF2CDF">
      <w:pPr>
        <w:pStyle w:val="Besedilo"/>
        <w:spacing w:line="260" w:lineRule="exact"/>
        <w:ind w:firstLine="0"/>
      </w:pPr>
    </w:p>
    <w:p w:rsidR="00BC2509" w:rsidRDefault="00BC2509" w:rsidP="00BF2CDF">
      <w:pPr>
        <w:pStyle w:val="Besedilo"/>
        <w:spacing w:line="260" w:lineRule="exact"/>
        <w:ind w:firstLine="0"/>
      </w:pPr>
      <w:r w:rsidRPr="00BC2509">
        <w:t>Nosilec rudarske pravice za izkoriščanje organom in zavodom poroča v skladu s predpisi, ki urejajo rudarstvo, vode, varstvo podzemnih jam, ohranjanje narave in varstvo okolja, ter drugimi predpisi.</w:t>
      </w:r>
    </w:p>
    <w:p w:rsidR="00BF2CDF" w:rsidRPr="00BC2509" w:rsidRDefault="00BF2CDF" w:rsidP="00BF2CDF">
      <w:pPr>
        <w:pStyle w:val="Besedilo"/>
        <w:spacing w:line="260" w:lineRule="exact"/>
        <w:ind w:firstLine="0"/>
      </w:pPr>
    </w:p>
    <w:p w:rsidR="00BC2509" w:rsidRPr="00BC2509" w:rsidRDefault="00BC2509" w:rsidP="00BC2509">
      <w:pPr>
        <w:tabs>
          <w:tab w:val="left" w:pos="708"/>
        </w:tabs>
        <w:rPr>
          <w:rFonts w:cs="Arial"/>
          <w:szCs w:val="20"/>
        </w:rPr>
      </w:pPr>
    </w:p>
    <w:p w:rsidR="00BC2509" w:rsidRPr="00BC2509" w:rsidRDefault="00BC2509" w:rsidP="00BC2509">
      <w:pPr>
        <w:jc w:val="center"/>
        <w:outlineLvl w:val="0"/>
        <w:rPr>
          <w:rFonts w:cs="Arial"/>
          <w:szCs w:val="20"/>
          <w:lang w:eastAsia="sl-SI"/>
        </w:rPr>
      </w:pPr>
      <w:r w:rsidRPr="00BC2509">
        <w:rPr>
          <w:rFonts w:cs="Arial"/>
          <w:szCs w:val="20"/>
          <w:lang w:eastAsia="sl-SI"/>
        </w:rPr>
        <w:t>6. člen</w:t>
      </w:r>
    </w:p>
    <w:p w:rsidR="00BC2509" w:rsidRPr="00BC2509" w:rsidRDefault="00BC2509" w:rsidP="00BC2509">
      <w:pPr>
        <w:jc w:val="center"/>
        <w:rPr>
          <w:rFonts w:cs="Arial"/>
          <w:szCs w:val="20"/>
          <w:lang w:eastAsia="sl-SI"/>
        </w:rPr>
      </w:pPr>
      <w:r w:rsidRPr="00BC2509">
        <w:rPr>
          <w:rFonts w:cs="Arial"/>
          <w:szCs w:val="20"/>
          <w:lang w:eastAsia="sl-SI"/>
        </w:rPr>
        <w:t>(obveznost plačila rudarske koncesnine in rezerviranih sredstev za sanacijo)</w:t>
      </w:r>
    </w:p>
    <w:p w:rsidR="00BF2CDF" w:rsidRDefault="00BF2CDF" w:rsidP="00BF2CDF">
      <w:pPr>
        <w:pStyle w:val="Besedilo"/>
        <w:spacing w:line="260" w:lineRule="exact"/>
        <w:ind w:firstLine="0"/>
      </w:pPr>
    </w:p>
    <w:p w:rsidR="00BC2509" w:rsidRPr="00BC2509" w:rsidRDefault="00BC2509" w:rsidP="00BF2CDF">
      <w:pPr>
        <w:pStyle w:val="Besedilo"/>
        <w:spacing w:line="260" w:lineRule="exact"/>
        <w:ind w:firstLine="0"/>
      </w:pPr>
      <w:r w:rsidRPr="00BC2509">
        <w:t>(1) Nosilec rudarske pravice za izkoriščanje postane z dnem veljavnosti koncesijske pogodbe zavezanec za plačevanje rudarske koncesnine ter za zagotavljanje in plačevanje rezerviranih sredstev za sanacijo v skladu z zakonom, ki ureja rudarstvo.</w:t>
      </w:r>
    </w:p>
    <w:p w:rsidR="00BF2CDF" w:rsidRDefault="00BF2CDF" w:rsidP="00BF2CDF">
      <w:pPr>
        <w:pStyle w:val="Besedilo"/>
        <w:spacing w:line="260" w:lineRule="exact"/>
        <w:ind w:firstLine="0"/>
      </w:pPr>
    </w:p>
    <w:p w:rsidR="00BC2509" w:rsidRPr="00BC2509" w:rsidRDefault="00BC2509" w:rsidP="00BF2CDF">
      <w:pPr>
        <w:pStyle w:val="Besedilo"/>
        <w:spacing w:line="260" w:lineRule="exact"/>
        <w:ind w:firstLine="0"/>
      </w:pPr>
      <w:r w:rsidRPr="00BC2509">
        <w:t>(2) Rudarska koncesnina se odmerja, plačuje in usklajuje v skladu z zakonom, ki ureja rudarstvo, ter predpisom, ki ureja plačevanje rudarskih koncesnin.</w:t>
      </w:r>
    </w:p>
    <w:p w:rsidR="00BF2CDF" w:rsidRDefault="00BF2CDF" w:rsidP="00BF2CDF">
      <w:pPr>
        <w:pStyle w:val="Besedilo"/>
        <w:spacing w:line="260" w:lineRule="exact"/>
        <w:ind w:firstLine="0"/>
      </w:pPr>
    </w:p>
    <w:p w:rsidR="00BC2509" w:rsidRPr="00BC2509" w:rsidRDefault="00BC2509" w:rsidP="00BF2CDF">
      <w:pPr>
        <w:pStyle w:val="Besedilo"/>
        <w:spacing w:line="260" w:lineRule="exact"/>
        <w:ind w:firstLine="0"/>
      </w:pPr>
      <w:r w:rsidRPr="00BC2509">
        <w:t>(3) Rezervirana sredstva za sanacijo se zagotavljajo, odmerjajo, plačujejo in usklajujejo v skladu z zakonom, ki ureja rudarstvo, ter predpisom, ki ureja plačevanje sredstev za sanacijo.</w:t>
      </w:r>
    </w:p>
    <w:p w:rsidR="00BC2509" w:rsidRDefault="00BC2509" w:rsidP="00BC2509">
      <w:pPr>
        <w:tabs>
          <w:tab w:val="left" w:pos="708"/>
        </w:tabs>
        <w:rPr>
          <w:rFonts w:cs="Arial"/>
          <w:szCs w:val="20"/>
        </w:rPr>
      </w:pPr>
    </w:p>
    <w:p w:rsidR="00BF2CDF" w:rsidRPr="00BC2509" w:rsidRDefault="00BF2CDF" w:rsidP="00BC2509">
      <w:pPr>
        <w:tabs>
          <w:tab w:val="left" w:pos="708"/>
        </w:tabs>
        <w:rPr>
          <w:rFonts w:cs="Arial"/>
          <w:szCs w:val="20"/>
        </w:rPr>
      </w:pPr>
    </w:p>
    <w:p w:rsidR="00BC2509" w:rsidRPr="00BC2509" w:rsidRDefault="00BC2509" w:rsidP="00BC2509">
      <w:pPr>
        <w:jc w:val="center"/>
        <w:outlineLvl w:val="0"/>
        <w:rPr>
          <w:rFonts w:cs="Arial"/>
          <w:szCs w:val="20"/>
          <w:lang w:eastAsia="sl-SI"/>
        </w:rPr>
      </w:pPr>
      <w:r w:rsidRPr="00BC2509">
        <w:rPr>
          <w:rFonts w:cs="Arial"/>
          <w:szCs w:val="20"/>
          <w:lang w:eastAsia="sl-SI"/>
        </w:rPr>
        <w:t>7. člen</w:t>
      </w:r>
    </w:p>
    <w:p w:rsidR="00BC2509" w:rsidRPr="00BC2509" w:rsidRDefault="00BC2509" w:rsidP="00BC2509">
      <w:pPr>
        <w:jc w:val="center"/>
        <w:rPr>
          <w:rFonts w:cs="Arial"/>
          <w:szCs w:val="20"/>
          <w:lang w:eastAsia="sl-SI"/>
        </w:rPr>
      </w:pPr>
      <w:r w:rsidRPr="00BC2509">
        <w:rPr>
          <w:rFonts w:cs="Arial"/>
          <w:szCs w:val="20"/>
          <w:lang w:eastAsia="sl-SI"/>
        </w:rPr>
        <w:t>(prenehanje koncesijske pogodbe)</w:t>
      </w:r>
    </w:p>
    <w:p w:rsidR="00BF2CDF" w:rsidRDefault="00BF2CDF" w:rsidP="00BF2CDF">
      <w:pPr>
        <w:pStyle w:val="Besedilo"/>
        <w:spacing w:line="260" w:lineRule="exact"/>
        <w:ind w:firstLine="0"/>
      </w:pPr>
    </w:p>
    <w:p w:rsidR="00BC2509" w:rsidRDefault="00BC2509" w:rsidP="00BF2CDF">
      <w:pPr>
        <w:pStyle w:val="Besedilo"/>
        <w:spacing w:line="260" w:lineRule="exact"/>
        <w:ind w:firstLine="0"/>
      </w:pPr>
      <w:r w:rsidRPr="00BC2509">
        <w:t>Koncesijska pogodba preneha iz razlogov, ki jih določa zakon, ki ureja rudarstvo, in tako, kot določa zakon, ki ureja rudarstvo.</w:t>
      </w:r>
    </w:p>
    <w:p w:rsidR="00BF2CDF" w:rsidRPr="00BC2509" w:rsidRDefault="00BF2CDF" w:rsidP="00BF2CDF">
      <w:pPr>
        <w:pStyle w:val="Besedilo"/>
        <w:spacing w:line="260" w:lineRule="exact"/>
        <w:ind w:firstLine="0"/>
      </w:pPr>
    </w:p>
    <w:p w:rsidR="00BC2509" w:rsidRPr="00BC2509" w:rsidRDefault="00BC2509" w:rsidP="00BC2509">
      <w:pPr>
        <w:jc w:val="center"/>
        <w:outlineLvl w:val="0"/>
        <w:rPr>
          <w:rFonts w:cs="Arial"/>
          <w:szCs w:val="20"/>
          <w:lang w:eastAsia="sl-SI"/>
        </w:rPr>
      </w:pPr>
      <w:r w:rsidRPr="00BC2509">
        <w:rPr>
          <w:rFonts w:cs="Arial"/>
          <w:szCs w:val="20"/>
          <w:lang w:eastAsia="sl-SI"/>
        </w:rPr>
        <w:t>8. člen</w:t>
      </w:r>
    </w:p>
    <w:p w:rsidR="00BC2509" w:rsidRPr="00BC2509" w:rsidRDefault="00BC2509" w:rsidP="00BC2509">
      <w:pPr>
        <w:jc w:val="center"/>
        <w:rPr>
          <w:rFonts w:cs="Arial"/>
          <w:szCs w:val="20"/>
          <w:lang w:eastAsia="sl-SI"/>
        </w:rPr>
      </w:pPr>
      <w:r w:rsidRPr="00BC2509">
        <w:rPr>
          <w:rFonts w:cs="Arial"/>
          <w:szCs w:val="20"/>
          <w:lang w:eastAsia="sl-SI"/>
        </w:rPr>
        <w:t>(odvzem rudarske pravice)</w:t>
      </w:r>
    </w:p>
    <w:p w:rsidR="00BF2CDF" w:rsidRDefault="00BF2CDF" w:rsidP="00BF2CDF">
      <w:pPr>
        <w:pStyle w:val="Besedilo"/>
        <w:spacing w:line="260" w:lineRule="exact"/>
        <w:ind w:firstLine="0"/>
      </w:pPr>
    </w:p>
    <w:p w:rsidR="00BC2509" w:rsidRDefault="00BC2509" w:rsidP="00BF2CDF">
      <w:pPr>
        <w:pStyle w:val="Besedilo"/>
        <w:spacing w:line="260" w:lineRule="exact"/>
        <w:ind w:firstLine="0"/>
      </w:pPr>
      <w:r w:rsidRPr="00BC2509">
        <w:t>Rudarska pravica za izkoriščanje se odvzame iz razlogov, ki jih določa zakon, ki ureja rudarstvo, in tako, kot določa zakon, ki ureja rudarstvo.</w:t>
      </w:r>
    </w:p>
    <w:p w:rsidR="00BF2CDF" w:rsidRDefault="00BF2CDF" w:rsidP="00BF2CDF">
      <w:pPr>
        <w:pStyle w:val="Besedilo"/>
        <w:spacing w:line="260" w:lineRule="exact"/>
        <w:ind w:firstLine="0"/>
      </w:pPr>
    </w:p>
    <w:p w:rsidR="00BF2CDF" w:rsidRDefault="00BF2CDF" w:rsidP="00BF2CDF">
      <w:pPr>
        <w:pStyle w:val="Besedilo"/>
        <w:spacing w:line="260" w:lineRule="exact"/>
        <w:ind w:firstLine="0"/>
      </w:pPr>
    </w:p>
    <w:p w:rsidR="00BF2CDF" w:rsidRDefault="00BF2CDF" w:rsidP="00BF2CDF">
      <w:pPr>
        <w:pStyle w:val="Besedilo"/>
        <w:spacing w:line="260" w:lineRule="exact"/>
        <w:ind w:firstLine="0"/>
      </w:pPr>
    </w:p>
    <w:p w:rsidR="00BF2CDF" w:rsidRPr="00BC2509" w:rsidRDefault="00BF2CDF" w:rsidP="00BF2CDF">
      <w:pPr>
        <w:pStyle w:val="Besedilo"/>
        <w:spacing w:line="260" w:lineRule="exact"/>
        <w:ind w:firstLine="0"/>
      </w:pPr>
    </w:p>
    <w:p w:rsidR="00BC2509" w:rsidRPr="00BC2509" w:rsidRDefault="00BC2509" w:rsidP="00BC2509">
      <w:pPr>
        <w:tabs>
          <w:tab w:val="left" w:pos="708"/>
        </w:tabs>
        <w:rPr>
          <w:rFonts w:cs="Arial"/>
          <w:szCs w:val="20"/>
        </w:rPr>
      </w:pPr>
    </w:p>
    <w:p w:rsidR="00BC2509" w:rsidRPr="00BC2509" w:rsidRDefault="00BC2509" w:rsidP="00BC2509">
      <w:pPr>
        <w:jc w:val="center"/>
        <w:outlineLvl w:val="0"/>
        <w:rPr>
          <w:rFonts w:cs="Arial"/>
          <w:szCs w:val="20"/>
          <w:lang w:val="x-none" w:eastAsia="x-none"/>
        </w:rPr>
      </w:pPr>
      <w:r w:rsidRPr="00BC2509">
        <w:rPr>
          <w:rFonts w:cs="Arial"/>
          <w:szCs w:val="20"/>
          <w:lang w:val="x-none" w:eastAsia="x-none"/>
        </w:rPr>
        <w:lastRenderedPageBreak/>
        <w:t>II. MINERALNA SUROVINA, PRIDOBIVALNI PROSTOR IN POGOJI, POD KATERIMI SE PODELJUJE RUDARSKA PRAVICA ZA IZKORIŠČANJE</w:t>
      </w:r>
    </w:p>
    <w:p w:rsidR="00BC2509" w:rsidRPr="00BC2509" w:rsidRDefault="00BC2509" w:rsidP="00BC2509">
      <w:pPr>
        <w:tabs>
          <w:tab w:val="left" w:pos="708"/>
        </w:tabs>
        <w:rPr>
          <w:rFonts w:eastAsia="Calibri" w:cs="Arial"/>
          <w:szCs w:val="20"/>
        </w:rPr>
      </w:pPr>
    </w:p>
    <w:p w:rsidR="00BC2509" w:rsidRPr="00BC2509" w:rsidRDefault="00BC2509" w:rsidP="00BC2509">
      <w:pPr>
        <w:jc w:val="center"/>
        <w:outlineLvl w:val="0"/>
        <w:rPr>
          <w:rFonts w:cs="Arial"/>
          <w:szCs w:val="20"/>
          <w:lang w:eastAsia="sl-SI"/>
        </w:rPr>
      </w:pPr>
      <w:r w:rsidRPr="00BC2509">
        <w:rPr>
          <w:rFonts w:cs="Arial"/>
          <w:szCs w:val="20"/>
          <w:lang w:eastAsia="sl-SI"/>
        </w:rPr>
        <w:t>9. člen</w:t>
      </w:r>
    </w:p>
    <w:p w:rsidR="00BC2509" w:rsidRPr="00BC2509" w:rsidRDefault="00BC2509" w:rsidP="00BC2509">
      <w:pPr>
        <w:jc w:val="center"/>
        <w:rPr>
          <w:rFonts w:cs="Arial"/>
          <w:szCs w:val="20"/>
          <w:lang w:eastAsia="sl-SI"/>
        </w:rPr>
      </w:pPr>
      <w:r w:rsidRPr="00BC2509">
        <w:rPr>
          <w:rFonts w:cs="Arial"/>
          <w:szCs w:val="20"/>
          <w:lang w:eastAsia="sl-SI"/>
        </w:rPr>
        <w:t xml:space="preserve">(izkoriščanje mineralne surovine tehnični kamen – dolomit v pridobivalnem prostoru Hrastje 2 </w:t>
      </w:r>
      <w:r w:rsidR="00E17F57">
        <w:rPr>
          <w:rFonts w:cs="Arial"/>
          <w:szCs w:val="20"/>
        </w:rPr>
        <w:t>v o</w:t>
      </w:r>
      <w:r w:rsidRPr="00BC2509">
        <w:rPr>
          <w:rFonts w:cs="Arial"/>
          <w:szCs w:val="20"/>
        </w:rPr>
        <w:t>bčini Šentjur</w:t>
      </w:r>
      <w:r w:rsidRPr="00BC2509">
        <w:rPr>
          <w:rFonts w:cs="Arial"/>
          <w:szCs w:val="20"/>
          <w:lang w:eastAsia="sl-SI"/>
        </w:rPr>
        <w:t>)</w:t>
      </w:r>
    </w:p>
    <w:p w:rsidR="00BF2CDF" w:rsidRDefault="00BF2CDF" w:rsidP="00BF2CDF">
      <w:pPr>
        <w:pStyle w:val="Besedilo"/>
        <w:spacing w:line="260" w:lineRule="exact"/>
        <w:ind w:firstLine="0"/>
      </w:pPr>
    </w:p>
    <w:p w:rsidR="00BC2509" w:rsidRPr="00BC2509" w:rsidRDefault="00BC2509" w:rsidP="00BF2CDF">
      <w:pPr>
        <w:pStyle w:val="Besedilo"/>
        <w:spacing w:line="260" w:lineRule="exact"/>
        <w:ind w:firstLine="0"/>
        <w:rPr>
          <w:lang w:eastAsia="sl-SI"/>
        </w:rPr>
      </w:pPr>
      <w:r w:rsidRPr="00BC2509">
        <w:rPr>
          <w:lang w:eastAsia="sl-SI"/>
        </w:rPr>
        <w:t xml:space="preserve">(1) Predmet rudarske pravice je izkoriščanje mineralne surovine tehnični kamen </w:t>
      </w:r>
      <w:r w:rsidRPr="00BC2509">
        <w:t xml:space="preserve">– dolomit </w:t>
      </w:r>
      <w:r w:rsidR="00106AA4">
        <w:rPr>
          <w:lang w:eastAsia="sl-SI"/>
        </w:rPr>
        <w:t xml:space="preserve">v količini do 763 </w:t>
      </w:r>
      <w:r w:rsidRPr="00BC2509">
        <w:rPr>
          <w:lang w:eastAsia="sl-SI"/>
        </w:rPr>
        <w:t>480 (sedemsto triinšestdeset tisoč štiristo osemdeset) kubičnih metrov v raščenem stanju.</w:t>
      </w:r>
    </w:p>
    <w:p w:rsidR="00BF2CDF" w:rsidRDefault="00BF2CDF" w:rsidP="00BF2CDF">
      <w:pPr>
        <w:pStyle w:val="Besedilo"/>
        <w:spacing w:line="260" w:lineRule="exact"/>
        <w:ind w:firstLine="0"/>
        <w:rPr>
          <w:lang w:eastAsia="sl-SI"/>
        </w:rPr>
      </w:pPr>
    </w:p>
    <w:p w:rsidR="00BC2509" w:rsidRPr="00BC2509" w:rsidRDefault="00BC2509" w:rsidP="00BF2CDF">
      <w:pPr>
        <w:pStyle w:val="Besedilo"/>
        <w:spacing w:line="260" w:lineRule="exact"/>
        <w:ind w:firstLine="0"/>
        <w:rPr>
          <w:lang w:eastAsia="sl-SI"/>
        </w:rPr>
      </w:pPr>
      <w:r w:rsidRPr="00BC2509">
        <w:rPr>
          <w:lang w:eastAsia="sl-SI"/>
        </w:rPr>
        <w:t>(2) Pridobivalni prostor Hrastje 2</w:t>
      </w:r>
      <w:r w:rsidRPr="00BC2509">
        <w:t xml:space="preserve"> </w:t>
      </w:r>
      <w:r w:rsidRPr="00BC2509">
        <w:rPr>
          <w:lang w:eastAsia="sl-SI"/>
        </w:rPr>
        <w:t>je nov pridobivalni prostor v obsegu iz tretjega in četrtega odstavka tega člena.</w:t>
      </w:r>
    </w:p>
    <w:p w:rsidR="00BF2CDF" w:rsidRDefault="00BF2CDF" w:rsidP="00BC2509">
      <w:pPr>
        <w:tabs>
          <w:tab w:val="left" w:pos="2694"/>
        </w:tabs>
        <w:suppressAutoHyphens/>
        <w:jc w:val="both"/>
        <w:rPr>
          <w:rFonts w:cs="Arial"/>
          <w:szCs w:val="20"/>
          <w:lang w:eastAsia="sl-SI"/>
        </w:rPr>
      </w:pPr>
    </w:p>
    <w:p w:rsidR="00BC2509" w:rsidRPr="00BC2509" w:rsidRDefault="00BC2509" w:rsidP="00BC2509">
      <w:pPr>
        <w:tabs>
          <w:tab w:val="left" w:pos="2694"/>
        </w:tabs>
        <w:suppressAutoHyphens/>
        <w:jc w:val="both"/>
        <w:rPr>
          <w:rFonts w:cs="Arial"/>
          <w:szCs w:val="20"/>
          <w:lang w:eastAsia="sl-SI"/>
        </w:rPr>
      </w:pPr>
      <w:r w:rsidRPr="00BC2509">
        <w:rPr>
          <w:rFonts w:cs="Arial"/>
          <w:szCs w:val="20"/>
          <w:lang w:eastAsia="sl-SI"/>
        </w:rPr>
        <w:t xml:space="preserve">(3) </w:t>
      </w:r>
      <w:bookmarkStart w:id="0" w:name="_Hlk10190796"/>
      <w:r w:rsidRPr="00BC2509">
        <w:rPr>
          <w:rFonts w:cs="Arial"/>
          <w:szCs w:val="20"/>
          <w:lang w:eastAsia="sl-SI"/>
        </w:rPr>
        <w:t>Pridobivalni prostor Hrastje 2 obsega:</w:t>
      </w:r>
    </w:p>
    <w:p w:rsidR="00BC2509" w:rsidRPr="00BC2509" w:rsidRDefault="00BC2509" w:rsidP="00D22E12">
      <w:pPr>
        <w:pStyle w:val="Besedilodash"/>
        <w:tabs>
          <w:tab w:val="clear" w:pos="680"/>
          <w:tab w:val="left" w:pos="708"/>
        </w:tabs>
        <w:spacing w:line="260" w:lineRule="exact"/>
        <w:ind w:left="709" w:hanging="709"/>
        <w:rPr>
          <w:sz w:val="20"/>
          <w:szCs w:val="20"/>
          <w:lang w:eastAsia="sl-SI"/>
        </w:rPr>
      </w:pPr>
      <w:r w:rsidRPr="00BC2509">
        <w:rPr>
          <w:sz w:val="20"/>
          <w:szCs w:val="20"/>
        </w:rPr>
        <w:t>–</w:t>
      </w:r>
      <w:r w:rsidRPr="00BC2509">
        <w:rPr>
          <w:sz w:val="20"/>
          <w:szCs w:val="20"/>
        </w:rPr>
        <w:tab/>
        <w:t>v celoti zemljišča s parcelnimi številkami 231/3, 231/6, 232, 233, 234, 235, 246, 247, 248, 249, 250/1, 257/1, 257/2, 257/3, 257/4, 258/1, 258/2 i</w:t>
      </w:r>
      <w:r w:rsidR="00E17F57">
        <w:rPr>
          <w:sz w:val="20"/>
          <w:szCs w:val="20"/>
        </w:rPr>
        <w:t>n 259, vse k. o. 1154 Dobrina, o</w:t>
      </w:r>
      <w:r w:rsidRPr="00BC2509">
        <w:rPr>
          <w:sz w:val="20"/>
          <w:szCs w:val="20"/>
        </w:rPr>
        <w:t>bčina Šentjur, ter</w:t>
      </w:r>
    </w:p>
    <w:p w:rsidR="00BC2509" w:rsidRPr="00BC2509" w:rsidRDefault="00BC2509" w:rsidP="00D22E12">
      <w:pPr>
        <w:pStyle w:val="Besedilodash"/>
        <w:tabs>
          <w:tab w:val="clear" w:pos="680"/>
          <w:tab w:val="left" w:pos="708"/>
        </w:tabs>
        <w:spacing w:line="260" w:lineRule="exact"/>
        <w:ind w:left="709" w:hanging="709"/>
        <w:rPr>
          <w:sz w:val="20"/>
          <w:szCs w:val="20"/>
        </w:rPr>
      </w:pPr>
      <w:r w:rsidRPr="00BC2509">
        <w:rPr>
          <w:sz w:val="20"/>
          <w:szCs w:val="20"/>
        </w:rPr>
        <w:t>–</w:t>
      </w:r>
      <w:r w:rsidRPr="00BC2509">
        <w:rPr>
          <w:sz w:val="20"/>
          <w:szCs w:val="20"/>
        </w:rPr>
        <w:tab/>
        <w:t>del zemljišča s parcelno šte</w:t>
      </w:r>
      <w:r w:rsidR="00E17F57">
        <w:rPr>
          <w:sz w:val="20"/>
          <w:szCs w:val="20"/>
        </w:rPr>
        <w:t>vilko 241, k. o. 1154 Dobrina, o</w:t>
      </w:r>
      <w:r w:rsidRPr="00BC2509">
        <w:rPr>
          <w:sz w:val="20"/>
          <w:szCs w:val="20"/>
        </w:rPr>
        <w:t>bčina Šentjur, ki leži severno od daljice skozi točki T1 in T2, kjer je točka T1 tromeja zemljišč s parcelnimi številkami 235, 238 in 241, točka T2 pa je točki T1 najbližja lomna točka na parcelni meji med zemljiščema s parcelno številko 231/3 i</w:t>
      </w:r>
      <w:r w:rsidR="00AA2E4A">
        <w:rPr>
          <w:sz w:val="20"/>
          <w:szCs w:val="20"/>
        </w:rPr>
        <w:t>n 241, vse k. o. 1154 Do</w:t>
      </w:r>
      <w:r w:rsidR="00E17F57">
        <w:rPr>
          <w:sz w:val="20"/>
          <w:szCs w:val="20"/>
        </w:rPr>
        <w:t>brina, o</w:t>
      </w:r>
      <w:r w:rsidRPr="00BC2509">
        <w:rPr>
          <w:sz w:val="20"/>
          <w:szCs w:val="20"/>
        </w:rPr>
        <w:t>bčina Šentjur.</w:t>
      </w:r>
      <w:bookmarkEnd w:id="0"/>
    </w:p>
    <w:p w:rsidR="00D22E12" w:rsidRDefault="00D22E12" w:rsidP="00D22E12">
      <w:pPr>
        <w:pStyle w:val="Besedilo"/>
        <w:spacing w:line="260" w:lineRule="exact"/>
        <w:ind w:firstLine="0"/>
        <w:rPr>
          <w:bCs/>
          <w:lang w:eastAsia="sl-SI"/>
        </w:rPr>
      </w:pPr>
    </w:p>
    <w:p w:rsidR="00BC2509" w:rsidRPr="00BC2509" w:rsidRDefault="00BC2509" w:rsidP="00D22E12">
      <w:pPr>
        <w:pStyle w:val="Besedilo"/>
        <w:spacing w:line="260" w:lineRule="exact"/>
        <w:ind w:firstLine="0"/>
        <w:rPr>
          <w:bCs/>
          <w:lang w:eastAsia="sl-SI"/>
        </w:rPr>
      </w:pPr>
      <w:r w:rsidRPr="00BC2509">
        <w:rPr>
          <w:bCs/>
          <w:lang w:eastAsia="sl-SI"/>
        </w:rPr>
        <w:t>(4) Pridobivalni prostor Hrastje 2 v najglobljem delu sega do nadmorske višine +344 metrov.</w:t>
      </w:r>
    </w:p>
    <w:p w:rsidR="00D22E12" w:rsidRDefault="00D22E12" w:rsidP="00D22E12">
      <w:pPr>
        <w:pStyle w:val="Besedilo"/>
        <w:spacing w:line="260" w:lineRule="exact"/>
        <w:ind w:firstLine="0"/>
      </w:pPr>
    </w:p>
    <w:p w:rsidR="00BC2509" w:rsidRPr="00BC2509" w:rsidRDefault="00BC2509" w:rsidP="00D22E12">
      <w:pPr>
        <w:pStyle w:val="Besedilo"/>
        <w:spacing w:line="260" w:lineRule="exact"/>
        <w:ind w:firstLine="0"/>
      </w:pPr>
      <w:r w:rsidRPr="00BC2509">
        <w:t>(5) Skupna površina pridobivalnega prostora Hrastje 2 je</w:t>
      </w:r>
      <w:r w:rsidRPr="00BC2509">
        <w:rPr>
          <w:bCs/>
          <w:lang w:eastAsia="sl-SI"/>
        </w:rPr>
        <w:t xml:space="preserve"> 6,2094 hektarja.</w:t>
      </w:r>
    </w:p>
    <w:p w:rsidR="00D22E12" w:rsidRDefault="00D22E12" w:rsidP="00D22E12">
      <w:pPr>
        <w:pStyle w:val="Besedilo"/>
        <w:spacing w:line="260" w:lineRule="exact"/>
        <w:ind w:firstLine="0"/>
      </w:pPr>
    </w:p>
    <w:p w:rsidR="00BC2509" w:rsidRPr="00BC2509" w:rsidRDefault="00BC2509" w:rsidP="00D22E12">
      <w:pPr>
        <w:pStyle w:val="Besedilo"/>
        <w:spacing w:line="260" w:lineRule="exact"/>
        <w:ind w:firstLine="0"/>
        <w:rPr>
          <w:color w:val="FF0000"/>
        </w:rPr>
      </w:pPr>
      <w:r w:rsidRPr="00BC2509">
        <w:t>(6) Koncesija za izkoriščanje se podeli za 27 let. Podaljšanje rudarske pravice in koncesije se lahko izvede v skladu z zakonom, ki ureja rudarstvo.</w:t>
      </w:r>
    </w:p>
    <w:p w:rsidR="00D22E12" w:rsidRDefault="00D22E12" w:rsidP="00D22E12">
      <w:pPr>
        <w:pStyle w:val="Besedilo"/>
        <w:spacing w:line="260" w:lineRule="exact"/>
        <w:ind w:firstLine="0"/>
        <w:rPr>
          <w:bCs/>
        </w:rPr>
      </w:pPr>
    </w:p>
    <w:p w:rsidR="00BC2509" w:rsidRPr="00BC2509" w:rsidRDefault="00BC2509" w:rsidP="00D22E12">
      <w:pPr>
        <w:pStyle w:val="Besedilo"/>
        <w:spacing w:line="260" w:lineRule="exact"/>
        <w:ind w:firstLine="0"/>
      </w:pPr>
      <w:r w:rsidRPr="00BC2509">
        <w:rPr>
          <w:bCs/>
        </w:rPr>
        <w:t xml:space="preserve">(7) </w:t>
      </w:r>
      <w:r w:rsidRPr="00BC2509">
        <w:t xml:space="preserve">Rudarska pravica za izkoriščanje se podeli brez javnega razpisa samostojni podjetnici posameznici LIO, storitve in posredništvo, Leja Škoberne s. p., Cesta pod Rifnikom 22, </w:t>
      </w:r>
      <w:r w:rsidR="00D22E12">
        <w:br/>
      </w:r>
      <w:r w:rsidRPr="00BC2509">
        <w:t>3230 Šentjur, matična številka 3551318000, davčna številka SI 64183670. Rudarska pravica se podeli z dnem sklenitve koncesijske pogodbe. O podelitvi rudarske pravice se izda odločba o izbiri nosilca rudarske pravice v skladu z zakonom, ki ureja rudarstvo.</w:t>
      </w:r>
    </w:p>
    <w:p w:rsidR="00D22E12" w:rsidRDefault="00D22E12" w:rsidP="00D22E12">
      <w:pPr>
        <w:pStyle w:val="Besedilo"/>
        <w:spacing w:line="260" w:lineRule="exact"/>
        <w:ind w:firstLine="0"/>
        <w:rPr>
          <w:lang w:eastAsia="sl-SI"/>
        </w:rPr>
      </w:pPr>
    </w:p>
    <w:p w:rsidR="00BC2509" w:rsidRPr="00BC2509" w:rsidRDefault="00BC2509" w:rsidP="00D22E12">
      <w:pPr>
        <w:pStyle w:val="Besedilo"/>
        <w:spacing w:line="260" w:lineRule="exact"/>
        <w:ind w:firstLine="0"/>
        <w:rPr>
          <w:lang w:eastAsia="sl-SI"/>
        </w:rPr>
      </w:pPr>
      <w:r w:rsidRPr="00BC2509">
        <w:rPr>
          <w:lang w:eastAsia="sl-SI"/>
        </w:rPr>
        <w:t>(8) Drugi pogoji s področja varstva okolja, ohranjanja narave, varstva voda, varstva kulturne dediščine, varstva pred naravnimi in drugimi nesrečami ter druge obveznosti, ki jih je treba izpolniti pred sklenitvijo koncesijske pogodbe in pri izvajanju rudarske pravice, so:</w:t>
      </w:r>
    </w:p>
    <w:p w:rsidR="00BC2509" w:rsidRPr="00BC2509" w:rsidRDefault="00BC2509" w:rsidP="00D22E12">
      <w:pPr>
        <w:numPr>
          <w:ilvl w:val="0"/>
          <w:numId w:val="18"/>
        </w:numPr>
        <w:ind w:left="709" w:hanging="709"/>
        <w:jc w:val="both"/>
        <w:rPr>
          <w:rFonts w:cs="Arial"/>
          <w:szCs w:val="20"/>
          <w:lang w:eastAsia="sl-SI"/>
        </w:rPr>
      </w:pPr>
      <w:r w:rsidRPr="00BC2509">
        <w:rPr>
          <w:rFonts w:cs="Arial"/>
          <w:szCs w:val="20"/>
          <w:lang w:eastAsia="sl-SI"/>
        </w:rPr>
        <w:t>revidirani rudarski projekt za pridobitev koncesije za izkoriščanje, ki ga je treba priložiti k predlogu za sklenitev koncesijske pogodbe, mora biti izdelan v skladu z zakonom o rudarstvu, na njegovi podlagi izdanimi predpisi in to uredbo;</w:t>
      </w:r>
    </w:p>
    <w:p w:rsidR="00BC2509" w:rsidRPr="00BC2509" w:rsidRDefault="00BC2509" w:rsidP="00D22E12">
      <w:pPr>
        <w:numPr>
          <w:ilvl w:val="0"/>
          <w:numId w:val="18"/>
        </w:numPr>
        <w:ind w:left="709" w:hanging="709"/>
        <w:jc w:val="both"/>
        <w:rPr>
          <w:rFonts w:cs="Arial"/>
          <w:szCs w:val="20"/>
          <w:lang w:eastAsia="sl-SI"/>
        </w:rPr>
      </w:pPr>
      <w:r w:rsidRPr="00BC2509">
        <w:rPr>
          <w:rFonts w:cs="Arial"/>
          <w:szCs w:val="20"/>
          <w:lang w:eastAsia="sl-SI"/>
        </w:rPr>
        <w:t>revidirani rudarski projekt iz prejšnje točke mora biti izdelan tako, da sta pridobivalni prostor in njegova raba v skladu z dokumenti urejanja prostora. Potrdilo o skladnosti pridobivalnega prostora in njegove rabe z dokumenti o urejanju prostora pred potrditvijo revidiranega rudarskega projekta pridobi ministrstvo, pristojno za rudarstvo, po uradni dolžnosti;</w:t>
      </w:r>
    </w:p>
    <w:p w:rsidR="00BC2509" w:rsidRPr="00BC2509" w:rsidRDefault="00BC2509" w:rsidP="00D22E12">
      <w:pPr>
        <w:numPr>
          <w:ilvl w:val="0"/>
          <w:numId w:val="18"/>
        </w:numPr>
        <w:ind w:left="709" w:hanging="709"/>
        <w:jc w:val="both"/>
        <w:rPr>
          <w:rFonts w:cs="Arial"/>
          <w:szCs w:val="20"/>
          <w:lang w:eastAsia="sl-SI"/>
        </w:rPr>
      </w:pPr>
      <w:r w:rsidRPr="00BC2509">
        <w:rPr>
          <w:rFonts w:cs="Arial"/>
          <w:szCs w:val="20"/>
          <w:lang w:eastAsia="sl-SI"/>
        </w:rPr>
        <w:t>revidirani rudarski projekt iz točke a) tega odstavka mora vsebovati soglasja ali dovoljenja pristojnih soglasodajalcev in dovoljenja v skladu s predpisi, ki urejajo ceste, vode, naravo, naravne vrednote, kulturno dediščino in drugo.</w:t>
      </w:r>
    </w:p>
    <w:p w:rsidR="00D22E12" w:rsidRDefault="00D22E12" w:rsidP="00D22E12">
      <w:pPr>
        <w:pStyle w:val="Besedilo"/>
        <w:spacing w:line="260" w:lineRule="exact"/>
        <w:ind w:firstLine="0"/>
      </w:pPr>
    </w:p>
    <w:p w:rsidR="00BC2509" w:rsidRPr="00BC2509" w:rsidRDefault="00BC2509" w:rsidP="00D22E12">
      <w:pPr>
        <w:pStyle w:val="Besedilo"/>
        <w:spacing w:line="260" w:lineRule="exact"/>
        <w:ind w:firstLine="0"/>
      </w:pPr>
      <w:r w:rsidRPr="00BC2509">
        <w:lastRenderedPageBreak/>
        <w:t>(9)</w:t>
      </w:r>
      <w:bookmarkStart w:id="1" w:name="_GoBack"/>
      <w:bookmarkEnd w:id="1"/>
      <w:r w:rsidRPr="00BC2509">
        <w:t xml:space="preserve"> K revidiranemu rudarskemu projektu iz prejšnjega odstavka ni treba pridobiti okoljevarstvenega soglasja ali sklepa v predhodnem postopku na podlagi predpisa, ki ureja presojo vplivov na okolje.</w:t>
      </w:r>
    </w:p>
    <w:p w:rsidR="00D22E12" w:rsidRDefault="00D22E12" w:rsidP="00D22E12">
      <w:pPr>
        <w:pStyle w:val="Besedilo"/>
        <w:spacing w:line="260" w:lineRule="exact"/>
        <w:ind w:firstLine="0"/>
      </w:pPr>
    </w:p>
    <w:p w:rsidR="00BC2509" w:rsidRPr="00BC2509" w:rsidRDefault="00BC2509" w:rsidP="00D22E12">
      <w:pPr>
        <w:pStyle w:val="Besedilo"/>
        <w:spacing w:line="260" w:lineRule="exact"/>
        <w:ind w:firstLine="0"/>
      </w:pPr>
      <w:r w:rsidRPr="00BC2509">
        <w:t>(10) Pridobivalni prostor se sanira v skladu s potrjenim rudarskim projektom iz osmega odstavka tega člena. Pred popolno in trajno opustitvijo izvajanja rudarskih del mora nosilec rudarske pravice za izkoriščanje pri ministrstvu, pristojnem za rudarstvo, vložiti vlogo za izdajo dovoljenja za opustitev rudarskih del.</w:t>
      </w:r>
    </w:p>
    <w:p w:rsidR="00D22E12" w:rsidRDefault="00D22E12" w:rsidP="00D22E12">
      <w:pPr>
        <w:pStyle w:val="Besedilo"/>
        <w:spacing w:line="260" w:lineRule="exact"/>
        <w:ind w:firstLine="0"/>
      </w:pPr>
    </w:p>
    <w:p w:rsidR="00BC2509" w:rsidRPr="00BC2509" w:rsidRDefault="00BC2509" w:rsidP="00D22E12">
      <w:pPr>
        <w:pStyle w:val="Besedilo"/>
        <w:spacing w:line="260" w:lineRule="exact"/>
        <w:ind w:firstLine="0"/>
      </w:pPr>
      <w:r w:rsidRPr="00BC2509">
        <w:t xml:space="preserve">(11) </w:t>
      </w:r>
      <w:proofErr w:type="spellStart"/>
      <w:r w:rsidRPr="00BC2509">
        <w:t>Rekultivacija</w:t>
      </w:r>
      <w:proofErr w:type="spellEnd"/>
      <w:r w:rsidRPr="00BC2509">
        <w:t xml:space="preserve"> površinskega kopa se izvaja z lastno jalovino in </w:t>
      </w:r>
      <w:proofErr w:type="spellStart"/>
      <w:r w:rsidRPr="00BC2509">
        <w:t>odkrivko</w:t>
      </w:r>
      <w:proofErr w:type="spellEnd"/>
      <w:r w:rsidRPr="00BC2509">
        <w:t xml:space="preserve">. Če lastne </w:t>
      </w:r>
      <w:proofErr w:type="spellStart"/>
      <w:r w:rsidRPr="00BC2509">
        <w:t>odkrivke</w:t>
      </w:r>
      <w:proofErr w:type="spellEnd"/>
      <w:r w:rsidRPr="00BC2509">
        <w:t xml:space="preserve"> ni dovolj ali njena kakovost ne omogoča izvedbe </w:t>
      </w:r>
      <w:proofErr w:type="spellStart"/>
      <w:r w:rsidRPr="00BC2509">
        <w:t>renaturacije</w:t>
      </w:r>
      <w:proofErr w:type="spellEnd"/>
      <w:r w:rsidRPr="00BC2509">
        <w:t xml:space="preserve">, se </w:t>
      </w:r>
      <w:proofErr w:type="spellStart"/>
      <w:r w:rsidRPr="00BC2509">
        <w:t>rekultivacija</w:t>
      </w:r>
      <w:proofErr w:type="spellEnd"/>
      <w:r w:rsidRPr="00BC2509">
        <w:t xml:space="preserve"> lahko izvede tudi z zemeljskim izkopom ali umetno pripravljeno zemljino z upoštevanjem predpisa, ki ureja obremenjevanje tal z vnašanjem odpadkov.</w:t>
      </w:r>
    </w:p>
    <w:p w:rsidR="00D22E12" w:rsidRDefault="00D22E12" w:rsidP="00D22E12">
      <w:pPr>
        <w:pStyle w:val="Besedilo"/>
        <w:spacing w:line="260" w:lineRule="exact"/>
        <w:ind w:firstLine="0"/>
      </w:pPr>
    </w:p>
    <w:p w:rsidR="00BC2509" w:rsidRPr="00BC2509" w:rsidRDefault="00BC2509" w:rsidP="00D22E12">
      <w:pPr>
        <w:pStyle w:val="Besedilo"/>
        <w:spacing w:line="260" w:lineRule="exact"/>
        <w:ind w:firstLine="0"/>
      </w:pPr>
      <w:r w:rsidRPr="00BC2509">
        <w:t>(12) V zvezi z mineralno surovino iz prvega odstavka tega člena se lahko opravljajo naslednje dejavnosti:</w:t>
      </w:r>
    </w:p>
    <w:p w:rsidR="00BC2509" w:rsidRPr="00BC2509" w:rsidRDefault="00BC2509" w:rsidP="00D22E12">
      <w:pPr>
        <w:pStyle w:val="Besedilo"/>
        <w:spacing w:line="260" w:lineRule="exact"/>
        <w:ind w:left="709" w:hanging="709"/>
      </w:pPr>
      <w:r w:rsidRPr="00BC2509">
        <w:t>– </w:t>
      </w:r>
      <w:r w:rsidR="00D22E12">
        <w:tab/>
      </w:r>
      <w:r w:rsidRPr="00BC2509">
        <w:t>pridobivanje mineralne surovine,</w:t>
      </w:r>
    </w:p>
    <w:p w:rsidR="00BC2509" w:rsidRPr="00BC2509" w:rsidRDefault="00BC2509" w:rsidP="00D22E12">
      <w:pPr>
        <w:pStyle w:val="Besedilo"/>
        <w:spacing w:line="260" w:lineRule="exact"/>
        <w:ind w:left="709" w:hanging="709"/>
      </w:pPr>
      <w:r w:rsidRPr="00BC2509">
        <w:t>– </w:t>
      </w:r>
      <w:r w:rsidR="00D22E12">
        <w:tab/>
      </w:r>
      <w:r w:rsidRPr="00BC2509">
        <w:t>skladiščenje in obogatitev mineralne surovine,</w:t>
      </w:r>
    </w:p>
    <w:p w:rsidR="00BC2509" w:rsidRPr="00BC2509" w:rsidRDefault="00BC2509" w:rsidP="00D22E12">
      <w:pPr>
        <w:pStyle w:val="Besedilo"/>
        <w:spacing w:line="260" w:lineRule="exact"/>
        <w:ind w:left="709" w:hanging="709"/>
      </w:pPr>
      <w:r w:rsidRPr="00BC2509">
        <w:t>– </w:t>
      </w:r>
      <w:r w:rsidR="00D22E12">
        <w:tab/>
      </w:r>
      <w:r w:rsidRPr="00BC2509">
        <w:t>uporaba mineralne surovine in proizvodov njene obogatitve za lastne potrebe in prodajo na trgu ter</w:t>
      </w:r>
    </w:p>
    <w:p w:rsidR="00BC2509" w:rsidRPr="00BC2509" w:rsidRDefault="00BC2509" w:rsidP="00D22E12">
      <w:pPr>
        <w:pStyle w:val="Besedilo"/>
        <w:spacing w:line="260" w:lineRule="exact"/>
        <w:ind w:left="709" w:hanging="709"/>
      </w:pPr>
      <w:r w:rsidRPr="00BC2509">
        <w:t>– </w:t>
      </w:r>
      <w:r w:rsidR="00D22E12">
        <w:tab/>
      </w:r>
      <w:r w:rsidRPr="00BC2509">
        <w:t>opustitev izkoriščanja oziroma sanacija okolja in odprava posledic, nastalih pri izvajanju rudarskih del, izvedba ukrepov zavarovanja, da se preprečijo nevarnost za zdravje ali življenje ljudi in živali, ter mogoči povzročitelji onesnaževanja okolja oziroma predvidljive škode na objektih in okolju.</w:t>
      </w:r>
    </w:p>
    <w:p w:rsidR="00BC2509" w:rsidRDefault="00BC2509" w:rsidP="00BC2509">
      <w:pPr>
        <w:pStyle w:val="Besedilo"/>
        <w:spacing w:line="260" w:lineRule="exact"/>
        <w:rPr>
          <w:i/>
          <w:iCs/>
          <w:lang w:eastAsia="sl-SI"/>
        </w:rPr>
      </w:pPr>
      <w:r w:rsidRPr="00BC2509">
        <w:rPr>
          <w:i/>
          <w:iCs/>
          <w:lang w:eastAsia="sl-SI"/>
        </w:rPr>
        <w:t xml:space="preserve"> </w:t>
      </w:r>
    </w:p>
    <w:p w:rsidR="00D22E12" w:rsidRPr="00BC2509" w:rsidRDefault="00D22E12" w:rsidP="00BC2509">
      <w:pPr>
        <w:pStyle w:val="Besedilo"/>
        <w:spacing w:line="260" w:lineRule="exact"/>
      </w:pPr>
    </w:p>
    <w:p w:rsidR="00BC2509" w:rsidRPr="00BC2509" w:rsidRDefault="00BC2509" w:rsidP="00BC2509">
      <w:pPr>
        <w:jc w:val="center"/>
        <w:outlineLvl w:val="0"/>
        <w:rPr>
          <w:rFonts w:cs="Arial"/>
          <w:szCs w:val="20"/>
          <w:lang w:eastAsia="x-none"/>
        </w:rPr>
      </w:pPr>
      <w:r w:rsidRPr="00BC2509">
        <w:rPr>
          <w:rFonts w:cs="Arial"/>
          <w:szCs w:val="20"/>
          <w:lang w:val="x-none" w:eastAsia="x-none"/>
        </w:rPr>
        <w:t>I</w:t>
      </w:r>
      <w:r w:rsidRPr="00BC2509">
        <w:rPr>
          <w:rFonts w:cs="Arial"/>
          <w:szCs w:val="20"/>
          <w:lang w:eastAsia="x-none"/>
        </w:rPr>
        <w:t>II</w:t>
      </w:r>
      <w:r w:rsidRPr="00BC2509">
        <w:rPr>
          <w:rFonts w:cs="Arial"/>
          <w:szCs w:val="20"/>
          <w:lang w:val="x-none" w:eastAsia="x-none"/>
        </w:rPr>
        <w:t>.</w:t>
      </w:r>
      <w:r w:rsidRPr="00BC2509">
        <w:rPr>
          <w:rFonts w:cs="Arial"/>
          <w:szCs w:val="20"/>
          <w:lang w:eastAsia="x-none"/>
        </w:rPr>
        <w:t> </w:t>
      </w:r>
      <w:r w:rsidRPr="00BC2509">
        <w:rPr>
          <w:rFonts w:cs="Arial"/>
          <w:szCs w:val="20"/>
        </w:rPr>
        <w:t>KONČNI DOLOČBI</w:t>
      </w:r>
    </w:p>
    <w:p w:rsidR="00BC2509" w:rsidRPr="00BC2509" w:rsidRDefault="00BC2509" w:rsidP="00BC2509">
      <w:pPr>
        <w:rPr>
          <w:rFonts w:cs="Arial"/>
          <w:szCs w:val="20"/>
          <w:lang w:eastAsia="sl-SI"/>
        </w:rPr>
      </w:pPr>
    </w:p>
    <w:p w:rsidR="00BC2509" w:rsidRPr="00BC2509" w:rsidRDefault="00BC2509" w:rsidP="00BC2509">
      <w:pPr>
        <w:jc w:val="center"/>
        <w:outlineLvl w:val="0"/>
        <w:rPr>
          <w:rFonts w:cs="Arial"/>
          <w:szCs w:val="20"/>
          <w:lang w:eastAsia="sl-SI"/>
        </w:rPr>
      </w:pPr>
      <w:r w:rsidRPr="00BC2509">
        <w:rPr>
          <w:rFonts w:cs="Arial"/>
          <w:szCs w:val="20"/>
          <w:lang w:eastAsia="sl-SI"/>
        </w:rPr>
        <w:t>10. člen</w:t>
      </w:r>
    </w:p>
    <w:p w:rsidR="00BC2509" w:rsidRPr="00BC2509" w:rsidRDefault="00BC2509" w:rsidP="00BC2509">
      <w:pPr>
        <w:jc w:val="center"/>
        <w:rPr>
          <w:rFonts w:cs="Arial"/>
          <w:szCs w:val="20"/>
          <w:lang w:eastAsia="sl-SI"/>
        </w:rPr>
      </w:pPr>
      <w:r w:rsidRPr="00BC2509">
        <w:rPr>
          <w:rFonts w:cs="Arial"/>
          <w:szCs w:val="20"/>
          <w:lang w:eastAsia="sl-SI"/>
        </w:rPr>
        <w:t>(prenehanje veljavnosti)</w:t>
      </w:r>
    </w:p>
    <w:p w:rsidR="00BC2509" w:rsidRPr="00BC2509" w:rsidRDefault="00BC2509" w:rsidP="00BC2509">
      <w:pPr>
        <w:rPr>
          <w:rFonts w:cs="Arial"/>
          <w:szCs w:val="20"/>
          <w:lang w:eastAsia="sl-SI"/>
        </w:rPr>
      </w:pPr>
    </w:p>
    <w:p w:rsidR="00BC2509" w:rsidRPr="00BC2509" w:rsidRDefault="00BC2509" w:rsidP="00BC2509">
      <w:pPr>
        <w:jc w:val="both"/>
        <w:rPr>
          <w:rFonts w:eastAsia="Calibri" w:cs="Arial"/>
          <w:szCs w:val="20"/>
        </w:rPr>
      </w:pPr>
      <w:r w:rsidRPr="00BC2509">
        <w:rPr>
          <w:rFonts w:cs="Arial"/>
          <w:szCs w:val="20"/>
          <w:lang w:eastAsia="sl-SI"/>
        </w:rPr>
        <w:t xml:space="preserve">Z dnem uveljavitve te uredbe preneha veljati 61. točka iz priloge »Seznam pravnih in fizičnih oseb po drugem odstavku 2. člena uredbe izkoriščanje mineralnih surovin« Uredbe o podelitvi rudarske pravice imetnikom dovoljenj za raziskovanje oziroma pridobivanje mineralnih surovin (Uradni list RS, št. 103/00, 81/02, 26/18, 60/18, 62/19, 97/20, 124/20, 152/20, 168/20, 191/20, 22/21, 31/21, 31/21, 54/21, 74/21 in 87/21). </w:t>
      </w:r>
    </w:p>
    <w:p w:rsidR="00BC2509" w:rsidRDefault="00BC2509" w:rsidP="00BC2509">
      <w:pPr>
        <w:jc w:val="both"/>
        <w:rPr>
          <w:rFonts w:cs="Arial"/>
          <w:szCs w:val="20"/>
        </w:rPr>
      </w:pPr>
    </w:p>
    <w:p w:rsidR="00D22E12" w:rsidRPr="00BC2509" w:rsidRDefault="00D22E12" w:rsidP="00BC2509">
      <w:pPr>
        <w:jc w:val="both"/>
        <w:rPr>
          <w:rFonts w:cs="Arial"/>
          <w:szCs w:val="20"/>
        </w:rPr>
      </w:pPr>
    </w:p>
    <w:p w:rsidR="00BC2509" w:rsidRPr="00BC2509" w:rsidRDefault="00BC2509" w:rsidP="00BC2509">
      <w:pPr>
        <w:jc w:val="center"/>
        <w:outlineLvl w:val="0"/>
        <w:rPr>
          <w:rFonts w:cs="Arial"/>
          <w:szCs w:val="20"/>
          <w:lang w:eastAsia="sl-SI"/>
        </w:rPr>
      </w:pPr>
      <w:r w:rsidRPr="00BC2509">
        <w:rPr>
          <w:rFonts w:cs="Arial"/>
          <w:szCs w:val="20"/>
          <w:lang w:eastAsia="sl-SI"/>
        </w:rPr>
        <w:t>11. člen</w:t>
      </w:r>
    </w:p>
    <w:p w:rsidR="00BC2509" w:rsidRPr="00BC2509" w:rsidRDefault="00BC2509" w:rsidP="00BC2509">
      <w:pPr>
        <w:jc w:val="center"/>
        <w:rPr>
          <w:rFonts w:cs="Arial"/>
          <w:szCs w:val="20"/>
          <w:lang w:eastAsia="sl-SI"/>
        </w:rPr>
      </w:pPr>
      <w:r w:rsidRPr="00BC2509">
        <w:rPr>
          <w:rFonts w:cs="Arial"/>
          <w:szCs w:val="20"/>
          <w:lang w:eastAsia="sl-SI"/>
        </w:rPr>
        <w:t>(začetek veljavnosti)</w:t>
      </w:r>
    </w:p>
    <w:p w:rsidR="00BC2509" w:rsidRPr="00BC2509" w:rsidRDefault="00BC2509" w:rsidP="00BC2509">
      <w:pPr>
        <w:ind w:right="-476"/>
        <w:rPr>
          <w:rFonts w:cs="Arial"/>
          <w:snapToGrid w:val="0"/>
          <w:szCs w:val="20"/>
          <w:lang w:eastAsia="sl-SI"/>
        </w:rPr>
      </w:pPr>
    </w:p>
    <w:p w:rsidR="00BC2509" w:rsidRPr="00BC2509" w:rsidRDefault="00BC2509" w:rsidP="00BC2509">
      <w:pPr>
        <w:ind w:right="-476"/>
        <w:rPr>
          <w:rFonts w:cs="Arial"/>
          <w:snapToGrid w:val="0"/>
          <w:szCs w:val="20"/>
          <w:lang w:eastAsia="sl-SI"/>
        </w:rPr>
      </w:pPr>
      <w:r w:rsidRPr="00BC2509">
        <w:rPr>
          <w:rFonts w:cs="Arial"/>
          <w:snapToGrid w:val="0"/>
          <w:szCs w:val="20"/>
          <w:lang w:eastAsia="sl-SI"/>
        </w:rPr>
        <w:t>Ta uredba začne veljati naslednji dan po objavi v Uradnem listu Republike Slovenije.</w:t>
      </w:r>
    </w:p>
    <w:p w:rsidR="00E267D2" w:rsidRDefault="00E267D2" w:rsidP="00BC2509">
      <w:pPr>
        <w:pStyle w:val="podpisi"/>
        <w:rPr>
          <w:rFonts w:cs="Arial"/>
          <w:snapToGrid w:val="0"/>
          <w:szCs w:val="20"/>
          <w:lang w:val="sl-SI" w:eastAsia="sl-SI"/>
        </w:rPr>
      </w:pPr>
    </w:p>
    <w:p w:rsidR="00D22E12" w:rsidRPr="00BC2509" w:rsidRDefault="00D22E12" w:rsidP="00BC2509">
      <w:pPr>
        <w:pStyle w:val="podpisi"/>
        <w:rPr>
          <w:rFonts w:cs="Arial"/>
          <w:bCs/>
          <w:szCs w:val="20"/>
          <w:lang w:val="sl-SI"/>
        </w:rPr>
      </w:pPr>
    </w:p>
    <w:p w:rsidR="00E267D2" w:rsidRPr="00BC2509" w:rsidRDefault="00E267D2" w:rsidP="00BC2509">
      <w:pPr>
        <w:pStyle w:val="podpisi"/>
        <w:rPr>
          <w:rFonts w:cs="Arial"/>
          <w:bCs/>
          <w:szCs w:val="20"/>
          <w:lang w:val="sl-SI"/>
        </w:rPr>
      </w:pPr>
    </w:p>
    <w:p w:rsidR="00F2122E" w:rsidRPr="00BC2509" w:rsidRDefault="00F2122E" w:rsidP="00BC2509">
      <w:pPr>
        <w:shd w:val="clear" w:color="auto" w:fill="FFFFFF"/>
        <w:rPr>
          <w:rFonts w:eastAsiaTheme="minorHAnsi" w:cs="Arial"/>
          <w:bCs/>
          <w:color w:val="000000"/>
          <w:szCs w:val="20"/>
        </w:rPr>
      </w:pPr>
      <w:r w:rsidRPr="00BC2509">
        <w:rPr>
          <w:rFonts w:cs="Arial"/>
          <w:color w:val="000000"/>
          <w:szCs w:val="20"/>
          <w:lang w:eastAsia="sl-SI"/>
        </w:rPr>
        <w:t xml:space="preserve">Št. </w:t>
      </w:r>
      <w:r w:rsidR="00BC2509" w:rsidRPr="00BC2509">
        <w:rPr>
          <w:rFonts w:cs="Arial"/>
          <w:color w:val="000000"/>
          <w:szCs w:val="20"/>
        </w:rPr>
        <w:t>00710-2/2022</w:t>
      </w:r>
    </w:p>
    <w:p w:rsidR="00F2122E" w:rsidRPr="00BC2509" w:rsidRDefault="00DC131D" w:rsidP="00BC2509">
      <w:pPr>
        <w:shd w:val="clear" w:color="auto" w:fill="FFFFFF"/>
        <w:rPr>
          <w:rFonts w:cs="Arial"/>
          <w:color w:val="000000"/>
          <w:szCs w:val="20"/>
          <w:lang w:eastAsia="sl-SI"/>
        </w:rPr>
      </w:pPr>
      <w:r w:rsidRPr="00BC2509">
        <w:rPr>
          <w:rFonts w:cs="Arial"/>
          <w:color w:val="000000"/>
          <w:szCs w:val="20"/>
          <w:lang w:eastAsia="sl-SI"/>
        </w:rPr>
        <w:t>Ljubljana, dne 13</w:t>
      </w:r>
      <w:r w:rsidR="00F2122E" w:rsidRPr="00BC2509">
        <w:rPr>
          <w:rFonts w:cs="Arial"/>
          <w:color w:val="000000"/>
          <w:szCs w:val="20"/>
          <w:lang w:eastAsia="sl-SI"/>
        </w:rPr>
        <w:t xml:space="preserve">. </w:t>
      </w:r>
      <w:r w:rsidRPr="00BC2509">
        <w:rPr>
          <w:rFonts w:cs="Arial"/>
          <w:color w:val="000000"/>
          <w:szCs w:val="20"/>
          <w:lang w:eastAsia="sl-SI"/>
        </w:rPr>
        <w:t>januarja 2022</w:t>
      </w:r>
    </w:p>
    <w:p w:rsidR="00F2122E" w:rsidRPr="00BC2509" w:rsidRDefault="00F2122E" w:rsidP="00BC2509">
      <w:pPr>
        <w:shd w:val="clear" w:color="auto" w:fill="FFFFFF"/>
        <w:rPr>
          <w:rFonts w:cs="Arial"/>
          <w:color w:val="000000"/>
          <w:szCs w:val="20"/>
          <w:lang w:eastAsia="sl-SI"/>
        </w:rPr>
      </w:pPr>
      <w:r w:rsidRPr="00BC2509">
        <w:rPr>
          <w:rFonts w:cs="Arial"/>
          <w:color w:val="000000"/>
          <w:szCs w:val="20"/>
          <w:lang w:eastAsia="sl-SI"/>
        </w:rPr>
        <w:t xml:space="preserve">EVA </w:t>
      </w:r>
      <w:r w:rsidR="00BC2509" w:rsidRPr="00BC2509">
        <w:rPr>
          <w:rFonts w:cs="Arial"/>
          <w:color w:val="000000"/>
          <w:szCs w:val="20"/>
        </w:rPr>
        <w:t>2021-2430-0129</w:t>
      </w:r>
    </w:p>
    <w:p w:rsidR="00A22003" w:rsidRPr="00BC2509" w:rsidRDefault="00A22003" w:rsidP="00BC2509">
      <w:pPr>
        <w:autoSpaceDE w:val="0"/>
        <w:autoSpaceDN w:val="0"/>
        <w:adjustRightInd w:val="0"/>
        <w:ind w:left="3402" w:right="567"/>
        <w:jc w:val="both"/>
        <w:rPr>
          <w:rFonts w:cs="Arial"/>
          <w:szCs w:val="20"/>
        </w:rPr>
      </w:pPr>
    </w:p>
    <w:p w:rsidR="0029145E" w:rsidRPr="00BC2509" w:rsidRDefault="0029145E" w:rsidP="00BC2509">
      <w:pPr>
        <w:autoSpaceDE w:val="0"/>
        <w:autoSpaceDN w:val="0"/>
        <w:adjustRightInd w:val="0"/>
        <w:ind w:left="3402" w:right="567"/>
        <w:jc w:val="both"/>
        <w:rPr>
          <w:rFonts w:cs="Arial"/>
          <w:szCs w:val="20"/>
        </w:rPr>
      </w:pPr>
    </w:p>
    <w:p w:rsidR="00A22003" w:rsidRPr="00BC2509" w:rsidRDefault="00A22003" w:rsidP="00BC2509">
      <w:pPr>
        <w:autoSpaceDE w:val="0"/>
        <w:autoSpaceDN w:val="0"/>
        <w:adjustRightInd w:val="0"/>
        <w:ind w:left="3402" w:right="567"/>
        <w:jc w:val="both"/>
        <w:rPr>
          <w:rFonts w:cs="Arial"/>
          <w:szCs w:val="20"/>
        </w:rPr>
      </w:pPr>
      <w:r w:rsidRPr="00BC2509">
        <w:rPr>
          <w:rFonts w:cs="Arial"/>
          <w:szCs w:val="20"/>
        </w:rPr>
        <w:t>Vlada Republike Slovenije</w:t>
      </w:r>
    </w:p>
    <w:p w:rsidR="00A22003" w:rsidRPr="00BC2509" w:rsidRDefault="00A22003" w:rsidP="00BC2509">
      <w:pPr>
        <w:tabs>
          <w:tab w:val="left" w:pos="5760"/>
        </w:tabs>
        <w:autoSpaceDE w:val="0"/>
        <w:autoSpaceDN w:val="0"/>
        <w:adjustRightInd w:val="0"/>
        <w:ind w:left="3402"/>
        <w:rPr>
          <w:rFonts w:cs="Arial"/>
          <w:szCs w:val="20"/>
          <w:lang w:eastAsia="sl-SI"/>
        </w:rPr>
      </w:pPr>
      <w:r w:rsidRPr="00BC2509">
        <w:rPr>
          <w:rFonts w:cs="Arial"/>
          <w:szCs w:val="20"/>
          <w:lang w:eastAsia="sl-SI"/>
        </w:rPr>
        <w:t>Janez Janša</w:t>
      </w:r>
    </w:p>
    <w:p w:rsidR="00346DC9" w:rsidRPr="00BC2509" w:rsidRDefault="00A22003" w:rsidP="00BC2509">
      <w:pPr>
        <w:tabs>
          <w:tab w:val="left" w:pos="5760"/>
        </w:tabs>
        <w:autoSpaceDE w:val="0"/>
        <w:autoSpaceDN w:val="0"/>
        <w:adjustRightInd w:val="0"/>
        <w:ind w:left="3402"/>
        <w:rPr>
          <w:rFonts w:cs="Arial"/>
          <w:color w:val="000000"/>
          <w:szCs w:val="20"/>
        </w:rPr>
      </w:pPr>
      <w:r w:rsidRPr="00BC2509">
        <w:rPr>
          <w:rFonts w:cs="Arial"/>
          <w:szCs w:val="20"/>
          <w:lang w:eastAsia="sl-SI"/>
        </w:rPr>
        <w:t>predsednik</w:t>
      </w:r>
    </w:p>
    <w:sectPr w:rsidR="00346DC9" w:rsidRPr="00BC2509" w:rsidSect="00647DD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993"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9C" w:rsidRDefault="00115E9C" w:rsidP="00767987">
      <w:pPr>
        <w:spacing w:line="240" w:lineRule="auto"/>
      </w:pPr>
      <w:r>
        <w:separator/>
      </w:r>
    </w:p>
  </w:endnote>
  <w:endnote w:type="continuationSeparator" w:id="0">
    <w:p w:rsidR="00115E9C" w:rsidRDefault="00115E9C"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62" w:rsidRDefault="0009326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923351"/>
      <w:docPartObj>
        <w:docPartGallery w:val="Page Numbers (Bottom of Page)"/>
        <w:docPartUnique/>
      </w:docPartObj>
    </w:sdtPr>
    <w:sdtEndPr/>
    <w:sdtContent>
      <w:p w:rsidR="00EE7B4A" w:rsidRDefault="006D737B">
        <w:pPr>
          <w:pStyle w:val="Noga"/>
          <w:jc w:val="right"/>
        </w:pPr>
        <w:r>
          <w:fldChar w:fldCharType="begin"/>
        </w:r>
        <w:r w:rsidR="00EE7B4A">
          <w:instrText>PAGE   \* MERGEFORMAT</w:instrText>
        </w:r>
        <w:r>
          <w:fldChar w:fldCharType="separate"/>
        </w:r>
        <w:r w:rsidR="00106AA4">
          <w:rPr>
            <w:noProof/>
          </w:rPr>
          <w:t>4</w:t>
        </w:r>
        <w:r>
          <w:fldChar w:fldCharType="end"/>
        </w:r>
      </w:p>
    </w:sdtContent>
  </w:sdt>
  <w:p w:rsidR="00EE7B4A" w:rsidRDefault="00EE7B4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62" w:rsidRDefault="0009326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9C" w:rsidRDefault="00115E9C" w:rsidP="00767987">
      <w:pPr>
        <w:spacing w:line="240" w:lineRule="auto"/>
      </w:pPr>
      <w:r>
        <w:separator/>
      </w:r>
    </w:p>
  </w:footnote>
  <w:footnote w:type="continuationSeparator" w:id="0">
    <w:p w:rsidR="00115E9C" w:rsidRDefault="00115E9C"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62" w:rsidRDefault="0009326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62" w:rsidRDefault="0009326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62" w:rsidRDefault="00093262" w:rsidP="00093262">
    <w:pPr>
      <w:pStyle w:val="Glava"/>
      <w:tabs>
        <w:tab w:val="clear" w:pos="4536"/>
        <w:tab w:val="left" w:pos="5112"/>
        <w:tab w:val="left" w:pos="8641"/>
      </w:tabs>
      <w:spacing w:before="340" w:line="240" w:lineRule="exact"/>
      <w:ind w:left="-765"/>
      <w:rPr>
        <w:rFonts w:cs="Arial"/>
        <w:sz w:val="16"/>
      </w:rPr>
    </w:pPr>
    <w:r>
      <w:rPr>
        <w:noProof/>
        <w:lang w:eastAsia="sl-SI"/>
      </w:rPr>
      <w:drawing>
        <wp:inline distT="0" distB="0" distL="0" distR="0">
          <wp:extent cx="2165350" cy="327660"/>
          <wp:effectExtent l="0" t="0" r="6350" b="0"/>
          <wp:docPr id="8" name="Slika 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publika Slovenija&#10;Vlada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7660"/>
                  </a:xfrm>
                  <a:prstGeom prst="rect">
                    <a:avLst/>
                  </a:prstGeom>
                  <a:noFill/>
                  <a:ln>
                    <a:noFill/>
                  </a:ln>
                </pic:spPr>
              </pic:pic>
            </a:graphicData>
          </a:graphic>
        </wp:inline>
      </w:drawing>
    </w:r>
  </w:p>
  <w:p w:rsidR="00093262" w:rsidRDefault="00093262" w:rsidP="00093262">
    <w:pPr>
      <w:pStyle w:val="Glava"/>
      <w:tabs>
        <w:tab w:val="clear" w:pos="4536"/>
        <w:tab w:val="left" w:pos="5114"/>
        <w:tab w:val="left" w:pos="8641"/>
      </w:tabs>
      <w:spacing w:before="120" w:line="240" w:lineRule="exact"/>
      <w:rPr>
        <w:rFonts w:cs="Arial"/>
        <w:sz w:val="16"/>
      </w:rPr>
    </w:pPr>
    <w:r>
      <w:rPr>
        <w:rFonts w:cs="Arial"/>
        <w:sz w:val="16"/>
      </w:rPr>
      <w:t>Gregorčičeva ulica 20–25, 1000 Ljubljana</w:t>
    </w:r>
    <w:r>
      <w:rPr>
        <w:rFonts w:cs="Arial"/>
        <w:sz w:val="16"/>
      </w:rPr>
      <w:tab/>
      <w:t>T: +386 1 478 1000</w:t>
    </w:r>
  </w:p>
  <w:p w:rsidR="00093262" w:rsidRDefault="00093262" w:rsidP="00093262">
    <w:pPr>
      <w:pStyle w:val="Glava"/>
      <w:tabs>
        <w:tab w:val="clear" w:pos="4536"/>
        <w:tab w:val="left" w:pos="5114"/>
        <w:tab w:val="left" w:pos="8641"/>
      </w:tabs>
      <w:spacing w:line="240" w:lineRule="exact"/>
      <w:rPr>
        <w:rFonts w:cs="Arial"/>
        <w:sz w:val="16"/>
      </w:rPr>
    </w:pPr>
    <w:r>
      <w:rPr>
        <w:rFonts w:cs="Arial"/>
        <w:sz w:val="16"/>
      </w:rPr>
      <w:tab/>
      <w:t>F: +386 1 478 1607</w:t>
    </w:r>
  </w:p>
  <w:p w:rsidR="00093262" w:rsidRDefault="00093262" w:rsidP="00093262">
    <w:pPr>
      <w:pStyle w:val="Glava"/>
      <w:tabs>
        <w:tab w:val="clear" w:pos="4536"/>
        <w:tab w:val="left" w:pos="5114"/>
        <w:tab w:val="left" w:pos="8641"/>
      </w:tabs>
      <w:spacing w:line="240" w:lineRule="exact"/>
      <w:rPr>
        <w:rFonts w:cs="Arial"/>
        <w:sz w:val="16"/>
      </w:rPr>
    </w:pPr>
    <w:r>
      <w:rPr>
        <w:rFonts w:cs="Arial"/>
        <w:sz w:val="16"/>
      </w:rPr>
      <w:tab/>
      <w:t>E: gp.gs@gov.si</w:t>
    </w:r>
  </w:p>
  <w:p w:rsidR="00093262" w:rsidRDefault="00093262" w:rsidP="00093262">
    <w:pPr>
      <w:pStyle w:val="Glava"/>
      <w:tabs>
        <w:tab w:val="clear" w:pos="4536"/>
        <w:tab w:val="left" w:pos="5114"/>
        <w:tab w:val="left" w:pos="8641"/>
      </w:tabs>
      <w:spacing w:line="240" w:lineRule="exact"/>
      <w:rPr>
        <w:rFonts w:cs="Arial"/>
        <w:sz w:val="16"/>
      </w:rPr>
    </w:pPr>
    <w:r>
      <w:rPr>
        <w:rFonts w:cs="Arial"/>
        <w:sz w:val="16"/>
      </w:rPr>
      <w:tab/>
      <w:t>http://www.vlada.si/</w:t>
    </w:r>
  </w:p>
  <w:p w:rsidR="00EE7B4A" w:rsidRDefault="00EE7B4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CD1"/>
    <w:multiLevelType w:val="hybridMultilevel"/>
    <w:tmpl w:val="B34A971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803035"/>
    <w:multiLevelType w:val="hybridMultilevel"/>
    <w:tmpl w:val="37BEE83E"/>
    <w:lvl w:ilvl="0" w:tplc="C34235E0">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F076BB"/>
    <w:multiLevelType w:val="hybridMultilevel"/>
    <w:tmpl w:val="A490C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2A3282"/>
    <w:multiLevelType w:val="hybridMultilevel"/>
    <w:tmpl w:val="CE145380"/>
    <w:lvl w:ilvl="0" w:tplc="CB1EBC6E">
      <w:start w:val="2"/>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D11581"/>
    <w:multiLevelType w:val="hybridMultilevel"/>
    <w:tmpl w:val="E3DC26A2"/>
    <w:lvl w:ilvl="0" w:tplc="5ADE65BC">
      <w:start w:val="1"/>
      <w:numFmt w:val="decimal"/>
      <w:lvlText w:val="%1."/>
      <w:lvlJc w:val="left"/>
      <w:pPr>
        <w:ind w:left="4897"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6557F3C"/>
    <w:multiLevelType w:val="multilevel"/>
    <w:tmpl w:val="8092E61E"/>
    <w:lvl w:ilvl="0">
      <w:start w:val="1"/>
      <w:numFmt w:val="decimal"/>
      <w:pStyle w:val="tevilnatoka"/>
      <w:lvlText w:val="%1."/>
      <w:lvlJc w:val="left"/>
      <w:pPr>
        <w:tabs>
          <w:tab w:val="num" w:pos="709"/>
        </w:tabs>
        <w:ind w:left="709"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4D7966D1"/>
    <w:multiLevelType w:val="hybridMultilevel"/>
    <w:tmpl w:val="6B563E36"/>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51CA03EC"/>
    <w:multiLevelType w:val="hybridMultilevel"/>
    <w:tmpl w:val="61C67C3A"/>
    <w:lvl w:ilvl="0" w:tplc="5684846C">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start w:val="1"/>
      <w:numFmt w:val="lowerLetter"/>
      <w:lvlText w:val="%2."/>
      <w:lvlJc w:val="left"/>
      <w:pPr>
        <w:ind w:left="-2104" w:hanging="360"/>
      </w:pPr>
    </w:lvl>
    <w:lvl w:ilvl="2" w:tplc="0424001B">
      <w:start w:val="1"/>
      <w:numFmt w:val="lowerRoman"/>
      <w:lvlText w:val="%3."/>
      <w:lvlJc w:val="right"/>
      <w:pPr>
        <w:ind w:left="-1384" w:hanging="180"/>
      </w:pPr>
    </w:lvl>
    <w:lvl w:ilvl="3" w:tplc="0424000F">
      <w:start w:val="1"/>
      <w:numFmt w:val="decimal"/>
      <w:lvlText w:val="%4."/>
      <w:lvlJc w:val="left"/>
      <w:pPr>
        <w:ind w:left="-664" w:hanging="360"/>
      </w:pPr>
    </w:lvl>
    <w:lvl w:ilvl="4" w:tplc="04240019">
      <w:start w:val="1"/>
      <w:numFmt w:val="lowerLetter"/>
      <w:lvlText w:val="%5."/>
      <w:lvlJc w:val="left"/>
      <w:pPr>
        <w:ind w:left="56" w:hanging="360"/>
      </w:pPr>
    </w:lvl>
    <w:lvl w:ilvl="5" w:tplc="0424001B">
      <w:start w:val="1"/>
      <w:numFmt w:val="lowerRoman"/>
      <w:lvlText w:val="%6."/>
      <w:lvlJc w:val="right"/>
      <w:pPr>
        <w:ind w:left="776" w:hanging="180"/>
      </w:pPr>
    </w:lvl>
    <w:lvl w:ilvl="6" w:tplc="0424000F">
      <w:start w:val="1"/>
      <w:numFmt w:val="decimal"/>
      <w:lvlText w:val="%7."/>
      <w:lvlJc w:val="left"/>
      <w:pPr>
        <w:ind w:left="1496" w:hanging="360"/>
      </w:pPr>
    </w:lvl>
    <w:lvl w:ilvl="7" w:tplc="04240019">
      <w:start w:val="1"/>
      <w:numFmt w:val="lowerLetter"/>
      <w:lvlText w:val="%8."/>
      <w:lvlJc w:val="left"/>
      <w:pPr>
        <w:ind w:left="2216" w:hanging="360"/>
      </w:pPr>
    </w:lvl>
    <w:lvl w:ilvl="8" w:tplc="0424001B">
      <w:start w:val="1"/>
      <w:numFmt w:val="lowerRoman"/>
      <w:lvlText w:val="%9."/>
      <w:lvlJc w:val="right"/>
      <w:pPr>
        <w:ind w:left="2936" w:hanging="180"/>
      </w:pPr>
    </w:lvl>
  </w:abstractNum>
  <w:abstractNum w:abstractNumId="10" w15:restartNumberingAfterBreak="0">
    <w:nsid w:val="542857C2"/>
    <w:multiLevelType w:val="hybridMultilevel"/>
    <w:tmpl w:val="F61893BE"/>
    <w:lvl w:ilvl="0" w:tplc="04240001">
      <w:start w:val="1"/>
      <w:numFmt w:val="bullet"/>
      <w:lvlText w:val=""/>
      <w:lvlJc w:val="left"/>
      <w:pPr>
        <w:ind w:left="720" w:hanging="360"/>
      </w:pPr>
      <w:rPr>
        <w:rFonts w:ascii="Symbol" w:hAnsi="Symbol" w:hint="default"/>
      </w:rPr>
    </w:lvl>
    <w:lvl w:ilvl="1" w:tplc="F61E636E">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605950"/>
    <w:multiLevelType w:val="hybridMultilevel"/>
    <w:tmpl w:val="B49AFE96"/>
    <w:lvl w:ilvl="0" w:tplc="7CFC2DC2">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F02D0"/>
    <w:multiLevelType w:val="hybridMultilevel"/>
    <w:tmpl w:val="25F6CC8E"/>
    <w:lvl w:ilvl="0" w:tplc="04240017">
      <w:start w:val="1"/>
      <w:numFmt w:val="lowerLetter"/>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14" w15:restartNumberingAfterBreak="0">
    <w:nsid w:val="6A870AC5"/>
    <w:multiLevelType w:val="hybridMultilevel"/>
    <w:tmpl w:val="B160335C"/>
    <w:lvl w:ilvl="0" w:tplc="C5B8A3A0">
      <w:start w:val="1"/>
      <w:numFmt w:val="bullet"/>
      <w:pStyle w:val="Navaden1"/>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6" w15:restartNumberingAfterBreak="0">
    <w:nsid w:val="71830A13"/>
    <w:multiLevelType w:val="hybridMultilevel"/>
    <w:tmpl w:val="4EB038CE"/>
    <w:lvl w:ilvl="0" w:tplc="06ECF4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0"/>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2"/>
  </w:num>
  <w:num w:numId="12">
    <w:abstractNumId w:val="3"/>
  </w:num>
  <w:num w:numId="13">
    <w:abstractNumId w:val="1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11F20"/>
    <w:rsid w:val="00020E2B"/>
    <w:rsid w:val="0003596A"/>
    <w:rsid w:val="00040724"/>
    <w:rsid w:val="00053B34"/>
    <w:rsid w:val="00093262"/>
    <w:rsid w:val="000B3FE6"/>
    <w:rsid w:val="000D19D5"/>
    <w:rsid w:val="000E26F6"/>
    <w:rsid w:val="00106AA4"/>
    <w:rsid w:val="00115E9C"/>
    <w:rsid w:val="00117ADD"/>
    <w:rsid w:val="00121277"/>
    <w:rsid w:val="001653DD"/>
    <w:rsid w:val="00173A76"/>
    <w:rsid w:val="00181B17"/>
    <w:rsid w:val="001B597A"/>
    <w:rsid w:val="001C4ACE"/>
    <w:rsid w:val="001E7101"/>
    <w:rsid w:val="002034DC"/>
    <w:rsid w:val="002847DE"/>
    <w:rsid w:val="0029145E"/>
    <w:rsid w:val="002920C8"/>
    <w:rsid w:val="002C2CE3"/>
    <w:rsid w:val="002F7F8F"/>
    <w:rsid w:val="003018EC"/>
    <w:rsid w:val="003074E1"/>
    <w:rsid w:val="00314339"/>
    <w:rsid w:val="003322E1"/>
    <w:rsid w:val="003442F5"/>
    <w:rsid w:val="00346DC9"/>
    <w:rsid w:val="00367DE6"/>
    <w:rsid w:val="0037141D"/>
    <w:rsid w:val="0038202F"/>
    <w:rsid w:val="0038737F"/>
    <w:rsid w:val="003B3E19"/>
    <w:rsid w:val="003B653D"/>
    <w:rsid w:val="004076C6"/>
    <w:rsid w:val="00410CD6"/>
    <w:rsid w:val="00451674"/>
    <w:rsid w:val="004625FD"/>
    <w:rsid w:val="00471BCC"/>
    <w:rsid w:val="00495246"/>
    <w:rsid w:val="004B5D05"/>
    <w:rsid w:val="004B7F76"/>
    <w:rsid w:val="004D00CF"/>
    <w:rsid w:val="004E1BCE"/>
    <w:rsid w:val="00560C20"/>
    <w:rsid w:val="00597F43"/>
    <w:rsid w:val="005A245C"/>
    <w:rsid w:val="005C730D"/>
    <w:rsid w:val="005F4778"/>
    <w:rsid w:val="00637092"/>
    <w:rsid w:val="00647DD7"/>
    <w:rsid w:val="00682FFE"/>
    <w:rsid w:val="006A1986"/>
    <w:rsid w:val="006C0D16"/>
    <w:rsid w:val="006D737B"/>
    <w:rsid w:val="006E26D8"/>
    <w:rsid w:val="007039D0"/>
    <w:rsid w:val="007323B5"/>
    <w:rsid w:val="007517E4"/>
    <w:rsid w:val="00767987"/>
    <w:rsid w:val="007743CD"/>
    <w:rsid w:val="00782FD4"/>
    <w:rsid w:val="00787175"/>
    <w:rsid w:val="007D0FFE"/>
    <w:rsid w:val="007D3F08"/>
    <w:rsid w:val="007F0BB0"/>
    <w:rsid w:val="008032A7"/>
    <w:rsid w:val="00811140"/>
    <w:rsid w:val="008C27B3"/>
    <w:rsid w:val="008D2DD2"/>
    <w:rsid w:val="008D4AF4"/>
    <w:rsid w:val="008E7ED7"/>
    <w:rsid w:val="00904A48"/>
    <w:rsid w:val="00904D6A"/>
    <w:rsid w:val="00972EBE"/>
    <w:rsid w:val="00980294"/>
    <w:rsid w:val="009859FB"/>
    <w:rsid w:val="009C1F8E"/>
    <w:rsid w:val="00A22003"/>
    <w:rsid w:val="00A30E3B"/>
    <w:rsid w:val="00A354A8"/>
    <w:rsid w:val="00A41CDB"/>
    <w:rsid w:val="00A6247B"/>
    <w:rsid w:val="00A6251B"/>
    <w:rsid w:val="00A72CA4"/>
    <w:rsid w:val="00A9231D"/>
    <w:rsid w:val="00AA2E4A"/>
    <w:rsid w:val="00AB1080"/>
    <w:rsid w:val="00AC576C"/>
    <w:rsid w:val="00AF132E"/>
    <w:rsid w:val="00B1047B"/>
    <w:rsid w:val="00B118C0"/>
    <w:rsid w:val="00B40CF2"/>
    <w:rsid w:val="00B62FBF"/>
    <w:rsid w:val="00B713B9"/>
    <w:rsid w:val="00B72A19"/>
    <w:rsid w:val="00B752FE"/>
    <w:rsid w:val="00B95060"/>
    <w:rsid w:val="00BC2509"/>
    <w:rsid w:val="00BC68FA"/>
    <w:rsid w:val="00BF0F92"/>
    <w:rsid w:val="00BF2CDF"/>
    <w:rsid w:val="00C0216A"/>
    <w:rsid w:val="00C10DB0"/>
    <w:rsid w:val="00C31C96"/>
    <w:rsid w:val="00C4156F"/>
    <w:rsid w:val="00C45CCB"/>
    <w:rsid w:val="00C52ACB"/>
    <w:rsid w:val="00C62845"/>
    <w:rsid w:val="00C86D7C"/>
    <w:rsid w:val="00CD07B1"/>
    <w:rsid w:val="00D001D1"/>
    <w:rsid w:val="00D00CE0"/>
    <w:rsid w:val="00D02973"/>
    <w:rsid w:val="00D10B1D"/>
    <w:rsid w:val="00D22E12"/>
    <w:rsid w:val="00D24A3E"/>
    <w:rsid w:val="00D4142C"/>
    <w:rsid w:val="00D50217"/>
    <w:rsid w:val="00D543E0"/>
    <w:rsid w:val="00D97340"/>
    <w:rsid w:val="00DC0ED7"/>
    <w:rsid w:val="00DC131D"/>
    <w:rsid w:val="00DF6729"/>
    <w:rsid w:val="00E17F57"/>
    <w:rsid w:val="00E267D2"/>
    <w:rsid w:val="00E40E9A"/>
    <w:rsid w:val="00E644E4"/>
    <w:rsid w:val="00EB419B"/>
    <w:rsid w:val="00EE07EE"/>
    <w:rsid w:val="00EE7B4A"/>
    <w:rsid w:val="00F11DBE"/>
    <w:rsid w:val="00F2122E"/>
    <w:rsid w:val="00F221D0"/>
    <w:rsid w:val="00F329DA"/>
    <w:rsid w:val="00F32A56"/>
    <w:rsid w:val="00F375FD"/>
    <w:rsid w:val="00F44E76"/>
    <w:rsid w:val="00F67136"/>
    <w:rsid w:val="00FB00DD"/>
    <w:rsid w:val="00FB42D8"/>
    <w:rsid w:val="00FC6ACC"/>
    <w:rsid w:val="00FF6F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3CA16-0650-40F9-8994-37C1EB73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730D"/>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aliases w:val="Header-PR,Header1"/>
    <w:basedOn w:val="Navaden"/>
    <w:link w:val="GlavaZnak"/>
    <w:unhideWhenUsed/>
    <w:rsid w:val="00767987"/>
    <w:pPr>
      <w:tabs>
        <w:tab w:val="center" w:pos="4536"/>
        <w:tab w:val="right" w:pos="9072"/>
      </w:tabs>
      <w:spacing w:line="240" w:lineRule="auto"/>
    </w:pPr>
  </w:style>
  <w:style w:type="character" w:customStyle="1" w:styleId="GlavaZnak">
    <w:name w:val="Glava Znak"/>
    <w:aliases w:val="Header-PR Znak,Header1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F221D0"/>
    <w:pPr>
      <w:ind w:left="720"/>
      <w:contextualSpacing/>
    </w:pPr>
  </w:style>
  <w:style w:type="character" w:styleId="Hiperpovezava">
    <w:name w:val="Hyperlink"/>
    <w:rsid w:val="00346DC9"/>
    <w:rPr>
      <w:color w:val="0000FF"/>
      <w:u w:val="single"/>
    </w:rPr>
  </w:style>
  <w:style w:type="paragraph" w:customStyle="1" w:styleId="Alineazaodstavkom">
    <w:name w:val="Alinea za odstavkom"/>
    <w:basedOn w:val="Navaden"/>
    <w:link w:val="AlineazaodstavkomZnak"/>
    <w:uiPriority w:val="99"/>
    <w:qFormat/>
    <w:rsid w:val="00346DC9"/>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346DC9"/>
    <w:rPr>
      <w:rFonts w:ascii="Arial" w:eastAsia="Times New Roman" w:hAnsi="Arial" w:cs="Arial"/>
      <w:lang w:eastAsia="sl-SI"/>
    </w:rPr>
  </w:style>
  <w:style w:type="paragraph" w:styleId="Seznam">
    <w:name w:val="List"/>
    <w:basedOn w:val="Telobesedila"/>
    <w:rsid w:val="00346DC9"/>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w w:val="90"/>
      <w:sz w:val="22"/>
      <w:szCs w:val="20"/>
    </w:rPr>
  </w:style>
  <w:style w:type="character" w:styleId="Krepko">
    <w:name w:val="Strong"/>
    <w:qFormat/>
    <w:rsid w:val="00346DC9"/>
    <w:rPr>
      <w:rFonts w:ascii="Arial" w:hAnsi="Arial"/>
      <w:b/>
      <w:bCs/>
      <w:sz w:val="20"/>
    </w:rPr>
  </w:style>
  <w:style w:type="paragraph" w:styleId="Navadensplet">
    <w:name w:val="Normal (Web)"/>
    <w:basedOn w:val="Navaden"/>
    <w:uiPriority w:val="99"/>
    <w:rsid w:val="00346DC9"/>
    <w:pPr>
      <w:spacing w:after="180" w:line="240" w:lineRule="auto"/>
    </w:pPr>
    <w:rPr>
      <w:rFonts w:ascii="Times New Roman" w:hAnsi="Times New Roman"/>
      <w:color w:val="333333"/>
      <w:sz w:val="15"/>
      <w:szCs w:val="15"/>
    </w:rPr>
  </w:style>
  <w:style w:type="paragraph" w:customStyle="1" w:styleId="Odstaveknav">
    <w:name w:val="Odstavek nav"/>
    <w:basedOn w:val="Telobesedila"/>
    <w:link w:val="OdstaveknavZnak"/>
    <w:rsid w:val="00346DC9"/>
    <w:pPr>
      <w:spacing w:before="240" w:after="0" w:line="240" w:lineRule="atLeast"/>
      <w:jc w:val="both"/>
    </w:pPr>
    <w:rPr>
      <w:rFonts w:ascii="Arial Narrow" w:hAnsi="Arial Narrow"/>
      <w:sz w:val="24"/>
      <w:szCs w:val="20"/>
    </w:rPr>
  </w:style>
  <w:style w:type="character" w:customStyle="1" w:styleId="OdstaveknavZnak">
    <w:name w:val="Odstavek nav Znak"/>
    <w:link w:val="Odstaveknav"/>
    <w:rsid w:val="00346DC9"/>
    <w:rPr>
      <w:rFonts w:ascii="Arial Narrow" w:eastAsia="Times New Roman" w:hAnsi="Arial Narrow" w:cs="Times New Roman"/>
      <w:sz w:val="24"/>
      <w:szCs w:val="20"/>
    </w:rPr>
  </w:style>
  <w:style w:type="paragraph" w:customStyle="1" w:styleId="Navaden1">
    <w:name w:val="Navaden1"/>
    <w:basedOn w:val="Navaden"/>
    <w:uiPriority w:val="99"/>
    <w:qFormat/>
    <w:rsid w:val="00346DC9"/>
    <w:pPr>
      <w:numPr>
        <w:numId w:val="5"/>
      </w:numPr>
      <w:tabs>
        <w:tab w:val="clear" w:pos="425"/>
      </w:tabs>
      <w:spacing w:line="240" w:lineRule="auto"/>
      <w:ind w:left="0" w:firstLine="0"/>
      <w:jc w:val="both"/>
    </w:pPr>
    <w:rPr>
      <w:rFonts w:ascii="Calibri" w:hAnsi="Calibri"/>
      <w:szCs w:val="20"/>
      <w:lang w:eastAsia="sl-SI"/>
    </w:rPr>
  </w:style>
  <w:style w:type="paragraph" w:customStyle="1" w:styleId="esegmentp">
    <w:name w:val="esegment_p"/>
    <w:basedOn w:val="Navaden"/>
    <w:uiPriority w:val="99"/>
    <w:rsid w:val="00346DC9"/>
    <w:pPr>
      <w:spacing w:after="210" w:line="240" w:lineRule="auto"/>
      <w:ind w:firstLine="240"/>
      <w:jc w:val="both"/>
    </w:pPr>
    <w:rPr>
      <w:rFonts w:ascii="Times New Roman" w:hAnsi="Times New Roman"/>
      <w:color w:val="313131"/>
      <w:sz w:val="24"/>
      <w:lang w:eastAsia="sl-SI"/>
    </w:rPr>
  </w:style>
  <w:style w:type="paragraph" w:customStyle="1" w:styleId="odstavek">
    <w:name w:val="odstavek"/>
    <w:basedOn w:val="Navaden"/>
    <w:uiPriority w:val="99"/>
    <w:rsid w:val="00346DC9"/>
    <w:pPr>
      <w:spacing w:before="100" w:beforeAutospacing="1" w:after="100" w:afterAutospacing="1" w:line="240" w:lineRule="auto"/>
    </w:pPr>
    <w:rPr>
      <w:rFonts w:ascii="Times New Roman" w:eastAsia="Calibri" w:hAnsi="Times New Roman"/>
      <w:sz w:val="24"/>
      <w:lang w:eastAsia="sl-SI"/>
    </w:rPr>
  </w:style>
  <w:style w:type="paragraph" w:styleId="Telobesedila">
    <w:name w:val="Body Text"/>
    <w:basedOn w:val="Navaden"/>
    <w:link w:val="TelobesedilaZnak"/>
    <w:uiPriority w:val="99"/>
    <w:semiHidden/>
    <w:unhideWhenUsed/>
    <w:rsid w:val="00346DC9"/>
    <w:pPr>
      <w:spacing w:after="120"/>
    </w:pPr>
  </w:style>
  <w:style w:type="character" w:customStyle="1" w:styleId="TelobesedilaZnak">
    <w:name w:val="Telo besedila Znak"/>
    <w:basedOn w:val="Privzetapisavaodstavka"/>
    <w:link w:val="Telobesedila"/>
    <w:uiPriority w:val="99"/>
    <w:semiHidden/>
    <w:rsid w:val="00346DC9"/>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A22003"/>
    <w:rPr>
      <w:sz w:val="16"/>
      <w:szCs w:val="16"/>
    </w:rPr>
  </w:style>
  <w:style w:type="paragraph" w:styleId="Pripombabesedilo">
    <w:name w:val="annotation text"/>
    <w:basedOn w:val="Navaden"/>
    <w:link w:val="PripombabesediloZnak"/>
    <w:uiPriority w:val="99"/>
    <w:semiHidden/>
    <w:unhideWhenUsed/>
    <w:rsid w:val="00A22003"/>
    <w:pPr>
      <w:spacing w:line="240" w:lineRule="auto"/>
    </w:pPr>
    <w:rPr>
      <w:szCs w:val="20"/>
    </w:rPr>
  </w:style>
  <w:style w:type="character" w:customStyle="1" w:styleId="PripombabesediloZnak">
    <w:name w:val="Pripomba – besedilo Znak"/>
    <w:basedOn w:val="Privzetapisavaodstavka"/>
    <w:link w:val="Pripombabesedilo"/>
    <w:uiPriority w:val="99"/>
    <w:semiHidden/>
    <w:rsid w:val="00A2200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A22003"/>
    <w:rPr>
      <w:b/>
      <w:bCs/>
    </w:rPr>
  </w:style>
  <w:style w:type="character" w:customStyle="1" w:styleId="ZadevapripombeZnak">
    <w:name w:val="Zadeva pripombe Znak"/>
    <w:basedOn w:val="PripombabesediloZnak"/>
    <w:link w:val="Zadevapripombe"/>
    <w:uiPriority w:val="99"/>
    <w:semiHidden/>
    <w:rsid w:val="00A22003"/>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A2200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22003"/>
    <w:rPr>
      <w:rFonts w:ascii="Segoe UI" w:eastAsia="Times New Roman" w:hAnsi="Segoe UI" w:cs="Segoe UI"/>
      <w:sz w:val="18"/>
      <w:szCs w:val="18"/>
    </w:rPr>
  </w:style>
  <w:style w:type="paragraph" w:customStyle="1" w:styleId="Odstavek0">
    <w:name w:val="Odstavek"/>
    <w:basedOn w:val="Navaden"/>
    <w:link w:val="OdstavekZnak"/>
    <w:qFormat/>
    <w:rsid w:val="0063709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637092"/>
    <w:rPr>
      <w:rFonts w:ascii="Arial" w:eastAsia="Times New Roman" w:hAnsi="Arial" w:cs="Times New Roman"/>
      <w:lang w:val="x-none" w:eastAsia="x-none"/>
    </w:rPr>
  </w:style>
  <w:style w:type="paragraph" w:customStyle="1" w:styleId="len">
    <w:name w:val="Člen"/>
    <w:basedOn w:val="Navaden"/>
    <w:link w:val="lenZnak"/>
    <w:qFormat/>
    <w:rsid w:val="00637092"/>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637092"/>
    <w:rPr>
      <w:rFonts w:ascii="Arial" w:eastAsia="Times New Roman" w:hAnsi="Arial" w:cs="Times New Roman"/>
      <w:b/>
      <w:lang w:val="x-none" w:eastAsia="x-none"/>
    </w:rPr>
  </w:style>
  <w:style w:type="paragraph" w:customStyle="1" w:styleId="podpisi">
    <w:name w:val="podpisi"/>
    <w:basedOn w:val="Navaden"/>
    <w:qFormat/>
    <w:rsid w:val="00F2122E"/>
    <w:pPr>
      <w:tabs>
        <w:tab w:val="left" w:pos="3402"/>
      </w:tabs>
    </w:pPr>
    <w:rPr>
      <w:lang w:val="it-IT"/>
    </w:rPr>
  </w:style>
  <w:style w:type="paragraph" w:customStyle="1" w:styleId="Vrstapredpisa">
    <w:name w:val="Vrsta predpisa"/>
    <w:basedOn w:val="Navaden"/>
    <w:link w:val="VrstapredpisaZnak"/>
    <w:qFormat/>
    <w:rsid w:val="00A72CA4"/>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
    <w:name w:val="Naslov_predpisa"/>
    <w:basedOn w:val="Navaden"/>
    <w:link w:val="NaslovpredpisaZnak"/>
    <w:qFormat/>
    <w:rsid w:val="00A72CA4"/>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
    <w:rsid w:val="00A72CA4"/>
    <w:rPr>
      <w:rFonts w:ascii="Arial" w:eastAsia="Times New Roman" w:hAnsi="Arial" w:cs="Arial"/>
      <w:b/>
      <w:bCs/>
      <w:color w:val="000000"/>
      <w:spacing w:val="40"/>
      <w:lang w:eastAsia="sl-SI"/>
    </w:rPr>
  </w:style>
  <w:style w:type="paragraph" w:customStyle="1" w:styleId="Poglavje">
    <w:name w:val="Poglavje"/>
    <w:basedOn w:val="Navaden"/>
    <w:qFormat/>
    <w:rsid w:val="00A72CA4"/>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character" w:customStyle="1" w:styleId="NaslovpredpisaZnak">
    <w:name w:val="Naslov_predpisa Znak"/>
    <w:link w:val="Naslovpredpisa"/>
    <w:rsid w:val="00A72CA4"/>
    <w:rPr>
      <w:rFonts w:ascii="Arial" w:eastAsia="Times New Roman" w:hAnsi="Arial" w:cs="Arial"/>
      <w:b/>
      <w:lang w:eastAsia="sl-SI"/>
    </w:rPr>
  </w:style>
  <w:style w:type="paragraph" w:customStyle="1" w:styleId="ti-section-2">
    <w:name w:val="ti-section-2"/>
    <w:basedOn w:val="Navaden"/>
    <w:rsid w:val="00A72CA4"/>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A72CA4"/>
  </w:style>
  <w:style w:type="paragraph" w:styleId="HTML-oblikovano">
    <w:name w:val="HTML Preformatted"/>
    <w:basedOn w:val="Navaden"/>
    <w:link w:val="HTML-oblikovanoZnak"/>
    <w:unhideWhenUsed/>
    <w:rsid w:val="00B72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B72A19"/>
    <w:rPr>
      <w:rFonts w:ascii="Courier New" w:eastAsia="Times New Roman" w:hAnsi="Courier New" w:cs="Times New Roman"/>
      <w:color w:val="000000"/>
      <w:sz w:val="18"/>
      <w:szCs w:val="18"/>
      <w:lang w:val="x-none" w:eastAsia="x-none"/>
    </w:rPr>
  </w:style>
  <w:style w:type="character" w:customStyle="1" w:styleId="OdstavekseznamaZnak">
    <w:name w:val="Odstavek seznama Znak"/>
    <w:link w:val="Odstavekseznama"/>
    <w:uiPriority w:val="34"/>
    <w:locked/>
    <w:rsid w:val="00DC131D"/>
    <w:rPr>
      <w:rFonts w:ascii="Arial" w:eastAsia="Times New Roman" w:hAnsi="Arial" w:cs="Times New Roman"/>
      <w:sz w:val="20"/>
      <w:szCs w:val="24"/>
    </w:rPr>
  </w:style>
  <w:style w:type="character" w:customStyle="1" w:styleId="AlinejaZnak">
    <w:name w:val="Alineja Znak"/>
    <w:link w:val="Alineja"/>
    <w:locked/>
    <w:rsid w:val="00DC131D"/>
    <w:rPr>
      <w:rFonts w:ascii="Arial" w:hAnsi="Arial" w:cs="Arial"/>
      <w:color w:val="000000"/>
      <w:lang w:val="x-none" w:eastAsia="x-none"/>
    </w:rPr>
  </w:style>
  <w:style w:type="paragraph" w:customStyle="1" w:styleId="Alineja">
    <w:name w:val="Alineja"/>
    <w:basedOn w:val="Odstavekseznama"/>
    <w:link w:val="AlinejaZnak"/>
    <w:qFormat/>
    <w:rsid w:val="00DC131D"/>
    <w:pPr>
      <w:numPr>
        <w:numId w:val="14"/>
      </w:numPr>
      <w:tabs>
        <w:tab w:val="left" w:pos="142"/>
        <w:tab w:val="left" w:pos="426"/>
      </w:tabs>
      <w:autoSpaceDE w:val="0"/>
      <w:autoSpaceDN w:val="0"/>
      <w:adjustRightInd w:val="0"/>
      <w:spacing w:line="240" w:lineRule="auto"/>
      <w:jc w:val="both"/>
    </w:pPr>
    <w:rPr>
      <w:rFonts w:eastAsiaTheme="minorHAnsi" w:cs="Arial"/>
      <w:color w:val="000000"/>
      <w:sz w:val="22"/>
      <w:szCs w:val="22"/>
      <w:lang w:val="x-none" w:eastAsia="x-none"/>
    </w:rPr>
  </w:style>
  <w:style w:type="paragraph" w:customStyle="1" w:styleId="tevilnatoka111">
    <w:name w:val="Številčna točka 1.1.1"/>
    <w:basedOn w:val="Navaden"/>
    <w:qFormat/>
    <w:rsid w:val="00DC131D"/>
    <w:pPr>
      <w:widowControl w:val="0"/>
      <w:numPr>
        <w:ilvl w:val="2"/>
        <w:numId w:val="15"/>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link w:val="tevilnatoka"/>
    <w:locked/>
    <w:rsid w:val="00DC131D"/>
    <w:rPr>
      <w:rFonts w:ascii="Arial" w:hAnsi="Arial" w:cs="Arial"/>
    </w:rPr>
  </w:style>
  <w:style w:type="paragraph" w:customStyle="1" w:styleId="tevilnatoka">
    <w:name w:val="Številčna točka"/>
    <w:basedOn w:val="Navaden"/>
    <w:link w:val="tevilnatokaZnak"/>
    <w:qFormat/>
    <w:rsid w:val="00DC131D"/>
    <w:pPr>
      <w:numPr>
        <w:numId w:val="15"/>
      </w:numPr>
      <w:spacing w:line="240" w:lineRule="auto"/>
      <w:jc w:val="both"/>
    </w:pPr>
    <w:rPr>
      <w:rFonts w:eastAsiaTheme="minorHAnsi" w:cs="Arial"/>
      <w:sz w:val="22"/>
      <w:szCs w:val="22"/>
    </w:rPr>
  </w:style>
  <w:style w:type="paragraph" w:customStyle="1" w:styleId="tevilnatoka11Nova">
    <w:name w:val="Številčna točka 1.1 Nova"/>
    <w:basedOn w:val="tevilnatoka"/>
    <w:qFormat/>
    <w:rsid w:val="00DC131D"/>
    <w:pPr>
      <w:numPr>
        <w:ilvl w:val="1"/>
      </w:numPr>
      <w:tabs>
        <w:tab w:val="clear" w:pos="425"/>
        <w:tab w:val="num" w:pos="360"/>
        <w:tab w:val="num" w:pos="1800"/>
      </w:tabs>
      <w:ind w:left="1440" w:hanging="360"/>
    </w:pPr>
  </w:style>
  <w:style w:type="paragraph" w:customStyle="1" w:styleId="lennaslov">
    <w:name w:val="Člen_naslov"/>
    <w:basedOn w:val="len"/>
    <w:qFormat/>
    <w:rsid w:val="00DC131D"/>
    <w:pPr>
      <w:spacing w:before="0"/>
      <w:textAlignment w:val="auto"/>
    </w:pPr>
    <w:rPr>
      <w:rFonts w:eastAsiaTheme="minorHAnsi" w:cs="Arial"/>
      <w:lang w:val="sl-SI" w:eastAsia="en-US"/>
    </w:rPr>
  </w:style>
  <w:style w:type="paragraph" w:customStyle="1" w:styleId="Besedilo">
    <w:name w:val="Besedilo"/>
    <w:basedOn w:val="Navaden"/>
    <w:rsid w:val="00BC2509"/>
    <w:pPr>
      <w:spacing w:line="240" w:lineRule="auto"/>
      <w:ind w:firstLine="170"/>
      <w:jc w:val="both"/>
    </w:pPr>
    <w:rPr>
      <w:rFonts w:eastAsia="Calibri" w:cs="Arial"/>
      <w:szCs w:val="20"/>
    </w:rPr>
  </w:style>
  <w:style w:type="character" w:customStyle="1" w:styleId="BesedilodashZnak">
    <w:name w:val="Besedilo_dash Znak"/>
    <w:link w:val="Besedilodash"/>
    <w:locked/>
    <w:rsid w:val="00BC2509"/>
    <w:rPr>
      <w:rFonts w:ascii="Arial" w:eastAsia="Times New Roman" w:hAnsi="Arial" w:cs="Arial"/>
    </w:rPr>
  </w:style>
  <w:style w:type="paragraph" w:customStyle="1" w:styleId="Besedilodash">
    <w:name w:val="Besedilo_dash"/>
    <w:basedOn w:val="Navaden"/>
    <w:link w:val="BesedilodashZnak"/>
    <w:rsid w:val="00BC2509"/>
    <w:pPr>
      <w:tabs>
        <w:tab w:val="left" w:pos="680"/>
      </w:tabs>
      <w:spacing w:line="240" w:lineRule="auto"/>
      <w:ind w:left="397" w:hanging="227"/>
      <w:jc w:val="both"/>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165">
      <w:bodyDiv w:val="1"/>
      <w:marLeft w:val="0"/>
      <w:marRight w:val="0"/>
      <w:marTop w:val="0"/>
      <w:marBottom w:val="0"/>
      <w:divBdr>
        <w:top w:val="none" w:sz="0" w:space="0" w:color="auto"/>
        <w:left w:val="none" w:sz="0" w:space="0" w:color="auto"/>
        <w:bottom w:val="none" w:sz="0" w:space="0" w:color="auto"/>
        <w:right w:val="none" w:sz="0" w:space="0" w:color="auto"/>
      </w:divBdr>
    </w:div>
    <w:div w:id="484513880">
      <w:bodyDiv w:val="1"/>
      <w:marLeft w:val="0"/>
      <w:marRight w:val="0"/>
      <w:marTop w:val="0"/>
      <w:marBottom w:val="0"/>
      <w:divBdr>
        <w:top w:val="none" w:sz="0" w:space="0" w:color="auto"/>
        <w:left w:val="none" w:sz="0" w:space="0" w:color="auto"/>
        <w:bottom w:val="none" w:sz="0" w:space="0" w:color="auto"/>
        <w:right w:val="none" w:sz="0" w:space="0" w:color="auto"/>
      </w:divBdr>
    </w:div>
    <w:div w:id="763453363">
      <w:bodyDiv w:val="1"/>
      <w:marLeft w:val="0"/>
      <w:marRight w:val="0"/>
      <w:marTop w:val="0"/>
      <w:marBottom w:val="0"/>
      <w:divBdr>
        <w:top w:val="none" w:sz="0" w:space="0" w:color="auto"/>
        <w:left w:val="none" w:sz="0" w:space="0" w:color="auto"/>
        <w:bottom w:val="none" w:sz="0" w:space="0" w:color="auto"/>
        <w:right w:val="none" w:sz="0" w:space="0" w:color="auto"/>
      </w:divBdr>
    </w:div>
    <w:div w:id="1315331594">
      <w:bodyDiv w:val="1"/>
      <w:marLeft w:val="0"/>
      <w:marRight w:val="0"/>
      <w:marTop w:val="0"/>
      <w:marBottom w:val="0"/>
      <w:divBdr>
        <w:top w:val="none" w:sz="0" w:space="0" w:color="auto"/>
        <w:left w:val="none" w:sz="0" w:space="0" w:color="auto"/>
        <w:bottom w:val="none" w:sz="0" w:space="0" w:color="auto"/>
        <w:right w:val="none" w:sz="0" w:space="0" w:color="auto"/>
      </w:divBdr>
    </w:div>
    <w:div w:id="1392922874">
      <w:bodyDiv w:val="1"/>
      <w:marLeft w:val="0"/>
      <w:marRight w:val="0"/>
      <w:marTop w:val="0"/>
      <w:marBottom w:val="0"/>
      <w:divBdr>
        <w:top w:val="none" w:sz="0" w:space="0" w:color="auto"/>
        <w:left w:val="none" w:sz="0" w:space="0" w:color="auto"/>
        <w:bottom w:val="none" w:sz="0" w:space="0" w:color="auto"/>
        <w:right w:val="none" w:sz="0" w:space="0" w:color="auto"/>
      </w:divBdr>
    </w:div>
    <w:div w:id="18079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8606C9-A9A0-414E-BD86-22BD8BC9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1343</Words>
  <Characters>7658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Slapšak</dc:creator>
  <cp:keywords/>
  <dc:description/>
  <cp:lastModifiedBy> Barbara Kunaver</cp:lastModifiedBy>
  <cp:revision>37</cp:revision>
  <dcterms:created xsi:type="dcterms:W3CDTF">2022-01-12T09:37:00Z</dcterms:created>
  <dcterms:modified xsi:type="dcterms:W3CDTF">2022-01-12T10:49:00Z</dcterms:modified>
</cp:coreProperties>
</file>