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3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"/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  <w:gridCol w:w="63"/>
      </w:tblGrid>
      <w:tr w:rsidR="00B3685E" w:rsidRPr="000219B6" w:rsidTr="00214564">
        <w:trPr>
          <w:gridBefore w:val="1"/>
          <w:gridAfter w:val="6"/>
          <w:wBefore w:w="100" w:type="dxa"/>
          <w:wAfter w:w="3067" w:type="dxa"/>
          <w:trHeight w:val="298"/>
        </w:trPr>
        <w:tc>
          <w:tcPr>
            <w:tcW w:w="6096" w:type="dxa"/>
            <w:gridSpan w:val="7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 xml:space="preserve">Številka: </w:t>
            </w:r>
            <w:r w:rsidR="00705E9B">
              <w:rPr>
                <w:sz w:val="20"/>
                <w:szCs w:val="20"/>
              </w:rPr>
              <w:t>021-357/2020-</w:t>
            </w:r>
            <w:r w:rsidR="00A35E5F" w:rsidRPr="00A35E5F">
              <w:rPr>
                <w:sz w:val="20"/>
                <w:szCs w:val="20"/>
              </w:rPr>
              <w:t>6</w:t>
            </w:r>
          </w:p>
        </w:tc>
      </w:tr>
      <w:tr w:rsidR="00B3685E" w:rsidRPr="000219B6" w:rsidTr="00214564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 xml:space="preserve">Ljubljana, dne </w:t>
            </w:r>
            <w:r w:rsidR="00A35E5F" w:rsidRPr="00A35E5F">
              <w:rPr>
                <w:sz w:val="20"/>
                <w:szCs w:val="20"/>
              </w:rPr>
              <w:t>17.</w:t>
            </w:r>
            <w:r w:rsidR="00705E9B" w:rsidRPr="00A35E5F">
              <w:rPr>
                <w:sz w:val="20"/>
                <w:szCs w:val="20"/>
              </w:rPr>
              <w:t xml:space="preserve"> </w:t>
            </w:r>
            <w:r w:rsidR="00705E9B">
              <w:rPr>
                <w:sz w:val="20"/>
                <w:szCs w:val="20"/>
              </w:rPr>
              <w:t>11.</w:t>
            </w:r>
            <w:r w:rsidR="005A665B">
              <w:rPr>
                <w:sz w:val="20"/>
                <w:szCs w:val="20"/>
              </w:rPr>
              <w:t xml:space="preserve"> 2020</w:t>
            </w:r>
          </w:p>
        </w:tc>
      </w:tr>
      <w:tr w:rsidR="00B3685E" w:rsidRPr="000219B6" w:rsidTr="00214564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EVA: /</w:t>
            </w:r>
          </w:p>
        </w:tc>
      </w:tr>
      <w:tr w:rsidR="00B3685E" w:rsidRPr="000219B6" w:rsidTr="00214564">
        <w:trPr>
          <w:gridBefore w:val="1"/>
          <w:gridAfter w:val="6"/>
          <w:wBefore w:w="100" w:type="dxa"/>
          <w:wAfter w:w="3067" w:type="dxa"/>
        </w:trPr>
        <w:tc>
          <w:tcPr>
            <w:tcW w:w="6096" w:type="dxa"/>
            <w:gridSpan w:val="7"/>
          </w:tcPr>
          <w:p w:rsidR="00B3685E" w:rsidRDefault="00B3685E" w:rsidP="00214564">
            <w:pPr>
              <w:rPr>
                <w:rFonts w:cs="Arial"/>
                <w:noProof w:val="0"/>
                <w:szCs w:val="20"/>
              </w:rPr>
            </w:pPr>
          </w:p>
          <w:p w:rsidR="00D8016F" w:rsidRDefault="00D8016F" w:rsidP="00214564">
            <w:pPr>
              <w:rPr>
                <w:rFonts w:cs="Arial"/>
                <w:noProof w:val="0"/>
                <w:szCs w:val="20"/>
              </w:rPr>
            </w:pPr>
          </w:p>
          <w:p w:rsidR="009F400F" w:rsidRDefault="009F400F" w:rsidP="00214564">
            <w:pPr>
              <w:rPr>
                <w:rFonts w:cs="Arial"/>
                <w:noProof w:val="0"/>
                <w:szCs w:val="20"/>
              </w:rPr>
            </w:pPr>
          </w:p>
          <w:p w:rsidR="00D8016F" w:rsidRPr="000219B6" w:rsidRDefault="00D8016F" w:rsidP="00214564">
            <w:pPr>
              <w:rPr>
                <w:rFonts w:cs="Arial"/>
                <w:noProof w:val="0"/>
                <w:szCs w:val="20"/>
              </w:rPr>
            </w:pPr>
          </w:p>
          <w:p w:rsidR="00B3685E" w:rsidRPr="009F400F" w:rsidRDefault="00B3685E" w:rsidP="00214564">
            <w:pPr>
              <w:rPr>
                <w:rFonts w:cs="Arial"/>
                <w:b/>
                <w:bCs/>
                <w:noProof w:val="0"/>
                <w:szCs w:val="20"/>
              </w:rPr>
            </w:pPr>
            <w:r w:rsidRPr="009F400F">
              <w:rPr>
                <w:rFonts w:cs="Arial"/>
                <w:b/>
                <w:bCs/>
                <w:noProof w:val="0"/>
                <w:szCs w:val="20"/>
              </w:rPr>
              <w:t>GENERALNI SEKRETARIAT VLADE REPUBLIKE SLOVENIJE</w:t>
            </w:r>
          </w:p>
          <w:p w:rsidR="00B3685E" w:rsidRDefault="00C7365C" w:rsidP="00214564">
            <w:pPr>
              <w:rPr>
                <w:rStyle w:val="Hiperpovezava"/>
                <w:noProof w:val="0"/>
                <w:szCs w:val="20"/>
              </w:rPr>
            </w:pPr>
            <w:hyperlink r:id="rId8" w:history="1">
              <w:r w:rsidR="00B3685E" w:rsidRPr="000219B6">
                <w:rPr>
                  <w:rStyle w:val="Hiperpovezava"/>
                  <w:noProof w:val="0"/>
                  <w:szCs w:val="20"/>
                </w:rPr>
                <w:t>Gp.gs@gov.si</w:t>
              </w:r>
            </w:hyperlink>
          </w:p>
          <w:p w:rsidR="009F400F" w:rsidRPr="000219B6" w:rsidRDefault="009F400F" w:rsidP="00214564">
            <w:pPr>
              <w:rPr>
                <w:rFonts w:cs="Arial"/>
                <w:noProof w:val="0"/>
                <w:szCs w:val="20"/>
              </w:rPr>
            </w:pPr>
          </w:p>
          <w:p w:rsidR="00B3685E" w:rsidRPr="000219B6" w:rsidRDefault="00B3685E" w:rsidP="00214564">
            <w:pPr>
              <w:rPr>
                <w:rFonts w:cs="Arial"/>
                <w:noProof w:val="0"/>
                <w:szCs w:val="20"/>
              </w:rPr>
            </w:pP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1E7D7D" w:rsidRPr="001E7D7D" w:rsidRDefault="00B3685E" w:rsidP="001E7D7D">
            <w:pPr>
              <w:pStyle w:val="datumtevilka"/>
              <w:jc w:val="both"/>
              <w:rPr>
                <w:b/>
                <w:bCs/>
              </w:rPr>
            </w:pPr>
            <w:r w:rsidRPr="001E7D7D">
              <w:rPr>
                <w:b/>
                <w:bCs/>
              </w:rPr>
              <w:t xml:space="preserve">ZADEVA: </w:t>
            </w:r>
            <w:r w:rsidR="001E7D7D" w:rsidRPr="001E7D7D">
              <w:rPr>
                <w:b/>
                <w:bCs/>
              </w:rPr>
              <w:t>odgovor Vlade RS na priporočilo Varuha človekovih pravic Republike</w:t>
            </w:r>
          </w:p>
          <w:p w:rsidR="001E7D7D" w:rsidRPr="001E7D7D" w:rsidRDefault="001E7D7D" w:rsidP="001E7D7D">
            <w:pPr>
              <w:pStyle w:val="datumtevilka"/>
              <w:jc w:val="both"/>
              <w:rPr>
                <w:b/>
                <w:bCs/>
              </w:rPr>
            </w:pPr>
            <w:r w:rsidRPr="001E7D7D">
              <w:rPr>
                <w:b/>
                <w:bCs/>
              </w:rPr>
              <w:t xml:space="preserve">                 Slovenije glede vročanja priporočene pošte in drugih pošiljk s strani državnih</w:t>
            </w:r>
          </w:p>
          <w:p w:rsidR="001E7D7D" w:rsidRPr="001E7D7D" w:rsidRDefault="001E7D7D" w:rsidP="001E7D7D">
            <w:pPr>
              <w:pStyle w:val="datumtevilka"/>
              <w:jc w:val="both"/>
              <w:rPr>
                <w:b/>
                <w:bCs/>
              </w:rPr>
            </w:pPr>
            <w:r w:rsidRPr="001E7D7D">
              <w:rPr>
                <w:b/>
                <w:bCs/>
              </w:rPr>
              <w:t xml:space="preserve">                 organov oziroma ostalih organov oblasti osebam s prijavljenim t. i. zakonskim</w:t>
            </w:r>
          </w:p>
          <w:p w:rsidR="00B3685E" w:rsidRPr="00D8016F" w:rsidRDefault="001E7D7D" w:rsidP="001E7D7D">
            <w:pPr>
              <w:pStyle w:val="datumtevilka"/>
              <w:jc w:val="both"/>
              <w:rPr>
                <w:b/>
                <w:bCs/>
              </w:rPr>
            </w:pPr>
            <w:r w:rsidRPr="001E7D7D">
              <w:rPr>
                <w:b/>
                <w:bCs/>
              </w:rPr>
              <w:t xml:space="preserve">                 prebivališčem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Poglavje"/>
              <w:spacing w:before="0" w:after="0" w:line="260" w:lineRule="exact"/>
              <w:jc w:val="left"/>
              <w:rPr>
                <w:noProof w:val="0"/>
                <w:sz w:val="20"/>
                <w:szCs w:val="20"/>
              </w:rPr>
            </w:pPr>
            <w:r w:rsidRPr="000219B6">
              <w:rPr>
                <w:noProof w:val="0"/>
                <w:sz w:val="20"/>
                <w:szCs w:val="20"/>
              </w:rPr>
              <w:t>1. Predlog sklepov vlade: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spacing w:line="260" w:lineRule="exact"/>
              <w:jc w:val="both"/>
              <w:rPr>
                <w:rFonts w:eastAsia="Calibri" w:cs="Arial"/>
                <w:noProof w:val="0"/>
                <w:szCs w:val="20"/>
              </w:rPr>
            </w:pPr>
            <w:r w:rsidRPr="000219B6">
              <w:rPr>
                <w:rFonts w:eastAsia="Calibri" w:cs="Arial"/>
                <w:noProof w:val="0"/>
                <w:szCs w:val="20"/>
              </w:rPr>
              <w:t xml:space="preserve">Na podlagi </w:t>
            </w:r>
            <w:r>
              <w:rPr>
                <w:rFonts w:eastAsia="Calibri" w:cs="Arial"/>
                <w:noProof w:val="0"/>
                <w:szCs w:val="20"/>
              </w:rPr>
              <w:t xml:space="preserve">šestega odstavka </w:t>
            </w:r>
            <w:r w:rsidRPr="000219B6">
              <w:rPr>
                <w:rFonts w:eastAsia="Calibri" w:cs="Arial"/>
                <w:noProof w:val="0"/>
                <w:szCs w:val="20"/>
              </w:rPr>
              <w:t>21. člena Zakona o Vladi Republike Slovenije (</w:t>
            </w:r>
            <w:r w:rsidRPr="008B099D">
              <w:rPr>
                <w:rFonts w:eastAsia="Calibri" w:cs="Arial"/>
                <w:noProof w:val="0"/>
                <w:szCs w:val="20"/>
              </w:rPr>
              <w:t>Uradni list RS, št. 24/05 – uradno prečiščeno besedilo, 109/08, 38/10 – ZUKN, 8/12, 21/13, 47/13 – ZDU-1G, 65/14 in 55/17</w:t>
            </w:r>
            <w:r w:rsidRPr="000219B6">
              <w:rPr>
                <w:rFonts w:eastAsia="Calibri" w:cs="Arial"/>
                <w:noProof w:val="0"/>
                <w:szCs w:val="20"/>
              </w:rPr>
              <w:t xml:space="preserve">) je Vlada Republike Slovenije na .. seji dne …sprejela naslednji </w:t>
            </w:r>
          </w:p>
          <w:p w:rsidR="00B3685E" w:rsidRPr="000219B6" w:rsidRDefault="00B3685E" w:rsidP="00214564">
            <w:pPr>
              <w:spacing w:line="220" w:lineRule="atLeast"/>
              <w:jc w:val="both"/>
              <w:rPr>
                <w:rFonts w:eastAsia="Calibri" w:cs="Arial"/>
                <w:noProof w:val="0"/>
                <w:szCs w:val="20"/>
              </w:rPr>
            </w:pPr>
          </w:p>
          <w:p w:rsidR="00B3685E" w:rsidRPr="000219B6" w:rsidRDefault="00B3685E" w:rsidP="00214564">
            <w:pPr>
              <w:spacing w:line="220" w:lineRule="atLeast"/>
              <w:jc w:val="both"/>
              <w:rPr>
                <w:rFonts w:eastAsia="Calibri" w:cs="Arial"/>
                <w:noProof w:val="0"/>
                <w:szCs w:val="20"/>
              </w:rPr>
            </w:pPr>
          </w:p>
          <w:p w:rsidR="00B3685E" w:rsidRDefault="00B3685E" w:rsidP="00214564">
            <w:pPr>
              <w:spacing w:line="220" w:lineRule="atLeast"/>
              <w:jc w:val="center"/>
              <w:rPr>
                <w:rFonts w:eastAsia="Calibri" w:cs="Arial"/>
                <w:noProof w:val="0"/>
                <w:szCs w:val="20"/>
              </w:rPr>
            </w:pPr>
            <w:r w:rsidRPr="000219B6">
              <w:rPr>
                <w:rFonts w:eastAsia="Calibri" w:cs="Arial"/>
                <w:noProof w:val="0"/>
                <w:szCs w:val="20"/>
              </w:rPr>
              <w:t>SKLEP</w:t>
            </w:r>
          </w:p>
          <w:p w:rsidR="00B3685E" w:rsidRDefault="00B3685E" w:rsidP="00214564">
            <w:pPr>
              <w:ind w:left="720"/>
              <w:jc w:val="both"/>
              <w:rPr>
                <w:rFonts w:eastAsia="Calibri" w:cs="Arial"/>
                <w:noProof w:val="0"/>
                <w:szCs w:val="20"/>
              </w:rPr>
            </w:pPr>
          </w:p>
          <w:p w:rsidR="00D8016F" w:rsidRPr="00D8016F" w:rsidRDefault="00B3685E" w:rsidP="001E7D7D">
            <w:pPr>
              <w:pStyle w:val="datumtevilka"/>
              <w:jc w:val="both"/>
              <w:rPr>
                <w:rFonts w:cs="Arial"/>
              </w:rPr>
            </w:pPr>
            <w:r w:rsidRPr="00D8016F">
              <w:rPr>
                <w:rFonts w:cs="Arial"/>
              </w:rPr>
              <w:t xml:space="preserve">Vlada Republike Slovenije je sprejela odgovor na </w:t>
            </w:r>
            <w:r w:rsidR="003B6AB4">
              <w:rPr>
                <w:rFonts w:cs="Arial"/>
              </w:rPr>
              <w:t>priporočilo Varuha človekovih pravic Republike Slovenije glede vročanja priporočene pošte in drugih pošiljk</w:t>
            </w:r>
            <w:r w:rsidR="001E7D7D">
              <w:rPr>
                <w:rFonts w:cs="Arial"/>
              </w:rPr>
              <w:t xml:space="preserve"> </w:t>
            </w:r>
            <w:r w:rsidR="001E7D7D" w:rsidRPr="001E7D7D">
              <w:rPr>
                <w:rFonts w:cs="Arial"/>
              </w:rPr>
              <w:t>s strani državnih</w:t>
            </w:r>
            <w:r w:rsidR="001E7D7D">
              <w:rPr>
                <w:rFonts w:cs="Arial"/>
              </w:rPr>
              <w:t xml:space="preserve"> </w:t>
            </w:r>
            <w:r w:rsidR="001E7D7D" w:rsidRPr="001E7D7D">
              <w:rPr>
                <w:rFonts w:cs="Arial"/>
              </w:rPr>
              <w:t>organov oziroma ostalih organov oblasti</w:t>
            </w:r>
            <w:r w:rsidR="003B6AB4">
              <w:rPr>
                <w:rFonts w:cs="Arial"/>
              </w:rPr>
              <w:t xml:space="preserve"> osebam s prijavljenim t.i. zakonskim prebivališčem.</w:t>
            </w:r>
          </w:p>
          <w:p w:rsidR="00B3685E" w:rsidRPr="00740102" w:rsidRDefault="00B3685E" w:rsidP="00214564">
            <w:pPr>
              <w:widowControl w:val="0"/>
              <w:spacing w:line="240" w:lineRule="atLeast"/>
              <w:ind w:left="720" w:right="-21"/>
              <w:jc w:val="both"/>
              <w:rPr>
                <w:rFonts w:eastAsia="Calibri" w:cs="Arial"/>
                <w:noProof w:val="0"/>
                <w:szCs w:val="20"/>
              </w:rPr>
            </w:pPr>
            <w:r w:rsidRPr="00DD310B">
              <w:rPr>
                <w:rFonts w:eastAsia="Calibri" w:cs="Arial"/>
                <w:noProof w:val="0"/>
                <w:szCs w:val="20"/>
              </w:rPr>
              <w:t xml:space="preserve">  </w:t>
            </w:r>
          </w:p>
          <w:p w:rsidR="00B3685E" w:rsidRPr="00D8016F" w:rsidRDefault="00B3685E" w:rsidP="00214564">
            <w:pPr>
              <w:ind w:left="360"/>
              <w:rPr>
                <w:rFonts w:eastAsia="Calibri" w:cs="Arial"/>
                <w:noProof w:val="0"/>
                <w:szCs w:val="20"/>
              </w:rPr>
            </w:pPr>
            <w:r w:rsidRPr="000219B6">
              <w:rPr>
                <w:rFonts w:eastAsia="Calibri" w:cs="Arial"/>
                <w:noProof w:val="0"/>
                <w:szCs w:val="20"/>
              </w:rPr>
              <w:t xml:space="preserve">                                                                                        </w:t>
            </w:r>
            <w:r w:rsidR="00BD26D4">
              <w:rPr>
                <w:rFonts w:eastAsia="Calibri" w:cs="Arial"/>
                <w:noProof w:val="0"/>
                <w:szCs w:val="20"/>
              </w:rPr>
              <w:t xml:space="preserve"> </w:t>
            </w:r>
            <w:r w:rsidRPr="000219B6">
              <w:rPr>
                <w:rFonts w:eastAsia="Calibri" w:cs="Arial"/>
                <w:noProof w:val="0"/>
                <w:szCs w:val="20"/>
              </w:rPr>
              <w:t xml:space="preserve"> </w:t>
            </w:r>
            <w:r w:rsidR="00BD26D4">
              <w:rPr>
                <w:rFonts w:eastAsia="Calibri" w:cs="Arial"/>
                <w:noProof w:val="0"/>
                <w:szCs w:val="20"/>
              </w:rPr>
              <w:t>D</w:t>
            </w:r>
            <w:r w:rsidR="00D8016F" w:rsidRPr="00D8016F">
              <w:rPr>
                <w:rFonts w:eastAsia="Calibri" w:cs="Arial"/>
                <w:noProof w:val="0"/>
                <w:szCs w:val="20"/>
              </w:rPr>
              <w:t>r. Božo Predalič</w:t>
            </w:r>
          </w:p>
          <w:p w:rsidR="00B3685E" w:rsidRPr="000219B6" w:rsidRDefault="00B3685E" w:rsidP="00214564">
            <w:pPr>
              <w:ind w:left="17"/>
              <w:rPr>
                <w:rFonts w:eastAsia="Calibri" w:cs="Arial"/>
                <w:noProof w:val="0"/>
                <w:szCs w:val="20"/>
              </w:rPr>
            </w:pPr>
            <w:r w:rsidRPr="00D8016F">
              <w:rPr>
                <w:rFonts w:eastAsia="Calibri" w:cs="Arial"/>
                <w:noProof w:val="0"/>
                <w:szCs w:val="20"/>
              </w:rPr>
              <w:t xml:space="preserve">                                                                                                generalni sekretar</w:t>
            </w:r>
            <w:r w:rsidRPr="000219B6">
              <w:rPr>
                <w:rFonts w:eastAsia="Calibri" w:cs="Arial"/>
                <w:noProof w:val="0"/>
                <w:szCs w:val="20"/>
              </w:rPr>
              <w:t xml:space="preserve"> </w:t>
            </w:r>
          </w:p>
          <w:p w:rsidR="00B3685E" w:rsidRDefault="00B3685E" w:rsidP="00214564">
            <w:pPr>
              <w:rPr>
                <w:rFonts w:eastAsia="Calibri" w:cs="Arial"/>
                <w:noProof w:val="0"/>
                <w:szCs w:val="20"/>
              </w:rPr>
            </w:pPr>
          </w:p>
          <w:p w:rsidR="00B3685E" w:rsidRDefault="00B3685E" w:rsidP="00214564">
            <w:pPr>
              <w:ind w:left="17"/>
              <w:rPr>
                <w:rFonts w:eastAsia="Calibri" w:cs="Arial"/>
                <w:noProof w:val="0"/>
                <w:szCs w:val="20"/>
              </w:rPr>
            </w:pPr>
          </w:p>
          <w:p w:rsidR="00B3685E" w:rsidRPr="000219B6" w:rsidRDefault="00B3685E" w:rsidP="00214564">
            <w:pPr>
              <w:ind w:left="17"/>
              <w:rPr>
                <w:rFonts w:eastAsia="Calibri" w:cs="Arial"/>
                <w:noProof w:val="0"/>
                <w:szCs w:val="20"/>
              </w:rPr>
            </w:pPr>
            <w:r w:rsidRPr="000219B6">
              <w:rPr>
                <w:rFonts w:eastAsia="Calibri" w:cs="Arial"/>
                <w:noProof w:val="0"/>
                <w:szCs w:val="20"/>
              </w:rPr>
              <w:t xml:space="preserve">Sklep prejmejo: </w:t>
            </w:r>
          </w:p>
          <w:p w:rsidR="003B6AB4" w:rsidRDefault="003B6AB4" w:rsidP="00214564">
            <w:pPr>
              <w:numPr>
                <w:ilvl w:val="0"/>
                <w:numId w:val="8"/>
              </w:numPr>
              <w:spacing w:line="240" w:lineRule="atLeast"/>
              <w:ind w:right="-108"/>
              <w:jc w:val="both"/>
              <w:rPr>
                <w:rFonts w:eastAsia="Calibri" w:cs="Arial"/>
                <w:noProof w:val="0"/>
                <w:szCs w:val="20"/>
              </w:rPr>
            </w:pPr>
            <w:r>
              <w:rPr>
                <w:rFonts w:eastAsia="Calibri" w:cs="Arial"/>
                <w:noProof w:val="0"/>
                <w:szCs w:val="20"/>
              </w:rPr>
              <w:t>Varuh človekovih pravic Republike Slovenije,</w:t>
            </w:r>
          </w:p>
          <w:p w:rsidR="00B3685E" w:rsidRPr="00D8016F" w:rsidRDefault="00B3685E" w:rsidP="00214564">
            <w:pPr>
              <w:numPr>
                <w:ilvl w:val="0"/>
                <w:numId w:val="8"/>
              </w:numPr>
              <w:spacing w:line="240" w:lineRule="atLeast"/>
              <w:ind w:right="-108"/>
              <w:jc w:val="both"/>
              <w:rPr>
                <w:rFonts w:eastAsia="Calibri" w:cs="Arial"/>
                <w:noProof w:val="0"/>
                <w:szCs w:val="20"/>
              </w:rPr>
            </w:pPr>
            <w:r w:rsidRPr="00D8016F">
              <w:rPr>
                <w:rFonts w:eastAsia="Calibri" w:cs="Arial"/>
                <w:noProof w:val="0"/>
                <w:szCs w:val="20"/>
              </w:rPr>
              <w:t>Ministrstvo za javno upravo,</w:t>
            </w:r>
          </w:p>
          <w:p w:rsidR="00D8016F" w:rsidRDefault="003B6AB4" w:rsidP="00214564">
            <w:pPr>
              <w:numPr>
                <w:ilvl w:val="0"/>
                <w:numId w:val="8"/>
              </w:numPr>
              <w:spacing w:line="240" w:lineRule="atLeast"/>
              <w:ind w:right="-108"/>
              <w:jc w:val="both"/>
              <w:rPr>
                <w:rFonts w:eastAsia="Calibri" w:cs="Arial"/>
                <w:noProof w:val="0"/>
                <w:szCs w:val="20"/>
              </w:rPr>
            </w:pPr>
            <w:r>
              <w:rPr>
                <w:rFonts w:eastAsia="Calibri" w:cs="Arial"/>
                <w:noProof w:val="0"/>
                <w:szCs w:val="20"/>
              </w:rPr>
              <w:t>Ministrstvo za notranje zadeve,</w:t>
            </w:r>
          </w:p>
          <w:p w:rsidR="003B6AB4" w:rsidRDefault="003B6AB4" w:rsidP="00214564">
            <w:pPr>
              <w:numPr>
                <w:ilvl w:val="0"/>
                <w:numId w:val="8"/>
              </w:numPr>
              <w:spacing w:line="240" w:lineRule="atLeast"/>
              <w:ind w:right="-108"/>
              <w:jc w:val="both"/>
              <w:rPr>
                <w:rFonts w:eastAsia="Calibri" w:cs="Arial"/>
                <w:noProof w:val="0"/>
                <w:szCs w:val="20"/>
              </w:rPr>
            </w:pPr>
            <w:r>
              <w:rPr>
                <w:rFonts w:eastAsia="Calibri" w:cs="Arial"/>
                <w:noProof w:val="0"/>
                <w:szCs w:val="20"/>
              </w:rPr>
              <w:t>Ministrstvo za delo, družino</w:t>
            </w:r>
            <w:r w:rsidR="00C7365C">
              <w:rPr>
                <w:rFonts w:eastAsia="Calibri" w:cs="Arial"/>
                <w:noProof w:val="0"/>
                <w:szCs w:val="20"/>
              </w:rPr>
              <w:t xml:space="preserve">, </w:t>
            </w:r>
            <w:r>
              <w:rPr>
                <w:rFonts w:eastAsia="Calibri" w:cs="Arial"/>
                <w:noProof w:val="0"/>
                <w:szCs w:val="20"/>
              </w:rPr>
              <w:t>socialne zadeve</w:t>
            </w:r>
            <w:r w:rsidR="00C7365C">
              <w:rPr>
                <w:rFonts w:eastAsia="Calibri" w:cs="Arial"/>
                <w:noProof w:val="0"/>
                <w:szCs w:val="20"/>
              </w:rPr>
              <w:t xml:space="preserve"> in enake možnosti</w:t>
            </w:r>
            <w:r>
              <w:rPr>
                <w:rFonts w:eastAsia="Calibri" w:cs="Arial"/>
                <w:noProof w:val="0"/>
                <w:szCs w:val="20"/>
              </w:rPr>
              <w:t>,</w:t>
            </w:r>
          </w:p>
          <w:p w:rsidR="001E7D7D" w:rsidRPr="00D8016F" w:rsidRDefault="001E7D7D" w:rsidP="00214564">
            <w:pPr>
              <w:numPr>
                <w:ilvl w:val="0"/>
                <w:numId w:val="8"/>
              </w:numPr>
              <w:spacing w:line="240" w:lineRule="atLeast"/>
              <w:ind w:right="-108"/>
              <w:jc w:val="both"/>
              <w:rPr>
                <w:rFonts w:eastAsia="Calibri" w:cs="Arial"/>
                <w:noProof w:val="0"/>
                <w:szCs w:val="20"/>
              </w:rPr>
            </w:pPr>
            <w:r>
              <w:rPr>
                <w:rFonts w:eastAsia="Calibri" w:cs="Arial"/>
                <w:noProof w:val="0"/>
                <w:szCs w:val="20"/>
              </w:rPr>
              <w:t>Ministrstvo za pravosodje,</w:t>
            </w:r>
          </w:p>
          <w:p w:rsidR="00B3685E" w:rsidRPr="00D8016F" w:rsidRDefault="00B3685E" w:rsidP="00214564">
            <w:pPr>
              <w:numPr>
                <w:ilvl w:val="0"/>
                <w:numId w:val="8"/>
              </w:numPr>
              <w:spacing w:line="240" w:lineRule="atLeast"/>
              <w:ind w:right="-108"/>
              <w:jc w:val="both"/>
              <w:rPr>
                <w:rFonts w:eastAsia="Calibri" w:cs="Arial"/>
                <w:noProof w:val="0"/>
                <w:szCs w:val="20"/>
              </w:rPr>
            </w:pPr>
            <w:r w:rsidRPr="00D8016F">
              <w:rPr>
                <w:rFonts w:eastAsia="Calibri" w:cs="Arial"/>
                <w:noProof w:val="0"/>
                <w:szCs w:val="20"/>
              </w:rPr>
              <w:t>Služba Vlade RS za zakonodajo</w:t>
            </w:r>
            <w:r w:rsidR="003B6AB4">
              <w:rPr>
                <w:rFonts w:eastAsia="Calibri" w:cs="Arial"/>
                <w:noProof w:val="0"/>
                <w:szCs w:val="20"/>
              </w:rPr>
              <w:t>.</w:t>
            </w:r>
          </w:p>
          <w:p w:rsidR="00D11546" w:rsidRPr="005D2DC8" w:rsidRDefault="00D11546" w:rsidP="00D11546">
            <w:pPr>
              <w:ind w:left="720"/>
              <w:rPr>
                <w:rFonts w:eastAsia="Calibri" w:cs="Arial"/>
                <w:noProof w:val="0"/>
                <w:szCs w:val="20"/>
              </w:rPr>
            </w:pP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t xml:space="preserve"> 2. Predlog za obravnavo predloga zakona po nujnem ali skrajšanem postopku v državnem zboru z obrazložitvijo razlogov: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/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3B6AB4" w:rsidRDefault="00B3685E" w:rsidP="00214564">
            <w:pPr>
              <w:pStyle w:val="Neotevilenodstavek"/>
              <w:spacing w:before="0" w:after="0" w:line="240" w:lineRule="exact"/>
              <w:rPr>
                <w:bCs/>
                <w:sz w:val="20"/>
                <w:szCs w:val="20"/>
                <w:lang w:eastAsia="en-US"/>
              </w:rPr>
            </w:pPr>
            <w:r w:rsidRPr="000219B6">
              <w:rPr>
                <w:bCs/>
                <w:sz w:val="20"/>
                <w:szCs w:val="20"/>
                <w:lang w:eastAsia="en-US"/>
              </w:rPr>
              <w:t xml:space="preserve">mag. </w:t>
            </w:r>
            <w:r w:rsidR="003B6AB4">
              <w:rPr>
                <w:bCs/>
                <w:sz w:val="20"/>
                <w:szCs w:val="20"/>
                <w:lang w:eastAsia="en-US"/>
              </w:rPr>
              <w:t>Janja Zupan Novak, sekretarka, Ministrstvo za javno upravo,</w:t>
            </w:r>
          </w:p>
          <w:p w:rsidR="00421042" w:rsidRDefault="003B6AB4" w:rsidP="00214564">
            <w:pPr>
              <w:pStyle w:val="Neotevilenodstavek"/>
              <w:spacing w:before="0" w:after="0" w:line="240" w:lineRule="exac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mag. </w:t>
            </w:r>
            <w:r w:rsidR="00B3685E">
              <w:rPr>
                <w:bCs/>
                <w:sz w:val="20"/>
                <w:szCs w:val="20"/>
                <w:lang w:eastAsia="en-US"/>
              </w:rPr>
              <w:t>Matjaž Remic</w:t>
            </w:r>
            <w:r w:rsidR="00B3685E" w:rsidRPr="000219B6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="00B3685E">
              <w:rPr>
                <w:bCs/>
                <w:sz w:val="20"/>
                <w:szCs w:val="20"/>
                <w:lang w:eastAsia="en-US"/>
              </w:rPr>
              <w:t>sekretar</w:t>
            </w:r>
            <w:r w:rsidR="006C0994">
              <w:rPr>
                <w:bCs/>
                <w:sz w:val="20"/>
                <w:szCs w:val="20"/>
                <w:lang w:eastAsia="en-US"/>
              </w:rPr>
              <w:t>, Ministrstvo za javno upravo,</w:t>
            </w:r>
          </w:p>
          <w:p w:rsidR="00B3685E" w:rsidRDefault="003B6AB4" w:rsidP="00825F40">
            <w:pPr>
              <w:pStyle w:val="Neotevilenodstavek"/>
              <w:spacing w:before="0" w:after="0" w:line="240" w:lineRule="exac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Peter Pogačar, generalni direktor</w:t>
            </w:r>
            <w:r w:rsidR="006C0994">
              <w:rPr>
                <w:bCs/>
                <w:sz w:val="20"/>
                <w:szCs w:val="20"/>
                <w:lang w:eastAsia="en-US"/>
              </w:rPr>
              <w:t xml:space="preserve">, Ministrstvo za </w:t>
            </w:r>
            <w:r>
              <w:rPr>
                <w:bCs/>
                <w:sz w:val="20"/>
                <w:szCs w:val="20"/>
                <w:lang w:eastAsia="en-US"/>
              </w:rPr>
              <w:t>javno upravo</w:t>
            </w:r>
            <w:r w:rsidR="006C0994">
              <w:rPr>
                <w:bCs/>
                <w:sz w:val="20"/>
                <w:szCs w:val="20"/>
                <w:lang w:eastAsia="en-US"/>
              </w:rPr>
              <w:t>.</w:t>
            </w:r>
          </w:p>
          <w:p w:rsidR="00825F40" w:rsidRPr="000219B6" w:rsidRDefault="00825F40" w:rsidP="00825F40">
            <w:pPr>
              <w:pStyle w:val="Neotevilenodstavek"/>
              <w:spacing w:before="0" w:after="0" w:line="240" w:lineRule="exact"/>
              <w:rPr>
                <w:iCs/>
                <w:sz w:val="20"/>
                <w:szCs w:val="20"/>
              </w:rPr>
            </w:pP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0219B6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lastRenderedPageBreak/>
              <w:t>Pri pripravi gradiva niso sodelovali zunanji strokovnjaki.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t>4. Predstavniki vlade, ki bodo sodelovali pri delu državnega zbora:</w:t>
            </w:r>
            <w:r w:rsidR="00884248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autoSpaceDE w:val="0"/>
              <w:autoSpaceDN w:val="0"/>
              <w:adjustRightInd w:val="0"/>
              <w:spacing w:line="220" w:lineRule="atLeast"/>
              <w:jc w:val="both"/>
              <w:rPr>
                <w:rFonts w:cs="Arial"/>
                <w:bCs/>
                <w:noProof w:val="0"/>
                <w:szCs w:val="20"/>
              </w:rPr>
            </w:pP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noProof w:val="0"/>
                <w:sz w:val="2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340AF5" w:rsidRDefault="00B3685E" w:rsidP="00884248">
            <w:pPr>
              <w:jc w:val="both"/>
            </w:pPr>
            <w:r w:rsidRPr="000C331A">
              <w:rPr>
                <w:rFonts w:cs="Arial"/>
                <w:noProof w:val="0"/>
                <w:szCs w:val="22"/>
              </w:rPr>
              <w:t xml:space="preserve">Gradivo vsebuje </w:t>
            </w:r>
            <w:r w:rsidR="00A44DE0">
              <w:rPr>
                <w:rFonts w:cs="Arial"/>
                <w:noProof w:val="0"/>
                <w:szCs w:val="22"/>
              </w:rPr>
              <w:t xml:space="preserve">predlog odgovora Vlade Republike Slovenije </w:t>
            </w:r>
            <w:r w:rsidRPr="000C331A">
              <w:rPr>
                <w:rFonts w:cs="Arial"/>
                <w:noProof w:val="0"/>
                <w:szCs w:val="22"/>
              </w:rPr>
              <w:t xml:space="preserve">na </w:t>
            </w:r>
            <w:r w:rsidR="003B6AB4">
              <w:rPr>
                <w:rFonts w:cs="Arial"/>
                <w:noProof w:val="0"/>
                <w:szCs w:val="22"/>
              </w:rPr>
              <w:t xml:space="preserve">priporočilo </w:t>
            </w:r>
            <w:r w:rsidR="003B6AB4" w:rsidRPr="003B6AB4">
              <w:rPr>
                <w:rFonts w:cs="Arial"/>
                <w:noProof w:val="0"/>
                <w:szCs w:val="22"/>
              </w:rPr>
              <w:t>Varuha človekovih pravic Republike Slovenije glede vročanja priporočene pošte in drugih pošiljk s strani državnih organov oziroma ostalih organov oblasti osebam s prijavljenim t. i. zakonskim prebivališčem</w:t>
            </w:r>
            <w:r w:rsidR="003B6AB4">
              <w:rPr>
                <w:rFonts w:cs="Arial"/>
                <w:noProof w:val="0"/>
                <w:szCs w:val="22"/>
              </w:rPr>
              <w:t xml:space="preserve"> </w:t>
            </w:r>
            <w:r>
              <w:rPr>
                <w:rFonts w:cs="Arial"/>
                <w:noProof w:val="0"/>
                <w:szCs w:val="22"/>
              </w:rPr>
              <w:t>(</w:t>
            </w:r>
            <w:r w:rsidR="00421042">
              <w:t>d</w:t>
            </w:r>
            <w:r w:rsidRPr="00340AF5">
              <w:t xml:space="preserve">opis </w:t>
            </w:r>
            <w:r>
              <w:t>Generalnega sekretariata Vlade Republike Slovenije</w:t>
            </w:r>
            <w:r w:rsidRPr="00340AF5">
              <w:t xml:space="preserve"> št</w:t>
            </w:r>
            <w:r>
              <w:t>evilka:</w:t>
            </w:r>
            <w:r w:rsidR="00EB3E0F">
              <w:t xml:space="preserve"> </w:t>
            </w:r>
            <w:r w:rsidR="00EB3E0F" w:rsidRPr="00EB3E0F">
              <w:t>02100-12/2020/2</w:t>
            </w:r>
            <w:r w:rsidR="00EB3E0F">
              <w:t xml:space="preserve"> z dne 2. 11. 2020</w:t>
            </w:r>
            <w:r>
              <w:t>)</w:t>
            </w:r>
            <w:r w:rsidR="00B25F38">
              <w:t xml:space="preserve">, ki ga </w:t>
            </w:r>
            <w:r w:rsidR="003B6AB4">
              <w:t xml:space="preserve">je </w:t>
            </w:r>
            <w:r w:rsidR="00B25F38">
              <w:t>pripravil</w:t>
            </w:r>
            <w:r w:rsidR="003B6AB4">
              <w:t>o</w:t>
            </w:r>
            <w:r w:rsidR="00B25F38">
              <w:t xml:space="preserve"> Ministrstvo za javno upravo, z njim pa soglaša tudi Služba </w:t>
            </w:r>
            <w:r w:rsidR="001E7D7D">
              <w:t>V</w:t>
            </w:r>
            <w:r w:rsidR="00B25F38">
              <w:t xml:space="preserve">lade </w:t>
            </w:r>
            <w:r w:rsidR="001E7D7D">
              <w:t xml:space="preserve">Republike Slovenije </w:t>
            </w:r>
            <w:r w:rsidR="00B25F38">
              <w:t>za zakonodajo.</w:t>
            </w:r>
          </w:p>
          <w:p w:rsidR="00B3685E" w:rsidRPr="00EB2C93" w:rsidRDefault="00B3685E" w:rsidP="00214564">
            <w:pPr>
              <w:widowControl w:val="0"/>
              <w:spacing w:line="240" w:lineRule="atLeast"/>
              <w:ind w:right="-21"/>
              <w:jc w:val="both"/>
              <w:rPr>
                <w:rFonts w:eastAsia="Calibri" w:cs="Arial"/>
                <w:noProof w:val="0"/>
                <w:szCs w:val="20"/>
              </w:rPr>
            </w:pP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</w:tcPr>
          <w:p w:rsidR="00B3685E" w:rsidRPr="000219B6" w:rsidRDefault="00B3685E" w:rsidP="00214564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rFonts w:cs="Arial"/>
                <w:noProof w:val="0"/>
                <w:sz w:val="2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 w:val="20"/>
                <w:szCs w:val="20"/>
                <w:lang w:eastAsia="sl-SI"/>
              </w:rPr>
              <w:t xml:space="preserve"> 6. Presoja posledic za: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gospodarstvo, zlasti</w:t>
            </w:r>
            <w:r w:rsidRPr="000219B6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dokumente razvojnega načrtovanja:</w:t>
            </w:r>
          </w:p>
          <w:p w:rsidR="00B3685E" w:rsidRPr="000219B6" w:rsidRDefault="00B3685E" w:rsidP="00214564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nacionalne dokumente razvojnega načrtovanja</w:t>
            </w:r>
          </w:p>
          <w:p w:rsidR="00B3685E" w:rsidRPr="000219B6" w:rsidRDefault="00B3685E" w:rsidP="00214564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B3685E" w:rsidRPr="000219B6" w:rsidRDefault="00B3685E" w:rsidP="00214564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0219B6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1448" w:type="dxa"/>
            <w:tcBorders>
              <w:bottom w:val="single" w:sz="4" w:space="0" w:color="auto"/>
            </w:tcBorders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B3685E" w:rsidRPr="000219B6" w:rsidTr="00214564">
        <w:trPr>
          <w:gridBefore w:val="1"/>
          <w:wBefore w:w="100" w:type="dxa"/>
        </w:trPr>
        <w:tc>
          <w:tcPr>
            <w:tcW w:w="9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5E" w:rsidRPr="004C1CD1" w:rsidRDefault="00B3685E" w:rsidP="0042104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lang w:eastAsia="sl-SI"/>
              </w:rPr>
            </w:pPr>
            <w:r w:rsidRPr="000219B6">
              <w:rPr>
                <w:rFonts w:cs="Arial"/>
                <w:noProof w:val="0"/>
                <w:sz w:val="20"/>
                <w:szCs w:val="20"/>
                <w:lang w:eastAsia="sl-SI"/>
              </w:rPr>
              <w:t>7.a Predstavitev ocene finančnih posledic nad 40.000 EUR:</w:t>
            </w:r>
          </w:p>
          <w:p w:rsidR="00B3685E" w:rsidRPr="004C1CD1" w:rsidRDefault="00B3685E" w:rsidP="00214564">
            <w:pPr>
              <w:tabs>
                <w:tab w:val="left" w:pos="7864"/>
              </w:tabs>
              <w:rPr>
                <w:lang w:eastAsia="sl-SI"/>
              </w:rPr>
            </w:pPr>
            <w:r>
              <w:rPr>
                <w:lang w:eastAsia="sl-SI"/>
              </w:rPr>
              <w:tab/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5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685E" w:rsidRPr="000219B6" w:rsidRDefault="00B3685E" w:rsidP="00214564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noProof w:val="0"/>
                <w:sz w:val="20"/>
                <w:szCs w:val="20"/>
              </w:rPr>
            </w:pPr>
            <w:r w:rsidRPr="000219B6">
              <w:rPr>
                <w:rFonts w:cs="Arial"/>
                <w:noProof w:val="0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76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t + 3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rPr>
                <w:rFonts w:cs="Arial"/>
                <w:bCs/>
                <w:noProof w:val="0"/>
                <w:szCs w:val="20"/>
              </w:rPr>
            </w:pPr>
            <w:r w:rsidRPr="000219B6">
              <w:rPr>
                <w:rFonts w:cs="Arial"/>
                <w:bCs/>
                <w:noProof w:val="0"/>
                <w:szCs w:val="20"/>
              </w:rPr>
              <w:t>Predvideno povečanje (+) ali zmanjšanje (</w:t>
            </w:r>
            <w:r w:rsidRPr="000219B6">
              <w:rPr>
                <w:rFonts w:cs="Arial"/>
                <w:b/>
                <w:noProof w:val="0"/>
                <w:szCs w:val="20"/>
              </w:rPr>
              <w:t>–</w:t>
            </w:r>
            <w:r w:rsidRPr="000219B6">
              <w:rPr>
                <w:rFonts w:cs="Arial"/>
                <w:bCs/>
                <w:noProof w:val="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rPr>
                <w:rFonts w:cs="Arial"/>
                <w:bCs/>
                <w:noProof w:val="0"/>
                <w:szCs w:val="20"/>
              </w:rPr>
            </w:pPr>
            <w:r w:rsidRPr="000219B6">
              <w:rPr>
                <w:rFonts w:cs="Arial"/>
                <w:bCs/>
                <w:noProof w:val="0"/>
                <w:szCs w:val="20"/>
              </w:rPr>
              <w:t>Predvideno povečanje (+) ali zmanjšanje (</w:t>
            </w:r>
            <w:r w:rsidRPr="000219B6">
              <w:rPr>
                <w:rFonts w:cs="Arial"/>
                <w:b/>
                <w:noProof w:val="0"/>
                <w:szCs w:val="20"/>
              </w:rPr>
              <w:t>–</w:t>
            </w:r>
            <w:r w:rsidRPr="000219B6">
              <w:rPr>
                <w:rFonts w:cs="Arial"/>
                <w:bCs/>
                <w:noProof w:val="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rPr>
                <w:rFonts w:cs="Arial"/>
                <w:bCs/>
                <w:noProof w:val="0"/>
                <w:szCs w:val="20"/>
              </w:rPr>
            </w:pPr>
            <w:r w:rsidRPr="000219B6">
              <w:rPr>
                <w:rFonts w:cs="Arial"/>
                <w:bCs/>
                <w:noProof w:val="0"/>
                <w:szCs w:val="20"/>
              </w:rPr>
              <w:t>Predvideno povečanje (+) ali zmanjšanje (</w:t>
            </w:r>
            <w:r w:rsidRPr="000219B6">
              <w:rPr>
                <w:rFonts w:cs="Arial"/>
                <w:b/>
                <w:noProof w:val="0"/>
                <w:szCs w:val="20"/>
              </w:rPr>
              <w:t>–</w:t>
            </w:r>
            <w:r w:rsidRPr="000219B6">
              <w:rPr>
                <w:rFonts w:cs="Arial"/>
                <w:bCs/>
                <w:noProof w:val="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6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rPr>
                <w:rFonts w:cs="Arial"/>
                <w:bCs/>
                <w:noProof w:val="0"/>
                <w:szCs w:val="20"/>
              </w:rPr>
            </w:pPr>
            <w:r w:rsidRPr="000219B6">
              <w:rPr>
                <w:rFonts w:cs="Arial"/>
                <w:bCs/>
                <w:noProof w:val="0"/>
                <w:szCs w:val="20"/>
              </w:rPr>
              <w:t>Predvideno povečanje (+) ali zmanjšanje (</w:t>
            </w:r>
            <w:r w:rsidRPr="000219B6">
              <w:rPr>
                <w:rFonts w:cs="Arial"/>
                <w:b/>
                <w:noProof w:val="0"/>
                <w:szCs w:val="20"/>
              </w:rPr>
              <w:t>–</w:t>
            </w:r>
            <w:r w:rsidRPr="000219B6">
              <w:rPr>
                <w:rFonts w:cs="Arial"/>
                <w:bCs/>
                <w:noProof w:val="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423"/>
        </w:trPr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rPr>
                <w:rFonts w:cs="Arial"/>
                <w:bCs/>
                <w:noProof w:val="0"/>
                <w:szCs w:val="20"/>
              </w:rPr>
            </w:pPr>
            <w:r w:rsidRPr="000219B6">
              <w:rPr>
                <w:rFonts w:cs="Arial"/>
                <w:bCs/>
                <w:noProof w:val="0"/>
                <w:szCs w:val="20"/>
              </w:rPr>
              <w:t>Predvideno povečanje (+) ali zmanjšanje (</w:t>
            </w:r>
            <w:r w:rsidRPr="000219B6">
              <w:rPr>
                <w:rFonts w:cs="Arial"/>
                <w:b/>
                <w:noProof w:val="0"/>
                <w:szCs w:val="20"/>
              </w:rPr>
              <w:t>–</w:t>
            </w:r>
            <w:r w:rsidRPr="000219B6">
              <w:rPr>
                <w:rFonts w:cs="Arial"/>
                <w:bCs/>
                <w:noProof w:val="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noProof w:val="0"/>
                <w:sz w:val="20"/>
                <w:szCs w:val="20"/>
              </w:rPr>
            </w:pPr>
            <w:r w:rsidRPr="000219B6">
              <w:rPr>
                <w:rFonts w:cs="Arial"/>
                <w:noProof w:val="0"/>
                <w:sz w:val="20"/>
                <w:szCs w:val="20"/>
              </w:rPr>
              <w:t>II. Finančne posledice za državni proračun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5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0219B6">
              <w:rPr>
                <w:rFonts w:cs="Arial"/>
                <w:noProof w:val="0"/>
                <w:sz w:val="20"/>
                <w:szCs w:val="20"/>
              </w:rPr>
              <w:t>II.a</w:t>
            </w:r>
            <w:proofErr w:type="spellEnd"/>
            <w:r w:rsidRPr="000219B6">
              <w:rPr>
                <w:rFonts w:cs="Arial"/>
                <w:noProof w:val="0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Znesek za t + 1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328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  <w:r w:rsidRPr="000219B6">
              <w:rPr>
                <w:rFonts w:cs="Arial"/>
                <w:noProof w:val="0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b/>
                <w:noProof w:val="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94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0219B6">
              <w:rPr>
                <w:rFonts w:cs="Arial"/>
                <w:noProof w:val="0"/>
                <w:sz w:val="20"/>
                <w:szCs w:val="20"/>
              </w:rPr>
              <w:t>II.b</w:t>
            </w:r>
            <w:proofErr w:type="spellEnd"/>
            <w:r w:rsidRPr="000219B6">
              <w:rPr>
                <w:rFonts w:cs="Arial"/>
                <w:noProof w:val="0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 xml:space="preserve">Znesek za t + 1 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  <w:r w:rsidRPr="000219B6">
              <w:rPr>
                <w:rFonts w:cs="Arial"/>
                <w:noProof w:val="0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207"/>
        </w:trPr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0219B6">
              <w:rPr>
                <w:rFonts w:cs="Arial"/>
                <w:noProof w:val="0"/>
                <w:sz w:val="20"/>
                <w:szCs w:val="20"/>
              </w:rPr>
              <w:t>II.c</w:t>
            </w:r>
            <w:proofErr w:type="spellEnd"/>
            <w:r w:rsidRPr="000219B6">
              <w:rPr>
                <w:rFonts w:cs="Arial"/>
                <w:noProof w:val="0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100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widowControl w:val="0"/>
              <w:ind w:left="-122" w:right="-112"/>
              <w:jc w:val="center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Znesek za t + 1</w:t>
            </w: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3" w:type="dxa"/>
          <w:cantSplit/>
          <w:trHeight w:val="95"/>
        </w:trPr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  <w:r w:rsidRPr="000219B6">
              <w:rPr>
                <w:rFonts w:cs="Arial"/>
                <w:noProof w:val="0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5E" w:rsidRPr="000219B6" w:rsidRDefault="00B3685E" w:rsidP="00214564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B3685E" w:rsidRPr="000219B6" w:rsidTr="00214564">
        <w:trPr>
          <w:gridAfter w:val="1"/>
          <w:wAfter w:w="63" w:type="dxa"/>
          <w:trHeight w:val="1910"/>
        </w:trPr>
        <w:tc>
          <w:tcPr>
            <w:tcW w:w="9200" w:type="dxa"/>
            <w:gridSpan w:val="13"/>
          </w:tcPr>
          <w:p w:rsidR="00B3685E" w:rsidRPr="000219B6" w:rsidRDefault="00B3685E" w:rsidP="00214564">
            <w:pPr>
              <w:widowControl w:val="0"/>
              <w:rPr>
                <w:rFonts w:cs="Arial"/>
                <w:b/>
                <w:noProof w:val="0"/>
                <w:szCs w:val="20"/>
              </w:rPr>
            </w:pPr>
          </w:p>
          <w:p w:rsidR="00B3685E" w:rsidRPr="000219B6" w:rsidRDefault="00B3685E" w:rsidP="00214564">
            <w:pPr>
              <w:widowControl w:val="0"/>
              <w:rPr>
                <w:rFonts w:cs="Arial"/>
                <w:b/>
                <w:noProof w:val="0"/>
                <w:szCs w:val="20"/>
              </w:rPr>
            </w:pPr>
            <w:r w:rsidRPr="000219B6">
              <w:rPr>
                <w:rFonts w:cs="Arial"/>
                <w:b/>
                <w:noProof w:val="0"/>
                <w:szCs w:val="20"/>
              </w:rPr>
              <w:t>OBRAZLOŽITEV: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3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>Ocena finančnih posledic, ki niso načrtovane v sprejetem proračunu</w:t>
            </w:r>
          </w:p>
          <w:p w:rsidR="00B3685E" w:rsidRPr="000219B6" w:rsidRDefault="00B3685E" w:rsidP="00214564">
            <w:pPr>
              <w:widowControl w:val="0"/>
              <w:ind w:left="360" w:hanging="76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4"/>
              </w:numPr>
              <w:suppressAutoHyphens/>
              <w:spacing w:line="260" w:lineRule="exact"/>
              <w:jc w:val="both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prihodkov državnega proračuna in občinskih proračunov,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4"/>
              </w:numPr>
              <w:suppressAutoHyphens/>
              <w:spacing w:line="260" w:lineRule="exact"/>
              <w:jc w:val="both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 xml:space="preserve">odhodkov državnega proračuna, ki niso načrtovani na ukrepih oziroma projektih sprejetih </w:t>
            </w:r>
            <w:r w:rsidRPr="000219B6">
              <w:rPr>
                <w:rFonts w:cs="Arial"/>
                <w:noProof w:val="0"/>
                <w:szCs w:val="20"/>
                <w:lang w:eastAsia="sl-SI"/>
              </w:rPr>
              <w:lastRenderedPageBreak/>
              <w:t>proračunov,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4"/>
              </w:numPr>
              <w:suppressAutoHyphens/>
              <w:spacing w:line="260" w:lineRule="exact"/>
              <w:jc w:val="both"/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:rsidR="00B3685E" w:rsidRPr="000219B6" w:rsidRDefault="00B3685E" w:rsidP="00214564">
            <w:pPr>
              <w:widowControl w:val="0"/>
              <w:ind w:left="284"/>
              <w:rPr>
                <w:rFonts w:cs="Arial"/>
                <w:noProof w:val="0"/>
                <w:szCs w:val="20"/>
                <w:lang w:eastAsia="sl-SI"/>
              </w:rPr>
            </w:pPr>
          </w:p>
          <w:p w:rsidR="00B3685E" w:rsidRPr="000219B6" w:rsidRDefault="00B3685E" w:rsidP="00214564">
            <w:pPr>
              <w:widowControl w:val="0"/>
              <w:numPr>
                <w:ilvl w:val="0"/>
                <w:numId w:val="3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>Finančne posledice za državni proračun</w:t>
            </w:r>
          </w:p>
          <w:p w:rsidR="00B3685E" w:rsidRPr="000219B6" w:rsidRDefault="00B3685E" w:rsidP="00214564">
            <w:pPr>
              <w:widowControl w:val="0"/>
              <w:ind w:left="284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:rsidR="00B3685E" w:rsidRPr="000219B6" w:rsidRDefault="00B3685E" w:rsidP="00214564">
            <w:pPr>
              <w:widowControl w:val="0"/>
              <w:suppressAutoHyphens/>
              <w:ind w:left="720"/>
              <w:jc w:val="both"/>
              <w:rPr>
                <w:rFonts w:cs="Arial"/>
                <w:b/>
                <w:noProof w:val="0"/>
                <w:szCs w:val="20"/>
                <w:lang w:eastAsia="sl-SI"/>
              </w:rPr>
            </w:pPr>
            <w:proofErr w:type="spellStart"/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>II.a</w:t>
            </w:r>
            <w:proofErr w:type="spellEnd"/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 xml:space="preserve"> Pravice porabe za izvedbo predlaganih rešitev so zagotovljene:</w:t>
            </w:r>
          </w:p>
          <w:p w:rsidR="00B3685E" w:rsidRPr="000219B6" w:rsidRDefault="00B3685E" w:rsidP="00214564">
            <w:pPr>
              <w:widowControl w:val="0"/>
              <w:ind w:left="284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0219B6">
              <w:rPr>
                <w:rFonts w:cs="Arial"/>
                <w:noProof w:val="0"/>
                <w:szCs w:val="20"/>
                <w:lang w:eastAsia="sl-SI"/>
              </w:rPr>
              <w:t>II.b</w:t>
            </w:r>
            <w:proofErr w:type="spellEnd"/>
            <w:r w:rsidRPr="000219B6">
              <w:rPr>
                <w:rFonts w:cs="Arial"/>
                <w:noProof w:val="0"/>
                <w:szCs w:val="20"/>
                <w:lang w:eastAsia="sl-SI"/>
              </w:rPr>
              <w:t>). Pri uvrstitvi novega projekta oziroma ukrepa v načrt razvojnih programov se navedejo: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5"/>
              </w:numPr>
              <w:suppressAutoHyphens/>
              <w:spacing w:line="260" w:lineRule="exact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proračunski uporabnik, ki bo financiral novi projekt oziroma ukrep,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5"/>
              </w:numPr>
              <w:suppressAutoHyphens/>
              <w:spacing w:line="260" w:lineRule="exact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:rsidR="00B3685E" w:rsidRPr="000219B6" w:rsidRDefault="00B3685E" w:rsidP="00214564">
            <w:pPr>
              <w:widowControl w:val="0"/>
              <w:numPr>
                <w:ilvl w:val="0"/>
                <w:numId w:val="5"/>
              </w:numPr>
              <w:suppressAutoHyphens/>
              <w:spacing w:line="260" w:lineRule="exact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proračunske postavke.</w:t>
            </w:r>
          </w:p>
          <w:p w:rsidR="00B3685E" w:rsidRPr="000219B6" w:rsidRDefault="00B3685E" w:rsidP="00214564">
            <w:pPr>
              <w:widowControl w:val="0"/>
              <w:ind w:left="284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0219B6">
              <w:rPr>
                <w:rFonts w:cs="Arial"/>
                <w:noProof w:val="0"/>
                <w:szCs w:val="20"/>
                <w:lang w:eastAsia="sl-SI"/>
              </w:rPr>
              <w:t>II.b</w:t>
            </w:r>
            <w:proofErr w:type="spellEnd"/>
            <w:r w:rsidRPr="000219B6">
              <w:rPr>
                <w:rFonts w:cs="Arial"/>
                <w:noProof w:val="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:rsidR="00B3685E" w:rsidRPr="000219B6" w:rsidRDefault="00B3685E" w:rsidP="00214564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noProof w:val="0"/>
                <w:szCs w:val="20"/>
                <w:lang w:eastAsia="sl-SI"/>
              </w:rPr>
            </w:pPr>
            <w:proofErr w:type="spellStart"/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>II.b</w:t>
            </w:r>
            <w:proofErr w:type="spellEnd"/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 xml:space="preserve"> Manjkajoče pravice porabe bodo zagotovljene s prerazporeditvijo:</w:t>
            </w:r>
          </w:p>
          <w:p w:rsidR="00B3685E" w:rsidRPr="000219B6" w:rsidRDefault="00B3685E" w:rsidP="00214564">
            <w:pPr>
              <w:widowControl w:val="0"/>
              <w:ind w:left="284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II.a.</w:t>
            </w:r>
          </w:p>
          <w:p w:rsidR="00B3685E" w:rsidRPr="000219B6" w:rsidRDefault="00B3685E" w:rsidP="00214564">
            <w:pPr>
              <w:widowControl w:val="0"/>
              <w:suppressAutoHyphens/>
              <w:ind w:left="714"/>
              <w:jc w:val="both"/>
              <w:rPr>
                <w:rFonts w:cs="Arial"/>
                <w:b/>
                <w:noProof w:val="0"/>
                <w:szCs w:val="20"/>
                <w:lang w:eastAsia="sl-SI"/>
              </w:rPr>
            </w:pPr>
            <w:proofErr w:type="spellStart"/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>II.c</w:t>
            </w:r>
            <w:proofErr w:type="spellEnd"/>
            <w:r w:rsidRPr="000219B6">
              <w:rPr>
                <w:rFonts w:cs="Arial"/>
                <w:b/>
                <w:noProof w:val="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:rsidR="00B3685E" w:rsidRPr="000219B6" w:rsidRDefault="00B3685E" w:rsidP="00214564">
            <w:pPr>
              <w:widowControl w:val="0"/>
              <w:ind w:left="284"/>
              <w:jc w:val="both"/>
              <w:rPr>
                <w:rFonts w:cs="Arial"/>
                <w:noProof w:val="0"/>
                <w:szCs w:val="20"/>
                <w:lang w:eastAsia="sl-SI"/>
              </w:rPr>
            </w:pPr>
            <w:r w:rsidRPr="000219B6">
              <w:rPr>
                <w:rFonts w:cs="Arial"/>
                <w:noProof w:val="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0219B6">
              <w:rPr>
                <w:rFonts w:cs="Arial"/>
                <w:noProof w:val="0"/>
                <w:szCs w:val="20"/>
                <w:lang w:eastAsia="sl-SI"/>
              </w:rPr>
              <w:t>II.a</w:t>
            </w:r>
            <w:proofErr w:type="spellEnd"/>
            <w:r w:rsidRPr="000219B6">
              <w:rPr>
                <w:rFonts w:cs="Arial"/>
                <w:noProof w:val="0"/>
                <w:szCs w:val="20"/>
                <w:lang w:eastAsia="sl-SI"/>
              </w:rPr>
              <w:t xml:space="preserve"> in </w:t>
            </w:r>
            <w:proofErr w:type="spellStart"/>
            <w:r w:rsidRPr="000219B6">
              <w:rPr>
                <w:rFonts w:cs="Arial"/>
                <w:noProof w:val="0"/>
                <w:szCs w:val="20"/>
                <w:lang w:eastAsia="sl-SI"/>
              </w:rPr>
              <w:t>II.b</w:t>
            </w:r>
            <w:proofErr w:type="spellEnd"/>
            <w:r w:rsidRPr="000219B6">
              <w:rPr>
                <w:rFonts w:cs="Arial"/>
                <w:noProof w:val="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:rsidR="00B3685E" w:rsidRPr="000219B6" w:rsidRDefault="00B3685E" w:rsidP="00214564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85E" w:rsidRPr="000219B6" w:rsidTr="00214564">
        <w:trPr>
          <w:gridAfter w:val="1"/>
          <w:wAfter w:w="63" w:type="dxa"/>
          <w:trHeight w:val="1152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5E" w:rsidRPr="000219B6" w:rsidRDefault="00B3685E" w:rsidP="00214564">
            <w:pPr>
              <w:rPr>
                <w:rFonts w:cs="Arial"/>
                <w:b/>
                <w:noProof w:val="0"/>
                <w:szCs w:val="20"/>
              </w:rPr>
            </w:pPr>
            <w:r w:rsidRPr="000219B6">
              <w:rPr>
                <w:rFonts w:cs="Arial"/>
                <w:b/>
                <w:noProof w:val="0"/>
                <w:szCs w:val="20"/>
              </w:rPr>
              <w:lastRenderedPageBreak/>
              <w:t>7.b Predstavitev ocene finančnih posledic pod 40.000 EUR:</w:t>
            </w:r>
          </w:p>
          <w:p w:rsidR="00B3685E" w:rsidRPr="000219B6" w:rsidRDefault="00B3685E" w:rsidP="00214564">
            <w:pPr>
              <w:rPr>
                <w:rFonts w:cs="Arial"/>
                <w:noProof w:val="0"/>
                <w:szCs w:val="20"/>
              </w:rPr>
            </w:pPr>
            <w:r w:rsidRPr="000219B6">
              <w:rPr>
                <w:rFonts w:cs="Arial"/>
                <w:noProof w:val="0"/>
                <w:szCs w:val="20"/>
              </w:rPr>
              <w:t>/</w:t>
            </w:r>
          </w:p>
        </w:tc>
      </w:tr>
      <w:tr w:rsidR="00B3685E" w:rsidRPr="000219B6" w:rsidTr="00214564">
        <w:trPr>
          <w:gridAfter w:val="1"/>
          <w:wAfter w:w="63" w:type="dxa"/>
          <w:trHeight w:val="371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5E" w:rsidRPr="000219B6" w:rsidRDefault="00B3685E" w:rsidP="00214564">
            <w:pPr>
              <w:rPr>
                <w:rFonts w:cs="Arial"/>
                <w:b/>
                <w:noProof w:val="0"/>
                <w:szCs w:val="20"/>
              </w:rPr>
            </w:pPr>
            <w:r w:rsidRPr="000219B6">
              <w:rPr>
                <w:rFonts w:cs="Arial"/>
                <w:b/>
                <w:noProof w:val="0"/>
                <w:szCs w:val="20"/>
              </w:rPr>
              <w:t>8. Predstavitev sodelovanja z združenji občin:</w:t>
            </w: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6769" w:type="dxa"/>
            <w:gridSpan w:val="10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Vsebina predloženega gradiva (predpisa) vpliva na: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pristojnosti občin,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delovanje občin,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financiranje občin.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After w:val="1"/>
          <w:wAfter w:w="63" w:type="dxa"/>
          <w:trHeight w:val="274"/>
        </w:trPr>
        <w:tc>
          <w:tcPr>
            <w:tcW w:w="9200" w:type="dxa"/>
            <w:gridSpan w:val="13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Skupnosti občin Slovenije SOS: DA/</w:t>
            </w:r>
            <w:r w:rsidRPr="000219B6">
              <w:rPr>
                <w:b/>
                <w:iCs/>
                <w:sz w:val="20"/>
                <w:szCs w:val="20"/>
              </w:rPr>
              <w:t>NE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Združenju občin Slovenije ZOS: DA/</w:t>
            </w:r>
            <w:r w:rsidRPr="000219B6">
              <w:rPr>
                <w:b/>
                <w:iCs/>
                <w:sz w:val="20"/>
                <w:szCs w:val="20"/>
              </w:rPr>
              <w:t>NE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Združenju mestnih občin Slovenije ZMOS: DA/</w:t>
            </w:r>
            <w:r w:rsidRPr="000219B6">
              <w:rPr>
                <w:b/>
                <w:iCs/>
                <w:sz w:val="20"/>
                <w:szCs w:val="20"/>
              </w:rPr>
              <w:t>NE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Predlogi in pripombe združenj so bili upoštevani: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v celoti,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večinoma,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delno</w:t>
            </w:r>
            <w:r w:rsidRPr="000219B6">
              <w:rPr>
                <w:b/>
                <w:iCs/>
                <w:sz w:val="20"/>
                <w:szCs w:val="20"/>
              </w:rPr>
              <w:t>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lastRenderedPageBreak/>
              <w:t>niso bili upoštevani.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Bistveni predlogi in pripombe, ki niso bili upoštevani.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9200" w:type="dxa"/>
            <w:gridSpan w:val="13"/>
            <w:vAlign w:val="center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lastRenderedPageBreak/>
              <w:t>9. Predstavitev sodelovanja javnosti:</w:t>
            </w: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6769" w:type="dxa"/>
            <w:gridSpan w:val="10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9200" w:type="dxa"/>
            <w:gridSpan w:val="13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 xml:space="preserve">(Če je odgovor NE, navedite, zakaj ni bilo objavljeno.) 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ni takšne narave, da bi ga bilo potrebno objaviti na spletni strani predlagatelja.</w:t>
            </w: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9200" w:type="dxa"/>
            <w:gridSpan w:val="13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(Če je odgovor DA, navedite: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Datum objave: …………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 xml:space="preserve">V razpravo so bili vključeni: 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 xml:space="preserve">nevladne organizacije, 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predstavniki zainteresirane javnosti,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predstavniki strokovne javnosti.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.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0219B6">
              <w:rPr>
                <w:sz w:val="20"/>
                <w:szCs w:val="20"/>
              </w:rPr>
              <w:t>(imen in priimkov fizičnih oseb, ki niso poslovni subjekti, ne navajajte</w:t>
            </w:r>
            <w:r w:rsidRPr="000219B6">
              <w:rPr>
                <w:iCs/>
                <w:sz w:val="20"/>
                <w:szCs w:val="20"/>
              </w:rPr>
              <w:t>):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Upoštevani so bili: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v celoti,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večinoma,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delno,</w:t>
            </w:r>
          </w:p>
          <w:p w:rsidR="00B3685E" w:rsidRPr="000219B6" w:rsidRDefault="00B3685E" w:rsidP="00214564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niso bili upoštevani.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Poročilo je bilo dano ……………..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19B6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t>DA</w:t>
            </w:r>
            <w:r w:rsidRPr="000219B6">
              <w:rPr>
                <w:sz w:val="20"/>
                <w:szCs w:val="20"/>
              </w:rPr>
              <w:t>/NE</w:t>
            </w: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6769" w:type="dxa"/>
            <w:gridSpan w:val="10"/>
            <w:vAlign w:val="center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0219B6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:rsidR="00B3685E" w:rsidRPr="000219B6" w:rsidRDefault="00B3685E" w:rsidP="00214564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0219B6">
              <w:rPr>
                <w:sz w:val="20"/>
                <w:szCs w:val="20"/>
              </w:rPr>
              <w:t>DA/</w:t>
            </w:r>
            <w:r w:rsidRPr="000219B6">
              <w:rPr>
                <w:b/>
                <w:sz w:val="20"/>
                <w:szCs w:val="20"/>
              </w:rPr>
              <w:t>NE</w:t>
            </w:r>
          </w:p>
        </w:tc>
      </w:tr>
      <w:tr w:rsidR="00B3685E" w:rsidRPr="000219B6" w:rsidTr="00214564">
        <w:trPr>
          <w:gridAfter w:val="1"/>
          <w:wAfter w:w="63" w:type="dxa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5E" w:rsidRDefault="00B3685E" w:rsidP="00214564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noProof w:val="0"/>
                <w:sz w:val="20"/>
                <w:szCs w:val="20"/>
              </w:rPr>
            </w:pPr>
          </w:p>
          <w:p w:rsidR="00421042" w:rsidRPr="000219B6" w:rsidRDefault="00421042" w:rsidP="00214564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noProof w:val="0"/>
                <w:sz w:val="20"/>
                <w:szCs w:val="20"/>
              </w:rPr>
            </w:pPr>
          </w:p>
          <w:p w:rsidR="00B3685E" w:rsidRPr="001E7D7D" w:rsidRDefault="00BC1E29" w:rsidP="00BC1E29">
            <w:pPr>
              <w:pStyle w:val="Naslovpredpisa"/>
              <w:spacing w:before="0" w:after="0" w:line="240" w:lineRule="auto"/>
              <w:ind w:left="4956" w:firstLine="70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r w:rsidRPr="001E7D7D">
              <w:rPr>
                <w:bCs/>
                <w:sz w:val="20"/>
                <w:szCs w:val="20"/>
              </w:rPr>
              <w:t>Boštjan KORITNIK</w:t>
            </w:r>
          </w:p>
          <w:p w:rsidR="00B3685E" w:rsidRPr="000219B6" w:rsidRDefault="00B3685E" w:rsidP="00421042">
            <w:pPr>
              <w:pStyle w:val="Naslovpredpisa"/>
              <w:spacing w:before="0" w:after="0" w:line="240" w:lineRule="auto"/>
              <w:ind w:left="4956" w:firstLine="709"/>
              <w:jc w:val="left"/>
              <w:rPr>
                <w:szCs w:val="20"/>
              </w:rPr>
            </w:pPr>
            <w:r w:rsidRPr="001E7D7D">
              <w:rPr>
                <w:bCs/>
                <w:sz w:val="20"/>
                <w:szCs w:val="20"/>
              </w:rPr>
              <w:t xml:space="preserve">                </w:t>
            </w:r>
            <w:r w:rsidR="00421042" w:rsidRPr="001E7D7D">
              <w:rPr>
                <w:bCs/>
                <w:sz w:val="20"/>
                <w:szCs w:val="20"/>
              </w:rPr>
              <w:t>MINISTER</w:t>
            </w:r>
          </w:p>
        </w:tc>
      </w:tr>
    </w:tbl>
    <w:p w:rsidR="00B3685E" w:rsidRDefault="00B3685E" w:rsidP="00B3685E">
      <w:pPr>
        <w:jc w:val="both"/>
        <w:rPr>
          <w:rFonts w:cs="Arial"/>
          <w:noProof w:val="0"/>
          <w:szCs w:val="20"/>
        </w:rPr>
      </w:pPr>
    </w:p>
    <w:p w:rsidR="00BD26D4" w:rsidRDefault="00BD26D4" w:rsidP="00B3685E">
      <w:pPr>
        <w:jc w:val="both"/>
        <w:rPr>
          <w:rFonts w:cs="Arial"/>
          <w:noProof w:val="0"/>
          <w:szCs w:val="20"/>
        </w:rPr>
      </w:pPr>
    </w:p>
    <w:p w:rsidR="00BD26D4" w:rsidRPr="000219B6" w:rsidRDefault="00BD26D4" w:rsidP="00B3685E">
      <w:pPr>
        <w:jc w:val="both"/>
        <w:rPr>
          <w:rFonts w:cs="Arial"/>
          <w:noProof w:val="0"/>
          <w:szCs w:val="20"/>
        </w:rPr>
      </w:pPr>
    </w:p>
    <w:p w:rsidR="00B3685E" w:rsidRDefault="00B3685E" w:rsidP="00B3685E">
      <w:pPr>
        <w:ind w:left="17"/>
        <w:jc w:val="both"/>
        <w:rPr>
          <w:rFonts w:cs="Arial"/>
          <w:iCs/>
          <w:noProof w:val="0"/>
          <w:szCs w:val="20"/>
        </w:rPr>
      </w:pPr>
      <w:r w:rsidRPr="000219B6">
        <w:rPr>
          <w:rFonts w:cs="Arial"/>
          <w:iCs/>
          <w:noProof w:val="0"/>
          <w:szCs w:val="20"/>
        </w:rPr>
        <w:t xml:space="preserve">Priloga: </w:t>
      </w:r>
    </w:p>
    <w:p w:rsidR="00A44DE0" w:rsidRDefault="00A44DE0" w:rsidP="00A44DE0">
      <w:pPr>
        <w:jc w:val="both"/>
        <w:rPr>
          <w:rFonts w:cs="Arial"/>
          <w:iCs/>
          <w:noProof w:val="0"/>
          <w:szCs w:val="20"/>
        </w:rPr>
      </w:pPr>
      <w:r>
        <w:rPr>
          <w:rFonts w:cs="Arial"/>
          <w:iCs/>
          <w:noProof w:val="0"/>
          <w:szCs w:val="20"/>
        </w:rPr>
        <w:t xml:space="preserve">- </w:t>
      </w:r>
      <w:r w:rsidR="00391442">
        <w:rPr>
          <w:rFonts w:cs="Arial"/>
          <w:iCs/>
          <w:noProof w:val="0"/>
          <w:szCs w:val="20"/>
        </w:rPr>
        <w:t xml:space="preserve">predlog </w:t>
      </w:r>
      <w:r w:rsidRPr="00A44DE0">
        <w:rPr>
          <w:rFonts w:cs="Arial"/>
          <w:iCs/>
          <w:noProof w:val="0"/>
          <w:szCs w:val="20"/>
        </w:rPr>
        <w:t>odgovor Vlade RS na priporočilo Varuha človekovih pravic Republike</w:t>
      </w:r>
      <w:r>
        <w:rPr>
          <w:rFonts w:cs="Arial"/>
          <w:iCs/>
          <w:noProof w:val="0"/>
          <w:szCs w:val="20"/>
        </w:rPr>
        <w:t xml:space="preserve"> </w:t>
      </w:r>
      <w:r w:rsidRPr="00A44DE0">
        <w:rPr>
          <w:rFonts w:cs="Arial"/>
          <w:iCs/>
          <w:noProof w:val="0"/>
          <w:szCs w:val="20"/>
        </w:rPr>
        <w:t>Slovenije glede vročanja priporočene pošte in drugih pošiljk s strani državnih</w:t>
      </w:r>
      <w:r>
        <w:rPr>
          <w:rFonts w:cs="Arial"/>
          <w:iCs/>
          <w:noProof w:val="0"/>
          <w:szCs w:val="20"/>
        </w:rPr>
        <w:t xml:space="preserve"> </w:t>
      </w:r>
      <w:r w:rsidRPr="00A44DE0">
        <w:rPr>
          <w:rFonts w:cs="Arial"/>
          <w:iCs/>
          <w:noProof w:val="0"/>
          <w:szCs w:val="20"/>
        </w:rPr>
        <w:t>organov oziroma ostalih organov oblasti osebam s prijavljenim t. i. zakonskim</w:t>
      </w:r>
      <w:r>
        <w:rPr>
          <w:rFonts w:cs="Arial"/>
          <w:iCs/>
          <w:noProof w:val="0"/>
          <w:szCs w:val="20"/>
        </w:rPr>
        <w:t xml:space="preserve"> </w:t>
      </w:r>
      <w:r w:rsidRPr="00A44DE0">
        <w:rPr>
          <w:rFonts w:cs="Arial"/>
          <w:iCs/>
          <w:noProof w:val="0"/>
          <w:szCs w:val="20"/>
        </w:rPr>
        <w:t>prebivališčem</w:t>
      </w:r>
      <w:r>
        <w:rPr>
          <w:rFonts w:cs="Arial"/>
          <w:iCs/>
          <w:noProof w:val="0"/>
          <w:szCs w:val="20"/>
        </w:rPr>
        <w:t>.</w:t>
      </w:r>
    </w:p>
    <w:p w:rsidR="00884248" w:rsidRPr="00884248" w:rsidRDefault="00884248" w:rsidP="00884248">
      <w:pPr>
        <w:ind w:left="377"/>
        <w:rPr>
          <w:rFonts w:eastAsia="Calibri" w:cs="Arial"/>
          <w:noProof w:val="0"/>
          <w:szCs w:val="20"/>
        </w:rPr>
      </w:pPr>
    </w:p>
    <w:p w:rsidR="00B3685E" w:rsidRDefault="00B3685E" w:rsidP="00B3685E">
      <w:pPr>
        <w:jc w:val="both"/>
        <w:rPr>
          <w:rFonts w:cs="Arial"/>
          <w:iCs/>
          <w:noProof w:val="0"/>
          <w:szCs w:val="20"/>
        </w:rPr>
      </w:pPr>
    </w:p>
    <w:p w:rsidR="00B3685E" w:rsidRDefault="00B3685E" w:rsidP="00B3685E">
      <w:pPr>
        <w:jc w:val="both"/>
        <w:rPr>
          <w:rFonts w:cs="Arial"/>
          <w:b/>
          <w:iCs/>
          <w:noProof w:val="0"/>
          <w:szCs w:val="20"/>
        </w:rPr>
      </w:pPr>
    </w:p>
    <w:p w:rsidR="00B3685E" w:rsidRDefault="00B3685E" w:rsidP="00B3685E">
      <w:pPr>
        <w:jc w:val="both"/>
        <w:rPr>
          <w:rFonts w:cs="Arial"/>
          <w:b/>
          <w:iCs/>
          <w:noProof w:val="0"/>
          <w:szCs w:val="20"/>
        </w:rPr>
      </w:pPr>
    </w:p>
    <w:p w:rsidR="00B3685E" w:rsidRDefault="00B3685E" w:rsidP="00B3685E">
      <w:pPr>
        <w:jc w:val="both"/>
        <w:rPr>
          <w:rFonts w:cs="Arial"/>
          <w:b/>
          <w:iCs/>
          <w:noProof w:val="0"/>
          <w:szCs w:val="20"/>
        </w:rPr>
      </w:pPr>
    </w:p>
    <w:p w:rsidR="00B3685E" w:rsidRDefault="00B3685E" w:rsidP="00B3685E">
      <w:pPr>
        <w:jc w:val="both"/>
        <w:rPr>
          <w:rFonts w:cs="Arial"/>
          <w:b/>
          <w:iCs/>
          <w:noProof w:val="0"/>
          <w:szCs w:val="20"/>
        </w:rPr>
      </w:pPr>
    </w:p>
    <w:p w:rsidR="00B3685E" w:rsidRDefault="00B3685E" w:rsidP="00B3685E">
      <w:pPr>
        <w:jc w:val="both"/>
        <w:rPr>
          <w:rFonts w:cs="Arial"/>
          <w:b/>
          <w:iCs/>
          <w:noProof w:val="0"/>
          <w:szCs w:val="20"/>
        </w:rPr>
      </w:pPr>
    </w:p>
    <w:p w:rsidR="00B3685E" w:rsidRPr="000219B6" w:rsidRDefault="00421042" w:rsidP="00BD26D4">
      <w:pPr>
        <w:spacing w:after="160" w:line="259" w:lineRule="auto"/>
        <w:rPr>
          <w:rFonts w:cs="Arial"/>
          <w:b/>
          <w:iCs/>
          <w:noProof w:val="0"/>
          <w:szCs w:val="20"/>
        </w:rPr>
      </w:pPr>
      <w:r>
        <w:rPr>
          <w:rFonts w:cs="Arial"/>
          <w:b/>
          <w:iCs/>
          <w:noProof w:val="0"/>
          <w:szCs w:val="20"/>
        </w:rPr>
        <w:br w:type="page"/>
      </w:r>
      <w:r w:rsidR="00B3685E" w:rsidRPr="000219B6">
        <w:rPr>
          <w:rFonts w:cs="Arial"/>
          <w:b/>
          <w:iCs/>
          <w:noProof w:val="0"/>
          <w:szCs w:val="20"/>
        </w:rPr>
        <w:lastRenderedPageBreak/>
        <w:t>PRILOGA:</w:t>
      </w:r>
    </w:p>
    <w:p w:rsidR="00B3685E" w:rsidRPr="000219B6" w:rsidRDefault="00B3685E" w:rsidP="00B3685E">
      <w:pPr>
        <w:widowControl w:val="0"/>
        <w:spacing w:line="240" w:lineRule="atLeast"/>
        <w:ind w:right="-21"/>
        <w:jc w:val="both"/>
        <w:rPr>
          <w:rFonts w:cs="Arial"/>
          <w:iCs/>
          <w:noProof w:val="0"/>
          <w:szCs w:val="20"/>
        </w:rPr>
      </w:pPr>
    </w:p>
    <w:p w:rsidR="001D6C5D" w:rsidRPr="001D6C5D" w:rsidRDefault="001D6C5D" w:rsidP="001D6C5D">
      <w:pPr>
        <w:pStyle w:val="datumtevilka"/>
        <w:jc w:val="both"/>
        <w:rPr>
          <w:b/>
          <w:bCs/>
        </w:rPr>
      </w:pPr>
      <w:r w:rsidRPr="001D6C5D">
        <w:rPr>
          <w:rFonts w:cs="Arial"/>
          <w:b/>
          <w:bCs/>
        </w:rPr>
        <w:t xml:space="preserve">Odgovor </w:t>
      </w:r>
      <w:r w:rsidR="001E7D7D">
        <w:rPr>
          <w:rFonts w:cs="Arial"/>
          <w:b/>
          <w:bCs/>
        </w:rPr>
        <w:t xml:space="preserve">Vlade </w:t>
      </w:r>
      <w:r w:rsidR="001E7D7D" w:rsidRPr="001E7D7D">
        <w:rPr>
          <w:rFonts w:cs="Arial"/>
          <w:b/>
          <w:bCs/>
        </w:rPr>
        <w:t xml:space="preserve"> na priporočilo Varuha človekovih pravic Republike Slovenije glede vročanja priporočene pošte in drugih pošiljk s strani državnih organov oziroma ostalih organov oblasti osebam s prijavljenim t.i. zakonskim prebivališčem</w:t>
      </w:r>
    </w:p>
    <w:p w:rsidR="00B3685E" w:rsidRDefault="00B3685E" w:rsidP="003C00E7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</w:p>
    <w:p w:rsidR="00A44DE0" w:rsidRDefault="00A44DE0" w:rsidP="003C00E7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</w:p>
    <w:p w:rsidR="00A44DE0" w:rsidRPr="00A44DE0" w:rsidRDefault="00A44DE0" w:rsidP="00A44DE0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  <w:r w:rsidRPr="00A44DE0">
        <w:rPr>
          <w:rFonts w:eastAsia="Calibri" w:cs="Arial"/>
          <w:noProof w:val="0"/>
          <w:szCs w:val="20"/>
        </w:rPr>
        <w:t xml:space="preserve">Varuh človekovih pravic Republike Slovenije (v nadaljevanju: Varuh človekovih pravic) je predsedniku Vlade Republike Slovenije, g. Janezu Janši, poslal pisno priporočilo glede vročanja priporočene pošte in drugih pošiljk </w:t>
      </w:r>
      <w:r>
        <w:rPr>
          <w:rFonts w:eastAsia="Calibri" w:cs="Arial"/>
          <w:noProof w:val="0"/>
          <w:szCs w:val="20"/>
        </w:rPr>
        <w:t xml:space="preserve">s strani državnih organov oziroma ostalih organov oblasti </w:t>
      </w:r>
      <w:r w:rsidRPr="00A44DE0">
        <w:rPr>
          <w:rFonts w:eastAsia="Calibri" w:cs="Arial"/>
          <w:noProof w:val="0"/>
          <w:szCs w:val="20"/>
        </w:rPr>
        <w:t>osebam s prijavljenim t.i. zakonskim prebivališčem, v katerem je izpostavljena zagotovitev priprave predlogov zakonodajnih sprememb, ki bodo omogočale vročanje priporočenih in drugih pošiljk s strani državnih in drugih organov osebam s prijavljenim zakonskim prebivališčem. Varuh človekovih pravic poudarja, da se nanj že več let obračajo osebe, ki imajo zakonsko prebivališče</w:t>
      </w:r>
      <w:r w:rsidR="00214564">
        <w:rPr>
          <w:rFonts w:eastAsia="Calibri" w:cs="Arial"/>
          <w:noProof w:val="0"/>
          <w:szCs w:val="20"/>
        </w:rPr>
        <w:t>,</w:t>
      </w:r>
      <w:r w:rsidRPr="00A44DE0">
        <w:rPr>
          <w:rFonts w:eastAsia="Calibri" w:cs="Arial"/>
          <w:noProof w:val="0"/>
          <w:szCs w:val="20"/>
        </w:rPr>
        <w:t xml:space="preserve"> in sicer zaradi težav pri prejemanju priporočene pošte in drugih pošiljk s strani organov, prav tako pa tudi organi sami izražajo zaskrbljenost, da zaradi navedenega razloga pravice teh oseb v postopkih, ki jih vodijo, niso </w:t>
      </w:r>
      <w:r w:rsidRPr="00214564">
        <w:rPr>
          <w:rFonts w:eastAsia="Calibri" w:cs="Arial"/>
          <w:noProof w:val="0"/>
          <w:szCs w:val="20"/>
        </w:rPr>
        <w:t>ustrezno varovane. Posamezna ministrstva, zlasti Ministrstvo za delo, družino</w:t>
      </w:r>
      <w:r w:rsidR="00214564" w:rsidRPr="00214564">
        <w:rPr>
          <w:rFonts w:eastAsia="Calibri" w:cs="Arial"/>
          <w:noProof w:val="0"/>
          <w:szCs w:val="20"/>
        </w:rPr>
        <w:t>,</w:t>
      </w:r>
      <w:r w:rsidRPr="00214564">
        <w:rPr>
          <w:rFonts w:eastAsia="Calibri" w:cs="Arial"/>
          <w:noProof w:val="0"/>
          <w:szCs w:val="20"/>
        </w:rPr>
        <w:t xml:space="preserve"> socialne zadeve</w:t>
      </w:r>
      <w:r w:rsidR="00214564">
        <w:rPr>
          <w:rFonts w:eastAsia="Calibri" w:cs="Arial"/>
          <w:noProof w:val="0"/>
          <w:szCs w:val="20"/>
        </w:rPr>
        <w:t xml:space="preserve"> in enake možnosti</w:t>
      </w:r>
      <w:r w:rsidRPr="00A44DE0">
        <w:rPr>
          <w:rFonts w:eastAsia="Calibri" w:cs="Arial"/>
          <w:noProof w:val="0"/>
          <w:szCs w:val="20"/>
        </w:rPr>
        <w:t xml:space="preserve">, Ministrstvo za notranje zadeve ter Ministrstvo za javno upravo so se že odzivala na pisne pobude Varuha človekovih pravic oziroma so problematiko vročanja uradnih in drugih pisanj osebam, z določenim zakonskim prebivališčem, ki jo izpostavlja Varuh človekovih pravic, </w:t>
      </w:r>
      <w:r w:rsidRPr="00214564">
        <w:rPr>
          <w:rFonts w:eastAsia="Calibri" w:cs="Arial"/>
          <w:noProof w:val="0"/>
          <w:szCs w:val="20"/>
        </w:rPr>
        <w:t>pri svojem delu zaznala in prepoznala.</w:t>
      </w:r>
    </w:p>
    <w:p w:rsidR="00A44DE0" w:rsidRPr="00A44DE0" w:rsidRDefault="00A44DE0" w:rsidP="00A44DE0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</w:p>
    <w:p w:rsidR="00A44DE0" w:rsidRPr="00A44DE0" w:rsidRDefault="00A44DE0" w:rsidP="00A44DE0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  <w:r w:rsidRPr="00A44DE0">
        <w:rPr>
          <w:rFonts w:eastAsia="Calibri" w:cs="Arial"/>
          <w:noProof w:val="0"/>
          <w:szCs w:val="20"/>
        </w:rPr>
        <w:t>Na podlagi Zakona o prijavi prebivališča</w:t>
      </w:r>
      <w:r w:rsidRPr="00A44DE0">
        <w:rPr>
          <w:rFonts w:eastAsia="Calibri" w:cs="Arial"/>
          <w:noProof w:val="0"/>
          <w:szCs w:val="20"/>
          <w:vertAlign w:val="superscript"/>
        </w:rPr>
        <w:footnoteReference w:id="1"/>
      </w:r>
      <w:r w:rsidRPr="00A44DE0">
        <w:rPr>
          <w:rFonts w:eastAsia="Calibri" w:cs="Arial"/>
          <w:noProof w:val="0"/>
          <w:szCs w:val="20"/>
        </w:rPr>
        <w:t xml:space="preserve"> se zakonsko prebivališče posamezniku določi takrat, ko upravna enota v postopku ugotavljanja njegovega stalnega prebivališča le tega ne more prijaviti. Zakonsko prebivališče se v danem primeru določi na naslovu občine, na območju katere posameznik stalno prebiva</w:t>
      </w:r>
      <w:r w:rsidR="006B21B5">
        <w:rPr>
          <w:rFonts w:eastAsia="Calibri" w:cs="Arial"/>
          <w:noProof w:val="0"/>
          <w:szCs w:val="20"/>
        </w:rPr>
        <w:t>,</w:t>
      </w:r>
      <w:r w:rsidRPr="00A44DE0">
        <w:rPr>
          <w:rFonts w:eastAsia="Calibri" w:cs="Arial"/>
          <w:noProof w:val="0"/>
          <w:szCs w:val="20"/>
        </w:rPr>
        <w:t xml:space="preserve"> oziroma na naslovu občine</w:t>
      </w:r>
      <w:r w:rsidR="00981E9E">
        <w:rPr>
          <w:rFonts w:eastAsia="Calibri" w:cs="Arial"/>
          <w:noProof w:val="0"/>
          <w:szCs w:val="20"/>
        </w:rPr>
        <w:t>,</w:t>
      </w:r>
      <w:r w:rsidRPr="00A44DE0">
        <w:rPr>
          <w:rFonts w:eastAsia="Calibri" w:cs="Arial"/>
          <w:noProof w:val="0"/>
          <w:szCs w:val="20"/>
        </w:rPr>
        <w:t xml:space="preserve"> na območju katere ima ali je imel nazadnje prijavljeno stalno prebivališče</w:t>
      </w:r>
      <w:r w:rsidR="00981E9E">
        <w:rPr>
          <w:rFonts w:eastAsia="Calibri" w:cs="Arial"/>
          <w:noProof w:val="0"/>
          <w:szCs w:val="20"/>
        </w:rPr>
        <w:t>,</w:t>
      </w:r>
      <w:r w:rsidRPr="00A44DE0">
        <w:rPr>
          <w:rFonts w:eastAsia="Calibri" w:cs="Arial"/>
          <w:noProof w:val="0"/>
          <w:szCs w:val="20"/>
        </w:rPr>
        <w:t xml:space="preserve"> </w:t>
      </w:r>
      <w:r w:rsidR="00981E9E">
        <w:rPr>
          <w:rFonts w:eastAsia="Calibri" w:cs="Arial"/>
          <w:noProof w:val="0"/>
          <w:szCs w:val="20"/>
        </w:rPr>
        <w:t>če</w:t>
      </w:r>
      <w:r w:rsidRPr="00A44DE0">
        <w:rPr>
          <w:rFonts w:eastAsia="Calibri" w:cs="Arial"/>
          <w:noProof w:val="0"/>
          <w:szCs w:val="20"/>
        </w:rPr>
        <w:t xml:space="preserve"> je posameznik nastanjen v določenih zavodih, lahko pa tudi na naslovu centra za socialno delo</w:t>
      </w:r>
      <w:r w:rsidR="00981E9E">
        <w:rPr>
          <w:rFonts w:eastAsia="Calibri" w:cs="Arial"/>
          <w:noProof w:val="0"/>
          <w:szCs w:val="20"/>
        </w:rPr>
        <w:t>,</w:t>
      </w:r>
      <w:r w:rsidRPr="00A44DE0">
        <w:rPr>
          <w:rFonts w:eastAsia="Calibri" w:cs="Arial"/>
          <w:noProof w:val="0"/>
          <w:szCs w:val="20"/>
        </w:rPr>
        <w:t xml:space="preserve"> na območju katerega je imel nazadnje prijavljeno stalno prebivališče</w:t>
      </w:r>
      <w:r w:rsidR="00981E9E">
        <w:rPr>
          <w:rFonts w:eastAsia="Calibri" w:cs="Arial"/>
          <w:noProof w:val="0"/>
          <w:szCs w:val="20"/>
        </w:rPr>
        <w:t>,</w:t>
      </w:r>
      <w:r w:rsidRPr="00A44DE0">
        <w:rPr>
          <w:rFonts w:eastAsia="Calibri" w:cs="Arial"/>
          <w:noProof w:val="0"/>
          <w:szCs w:val="20"/>
        </w:rPr>
        <w:t xml:space="preserve"> </w:t>
      </w:r>
      <w:r w:rsidR="00981E9E">
        <w:rPr>
          <w:rFonts w:eastAsia="Calibri" w:cs="Arial"/>
          <w:noProof w:val="0"/>
          <w:szCs w:val="20"/>
        </w:rPr>
        <w:t>če</w:t>
      </w:r>
      <w:r w:rsidRPr="00A44DE0">
        <w:rPr>
          <w:rFonts w:eastAsia="Calibri" w:cs="Arial"/>
          <w:noProof w:val="0"/>
          <w:szCs w:val="20"/>
        </w:rPr>
        <w:t xml:space="preserve"> je posameznik nastanjen v okviru določenih socialnovarstvenih programov, pri čemer zakonsko prebivališče ne more biti naslov za vročanje.</w:t>
      </w:r>
    </w:p>
    <w:p w:rsidR="00A44DE0" w:rsidRPr="00A44DE0" w:rsidRDefault="00A44DE0" w:rsidP="00A44DE0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</w:p>
    <w:p w:rsidR="00A44DE0" w:rsidRDefault="00A44DE0" w:rsidP="00A44DE0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  <w:r w:rsidRPr="00A44DE0">
        <w:rPr>
          <w:rFonts w:eastAsia="Calibri" w:cs="Arial"/>
          <w:noProof w:val="0"/>
          <w:szCs w:val="20"/>
        </w:rPr>
        <w:t xml:space="preserve">Dejstvo je, da imajo osebe z določenim zakonskim prebivališčem poseben položaj, kar se na določen način odraža tudi pri vročanju (priporočenih) uradnih in drugih pisanj tem posameznikom. Z vidika učinkovitosti delovanja oblasti in zaščite javnega interesa, kakor tudi zaščite interesa posameznika, se upoštevajoč sedaj veljavne predpise s področja posameznih postopkov (upravnih in sodnih postopkov), vročitev uradnih in drugih pisanj tudi tem osebam opravlja na zakonsko predpisan način, pri čemer gre velikokrat za fiktivno vročitev, </w:t>
      </w:r>
      <w:r w:rsidR="006B21B5">
        <w:rPr>
          <w:rFonts w:eastAsia="Calibri" w:cs="Arial"/>
          <w:noProof w:val="0"/>
          <w:szCs w:val="20"/>
        </w:rPr>
        <w:t>če</w:t>
      </w:r>
      <w:r w:rsidRPr="00A44DE0">
        <w:rPr>
          <w:rFonts w:eastAsia="Calibri" w:cs="Arial"/>
          <w:noProof w:val="0"/>
          <w:szCs w:val="20"/>
        </w:rPr>
        <w:t xml:space="preserve"> dejanska vročitev navedenih pisanj ni možna. </w:t>
      </w:r>
    </w:p>
    <w:p w:rsidR="00C7365C" w:rsidRPr="00A44DE0" w:rsidRDefault="00C7365C" w:rsidP="00A44DE0">
      <w:pPr>
        <w:widowControl w:val="0"/>
        <w:spacing w:line="240" w:lineRule="atLeast"/>
        <w:ind w:right="-21"/>
        <w:jc w:val="both"/>
        <w:rPr>
          <w:rFonts w:eastAsia="Calibri" w:cs="Arial"/>
          <w:noProof w:val="0"/>
          <w:szCs w:val="20"/>
        </w:rPr>
      </w:pPr>
      <w:bookmarkStart w:id="0" w:name="_GoBack"/>
      <w:bookmarkEnd w:id="0"/>
    </w:p>
    <w:p w:rsidR="002F72D1" w:rsidRDefault="00A44DE0" w:rsidP="00A43718">
      <w:pPr>
        <w:widowControl w:val="0"/>
        <w:spacing w:line="240" w:lineRule="atLeast"/>
        <w:ind w:right="-21"/>
        <w:jc w:val="both"/>
      </w:pPr>
      <w:r w:rsidRPr="00A44DE0">
        <w:rPr>
          <w:rFonts w:eastAsia="Calibri" w:cs="Arial"/>
          <w:noProof w:val="0"/>
          <w:szCs w:val="20"/>
        </w:rPr>
        <w:t xml:space="preserve">Vsekakor se </w:t>
      </w:r>
      <w:r w:rsidR="006B21B5">
        <w:rPr>
          <w:rFonts w:eastAsia="Calibri" w:cs="Arial"/>
          <w:noProof w:val="0"/>
          <w:szCs w:val="20"/>
        </w:rPr>
        <w:t xml:space="preserve">Vlada Republike Slovenije </w:t>
      </w:r>
      <w:r w:rsidRPr="00A44DE0">
        <w:rPr>
          <w:rFonts w:eastAsia="Calibri" w:cs="Arial"/>
          <w:noProof w:val="0"/>
          <w:szCs w:val="20"/>
        </w:rPr>
        <w:t>zaveda, da je vročitev uradnih in drugih pisanj pomemben procesni institut, na katerega se vežejo številne pravice in obvezn</w:t>
      </w:r>
      <w:r>
        <w:rPr>
          <w:rFonts w:eastAsia="Calibri" w:cs="Arial"/>
          <w:noProof w:val="0"/>
          <w:szCs w:val="20"/>
        </w:rPr>
        <w:t>o</w:t>
      </w:r>
      <w:r w:rsidRPr="00A44DE0">
        <w:rPr>
          <w:rFonts w:eastAsia="Calibri" w:cs="Arial"/>
          <w:noProof w:val="0"/>
          <w:szCs w:val="20"/>
        </w:rPr>
        <w:t xml:space="preserve">sti posameznika, naslovnika tega pisanja. Zato vam v zvezi z vašim priporočilom podaja stališče, da bo </w:t>
      </w:r>
      <w:r w:rsidR="00A43718">
        <w:rPr>
          <w:rFonts w:eastAsia="Calibri" w:cs="Arial"/>
          <w:noProof w:val="0"/>
          <w:szCs w:val="20"/>
        </w:rPr>
        <w:t>V</w:t>
      </w:r>
      <w:r w:rsidRPr="00A44DE0">
        <w:rPr>
          <w:rFonts w:eastAsia="Calibri" w:cs="Arial"/>
          <w:noProof w:val="0"/>
          <w:szCs w:val="20"/>
        </w:rPr>
        <w:t>lada</w:t>
      </w:r>
      <w:r w:rsidR="00A43718">
        <w:rPr>
          <w:rFonts w:eastAsia="Calibri" w:cs="Arial"/>
          <w:noProof w:val="0"/>
          <w:szCs w:val="20"/>
        </w:rPr>
        <w:t xml:space="preserve"> Republike Slovenije</w:t>
      </w:r>
      <w:r w:rsidRPr="00A44DE0">
        <w:rPr>
          <w:rFonts w:eastAsia="Calibri" w:cs="Arial"/>
          <w:noProof w:val="0"/>
          <w:szCs w:val="20"/>
        </w:rPr>
        <w:t xml:space="preserve"> navedeno problematiko </w:t>
      </w:r>
      <w:r w:rsidRPr="0000309D">
        <w:rPr>
          <w:rFonts w:eastAsia="Calibri" w:cs="Arial"/>
          <w:noProof w:val="0"/>
          <w:szCs w:val="20"/>
        </w:rPr>
        <w:t>v največji meri poskušala upoštevati pri bodočih spremembah in dopolnitvah</w:t>
      </w:r>
      <w:r w:rsidRPr="00A44DE0">
        <w:rPr>
          <w:rFonts w:eastAsia="Calibri" w:cs="Arial"/>
          <w:noProof w:val="0"/>
          <w:szCs w:val="20"/>
        </w:rPr>
        <w:t xml:space="preserve"> predpisov s ciljem, da se morebitne </w:t>
      </w:r>
      <w:r w:rsidR="00A43718">
        <w:rPr>
          <w:rFonts w:eastAsia="Calibri" w:cs="Arial"/>
          <w:noProof w:val="0"/>
          <w:szCs w:val="20"/>
        </w:rPr>
        <w:t>pomanjkljivosti</w:t>
      </w:r>
      <w:r w:rsidRPr="00A44DE0">
        <w:rPr>
          <w:rFonts w:eastAsia="Calibri" w:cs="Arial"/>
          <w:noProof w:val="0"/>
          <w:szCs w:val="20"/>
        </w:rPr>
        <w:t xml:space="preserve"> čim bolj nevtralizirajo oziroma odpravijo, kar bi posledično lahko pripeljalo do možnosti večjega vključevanja posameznikov z zakonskim prebivališčem v konkretni postopek, s tem pa tudi njihove boljše seznanitve z akti in dejanji organa.</w:t>
      </w:r>
      <w:r w:rsidR="00A43718">
        <w:rPr>
          <w:rFonts w:eastAsia="Calibri" w:cs="Arial"/>
          <w:noProof w:val="0"/>
          <w:szCs w:val="20"/>
        </w:rPr>
        <w:t xml:space="preserve"> </w:t>
      </w:r>
    </w:p>
    <w:sectPr w:rsidR="002F72D1" w:rsidSect="00214564"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5A" w:rsidRDefault="00CC325A">
      <w:pPr>
        <w:spacing w:line="240" w:lineRule="auto"/>
      </w:pPr>
      <w:r>
        <w:separator/>
      </w:r>
    </w:p>
  </w:endnote>
  <w:endnote w:type="continuationSeparator" w:id="0">
    <w:p w:rsidR="00CC325A" w:rsidRDefault="00CC3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25A" w:rsidRDefault="00C7365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00309D">
      <w:t>7</w:t>
    </w:r>
    <w:r>
      <w:fldChar w:fldCharType="end"/>
    </w:r>
  </w:p>
  <w:p w:rsidR="00CC325A" w:rsidRPr="005506C8" w:rsidRDefault="00CC325A" w:rsidP="00214564">
    <w:pPr>
      <w:pStyle w:val="Noga"/>
      <w:tabs>
        <w:tab w:val="clear" w:pos="4320"/>
        <w:tab w:val="clear" w:pos="8640"/>
        <w:tab w:val="center" w:pos="4249"/>
        <w:tab w:val="right" w:pos="8498"/>
      </w:tabs>
      <w:jc w:val="right"/>
      <w:rPr>
        <w:b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25A" w:rsidRPr="008E7E26" w:rsidRDefault="00CC325A" w:rsidP="00214564">
    <w:pPr>
      <w:pStyle w:val="Noga"/>
      <w:tabs>
        <w:tab w:val="clear" w:pos="4320"/>
        <w:tab w:val="clear" w:pos="8640"/>
        <w:tab w:val="center" w:pos="4249"/>
        <w:tab w:val="right" w:pos="8498"/>
      </w:tabs>
      <w:rPr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5A" w:rsidRDefault="00CC325A">
      <w:pPr>
        <w:spacing w:line="240" w:lineRule="auto"/>
      </w:pPr>
      <w:r>
        <w:separator/>
      </w:r>
    </w:p>
  </w:footnote>
  <w:footnote w:type="continuationSeparator" w:id="0">
    <w:p w:rsidR="00CC325A" w:rsidRDefault="00CC325A">
      <w:pPr>
        <w:spacing w:line="240" w:lineRule="auto"/>
      </w:pPr>
      <w:r>
        <w:continuationSeparator/>
      </w:r>
    </w:p>
  </w:footnote>
  <w:footnote w:id="1">
    <w:p w:rsidR="00CC325A" w:rsidRPr="0009535D" w:rsidRDefault="00CC325A" w:rsidP="00A44DE0">
      <w:pPr>
        <w:pStyle w:val="Sprotnaopomba-besedilo"/>
        <w:rPr>
          <w:sz w:val="16"/>
          <w:szCs w:val="16"/>
        </w:rPr>
      </w:pPr>
      <w:r w:rsidRPr="0009535D">
        <w:rPr>
          <w:rStyle w:val="Sprotnaopomba-sklic"/>
          <w:sz w:val="16"/>
          <w:szCs w:val="16"/>
        </w:rPr>
        <w:footnoteRef/>
      </w:r>
      <w:r w:rsidRPr="0009535D">
        <w:rPr>
          <w:sz w:val="16"/>
          <w:szCs w:val="16"/>
        </w:rPr>
        <w:t xml:space="preserve"> Uradni list RS, št. 52/16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25A" w:rsidRPr="00BF6643" w:rsidRDefault="00CC325A" w:rsidP="00214564">
    <w:pPr>
      <w:pStyle w:val="Glava"/>
      <w:jc w:val="center"/>
      <w:rPr>
        <w:b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489585</wp:posOffset>
          </wp:positionH>
          <wp:positionV relativeFrom="page">
            <wp:posOffset>763270</wp:posOffset>
          </wp:positionV>
          <wp:extent cx="2372360" cy="313055"/>
          <wp:effectExtent l="0" t="0" r="889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325A" w:rsidRDefault="00CC325A" w:rsidP="0021456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:rsidR="00CC325A" w:rsidRPr="008F3500" w:rsidRDefault="002909F9" w:rsidP="0021456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noProof/>
        <w:sz w:val="16"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1DEB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" o:allowincell="f" strokecolor="#529dba" strokeweight=".5pt">
              <w10:wrap anchory="page"/>
            </v:shape>
          </w:pict>
        </mc:Fallback>
      </mc:AlternateContent>
    </w:r>
    <w:r w:rsidR="00CC325A">
      <w:rPr>
        <w:rFonts w:cs="Arial"/>
        <w:sz w:val="16"/>
      </w:rPr>
      <w:t>Tržaška cesta 21</w:t>
    </w:r>
    <w:r w:rsidR="00CC325A" w:rsidRPr="008F3500">
      <w:rPr>
        <w:rFonts w:cs="Arial"/>
        <w:sz w:val="16"/>
      </w:rPr>
      <w:t xml:space="preserve">, </w:t>
    </w:r>
    <w:r w:rsidR="00CC325A">
      <w:rPr>
        <w:rFonts w:cs="Arial"/>
        <w:sz w:val="16"/>
      </w:rPr>
      <w:t xml:space="preserve">1000 Ljubljana           </w:t>
    </w:r>
    <w:r w:rsidR="00CC325A" w:rsidRPr="008F3500">
      <w:rPr>
        <w:rFonts w:cs="Arial"/>
        <w:sz w:val="16"/>
      </w:rPr>
      <w:tab/>
      <w:t xml:space="preserve">T: </w:t>
    </w:r>
    <w:r w:rsidR="00CC325A">
      <w:rPr>
        <w:rFonts w:cs="Arial"/>
        <w:sz w:val="16"/>
      </w:rPr>
      <w:t>01 478 83 30</w:t>
    </w:r>
  </w:p>
  <w:p w:rsidR="00CC325A" w:rsidRPr="008F3500" w:rsidRDefault="00CC325A" w:rsidP="00214564">
    <w:pPr>
      <w:pStyle w:val="Glava"/>
      <w:tabs>
        <w:tab w:val="clear" w:pos="4320"/>
        <w:tab w:val="clear" w:pos="8640"/>
        <w:tab w:val="left" w:pos="3049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01 478 83 31</w:t>
    </w:r>
  </w:p>
  <w:p w:rsidR="00CC325A" w:rsidRPr="008F3500" w:rsidRDefault="00CC325A" w:rsidP="00214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CC325A" w:rsidRPr="008F3500" w:rsidRDefault="00CC325A" w:rsidP="00214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CC325A" w:rsidRDefault="00CC32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26C"/>
    <w:multiLevelType w:val="hybridMultilevel"/>
    <w:tmpl w:val="BE069ACC"/>
    <w:lvl w:ilvl="0" w:tplc="4EBE1FC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multilevel"/>
    <w:tmpl w:val="AADE86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C014E"/>
    <w:multiLevelType w:val="hybridMultilevel"/>
    <w:tmpl w:val="13DC5BDA"/>
    <w:lvl w:ilvl="0" w:tplc="30E2CF24">
      <w:start w:val="5"/>
      <w:numFmt w:val="bullet"/>
      <w:lvlText w:val="-"/>
      <w:lvlJc w:val="left"/>
      <w:pPr>
        <w:ind w:left="377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300D9"/>
    <w:multiLevelType w:val="hybridMultilevel"/>
    <w:tmpl w:val="26D404DC"/>
    <w:lvl w:ilvl="0" w:tplc="BAD2A9EC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90DA8"/>
    <w:multiLevelType w:val="hybridMultilevel"/>
    <w:tmpl w:val="13A622EE"/>
    <w:lvl w:ilvl="0" w:tplc="C3E6CB9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rules v:ext="edit">
        <o:r id="V:Rule2" type="connector" idref="#Raven puščični povezovalnik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5E"/>
    <w:rsid w:val="0000309D"/>
    <w:rsid w:val="00031DBB"/>
    <w:rsid w:val="0009535D"/>
    <w:rsid w:val="000B4128"/>
    <w:rsid w:val="000C3FD8"/>
    <w:rsid w:val="00110312"/>
    <w:rsid w:val="00134809"/>
    <w:rsid w:val="001840B4"/>
    <w:rsid w:val="001D6C5D"/>
    <w:rsid w:val="001E7D7D"/>
    <w:rsid w:val="00214564"/>
    <w:rsid w:val="00225C51"/>
    <w:rsid w:val="002909F9"/>
    <w:rsid w:val="002B45B0"/>
    <w:rsid w:val="002F2520"/>
    <w:rsid w:val="002F72D1"/>
    <w:rsid w:val="00391442"/>
    <w:rsid w:val="003B6AB4"/>
    <w:rsid w:val="003C00E7"/>
    <w:rsid w:val="00421042"/>
    <w:rsid w:val="00461859"/>
    <w:rsid w:val="0046597D"/>
    <w:rsid w:val="004E52B9"/>
    <w:rsid w:val="00504D15"/>
    <w:rsid w:val="00527426"/>
    <w:rsid w:val="0059089E"/>
    <w:rsid w:val="00591C6F"/>
    <w:rsid w:val="005A2402"/>
    <w:rsid w:val="005A665B"/>
    <w:rsid w:val="00613ADF"/>
    <w:rsid w:val="00620F68"/>
    <w:rsid w:val="006B21B5"/>
    <w:rsid w:val="006C0994"/>
    <w:rsid w:val="00705E9B"/>
    <w:rsid w:val="00717642"/>
    <w:rsid w:val="007C26B7"/>
    <w:rsid w:val="00816075"/>
    <w:rsid w:val="00825F40"/>
    <w:rsid w:val="0085074A"/>
    <w:rsid w:val="00884248"/>
    <w:rsid w:val="008C4FD9"/>
    <w:rsid w:val="008F5E6C"/>
    <w:rsid w:val="00933F97"/>
    <w:rsid w:val="009418FA"/>
    <w:rsid w:val="009518C7"/>
    <w:rsid w:val="00981E9E"/>
    <w:rsid w:val="009C0BCF"/>
    <w:rsid w:val="009D7B8A"/>
    <w:rsid w:val="009F400F"/>
    <w:rsid w:val="00A35E5F"/>
    <w:rsid w:val="00A426B6"/>
    <w:rsid w:val="00A43718"/>
    <w:rsid w:val="00A44DE0"/>
    <w:rsid w:val="00A70230"/>
    <w:rsid w:val="00AA245D"/>
    <w:rsid w:val="00AC16F1"/>
    <w:rsid w:val="00AE5BEF"/>
    <w:rsid w:val="00AE6DEA"/>
    <w:rsid w:val="00B25F38"/>
    <w:rsid w:val="00B3685E"/>
    <w:rsid w:val="00B60626"/>
    <w:rsid w:val="00BA1F63"/>
    <w:rsid w:val="00BC1E29"/>
    <w:rsid w:val="00BD26D4"/>
    <w:rsid w:val="00BF11C4"/>
    <w:rsid w:val="00C07F68"/>
    <w:rsid w:val="00C7365C"/>
    <w:rsid w:val="00CC325A"/>
    <w:rsid w:val="00CF74DF"/>
    <w:rsid w:val="00D11546"/>
    <w:rsid w:val="00D43D29"/>
    <w:rsid w:val="00D8016F"/>
    <w:rsid w:val="00E322E8"/>
    <w:rsid w:val="00E34F71"/>
    <w:rsid w:val="00EB3E0F"/>
    <w:rsid w:val="00F91977"/>
    <w:rsid w:val="00FE1AB3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212E1DC"/>
  <w15:docId w15:val="{622999A1-0FB9-4F39-9E4A-1C049619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B3685E"/>
    <w:pPr>
      <w:spacing w:after="0" w:line="260" w:lineRule="atLeast"/>
    </w:pPr>
    <w:rPr>
      <w:rFonts w:ascii="Arial" w:eastAsia="Times New Roman" w:hAnsi="Arial" w:cs="Times New Roman"/>
      <w:noProof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B3685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B3685E"/>
    <w:rPr>
      <w:rFonts w:ascii="Arial" w:eastAsia="Times New Roman" w:hAnsi="Arial" w:cs="Times New Roman"/>
      <w:b/>
      <w:noProof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rsid w:val="00B3685E"/>
    <w:pPr>
      <w:tabs>
        <w:tab w:val="center" w:pos="4320"/>
        <w:tab w:val="right" w:pos="8640"/>
      </w:tabs>
    </w:pPr>
    <w:rPr>
      <w:noProof w:val="0"/>
    </w:rPr>
  </w:style>
  <w:style w:type="character" w:customStyle="1" w:styleId="GlavaZnak">
    <w:name w:val="Glava Znak"/>
    <w:basedOn w:val="Privzetapisavaodstavka"/>
    <w:link w:val="Glava"/>
    <w:uiPriority w:val="99"/>
    <w:rsid w:val="00B3685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B3685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3685E"/>
    <w:rPr>
      <w:rFonts w:ascii="Arial" w:eastAsia="Times New Roman" w:hAnsi="Arial" w:cs="Times New Roman"/>
      <w:noProof/>
      <w:sz w:val="20"/>
      <w:szCs w:val="24"/>
    </w:rPr>
  </w:style>
  <w:style w:type="character" w:styleId="Hiperpovezava">
    <w:name w:val="Hyperlink"/>
    <w:uiPriority w:val="99"/>
    <w:rsid w:val="00B3685E"/>
    <w:rPr>
      <w:color w:val="0000FF"/>
      <w:u w:val="single"/>
    </w:rPr>
  </w:style>
  <w:style w:type="paragraph" w:customStyle="1" w:styleId="Naslovpredpisa">
    <w:name w:val="Naslov_predpisa"/>
    <w:basedOn w:val="Navaden"/>
    <w:link w:val="NaslovpredpisaZnak"/>
    <w:qFormat/>
    <w:rsid w:val="00B3685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noProof w:val="0"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B3685E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B3685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3685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noProof w:val="0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B3685E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B3685E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rsid w:val="00B3685E"/>
    <w:rPr>
      <w:rFonts w:ascii="Arial" w:eastAsia="Times New Roman" w:hAnsi="Arial" w:cs="Times New Roman"/>
      <w:b/>
      <w:noProof/>
    </w:rPr>
  </w:style>
  <w:style w:type="paragraph" w:customStyle="1" w:styleId="Vrstapredpisa">
    <w:name w:val="Vrsta predpisa"/>
    <w:basedOn w:val="Navaden"/>
    <w:link w:val="VrstapredpisaZnak"/>
    <w:qFormat/>
    <w:rsid w:val="00B3685E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noProof w:val="0"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B3685E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datumtevilka">
    <w:name w:val="datum številka"/>
    <w:basedOn w:val="Navaden"/>
    <w:qFormat/>
    <w:rsid w:val="00B3685E"/>
    <w:pPr>
      <w:tabs>
        <w:tab w:val="left" w:pos="1701"/>
      </w:tabs>
      <w:spacing w:line="260" w:lineRule="exact"/>
    </w:pPr>
    <w:rPr>
      <w:noProof w:val="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2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230"/>
    <w:rPr>
      <w:rFonts w:ascii="Segoe UI" w:eastAsia="Times New Roman" w:hAnsi="Segoe UI" w:cs="Segoe UI"/>
      <w:noProof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E4DFB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E4DFB"/>
    <w:rPr>
      <w:rFonts w:ascii="Arial" w:eastAsia="Times New Roman" w:hAnsi="Arial" w:cs="Times New Roman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E4DF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A44DE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81E9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1E9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1E9E"/>
    <w:rPr>
      <w:rFonts w:ascii="Arial" w:eastAsia="Times New Roman" w:hAnsi="Arial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E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E9E"/>
    <w:rPr>
      <w:rFonts w:ascii="Arial" w:eastAsia="Times New Roman" w:hAnsi="Arial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C3B98E-4623-4816-A8D4-454E145C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Matjaž Remic</dc:creator>
  <cp:lastModifiedBy>Janja Zupan Novak</cp:lastModifiedBy>
  <cp:revision>5</cp:revision>
  <dcterms:created xsi:type="dcterms:W3CDTF">2020-11-17T10:53:00Z</dcterms:created>
  <dcterms:modified xsi:type="dcterms:W3CDTF">2020-11-17T12:00:00Z</dcterms:modified>
</cp:coreProperties>
</file>