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7F366" w14:textId="77777777" w:rsidR="0075771C" w:rsidRPr="00B82E72" w:rsidRDefault="0075771C" w:rsidP="0075771C">
      <w:pPr>
        <w:spacing w:line="288" w:lineRule="auto"/>
        <w:jc w:val="both"/>
        <w:rPr>
          <w:rFonts w:cs="Arial"/>
          <w:b/>
          <w:szCs w:val="20"/>
          <w:lang w:val="sl-SI"/>
        </w:rPr>
      </w:pPr>
      <w:bookmarkStart w:id="0" w:name="_GoBack"/>
      <w:bookmarkEnd w:id="0"/>
      <w:r w:rsidRPr="00B82E72">
        <w:rPr>
          <w:rFonts w:cs="Arial"/>
          <w:b/>
          <w:szCs w:val="20"/>
          <w:lang w:val="sl-SI"/>
        </w:rPr>
        <w:t>Priloga 1: Izračun izkoristka toplotne energije odvzete termalne vode</w:t>
      </w:r>
    </w:p>
    <w:p w14:paraId="6D913DC2" w14:textId="77777777" w:rsidR="0075771C" w:rsidRPr="00B82E72" w:rsidRDefault="0075771C" w:rsidP="0075771C">
      <w:pPr>
        <w:spacing w:line="288" w:lineRule="auto"/>
        <w:jc w:val="both"/>
        <w:rPr>
          <w:rFonts w:cs="Arial"/>
          <w:b/>
          <w:szCs w:val="20"/>
          <w:lang w:val="sl-SI"/>
        </w:rPr>
      </w:pPr>
    </w:p>
    <w:p w14:paraId="77FB3408" w14:textId="77777777" w:rsidR="0075771C" w:rsidRPr="00B82E72" w:rsidRDefault="0075771C" w:rsidP="0075771C">
      <w:pPr>
        <w:spacing w:line="288" w:lineRule="auto"/>
        <w:jc w:val="both"/>
        <w:rPr>
          <w:rFonts w:cs="Arial"/>
          <w:b/>
          <w:szCs w:val="20"/>
          <w:lang w:val="sl-SI"/>
        </w:rPr>
      </w:pPr>
    </w:p>
    <w:p w14:paraId="7B082125" w14:textId="77777777" w:rsidR="0075771C" w:rsidRPr="00B82E72" w:rsidRDefault="0075771C" w:rsidP="0075771C">
      <w:pPr>
        <w:spacing w:line="288" w:lineRule="auto"/>
        <w:jc w:val="both"/>
        <w:rPr>
          <w:rFonts w:cs="Arial"/>
          <w:b/>
          <w:szCs w:val="20"/>
          <w:lang w:val="sl-SI"/>
        </w:rPr>
      </w:pPr>
    </w:p>
    <w:p w14:paraId="01EC8D98" w14:textId="77777777" w:rsidR="0075771C" w:rsidRPr="00B82E72" w:rsidRDefault="0075771C" w:rsidP="0075771C">
      <w:pPr>
        <w:spacing w:line="288" w:lineRule="auto"/>
        <w:jc w:val="both"/>
        <w:rPr>
          <w:rFonts w:cs="Arial"/>
          <w:szCs w:val="20"/>
          <w:lang w:val="sl-SI"/>
        </w:rPr>
      </w:pPr>
    </w:p>
    <w:p w14:paraId="6B00AB26" w14:textId="77777777" w:rsidR="0075771C" w:rsidRPr="00B82E72" w:rsidRDefault="0075771C" w:rsidP="0075771C">
      <w:pPr>
        <w:spacing w:line="288" w:lineRule="auto"/>
        <w:jc w:val="both"/>
        <w:rPr>
          <w:rFonts w:cs="Arial"/>
          <w:szCs w:val="20"/>
          <w:lang w:val="sl-SI"/>
        </w:rPr>
      </w:pPr>
      <w:r w:rsidRPr="00B82E72">
        <w:rPr>
          <w:rFonts w:cs="Arial"/>
          <w:szCs w:val="20"/>
          <w:lang w:val="sl-SI"/>
        </w:rPr>
        <w:t>ɳ = 100 x (</w:t>
      </w:r>
      <w:proofErr w:type="spellStart"/>
      <w:r w:rsidRPr="00B82E72">
        <w:rPr>
          <w:rFonts w:cs="Arial"/>
          <w:szCs w:val="20"/>
          <w:lang w:val="sl-SI"/>
        </w:rPr>
        <w:t>T</w:t>
      </w:r>
      <w:r w:rsidRPr="00B82E72">
        <w:rPr>
          <w:rFonts w:cs="Arial"/>
          <w:szCs w:val="20"/>
          <w:vertAlign w:val="subscript"/>
          <w:lang w:val="sl-SI"/>
        </w:rPr>
        <w:t>vodni</w:t>
      </w:r>
      <w:proofErr w:type="spellEnd"/>
      <w:r w:rsidRPr="00B82E72">
        <w:rPr>
          <w:rFonts w:cs="Arial"/>
          <w:szCs w:val="20"/>
          <w:vertAlign w:val="subscript"/>
          <w:lang w:val="sl-SI"/>
        </w:rPr>
        <w:t xml:space="preserve"> vir</w:t>
      </w:r>
      <w:r w:rsidRPr="00B82E72">
        <w:rPr>
          <w:rFonts w:cs="Arial"/>
          <w:i/>
          <w:szCs w:val="20"/>
          <w:lang w:val="sl-SI"/>
        </w:rPr>
        <w:t xml:space="preserve"> – </w:t>
      </w:r>
      <w:proofErr w:type="spellStart"/>
      <w:r w:rsidRPr="00B82E72">
        <w:rPr>
          <w:rFonts w:cs="Arial"/>
          <w:szCs w:val="20"/>
          <w:lang w:val="sl-SI"/>
        </w:rPr>
        <w:t>T</w:t>
      </w:r>
      <w:r w:rsidRPr="00B82E72">
        <w:rPr>
          <w:rFonts w:cs="Arial"/>
          <w:szCs w:val="20"/>
          <w:vertAlign w:val="subscript"/>
          <w:lang w:val="sl-SI"/>
        </w:rPr>
        <w:t>odpadna</w:t>
      </w:r>
      <w:proofErr w:type="spellEnd"/>
      <w:r w:rsidRPr="00B82E72">
        <w:rPr>
          <w:rFonts w:cs="Arial"/>
          <w:szCs w:val="20"/>
          <w:vertAlign w:val="subscript"/>
          <w:lang w:val="sl-SI"/>
        </w:rPr>
        <w:t xml:space="preserve"> voda</w:t>
      </w:r>
      <w:r w:rsidRPr="00B82E72">
        <w:rPr>
          <w:rFonts w:cs="Arial"/>
          <w:szCs w:val="20"/>
          <w:lang w:val="sl-SI"/>
        </w:rPr>
        <w:t>)/(</w:t>
      </w:r>
      <w:proofErr w:type="spellStart"/>
      <w:r w:rsidRPr="00B82E72">
        <w:rPr>
          <w:rFonts w:cs="Arial"/>
          <w:szCs w:val="20"/>
          <w:lang w:val="sl-SI"/>
        </w:rPr>
        <w:t>T</w:t>
      </w:r>
      <w:r w:rsidRPr="00B82E72">
        <w:rPr>
          <w:rFonts w:cs="Arial"/>
          <w:szCs w:val="20"/>
          <w:vertAlign w:val="subscript"/>
          <w:lang w:val="sl-SI"/>
        </w:rPr>
        <w:t>vodni</w:t>
      </w:r>
      <w:proofErr w:type="spellEnd"/>
      <w:r w:rsidRPr="00B82E72">
        <w:rPr>
          <w:rFonts w:cs="Arial"/>
          <w:szCs w:val="20"/>
          <w:vertAlign w:val="subscript"/>
          <w:lang w:val="sl-SI"/>
        </w:rPr>
        <w:t xml:space="preserve"> vir</w:t>
      </w:r>
      <w:r w:rsidRPr="00B82E72">
        <w:rPr>
          <w:rFonts w:cs="Arial"/>
          <w:i/>
          <w:szCs w:val="20"/>
          <w:lang w:val="sl-SI"/>
        </w:rPr>
        <w:t xml:space="preserve"> – </w:t>
      </w:r>
      <w:r w:rsidRPr="00B82E72">
        <w:rPr>
          <w:rFonts w:cs="Arial"/>
          <w:szCs w:val="20"/>
          <w:lang w:val="sl-SI"/>
        </w:rPr>
        <w:t>12 °C),</w:t>
      </w:r>
    </w:p>
    <w:p w14:paraId="13B2D416" w14:textId="77777777" w:rsidR="0075771C" w:rsidRPr="00B82E72" w:rsidRDefault="0075771C" w:rsidP="0075771C">
      <w:pPr>
        <w:spacing w:line="288" w:lineRule="auto"/>
        <w:jc w:val="both"/>
        <w:rPr>
          <w:rFonts w:cs="Arial"/>
          <w:szCs w:val="20"/>
          <w:lang w:val="sl-SI"/>
        </w:rPr>
      </w:pPr>
    </w:p>
    <w:p w14:paraId="4E7EFD2C" w14:textId="77777777" w:rsidR="0075771C" w:rsidRPr="00B82E72" w:rsidRDefault="0075771C" w:rsidP="0075771C">
      <w:pPr>
        <w:spacing w:line="288" w:lineRule="auto"/>
        <w:jc w:val="both"/>
        <w:rPr>
          <w:rFonts w:cs="Arial"/>
          <w:szCs w:val="20"/>
          <w:lang w:val="sl-SI"/>
        </w:rPr>
      </w:pPr>
    </w:p>
    <w:p w14:paraId="78C36F20" w14:textId="77777777" w:rsidR="0075771C" w:rsidRPr="00B82E72" w:rsidRDefault="0075771C" w:rsidP="0075771C">
      <w:pPr>
        <w:spacing w:line="288" w:lineRule="auto"/>
        <w:jc w:val="both"/>
        <w:rPr>
          <w:rFonts w:cs="Arial"/>
          <w:szCs w:val="20"/>
          <w:lang w:val="sl-SI"/>
        </w:rPr>
      </w:pPr>
      <w:r w:rsidRPr="00B82E72">
        <w:rPr>
          <w:rFonts w:cs="Arial"/>
          <w:szCs w:val="20"/>
          <w:lang w:val="sl-SI"/>
        </w:rPr>
        <w:t>pri čemer je:</w:t>
      </w:r>
    </w:p>
    <w:p w14:paraId="7C8B1F46" w14:textId="77777777" w:rsidR="0075771C" w:rsidRPr="00BB7E92" w:rsidRDefault="0075771C" w:rsidP="0075771C">
      <w:pPr>
        <w:pStyle w:val="Odstavekseznama"/>
        <w:numPr>
          <w:ilvl w:val="0"/>
          <w:numId w:val="10"/>
        </w:numPr>
        <w:spacing w:line="288" w:lineRule="auto"/>
        <w:ind w:hanging="720"/>
        <w:jc w:val="both"/>
        <w:rPr>
          <w:rFonts w:cs="Arial"/>
          <w:szCs w:val="20"/>
          <w:lang w:val="sl-SI"/>
        </w:rPr>
      </w:pPr>
      <w:r w:rsidRPr="00BB7E92">
        <w:rPr>
          <w:rFonts w:cs="Arial"/>
          <w:szCs w:val="20"/>
          <w:lang w:val="sl-SI"/>
        </w:rPr>
        <w:t>ɳ: izkoristek toplotne energije, izražen v %,</w:t>
      </w:r>
    </w:p>
    <w:p w14:paraId="003BBBFE" w14:textId="77777777" w:rsidR="0075771C" w:rsidRPr="00BB7E92" w:rsidRDefault="0075771C" w:rsidP="0075771C">
      <w:pPr>
        <w:pStyle w:val="Odstavekseznama"/>
        <w:numPr>
          <w:ilvl w:val="0"/>
          <w:numId w:val="10"/>
        </w:numPr>
        <w:spacing w:line="288" w:lineRule="auto"/>
        <w:ind w:hanging="720"/>
        <w:jc w:val="both"/>
        <w:rPr>
          <w:rFonts w:cs="Arial"/>
          <w:szCs w:val="20"/>
          <w:lang w:val="sl-SI"/>
        </w:rPr>
      </w:pPr>
      <w:proofErr w:type="spellStart"/>
      <w:r w:rsidRPr="00BB7E92">
        <w:rPr>
          <w:rFonts w:cs="Arial"/>
          <w:szCs w:val="20"/>
          <w:lang w:val="sl-SI"/>
        </w:rPr>
        <w:t>T</w:t>
      </w:r>
      <w:r w:rsidRPr="00BB7E92">
        <w:rPr>
          <w:rFonts w:cs="Arial"/>
          <w:szCs w:val="20"/>
          <w:vertAlign w:val="subscript"/>
          <w:lang w:val="sl-SI"/>
        </w:rPr>
        <w:t>vodni</w:t>
      </w:r>
      <w:proofErr w:type="spellEnd"/>
      <w:r w:rsidRPr="00BB7E92">
        <w:rPr>
          <w:rFonts w:cs="Arial"/>
          <w:szCs w:val="20"/>
          <w:vertAlign w:val="subscript"/>
          <w:lang w:val="sl-SI"/>
        </w:rPr>
        <w:t xml:space="preserve"> vir</w:t>
      </w:r>
      <w:r w:rsidRPr="00BB7E92">
        <w:rPr>
          <w:rFonts w:cs="Arial"/>
          <w:szCs w:val="20"/>
          <w:lang w:val="sl-SI"/>
        </w:rPr>
        <w:t>: letna povprečna temperatura vode v °C,</w:t>
      </w:r>
    </w:p>
    <w:p w14:paraId="0EA7A09F" w14:textId="77777777" w:rsidR="0075771C" w:rsidRPr="00BB7E92" w:rsidRDefault="0075771C" w:rsidP="0075771C">
      <w:pPr>
        <w:pStyle w:val="Odstavekseznama"/>
        <w:numPr>
          <w:ilvl w:val="0"/>
          <w:numId w:val="10"/>
        </w:numPr>
        <w:spacing w:line="288" w:lineRule="auto"/>
        <w:ind w:hanging="720"/>
        <w:jc w:val="both"/>
        <w:rPr>
          <w:rFonts w:cs="Arial"/>
          <w:szCs w:val="20"/>
          <w:lang w:val="sl-SI"/>
        </w:rPr>
      </w:pPr>
      <w:proofErr w:type="spellStart"/>
      <w:r w:rsidRPr="00BB7E92">
        <w:rPr>
          <w:rFonts w:cs="Arial"/>
          <w:szCs w:val="20"/>
          <w:lang w:val="sl-SI"/>
        </w:rPr>
        <w:t>T</w:t>
      </w:r>
      <w:r w:rsidRPr="00BB7E92">
        <w:rPr>
          <w:rFonts w:cs="Arial"/>
          <w:szCs w:val="20"/>
          <w:vertAlign w:val="subscript"/>
          <w:lang w:val="sl-SI"/>
        </w:rPr>
        <w:t>odpadna</w:t>
      </w:r>
      <w:proofErr w:type="spellEnd"/>
      <w:r w:rsidRPr="00BB7E92">
        <w:rPr>
          <w:rFonts w:cs="Arial"/>
          <w:szCs w:val="20"/>
          <w:vertAlign w:val="subscript"/>
          <w:lang w:val="sl-SI"/>
        </w:rPr>
        <w:t xml:space="preserve"> voda</w:t>
      </w:r>
      <w:r w:rsidRPr="00BB7E92">
        <w:rPr>
          <w:rFonts w:cs="Arial"/>
          <w:szCs w:val="20"/>
          <w:lang w:val="sl-SI"/>
        </w:rPr>
        <w:t>: letna povprečna temperatura odpadne vode v °C.</w:t>
      </w:r>
    </w:p>
    <w:p w14:paraId="4FC9A0B8" w14:textId="77777777" w:rsidR="0075771C" w:rsidRPr="00B82E72" w:rsidRDefault="0075771C" w:rsidP="0075771C">
      <w:pPr>
        <w:spacing w:line="288" w:lineRule="auto"/>
        <w:jc w:val="both"/>
        <w:rPr>
          <w:rFonts w:cs="Arial"/>
          <w:szCs w:val="20"/>
          <w:lang w:val="sl-SI"/>
        </w:rPr>
      </w:pPr>
    </w:p>
    <w:p w14:paraId="05279A74" w14:textId="77777777" w:rsidR="0075771C" w:rsidRPr="00B82E72" w:rsidRDefault="0075771C" w:rsidP="0075771C">
      <w:pPr>
        <w:spacing w:line="288" w:lineRule="auto"/>
        <w:jc w:val="both"/>
        <w:rPr>
          <w:rFonts w:cs="Arial"/>
          <w:szCs w:val="20"/>
          <w:lang w:val="sl-SI"/>
        </w:rPr>
      </w:pPr>
    </w:p>
    <w:p w14:paraId="5B5D1780" w14:textId="77777777" w:rsidR="0075771C" w:rsidRPr="00B82E72" w:rsidRDefault="0075771C" w:rsidP="0075771C">
      <w:pPr>
        <w:spacing w:line="288" w:lineRule="auto"/>
        <w:jc w:val="both"/>
        <w:rPr>
          <w:rFonts w:cs="Arial"/>
          <w:szCs w:val="20"/>
          <w:lang w:val="sl-SI"/>
        </w:rPr>
      </w:pPr>
      <w:r w:rsidRPr="00B82E72">
        <w:rPr>
          <w:rFonts w:cs="Arial"/>
          <w:szCs w:val="20"/>
          <w:lang w:val="sl-SI"/>
        </w:rPr>
        <w:t>V primeru dodatnega ogrevanja odvzete termalne vode se zahteva po doseganju izkoristka toplotne energije odvzete termalne vode ne upošteva.</w:t>
      </w:r>
    </w:p>
    <w:p w14:paraId="1D5B6EA8" w14:textId="77777777" w:rsidR="0075771C" w:rsidRPr="00B82E72" w:rsidRDefault="0075771C" w:rsidP="0075771C">
      <w:pPr>
        <w:spacing w:line="288" w:lineRule="auto"/>
        <w:jc w:val="both"/>
        <w:rPr>
          <w:rFonts w:cs="Arial"/>
          <w:b/>
          <w:szCs w:val="20"/>
          <w:lang w:val="sl-SI"/>
        </w:rPr>
      </w:pPr>
    </w:p>
    <w:p w14:paraId="57B0DEBF" w14:textId="77777777" w:rsidR="0075771C" w:rsidRPr="00B82E72" w:rsidRDefault="0075771C" w:rsidP="0075771C">
      <w:pPr>
        <w:spacing w:line="288" w:lineRule="auto"/>
        <w:jc w:val="both"/>
        <w:rPr>
          <w:rFonts w:cs="Arial"/>
          <w:b/>
          <w:szCs w:val="20"/>
          <w:lang w:val="sl-SI"/>
        </w:rPr>
      </w:pPr>
    </w:p>
    <w:p w14:paraId="375E3CAC" w14:textId="77777777" w:rsidR="0075771C" w:rsidRPr="00B82E72" w:rsidRDefault="0075771C" w:rsidP="0075771C">
      <w:pPr>
        <w:spacing w:line="288" w:lineRule="auto"/>
        <w:jc w:val="both"/>
        <w:rPr>
          <w:rFonts w:cs="Arial"/>
          <w:b/>
          <w:szCs w:val="20"/>
          <w:lang w:val="sl-SI"/>
        </w:rPr>
      </w:pPr>
    </w:p>
    <w:p w14:paraId="354A72EB" w14:textId="77777777" w:rsidR="0075771C" w:rsidRPr="00B82E72" w:rsidRDefault="0075771C" w:rsidP="0075771C">
      <w:pPr>
        <w:spacing w:line="288" w:lineRule="auto"/>
        <w:jc w:val="both"/>
        <w:rPr>
          <w:rFonts w:cs="Arial"/>
          <w:b/>
          <w:szCs w:val="20"/>
          <w:lang w:val="sl-SI"/>
        </w:rPr>
      </w:pPr>
    </w:p>
    <w:p w14:paraId="04277273" w14:textId="77777777" w:rsidR="0075771C" w:rsidRPr="00B82E72" w:rsidRDefault="0075771C" w:rsidP="0075771C">
      <w:pPr>
        <w:spacing w:line="288" w:lineRule="auto"/>
        <w:jc w:val="both"/>
        <w:rPr>
          <w:rFonts w:cs="Arial"/>
          <w:b/>
          <w:szCs w:val="20"/>
          <w:lang w:val="sl-SI"/>
        </w:rPr>
      </w:pPr>
    </w:p>
    <w:p w14:paraId="785E476B" w14:textId="77777777" w:rsidR="0075771C" w:rsidRPr="00B82E72" w:rsidRDefault="0075771C" w:rsidP="0075771C">
      <w:pPr>
        <w:spacing w:line="288" w:lineRule="auto"/>
        <w:jc w:val="both"/>
        <w:rPr>
          <w:rFonts w:cs="Arial"/>
          <w:b/>
          <w:szCs w:val="20"/>
          <w:lang w:val="sl-SI"/>
        </w:rPr>
      </w:pPr>
    </w:p>
    <w:p w14:paraId="53E6C310" w14:textId="77777777" w:rsidR="0075771C" w:rsidRDefault="0075771C" w:rsidP="0075771C"/>
    <w:p w14:paraId="56D62BEE" w14:textId="77777777" w:rsidR="0075771C" w:rsidRDefault="0075771C" w:rsidP="000C4E29">
      <w:pPr>
        <w:spacing w:line="260" w:lineRule="exact"/>
        <w:jc w:val="both"/>
        <w:rPr>
          <w:rFonts w:cs="Arial"/>
          <w:b/>
          <w:szCs w:val="20"/>
          <w:lang w:val="sl-SI"/>
        </w:rPr>
      </w:pPr>
    </w:p>
    <w:p w14:paraId="7160319C" w14:textId="77777777" w:rsidR="0075771C" w:rsidRDefault="0075771C" w:rsidP="000C4E29">
      <w:pPr>
        <w:spacing w:line="260" w:lineRule="exact"/>
        <w:jc w:val="both"/>
        <w:rPr>
          <w:rFonts w:cs="Arial"/>
          <w:b/>
          <w:szCs w:val="20"/>
          <w:lang w:val="sl-SI"/>
        </w:rPr>
      </w:pPr>
    </w:p>
    <w:p w14:paraId="125C19F2" w14:textId="77777777" w:rsidR="0075771C" w:rsidRDefault="0075771C" w:rsidP="000C4E29">
      <w:pPr>
        <w:spacing w:line="260" w:lineRule="exact"/>
        <w:jc w:val="both"/>
        <w:rPr>
          <w:rFonts w:cs="Arial"/>
          <w:b/>
          <w:szCs w:val="20"/>
          <w:lang w:val="sl-SI"/>
        </w:rPr>
      </w:pPr>
    </w:p>
    <w:p w14:paraId="725C1E85" w14:textId="77777777" w:rsidR="0075771C" w:rsidRDefault="0075771C" w:rsidP="000C4E29">
      <w:pPr>
        <w:spacing w:line="260" w:lineRule="exact"/>
        <w:jc w:val="both"/>
        <w:rPr>
          <w:rFonts w:cs="Arial"/>
          <w:b/>
          <w:szCs w:val="20"/>
          <w:lang w:val="sl-SI"/>
        </w:rPr>
      </w:pPr>
    </w:p>
    <w:p w14:paraId="530BCAB4" w14:textId="77777777" w:rsidR="0075771C" w:rsidRDefault="0075771C" w:rsidP="000C4E29">
      <w:pPr>
        <w:spacing w:line="260" w:lineRule="exact"/>
        <w:jc w:val="both"/>
        <w:rPr>
          <w:rFonts w:cs="Arial"/>
          <w:b/>
          <w:szCs w:val="20"/>
          <w:lang w:val="sl-SI"/>
        </w:rPr>
      </w:pPr>
    </w:p>
    <w:p w14:paraId="066C34EF" w14:textId="77777777" w:rsidR="0075771C" w:rsidRDefault="0075771C" w:rsidP="000C4E29">
      <w:pPr>
        <w:spacing w:line="260" w:lineRule="exact"/>
        <w:jc w:val="both"/>
        <w:rPr>
          <w:rFonts w:cs="Arial"/>
          <w:b/>
          <w:szCs w:val="20"/>
          <w:lang w:val="sl-SI"/>
        </w:rPr>
      </w:pPr>
    </w:p>
    <w:p w14:paraId="00376AA1" w14:textId="77777777" w:rsidR="0075771C" w:rsidRDefault="0075771C" w:rsidP="000C4E29">
      <w:pPr>
        <w:spacing w:line="260" w:lineRule="exact"/>
        <w:jc w:val="both"/>
        <w:rPr>
          <w:rFonts w:cs="Arial"/>
          <w:b/>
          <w:szCs w:val="20"/>
          <w:lang w:val="sl-SI"/>
        </w:rPr>
      </w:pPr>
    </w:p>
    <w:p w14:paraId="69023FA2" w14:textId="77777777" w:rsidR="0075771C" w:rsidRDefault="0075771C" w:rsidP="000C4E29">
      <w:pPr>
        <w:spacing w:line="260" w:lineRule="exact"/>
        <w:jc w:val="both"/>
        <w:rPr>
          <w:rFonts w:cs="Arial"/>
          <w:b/>
          <w:szCs w:val="20"/>
          <w:lang w:val="sl-SI"/>
        </w:rPr>
      </w:pPr>
    </w:p>
    <w:p w14:paraId="16501CF2" w14:textId="77777777" w:rsidR="0075771C" w:rsidRDefault="0075771C" w:rsidP="000C4E29">
      <w:pPr>
        <w:spacing w:line="260" w:lineRule="exact"/>
        <w:jc w:val="both"/>
        <w:rPr>
          <w:rFonts w:cs="Arial"/>
          <w:b/>
          <w:szCs w:val="20"/>
          <w:lang w:val="sl-SI"/>
        </w:rPr>
      </w:pPr>
    </w:p>
    <w:p w14:paraId="1A7331C7" w14:textId="77777777" w:rsidR="0075771C" w:rsidRDefault="0075771C" w:rsidP="000C4E29">
      <w:pPr>
        <w:spacing w:line="260" w:lineRule="exact"/>
        <w:jc w:val="both"/>
        <w:rPr>
          <w:rFonts w:cs="Arial"/>
          <w:b/>
          <w:szCs w:val="20"/>
          <w:lang w:val="sl-SI"/>
        </w:rPr>
      </w:pPr>
    </w:p>
    <w:p w14:paraId="50496C2B" w14:textId="77777777" w:rsidR="0075771C" w:rsidRDefault="0075771C" w:rsidP="000C4E29">
      <w:pPr>
        <w:spacing w:line="260" w:lineRule="exact"/>
        <w:jc w:val="both"/>
        <w:rPr>
          <w:rFonts w:cs="Arial"/>
          <w:b/>
          <w:szCs w:val="20"/>
          <w:lang w:val="sl-SI"/>
        </w:rPr>
      </w:pPr>
    </w:p>
    <w:p w14:paraId="2BC79566" w14:textId="77777777" w:rsidR="0075771C" w:rsidRDefault="0075771C" w:rsidP="000C4E29">
      <w:pPr>
        <w:spacing w:line="260" w:lineRule="exact"/>
        <w:jc w:val="both"/>
        <w:rPr>
          <w:rFonts w:cs="Arial"/>
          <w:b/>
          <w:szCs w:val="20"/>
          <w:lang w:val="sl-SI"/>
        </w:rPr>
      </w:pPr>
    </w:p>
    <w:p w14:paraId="22BB337D" w14:textId="77777777" w:rsidR="0075771C" w:rsidRDefault="0075771C" w:rsidP="000C4E29">
      <w:pPr>
        <w:spacing w:line="260" w:lineRule="exact"/>
        <w:jc w:val="both"/>
        <w:rPr>
          <w:rFonts w:cs="Arial"/>
          <w:b/>
          <w:szCs w:val="20"/>
          <w:lang w:val="sl-SI"/>
        </w:rPr>
      </w:pPr>
    </w:p>
    <w:p w14:paraId="02B2F631" w14:textId="77777777" w:rsidR="0075771C" w:rsidRDefault="0075771C" w:rsidP="000C4E29">
      <w:pPr>
        <w:spacing w:line="260" w:lineRule="exact"/>
        <w:jc w:val="both"/>
        <w:rPr>
          <w:rFonts w:cs="Arial"/>
          <w:b/>
          <w:szCs w:val="20"/>
          <w:lang w:val="sl-SI"/>
        </w:rPr>
      </w:pPr>
    </w:p>
    <w:p w14:paraId="269B569F" w14:textId="77777777" w:rsidR="0075771C" w:rsidRDefault="0075771C" w:rsidP="000C4E29">
      <w:pPr>
        <w:spacing w:line="260" w:lineRule="exact"/>
        <w:jc w:val="both"/>
        <w:rPr>
          <w:rFonts w:cs="Arial"/>
          <w:b/>
          <w:szCs w:val="20"/>
          <w:lang w:val="sl-SI"/>
        </w:rPr>
      </w:pPr>
    </w:p>
    <w:p w14:paraId="3056DAAC" w14:textId="77777777" w:rsidR="0075771C" w:rsidRDefault="0075771C" w:rsidP="000C4E29">
      <w:pPr>
        <w:spacing w:line="260" w:lineRule="exact"/>
        <w:jc w:val="both"/>
        <w:rPr>
          <w:rFonts w:cs="Arial"/>
          <w:b/>
          <w:szCs w:val="20"/>
          <w:lang w:val="sl-SI"/>
        </w:rPr>
      </w:pPr>
    </w:p>
    <w:p w14:paraId="0F0FB8DA" w14:textId="77777777" w:rsidR="0075771C" w:rsidRDefault="0075771C" w:rsidP="000C4E29">
      <w:pPr>
        <w:spacing w:line="260" w:lineRule="exact"/>
        <w:jc w:val="both"/>
        <w:rPr>
          <w:rFonts w:cs="Arial"/>
          <w:b/>
          <w:szCs w:val="20"/>
          <w:lang w:val="sl-SI"/>
        </w:rPr>
      </w:pPr>
    </w:p>
    <w:p w14:paraId="693337CB" w14:textId="77777777" w:rsidR="0075771C" w:rsidRDefault="0075771C" w:rsidP="000C4E29">
      <w:pPr>
        <w:spacing w:line="260" w:lineRule="exact"/>
        <w:jc w:val="both"/>
        <w:rPr>
          <w:rFonts w:cs="Arial"/>
          <w:b/>
          <w:szCs w:val="20"/>
          <w:lang w:val="sl-SI"/>
        </w:rPr>
      </w:pPr>
    </w:p>
    <w:p w14:paraId="6CF05437" w14:textId="77777777" w:rsidR="0075771C" w:rsidRDefault="0075771C" w:rsidP="000C4E29">
      <w:pPr>
        <w:spacing w:line="260" w:lineRule="exact"/>
        <w:jc w:val="both"/>
        <w:rPr>
          <w:rFonts w:cs="Arial"/>
          <w:b/>
          <w:szCs w:val="20"/>
          <w:lang w:val="sl-SI"/>
        </w:rPr>
      </w:pPr>
    </w:p>
    <w:p w14:paraId="5ADBAA48" w14:textId="77777777" w:rsidR="0075771C" w:rsidRDefault="0075771C" w:rsidP="000C4E29">
      <w:pPr>
        <w:spacing w:line="260" w:lineRule="exact"/>
        <w:jc w:val="both"/>
        <w:rPr>
          <w:rFonts w:cs="Arial"/>
          <w:b/>
          <w:szCs w:val="20"/>
          <w:lang w:val="sl-SI"/>
        </w:rPr>
      </w:pPr>
    </w:p>
    <w:p w14:paraId="38206000" w14:textId="77777777" w:rsidR="0075771C" w:rsidRDefault="0075771C" w:rsidP="000C4E29">
      <w:pPr>
        <w:spacing w:line="260" w:lineRule="exact"/>
        <w:jc w:val="both"/>
        <w:rPr>
          <w:rFonts w:cs="Arial"/>
          <w:b/>
          <w:szCs w:val="20"/>
          <w:lang w:val="sl-SI"/>
        </w:rPr>
      </w:pPr>
    </w:p>
    <w:p w14:paraId="4D0FC3A7" w14:textId="77777777" w:rsidR="0075771C" w:rsidRDefault="0075771C">
      <w:pPr>
        <w:spacing w:after="160" w:line="259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br w:type="page"/>
      </w:r>
    </w:p>
    <w:p w14:paraId="70D1CDD5" w14:textId="77777777" w:rsidR="0075771C" w:rsidRDefault="0075771C" w:rsidP="000C4E29">
      <w:pPr>
        <w:spacing w:line="260" w:lineRule="exact"/>
        <w:jc w:val="both"/>
        <w:rPr>
          <w:rFonts w:cs="Arial"/>
          <w:b/>
          <w:szCs w:val="20"/>
          <w:lang w:val="sl-SI"/>
        </w:rPr>
      </w:pPr>
    </w:p>
    <w:p w14:paraId="3BD2615C" w14:textId="77777777" w:rsidR="0075771C" w:rsidRDefault="0075771C" w:rsidP="000C4E29">
      <w:pPr>
        <w:spacing w:line="260" w:lineRule="exact"/>
        <w:jc w:val="both"/>
        <w:rPr>
          <w:rFonts w:cs="Arial"/>
          <w:b/>
          <w:szCs w:val="20"/>
          <w:lang w:val="sl-SI"/>
        </w:rPr>
      </w:pPr>
    </w:p>
    <w:p w14:paraId="10EDDF5D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  <w:r w:rsidRPr="000C4E29">
        <w:rPr>
          <w:rFonts w:cs="Arial"/>
          <w:b/>
          <w:szCs w:val="20"/>
          <w:lang w:val="sl-SI"/>
        </w:rPr>
        <w:t>Priloga 2: Monitoring</w:t>
      </w:r>
    </w:p>
    <w:p w14:paraId="109EBD91" w14:textId="77777777" w:rsidR="000C4E29" w:rsidRPr="000C4E29" w:rsidRDefault="000C4E29" w:rsidP="000C4E29">
      <w:pPr>
        <w:spacing w:line="260" w:lineRule="exact"/>
        <w:jc w:val="both"/>
        <w:rPr>
          <w:rFonts w:cs="Arial"/>
          <w:b/>
          <w:szCs w:val="20"/>
          <w:lang w:val="sl-SI"/>
        </w:rPr>
      </w:pPr>
    </w:p>
    <w:p w14:paraId="34DB21CB" w14:textId="77777777" w:rsidR="000C4E29" w:rsidRPr="000C4E29" w:rsidRDefault="000C4E29" w:rsidP="000C4E29">
      <w:pPr>
        <w:spacing w:line="260" w:lineRule="exact"/>
        <w:jc w:val="both"/>
        <w:rPr>
          <w:rFonts w:cs="Arial"/>
          <w:b/>
          <w:szCs w:val="20"/>
          <w:lang w:val="sl-SI"/>
        </w:rPr>
      </w:pPr>
    </w:p>
    <w:p w14:paraId="55AC3279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  <w:r w:rsidRPr="000C4E29">
        <w:rPr>
          <w:rFonts w:cs="Arial"/>
          <w:b/>
          <w:szCs w:val="20"/>
          <w:lang w:val="sl-SI"/>
        </w:rPr>
        <w:t>I. Splošno</w:t>
      </w:r>
    </w:p>
    <w:p w14:paraId="4A1941F8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</w:p>
    <w:p w14:paraId="4604A428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Monitoring iz 7. člena te uredbe vključuje:</w:t>
      </w:r>
    </w:p>
    <w:p w14:paraId="3B1A5CF0" w14:textId="77777777" w:rsidR="000C4E29" w:rsidRPr="000C4E29" w:rsidRDefault="000C4E29" w:rsidP="000C4E29">
      <w:pPr>
        <w:numPr>
          <w:ilvl w:val="0"/>
          <w:numId w:val="2"/>
        </w:numPr>
        <w:spacing w:line="260" w:lineRule="exact"/>
        <w:ind w:hanging="720"/>
        <w:contextualSpacing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monitoring odvzetih količin termalne vode ter</w:t>
      </w:r>
    </w:p>
    <w:p w14:paraId="7D6C24D2" w14:textId="77777777" w:rsidR="000C4E29" w:rsidRPr="000C4E29" w:rsidRDefault="000C4E29" w:rsidP="000C4E29">
      <w:pPr>
        <w:numPr>
          <w:ilvl w:val="0"/>
          <w:numId w:val="2"/>
        </w:numPr>
        <w:spacing w:line="260" w:lineRule="exact"/>
        <w:ind w:hanging="720"/>
        <w:contextualSpacing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monitoring vpliva rabe in nadzor nad hidravličnimi značilnostmi vrtine.</w:t>
      </w:r>
    </w:p>
    <w:p w14:paraId="38CD90FD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</w:p>
    <w:p w14:paraId="414007C3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 xml:space="preserve">Koncesionar mora zagotavljati kakovost podatkov z meroslovnim obvladovanjem merilne opreme. Postopek izvajanja meritev mora zagotavljati primerljivost rezultatov v celotnem obdobju programa monitoringa. </w:t>
      </w:r>
    </w:p>
    <w:p w14:paraId="5076931D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</w:p>
    <w:p w14:paraId="6FF6A01D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Koncesionar mora za podatke, za katere je tako določeno v tej prilogi, enkrat na dan (</w:t>
      </w:r>
      <w:r w:rsidRPr="000C4E29">
        <w:rPr>
          <w:rFonts w:cs="Arial"/>
          <w:i/>
          <w:szCs w:val="20"/>
          <w:lang w:val="sl-SI"/>
        </w:rPr>
        <w:t>on-line</w:t>
      </w:r>
      <w:r w:rsidRPr="000C4E29">
        <w:rPr>
          <w:rFonts w:cs="Arial"/>
          <w:szCs w:val="20"/>
          <w:lang w:val="sl-SI"/>
        </w:rPr>
        <w:t xml:space="preserve">) zagotavljati prenos v podatkovno zbirko agencije. </w:t>
      </w:r>
    </w:p>
    <w:p w14:paraId="63697DE8" w14:textId="77777777" w:rsid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</w:p>
    <w:p w14:paraId="61101368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</w:p>
    <w:p w14:paraId="40C56CB9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  <w:r w:rsidRPr="000C4E29">
        <w:rPr>
          <w:rFonts w:cs="Arial"/>
          <w:b/>
          <w:szCs w:val="20"/>
          <w:lang w:val="sl-SI"/>
        </w:rPr>
        <w:t>II. Monitoring odvzetih količin termalne vode</w:t>
      </w:r>
    </w:p>
    <w:p w14:paraId="70E8DD48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</w:p>
    <w:p w14:paraId="307DF876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Z monitoringom odvzetih količin termalne vode se količina odvzete termalne vode spremlja z meritvami dejanske količine odvzete termalne vode z ustreznim merilnikom pretoka vode in elektronskim zapisovanjem tako, da se trenutna količina in skupna odvzeta količina termalne vode lahko kadar koli preverita.</w:t>
      </w:r>
    </w:p>
    <w:p w14:paraId="6BB19085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</w:p>
    <w:p w14:paraId="16022D5D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Koncesionar mora enkrat na dan</w:t>
      </w:r>
      <w:r w:rsidRPr="000C4E29" w:rsidDel="00D566D7">
        <w:rPr>
          <w:rFonts w:cs="Arial"/>
          <w:szCs w:val="20"/>
          <w:lang w:val="sl-SI"/>
        </w:rPr>
        <w:t xml:space="preserve"> </w:t>
      </w:r>
      <w:r w:rsidRPr="000C4E29">
        <w:rPr>
          <w:rFonts w:cs="Arial"/>
          <w:szCs w:val="20"/>
          <w:lang w:val="sl-SI"/>
        </w:rPr>
        <w:t>(</w:t>
      </w:r>
      <w:r w:rsidRPr="000C4E29">
        <w:rPr>
          <w:rFonts w:cs="Arial"/>
          <w:i/>
          <w:szCs w:val="20"/>
          <w:lang w:val="sl-SI"/>
        </w:rPr>
        <w:t>on-line</w:t>
      </w:r>
      <w:r w:rsidRPr="000C4E29">
        <w:rPr>
          <w:rFonts w:cs="Arial"/>
          <w:szCs w:val="20"/>
          <w:lang w:val="sl-SI"/>
        </w:rPr>
        <w:t>) zagotavljati prenos podatkov o meritvah v podatkovno zbirko agencije.</w:t>
      </w:r>
    </w:p>
    <w:p w14:paraId="6C9303C0" w14:textId="77777777" w:rsid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</w:p>
    <w:p w14:paraId="5F03DB14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</w:p>
    <w:p w14:paraId="31F871B2" w14:textId="77777777" w:rsidR="000C4E29" w:rsidRPr="000C4E29" w:rsidRDefault="000C4E29" w:rsidP="000C4E29">
      <w:pPr>
        <w:spacing w:line="260" w:lineRule="exact"/>
        <w:jc w:val="both"/>
        <w:rPr>
          <w:rFonts w:cs="Arial"/>
          <w:b/>
          <w:szCs w:val="20"/>
          <w:lang w:val="sl-SI"/>
        </w:rPr>
      </w:pPr>
      <w:r w:rsidRPr="000C4E29">
        <w:rPr>
          <w:rFonts w:cs="Arial"/>
          <w:b/>
          <w:szCs w:val="20"/>
          <w:lang w:val="sl-SI"/>
        </w:rPr>
        <w:t>III. Monitoring vpliva rabe vode in nadzor nad hidravličnimi značilnostmi vrtine</w:t>
      </w:r>
    </w:p>
    <w:p w14:paraId="232E94EE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</w:p>
    <w:p w14:paraId="4D142B14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 xml:space="preserve">1. Za ugotavljanje morebitnih sprememb razmer se izvajata monitoring vpliva rabe vode in nadzor nad hidravličnimi značilnostmi objekta za odvzem vode. Pri tem se spremljajo: </w:t>
      </w:r>
    </w:p>
    <w:p w14:paraId="19C57616" w14:textId="77777777" w:rsidR="000C4E29" w:rsidRPr="000C4E29" w:rsidRDefault="000C4E29" w:rsidP="000C4E29">
      <w:pPr>
        <w:numPr>
          <w:ilvl w:val="0"/>
          <w:numId w:val="3"/>
        </w:numPr>
        <w:spacing w:line="260" w:lineRule="exact"/>
        <w:ind w:hanging="720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stopnja količinskega obnavljanja,</w:t>
      </w:r>
    </w:p>
    <w:p w14:paraId="474FD8F9" w14:textId="77777777" w:rsidR="000C4E29" w:rsidRPr="000C4E29" w:rsidRDefault="000C4E29" w:rsidP="000C4E29">
      <w:pPr>
        <w:numPr>
          <w:ilvl w:val="0"/>
          <w:numId w:val="3"/>
        </w:numPr>
        <w:spacing w:line="260" w:lineRule="exact"/>
        <w:ind w:hanging="720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stalnost fizikalno-kemijskih značilnosti termalne vode in</w:t>
      </w:r>
    </w:p>
    <w:p w14:paraId="5D439E06" w14:textId="77777777" w:rsidR="000C4E29" w:rsidRPr="000C4E29" w:rsidRDefault="000C4E29" w:rsidP="000C4E29">
      <w:pPr>
        <w:numPr>
          <w:ilvl w:val="0"/>
          <w:numId w:val="3"/>
        </w:numPr>
        <w:spacing w:line="260" w:lineRule="exact"/>
        <w:ind w:hanging="720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stalnost hidravličnih značilnosti objekta za odvzem termalne vode (v nadaljnjem besedilu: objekt).</w:t>
      </w:r>
    </w:p>
    <w:p w14:paraId="061236A8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</w:p>
    <w:p w14:paraId="03C782C8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 xml:space="preserve">2. Spremljanje stopnje količinskega obnavljanja </w:t>
      </w:r>
    </w:p>
    <w:p w14:paraId="17F0EB88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</w:p>
    <w:p w14:paraId="10886EB7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Stopnjo količinskega obnavljanja termalne vode je treba ugotavljati s stalnim spremljanjem gladine oziroma tlaka termalne vode, pretoka odvzete vode in njihovega trenda za posamezne objekte ter to letno vrednotiti v povezavi z rezultati vsakoletne kratkotrajne hkratne in popolne prekinitve odvzema termalne vode v celotnem termalnem vodonosniku (prekinitveni test).</w:t>
      </w:r>
    </w:p>
    <w:p w14:paraId="5D0C1FB2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</w:p>
    <w:p w14:paraId="3528D8DD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Ugotavljati je treba:</w:t>
      </w:r>
    </w:p>
    <w:p w14:paraId="7B147105" w14:textId="77777777" w:rsidR="000C4E29" w:rsidRPr="000C4E29" w:rsidRDefault="000C4E29" w:rsidP="000C4E29">
      <w:pPr>
        <w:numPr>
          <w:ilvl w:val="0"/>
          <w:numId w:val="4"/>
        </w:numPr>
        <w:spacing w:line="260" w:lineRule="exact"/>
        <w:ind w:hanging="720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razpon gladine termalne vode ter sezonski in dolgoročni trend,</w:t>
      </w:r>
    </w:p>
    <w:p w14:paraId="5A40CBBE" w14:textId="77777777" w:rsidR="000C4E29" w:rsidRPr="000C4E29" w:rsidRDefault="000C4E29" w:rsidP="000C4E29">
      <w:pPr>
        <w:numPr>
          <w:ilvl w:val="0"/>
          <w:numId w:val="4"/>
        </w:numPr>
        <w:spacing w:line="260" w:lineRule="exact"/>
        <w:ind w:hanging="720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odvisnost znižanja gladine in temperature termalne vode od količine črpanja in hidroloških razmer,</w:t>
      </w:r>
    </w:p>
    <w:p w14:paraId="02D52CD7" w14:textId="77777777" w:rsidR="000C4E29" w:rsidRPr="000C4E29" w:rsidRDefault="000C4E29" w:rsidP="000C4E29">
      <w:pPr>
        <w:numPr>
          <w:ilvl w:val="0"/>
          <w:numId w:val="4"/>
        </w:numPr>
        <w:spacing w:line="260" w:lineRule="exact"/>
        <w:ind w:hanging="720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učinke kratkotrajnih popolnih prekinitev rabe (odvzema) termalne vode (prekinitveni test) in</w:t>
      </w:r>
    </w:p>
    <w:p w14:paraId="4725EE66" w14:textId="77777777" w:rsidR="000C4E29" w:rsidRPr="000C4E29" w:rsidRDefault="000C4E29" w:rsidP="000C4E29">
      <w:pPr>
        <w:numPr>
          <w:ilvl w:val="0"/>
          <w:numId w:val="5"/>
        </w:numPr>
        <w:spacing w:line="260" w:lineRule="exact"/>
        <w:ind w:hanging="720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doseganje kritične vrednosti gladine termalne vode.</w:t>
      </w:r>
    </w:p>
    <w:p w14:paraId="1537A50A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</w:p>
    <w:p w14:paraId="12C31CEB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lastRenderedPageBreak/>
        <w:t>Monitoring spremljanja stopnje količinskega obnavljanja je treba izvajati z meritvami:</w:t>
      </w:r>
    </w:p>
    <w:p w14:paraId="62392442" w14:textId="77777777" w:rsidR="000C4E29" w:rsidRPr="000C4E29" w:rsidRDefault="000C4E29" w:rsidP="000C4E29">
      <w:pPr>
        <w:numPr>
          <w:ilvl w:val="0"/>
          <w:numId w:val="6"/>
        </w:numPr>
        <w:spacing w:line="260" w:lineRule="exact"/>
        <w:ind w:hanging="720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 xml:space="preserve">odvzete količine termalne vode iz vrtine za odvzem vode, </w:t>
      </w:r>
    </w:p>
    <w:p w14:paraId="4530DD5B" w14:textId="77777777" w:rsidR="000C4E29" w:rsidRPr="000C4E29" w:rsidRDefault="000C4E29" w:rsidP="000C4E29">
      <w:pPr>
        <w:numPr>
          <w:ilvl w:val="0"/>
          <w:numId w:val="6"/>
        </w:numPr>
        <w:spacing w:line="260" w:lineRule="exact"/>
        <w:ind w:hanging="720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gladine (tlaka) termalne vode v vrtini za odvzem ter</w:t>
      </w:r>
    </w:p>
    <w:p w14:paraId="7EA8BCAE" w14:textId="77777777" w:rsidR="000C4E29" w:rsidRPr="000C4E29" w:rsidRDefault="000C4E29" w:rsidP="000C4E29">
      <w:pPr>
        <w:numPr>
          <w:ilvl w:val="0"/>
          <w:numId w:val="6"/>
        </w:numPr>
        <w:spacing w:line="260" w:lineRule="exact"/>
        <w:ind w:hanging="720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 xml:space="preserve">skupne količine odpadne vode iz sistema za mestom, kjer se termalna voda nazadnje uporabi. </w:t>
      </w:r>
    </w:p>
    <w:p w14:paraId="2A5B4A23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</w:p>
    <w:p w14:paraId="0B37DBFD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Meritev pretoka odvzetih količin vode mora biti stalna in zvezna z zapisovanjem trenutne količine pretoka in skupne količine načrpane vode najmanj enkrat na uro. Za te meritve morata biti zagotovljena elektronsko zapisovanje in enkrat na dan (</w:t>
      </w:r>
      <w:r w:rsidRPr="000C4E29">
        <w:rPr>
          <w:rFonts w:cs="Arial"/>
          <w:i/>
          <w:szCs w:val="20"/>
          <w:lang w:val="sl-SI"/>
        </w:rPr>
        <w:t>on-line</w:t>
      </w:r>
      <w:r w:rsidRPr="000C4E29">
        <w:rPr>
          <w:rFonts w:cs="Arial"/>
          <w:szCs w:val="20"/>
          <w:lang w:val="sl-SI"/>
        </w:rPr>
        <w:t xml:space="preserve">) prenos podatkov v podatkovno zbirko agencije. </w:t>
      </w:r>
    </w:p>
    <w:p w14:paraId="78FF2005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</w:p>
    <w:p w14:paraId="6E7C58F9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Meritve gladine termalne vode na vrtini za odvzem vode se izvajajo s tlačno sondo in elektronskim zapisovanjem gladine termalne vode ali na drug način, ki omogoča primerljivo kakovost rezultatov. Meritev gladine (tlaka) termalne vode mora biti stalna in zvezna z zapisovanjem podatkov najmanj enkrat na uro. Za meritve gladine (tlaka) morata biti zagotovljena elektronsko zapisovanje in enkrat na dan (</w:t>
      </w:r>
      <w:r w:rsidRPr="000C4E29">
        <w:rPr>
          <w:rFonts w:cs="Arial"/>
          <w:i/>
          <w:szCs w:val="20"/>
          <w:lang w:val="sl-SI"/>
        </w:rPr>
        <w:t>on-line</w:t>
      </w:r>
      <w:r w:rsidRPr="000C4E29">
        <w:rPr>
          <w:rFonts w:cs="Arial"/>
          <w:szCs w:val="20"/>
          <w:lang w:val="sl-SI"/>
        </w:rPr>
        <w:t xml:space="preserve">) prenos podatkov v podatkovno zbirko agencije. </w:t>
      </w:r>
    </w:p>
    <w:p w14:paraId="336E3DB9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</w:p>
    <w:p w14:paraId="2742A006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Skupna količina odpadne vode se zapisuje najmanj enkrat na dan. Mesto in način merjenja se posebej opredelita v programu monitoringa.</w:t>
      </w:r>
    </w:p>
    <w:p w14:paraId="4201DA66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</w:p>
    <w:p w14:paraId="5C245B30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3. Spremljanje fizikalno-kemijskih značilnosti termalne in odpadne vode</w:t>
      </w:r>
    </w:p>
    <w:p w14:paraId="79CB1BFF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</w:p>
    <w:p w14:paraId="7FFE047D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Z analizo fizikalno-kemijskih značilnosti termalne vode iz vrtine za odvzem vode je treba ugotavljati kemijsko sestavo in posredno tudi spremembo količinskega stanja (toplotne vrednosti) izkoriščanega vodonosnika.</w:t>
      </w:r>
    </w:p>
    <w:p w14:paraId="4EFF1D2E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</w:p>
    <w:p w14:paraId="2C0F4B99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Spremljanje fizikalno-kemijskih značilnosti vode je treba izvajati z:</w:t>
      </w:r>
    </w:p>
    <w:p w14:paraId="61D3F6E9" w14:textId="77777777" w:rsidR="000C4E29" w:rsidRPr="000C4E29" w:rsidRDefault="000C4E29" w:rsidP="000C4E29">
      <w:pPr>
        <w:numPr>
          <w:ilvl w:val="0"/>
          <w:numId w:val="8"/>
        </w:numPr>
        <w:spacing w:line="260" w:lineRule="exact"/>
        <w:ind w:hanging="720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meritvijo temperature termalne vode na ustju vrtine za odvzem vode,</w:t>
      </w:r>
    </w:p>
    <w:p w14:paraId="1BB429AE" w14:textId="77777777" w:rsidR="000C4E29" w:rsidRPr="000C4E29" w:rsidRDefault="000C4E29" w:rsidP="000C4E29">
      <w:pPr>
        <w:numPr>
          <w:ilvl w:val="0"/>
          <w:numId w:val="8"/>
        </w:numPr>
        <w:spacing w:line="260" w:lineRule="exact"/>
        <w:ind w:hanging="720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meritvijo temperature odpadne vode na izpustu iz sistema za mestom, kjer se termalna voda nazadnje uporabi,</w:t>
      </w:r>
    </w:p>
    <w:p w14:paraId="69AFB44D" w14:textId="77777777" w:rsidR="000C4E29" w:rsidRPr="000C4E29" w:rsidRDefault="000C4E29" w:rsidP="000C4E29">
      <w:pPr>
        <w:numPr>
          <w:ilvl w:val="0"/>
          <w:numId w:val="8"/>
        </w:numPr>
        <w:spacing w:line="260" w:lineRule="exact"/>
        <w:ind w:hanging="720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analizo izotopske sestave termalne vode iz vrtine za odvzem vode in</w:t>
      </w:r>
    </w:p>
    <w:p w14:paraId="14A4E1BD" w14:textId="77777777" w:rsidR="000C4E29" w:rsidRPr="000C4E29" w:rsidRDefault="000C4E29" w:rsidP="000C4E29">
      <w:pPr>
        <w:spacing w:line="260" w:lineRule="exact"/>
        <w:ind w:left="709" w:hanging="709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č)</w:t>
      </w:r>
      <w:r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ab/>
      </w:r>
      <w:r w:rsidRPr="000C4E29">
        <w:rPr>
          <w:rFonts w:cs="Arial"/>
          <w:szCs w:val="20"/>
          <w:lang w:val="sl-SI"/>
        </w:rPr>
        <w:t>analizo kemijske sestave termalne vode iz vrtine za odvzem vode.</w:t>
      </w:r>
    </w:p>
    <w:p w14:paraId="1474DB7E" w14:textId="77777777" w:rsidR="000C4E29" w:rsidRPr="000C4E29" w:rsidRDefault="000C4E29" w:rsidP="000C4E29">
      <w:pPr>
        <w:spacing w:line="260" w:lineRule="exact"/>
        <w:ind w:hanging="720"/>
        <w:jc w:val="both"/>
        <w:rPr>
          <w:rFonts w:cs="Arial"/>
          <w:szCs w:val="20"/>
          <w:lang w:val="sl-SI"/>
        </w:rPr>
      </w:pPr>
    </w:p>
    <w:p w14:paraId="62151D5B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K točki a:</w:t>
      </w:r>
    </w:p>
    <w:p w14:paraId="5F1408D1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Meritev temperature termalne vode mora biti stalna in zvezna z zapisovanjem podatkov najmanj enkrat na uro. Za meritve temperature odvzete termalne vode morata biti zagotovljena elektronsko zapisovanje</w:t>
      </w:r>
      <w:r w:rsidRPr="000C4E29" w:rsidDel="009B0430">
        <w:rPr>
          <w:rFonts w:cs="Arial"/>
          <w:szCs w:val="20"/>
          <w:lang w:val="sl-SI"/>
        </w:rPr>
        <w:t xml:space="preserve"> </w:t>
      </w:r>
      <w:r w:rsidRPr="000C4E29">
        <w:rPr>
          <w:rFonts w:cs="Arial"/>
          <w:szCs w:val="20"/>
          <w:lang w:val="sl-SI"/>
        </w:rPr>
        <w:t>in enkrat na dan (</w:t>
      </w:r>
      <w:r w:rsidRPr="000C4E29">
        <w:rPr>
          <w:rFonts w:cs="Arial"/>
          <w:i/>
          <w:szCs w:val="20"/>
          <w:lang w:val="sl-SI"/>
        </w:rPr>
        <w:t>on-line</w:t>
      </w:r>
      <w:r w:rsidRPr="000C4E29">
        <w:rPr>
          <w:rFonts w:cs="Arial"/>
          <w:szCs w:val="20"/>
          <w:lang w:val="sl-SI"/>
        </w:rPr>
        <w:t xml:space="preserve">) prenos podatkov v podatkovno zbirko agencije. </w:t>
      </w:r>
    </w:p>
    <w:p w14:paraId="1EA3352F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</w:p>
    <w:p w14:paraId="763C1E31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K točki b:</w:t>
      </w:r>
    </w:p>
    <w:p w14:paraId="7B5F40FF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Meritev temperature odpadne vode mora biti stalna in zvezna z zapisovanjem podatkov najmanj enkrat na uro. Mesto oziroma mesta in način merjenja se posebej opredelijo v programu monitoringa.</w:t>
      </w:r>
    </w:p>
    <w:p w14:paraId="104D78F1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</w:p>
    <w:p w14:paraId="0725643C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K točki c:</w:t>
      </w:r>
    </w:p>
    <w:p w14:paraId="40830B7E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 xml:space="preserve">Z analizo izotopske sestave vode je treba ugotoviti vrednosti razmerja med </w:t>
      </w:r>
      <w:r w:rsidRPr="000C4E29">
        <w:rPr>
          <w:rFonts w:cs="Arial"/>
          <w:szCs w:val="20"/>
          <w:vertAlign w:val="superscript"/>
          <w:lang w:val="sl-SI"/>
        </w:rPr>
        <w:t>16</w:t>
      </w:r>
      <w:r w:rsidRPr="000C4E29">
        <w:rPr>
          <w:rFonts w:cs="Arial"/>
          <w:szCs w:val="20"/>
          <w:lang w:val="sl-SI"/>
        </w:rPr>
        <w:t xml:space="preserve">O in </w:t>
      </w:r>
      <w:r w:rsidRPr="000C4E29">
        <w:rPr>
          <w:rFonts w:cs="Arial"/>
          <w:szCs w:val="20"/>
          <w:vertAlign w:val="superscript"/>
          <w:lang w:val="sl-SI"/>
        </w:rPr>
        <w:t>18</w:t>
      </w:r>
      <w:r w:rsidRPr="000C4E29">
        <w:rPr>
          <w:rFonts w:cs="Arial"/>
          <w:szCs w:val="20"/>
          <w:lang w:val="sl-SI"/>
        </w:rPr>
        <w:t xml:space="preserve">O, razmerje med vodikom in devterijem ter količino </w:t>
      </w:r>
      <w:proofErr w:type="spellStart"/>
      <w:r w:rsidRPr="000C4E29">
        <w:rPr>
          <w:rFonts w:cs="Arial"/>
          <w:szCs w:val="20"/>
          <w:lang w:val="sl-SI"/>
        </w:rPr>
        <w:t>tricija</w:t>
      </w:r>
      <w:proofErr w:type="spellEnd"/>
      <w:r w:rsidRPr="000C4E29">
        <w:rPr>
          <w:rFonts w:cs="Arial"/>
          <w:szCs w:val="20"/>
          <w:lang w:val="sl-SI"/>
        </w:rPr>
        <w:t xml:space="preserve">. Vzorci za analizo izotopske sestave vode se prvič odvzamejo v prvem letu izvajanja koncesije. Vzorčenje termalne vode za analizo izotopske sestave vode je treba opraviti vsako leto v prvem triletnem programu monitoringa med ustaljenim režimom odvzemanja. V nadaljnjih letih se analiza opravlja vsako tretje leto za razmerje med </w:t>
      </w:r>
      <w:r w:rsidRPr="000C4E29">
        <w:rPr>
          <w:rFonts w:cs="Arial"/>
          <w:szCs w:val="20"/>
          <w:vertAlign w:val="superscript"/>
          <w:lang w:val="sl-SI"/>
        </w:rPr>
        <w:t>16</w:t>
      </w:r>
      <w:r w:rsidRPr="000C4E29">
        <w:rPr>
          <w:rFonts w:cs="Arial"/>
          <w:szCs w:val="20"/>
          <w:lang w:val="sl-SI"/>
        </w:rPr>
        <w:t xml:space="preserve">O in </w:t>
      </w:r>
      <w:r w:rsidRPr="000C4E29">
        <w:rPr>
          <w:rFonts w:cs="Arial"/>
          <w:szCs w:val="20"/>
          <w:vertAlign w:val="superscript"/>
          <w:lang w:val="sl-SI"/>
        </w:rPr>
        <w:t>18</w:t>
      </w:r>
      <w:r w:rsidRPr="000C4E29">
        <w:rPr>
          <w:rFonts w:cs="Arial"/>
          <w:szCs w:val="20"/>
          <w:lang w:val="sl-SI"/>
        </w:rPr>
        <w:t xml:space="preserve">O ter razmerje med vodikom in devterijem, za </w:t>
      </w:r>
      <w:proofErr w:type="spellStart"/>
      <w:r w:rsidRPr="000C4E29">
        <w:rPr>
          <w:rFonts w:cs="Arial"/>
          <w:szCs w:val="20"/>
          <w:lang w:val="sl-SI"/>
        </w:rPr>
        <w:t>tricij</w:t>
      </w:r>
      <w:proofErr w:type="spellEnd"/>
      <w:r w:rsidRPr="000C4E29">
        <w:rPr>
          <w:rFonts w:cs="Arial"/>
          <w:szCs w:val="20"/>
          <w:lang w:val="sl-SI"/>
        </w:rPr>
        <w:t xml:space="preserve"> pa le, če je bil zaznan v prvih treh analizah. Vzorčenje za analizo izotopske sestave vode se opravi pogosteje (letno), če se ugotovijo trendi slabšanja stanja (zniževanje gladine termalne vode).</w:t>
      </w:r>
    </w:p>
    <w:p w14:paraId="7E5CB55D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</w:p>
    <w:p w14:paraId="45A6B3C3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Vzorčenje in analiza morata biti izvedena v skladu z metodami iz predpisa, ki ureja monitoring stanja podzemnih voda.</w:t>
      </w:r>
    </w:p>
    <w:p w14:paraId="274B06CC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</w:p>
    <w:p w14:paraId="04509A7A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lastRenderedPageBreak/>
        <w:t>K točki č:</w:t>
      </w:r>
    </w:p>
    <w:p w14:paraId="2342F00C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Ob vsakem vzorčenju za analizo kemijske sestave odvzete termalne vode je treba na mestu objekta izmeriti osnovne fizikalno-kemijske lastnosti termalne vode:</w:t>
      </w:r>
    </w:p>
    <w:p w14:paraId="59FFB8E6" w14:textId="77777777" w:rsidR="000C4E29" w:rsidRPr="000C4E29" w:rsidRDefault="000C4E29" w:rsidP="000C4E29">
      <w:pPr>
        <w:numPr>
          <w:ilvl w:val="0"/>
          <w:numId w:val="9"/>
        </w:numPr>
        <w:spacing w:line="260" w:lineRule="exact"/>
        <w:ind w:hanging="720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specifično električno prevodnost,</w:t>
      </w:r>
    </w:p>
    <w:p w14:paraId="426546C4" w14:textId="77777777" w:rsidR="000C4E29" w:rsidRPr="000C4E29" w:rsidRDefault="000C4E29" w:rsidP="000C4E29">
      <w:pPr>
        <w:numPr>
          <w:ilvl w:val="0"/>
          <w:numId w:val="9"/>
        </w:numPr>
        <w:spacing w:line="260" w:lineRule="exact"/>
        <w:ind w:hanging="720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pH,</w:t>
      </w:r>
    </w:p>
    <w:p w14:paraId="4258A6AB" w14:textId="77777777" w:rsidR="000C4E29" w:rsidRPr="000C4E29" w:rsidRDefault="000C4E29" w:rsidP="000C4E29">
      <w:pPr>
        <w:numPr>
          <w:ilvl w:val="0"/>
          <w:numId w:val="9"/>
        </w:numPr>
        <w:spacing w:line="260" w:lineRule="exact"/>
        <w:ind w:hanging="720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oksidacijsko-redukcijski potencial,</w:t>
      </w:r>
    </w:p>
    <w:p w14:paraId="5DFEC350" w14:textId="77777777" w:rsidR="000C4E29" w:rsidRPr="000C4E29" w:rsidRDefault="000C4E29" w:rsidP="000C4E29">
      <w:pPr>
        <w:numPr>
          <w:ilvl w:val="0"/>
          <w:numId w:val="9"/>
        </w:numPr>
        <w:spacing w:line="260" w:lineRule="exact"/>
        <w:ind w:hanging="720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vsebnost kisika in nasičenost s kisikom ter</w:t>
      </w:r>
    </w:p>
    <w:p w14:paraId="1197C20F" w14:textId="77777777" w:rsidR="000C4E29" w:rsidRPr="000C4E29" w:rsidRDefault="000C4E29" w:rsidP="000C4E29">
      <w:pPr>
        <w:numPr>
          <w:ilvl w:val="0"/>
          <w:numId w:val="9"/>
        </w:numPr>
        <w:spacing w:line="260" w:lineRule="exact"/>
        <w:ind w:hanging="720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temperaturo vzorčene vode iz vrtine in odpadne vode v izpustu.</w:t>
      </w:r>
    </w:p>
    <w:p w14:paraId="05FC85CE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</w:p>
    <w:p w14:paraId="43A5E6D5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Nabor parametrov 1:</w:t>
      </w:r>
    </w:p>
    <w:p w14:paraId="4E955FA8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 xml:space="preserve">Iz pipe na ustju vrtine za odvzem vode morajo biti enkrat letno ugotovljene vsebnosti za naslednje </w:t>
      </w:r>
      <w:r w:rsidRPr="000C4E29">
        <w:rPr>
          <w:rFonts w:cs="Arial"/>
          <w:bCs/>
          <w:szCs w:val="20"/>
          <w:lang w:val="sl-SI"/>
        </w:rPr>
        <w:t>značilne parametre</w:t>
      </w:r>
      <w:r w:rsidRPr="000C4E29">
        <w:rPr>
          <w:rFonts w:cs="Arial"/>
          <w:szCs w:val="20"/>
          <w:lang w:val="sl-SI"/>
        </w:rPr>
        <w:t xml:space="preserve">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17"/>
        <w:gridCol w:w="4297"/>
      </w:tblGrid>
      <w:tr w:rsidR="000C4E29" w:rsidRPr="000C4E29" w14:paraId="62BF9D5A" w14:textId="77777777" w:rsidTr="00A83DD6">
        <w:tc>
          <w:tcPr>
            <w:tcW w:w="4417" w:type="dxa"/>
          </w:tcPr>
          <w:p w14:paraId="5383878C" w14:textId="77777777" w:rsidR="000C4E29" w:rsidRPr="000C4E29" w:rsidRDefault="000C4E29" w:rsidP="000C4E29">
            <w:pPr>
              <w:numPr>
                <w:ilvl w:val="0"/>
                <w:numId w:val="7"/>
              </w:numPr>
              <w:spacing w:line="260" w:lineRule="exact"/>
              <w:ind w:hanging="828"/>
              <w:contextualSpacing/>
              <w:jc w:val="both"/>
              <w:rPr>
                <w:rFonts w:cs="Arial"/>
                <w:noProof/>
                <w:szCs w:val="20"/>
                <w:lang w:val="sl-SI"/>
              </w:rPr>
            </w:pPr>
            <w:r w:rsidRPr="000C4E29">
              <w:rPr>
                <w:rFonts w:cs="Arial"/>
                <w:noProof/>
                <w:szCs w:val="20"/>
                <w:lang w:val="sl-SI"/>
              </w:rPr>
              <w:t>kalcij (Ca</w:t>
            </w:r>
            <w:r w:rsidRPr="000C4E29">
              <w:rPr>
                <w:rFonts w:cs="Arial"/>
                <w:noProof/>
                <w:szCs w:val="20"/>
                <w:vertAlign w:val="superscript"/>
                <w:lang w:val="sl-SI"/>
              </w:rPr>
              <w:t>2+</w:t>
            </w:r>
            <w:r w:rsidRPr="000C4E29">
              <w:rPr>
                <w:rFonts w:cs="Arial"/>
                <w:noProof/>
                <w:szCs w:val="20"/>
                <w:lang w:val="sl-SI"/>
              </w:rPr>
              <w:t>),</w:t>
            </w:r>
          </w:p>
        </w:tc>
        <w:tc>
          <w:tcPr>
            <w:tcW w:w="4297" w:type="dxa"/>
          </w:tcPr>
          <w:p w14:paraId="77F3E5B1" w14:textId="77777777" w:rsidR="000C4E29" w:rsidRPr="000C4E29" w:rsidRDefault="000C4E29" w:rsidP="000C4E29">
            <w:pPr>
              <w:spacing w:line="260" w:lineRule="exact"/>
              <w:jc w:val="both"/>
              <w:rPr>
                <w:rFonts w:cs="Arial"/>
                <w:noProof/>
                <w:szCs w:val="20"/>
                <w:lang w:val="sl-SI"/>
              </w:rPr>
            </w:pPr>
          </w:p>
        </w:tc>
      </w:tr>
      <w:tr w:rsidR="000C4E29" w:rsidRPr="000C4E29" w14:paraId="341F1649" w14:textId="77777777" w:rsidTr="00A83DD6">
        <w:tc>
          <w:tcPr>
            <w:tcW w:w="4417" w:type="dxa"/>
          </w:tcPr>
          <w:p w14:paraId="6C046ED1" w14:textId="77777777" w:rsidR="000C4E29" w:rsidRPr="000C4E29" w:rsidRDefault="000C4E29" w:rsidP="000C4E29">
            <w:pPr>
              <w:numPr>
                <w:ilvl w:val="0"/>
                <w:numId w:val="7"/>
              </w:numPr>
              <w:spacing w:line="260" w:lineRule="exact"/>
              <w:ind w:hanging="828"/>
              <w:contextualSpacing/>
              <w:jc w:val="both"/>
              <w:rPr>
                <w:rFonts w:cs="Arial"/>
                <w:noProof/>
                <w:szCs w:val="20"/>
                <w:lang w:val="sl-SI"/>
              </w:rPr>
            </w:pPr>
            <w:r w:rsidRPr="000C4E29">
              <w:rPr>
                <w:rFonts w:cs="Arial"/>
                <w:noProof/>
                <w:szCs w:val="20"/>
                <w:lang w:val="sl-SI"/>
              </w:rPr>
              <w:t>magnezij (Mg</w:t>
            </w:r>
            <w:r w:rsidRPr="000C4E29">
              <w:rPr>
                <w:rFonts w:cs="Arial"/>
                <w:noProof/>
                <w:szCs w:val="20"/>
                <w:vertAlign w:val="superscript"/>
                <w:lang w:val="sl-SI"/>
              </w:rPr>
              <w:t>2+</w:t>
            </w:r>
            <w:r w:rsidRPr="000C4E29">
              <w:rPr>
                <w:rFonts w:cs="Arial"/>
                <w:noProof/>
                <w:szCs w:val="20"/>
                <w:lang w:val="sl-SI"/>
              </w:rPr>
              <w:t>),</w:t>
            </w:r>
          </w:p>
        </w:tc>
        <w:tc>
          <w:tcPr>
            <w:tcW w:w="4297" w:type="dxa"/>
          </w:tcPr>
          <w:p w14:paraId="011C4210" w14:textId="77777777" w:rsidR="000C4E29" w:rsidRPr="000C4E29" w:rsidRDefault="000C4E29" w:rsidP="000C4E29">
            <w:pPr>
              <w:spacing w:line="260" w:lineRule="exact"/>
              <w:jc w:val="both"/>
              <w:rPr>
                <w:rFonts w:cs="Arial"/>
                <w:noProof/>
                <w:szCs w:val="20"/>
                <w:lang w:val="sl-SI"/>
              </w:rPr>
            </w:pPr>
          </w:p>
        </w:tc>
      </w:tr>
      <w:tr w:rsidR="000C4E29" w:rsidRPr="000C4E29" w14:paraId="057E304F" w14:textId="77777777" w:rsidTr="00A83DD6">
        <w:tc>
          <w:tcPr>
            <w:tcW w:w="4417" w:type="dxa"/>
          </w:tcPr>
          <w:p w14:paraId="27A6CA62" w14:textId="77777777" w:rsidR="000C4E29" w:rsidRPr="000C4E29" w:rsidRDefault="000C4E29" w:rsidP="000C4E29">
            <w:pPr>
              <w:numPr>
                <w:ilvl w:val="0"/>
                <w:numId w:val="7"/>
              </w:numPr>
              <w:spacing w:line="260" w:lineRule="exact"/>
              <w:ind w:hanging="828"/>
              <w:contextualSpacing/>
              <w:jc w:val="both"/>
              <w:rPr>
                <w:rFonts w:cs="Arial"/>
                <w:noProof/>
                <w:szCs w:val="20"/>
                <w:lang w:val="sl-SI"/>
              </w:rPr>
            </w:pPr>
            <w:r w:rsidRPr="000C4E29">
              <w:rPr>
                <w:rFonts w:cs="Arial"/>
                <w:noProof/>
                <w:szCs w:val="20"/>
                <w:lang w:val="sl-SI"/>
              </w:rPr>
              <w:t>kalij (K</w:t>
            </w:r>
            <w:r w:rsidRPr="000C4E29">
              <w:rPr>
                <w:rFonts w:cs="Arial"/>
                <w:noProof/>
                <w:szCs w:val="20"/>
                <w:vertAlign w:val="superscript"/>
                <w:lang w:val="sl-SI"/>
              </w:rPr>
              <w:t>+</w:t>
            </w:r>
            <w:r w:rsidRPr="000C4E29">
              <w:rPr>
                <w:rFonts w:cs="Arial"/>
                <w:noProof/>
                <w:szCs w:val="20"/>
                <w:lang w:val="sl-SI"/>
              </w:rPr>
              <w:t>),</w:t>
            </w:r>
          </w:p>
        </w:tc>
        <w:tc>
          <w:tcPr>
            <w:tcW w:w="4297" w:type="dxa"/>
          </w:tcPr>
          <w:p w14:paraId="44AEEB1A" w14:textId="77777777" w:rsidR="000C4E29" w:rsidRPr="000C4E29" w:rsidRDefault="000C4E29" w:rsidP="000C4E29">
            <w:pPr>
              <w:spacing w:line="260" w:lineRule="exact"/>
              <w:jc w:val="both"/>
              <w:rPr>
                <w:rFonts w:cs="Arial"/>
                <w:noProof/>
                <w:szCs w:val="20"/>
                <w:lang w:val="sl-SI"/>
              </w:rPr>
            </w:pPr>
          </w:p>
        </w:tc>
      </w:tr>
      <w:tr w:rsidR="000C4E29" w:rsidRPr="000C4E29" w14:paraId="7D85FED8" w14:textId="77777777" w:rsidTr="00A83DD6">
        <w:tc>
          <w:tcPr>
            <w:tcW w:w="4417" w:type="dxa"/>
          </w:tcPr>
          <w:p w14:paraId="550FF90D" w14:textId="77777777" w:rsidR="000C4E29" w:rsidRPr="000C4E29" w:rsidRDefault="000C4E29" w:rsidP="000C4E29">
            <w:pPr>
              <w:numPr>
                <w:ilvl w:val="0"/>
                <w:numId w:val="7"/>
              </w:numPr>
              <w:spacing w:line="260" w:lineRule="exact"/>
              <w:ind w:hanging="828"/>
              <w:contextualSpacing/>
              <w:jc w:val="both"/>
              <w:rPr>
                <w:rFonts w:cs="Arial"/>
                <w:noProof/>
                <w:szCs w:val="20"/>
                <w:lang w:val="sl-SI"/>
              </w:rPr>
            </w:pPr>
            <w:r w:rsidRPr="000C4E29">
              <w:rPr>
                <w:rFonts w:cs="Arial"/>
                <w:noProof/>
                <w:szCs w:val="20"/>
                <w:lang w:val="sl-SI"/>
              </w:rPr>
              <w:t>natrij (Na</w:t>
            </w:r>
            <w:r w:rsidRPr="000C4E29">
              <w:rPr>
                <w:rFonts w:cs="Arial"/>
                <w:noProof/>
                <w:szCs w:val="20"/>
                <w:vertAlign w:val="superscript"/>
                <w:lang w:val="sl-SI"/>
              </w:rPr>
              <w:t>+</w:t>
            </w:r>
            <w:r w:rsidRPr="000C4E29">
              <w:rPr>
                <w:rFonts w:cs="Arial"/>
                <w:noProof/>
                <w:szCs w:val="20"/>
                <w:lang w:val="sl-SI"/>
              </w:rPr>
              <w:t>),</w:t>
            </w:r>
          </w:p>
        </w:tc>
        <w:tc>
          <w:tcPr>
            <w:tcW w:w="4297" w:type="dxa"/>
          </w:tcPr>
          <w:p w14:paraId="60D243F5" w14:textId="77777777" w:rsidR="000C4E29" w:rsidRPr="000C4E29" w:rsidRDefault="000C4E29" w:rsidP="000C4E29">
            <w:pPr>
              <w:spacing w:line="260" w:lineRule="exact"/>
              <w:jc w:val="both"/>
              <w:rPr>
                <w:rFonts w:cs="Arial"/>
                <w:noProof/>
                <w:szCs w:val="20"/>
                <w:lang w:val="sl-SI"/>
              </w:rPr>
            </w:pPr>
          </w:p>
        </w:tc>
      </w:tr>
      <w:tr w:rsidR="000C4E29" w:rsidRPr="000C4E29" w14:paraId="127A90F1" w14:textId="77777777" w:rsidTr="00A83DD6">
        <w:tc>
          <w:tcPr>
            <w:tcW w:w="4417" w:type="dxa"/>
          </w:tcPr>
          <w:p w14:paraId="188E9371" w14:textId="77777777" w:rsidR="000C4E29" w:rsidRPr="000C4E29" w:rsidRDefault="000C4E29" w:rsidP="000C4E29">
            <w:pPr>
              <w:numPr>
                <w:ilvl w:val="0"/>
                <w:numId w:val="7"/>
              </w:numPr>
              <w:spacing w:line="260" w:lineRule="exact"/>
              <w:ind w:hanging="828"/>
              <w:contextualSpacing/>
              <w:jc w:val="both"/>
              <w:rPr>
                <w:rFonts w:cs="Arial"/>
                <w:noProof/>
                <w:szCs w:val="20"/>
                <w:lang w:val="sl-SI"/>
              </w:rPr>
            </w:pPr>
            <w:r w:rsidRPr="000C4E29">
              <w:rPr>
                <w:rFonts w:cs="Arial"/>
                <w:noProof/>
                <w:szCs w:val="20"/>
                <w:lang w:val="sl-SI"/>
              </w:rPr>
              <w:t>hidrogenkarbonat (HCO</w:t>
            </w:r>
            <w:r w:rsidRPr="000C4E29">
              <w:rPr>
                <w:rFonts w:cs="Arial"/>
                <w:noProof/>
                <w:szCs w:val="20"/>
                <w:vertAlign w:val="subscript"/>
                <w:lang w:val="sl-SI"/>
              </w:rPr>
              <w:t>3</w:t>
            </w:r>
            <w:r w:rsidRPr="000C4E29">
              <w:rPr>
                <w:rFonts w:cs="Arial"/>
                <w:noProof/>
                <w:szCs w:val="20"/>
                <w:vertAlign w:val="superscript"/>
                <w:lang w:val="sl-SI"/>
              </w:rPr>
              <w:t>-</w:t>
            </w:r>
            <w:r w:rsidRPr="000C4E29">
              <w:rPr>
                <w:rFonts w:cs="Arial"/>
                <w:noProof/>
                <w:szCs w:val="20"/>
                <w:lang w:val="sl-SI"/>
              </w:rPr>
              <w:t>),</w:t>
            </w:r>
          </w:p>
        </w:tc>
        <w:tc>
          <w:tcPr>
            <w:tcW w:w="4297" w:type="dxa"/>
          </w:tcPr>
          <w:p w14:paraId="30BB09FA" w14:textId="77777777" w:rsidR="000C4E29" w:rsidRPr="000C4E29" w:rsidRDefault="000C4E29" w:rsidP="000C4E29">
            <w:pPr>
              <w:spacing w:line="260" w:lineRule="exact"/>
              <w:jc w:val="both"/>
              <w:rPr>
                <w:rFonts w:cs="Arial"/>
                <w:noProof/>
                <w:szCs w:val="20"/>
                <w:lang w:val="sl-SI"/>
              </w:rPr>
            </w:pPr>
          </w:p>
        </w:tc>
      </w:tr>
      <w:tr w:rsidR="000C4E29" w:rsidRPr="000C4E29" w14:paraId="6E017320" w14:textId="77777777" w:rsidTr="00A83DD6">
        <w:tc>
          <w:tcPr>
            <w:tcW w:w="4417" w:type="dxa"/>
          </w:tcPr>
          <w:p w14:paraId="03172E38" w14:textId="77777777" w:rsidR="000C4E29" w:rsidRPr="000C4E29" w:rsidRDefault="000C4E29" w:rsidP="000C4E29">
            <w:pPr>
              <w:numPr>
                <w:ilvl w:val="0"/>
                <w:numId w:val="7"/>
              </w:numPr>
              <w:spacing w:line="260" w:lineRule="exact"/>
              <w:ind w:hanging="828"/>
              <w:contextualSpacing/>
              <w:jc w:val="both"/>
              <w:rPr>
                <w:rFonts w:cs="Arial"/>
                <w:noProof/>
                <w:szCs w:val="20"/>
                <w:lang w:val="sl-SI"/>
              </w:rPr>
            </w:pPr>
            <w:r w:rsidRPr="000C4E29">
              <w:rPr>
                <w:rFonts w:cs="Arial"/>
                <w:noProof/>
                <w:szCs w:val="20"/>
                <w:lang w:val="sl-SI"/>
              </w:rPr>
              <w:t>klorid (Cl</w:t>
            </w:r>
            <w:r w:rsidRPr="000C4E29">
              <w:rPr>
                <w:rFonts w:cs="Arial"/>
                <w:noProof/>
                <w:szCs w:val="20"/>
                <w:vertAlign w:val="superscript"/>
                <w:lang w:val="sl-SI"/>
              </w:rPr>
              <w:t>-</w:t>
            </w:r>
            <w:r w:rsidRPr="000C4E29">
              <w:rPr>
                <w:rFonts w:cs="Arial"/>
                <w:noProof/>
                <w:szCs w:val="20"/>
                <w:lang w:val="sl-SI"/>
              </w:rPr>
              <w:t>),</w:t>
            </w:r>
          </w:p>
        </w:tc>
        <w:tc>
          <w:tcPr>
            <w:tcW w:w="4297" w:type="dxa"/>
          </w:tcPr>
          <w:p w14:paraId="2B54C474" w14:textId="77777777" w:rsidR="000C4E29" w:rsidRPr="000C4E29" w:rsidRDefault="000C4E29" w:rsidP="000C4E29">
            <w:pPr>
              <w:spacing w:line="260" w:lineRule="exact"/>
              <w:jc w:val="both"/>
              <w:rPr>
                <w:rFonts w:cs="Arial"/>
                <w:noProof/>
                <w:szCs w:val="20"/>
                <w:lang w:val="sl-SI"/>
              </w:rPr>
            </w:pPr>
          </w:p>
        </w:tc>
      </w:tr>
      <w:tr w:rsidR="000C4E29" w:rsidRPr="000C4E29" w14:paraId="748A8852" w14:textId="77777777" w:rsidTr="00A83DD6">
        <w:tc>
          <w:tcPr>
            <w:tcW w:w="4417" w:type="dxa"/>
          </w:tcPr>
          <w:p w14:paraId="48AA936D" w14:textId="77777777" w:rsidR="000C4E29" w:rsidRPr="000C4E29" w:rsidRDefault="000C4E29" w:rsidP="000C4E29">
            <w:pPr>
              <w:numPr>
                <w:ilvl w:val="0"/>
                <w:numId w:val="7"/>
              </w:numPr>
              <w:spacing w:line="260" w:lineRule="exact"/>
              <w:ind w:hanging="828"/>
              <w:contextualSpacing/>
              <w:jc w:val="both"/>
              <w:rPr>
                <w:rFonts w:cs="Arial"/>
                <w:noProof/>
                <w:szCs w:val="20"/>
                <w:lang w:val="sl-SI"/>
              </w:rPr>
            </w:pPr>
            <w:r w:rsidRPr="000C4E29">
              <w:rPr>
                <w:rFonts w:cs="Arial"/>
                <w:noProof/>
                <w:szCs w:val="20"/>
                <w:lang w:val="sl-SI"/>
              </w:rPr>
              <w:t>sulfat (SO</w:t>
            </w:r>
            <w:r w:rsidRPr="000C4E29">
              <w:rPr>
                <w:rFonts w:cs="Arial"/>
                <w:noProof/>
                <w:szCs w:val="20"/>
                <w:vertAlign w:val="subscript"/>
                <w:lang w:val="sl-SI"/>
              </w:rPr>
              <w:t>4</w:t>
            </w:r>
            <w:r w:rsidRPr="000C4E29">
              <w:rPr>
                <w:rFonts w:cs="Arial"/>
                <w:noProof/>
                <w:szCs w:val="20"/>
                <w:vertAlign w:val="superscript"/>
                <w:lang w:val="sl-SI"/>
              </w:rPr>
              <w:t>2-</w:t>
            </w:r>
            <w:r w:rsidRPr="000C4E29">
              <w:rPr>
                <w:rFonts w:cs="Arial"/>
                <w:noProof/>
                <w:szCs w:val="20"/>
                <w:lang w:val="sl-SI"/>
              </w:rPr>
              <w:t>),</w:t>
            </w:r>
          </w:p>
        </w:tc>
        <w:tc>
          <w:tcPr>
            <w:tcW w:w="4297" w:type="dxa"/>
          </w:tcPr>
          <w:p w14:paraId="52E69FBA" w14:textId="77777777" w:rsidR="000C4E29" w:rsidRPr="000C4E29" w:rsidRDefault="000C4E29" w:rsidP="000C4E29">
            <w:pPr>
              <w:spacing w:line="260" w:lineRule="exact"/>
              <w:jc w:val="both"/>
              <w:rPr>
                <w:rFonts w:cs="Arial"/>
                <w:noProof/>
                <w:szCs w:val="20"/>
                <w:lang w:val="sl-SI"/>
              </w:rPr>
            </w:pPr>
          </w:p>
        </w:tc>
      </w:tr>
      <w:tr w:rsidR="000C4E29" w:rsidRPr="000C4E29" w14:paraId="510761C3" w14:textId="77777777" w:rsidTr="00A83DD6">
        <w:tc>
          <w:tcPr>
            <w:tcW w:w="4417" w:type="dxa"/>
          </w:tcPr>
          <w:p w14:paraId="019CA542" w14:textId="77777777" w:rsidR="000C4E29" w:rsidRPr="000C4E29" w:rsidRDefault="000C4E29" w:rsidP="000C4E29">
            <w:pPr>
              <w:numPr>
                <w:ilvl w:val="0"/>
                <w:numId w:val="7"/>
              </w:numPr>
              <w:spacing w:line="260" w:lineRule="exact"/>
              <w:ind w:hanging="828"/>
              <w:contextualSpacing/>
              <w:jc w:val="both"/>
              <w:rPr>
                <w:rFonts w:cs="Arial"/>
                <w:noProof/>
                <w:szCs w:val="20"/>
                <w:lang w:val="sl-SI"/>
              </w:rPr>
            </w:pPr>
            <w:r w:rsidRPr="000C4E29">
              <w:rPr>
                <w:rFonts w:cs="Arial"/>
                <w:noProof/>
                <w:szCs w:val="20"/>
                <w:lang w:val="sl-SI"/>
              </w:rPr>
              <w:t>fosfat (PO</w:t>
            </w:r>
            <w:r w:rsidRPr="000C4E29">
              <w:rPr>
                <w:rFonts w:cs="Arial"/>
                <w:noProof/>
                <w:szCs w:val="20"/>
                <w:vertAlign w:val="subscript"/>
                <w:lang w:val="sl-SI"/>
              </w:rPr>
              <w:t>4</w:t>
            </w:r>
            <w:r w:rsidRPr="000C4E29">
              <w:rPr>
                <w:rFonts w:cs="Arial"/>
                <w:noProof/>
                <w:szCs w:val="20"/>
                <w:vertAlign w:val="superscript"/>
                <w:lang w:val="sl-SI"/>
              </w:rPr>
              <w:t>3-</w:t>
            </w:r>
            <w:r w:rsidRPr="000C4E29">
              <w:rPr>
                <w:rFonts w:cs="Arial"/>
                <w:noProof/>
                <w:szCs w:val="20"/>
                <w:lang w:val="sl-SI"/>
              </w:rPr>
              <w:t>),</w:t>
            </w:r>
          </w:p>
        </w:tc>
        <w:tc>
          <w:tcPr>
            <w:tcW w:w="4297" w:type="dxa"/>
          </w:tcPr>
          <w:p w14:paraId="717C8501" w14:textId="77777777" w:rsidR="000C4E29" w:rsidRPr="000C4E29" w:rsidRDefault="000C4E29" w:rsidP="000C4E29">
            <w:pPr>
              <w:spacing w:line="260" w:lineRule="exact"/>
              <w:jc w:val="both"/>
              <w:rPr>
                <w:rFonts w:cs="Arial"/>
                <w:noProof/>
                <w:szCs w:val="20"/>
                <w:lang w:val="sl-SI"/>
              </w:rPr>
            </w:pPr>
          </w:p>
        </w:tc>
      </w:tr>
      <w:tr w:rsidR="000C4E29" w:rsidRPr="000C4E29" w14:paraId="2FDB6197" w14:textId="77777777" w:rsidTr="00A83DD6">
        <w:tc>
          <w:tcPr>
            <w:tcW w:w="4417" w:type="dxa"/>
          </w:tcPr>
          <w:p w14:paraId="233E5886" w14:textId="77777777" w:rsidR="000C4E29" w:rsidRPr="000C4E29" w:rsidRDefault="000C4E29" w:rsidP="000C4E29">
            <w:pPr>
              <w:numPr>
                <w:ilvl w:val="0"/>
                <w:numId w:val="7"/>
              </w:numPr>
              <w:spacing w:line="260" w:lineRule="exact"/>
              <w:ind w:hanging="828"/>
              <w:contextualSpacing/>
              <w:jc w:val="both"/>
              <w:rPr>
                <w:rFonts w:cs="Arial"/>
                <w:noProof/>
                <w:szCs w:val="20"/>
                <w:lang w:val="sl-SI"/>
              </w:rPr>
            </w:pPr>
            <w:r w:rsidRPr="000C4E29">
              <w:rPr>
                <w:rFonts w:cs="Arial"/>
                <w:noProof/>
                <w:szCs w:val="20"/>
                <w:lang w:val="sl-SI"/>
              </w:rPr>
              <w:t>nitrat (NO</w:t>
            </w:r>
            <w:r w:rsidRPr="000C4E29">
              <w:rPr>
                <w:rFonts w:cs="Arial"/>
                <w:noProof/>
                <w:szCs w:val="20"/>
                <w:vertAlign w:val="subscript"/>
                <w:lang w:val="sl-SI"/>
              </w:rPr>
              <w:t>3</w:t>
            </w:r>
            <w:r w:rsidRPr="000C4E29">
              <w:rPr>
                <w:rFonts w:cs="Arial"/>
                <w:noProof/>
                <w:szCs w:val="20"/>
                <w:vertAlign w:val="superscript"/>
                <w:lang w:val="sl-SI"/>
              </w:rPr>
              <w:t>-</w:t>
            </w:r>
            <w:r w:rsidRPr="000C4E29">
              <w:rPr>
                <w:rFonts w:cs="Arial"/>
                <w:noProof/>
                <w:szCs w:val="20"/>
                <w:lang w:val="sl-SI"/>
              </w:rPr>
              <w:t>),</w:t>
            </w:r>
          </w:p>
        </w:tc>
        <w:tc>
          <w:tcPr>
            <w:tcW w:w="4297" w:type="dxa"/>
          </w:tcPr>
          <w:p w14:paraId="29D6C8A0" w14:textId="77777777" w:rsidR="000C4E29" w:rsidRPr="000C4E29" w:rsidRDefault="000C4E29" w:rsidP="000C4E29">
            <w:pPr>
              <w:spacing w:line="260" w:lineRule="exact"/>
              <w:jc w:val="both"/>
              <w:rPr>
                <w:rFonts w:cs="Arial"/>
                <w:noProof/>
                <w:szCs w:val="20"/>
                <w:lang w:val="sl-SI"/>
              </w:rPr>
            </w:pPr>
          </w:p>
        </w:tc>
      </w:tr>
      <w:tr w:rsidR="000C4E29" w:rsidRPr="000C4E29" w14:paraId="75F6580C" w14:textId="77777777" w:rsidTr="00A83DD6">
        <w:trPr>
          <w:trHeight w:val="315"/>
        </w:trPr>
        <w:tc>
          <w:tcPr>
            <w:tcW w:w="4417" w:type="dxa"/>
          </w:tcPr>
          <w:p w14:paraId="0E3BB1EE" w14:textId="77777777" w:rsidR="000C4E29" w:rsidRPr="000C4E29" w:rsidRDefault="000C4E29" w:rsidP="000C4E29">
            <w:pPr>
              <w:numPr>
                <w:ilvl w:val="0"/>
                <w:numId w:val="7"/>
              </w:numPr>
              <w:spacing w:line="260" w:lineRule="exact"/>
              <w:ind w:hanging="828"/>
              <w:contextualSpacing/>
              <w:jc w:val="both"/>
              <w:rPr>
                <w:rFonts w:cs="Arial"/>
                <w:noProof/>
                <w:szCs w:val="20"/>
                <w:lang w:val="sl-SI"/>
              </w:rPr>
            </w:pPr>
            <w:r w:rsidRPr="000C4E29">
              <w:rPr>
                <w:rFonts w:cs="Arial"/>
                <w:noProof/>
                <w:szCs w:val="20"/>
                <w:lang w:val="sl-SI"/>
              </w:rPr>
              <w:t>nitrit (NO</w:t>
            </w:r>
            <w:r w:rsidRPr="000C4E29">
              <w:rPr>
                <w:rFonts w:cs="Arial"/>
                <w:noProof/>
                <w:szCs w:val="20"/>
                <w:vertAlign w:val="subscript"/>
                <w:lang w:val="sl-SI"/>
              </w:rPr>
              <w:t>2</w:t>
            </w:r>
            <w:r w:rsidRPr="000C4E29">
              <w:rPr>
                <w:rFonts w:cs="Arial"/>
                <w:noProof/>
                <w:szCs w:val="20"/>
                <w:vertAlign w:val="superscript"/>
                <w:lang w:val="sl-SI"/>
              </w:rPr>
              <w:t>-</w:t>
            </w:r>
            <w:r w:rsidRPr="000C4E29">
              <w:rPr>
                <w:rFonts w:cs="Arial"/>
                <w:noProof/>
                <w:szCs w:val="20"/>
                <w:lang w:val="sl-SI"/>
              </w:rPr>
              <w:t>),</w:t>
            </w:r>
          </w:p>
        </w:tc>
        <w:tc>
          <w:tcPr>
            <w:tcW w:w="4297" w:type="dxa"/>
          </w:tcPr>
          <w:p w14:paraId="2325A34C" w14:textId="77777777" w:rsidR="000C4E29" w:rsidRPr="000C4E29" w:rsidRDefault="000C4E29" w:rsidP="000C4E29">
            <w:pPr>
              <w:spacing w:line="260" w:lineRule="exact"/>
              <w:jc w:val="both"/>
              <w:rPr>
                <w:rFonts w:cs="Arial"/>
                <w:noProof/>
                <w:szCs w:val="20"/>
                <w:lang w:val="sl-SI"/>
              </w:rPr>
            </w:pPr>
          </w:p>
        </w:tc>
      </w:tr>
      <w:tr w:rsidR="000C4E29" w:rsidRPr="000C4E29" w14:paraId="2BC87CDF" w14:textId="77777777" w:rsidTr="00A83DD6">
        <w:tc>
          <w:tcPr>
            <w:tcW w:w="4417" w:type="dxa"/>
          </w:tcPr>
          <w:p w14:paraId="069CC278" w14:textId="77777777" w:rsidR="000C4E29" w:rsidRPr="000C4E29" w:rsidRDefault="000C4E29" w:rsidP="000C4E29">
            <w:pPr>
              <w:numPr>
                <w:ilvl w:val="0"/>
                <w:numId w:val="7"/>
              </w:numPr>
              <w:spacing w:line="260" w:lineRule="exact"/>
              <w:ind w:hanging="828"/>
              <w:contextualSpacing/>
              <w:jc w:val="both"/>
              <w:rPr>
                <w:rFonts w:cs="Arial"/>
                <w:noProof/>
                <w:szCs w:val="20"/>
                <w:lang w:val="sl-SI"/>
              </w:rPr>
            </w:pPr>
            <w:r w:rsidRPr="000C4E29">
              <w:rPr>
                <w:rFonts w:cs="Arial"/>
                <w:noProof/>
                <w:szCs w:val="20"/>
                <w:lang w:val="sl-SI"/>
              </w:rPr>
              <w:t>amonij (NH</w:t>
            </w:r>
            <w:r w:rsidRPr="000C4E29">
              <w:rPr>
                <w:rFonts w:cs="Arial"/>
                <w:noProof/>
                <w:szCs w:val="20"/>
                <w:vertAlign w:val="subscript"/>
                <w:lang w:val="sl-SI"/>
              </w:rPr>
              <w:t>4</w:t>
            </w:r>
            <w:r w:rsidRPr="000C4E29">
              <w:rPr>
                <w:rFonts w:cs="Arial"/>
                <w:noProof/>
                <w:szCs w:val="20"/>
                <w:vertAlign w:val="superscript"/>
                <w:lang w:val="sl-SI"/>
              </w:rPr>
              <w:t>+</w:t>
            </w:r>
            <w:r w:rsidRPr="000C4E29">
              <w:rPr>
                <w:rFonts w:cs="Arial"/>
                <w:noProof/>
                <w:szCs w:val="20"/>
                <w:lang w:val="sl-SI"/>
              </w:rPr>
              <w:t>),</w:t>
            </w:r>
          </w:p>
        </w:tc>
        <w:tc>
          <w:tcPr>
            <w:tcW w:w="4297" w:type="dxa"/>
          </w:tcPr>
          <w:p w14:paraId="46DD1DAE" w14:textId="77777777" w:rsidR="000C4E29" w:rsidRPr="000C4E29" w:rsidRDefault="000C4E29" w:rsidP="000C4E29">
            <w:pPr>
              <w:spacing w:line="260" w:lineRule="exact"/>
              <w:jc w:val="both"/>
              <w:rPr>
                <w:rFonts w:cs="Arial"/>
                <w:noProof/>
                <w:szCs w:val="20"/>
                <w:lang w:val="sl-SI"/>
              </w:rPr>
            </w:pPr>
          </w:p>
        </w:tc>
      </w:tr>
      <w:tr w:rsidR="000C4E29" w:rsidRPr="000C4E29" w14:paraId="6229344E" w14:textId="77777777" w:rsidTr="00A83DD6">
        <w:tc>
          <w:tcPr>
            <w:tcW w:w="4417" w:type="dxa"/>
          </w:tcPr>
          <w:p w14:paraId="456B36A0" w14:textId="77777777" w:rsidR="000C4E29" w:rsidRPr="000C4E29" w:rsidRDefault="000C4E29" w:rsidP="000C4E29">
            <w:pPr>
              <w:numPr>
                <w:ilvl w:val="0"/>
                <w:numId w:val="7"/>
              </w:numPr>
              <w:spacing w:line="260" w:lineRule="exact"/>
              <w:ind w:hanging="828"/>
              <w:contextualSpacing/>
              <w:jc w:val="both"/>
              <w:rPr>
                <w:rFonts w:cs="Arial"/>
                <w:noProof/>
                <w:szCs w:val="20"/>
                <w:lang w:val="sl-SI"/>
              </w:rPr>
            </w:pPr>
            <w:r w:rsidRPr="000C4E29">
              <w:rPr>
                <w:rFonts w:cs="Arial"/>
                <w:noProof/>
                <w:szCs w:val="20"/>
                <w:lang w:val="sl-SI"/>
              </w:rPr>
              <w:t>železo (Fe (skupno)),</w:t>
            </w:r>
          </w:p>
        </w:tc>
        <w:tc>
          <w:tcPr>
            <w:tcW w:w="4297" w:type="dxa"/>
          </w:tcPr>
          <w:p w14:paraId="3D1B7A22" w14:textId="77777777" w:rsidR="000C4E29" w:rsidRPr="000C4E29" w:rsidRDefault="000C4E29" w:rsidP="000C4E29">
            <w:pPr>
              <w:spacing w:line="260" w:lineRule="exact"/>
              <w:jc w:val="both"/>
              <w:rPr>
                <w:rFonts w:cs="Arial"/>
                <w:noProof/>
                <w:szCs w:val="20"/>
                <w:lang w:val="sl-SI"/>
              </w:rPr>
            </w:pPr>
          </w:p>
        </w:tc>
      </w:tr>
      <w:tr w:rsidR="000C4E29" w:rsidRPr="000C4E29" w14:paraId="43726D92" w14:textId="77777777" w:rsidTr="00A83DD6">
        <w:tc>
          <w:tcPr>
            <w:tcW w:w="4417" w:type="dxa"/>
          </w:tcPr>
          <w:p w14:paraId="61C878E3" w14:textId="77777777" w:rsidR="000C4E29" w:rsidRPr="000C4E29" w:rsidRDefault="000C4E29" w:rsidP="000C4E29">
            <w:pPr>
              <w:numPr>
                <w:ilvl w:val="0"/>
                <w:numId w:val="7"/>
              </w:numPr>
              <w:spacing w:line="260" w:lineRule="exact"/>
              <w:ind w:hanging="828"/>
              <w:contextualSpacing/>
              <w:jc w:val="both"/>
              <w:rPr>
                <w:rFonts w:cs="Arial"/>
                <w:noProof/>
                <w:szCs w:val="20"/>
                <w:lang w:val="sl-SI"/>
              </w:rPr>
            </w:pPr>
            <w:r w:rsidRPr="000C4E29">
              <w:rPr>
                <w:rFonts w:cs="Arial"/>
                <w:noProof/>
                <w:szCs w:val="20"/>
                <w:lang w:val="sl-SI"/>
              </w:rPr>
              <w:t>mangan (Mn (skupni)),</w:t>
            </w:r>
          </w:p>
        </w:tc>
        <w:tc>
          <w:tcPr>
            <w:tcW w:w="4297" w:type="dxa"/>
          </w:tcPr>
          <w:p w14:paraId="62D29386" w14:textId="77777777" w:rsidR="000C4E29" w:rsidRPr="000C4E29" w:rsidRDefault="000C4E29" w:rsidP="000C4E29">
            <w:pPr>
              <w:spacing w:line="260" w:lineRule="exact"/>
              <w:jc w:val="both"/>
              <w:rPr>
                <w:rFonts w:cs="Arial"/>
                <w:noProof/>
                <w:szCs w:val="20"/>
                <w:lang w:val="sl-SI"/>
              </w:rPr>
            </w:pPr>
          </w:p>
        </w:tc>
      </w:tr>
      <w:tr w:rsidR="000C4E29" w:rsidRPr="000C4E29" w14:paraId="55886049" w14:textId="77777777" w:rsidTr="00A83DD6">
        <w:tc>
          <w:tcPr>
            <w:tcW w:w="4417" w:type="dxa"/>
          </w:tcPr>
          <w:p w14:paraId="17E2577A" w14:textId="77777777" w:rsidR="000C4E29" w:rsidRPr="000C4E29" w:rsidRDefault="000C4E29" w:rsidP="000C4E29">
            <w:pPr>
              <w:numPr>
                <w:ilvl w:val="0"/>
                <w:numId w:val="7"/>
              </w:numPr>
              <w:spacing w:line="260" w:lineRule="exact"/>
              <w:ind w:hanging="828"/>
              <w:contextualSpacing/>
              <w:jc w:val="both"/>
              <w:rPr>
                <w:rFonts w:cs="Arial"/>
                <w:noProof/>
                <w:szCs w:val="20"/>
                <w:lang w:val="sl-SI"/>
              </w:rPr>
            </w:pPr>
            <w:r w:rsidRPr="000C4E29">
              <w:rPr>
                <w:rFonts w:cs="Arial"/>
                <w:szCs w:val="20"/>
                <w:lang w:val="sl-SI"/>
              </w:rPr>
              <w:t>sušni preostanek pri 105 °C,</w:t>
            </w:r>
          </w:p>
        </w:tc>
        <w:tc>
          <w:tcPr>
            <w:tcW w:w="4297" w:type="dxa"/>
          </w:tcPr>
          <w:p w14:paraId="6142AA33" w14:textId="77777777" w:rsidR="000C4E29" w:rsidRPr="000C4E29" w:rsidRDefault="000C4E29" w:rsidP="000C4E29">
            <w:pPr>
              <w:spacing w:line="260" w:lineRule="exact"/>
              <w:jc w:val="both"/>
              <w:rPr>
                <w:rFonts w:cs="Arial"/>
                <w:noProof/>
                <w:szCs w:val="20"/>
                <w:lang w:val="sl-SI"/>
              </w:rPr>
            </w:pPr>
          </w:p>
        </w:tc>
      </w:tr>
      <w:tr w:rsidR="000C4E29" w:rsidRPr="000C4E29" w14:paraId="669763E3" w14:textId="77777777" w:rsidTr="00A83DD6">
        <w:tc>
          <w:tcPr>
            <w:tcW w:w="4417" w:type="dxa"/>
          </w:tcPr>
          <w:p w14:paraId="6BE2B0BA" w14:textId="77777777" w:rsidR="000C4E29" w:rsidRPr="000C4E29" w:rsidRDefault="000C4E29" w:rsidP="000C4E29">
            <w:pPr>
              <w:numPr>
                <w:ilvl w:val="0"/>
                <w:numId w:val="7"/>
              </w:numPr>
              <w:spacing w:line="260" w:lineRule="exact"/>
              <w:ind w:hanging="828"/>
              <w:contextualSpacing/>
              <w:jc w:val="both"/>
              <w:rPr>
                <w:rFonts w:cs="Arial"/>
                <w:noProof/>
                <w:szCs w:val="20"/>
                <w:lang w:val="sl-SI"/>
              </w:rPr>
            </w:pPr>
            <w:r w:rsidRPr="000C4E29">
              <w:rPr>
                <w:rFonts w:cs="Arial"/>
                <w:szCs w:val="20"/>
                <w:lang w:val="sl-SI"/>
              </w:rPr>
              <w:t>kremenica (SiO</w:t>
            </w:r>
            <w:r w:rsidRPr="000C4E29">
              <w:rPr>
                <w:rFonts w:cs="Arial"/>
                <w:szCs w:val="20"/>
                <w:vertAlign w:val="subscript"/>
                <w:lang w:val="sl-SI"/>
              </w:rPr>
              <w:t>2</w:t>
            </w:r>
            <w:r w:rsidRPr="000C4E29">
              <w:rPr>
                <w:rFonts w:cs="Arial"/>
                <w:szCs w:val="20"/>
                <w:lang w:val="sl-SI"/>
              </w:rPr>
              <w:t>),</w:t>
            </w:r>
          </w:p>
        </w:tc>
        <w:tc>
          <w:tcPr>
            <w:tcW w:w="4297" w:type="dxa"/>
          </w:tcPr>
          <w:p w14:paraId="72A2B219" w14:textId="77777777" w:rsidR="000C4E29" w:rsidRPr="000C4E29" w:rsidRDefault="000C4E29" w:rsidP="000C4E29">
            <w:pPr>
              <w:spacing w:line="260" w:lineRule="exact"/>
              <w:jc w:val="both"/>
              <w:rPr>
                <w:rFonts w:cs="Arial"/>
                <w:noProof/>
                <w:szCs w:val="20"/>
                <w:lang w:val="sl-SI"/>
              </w:rPr>
            </w:pPr>
          </w:p>
        </w:tc>
      </w:tr>
      <w:tr w:rsidR="000C4E29" w:rsidRPr="000C4E29" w14:paraId="555E2D51" w14:textId="77777777" w:rsidTr="00A83DD6">
        <w:tc>
          <w:tcPr>
            <w:tcW w:w="4417" w:type="dxa"/>
          </w:tcPr>
          <w:p w14:paraId="58DFF094" w14:textId="77777777" w:rsidR="000C4E29" w:rsidRPr="000C4E29" w:rsidRDefault="000C4E29" w:rsidP="000C4E29">
            <w:pPr>
              <w:numPr>
                <w:ilvl w:val="0"/>
                <w:numId w:val="7"/>
              </w:numPr>
              <w:spacing w:line="260" w:lineRule="exact"/>
              <w:ind w:hanging="828"/>
              <w:contextualSpacing/>
              <w:jc w:val="both"/>
              <w:rPr>
                <w:rFonts w:cs="Arial"/>
                <w:noProof/>
                <w:szCs w:val="20"/>
                <w:lang w:val="sl-SI"/>
              </w:rPr>
            </w:pPr>
            <w:r w:rsidRPr="000C4E29">
              <w:rPr>
                <w:rFonts w:cs="Arial"/>
                <w:szCs w:val="20"/>
                <w:lang w:val="sl-SI"/>
              </w:rPr>
              <w:t>raztopljeni CO</w:t>
            </w:r>
            <w:r w:rsidRPr="000C4E29">
              <w:rPr>
                <w:rFonts w:cs="Arial"/>
                <w:szCs w:val="20"/>
                <w:vertAlign w:val="subscript"/>
                <w:lang w:val="sl-SI"/>
              </w:rPr>
              <w:t>2,</w:t>
            </w:r>
          </w:p>
        </w:tc>
        <w:tc>
          <w:tcPr>
            <w:tcW w:w="4297" w:type="dxa"/>
          </w:tcPr>
          <w:p w14:paraId="221D33EF" w14:textId="77777777" w:rsidR="000C4E29" w:rsidRPr="000C4E29" w:rsidRDefault="000C4E29" w:rsidP="000C4E29">
            <w:pPr>
              <w:spacing w:line="260" w:lineRule="exact"/>
              <w:jc w:val="both"/>
              <w:rPr>
                <w:rFonts w:cs="Arial"/>
                <w:noProof/>
                <w:szCs w:val="20"/>
                <w:lang w:val="sl-SI"/>
              </w:rPr>
            </w:pPr>
          </w:p>
        </w:tc>
      </w:tr>
      <w:tr w:rsidR="000C4E29" w:rsidRPr="000C4E29" w14:paraId="3FA4D829" w14:textId="77777777" w:rsidTr="00A83DD6">
        <w:tc>
          <w:tcPr>
            <w:tcW w:w="4417" w:type="dxa"/>
          </w:tcPr>
          <w:p w14:paraId="18FD5FEF" w14:textId="77777777" w:rsidR="000C4E29" w:rsidRPr="000C4E29" w:rsidRDefault="000C4E29" w:rsidP="000C4E29">
            <w:pPr>
              <w:numPr>
                <w:ilvl w:val="0"/>
                <w:numId w:val="7"/>
              </w:numPr>
              <w:spacing w:line="260" w:lineRule="exact"/>
              <w:ind w:hanging="828"/>
              <w:contextualSpacing/>
              <w:rPr>
                <w:rFonts w:cs="Arial"/>
                <w:noProof/>
                <w:szCs w:val="20"/>
                <w:lang w:val="sl-SI"/>
              </w:rPr>
            </w:pPr>
            <w:r w:rsidRPr="000C4E29">
              <w:rPr>
                <w:rFonts w:cs="Arial"/>
                <w:szCs w:val="20"/>
                <w:lang w:val="sl-SI"/>
              </w:rPr>
              <w:t>mineralizacija (TDS – skupne raztopljene snovi).</w:t>
            </w:r>
          </w:p>
        </w:tc>
        <w:tc>
          <w:tcPr>
            <w:tcW w:w="4297" w:type="dxa"/>
          </w:tcPr>
          <w:p w14:paraId="4B560FB1" w14:textId="77777777" w:rsidR="000C4E29" w:rsidRPr="000C4E29" w:rsidRDefault="000C4E29" w:rsidP="000C4E29">
            <w:pPr>
              <w:spacing w:line="260" w:lineRule="exact"/>
              <w:jc w:val="both"/>
              <w:rPr>
                <w:rFonts w:cs="Arial"/>
                <w:noProof/>
                <w:szCs w:val="20"/>
                <w:lang w:val="sl-SI"/>
              </w:rPr>
            </w:pPr>
          </w:p>
        </w:tc>
      </w:tr>
      <w:tr w:rsidR="000C4E29" w:rsidRPr="000C4E29" w14:paraId="6CFE78E3" w14:textId="77777777" w:rsidTr="00A83DD6">
        <w:tc>
          <w:tcPr>
            <w:tcW w:w="4417" w:type="dxa"/>
          </w:tcPr>
          <w:p w14:paraId="32057516" w14:textId="77777777" w:rsidR="000C4E29" w:rsidRPr="000C4E29" w:rsidRDefault="000C4E29" w:rsidP="000C4E29">
            <w:pPr>
              <w:spacing w:line="260" w:lineRule="exact"/>
              <w:jc w:val="both"/>
              <w:rPr>
                <w:rFonts w:cs="Arial"/>
                <w:noProof/>
                <w:szCs w:val="20"/>
                <w:lang w:val="sl-SI"/>
              </w:rPr>
            </w:pPr>
          </w:p>
        </w:tc>
        <w:tc>
          <w:tcPr>
            <w:tcW w:w="4297" w:type="dxa"/>
          </w:tcPr>
          <w:p w14:paraId="16699ED1" w14:textId="77777777" w:rsidR="000C4E29" w:rsidRPr="000C4E29" w:rsidRDefault="000C4E29" w:rsidP="000C4E29">
            <w:pPr>
              <w:spacing w:line="260" w:lineRule="exact"/>
              <w:jc w:val="both"/>
              <w:rPr>
                <w:rFonts w:cs="Arial"/>
                <w:noProof/>
                <w:szCs w:val="20"/>
                <w:lang w:val="sl-SI"/>
              </w:rPr>
            </w:pPr>
          </w:p>
        </w:tc>
      </w:tr>
    </w:tbl>
    <w:p w14:paraId="797088CF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Nabor parametrov 2:</w:t>
      </w:r>
    </w:p>
    <w:p w14:paraId="6D3D6036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V vzorcu odvzete vode je treba v prvem in tretjem letu izvajanja koncesije, nato pa na vsakih šest let ugotoviti tudi naslednje parametre:</w:t>
      </w:r>
    </w:p>
    <w:p w14:paraId="66A0F0ED" w14:textId="77777777" w:rsidR="000C4E29" w:rsidRPr="000C4E29" w:rsidRDefault="000C4E29" w:rsidP="000C4E29">
      <w:pPr>
        <w:numPr>
          <w:ilvl w:val="0"/>
          <w:numId w:val="9"/>
        </w:numPr>
        <w:spacing w:line="260" w:lineRule="exact"/>
        <w:ind w:hanging="720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arzen,</w:t>
      </w:r>
    </w:p>
    <w:p w14:paraId="474790EF" w14:textId="77777777" w:rsidR="000C4E29" w:rsidRPr="000C4E29" w:rsidRDefault="000C4E29" w:rsidP="000C4E29">
      <w:pPr>
        <w:numPr>
          <w:ilvl w:val="0"/>
          <w:numId w:val="9"/>
        </w:numPr>
        <w:spacing w:line="260" w:lineRule="exact"/>
        <w:ind w:hanging="720"/>
        <w:jc w:val="both"/>
        <w:rPr>
          <w:rFonts w:cs="Arial"/>
          <w:szCs w:val="20"/>
          <w:lang w:val="sl-SI"/>
        </w:rPr>
      </w:pPr>
      <w:proofErr w:type="spellStart"/>
      <w:r w:rsidRPr="000C4E29">
        <w:rPr>
          <w:rFonts w:cs="Arial"/>
          <w:szCs w:val="20"/>
          <w:lang w:val="sl-SI"/>
        </w:rPr>
        <w:t>flourid</w:t>
      </w:r>
      <w:proofErr w:type="spellEnd"/>
      <w:r w:rsidRPr="000C4E29">
        <w:rPr>
          <w:rFonts w:cs="Arial"/>
          <w:szCs w:val="20"/>
          <w:lang w:val="sl-SI"/>
        </w:rPr>
        <w:t>,</w:t>
      </w:r>
    </w:p>
    <w:p w14:paraId="1F8FFCB0" w14:textId="77777777" w:rsidR="000C4E29" w:rsidRPr="000C4E29" w:rsidRDefault="000C4E29" w:rsidP="000C4E29">
      <w:pPr>
        <w:numPr>
          <w:ilvl w:val="0"/>
          <w:numId w:val="9"/>
        </w:numPr>
        <w:spacing w:line="260" w:lineRule="exact"/>
        <w:ind w:hanging="720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bromid,</w:t>
      </w:r>
    </w:p>
    <w:p w14:paraId="71DDB9EF" w14:textId="77777777" w:rsidR="000C4E29" w:rsidRPr="000C4E29" w:rsidRDefault="000C4E29" w:rsidP="000C4E29">
      <w:pPr>
        <w:numPr>
          <w:ilvl w:val="0"/>
          <w:numId w:val="9"/>
        </w:numPr>
        <w:spacing w:line="260" w:lineRule="exact"/>
        <w:ind w:hanging="720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stroncij,</w:t>
      </w:r>
    </w:p>
    <w:p w14:paraId="62330966" w14:textId="77777777" w:rsidR="000C4E29" w:rsidRPr="000C4E29" w:rsidRDefault="000C4E29" w:rsidP="000C4E29">
      <w:pPr>
        <w:numPr>
          <w:ilvl w:val="0"/>
          <w:numId w:val="9"/>
        </w:numPr>
        <w:spacing w:line="260" w:lineRule="exact"/>
        <w:ind w:hanging="720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barij,</w:t>
      </w:r>
    </w:p>
    <w:p w14:paraId="5AFC6665" w14:textId="77777777" w:rsidR="000C4E29" w:rsidRPr="000C4E29" w:rsidRDefault="000C4E29" w:rsidP="000C4E29">
      <w:pPr>
        <w:numPr>
          <w:ilvl w:val="0"/>
          <w:numId w:val="9"/>
        </w:numPr>
        <w:spacing w:line="260" w:lineRule="exact"/>
        <w:ind w:hanging="720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krom (skupni),</w:t>
      </w:r>
    </w:p>
    <w:p w14:paraId="1FF11074" w14:textId="77777777" w:rsidR="000C4E29" w:rsidRPr="000C4E29" w:rsidRDefault="000C4E29" w:rsidP="000C4E29">
      <w:pPr>
        <w:numPr>
          <w:ilvl w:val="0"/>
          <w:numId w:val="9"/>
        </w:numPr>
        <w:spacing w:line="260" w:lineRule="exact"/>
        <w:ind w:hanging="720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bor,</w:t>
      </w:r>
    </w:p>
    <w:p w14:paraId="7E10EADC" w14:textId="77777777" w:rsidR="000C4E29" w:rsidRPr="000C4E29" w:rsidRDefault="000C4E29" w:rsidP="000C4E29">
      <w:pPr>
        <w:numPr>
          <w:ilvl w:val="0"/>
          <w:numId w:val="9"/>
        </w:numPr>
        <w:spacing w:line="260" w:lineRule="exact"/>
        <w:ind w:hanging="720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litij,</w:t>
      </w:r>
    </w:p>
    <w:p w14:paraId="6A0EE704" w14:textId="77777777" w:rsidR="000C4E29" w:rsidRPr="000C4E29" w:rsidRDefault="000C4E29" w:rsidP="000C4E29">
      <w:pPr>
        <w:numPr>
          <w:ilvl w:val="0"/>
          <w:numId w:val="9"/>
        </w:numPr>
        <w:spacing w:line="260" w:lineRule="exact"/>
        <w:ind w:hanging="720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jodid,</w:t>
      </w:r>
    </w:p>
    <w:p w14:paraId="58C17046" w14:textId="77777777" w:rsidR="000C4E29" w:rsidRPr="000C4E29" w:rsidRDefault="000C4E29" w:rsidP="000C4E29">
      <w:pPr>
        <w:numPr>
          <w:ilvl w:val="0"/>
          <w:numId w:val="9"/>
        </w:numPr>
        <w:spacing w:line="260" w:lineRule="exact"/>
        <w:ind w:hanging="720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železo (Fe</w:t>
      </w:r>
      <w:r w:rsidRPr="000C4E29">
        <w:rPr>
          <w:rFonts w:cs="Arial"/>
          <w:szCs w:val="20"/>
          <w:vertAlign w:val="superscript"/>
          <w:lang w:val="sl-SI"/>
        </w:rPr>
        <w:t>2+</w:t>
      </w:r>
      <w:r w:rsidRPr="000C4E29">
        <w:rPr>
          <w:rFonts w:cs="Arial"/>
          <w:szCs w:val="20"/>
          <w:lang w:val="sl-SI"/>
        </w:rPr>
        <w:t>, Fe</w:t>
      </w:r>
      <w:r w:rsidRPr="000C4E29">
        <w:rPr>
          <w:rFonts w:cs="Arial"/>
          <w:szCs w:val="20"/>
          <w:vertAlign w:val="superscript"/>
          <w:lang w:val="sl-SI"/>
        </w:rPr>
        <w:t>3+</w:t>
      </w:r>
      <w:r w:rsidRPr="000C4E29">
        <w:rPr>
          <w:rFonts w:cs="Arial"/>
          <w:szCs w:val="20"/>
          <w:lang w:val="sl-SI"/>
        </w:rPr>
        <w:t>),</w:t>
      </w:r>
    </w:p>
    <w:p w14:paraId="0FFD15E2" w14:textId="77777777" w:rsidR="000C4E29" w:rsidRPr="000C4E29" w:rsidRDefault="000C4E29" w:rsidP="000C4E29">
      <w:pPr>
        <w:numPr>
          <w:ilvl w:val="0"/>
          <w:numId w:val="9"/>
        </w:numPr>
        <w:spacing w:line="260" w:lineRule="exact"/>
        <w:ind w:hanging="720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celotni organski ogljik (TOC),</w:t>
      </w:r>
    </w:p>
    <w:p w14:paraId="7B3D3A84" w14:textId="77777777" w:rsidR="000C4E29" w:rsidRPr="000C4E29" w:rsidRDefault="000C4E29" w:rsidP="000C4E29">
      <w:pPr>
        <w:numPr>
          <w:ilvl w:val="0"/>
          <w:numId w:val="9"/>
        </w:numPr>
        <w:spacing w:line="260" w:lineRule="exact"/>
        <w:ind w:hanging="720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fenolne snovi,</w:t>
      </w:r>
    </w:p>
    <w:p w14:paraId="76FADBBA" w14:textId="77777777" w:rsidR="000C4E29" w:rsidRPr="000C4E29" w:rsidRDefault="000C4E29" w:rsidP="000C4E29">
      <w:pPr>
        <w:numPr>
          <w:ilvl w:val="0"/>
          <w:numId w:val="9"/>
        </w:numPr>
        <w:spacing w:line="260" w:lineRule="exact"/>
        <w:ind w:hanging="720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mineralna olja (skupno),</w:t>
      </w:r>
    </w:p>
    <w:p w14:paraId="10CC5F7E" w14:textId="77777777" w:rsidR="000C4E29" w:rsidRPr="000C4E29" w:rsidRDefault="000C4E29" w:rsidP="000C4E29">
      <w:pPr>
        <w:numPr>
          <w:ilvl w:val="0"/>
          <w:numId w:val="9"/>
        </w:numPr>
        <w:spacing w:line="260" w:lineRule="exact"/>
        <w:ind w:hanging="720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policiklični aromatski ogljikovodiki,</w:t>
      </w:r>
    </w:p>
    <w:p w14:paraId="0B780E10" w14:textId="77777777" w:rsidR="000C4E29" w:rsidRPr="000C4E29" w:rsidRDefault="000C4E29" w:rsidP="000C4E29">
      <w:pPr>
        <w:numPr>
          <w:ilvl w:val="0"/>
          <w:numId w:val="9"/>
        </w:numPr>
        <w:spacing w:line="260" w:lineRule="exact"/>
        <w:ind w:hanging="720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aromatski ogljikovodiki,</w:t>
      </w:r>
    </w:p>
    <w:p w14:paraId="17C03283" w14:textId="77777777" w:rsidR="000C4E29" w:rsidRPr="000C4E29" w:rsidRDefault="000C4E29" w:rsidP="000C4E29">
      <w:pPr>
        <w:numPr>
          <w:ilvl w:val="0"/>
          <w:numId w:val="9"/>
        </w:numPr>
        <w:spacing w:line="260" w:lineRule="exact"/>
        <w:ind w:hanging="720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motnost (NTU),</w:t>
      </w:r>
    </w:p>
    <w:p w14:paraId="435E95FE" w14:textId="77777777" w:rsidR="000C4E29" w:rsidRPr="000C4E29" w:rsidRDefault="000C4E29" w:rsidP="000C4E29">
      <w:pPr>
        <w:numPr>
          <w:ilvl w:val="0"/>
          <w:numId w:val="9"/>
        </w:numPr>
        <w:spacing w:line="260" w:lineRule="exact"/>
        <w:ind w:hanging="720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prosti CO</w:t>
      </w:r>
      <w:r w:rsidRPr="000C4E29">
        <w:rPr>
          <w:rFonts w:cs="Arial"/>
          <w:szCs w:val="20"/>
          <w:vertAlign w:val="subscript"/>
          <w:lang w:val="sl-SI"/>
        </w:rPr>
        <w:t>2,</w:t>
      </w:r>
    </w:p>
    <w:p w14:paraId="1EAD1947" w14:textId="77777777" w:rsidR="000C4E29" w:rsidRPr="000C4E29" w:rsidRDefault="000C4E29" w:rsidP="000C4E29">
      <w:pPr>
        <w:numPr>
          <w:ilvl w:val="0"/>
          <w:numId w:val="9"/>
        </w:numPr>
        <w:spacing w:line="260" w:lineRule="exact"/>
        <w:ind w:hanging="720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raztopljeni H</w:t>
      </w:r>
      <w:r w:rsidRPr="000C4E29">
        <w:rPr>
          <w:rFonts w:cs="Arial"/>
          <w:szCs w:val="20"/>
          <w:vertAlign w:val="subscript"/>
          <w:lang w:val="sl-SI"/>
        </w:rPr>
        <w:t>2</w:t>
      </w:r>
      <w:r w:rsidRPr="000C4E29">
        <w:rPr>
          <w:rFonts w:cs="Arial"/>
          <w:szCs w:val="20"/>
          <w:lang w:val="sl-SI"/>
        </w:rPr>
        <w:t>S.</w:t>
      </w:r>
    </w:p>
    <w:p w14:paraId="71AF70C3" w14:textId="77777777" w:rsidR="000C4E29" w:rsidRPr="000C4E29" w:rsidRDefault="000C4E29" w:rsidP="000C4E29">
      <w:pPr>
        <w:spacing w:line="260" w:lineRule="exact"/>
        <w:ind w:hanging="720"/>
        <w:jc w:val="both"/>
        <w:rPr>
          <w:rFonts w:cs="Arial"/>
          <w:szCs w:val="20"/>
          <w:lang w:val="sl-SI"/>
        </w:rPr>
      </w:pPr>
    </w:p>
    <w:p w14:paraId="7285DCFA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lastRenderedPageBreak/>
        <w:t>Parametre iz nabora parametrov 2 je treba ugotoviti tudi, če se ugotovijo spremembe značilnih parametrov (nabor parametrov 1), ki so enake ali večje od: ± 20 %. Koncesionar lahko v programu monitoringa predlaga in utemelji razmeram prilagojeni seznam teh parametrov.</w:t>
      </w:r>
    </w:p>
    <w:p w14:paraId="147B51A4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</w:p>
    <w:p w14:paraId="59F7CCEE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 xml:space="preserve">Pri prvem merjenju je treba v odvzeti termalni vodi ugotoviti tudi koncentracijo in izotopsko sestavo žlahtnih plinov argona, helija in neona: koncentracijo v cc STP/g in </w:t>
      </w:r>
      <w:proofErr w:type="spellStart"/>
      <w:r w:rsidRPr="000C4E29">
        <w:rPr>
          <w:rFonts w:cs="Arial"/>
          <w:szCs w:val="20"/>
          <w:lang w:val="sl-SI"/>
        </w:rPr>
        <w:t>ppm</w:t>
      </w:r>
      <w:proofErr w:type="spellEnd"/>
      <w:r w:rsidRPr="000C4E29">
        <w:rPr>
          <w:rFonts w:cs="Arial"/>
          <w:szCs w:val="20"/>
          <w:lang w:val="sl-SI"/>
        </w:rPr>
        <w:t xml:space="preserve">, izotopsko sestavo pa kot razmerje </w:t>
      </w:r>
      <w:r w:rsidRPr="000C4E29">
        <w:rPr>
          <w:rFonts w:cs="Arial"/>
          <w:szCs w:val="20"/>
          <w:vertAlign w:val="superscript"/>
          <w:lang w:val="sl-SI"/>
        </w:rPr>
        <w:t>40</w:t>
      </w:r>
      <w:r w:rsidRPr="000C4E29">
        <w:rPr>
          <w:rFonts w:cs="Arial"/>
          <w:szCs w:val="20"/>
          <w:lang w:val="sl-SI"/>
        </w:rPr>
        <w:t>Ar/</w:t>
      </w:r>
      <w:r w:rsidRPr="000C4E29">
        <w:rPr>
          <w:rFonts w:cs="Arial"/>
          <w:szCs w:val="20"/>
          <w:vertAlign w:val="superscript"/>
          <w:lang w:val="sl-SI"/>
        </w:rPr>
        <w:t>36</w:t>
      </w:r>
      <w:r w:rsidRPr="000C4E29">
        <w:rPr>
          <w:rFonts w:cs="Arial"/>
          <w:szCs w:val="20"/>
          <w:lang w:val="sl-SI"/>
        </w:rPr>
        <w:t xml:space="preserve">Ar, </w:t>
      </w:r>
      <w:r w:rsidRPr="000C4E29">
        <w:rPr>
          <w:rFonts w:cs="Arial"/>
          <w:szCs w:val="20"/>
          <w:vertAlign w:val="superscript"/>
          <w:lang w:val="sl-SI"/>
        </w:rPr>
        <w:t>3</w:t>
      </w:r>
      <w:r w:rsidRPr="000C4E29">
        <w:rPr>
          <w:rFonts w:cs="Arial"/>
          <w:szCs w:val="20"/>
          <w:lang w:val="sl-SI"/>
        </w:rPr>
        <w:t>He/</w:t>
      </w:r>
      <w:r w:rsidRPr="000C4E29">
        <w:rPr>
          <w:rFonts w:cs="Arial"/>
          <w:szCs w:val="20"/>
          <w:vertAlign w:val="superscript"/>
          <w:lang w:val="sl-SI"/>
        </w:rPr>
        <w:t>4</w:t>
      </w:r>
      <w:r w:rsidRPr="000C4E29">
        <w:rPr>
          <w:rFonts w:cs="Arial"/>
          <w:szCs w:val="20"/>
          <w:lang w:val="sl-SI"/>
        </w:rPr>
        <w:t>He, R/</w:t>
      </w:r>
      <w:proofErr w:type="spellStart"/>
      <w:r w:rsidRPr="000C4E29">
        <w:rPr>
          <w:rFonts w:cs="Arial"/>
          <w:szCs w:val="20"/>
          <w:lang w:val="sl-SI"/>
        </w:rPr>
        <w:t>Ra</w:t>
      </w:r>
      <w:proofErr w:type="spellEnd"/>
      <w:r w:rsidRPr="000C4E29">
        <w:rPr>
          <w:rFonts w:cs="Arial"/>
          <w:szCs w:val="20"/>
          <w:lang w:val="sl-SI"/>
        </w:rPr>
        <w:t xml:space="preserve"> in </w:t>
      </w:r>
      <w:r w:rsidRPr="000C4E29">
        <w:rPr>
          <w:rFonts w:cs="Arial"/>
          <w:szCs w:val="20"/>
          <w:vertAlign w:val="superscript"/>
          <w:lang w:val="sl-SI"/>
        </w:rPr>
        <w:t>20</w:t>
      </w:r>
      <w:r w:rsidRPr="000C4E29">
        <w:rPr>
          <w:rFonts w:cs="Arial"/>
          <w:szCs w:val="20"/>
          <w:lang w:val="sl-SI"/>
        </w:rPr>
        <w:t>Ne/</w:t>
      </w:r>
      <w:r w:rsidRPr="000C4E29">
        <w:rPr>
          <w:rFonts w:cs="Arial"/>
          <w:szCs w:val="20"/>
          <w:vertAlign w:val="superscript"/>
          <w:lang w:val="sl-SI"/>
        </w:rPr>
        <w:t>22</w:t>
      </w:r>
      <w:r w:rsidRPr="000C4E29">
        <w:rPr>
          <w:rFonts w:cs="Arial"/>
          <w:szCs w:val="20"/>
          <w:lang w:val="sl-SI"/>
        </w:rPr>
        <w:t>Ne.</w:t>
      </w:r>
    </w:p>
    <w:p w14:paraId="127DA3D3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</w:p>
    <w:p w14:paraId="79029590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Pri določanju vsebnosti analiziranih parametrov je treba upoštevati najnižje razpoložljive meje zaznavanja in določanja (meja določljivosti analitske metode). V letnem poročilu o monitoringu je treba navesti meje zaznavnosti in določljivosti analitske metode.</w:t>
      </w:r>
    </w:p>
    <w:p w14:paraId="7330B330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</w:p>
    <w:p w14:paraId="2E573EA3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Vzorčenje in analiza morata biti izvedena v skladu z metodami iz predpisa, ki ureja monitoring stanja podzemnih voda.</w:t>
      </w:r>
    </w:p>
    <w:p w14:paraId="640AB2FA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</w:p>
    <w:p w14:paraId="098110C4" w14:textId="77777777" w:rsidR="000C4E29" w:rsidRPr="000C4E29" w:rsidRDefault="000C4E29" w:rsidP="000C4E29">
      <w:pPr>
        <w:spacing w:line="260" w:lineRule="exact"/>
        <w:contextualSpacing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4. Nadzor nad hidravličnimi značilnostmi vrtine</w:t>
      </w:r>
    </w:p>
    <w:p w14:paraId="376CF0EB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</w:p>
    <w:p w14:paraId="6963264F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Nadzor nad hidravličnimi značilnostmi objekta je treba izvajati z:</w:t>
      </w:r>
    </w:p>
    <w:p w14:paraId="1BC194B8" w14:textId="77777777" w:rsidR="000C4E29" w:rsidRPr="000C4E29" w:rsidRDefault="000C4E29" w:rsidP="000C4E29">
      <w:pPr>
        <w:numPr>
          <w:ilvl w:val="0"/>
          <w:numId w:val="1"/>
        </w:numPr>
        <w:spacing w:line="260" w:lineRule="exact"/>
        <w:ind w:hanging="720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 xml:space="preserve">vzdrževanjem opreme in objektov za rabo termalne vode, </w:t>
      </w:r>
    </w:p>
    <w:p w14:paraId="6C731F86" w14:textId="77777777" w:rsidR="000C4E29" w:rsidRPr="000C4E29" w:rsidRDefault="000C4E29" w:rsidP="000C4E29">
      <w:pPr>
        <w:numPr>
          <w:ilvl w:val="0"/>
          <w:numId w:val="1"/>
        </w:numPr>
        <w:spacing w:line="260" w:lineRule="exact"/>
        <w:ind w:hanging="720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 xml:space="preserve">meritvami učinkovitosti in specifične izdatnosti vrtine za odvzem vode, </w:t>
      </w:r>
    </w:p>
    <w:p w14:paraId="178D38DD" w14:textId="77777777" w:rsidR="000C4E29" w:rsidRPr="000C4E29" w:rsidRDefault="000C4E29" w:rsidP="000C4E29">
      <w:pPr>
        <w:numPr>
          <w:ilvl w:val="0"/>
          <w:numId w:val="1"/>
        </w:numPr>
        <w:spacing w:line="260" w:lineRule="exact"/>
        <w:ind w:hanging="720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meritvami statičnih in dinamičnih pogojev v vrtini za odvzem vode.</w:t>
      </w:r>
    </w:p>
    <w:p w14:paraId="1FCB4064" w14:textId="77777777" w:rsidR="000C4E29" w:rsidRPr="000C4E29" w:rsidRDefault="000C4E29" w:rsidP="000C4E29">
      <w:pPr>
        <w:spacing w:line="260" w:lineRule="exact"/>
        <w:ind w:hanging="720"/>
        <w:jc w:val="both"/>
        <w:rPr>
          <w:rFonts w:cs="Arial"/>
          <w:szCs w:val="20"/>
          <w:lang w:val="sl-SI"/>
        </w:rPr>
      </w:pPr>
    </w:p>
    <w:p w14:paraId="53720874" w14:textId="77777777" w:rsidR="000C4E29" w:rsidRPr="000C4E29" w:rsidRDefault="000C4E29" w:rsidP="000C4E29">
      <w:pPr>
        <w:spacing w:line="260" w:lineRule="exact"/>
        <w:ind w:left="708" w:hanging="708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K točki a:</w:t>
      </w:r>
    </w:p>
    <w:p w14:paraId="58BB38F5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Vsa dela in spremembe v ali pri objektu, merilni opremi ali opremi za rabo termalne vode je treba zapisovati in o tem poročati v letnem poročilu o monitoringu odvzetih količin termalne vode. Enkrat tedensko je treba preverjati pravilno delovanje merilnih naprav.</w:t>
      </w:r>
    </w:p>
    <w:p w14:paraId="218501A5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</w:p>
    <w:p w14:paraId="069CED56" w14:textId="77777777" w:rsidR="000C4E29" w:rsidRPr="000C4E29" w:rsidRDefault="000C4E29" w:rsidP="000C4E29">
      <w:pPr>
        <w:spacing w:line="260" w:lineRule="exact"/>
        <w:ind w:left="708" w:hanging="708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K točki b:</w:t>
      </w:r>
    </w:p>
    <w:p w14:paraId="4D49C047" w14:textId="12F407D4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 xml:space="preserve">Meritve učinkovitosti in specifične izdatnosti vrtine za odvzem vode je treba opraviti po vnaprej izdelanem postopku: gre za kratkotrajni preskus, pri čemer je treba vrtino najprej ugasniti in počakati na </w:t>
      </w:r>
      <w:proofErr w:type="spellStart"/>
      <w:r w:rsidRPr="000C4E29">
        <w:rPr>
          <w:rFonts w:cs="Arial"/>
          <w:szCs w:val="20"/>
          <w:lang w:val="sl-SI"/>
        </w:rPr>
        <w:t>kvazistabilizacijo</w:t>
      </w:r>
      <w:proofErr w:type="spellEnd"/>
      <w:r w:rsidRPr="000C4E29">
        <w:rPr>
          <w:rFonts w:cs="Arial"/>
          <w:szCs w:val="20"/>
          <w:lang w:val="sl-SI"/>
        </w:rPr>
        <w:t xml:space="preserve"> gladine ter nato črpati najmanj tri različne količine po nekaj ur, s čimer se preizkusijo učinkovitost vrtine in njene morebitne izgube (črpalni poskus). Črpalni p</w:t>
      </w:r>
      <w:r w:rsidR="002423EA">
        <w:rPr>
          <w:rFonts w:cs="Arial"/>
          <w:szCs w:val="20"/>
          <w:lang w:val="sl-SI"/>
        </w:rPr>
        <w:t>o</w:t>
      </w:r>
      <w:r w:rsidRPr="000C4E29">
        <w:rPr>
          <w:rFonts w:cs="Arial"/>
          <w:szCs w:val="20"/>
          <w:lang w:val="sl-SI"/>
        </w:rPr>
        <w:t>skus mora biti prvič izveden v treh mesecih po začetku izvajanja koncesije, če so od zadnjega p</w:t>
      </w:r>
      <w:r w:rsidR="002423EA">
        <w:rPr>
          <w:rFonts w:cs="Arial"/>
          <w:szCs w:val="20"/>
          <w:lang w:val="sl-SI"/>
        </w:rPr>
        <w:t>o</w:t>
      </w:r>
      <w:r w:rsidRPr="000C4E29">
        <w:rPr>
          <w:rFonts w:cs="Arial"/>
          <w:szCs w:val="20"/>
          <w:lang w:val="sl-SI"/>
        </w:rPr>
        <w:t>skusa pretekla več kakor tri leta, in drugič v tretjem letu prvega triletnega obdobja. Nato se črpalni p</w:t>
      </w:r>
      <w:r w:rsidR="002423EA">
        <w:rPr>
          <w:rFonts w:cs="Arial"/>
          <w:szCs w:val="20"/>
          <w:lang w:val="sl-SI"/>
        </w:rPr>
        <w:t>o</w:t>
      </w:r>
      <w:r w:rsidRPr="000C4E29">
        <w:rPr>
          <w:rFonts w:cs="Arial"/>
          <w:szCs w:val="20"/>
          <w:lang w:val="sl-SI"/>
        </w:rPr>
        <w:t>skus opravlja vsako šesto leto. Postopek izvajanja črpalnega p</w:t>
      </w:r>
      <w:r w:rsidR="002423EA">
        <w:rPr>
          <w:rFonts w:cs="Arial"/>
          <w:szCs w:val="20"/>
          <w:lang w:val="sl-SI"/>
        </w:rPr>
        <w:t>o</w:t>
      </w:r>
      <w:r w:rsidRPr="000C4E29">
        <w:rPr>
          <w:rFonts w:cs="Arial"/>
          <w:szCs w:val="20"/>
          <w:lang w:val="sl-SI"/>
        </w:rPr>
        <w:t>skusa se natančneje opredeli v programu monitoringa tako, da se zagotovi primerljivost rezultatov v celotnem obdobju.</w:t>
      </w:r>
    </w:p>
    <w:p w14:paraId="21623AF0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</w:p>
    <w:p w14:paraId="507BC62E" w14:textId="77777777" w:rsidR="000C4E29" w:rsidRPr="000C4E29" w:rsidRDefault="000C4E29" w:rsidP="000C4E29">
      <w:pPr>
        <w:spacing w:line="260" w:lineRule="exact"/>
        <w:ind w:left="708" w:hanging="708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K točki c:</w:t>
      </w:r>
    </w:p>
    <w:p w14:paraId="376EA702" w14:textId="36DD0D02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  <w:r w:rsidRPr="000C4E29">
        <w:rPr>
          <w:rFonts w:cs="Arial"/>
          <w:szCs w:val="20"/>
          <w:lang w:val="sl-SI"/>
        </w:rPr>
        <w:t>Meritve statičnih in dinamičnih pogojev v vrtini za odvzem vode se izvajajo s spremljanjem gladine (tlaka) v času, ko se izvajajo črpalni p</w:t>
      </w:r>
      <w:r w:rsidR="002423EA">
        <w:rPr>
          <w:rFonts w:cs="Arial"/>
          <w:szCs w:val="20"/>
          <w:lang w:val="sl-SI"/>
        </w:rPr>
        <w:t>o</w:t>
      </w:r>
      <w:r w:rsidRPr="000C4E29">
        <w:rPr>
          <w:rFonts w:cs="Arial"/>
          <w:szCs w:val="20"/>
          <w:lang w:val="sl-SI"/>
        </w:rPr>
        <w:t>skusi iz prejšnje točke ali prekinitveni test iz 5. točke četrtega odstavka 4. člena te uredbe.</w:t>
      </w:r>
    </w:p>
    <w:p w14:paraId="2B09B877" w14:textId="77777777" w:rsidR="000C4E29" w:rsidRPr="000C4E29" w:rsidRDefault="000C4E29" w:rsidP="000C4E29">
      <w:pPr>
        <w:spacing w:line="260" w:lineRule="exact"/>
        <w:jc w:val="both"/>
        <w:rPr>
          <w:rFonts w:cs="Arial"/>
          <w:szCs w:val="20"/>
          <w:lang w:val="sl-SI"/>
        </w:rPr>
      </w:pPr>
    </w:p>
    <w:p w14:paraId="2EF684AC" w14:textId="77777777" w:rsidR="007644E4" w:rsidRPr="000C4E29" w:rsidRDefault="007644E4" w:rsidP="000C4E29">
      <w:pPr>
        <w:spacing w:line="260" w:lineRule="exact"/>
        <w:rPr>
          <w:rFonts w:cs="Arial"/>
          <w:szCs w:val="20"/>
        </w:rPr>
      </w:pPr>
    </w:p>
    <w:sectPr w:rsidR="007644E4" w:rsidRPr="000C4E29" w:rsidSect="000C4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A0079" w14:textId="77777777" w:rsidR="006D48F4" w:rsidRDefault="006D48F4" w:rsidP="000C4E29">
      <w:pPr>
        <w:spacing w:line="240" w:lineRule="auto"/>
      </w:pPr>
      <w:r>
        <w:separator/>
      </w:r>
    </w:p>
  </w:endnote>
  <w:endnote w:type="continuationSeparator" w:id="0">
    <w:p w14:paraId="69FAB5F5" w14:textId="77777777" w:rsidR="006D48F4" w:rsidRDefault="006D48F4" w:rsidP="000C4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C49B9" w14:textId="77777777" w:rsidR="000C4E29" w:rsidRDefault="000C4E2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16228"/>
      <w:docPartObj>
        <w:docPartGallery w:val="Page Numbers (Bottom of Page)"/>
        <w:docPartUnique/>
      </w:docPartObj>
    </w:sdtPr>
    <w:sdtEndPr/>
    <w:sdtContent>
      <w:p w14:paraId="3F5F761B" w14:textId="77777777" w:rsidR="000C4E29" w:rsidRDefault="000C4E2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CAF" w:rsidRPr="005B2CAF">
          <w:rPr>
            <w:noProof/>
            <w:lang w:val="sl-SI"/>
          </w:rPr>
          <w:t>5</w:t>
        </w:r>
        <w:r>
          <w:fldChar w:fldCharType="end"/>
        </w:r>
      </w:p>
    </w:sdtContent>
  </w:sdt>
  <w:p w14:paraId="4C42B569" w14:textId="77777777" w:rsidR="000C4E29" w:rsidRDefault="000C4E29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DFB1D" w14:textId="77777777" w:rsidR="000C4E29" w:rsidRDefault="000C4E2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C1AF2" w14:textId="77777777" w:rsidR="006D48F4" w:rsidRDefault="006D48F4" w:rsidP="000C4E29">
      <w:pPr>
        <w:spacing w:line="240" w:lineRule="auto"/>
      </w:pPr>
      <w:r>
        <w:separator/>
      </w:r>
    </w:p>
  </w:footnote>
  <w:footnote w:type="continuationSeparator" w:id="0">
    <w:p w14:paraId="74FB7AD0" w14:textId="77777777" w:rsidR="006D48F4" w:rsidRDefault="006D48F4" w:rsidP="000C4E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609A9" w14:textId="77777777" w:rsidR="000C4E29" w:rsidRDefault="000C4E2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FEA9D" w14:textId="77777777" w:rsidR="000C4E29" w:rsidRDefault="000C4E2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920FB" w14:textId="77777777" w:rsidR="000C4E29" w:rsidRDefault="000C4E2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66F10"/>
    <w:multiLevelType w:val="hybridMultilevel"/>
    <w:tmpl w:val="2DDA5884"/>
    <w:lvl w:ilvl="0" w:tplc="0000000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B686F82"/>
    <w:multiLevelType w:val="hybridMultilevel"/>
    <w:tmpl w:val="C3D2FF4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A1F70"/>
    <w:multiLevelType w:val="hybridMultilevel"/>
    <w:tmpl w:val="A178EFD2"/>
    <w:lvl w:ilvl="0" w:tplc="0000000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351E6"/>
    <w:multiLevelType w:val="hybridMultilevel"/>
    <w:tmpl w:val="96C6B27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C51D6"/>
    <w:multiLevelType w:val="hybridMultilevel"/>
    <w:tmpl w:val="C778CAE4"/>
    <w:lvl w:ilvl="0" w:tplc="1010BA0A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96B35"/>
    <w:multiLevelType w:val="hybridMultilevel"/>
    <w:tmpl w:val="2A6CF0DA"/>
    <w:lvl w:ilvl="0" w:tplc="0000000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4E52"/>
    <w:multiLevelType w:val="hybridMultilevel"/>
    <w:tmpl w:val="A8427D06"/>
    <w:lvl w:ilvl="0" w:tplc="0000000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504D0"/>
    <w:multiLevelType w:val="hybridMultilevel"/>
    <w:tmpl w:val="7D7EB048"/>
    <w:lvl w:ilvl="0" w:tplc="0000000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0516F1"/>
    <w:multiLevelType w:val="hybridMultilevel"/>
    <w:tmpl w:val="AAB69DB4"/>
    <w:lvl w:ilvl="0" w:tplc="0000000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43677"/>
    <w:multiLevelType w:val="hybridMultilevel"/>
    <w:tmpl w:val="2C1A5C5A"/>
    <w:lvl w:ilvl="0" w:tplc="2E0C087E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09"/>
    <w:rsid w:val="000C4E29"/>
    <w:rsid w:val="002423EA"/>
    <w:rsid w:val="003D5732"/>
    <w:rsid w:val="005B2CAF"/>
    <w:rsid w:val="006B7909"/>
    <w:rsid w:val="006D48F4"/>
    <w:rsid w:val="0075771C"/>
    <w:rsid w:val="0076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5263"/>
  <w15:chartTrackingRefBased/>
  <w15:docId w15:val="{F17984A8-051C-42D8-9634-7BEB01CD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4E29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C4E2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C4E29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0C4E2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C4E29"/>
    <w:rPr>
      <w:rFonts w:ascii="Arial" w:eastAsia="Times New Roman" w:hAnsi="Arial" w:cs="Times New Roman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757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3</cp:revision>
  <dcterms:created xsi:type="dcterms:W3CDTF">2021-09-29T13:08:00Z</dcterms:created>
  <dcterms:modified xsi:type="dcterms:W3CDTF">2021-09-29T13:09:00Z</dcterms:modified>
</cp:coreProperties>
</file>