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-599440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7C5C70"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624" w:rsidRPr="00D61ACE" w:rsidRDefault="006B6624"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6B6624" w:rsidRPr="00D61ACE" w:rsidRDefault="006B6624"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w:t>
      </w:r>
      <w:r w:rsidR="00625BAD">
        <w:rPr>
          <w:rFonts w:cs="Arial"/>
          <w:szCs w:val="20"/>
          <w:lang w:val="sl-SI"/>
        </w:rPr>
        <w:t>70</w:t>
      </w:r>
      <w:r w:rsidRPr="00D462AF">
        <w:rPr>
          <w:rFonts w:cs="Arial"/>
          <w:szCs w:val="20"/>
          <w:lang w:val="sl-SI"/>
        </w:rPr>
        <w:t xml:space="preserve">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rsidR="000E138A" w:rsidRPr="00D462AF" w:rsidRDefault="000E138A" w:rsidP="00D462AF">
      <w:pPr>
        <w:pStyle w:val="Glava"/>
        <w:tabs>
          <w:tab w:val="clear" w:pos="4320"/>
          <w:tab w:val="clear" w:pos="8640"/>
          <w:tab w:val="left" w:pos="5112"/>
        </w:tabs>
        <w:rPr>
          <w:rFonts w:cs="Arial"/>
          <w:szCs w:val="20"/>
          <w:lang w:val="sl-SI"/>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0"/>
        <w:gridCol w:w="4368"/>
        <w:gridCol w:w="763"/>
        <w:gridCol w:w="2201"/>
      </w:tblGrid>
      <w:tr w:rsidR="00F02B4B" w:rsidRPr="00D462AF" w:rsidTr="00772C4A">
        <w:trPr>
          <w:gridAfter w:val="2"/>
          <w:wAfter w:w="3094" w:type="dxa"/>
        </w:trPr>
        <w:tc>
          <w:tcPr>
            <w:tcW w:w="6651" w:type="dxa"/>
            <w:gridSpan w:val="2"/>
          </w:tcPr>
          <w:p w:rsidR="00F02B4B" w:rsidRPr="00267705" w:rsidRDefault="00F02B4B" w:rsidP="002C4BAC">
            <w:pPr>
              <w:pStyle w:val="Neotevilenodstavek"/>
              <w:spacing w:before="40" w:afterLines="40" w:after="96" w:line="260" w:lineRule="atLeast"/>
              <w:jc w:val="left"/>
              <w:rPr>
                <w:sz w:val="20"/>
                <w:szCs w:val="20"/>
              </w:rPr>
            </w:pPr>
            <w:r w:rsidRPr="00267705">
              <w:rPr>
                <w:sz w:val="20"/>
                <w:szCs w:val="20"/>
              </w:rPr>
              <w:t xml:space="preserve">Številka: </w:t>
            </w:r>
            <w:r w:rsidR="00B55233" w:rsidRPr="00267705">
              <w:rPr>
                <w:color w:val="000000"/>
                <w:szCs w:val="20"/>
              </w:rPr>
              <w:t>370-13/2019/</w:t>
            </w:r>
            <w:r w:rsidR="00267705" w:rsidRPr="00195107">
              <w:rPr>
                <w:color w:val="000000"/>
                <w:szCs w:val="20"/>
              </w:rPr>
              <w:t>31</w:t>
            </w:r>
          </w:p>
        </w:tc>
      </w:tr>
      <w:tr w:rsidR="00F02B4B" w:rsidRPr="00D462AF" w:rsidTr="00772C4A">
        <w:trPr>
          <w:gridAfter w:val="2"/>
          <w:wAfter w:w="3094" w:type="dxa"/>
        </w:trPr>
        <w:tc>
          <w:tcPr>
            <w:tcW w:w="6651" w:type="dxa"/>
            <w:gridSpan w:val="2"/>
          </w:tcPr>
          <w:p w:rsidR="00F02B4B" w:rsidRPr="00267705" w:rsidRDefault="00F02B4B" w:rsidP="002C4BAC">
            <w:pPr>
              <w:pStyle w:val="Neotevilenodstavek"/>
              <w:spacing w:before="40" w:afterLines="40" w:after="96" w:line="260" w:lineRule="atLeast"/>
              <w:jc w:val="left"/>
              <w:rPr>
                <w:sz w:val="20"/>
                <w:szCs w:val="20"/>
              </w:rPr>
            </w:pPr>
            <w:r w:rsidRPr="00267705">
              <w:rPr>
                <w:sz w:val="20"/>
                <w:szCs w:val="20"/>
              </w:rPr>
              <w:t>Ljubljana,</w:t>
            </w:r>
            <w:r w:rsidR="00006055">
              <w:rPr>
                <w:sz w:val="20"/>
                <w:szCs w:val="20"/>
              </w:rPr>
              <w:t xml:space="preserve"> 3</w:t>
            </w:r>
            <w:r w:rsidR="00B55233" w:rsidRPr="00267705">
              <w:rPr>
                <w:sz w:val="20"/>
                <w:szCs w:val="20"/>
              </w:rPr>
              <w:t>. 1</w:t>
            </w:r>
            <w:r w:rsidR="00006055">
              <w:rPr>
                <w:sz w:val="20"/>
                <w:szCs w:val="20"/>
              </w:rPr>
              <w:t>2</w:t>
            </w:r>
            <w:r w:rsidR="00DC2160" w:rsidRPr="00267705">
              <w:rPr>
                <w:sz w:val="20"/>
                <w:szCs w:val="20"/>
              </w:rPr>
              <w:t>. 2020</w:t>
            </w:r>
          </w:p>
        </w:tc>
      </w:tr>
      <w:tr w:rsidR="00F02B4B" w:rsidRPr="00D462AF" w:rsidTr="00772C4A">
        <w:trPr>
          <w:gridAfter w:val="2"/>
          <w:wAfter w:w="3094" w:type="dxa"/>
        </w:trPr>
        <w:tc>
          <w:tcPr>
            <w:tcW w:w="6651" w:type="dxa"/>
            <w:gridSpan w:val="2"/>
          </w:tcPr>
          <w:p w:rsidR="00F02B4B" w:rsidRPr="00D462AF" w:rsidRDefault="00F02B4B" w:rsidP="002C4BAC">
            <w:pPr>
              <w:pStyle w:val="Neotevilenodstavek"/>
              <w:spacing w:before="40" w:afterLines="40" w:after="96" w:line="260" w:lineRule="atLeast"/>
              <w:jc w:val="left"/>
              <w:rPr>
                <w:sz w:val="20"/>
                <w:szCs w:val="20"/>
              </w:rPr>
            </w:pPr>
          </w:p>
        </w:tc>
      </w:tr>
      <w:tr w:rsidR="00F02B4B" w:rsidRPr="00D462AF" w:rsidTr="00772C4A">
        <w:trPr>
          <w:gridAfter w:val="2"/>
          <w:wAfter w:w="3094" w:type="dxa"/>
        </w:trPr>
        <w:tc>
          <w:tcPr>
            <w:tcW w:w="6651" w:type="dxa"/>
            <w:gridSpan w:val="2"/>
          </w:tcPr>
          <w:p w:rsidR="00F02B4B" w:rsidRPr="00DC2160" w:rsidRDefault="00F02B4B" w:rsidP="002C4BAC">
            <w:pPr>
              <w:spacing w:before="40" w:afterLines="40" w:after="96" w:line="260" w:lineRule="atLeast"/>
              <w:rPr>
                <w:rFonts w:ascii="Arial" w:hAnsi="Arial" w:cs="Arial"/>
                <w:b/>
                <w:sz w:val="20"/>
                <w:szCs w:val="20"/>
              </w:rPr>
            </w:pPr>
            <w:r w:rsidRPr="00DC2160">
              <w:rPr>
                <w:rFonts w:ascii="Arial" w:hAnsi="Arial" w:cs="Arial"/>
                <w:b/>
                <w:sz w:val="20"/>
                <w:szCs w:val="20"/>
              </w:rPr>
              <w:t>GENERALNI SEKRETARIAT VLADE REPUBLIKE SLOVENIJE</w:t>
            </w:r>
          </w:p>
          <w:p w:rsidR="00F02B4B" w:rsidRPr="00D462AF" w:rsidRDefault="00695A06" w:rsidP="002C4BAC">
            <w:pPr>
              <w:spacing w:before="40" w:afterLines="40" w:after="96" w:line="260" w:lineRule="atLeast"/>
              <w:rPr>
                <w:rFonts w:ascii="Arial" w:hAnsi="Arial" w:cs="Arial"/>
                <w:sz w:val="20"/>
                <w:szCs w:val="20"/>
              </w:rPr>
            </w:pPr>
            <w:hyperlink r:id="rId9" w:history="1">
              <w:r w:rsidR="00F02B4B" w:rsidRPr="00DC2160">
                <w:rPr>
                  <w:rStyle w:val="Hiperpovezava"/>
                  <w:rFonts w:ascii="Arial" w:hAnsi="Arial" w:cs="Arial"/>
                  <w:b/>
                  <w:sz w:val="20"/>
                  <w:szCs w:val="20"/>
                </w:rPr>
                <w:t>Gp.gs@gov.si</w:t>
              </w:r>
            </w:hyperlink>
          </w:p>
        </w:tc>
      </w:tr>
      <w:tr w:rsidR="00F02B4B" w:rsidRPr="00D462AF" w:rsidTr="00772C4A">
        <w:tc>
          <w:tcPr>
            <w:tcW w:w="9745" w:type="dxa"/>
            <w:gridSpan w:val="4"/>
          </w:tcPr>
          <w:p w:rsidR="00F02B4B" w:rsidRPr="00DC2160" w:rsidRDefault="00F02B4B" w:rsidP="002C4BAC">
            <w:pPr>
              <w:pStyle w:val="Naslovpredpisa"/>
              <w:spacing w:before="40" w:afterLines="40" w:after="96" w:line="260" w:lineRule="atLeast"/>
              <w:jc w:val="both"/>
              <w:rPr>
                <w:sz w:val="20"/>
                <w:szCs w:val="20"/>
              </w:rPr>
            </w:pPr>
            <w:r w:rsidRPr="00DC2160">
              <w:rPr>
                <w:sz w:val="20"/>
                <w:szCs w:val="20"/>
              </w:rPr>
              <w:t xml:space="preserve">ZADEVA: </w:t>
            </w:r>
            <w:r w:rsidR="00DC2160" w:rsidRPr="00DC2160">
              <w:rPr>
                <w:color w:val="000000"/>
                <w:szCs w:val="20"/>
              </w:rPr>
              <w:t xml:space="preserve">Poročilo o izvajanju Akcijskega programa za alternativna goriva v prometu v letu 2019 in </w:t>
            </w:r>
            <w:r w:rsidR="006B6624">
              <w:rPr>
                <w:color w:val="000000"/>
                <w:szCs w:val="20"/>
              </w:rPr>
              <w:t xml:space="preserve">posodobljen </w:t>
            </w:r>
            <w:r w:rsidR="00DC2160" w:rsidRPr="00DC2160">
              <w:rPr>
                <w:color w:val="000000"/>
                <w:szCs w:val="20"/>
              </w:rPr>
              <w:t>Akcijski program za alternativna goriva v prometu za leti 2020 in 2021 – predlog za obravnavo</w:t>
            </w:r>
          </w:p>
        </w:tc>
      </w:tr>
      <w:tr w:rsidR="00F02B4B" w:rsidRPr="00D462AF" w:rsidTr="00772C4A">
        <w:tc>
          <w:tcPr>
            <w:tcW w:w="9745" w:type="dxa"/>
            <w:gridSpan w:val="4"/>
          </w:tcPr>
          <w:p w:rsidR="00F02B4B" w:rsidRPr="00D462AF" w:rsidRDefault="00F02B4B" w:rsidP="002C4BAC">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rsidTr="00772C4A">
        <w:tc>
          <w:tcPr>
            <w:tcW w:w="9745" w:type="dxa"/>
            <w:gridSpan w:val="4"/>
          </w:tcPr>
          <w:p w:rsidR="0087023C" w:rsidRPr="00AD6A86" w:rsidRDefault="0087023C" w:rsidP="002C4BAC">
            <w:pPr>
              <w:pStyle w:val="Neotevilenodstavek"/>
              <w:spacing w:before="40" w:afterLines="40" w:after="96" w:line="260" w:lineRule="atLeast"/>
              <w:rPr>
                <w:bCs/>
                <w:iCs/>
                <w:sz w:val="20"/>
                <w:szCs w:val="20"/>
              </w:rPr>
            </w:pPr>
          </w:p>
          <w:p w:rsidR="00DC2160" w:rsidRPr="00AD6A86" w:rsidRDefault="00424FFB" w:rsidP="002C4BAC">
            <w:pPr>
              <w:pStyle w:val="Neotevilenodstavek"/>
              <w:spacing w:before="40" w:afterLines="40" w:after="96" w:line="260" w:lineRule="atLeast"/>
              <w:rPr>
                <w:bCs/>
                <w:iCs/>
                <w:sz w:val="20"/>
                <w:szCs w:val="20"/>
              </w:rPr>
            </w:pPr>
            <w:r w:rsidRPr="00AD6A86">
              <w:rPr>
                <w:bCs/>
                <w:sz w:val="20"/>
                <w:szCs w:val="20"/>
                <w:shd w:val="clear" w:color="auto" w:fill="FFFFFF"/>
              </w:rPr>
              <w:t>Na podlagi 26. člena Energetskega zakona</w:t>
            </w:r>
            <w:r w:rsidR="00642227" w:rsidRPr="00AD6A86">
              <w:rPr>
                <w:bCs/>
                <w:sz w:val="20"/>
                <w:szCs w:val="20"/>
                <w:shd w:val="clear" w:color="auto" w:fill="FFFFFF"/>
              </w:rPr>
              <w:t xml:space="preserve"> </w:t>
            </w:r>
            <w:r w:rsidRPr="00AD6A86">
              <w:rPr>
                <w:bCs/>
                <w:sz w:val="20"/>
                <w:szCs w:val="20"/>
                <w:shd w:val="clear" w:color="auto" w:fill="FFFFFF"/>
              </w:rPr>
              <w:t>(Uradni list RS, št. </w:t>
            </w:r>
            <w:hyperlink r:id="rId10" w:tgtFrame="_blank" w:tooltip="Energetski zakon (uradno prečiščeno besedilo)" w:history="1">
              <w:r w:rsidRPr="002C4BAC">
                <w:rPr>
                  <w:rStyle w:val="Hiperpovezava"/>
                  <w:bCs/>
                  <w:color w:val="auto"/>
                  <w:sz w:val="20"/>
                  <w:szCs w:val="20"/>
                  <w:u w:val="none"/>
                  <w:shd w:val="clear" w:color="auto" w:fill="FFFFFF"/>
                </w:rPr>
                <w:t>60/19</w:t>
              </w:r>
            </w:hyperlink>
            <w:r w:rsidRPr="00AD6A86">
              <w:rPr>
                <w:bCs/>
                <w:sz w:val="20"/>
                <w:szCs w:val="20"/>
                <w:shd w:val="clear" w:color="auto" w:fill="FFFFFF"/>
              </w:rPr>
              <w:t> – uradno prečiščeno besedilo in </w:t>
            </w:r>
            <w:hyperlink r:id="rId11" w:tgtFrame="_blank" w:tooltip="Zakon o spremembah in dopolnitvah Energetskega zakona" w:history="1">
              <w:r w:rsidRPr="002C4BAC">
                <w:rPr>
                  <w:rStyle w:val="Hiperpovezava"/>
                  <w:bCs/>
                  <w:color w:val="auto"/>
                  <w:sz w:val="20"/>
                  <w:szCs w:val="20"/>
                  <w:u w:val="none"/>
                  <w:shd w:val="clear" w:color="auto" w:fill="FFFFFF"/>
                </w:rPr>
                <w:t>65/20</w:t>
              </w:r>
            </w:hyperlink>
            <w:r w:rsidRPr="002C4BAC">
              <w:rPr>
                <w:bCs/>
                <w:sz w:val="20"/>
                <w:szCs w:val="20"/>
                <w:shd w:val="clear" w:color="auto" w:fill="FFFFFF"/>
              </w:rPr>
              <w:t>)</w:t>
            </w:r>
            <w:r w:rsidR="005E22F6" w:rsidRPr="00AD6A86">
              <w:rPr>
                <w:bCs/>
                <w:sz w:val="20"/>
                <w:szCs w:val="20"/>
                <w:shd w:val="clear" w:color="auto" w:fill="FFFFFF"/>
              </w:rPr>
              <w:t xml:space="preserve">, </w:t>
            </w:r>
            <w:r w:rsidR="00771FA6" w:rsidRPr="00AD6A86">
              <w:rPr>
                <w:bCs/>
                <w:sz w:val="20"/>
                <w:szCs w:val="20"/>
                <w:shd w:val="clear" w:color="auto" w:fill="FFFFFF"/>
              </w:rPr>
              <w:t xml:space="preserve"> </w:t>
            </w:r>
            <w:r w:rsidR="00340FCF" w:rsidRPr="00AD6A86">
              <w:rPr>
                <w:bCs/>
                <w:iCs/>
                <w:sz w:val="20"/>
                <w:szCs w:val="20"/>
              </w:rPr>
              <w:t>Strategije na področju razvoja trga za vzpostavitev ustrezne infrastrukture v zvezi z alternativnimi gorivi v prometnem sektorju v Republiki Sloveniji, št. 35400-16/2017/9 z dne 12. 10. 2017</w:t>
            </w:r>
            <w:r w:rsidR="00771FA6" w:rsidRPr="00AD6A86">
              <w:rPr>
                <w:bCs/>
                <w:iCs/>
                <w:sz w:val="20"/>
                <w:szCs w:val="20"/>
              </w:rPr>
              <w:t xml:space="preserve"> ter </w:t>
            </w:r>
            <w:r w:rsidR="002C4BAC">
              <w:rPr>
                <w:bCs/>
                <w:iCs/>
                <w:sz w:val="20"/>
                <w:szCs w:val="20"/>
              </w:rPr>
              <w:t xml:space="preserve">v zvezi s </w:t>
            </w:r>
            <w:r w:rsidR="00771FA6" w:rsidRPr="00AD6A86">
              <w:rPr>
                <w:bCs/>
                <w:iCs/>
                <w:sz w:val="20"/>
                <w:szCs w:val="20"/>
              </w:rPr>
              <w:t>sklep</w:t>
            </w:r>
            <w:r w:rsidR="002C4BAC">
              <w:rPr>
                <w:bCs/>
                <w:iCs/>
                <w:sz w:val="20"/>
                <w:szCs w:val="20"/>
              </w:rPr>
              <w:t>om</w:t>
            </w:r>
            <w:r w:rsidR="00771FA6" w:rsidRPr="00AD6A86">
              <w:rPr>
                <w:bCs/>
                <w:iCs/>
                <w:sz w:val="20"/>
                <w:szCs w:val="20"/>
              </w:rPr>
              <w:t xml:space="preserve"> Vlade Republike Slovenije št. 37000-1/2018-10 z dne 6. 6. 2019, </w:t>
            </w:r>
            <w:r w:rsidR="00340FCF" w:rsidRPr="00AD6A86">
              <w:rPr>
                <w:bCs/>
                <w:iCs/>
                <w:sz w:val="20"/>
                <w:szCs w:val="20"/>
              </w:rPr>
              <w:t xml:space="preserve">je Vlada Republike Slovenije na …. seji dne………pod točko…..sprejela </w:t>
            </w:r>
            <w:r w:rsidR="00DC2160" w:rsidRPr="00AD6A86">
              <w:rPr>
                <w:bCs/>
                <w:iCs/>
                <w:sz w:val="20"/>
                <w:szCs w:val="20"/>
              </w:rPr>
              <w:t>naslednji</w:t>
            </w:r>
          </w:p>
          <w:p w:rsidR="00DC2160" w:rsidRPr="00AD6A86" w:rsidRDefault="00DC2160" w:rsidP="002C4BAC">
            <w:pPr>
              <w:pStyle w:val="Neotevilenodstavek"/>
              <w:spacing w:before="40" w:afterLines="40" w:after="96" w:line="260" w:lineRule="atLeast"/>
              <w:rPr>
                <w:bCs/>
                <w:iCs/>
                <w:sz w:val="20"/>
                <w:szCs w:val="20"/>
              </w:rPr>
            </w:pPr>
          </w:p>
          <w:p w:rsidR="0044566D" w:rsidRPr="00AD6A86" w:rsidRDefault="0044566D" w:rsidP="0044566D">
            <w:pPr>
              <w:pStyle w:val="Neotevilenodstavek"/>
              <w:spacing w:line="240" w:lineRule="atLeast"/>
              <w:jc w:val="center"/>
              <w:rPr>
                <w:bCs/>
                <w:iCs/>
                <w:sz w:val="20"/>
                <w:szCs w:val="20"/>
              </w:rPr>
            </w:pPr>
            <w:r w:rsidRPr="00AD6A86">
              <w:rPr>
                <w:bCs/>
                <w:iCs/>
                <w:sz w:val="20"/>
                <w:szCs w:val="20"/>
              </w:rPr>
              <w:t>SKLEP</w:t>
            </w:r>
            <w:r w:rsidR="002C4BAC">
              <w:rPr>
                <w:bCs/>
                <w:iCs/>
                <w:sz w:val="20"/>
                <w:szCs w:val="20"/>
              </w:rPr>
              <w:t>:</w:t>
            </w:r>
          </w:p>
          <w:p w:rsidR="0044566D" w:rsidRPr="00AD6A86" w:rsidRDefault="0044566D" w:rsidP="0044566D">
            <w:pPr>
              <w:pStyle w:val="Neotevilenodstavek"/>
              <w:spacing w:line="240" w:lineRule="atLeast"/>
              <w:rPr>
                <w:iCs/>
                <w:sz w:val="20"/>
                <w:szCs w:val="20"/>
              </w:rPr>
            </w:pPr>
          </w:p>
          <w:p w:rsidR="0044566D" w:rsidRPr="00AD6A86" w:rsidRDefault="0044566D" w:rsidP="009134DB">
            <w:pPr>
              <w:pStyle w:val="podpisi"/>
              <w:numPr>
                <w:ilvl w:val="0"/>
                <w:numId w:val="26"/>
              </w:numPr>
              <w:spacing w:line="240" w:lineRule="atLeast"/>
              <w:jc w:val="both"/>
              <w:rPr>
                <w:szCs w:val="20"/>
              </w:rPr>
            </w:pPr>
            <w:r w:rsidRPr="00AD6A86">
              <w:rPr>
                <w:iCs/>
                <w:szCs w:val="20"/>
              </w:rPr>
              <w:t xml:space="preserve">Vlada Republike Slovenije se je seznanila s </w:t>
            </w:r>
            <w:r w:rsidRPr="00AD6A86">
              <w:rPr>
                <w:rFonts w:cs="Arial"/>
                <w:color w:val="000000"/>
                <w:szCs w:val="20"/>
                <w:lang w:val="sl-SI"/>
              </w:rPr>
              <w:t>Poročilom o izvajanju Akcijskega programa za alternativna goriva v prometu v letu 2019</w:t>
            </w:r>
            <w:r w:rsidRPr="00AD6A86">
              <w:rPr>
                <w:szCs w:val="20"/>
              </w:rPr>
              <w:t>.</w:t>
            </w:r>
          </w:p>
          <w:p w:rsidR="0044566D" w:rsidRPr="00AD6A86" w:rsidRDefault="0044566D" w:rsidP="009134DB">
            <w:pPr>
              <w:pStyle w:val="podpisi"/>
              <w:numPr>
                <w:ilvl w:val="0"/>
                <w:numId w:val="26"/>
              </w:numPr>
              <w:spacing w:line="240" w:lineRule="atLeast"/>
              <w:jc w:val="both"/>
              <w:rPr>
                <w:rFonts w:cs="Arial"/>
                <w:color w:val="000000"/>
                <w:szCs w:val="20"/>
                <w:lang w:val="sl-SI"/>
              </w:rPr>
            </w:pPr>
            <w:r w:rsidRPr="00AD6A86">
              <w:rPr>
                <w:szCs w:val="20"/>
              </w:rPr>
              <w:t>Vlada Republike Slovenije je sprejela</w:t>
            </w:r>
            <w:r w:rsidR="00304D81" w:rsidRPr="00AD6A86">
              <w:rPr>
                <w:szCs w:val="20"/>
              </w:rPr>
              <w:t xml:space="preserve"> posodobljen </w:t>
            </w:r>
            <w:r w:rsidRPr="00AD6A86">
              <w:rPr>
                <w:rFonts w:cs="Arial"/>
                <w:color w:val="000000"/>
                <w:szCs w:val="20"/>
                <w:lang w:val="sl-SI"/>
              </w:rPr>
              <w:t>Akcijski program za alternativna goriva v prometu za leti 2020 in 2021.</w:t>
            </w:r>
          </w:p>
          <w:p w:rsidR="0044566D" w:rsidRPr="00AD6A86" w:rsidRDefault="0044566D" w:rsidP="0044566D">
            <w:pPr>
              <w:pStyle w:val="Neotevilenodstavek"/>
              <w:spacing w:line="240" w:lineRule="atLeast"/>
              <w:rPr>
                <w:bCs/>
                <w:iCs/>
                <w:sz w:val="20"/>
                <w:szCs w:val="20"/>
              </w:rPr>
            </w:pPr>
          </w:p>
          <w:p w:rsidR="0044566D" w:rsidRPr="00AD6A86" w:rsidRDefault="0044566D" w:rsidP="0044566D">
            <w:pPr>
              <w:pStyle w:val="Neotevilenodstavek"/>
              <w:spacing w:before="0" w:after="0" w:line="240" w:lineRule="atLeast"/>
              <w:rPr>
                <w:iCs/>
                <w:sz w:val="20"/>
                <w:szCs w:val="20"/>
              </w:rPr>
            </w:pPr>
          </w:p>
          <w:p w:rsidR="0044566D" w:rsidRPr="00AD6A86" w:rsidRDefault="0044566D" w:rsidP="0044566D">
            <w:pPr>
              <w:pStyle w:val="Neotevilenodstavek"/>
              <w:spacing w:before="0" w:after="0" w:line="240" w:lineRule="atLeast"/>
              <w:rPr>
                <w:iCs/>
                <w:sz w:val="20"/>
                <w:szCs w:val="20"/>
              </w:rPr>
            </w:pPr>
          </w:p>
          <w:p w:rsidR="0044566D" w:rsidRPr="00AD6A86" w:rsidRDefault="0044566D" w:rsidP="0044566D">
            <w:pPr>
              <w:pStyle w:val="Neotevilenodstavek"/>
              <w:spacing w:before="0" w:after="0" w:line="240" w:lineRule="atLeast"/>
              <w:ind w:left="3436"/>
              <w:jc w:val="center"/>
              <w:rPr>
                <w:iCs/>
                <w:sz w:val="20"/>
                <w:szCs w:val="20"/>
              </w:rPr>
            </w:pPr>
            <w:r w:rsidRPr="00AD6A86">
              <w:rPr>
                <w:iCs/>
                <w:sz w:val="20"/>
                <w:szCs w:val="20"/>
              </w:rPr>
              <w:t>dr. Božo PREDALIČ</w:t>
            </w:r>
          </w:p>
          <w:p w:rsidR="0044566D" w:rsidRPr="00AD6A86" w:rsidRDefault="0044566D" w:rsidP="0044566D">
            <w:pPr>
              <w:pStyle w:val="Neotevilenodstavek"/>
              <w:spacing w:before="0" w:after="0" w:line="240" w:lineRule="atLeast"/>
              <w:ind w:left="3436"/>
              <w:jc w:val="center"/>
              <w:rPr>
                <w:iCs/>
                <w:sz w:val="20"/>
                <w:szCs w:val="20"/>
              </w:rPr>
            </w:pPr>
            <w:r w:rsidRPr="00AD6A86">
              <w:rPr>
                <w:iCs/>
                <w:sz w:val="20"/>
                <w:szCs w:val="20"/>
              </w:rPr>
              <w:t>GENERALNI SEKRETAR</w:t>
            </w:r>
          </w:p>
          <w:p w:rsidR="0044566D" w:rsidRPr="00AD6A86" w:rsidRDefault="0044566D" w:rsidP="0044566D">
            <w:pPr>
              <w:pStyle w:val="Neotevilenodstavek"/>
              <w:spacing w:before="0" w:after="0" w:line="240" w:lineRule="atLeast"/>
              <w:rPr>
                <w:iCs/>
                <w:sz w:val="20"/>
                <w:szCs w:val="20"/>
              </w:rPr>
            </w:pPr>
          </w:p>
          <w:p w:rsidR="0044566D" w:rsidRPr="00AD6A86" w:rsidRDefault="0044566D" w:rsidP="0044566D">
            <w:pPr>
              <w:pStyle w:val="Neotevilenodstavek"/>
              <w:tabs>
                <w:tab w:val="left" w:pos="176"/>
              </w:tabs>
              <w:spacing w:before="0" w:after="120" w:line="240" w:lineRule="atLeast"/>
              <w:rPr>
                <w:iCs/>
                <w:sz w:val="20"/>
                <w:szCs w:val="20"/>
              </w:rPr>
            </w:pPr>
            <w:r w:rsidRPr="00AD6A86">
              <w:rPr>
                <w:iCs/>
                <w:sz w:val="20"/>
                <w:szCs w:val="20"/>
              </w:rPr>
              <w:t>Prejme: Ministrstvo za infrastrukturo</w:t>
            </w:r>
          </w:p>
          <w:p w:rsidR="00B609C0" w:rsidRPr="00AD6A86" w:rsidRDefault="00B609C0" w:rsidP="002C4BAC">
            <w:pPr>
              <w:pStyle w:val="Neotevilenodstavek"/>
              <w:spacing w:before="40" w:afterLines="40" w:after="96" w:line="260" w:lineRule="atLeast"/>
              <w:rPr>
                <w:bCs/>
                <w:iCs/>
                <w:sz w:val="20"/>
                <w:szCs w:val="20"/>
              </w:rPr>
            </w:pPr>
          </w:p>
          <w:p w:rsidR="003365D2" w:rsidRPr="00AD6A86" w:rsidRDefault="00574D15" w:rsidP="002C4BAC">
            <w:pPr>
              <w:pStyle w:val="Neotevilenodstavek"/>
              <w:spacing w:before="40" w:afterLines="40" w:after="96" w:line="260" w:lineRule="atLeast"/>
              <w:rPr>
                <w:bCs/>
                <w:iCs/>
                <w:sz w:val="20"/>
                <w:szCs w:val="20"/>
              </w:rPr>
            </w:pPr>
            <w:r w:rsidRPr="00AD6A86">
              <w:rPr>
                <w:bCs/>
                <w:iCs/>
                <w:sz w:val="20"/>
                <w:szCs w:val="20"/>
              </w:rPr>
              <w:t>Priloge:</w:t>
            </w:r>
          </w:p>
          <w:p w:rsidR="0044566D" w:rsidRPr="00AD6A86" w:rsidRDefault="0044566D" w:rsidP="009134DB">
            <w:pPr>
              <w:pStyle w:val="podpisi"/>
              <w:numPr>
                <w:ilvl w:val="0"/>
                <w:numId w:val="28"/>
              </w:numPr>
              <w:spacing w:line="240" w:lineRule="atLeast"/>
              <w:jc w:val="both"/>
              <w:rPr>
                <w:szCs w:val="20"/>
              </w:rPr>
            </w:pPr>
            <w:r w:rsidRPr="00AD6A86">
              <w:rPr>
                <w:szCs w:val="20"/>
              </w:rPr>
              <w:t>Poročilo o izvajanju Akcijskega programa za alternativna goriva v prometu v letu 2019</w:t>
            </w:r>
          </w:p>
          <w:p w:rsidR="00644D37" w:rsidRPr="00644D37" w:rsidRDefault="002E491E" w:rsidP="00E45832">
            <w:pPr>
              <w:pStyle w:val="podpisi"/>
              <w:numPr>
                <w:ilvl w:val="0"/>
                <w:numId w:val="28"/>
              </w:numPr>
              <w:spacing w:line="240" w:lineRule="atLeast"/>
              <w:jc w:val="both"/>
              <w:rPr>
                <w:szCs w:val="20"/>
              </w:rPr>
            </w:pPr>
            <w:r w:rsidRPr="00644D37">
              <w:rPr>
                <w:rFonts w:cs="Arial"/>
                <w:szCs w:val="20"/>
              </w:rPr>
              <w:t>Pregled realizacije ciljev po ukrepih v letu 2019</w:t>
            </w:r>
          </w:p>
          <w:p w:rsidR="00574D15" w:rsidRPr="00644D37" w:rsidRDefault="008E7019" w:rsidP="00E45832">
            <w:pPr>
              <w:pStyle w:val="podpisi"/>
              <w:numPr>
                <w:ilvl w:val="0"/>
                <w:numId w:val="28"/>
              </w:numPr>
              <w:spacing w:line="240" w:lineRule="atLeast"/>
              <w:jc w:val="both"/>
              <w:rPr>
                <w:szCs w:val="20"/>
              </w:rPr>
            </w:pPr>
            <w:r w:rsidRPr="00644D37">
              <w:rPr>
                <w:szCs w:val="20"/>
              </w:rPr>
              <w:t>Predlog</w:t>
            </w:r>
            <w:r w:rsidR="009C57E9" w:rsidRPr="00644D37">
              <w:rPr>
                <w:szCs w:val="20"/>
              </w:rPr>
              <w:t xml:space="preserve"> </w:t>
            </w:r>
            <w:r w:rsidR="000F7194" w:rsidRPr="00644D37">
              <w:rPr>
                <w:szCs w:val="20"/>
              </w:rPr>
              <w:t>A</w:t>
            </w:r>
            <w:r w:rsidR="009C57E9" w:rsidRPr="00644D37">
              <w:rPr>
                <w:szCs w:val="20"/>
              </w:rPr>
              <w:t>kcijskega</w:t>
            </w:r>
            <w:r w:rsidR="00574D15" w:rsidRPr="00644D37">
              <w:rPr>
                <w:szCs w:val="20"/>
              </w:rPr>
              <w:t xml:space="preserve"> program</w:t>
            </w:r>
            <w:r w:rsidR="009C57E9" w:rsidRPr="00644D37">
              <w:rPr>
                <w:szCs w:val="20"/>
              </w:rPr>
              <w:t>a</w:t>
            </w:r>
            <w:r w:rsidR="00574D15" w:rsidRPr="00644D37">
              <w:rPr>
                <w:szCs w:val="20"/>
              </w:rPr>
              <w:t xml:space="preserve"> za alternativna goriva v prometu za leti 2020 in 2021</w:t>
            </w:r>
          </w:p>
          <w:p w:rsidR="00574D15" w:rsidRDefault="00973916" w:rsidP="009134DB">
            <w:pPr>
              <w:pStyle w:val="podpisi"/>
              <w:numPr>
                <w:ilvl w:val="0"/>
                <w:numId w:val="28"/>
              </w:numPr>
              <w:spacing w:line="240" w:lineRule="atLeast"/>
              <w:jc w:val="both"/>
              <w:rPr>
                <w:szCs w:val="20"/>
              </w:rPr>
            </w:pPr>
            <w:r w:rsidRPr="00AD6A86">
              <w:rPr>
                <w:szCs w:val="20"/>
              </w:rPr>
              <w:t>Predlog preglednice</w:t>
            </w:r>
            <w:r w:rsidR="00574D15" w:rsidRPr="00AD6A86">
              <w:rPr>
                <w:szCs w:val="20"/>
              </w:rPr>
              <w:t xml:space="preserve"> ukrepov </w:t>
            </w:r>
            <w:r w:rsidR="00CB7C6E" w:rsidRPr="00AD6A86">
              <w:rPr>
                <w:szCs w:val="20"/>
              </w:rPr>
              <w:t>Akcijskega</w:t>
            </w:r>
            <w:r w:rsidR="00574D15" w:rsidRPr="00AD6A86">
              <w:rPr>
                <w:szCs w:val="20"/>
              </w:rPr>
              <w:t xml:space="preserve"> program</w:t>
            </w:r>
            <w:r w:rsidR="00CB7C6E" w:rsidRPr="00AD6A86">
              <w:rPr>
                <w:szCs w:val="20"/>
              </w:rPr>
              <w:t>a</w:t>
            </w:r>
            <w:r w:rsidR="00574D15" w:rsidRPr="00AD6A86">
              <w:rPr>
                <w:szCs w:val="20"/>
              </w:rPr>
              <w:t xml:space="preserve"> za alternativna goriva v prometu za leti 2020 in 2021</w:t>
            </w:r>
          </w:p>
          <w:p w:rsidR="009134DB" w:rsidRPr="00AD6A86" w:rsidRDefault="009134DB" w:rsidP="009134DB">
            <w:pPr>
              <w:pStyle w:val="podpisi"/>
              <w:spacing w:line="240" w:lineRule="atLeast"/>
              <w:ind w:left="357"/>
              <w:jc w:val="both"/>
              <w:rPr>
                <w:szCs w:val="20"/>
              </w:rPr>
            </w:pPr>
          </w:p>
          <w:p w:rsidR="00B609C0" w:rsidRPr="00AD6A86" w:rsidRDefault="00B609C0" w:rsidP="0044566D">
            <w:pPr>
              <w:widowControl w:val="0"/>
              <w:spacing w:line="240" w:lineRule="atLeast"/>
              <w:jc w:val="both"/>
              <w:rPr>
                <w:rFonts w:ascii="Arial" w:hAnsi="Arial" w:cs="Arial"/>
                <w:bCs/>
                <w:sz w:val="20"/>
                <w:szCs w:val="20"/>
              </w:rPr>
            </w:pPr>
          </w:p>
        </w:tc>
      </w:tr>
      <w:tr w:rsidR="00F02B4B" w:rsidRPr="00D462AF" w:rsidTr="00772C4A">
        <w:tc>
          <w:tcPr>
            <w:tcW w:w="9745" w:type="dxa"/>
            <w:gridSpan w:val="4"/>
          </w:tcPr>
          <w:p w:rsidR="00570758" w:rsidRPr="00AD6A86" w:rsidRDefault="00F02B4B" w:rsidP="002C4BAC">
            <w:pPr>
              <w:pStyle w:val="Neotevilenodstavek"/>
              <w:spacing w:before="40" w:afterLines="40" w:after="96" w:line="260" w:lineRule="atLeast"/>
              <w:rPr>
                <w:b/>
                <w:iCs/>
                <w:sz w:val="20"/>
                <w:szCs w:val="20"/>
              </w:rPr>
            </w:pPr>
            <w:r w:rsidRPr="00AD6A86">
              <w:rPr>
                <w:b/>
                <w:sz w:val="20"/>
                <w:szCs w:val="20"/>
              </w:rPr>
              <w:t>2. Predlog za obravnavo predloga zakona po nujnem ali skrajšanem postopku v državnem zboru z obrazložitvijo razlogov:</w:t>
            </w:r>
          </w:p>
        </w:tc>
      </w:tr>
      <w:tr w:rsidR="00F02B4B" w:rsidRPr="00D462AF" w:rsidTr="00772C4A">
        <w:tc>
          <w:tcPr>
            <w:tcW w:w="9745" w:type="dxa"/>
            <w:gridSpan w:val="4"/>
          </w:tcPr>
          <w:p w:rsidR="00F02B4B" w:rsidRPr="00AD6A86" w:rsidRDefault="00F02B4B" w:rsidP="002C4BAC">
            <w:pPr>
              <w:pStyle w:val="Neotevilenodstavek"/>
              <w:spacing w:before="40" w:afterLines="40" w:after="96" w:line="260" w:lineRule="atLeast"/>
              <w:rPr>
                <w:b/>
                <w:iCs/>
                <w:sz w:val="20"/>
                <w:szCs w:val="20"/>
              </w:rPr>
            </w:pPr>
            <w:r w:rsidRPr="00AD6A86">
              <w:rPr>
                <w:b/>
                <w:sz w:val="20"/>
                <w:szCs w:val="20"/>
              </w:rPr>
              <w:lastRenderedPageBreak/>
              <w:t>3.a Osebe, odgovorne za strokovno pripravo in usklajenost gradiva:</w:t>
            </w:r>
          </w:p>
        </w:tc>
      </w:tr>
      <w:tr w:rsidR="00F02B4B" w:rsidRPr="00D462AF" w:rsidTr="00772C4A">
        <w:trPr>
          <w:trHeight w:val="699"/>
        </w:trPr>
        <w:tc>
          <w:tcPr>
            <w:tcW w:w="9745" w:type="dxa"/>
            <w:gridSpan w:val="4"/>
          </w:tcPr>
          <w:p w:rsidR="00F02B4B" w:rsidRPr="00511049" w:rsidRDefault="00DC0F02" w:rsidP="00754A5D">
            <w:pPr>
              <w:pStyle w:val="Neotevilenodstavek"/>
              <w:numPr>
                <w:ilvl w:val="0"/>
                <w:numId w:val="7"/>
              </w:numPr>
              <w:tabs>
                <w:tab w:val="left" w:pos="176"/>
              </w:tabs>
              <w:spacing w:before="0" w:after="0" w:line="240" w:lineRule="auto"/>
              <w:rPr>
                <w:iCs/>
                <w:sz w:val="20"/>
                <w:szCs w:val="20"/>
              </w:rPr>
            </w:pPr>
            <w:r w:rsidRPr="00511049">
              <w:rPr>
                <w:iCs/>
                <w:sz w:val="20"/>
                <w:szCs w:val="20"/>
              </w:rPr>
              <w:t>Jernej Vrtovec</w:t>
            </w:r>
            <w:r w:rsidR="001A69C3" w:rsidRPr="00511049">
              <w:rPr>
                <w:iCs/>
                <w:sz w:val="20"/>
                <w:szCs w:val="20"/>
              </w:rPr>
              <w:t xml:space="preserve">, </w:t>
            </w:r>
            <w:r w:rsidR="00FE1641" w:rsidRPr="00511049">
              <w:rPr>
                <w:iCs/>
                <w:sz w:val="20"/>
                <w:szCs w:val="20"/>
              </w:rPr>
              <w:t>minist</w:t>
            </w:r>
            <w:r w:rsidRPr="00511049">
              <w:rPr>
                <w:iCs/>
                <w:sz w:val="20"/>
                <w:szCs w:val="20"/>
              </w:rPr>
              <w:t>er</w:t>
            </w:r>
            <w:r w:rsidR="00A17C5A" w:rsidRPr="00511049">
              <w:rPr>
                <w:iCs/>
                <w:sz w:val="20"/>
                <w:szCs w:val="20"/>
              </w:rPr>
              <w:t>,</w:t>
            </w:r>
          </w:p>
          <w:p w:rsidR="001A69C3" w:rsidRPr="00511049" w:rsidRDefault="00DC0F02" w:rsidP="00754A5D">
            <w:pPr>
              <w:pStyle w:val="Neotevilenodstavek"/>
              <w:numPr>
                <w:ilvl w:val="0"/>
                <w:numId w:val="7"/>
              </w:numPr>
              <w:tabs>
                <w:tab w:val="left" w:pos="176"/>
              </w:tabs>
              <w:spacing w:before="0" w:after="0" w:line="240" w:lineRule="auto"/>
              <w:rPr>
                <w:iCs/>
                <w:sz w:val="20"/>
                <w:szCs w:val="20"/>
              </w:rPr>
            </w:pPr>
            <w:r w:rsidRPr="00511049">
              <w:rPr>
                <w:iCs/>
                <w:sz w:val="20"/>
                <w:szCs w:val="20"/>
              </w:rPr>
              <w:t>Blaž Košorok</w:t>
            </w:r>
            <w:r w:rsidR="001A69C3" w:rsidRPr="00511049">
              <w:rPr>
                <w:iCs/>
                <w:sz w:val="20"/>
                <w:szCs w:val="20"/>
              </w:rPr>
              <w:t xml:space="preserve">, </w:t>
            </w:r>
            <w:r w:rsidR="00FE1641" w:rsidRPr="00511049">
              <w:rPr>
                <w:iCs/>
                <w:sz w:val="20"/>
                <w:szCs w:val="20"/>
              </w:rPr>
              <w:t>državn</w:t>
            </w:r>
            <w:r w:rsidRPr="00511049">
              <w:rPr>
                <w:iCs/>
                <w:sz w:val="20"/>
                <w:szCs w:val="20"/>
              </w:rPr>
              <w:t>i</w:t>
            </w:r>
            <w:r w:rsidR="00FE1641" w:rsidRPr="00511049">
              <w:rPr>
                <w:iCs/>
                <w:sz w:val="20"/>
                <w:szCs w:val="20"/>
              </w:rPr>
              <w:t xml:space="preserve"> </w:t>
            </w:r>
            <w:r w:rsidR="001A69C3" w:rsidRPr="00511049">
              <w:rPr>
                <w:iCs/>
                <w:sz w:val="20"/>
                <w:szCs w:val="20"/>
              </w:rPr>
              <w:t>sekretar</w:t>
            </w:r>
            <w:r w:rsidR="00A17C5A" w:rsidRPr="00511049">
              <w:rPr>
                <w:iCs/>
                <w:sz w:val="20"/>
                <w:szCs w:val="20"/>
              </w:rPr>
              <w:t>,</w:t>
            </w:r>
          </w:p>
          <w:p w:rsidR="00F56103" w:rsidRPr="00511049" w:rsidRDefault="00DC0F02" w:rsidP="00754A5D">
            <w:pPr>
              <w:pStyle w:val="Neotevilenodstavek"/>
              <w:numPr>
                <w:ilvl w:val="0"/>
                <w:numId w:val="7"/>
              </w:numPr>
              <w:tabs>
                <w:tab w:val="left" w:pos="176"/>
              </w:tabs>
              <w:spacing w:before="0" w:after="0" w:line="240" w:lineRule="auto"/>
              <w:rPr>
                <w:iCs/>
                <w:sz w:val="20"/>
                <w:szCs w:val="20"/>
              </w:rPr>
            </w:pPr>
            <w:r w:rsidRPr="00511049">
              <w:rPr>
                <w:iCs/>
                <w:sz w:val="20"/>
                <w:szCs w:val="20"/>
              </w:rPr>
              <w:t>Aleš Mihelič</w:t>
            </w:r>
            <w:r w:rsidR="00F56103" w:rsidRPr="00511049">
              <w:rPr>
                <w:iCs/>
                <w:sz w:val="20"/>
                <w:szCs w:val="20"/>
              </w:rPr>
              <w:t>, državni sekretar,</w:t>
            </w:r>
          </w:p>
          <w:p w:rsidR="00FE1641" w:rsidRPr="00511049" w:rsidRDefault="003365D2" w:rsidP="00DC0F02">
            <w:pPr>
              <w:pStyle w:val="Neotevilenodstavek"/>
              <w:numPr>
                <w:ilvl w:val="0"/>
                <w:numId w:val="7"/>
              </w:numPr>
              <w:tabs>
                <w:tab w:val="left" w:pos="176"/>
              </w:tabs>
              <w:spacing w:before="0" w:after="0" w:line="240" w:lineRule="auto"/>
              <w:rPr>
                <w:iCs/>
                <w:sz w:val="20"/>
                <w:szCs w:val="20"/>
              </w:rPr>
            </w:pPr>
            <w:r w:rsidRPr="00511049">
              <w:rPr>
                <w:iCs/>
                <w:sz w:val="20"/>
                <w:szCs w:val="20"/>
              </w:rPr>
              <w:t>Darko Trajanov, v.d. generalnega direktorja Direktorata za trajnostno mobilnost in prometno politiko.</w:t>
            </w:r>
            <w:r w:rsidR="000C2A6E" w:rsidRPr="00511049">
              <w:rPr>
                <w:iCs/>
                <w:sz w:val="20"/>
                <w:szCs w:val="20"/>
              </w:rPr>
              <w:t xml:space="preserve">, </w:t>
            </w:r>
          </w:p>
          <w:p w:rsidR="00F261B4" w:rsidRPr="00511049" w:rsidRDefault="0004467F" w:rsidP="0004467F">
            <w:pPr>
              <w:pStyle w:val="Neotevilenodstavek"/>
              <w:numPr>
                <w:ilvl w:val="0"/>
                <w:numId w:val="7"/>
              </w:numPr>
              <w:tabs>
                <w:tab w:val="left" w:pos="176"/>
              </w:tabs>
              <w:spacing w:before="0" w:after="0" w:line="240" w:lineRule="auto"/>
              <w:rPr>
                <w:iCs/>
                <w:sz w:val="20"/>
                <w:szCs w:val="20"/>
              </w:rPr>
            </w:pPr>
            <w:r w:rsidRPr="00511049">
              <w:rPr>
                <w:iCs/>
                <w:sz w:val="20"/>
                <w:szCs w:val="20"/>
              </w:rPr>
              <w:t>mag. Milena Černilogar Radež, sekretarka, vodja sektorja</w:t>
            </w:r>
          </w:p>
          <w:p w:rsidR="00DC0F02" w:rsidRPr="00511049" w:rsidRDefault="00DC0F02" w:rsidP="0004467F">
            <w:pPr>
              <w:pStyle w:val="Neotevilenodstavek"/>
              <w:numPr>
                <w:ilvl w:val="0"/>
                <w:numId w:val="7"/>
              </w:numPr>
              <w:tabs>
                <w:tab w:val="left" w:pos="176"/>
              </w:tabs>
              <w:spacing w:before="0" w:after="0" w:line="240" w:lineRule="auto"/>
              <w:rPr>
                <w:iCs/>
                <w:sz w:val="20"/>
                <w:szCs w:val="20"/>
              </w:rPr>
            </w:pPr>
            <w:r w:rsidRPr="00511049">
              <w:rPr>
                <w:iCs/>
                <w:sz w:val="20"/>
                <w:szCs w:val="20"/>
              </w:rPr>
              <w:t>Marija Lesjak, podsekretarka v Sektorju za trajnostno mobilnost in prometno politiko</w:t>
            </w:r>
          </w:p>
        </w:tc>
      </w:tr>
      <w:tr w:rsidR="00F02B4B" w:rsidRPr="00D462AF" w:rsidTr="00772C4A">
        <w:tc>
          <w:tcPr>
            <w:tcW w:w="9745" w:type="dxa"/>
            <w:gridSpan w:val="4"/>
          </w:tcPr>
          <w:p w:rsidR="00F02B4B" w:rsidRPr="00D462AF" w:rsidRDefault="00F02B4B" w:rsidP="002C4BAC">
            <w:pPr>
              <w:pStyle w:val="Neotevilenodstavek"/>
              <w:spacing w:before="40" w:afterLines="40" w:after="96" w:line="26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p>
        </w:tc>
      </w:tr>
      <w:tr w:rsidR="00F02B4B" w:rsidRPr="00D462AF" w:rsidTr="00772C4A">
        <w:tc>
          <w:tcPr>
            <w:tcW w:w="9745" w:type="dxa"/>
            <w:gridSpan w:val="4"/>
          </w:tcPr>
          <w:p w:rsidR="00F261B4" w:rsidRPr="000C2A6E" w:rsidRDefault="00F261B4" w:rsidP="009E0601">
            <w:pPr>
              <w:pStyle w:val="Neotevilenodstavek"/>
              <w:numPr>
                <w:ilvl w:val="0"/>
                <w:numId w:val="7"/>
              </w:numPr>
              <w:tabs>
                <w:tab w:val="left" w:pos="176"/>
              </w:tabs>
              <w:spacing w:before="0" w:after="0" w:line="240" w:lineRule="auto"/>
              <w:rPr>
                <w:iCs/>
                <w:sz w:val="20"/>
                <w:szCs w:val="20"/>
              </w:rPr>
            </w:pPr>
          </w:p>
        </w:tc>
      </w:tr>
      <w:tr w:rsidR="00F02B4B" w:rsidRPr="00D462AF" w:rsidTr="00772C4A">
        <w:tc>
          <w:tcPr>
            <w:tcW w:w="9745" w:type="dxa"/>
            <w:gridSpan w:val="4"/>
          </w:tcPr>
          <w:p w:rsidR="00F02B4B" w:rsidRPr="00D462AF" w:rsidRDefault="00F02B4B" w:rsidP="002C4BAC">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rsidTr="00772C4A">
        <w:tc>
          <w:tcPr>
            <w:tcW w:w="9745" w:type="dxa"/>
            <w:gridSpan w:val="4"/>
          </w:tcPr>
          <w:p w:rsidR="001A69C3" w:rsidRPr="008C2643" w:rsidRDefault="00F261B4" w:rsidP="00F261B4">
            <w:pPr>
              <w:pStyle w:val="Neotevilenodstavek"/>
              <w:tabs>
                <w:tab w:val="left" w:pos="176"/>
              </w:tabs>
              <w:spacing w:before="0" w:after="0" w:line="240" w:lineRule="auto"/>
              <w:ind w:left="720"/>
              <w:rPr>
                <w:iCs/>
                <w:sz w:val="20"/>
                <w:szCs w:val="20"/>
              </w:rPr>
            </w:pPr>
            <w:r>
              <w:rPr>
                <w:iCs/>
                <w:sz w:val="20"/>
                <w:szCs w:val="20"/>
              </w:rPr>
              <w:t>/</w:t>
            </w:r>
          </w:p>
        </w:tc>
      </w:tr>
      <w:tr w:rsidR="00F02B4B" w:rsidRPr="00D462AF" w:rsidTr="00772C4A">
        <w:tc>
          <w:tcPr>
            <w:tcW w:w="9745" w:type="dxa"/>
            <w:gridSpan w:val="4"/>
          </w:tcPr>
          <w:p w:rsidR="00F02B4B" w:rsidRPr="00D462AF" w:rsidRDefault="00F02B4B" w:rsidP="002C4BAC">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rsidTr="00772C4A">
        <w:tc>
          <w:tcPr>
            <w:tcW w:w="9745" w:type="dxa"/>
            <w:gridSpan w:val="4"/>
          </w:tcPr>
          <w:p w:rsidR="00574D15" w:rsidRPr="003A69EF" w:rsidRDefault="00574D15" w:rsidP="0044566D">
            <w:pPr>
              <w:spacing w:before="120" w:after="120" w:line="240" w:lineRule="atLeast"/>
              <w:jc w:val="both"/>
              <w:rPr>
                <w:rFonts w:ascii="Arial" w:hAnsi="Arial" w:cs="Arial"/>
                <w:sz w:val="20"/>
                <w:szCs w:val="20"/>
              </w:rPr>
            </w:pPr>
            <w:r w:rsidRPr="003A69EF">
              <w:rPr>
                <w:rFonts w:ascii="Arial" w:hAnsi="Arial" w:cs="Arial"/>
                <w:sz w:val="20"/>
                <w:szCs w:val="20"/>
              </w:rPr>
              <w:t>V Uradnem listu EU je bila 22. oktobra 2014 objavljena Direktiva 2014/94/EU Evropskega parlamenta in Sveta o vzpostavitvi infrastrukture za alternativna goriva. Za alternativna goriva se po tej direktivi štejejo električna energija, zemeljski plin (utekočinjen naftni plin – UNP, stisnjen zemeljski plin – SZP in utekočinjen zemeljski plin – UZP), biometan, biogoriva, sintetična in parafinska goriva ter vodik (H2).</w:t>
            </w:r>
          </w:p>
          <w:p w:rsidR="00574D15" w:rsidRPr="003A69EF" w:rsidRDefault="00574D15" w:rsidP="0044566D">
            <w:pPr>
              <w:spacing w:after="120" w:line="240" w:lineRule="atLeast"/>
              <w:jc w:val="both"/>
              <w:rPr>
                <w:rFonts w:ascii="Arial" w:hAnsi="Arial" w:cs="Arial"/>
                <w:sz w:val="20"/>
                <w:szCs w:val="20"/>
              </w:rPr>
            </w:pPr>
            <w:r w:rsidRPr="003A69EF">
              <w:rPr>
                <w:rFonts w:ascii="Arial" w:hAnsi="Arial" w:cs="Arial"/>
                <w:sz w:val="20"/>
                <w:szCs w:val="20"/>
              </w:rPr>
              <w:t xml:space="preserve">Direktiva v členu 3 državam članicam EU nalaga, da morajo do 18. novembra 2016 sprejeti »nacionalni okvir politike za razvoj trga v zvezi z alternativnimi gorivi v prometnem sektorju ter za vzpostavitev ustrezne infrastrukture«. Ta del direktive se je prenesel v slovenski pravni red s </w:t>
            </w:r>
            <w:r w:rsidRPr="004922C7">
              <w:rPr>
                <w:rFonts w:ascii="Arial" w:hAnsi="Arial" w:cs="Arial"/>
                <w:b/>
                <w:sz w:val="20"/>
                <w:szCs w:val="20"/>
              </w:rPr>
              <w:t>Strategijo na področju razvoja trga za vzpostavitev ustrezne infrastrukture v zvezi z alternativnimi gorivi v prometnem sektorju v Republiki Sloveniji (v nadaljevanju Strategija)</w:t>
            </w:r>
            <w:r w:rsidRPr="003A69EF">
              <w:rPr>
                <w:rFonts w:ascii="Arial" w:hAnsi="Arial" w:cs="Arial"/>
                <w:sz w:val="20"/>
                <w:szCs w:val="20"/>
              </w:rPr>
              <w:t xml:space="preserve">. Strategijo je Vlada Republike Slovenije sprejela 12. oktobra 2017 in hkrati sprejela sklep, da na njeni podlagi Ministrstvo za infrastrukturo (v nadaljevanju MzI) pripravi Akcijski program za alternativna goriva v prometu (v nadaljevanju Akcijski program). </w:t>
            </w:r>
          </w:p>
          <w:p w:rsidR="00574D15" w:rsidRDefault="00574D15" w:rsidP="0044566D">
            <w:pPr>
              <w:spacing w:after="120" w:line="240" w:lineRule="atLeast"/>
              <w:jc w:val="both"/>
              <w:rPr>
                <w:rFonts w:ascii="Arial" w:hAnsi="Arial" w:cs="Arial"/>
                <w:sz w:val="20"/>
                <w:szCs w:val="20"/>
              </w:rPr>
            </w:pPr>
            <w:r w:rsidRPr="003A69EF">
              <w:rPr>
                <w:rFonts w:ascii="Arial" w:hAnsi="Arial" w:cs="Arial"/>
                <w:sz w:val="20"/>
                <w:szCs w:val="20"/>
              </w:rPr>
              <w:t xml:space="preserve">Dne 6. 6. 2019, je Vlada Republike Slovenije s sklepom št. 37000-1/2018/10, potrdila Akcijski program za alternativna goriva v prometu in hkrati sprejela sklep, da Ministrstvo za infrastrukturo o vsakoletnem spremljanju izvajanja Akcijskega programa v prometu do 30. 4. poroča Vladi Republike Slovenije. Za izvajanje ukrepov akcijskega programa pa je predvideno, da se za vsako leto pripravita pregled izvedenih ukrepov in njihova posodobitev za naslednje dveletno obdobje, ki bo upoštevala spremembe na trgu in spremenjene pogoje. </w:t>
            </w:r>
          </w:p>
          <w:p w:rsidR="008D5208" w:rsidRPr="003A69EF" w:rsidRDefault="008D5208" w:rsidP="0044566D">
            <w:pPr>
              <w:spacing w:after="120" w:line="240" w:lineRule="atLeast"/>
              <w:jc w:val="both"/>
              <w:rPr>
                <w:rFonts w:ascii="Arial" w:hAnsi="Arial" w:cs="Arial"/>
                <w:sz w:val="20"/>
                <w:szCs w:val="20"/>
              </w:rPr>
            </w:pPr>
            <w:r w:rsidRPr="008D5208">
              <w:rPr>
                <w:rFonts w:ascii="Arial" w:hAnsi="Arial" w:cs="Arial"/>
                <w:sz w:val="20"/>
                <w:szCs w:val="20"/>
              </w:rPr>
              <w:t>Vlada Republike Slovenije je 27. februarja 2020 sprejela celoviti nacionalni energetski in podnebni načrt Republike Slovenije (NEPN), ki je bil tudi predložen Evropski komisiji, skladno z Uredbo EU 2018/1999 o upravljanju energetske unije in podnebnih ukrepov. Akcijski program vključuje tudi ukrepe in cilje iz NEPN, vendar bo v letu 2021 potrebna podrobna revizija programa in uskladitev ciljev Strategije z NEPN.</w:t>
            </w:r>
          </w:p>
          <w:p w:rsidR="003A69EF" w:rsidRPr="003A5A70" w:rsidRDefault="00574D15" w:rsidP="0044566D">
            <w:pPr>
              <w:spacing w:after="120" w:line="240" w:lineRule="atLeast"/>
              <w:jc w:val="both"/>
              <w:rPr>
                <w:rFonts w:ascii="Arial" w:hAnsi="Arial" w:cs="Arial"/>
                <w:sz w:val="20"/>
                <w:szCs w:val="20"/>
              </w:rPr>
            </w:pPr>
            <w:r w:rsidRPr="00511049">
              <w:rPr>
                <w:rFonts w:ascii="Arial" w:hAnsi="Arial" w:cs="Arial"/>
                <w:sz w:val="20"/>
                <w:szCs w:val="20"/>
              </w:rPr>
              <w:t>MzI je pripravilo poročilo o izvajanju  Akcijskega programa v letu 2019 ter noveliran Akcijski program za leti 2020 in 2021 s pripadajočo preglednico ukrepov (Excel datoteka).</w:t>
            </w:r>
            <w:r w:rsidRPr="003A69EF">
              <w:rPr>
                <w:rFonts w:ascii="Arial" w:hAnsi="Arial" w:cs="Arial"/>
                <w:sz w:val="20"/>
                <w:szCs w:val="20"/>
              </w:rPr>
              <w:t xml:space="preserve"> </w:t>
            </w:r>
          </w:p>
          <w:p w:rsidR="00574D15" w:rsidRPr="003A69EF" w:rsidRDefault="00574D15" w:rsidP="0044566D">
            <w:pPr>
              <w:spacing w:after="120" w:line="240" w:lineRule="atLeast"/>
              <w:jc w:val="both"/>
              <w:rPr>
                <w:rFonts w:ascii="Arial" w:hAnsi="Arial" w:cs="Arial"/>
                <w:b/>
                <w:sz w:val="20"/>
                <w:szCs w:val="20"/>
              </w:rPr>
            </w:pPr>
            <w:r w:rsidRPr="003A69EF">
              <w:rPr>
                <w:rFonts w:ascii="Arial" w:hAnsi="Arial" w:cs="Arial"/>
                <w:b/>
                <w:sz w:val="20"/>
                <w:szCs w:val="20"/>
              </w:rPr>
              <w:t>POUDARKI GRADIVA</w:t>
            </w:r>
          </w:p>
          <w:p w:rsidR="003A69EF" w:rsidRPr="003A5A70" w:rsidRDefault="00574D15" w:rsidP="003A5A70">
            <w:pPr>
              <w:spacing w:after="120" w:line="240" w:lineRule="atLeast"/>
              <w:jc w:val="both"/>
              <w:rPr>
                <w:rFonts w:ascii="Arial" w:hAnsi="Arial" w:cs="Arial"/>
                <w:sz w:val="20"/>
                <w:szCs w:val="20"/>
              </w:rPr>
            </w:pPr>
            <w:r w:rsidRPr="003A69EF">
              <w:rPr>
                <w:rFonts w:ascii="Arial" w:hAnsi="Arial" w:cs="Arial"/>
                <w:sz w:val="20"/>
                <w:szCs w:val="20"/>
              </w:rPr>
              <w:t xml:space="preserve">Promet prispeva skoraj tretjino emisij toplogrednih plinov v Sloveniji </w:t>
            </w:r>
            <w:r w:rsidR="003A5A70">
              <w:rPr>
                <w:rFonts w:ascii="Arial" w:hAnsi="Arial" w:cs="Arial"/>
                <w:sz w:val="20"/>
                <w:szCs w:val="20"/>
              </w:rPr>
              <w:t xml:space="preserve">oziroma več kot polovico v netrgovalnem sektorju </w:t>
            </w:r>
            <w:r w:rsidRPr="003A69EF">
              <w:rPr>
                <w:rFonts w:ascii="Arial" w:hAnsi="Arial" w:cs="Arial"/>
                <w:sz w:val="20"/>
                <w:szCs w:val="20"/>
              </w:rPr>
              <w:t>in je pomemben vzrok za onesnaženost zraka v mestih. Trajna rešitev za ta izziv je prehod na trajnostno mobilnost z nizkimi emisijami ogljika in onesnaževal zraka s poudarkom na aktivni mobilnosti in javnem potniškem prometu. Slovenija bo po letu 2025 omejila prvo registracijo osebnih vozil in lahkih tovornih vozil kategorij M1 (osebna vozila do 8 potnikov poleg voznika) in MG1 (terenska vozila kategorije M1) ter N1 (lahka tovorna vozila do 3,5 t skupne mase), ki imajo po deklaraciji proizvajalca izpust ekvivalenta CO2 višji od 100 g/km. Po letu 2030 bo to mejo znižala na 50 g/km.</w:t>
            </w:r>
          </w:p>
          <w:p w:rsidR="00574D15" w:rsidRPr="003A69EF" w:rsidRDefault="00574D15" w:rsidP="0044566D">
            <w:pPr>
              <w:spacing w:after="120" w:line="240" w:lineRule="atLeast"/>
              <w:rPr>
                <w:rFonts w:ascii="Arial" w:hAnsi="Arial" w:cs="Arial"/>
                <w:b/>
                <w:sz w:val="20"/>
                <w:szCs w:val="20"/>
              </w:rPr>
            </w:pPr>
            <w:r w:rsidRPr="003A69EF">
              <w:rPr>
                <w:rFonts w:ascii="Arial" w:hAnsi="Arial" w:cs="Arial"/>
                <w:b/>
                <w:sz w:val="20"/>
                <w:szCs w:val="20"/>
              </w:rPr>
              <w:t>Potrebna struktura vozil za doseganje ciljev</w:t>
            </w:r>
          </w:p>
          <w:p w:rsidR="00574D15" w:rsidRPr="003A69EF" w:rsidRDefault="00574D15" w:rsidP="0044566D">
            <w:pPr>
              <w:spacing w:after="120" w:line="240" w:lineRule="atLeast"/>
              <w:jc w:val="both"/>
              <w:rPr>
                <w:rFonts w:ascii="Arial" w:hAnsi="Arial" w:cs="Arial"/>
                <w:sz w:val="20"/>
                <w:szCs w:val="20"/>
              </w:rPr>
            </w:pPr>
            <w:r w:rsidRPr="003A69EF">
              <w:rPr>
                <w:rFonts w:ascii="Arial" w:hAnsi="Arial" w:cs="Arial"/>
                <w:sz w:val="20"/>
                <w:szCs w:val="20"/>
              </w:rPr>
              <w:t>Za doseganje ciljev, povezanih s postopkom razogljičenja prometa v Sloveniji in z doseganjem indikativnih ciljev OPTGP ter udejanjanje zavez, sprejetih v Republiki Sloveniji in obvez Republike Slovenije na osnovi mednarodnih sporazumov in zakonodaje EU, bo treba v prihodnjih letih spremeniti strukturo vozil v Sloveniji.</w:t>
            </w:r>
            <w:r w:rsidR="004922C7">
              <w:rPr>
                <w:rFonts w:ascii="Arial" w:hAnsi="Arial" w:cs="Arial"/>
                <w:sz w:val="20"/>
                <w:szCs w:val="20"/>
              </w:rPr>
              <w:t xml:space="preserve"> </w:t>
            </w:r>
            <w:r w:rsidRPr="003A69EF">
              <w:rPr>
                <w:rFonts w:ascii="Arial" w:hAnsi="Arial" w:cs="Arial"/>
                <w:sz w:val="20"/>
                <w:szCs w:val="20"/>
              </w:rPr>
              <w:t xml:space="preserve">Strategija opredeljuje optimalni scenarij strukture voznega parka v cestnem prometu za štiri kategorije vozil: </w:t>
            </w:r>
          </w:p>
          <w:p w:rsidR="00574D15" w:rsidRPr="003A69EF" w:rsidRDefault="00574D15" w:rsidP="0044566D">
            <w:pPr>
              <w:spacing w:line="240" w:lineRule="atLeast"/>
              <w:jc w:val="both"/>
              <w:rPr>
                <w:rFonts w:ascii="Arial" w:hAnsi="Arial" w:cs="Arial"/>
                <w:sz w:val="20"/>
                <w:szCs w:val="20"/>
              </w:rPr>
            </w:pPr>
            <w:r w:rsidRPr="003A69EF">
              <w:rPr>
                <w:rFonts w:ascii="Arial" w:hAnsi="Arial" w:cs="Arial"/>
                <w:sz w:val="20"/>
                <w:szCs w:val="20"/>
              </w:rPr>
              <w:t xml:space="preserve">• osebni avtomobili (predvideva povečanje deleža osebnih avtomobilov na alternativna goriva oziroma na alternativni pogon v celotnem slovenskem voznem parku avtomobilov do leta 2030 na 20 %). </w:t>
            </w:r>
          </w:p>
          <w:p w:rsidR="00574D15" w:rsidRPr="003A69EF" w:rsidRDefault="00574D15" w:rsidP="0044566D">
            <w:pPr>
              <w:spacing w:line="240" w:lineRule="atLeast"/>
              <w:jc w:val="both"/>
              <w:rPr>
                <w:rFonts w:ascii="Arial" w:hAnsi="Arial" w:cs="Arial"/>
                <w:sz w:val="20"/>
                <w:szCs w:val="20"/>
              </w:rPr>
            </w:pPr>
            <w:r w:rsidRPr="003A69EF">
              <w:rPr>
                <w:rFonts w:ascii="Arial" w:hAnsi="Arial" w:cs="Arial"/>
                <w:sz w:val="20"/>
                <w:szCs w:val="20"/>
              </w:rPr>
              <w:t>• lahka tovorna vozila (predvideva povečanje deleža lahkih tovornih vozil na alternativna goriva v celotnem slovenskem voznem parku lahkih tovornih vozil do leta 2030 na 13,5 %).</w:t>
            </w:r>
          </w:p>
          <w:p w:rsidR="00574D15" w:rsidRPr="003A69EF" w:rsidRDefault="00574D15" w:rsidP="0044566D">
            <w:pPr>
              <w:spacing w:line="240" w:lineRule="atLeast"/>
              <w:jc w:val="both"/>
              <w:rPr>
                <w:rFonts w:ascii="Arial" w:hAnsi="Arial" w:cs="Arial"/>
                <w:sz w:val="20"/>
                <w:szCs w:val="20"/>
              </w:rPr>
            </w:pPr>
            <w:r w:rsidRPr="003A69EF">
              <w:rPr>
                <w:rFonts w:ascii="Arial" w:hAnsi="Arial" w:cs="Arial"/>
                <w:sz w:val="20"/>
                <w:szCs w:val="20"/>
              </w:rPr>
              <w:t>• avtobusi  (predvideva povečanje deleža avtobusov na alternativna goriva v celotnem slovenskem voznem parku avtobusov do leta 2030 na 41,25 %).</w:t>
            </w:r>
          </w:p>
          <w:p w:rsidR="00574D15" w:rsidRPr="003A69EF" w:rsidRDefault="00574D15" w:rsidP="0044566D">
            <w:pPr>
              <w:spacing w:after="120" w:line="240" w:lineRule="atLeast"/>
              <w:jc w:val="both"/>
              <w:rPr>
                <w:rFonts w:ascii="Arial" w:hAnsi="Arial" w:cs="Arial"/>
                <w:sz w:val="20"/>
                <w:szCs w:val="20"/>
              </w:rPr>
            </w:pPr>
            <w:r w:rsidRPr="003A69EF">
              <w:rPr>
                <w:rFonts w:ascii="Arial" w:hAnsi="Arial" w:cs="Arial"/>
                <w:sz w:val="20"/>
                <w:szCs w:val="20"/>
              </w:rPr>
              <w:lastRenderedPageBreak/>
              <w:t>• težka tovorna vozila (predvideva povečanje deleža težkih tovornih vozil na alternativna goriva v celotnem slovenskem voznem parku težkih tovornih vozil do leta 2030 na 28,1 %).</w:t>
            </w:r>
          </w:p>
          <w:p w:rsidR="00574D15" w:rsidRPr="003A69EF" w:rsidRDefault="00574D15" w:rsidP="0044566D">
            <w:pPr>
              <w:spacing w:after="120" w:line="240" w:lineRule="atLeast"/>
              <w:jc w:val="both"/>
              <w:rPr>
                <w:rFonts w:ascii="Arial" w:hAnsi="Arial" w:cs="Arial"/>
                <w:sz w:val="20"/>
                <w:szCs w:val="20"/>
              </w:rPr>
            </w:pPr>
            <w:r w:rsidRPr="003A69EF">
              <w:rPr>
                <w:rFonts w:ascii="Arial" w:hAnsi="Arial" w:cs="Arial"/>
                <w:sz w:val="20"/>
                <w:szCs w:val="20"/>
              </w:rPr>
              <w:t xml:space="preserve">Struktura voznega parka se bo spreminjala glede na prve registracije vozil na alternativna goriva </w:t>
            </w:r>
          </w:p>
          <w:p w:rsidR="00574D15" w:rsidRPr="003A69EF" w:rsidRDefault="00574D15" w:rsidP="0044566D">
            <w:pPr>
              <w:spacing w:after="120" w:line="240" w:lineRule="atLeast"/>
              <w:jc w:val="both"/>
              <w:rPr>
                <w:rFonts w:ascii="Arial" w:hAnsi="Arial" w:cs="Arial"/>
                <w:b/>
                <w:sz w:val="20"/>
                <w:szCs w:val="20"/>
              </w:rPr>
            </w:pPr>
            <w:r w:rsidRPr="003A69EF">
              <w:rPr>
                <w:rFonts w:ascii="Arial" w:hAnsi="Arial" w:cs="Arial"/>
                <w:b/>
                <w:sz w:val="20"/>
                <w:szCs w:val="20"/>
              </w:rPr>
              <w:t xml:space="preserve">Razvoj infrastrukture za alternativna goriva </w:t>
            </w:r>
          </w:p>
          <w:p w:rsidR="003A69EF" w:rsidRPr="003A5A70" w:rsidRDefault="00574D15" w:rsidP="0044566D">
            <w:pPr>
              <w:spacing w:after="120" w:line="240" w:lineRule="atLeast"/>
              <w:jc w:val="both"/>
              <w:rPr>
                <w:rFonts w:ascii="Arial" w:hAnsi="Arial" w:cs="Arial"/>
                <w:sz w:val="20"/>
                <w:szCs w:val="20"/>
              </w:rPr>
            </w:pPr>
            <w:r w:rsidRPr="003A69EF">
              <w:rPr>
                <w:rFonts w:ascii="Arial" w:hAnsi="Arial" w:cs="Arial"/>
                <w:sz w:val="20"/>
                <w:szCs w:val="20"/>
              </w:rPr>
              <w:t>Skladno s cilji Strategije je predviden razvoj polnilne infrastrukture za alternativna goriva sorazmerno z naraščajočim številom vozil na alternativni pogon. Strategija predvideva razvoj polnilne infrastrukture za električna baterijska vozila in priključne hibride (PHEV), vozila na vodikove gorivne celice, stisnjen zemeljski plin (SZP) ter utekočinjen zemeljski plin (UZP).</w:t>
            </w:r>
          </w:p>
          <w:p w:rsidR="00574D15" w:rsidRPr="003A69EF" w:rsidRDefault="00574D15" w:rsidP="0044566D">
            <w:pPr>
              <w:spacing w:after="120" w:line="240" w:lineRule="atLeast"/>
              <w:jc w:val="both"/>
              <w:rPr>
                <w:rFonts w:ascii="Arial" w:hAnsi="Arial" w:cs="Arial"/>
                <w:b/>
                <w:sz w:val="20"/>
                <w:szCs w:val="20"/>
              </w:rPr>
            </w:pPr>
            <w:r w:rsidRPr="003A69EF">
              <w:rPr>
                <w:rFonts w:ascii="Arial" w:hAnsi="Arial" w:cs="Arial"/>
                <w:b/>
                <w:sz w:val="20"/>
                <w:szCs w:val="20"/>
              </w:rPr>
              <w:t xml:space="preserve">Ukrepi za uresničitev ciljev na področju uporabe alternativnih goriv v prometu </w:t>
            </w:r>
          </w:p>
          <w:p w:rsidR="003A69EF" w:rsidRPr="003A5A70" w:rsidRDefault="00574D15" w:rsidP="0044566D">
            <w:pPr>
              <w:spacing w:after="120" w:line="240" w:lineRule="atLeast"/>
              <w:jc w:val="both"/>
              <w:rPr>
                <w:rFonts w:ascii="Arial" w:hAnsi="Arial" w:cs="Arial"/>
                <w:sz w:val="20"/>
                <w:szCs w:val="20"/>
              </w:rPr>
            </w:pPr>
            <w:bookmarkStart w:id="0" w:name="_Toc37926226"/>
            <w:r w:rsidRPr="003A69EF">
              <w:rPr>
                <w:rFonts w:ascii="Arial" w:hAnsi="Arial" w:cs="Arial"/>
                <w:sz w:val="20"/>
                <w:szCs w:val="20"/>
              </w:rPr>
              <w:t>Akcijski program predvidevata tri glavne skupine ukrepov: elektromobilnost, uporabo plina (ogljikovodiki) ter uporabo vodika in tehnologij gorivnih celic.</w:t>
            </w:r>
          </w:p>
          <w:p w:rsidR="00574D15" w:rsidRPr="003A69EF" w:rsidRDefault="00574D15" w:rsidP="00574D15">
            <w:pPr>
              <w:jc w:val="both"/>
              <w:rPr>
                <w:rFonts w:ascii="Arial" w:hAnsi="Arial" w:cs="Arial"/>
                <w:b/>
                <w:sz w:val="20"/>
                <w:szCs w:val="20"/>
              </w:rPr>
            </w:pPr>
            <w:r w:rsidRPr="003A69EF">
              <w:rPr>
                <w:rFonts w:ascii="Arial" w:hAnsi="Arial" w:cs="Arial"/>
                <w:b/>
                <w:sz w:val="20"/>
                <w:szCs w:val="20"/>
              </w:rPr>
              <w:t>Ukrepi za spodbujanje elektromobilnost</w:t>
            </w:r>
            <w:bookmarkEnd w:id="0"/>
            <w:r w:rsidRPr="003A69EF">
              <w:rPr>
                <w:rFonts w:ascii="Arial" w:hAnsi="Arial" w:cs="Arial"/>
                <w:b/>
                <w:sz w:val="20"/>
                <w:szCs w:val="20"/>
              </w:rPr>
              <w:t>i:</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ukrepi na področju vozil (sofinanciranje nakupa vozil, ugodn</w:t>
            </w:r>
            <w:r w:rsidR="007175DB">
              <w:rPr>
                <w:rFonts w:ascii="Arial" w:hAnsi="Arial" w:cs="Arial"/>
                <w:sz w:val="20"/>
                <w:szCs w:val="20"/>
              </w:rPr>
              <w:t>o kreditiranje nakupa vozil</w:t>
            </w:r>
            <w:r w:rsidRPr="003A69EF">
              <w:rPr>
                <w:rFonts w:ascii="Arial" w:hAnsi="Arial" w:cs="Arial"/>
                <w:sz w:val="20"/>
                <w:szCs w:val="20"/>
              </w:rPr>
              <w:t>, vključitev električnih vozil v skupna javna naročila vlade),</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ukrepi na področju zagotavljanja polnilne infrastrukture (sofinanciranje nakupa in vzpostavitve polnilne infrastrukture, zagotavljanje parkirnih mest za vozila na vozliščih parkiraj in se pelji (P+R),</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ukrepi na področju normativnih ureditev (predlog zakona o alternativnih gorivih v prometu, spremembe področne zakonodaje, pravilnikov, itd.),</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ukrepi na področju izobraževanja, ozaveščanja in odprave ovir za spodbujanje uporabe vozil na električni pogon (kampanje, pregled programov učnih vsebin za poklice, ki zahtevajo nove tehnologije, zagotavljanje ad hoc polnjenja, poslovni modeli uporabe električnih vozil, vključitev električnih vozil v razpis za podelitev koncesij za izvajanje GJS javnega potniškega prometa itd.),</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priporočila zaposlovalcem (postavitev polnilne infrastrukture na območju podjetij, zavodov, ustanov, na javnih parkirnih mestih za večstanovanjske zgradbe, zamenjava voznega parka),</w:t>
            </w:r>
          </w:p>
          <w:p w:rsidR="00574D15" w:rsidRPr="003A69EF" w:rsidRDefault="00574D15" w:rsidP="00574D15">
            <w:pPr>
              <w:pStyle w:val="Odstavekseznama"/>
              <w:numPr>
                <w:ilvl w:val="0"/>
                <w:numId w:val="21"/>
              </w:numPr>
              <w:suppressAutoHyphens w:val="0"/>
              <w:spacing w:after="200" w:line="276" w:lineRule="auto"/>
              <w:jc w:val="both"/>
              <w:rPr>
                <w:rFonts w:ascii="Arial" w:hAnsi="Arial" w:cs="Arial"/>
                <w:sz w:val="20"/>
                <w:szCs w:val="20"/>
              </w:rPr>
            </w:pPr>
            <w:r w:rsidRPr="003A69EF">
              <w:rPr>
                <w:rFonts w:ascii="Arial" w:hAnsi="Arial" w:cs="Arial"/>
                <w:sz w:val="20"/>
                <w:szCs w:val="20"/>
              </w:rPr>
              <w:t>priporočila občinam (postavitev polnilne infrastrukture na javnih parkirnih prostorih za večstanovanjske zgradbe, brezplačno parkiranje vozil na električni pogon v mestnih središčih, priprava smernic za mestno logistiko z omejevanjem dostave z vozili na fosilna goriva).</w:t>
            </w:r>
          </w:p>
          <w:p w:rsidR="00574D15" w:rsidRPr="00C828FB" w:rsidRDefault="00574D15" w:rsidP="00574D15">
            <w:pPr>
              <w:jc w:val="both"/>
              <w:rPr>
                <w:rFonts w:ascii="Arial" w:hAnsi="Arial" w:cs="Arial"/>
                <w:b/>
                <w:sz w:val="20"/>
                <w:szCs w:val="20"/>
              </w:rPr>
            </w:pPr>
            <w:bookmarkStart w:id="1" w:name="_Toc534358110"/>
            <w:bookmarkStart w:id="2" w:name="_Toc37926243"/>
            <w:r w:rsidRPr="00C828FB">
              <w:rPr>
                <w:rFonts w:ascii="Arial" w:hAnsi="Arial" w:cs="Arial"/>
                <w:b/>
                <w:sz w:val="20"/>
                <w:szCs w:val="20"/>
              </w:rPr>
              <w:t xml:space="preserve">Ukrepi za spodbujanje uporabe </w:t>
            </w:r>
            <w:bookmarkStart w:id="3" w:name="_Toc475081073"/>
            <w:bookmarkStart w:id="4" w:name="_Toc478808864"/>
            <w:bookmarkStart w:id="5" w:name="_Toc479005061"/>
            <w:r w:rsidRPr="00C828FB">
              <w:rPr>
                <w:rFonts w:ascii="Arial" w:hAnsi="Arial" w:cs="Arial"/>
                <w:b/>
                <w:sz w:val="20"/>
                <w:szCs w:val="20"/>
              </w:rPr>
              <w:t xml:space="preserve">plina </w:t>
            </w:r>
            <w:bookmarkEnd w:id="1"/>
            <w:bookmarkEnd w:id="2"/>
            <w:bookmarkEnd w:id="3"/>
            <w:bookmarkEnd w:id="4"/>
            <w:bookmarkEnd w:id="5"/>
            <w:r w:rsidRPr="00C828FB">
              <w:rPr>
                <w:rFonts w:ascii="Arial" w:hAnsi="Arial" w:cs="Arial"/>
                <w:b/>
                <w:sz w:val="20"/>
                <w:szCs w:val="20"/>
              </w:rPr>
              <w:t xml:space="preserve">v prometu </w:t>
            </w:r>
          </w:p>
          <w:p w:rsidR="00574D15" w:rsidRPr="00C828FB" w:rsidRDefault="00574D15" w:rsidP="00574D15">
            <w:pPr>
              <w:jc w:val="both"/>
              <w:rPr>
                <w:rFonts w:ascii="Arial" w:hAnsi="Arial" w:cs="Arial"/>
                <w:sz w:val="20"/>
                <w:szCs w:val="20"/>
              </w:rPr>
            </w:pPr>
            <w:r w:rsidRPr="00C828FB">
              <w:rPr>
                <w:rFonts w:ascii="Arial" w:hAnsi="Arial" w:cs="Arial"/>
                <w:sz w:val="20"/>
                <w:szCs w:val="20"/>
              </w:rPr>
              <w:t xml:space="preserve">Ukrepi za spodbujanje uporabe plina zajemajo tri skupine ukrepov: utekočinjen naftni plin (UNP), stisnjen zemeljski plin (SZP) ter utekočinjen zemeljski plin (UZP). Ukrepi se pretežno nanašajo na ukrepe na področju vozil (sofinanciranje nakupa ali predelave vozil, vključitev vozil v skupna javna naročila, vključitev vozil na plin v razpis za podelitev koncesij za izvajanje </w:t>
            </w:r>
            <w:r w:rsidR="00A340BF" w:rsidRPr="00C828FB">
              <w:rPr>
                <w:rFonts w:ascii="Arial" w:hAnsi="Arial" w:cs="Arial"/>
                <w:sz w:val="20"/>
                <w:szCs w:val="20"/>
              </w:rPr>
              <w:t>GJS javnega potniškega prometa, usklajevanje davčne politike in dajate</w:t>
            </w:r>
            <w:r w:rsidR="006A561B" w:rsidRPr="00C828FB">
              <w:rPr>
                <w:rFonts w:ascii="Arial" w:hAnsi="Arial" w:cs="Arial"/>
                <w:sz w:val="20"/>
                <w:szCs w:val="20"/>
              </w:rPr>
              <w:t>v</w:t>
            </w:r>
            <w:r w:rsidRPr="00C828FB">
              <w:rPr>
                <w:rFonts w:ascii="Arial" w:hAnsi="Arial" w:cs="Arial"/>
                <w:sz w:val="20"/>
                <w:szCs w:val="20"/>
              </w:rPr>
              <w:t>, itd.) ter ukrepe na področju infrastrukture (sofinanciranje vzpostavitve polnilnic).</w:t>
            </w:r>
          </w:p>
          <w:p w:rsidR="003A69EF" w:rsidRPr="00C828FB" w:rsidRDefault="003A69EF" w:rsidP="00574D15">
            <w:pPr>
              <w:jc w:val="both"/>
              <w:rPr>
                <w:rFonts w:ascii="Arial" w:hAnsi="Arial" w:cs="Arial"/>
                <w:b/>
                <w:sz w:val="20"/>
                <w:szCs w:val="20"/>
              </w:rPr>
            </w:pPr>
          </w:p>
          <w:p w:rsidR="003A69EF" w:rsidRPr="00C828FB" w:rsidRDefault="00574D15" w:rsidP="003A69EF">
            <w:pPr>
              <w:jc w:val="both"/>
              <w:rPr>
                <w:rFonts w:ascii="Arial" w:hAnsi="Arial" w:cs="Arial"/>
                <w:b/>
                <w:sz w:val="20"/>
                <w:szCs w:val="20"/>
              </w:rPr>
            </w:pPr>
            <w:r w:rsidRPr="00C828FB">
              <w:rPr>
                <w:rFonts w:ascii="Arial" w:hAnsi="Arial" w:cs="Arial"/>
                <w:b/>
                <w:sz w:val="20"/>
                <w:szCs w:val="20"/>
              </w:rPr>
              <w:t>Ukrepi za spodbujanje uporabe vodika in tehnologij gorivnih celic</w:t>
            </w:r>
          </w:p>
          <w:p w:rsidR="00574D15" w:rsidRPr="003A69EF" w:rsidRDefault="003A69EF" w:rsidP="003A69EF">
            <w:pPr>
              <w:jc w:val="both"/>
              <w:rPr>
                <w:rFonts w:ascii="Arial" w:hAnsi="Arial" w:cs="Arial"/>
                <w:b/>
                <w:sz w:val="20"/>
                <w:szCs w:val="20"/>
              </w:rPr>
            </w:pPr>
            <w:r w:rsidRPr="00C828FB">
              <w:rPr>
                <w:rFonts w:ascii="Arial" w:hAnsi="Arial" w:cs="Arial"/>
                <w:sz w:val="20"/>
                <w:szCs w:val="20"/>
              </w:rPr>
              <w:t>U</w:t>
            </w:r>
            <w:r w:rsidR="00574D15" w:rsidRPr="00C828FB">
              <w:rPr>
                <w:rFonts w:ascii="Arial" w:hAnsi="Arial" w:cs="Arial"/>
                <w:sz w:val="20"/>
                <w:szCs w:val="20"/>
              </w:rPr>
              <w:t xml:space="preserve">krepi </w:t>
            </w:r>
            <w:r w:rsidRPr="00C828FB">
              <w:rPr>
                <w:rFonts w:ascii="Arial" w:hAnsi="Arial" w:cs="Arial"/>
                <w:sz w:val="20"/>
                <w:szCs w:val="20"/>
              </w:rPr>
              <w:t>se nanašajo predvsem na področje</w:t>
            </w:r>
            <w:r w:rsidR="00574D15" w:rsidRPr="00C828FB">
              <w:rPr>
                <w:rFonts w:ascii="Arial" w:hAnsi="Arial" w:cs="Arial"/>
                <w:sz w:val="20"/>
                <w:szCs w:val="20"/>
              </w:rPr>
              <w:t xml:space="preserve"> vozil (sofinanciranje nakupa vozil, ugodno kreditiranje</w:t>
            </w:r>
            <w:r w:rsidR="00574D15" w:rsidRPr="003A69EF">
              <w:rPr>
                <w:rFonts w:ascii="Arial" w:hAnsi="Arial" w:cs="Arial"/>
                <w:sz w:val="20"/>
                <w:szCs w:val="20"/>
              </w:rPr>
              <w:t xml:space="preserve"> nakupa vozil),</w:t>
            </w:r>
            <w:r>
              <w:rPr>
                <w:rFonts w:ascii="Arial" w:hAnsi="Arial" w:cs="Arial"/>
                <w:b/>
                <w:sz w:val="20"/>
                <w:szCs w:val="20"/>
              </w:rPr>
              <w:t xml:space="preserve"> </w:t>
            </w:r>
            <w:r w:rsidR="00574D15" w:rsidRPr="003A69EF">
              <w:rPr>
                <w:rFonts w:ascii="Arial" w:hAnsi="Arial" w:cs="Arial"/>
                <w:sz w:val="20"/>
                <w:szCs w:val="20"/>
              </w:rPr>
              <w:t>zagotavljanja polnilne infrastrukture (sofinanciranje polnilne infrastrukture in ugodno kreditiranje nakupa polnilne infrastrukture</w:t>
            </w:r>
            <w:r>
              <w:rPr>
                <w:rFonts w:ascii="Arial" w:hAnsi="Arial" w:cs="Arial"/>
                <w:sz w:val="20"/>
                <w:szCs w:val="20"/>
              </w:rPr>
              <w:t>) ter izvedbo</w:t>
            </w:r>
            <w:r w:rsidR="00574D15" w:rsidRPr="003A69EF">
              <w:rPr>
                <w:rFonts w:ascii="Arial" w:hAnsi="Arial" w:cs="Arial"/>
                <w:sz w:val="20"/>
                <w:szCs w:val="20"/>
              </w:rPr>
              <w:t xml:space="preserve"> pilotnega projekta kot</w:t>
            </w:r>
            <w:r w:rsidR="005C5089">
              <w:rPr>
                <w:rFonts w:ascii="Arial" w:hAnsi="Arial" w:cs="Arial"/>
                <w:sz w:val="20"/>
                <w:szCs w:val="20"/>
              </w:rPr>
              <w:t xml:space="preserve"> kombinacija nakupa vozil in postavitve polnilne infrastrukture.</w:t>
            </w:r>
          </w:p>
          <w:p w:rsidR="00FA40D0" w:rsidRPr="00323F50" w:rsidRDefault="00B718E4" w:rsidP="002C4BAC">
            <w:pPr>
              <w:pStyle w:val="Neotevilenodstavek"/>
              <w:spacing w:before="40" w:afterLines="40" w:after="96" w:line="260" w:lineRule="atLeast"/>
              <w:rPr>
                <w:iCs/>
                <w:sz w:val="20"/>
                <w:szCs w:val="20"/>
              </w:rPr>
            </w:pPr>
            <w:r w:rsidRPr="00323F50">
              <w:rPr>
                <w:iCs/>
                <w:sz w:val="20"/>
                <w:szCs w:val="20"/>
              </w:rPr>
              <w:t xml:space="preserve">Predlog Akcijskega programa za leti 2020 in 2021 s pripadajočo preglednico ukrepov izhaja iz že sprejetega Akcijskega programa dne 6. 6. 2019 </w:t>
            </w:r>
            <w:r w:rsidR="00DD3B0D">
              <w:rPr>
                <w:iCs/>
                <w:sz w:val="20"/>
                <w:szCs w:val="20"/>
              </w:rPr>
              <w:t>za leti 2019 in 2020, ki skupno obsega več kot 50 ukrepov.</w:t>
            </w:r>
            <w:r w:rsidR="00323F50" w:rsidRPr="00323F50">
              <w:rPr>
                <w:iCs/>
                <w:sz w:val="20"/>
                <w:szCs w:val="20"/>
              </w:rPr>
              <w:t xml:space="preserve"> Noveliran Akcijski program za leti 2020 in 2021 upošteva razpoložljiva finančna sredstva za izvajanje </w:t>
            </w:r>
            <w:r w:rsidR="00DC4420">
              <w:rPr>
                <w:iCs/>
                <w:sz w:val="20"/>
                <w:szCs w:val="20"/>
              </w:rPr>
              <w:t xml:space="preserve">tistih </w:t>
            </w:r>
            <w:r w:rsidR="00323F50" w:rsidRPr="00323F50">
              <w:rPr>
                <w:iCs/>
                <w:sz w:val="20"/>
                <w:szCs w:val="20"/>
              </w:rPr>
              <w:t xml:space="preserve">ukrepov </w:t>
            </w:r>
            <w:r w:rsidR="00E511C6">
              <w:rPr>
                <w:iCs/>
                <w:sz w:val="20"/>
                <w:szCs w:val="20"/>
              </w:rPr>
              <w:t>s ka</w:t>
            </w:r>
            <w:r w:rsidR="00DD3B0D">
              <w:rPr>
                <w:iCs/>
                <w:sz w:val="20"/>
                <w:szCs w:val="20"/>
              </w:rPr>
              <w:t xml:space="preserve">terimi bomo dosegli </w:t>
            </w:r>
            <w:r w:rsidR="00E511C6">
              <w:rPr>
                <w:iCs/>
                <w:sz w:val="20"/>
                <w:szCs w:val="20"/>
              </w:rPr>
              <w:t xml:space="preserve"> zastavljene cilje gle</w:t>
            </w:r>
            <w:r w:rsidR="003A10FC">
              <w:rPr>
                <w:iCs/>
                <w:sz w:val="20"/>
                <w:szCs w:val="20"/>
              </w:rPr>
              <w:t xml:space="preserve">de na izkušnje iz preteklih let. </w:t>
            </w:r>
            <w:r w:rsidR="001F0510">
              <w:rPr>
                <w:iCs/>
                <w:sz w:val="20"/>
                <w:szCs w:val="20"/>
              </w:rPr>
              <w:t>Podrobneje so finančne posledice opisane v točki 7.a.</w:t>
            </w:r>
          </w:p>
        </w:tc>
      </w:tr>
      <w:tr w:rsidR="00F02B4B" w:rsidRPr="00D462AF" w:rsidTr="00772C4A">
        <w:tc>
          <w:tcPr>
            <w:tcW w:w="9745" w:type="dxa"/>
            <w:gridSpan w:val="4"/>
          </w:tcPr>
          <w:p w:rsidR="00F02B4B" w:rsidRPr="00D462AF" w:rsidRDefault="00F02B4B" w:rsidP="002C4BAC">
            <w:pPr>
              <w:pStyle w:val="Oddelek"/>
              <w:numPr>
                <w:ilvl w:val="0"/>
                <w:numId w:val="0"/>
              </w:numPr>
              <w:spacing w:before="40" w:afterLines="40" w:after="96" w:line="260" w:lineRule="atLeast"/>
              <w:jc w:val="left"/>
              <w:rPr>
                <w:sz w:val="20"/>
                <w:szCs w:val="20"/>
              </w:rPr>
            </w:pPr>
            <w:r w:rsidRPr="00D462AF">
              <w:rPr>
                <w:sz w:val="20"/>
                <w:szCs w:val="20"/>
              </w:rPr>
              <w:lastRenderedPageBreak/>
              <w:t>6. Presoja posledic za: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a)</w:t>
            </w:r>
          </w:p>
        </w:tc>
        <w:tc>
          <w:tcPr>
            <w:tcW w:w="5403" w:type="dxa"/>
            <w:gridSpan w:val="2"/>
          </w:tcPr>
          <w:p w:rsidR="00F02B4B" w:rsidRPr="00D462AF" w:rsidRDefault="00F02B4B" w:rsidP="002C4BAC">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302" w:type="dxa"/>
            <w:vAlign w:val="center"/>
          </w:tcPr>
          <w:p w:rsidR="00F02B4B" w:rsidRPr="008839FA" w:rsidRDefault="00255AE9" w:rsidP="002C4BAC">
            <w:pPr>
              <w:pStyle w:val="Neotevilenodstavek"/>
              <w:spacing w:before="40" w:afterLines="40" w:after="96" w:line="260" w:lineRule="atLeast"/>
              <w:jc w:val="center"/>
              <w:rPr>
                <w:iCs/>
                <w:sz w:val="20"/>
                <w:szCs w:val="20"/>
              </w:rPr>
            </w:pPr>
            <w:r w:rsidRPr="008839FA">
              <w:rPr>
                <w:sz w:val="20"/>
                <w:szCs w:val="20"/>
              </w:rPr>
              <w:t>DA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b)</w:t>
            </w:r>
          </w:p>
        </w:tc>
        <w:tc>
          <w:tcPr>
            <w:tcW w:w="5403" w:type="dxa"/>
            <w:gridSpan w:val="2"/>
          </w:tcPr>
          <w:p w:rsidR="00F02B4B" w:rsidRPr="00D462AF" w:rsidRDefault="00F02B4B" w:rsidP="002C4BAC">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302" w:type="dxa"/>
            <w:vAlign w:val="center"/>
          </w:tcPr>
          <w:p w:rsidR="00F02B4B" w:rsidRPr="00D462AF" w:rsidRDefault="00CA40A4" w:rsidP="002C4BAC">
            <w:pPr>
              <w:pStyle w:val="Neotevilenodstavek"/>
              <w:spacing w:before="40" w:afterLines="40" w:after="96" w:line="260" w:lineRule="atLeast"/>
              <w:jc w:val="center"/>
              <w:rPr>
                <w:iCs/>
                <w:sz w:val="20"/>
                <w:szCs w:val="20"/>
              </w:rPr>
            </w:pPr>
            <w:r>
              <w:rPr>
                <w:sz w:val="20"/>
                <w:szCs w:val="20"/>
              </w:rPr>
              <w:t>DA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c)</w:t>
            </w:r>
          </w:p>
        </w:tc>
        <w:tc>
          <w:tcPr>
            <w:tcW w:w="5403" w:type="dxa"/>
            <w:gridSpan w:val="2"/>
          </w:tcPr>
          <w:p w:rsidR="00F02B4B" w:rsidRPr="00D462AF" w:rsidRDefault="00F02B4B" w:rsidP="002C4BAC">
            <w:pPr>
              <w:pStyle w:val="Neotevilenodstavek"/>
              <w:spacing w:before="40" w:afterLines="40" w:after="96" w:line="260" w:lineRule="atLeast"/>
              <w:rPr>
                <w:iCs/>
                <w:sz w:val="20"/>
                <w:szCs w:val="20"/>
              </w:rPr>
            </w:pPr>
            <w:r w:rsidRPr="00D462AF">
              <w:rPr>
                <w:sz w:val="20"/>
                <w:szCs w:val="20"/>
              </w:rPr>
              <w:t>administrativne posledice</w:t>
            </w:r>
          </w:p>
        </w:tc>
        <w:tc>
          <w:tcPr>
            <w:tcW w:w="2302" w:type="dxa"/>
            <w:vAlign w:val="center"/>
          </w:tcPr>
          <w:p w:rsidR="00F02B4B" w:rsidRPr="00D462AF" w:rsidRDefault="00530C4A" w:rsidP="002C4BAC">
            <w:pPr>
              <w:pStyle w:val="Neotevilenodstavek"/>
              <w:spacing w:before="40" w:afterLines="40" w:after="96" w:line="260" w:lineRule="atLeast"/>
              <w:jc w:val="center"/>
              <w:rPr>
                <w:sz w:val="20"/>
                <w:szCs w:val="20"/>
              </w:rPr>
            </w:pPr>
            <w:r>
              <w:rPr>
                <w:sz w:val="20"/>
                <w:szCs w:val="20"/>
              </w:rPr>
              <w:t>DA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č)</w:t>
            </w:r>
          </w:p>
        </w:tc>
        <w:tc>
          <w:tcPr>
            <w:tcW w:w="5403" w:type="dxa"/>
            <w:gridSpan w:val="2"/>
          </w:tcPr>
          <w:p w:rsidR="00F02B4B" w:rsidRPr="00D462AF" w:rsidRDefault="00F02B4B" w:rsidP="002C4BAC">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302" w:type="dxa"/>
            <w:vAlign w:val="center"/>
          </w:tcPr>
          <w:p w:rsidR="00F02B4B" w:rsidRPr="00D462AF" w:rsidRDefault="00656FBE" w:rsidP="002C4BAC">
            <w:pPr>
              <w:pStyle w:val="Neotevilenodstavek"/>
              <w:spacing w:before="40" w:afterLines="40" w:after="96" w:line="260" w:lineRule="atLeast"/>
              <w:jc w:val="center"/>
              <w:rPr>
                <w:iCs/>
                <w:sz w:val="20"/>
                <w:szCs w:val="20"/>
              </w:rPr>
            </w:pPr>
            <w:r>
              <w:rPr>
                <w:sz w:val="20"/>
                <w:szCs w:val="20"/>
              </w:rPr>
              <w:t>DA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lastRenderedPageBreak/>
              <w:t>d)</w:t>
            </w:r>
          </w:p>
        </w:tc>
        <w:tc>
          <w:tcPr>
            <w:tcW w:w="5403" w:type="dxa"/>
            <w:gridSpan w:val="2"/>
          </w:tcPr>
          <w:p w:rsidR="00F02B4B" w:rsidRPr="00D462AF" w:rsidRDefault="00F02B4B" w:rsidP="002C4BAC">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302" w:type="dxa"/>
            <w:vAlign w:val="center"/>
          </w:tcPr>
          <w:p w:rsidR="00F02B4B" w:rsidRPr="00D462AF" w:rsidRDefault="00ED5CC7" w:rsidP="002C4BAC">
            <w:pPr>
              <w:pStyle w:val="Neotevilenodstavek"/>
              <w:spacing w:before="40" w:afterLines="40" w:after="96" w:line="260" w:lineRule="atLeast"/>
              <w:jc w:val="center"/>
              <w:rPr>
                <w:iCs/>
                <w:sz w:val="20"/>
                <w:szCs w:val="20"/>
              </w:rPr>
            </w:pPr>
            <w:r>
              <w:rPr>
                <w:sz w:val="20"/>
                <w:szCs w:val="20"/>
              </w:rPr>
              <w:t>DA</w:t>
            </w:r>
          </w:p>
        </w:tc>
      </w:tr>
      <w:tr w:rsidR="00F02B4B" w:rsidRPr="00D462AF" w:rsidTr="00772C4A">
        <w:tc>
          <w:tcPr>
            <w:tcW w:w="2040" w:type="dxa"/>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e)</w:t>
            </w:r>
          </w:p>
        </w:tc>
        <w:tc>
          <w:tcPr>
            <w:tcW w:w="5403" w:type="dxa"/>
            <w:gridSpan w:val="2"/>
          </w:tcPr>
          <w:p w:rsidR="00F02B4B" w:rsidRPr="00D462AF" w:rsidRDefault="00F02B4B" w:rsidP="002C4BAC">
            <w:pPr>
              <w:pStyle w:val="Neotevilenodstavek"/>
              <w:spacing w:before="40" w:afterLines="40" w:after="96" w:line="260" w:lineRule="atLeast"/>
              <w:rPr>
                <w:bCs/>
                <w:sz w:val="20"/>
                <w:szCs w:val="20"/>
              </w:rPr>
            </w:pPr>
            <w:r w:rsidRPr="00D462AF">
              <w:rPr>
                <w:bCs/>
                <w:sz w:val="20"/>
                <w:szCs w:val="20"/>
              </w:rPr>
              <w:t>socialno področje</w:t>
            </w:r>
          </w:p>
        </w:tc>
        <w:tc>
          <w:tcPr>
            <w:tcW w:w="2302" w:type="dxa"/>
            <w:vAlign w:val="center"/>
          </w:tcPr>
          <w:p w:rsidR="00F02B4B" w:rsidRPr="00D462AF" w:rsidRDefault="00530C4A" w:rsidP="002C4BAC">
            <w:pPr>
              <w:pStyle w:val="Neotevilenodstavek"/>
              <w:spacing w:before="40" w:afterLines="40" w:after="96" w:line="260" w:lineRule="atLeast"/>
              <w:jc w:val="center"/>
              <w:rPr>
                <w:iCs/>
                <w:sz w:val="20"/>
                <w:szCs w:val="20"/>
              </w:rPr>
            </w:pPr>
            <w:r>
              <w:rPr>
                <w:sz w:val="20"/>
                <w:szCs w:val="20"/>
              </w:rPr>
              <w:t>DA</w:t>
            </w:r>
          </w:p>
        </w:tc>
      </w:tr>
      <w:tr w:rsidR="00F02B4B" w:rsidRPr="00D462AF" w:rsidTr="00772C4A">
        <w:tc>
          <w:tcPr>
            <w:tcW w:w="2040" w:type="dxa"/>
            <w:tcBorders>
              <w:bottom w:val="single" w:sz="4" w:space="0" w:color="auto"/>
            </w:tcBorders>
          </w:tcPr>
          <w:p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f)</w:t>
            </w:r>
          </w:p>
        </w:tc>
        <w:tc>
          <w:tcPr>
            <w:tcW w:w="5403" w:type="dxa"/>
            <w:gridSpan w:val="2"/>
            <w:tcBorders>
              <w:bottom w:val="single" w:sz="4" w:space="0" w:color="auto"/>
            </w:tcBorders>
          </w:tcPr>
          <w:p w:rsidR="00F02B4B" w:rsidRPr="00D462AF" w:rsidRDefault="00F02B4B" w:rsidP="002C4BAC">
            <w:pPr>
              <w:pStyle w:val="Neotevilenodstavek"/>
              <w:spacing w:before="40" w:afterLines="40" w:after="96" w:line="260" w:lineRule="atLeast"/>
              <w:rPr>
                <w:bCs/>
                <w:sz w:val="20"/>
                <w:szCs w:val="20"/>
              </w:rPr>
            </w:pPr>
            <w:r w:rsidRPr="00D462AF">
              <w:rPr>
                <w:bCs/>
                <w:sz w:val="20"/>
                <w:szCs w:val="20"/>
              </w:rPr>
              <w:t>dokumente razvojnega načrtovanja:</w:t>
            </w:r>
          </w:p>
          <w:p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nacionalne dokumente razvojnega načrtovanja</w:t>
            </w:r>
          </w:p>
          <w:p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politike na ravni programov po strukturi razvojne klasifikacije programskega proračuna</w:t>
            </w:r>
          </w:p>
          <w:p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dokumente Evropske unije in mednarodnih organizacij</w:t>
            </w:r>
          </w:p>
        </w:tc>
        <w:tc>
          <w:tcPr>
            <w:tcW w:w="2302" w:type="dxa"/>
            <w:tcBorders>
              <w:bottom w:val="single" w:sz="4" w:space="0" w:color="auto"/>
            </w:tcBorders>
            <w:vAlign w:val="center"/>
          </w:tcPr>
          <w:p w:rsidR="00F02B4B" w:rsidRPr="00D462AF" w:rsidRDefault="00ED5CC7" w:rsidP="002C4BAC">
            <w:pPr>
              <w:pStyle w:val="Neotevilenodstavek"/>
              <w:spacing w:before="40" w:afterLines="40" w:after="96" w:line="260" w:lineRule="atLeast"/>
              <w:jc w:val="center"/>
              <w:rPr>
                <w:iCs/>
                <w:sz w:val="20"/>
                <w:szCs w:val="20"/>
              </w:rPr>
            </w:pPr>
            <w:r>
              <w:rPr>
                <w:sz w:val="20"/>
                <w:szCs w:val="20"/>
              </w:rPr>
              <w:t>DA</w:t>
            </w:r>
          </w:p>
        </w:tc>
      </w:tr>
      <w:tr w:rsidR="00F02B4B" w:rsidRPr="00D462AF" w:rsidTr="00772C4A">
        <w:trPr>
          <w:trHeight w:val="2176"/>
        </w:trPr>
        <w:tc>
          <w:tcPr>
            <w:tcW w:w="9745" w:type="dxa"/>
            <w:gridSpan w:val="4"/>
            <w:tcBorders>
              <w:top w:val="single" w:sz="4" w:space="0" w:color="auto"/>
              <w:left w:val="single" w:sz="4" w:space="0" w:color="auto"/>
              <w:bottom w:val="single" w:sz="4" w:space="0" w:color="auto"/>
              <w:right w:val="single" w:sz="4" w:space="0" w:color="auto"/>
            </w:tcBorders>
          </w:tcPr>
          <w:p w:rsidR="00F02B4B" w:rsidRPr="00D462AF" w:rsidRDefault="00F02B4B" w:rsidP="002C4BAC">
            <w:pPr>
              <w:pStyle w:val="Oddelek"/>
              <w:widowControl w:val="0"/>
              <w:numPr>
                <w:ilvl w:val="0"/>
                <w:numId w:val="0"/>
              </w:numPr>
              <w:spacing w:before="40" w:afterLines="40" w:after="96" w:line="260" w:lineRule="atLeast"/>
              <w:jc w:val="left"/>
              <w:rPr>
                <w:sz w:val="20"/>
                <w:szCs w:val="20"/>
              </w:rPr>
            </w:pPr>
            <w:r w:rsidRPr="00D462AF">
              <w:rPr>
                <w:sz w:val="20"/>
                <w:szCs w:val="20"/>
              </w:rPr>
              <w:t>7.a Predstavitev ocene finančnih posledic nad 40.000 EUR:</w:t>
            </w:r>
          </w:p>
          <w:p w:rsidR="00BF50D1" w:rsidRPr="00C828FB" w:rsidRDefault="00255AE9" w:rsidP="002C4BAC">
            <w:pPr>
              <w:pStyle w:val="Oddelek"/>
              <w:widowControl w:val="0"/>
              <w:numPr>
                <w:ilvl w:val="0"/>
                <w:numId w:val="0"/>
              </w:numPr>
              <w:spacing w:before="40" w:afterLines="40" w:after="96" w:line="260" w:lineRule="atLeast"/>
              <w:jc w:val="both"/>
              <w:rPr>
                <w:b w:val="0"/>
                <w:sz w:val="20"/>
                <w:szCs w:val="20"/>
              </w:rPr>
            </w:pPr>
            <w:r w:rsidRPr="00AD54B7">
              <w:rPr>
                <w:b w:val="0"/>
                <w:sz w:val="20"/>
                <w:szCs w:val="20"/>
              </w:rPr>
              <w:t>V Akcijskem programu so upoštevani ukrepi</w:t>
            </w:r>
            <w:r w:rsidR="000903FA" w:rsidRPr="00AD54B7">
              <w:rPr>
                <w:b w:val="0"/>
                <w:sz w:val="20"/>
                <w:szCs w:val="20"/>
              </w:rPr>
              <w:t>,</w:t>
            </w:r>
            <w:r w:rsidRPr="00AD54B7">
              <w:rPr>
                <w:b w:val="0"/>
                <w:sz w:val="20"/>
                <w:szCs w:val="20"/>
              </w:rPr>
              <w:t xml:space="preserve"> za katere so zagotovljena sredstva </w:t>
            </w:r>
            <w:r w:rsidR="00CE2CB2" w:rsidRPr="00AD54B7">
              <w:rPr>
                <w:b w:val="0"/>
                <w:sz w:val="20"/>
                <w:szCs w:val="20"/>
              </w:rPr>
              <w:t>v Proračunu</w:t>
            </w:r>
            <w:r w:rsidRPr="00AD54B7">
              <w:rPr>
                <w:b w:val="0"/>
                <w:sz w:val="20"/>
                <w:szCs w:val="20"/>
              </w:rPr>
              <w:t xml:space="preserve"> Republike Slovenije </w:t>
            </w:r>
            <w:r w:rsidR="00BF50D1" w:rsidRPr="00AD54B7">
              <w:rPr>
                <w:b w:val="0"/>
                <w:sz w:val="20"/>
                <w:szCs w:val="20"/>
              </w:rPr>
              <w:t xml:space="preserve">na postavkah MzI </w:t>
            </w:r>
            <w:r w:rsidRPr="00AD54B7">
              <w:rPr>
                <w:b w:val="0"/>
                <w:sz w:val="20"/>
                <w:szCs w:val="20"/>
              </w:rPr>
              <w:t>za let</w:t>
            </w:r>
            <w:r w:rsidR="00BF50D1" w:rsidRPr="00AD54B7">
              <w:rPr>
                <w:b w:val="0"/>
                <w:sz w:val="20"/>
                <w:szCs w:val="20"/>
              </w:rPr>
              <w:t>i</w:t>
            </w:r>
            <w:r w:rsidR="00CE2CB2" w:rsidRPr="00AD54B7">
              <w:rPr>
                <w:b w:val="0"/>
                <w:sz w:val="20"/>
                <w:szCs w:val="20"/>
              </w:rPr>
              <w:t xml:space="preserve"> 2020 in </w:t>
            </w:r>
            <w:r w:rsidR="00A33778" w:rsidRPr="00AD54B7">
              <w:rPr>
                <w:b w:val="0"/>
                <w:sz w:val="20"/>
                <w:szCs w:val="20"/>
              </w:rPr>
              <w:t>2021</w:t>
            </w:r>
            <w:r w:rsidR="00CE2CB2" w:rsidRPr="00AD54B7">
              <w:rPr>
                <w:b w:val="0"/>
                <w:sz w:val="20"/>
                <w:szCs w:val="20"/>
              </w:rPr>
              <w:t xml:space="preserve"> </w:t>
            </w:r>
            <w:r w:rsidR="00BF50D1" w:rsidRPr="00AD54B7">
              <w:rPr>
                <w:b w:val="0"/>
                <w:sz w:val="20"/>
                <w:szCs w:val="20"/>
              </w:rPr>
              <w:t xml:space="preserve">ter sredstva Proračuna RS </w:t>
            </w:r>
            <w:r w:rsidR="00CE2CB2" w:rsidRPr="00AD54B7">
              <w:rPr>
                <w:b w:val="0"/>
                <w:sz w:val="20"/>
                <w:szCs w:val="20"/>
              </w:rPr>
              <w:t>za javna naročila vozi</w:t>
            </w:r>
            <w:r w:rsidR="00ED1D55">
              <w:rPr>
                <w:b w:val="0"/>
                <w:sz w:val="20"/>
                <w:szCs w:val="20"/>
              </w:rPr>
              <w:t>l na alternativni pogon. V</w:t>
            </w:r>
            <w:r w:rsidR="00CE2CB2" w:rsidRPr="00AD54B7">
              <w:rPr>
                <w:b w:val="0"/>
                <w:sz w:val="20"/>
                <w:szCs w:val="20"/>
              </w:rPr>
              <w:t>ir sredstev za izvajanje</w:t>
            </w:r>
            <w:r w:rsidR="00C828FB">
              <w:rPr>
                <w:b w:val="0"/>
                <w:sz w:val="20"/>
                <w:szCs w:val="20"/>
              </w:rPr>
              <w:t xml:space="preserve"> ukrepov</w:t>
            </w:r>
            <w:r w:rsidR="00ED26B9" w:rsidRPr="00AD54B7">
              <w:rPr>
                <w:b w:val="0"/>
                <w:sz w:val="20"/>
                <w:szCs w:val="20"/>
              </w:rPr>
              <w:t xml:space="preserve"> </w:t>
            </w:r>
            <w:r w:rsidR="00CE2CB2" w:rsidRPr="00AD54B7">
              <w:rPr>
                <w:b w:val="0"/>
                <w:sz w:val="20"/>
                <w:szCs w:val="20"/>
              </w:rPr>
              <w:t xml:space="preserve">predstavljajo </w:t>
            </w:r>
            <w:r w:rsidR="00ED1D55">
              <w:rPr>
                <w:b w:val="0"/>
                <w:sz w:val="20"/>
                <w:szCs w:val="20"/>
              </w:rPr>
              <w:t xml:space="preserve">tudi </w:t>
            </w:r>
            <w:r w:rsidR="00BF50D1" w:rsidRPr="00AD54B7">
              <w:rPr>
                <w:b w:val="0"/>
                <w:sz w:val="20"/>
                <w:szCs w:val="20"/>
              </w:rPr>
              <w:t xml:space="preserve">sredstva </w:t>
            </w:r>
            <w:r w:rsidRPr="00AD54B7">
              <w:rPr>
                <w:b w:val="0"/>
                <w:sz w:val="20"/>
                <w:szCs w:val="20"/>
              </w:rPr>
              <w:t>namenskih skladov</w:t>
            </w:r>
            <w:r w:rsidR="00CE2CB2" w:rsidRPr="00AD54B7">
              <w:rPr>
                <w:b w:val="0"/>
                <w:sz w:val="20"/>
                <w:szCs w:val="20"/>
              </w:rPr>
              <w:t xml:space="preserve">, tj. </w:t>
            </w:r>
            <w:r w:rsidR="00145500" w:rsidRPr="00AD54B7">
              <w:rPr>
                <w:b w:val="0"/>
                <w:sz w:val="20"/>
                <w:szCs w:val="20"/>
              </w:rPr>
              <w:t>Sklad</w:t>
            </w:r>
            <w:r w:rsidR="00CE2CB2" w:rsidRPr="00AD54B7">
              <w:rPr>
                <w:b w:val="0"/>
                <w:sz w:val="20"/>
                <w:szCs w:val="20"/>
              </w:rPr>
              <w:t>a</w:t>
            </w:r>
            <w:r w:rsidR="00145500" w:rsidRPr="00AD54B7">
              <w:rPr>
                <w:b w:val="0"/>
                <w:sz w:val="20"/>
                <w:szCs w:val="20"/>
              </w:rPr>
              <w:t xml:space="preserve"> za podnebne spremembe</w:t>
            </w:r>
            <w:r w:rsidR="00376F08" w:rsidRPr="00AD54B7">
              <w:rPr>
                <w:b w:val="0"/>
                <w:sz w:val="20"/>
                <w:szCs w:val="20"/>
              </w:rPr>
              <w:t xml:space="preserve"> </w:t>
            </w:r>
            <w:r w:rsidR="00CE2CB2" w:rsidRPr="00AD54B7">
              <w:rPr>
                <w:b w:val="0"/>
                <w:sz w:val="20"/>
                <w:szCs w:val="20"/>
              </w:rPr>
              <w:t xml:space="preserve">ter Eko sklada. </w:t>
            </w:r>
            <w:r w:rsidR="00BF50D1" w:rsidRPr="00AD54B7">
              <w:rPr>
                <w:b w:val="0"/>
                <w:sz w:val="20"/>
                <w:szCs w:val="20"/>
              </w:rPr>
              <w:t>Pri posodobitvi ukrepov</w:t>
            </w:r>
            <w:r w:rsidR="00ED26B9" w:rsidRPr="00AD54B7">
              <w:rPr>
                <w:b w:val="0"/>
                <w:sz w:val="20"/>
                <w:szCs w:val="20"/>
              </w:rPr>
              <w:t xml:space="preserve"> za leti 2020 in 2021</w:t>
            </w:r>
            <w:r w:rsidR="00BF50D1" w:rsidRPr="00AD54B7">
              <w:rPr>
                <w:b w:val="0"/>
                <w:sz w:val="20"/>
                <w:szCs w:val="20"/>
              </w:rPr>
              <w:t>, ki so vezani na sofinanciranje ali kreditiranje</w:t>
            </w:r>
            <w:r w:rsidR="00ED26B9" w:rsidRPr="00AD54B7">
              <w:rPr>
                <w:b w:val="0"/>
                <w:sz w:val="20"/>
                <w:szCs w:val="20"/>
              </w:rPr>
              <w:t xml:space="preserve"> vozil in polnilne infrastrukture</w:t>
            </w:r>
            <w:r w:rsidR="00BF50D1" w:rsidRPr="00AD54B7">
              <w:rPr>
                <w:b w:val="0"/>
                <w:sz w:val="20"/>
                <w:szCs w:val="20"/>
              </w:rPr>
              <w:t xml:space="preserve">, smo upoštevali razpoložljive finančne vire </w:t>
            </w:r>
            <w:r w:rsidR="00ED26B9" w:rsidRPr="00AD54B7">
              <w:rPr>
                <w:b w:val="0"/>
                <w:sz w:val="20"/>
                <w:szCs w:val="20"/>
              </w:rPr>
              <w:t xml:space="preserve">za ukrepe </w:t>
            </w:r>
            <w:r w:rsidR="00BF50D1" w:rsidRPr="00AD54B7">
              <w:rPr>
                <w:b w:val="0"/>
                <w:sz w:val="20"/>
                <w:szCs w:val="20"/>
              </w:rPr>
              <w:t>kot izhajajo iz Odloka o Programu porabe sredstev Sklada za podnebne spremembe v obdobju 2020-2</w:t>
            </w:r>
            <w:r w:rsidR="00CE2CB2" w:rsidRPr="00AD54B7">
              <w:rPr>
                <w:b w:val="0"/>
                <w:sz w:val="20"/>
                <w:szCs w:val="20"/>
              </w:rPr>
              <w:t>023 (Uradni list RS, št</w:t>
            </w:r>
            <w:r w:rsidR="00CE2CB2" w:rsidRPr="00C828FB">
              <w:rPr>
                <w:b w:val="0"/>
                <w:sz w:val="20"/>
                <w:szCs w:val="20"/>
              </w:rPr>
              <w:t>. 14/20)</w:t>
            </w:r>
            <w:r w:rsidR="00ED1D55" w:rsidRPr="00C828FB">
              <w:rPr>
                <w:b w:val="0"/>
                <w:sz w:val="20"/>
                <w:szCs w:val="20"/>
              </w:rPr>
              <w:t>, dopisa Ministrstva za okolje in prostor</w:t>
            </w:r>
            <w:r w:rsidR="00C828FB" w:rsidRPr="00C828FB">
              <w:rPr>
                <w:b w:val="0"/>
                <w:sz w:val="20"/>
                <w:szCs w:val="20"/>
              </w:rPr>
              <w:t xml:space="preserve"> v okviru prvega kroga medresorskega usklajevanja predmetnega gradiva</w:t>
            </w:r>
            <w:r w:rsidR="00ED1D55" w:rsidRPr="00C828FB">
              <w:rPr>
                <w:b w:val="0"/>
                <w:sz w:val="20"/>
                <w:szCs w:val="20"/>
              </w:rPr>
              <w:t>, št. 007-363/2020/5 z dne 7. 9. 2020</w:t>
            </w:r>
            <w:r w:rsidR="00C828FB" w:rsidRPr="00C828FB">
              <w:rPr>
                <w:b w:val="0"/>
                <w:sz w:val="20"/>
                <w:szCs w:val="20"/>
              </w:rPr>
              <w:t xml:space="preserve"> </w:t>
            </w:r>
            <w:r w:rsidR="00CE2CB2" w:rsidRPr="00C828FB">
              <w:rPr>
                <w:b w:val="0"/>
                <w:sz w:val="20"/>
                <w:szCs w:val="20"/>
              </w:rPr>
              <w:t>ter</w:t>
            </w:r>
            <w:r w:rsidR="00BF50D1" w:rsidRPr="00C828FB">
              <w:rPr>
                <w:b w:val="0"/>
                <w:sz w:val="20"/>
                <w:szCs w:val="20"/>
              </w:rPr>
              <w:t xml:space="preserve"> Poslovnega in finančnega načrta Eko sklada, Slovenskega okoljskega javnega sklada za leto 2020</w:t>
            </w:r>
            <w:r w:rsidR="00ED26B9" w:rsidRPr="00C828FB">
              <w:rPr>
                <w:b w:val="0"/>
                <w:sz w:val="20"/>
                <w:szCs w:val="20"/>
              </w:rPr>
              <w:t xml:space="preserve">. Pri oceni sredstev obeh skladov </w:t>
            </w:r>
            <w:r w:rsidR="00C510FC" w:rsidRPr="00C828FB">
              <w:rPr>
                <w:b w:val="0"/>
                <w:sz w:val="20"/>
                <w:szCs w:val="20"/>
              </w:rPr>
              <w:t xml:space="preserve">smo izhajali iz </w:t>
            </w:r>
            <w:r w:rsidR="00074C3B" w:rsidRPr="00C828FB">
              <w:rPr>
                <w:b w:val="0"/>
                <w:sz w:val="20"/>
                <w:szCs w:val="20"/>
              </w:rPr>
              <w:t>načrtovanih ukrepov</w:t>
            </w:r>
            <w:r w:rsidR="007809BE" w:rsidRPr="00C828FB">
              <w:rPr>
                <w:b w:val="0"/>
                <w:sz w:val="20"/>
                <w:szCs w:val="20"/>
              </w:rPr>
              <w:t xml:space="preserve"> </w:t>
            </w:r>
            <w:r w:rsidR="00CF6BD0" w:rsidRPr="00C828FB">
              <w:rPr>
                <w:b w:val="0"/>
                <w:sz w:val="20"/>
                <w:szCs w:val="20"/>
              </w:rPr>
              <w:t xml:space="preserve">v omenjenih dokumentih </w:t>
            </w:r>
            <w:r w:rsidR="007809BE" w:rsidRPr="00C828FB">
              <w:rPr>
                <w:b w:val="0"/>
                <w:sz w:val="20"/>
                <w:szCs w:val="20"/>
              </w:rPr>
              <w:t>ter že objavljenih javnih pozivov</w:t>
            </w:r>
            <w:r w:rsidR="00ED26B9" w:rsidRPr="00C828FB">
              <w:rPr>
                <w:b w:val="0"/>
                <w:sz w:val="20"/>
                <w:szCs w:val="20"/>
              </w:rPr>
              <w:t xml:space="preserve"> </w:t>
            </w:r>
            <w:r w:rsidR="007809BE" w:rsidRPr="00C828FB">
              <w:rPr>
                <w:b w:val="0"/>
                <w:sz w:val="20"/>
                <w:szCs w:val="20"/>
              </w:rPr>
              <w:t>Eko sklada</w:t>
            </w:r>
            <w:r w:rsidR="00074C3B" w:rsidRPr="00C828FB">
              <w:rPr>
                <w:b w:val="0"/>
                <w:sz w:val="20"/>
                <w:szCs w:val="20"/>
              </w:rPr>
              <w:t>. V letu 2020 sta</w:t>
            </w:r>
            <w:r w:rsidR="00C510FC" w:rsidRPr="00C828FB">
              <w:rPr>
                <w:b w:val="0"/>
                <w:sz w:val="20"/>
                <w:szCs w:val="20"/>
              </w:rPr>
              <w:t xml:space="preserve"> tako</w:t>
            </w:r>
            <w:r w:rsidR="00074C3B" w:rsidRPr="00C828FB">
              <w:rPr>
                <w:b w:val="0"/>
                <w:sz w:val="20"/>
                <w:szCs w:val="20"/>
              </w:rPr>
              <w:t xml:space="preserve"> že objavljena dva javna poziva </w:t>
            </w:r>
            <w:r w:rsidR="007809BE" w:rsidRPr="00C828FB">
              <w:rPr>
                <w:b w:val="0"/>
                <w:sz w:val="20"/>
                <w:szCs w:val="20"/>
              </w:rPr>
              <w:t xml:space="preserve">za električna vozila 80-EVPO20 </w:t>
            </w:r>
            <w:r w:rsidR="00C510FC" w:rsidRPr="00C828FB">
              <w:rPr>
                <w:b w:val="0"/>
                <w:sz w:val="20"/>
                <w:szCs w:val="20"/>
              </w:rPr>
              <w:t xml:space="preserve">za pravne osebe </w:t>
            </w:r>
            <w:r w:rsidR="007809BE" w:rsidRPr="00C828FB">
              <w:rPr>
                <w:b w:val="0"/>
                <w:sz w:val="20"/>
                <w:szCs w:val="20"/>
              </w:rPr>
              <w:t>in 79SUB-EVOB20</w:t>
            </w:r>
            <w:r w:rsidR="00C510FC" w:rsidRPr="00C828FB">
              <w:rPr>
                <w:b w:val="0"/>
                <w:sz w:val="20"/>
                <w:szCs w:val="20"/>
              </w:rPr>
              <w:t xml:space="preserve"> za občane.</w:t>
            </w:r>
            <w:r w:rsidR="00104E91" w:rsidRPr="00C828FB">
              <w:rPr>
                <w:b w:val="0"/>
                <w:sz w:val="20"/>
                <w:szCs w:val="20"/>
              </w:rPr>
              <w:t xml:space="preserve"> </w:t>
            </w:r>
            <w:r w:rsidR="00C510FC" w:rsidRPr="00C828FB">
              <w:rPr>
                <w:b w:val="0"/>
                <w:sz w:val="20"/>
                <w:szCs w:val="20"/>
              </w:rPr>
              <w:t xml:space="preserve">V leto 2020 </w:t>
            </w:r>
            <w:r w:rsidR="007809BE" w:rsidRPr="00C828FB">
              <w:rPr>
                <w:b w:val="0"/>
                <w:sz w:val="20"/>
                <w:szCs w:val="20"/>
              </w:rPr>
              <w:t>se p</w:t>
            </w:r>
            <w:r w:rsidR="00ED1D55" w:rsidRPr="00C828FB">
              <w:rPr>
                <w:b w:val="0"/>
                <w:sz w:val="20"/>
                <w:szCs w:val="20"/>
              </w:rPr>
              <w:t>renesejo tudi sredstva iz javnega poziva objavljenega</w:t>
            </w:r>
            <w:r w:rsidR="007809BE" w:rsidRPr="00C828FB">
              <w:rPr>
                <w:b w:val="0"/>
                <w:sz w:val="20"/>
                <w:szCs w:val="20"/>
              </w:rPr>
              <w:t xml:space="preserve"> dne 27. 12. 2019, tj. 65OB19 – kreditiranje okoljskih naložb občanov</w:t>
            </w:r>
            <w:r w:rsidR="00981247" w:rsidRPr="00C828FB">
              <w:rPr>
                <w:b w:val="0"/>
                <w:sz w:val="20"/>
                <w:szCs w:val="20"/>
              </w:rPr>
              <w:t>, ki vključujejo tudi kreditiranje nakupa vozil</w:t>
            </w:r>
            <w:r w:rsidR="00ED1D55" w:rsidRPr="00C828FB">
              <w:rPr>
                <w:b w:val="0"/>
                <w:sz w:val="20"/>
                <w:szCs w:val="20"/>
              </w:rPr>
              <w:t>.</w:t>
            </w:r>
          </w:p>
          <w:p w:rsidR="00547947" w:rsidRPr="00C828FB" w:rsidRDefault="00547947" w:rsidP="002C4BAC">
            <w:pPr>
              <w:pStyle w:val="Oddelek"/>
              <w:widowControl w:val="0"/>
              <w:numPr>
                <w:ilvl w:val="0"/>
                <w:numId w:val="0"/>
              </w:numPr>
              <w:spacing w:before="40" w:afterLines="40" w:after="96" w:line="260" w:lineRule="atLeast"/>
              <w:jc w:val="both"/>
              <w:rPr>
                <w:b w:val="0"/>
                <w:sz w:val="20"/>
                <w:szCs w:val="20"/>
              </w:rPr>
            </w:pPr>
            <w:r w:rsidRPr="00C828FB">
              <w:rPr>
                <w:b w:val="0"/>
                <w:sz w:val="20"/>
                <w:szCs w:val="20"/>
              </w:rPr>
              <w:t>Ocena finančnih posledic vključuje tudi izpad prihodkov Proračuna RS v primeru u</w:t>
            </w:r>
            <w:r w:rsidR="00950B30" w:rsidRPr="00C828FB">
              <w:rPr>
                <w:b w:val="0"/>
                <w:sz w:val="20"/>
                <w:szCs w:val="20"/>
              </w:rPr>
              <w:t xml:space="preserve">veljavitve predlaganih ukrepov </w:t>
            </w:r>
            <w:r w:rsidR="009A39AA" w:rsidRPr="00C828FB">
              <w:rPr>
                <w:b w:val="0"/>
                <w:sz w:val="20"/>
                <w:szCs w:val="20"/>
              </w:rPr>
              <w:t xml:space="preserve">za vozila na plin </w:t>
            </w:r>
            <w:r w:rsidR="00950B30" w:rsidRPr="00C828FB">
              <w:rPr>
                <w:b w:val="0"/>
                <w:sz w:val="20"/>
                <w:szCs w:val="20"/>
              </w:rPr>
              <w:t>(usklajevanje trošarinske politike, znižanje okoljske dajatve ter uvedba posebnih cestninskih razredov).</w:t>
            </w:r>
            <w:r w:rsidR="009A39AA" w:rsidRPr="00C828FB">
              <w:rPr>
                <w:b w:val="0"/>
                <w:sz w:val="20"/>
                <w:szCs w:val="20"/>
              </w:rPr>
              <w:t xml:space="preserve"> </w:t>
            </w:r>
          </w:p>
          <w:p w:rsidR="00CF6BD0" w:rsidRDefault="00CF6BD0" w:rsidP="002C4BAC">
            <w:pPr>
              <w:pStyle w:val="Oddelek"/>
              <w:widowControl w:val="0"/>
              <w:numPr>
                <w:ilvl w:val="0"/>
                <w:numId w:val="0"/>
              </w:numPr>
              <w:spacing w:before="40" w:afterLines="40" w:after="96" w:line="260" w:lineRule="atLeast"/>
              <w:jc w:val="both"/>
              <w:rPr>
                <w:b w:val="0"/>
                <w:sz w:val="20"/>
                <w:szCs w:val="20"/>
              </w:rPr>
            </w:pPr>
            <w:r w:rsidRPr="00C828FB">
              <w:rPr>
                <w:b w:val="0"/>
                <w:sz w:val="20"/>
                <w:szCs w:val="20"/>
              </w:rPr>
              <w:t>Podrobneje je načrt izvajanja ukrepov do leta 2021 opredeljen v Exelovi</w:t>
            </w:r>
            <w:r w:rsidRPr="00CF6BD0">
              <w:rPr>
                <w:b w:val="0"/>
                <w:sz w:val="20"/>
                <w:szCs w:val="20"/>
              </w:rPr>
              <w:t xml:space="preserve"> preglednici, ki je priloga k posodobljenemu Akcijskemu programu.</w:t>
            </w:r>
          </w:p>
          <w:p w:rsidR="006E4F1C" w:rsidRDefault="006E4F1C" w:rsidP="002C4BAC">
            <w:pPr>
              <w:pStyle w:val="Oddelek"/>
              <w:widowControl w:val="0"/>
              <w:numPr>
                <w:ilvl w:val="0"/>
                <w:numId w:val="0"/>
              </w:numPr>
              <w:spacing w:before="40" w:afterLines="40" w:after="96" w:line="260" w:lineRule="atLeast"/>
              <w:jc w:val="both"/>
              <w:rPr>
                <w:b w:val="0"/>
                <w:sz w:val="20"/>
                <w:szCs w:val="20"/>
              </w:rPr>
            </w:pPr>
            <w:r>
              <w:rPr>
                <w:b w:val="0"/>
                <w:sz w:val="20"/>
                <w:szCs w:val="20"/>
              </w:rPr>
              <w:t>Pregled s</w:t>
            </w:r>
            <w:r w:rsidR="00376F08">
              <w:rPr>
                <w:b w:val="0"/>
                <w:sz w:val="20"/>
                <w:szCs w:val="20"/>
              </w:rPr>
              <w:t>kup</w:t>
            </w:r>
            <w:r>
              <w:rPr>
                <w:b w:val="0"/>
                <w:sz w:val="20"/>
                <w:szCs w:val="20"/>
              </w:rPr>
              <w:t>ne</w:t>
            </w:r>
            <w:r w:rsidR="00376F08">
              <w:rPr>
                <w:b w:val="0"/>
                <w:sz w:val="20"/>
                <w:szCs w:val="20"/>
              </w:rPr>
              <w:t xml:space="preserve"> </w:t>
            </w:r>
            <w:r>
              <w:rPr>
                <w:b w:val="0"/>
                <w:sz w:val="20"/>
                <w:szCs w:val="20"/>
              </w:rPr>
              <w:t xml:space="preserve">vrednosti </w:t>
            </w:r>
            <w:r w:rsidR="00376F08">
              <w:rPr>
                <w:b w:val="0"/>
                <w:sz w:val="20"/>
                <w:szCs w:val="20"/>
              </w:rPr>
              <w:t xml:space="preserve">za vse ukrepe predvidene v akcijskem programu </w:t>
            </w:r>
            <w:r w:rsidR="00D6043F">
              <w:rPr>
                <w:b w:val="0"/>
                <w:sz w:val="20"/>
                <w:szCs w:val="20"/>
              </w:rPr>
              <w:t>je povzet po Excelovi</w:t>
            </w:r>
            <w:r>
              <w:rPr>
                <w:b w:val="0"/>
                <w:sz w:val="20"/>
                <w:szCs w:val="20"/>
              </w:rPr>
              <w:t xml:space="preserve"> predlogi in prikazan v preglednici: </w:t>
            </w:r>
          </w:p>
          <w:tbl>
            <w:tblPr>
              <w:tblW w:w="8380" w:type="dxa"/>
              <w:tblCellMar>
                <w:left w:w="70" w:type="dxa"/>
                <w:right w:w="70" w:type="dxa"/>
              </w:tblCellMar>
              <w:tblLook w:val="04A0" w:firstRow="1" w:lastRow="0" w:firstColumn="1" w:lastColumn="0" w:noHBand="0" w:noVBand="1"/>
            </w:tblPr>
            <w:tblGrid>
              <w:gridCol w:w="2580"/>
              <w:gridCol w:w="2940"/>
              <w:gridCol w:w="2860"/>
            </w:tblGrid>
            <w:tr w:rsidR="00BF50D1" w:rsidRPr="007A0AE5" w:rsidTr="00BF50D1">
              <w:trPr>
                <w:trHeight w:val="315"/>
              </w:trPr>
              <w:tc>
                <w:tcPr>
                  <w:tcW w:w="2580" w:type="dxa"/>
                  <w:tcBorders>
                    <w:top w:val="single" w:sz="8" w:space="0" w:color="auto"/>
                    <w:left w:val="single" w:sz="8" w:space="0" w:color="auto"/>
                    <w:bottom w:val="single" w:sz="8" w:space="0" w:color="auto"/>
                    <w:right w:val="single" w:sz="8" w:space="0" w:color="auto"/>
                  </w:tcBorders>
                  <w:shd w:val="clear" w:color="auto" w:fill="auto"/>
                  <w:hideMark/>
                </w:tcPr>
                <w:p w:rsidR="00BF50D1" w:rsidRPr="007A0AE5" w:rsidRDefault="00BF50D1" w:rsidP="00BF50D1">
                  <w:pPr>
                    <w:suppressAutoHyphens w:val="0"/>
                    <w:jc w:val="both"/>
                    <w:rPr>
                      <w:rFonts w:ascii="Arial" w:hAnsi="Arial" w:cs="Arial"/>
                      <w:b/>
                      <w:bCs/>
                      <w:color w:val="000000"/>
                      <w:sz w:val="20"/>
                      <w:szCs w:val="20"/>
                      <w:lang w:eastAsia="sl-SI"/>
                    </w:rPr>
                  </w:pPr>
                  <w:r w:rsidRPr="007A0AE5">
                    <w:rPr>
                      <w:rFonts w:ascii="Arial" w:hAnsi="Arial" w:cs="Arial"/>
                      <w:b/>
                      <w:bCs/>
                      <w:color w:val="000000"/>
                      <w:sz w:val="20"/>
                      <w:szCs w:val="20"/>
                      <w:lang w:eastAsia="sl-SI"/>
                    </w:rPr>
                    <w:t>Vsi ukrepi v EUR</w:t>
                  </w:r>
                </w:p>
              </w:tc>
              <w:tc>
                <w:tcPr>
                  <w:tcW w:w="2940" w:type="dxa"/>
                  <w:tcBorders>
                    <w:top w:val="single" w:sz="8" w:space="0" w:color="auto"/>
                    <w:left w:val="nil"/>
                    <w:bottom w:val="single" w:sz="8" w:space="0" w:color="auto"/>
                    <w:right w:val="single" w:sz="8" w:space="0" w:color="auto"/>
                  </w:tcBorders>
                  <w:shd w:val="clear" w:color="auto" w:fill="auto"/>
                  <w:hideMark/>
                </w:tcPr>
                <w:p w:rsidR="00BF50D1" w:rsidRPr="007A0AE5" w:rsidRDefault="00BF50D1" w:rsidP="00BF50D1">
                  <w:pPr>
                    <w:suppressAutoHyphens w:val="0"/>
                    <w:jc w:val="center"/>
                    <w:rPr>
                      <w:rFonts w:ascii="Arial" w:hAnsi="Arial" w:cs="Arial"/>
                      <w:b/>
                      <w:bCs/>
                      <w:color w:val="000000"/>
                      <w:sz w:val="20"/>
                      <w:szCs w:val="20"/>
                      <w:lang w:eastAsia="sl-SI"/>
                    </w:rPr>
                  </w:pPr>
                  <w:r w:rsidRPr="007A0AE5">
                    <w:rPr>
                      <w:rFonts w:ascii="Arial" w:hAnsi="Arial" w:cs="Arial"/>
                      <w:b/>
                      <w:bCs/>
                      <w:color w:val="000000"/>
                      <w:sz w:val="20"/>
                      <w:szCs w:val="20"/>
                      <w:lang w:eastAsia="sl-SI"/>
                    </w:rPr>
                    <w:t>2020</w:t>
                  </w:r>
                </w:p>
              </w:tc>
              <w:tc>
                <w:tcPr>
                  <w:tcW w:w="2860" w:type="dxa"/>
                  <w:tcBorders>
                    <w:top w:val="single" w:sz="8" w:space="0" w:color="auto"/>
                    <w:left w:val="nil"/>
                    <w:bottom w:val="single" w:sz="8" w:space="0" w:color="auto"/>
                    <w:right w:val="single" w:sz="8" w:space="0" w:color="auto"/>
                  </w:tcBorders>
                  <w:shd w:val="clear" w:color="auto" w:fill="auto"/>
                  <w:hideMark/>
                </w:tcPr>
                <w:p w:rsidR="00BF50D1" w:rsidRPr="007A0AE5" w:rsidRDefault="00BF50D1" w:rsidP="00BF50D1">
                  <w:pPr>
                    <w:suppressAutoHyphens w:val="0"/>
                    <w:jc w:val="center"/>
                    <w:rPr>
                      <w:rFonts w:ascii="Arial" w:hAnsi="Arial" w:cs="Arial"/>
                      <w:b/>
                      <w:bCs/>
                      <w:color w:val="000000"/>
                      <w:sz w:val="20"/>
                      <w:szCs w:val="20"/>
                      <w:lang w:eastAsia="sl-SI"/>
                    </w:rPr>
                  </w:pPr>
                  <w:r w:rsidRPr="007A0AE5">
                    <w:rPr>
                      <w:rFonts w:ascii="Arial" w:hAnsi="Arial" w:cs="Arial"/>
                      <w:b/>
                      <w:bCs/>
                      <w:color w:val="000000"/>
                      <w:sz w:val="20"/>
                      <w:szCs w:val="20"/>
                      <w:lang w:eastAsia="sl-SI"/>
                    </w:rPr>
                    <w:t>2021</w:t>
                  </w:r>
                </w:p>
              </w:tc>
            </w:tr>
            <w:tr w:rsidR="00B679DD" w:rsidRPr="007A0AE5" w:rsidTr="00BF50D1">
              <w:trPr>
                <w:trHeight w:val="525"/>
              </w:trPr>
              <w:tc>
                <w:tcPr>
                  <w:tcW w:w="2580" w:type="dxa"/>
                  <w:tcBorders>
                    <w:top w:val="nil"/>
                    <w:left w:val="single" w:sz="8" w:space="0" w:color="auto"/>
                    <w:bottom w:val="single" w:sz="8" w:space="0" w:color="auto"/>
                    <w:right w:val="single" w:sz="8" w:space="0" w:color="auto"/>
                  </w:tcBorders>
                  <w:shd w:val="clear" w:color="auto" w:fill="auto"/>
                  <w:hideMark/>
                </w:tcPr>
                <w:p w:rsidR="00B679DD" w:rsidRPr="007A0AE5" w:rsidRDefault="00B679DD" w:rsidP="00BF50D1">
                  <w:pPr>
                    <w:suppressAutoHyphens w:val="0"/>
                    <w:jc w:val="both"/>
                    <w:rPr>
                      <w:rFonts w:ascii="Arial" w:hAnsi="Arial" w:cs="Arial"/>
                      <w:color w:val="000000"/>
                      <w:sz w:val="20"/>
                      <w:szCs w:val="20"/>
                      <w:lang w:eastAsia="sl-SI"/>
                    </w:rPr>
                  </w:pPr>
                  <w:r w:rsidRPr="007A0AE5">
                    <w:rPr>
                      <w:rFonts w:ascii="Arial" w:hAnsi="Arial" w:cs="Arial"/>
                      <w:color w:val="000000"/>
                      <w:sz w:val="20"/>
                      <w:szCs w:val="20"/>
                      <w:lang w:eastAsia="sl-SI"/>
                    </w:rPr>
                    <w:t>Sredstva za izvajanje e-mobilnosti</w:t>
                  </w:r>
                </w:p>
              </w:tc>
              <w:tc>
                <w:tcPr>
                  <w:tcW w:w="294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13.560.660,00</w:t>
                  </w:r>
                </w:p>
              </w:tc>
              <w:tc>
                <w:tcPr>
                  <w:tcW w:w="286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19.999.939,00</w:t>
                  </w:r>
                </w:p>
              </w:tc>
            </w:tr>
            <w:tr w:rsidR="00B679DD" w:rsidRPr="007A0AE5" w:rsidTr="00BF50D1">
              <w:trPr>
                <w:trHeight w:val="569"/>
              </w:trPr>
              <w:tc>
                <w:tcPr>
                  <w:tcW w:w="2580" w:type="dxa"/>
                  <w:tcBorders>
                    <w:top w:val="nil"/>
                    <w:left w:val="single" w:sz="8" w:space="0" w:color="auto"/>
                    <w:bottom w:val="single" w:sz="8" w:space="0" w:color="auto"/>
                    <w:right w:val="single" w:sz="8" w:space="0" w:color="auto"/>
                  </w:tcBorders>
                  <w:shd w:val="clear" w:color="auto" w:fill="auto"/>
                  <w:hideMark/>
                </w:tcPr>
                <w:p w:rsidR="00B679DD" w:rsidRPr="007A0AE5" w:rsidRDefault="00B679DD" w:rsidP="00BF50D1">
                  <w:pPr>
                    <w:suppressAutoHyphens w:val="0"/>
                    <w:jc w:val="both"/>
                    <w:rPr>
                      <w:rFonts w:ascii="Arial" w:hAnsi="Arial" w:cs="Arial"/>
                      <w:color w:val="000000"/>
                      <w:sz w:val="20"/>
                      <w:szCs w:val="20"/>
                      <w:lang w:eastAsia="sl-SI"/>
                    </w:rPr>
                  </w:pPr>
                  <w:r w:rsidRPr="007A0AE5">
                    <w:rPr>
                      <w:rFonts w:ascii="Arial" w:hAnsi="Arial" w:cs="Arial"/>
                      <w:color w:val="000000"/>
                      <w:sz w:val="20"/>
                      <w:szCs w:val="20"/>
                      <w:lang w:eastAsia="sl-SI"/>
                    </w:rPr>
                    <w:t xml:space="preserve">Sredstva za spodbujanje uporabe plina v prometu </w:t>
                  </w:r>
                </w:p>
              </w:tc>
              <w:tc>
                <w:tcPr>
                  <w:tcW w:w="294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2.831.716,00</w:t>
                  </w:r>
                </w:p>
              </w:tc>
              <w:tc>
                <w:tcPr>
                  <w:tcW w:w="286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8.358.140,00</w:t>
                  </w:r>
                </w:p>
              </w:tc>
            </w:tr>
            <w:tr w:rsidR="00B679DD" w:rsidRPr="007A0AE5" w:rsidTr="00BF50D1">
              <w:trPr>
                <w:trHeight w:val="421"/>
              </w:trPr>
              <w:tc>
                <w:tcPr>
                  <w:tcW w:w="2580" w:type="dxa"/>
                  <w:tcBorders>
                    <w:top w:val="nil"/>
                    <w:left w:val="single" w:sz="8" w:space="0" w:color="auto"/>
                    <w:bottom w:val="single" w:sz="8" w:space="0" w:color="auto"/>
                    <w:right w:val="single" w:sz="8" w:space="0" w:color="auto"/>
                  </w:tcBorders>
                  <w:shd w:val="clear" w:color="auto" w:fill="auto"/>
                  <w:hideMark/>
                </w:tcPr>
                <w:p w:rsidR="00B679DD" w:rsidRPr="007A0AE5" w:rsidRDefault="00B679DD" w:rsidP="00BF50D1">
                  <w:pPr>
                    <w:suppressAutoHyphens w:val="0"/>
                    <w:jc w:val="both"/>
                    <w:rPr>
                      <w:rFonts w:ascii="Arial" w:hAnsi="Arial" w:cs="Arial"/>
                      <w:color w:val="000000"/>
                      <w:sz w:val="20"/>
                      <w:szCs w:val="20"/>
                      <w:lang w:eastAsia="sl-SI"/>
                    </w:rPr>
                  </w:pPr>
                  <w:r w:rsidRPr="007A0AE5">
                    <w:rPr>
                      <w:rFonts w:ascii="Arial" w:hAnsi="Arial" w:cs="Arial"/>
                      <w:color w:val="000000"/>
                      <w:sz w:val="20"/>
                      <w:szCs w:val="20"/>
                      <w:lang w:eastAsia="sl-SI"/>
                    </w:rPr>
                    <w:t>Sredstva za spodbujanje uporabe vodika v p</w:t>
                  </w:r>
                  <w:r w:rsidR="009B793A">
                    <w:rPr>
                      <w:rFonts w:ascii="Arial" w:hAnsi="Arial" w:cs="Arial"/>
                      <w:color w:val="000000"/>
                      <w:sz w:val="20"/>
                      <w:szCs w:val="20"/>
                      <w:lang w:eastAsia="sl-SI"/>
                    </w:rPr>
                    <w:t>r</w:t>
                  </w:r>
                  <w:r w:rsidRPr="007A0AE5">
                    <w:rPr>
                      <w:rFonts w:ascii="Arial" w:hAnsi="Arial" w:cs="Arial"/>
                      <w:color w:val="000000"/>
                      <w:sz w:val="20"/>
                      <w:szCs w:val="20"/>
                      <w:lang w:eastAsia="sl-SI"/>
                    </w:rPr>
                    <w:t>ometu</w:t>
                  </w:r>
                </w:p>
              </w:tc>
              <w:tc>
                <w:tcPr>
                  <w:tcW w:w="294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0,00</w:t>
                  </w:r>
                </w:p>
              </w:tc>
              <w:tc>
                <w:tcPr>
                  <w:tcW w:w="286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color w:val="000000"/>
                      <w:sz w:val="20"/>
                      <w:szCs w:val="20"/>
                    </w:rPr>
                  </w:pPr>
                  <w:r w:rsidRPr="007A0AE5">
                    <w:rPr>
                      <w:rFonts w:ascii="Arial" w:hAnsi="Arial" w:cs="Arial"/>
                      <w:color w:val="000000"/>
                      <w:sz w:val="20"/>
                      <w:szCs w:val="20"/>
                    </w:rPr>
                    <w:t>1.887.000,00</w:t>
                  </w:r>
                </w:p>
              </w:tc>
            </w:tr>
            <w:tr w:rsidR="00B679DD" w:rsidRPr="007A0AE5" w:rsidTr="00BF50D1">
              <w:trPr>
                <w:trHeight w:val="315"/>
              </w:trPr>
              <w:tc>
                <w:tcPr>
                  <w:tcW w:w="2580" w:type="dxa"/>
                  <w:tcBorders>
                    <w:top w:val="nil"/>
                    <w:left w:val="single" w:sz="8" w:space="0" w:color="auto"/>
                    <w:bottom w:val="single" w:sz="8" w:space="0" w:color="auto"/>
                    <w:right w:val="single" w:sz="8" w:space="0" w:color="auto"/>
                  </w:tcBorders>
                  <w:shd w:val="clear" w:color="auto" w:fill="auto"/>
                  <w:hideMark/>
                </w:tcPr>
                <w:p w:rsidR="00B679DD" w:rsidRPr="007A0AE5" w:rsidRDefault="00B679DD" w:rsidP="00BF50D1">
                  <w:pPr>
                    <w:suppressAutoHyphens w:val="0"/>
                    <w:jc w:val="both"/>
                    <w:rPr>
                      <w:rFonts w:ascii="Arial" w:hAnsi="Arial" w:cs="Arial"/>
                      <w:b/>
                      <w:bCs/>
                      <w:color w:val="000000"/>
                      <w:sz w:val="20"/>
                      <w:szCs w:val="20"/>
                      <w:lang w:eastAsia="sl-SI"/>
                    </w:rPr>
                  </w:pPr>
                  <w:r w:rsidRPr="007A0AE5">
                    <w:rPr>
                      <w:rFonts w:ascii="Arial" w:hAnsi="Arial" w:cs="Arial"/>
                      <w:b/>
                      <w:bCs/>
                      <w:color w:val="000000"/>
                      <w:sz w:val="20"/>
                      <w:szCs w:val="20"/>
                      <w:lang w:eastAsia="sl-SI"/>
                    </w:rPr>
                    <w:t>SKUPAJ</w:t>
                  </w:r>
                </w:p>
              </w:tc>
              <w:tc>
                <w:tcPr>
                  <w:tcW w:w="294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b/>
                      <w:bCs/>
                      <w:color w:val="000000"/>
                      <w:sz w:val="20"/>
                      <w:szCs w:val="20"/>
                    </w:rPr>
                  </w:pPr>
                  <w:r w:rsidRPr="007A0AE5">
                    <w:rPr>
                      <w:rFonts w:ascii="Arial" w:hAnsi="Arial" w:cs="Arial"/>
                      <w:b/>
                      <w:bCs/>
                      <w:color w:val="000000"/>
                      <w:sz w:val="20"/>
                      <w:szCs w:val="20"/>
                    </w:rPr>
                    <w:t>16.392.376,00</w:t>
                  </w:r>
                </w:p>
              </w:tc>
              <w:tc>
                <w:tcPr>
                  <w:tcW w:w="2860" w:type="dxa"/>
                  <w:tcBorders>
                    <w:top w:val="nil"/>
                    <w:left w:val="nil"/>
                    <w:bottom w:val="single" w:sz="8" w:space="0" w:color="auto"/>
                    <w:right w:val="single" w:sz="8" w:space="0" w:color="auto"/>
                  </w:tcBorders>
                  <w:shd w:val="clear" w:color="auto" w:fill="auto"/>
                  <w:hideMark/>
                </w:tcPr>
                <w:p w:rsidR="00B679DD" w:rsidRPr="007A0AE5" w:rsidRDefault="00B679DD">
                  <w:pPr>
                    <w:jc w:val="center"/>
                    <w:rPr>
                      <w:rFonts w:ascii="Arial" w:hAnsi="Arial" w:cs="Arial"/>
                      <w:b/>
                      <w:bCs/>
                      <w:color w:val="000000"/>
                      <w:sz w:val="20"/>
                      <w:szCs w:val="20"/>
                    </w:rPr>
                  </w:pPr>
                  <w:r w:rsidRPr="007A0AE5">
                    <w:rPr>
                      <w:rFonts w:ascii="Arial" w:hAnsi="Arial" w:cs="Arial"/>
                      <w:b/>
                      <w:bCs/>
                      <w:color w:val="000000"/>
                      <w:sz w:val="20"/>
                      <w:szCs w:val="20"/>
                    </w:rPr>
                    <w:t>30.245.079,00</w:t>
                  </w:r>
                </w:p>
              </w:tc>
            </w:tr>
          </w:tbl>
          <w:p w:rsidR="00BF50D1" w:rsidRDefault="00BF50D1" w:rsidP="002C4BAC">
            <w:pPr>
              <w:pStyle w:val="Oddelek"/>
              <w:widowControl w:val="0"/>
              <w:numPr>
                <w:ilvl w:val="0"/>
                <w:numId w:val="0"/>
              </w:numPr>
              <w:spacing w:before="40" w:afterLines="40" w:after="96" w:line="260" w:lineRule="atLeast"/>
              <w:jc w:val="both"/>
              <w:rPr>
                <w:b w:val="0"/>
                <w:sz w:val="20"/>
                <w:szCs w:val="20"/>
              </w:rPr>
            </w:pPr>
          </w:p>
          <w:p w:rsidR="004F008C" w:rsidRDefault="00BF50D1" w:rsidP="002C4BAC">
            <w:pPr>
              <w:pStyle w:val="Oddelek"/>
              <w:widowControl w:val="0"/>
              <w:numPr>
                <w:ilvl w:val="0"/>
                <w:numId w:val="0"/>
              </w:numPr>
              <w:spacing w:before="40" w:afterLines="40" w:after="96" w:line="260" w:lineRule="atLeast"/>
              <w:jc w:val="both"/>
              <w:rPr>
                <w:sz w:val="20"/>
                <w:szCs w:val="20"/>
              </w:rPr>
            </w:pPr>
            <w:r w:rsidRPr="00BF50D1">
              <w:rPr>
                <w:sz w:val="20"/>
                <w:szCs w:val="20"/>
              </w:rPr>
              <w:t>Razdelitev sredstev po virih financiranja</w:t>
            </w:r>
            <w:r>
              <w:rPr>
                <w:sz w:val="20"/>
                <w:szCs w:val="20"/>
              </w:rPr>
              <w:t xml:space="preserve"> </w:t>
            </w:r>
          </w:p>
          <w:tbl>
            <w:tblPr>
              <w:tblW w:w="7120" w:type="dxa"/>
              <w:tblCellMar>
                <w:left w:w="70" w:type="dxa"/>
                <w:right w:w="70" w:type="dxa"/>
              </w:tblCellMar>
              <w:tblLook w:val="04A0" w:firstRow="1" w:lastRow="0" w:firstColumn="1" w:lastColumn="0" w:noHBand="0" w:noVBand="1"/>
            </w:tblPr>
            <w:tblGrid>
              <w:gridCol w:w="3601"/>
              <w:gridCol w:w="1440"/>
              <w:gridCol w:w="2079"/>
            </w:tblGrid>
            <w:tr w:rsidR="00BF50D1" w:rsidRPr="007A0AE5" w:rsidTr="00BF50D1">
              <w:trPr>
                <w:trHeight w:val="525"/>
              </w:trPr>
              <w:tc>
                <w:tcPr>
                  <w:tcW w:w="3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0D1" w:rsidRPr="007A0AE5" w:rsidRDefault="00BF50D1" w:rsidP="00BF50D1">
                  <w:pPr>
                    <w:suppressAutoHyphens w:val="0"/>
                    <w:rPr>
                      <w:rFonts w:ascii="Arial" w:hAnsi="Arial" w:cs="Arial"/>
                      <w:b/>
                      <w:bCs/>
                      <w:color w:val="000000"/>
                      <w:sz w:val="20"/>
                      <w:szCs w:val="20"/>
                      <w:lang w:eastAsia="sl-SI"/>
                    </w:rPr>
                  </w:pPr>
                  <w:r w:rsidRPr="007A0AE5">
                    <w:rPr>
                      <w:rFonts w:ascii="Arial" w:hAnsi="Arial" w:cs="Arial"/>
                      <w:b/>
                      <w:bCs/>
                      <w:color w:val="000000"/>
                      <w:sz w:val="20"/>
                      <w:szCs w:val="20"/>
                      <w:lang w:eastAsia="sl-SI"/>
                    </w:rPr>
                    <w:t>Vir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F50D1" w:rsidRPr="007A0AE5" w:rsidRDefault="00BF50D1" w:rsidP="00BF50D1">
                  <w:pPr>
                    <w:suppressAutoHyphens w:val="0"/>
                    <w:jc w:val="right"/>
                    <w:rPr>
                      <w:rFonts w:ascii="Arial" w:hAnsi="Arial" w:cs="Arial"/>
                      <w:b/>
                      <w:bCs/>
                      <w:color w:val="000000"/>
                      <w:sz w:val="20"/>
                      <w:szCs w:val="20"/>
                      <w:lang w:eastAsia="sl-SI"/>
                    </w:rPr>
                  </w:pPr>
                  <w:r w:rsidRPr="007A0AE5">
                    <w:rPr>
                      <w:rFonts w:ascii="Arial" w:hAnsi="Arial" w:cs="Arial"/>
                      <w:b/>
                      <w:bCs/>
                      <w:color w:val="000000"/>
                      <w:sz w:val="20"/>
                      <w:szCs w:val="20"/>
                      <w:lang w:eastAsia="sl-SI"/>
                    </w:rPr>
                    <w:t>2020</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rsidR="00BF50D1" w:rsidRPr="007A0AE5" w:rsidRDefault="00BF50D1" w:rsidP="00BF50D1">
                  <w:pPr>
                    <w:suppressAutoHyphens w:val="0"/>
                    <w:jc w:val="right"/>
                    <w:rPr>
                      <w:rFonts w:ascii="Arial" w:hAnsi="Arial" w:cs="Arial"/>
                      <w:b/>
                      <w:bCs/>
                      <w:color w:val="000000"/>
                      <w:sz w:val="20"/>
                      <w:szCs w:val="20"/>
                      <w:lang w:eastAsia="sl-SI"/>
                    </w:rPr>
                  </w:pPr>
                  <w:r w:rsidRPr="007A0AE5">
                    <w:rPr>
                      <w:rFonts w:ascii="Arial" w:hAnsi="Arial" w:cs="Arial"/>
                      <w:b/>
                      <w:bCs/>
                      <w:color w:val="000000"/>
                      <w:sz w:val="20"/>
                      <w:szCs w:val="20"/>
                      <w:lang w:eastAsia="sl-SI"/>
                    </w:rPr>
                    <w:t>2021</w:t>
                  </w:r>
                </w:p>
              </w:tc>
            </w:tr>
            <w:tr w:rsidR="005F54AF" w:rsidRPr="007A0AE5" w:rsidTr="00BF50D1">
              <w:trPr>
                <w:trHeight w:val="541"/>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Zagotovljena sredstva na postavkah MzI</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185.660,00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4.454.939,00</w:t>
                  </w:r>
                </w:p>
              </w:tc>
            </w:tr>
            <w:tr w:rsidR="005F54AF" w:rsidRPr="007A0AE5" w:rsidTr="00BF50D1">
              <w:trPr>
                <w:trHeight w:val="459"/>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Eko sklad (nepovratna sredstva za URE)</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3.705.000,00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4.557.000,00</w:t>
                  </w:r>
                </w:p>
              </w:tc>
            </w:tr>
            <w:tr w:rsidR="005F54AF" w:rsidRPr="007A0AE5" w:rsidTr="00BF50D1">
              <w:trPr>
                <w:trHeight w:val="315"/>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Eko sklad (krediti)</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10.235.828,00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13.929.296,00</w:t>
                  </w:r>
                </w:p>
              </w:tc>
            </w:tr>
            <w:tr w:rsidR="005F54AF" w:rsidRPr="007A0AE5" w:rsidTr="003A71F0">
              <w:trPr>
                <w:trHeight w:val="514"/>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Sklad za podnebne spremembe (MOP)</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1.000.000,00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2.000.000,00</w:t>
                  </w:r>
                </w:p>
              </w:tc>
            </w:tr>
            <w:tr w:rsidR="005F54AF" w:rsidRPr="007A0AE5" w:rsidTr="00BF50D1">
              <w:trPr>
                <w:trHeight w:val="405"/>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 xml:space="preserve">Sredstva proračuna RS za javna naročila </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686.000,00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1.010.000,00</w:t>
                  </w:r>
                </w:p>
              </w:tc>
            </w:tr>
            <w:tr w:rsidR="005F54AF" w:rsidRPr="007A0AE5" w:rsidTr="00BF50D1">
              <w:trPr>
                <w:trHeight w:val="397"/>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lastRenderedPageBreak/>
                    <w:t>Izpad prihodkov Proračuna RS</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579.888,00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4.293.844,00</w:t>
                  </w:r>
                </w:p>
              </w:tc>
            </w:tr>
            <w:tr w:rsidR="005F54AF" w:rsidRPr="007A0AE5" w:rsidTr="00BF50D1">
              <w:trPr>
                <w:trHeight w:val="619"/>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color w:val="000000"/>
                      <w:sz w:val="20"/>
                      <w:szCs w:val="20"/>
                      <w:lang w:eastAsia="sl-SI"/>
                    </w:rPr>
                  </w:pPr>
                  <w:r w:rsidRPr="007A0AE5">
                    <w:rPr>
                      <w:rFonts w:ascii="Arial" w:hAnsi="Arial" w:cs="Arial"/>
                      <w:color w:val="000000"/>
                      <w:sz w:val="20"/>
                      <w:szCs w:val="20"/>
                      <w:lang w:eastAsia="sl-SI"/>
                    </w:rPr>
                    <w:t>Izpad prihodkov občinskih proračunov</w:t>
                  </w:r>
                </w:p>
              </w:tc>
              <w:tc>
                <w:tcPr>
                  <w:tcW w:w="1440"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0,00</w:t>
                  </w:r>
                </w:p>
              </w:tc>
              <w:tc>
                <w:tcPr>
                  <w:tcW w:w="2079" w:type="dxa"/>
                  <w:tcBorders>
                    <w:top w:val="nil"/>
                    <w:left w:val="nil"/>
                    <w:bottom w:val="single" w:sz="4" w:space="0" w:color="auto"/>
                    <w:right w:val="single" w:sz="4" w:space="0" w:color="auto"/>
                  </w:tcBorders>
                  <w:shd w:val="clear" w:color="auto" w:fill="auto"/>
                  <w:noWrap/>
                  <w:vAlign w:val="bottom"/>
                  <w:hideMark/>
                </w:tcPr>
                <w:p w:rsidR="005F54AF" w:rsidRPr="007A0AE5" w:rsidRDefault="005F54AF">
                  <w:pPr>
                    <w:jc w:val="right"/>
                    <w:rPr>
                      <w:rFonts w:ascii="Arial" w:hAnsi="Arial" w:cs="Arial"/>
                      <w:color w:val="000000"/>
                      <w:sz w:val="20"/>
                      <w:szCs w:val="20"/>
                    </w:rPr>
                  </w:pPr>
                  <w:r w:rsidRPr="007A0AE5">
                    <w:rPr>
                      <w:rFonts w:ascii="Arial" w:hAnsi="Arial" w:cs="Arial"/>
                      <w:color w:val="000000"/>
                      <w:sz w:val="20"/>
                      <w:szCs w:val="20"/>
                    </w:rPr>
                    <w:t>0,00</w:t>
                  </w:r>
                </w:p>
              </w:tc>
            </w:tr>
            <w:tr w:rsidR="005F54AF" w:rsidRPr="007A0AE5" w:rsidTr="00D1329F">
              <w:trPr>
                <w:trHeight w:val="259"/>
              </w:trPr>
              <w:tc>
                <w:tcPr>
                  <w:tcW w:w="3601" w:type="dxa"/>
                  <w:tcBorders>
                    <w:top w:val="nil"/>
                    <w:left w:val="single" w:sz="4" w:space="0" w:color="auto"/>
                    <w:bottom w:val="nil"/>
                    <w:right w:val="single" w:sz="4" w:space="0" w:color="auto"/>
                  </w:tcBorders>
                  <w:shd w:val="clear" w:color="auto" w:fill="auto"/>
                  <w:noWrap/>
                  <w:vAlign w:val="bottom"/>
                  <w:hideMark/>
                </w:tcPr>
                <w:p w:rsidR="005F54AF" w:rsidRPr="007A0AE5" w:rsidRDefault="005F54AF" w:rsidP="00BF50D1">
                  <w:pPr>
                    <w:suppressAutoHyphens w:val="0"/>
                    <w:rPr>
                      <w:rFonts w:ascii="Arial" w:hAnsi="Arial" w:cs="Arial"/>
                      <w:b/>
                      <w:bCs/>
                      <w:color w:val="000000"/>
                      <w:sz w:val="20"/>
                      <w:szCs w:val="20"/>
                      <w:lang w:eastAsia="sl-SI"/>
                    </w:rPr>
                  </w:pPr>
                  <w:r w:rsidRPr="007A0AE5">
                    <w:rPr>
                      <w:rFonts w:ascii="Arial" w:hAnsi="Arial" w:cs="Arial"/>
                      <w:b/>
                      <w:bCs/>
                      <w:color w:val="000000"/>
                      <w:sz w:val="20"/>
                      <w:szCs w:val="20"/>
                      <w:lang w:eastAsia="sl-SI"/>
                    </w:rPr>
                    <w:t>Skupaj</w:t>
                  </w:r>
                </w:p>
              </w:tc>
              <w:tc>
                <w:tcPr>
                  <w:tcW w:w="1440" w:type="dxa"/>
                  <w:tcBorders>
                    <w:top w:val="nil"/>
                    <w:left w:val="nil"/>
                    <w:bottom w:val="nil"/>
                    <w:right w:val="single" w:sz="4" w:space="0" w:color="auto"/>
                  </w:tcBorders>
                  <w:shd w:val="clear" w:color="auto" w:fill="auto"/>
                  <w:noWrap/>
                  <w:vAlign w:val="bottom"/>
                  <w:hideMark/>
                </w:tcPr>
                <w:p w:rsidR="005F54AF" w:rsidRPr="007A0AE5" w:rsidRDefault="005F54AF">
                  <w:pPr>
                    <w:jc w:val="right"/>
                    <w:rPr>
                      <w:rFonts w:ascii="Arial" w:hAnsi="Arial" w:cs="Arial"/>
                      <w:b/>
                      <w:bCs/>
                      <w:color w:val="000000"/>
                      <w:sz w:val="20"/>
                      <w:szCs w:val="20"/>
                    </w:rPr>
                  </w:pPr>
                  <w:r w:rsidRPr="007A0AE5">
                    <w:rPr>
                      <w:rFonts w:ascii="Arial" w:hAnsi="Arial" w:cs="Arial"/>
                      <w:b/>
                      <w:bCs/>
                      <w:color w:val="000000"/>
                      <w:sz w:val="20"/>
                      <w:szCs w:val="20"/>
                    </w:rPr>
                    <w:t>16.392.376,00</w:t>
                  </w:r>
                </w:p>
              </w:tc>
              <w:tc>
                <w:tcPr>
                  <w:tcW w:w="2079" w:type="dxa"/>
                  <w:tcBorders>
                    <w:top w:val="nil"/>
                    <w:left w:val="nil"/>
                    <w:bottom w:val="nil"/>
                    <w:right w:val="single" w:sz="4" w:space="0" w:color="auto"/>
                  </w:tcBorders>
                  <w:shd w:val="clear" w:color="auto" w:fill="auto"/>
                  <w:noWrap/>
                  <w:vAlign w:val="bottom"/>
                  <w:hideMark/>
                </w:tcPr>
                <w:p w:rsidR="005F54AF" w:rsidRPr="007A0AE5" w:rsidRDefault="005F54AF">
                  <w:pPr>
                    <w:jc w:val="right"/>
                    <w:rPr>
                      <w:rFonts w:ascii="Arial" w:hAnsi="Arial" w:cs="Arial"/>
                      <w:b/>
                      <w:bCs/>
                      <w:color w:val="000000"/>
                      <w:sz w:val="20"/>
                      <w:szCs w:val="20"/>
                    </w:rPr>
                  </w:pPr>
                  <w:r w:rsidRPr="007A0AE5">
                    <w:rPr>
                      <w:rFonts w:ascii="Arial" w:hAnsi="Arial" w:cs="Arial"/>
                      <w:b/>
                      <w:bCs/>
                      <w:color w:val="000000"/>
                      <w:sz w:val="20"/>
                      <w:szCs w:val="20"/>
                    </w:rPr>
                    <w:t>30.245.079,00</w:t>
                  </w:r>
                </w:p>
              </w:tc>
            </w:tr>
            <w:tr w:rsidR="005F54AF" w:rsidRPr="007A0AE5" w:rsidTr="003A71F0">
              <w:trPr>
                <w:trHeight w:val="259"/>
              </w:trPr>
              <w:tc>
                <w:tcPr>
                  <w:tcW w:w="3601" w:type="dxa"/>
                  <w:tcBorders>
                    <w:top w:val="nil"/>
                    <w:left w:val="single" w:sz="4" w:space="0" w:color="auto"/>
                    <w:bottom w:val="single" w:sz="4" w:space="0" w:color="auto"/>
                    <w:right w:val="single" w:sz="4" w:space="0" w:color="auto"/>
                  </w:tcBorders>
                  <w:shd w:val="clear" w:color="auto" w:fill="auto"/>
                  <w:noWrap/>
                  <w:vAlign w:val="bottom"/>
                </w:tcPr>
                <w:p w:rsidR="005F54AF" w:rsidRPr="007A0AE5" w:rsidRDefault="005F54AF" w:rsidP="00BF50D1">
                  <w:pPr>
                    <w:suppressAutoHyphens w:val="0"/>
                    <w:rPr>
                      <w:rFonts w:ascii="Arial" w:hAnsi="Arial" w:cs="Arial"/>
                      <w:b/>
                      <w:bCs/>
                      <w:color w:val="000000"/>
                      <w:sz w:val="20"/>
                      <w:szCs w:val="20"/>
                      <w:lang w:eastAsia="sl-SI"/>
                    </w:rPr>
                  </w:pPr>
                </w:p>
              </w:tc>
              <w:tc>
                <w:tcPr>
                  <w:tcW w:w="1440" w:type="dxa"/>
                  <w:tcBorders>
                    <w:top w:val="nil"/>
                    <w:left w:val="nil"/>
                    <w:bottom w:val="single" w:sz="4" w:space="0" w:color="auto"/>
                    <w:right w:val="single" w:sz="4" w:space="0" w:color="auto"/>
                  </w:tcBorders>
                  <w:shd w:val="clear" w:color="auto" w:fill="auto"/>
                  <w:noWrap/>
                  <w:vAlign w:val="bottom"/>
                </w:tcPr>
                <w:p w:rsidR="005F54AF" w:rsidRPr="007A0AE5" w:rsidRDefault="005F54AF" w:rsidP="00BF50D1">
                  <w:pPr>
                    <w:suppressAutoHyphens w:val="0"/>
                    <w:jc w:val="right"/>
                    <w:rPr>
                      <w:rFonts w:ascii="Arial" w:hAnsi="Arial" w:cs="Arial"/>
                      <w:b/>
                      <w:bCs/>
                      <w:color w:val="000000"/>
                      <w:sz w:val="20"/>
                      <w:szCs w:val="20"/>
                      <w:lang w:eastAsia="sl-SI"/>
                    </w:rPr>
                  </w:pPr>
                </w:p>
              </w:tc>
              <w:tc>
                <w:tcPr>
                  <w:tcW w:w="2079" w:type="dxa"/>
                  <w:tcBorders>
                    <w:top w:val="nil"/>
                    <w:left w:val="nil"/>
                    <w:bottom w:val="single" w:sz="4" w:space="0" w:color="auto"/>
                    <w:right w:val="single" w:sz="4" w:space="0" w:color="auto"/>
                  </w:tcBorders>
                  <w:shd w:val="clear" w:color="auto" w:fill="auto"/>
                  <w:noWrap/>
                  <w:vAlign w:val="bottom"/>
                </w:tcPr>
                <w:p w:rsidR="005F54AF" w:rsidRPr="007A0AE5" w:rsidRDefault="005F54AF" w:rsidP="00BF50D1">
                  <w:pPr>
                    <w:suppressAutoHyphens w:val="0"/>
                    <w:jc w:val="right"/>
                    <w:rPr>
                      <w:rFonts w:ascii="Arial" w:hAnsi="Arial" w:cs="Arial"/>
                      <w:b/>
                      <w:bCs/>
                      <w:color w:val="000000"/>
                      <w:sz w:val="20"/>
                      <w:szCs w:val="20"/>
                      <w:lang w:eastAsia="sl-SI"/>
                    </w:rPr>
                  </w:pPr>
                </w:p>
              </w:tc>
            </w:tr>
          </w:tbl>
          <w:p w:rsidR="00DA345B" w:rsidRDefault="0088353B" w:rsidP="002C4BAC">
            <w:pPr>
              <w:pStyle w:val="Oddelek"/>
              <w:widowControl w:val="0"/>
              <w:numPr>
                <w:ilvl w:val="0"/>
                <w:numId w:val="0"/>
              </w:numPr>
              <w:spacing w:before="40" w:afterLines="40" w:after="96" w:line="260" w:lineRule="atLeast"/>
              <w:jc w:val="both"/>
              <w:rPr>
                <w:b w:val="0"/>
                <w:sz w:val="20"/>
                <w:szCs w:val="20"/>
              </w:rPr>
            </w:pPr>
            <w:r>
              <w:rPr>
                <w:b w:val="0"/>
                <w:sz w:val="20"/>
                <w:szCs w:val="20"/>
              </w:rPr>
              <w:t>Največ sredstev je, glede na razpoložljiva sredstva namenskih skladov in sredstev MzI, predvideno za izvedbo ukrepov s področja elektromobilnosti.</w:t>
            </w:r>
            <w:r w:rsidR="001F205D">
              <w:t xml:space="preserve"> </w:t>
            </w:r>
            <w:r w:rsidR="00A537D1" w:rsidRPr="00A537D1">
              <w:rPr>
                <w:b w:val="0"/>
                <w:sz w:val="20"/>
              </w:rPr>
              <w:t>V letu 2020</w:t>
            </w:r>
            <w:r w:rsidR="00A537D1" w:rsidRPr="00A537D1">
              <w:rPr>
                <w:sz w:val="20"/>
              </w:rPr>
              <w:t xml:space="preserve"> </w:t>
            </w:r>
            <w:r w:rsidR="00A537D1">
              <w:rPr>
                <w:b w:val="0"/>
                <w:sz w:val="20"/>
                <w:szCs w:val="20"/>
              </w:rPr>
              <w:t>in 2021 se predvideva predvsem sofinanciranje n</w:t>
            </w:r>
            <w:r w:rsidR="007A0AE5">
              <w:rPr>
                <w:b w:val="0"/>
                <w:sz w:val="20"/>
                <w:szCs w:val="20"/>
              </w:rPr>
              <w:t>akupa</w:t>
            </w:r>
            <w:r w:rsidR="005F54AF">
              <w:rPr>
                <w:b w:val="0"/>
                <w:sz w:val="20"/>
                <w:szCs w:val="20"/>
              </w:rPr>
              <w:t xml:space="preserve"> vozil </w:t>
            </w:r>
            <w:r w:rsidR="00E479AA">
              <w:rPr>
                <w:b w:val="0"/>
                <w:sz w:val="20"/>
                <w:szCs w:val="20"/>
              </w:rPr>
              <w:t xml:space="preserve">in vzpostavitev </w:t>
            </w:r>
            <w:r w:rsidR="00CD2EC8">
              <w:rPr>
                <w:b w:val="0"/>
                <w:sz w:val="20"/>
                <w:szCs w:val="20"/>
              </w:rPr>
              <w:t xml:space="preserve">ustrezne </w:t>
            </w:r>
            <w:r w:rsidR="00E479AA">
              <w:rPr>
                <w:b w:val="0"/>
                <w:sz w:val="20"/>
                <w:szCs w:val="20"/>
              </w:rPr>
              <w:t xml:space="preserve">polnilne infrastrukture. </w:t>
            </w:r>
            <w:r w:rsidR="00CD4B64">
              <w:rPr>
                <w:b w:val="0"/>
                <w:sz w:val="20"/>
                <w:szCs w:val="20"/>
              </w:rPr>
              <w:t>Poleg sofinanciranja nakupa vo</w:t>
            </w:r>
            <w:r w:rsidR="007A0AE5">
              <w:rPr>
                <w:b w:val="0"/>
                <w:sz w:val="20"/>
                <w:szCs w:val="20"/>
              </w:rPr>
              <w:t xml:space="preserve">zil, ki jih izvaja Eko sklad </w:t>
            </w:r>
            <w:r w:rsidR="00CD4B64">
              <w:rPr>
                <w:b w:val="0"/>
                <w:sz w:val="20"/>
                <w:szCs w:val="20"/>
              </w:rPr>
              <w:t xml:space="preserve">bo možno pridobiti tudi nepovratna sredstva oz. ugodne kredite za nakup vozil ali </w:t>
            </w:r>
            <w:r w:rsidR="00E479AA">
              <w:rPr>
                <w:b w:val="0"/>
                <w:sz w:val="20"/>
                <w:szCs w:val="20"/>
              </w:rPr>
              <w:t xml:space="preserve">vzpostavitev polnilne infrastrukture </w:t>
            </w:r>
            <w:r w:rsidR="00682496">
              <w:rPr>
                <w:b w:val="0"/>
                <w:sz w:val="20"/>
                <w:szCs w:val="20"/>
              </w:rPr>
              <w:t>ter možnost kombiniranja</w:t>
            </w:r>
            <w:r w:rsidR="00CD4B64">
              <w:rPr>
                <w:b w:val="0"/>
                <w:sz w:val="20"/>
                <w:szCs w:val="20"/>
              </w:rPr>
              <w:t xml:space="preserve"> povratnih in nepovratnih </w:t>
            </w:r>
            <w:r w:rsidR="007A0AE5">
              <w:rPr>
                <w:b w:val="0"/>
                <w:sz w:val="20"/>
                <w:szCs w:val="20"/>
              </w:rPr>
              <w:t>sredstev.</w:t>
            </w:r>
            <w:r w:rsidR="00772C4A">
              <w:rPr>
                <w:b w:val="0"/>
                <w:sz w:val="20"/>
                <w:szCs w:val="20"/>
              </w:rPr>
              <w:t xml:space="preserve"> </w:t>
            </w:r>
            <w:r w:rsidR="007A0AE5">
              <w:rPr>
                <w:b w:val="0"/>
                <w:sz w:val="20"/>
                <w:szCs w:val="20"/>
              </w:rPr>
              <w:t xml:space="preserve">Izpad </w:t>
            </w:r>
            <w:r w:rsidR="001F205D">
              <w:rPr>
                <w:b w:val="0"/>
                <w:sz w:val="20"/>
                <w:szCs w:val="20"/>
              </w:rPr>
              <w:t xml:space="preserve">prihodkov Proračuna RS pa bi </w:t>
            </w:r>
            <w:r w:rsidR="001F205D" w:rsidRPr="00772C4A">
              <w:rPr>
                <w:b w:val="0"/>
                <w:sz w:val="20"/>
                <w:szCs w:val="20"/>
              </w:rPr>
              <w:t xml:space="preserve">prinesle spremembe </w:t>
            </w:r>
            <w:r w:rsidR="00D46D3B" w:rsidRPr="00772C4A">
              <w:rPr>
                <w:b w:val="0"/>
                <w:sz w:val="20"/>
                <w:szCs w:val="20"/>
              </w:rPr>
              <w:t xml:space="preserve">zakonodaje vezane na trošarinsko politiko in okoljske dajatve za vozila na plin. </w:t>
            </w:r>
            <w:r w:rsidR="00772C4A" w:rsidRPr="00772C4A">
              <w:rPr>
                <w:b w:val="0"/>
                <w:sz w:val="20"/>
                <w:szCs w:val="20"/>
              </w:rPr>
              <w:t xml:space="preserve">Največ sredstev za področje uvajanja plina </w:t>
            </w:r>
            <w:r w:rsidR="00682496" w:rsidRPr="00772C4A">
              <w:rPr>
                <w:b w:val="0"/>
                <w:sz w:val="20"/>
                <w:szCs w:val="20"/>
              </w:rPr>
              <w:t>se predvideva za ukrepe spodbujanja uporabe stisnjenega zemeljskega plina (SZP) in sicer</w:t>
            </w:r>
            <w:r w:rsidR="00DA345B" w:rsidRPr="00772C4A">
              <w:rPr>
                <w:b w:val="0"/>
                <w:sz w:val="20"/>
                <w:szCs w:val="20"/>
              </w:rPr>
              <w:t xml:space="preserve"> za sofinanciranje nakupa in kreditiranja vozil. </w:t>
            </w:r>
          </w:p>
          <w:p w:rsidR="00925522" w:rsidRDefault="00265F56" w:rsidP="002C4BAC">
            <w:pPr>
              <w:pStyle w:val="Oddelek"/>
              <w:widowControl w:val="0"/>
              <w:numPr>
                <w:ilvl w:val="0"/>
                <w:numId w:val="0"/>
              </w:numPr>
              <w:spacing w:before="40" w:afterLines="40" w:after="96" w:line="260" w:lineRule="atLeast"/>
              <w:jc w:val="both"/>
              <w:rPr>
                <w:b w:val="0"/>
                <w:sz w:val="20"/>
                <w:szCs w:val="20"/>
              </w:rPr>
            </w:pPr>
            <w:r w:rsidRPr="00772C4A">
              <w:rPr>
                <w:b w:val="0"/>
                <w:sz w:val="20"/>
                <w:szCs w:val="20"/>
              </w:rPr>
              <w:t xml:space="preserve">Slovenija bo spodbujala tudi uvajanje vodikovih tehnologij, sredstva za sofinanciranje </w:t>
            </w:r>
            <w:r w:rsidR="00DA345B" w:rsidRPr="00772C4A">
              <w:rPr>
                <w:b w:val="0"/>
                <w:sz w:val="20"/>
                <w:szCs w:val="20"/>
              </w:rPr>
              <w:t xml:space="preserve">vozil ter kreditiranje nakupa vozil zagotavlja Eko sklad iz namenskega premoženja ter </w:t>
            </w:r>
            <w:r w:rsidR="009B68FE" w:rsidRPr="00772C4A">
              <w:rPr>
                <w:b w:val="0"/>
                <w:sz w:val="20"/>
                <w:szCs w:val="20"/>
              </w:rPr>
              <w:t xml:space="preserve">iz prispevkov </w:t>
            </w:r>
            <w:r w:rsidR="00DA345B" w:rsidRPr="00772C4A">
              <w:rPr>
                <w:b w:val="0"/>
                <w:sz w:val="20"/>
                <w:szCs w:val="20"/>
              </w:rPr>
              <w:t>na podlagi Uredbe o zagotavljanju prihrankov energije.</w:t>
            </w:r>
            <w:r w:rsidR="00DA345B">
              <w:rPr>
                <w:b w:val="0"/>
                <w:sz w:val="20"/>
                <w:szCs w:val="20"/>
              </w:rPr>
              <w:t xml:space="preserve"> </w:t>
            </w:r>
          </w:p>
          <w:tbl>
            <w:tblPr>
              <w:tblW w:w="9283" w:type="dxa"/>
              <w:tblCellMar>
                <w:left w:w="70" w:type="dxa"/>
                <w:right w:w="70" w:type="dxa"/>
              </w:tblCellMar>
              <w:tblLook w:val="04A0" w:firstRow="1" w:lastRow="0" w:firstColumn="1" w:lastColumn="0" w:noHBand="0" w:noVBand="1"/>
            </w:tblPr>
            <w:tblGrid>
              <w:gridCol w:w="2098"/>
              <w:gridCol w:w="1390"/>
              <w:gridCol w:w="1379"/>
              <w:gridCol w:w="4416"/>
            </w:tblGrid>
            <w:tr w:rsidR="00A537D1" w:rsidRPr="00A537D1" w:rsidTr="009D3DF0">
              <w:trPr>
                <w:trHeight w:val="405"/>
              </w:trPr>
              <w:tc>
                <w:tcPr>
                  <w:tcW w:w="9283" w:type="dxa"/>
                  <w:gridSpan w:val="4"/>
                  <w:tcBorders>
                    <w:top w:val="single" w:sz="8" w:space="0" w:color="auto"/>
                    <w:left w:val="single" w:sz="8" w:space="0" w:color="auto"/>
                    <w:bottom w:val="single" w:sz="8" w:space="0" w:color="auto"/>
                    <w:right w:val="single" w:sz="8" w:space="0" w:color="000000"/>
                  </w:tcBorders>
                  <w:shd w:val="clear" w:color="000000" w:fill="B4C6E7"/>
                  <w:hideMark/>
                </w:tcPr>
                <w:p w:rsidR="00A537D1" w:rsidRPr="00A537D1" w:rsidRDefault="00A537D1" w:rsidP="00A537D1">
                  <w:pPr>
                    <w:suppressAutoHyphens w:val="0"/>
                    <w:jc w:val="both"/>
                    <w:rPr>
                      <w:rFonts w:ascii="Arial" w:hAnsi="Arial" w:cs="Arial"/>
                      <w:color w:val="000000"/>
                      <w:sz w:val="18"/>
                      <w:szCs w:val="18"/>
                      <w:lang w:eastAsia="sl-SI"/>
                    </w:rPr>
                  </w:pPr>
                  <w:r w:rsidRPr="00A537D1">
                    <w:rPr>
                      <w:rFonts w:ascii="Arial" w:hAnsi="Arial" w:cs="Arial"/>
                      <w:color w:val="000000"/>
                      <w:sz w:val="18"/>
                      <w:szCs w:val="18"/>
                      <w:lang w:eastAsia="sl-SI"/>
                    </w:rPr>
                    <w:t>Vsi ukrepi na področju elektro mobilnosti (v EUR)</w:t>
                  </w:r>
                </w:p>
              </w:tc>
            </w:tr>
            <w:tr w:rsidR="00A537D1" w:rsidRPr="00A537D1" w:rsidTr="009D3DF0">
              <w:trPr>
                <w:trHeight w:val="615"/>
              </w:trPr>
              <w:tc>
                <w:tcPr>
                  <w:tcW w:w="2098" w:type="dxa"/>
                  <w:tcBorders>
                    <w:top w:val="nil"/>
                    <w:left w:val="single" w:sz="8" w:space="0" w:color="auto"/>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Leto</w:t>
                  </w:r>
                </w:p>
              </w:tc>
              <w:tc>
                <w:tcPr>
                  <w:tcW w:w="1390"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2020</w:t>
                  </w:r>
                </w:p>
              </w:tc>
              <w:tc>
                <w:tcPr>
                  <w:tcW w:w="1379"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2021</w:t>
                  </w:r>
                </w:p>
              </w:tc>
              <w:tc>
                <w:tcPr>
                  <w:tcW w:w="4416" w:type="dxa"/>
                  <w:tcBorders>
                    <w:top w:val="nil"/>
                    <w:left w:val="nil"/>
                    <w:bottom w:val="single" w:sz="8" w:space="0" w:color="auto"/>
                    <w:right w:val="single" w:sz="8" w:space="0" w:color="auto"/>
                  </w:tcBorders>
                  <w:shd w:val="clear" w:color="auto" w:fill="auto"/>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w:t>
                  </w:r>
                </w:p>
              </w:tc>
            </w:tr>
            <w:tr w:rsidR="005F54AF" w:rsidRPr="00A537D1" w:rsidTr="009D3DF0">
              <w:trPr>
                <w:trHeight w:val="1125"/>
              </w:trPr>
              <w:tc>
                <w:tcPr>
                  <w:tcW w:w="2098"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SKUPAJ E</w:t>
                  </w:r>
                </w:p>
              </w:tc>
              <w:tc>
                <w:tcPr>
                  <w:tcW w:w="139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13.560.660,00</w:t>
                  </w:r>
                </w:p>
              </w:tc>
              <w:tc>
                <w:tcPr>
                  <w:tcW w:w="137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19.999.939,00</w:t>
                  </w:r>
                </w:p>
              </w:tc>
              <w:tc>
                <w:tcPr>
                  <w:tcW w:w="4416"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Zagotovljena sredstva v Proračunu RS, v namenskih skladih ali poslovnih načrtih organov državne uprave</w:t>
                  </w:r>
                </w:p>
              </w:tc>
            </w:tr>
            <w:tr w:rsidR="005F54AF" w:rsidRPr="00A537D1" w:rsidTr="009D3DF0">
              <w:trPr>
                <w:trHeight w:val="885"/>
              </w:trPr>
              <w:tc>
                <w:tcPr>
                  <w:tcW w:w="2098"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SKUPAJ</w:t>
                  </w:r>
                </w:p>
              </w:tc>
              <w:tc>
                <w:tcPr>
                  <w:tcW w:w="139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0,00</w:t>
                  </w:r>
                </w:p>
              </w:tc>
              <w:tc>
                <w:tcPr>
                  <w:tcW w:w="137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0,00</w:t>
                  </w:r>
                </w:p>
              </w:tc>
              <w:tc>
                <w:tcPr>
                  <w:tcW w:w="4416"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Izpad javnih prihodkov - Proračuna RS ter občinskih proračunov zaradi ukrepov </w:t>
                  </w:r>
                </w:p>
              </w:tc>
            </w:tr>
            <w:tr w:rsidR="005F54AF" w:rsidRPr="00A537D1" w:rsidTr="009D3DF0">
              <w:trPr>
                <w:trHeight w:val="735"/>
              </w:trPr>
              <w:tc>
                <w:tcPr>
                  <w:tcW w:w="2098"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SKUPAJ VSE EL.  MOBILNOST</w:t>
                  </w:r>
                </w:p>
              </w:tc>
              <w:tc>
                <w:tcPr>
                  <w:tcW w:w="139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color w:val="000000"/>
                      <w:sz w:val="18"/>
                      <w:szCs w:val="18"/>
                    </w:rPr>
                  </w:pPr>
                  <w:r w:rsidRPr="00772C4A">
                    <w:rPr>
                      <w:rFonts w:ascii="Arial" w:hAnsi="Arial" w:cs="Arial"/>
                      <w:b/>
                      <w:color w:val="000000"/>
                      <w:sz w:val="18"/>
                      <w:szCs w:val="18"/>
                    </w:rPr>
                    <w:t>13.560.660,00</w:t>
                  </w:r>
                </w:p>
              </w:tc>
              <w:tc>
                <w:tcPr>
                  <w:tcW w:w="137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color w:val="000000"/>
                      <w:sz w:val="18"/>
                      <w:szCs w:val="18"/>
                    </w:rPr>
                  </w:pPr>
                  <w:r w:rsidRPr="00772C4A">
                    <w:rPr>
                      <w:rFonts w:ascii="Arial" w:hAnsi="Arial" w:cs="Arial"/>
                      <w:b/>
                      <w:color w:val="000000"/>
                      <w:sz w:val="18"/>
                      <w:szCs w:val="18"/>
                    </w:rPr>
                    <w:t>19.999.939,00</w:t>
                  </w:r>
                </w:p>
              </w:tc>
              <w:tc>
                <w:tcPr>
                  <w:tcW w:w="4416" w:type="dxa"/>
                  <w:tcBorders>
                    <w:top w:val="nil"/>
                    <w:left w:val="nil"/>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Ocena vseh javnofinančnih posledic izvedenih ukrepov v posameznih letih</w:t>
                  </w:r>
                </w:p>
              </w:tc>
            </w:tr>
          </w:tbl>
          <w:p w:rsidR="00A537D1" w:rsidRDefault="00A537D1" w:rsidP="002C4BAC">
            <w:pPr>
              <w:pStyle w:val="Oddelek"/>
              <w:widowControl w:val="0"/>
              <w:numPr>
                <w:ilvl w:val="0"/>
                <w:numId w:val="0"/>
              </w:numPr>
              <w:spacing w:before="40" w:afterLines="40" w:after="96" w:line="260" w:lineRule="atLeast"/>
              <w:jc w:val="both"/>
              <w:rPr>
                <w:b w:val="0"/>
                <w:sz w:val="20"/>
                <w:szCs w:val="20"/>
              </w:rPr>
            </w:pPr>
          </w:p>
          <w:tbl>
            <w:tblPr>
              <w:tblW w:w="9509" w:type="dxa"/>
              <w:tblCellMar>
                <w:left w:w="70" w:type="dxa"/>
                <w:right w:w="70" w:type="dxa"/>
              </w:tblCellMar>
              <w:tblLook w:val="04A0" w:firstRow="1" w:lastRow="0" w:firstColumn="1" w:lastColumn="0" w:noHBand="0" w:noVBand="1"/>
            </w:tblPr>
            <w:tblGrid>
              <w:gridCol w:w="2187"/>
              <w:gridCol w:w="1239"/>
              <w:gridCol w:w="1240"/>
              <w:gridCol w:w="4843"/>
            </w:tblGrid>
            <w:tr w:rsidR="00A537D1" w:rsidRPr="00A537D1" w:rsidTr="00A537D1">
              <w:trPr>
                <w:trHeight w:val="315"/>
              </w:trPr>
              <w:tc>
                <w:tcPr>
                  <w:tcW w:w="9509" w:type="dxa"/>
                  <w:gridSpan w:val="4"/>
                  <w:tcBorders>
                    <w:top w:val="single" w:sz="8" w:space="0" w:color="auto"/>
                    <w:left w:val="single" w:sz="8" w:space="0" w:color="auto"/>
                    <w:bottom w:val="single" w:sz="8" w:space="0" w:color="auto"/>
                    <w:right w:val="single" w:sz="8" w:space="0" w:color="000000"/>
                  </w:tcBorders>
                  <w:shd w:val="clear" w:color="000000" w:fill="B4C6E7"/>
                  <w:hideMark/>
                </w:tcPr>
                <w:p w:rsidR="00A537D1" w:rsidRPr="00A537D1" w:rsidRDefault="00A537D1" w:rsidP="00A537D1">
                  <w:pPr>
                    <w:suppressAutoHyphens w:val="0"/>
                    <w:jc w:val="both"/>
                    <w:rPr>
                      <w:rFonts w:ascii="Arial" w:hAnsi="Arial" w:cs="Arial"/>
                      <w:color w:val="000000"/>
                      <w:sz w:val="18"/>
                      <w:szCs w:val="18"/>
                      <w:lang w:eastAsia="sl-SI"/>
                    </w:rPr>
                  </w:pPr>
                  <w:r w:rsidRPr="00A537D1">
                    <w:rPr>
                      <w:rFonts w:ascii="Arial" w:hAnsi="Arial" w:cs="Arial"/>
                      <w:color w:val="000000"/>
                      <w:sz w:val="18"/>
                      <w:szCs w:val="18"/>
                      <w:lang w:eastAsia="sl-SI"/>
                    </w:rPr>
                    <w:t>Ukrepi na področju uvajanja plinov kot alternativnih goriv (v EUR)</w:t>
                  </w:r>
                </w:p>
              </w:tc>
            </w:tr>
            <w:tr w:rsidR="00A537D1" w:rsidRPr="00A537D1" w:rsidTr="005F54AF">
              <w:trPr>
                <w:trHeight w:val="315"/>
              </w:trPr>
              <w:tc>
                <w:tcPr>
                  <w:tcW w:w="2187" w:type="dxa"/>
                  <w:tcBorders>
                    <w:top w:val="nil"/>
                    <w:left w:val="single" w:sz="8" w:space="0" w:color="auto"/>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Leto</w:t>
                  </w:r>
                </w:p>
              </w:tc>
              <w:tc>
                <w:tcPr>
                  <w:tcW w:w="1239"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2020</w:t>
                  </w:r>
                </w:p>
              </w:tc>
              <w:tc>
                <w:tcPr>
                  <w:tcW w:w="1240"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2021</w:t>
                  </w:r>
                </w:p>
              </w:tc>
              <w:tc>
                <w:tcPr>
                  <w:tcW w:w="4843" w:type="dxa"/>
                  <w:tcBorders>
                    <w:top w:val="nil"/>
                    <w:left w:val="nil"/>
                    <w:bottom w:val="single" w:sz="8" w:space="0" w:color="auto"/>
                    <w:right w:val="single" w:sz="8" w:space="0" w:color="auto"/>
                  </w:tcBorders>
                  <w:shd w:val="clear" w:color="auto" w:fill="auto"/>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w:t>
                  </w:r>
                </w:p>
              </w:tc>
            </w:tr>
            <w:tr w:rsidR="005F54AF" w:rsidRPr="00A537D1" w:rsidTr="005F54AF">
              <w:trPr>
                <w:trHeight w:val="990"/>
              </w:trPr>
              <w:tc>
                <w:tcPr>
                  <w:tcW w:w="2187"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SKUPAJ </w:t>
                  </w:r>
                  <w:r>
                    <w:rPr>
                      <w:rFonts w:ascii="Arial" w:hAnsi="Arial" w:cs="Arial"/>
                      <w:color w:val="000000"/>
                      <w:sz w:val="18"/>
                      <w:szCs w:val="18"/>
                      <w:lang w:eastAsia="sl-SI"/>
                    </w:rPr>
                    <w:t>PLIN</w:t>
                  </w:r>
                </w:p>
              </w:tc>
              <w:tc>
                <w:tcPr>
                  <w:tcW w:w="123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2.251.828,00</w:t>
                  </w:r>
                </w:p>
              </w:tc>
              <w:tc>
                <w:tcPr>
                  <w:tcW w:w="124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4.064.296,00</w:t>
                  </w:r>
                </w:p>
              </w:tc>
              <w:tc>
                <w:tcPr>
                  <w:tcW w:w="4843"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Zagotovljena sredstva v Proračunu RS, v namenskih skladih ali poslovnih načrtih organov državne uprave</w:t>
                  </w:r>
                </w:p>
              </w:tc>
            </w:tr>
            <w:tr w:rsidR="005F54AF" w:rsidRPr="00A537D1" w:rsidTr="005F54AF">
              <w:trPr>
                <w:trHeight w:val="750"/>
              </w:trPr>
              <w:tc>
                <w:tcPr>
                  <w:tcW w:w="2187"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SKUPAJ</w:t>
                  </w:r>
                </w:p>
              </w:tc>
              <w:tc>
                <w:tcPr>
                  <w:tcW w:w="123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579.888,00</w:t>
                  </w:r>
                </w:p>
              </w:tc>
              <w:tc>
                <w:tcPr>
                  <w:tcW w:w="124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4.293.844,00</w:t>
                  </w:r>
                </w:p>
              </w:tc>
              <w:tc>
                <w:tcPr>
                  <w:tcW w:w="4843"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Izpad javnih prihodkov - Proračuna RS ter občinskih proračunov zaradi ukrepov </w:t>
                  </w:r>
                </w:p>
              </w:tc>
            </w:tr>
            <w:tr w:rsidR="005F54AF" w:rsidRPr="00A537D1" w:rsidTr="005F54AF">
              <w:trPr>
                <w:trHeight w:val="735"/>
              </w:trPr>
              <w:tc>
                <w:tcPr>
                  <w:tcW w:w="2187"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682AF6">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SKUPAJ VSE </w:t>
                  </w:r>
                  <w:r>
                    <w:rPr>
                      <w:rFonts w:ascii="Arial" w:hAnsi="Arial" w:cs="Arial"/>
                      <w:color w:val="000000"/>
                      <w:sz w:val="18"/>
                      <w:szCs w:val="18"/>
                      <w:lang w:eastAsia="sl-SI"/>
                    </w:rPr>
                    <w:t>PLIN</w:t>
                  </w:r>
                </w:p>
              </w:tc>
              <w:tc>
                <w:tcPr>
                  <w:tcW w:w="1239"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bCs/>
                      <w:color w:val="000000"/>
                      <w:sz w:val="18"/>
                      <w:szCs w:val="18"/>
                    </w:rPr>
                  </w:pPr>
                  <w:r w:rsidRPr="00772C4A">
                    <w:rPr>
                      <w:rFonts w:ascii="Arial" w:hAnsi="Arial" w:cs="Arial"/>
                      <w:b/>
                      <w:bCs/>
                      <w:color w:val="000000"/>
                      <w:sz w:val="18"/>
                      <w:szCs w:val="18"/>
                    </w:rPr>
                    <w:t>2.831.716,00</w:t>
                  </w:r>
                </w:p>
              </w:tc>
              <w:tc>
                <w:tcPr>
                  <w:tcW w:w="1240"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bCs/>
                      <w:color w:val="000000"/>
                      <w:sz w:val="18"/>
                      <w:szCs w:val="18"/>
                    </w:rPr>
                  </w:pPr>
                  <w:r w:rsidRPr="00772C4A">
                    <w:rPr>
                      <w:rFonts w:ascii="Arial" w:hAnsi="Arial" w:cs="Arial"/>
                      <w:b/>
                      <w:bCs/>
                      <w:color w:val="000000"/>
                      <w:sz w:val="18"/>
                      <w:szCs w:val="18"/>
                    </w:rPr>
                    <w:t>8.358.140,00</w:t>
                  </w:r>
                </w:p>
              </w:tc>
              <w:tc>
                <w:tcPr>
                  <w:tcW w:w="4843" w:type="dxa"/>
                  <w:tcBorders>
                    <w:top w:val="nil"/>
                    <w:left w:val="nil"/>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Ocena vseh javnofinančnih posledic izvedenih ukrepov v posameznih letih</w:t>
                  </w:r>
                </w:p>
              </w:tc>
            </w:tr>
          </w:tbl>
          <w:p w:rsidR="00A537D1" w:rsidRDefault="00A537D1" w:rsidP="002C4BAC">
            <w:pPr>
              <w:pStyle w:val="Oddelek"/>
              <w:widowControl w:val="0"/>
              <w:numPr>
                <w:ilvl w:val="0"/>
                <w:numId w:val="0"/>
              </w:numPr>
              <w:spacing w:before="40" w:afterLines="40" w:after="96" w:line="260" w:lineRule="atLeast"/>
              <w:jc w:val="both"/>
              <w:rPr>
                <w:b w:val="0"/>
                <w:sz w:val="20"/>
                <w:szCs w:val="20"/>
              </w:rPr>
            </w:pPr>
          </w:p>
          <w:tbl>
            <w:tblPr>
              <w:tblW w:w="9845" w:type="dxa"/>
              <w:tblCellMar>
                <w:left w:w="70" w:type="dxa"/>
                <w:right w:w="70" w:type="dxa"/>
              </w:tblCellMar>
              <w:tblLook w:val="04A0" w:firstRow="1" w:lastRow="0" w:firstColumn="1" w:lastColumn="0" w:noHBand="0" w:noVBand="1"/>
            </w:tblPr>
            <w:tblGrid>
              <w:gridCol w:w="2181"/>
              <w:gridCol w:w="1233"/>
              <w:gridCol w:w="1466"/>
              <w:gridCol w:w="4965"/>
            </w:tblGrid>
            <w:tr w:rsidR="00A537D1" w:rsidRPr="00A537D1" w:rsidTr="00772C4A">
              <w:trPr>
                <w:trHeight w:val="315"/>
              </w:trPr>
              <w:tc>
                <w:tcPr>
                  <w:tcW w:w="9845" w:type="dxa"/>
                  <w:gridSpan w:val="4"/>
                  <w:tcBorders>
                    <w:top w:val="single" w:sz="8" w:space="0" w:color="auto"/>
                    <w:left w:val="single" w:sz="8" w:space="0" w:color="auto"/>
                    <w:bottom w:val="single" w:sz="8" w:space="0" w:color="auto"/>
                    <w:right w:val="single" w:sz="8" w:space="0" w:color="000000"/>
                  </w:tcBorders>
                  <w:shd w:val="clear" w:color="000000" w:fill="B4C6E7"/>
                  <w:hideMark/>
                </w:tcPr>
                <w:p w:rsidR="00A537D1" w:rsidRPr="00A537D1" w:rsidRDefault="00A537D1" w:rsidP="00A537D1">
                  <w:pPr>
                    <w:suppressAutoHyphens w:val="0"/>
                    <w:jc w:val="both"/>
                    <w:rPr>
                      <w:rFonts w:ascii="Arial" w:hAnsi="Arial" w:cs="Arial"/>
                      <w:color w:val="000000"/>
                      <w:sz w:val="18"/>
                      <w:szCs w:val="18"/>
                      <w:lang w:eastAsia="sl-SI"/>
                    </w:rPr>
                  </w:pPr>
                  <w:r w:rsidRPr="00A537D1">
                    <w:rPr>
                      <w:rFonts w:ascii="Arial" w:hAnsi="Arial" w:cs="Arial"/>
                      <w:color w:val="000000"/>
                      <w:sz w:val="18"/>
                      <w:szCs w:val="18"/>
                      <w:lang w:eastAsia="sl-SI"/>
                    </w:rPr>
                    <w:t>Ukrepi na področju uvajanja vodika (v EUR)</w:t>
                  </w:r>
                </w:p>
              </w:tc>
            </w:tr>
            <w:tr w:rsidR="00A537D1" w:rsidRPr="00A537D1" w:rsidTr="00772C4A">
              <w:trPr>
                <w:trHeight w:val="315"/>
              </w:trPr>
              <w:tc>
                <w:tcPr>
                  <w:tcW w:w="2181" w:type="dxa"/>
                  <w:tcBorders>
                    <w:top w:val="nil"/>
                    <w:left w:val="single" w:sz="8" w:space="0" w:color="auto"/>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Leto</w:t>
                  </w:r>
                </w:p>
              </w:tc>
              <w:tc>
                <w:tcPr>
                  <w:tcW w:w="1233"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2020</w:t>
                  </w:r>
                </w:p>
              </w:tc>
              <w:tc>
                <w:tcPr>
                  <w:tcW w:w="1466" w:type="dxa"/>
                  <w:tcBorders>
                    <w:top w:val="nil"/>
                    <w:left w:val="nil"/>
                    <w:bottom w:val="single" w:sz="8" w:space="0" w:color="auto"/>
                    <w:right w:val="single" w:sz="8" w:space="0" w:color="auto"/>
                  </w:tcBorders>
                  <w:shd w:val="clear" w:color="000000" w:fill="B4C6E7"/>
                  <w:noWrap/>
                  <w:vAlign w:val="bottom"/>
                  <w:hideMark/>
                </w:tcPr>
                <w:p w:rsidR="00A537D1" w:rsidRPr="00A537D1" w:rsidRDefault="00A537D1" w:rsidP="00A537D1">
                  <w:pPr>
                    <w:suppressAutoHyphens w:val="0"/>
                    <w:jc w:val="center"/>
                    <w:rPr>
                      <w:rFonts w:ascii="Arial" w:hAnsi="Arial" w:cs="Arial"/>
                      <w:color w:val="000000"/>
                      <w:sz w:val="18"/>
                      <w:szCs w:val="18"/>
                      <w:lang w:eastAsia="sl-SI"/>
                    </w:rPr>
                  </w:pPr>
                  <w:r w:rsidRPr="00A537D1">
                    <w:rPr>
                      <w:rFonts w:ascii="Arial" w:hAnsi="Arial" w:cs="Arial"/>
                      <w:color w:val="000000"/>
                      <w:sz w:val="18"/>
                      <w:szCs w:val="18"/>
                      <w:lang w:eastAsia="sl-SI"/>
                    </w:rPr>
                    <w:t>2021</w:t>
                  </w:r>
                </w:p>
              </w:tc>
              <w:tc>
                <w:tcPr>
                  <w:tcW w:w="4965" w:type="dxa"/>
                  <w:tcBorders>
                    <w:top w:val="nil"/>
                    <w:left w:val="nil"/>
                    <w:bottom w:val="single" w:sz="8" w:space="0" w:color="auto"/>
                    <w:right w:val="single" w:sz="8" w:space="0" w:color="auto"/>
                  </w:tcBorders>
                  <w:shd w:val="clear" w:color="auto" w:fill="auto"/>
                  <w:vAlign w:val="bottom"/>
                  <w:hideMark/>
                </w:tcPr>
                <w:p w:rsidR="00A537D1" w:rsidRPr="00A537D1" w:rsidRDefault="00A537D1"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w:t>
                  </w:r>
                </w:p>
              </w:tc>
            </w:tr>
            <w:tr w:rsidR="005F54AF" w:rsidRPr="00A537D1" w:rsidTr="00772C4A">
              <w:trPr>
                <w:trHeight w:val="990"/>
              </w:trPr>
              <w:tc>
                <w:tcPr>
                  <w:tcW w:w="2181"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SKUPAJ </w:t>
                  </w:r>
                  <w:r>
                    <w:rPr>
                      <w:rFonts w:ascii="Arial" w:hAnsi="Arial" w:cs="Arial"/>
                      <w:color w:val="000000"/>
                      <w:sz w:val="18"/>
                      <w:szCs w:val="18"/>
                      <w:lang w:eastAsia="sl-SI"/>
                    </w:rPr>
                    <w:t>VODIK</w:t>
                  </w:r>
                </w:p>
              </w:tc>
              <w:tc>
                <w:tcPr>
                  <w:tcW w:w="1233"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0,00</w:t>
                  </w:r>
                </w:p>
              </w:tc>
              <w:tc>
                <w:tcPr>
                  <w:tcW w:w="1466"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1.887.000,00</w:t>
                  </w:r>
                </w:p>
              </w:tc>
              <w:tc>
                <w:tcPr>
                  <w:tcW w:w="4965"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Zagotovljena sredstva v Proračunu RS, v namenskih skladih ali poslovnih načrtih organov državne uprave</w:t>
                  </w:r>
                </w:p>
              </w:tc>
            </w:tr>
            <w:tr w:rsidR="005F54AF" w:rsidRPr="00A537D1" w:rsidTr="00772C4A">
              <w:trPr>
                <w:trHeight w:val="750"/>
              </w:trPr>
              <w:tc>
                <w:tcPr>
                  <w:tcW w:w="2181"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lastRenderedPageBreak/>
                    <w:t>SKUPAJ</w:t>
                  </w:r>
                </w:p>
              </w:tc>
              <w:tc>
                <w:tcPr>
                  <w:tcW w:w="1233"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0,00</w:t>
                  </w:r>
                </w:p>
              </w:tc>
              <w:tc>
                <w:tcPr>
                  <w:tcW w:w="1466"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color w:val="000000"/>
                      <w:sz w:val="18"/>
                      <w:szCs w:val="18"/>
                    </w:rPr>
                  </w:pPr>
                  <w:r w:rsidRPr="00772C4A">
                    <w:rPr>
                      <w:rFonts w:ascii="Arial" w:hAnsi="Arial" w:cs="Arial"/>
                      <w:color w:val="000000"/>
                      <w:sz w:val="18"/>
                      <w:szCs w:val="18"/>
                    </w:rPr>
                    <w:t>0,00</w:t>
                  </w:r>
                </w:p>
              </w:tc>
              <w:tc>
                <w:tcPr>
                  <w:tcW w:w="4965" w:type="dxa"/>
                  <w:tcBorders>
                    <w:top w:val="nil"/>
                    <w:left w:val="nil"/>
                    <w:bottom w:val="single" w:sz="8" w:space="0" w:color="auto"/>
                    <w:right w:val="single" w:sz="8" w:space="0" w:color="auto"/>
                  </w:tcBorders>
                  <w:shd w:val="clear" w:color="auto" w:fill="auto"/>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Izpad javnih prihodkov - Proračuna RS ter občinskih proračunov zaradi ukrepov </w:t>
                  </w:r>
                </w:p>
              </w:tc>
            </w:tr>
            <w:tr w:rsidR="005F54AF" w:rsidRPr="00A537D1" w:rsidTr="00772C4A">
              <w:trPr>
                <w:trHeight w:val="735"/>
              </w:trPr>
              <w:tc>
                <w:tcPr>
                  <w:tcW w:w="2181" w:type="dxa"/>
                  <w:tcBorders>
                    <w:top w:val="nil"/>
                    <w:left w:val="single" w:sz="8" w:space="0" w:color="auto"/>
                    <w:bottom w:val="single" w:sz="8" w:space="0" w:color="auto"/>
                    <w:right w:val="single" w:sz="8" w:space="0" w:color="auto"/>
                  </w:tcBorders>
                  <w:shd w:val="clear" w:color="auto" w:fill="auto"/>
                  <w:noWrap/>
                  <w:vAlign w:val="bottom"/>
                  <w:hideMark/>
                </w:tcPr>
                <w:p w:rsidR="005F54AF" w:rsidRPr="00A537D1" w:rsidRDefault="005F54AF" w:rsidP="00682AF6">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 xml:space="preserve">SKUPAJ VSE </w:t>
                  </w:r>
                  <w:r>
                    <w:rPr>
                      <w:rFonts w:ascii="Arial" w:hAnsi="Arial" w:cs="Arial"/>
                      <w:color w:val="000000"/>
                      <w:sz w:val="18"/>
                      <w:szCs w:val="18"/>
                      <w:lang w:eastAsia="sl-SI"/>
                    </w:rPr>
                    <w:t>VODIK</w:t>
                  </w:r>
                </w:p>
              </w:tc>
              <w:tc>
                <w:tcPr>
                  <w:tcW w:w="1233"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bCs/>
                      <w:color w:val="000000"/>
                      <w:sz w:val="18"/>
                      <w:szCs w:val="18"/>
                    </w:rPr>
                  </w:pPr>
                  <w:r w:rsidRPr="00772C4A">
                    <w:rPr>
                      <w:rFonts w:ascii="Arial" w:hAnsi="Arial" w:cs="Arial"/>
                      <w:b/>
                      <w:bCs/>
                      <w:color w:val="000000"/>
                      <w:sz w:val="18"/>
                      <w:szCs w:val="18"/>
                    </w:rPr>
                    <w:t>0,00</w:t>
                  </w:r>
                </w:p>
              </w:tc>
              <w:tc>
                <w:tcPr>
                  <w:tcW w:w="1466" w:type="dxa"/>
                  <w:tcBorders>
                    <w:top w:val="nil"/>
                    <w:left w:val="nil"/>
                    <w:bottom w:val="single" w:sz="8" w:space="0" w:color="auto"/>
                    <w:right w:val="single" w:sz="8" w:space="0" w:color="auto"/>
                  </w:tcBorders>
                  <w:shd w:val="clear" w:color="auto" w:fill="auto"/>
                  <w:noWrap/>
                  <w:vAlign w:val="bottom"/>
                  <w:hideMark/>
                </w:tcPr>
                <w:p w:rsidR="005F54AF" w:rsidRPr="00772C4A" w:rsidRDefault="005F54AF">
                  <w:pPr>
                    <w:jc w:val="center"/>
                    <w:rPr>
                      <w:rFonts w:ascii="Arial" w:hAnsi="Arial" w:cs="Arial"/>
                      <w:b/>
                      <w:bCs/>
                      <w:color w:val="000000"/>
                      <w:sz w:val="18"/>
                      <w:szCs w:val="18"/>
                    </w:rPr>
                  </w:pPr>
                  <w:r w:rsidRPr="00772C4A">
                    <w:rPr>
                      <w:rFonts w:ascii="Arial" w:hAnsi="Arial" w:cs="Arial"/>
                      <w:b/>
                      <w:bCs/>
                      <w:color w:val="000000"/>
                      <w:sz w:val="18"/>
                      <w:szCs w:val="18"/>
                    </w:rPr>
                    <w:t>1.887.000,00</w:t>
                  </w:r>
                </w:p>
              </w:tc>
              <w:tc>
                <w:tcPr>
                  <w:tcW w:w="4965" w:type="dxa"/>
                  <w:tcBorders>
                    <w:top w:val="nil"/>
                    <w:left w:val="nil"/>
                    <w:bottom w:val="single" w:sz="8" w:space="0" w:color="auto"/>
                    <w:right w:val="single" w:sz="8" w:space="0" w:color="auto"/>
                  </w:tcBorders>
                  <w:shd w:val="clear" w:color="auto" w:fill="auto"/>
                  <w:noWrap/>
                  <w:vAlign w:val="bottom"/>
                  <w:hideMark/>
                </w:tcPr>
                <w:p w:rsidR="005F54AF" w:rsidRPr="00A537D1" w:rsidRDefault="005F54AF" w:rsidP="00A537D1">
                  <w:pPr>
                    <w:suppressAutoHyphens w:val="0"/>
                    <w:rPr>
                      <w:rFonts w:ascii="Arial" w:hAnsi="Arial" w:cs="Arial"/>
                      <w:color w:val="000000"/>
                      <w:sz w:val="18"/>
                      <w:szCs w:val="18"/>
                      <w:lang w:eastAsia="sl-SI"/>
                    </w:rPr>
                  </w:pPr>
                  <w:r w:rsidRPr="00A537D1">
                    <w:rPr>
                      <w:rFonts w:ascii="Arial" w:hAnsi="Arial" w:cs="Arial"/>
                      <w:color w:val="000000"/>
                      <w:sz w:val="18"/>
                      <w:szCs w:val="18"/>
                      <w:lang w:eastAsia="sl-SI"/>
                    </w:rPr>
                    <w:t>Ocena vseh javnofinančnih posledic izvedenih ukrepov v posameznih letih</w:t>
                  </w:r>
                </w:p>
              </w:tc>
            </w:tr>
          </w:tbl>
          <w:p w:rsidR="00A537D1" w:rsidRPr="00D462AF" w:rsidRDefault="00A537D1" w:rsidP="002C4BAC">
            <w:pPr>
              <w:pStyle w:val="Oddelek"/>
              <w:widowControl w:val="0"/>
              <w:numPr>
                <w:ilvl w:val="0"/>
                <w:numId w:val="0"/>
              </w:numPr>
              <w:spacing w:before="40" w:afterLines="40" w:after="96" w:line="260" w:lineRule="atLeast"/>
              <w:jc w:val="both"/>
              <w:rPr>
                <w:b w:val="0"/>
                <w:sz w:val="20"/>
                <w:szCs w:val="20"/>
              </w:rPr>
            </w:pPr>
          </w:p>
        </w:tc>
      </w:tr>
      <w:tr w:rsidR="00772C4A" w:rsidRPr="00D462AF" w:rsidTr="00772C4A">
        <w:trPr>
          <w:trHeight w:val="370"/>
        </w:trPr>
        <w:tc>
          <w:tcPr>
            <w:tcW w:w="9745" w:type="dxa"/>
            <w:gridSpan w:val="4"/>
            <w:tcBorders>
              <w:top w:val="single" w:sz="4" w:space="0" w:color="auto"/>
              <w:left w:val="single" w:sz="4" w:space="0" w:color="auto"/>
              <w:bottom w:val="single" w:sz="4" w:space="0" w:color="auto"/>
              <w:right w:val="single" w:sz="4" w:space="0" w:color="auto"/>
            </w:tcBorders>
          </w:tcPr>
          <w:p w:rsidR="00772C4A" w:rsidRPr="00D462AF" w:rsidRDefault="00772C4A" w:rsidP="002C4BAC">
            <w:pPr>
              <w:pStyle w:val="Oddelek"/>
              <w:widowControl w:val="0"/>
              <w:numPr>
                <w:ilvl w:val="0"/>
                <w:numId w:val="0"/>
              </w:numPr>
              <w:spacing w:before="40" w:afterLines="40" w:after="96" w:line="260" w:lineRule="atLeast"/>
              <w:jc w:val="left"/>
              <w:rPr>
                <w:sz w:val="20"/>
                <w:szCs w:val="20"/>
              </w:rPr>
            </w:pPr>
          </w:p>
        </w:tc>
      </w:tr>
    </w:tbl>
    <w:tbl>
      <w:tblPr>
        <w:tblpPr w:leftFromText="141" w:rightFromText="141" w:vertAnchor="text" w:horzAnchor="margin"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309"/>
        <w:gridCol w:w="1661"/>
        <w:gridCol w:w="306"/>
        <w:gridCol w:w="1767"/>
        <w:gridCol w:w="523"/>
        <w:gridCol w:w="260"/>
        <w:gridCol w:w="203"/>
        <w:gridCol w:w="336"/>
        <w:gridCol w:w="1904"/>
      </w:tblGrid>
      <w:tr w:rsidR="00772C4A" w:rsidRPr="00D462AF" w:rsidTr="00772C4A">
        <w:trPr>
          <w:cantSplit/>
          <w:trHeight w:val="35"/>
        </w:trPr>
        <w:tc>
          <w:tcPr>
            <w:tcW w:w="9846"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2C4A" w:rsidRPr="00D462AF" w:rsidRDefault="00772C4A" w:rsidP="00772C4A">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772C4A" w:rsidRPr="00D462AF" w:rsidTr="00772C4A">
        <w:trPr>
          <w:cantSplit/>
          <w:trHeight w:val="276"/>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ind w:left="-122" w:right="-112"/>
              <w:jc w:val="center"/>
              <w:rPr>
                <w:rFonts w:ascii="Arial" w:hAnsi="Arial" w:cs="Arial"/>
                <w:sz w:val="20"/>
                <w:szCs w:val="20"/>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1767" w:type="dxa"/>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772C4A" w:rsidRPr="00D462AF"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državnega proračuna </w:t>
            </w:r>
          </w:p>
        </w:tc>
        <w:tc>
          <w:tcPr>
            <w:tcW w:w="1967" w:type="dxa"/>
            <w:gridSpan w:val="2"/>
            <w:tcBorders>
              <w:top w:val="single" w:sz="4" w:space="0" w:color="auto"/>
              <w:left w:val="single" w:sz="4" w:space="0" w:color="auto"/>
              <w:bottom w:val="single" w:sz="4" w:space="0" w:color="auto"/>
              <w:right w:val="single" w:sz="4" w:space="0" w:color="auto"/>
            </w:tcBorders>
            <w:vAlign w:val="bottom"/>
          </w:tcPr>
          <w:p w:rsidR="00772C4A" w:rsidRPr="00A92506" w:rsidRDefault="00772C4A" w:rsidP="00772C4A">
            <w:pPr>
              <w:jc w:val="right"/>
              <w:rPr>
                <w:rFonts w:ascii="Calibri" w:hAnsi="Calibri"/>
                <w:color w:val="000000"/>
                <w:sz w:val="22"/>
                <w:szCs w:val="22"/>
              </w:rPr>
            </w:pPr>
            <w:r w:rsidRPr="00A92506">
              <w:rPr>
                <w:rFonts w:ascii="Calibri" w:hAnsi="Calibri"/>
                <w:color w:val="000000"/>
                <w:sz w:val="22"/>
                <w:szCs w:val="22"/>
              </w:rPr>
              <w:t>- 579.888,00</w:t>
            </w:r>
          </w:p>
        </w:tc>
        <w:tc>
          <w:tcPr>
            <w:tcW w:w="1767" w:type="dxa"/>
            <w:tcBorders>
              <w:top w:val="single" w:sz="4" w:space="0" w:color="auto"/>
              <w:left w:val="single" w:sz="4" w:space="0" w:color="auto"/>
              <w:bottom w:val="single" w:sz="4" w:space="0" w:color="auto"/>
              <w:right w:val="single" w:sz="4" w:space="0" w:color="auto"/>
            </w:tcBorders>
            <w:vAlign w:val="bottom"/>
          </w:tcPr>
          <w:p w:rsidR="00772C4A" w:rsidRPr="00A92506" w:rsidRDefault="00772C4A" w:rsidP="00772C4A">
            <w:pPr>
              <w:jc w:val="right"/>
              <w:rPr>
                <w:rFonts w:ascii="Calibri" w:hAnsi="Calibri"/>
                <w:color w:val="000000"/>
                <w:sz w:val="22"/>
                <w:szCs w:val="22"/>
              </w:rPr>
            </w:pPr>
            <w:r w:rsidRPr="00A92506">
              <w:rPr>
                <w:rFonts w:ascii="Calibri" w:hAnsi="Calibri"/>
                <w:color w:val="000000"/>
                <w:sz w:val="22"/>
                <w:szCs w:val="22"/>
              </w:rPr>
              <w:t>- 4.293.844,00</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občinskih proračunov </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xml:space="preserve">) odhodkov državnega proračuna </w:t>
            </w:r>
          </w:p>
        </w:tc>
        <w:tc>
          <w:tcPr>
            <w:tcW w:w="1967" w:type="dxa"/>
            <w:gridSpan w:val="2"/>
            <w:tcBorders>
              <w:top w:val="nil"/>
              <w:left w:val="nil"/>
              <w:bottom w:val="single" w:sz="4" w:space="0" w:color="auto"/>
              <w:right w:val="single" w:sz="4" w:space="0" w:color="auto"/>
            </w:tcBorders>
            <w:shd w:val="clear" w:color="auto" w:fill="auto"/>
            <w:vAlign w:val="bottom"/>
          </w:tcPr>
          <w:p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p>
        </w:tc>
      </w:tr>
      <w:tr w:rsidR="00772C4A" w:rsidRPr="00D462AF" w:rsidTr="00772C4A">
        <w:trPr>
          <w:cantSplit/>
          <w:trHeight w:val="623"/>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odhodkov občinskih proračunov</w:t>
            </w:r>
          </w:p>
        </w:tc>
        <w:tc>
          <w:tcPr>
            <w:tcW w:w="1967" w:type="dxa"/>
            <w:gridSpan w:val="2"/>
            <w:tcBorders>
              <w:top w:val="nil"/>
              <w:left w:val="nil"/>
              <w:bottom w:val="single" w:sz="4" w:space="0" w:color="auto"/>
              <w:right w:val="single" w:sz="4" w:space="0" w:color="auto"/>
            </w:tcBorders>
            <w:shd w:val="clear" w:color="auto" w:fill="auto"/>
            <w:vAlign w:val="bottom"/>
          </w:tcPr>
          <w:p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p>
        </w:tc>
      </w:tr>
      <w:tr w:rsidR="00772C4A" w:rsidRPr="00D462AF"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obveznosti za druga javnofinančna sredstva</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rsidTr="00772C4A">
        <w:trPr>
          <w:cantSplit/>
          <w:trHeight w:val="423"/>
        </w:trPr>
        <w:tc>
          <w:tcPr>
            <w:tcW w:w="9846" w:type="dxa"/>
            <w:gridSpan w:val="10"/>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b w:val="0"/>
                <w:sz w:val="20"/>
                <w:szCs w:val="20"/>
              </w:rPr>
            </w:pPr>
            <w:r>
              <w:rPr>
                <w:b w:val="0"/>
                <w:sz w:val="20"/>
                <w:szCs w:val="20"/>
              </w:rPr>
              <w:t>Prihodki bodo zmanjšani zaradi zmanjšanja prihodkov iz naslova trošarin ter prihodki iz naslova drugih dajatev na fosilna goriva in prihodki iz dajatev, ki so vezane na uporabo vozila z bencinskim oziroma dizelskim motorjem.</w:t>
            </w:r>
          </w:p>
        </w:tc>
      </w:tr>
      <w:tr w:rsidR="00772C4A" w:rsidRPr="00D462AF"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772C4A" w:rsidRPr="00D462AF"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r w:rsidRPr="00D462AF">
              <w:rPr>
                <w:sz w:val="20"/>
                <w:szCs w:val="20"/>
              </w:rPr>
              <w:t>II.a Pravice porabe za izvedbo predlaganih rešitev so zagotovljene:</w:t>
            </w:r>
          </w:p>
        </w:tc>
      </w:tr>
      <w:tr w:rsidR="00772C4A" w:rsidRPr="00D462AF" w:rsidTr="00772C4A">
        <w:trPr>
          <w:cantSplit/>
          <w:trHeight w:val="598"/>
        </w:trPr>
        <w:tc>
          <w:tcPr>
            <w:tcW w:w="9846" w:type="dxa"/>
            <w:gridSpan w:val="10"/>
            <w:tcBorders>
              <w:top w:val="single" w:sz="4" w:space="0" w:color="auto"/>
              <w:left w:val="single" w:sz="4" w:space="0" w:color="auto"/>
              <w:right w:val="single" w:sz="4" w:space="0" w:color="auto"/>
            </w:tcBorders>
            <w:vAlign w:val="center"/>
          </w:tcPr>
          <w:p w:rsidR="00772C4A" w:rsidRDefault="00772C4A" w:rsidP="00772C4A">
            <w:pPr>
              <w:suppressAutoHyphens w:val="0"/>
              <w:autoSpaceDE w:val="0"/>
              <w:autoSpaceDN w:val="0"/>
              <w:adjustRightInd w:val="0"/>
              <w:jc w:val="both"/>
              <w:rPr>
                <w:rFonts w:ascii="Arial" w:hAnsi="Arial" w:cs="Arial"/>
                <w:sz w:val="20"/>
                <w:szCs w:val="20"/>
              </w:rPr>
            </w:pPr>
          </w:p>
          <w:tbl>
            <w:tblPr>
              <w:tblStyle w:val="Tabelamrea"/>
              <w:tblW w:w="9619" w:type="dxa"/>
              <w:tblLook w:val="04A0" w:firstRow="1" w:lastRow="0" w:firstColumn="1" w:lastColumn="0" w:noHBand="0" w:noVBand="1"/>
            </w:tblPr>
            <w:tblGrid>
              <w:gridCol w:w="1540"/>
              <w:gridCol w:w="2579"/>
              <w:gridCol w:w="2389"/>
              <w:gridCol w:w="1529"/>
              <w:gridCol w:w="1583"/>
            </w:tblGrid>
            <w:tr w:rsidR="00772C4A" w:rsidRPr="00C474CF" w:rsidTr="00CB1C36">
              <w:trPr>
                <w:trHeight w:val="300"/>
              </w:trPr>
              <w:tc>
                <w:tcPr>
                  <w:tcW w:w="1539" w:type="dxa"/>
                  <w:tcBorders>
                    <w:top w:val="single" w:sz="4" w:space="0" w:color="auto"/>
                    <w:left w:val="single" w:sz="4" w:space="0" w:color="auto"/>
                    <w:bottom w:val="single" w:sz="4" w:space="0" w:color="auto"/>
                    <w:right w:val="single" w:sz="4" w:space="0" w:color="auto"/>
                  </w:tcBorders>
                  <w:noWrap/>
                  <w:vAlign w:val="center"/>
                </w:tcPr>
                <w:p w:rsidR="00772C4A" w:rsidRPr="00C474CF" w:rsidRDefault="00772C4A" w:rsidP="00644D37">
                  <w:pPr>
                    <w:framePr w:hSpace="141" w:wrap="around" w:vAnchor="text" w:hAnchor="margin" w:y="1"/>
                    <w:widowControl w:val="0"/>
                    <w:spacing w:line="260" w:lineRule="atLeast"/>
                    <w:suppressOverlap/>
                    <w:jc w:val="center"/>
                    <w:rPr>
                      <w:rFonts w:ascii="Arial" w:hAnsi="Arial" w:cs="Arial"/>
                      <w:sz w:val="20"/>
                      <w:szCs w:val="20"/>
                    </w:rPr>
                  </w:pPr>
                  <w:r w:rsidRPr="00C474CF">
                    <w:rPr>
                      <w:rFonts w:ascii="Arial" w:hAnsi="Arial" w:cs="Arial"/>
                      <w:sz w:val="20"/>
                      <w:szCs w:val="20"/>
                    </w:rPr>
                    <w:t xml:space="preserve">Ime proračunskega uporabnika </w:t>
                  </w:r>
                </w:p>
              </w:tc>
              <w:tc>
                <w:tcPr>
                  <w:tcW w:w="2579" w:type="dxa"/>
                  <w:tcBorders>
                    <w:top w:val="single" w:sz="4" w:space="0" w:color="auto"/>
                    <w:left w:val="single" w:sz="4" w:space="0" w:color="auto"/>
                    <w:bottom w:val="single" w:sz="4" w:space="0" w:color="auto"/>
                    <w:right w:val="single" w:sz="4" w:space="0" w:color="auto"/>
                  </w:tcBorders>
                  <w:noWrap/>
                  <w:vAlign w:val="center"/>
                </w:tcPr>
                <w:p w:rsidR="00772C4A" w:rsidRPr="00C474CF" w:rsidRDefault="00772C4A" w:rsidP="00644D37">
                  <w:pPr>
                    <w:framePr w:hSpace="141" w:wrap="around" w:vAnchor="text" w:hAnchor="margin" w:y="1"/>
                    <w:widowControl w:val="0"/>
                    <w:spacing w:line="260" w:lineRule="atLeast"/>
                    <w:suppressOverlap/>
                    <w:jc w:val="center"/>
                    <w:rPr>
                      <w:rFonts w:ascii="Arial" w:hAnsi="Arial" w:cs="Arial"/>
                      <w:sz w:val="20"/>
                      <w:szCs w:val="20"/>
                    </w:rPr>
                  </w:pPr>
                  <w:r w:rsidRPr="00C474CF">
                    <w:rPr>
                      <w:rFonts w:ascii="Arial" w:hAnsi="Arial" w:cs="Arial"/>
                      <w:sz w:val="20"/>
                      <w:szCs w:val="20"/>
                    </w:rPr>
                    <w:t>Šifra in naziv ukrepa, projekta</w:t>
                  </w:r>
                </w:p>
              </w:tc>
              <w:tc>
                <w:tcPr>
                  <w:tcW w:w="2389" w:type="dxa"/>
                  <w:tcBorders>
                    <w:top w:val="single" w:sz="4" w:space="0" w:color="auto"/>
                    <w:left w:val="single" w:sz="4" w:space="0" w:color="auto"/>
                    <w:bottom w:val="single" w:sz="4" w:space="0" w:color="auto"/>
                    <w:right w:val="single" w:sz="4" w:space="0" w:color="auto"/>
                  </w:tcBorders>
                  <w:noWrap/>
                  <w:vAlign w:val="center"/>
                </w:tcPr>
                <w:p w:rsidR="00772C4A" w:rsidRPr="00C474CF" w:rsidRDefault="00772C4A" w:rsidP="00644D37">
                  <w:pPr>
                    <w:framePr w:hSpace="141" w:wrap="around" w:vAnchor="text" w:hAnchor="margin" w:y="1"/>
                    <w:widowControl w:val="0"/>
                    <w:spacing w:line="260" w:lineRule="atLeast"/>
                    <w:suppressOverlap/>
                    <w:jc w:val="center"/>
                    <w:rPr>
                      <w:rFonts w:ascii="Arial" w:hAnsi="Arial" w:cs="Arial"/>
                      <w:sz w:val="20"/>
                      <w:szCs w:val="20"/>
                    </w:rPr>
                  </w:pPr>
                  <w:r w:rsidRPr="00C474CF">
                    <w:rPr>
                      <w:rFonts w:ascii="Arial" w:hAnsi="Arial" w:cs="Arial"/>
                      <w:sz w:val="20"/>
                      <w:szCs w:val="20"/>
                    </w:rPr>
                    <w:t>Šifra in naziv proračunske postavke</w:t>
                  </w:r>
                </w:p>
              </w:tc>
              <w:tc>
                <w:tcPr>
                  <w:tcW w:w="1529" w:type="dxa"/>
                  <w:tcBorders>
                    <w:top w:val="single" w:sz="4" w:space="0" w:color="auto"/>
                    <w:left w:val="single" w:sz="4" w:space="0" w:color="auto"/>
                    <w:bottom w:val="single" w:sz="4" w:space="0" w:color="auto"/>
                    <w:right w:val="single" w:sz="4" w:space="0" w:color="auto"/>
                  </w:tcBorders>
                  <w:noWrap/>
                  <w:vAlign w:val="center"/>
                </w:tcPr>
                <w:p w:rsidR="00772C4A" w:rsidRPr="00C474CF" w:rsidRDefault="00772C4A" w:rsidP="00644D37">
                  <w:pPr>
                    <w:framePr w:hSpace="141" w:wrap="around" w:vAnchor="text" w:hAnchor="margin" w:y="1"/>
                    <w:widowControl w:val="0"/>
                    <w:spacing w:line="260" w:lineRule="atLeast"/>
                    <w:suppressOverlap/>
                    <w:jc w:val="center"/>
                    <w:rPr>
                      <w:rFonts w:ascii="Arial" w:hAnsi="Arial" w:cs="Arial"/>
                      <w:sz w:val="20"/>
                      <w:szCs w:val="20"/>
                    </w:rPr>
                  </w:pPr>
                  <w:r w:rsidRPr="00C474CF">
                    <w:rPr>
                      <w:rFonts w:ascii="Arial" w:hAnsi="Arial" w:cs="Arial"/>
                      <w:sz w:val="20"/>
                      <w:szCs w:val="20"/>
                    </w:rPr>
                    <w:t>Znesek za tekoče leto (t)</w:t>
                  </w:r>
                </w:p>
              </w:tc>
              <w:tc>
                <w:tcPr>
                  <w:tcW w:w="1583" w:type="dxa"/>
                  <w:tcBorders>
                    <w:top w:val="single" w:sz="4" w:space="0" w:color="auto"/>
                    <w:left w:val="single" w:sz="4" w:space="0" w:color="auto"/>
                    <w:bottom w:val="single" w:sz="4" w:space="0" w:color="auto"/>
                    <w:right w:val="single" w:sz="4" w:space="0" w:color="auto"/>
                  </w:tcBorders>
                  <w:noWrap/>
                  <w:vAlign w:val="center"/>
                </w:tcPr>
                <w:p w:rsidR="00772C4A" w:rsidRPr="00C474CF" w:rsidRDefault="00772C4A" w:rsidP="00644D37">
                  <w:pPr>
                    <w:framePr w:hSpace="141" w:wrap="around" w:vAnchor="text" w:hAnchor="margin" w:y="1"/>
                    <w:widowControl w:val="0"/>
                    <w:spacing w:line="260" w:lineRule="atLeast"/>
                    <w:suppressOverlap/>
                    <w:jc w:val="center"/>
                    <w:rPr>
                      <w:rFonts w:ascii="Arial" w:hAnsi="Arial" w:cs="Arial"/>
                      <w:sz w:val="20"/>
                      <w:szCs w:val="20"/>
                    </w:rPr>
                  </w:pPr>
                  <w:r w:rsidRPr="00C474CF">
                    <w:rPr>
                      <w:rFonts w:ascii="Arial" w:hAnsi="Arial" w:cs="Arial"/>
                      <w:sz w:val="20"/>
                      <w:szCs w:val="20"/>
                    </w:rPr>
                    <w:t>Znesek za t + 1</w:t>
                  </w: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Evidenčni projekt 1541-15-0007 - Spodbujanje nizkoogljičnih strategij</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160097 PN4.4-Trajnostna mobilnost-14-20-EU</w:t>
                  </w:r>
                </w:p>
              </w:tc>
              <w:tc>
                <w:tcPr>
                  <w:tcW w:w="152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0,00</w:t>
                  </w:r>
                </w:p>
              </w:tc>
              <w:tc>
                <w:tcPr>
                  <w:tcW w:w="1583"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1.000.000,00</w:t>
                  </w: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Javni razpis za P+R v okviru EKP 2014-2020</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160097 PN4.4-Trajnostna mobilnost-14-20-EU</w:t>
                  </w:r>
                </w:p>
              </w:tc>
              <w:tc>
                <w:tcPr>
                  <w:tcW w:w="152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51.000,00</w:t>
                  </w:r>
                </w:p>
              </w:tc>
              <w:tc>
                <w:tcPr>
                  <w:tcW w:w="1583"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0,00</w:t>
                  </w: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Javni razpis za P+R v okviru EKP 2014-2021</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160098 PN4.4-Trajnostna mobilnost-14-20-slovenska udeležba</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9.000,00</w:t>
                  </w:r>
                </w:p>
              </w:tc>
              <w:tc>
                <w:tcPr>
                  <w:tcW w:w="1583"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0,00</w:t>
                  </w: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2430-20-0006 -Vzpostavitev evidence polnilnih postaj - projekt IDACS</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160093-Vseevropsko omrežje - IPE 14-20 - EU</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0,00</w:t>
                  </w:r>
                </w:p>
              </w:tc>
              <w:tc>
                <w:tcPr>
                  <w:tcW w:w="1583" w:type="dxa"/>
                  <w:noWrap/>
                  <w:hideMark/>
                </w:tcPr>
                <w:p w:rsidR="00772C4A" w:rsidRPr="00997893" w:rsidRDefault="00772C4A" w:rsidP="00644D37">
                  <w:pPr>
                    <w:framePr w:hSpace="141" w:wrap="around" w:vAnchor="text" w:hAnchor="margin" w:y="1"/>
                    <w:suppressOverlap/>
                    <w:rPr>
                      <w:rFonts w:ascii="Arial" w:hAnsi="Arial" w:cs="Arial"/>
                      <w:color w:val="000000"/>
                      <w:sz w:val="20"/>
                      <w:szCs w:val="20"/>
                    </w:rPr>
                  </w:pPr>
                  <w:r w:rsidRPr="00997893">
                    <w:rPr>
                      <w:rFonts w:ascii="Arial" w:hAnsi="Arial" w:cs="Arial"/>
                      <w:color w:val="000000"/>
                      <w:sz w:val="20"/>
                      <w:szCs w:val="20"/>
                    </w:rPr>
                    <w:t>105.225,00</w:t>
                  </w:r>
                </w:p>
                <w:p w:rsidR="00772C4A" w:rsidRPr="00997893" w:rsidRDefault="00772C4A" w:rsidP="00644D37">
                  <w:pPr>
                    <w:framePr w:hSpace="141" w:wrap="around" w:vAnchor="text" w:hAnchor="margin" w:y="1"/>
                    <w:suppressOverlap/>
                    <w:rPr>
                      <w:rFonts w:ascii="Arial" w:hAnsi="Arial" w:cs="Arial"/>
                      <w:sz w:val="20"/>
                      <w:szCs w:val="20"/>
                    </w:rPr>
                  </w:pP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2430-20-0006 -vzpostavitev evidence polnilnih postaj - projekt IDACS</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160094-Vseevropsko omrežje - IPE 14-20 - slovenska udeležba</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0,00</w:t>
                  </w:r>
                </w:p>
              </w:tc>
              <w:tc>
                <w:tcPr>
                  <w:tcW w:w="1583" w:type="dxa"/>
                  <w:noWrap/>
                  <w:hideMark/>
                </w:tcPr>
                <w:p w:rsidR="00772C4A" w:rsidRPr="00997893" w:rsidRDefault="00772C4A" w:rsidP="00644D37">
                  <w:pPr>
                    <w:framePr w:hSpace="141" w:wrap="around" w:vAnchor="text" w:hAnchor="margin" w:y="1"/>
                    <w:suppressOverlap/>
                    <w:rPr>
                      <w:rFonts w:ascii="Arial" w:hAnsi="Arial" w:cs="Arial"/>
                      <w:color w:val="000000"/>
                      <w:sz w:val="20"/>
                      <w:szCs w:val="20"/>
                    </w:rPr>
                  </w:pPr>
                  <w:r w:rsidRPr="00997893">
                    <w:rPr>
                      <w:rFonts w:ascii="Arial" w:hAnsi="Arial" w:cs="Arial"/>
                      <w:color w:val="000000"/>
                      <w:sz w:val="20"/>
                      <w:szCs w:val="20"/>
                    </w:rPr>
                    <w:t>35.075,00</w:t>
                  </w:r>
                </w:p>
                <w:p w:rsidR="00772C4A" w:rsidRPr="00997893" w:rsidRDefault="00772C4A" w:rsidP="00644D37">
                  <w:pPr>
                    <w:framePr w:hSpace="141" w:wrap="around" w:vAnchor="text" w:hAnchor="margin" w:y="1"/>
                    <w:suppressOverlap/>
                    <w:rPr>
                      <w:rFonts w:ascii="Arial" w:hAnsi="Arial" w:cs="Arial"/>
                      <w:sz w:val="20"/>
                      <w:szCs w:val="20"/>
                    </w:rPr>
                  </w:pP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2415-11-0003 Izvajanje GJS prevoza potnikov</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978610</w:t>
                  </w:r>
                  <w:r w:rsidR="00C844EF">
                    <w:rPr>
                      <w:rFonts w:ascii="Arial" w:hAnsi="Arial" w:cs="Arial"/>
                      <w:sz w:val="20"/>
                      <w:szCs w:val="20"/>
                    </w:rPr>
                    <w:t xml:space="preserve"> Gospodarska javna služba</w:t>
                  </w:r>
                  <w:r w:rsidRPr="00731549">
                    <w:rPr>
                      <w:rFonts w:ascii="Arial" w:hAnsi="Arial" w:cs="Arial"/>
                      <w:sz w:val="20"/>
                      <w:szCs w:val="20"/>
                    </w:rPr>
                    <w:t xml:space="preserve"> v linijskem p</w:t>
                  </w:r>
                  <w:r w:rsidR="00C844EF">
                    <w:rPr>
                      <w:rFonts w:ascii="Arial" w:hAnsi="Arial" w:cs="Arial"/>
                      <w:sz w:val="20"/>
                      <w:szCs w:val="20"/>
                    </w:rPr>
                    <w:t>rometu</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0,00</w:t>
                  </w:r>
                </w:p>
              </w:tc>
              <w:tc>
                <w:tcPr>
                  <w:tcW w:w="1583" w:type="dxa"/>
                  <w:noWrap/>
                  <w:hideMark/>
                </w:tcPr>
                <w:p w:rsidR="00772C4A" w:rsidRPr="00997893" w:rsidRDefault="00772C4A" w:rsidP="00644D37">
                  <w:pPr>
                    <w:framePr w:hSpace="141" w:wrap="around" w:vAnchor="text" w:hAnchor="margin" w:y="1"/>
                    <w:suppressOverlap/>
                    <w:rPr>
                      <w:rFonts w:ascii="Arial" w:hAnsi="Arial" w:cs="Arial"/>
                      <w:color w:val="000000"/>
                      <w:sz w:val="20"/>
                      <w:szCs w:val="20"/>
                    </w:rPr>
                  </w:pPr>
                  <w:r w:rsidRPr="00997893">
                    <w:rPr>
                      <w:rFonts w:ascii="Arial" w:hAnsi="Arial" w:cs="Arial"/>
                      <w:color w:val="000000"/>
                      <w:sz w:val="20"/>
                      <w:szCs w:val="20"/>
                    </w:rPr>
                    <w:t>1.650.000,00</w:t>
                  </w:r>
                </w:p>
                <w:p w:rsidR="00772C4A" w:rsidRPr="00997893" w:rsidRDefault="00772C4A" w:rsidP="00644D37">
                  <w:pPr>
                    <w:framePr w:hSpace="141" w:wrap="around" w:vAnchor="text" w:hAnchor="margin" w:y="1"/>
                    <w:suppressOverlap/>
                    <w:rPr>
                      <w:rFonts w:ascii="Arial" w:hAnsi="Arial" w:cs="Arial"/>
                      <w:sz w:val="20"/>
                      <w:szCs w:val="20"/>
                    </w:rPr>
                  </w:pP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2430-17-0021 Mehki ukrepi trajnostne mobilnosti</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160097 PN4.4-Trajnostna mobilnost-14-20-EU</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106.811,00</w:t>
                  </w:r>
                </w:p>
              </w:tc>
              <w:tc>
                <w:tcPr>
                  <w:tcW w:w="1583"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120.032,75</w:t>
                  </w:r>
                </w:p>
              </w:tc>
            </w:tr>
            <w:tr w:rsidR="00772C4A" w:rsidRPr="00C474CF" w:rsidTr="00CB1C36">
              <w:trPr>
                <w:trHeight w:val="661"/>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2430-17-0021 Mehki ukrepi trajnostne mobilnosti</w:t>
                  </w:r>
                </w:p>
              </w:tc>
              <w:tc>
                <w:tcPr>
                  <w:tcW w:w="238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160098 PN4.4-Trajnostna mobilnost-14-20-slovenska udeležba</w:t>
                  </w:r>
                </w:p>
              </w:tc>
              <w:tc>
                <w:tcPr>
                  <w:tcW w:w="1529"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18.849,00</w:t>
                  </w:r>
                </w:p>
              </w:tc>
              <w:tc>
                <w:tcPr>
                  <w:tcW w:w="1583" w:type="dxa"/>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21.182,25</w:t>
                  </w:r>
                </w:p>
              </w:tc>
            </w:tr>
            <w:tr w:rsidR="00772C4A" w:rsidRPr="00C474CF" w:rsidTr="00CB1C36">
              <w:trPr>
                <w:trHeight w:val="300"/>
              </w:trPr>
              <w:tc>
                <w:tcPr>
                  <w:tcW w:w="153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MzI</w:t>
                  </w:r>
                </w:p>
              </w:tc>
              <w:tc>
                <w:tcPr>
                  <w:tcW w:w="2579" w:type="dxa"/>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2430-17-0003 Upravljanje prometne politike</w:t>
                  </w:r>
                </w:p>
              </w:tc>
              <w:tc>
                <w:tcPr>
                  <w:tcW w:w="2389" w:type="dxa"/>
                  <w:tcBorders>
                    <w:bottom w:val="single" w:sz="4" w:space="0" w:color="auto"/>
                  </w:tcBorders>
                  <w:noWrap/>
                  <w:hideMark/>
                </w:tcPr>
                <w:p w:rsidR="00772C4A" w:rsidRPr="00731549" w:rsidRDefault="00772C4A" w:rsidP="00644D37">
                  <w:pPr>
                    <w:framePr w:hSpace="141" w:wrap="around" w:vAnchor="text" w:hAnchor="margin" w:y="1"/>
                    <w:suppressOverlap/>
                    <w:rPr>
                      <w:rFonts w:ascii="Arial" w:hAnsi="Arial" w:cs="Arial"/>
                      <w:sz w:val="20"/>
                      <w:szCs w:val="20"/>
                    </w:rPr>
                  </w:pPr>
                  <w:r w:rsidRPr="00731549">
                    <w:rPr>
                      <w:rFonts w:ascii="Arial" w:hAnsi="Arial" w:cs="Arial"/>
                      <w:sz w:val="20"/>
                      <w:szCs w:val="20"/>
                    </w:rPr>
                    <w:t>765210 Upravljanje prometne politike</w:t>
                  </w:r>
                </w:p>
              </w:tc>
              <w:tc>
                <w:tcPr>
                  <w:tcW w:w="1529" w:type="dxa"/>
                  <w:tcBorders>
                    <w:bottom w:val="single" w:sz="4" w:space="0" w:color="auto"/>
                  </w:tcBorders>
                  <w:noWrap/>
                  <w:hideMark/>
                </w:tcPr>
                <w:p w:rsidR="00772C4A" w:rsidRPr="00997893" w:rsidRDefault="00772C4A" w:rsidP="00644D37">
                  <w:pPr>
                    <w:framePr w:hSpace="141" w:wrap="around" w:vAnchor="text" w:hAnchor="margin" w:y="1"/>
                    <w:suppressOverlap/>
                    <w:rPr>
                      <w:rFonts w:ascii="Arial" w:hAnsi="Arial" w:cs="Arial"/>
                      <w:sz w:val="20"/>
                      <w:szCs w:val="20"/>
                    </w:rPr>
                  </w:pPr>
                  <w:r w:rsidRPr="00997893">
                    <w:rPr>
                      <w:rFonts w:ascii="Arial" w:hAnsi="Arial" w:cs="Arial"/>
                      <w:sz w:val="20"/>
                      <w:szCs w:val="20"/>
                    </w:rPr>
                    <w:t>0,00</w:t>
                  </w:r>
                </w:p>
              </w:tc>
              <w:tc>
                <w:tcPr>
                  <w:tcW w:w="1583" w:type="dxa"/>
                  <w:tcBorders>
                    <w:bottom w:val="single" w:sz="4" w:space="0" w:color="auto"/>
                  </w:tcBorders>
                  <w:noWrap/>
                  <w:hideMark/>
                </w:tcPr>
                <w:p w:rsidR="00772C4A" w:rsidRPr="00997893" w:rsidRDefault="00772C4A" w:rsidP="00644D37">
                  <w:pPr>
                    <w:framePr w:hSpace="141" w:wrap="around" w:vAnchor="text" w:hAnchor="margin" w:y="1"/>
                    <w:suppressOverlap/>
                    <w:rPr>
                      <w:rFonts w:ascii="Arial" w:hAnsi="Arial" w:cs="Arial"/>
                      <w:color w:val="000000"/>
                      <w:sz w:val="20"/>
                      <w:szCs w:val="20"/>
                    </w:rPr>
                  </w:pPr>
                  <w:r w:rsidRPr="00997893">
                    <w:rPr>
                      <w:rFonts w:ascii="Arial" w:hAnsi="Arial" w:cs="Arial"/>
                      <w:color w:val="000000"/>
                      <w:sz w:val="20"/>
                      <w:szCs w:val="20"/>
                    </w:rPr>
                    <w:t>1.523.424,00</w:t>
                  </w:r>
                </w:p>
                <w:p w:rsidR="00772C4A" w:rsidRPr="00997893" w:rsidRDefault="00772C4A" w:rsidP="00644D37">
                  <w:pPr>
                    <w:framePr w:hSpace="141" w:wrap="around" w:vAnchor="text" w:hAnchor="margin" w:y="1"/>
                    <w:suppressOverlap/>
                    <w:rPr>
                      <w:rFonts w:ascii="Arial" w:hAnsi="Arial" w:cs="Arial"/>
                      <w:sz w:val="20"/>
                      <w:szCs w:val="20"/>
                    </w:rPr>
                  </w:pPr>
                </w:p>
              </w:tc>
            </w:tr>
            <w:tr w:rsidR="00772C4A" w:rsidRPr="00C474CF" w:rsidTr="00CB1C36">
              <w:trPr>
                <w:trHeight w:val="300"/>
              </w:trPr>
              <w:tc>
                <w:tcPr>
                  <w:tcW w:w="6507" w:type="dxa"/>
                  <w:gridSpan w:val="3"/>
                  <w:tcBorders>
                    <w:right w:val="single" w:sz="4" w:space="0" w:color="auto"/>
                  </w:tcBorders>
                  <w:noWrap/>
                </w:tcPr>
                <w:p w:rsidR="00772C4A" w:rsidRPr="00C474CF" w:rsidRDefault="00772C4A" w:rsidP="00644D37">
                  <w:pPr>
                    <w:framePr w:hSpace="141" w:wrap="around" w:vAnchor="text" w:hAnchor="margin" w:y="1"/>
                    <w:suppressOverlap/>
                    <w:rPr>
                      <w:rFonts w:ascii="Arial" w:hAnsi="Arial" w:cs="Arial"/>
                      <w:b/>
                      <w:sz w:val="20"/>
                      <w:szCs w:val="20"/>
                    </w:rPr>
                  </w:pPr>
                  <w:r w:rsidRPr="00C474CF">
                    <w:rPr>
                      <w:rFonts w:ascii="Arial" w:hAnsi="Arial" w:cs="Arial"/>
                      <w:b/>
                      <w:sz w:val="20"/>
                      <w:szCs w:val="20"/>
                    </w:rPr>
                    <w:t>Skupaj MzI</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C4A" w:rsidRPr="00426D3F" w:rsidRDefault="00772C4A" w:rsidP="00644D37">
                  <w:pPr>
                    <w:framePr w:hSpace="141" w:wrap="around" w:vAnchor="text" w:hAnchor="margin" w:y="1"/>
                    <w:suppressOverlap/>
                    <w:jc w:val="right"/>
                    <w:rPr>
                      <w:rFonts w:ascii="Calibri" w:hAnsi="Calibri"/>
                      <w:b/>
                      <w:bCs/>
                      <w:sz w:val="22"/>
                      <w:szCs w:val="22"/>
                    </w:rPr>
                  </w:pPr>
                  <w:r w:rsidRPr="00426D3F">
                    <w:rPr>
                      <w:rFonts w:ascii="Calibri" w:hAnsi="Calibri"/>
                      <w:b/>
                      <w:bCs/>
                      <w:sz w:val="22"/>
                      <w:szCs w:val="22"/>
                    </w:rPr>
                    <w:t>185.660,00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C4A" w:rsidRPr="00426D3F" w:rsidRDefault="00772C4A" w:rsidP="00644D37">
                  <w:pPr>
                    <w:framePr w:hSpace="141" w:wrap="around" w:vAnchor="text" w:hAnchor="margin" w:y="1"/>
                    <w:suppressOverlap/>
                    <w:jc w:val="right"/>
                    <w:rPr>
                      <w:rFonts w:ascii="Calibri" w:hAnsi="Calibri"/>
                      <w:b/>
                      <w:bCs/>
                      <w:sz w:val="22"/>
                      <w:szCs w:val="22"/>
                    </w:rPr>
                  </w:pPr>
                  <w:r w:rsidRPr="00426D3F">
                    <w:rPr>
                      <w:rFonts w:ascii="Calibri" w:hAnsi="Calibri"/>
                      <w:b/>
                      <w:bCs/>
                      <w:sz w:val="22"/>
                      <w:szCs w:val="22"/>
                    </w:rPr>
                    <w:t>4.454.939,00</w:t>
                  </w:r>
                </w:p>
              </w:tc>
            </w:tr>
          </w:tbl>
          <w:p w:rsidR="00772C4A" w:rsidRDefault="00772C4A" w:rsidP="00772C4A">
            <w:pPr>
              <w:suppressAutoHyphens w:val="0"/>
              <w:autoSpaceDE w:val="0"/>
              <w:autoSpaceDN w:val="0"/>
              <w:adjustRightInd w:val="0"/>
              <w:jc w:val="both"/>
              <w:rPr>
                <w:rFonts w:ascii="Arial" w:hAnsi="Arial" w:cs="Arial"/>
                <w:sz w:val="20"/>
                <w:szCs w:val="20"/>
              </w:rPr>
            </w:pPr>
          </w:p>
          <w:p w:rsidR="00772C4A" w:rsidRPr="00997893" w:rsidRDefault="00772C4A" w:rsidP="00772C4A">
            <w:pPr>
              <w:pStyle w:val="Odstavekseznama"/>
              <w:numPr>
                <w:ilvl w:val="0"/>
                <w:numId w:val="23"/>
              </w:numPr>
              <w:suppressAutoHyphens w:val="0"/>
              <w:autoSpaceDE w:val="0"/>
              <w:autoSpaceDN w:val="0"/>
              <w:adjustRightInd w:val="0"/>
              <w:jc w:val="both"/>
              <w:rPr>
                <w:rFonts w:ascii="Arial" w:hAnsi="Arial" w:cs="Arial"/>
                <w:sz w:val="20"/>
                <w:szCs w:val="20"/>
              </w:rPr>
            </w:pPr>
            <w:r w:rsidRPr="00997893">
              <w:rPr>
                <w:rFonts w:ascii="Arial" w:hAnsi="Arial" w:cs="Arial"/>
                <w:sz w:val="20"/>
                <w:szCs w:val="20"/>
              </w:rPr>
              <w:t xml:space="preserve">Na postavkah Evropske kohezijske politike - 160097 PN4.4-Trajnostna mobilnost-14-20-EU (Kohezijski sklad) in 160098 PN4.4-Trajnostna mobilnost-14-20-slovenska udeležba so zagotovljena sredstva za ukrepe: E11, E13, E33. </w:t>
            </w:r>
          </w:p>
          <w:p w:rsidR="00772C4A" w:rsidRPr="00997893" w:rsidRDefault="00772C4A" w:rsidP="00772C4A">
            <w:pPr>
              <w:pStyle w:val="Odstavekseznama"/>
              <w:numPr>
                <w:ilvl w:val="0"/>
                <w:numId w:val="23"/>
              </w:numPr>
              <w:suppressAutoHyphens w:val="0"/>
              <w:autoSpaceDE w:val="0"/>
              <w:autoSpaceDN w:val="0"/>
              <w:adjustRightInd w:val="0"/>
              <w:jc w:val="both"/>
              <w:rPr>
                <w:rFonts w:ascii="Arial" w:hAnsi="Arial" w:cs="Arial"/>
                <w:sz w:val="20"/>
                <w:szCs w:val="20"/>
              </w:rPr>
            </w:pPr>
            <w:r w:rsidRPr="00997893">
              <w:rPr>
                <w:rFonts w:ascii="Arial" w:hAnsi="Arial" w:cs="Arial"/>
                <w:sz w:val="20"/>
                <w:szCs w:val="20"/>
              </w:rPr>
              <w:t xml:space="preserve">Na postavkah inštrumenta za povezovanje Evrope (IPE) - 160093-Vseevropsko omrežje - IPE 14-20 – EU in 160094-Vseevropsko omrežje - IPE 14-20 - slovenska udeležba so zagotovljena sredstva za ukrep: E19. </w:t>
            </w:r>
          </w:p>
          <w:p w:rsidR="00772C4A" w:rsidRPr="00997893" w:rsidRDefault="00772C4A" w:rsidP="00772C4A">
            <w:pPr>
              <w:pStyle w:val="Odstavekseznama"/>
              <w:numPr>
                <w:ilvl w:val="0"/>
                <w:numId w:val="23"/>
              </w:numPr>
              <w:suppressAutoHyphens w:val="0"/>
              <w:autoSpaceDE w:val="0"/>
              <w:autoSpaceDN w:val="0"/>
              <w:adjustRightInd w:val="0"/>
              <w:jc w:val="both"/>
              <w:rPr>
                <w:rFonts w:ascii="Arial" w:hAnsi="Arial" w:cs="Arial"/>
                <w:sz w:val="20"/>
                <w:szCs w:val="20"/>
              </w:rPr>
            </w:pPr>
            <w:r w:rsidRPr="00997893">
              <w:rPr>
                <w:rFonts w:ascii="Arial" w:hAnsi="Arial" w:cs="Arial"/>
                <w:sz w:val="20"/>
                <w:szCs w:val="20"/>
              </w:rPr>
              <w:t xml:space="preserve">Na postavki 978610 GJS v linijskem prevozu so zagotovljena sredstva za ukrepa: E25 in SZP 1. </w:t>
            </w:r>
          </w:p>
          <w:p w:rsidR="00772C4A" w:rsidRPr="00B71F63" w:rsidRDefault="00772C4A" w:rsidP="00772C4A">
            <w:pPr>
              <w:pStyle w:val="Odstavekseznama"/>
              <w:numPr>
                <w:ilvl w:val="0"/>
                <w:numId w:val="23"/>
              </w:numPr>
              <w:suppressAutoHyphens w:val="0"/>
              <w:autoSpaceDE w:val="0"/>
              <w:autoSpaceDN w:val="0"/>
              <w:adjustRightInd w:val="0"/>
              <w:jc w:val="both"/>
              <w:rPr>
                <w:rFonts w:ascii="Arial" w:hAnsi="Arial" w:cs="Arial"/>
                <w:sz w:val="20"/>
                <w:szCs w:val="20"/>
              </w:rPr>
            </w:pPr>
            <w:r w:rsidRPr="00997893">
              <w:rPr>
                <w:rFonts w:ascii="Arial" w:hAnsi="Arial" w:cs="Arial"/>
                <w:sz w:val="20"/>
                <w:szCs w:val="20"/>
              </w:rPr>
              <w:t>Na postavki 765210 Upravljanje prometne politike so zagotovljena sredstva za ukrepa: E27 in E19</w:t>
            </w:r>
          </w:p>
        </w:tc>
      </w:tr>
      <w:tr w:rsidR="00772C4A" w:rsidRPr="00D462AF"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lastRenderedPageBreak/>
              <w:t>SKUPAJ</w:t>
            </w:r>
          </w:p>
        </w:tc>
        <w:tc>
          <w:tcPr>
            <w:tcW w:w="1322" w:type="dxa"/>
            <w:gridSpan w:val="4"/>
            <w:tcBorders>
              <w:top w:val="single" w:sz="4" w:space="0" w:color="auto"/>
              <w:left w:val="single" w:sz="4" w:space="0" w:color="auto"/>
              <w:bottom w:val="single" w:sz="4" w:space="0" w:color="auto"/>
              <w:right w:val="single" w:sz="4" w:space="0" w:color="auto"/>
            </w:tcBorders>
            <w:vAlign w:val="bottom"/>
          </w:tcPr>
          <w:p w:rsidR="00772C4A" w:rsidRPr="00426D3F" w:rsidRDefault="00772C4A" w:rsidP="00772C4A">
            <w:pPr>
              <w:jc w:val="right"/>
              <w:rPr>
                <w:rFonts w:ascii="Calibri" w:hAnsi="Calibri"/>
                <w:b/>
                <w:bCs/>
                <w:sz w:val="22"/>
                <w:szCs w:val="22"/>
              </w:rPr>
            </w:pPr>
            <w:r w:rsidRPr="00426D3F">
              <w:rPr>
                <w:rFonts w:ascii="Calibri" w:hAnsi="Calibri"/>
                <w:b/>
                <w:bCs/>
                <w:sz w:val="22"/>
                <w:szCs w:val="22"/>
              </w:rPr>
              <w:t>185.660,00</w:t>
            </w:r>
          </w:p>
        </w:tc>
        <w:tc>
          <w:tcPr>
            <w:tcW w:w="1904" w:type="dxa"/>
            <w:tcBorders>
              <w:top w:val="single" w:sz="4" w:space="0" w:color="auto"/>
              <w:left w:val="single" w:sz="4" w:space="0" w:color="auto"/>
              <w:bottom w:val="single" w:sz="4" w:space="0" w:color="auto"/>
              <w:right w:val="single" w:sz="4" w:space="0" w:color="auto"/>
            </w:tcBorders>
            <w:vAlign w:val="bottom"/>
          </w:tcPr>
          <w:p w:rsidR="00772C4A" w:rsidRPr="00426D3F" w:rsidRDefault="00772C4A" w:rsidP="00772C4A">
            <w:pPr>
              <w:jc w:val="right"/>
              <w:rPr>
                <w:rFonts w:ascii="Calibri" w:hAnsi="Calibri"/>
                <w:b/>
                <w:bCs/>
                <w:sz w:val="22"/>
                <w:szCs w:val="22"/>
              </w:rPr>
            </w:pPr>
            <w:r w:rsidRPr="00426D3F">
              <w:rPr>
                <w:rFonts w:ascii="Calibri" w:hAnsi="Calibri"/>
                <w:b/>
                <w:bCs/>
                <w:sz w:val="22"/>
                <w:szCs w:val="22"/>
              </w:rPr>
              <w:t>4.454.939,00</w:t>
            </w:r>
          </w:p>
        </w:tc>
      </w:tr>
      <w:tr w:rsidR="00772C4A" w:rsidRPr="00D462AF" w:rsidTr="00772C4A">
        <w:trPr>
          <w:cantSplit/>
          <w:trHeight w:val="294"/>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2C4A" w:rsidRPr="00D462AF" w:rsidRDefault="00772C4A" w:rsidP="00772C4A">
            <w:pPr>
              <w:pStyle w:val="Naslov1"/>
              <w:keepNext w:val="0"/>
              <w:widowControl w:val="0"/>
              <w:tabs>
                <w:tab w:val="left" w:pos="2340"/>
              </w:tabs>
              <w:spacing w:before="0" w:after="0" w:line="260" w:lineRule="atLeast"/>
              <w:rPr>
                <w:sz w:val="20"/>
                <w:szCs w:val="20"/>
              </w:rPr>
            </w:pPr>
            <w:r w:rsidRPr="00D462AF">
              <w:rPr>
                <w:sz w:val="20"/>
                <w:szCs w:val="20"/>
              </w:rPr>
              <w:t>II.b Manjkajoče pravice porabe bodo zagotovljene s prerazporeditvijo:</w:t>
            </w:r>
          </w:p>
        </w:tc>
      </w:tr>
      <w:tr w:rsidR="00772C4A" w:rsidRPr="00D462AF" w:rsidTr="00772C4A">
        <w:trPr>
          <w:cantSplit/>
          <w:trHeight w:val="100"/>
        </w:trPr>
        <w:tc>
          <w:tcPr>
            <w:tcW w:w="2577" w:type="dxa"/>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772C4A" w:rsidRPr="00D462AF" w:rsidTr="00772C4A">
        <w:trPr>
          <w:cantSplit/>
          <w:trHeight w:val="268"/>
        </w:trPr>
        <w:tc>
          <w:tcPr>
            <w:tcW w:w="9846" w:type="dxa"/>
            <w:gridSpan w:val="10"/>
            <w:tcBorders>
              <w:top w:val="single" w:sz="4" w:space="0" w:color="auto"/>
              <w:left w:val="single" w:sz="4" w:space="0" w:color="auto"/>
              <w:right w:val="single" w:sz="4" w:space="0" w:color="auto"/>
            </w:tcBorders>
            <w:vAlign w:val="center"/>
          </w:tcPr>
          <w:p w:rsidR="00772C4A" w:rsidRDefault="00772C4A" w:rsidP="00772C4A">
            <w:pPr>
              <w:suppressAutoHyphens w:val="0"/>
              <w:autoSpaceDE w:val="0"/>
              <w:autoSpaceDN w:val="0"/>
              <w:adjustRightInd w:val="0"/>
              <w:rPr>
                <w:rFonts w:ascii="Helv" w:hAnsi="Helv" w:cs="Helv"/>
                <w:color w:val="000000"/>
                <w:sz w:val="20"/>
                <w:szCs w:val="20"/>
                <w:lang w:eastAsia="sl-SI"/>
              </w:rPr>
            </w:pPr>
          </w:p>
          <w:p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rsidTr="00772C4A">
        <w:trPr>
          <w:cantSplit/>
          <w:trHeight w:val="207"/>
        </w:trPr>
        <w:tc>
          <w:tcPr>
            <w:tcW w:w="9846"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2C4A" w:rsidRPr="00D462AF" w:rsidRDefault="00772C4A" w:rsidP="00772C4A">
            <w:pPr>
              <w:pStyle w:val="Naslov1"/>
              <w:keepNext w:val="0"/>
              <w:widowControl w:val="0"/>
              <w:tabs>
                <w:tab w:val="left" w:pos="2340"/>
              </w:tabs>
              <w:spacing w:before="0" w:after="0" w:line="260" w:lineRule="atLeast"/>
              <w:rPr>
                <w:sz w:val="20"/>
                <w:szCs w:val="20"/>
              </w:rPr>
            </w:pPr>
            <w:r w:rsidRPr="00D462AF">
              <w:rPr>
                <w:sz w:val="20"/>
                <w:szCs w:val="20"/>
              </w:rPr>
              <w:t>II.c Načrtovana nadomestitev zmanjšanih prihodkov in povečanih odhodkov proračuna:</w:t>
            </w:r>
          </w:p>
        </w:tc>
      </w:tr>
      <w:tr w:rsidR="00772C4A" w:rsidRPr="00D462AF" w:rsidTr="00772C4A">
        <w:trPr>
          <w:cantSplit/>
          <w:trHeight w:val="100"/>
        </w:trPr>
        <w:tc>
          <w:tcPr>
            <w:tcW w:w="4547"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772C4A" w:rsidRPr="00D462AF"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596" w:type="dxa"/>
            <w:gridSpan w:val="3"/>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5"/>
        </w:trPr>
        <w:tc>
          <w:tcPr>
            <w:tcW w:w="9846" w:type="dxa"/>
            <w:gridSpan w:val="10"/>
          </w:tcPr>
          <w:p w:rsidR="00772C4A" w:rsidRPr="00D462AF" w:rsidRDefault="00772C4A" w:rsidP="00772C4A">
            <w:pPr>
              <w:widowControl w:val="0"/>
              <w:spacing w:line="260" w:lineRule="atLeast"/>
              <w:rPr>
                <w:rFonts w:ascii="Arial" w:hAnsi="Arial" w:cs="Arial"/>
                <w:b/>
                <w:sz w:val="20"/>
                <w:szCs w:val="20"/>
              </w:rPr>
            </w:pPr>
            <w:r w:rsidRPr="00D462AF">
              <w:rPr>
                <w:rFonts w:ascii="Arial" w:hAnsi="Arial" w:cs="Arial"/>
                <w:b/>
                <w:sz w:val="20"/>
                <w:szCs w:val="20"/>
              </w:rPr>
              <w:t>OBRAZLOŽITEV:</w:t>
            </w:r>
          </w:p>
          <w:p w:rsidR="00772C4A" w:rsidRPr="00FC623A" w:rsidRDefault="00772C4A" w:rsidP="00772C4A">
            <w:pPr>
              <w:widowControl w:val="0"/>
              <w:spacing w:line="260" w:lineRule="atLeast"/>
              <w:jc w:val="both"/>
            </w:pPr>
            <w:r w:rsidRPr="00FC623A">
              <w:rPr>
                <w:rFonts w:ascii="Arial" w:hAnsi="Arial" w:cs="Arial"/>
                <w:sz w:val="20"/>
                <w:szCs w:val="20"/>
                <w:lang w:eastAsia="sl-SI"/>
              </w:rPr>
              <w:t xml:space="preserve">Finančne posledice so navedene v točki 7.a. Podrobno </w:t>
            </w:r>
            <w:r>
              <w:rPr>
                <w:rFonts w:ascii="Arial" w:hAnsi="Arial" w:cs="Arial"/>
                <w:sz w:val="20"/>
                <w:szCs w:val="20"/>
                <w:lang w:eastAsia="sl-SI"/>
              </w:rPr>
              <w:t xml:space="preserve">so podani opisi </w:t>
            </w:r>
            <w:r w:rsidRPr="00FC623A">
              <w:rPr>
                <w:rFonts w:ascii="Arial" w:hAnsi="Arial" w:cs="Arial"/>
                <w:sz w:val="20"/>
                <w:szCs w:val="20"/>
                <w:lang w:eastAsia="sl-SI"/>
              </w:rPr>
              <w:t xml:space="preserve">pri vsakem </w:t>
            </w:r>
            <w:r>
              <w:rPr>
                <w:rFonts w:ascii="Arial" w:hAnsi="Arial" w:cs="Arial"/>
                <w:sz w:val="20"/>
                <w:szCs w:val="20"/>
                <w:lang w:eastAsia="sl-SI"/>
              </w:rPr>
              <w:t xml:space="preserve">posameznem </w:t>
            </w:r>
            <w:r w:rsidRPr="00FC623A">
              <w:rPr>
                <w:rFonts w:ascii="Arial" w:hAnsi="Arial" w:cs="Arial"/>
                <w:sz w:val="20"/>
                <w:szCs w:val="20"/>
                <w:lang w:eastAsia="sl-SI"/>
              </w:rPr>
              <w:t>ukrepu v dokumentu -</w:t>
            </w:r>
            <w:r w:rsidRPr="00FC623A">
              <w:t xml:space="preserve"> </w:t>
            </w:r>
            <w:r w:rsidRPr="00FC623A">
              <w:rPr>
                <w:rFonts w:ascii="Arial" w:hAnsi="Arial" w:cs="Arial"/>
                <w:sz w:val="20"/>
                <w:szCs w:val="20"/>
                <w:lang w:eastAsia="sl-SI"/>
              </w:rPr>
              <w:t>Preglednica ukrepov Akcijskega programa za alternativna goriva v prometu za leti 2020 in 2021 (Excel datoteka – Preglednica ukrepov APzaAGP_2020-2021).</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rsidR="00772C4A" w:rsidRPr="000D7F9E" w:rsidRDefault="00772C4A" w:rsidP="00772C4A">
            <w:pPr>
              <w:pStyle w:val="Oddelek"/>
              <w:widowControl w:val="0"/>
              <w:numPr>
                <w:ilvl w:val="0"/>
                <w:numId w:val="0"/>
              </w:numPr>
              <w:spacing w:before="0" w:after="0" w:line="260" w:lineRule="exact"/>
              <w:jc w:val="left"/>
              <w:rPr>
                <w:sz w:val="20"/>
                <w:szCs w:val="20"/>
              </w:rPr>
            </w:pPr>
            <w:r w:rsidRPr="000D7F9E">
              <w:rPr>
                <w:sz w:val="20"/>
                <w:szCs w:val="20"/>
              </w:rPr>
              <w:t>7.b Predstavitev ocene finančnih posledic pod 40.000 EUR:</w:t>
            </w:r>
          </w:p>
          <w:p w:rsidR="00772C4A" w:rsidRPr="000D7F9E" w:rsidRDefault="00772C4A" w:rsidP="00772C4A">
            <w:pPr>
              <w:pStyle w:val="Oddelek"/>
              <w:widowControl w:val="0"/>
              <w:numPr>
                <w:ilvl w:val="0"/>
                <w:numId w:val="0"/>
              </w:numPr>
              <w:spacing w:before="0" w:after="0" w:line="260" w:lineRule="exact"/>
              <w:jc w:val="left"/>
              <w:rPr>
                <w:b w:val="0"/>
                <w:sz w:val="20"/>
                <w:szCs w:val="20"/>
              </w:rPr>
            </w:pP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846" w:type="dxa"/>
            <w:gridSpan w:val="10"/>
            <w:tcBorders>
              <w:top w:val="single" w:sz="4" w:space="0" w:color="000000"/>
              <w:left w:val="single" w:sz="4" w:space="0" w:color="000000"/>
              <w:bottom w:val="single" w:sz="4" w:space="0" w:color="000000"/>
              <w:right w:val="single" w:sz="4" w:space="0" w:color="000000"/>
            </w:tcBorders>
          </w:tcPr>
          <w:p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rsidR="00772C4A"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p w:rsidR="00772C4A" w:rsidRDefault="00772C4A" w:rsidP="00772C4A">
            <w:pPr>
              <w:pStyle w:val="Neotevilenodstavek"/>
              <w:widowControl w:val="0"/>
              <w:spacing w:before="0" w:after="0" w:line="260" w:lineRule="exact"/>
              <w:rPr>
                <w:iCs/>
                <w:sz w:val="20"/>
                <w:szCs w:val="20"/>
              </w:rPr>
            </w:pPr>
          </w:p>
          <w:p w:rsidR="00772C4A" w:rsidRDefault="00772C4A" w:rsidP="00772C4A">
            <w:pPr>
              <w:pStyle w:val="Neotevilenodstavek"/>
              <w:widowControl w:val="0"/>
              <w:spacing w:before="0" w:after="0" w:line="260" w:lineRule="exact"/>
              <w:rPr>
                <w:iCs/>
                <w:sz w:val="20"/>
                <w:szCs w:val="20"/>
              </w:rPr>
            </w:pPr>
            <w:r>
              <w:rPr>
                <w:iCs/>
                <w:sz w:val="20"/>
                <w:szCs w:val="20"/>
              </w:rPr>
              <w:t>Strategija priporoča občinam uvedbo določenih ukrepov na področju razvoja alternativnih goriv v prometu. Od občin pa je odvisno, v kolikšni meri jih bodo upoštevale.</w:t>
            </w:r>
          </w:p>
          <w:p w:rsidR="00772C4A" w:rsidRPr="00C31064" w:rsidRDefault="00772C4A" w:rsidP="00772C4A">
            <w:pPr>
              <w:pStyle w:val="Neotevilenodstavek"/>
              <w:widowControl w:val="0"/>
              <w:spacing w:before="0" w:after="0" w:line="260" w:lineRule="exact"/>
              <w:rPr>
                <w:iCs/>
                <w:sz w:val="20"/>
                <w:szCs w:val="20"/>
              </w:rPr>
            </w:pPr>
          </w:p>
        </w:tc>
        <w:tc>
          <w:tcPr>
            <w:tcW w:w="2443" w:type="dxa"/>
            <w:gridSpan w:val="3"/>
          </w:tcPr>
          <w:p w:rsidR="00772C4A" w:rsidRPr="000D7F9E" w:rsidRDefault="00772C4A" w:rsidP="00772C4A">
            <w:pPr>
              <w:pStyle w:val="Neotevilenodstavek"/>
              <w:widowControl w:val="0"/>
              <w:spacing w:before="0" w:after="0" w:line="260" w:lineRule="exact"/>
              <w:jc w:val="center"/>
              <w:rPr>
                <w:sz w:val="20"/>
                <w:szCs w:val="20"/>
              </w:rPr>
            </w:pPr>
            <w:r w:rsidRPr="009876E7">
              <w:rPr>
                <w:sz w:val="20"/>
                <w:szCs w:val="20"/>
              </w:rPr>
              <w:t>DA</w:t>
            </w:r>
            <w:r w:rsidRPr="000D7F9E">
              <w:rPr>
                <w:sz w:val="20"/>
                <w:szCs w:val="20"/>
              </w:rPr>
              <w:t>/</w:t>
            </w:r>
            <w:r w:rsidRPr="009876E7">
              <w:rPr>
                <w:b/>
                <w:sz w:val="20"/>
                <w:szCs w:val="20"/>
              </w:rPr>
              <w:t>NE</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772C4A" w:rsidRPr="000D7F9E" w:rsidRDefault="00772C4A" w:rsidP="00772C4A">
            <w:pPr>
              <w:pStyle w:val="Neotevilenodstavek"/>
              <w:widowControl w:val="0"/>
              <w:numPr>
                <w:ilvl w:val="0"/>
                <w:numId w:val="9"/>
              </w:numPr>
              <w:spacing w:before="0" w:after="0" w:line="260" w:lineRule="exact"/>
              <w:rPr>
                <w:iCs/>
                <w:sz w:val="20"/>
                <w:szCs w:val="20"/>
              </w:rPr>
            </w:pPr>
            <w:r w:rsidRPr="000D7F9E">
              <w:rPr>
                <w:iCs/>
                <w:sz w:val="20"/>
                <w:szCs w:val="20"/>
              </w:rPr>
              <w:t xml:space="preserve">Skupnosti občin Slovenije SOS: </w:t>
            </w:r>
            <w:r w:rsidRPr="00C31064">
              <w:rPr>
                <w:b/>
                <w:iCs/>
                <w:sz w:val="20"/>
                <w:szCs w:val="20"/>
              </w:rPr>
              <w:t>DA</w:t>
            </w:r>
            <w:r w:rsidRPr="000D7F9E">
              <w:rPr>
                <w:iCs/>
                <w:sz w:val="20"/>
                <w:szCs w:val="20"/>
              </w:rPr>
              <w:t>/</w:t>
            </w:r>
            <w:r w:rsidRPr="00C31064">
              <w:rPr>
                <w:iCs/>
                <w:sz w:val="20"/>
                <w:szCs w:val="20"/>
              </w:rPr>
              <w:t>NE</w:t>
            </w:r>
          </w:p>
          <w:p w:rsidR="00772C4A" w:rsidRPr="000D7F9E" w:rsidRDefault="00772C4A" w:rsidP="00772C4A">
            <w:pPr>
              <w:pStyle w:val="Neotevilenodstavek"/>
              <w:widowControl w:val="0"/>
              <w:numPr>
                <w:ilvl w:val="0"/>
                <w:numId w:val="9"/>
              </w:numPr>
              <w:spacing w:before="0" w:after="0" w:line="260" w:lineRule="exact"/>
              <w:rPr>
                <w:iCs/>
                <w:sz w:val="20"/>
                <w:szCs w:val="20"/>
              </w:rPr>
            </w:pPr>
            <w:r w:rsidRPr="000D7F9E">
              <w:rPr>
                <w:iCs/>
                <w:sz w:val="20"/>
                <w:szCs w:val="20"/>
              </w:rPr>
              <w:t xml:space="preserve">Združenju občin Slovenije ZOS: </w:t>
            </w:r>
            <w:r w:rsidRPr="00C31064">
              <w:rPr>
                <w:b/>
                <w:iCs/>
                <w:sz w:val="20"/>
                <w:szCs w:val="20"/>
              </w:rPr>
              <w:t>DA</w:t>
            </w:r>
            <w:r w:rsidRPr="000D7F9E">
              <w:rPr>
                <w:iCs/>
                <w:sz w:val="20"/>
                <w:szCs w:val="20"/>
              </w:rPr>
              <w:t>/</w:t>
            </w:r>
            <w:r w:rsidRPr="00C31064">
              <w:rPr>
                <w:iCs/>
                <w:sz w:val="20"/>
                <w:szCs w:val="20"/>
              </w:rPr>
              <w:t>NE</w:t>
            </w:r>
          </w:p>
          <w:p w:rsidR="00772C4A" w:rsidRPr="000D7F9E" w:rsidRDefault="00772C4A" w:rsidP="00772C4A">
            <w:pPr>
              <w:pStyle w:val="Neotevilenodstavek"/>
              <w:widowControl w:val="0"/>
              <w:numPr>
                <w:ilvl w:val="0"/>
                <w:numId w:val="9"/>
              </w:numPr>
              <w:spacing w:before="0" w:after="0" w:line="260" w:lineRule="exact"/>
              <w:rPr>
                <w:iCs/>
                <w:sz w:val="20"/>
                <w:szCs w:val="20"/>
              </w:rPr>
            </w:pPr>
            <w:r w:rsidRPr="000D7F9E">
              <w:rPr>
                <w:iCs/>
                <w:sz w:val="20"/>
                <w:szCs w:val="20"/>
              </w:rPr>
              <w:t xml:space="preserve">Združenju mestnih občin Slovenije ZMOS: </w:t>
            </w:r>
            <w:r w:rsidRPr="00C31064">
              <w:rPr>
                <w:b/>
                <w:iCs/>
                <w:sz w:val="20"/>
                <w:szCs w:val="20"/>
              </w:rPr>
              <w:t>DA</w:t>
            </w:r>
            <w:r w:rsidRPr="000D7F9E">
              <w:rPr>
                <w:iCs/>
                <w:sz w:val="20"/>
                <w:szCs w:val="20"/>
              </w:rPr>
              <w:t>/</w:t>
            </w:r>
            <w:r w:rsidRPr="00C31064">
              <w:rPr>
                <w:iCs/>
                <w:sz w:val="20"/>
                <w:szCs w:val="20"/>
              </w:rPr>
              <w:t>NE</w:t>
            </w:r>
          </w:p>
          <w:p w:rsidR="00772C4A" w:rsidRDefault="00772C4A" w:rsidP="00772C4A">
            <w:pPr>
              <w:pStyle w:val="Neotevilenodstavek"/>
              <w:widowControl w:val="0"/>
              <w:spacing w:before="0" w:after="0" w:line="260" w:lineRule="exact"/>
              <w:rPr>
                <w:iCs/>
                <w:sz w:val="20"/>
                <w:szCs w:val="20"/>
              </w:rPr>
            </w:pPr>
          </w:p>
          <w:p w:rsidR="00772C4A" w:rsidRDefault="00772C4A" w:rsidP="00772C4A">
            <w:pPr>
              <w:pStyle w:val="Neotevilenodstavek"/>
              <w:widowControl w:val="0"/>
              <w:spacing w:before="0" w:after="0" w:line="260" w:lineRule="exact"/>
              <w:rPr>
                <w:iCs/>
                <w:sz w:val="20"/>
                <w:szCs w:val="20"/>
              </w:rPr>
            </w:pPr>
            <w:r>
              <w:rPr>
                <w:iCs/>
                <w:sz w:val="20"/>
                <w:szCs w:val="20"/>
              </w:rPr>
              <w:t>Predlog  Akcijskega programa je bil objavljen na spletni strani Ministrstva za infrastrukturo in e-demokracije 11. junija 2018 in so bila o tem po e-pošti obveščena tudi vsa tri združenja občin oz. mestnih občin. Poleg tega je bila v juniju organizirana tudi javna predstavitev v zgradbi Ministrstva za infrastrukturo, Langusova 4, Ljubljana.</w:t>
            </w:r>
          </w:p>
          <w:p w:rsidR="00772C4A" w:rsidRDefault="00772C4A" w:rsidP="00772C4A">
            <w:pPr>
              <w:pStyle w:val="Neotevilenodstavek"/>
              <w:widowControl w:val="0"/>
              <w:spacing w:before="0" w:after="0" w:line="260" w:lineRule="exact"/>
              <w:rPr>
                <w:iCs/>
                <w:sz w:val="20"/>
                <w:szCs w:val="20"/>
              </w:rPr>
            </w:pPr>
          </w:p>
          <w:p w:rsidR="00772C4A" w:rsidRDefault="00772C4A" w:rsidP="00772C4A">
            <w:pPr>
              <w:pStyle w:val="Neotevilenodstavek"/>
              <w:widowControl w:val="0"/>
              <w:spacing w:before="0" w:after="0" w:line="260" w:lineRule="exact"/>
              <w:rPr>
                <w:iCs/>
                <w:sz w:val="20"/>
                <w:szCs w:val="20"/>
              </w:rPr>
            </w:pPr>
            <w:r>
              <w:rPr>
                <w:iCs/>
                <w:sz w:val="20"/>
                <w:szCs w:val="20"/>
              </w:rPr>
              <w:t>Predlagatelj je izhodišča za Akcijski program s predvidenimi ukrepi predstavil na posvetu o elektro mobilnosti, ki ga je organiziral skupaj s Centrom energetsko učinkovitih rešitev, in na delavnicah ter strokovnih posvetih drugih organizacij.</w:t>
            </w:r>
          </w:p>
          <w:p w:rsidR="00772C4A" w:rsidRDefault="00772C4A" w:rsidP="00772C4A">
            <w:pPr>
              <w:pStyle w:val="Neotevilenodstavek"/>
              <w:widowControl w:val="0"/>
              <w:spacing w:before="0" w:after="0" w:line="260" w:lineRule="exact"/>
              <w:rPr>
                <w:iCs/>
                <w:sz w:val="20"/>
                <w:szCs w:val="20"/>
              </w:rPr>
            </w:pPr>
          </w:p>
          <w:p w:rsidR="00772C4A" w:rsidRPr="000D7F9E" w:rsidRDefault="00772C4A" w:rsidP="00772C4A">
            <w:pPr>
              <w:pStyle w:val="Neotevilenodstavek"/>
              <w:widowControl w:val="0"/>
              <w:spacing w:before="0" w:after="0" w:line="260" w:lineRule="exact"/>
              <w:rPr>
                <w:iCs/>
                <w:sz w:val="20"/>
                <w:szCs w:val="20"/>
              </w:rPr>
            </w:pPr>
            <w:r>
              <w:rPr>
                <w:iCs/>
                <w:sz w:val="20"/>
                <w:szCs w:val="20"/>
              </w:rPr>
              <w:t>Gradivo upošteva tudi Poročilo o celoviti presoji vplivov na okolje, ki je bilo narejeno za Strategijo razvoja prometa v Republiki Sloveniji do leta 2030.</w:t>
            </w:r>
          </w:p>
          <w:p w:rsidR="00772C4A" w:rsidRPr="000D7F9E" w:rsidRDefault="00772C4A" w:rsidP="00772C4A">
            <w:pPr>
              <w:pStyle w:val="Neotevilenodstavek"/>
              <w:widowControl w:val="0"/>
              <w:spacing w:before="0" w:after="0" w:line="260" w:lineRule="exact"/>
              <w:rPr>
                <w:iCs/>
                <w:sz w:val="20"/>
                <w:szCs w:val="20"/>
              </w:rPr>
            </w:pP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lastRenderedPageBreak/>
              <w:t>9. Predstavitev sodelovanja javnosti:</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rsidR="00772C4A" w:rsidRPr="000D7F9E" w:rsidRDefault="00772C4A" w:rsidP="00772C4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43" w:type="dxa"/>
            <w:gridSpan w:val="3"/>
          </w:tcPr>
          <w:p w:rsidR="00772C4A" w:rsidRPr="009833FA" w:rsidRDefault="00772C4A" w:rsidP="00772C4A">
            <w:pPr>
              <w:pStyle w:val="Neotevilenodstavek"/>
              <w:widowControl w:val="0"/>
              <w:spacing w:before="0" w:after="0" w:line="260" w:lineRule="exact"/>
              <w:jc w:val="center"/>
              <w:rPr>
                <w:iCs/>
                <w:sz w:val="20"/>
                <w:szCs w:val="20"/>
              </w:rPr>
            </w:pPr>
            <w:r w:rsidRPr="009833FA">
              <w:rPr>
                <w:sz w:val="20"/>
                <w:szCs w:val="20"/>
              </w:rPr>
              <w:t>DA/</w:t>
            </w:r>
            <w:r w:rsidRPr="009833FA">
              <w:rPr>
                <w:b/>
                <w:sz w:val="20"/>
                <w:szCs w:val="20"/>
              </w:rPr>
              <w:t>NE</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rsidR="00772C4A" w:rsidRPr="000D7F9E" w:rsidRDefault="00772C4A" w:rsidP="00772C4A">
            <w:pPr>
              <w:pStyle w:val="Neotevilenodstavek"/>
              <w:widowControl w:val="0"/>
              <w:spacing w:before="0" w:after="0" w:line="260" w:lineRule="exact"/>
              <w:rPr>
                <w:iCs/>
                <w:color w:val="FF0000"/>
                <w:sz w:val="20"/>
                <w:szCs w:val="20"/>
              </w:rPr>
            </w:pP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rsidR="00772C4A" w:rsidRPr="000D7F9E" w:rsidRDefault="00772C4A" w:rsidP="00772C4A">
            <w:pPr>
              <w:pStyle w:val="Neotevilenodstavek"/>
              <w:widowControl w:val="0"/>
              <w:spacing w:line="260" w:lineRule="exact"/>
              <w:rPr>
                <w:iCs/>
                <w:sz w:val="20"/>
                <w:szCs w:val="20"/>
              </w:rPr>
            </w:pPr>
            <w:r>
              <w:rPr>
                <w:iCs/>
                <w:sz w:val="20"/>
                <w:szCs w:val="20"/>
              </w:rPr>
              <w:t xml:space="preserve">Gre za že sprejet Akcijski program z dne 6. 6. 2019, ki ga je Ministrstvo za infrastrukturo posodobilo glede na razpoložljive vire za leti 2020 in 2021. </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rsidR="00772C4A" w:rsidRPr="000D7F9E" w:rsidRDefault="00772C4A" w:rsidP="00772C4A">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43" w:type="dxa"/>
            <w:gridSpan w:val="3"/>
            <w:vAlign w:val="center"/>
          </w:tcPr>
          <w:p w:rsidR="00772C4A" w:rsidRPr="000D7F9E" w:rsidRDefault="00772C4A" w:rsidP="00772C4A">
            <w:pPr>
              <w:pStyle w:val="Neotevilenodstavek"/>
              <w:widowControl w:val="0"/>
              <w:spacing w:before="0" w:after="0" w:line="260" w:lineRule="exact"/>
              <w:jc w:val="center"/>
              <w:rPr>
                <w:iCs/>
                <w:sz w:val="20"/>
                <w:szCs w:val="20"/>
              </w:rPr>
            </w:pPr>
            <w:r>
              <w:rPr>
                <w:sz w:val="20"/>
                <w:szCs w:val="20"/>
              </w:rPr>
              <w:t>/</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rsidR="00772C4A" w:rsidRPr="000D7F9E" w:rsidRDefault="00772C4A" w:rsidP="00772C4A">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43" w:type="dxa"/>
            <w:gridSpan w:val="3"/>
            <w:vAlign w:val="center"/>
          </w:tcPr>
          <w:p w:rsidR="00772C4A" w:rsidRPr="00591B28" w:rsidRDefault="00772C4A" w:rsidP="00772C4A">
            <w:pPr>
              <w:pStyle w:val="Neotevilenodstavek"/>
              <w:widowControl w:val="0"/>
              <w:spacing w:before="0" w:after="0" w:line="260" w:lineRule="exact"/>
              <w:jc w:val="center"/>
              <w:rPr>
                <w:b/>
                <w:sz w:val="20"/>
                <w:szCs w:val="20"/>
              </w:rPr>
            </w:pPr>
            <w:r w:rsidRPr="00591B28">
              <w:rPr>
                <w:b/>
                <w:sz w:val="20"/>
                <w:szCs w:val="20"/>
              </w:rPr>
              <w:t>DA</w:t>
            </w:r>
          </w:p>
        </w:tc>
      </w:tr>
      <w:tr w:rsidR="00772C4A" w:rsidRPr="000D7F9E"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Borders>
              <w:top w:val="single" w:sz="4" w:space="0" w:color="000000"/>
              <w:left w:val="single" w:sz="4" w:space="0" w:color="000000"/>
              <w:bottom w:val="single" w:sz="4" w:space="0" w:color="000000"/>
              <w:right w:val="single" w:sz="4" w:space="0" w:color="000000"/>
            </w:tcBorders>
          </w:tcPr>
          <w:p w:rsidR="00772C4A" w:rsidRDefault="00772C4A" w:rsidP="00772C4A">
            <w:pPr>
              <w:pStyle w:val="Poglavje"/>
              <w:widowControl w:val="0"/>
              <w:spacing w:before="0" w:after="0" w:line="260" w:lineRule="exact"/>
              <w:ind w:left="5662" w:firstLine="284"/>
              <w:jc w:val="left"/>
              <w:rPr>
                <w:b w:val="0"/>
                <w:sz w:val="20"/>
                <w:szCs w:val="20"/>
              </w:rPr>
            </w:pPr>
          </w:p>
          <w:p w:rsidR="00772C4A" w:rsidRDefault="00772C4A" w:rsidP="00772C4A">
            <w:pPr>
              <w:pStyle w:val="Poglavje"/>
              <w:widowControl w:val="0"/>
              <w:spacing w:before="0" w:after="0" w:line="260" w:lineRule="exact"/>
              <w:ind w:left="5662" w:firstLine="284"/>
              <w:jc w:val="left"/>
              <w:rPr>
                <w:b w:val="0"/>
                <w:sz w:val="20"/>
                <w:szCs w:val="20"/>
              </w:rPr>
            </w:pPr>
          </w:p>
          <w:p w:rsidR="00772C4A" w:rsidRPr="000D7F9E" w:rsidRDefault="00772C4A" w:rsidP="00772C4A">
            <w:pPr>
              <w:pStyle w:val="Poglavje"/>
              <w:widowControl w:val="0"/>
              <w:spacing w:before="0" w:after="0" w:line="260" w:lineRule="exact"/>
              <w:ind w:left="5662" w:firstLine="284"/>
              <w:jc w:val="left"/>
              <w:rPr>
                <w:b w:val="0"/>
                <w:sz w:val="20"/>
                <w:szCs w:val="20"/>
              </w:rPr>
            </w:pPr>
            <w:r>
              <w:rPr>
                <w:b w:val="0"/>
                <w:sz w:val="20"/>
                <w:szCs w:val="20"/>
              </w:rPr>
              <w:t xml:space="preserve">            Jernej Vrtovec </w:t>
            </w:r>
          </w:p>
          <w:p w:rsidR="00772C4A" w:rsidRPr="000D7F9E" w:rsidRDefault="00772C4A" w:rsidP="00772C4A">
            <w:pPr>
              <w:pStyle w:val="Poglavje"/>
              <w:widowControl w:val="0"/>
              <w:spacing w:before="0" w:after="0" w:line="260" w:lineRule="exact"/>
              <w:ind w:left="5946" w:firstLine="284"/>
              <w:jc w:val="left"/>
              <w:rPr>
                <w:b w:val="0"/>
                <w:sz w:val="20"/>
                <w:szCs w:val="20"/>
              </w:rPr>
            </w:pPr>
            <w:r>
              <w:rPr>
                <w:b w:val="0"/>
                <w:sz w:val="20"/>
                <w:szCs w:val="20"/>
              </w:rPr>
              <w:t xml:space="preserve">        MINISTER</w:t>
            </w:r>
          </w:p>
          <w:p w:rsidR="00772C4A" w:rsidRDefault="00772C4A" w:rsidP="00772C4A">
            <w:pPr>
              <w:pStyle w:val="Poglavje"/>
              <w:widowControl w:val="0"/>
              <w:spacing w:before="0" w:after="0" w:line="260" w:lineRule="exact"/>
              <w:ind w:left="3400"/>
              <w:jc w:val="left"/>
              <w:rPr>
                <w:sz w:val="20"/>
                <w:szCs w:val="20"/>
              </w:rPr>
            </w:pPr>
          </w:p>
          <w:p w:rsidR="00772C4A" w:rsidRDefault="00772C4A" w:rsidP="00772C4A">
            <w:pPr>
              <w:pStyle w:val="Poglavje"/>
              <w:widowControl w:val="0"/>
              <w:spacing w:before="0" w:after="0" w:line="260" w:lineRule="exact"/>
              <w:ind w:left="3400"/>
              <w:jc w:val="left"/>
              <w:rPr>
                <w:sz w:val="20"/>
                <w:szCs w:val="20"/>
              </w:rPr>
            </w:pPr>
          </w:p>
          <w:p w:rsidR="00772C4A" w:rsidRPr="000D7F9E" w:rsidRDefault="00772C4A" w:rsidP="00772C4A">
            <w:pPr>
              <w:pStyle w:val="Poglavje"/>
              <w:widowControl w:val="0"/>
              <w:spacing w:before="0" w:after="0" w:line="260" w:lineRule="exact"/>
              <w:ind w:left="3400"/>
              <w:jc w:val="left"/>
              <w:rPr>
                <w:sz w:val="20"/>
                <w:szCs w:val="20"/>
              </w:rPr>
            </w:pPr>
          </w:p>
        </w:tc>
      </w:tr>
    </w:tbl>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sz w:val="20"/>
          <w:szCs w:val="20"/>
        </w:rPr>
      </w:pPr>
    </w:p>
    <w:p w:rsidR="00772C4A" w:rsidRDefault="00772C4A" w:rsidP="002C4BAC">
      <w:pPr>
        <w:spacing w:before="40" w:afterLines="40" w:after="96" w:line="260" w:lineRule="atLeast"/>
        <w:rPr>
          <w:rFonts w:ascii="Arial" w:hAnsi="Arial" w:cs="Arial"/>
          <w:vanish/>
          <w:sz w:val="20"/>
          <w:szCs w:val="20"/>
        </w:rPr>
      </w:pPr>
    </w:p>
    <w:p w:rsidR="00ED5CC7" w:rsidRDefault="00782FD9"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PRILOG</w:t>
      </w:r>
      <w:r w:rsidR="0002456F">
        <w:rPr>
          <w:rFonts w:ascii="Arial" w:hAnsi="Arial" w:cs="Arial"/>
          <w:sz w:val="20"/>
          <w:szCs w:val="20"/>
          <w:lang w:eastAsia="sl-SI"/>
        </w:rPr>
        <w:t>E</w:t>
      </w:r>
      <w:r w:rsidR="00ED5CC7" w:rsidRPr="00ED5CC7">
        <w:rPr>
          <w:rFonts w:ascii="Arial" w:hAnsi="Arial" w:cs="Arial"/>
          <w:sz w:val="20"/>
          <w:szCs w:val="20"/>
          <w:lang w:eastAsia="sl-SI"/>
        </w:rPr>
        <w:t xml:space="preserve">: </w:t>
      </w:r>
    </w:p>
    <w:p w:rsidR="007E005D" w:rsidRDefault="007E005D" w:rsidP="00ED5CC7">
      <w:pPr>
        <w:overflowPunct w:val="0"/>
        <w:autoSpaceDE w:val="0"/>
        <w:autoSpaceDN w:val="0"/>
        <w:adjustRightInd w:val="0"/>
        <w:textAlignment w:val="baseline"/>
        <w:rPr>
          <w:rFonts w:ascii="Arial" w:hAnsi="Arial" w:cs="Arial"/>
          <w:sz w:val="20"/>
          <w:szCs w:val="20"/>
          <w:lang w:eastAsia="sl-SI"/>
        </w:rPr>
      </w:pPr>
    </w:p>
    <w:p w:rsidR="00644D37" w:rsidRPr="00AD6A86" w:rsidRDefault="00644D37" w:rsidP="00644D37">
      <w:pPr>
        <w:pStyle w:val="podpisi"/>
        <w:numPr>
          <w:ilvl w:val="0"/>
          <w:numId w:val="28"/>
        </w:numPr>
        <w:spacing w:line="240" w:lineRule="atLeast"/>
        <w:jc w:val="both"/>
        <w:rPr>
          <w:szCs w:val="20"/>
        </w:rPr>
      </w:pPr>
      <w:r w:rsidRPr="00AD6A86">
        <w:rPr>
          <w:szCs w:val="20"/>
        </w:rPr>
        <w:t>Poročilo o izvajanju Akcijskega programa za alternativna goriva v prometu v letu 2019</w:t>
      </w:r>
    </w:p>
    <w:p w:rsidR="00644D37" w:rsidRPr="00644D37" w:rsidRDefault="00644D37" w:rsidP="00644D37">
      <w:pPr>
        <w:pStyle w:val="podpisi"/>
        <w:numPr>
          <w:ilvl w:val="0"/>
          <w:numId w:val="28"/>
        </w:numPr>
        <w:spacing w:line="240" w:lineRule="atLeast"/>
        <w:jc w:val="both"/>
        <w:rPr>
          <w:szCs w:val="20"/>
        </w:rPr>
      </w:pPr>
      <w:r w:rsidRPr="00644D37">
        <w:rPr>
          <w:rFonts w:cs="Arial"/>
          <w:szCs w:val="20"/>
        </w:rPr>
        <w:t>Pregled realizacije ciljev po ukrepih v letu 2019</w:t>
      </w:r>
    </w:p>
    <w:p w:rsidR="00644D37" w:rsidRPr="00644D37" w:rsidRDefault="00644D37" w:rsidP="00644D37">
      <w:pPr>
        <w:pStyle w:val="podpisi"/>
        <w:numPr>
          <w:ilvl w:val="0"/>
          <w:numId w:val="28"/>
        </w:numPr>
        <w:spacing w:line="240" w:lineRule="atLeast"/>
        <w:jc w:val="both"/>
        <w:rPr>
          <w:szCs w:val="20"/>
        </w:rPr>
      </w:pPr>
      <w:r w:rsidRPr="00644D37">
        <w:rPr>
          <w:szCs w:val="20"/>
        </w:rPr>
        <w:t>Predlog Akcijskega programa za alternativna goriva v prometu za leti 2020 in 2021</w:t>
      </w:r>
    </w:p>
    <w:p w:rsidR="007E005D" w:rsidRPr="00644D37" w:rsidRDefault="00644D37" w:rsidP="00644D37">
      <w:pPr>
        <w:pStyle w:val="podpisi"/>
        <w:numPr>
          <w:ilvl w:val="0"/>
          <w:numId w:val="28"/>
        </w:numPr>
        <w:spacing w:line="240" w:lineRule="atLeast"/>
        <w:jc w:val="both"/>
        <w:rPr>
          <w:szCs w:val="20"/>
        </w:rPr>
      </w:pPr>
      <w:r w:rsidRPr="00AD6A86">
        <w:rPr>
          <w:szCs w:val="20"/>
        </w:rPr>
        <w:t>Predlog preglednice ukrepov Akcijskega programa za alternativna goriva v prometu za leti 2020 in 2021</w:t>
      </w:r>
      <w:bookmarkStart w:id="6" w:name="_GoBack"/>
      <w:bookmarkEnd w:id="6"/>
    </w:p>
    <w:sectPr w:rsidR="007E005D" w:rsidRPr="00644D37"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06" w:rsidRDefault="00695A06">
      <w:r>
        <w:separator/>
      </w:r>
    </w:p>
  </w:endnote>
  <w:endnote w:type="continuationSeparator" w:id="0">
    <w:p w:rsidR="00695A06" w:rsidRDefault="0069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Pr="008A57C5" w:rsidRDefault="006B6624">
    <w:pPr>
      <w:pStyle w:val="Noga"/>
      <w:jc w:val="center"/>
      <w:rPr>
        <w:rFonts w:ascii="Arial" w:hAnsi="Arial" w:cs="Arial"/>
        <w:sz w:val="20"/>
        <w:szCs w:val="20"/>
      </w:rPr>
    </w:pPr>
    <w:r w:rsidRPr="008A57C5">
      <w:rPr>
        <w:rFonts w:ascii="Arial" w:hAnsi="Arial" w:cs="Arial"/>
        <w:sz w:val="20"/>
        <w:szCs w:val="20"/>
      </w:rPr>
      <w:t xml:space="preserve"> </w:t>
    </w:r>
    <w:r w:rsidR="00CB209F" w:rsidRPr="008A57C5">
      <w:rPr>
        <w:rFonts w:ascii="Arial" w:hAnsi="Arial" w:cs="Arial"/>
        <w:bCs/>
        <w:sz w:val="20"/>
        <w:szCs w:val="20"/>
      </w:rPr>
      <w:fldChar w:fldCharType="begin"/>
    </w:r>
    <w:r w:rsidRPr="008A57C5">
      <w:rPr>
        <w:rFonts w:ascii="Arial" w:hAnsi="Arial" w:cs="Arial"/>
        <w:bCs/>
        <w:sz w:val="20"/>
        <w:szCs w:val="20"/>
      </w:rPr>
      <w:instrText>PAGE</w:instrText>
    </w:r>
    <w:r w:rsidR="00CB209F" w:rsidRPr="008A57C5">
      <w:rPr>
        <w:rFonts w:ascii="Arial" w:hAnsi="Arial" w:cs="Arial"/>
        <w:bCs/>
        <w:sz w:val="20"/>
        <w:szCs w:val="20"/>
      </w:rPr>
      <w:fldChar w:fldCharType="separate"/>
    </w:r>
    <w:r w:rsidR="00644D37">
      <w:rPr>
        <w:rFonts w:ascii="Arial" w:hAnsi="Arial" w:cs="Arial"/>
        <w:bCs/>
        <w:noProof/>
        <w:sz w:val="20"/>
        <w:szCs w:val="20"/>
      </w:rPr>
      <w:t>9</w:t>
    </w:r>
    <w:r w:rsidR="00CB209F" w:rsidRPr="008A57C5">
      <w:rPr>
        <w:rFonts w:ascii="Arial" w:hAnsi="Arial" w:cs="Arial"/>
        <w:bCs/>
        <w:sz w:val="20"/>
        <w:szCs w:val="20"/>
      </w:rPr>
      <w:fldChar w:fldCharType="end"/>
    </w:r>
  </w:p>
  <w:p w:rsidR="006B6624" w:rsidRDefault="006B662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9725"/>
      <w:docPartObj>
        <w:docPartGallery w:val="Page Numbers (Bottom of Page)"/>
        <w:docPartUnique/>
      </w:docPartObj>
    </w:sdtPr>
    <w:sdtEndPr/>
    <w:sdtContent>
      <w:p w:rsidR="006B6624" w:rsidRDefault="00CB209F">
        <w:pPr>
          <w:pStyle w:val="Noga"/>
          <w:jc w:val="center"/>
        </w:pPr>
        <w:r>
          <w:fldChar w:fldCharType="begin"/>
        </w:r>
        <w:r w:rsidR="001F3276">
          <w:instrText>PAGE   \* MERGEFORMAT</w:instrText>
        </w:r>
        <w:r>
          <w:fldChar w:fldCharType="separate"/>
        </w:r>
        <w:r w:rsidR="00644D37">
          <w:rPr>
            <w:noProof/>
          </w:rPr>
          <w:t>1</w:t>
        </w:r>
        <w:r>
          <w:rPr>
            <w:noProof/>
          </w:rPr>
          <w:fldChar w:fldCharType="end"/>
        </w:r>
      </w:p>
    </w:sdtContent>
  </w:sdt>
  <w:p w:rsidR="006B6624" w:rsidRDefault="006B6624"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06" w:rsidRDefault="00695A06">
      <w:r>
        <w:separator/>
      </w:r>
    </w:p>
  </w:footnote>
  <w:footnote w:type="continuationSeparator" w:id="0">
    <w:p w:rsidR="00695A06" w:rsidRDefault="0069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Pr="001B1D79" w:rsidRDefault="006B6624">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24" w:rsidRPr="00125A68" w:rsidRDefault="006B6624"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4B24E1"/>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FA4DB1"/>
    <w:multiLevelType w:val="hybridMultilevel"/>
    <w:tmpl w:val="9124AFB4"/>
    <w:lvl w:ilvl="0" w:tplc="70E0DB16">
      <w:numFmt w:val="bullet"/>
      <w:lvlText w:val="-"/>
      <w:lvlJc w:val="left"/>
      <w:pPr>
        <w:tabs>
          <w:tab w:val="num" w:pos="502"/>
        </w:tabs>
        <w:ind w:left="502" w:hanging="360"/>
      </w:pPr>
      <w:rPr>
        <w:rFonts w:ascii="Tahoma" w:eastAsia="Times New Roman" w:hAnsi="Tahoma" w:cs="Tahoma"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56480"/>
    <w:multiLevelType w:val="hybridMultilevel"/>
    <w:tmpl w:val="4C0854CA"/>
    <w:lvl w:ilvl="0" w:tplc="3FB6B25E">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1350588"/>
    <w:multiLevelType w:val="hybridMultilevel"/>
    <w:tmpl w:val="A4643DC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810C07"/>
    <w:multiLevelType w:val="hybridMultilevel"/>
    <w:tmpl w:val="5114D822"/>
    <w:lvl w:ilvl="0" w:tplc="6F520862">
      <w:numFmt w:val="bullet"/>
      <w:lvlText w:val="−"/>
      <w:lvlJc w:val="center"/>
      <w:pPr>
        <w:ind w:left="536" w:hanging="360"/>
      </w:pPr>
      <w:rPr>
        <w:rFonts w:ascii="Times New Roman" w:eastAsia="Times New Roman" w:hAnsi="Times New Roman" w:cs="Times New Roman" w:hint="default"/>
      </w:rPr>
    </w:lvl>
    <w:lvl w:ilvl="1" w:tplc="04240003" w:tentative="1">
      <w:start w:val="1"/>
      <w:numFmt w:val="bullet"/>
      <w:lvlText w:val="o"/>
      <w:lvlJc w:val="left"/>
      <w:pPr>
        <w:ind w:left="1256" w:hanging="360"/>
      </w:pPr>
      <w:rPr>
        <w:rFonts w:ascii="Courier New" w:hAnsi="Courier New" w:cs="Courier New" w:hint="default"/>
      </w:rPr>
    </w:lvl>
    <w:lvl w:ilvl="2" w:tplc="04240005" w:tentative="1">
      <w:start w:val="1"/>
      <w:numFmt w:val="bullet"/>
      <w:lvlText w:val=""/>
      <w:lvlJc w:val="left"/>
      <w:pPr>
        <w:ind w:left="1976" w:hanging="360"/>
      </w:pPr>
      <w:rPr>
        <w:rFonts w:ascii="Wingdings" w:hAnsi="Wingdings" w:hint="default"/>
      </w:rPr>
    </w:lvl>
    <w:lvl w:ilvl="3" w:tplc="04240001" w:tentative="1">
      <w:start w:val="1"/>
      <w:numFmt w:val="bullet"/>
      <w:lvlText w:val=""/>
      <w:lvlJc w:val="left"/>
      <w:pPr>
        <w:ind w:left="2696" w:hanging="360"/>
      </w:pPr>
      <w:rPr>
        <w:rFonts w:ascii="Symbol" w:hAnsi="Symbol" w:hint="default"/>
      </w:rPr>
    </w:lvl>
    <w:lvl w:ilvl="4" w:tplc="04240003" w:tentative="1">
      <w:start w:val="1"/>
      <w:numFmt w:val="bullet"/>
      <w:lvlText w:val="o"/>
      <w:lvlJc w:val="left"/>
      <w:pPr>
        <w:ind w:left="3416" w:hanging="360"/>
      </w:pPr>
      <w:rPr>
        <w:rFonts w:ascii="Courier New" w:hAnsi="Courier New" w:cs="Courier New" w:hint="default"/>
      </w:rPr>
    </w:lvl>
    <w:lvl w:ilvl="5" w:tplc="04240005" w:tentative="1">
      <w:start w:val="1"/>
      <w:numFmt w:val="bullet"/>
      <w:lvlText w:val=""/>
      <w:lvlJc w:val="left"/>
      <w:pPr>
        <w:ind w:left="4136" w:hanging="360"/>
      </w:pPr>
      <w:rPr>
        <w:rFonts w:ascii="Wingdings" w:hAnsi="Wingdings" w:hint="default"/>
      </w:rPr>
    </w:lvl>
    <w:lvl w:ilvl="6" w:tplc="04240001" w:tentative="1">
      <w:start w:val="1"/>
      <w:numFmt w:val="bullet"/>
      <w:lvlText w:val=""/>
      <w:lvlJc w:val="left"/>
      <w:pPr>
        <w:ind w:left="4856" w:hanging="360"/>
      </w:pPr>
      <w:rPr>
        <w:rFonts w:ascii="Symbol" w:hAnsi="Symbol" w:hint="default"/>
      </w:rPr>
    </w:lvl>
    <w:lvl w:ilvl="7" w:tplc="04240003" w:tentative="1">
      <w:start w:val="1"/>
      <w:numFmt w:val="bullet"/>
      <w:lvlText w:val="o"/>
      <w:lvlJc w:val="left"/>
      <w:pPr>
        <w:ind w:left="5576" w:hanging="360"/>
      </w:pPr>
      <w:rPr>
        <w:rFonts w:ascii="Courier New" w:hAnsi="Courier New" w:cs="Courier New" w:hint="default"/>
      </w:rPr>
    </w:lvl>
    <w:lvl w:ilvl="8" w:tplc="04240005" w:tentative="1">
      <w:start w:val="1"/>
      <w:numFmt w:val="bullet"/>
      <w:lvlText w:val=""/>
      <w:lvlJc w:val="left"/>
      <w:pPr>
        <w:ind w:left="6296" w:hanging="360"/>
      </w:pPr>
      <w:rPr>
        <w:rFonts w:ascii="Wingdings" w:hAnsi="Wingdings" w:hint="default"/>
      </w:rPr>
    </w:lvl>
  </w:abstractNum>
  <w:abstractNum w:abstractNumId="11" w15:restartNumberingAfterBreak="0">
    <w:nsid w:val="4DF1602D"/>
    <w:multiLevelType w:val="hybridMultilevel"/>
    <w:tmpl w:val="79402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F50DB6"/>
    <w:multiLevelType w:val="hybridMultilevel"/>
    <w:tmpl w:val="E146C456"/>
    <w:lvl w:ilvl="0" w:tplc="81728F4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5645B4"/>
    <w:multiLevelType w:val="hybridMultilevel"/>
    <w:tmpl w:val="807EEA3C"/>
    <w:lvl w:ilvl="0" w:tplc="C43818C2">
      <w:start w:val="1"/>
      <w:numFmt w:val="bullet"/>
      <w:lvlText w:val="-"/>
      <w:lvlJc w:val="left"/>
      <w:pPr>
        <w:tabs>
          <w:tab w:val="num" w:pos="720"/>
        </w:tabs>
        <w:ind w:left="720" w:hanging="360"/>
      </w:pPr>
      <w:rPr>
        <w:rFonts w:ascii="Times New Roman" w:hAnsi="Times New Roman" w:hint="default"/>
      </w:rPr>
    </w:lvl>
    <w:lvl w:ilvl="1" w:tplc="08FABBC4" w:tentative="1">
      <w:start w:val="1"/>
      <w:numFmt w:val="bullet"/>
      <w:lvlText w:val="-"/>
      <w:lvlJc w:val="left"/>
      <w:pPr>
        <w:tabs>
          <w:tab w:val="num" w:pos="1440"/>
        </w:tabs>
        <w:ind w:left="1440" w:hanging="360"/>
      </w:pPr>
      <w:rPr>
        <w:rFonts w:ascii="Times New Roman" w:hAnsi="Times New Roman" w:hint="default"/>
      </w:rPr>
    </w:lvl>
    <w:lvl w:ilvl="2" w:tplc="045806DC" w:tentative="1">
      <w:start w:val="1"/>
      <w:numFmt w:val="bullet"/>
      <w:lvlText w:val="-"/>
      <w:lvlJc w:val="left"/>
      <w:pPr>
        <w:tabs>
          <w:tab w:val="num" w:pos="2160"/>
        </w:tabs>
        <w:ind w:left="2160" w:hanging="360"/>
      </w:pPr>
      <w:rPr>
        <w:rFonts w:ascii="Times New Roman" w:hAnsi="Times New Roman" w:hint="default"/>
      </w:rPr>
    </w:lvl>
    <w:lvl w:ilvl="3" w:tplc="7A2C70E6" w:tentative="1">
      <w:start w:val="1"/>
      <w:numFmt w:val="bullet"/>
      <w:lvlText w:val="-"/>
      <w:lvlJc w:val="left"/>
      <w:pPr>
        <w:tabs>
          <w:tab w:val="num" w:pos="2880"/>
        </w:tabs>
        <w:ind w:left="2880" w:hanging="360"/>
      </w:pPr>
      <w:rPr>
        <w:rFonts w:ascii="Times New Roman" w:hAnsi="Times New Roman" w:hint="default"/>
      </w:rPr>
    </w:lvl>
    <w:lvl w:ilvl="4" w:tplc="B566AAB0" w:tentative="1">
      <w:start w:val="1"/>
      <w:numFmt w:val="bullet"/>
      <w:lvlText w:val="-"/>
      <w:lvlJc w:val="left"/>
      <w:pPr>
        <w:tabs>
          <w:tab w:val="num" w:pos="3600"/>
        </w:tabs>
        <w:ind w:left="3600" w:hanging="360"/>
      </w:pPr>
      <w:rPr>
        <w:rFonts w:ascii="Times New Roman" w:hAnsi="Times New Roman" w:hint="default"/>
      </w:rPr>
    </w:lvl>
    <w:lvl w:ilvl="5" w:tplc="A9942756" w:tentative="1">
      <w:start w:val="1"/>
      <w:numFmt w:val="bullet"/>
      <w:lvlText w:val="-"/>
      <w:lvlJc w:val="left"/>
      <w:pPr>
        <w:tabs>
          <w:tab w:val="num" w:pos="4320"/>
        </w:tabs>
        <w:ind w:left="4320" w:hanging="360"/>
      </w:pPr>
      <w:rPr>
        <w:rFonts w:ascii="Times New Roman" w:hAnsi="Times New Roman" w:hint="default"/>
      </w:rPr>
    </w:lvl>
    <w:lvl w:ilvl="6" w:tplc="6C962D96" w:tentative="1">
      <w:start w:val="1"/>
      <w:numFmt w:val="bullet"/>
      <w:lvlText w:val="-"/>
      <w:lvlJc w:val="left"/>
      <w:pPr>
        <w:tabs>
          <w:tab w:val="num" w:pos="5040"/>
        </w:tabs>
        <w:ind w:left="5040" w:hanging="360"/>
      </w:pPr>
      <w:rPr>
        <w:rFonts w:ascii="Times New Roman" w:hAnsi="Times New Roman" w:hint="default"/>
      </w:rPr>
    </w:lvl>
    <w:lvl w:ilvl="7" w:tplc="33B4EEEA" w:tentative="1">
      <w:start w:val="1"/>
      <w:numFmt w:val="bullet"/>
      <w:lvlText w:val="-"/>
      <w:lvlJc w:val="left"/>
      <w:pPr>
        <w:tabs>
          <w:tab w:val="num" w:pos="5760"/>
        </w:tabs>
        <w:ind w:left="5760" w:hanging="360"/>
      </w:pPr>
      <w:rPr>
        <w:rFonts w:ascii="Times New Roman" w:hAnsi="Times New Roman" w:hint="default"/>
      </w:rPr>
    </w:lvl>
    <w:lvl w:ilvl="8" w:tplc="0834F5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B25A1C"/>
    <w:multiLevelType w:val="hybridMultilevel"/>
    <w:tmpl w:val="6E7AA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EE552E"/>
    <w:multiLevelType w:val="hybridMultilevel"/>
    <w:tmpl w:val="15BC156A"/>
    <w:lvl w:ilvl="0" w:tplc="E69CAC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81BEA"/>
    <w:multiLevelType w:val="hybridMultilevel"/>
    <w:tmpl w:val="2DA20A0A"/>
    <w:lvl w:ilvl="0" w:tplc="04240001">
      <w:start w:val="1"/>
      <w:numFmt w:val="bullet"/>
      <w:lvlText w:val=""/>
      <w:lvlJc w:val="left"/>
      <w:pPr>
        <w:ind w:left="357" w:hanging="35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11F6A"/>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726E5E"/>
    <w:multiLevelType w:val="hybridMultilevel"/>
    <w:tmpl w:val="6C903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E931F79"/>
    <w:multiLevelType w:val="hybridMultilevel"/>
    <w:tmpl w:val="89CA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num>
  <w:num w:numId="3">
    <w:abstractNumId w:val="3"/>
  </w:num>
  <w:num w:numId="4">
    <w:abstractNumId w:val="17"/>
  </w:num>
  <w:num w:numId="5">
    <w:abstractNumId w:val="21"/>
  </w:num>
  <w:num w:numId="6">
    <w:abstractNumId w:val="27"/>
  </w:num>
  <w:num w:numId="7">
    <w:abstractNumId w:val="10"/>
  </w:num>
  <w:num w:numId="8">
    <w:abstractNumId w:val="16"/>
  </w:num>
  <w:num w:numId="9">
    <w:abstractNumId w:val="9"/>
  </w:num>
  <w:num w:numId="10">
    <w:abstractNumId w:val="20"/>
  </w:num>
  <w:num w:numId="11">
    <w:abstractNumId w:val="25"/>
  </w:num>
  <w:num w:numId="12">
    <w:abstractNumId w:val="5"/>
  </w:num>
  <w:num w:numId="13">
    <w:abstractNumId w:val="22"/>
  </w:num>
  <w:num w:numId="14">
    <w:abstractNumId w:val="18"/>
  </w:num>
  <w:num w:numId="15">
    <w:abstractNumId w:val="2"/>
  </w:num>
  <w:num w:numId="16">
    <w:abstractNumId w:val="15"/>
  </w:num>
  <w:num w:numId="17">
    <w:abstractNumId w:val="12"/>
  </w:num>
  <w:num w:numId="18">
    <w:abstractNumId w:val="11"/>
  </w:num>
  <w:num w:numId="19">
    <w:abstractNumId w:val="14"/>
  </w:num>
  <w:num w:numId="20">
    <w:abstractNumId w:val="13"/>
  </w:num>
  <w:num w:numId="21">
    <w:abstractNumId w:val="6"/>
  </w:num>
  <w:num w:numId="22">
    <w:abstractNumId w:val="26"/>
  </w:num>
  <w:num w:numId="23">
    <w:abstractNumId w:val="24"/>
  </w:num>
  <w:num w:numId="24">
    <w:abstractNumId w:val="0"/>
  </w:num>
  <w:num w:numId="25">
    <w:abstractNumId w:val="23"/>
  </w:num>
  <w:num w:numId="26">
    <w:abstractNumId w:val="1"/>
  </w:num>
  <w:num w:numId="27">
    <w:abstractNumId w:val="4"/>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7"/>
    <w:rsid w:val="000025D6"/>
    <w:rsid w:val="00002770"/>
    <w:rsid w:val="000044DB"/>
    <w:rsid w:val="000055E1"/>
    <w:rsid w:val="00006055"/>
    <w:rsid w:val="00010F4F"/>
    <w:rsid w:val="000123AA"/>
    <w:rsid w:val="0001356D"/>
    <w:rsid w:val="00022278"/>
    <w:rsid w:val="0002456F"/>
    <w:rsid w:val="0002546E"/>
    <w:rsid w:val="00027E19"/>
    <w:rsid w:val="00030AD9"/>
    <w:rsid w:val="0003491A"/>
    <w:rsid w:val="000355C2"/>
    <w:rsid w:val="0003706A"/>
    <w:rsid w:val="00042052"/>
    <w:rsid w:val="0004467F"/>
    <w:rsid w:val="00050C50"/>
    <w:rsid w:val="00051526"/>
    <w:rsid w:val="00054F6F"/>
    <w:rsid w:val="00055244"/>
    <w:rsid w:val="0005797F"/>
    <w:rsid w:val="00057F19"/>
    <w:rsid w:val="00062360"/>
    <w:rsid w:val="00062D0E"/>
    <w:rsid w:val="00062D15"/>
    <w:rsid w:val="000663E0"/>
    <w:rsid w:val="0006712C"/>
    <w:rsid w:val="000679A7"/>
    <w:rsid w:val="00074C3B"/>
    <w:rsid w:val="0008430B"/>
    <w:rsid w:val="000843FC"/>
    <w:rsid w:val="000848CE"/>
    <w:rsid w:val="00086A7D"/>
    <w:rsid w:val="000903FA"/>
    <w:rsid w:val="0009123E"/>
    <w:rsid w:val="0009444D"/>
    <w:rsid w:val="00095660"/>
    <w:rsid w:val="00096875"/>
    <w:rsid w:val="000A342A"/>
    <w:rsid w:val="000A4F54"/>
    <w:rsid w:val="000A604A"/>
    <w:rsid w:val="000A6241"/>
    <w:rsid w:val="000A6B23"/>
    <w:rsid w:val="000A74DA"/>
    <w:rsid w:val="000B1D5D"/>
    <w:rsid w:val="000B2068"/>
    <w:rsid w:val="000C01EA"/>
    <w:rsid w:val="000C2A6E"/>
    <w:rsid w:val="000C5083"/>
    <w:rsid w:val="000C591F"/>
    <w:rsid w:val="000D399F"/>
    <w:rsid w:val="000D470B"/>
    <w:rsid w:val="000D66CF"/>
    <w:rsid w:val="000E080E"/>
    <w:rsid w:val="000E138A"/>
    <w:rsid w:val="000E3319"/>
    <w:rsid w:val="000E3654"/>
    <w:rsid w:val="000E662A"/>
    <w:rsid w:val="000E6700"/>
    <w:rsid w:val="000E7A63"/>
    <w:rsid w:val="000E7B1D"/>
    <w:rsid w:val="000F2060"/>
    <w:rsid w:val="000F45B4"/>
    <w:rsid w:val="000F624C"/>
    <w:rsid w:val="000F6727"/>
    <w:rsid w:val="000F6A1F"/>
    <w:rsid w:val="000F7194"/>
    <w:rsid w:val="00100B5E"/>
    <w:rsid w:val="00104E91"/>
    <w:rsid w:val="0010565C"/>
    <w:rsid w:val="00106F61"/>
    <w:rsid w:val="00114CA9"/>
    <w:rsid w:val="001178F9"/>
    <w:rsid w:val="0012461B"/>
    <w:rsid w:val="00125CE3"/>
    <w:rsid w:val="0013138A"/>
    <w:rsid w:val="00131DD8"/>
    <w:rsid w:val="00135590"/>
    <w:rsid w:val="00135C44"/>
    <w:rsid w:val="001402F1"/>
    <w:rsid w:val="00141058"/>
    <w:rsid w:val="00145500"/>
    <w:rsid w:val="00145915"/>
    <w:rsid w:val="00153039"/>
    <w:rsid w:val="00156F06"/>
    <w:rsid w:val="00163728"/>
    <w:rsid w:val="001654F6"/>
    <w:rsid w:val="00171BF0"/>
    <w:rsid w:val="00172457"/>
    <w:rsid w:val="0017552D"/>
    <w:rsid w:val="00176CA5"/>
    <w:rsid w:val="001873D7"/>
    <w:rsid w:val="00193E06"/>
    <w:rsid w:val="00195107"/>
    <w:rsid w:val="00195F48"/>
    <w:rsid w:val="00195FA2"/>
    <w:rsid w:val="001A44D5"/>
    <w:rsid w:val="001A4CBE"/>
    <w:rsid w:val="001A69C3"/>
    <w:rsid w:val="001A798B"/>
    <w:rsid w:val="001B0AB2"/>
    <w:rsid w:val="001B1CF2"/>
    <w:rsid w:val="001B37BA"/>
    <w:rsid w:val="001B63EC"/>
    <w:rsid w:val="001B758A"/>
    <w:rsid w:val="001C056F"/>
    <w:rsid w:val="001C10BF"/>
    <w:rsid w:val="001C4FFE"/>
    <w:rsid w:val="001C5547"/>
    <w:rsid w:val="001C6195"/>
    <w:rsid w:val="001D0E71"/>
    <w:rsid w:val="001E04EB"/>
    <w:rsid w:val="001E5919"/>
    <w:rsid w:val="001E7C72"/>
    <w:rsid w:val="001F0510"/>
    <w:rsid w:val="001F205D"/>
    <w:rsid w:val="001F245F"/>
    <w:rsid w:val="001F3276"/>
    <w:rsid w:val="001F3974"/>
    <w:rsid w:val="001F54A6"/>
    <w:rsid w:val="002026B7"/>
    <w:rsid w:val="00202CAD"/>
    <w:rsid w:val="00205FC3"/>
    <w:rsid w:val="00206D69"/>
    <w:rsid w:val="00206EB7"/>
    <w:rsid w:val="00211B3F"/>
    <w:rsid w:val="00212E8C"/>
    <w:rsid w:val="00213776"/>
    <w:rsid w:val="00213E58"/>
    <w:rsid w:val="0021430F"/>
    <w:rsid w:val="0022003F"/>
    <w:rsid w:val="00226B31"/>
    <w:rsid w:val="00227230"/>
    <w:rsid w:val="00233B1D"/>
    <w:rsid w:val="00233EED"/>
    <w:rsid w:val="002378A0"/>
    <w:rsid w:val="002400D4"/>
    <w:rsid w:val="002404C5"/>
    <w:rsid w:val="00241720"/>
    <w:rsid w:val="00245033"/>
    <w:rsid w:val="0025013E"/>
    <w:rsid w:val="0025071E"/>
    <w:rsid w:val="002521D8"/>
    <w:rsid w:val="00254E8C"/>
    <w:rsid w:val="00255AE9"/>
    <w:rsid w:val="00255CC0"/>
    <w:rsid w:val="002577B1"/>
    <w:rsid w:val="00257DA9"/>
    <w:rsid w:val="00261D29"/>
    <w:rsid w:val="002634EC"/>
    <w:rsid w:val="00264ABB"/>
    <w:rsid w:val="00265F56"/>
    <w:rsid w:val="00267705"/>
    <w:rsid w:val="002710AF"/>
    <w:rsid w:val="00273AE3"/>
    <w:rsid w:val="00273EC6"/>
    <w:rsid w:val="00275E89"/>
    <w:rsid w:val="00280695"/>
    <w:rsid w:val="00284D09"/>
    <w:rsid w:val="00285860"/>
    <w:rsid w:val="00286A26"/>
    <w:rsid w:val="00291179"/>
    <w:rsid w:val="00291347"/>
    <w:rsid w:val="00297AD8"/>
    <w:rsid w:val="00297DCA"/>
    <w:rsid w:val="002A0C30"/>
    <w:rsid w:val="002A191D"/>
    <w:rsid w:val="002B3584"/>
    <w:rsid w:val="002B3A65"/>
    <w:rsid w:val="002B3E4A"/>
    <w:rsid w:val="002B46CC"/>
    <w:rsid w:val="002B5ED0"/>
    <w:rsid w:val="002B65DE"/>
    <w:rsid w:val="002B7C08"/>
    <w:rsid w:val="002B7D5B"/>
    <w:rsid w:val="002C19CD"/>
    <w:rsid w:val="002C3E2E"/>
    <w:rsid w:val="002C4BAC"/>
    <w:rsid w:val="002C768B"/>
    <w:rsid w:val="002D394B"/>
    <w:rsid w:val="002D458D"/>
    <w:rsid w:val="002D55C6"/>
    <w:rsid w:val="002D5E09"/>
    <w:rsid w:val="002E0F7D"/>
    <w:rsid w:val="002E491E"/>
    <w:rsid w:val="002E4B67"/>
    <w:rsid w:val="002E640F"/>
    <w:rsid w:val="002E701F"/>
    <w:rsid w:val="002E743C"/>
    <w:rsid w:val="002F07D8"/>
    <w:rsid w:val="002F09EE"/>
    <w:rsid w:val="002F0D29"/>
    <w:rsid w:val="002F10DB"/>
    <w:rsid w:val="002F1537"/>
    <w:rsid w:val="002F3F2C"/>
    <w:rsid w:val="002F6A40"/>
    <w:rsid w:val="002F6B69"/>
    <w:rsid w:val="00304D81"/>
    <w:rsid w:val="003054B2"/>
    <w:rsid w:val="0030570B"/>
    <w:rsid w:val="00306020"/>
    <w:rsid w:val="00310F68"/>
    <w:rsid w:val="00312162"/>
    <w:rsid w:val="00313006"/>
    <w:rsid w:val="00313583"/>
    <w:rsid w:val="0031573F"/>
    <w:rsid w:val="00315B49"/>
    <w:rsid w:val="00315B61"/>
    <w:rsid w:val="003161CC"/>
    <w:rsid w:val="00317F33"/>
    <w:rsid w:val="00323F50"/>
    <w:rsid w:val="0032442E"/>
    <w:rsid w:val="0032768D"/>
    <w:rsid w:val="00333B4D"/>
    <w:rsid w:val="003365D2"/>
    <w:rsid w:val="00336F9D"/>
    <w:rsid w:val="00340FCF"/>
    <w:rsid w:val="0034306C"/>
    <w:rsid w:val="00347578"/>
    <w:rsid w:val="0035059A"/>
    <w:rsid w:val="00351BD5"/>
    <w:rsid w:val="00355B13"/>
    <w:rsid w:val="003571F7"/>
    <w:rsid w:val="00357E04"/>
    <w:rsid w:val="00360183"/>
    <w:rsid w:val="00361FF1"/>
    <w:rsid w:val="00367EE1"/>
    <w:rsid w:val="003731AA"/>
    <w:rsid w:val="003740E3"/>
    <w:rsid w:val="00376F08"/>
    <w:rsid w:val="00376F4B"/>
    <w:rsid w:val="00380DBD"/>
    <w:rsid w:val="00383090"/>
    <w:rsid w:val="00391217"/>
    <w:rsid w:val="00392C7C"/>
    <w:rsid w:val="0039538A"/>
    <w:rsid w:val="00397264"/>
    <w:rsid w:val="003A0D78"/>
    <w:rsid w:val="003A10FC"/>
    <w:rsid w:val="003A2193"/>
    <w:rsid w:val="003A24BE"/>
    <w:rsid w:val="003A521A"/>
    <w:rsid w:val="003A5A70"/>
    <w:rsid w:val="003A69EF"/>
    <w:rsid w:val="003A71F0"/>
    <w:rsid w:val="003B344A"/>
    <w:rsid w:val="003B4769"/>
    <w:rsid w:val="003C00BD"/>
    <w:rsid w:val="003C3021"/>
    <w:rsid w:val="003C3680"/>
    <w:rsid w:val="003C38FF"/>
    <w:rsid w:val="003C3A88"/>
    <w:rsid w:val="003C6E56"/>
    <w:rsid w:val="003C7130"/>
    <w:rsid w:val="003C7717"/>
    <w:rsid w:val="003D1275"/>
    <w:rsid w:val="003D1AF7"/>
    <w:rsid w:val="003D2974"/>
    <w:rsid w:val="003D4EBF"/>
    <w:rsid w:val="003D67DE"/>
    <w:rsid w:val="003D6B5A"/>
    <w:rsid w:val="003E1537"/>
    <w:rsid w:val="003E291F"/>
    <w:rsid w:val="003E2D7F"/>
    <w:rsid w:val="003F5868"/>
    <w:rsid w:val="003F5F88"/>
    <w:rsid w:val="003F620F"/>
    <w:rsid w:val="003F712A"/>
    <w:rsid w:val="00403424"/>
    <w:rsid w:val="00404185"/>
    <w:rsid w:val="00404B6F"/>
    <w:rsid w:val="0040696C"/>
    <w:rsid w:val="0041070D"/>
    <w:rsid w:val="00413BAB"/>
    <w:rsid w:val="00414D66"/>
    <w:rsid w:val="004158FE"/>
    <w:rsid w:val="00420792"/>
    <w:rsid w:val="004233AB"/>
    <w:rsid w:val="00423A11"/>
    <w:rsid w:val="00424E06"/>
    <w:rsid w:val="00424FFB"/>
    <w:rsid w:val="00425C71"/>
    <w:rsid w:val="004264A1"/>
    <w:rsid w:val="00426D3F"/>
    <w:rsid w:val="00427C67"/>
    <w:rsid w:val="004320FD"/>
    <w:rsid w:val="0044215B"/>
    <w:rsid w:val="0044566D"/>
    <w:rsid w:val="00450266"/>
    <w:rsid w:val="00452605"/>
    <w:rsid w:val="004548BE"/>
    <w:rsid w:val="00455693"/>
    <w:rsid w:val="0046060C"/>
    <w:rsid w:val="004634FC"/>
    <w:rsid w:val="00463B04"/>
    <w:rsid w:val="004702CC"/>
    <w:rsid w:val="00474645"/>
    <w:rsid w:val="00475FBF"/>
    <w:rsid w:val="0047795C"/>
    <w:rsid w:val="00481C18"/>
    <w:rsid w:val="00482460"/>
    <w:rsid w:val="00483024"/>
    <w:rsid w:val="00485685"/>
    <w:rsid w:val="00486447"/>
    <w:rsid w:val="0048733F"/>
    <w:rsid w:val="00487EAD"/>
    <w:rsid w:val="004922C7"/>
    <w:rsid w:val="00493F09"/>
    <w:rsid w:val="004949A6"/>
    <w:rsid w:val="00495FDC"/>
    <w:rsid w:val="00496409"/>
    <w:rsid w:val="004977FA"/>
    <w:rsid w:val="004A5387"/>
    <w:rsid w:val="004A5FAA"/>
    <w:rsid w:val="004A747A"/>
    <w:rsid w:val="004B1F80"/>
    <w:rsid w:val="004B64B3"/>
    <w:rsid w:val="004C1077"/>
    <w:rsid w:val="004C680F"/>
    <w:rsid w:val="004C7701"/>
    <w:rsid w:val="004C7A0F"/>
    <w:rsid w:val="004C7CCA"/>
    <w:rsid w:val="004D0EC8"/>
    <w:rsid w:val="004D1201"/>
    <w:rsid w:val="004D1F63"/>
    <w:rsid w:val="004D2782"/>
    <w:rsid w:val="004D5297"/>
    <w:rsid w:val="004D7CCF"/>
    <w:rsid w:val="004E0EBF"/>
    <w:rsid w:val="004F008C"/>
    <w:rsid w:val="004F2C25"/>
    <w:rsid w:val="004F4607"/>
    <w:rsid w:val="005010E0"/>
    <w:rsid w:val="00501FE5"/>
    <w:rsid w:val="00503142"/>
    <w:rsid w:val="00503BFC"/>
    <w:rsid w:val="00505797"/>
    <w:rsid w:val="00505F24"/>
    <w:rsid w:val="00506FB2"/>
    <w:rsid w:val="00511049"/>
    <w:rsid w:val="0051281B"/>
    <w:rsid w:val="00514BB8"/>
    <w:rsid w:val="0051776B"/>
    <w:rsid w:val="00523C18"/>
    <w:rsid w:val="005254F6"/>
    <w:rsid w:val="005261A2"/>
    <w:rsid w:val="00530C30"/>
    <w:rsid w:val="00530C4A"/>
    <w:rsid w:val="005310D9"/>
    <w:rsid w:val="00531C1D"/>
    <w:rsid w:val="00536066"/>
    <w:rsid w:val="00537669"/>
    <w:rsid w:val="00544C83"/>
    <w:rsid w:val="00547947"/>
    <w:rsid w:val="005528B6"/>
    <w:rsid w:val="005536BB"/>
    <w:rsid w:val="0055458F"/>
    <w:rsid w:val="0055515C"/>
    <w:rsid w:val="005562C9"/>
    <w:rsid w:val="00557761"/>
    <w:rsid w:val="00560F58"/>
    <w:rsid w:val="00563C17"/>
    <w:rsid w:val="00564DD8"/>
    <w:rsid w:val="0056745F"/>
    <w:rsid w:val="00567ADC"/>
    <w:rsid w:val="00570758"/>
    <w:rsid w:val="00571527"/>
    <w:rsid w:val="00571601"/>
    <w:rsid w:val="00573189"/>
    <w:rsid w:val="00574D15"/>
    <w:rsid w:val="00577F8F"/>
    <w:rsid w:val="00580CB1"/>
    <w:rsid w:val="00582DA1"/>
    <w:rsid w:val="00583A5D"/>
    <w:rsid w:val="00583CE8"/>
    <w:rsid w:val="00583FB3"/>
    <w:rsid w:val="0058451C"/>
    <w:rsid w:val="00584B66"/>
    <w:rsid w:val="00585B60"/>
    <w:rsid w:val="0058600B"/>
    <w:rsid w:val="0058728C"/>
    <w:rsid w:val="00590833"/>
    <w:rsid w:val="00591945"/>
    <w:rsid w:val="00591B28"/>
    <w:rsid w:val="0059200F"/>
    <w:rsid w:val="00593DBF"/>
    <w:rsid w:val="00596F13"/>
    <w:rsid w:val="005A1103"/>
    <w:rsid w:val="005A154F"/>
    <w:rsid w:val="005A6271"/>
    <w:rsid w:val="005B1B1A"/>
    <w:rsid w:val="005B29C6"/>
    <w:rsid w:val="005B30DA"/>
    <w:rsid w:val="005B35E7"/>
    <w:rsid w:val="005B6E7A"/>
    <w:rsid w:val="005B7499"/>
    <w:rsid w:val="005C1B74"/>
    <w:rsid w:val="005C2E5A"/>
    <w:rsid w:val="005C35C5"/>
    <w:rsid w:val="005C35EB"/>
    <w:rsid w:val="005C4E24"/>
    <w:rsid w:val="005C5089"/>
    <w:rsid w:val="005C52BE"/>
    <w:rsid w:val="005D1946"/>
    <w:rsid w:val="005D1966"/>
    <w:rsid w:val="005D3C55"/>
    <w:rsid w:val="005E162C"/>
    <w:rsid w:val="005E22F6"/>
    <w:rsid w:val="005F10F9"/>
    <w:rsid w:val="005F54AF"/>
    <w:rsid w:val="005F643C"/>
    <w:rsid w:val="00601EED"/>
    <w:rsid w:val="00602AA7"/>
    <w:rsid w:val="00606DE8"/>
    <w:rsid w:val="006100DD"/>
    <w:rsid w:val="006102DD"/>
    <w:rsid w:val="006112C6"/>
    <w:rsid w:val="00611E54"/>
    <w:rsid w:val="006163F3"/>
    <w:rsid w:val="00617207"/>
    <w:rsid w:val="0062021D"/>
    <w:rsid w:val="0062052F"/>
    <w:rsid w:val="00625BAD"/>
    <w:rsid w:val="00626AE4"/>
    <w:rsid w:val="00630AA5"/>
    <w:rsid w:val="00633416"/>
    <w:rsid w:val="006338DD"/>
    <w:rsid w:val="006351FA"/>
    <w:rsid w:val="00635C49"/>
    <w:rsid w:val="00636EAB"/>
    <w:rsid w:val="00637B06"/>
    <w:rsid w:val="00637E38"/>
    <w:rsid w:val="0064048F"/>
    <w:rsid w:val="00642227"/>
    <w:rsid w:val="00642F7F"/>
    <w:rsid w:val="00644D37"/>
    <w:rsid w:val="00647C11"/>
    <w:rsid w:val="006514BE"/>
    <w:rsid w:val="00652DCD"/>
    <w:rsid w:val="00653753"/>
    <w:rsid w:val="0065522F"/>
    <w:rsid w:val="00655EE5"/>
    <w:rsid w:val="00656E14"/>
    <w:rsid w:val="00656FBE"/>
    <w:rsid w:val="00662E0B"/>
    <w:rsid w:val="00663175"/>
    <w:rsid w:val="00664F31"/>
    <w:rsid w:val="00667828"/>
    <w:rsid w:val="00670DC6"/>
    <w:rsid w:val="00671976"/>
    <w:rsid w:val="00675345"/>
    <w:rsid w:val="00675A77"/>
    <w:rsid w:val="00680F0B"/>
    <w:rsid w:val="00682496"/>
    <w:rsid w:val="00682AF6"/>
    <w:rsid w:val="00682F29"/>
    <w:rsid w:val="00683301"/>
    <w:rsid w:val="00685418"/>
    <w:rsid w:val="00695A06"/>
    <w:rsid w:val="00695A24"/>
    <w:rsid w:val="006A028D"/>
    <w:rsid w:val="006A15DC"/>
    <w:rsid w:val="006A17BB"/>
    <w:rsid w:val="006A561B"/>
    <w:rsid w:val="006A5864"/>
    <w:rsid w:val="006A75C8"/>
    <w:rsid w:val="006B08DA"/>
    <w:rsid w:val="006B5647"/>
    <w:rsid w:val="006B6624"/>
    <w:rsid w:val="006C31AB"/>
    <w:rsid w:val="006C4C5A"/>
    <w:rsid w:val="006C6635"/>
    <w:rsid w:val="006D12CD"/>
    <w:rsid w:val="006D2BF7"/>
    <w:rsid w:val="006D6AE4"/>
    <w:rsid w:val="006D771B"/>
    <w:rsid w:val="006E0350"/>
    <w:rsid w:val="006E0BE9"/>
    <w:rsid w:val="006E0E3D"/>
    <w:rsid w:val="006E4F1C"/>
    <w:rsid w:val="006E681C"/>
    <w:rsid w:val="006F3E85"/>
    <w:rsid w:val="006F4927"/>
    <w:rsid w:val="006F502C"/>
    <w:rsid w:val="006F5333"/>
    <w:rsid w:val="006F7603"/>
    <w:rsid w:val="00700B92"/>
    <w:rsid w:val="00701644"/>
    <w:rsid w:val="0070280E"/>
    <w:rsid w:val="007035E8"/>
    <w:rsid w:val="00704CA8"/>
    <w:rsid w:val="00704EEE"/>
    <w:rsid w:val="00706F69"/>
    <w:rsid w:val="007077DF"/>
    <w:rsid w:val="00710A54"/>
    <w:rsid w:val="00711006"/>
    <w:rsid w:val="00715CD2"/>
    <w:rsid w:val="007175DB"/>
    <w:rsid w:val="00730F2E"/>
    <w:rsid w:val="00731086"/>
    <w:rsid w:val="00731549"/>
    <w:rsid w:val="00737455"/>
    <w:rsid w:val="0074173A"/>
    <w:rsid w:val="00742416"/>
    <w:rsid w:val="0074353D"/>
    <w:rsid w:val="007445B5"/>
    <w:rsid w:val="0074500F"/>
    <w:rsid w:val="00746177"/>
    <w:rsid w:val="0074697B"/>
    <w:rsid w:val="00750633"/>
    <w:rsid w:val="00752A5A"/>
    <w:rsid w:val="0075303A"/>
    <w:rsid w:val="00754A5D"/>
    <w:rsid w:val="0076089C"/>
    <w:rsid w:val="0076285F"/>
    <w:rsid w:val="007654C2"/>
    <w:rsid w:val="007661BB"/>
    <w:rsid w:val="00766744"/>
    <w:rsid w:val="0077131A"/>
    <w:rsid w:val="00771FA6"/>
    <w:rsid w:val="00772C4A"/>
    <w:rsid w:val="00774B7B"/>
    <w:rsid w:val="00775CF5"/>
    <w:rsid w:val="0077694C"/>
    <w:rsid w:val="007772D6"/>
    <w:rsid w:val="00777F2A"/>
    <w:rsid w:val="007809BE"/>
    <w:rsid w:val="00781D32"/>
    <w:rsid w:val="007826FC"/>
    <w:rsid w:val="00782FD9"/>
    <w:rsid w:val="00783B64"/>
    <w:rsid w:val="00786FD9"/>
    <w:rsid w:val="00787EF2"/>
    <w:rsid w:val="00792F34"/>
    <w:rsid w:val="007950DE"/>
    <w:rsid w:val="00795507"/>
    <w:rsid w:val="00795DEE"/>
    <w:rsid w:val="00797472"/>
    <w:rsid w:val="007A0AE5"/>
    <w:rsid w:val="007A48B2"/>
    <w:rsid w:val="007A62C5"/>
    <w:rsid w:val="007A7C23"/>
    <w:rsid w:val="007C187A"/>
    <w:rsid w:val="007C5620"/>
    <w:rsid w:val="007C5C70"/>
    <w:rsid w:val="007C7DD2"/>
    <w:rsid w:val="007D31A3"/>
    <w:rsid w:val="007D7A29"/>
    <w:rsid w:val="007E005D"/>
    <w:rsid w:val="007E44E8"/>
    <w:rsid w:val="007E6323"/>
    <w:rsid w:val="007F1E20"/>
    <w:rsid w:val="007F3324"/>
    <w:rsid w:val="007F4991"/>
    <w:rsid w:val="007F69A4"/>
    <w:rsid w:val="00800183"/>
    <w:rsid w:val="00800F2F"/>
    <w:rsid w:val="00806DB3"/>
    <w:rsid w:val="00807B18"/>
    <w:rsid w:val="00812B0A"/>
    <w:rsid w:val="008148A9"/>
    <w:rsid w:val="00814A93"/>
    <w:rsid w:val="0082033B"/>
    <w:rsid w:val="00820C23"/>
    <w:rsid w:val="0083194D"/>
    <w:rsid w:val="00833BDE"/>
    <w:rsid w:val="00835911"/>
    <w:rsid w:val="008401C9"/>
    <w:rsid w:val="0084361D"/>
    <w:rsid w:val="00843CE6"/>
    <w:rsid w:val="008440D0"/>
    <w:rsid w:val="00850D78"/>
    <w:rsid w:val="00856F5A"/>
    <w:rsid w:val="0086023C"/>
    <w:rsid w:val="00861661"/>
    <w:rsid w:val="00864098"/>
    <w:rsid w:val="0087023C"/>
    <w:rsid w:val="0087321D"/>
    <w:rsid w:val="00875E9C"/>
    <w:rsid w:val="008813F1"/>
    <w:rsid w:val="00881739"/>
    <w:rsid w:val="0088353B"/>
    <w:rsid w:val="0088374E"/>
    <w:rsid w:val="008839FA"/>
    <w:rsid w:val="00884691"/>
    <w:rsid w:val="008858A5"/>
    <w:rsid w:val="00893425"/>
    <w:rsid w:val="00894733"/>
    <w:rsid w:val="008947B6"/>
    <w:rsid w:val="008957C2"/>
    <w:rsid w:val="0089695B"/>
    <w:rsid w:val="008A09E7"/>
    <w:rsid w:val="008A14D4"/>
    <w:rsid w:val="008A2364"/>
    <w:rsid w:val="008A342E"/>
    <w:rsid w:val="008A4458"/>
    <w:rsid w:val="008A57C5"/>
    <w:rsid w:val="008A7778"/>
    <w:rsid w:val="008B0E74"/>
    <w:rsid w:val="008B10BB"/>
    <w:rsid w:val="008B1A82"/>
    <w:rsid w:val="008B1D25"/>
    <w:rsid w:val="008B2D54"/>
    <w:rsid w:val="008B3A3E"/>
    <w:rsid w:val="008C14BE"/>
    <w:rsid w:val="008C2643"/>
    <w:rsid w:val="008C689B"/>
    <w:rsid w:val="008C7CD3"/>
    <w:rsid w:val="008D5208"/>
    <w:rsid w:val="008E02B7"/>
    <w:rsid w:val="008E1ED8"/>
    <w:rsid w:val="008E3B30"/>
    <w:rsid w:val="008E7019"/>
    <w:rsid w:val="008F00D8"/>
    <w:rsid w:val="008F02D6"/>
    <w:rsid w:val="008F2B97"/>
    <w:rsid w:val="008F410F"/>
    <w:rsid w:val="008F415B"/>
    <w:rsid w:val="008F4416"/>
    <w:rsid w:val="008F44FB"/>
    <w:rsid w:val="008F7453"/>
    <w:rsid w:val="008F76ED"/>
    <w:rsid w:val="008F7B85"/>
    <w:rsid w:val="009002E5"/>
    <w:rsid w:val="00906D92"/>
    <w:rsid w:val="009072CC"/>
    <w:rsid w:val="00907E12"/>
    <w:rsid w:val="00910301"/>
    <w:rsid w:val="00911555"/>
    <w:rsid w:val="009123BE"/>
    <w:rsid w:val="00912E5D"/>
    <w:rsid w:val="009134DB"/>
    <w:rsid w:val="00916718"/>
    <w:rsid w:val="00917AD3"/>
    <w:rsid w:val="00924859"/>
    <w:rsid w:val="00925522"/>
    <w:rsid w:val="0092592A"/>
    <w:rsid w:val="0093313C"/>
    <w:rsid w:val="00937690"/>
    <w:rsid w:val="00947A8F"/>
    <w:rsid w:val="00950B30"/>
    <w:rsid w:val="00953162"/>
    <w:rsid w:val="00954EC9"/>
    <w:rsid w:val="00955418"/>
    <w:rsid w:val="0096137A"/>
    <w:rsid w:val="00964A96"/>
    <w:rsid w:val="00964DF1"/>
    <w:rsid w:val="00965795"/>
    <w:rsid w:val="00973916"/>
    <w:rsid w:val="0097453D"/>
    <w:rsid w:val="00981247"/>
    <w:rsid w:val="009833FA"/>
    <w:rsid w:val="009836E6"/>
    <w:rsid w:val="009876E7"/>
    <w:rsid w:val="009915B2"/>
    <w:rsid w:val="00991B4E"/>
    <w:rsid w:val="00991B8E"/>
    <w:rsid w:val="00995D74"/>
    <w:rsid w:val="00997893"/>
    <w:rsid w:val="009A0DF8"/>
    <w:rsid w:val="009A110B"/>
    <w:rsid w:val="009A39AA"/>
    <w:rsid w:val="009A459C"/>
    <w:rsid w:val="009A6584"/>
    <w:rsid w:val="009A7AA8"/>
    <w:rsid w:val="009B009E"/>
    <w:rsid w:val="009B0F75"/>
    <w:rsid w:val="009B177A"/>
    <w:rsid w:val="009B2636"/>
    <w:rsid w:val="009B45A5"/>
    <w:rsid w:val="009B5763"/>
    <w:rsid w:val="009B68FE"/>
    <w:rsid w:val="009B6DF8"/>
    <w:rsid w:val="009B793A"/>
    <w:rsid w:val="009C3000"/>
    <w:rsid w:val="009C55EB"/>
    <w:rsid w:val="009C57E9"/>
    <w:rsid w:val="009D3DF0"/>
    <w:rsid w:val="009D4BAD"/>
    <w:rsid w:val="009D64C7"/>
    <w:rsid w:val="009D7319"/>
    <w:rsid w:val="009E0601"/>
    <w:rsid w:val="009E0C21"/>
    <w:rsid w:val="009E0F26"/>
    <w:rsid w:val="009E5A1F"/>
    <w:rsid w:val="009F1F2B"/>
    <w:rsid w:val="009F2086"/>
    <w:rsid w:val="00A0217A"/>
    <w:rsid w:val="00A02612"/>
    <w:rsid w:val="00A0299F"/>
    <w:rsid w:val="00A0401B"/>
    <w:rsid w:val="00A12279"/>
    <w:rsid w:val="00A13B0C"/>
    <w:rsid w:val="00A17C5A"/>
    <w:rsid w:val="00A2151E"/>
    <w:rsid w:val="00A267D6"/>
    <w:rsid w:val="00A31433"/>
    <w:rsid w:val="00A33778"/>
    <w:rsid w:val="00A3383A"/>
    <w:rsid w:val="00A340BF"/>
    <w:rsid w:val="00A37B44"/>
    <w:rsid w:val="00A41BFB"/>
    <w:rsid w:val="00A41EF1"/>
    <w:rsid w:val="00A46A45"/>
    <w:rsid w:val="00A46C26"/>
    <w:rsid w:val="00A537D1"/>
    <w:rsid w:val="00A560A5"/>
    <w:rsid w:val="00A5666F"/>
    <w:rsid w:val="00A56B63"/>
    <w:rsid w:val="00A61B95"/>
    <w:rsid w:val="00A63843"/>
    <w:rsid w:val="00A67192"/>
    <w:rsid w:val="00A739B1"/>
    <w:rsid w:val="00A74CAD"/>
    <w:rsid w:val="00A75DBB"/>
    <w:rsid w:val="00A76992"/>
    <w:rsid w:val="00A77DA9"/>
    <w:rsid w:val="00A80D2E"/>
    <w:rsid w:val="00A81F5C"/>
    <w:rsid w:val="00A850B4"/>
    <w:rsid w:val="00A85D47"/>
    <w:rsid w:val="00A91EB3"/>
    <w:rsid w:val="00A92506"/>
    <w:rsid w:val="00A9365B"/>
    <w:rsid w:val="00A95E71"/>
    <w:rsid w:val="00A961D1"/>
    <w:rsid w:val="00AA11A4"/>
    <w:rsid w:val="00AA33A0"/>
    <w:rsid w:val="00AA3947"/>
    <w:rsid w:val="00AA3EA1"/>
    <w:rsid w:val="00AA5EBF"/>
    <w:rsid w:val="00AA66A2"/>
    <w:rsid w:val="00AB0228"/>
    <w:rsid w:val="00AB3AC6"/>
    <w:rsid w:val="00AB54D8"/>
    <w:rsid w:val="00AB6E83"/>
    <w:rsid w:val="00AD0AAC"/>
    <w:rsid w:val="00AD3456"/>
    <w:rsid w:val="00AD5035"/>
    <w:rsid w:val="00AD54B7"/>
    <w:rsid w:val="00AD6A86"/>
    <w:rsid w:val="00AE1BE0"/>
    <w:rsid w:val="00AE4D93"/>
    <w:rsid w:val="00AE6D2A"/>
    <w:rsid w:val="00AF24E1"/>
    <w:rsid w:val="00AF505A"/>
    <w:rsid w:val="00AF62E9"/>
    <w:rsid w:val="00AF6E1D"/>
    <w:rsid w:val="00AF7A0A"/>
    <w:rsid w:val="00AF7F71"/>
    <w:rsid w:val="00B04878"/>
    <w:rsid w:val="00B0573E"/>
    <w:rsid w:val="00B05D13"/>
    <w:rsid w:val="00B110CF"/>
    <w:rsid w:val="00B12819"/>
    <w:rsid w:val="00B1296C"/>
    <w:rsid w:val="00B14706"/>
    <w:rsid w:val="00B16DA2"/>
    <w:rsid w:val="00B21D71"/>
    <w:rsid w:val="00B23BEE"/>
    <w:rsid w:val="00B2496D"/>
    <w:rsid w:val="00B34FBC"/>
    <w:rsid w:val="00B35441"/>
    <w:rsid w:val="00B36272"/>
    <w:rsid w:val="00B3763C"/>
    <w:rsid w:val="00B479F4"/>
    <w:rsid w:val="00B53481"/>
    <w:rsid w:val="00B55233"/>
    <w:rsid w:val="00B574D0"/>
    <w:rsid w:val="00B609C0"/>
    <w:rsid w:val="00B61F78"/>
    <w:rsid w:val="00B62176"/>
    <w:rsid w:val="00B62D68"/>
    <w:rsid w:val="00B62DC6"/>
    <w:rsid w:val="00B65AA9"/>
    <w:rsid w:val="00B663E5"/>
    <w:rsid w:val="00B674A0"/>
    <w:rsid w:val="00B679DD"/>
    <w:rsid w:val="00B70049"/>
    <w:rsid w:val="00B718E4"/>
    <w:rsid w:val="00B71F63"/>
    <w:rsid w:val="00B73DE4"/>
    <w:rsid w:val="00B770BF"/>
    <w:rsid w:val="00B837B5"/>
    <w:rsid w:val="00B8597E"/>
    <w:rsid w:val="00B8684A"/>
    <w:rsid w:val="00B87883"/>
    <w:rsid w:val="00B9179C"/>
    <w:rsid w:val="00B92ECD"/>
    <w:rsid w:val="00B93C21"/>
    <w:rsid w:val="00B944C4"/>
    <w:rsid w:val="00B94CEB"/>
    <w:rsid w:val="00B950E9"/>
    <w:rsid w:val="00B96EE4"/>
    <w:rsid w:val="00BA066E"/>
    <w:rsid w:val="00BA2793"/>
    <w:rsid w:val="00BA3739"/>
    <w:rsid w:val="00BA3E45"/>
    <w:rsid w:val="00BA5335"/>
    <w:rsid w:val="00BA552F"/>
    <w:rsid w:val="00BB1831"/>
    <w:rsid w:val="00BB2AA5"/>
    <w:rsid w:val="00BB4EC8"/>
    <w:rsid w:val="00BB500D"/>
    <w:rsid w:val="00BB6020"/>
    <w:rsid w:val="00BB6851"/>
    <w:rsid w:val="00BB7D83"/>
    <w:rsid w:val="00BD3BB1"/>
    <w:rsid w:val="00BD4DFB"/>
    <w:rsid w:val="00BE0702"/>
    <w:rsid w:val="00BF1663"/>
    <w:rsid w:val="00BF50D1"/>
    <w:rsid w:val="00BF638F"/>
    <w:rsid w:val="00C00CB8"/>
    <w:rsid w:val="00C04A8E"/>
    <w:rsid w:val="00C04B10"/>
    <w:rsid w:val="00C05CB9"/>
    <w:rsid w:val="00C0625F"/>
    <w:rsid w:val="00C1057F"/>
    <w:rsid w:val="00C1387F"/>
    <w:rsid w:val="00C14661"/>
    <w:rsid w:val="00C25EFA"/>
    <w:rsid w:val="00C30E48"/>
    <w:rsid w:val="00C31064"/>
    <w:rsid w:val="00C337DD"/>
    <w:rsid w:val="00C3731D"/>
    <w:rsid w:val="00C4306C"/>
    <w:rsid w:val="00C45564"/>
    <w:rsid w:val="00C45FBB"/>
    <w:rsid w:val="00C474CF"/>
    <w:rsid w:val="00C50D64"/>
    <w:rsid w:val="00C510FC"/>
    <w:rsid w:val="00C54157"/>
    <w:rsid w:val="00C54FDF"/>
    <w:rsid w:val="00C5699D"/>
    <w:rsid w:val="00C62747"/>
    <w:rsid w:val="00C63FC6"/>
    <w:rsid w:val="00C668A0"/>
    <w:rsid w:val="00C670AB"/>
    <w:rsid w:val="00C74FBE"/>
    <w:rsid w:val="00C7578E"/>
    <w:rsid w:val="00C80652"/>
    <w:rsid w:val="00C81366"/>
    <w:rsid w:val="00C828FB"/>
    <w:rsid w:val="00C83845"/>
    <w:rsid w:val="00C844EF"/>
    <w:rsid w:val="00C848D0"/>
    <w:rsid w:val="00C84B02"/>
    <w:rsid w:val="00C84D10"/>
    <w:rsid w:val="00C87858"/>
    <w:rsid w:val="00C87B14"/>
    <w:rsid w:val="00C91176"/>
    <w:rsid w:val="00C934CA"/>
    <w:rsid w:val="00C94F64"/>
    <w:rsid w:val="00CA29C9"/>
    <w:rsid w:val="00CA3B7B"/>
    <w:rsid w:val="00CA40A4"/>
    <w:rsid w:val="00CA5BA9"/>
    <w:rsid w:val="00CA5F7A"/>
    <w:rsid w:val="00CA6E16"/>
    <w:rsid w:val="00CA749D"/>
    <w:rsid w:val="00CB209F"/>
    <w:rsid w:val="00CB4667"/>
    <w:rsid w:val="00CB6293"/>
    <w:rsid w:val="00CB765B"/>
    <w:rsid w:val="00CB7C6E"/>
    <w:rsid w:val="00CC4CF0"/>
    <w:rsid w:val="00CC5F54"/>
    <w:rsid w:val="00CD1BFC"/>
    <w:rsid w:val="00CD248B"/>
    <w:rsid w:val="00CD2AFF"/>
    <w:rsid w:val="00CD2EC8"/>
    <w:rsid w:val="00CD3CED"/>
    <w:rsid w:val="00CD3F55"/>
    <w:rsid w:val="00CD4B64"/>
    <w:rsid w:val="00CD504D"/>
    <w:rsid w:val="00CE016A"/>
    <w:rsid w:val="00CE2CB2"/>
    <w:rsid w:val="00CE2CBF"/>
    <w:rsid w:val="00CE31EF"/>
    <w:rsid w:val="00CE5121"/>
    <w:rsid w:val="00CF209D"/>
    <w:rsid w:val="00CF475A"/>
    <w:rsid w:val="00CF4923"/>
    <w:rsid w:val="00CF5074"/>
    <w:rsid w:val="00CF5341"/>
    <w:rsid w:val="00CF6107"/>
    <w:rsid w:val="00CF62C3"/>
    <w:rsid w:val="00CF6BD0"/>
    <w:rsid w:val="00D000B5"/>
    <w:rsid w:val="00D00A75"/>
    <w:rsid w:val="00D03C10"/>
    <w:rsid w:val="00D03CC8"/>
    <w:rsid w:val="00D06CF9"/>
    <w:rsid w:val="00D11434"/>
    <w:rsid w:val="00D1329F"/>
    <w:rsid w:val="00D143D0"/>
    <w:rsid w:val="00D1451F"/>
    <w:rsid w:val="00D165DA"/>
    <w:rsid w:val="00D22D9B"/>
    <w:rsid w:val="00D25944"/>
    <w:rsid w:val="00D27950"/>
    <w:rsid w:val="00D30461"/>
    <w:rsid w:val="00D35840"/>
    <w:rsid w:val="00D40AEE"/>
    <w:rsid w:val="00D43A88"/>
    <w:rsid w:val="00D462AF"/>
    <w:rsid w:val="00D46D3B"/>
    <w:rsid w:val="00D471D2"/>
    <w:rsid w:val="00D53DAB"/>
    <w:rsid w:val="00D545BC"/>
    <w:rsid w:val="00D56FD4"/>
    <w:rsid w:val="00D572A7"/>
    <w:rsid w:val="00D5780A"/>
    <w:rsid w:val="00D57D8A"/>
    <w:rsid w:val="00D6043F"/>
    <w:rsid w:val="00D62181"/>
    <w:rsid w:val="00D62F73"/>
    <w:rsid w:val="00D65680"/>
    <w:rsid w:val="00D65BA6"/>
    <w:rsid w:val="00D66C08"/>
    <w:rsid w:val="00D67D49"/>
    <w:rsid w:val="00D711D5"/>
    <w:rsid w:val="00D71655"/>
    <w:rsid w:val="00D71E9F"/>
    <w:rsid w:val="00D723E2"/>
    <w:rsid w:val="00D72964"/>
    <w:rsid w:val="00D735CB"/>
    <w:rsid w:val="00D77DC5"/>
    <w:rsid w:val="00D8028D"/>
    <w:rsid w:val="00D80890"/>
    <w:rsid w:val="00D829E4"/>
    <w:rsid w:val="00D82B10"/>
    <w:rsid w:val="00D85B74"/>
    <w:rsid w:val="00D86449"/>
    <w:rsid w:val="00D91CF7"/>
    <w:rsid w:val="00D91D1F"/>
    <w:rsid w:val="00D92CAA"/>
    <w:rsid w:val="00D937F3"/>
    <w:rsid w:val="00D94826"/>
    <w:rsid w:val="00D95876"/>
    <w:rsid w:val="00D97719"/>
    <w:rsid w:val="00D97ACF"/>
    <w:rsid w:val="00DA05EE"/>
    <w:rsid w:val="00DA0C7C"/>
    <w:rsid w:val="00DA345B"/>
    <w:rsid w:val="00DA5FE4"/>
    <w:rsid w:val="00DA76ED"/>
    <w:rsid w:val="00DA7B79"/>
    <w:rsid w:val="00DB0394"/>
    <w:rsid w:val="00DB3332"/>
    <w:rsid w:val="00DB5174"/>
    <w:rsid w:val="00DB68CE"/>
    <w:rsid w:val="00DC0F02"/>
    <w:rsid w:val="00DC1AE8"/>
    <w:rsid w:val="00DC2160"/>
    <w:rsid w:val="00DC3520"/>
    <w:rsid w:val="00DC3A9D"/>
    <w:rsid w:val="00DC3F20"/>
    <w:rsid w:val="00DC3F9B"/>
    <w:rsid w:val="00DC4420"/>
    <w:rsid w:val="00DD3B0D"/>
    <w:rsid w:val="00DD3BCF"/>
    <w:rsid w:val="00DD4731"/>
    <w:rsid w:val="00DD5090"/>
    <w:rsid w:val="00DD5BD2"/>
    <w:rsid w:val="00DE0C44"/>
    <w:rsid w:val="00DE2902"/>
    <w:rsid w:val="00DE3237"/>
    <w:rsid w:val="00DE3C4F"/>
    <w:rsid w:val="00DE4CEC"/>
    <w:rsid w:val="00DE51AC"/>
    <w:rsid w:val="00DE60B5"/>
    <w:rsid w:val="00DE6BE7"/>
    <w:rsid w:val="00DE6D81"/>
    <w:rsid w:val="00DF16D0"/>
    <w:rsid w:val="00DF1E49"/>
    <w:rsid w:val="00DF4192"/>
    <w:rsid w:val="00DF44C2"/>
    <w:rsid w:val="00DF68C6"/>
    <w:rsid w:val="00DF7528"/>
    <w:rsid w:val="00E00394"/>
    <w:rsid w:val="00E01200"/>
    <w:rsid w:val="00E01509"/>
    <w:rsid w:val="00E056D9"/>
    <w:rsid w:val="00E06303"/>
    <w:rsid w:val="00E07EAC"/>
    <w:rsid w:val="00E12291"/>
    <w:rsid w:val="00E131DB"/>
    <w:rsid w:val="00E150A6"/>
    <w:rsid w:val="00E1536E"/>
    <w:rsid w:val="00E16EDD"/>
    <w:rsid w:val="00E215EF"/>
    <w:rsid w:val="00E21726"/>
    <w:rsid w:val="00E22247"/>
    <w:rsid w:val="00E22DA9"/>
    <w:rsid w:val="00E306AE"/>
    <w:rsid w:val="00E33018"/>
    <w:rsid w:val="00E36BC2"/>
    <w:rsid w:val="00E43E8B"/>
    <w:rsid w:val="00E442E1"/>
    <w:rsid w:val="00E453D0"/>
    <w:rsid w:val="00E45823"/>
    <w:rsid w:val="00E470BE"/>
    <w:rsid w:val="00E476FE"/>
    <w:rsid w:val="00E479AA"/>
    <w:rsid w:val="00E50485"/>
    <w:rsid w:val="00E511C6"/>
    <w:rsid w:val="00E542E9"/>
    <w:rsid w:val="00E54345"/>
    <w:rsid w:val="00E54D39"/>
    <w:rsid w:val="00E564A6"/>
    <w:rsid w:val="00E600FC"/>
    <w:rsid w:val="00E6258A"/>
    <w:rsid w:val="00E633E4"/>
    <w:rsid w:val="00E66369"/>
    <w:rsid w:val="00E7097B"/>
    <w:rsid w:val="00E73816"/>
    <w:rsid w:val="00E74290"/>
    <w:rsid w:val="00E757E2"/>
    <w:rsid w:val="00E7625F"/>
    <w:rsid w:val="00E7683A"/>
    <w:rsid w:val="00E773B7"/>
    <w:rsid w:val="00E7752F"/>
    <w:rsid w:val="00E8753F"/>
    <w:rsid w:val="00E87A04"/>
    <w:rsid w:val="00E90F7D"/>
    <w:rsid w:val="00E95832"/>
    <w:rsid w:val="00E9587E"/>
    <w:rsid w:val="00E96B45"/>
    <w:rsid w:val="00E96DB5"/>
    <w:rsid w:val="00EA0C6D"/>
    <w:rsid w:val="00EA4BBF"/>
    <w:rsid w:val="00EA4C9E"/>
    <w:rsid w:val="00EA6285"/>
    <w:rsid w:val="00EB0FBB"/>
    <w:rsid w:val="00EB233B"/>
    <w:rsid w:val="00EB433D"/>
    <w:rsid w:val="00EB4756"/>
    <w:rsid w:val="00EB4FE2"/>
    <w:rsid w:val="00EB586F"/>
    <w:rsid w:val="00EC1457"/>
    <w:rsid w:val="00EC1BA6"/>
    <w:rsid w:val="00EC5783"/>
    <w:rsid w:val="00EC5D92"/>
    <w:rsid w:val="00ED1D55"/>
    <w:rsid w:val="00ED26B9"/>
    <w:rsid w:val="00ED273C"/>
    <w:rsid w:val="00ED5666"/>
    <w:rsid w:val="00ED5CC7"/>
    <w:rsid w:val="00ED60FF"/>
    <w:rsid w:val="00ED6399"/>
    <w:rsid w:val="00ED67C3"/>
    <w:rsid w:val="00ED7439"/>
    <w:rsid w:val="00EE0D29"/>
    <w:rsid w:val="00EF16C8"/>
    <w:rsid w:val="00EF219D"/>
    <w:rsid w:val="00EF2309"/>
    <w:rsid w:val="00F00427"/>
    <w:rsid w:val="00F014EE"/>
    <w:rsid w:val="00F01B6B"/>
    <w:rsid w:val="00F02B4B"/>
    <w:rsid w:val="00F07736"/>
    <w:rsid w:val="00F125F6"/>
    <w:rsid w:val="00F152C4"/>
    <w:rsid w:val="00F17CE8"/>
    <w:rsid w:val="00F244DF"/>
    <w:rsid w:val="00F254D5"/>
    <w:rsid w:val="00F261B4"/>
    <w:rsid w:val="00F31A2B"/>
    <w:rsid w:val="00F31EF6"/>
    <w:rsid w:val="00F402BA"/>
    <w:rsid w:val="00F405CF"/>
    <w:rsid w:val="00F40F30"/>
    <w:rsid w:val="00F4226A"/>
    <w:rsid w:val="00F42EB0"/>
    <w:rsid w:val="00F4546F"/>
    <w:rsid w:val="00F46526"/>
    <w:rsid w:val="00F47278"/>
    <w:rsid w:val="00F5111D"/>
    <w:rsid w:val="00F514BC"/>
    <w:rsid w:val="00F520A6"/>
    <w:rsid w:val="00F531ED"/>
    <w:rsid w:val="00F54F88"/>
    <w:rsid w:val="00F56084"/>
    <w:rsid w:val="00F56103"/>
    <w:rsid w:val="00F64F8B"/>
    <w:rsid w:val="00F65D90"/>
    <w:rsid w:val="00F7393D"/>
    <w:rsid w:val="00F73D77"/>
    <w:rsid w:val="00F74FBA"/>
    <w:rsid w:val="00F76303"/>
    <w:rsid w:val="00F823D3"/>
    <w:rsid w:val="00F85081"/>
    <w:rsid w:val="00F86F9E"/>
    <w:rsid w:val="00F92E4F"/>
    <w:rsid w:val="00FA027D"/>
    <w:rsid w:val="00FA1AEB"/>
    <w:rsid w:val="00FA2E69"/>
    <w:rsid w:val="00FA40D0"/>
    <w:rsid w:val="00FA4C1E"/>
    <w:rsid w:val="00FA57AA"/>
    <w:rsid w:val="00FA5D2D"/>
    <w:rsid w:val="00FA6F4B"/>
    <w:rsid w:val="00FB21B8"/>
    <w:rsid w:val="00FB26DA"/>
    <w:rsid w:val="00FB39E4"/>
    <w:rsid w:val="00FB3CF3"/>
    <w:rsid w:val="00FC15E7"/>
    <w:rsid w:val="00FC1EC0"/>
    <w:rsid w:val="00FC412D"/>
    <w:rsid w:val="00FC623A"/>
    <w:rsid w:val="00FD12B8"/>
    <w:rsid w:val="00FD7D0B"/>
    <w:rsid w:val="00FE1641"/>
    <w:rsid w:val="00FE2404"/>
    <w:rsid w:val="00FE6D3C"/>
    <w:rsid w:val="00FF2EF3"/>
    <w:rsid w:val="00FF3C37"/>
    <w:rsid w:val="00FF58F1"/>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82FCC"/>
  <w15:docId w15:val="{E536447E-A984-4FE6-9910-16CBB8F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3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podpisi">
    <w:name w:val="podpisi"/>
    <w:basedOn w:val="Navaden"/>
    <w:qFormat/>
    <w:rsid w:val="0044566D"/>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175">
      <w:bodyDiv w:val="1"/>
      <w:marLeft w:val="0"/>
      <w:marRight w:val="0"/>
      <w:marTop w:val="0"/>
      <w:marBottom w:val="0"/>
      <w:divBdr>
        <w:top w:val="none" w:sz="0" w:space="0" w:color="auto"/>
        <w:left w:val="none" w:sz="0" w:space="0" w:color="auto"/>
        <w:bottom w:val="none" w:sz="0" w:space="0" w:color="auto"/>
        <w:right w:val="none" w:sz="0" w:space="0" w:color="auto"/>
      </w:divBdr>
    </w:div>
    <w:div w:id="30351548">
      <w:bodyDiv w:val="1"/>
      <w:marLeft w:val="0"/>
      <w:marRight w:val="0"/>
      <w:marTop w:val="0"/>
      <w:marBottom w:val="0"/>
      <w:divBdr>
        <w:top w:val="none" w:sz="0" w:space="0" w:color="auto"/>
        <w:left w:val="none" w:sz="0" w:space="0" w:color="auto"/>
        <w:bottom w:val="none" w:sz="0" w:space="0" w:color="auto"/>
        <w:right w:val="none" w:sz="0" w:space="0" w:color="auto"/>
      </w:divBdr>
    </w:div>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17460558">
      <w:bodyDiv w:val="1"/>
      <w:marLeft w:val="0"/>
      <w:marRight w:val="0"/>
      <w:marTop w:val="0"/>
      <w:marBottom w:val="0"/>
      <w:divBdr>
        <w:top w:val="none" w:sz="0" w:space="0" w:color="auto"/>
        <w:left w:val="none" w:sz="0" w:space="0" w:color="auto"/>
        <w:bottom w:val="none" w:sz="0" w:space="0" w:color="auto"/>
        <w:right w:val="none" w:sz="0" w:space="0" w:color="auto"/>
      </w:divBdr>
    </w:div>
    <w:div w:id="185948039">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812">
      <w:bodyDiv w:val="1"/>
      <w:marLeft w:val="0"/>
      <w:marRight w:val="0"/>
      <w:marTop w:val="0"/>
      <w:marBottom w:val="0"/>
      <w:divBdr>
        <w:top w:val="none" w:sz="0" w:space="0" w:color="auto"/>
        <w:left w:val="none" w:sz="0" w:space="0" w:color="auto"/>
        <w:bottom w:val="none" w:sz="0" w:space="0" w:color="auto"/>
        <w:right w:val="none" w:sz="0" w:space="0" w:color="auto"/>
      </w:divBdr>
    </w:div>
    <w:div w:id="255017595">
      <w:bodyDiv w:val="1"/>
      <w:marLeft w:val="0"/>
      <w:marRight w:val="0"/>
      <w:marTop w:val="0"/>
      <w:marBottom w:val="0"/>
      <w:divBdr>
        <w:top w:val="none" w:sz="0" w:space="0" w:color="auto"/>
        <w:left w:val="none" w:sz="0" w:space="0" w:color="auto"/>
        <w:bottom w:val="none" w:sz="0" w:space="0" w:color="auto"/>
        <w:right w:val="none" w:sz="0" w:space="0" w:color="auto"/>
      </w:divBdr>
    </w:div>
    <w:div w:id="259142099">
      <w:bodyDiv w:val="1"/>
      <w:marLeft w:val="0"/>
      <w:marRight w:val="0"/>
      <w:marTop w:val="0"/>
      <w:marBottom w:val="0"/>
      <w:divBdr>
        <w:top w:val="none" w:sz="0" w:space="0" w:color="auto"/>
        <w:left w:val="none" w:sz="0" w:space="0" w:color="auto"/>
        <w:bottom w:val="none" w:sz="0" w:space="0" w:color="auto"/>
        <w:right w:val="none" w:sz="0" w:space="0" w:color="auto"/>
      </w:divBdr>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303393458">
      <w:bodyDiv w:val="1"/>
      <w:marLeft w:val="0"/>
      <w:marRight w:val="0"/>
      <w:marTop w:val="0"/>
      <w:marBottom w:val="0"/>
      <w:divBdr>
        <w:top w:val="none" w:sz="0" w:space="0" w:color="auto"/>
        <w:left w:val="none" w:sz="0" w:space="0" w:color="auto"/>
        <w:bottom w:val="none" w:sz="0" w:space="0" w:color="auto"/>
        <w:right w:val="none" w:sz="0" w:space="0" w:color="auto"/>
      </w:divBdr>
    </w:div>
    <w:div w:id="331104049">
      <w:bodyDiv w:val="1"/>
      <w:marLeft w:val="0"/>
      <w:marRight w:val="0"/>
      <w:marTop w:val="0"/>
      <w:marBottom w:val="0"/>
      <w:divBdr>
        <w:top w:val="none" w:sz="0" w:space="0" w:color="auto"/>
        <w:left w:val="none" w:sz="0" w:space="0" w:color="auto"/>
        <w:bottom w:val="none" w:sz="0" w:space="0" w:color="auto"/>
        <w:right w:val="none" w:sz="0" w:space="0" w:color="auto"/>
      </w:divBdr>
    </w:div>
    <w:div w:id="390882254">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516849314">
      <w:bodyDiv w:val="1"/>
      <w:marLeft w:val="0"/>
      <w:marRight w:val="0"/>
      <w:marTop w:val="0"/>
      <w:marBottom w:val="0"/>
      <w:divBdr>
        <w:top w:val="none" w:sz="0" w:space="0" w:color="auto"/>
        <w:left w:val="none" w:sz="0" w:space="0" w:color="auto"/>
        <w:bottom w:val="none" w:sz="0" w:space="0" w:color="auto"/>
        <w:right w:val="none" w:sz="0" w:space="0" w:color="auto"/>
      </w:divBdr>
    </w:div>
    <w:div w:id="580143514">
      <w:bodyDiv w:val="1"/>
      <w:marLeft w:val="0"/>
      <w:marRight w:val="0"/>
      <w:marTop w:val="0"/>
      <w:marBottom w:val="0"/>
      <w:divBdr>
        <w:top w:val="none" w:sz="0" w:space="0" w:color="auto"/>
        <w:left w:val="none" w:sz="0" w:space="0" w:color="auto"/>
        <w:bottom w:val="none" w:sz="0" w:space="0" w:color="auto"/>
        <w:right w:val="none" w:sz="0" w:space="0" w:color="auto"/>
      </w:divBdr>
    </w:div>
    <w:div w:id="587813207">
      <w:bodyDiv w:val="1"/>
      <w:marLeft w:val="0"/>
      <w:marRight w:val="0"/>
      <w:marTop w:val="0"/>
      <w:marBottom w:val="0"/>
      <w:divBdr>
        <w:top w:val="none" w:sz="0" w:space="0" w:color="auto"/>
        <w:left w:val="none" w:sz="0" w:space="0" w:color="auto"/>
        <w:bottom w:val="none" w:sz="0" w:space="0" w:color="auto"/>
        <w:right w:val="none" w:sz="0" w:space="0" w:color="auto"/>
      </w:divBdr>
    </w:div>
    <w:div w:id="670180545">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31943641">
      <w:bodyDiv w:val="1"/>
      <w:marLeft w:val="0"/>
      <w:marRight w:val="0"/>
      <w:marTop w:val="0"/>
      <w:marBottom w:val="0"/>
      <w:divBdr>
        <w:top w:val="none" w:sz="0" w:space="0" w:color="auto"/>
        <w:left w:val="none" w:sz="0" w:space="0" w:color="auto"/>
        <w:bottom w:val="none" w:sz="0" w:space="0" w:color="auto"/>
        <w:right w:val="none" w:sz="0" w:space="0" w:color="auto"/>
      </w:divBdr>
    </w:div>
    <w:div w:id="860433794">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11571106">
      <w:bodyDiv w:val="1"/>
      <w:marLeft w:val="0"/>
      <w:marRight w:val="0"/>
      <w:marTop w:val="0"/>
      <w:marBottom w:val="0"/>
      <w:divBdr>
        <w:top w:val="none" w:sz="0" w:space="0" w:color="auto"/>
        <w:left w:val="none" w:sz="0" w:space="0" w:color="auto"/>
        <w:bottom w:val="none" w:sz="0" w:space="0" w:color="auto"/>
        <w:right w:val="none" w:sz="0" w:space="0" w:color="auto"/>
      </w:divBdr>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193957602">
      <w:bodyDiv w:val="1"/>
      <w:marLeft w:val="0"/>
      <w:marRight w:val="0"/>
      <w:marTop w:val="0"/>
      <w:marBottom w:val="0"/>
      <w:divBdr>
        <w:top w:val="none" w:sz="0" w:space="0" w:color="auto"/>
        <w:left w:val="none" w:sz="0" w:space="0" w:color="auto"/>
        <w:bottom w:val="none" w:sz="0" w:space="0" w:color="auto"/>
        <w:right w:val="none" w:sz="0" w:space="0" w:color="auto"/>
      </w:divBdr>
    </w:div>
    <w:div w:id="1196426730">
      <w:bodyDiv w:val="1"/>
      <w:marLeft w:val="0"/>
      <w:marRight w:val="0"/>
      <w:marTop w:val="0"/>
      <w:marBottom w:val="0"/>
      <w:divBdr>
        <w:top w:val="none" w:sz="0" w:space="0" w:color="auto"/>
        <w:left w:val="none" w:sz="0" w:space="0" w:color="auto"/>
        <w:bottom w:val="none" w:sz="0" w:space="0" w:color="auto"/>
        <w:right w:val="none" w:sz="0" w:space="0" w:color="auto"/>
      </w:divBdr>
    </w:div>
    <w:div w:id="1323000794">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358240794">
      <w:bodyDiv w:val="1"/>
      <w:marLeft w:val="0"/>
      <w:marRight w:val="0"/>
      <w:marTop w:val="0"/>
      <w:marBottom w:val="0"/>
      <w:divBdr>
        <w:top w:val="none" w:sz="0" w:space="0" w:color="auto"/>
        <w:left w:val="none" w:sz="0" w:space="0" w:color="auto"/>
        <w:bottom w:val="none" w:sz="0" w:space="0" w:color="auto"/>
        <w:right w:val="none" w:sz="0" w:space="0" w:color="auto"/>
      </w:divBdr>
    </w:div>
    <w:div w:id="1387795653">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2">
          <w:marLeft w:val="446"/>
          <w:marRight w:val="0"/>
          <w:marTop w:val="0"/>
          <w:marBottom w:val="0"/>
          <w:divBdr>
            <w:top w:val="none" w:sz="0" w:space="0" w:color="auto"/>
            <w:left w:val="none" w:sz="0" w:space="0" w:color="auto"/>
            <w:bottom w:val="none" w:sz="0" w:space="0" w:color="auto"/>
            <w:right w:val="none" w:sz="0" w:space="0" w:color="auto"/>
          </w:divBdr>
        </w:div>
        <w:div w:id="1811559990">
          <w:marLeft w:val="446"/>
          <w:marRight w:val="0"/>
          <w:marTop w:val="0"/>
          <w:marBottom w:val="0"/>
          <w:divBdr>
            <w:top w:val="none" w:sz="0" w:space="0" w:color="auto"/>
            <w:left w:val="none" w:sz="0" w:space="0" w:color="auto"/>
            <w:bottom w:val="none" w:sz="0" w:space="0" w:color="auto"/>
            <w:right w:val="none" w:sz="0" w:space="0" w:color="auto"/>
          </w:divBdr>
        </w:div>
      </w:divsChild>
    </w:div>
    <w:div w:id="1408647975">
      <w:bodyDiv w:val="1"/>
      <w:marLeft w:val="0"/>
      <w:marRight w:val="0"/>
      <w:marTop w:val="0"/>
      <w:marBottom w:val="0"/>
      <w:divBdr>
        <w:top w:val="none" w:sz="0" w:space="0" w:color="auto"/>
        <w:left w:val="none" w:sz="0" w:space="0" w:color="auto"/>
        <w:bottom w:val="none" w:sz="0" w:space="0" w:color="auto"/>
        <w:right w:val="none" w:sz="0" w:space="0" w:color="auto"/>
      </w:divBdr>
    </w:div>
    <w:div w:id="1585338189">
      <w:bodyDiv w:val="1"/>
      <w:marLeft w:val="0"/>
      <w:marRight w:val="0"/>
      <w:marTop w:val="0"/>
      <w:marBottom w:val="0"/>
      <w:divBdr>
        <w:top w:val="none" w:sz="0" w:space="0" w:color="auto"/>
        <w:left w:val="none" w:sz="0" w:space="0" w:color="auto"/>
        <w:bottom w:val="none" w:sz="0" w:space="0" w:color="auto"/>
        <w:right w:val="none" w:sz="0" w:space="0" w:color="auto"/>
      </w:divBdr>
    </w:div>
    <w:div w:id="1593539311">
      <w:bodyDiv w:val="1"/>
      <w:marLeft w:val="0"/>
      <w:marRight w:val="0"/>
      <w:marTop w:val="0"/>
      <w:marBottom w:val="0"/>
      <w:divBdr>
        <w:top w:val="none" w:sz="0" w:space="0" w:color="auto"/>
        <w:left w:val="none" w:sz="0" w:space="0" w:color="auto"/>
        <w:bottom w:val="none" w:sz="0" w:space="0" w:color="auto"/>
        <w:right w:val="none" w:sz="0" w:space="0" w:color="auto"/>
      </w:divBdr>
    </w:div>
    <w:div w:id="1622296959">
      <w:bodyDiv w:val="1"/>
      <w:marLeft w:val="0"/>
      <w:marRight w:val="0"/>
      <w:marTop w:val="0"/>
      <w:marBottom w:val="0"/>
      <w:divBdr>
        <w:top w:val="none" w:sz="0" w:space="0" w:color="auto"/>
        <w:left w:val="none" w:sz="0" w:space="0" w:color="auto"/>
        <w:bottom w:val="none" w:sz="0" w:space="0" w:color="auto"/>
        <w:right w:val="none" w:sz="0" w:space="0" w:color="auto"/>
      </w:divBdr>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735591353">
      <w:bodyDiv w:val="1"/>
      <w:marLeft w:val="0"/>
      <w:marRight w:val="0"/>
      <w:marTop w:val="0"/>
      <w:marBottom w:val="0"/>
      <w:divBdr>
        <w:top w:val="none" w:sz="0" w:space="0" w:color="auto"/>
        <w:left w:val="none" w:sz="0" w:space="0" w:color="auto"/>
        <w:bottom w:val="none" w:sz="0" w:space="0" w:color="auto"/>
        <w:right w:val="none" w:sz="0" w:space="0" w:color="auto"/>
      </w:divBdr>
    </w:div>
    <w:div w:id="1783647460">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37901">
      <w:bodyDiv w:val="1"/>
      <w:marLeft w:val="0"/>
      <w:marRight w:val="0"/>
      <w:marTop w:val="0"/>
      <w:marBottom w:val="0"/>
      <w:divBdr>
        <w:top w:val="none" w:sz="0" w:space="0" w:color="auto"/>
        <w:left w:val="none" w:sz="0" w:space="0" w:color="auto"/>
        <w:bottom w:val="none" w:sz="0" w:space="0" w:color="auto"/>
        <w:right w:val="none" w:sz="0" w:space="0" w:color="auto"/>
      </w:divBdr>
    </w:div>
    <w:div w:id="1875117835">
      <w:bodyDiv w:val="1"/>
      <w:marLeft w:val="0"/>
      <w:marRight w:val="0"/>
      <w:marTop w:val="0"/>
      <w:marBottom w:val="0"/>
      <w:divBdr>
        <w:top w:val="none" w:sz="0" w:space="0" w:color="auto"/>
        <w:left w:val="none" w:sz="0" w:space="0" w:color="auto"/>
        <w:bottom w:val="none" w:sz="0" w:space="0" w:color="auto"/>
        <w:right w:val="none" w:sz="0" w:space="0" w:color="auto"/>
      </w:divBdr>
    </w:div>
    <w:div w:id="1927958422">
      <w:bodyDiv w:val="1"/>
      <w:marLeft w:val="0"/>
      <w:marRight w:val="0"/>
      <w:marTop w:val="0"/>
      <w:marBottom w:val="0"/>
      <w:divBdr>
        <w:top w:val="none" w:sz="0" w:space="0" w:color="auto"/>
        <w:left w:val="none" w:sz="0" w:space="0" w:color="auto"/>
        <w:bottom w:val="none" w:sz="0" w:space="0" w:color="auto"/>
        <w:right w:val="none" w:sz="0" w:space="0" w:color="auto"/>
      </w:divBdr>
    </w:div>
    <w:div w:id="1981618489">
      <w:bodyDiv w:val="1"/>
      <w:marLeft w:val="0"/>
      <w:marRight w:val="0"/>
      <w:marTop w:val="0"/>
      <w:marBottom w:val="0"/>
      <w:divBdr>
        <w:top w:val="none" w:sz="0" w:space="0" w:color="auto"/>
        <w:left w:val="none" w:sz="0" w:space="0" w:color="auto"/>
        <w:bottom w:val="none" w:sz="0" w:space="0" w:color="auto"/>
        <w:right w:val="none" w:sz="0" w:space="0" w:color="auto"/>
      </w:divBdr>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39767630">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11507618">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097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19-01-2673"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390452-04C7-4A68-A753-78FE2B7F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18406</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21591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Jana Pucelj</cp:lastModifiedBy>
  <cp:revision>2</cp:revision>
  <cp:lastPrinted>2018-11-15T12:10:00Z</cp:lastPrinted>
  <dcterms:created xsi:type="dcterms:W3CDTF">2020-12-04T14:13:00Z</dcterms:created>
  <dcterms:modified xsi:type="dcterms:W3CDTF">2020-12-04T14:13:00Z</dcterms:modified>
</cp:coreProperties>
</file>