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A2" w:rsidRDefault="000467A2" w:rsidP="000467A2">
      <w:pPr>
        <w:spacing w:before="240" w:after="120" w:line="276" w:lineRule="auto"/>
        <w:ind w:left="357" w:hanging="357"/>
        <w:jc w:val="center"/>
        <w:rPr>
          <w:rFonts w:ascii="Arial" w:eastAsia="Calibri" w:hAnsi="Arial" w:cs="Arial"/>
          <w:b/>
        </w:rPr>
      </w:pPr>
      <w:bookmarkStart w:id="0" w:name="_GoBack"/>
      <w:bookmarkEnd w:id="0"/>
    </w:p>
    <w:p w:rsidR="000467A2" w:rsidRDefault="000467A2" w:rsidP="000467A2">
      <w:pPr>
        <w:spacing w:before="240" w:after="120" w:line="276" w:lineRule="auto"/>
        <w:ind w:left="357" w:hanging="357"/>
        <w:jc w:val="center"/>
        <w:rPr>
          <w:rFonts w:ascii="Arial" w:eastAsia="Calibri" w:hAnsi="Arial" w:cs="Arial"/>
          <w:b/>
        </w:rPr>
      </w:pPr>
    </w:p>
    <w:p w:rsidR="000467A2" w:rsidRPr="000467A2" w:rsidRDefault="000467A2" w:rsidP="000467A2">
      <w:pPr>
        <w:spacing w:before="240" w:after="120" w:line="276" w:lineRule="auto"/>
        <w:ind w:left="357" w:hanging="357"/>
        <w:jc w:val="center"/>
        <w:rPr>
          <w:rFonts w:ascii="Arial" w:eastAsia="Calibri" w:hAnsi="Arial" w:cs="Arial"/>
          <w:b/>
        </w:rPr>
      </w:pPr>
      <w:r w:rsidRPr="000467A2">
        <w:rPr>
          <w:rFonts w:ascii="Arial" w:eastAsia="Calibri" w:hAnsi="Arial" w:cs="Arial"/>
          <w:b/>
        </w:rPr>
        <w:t>MEMORANDUM O SOGLASJU</w:t>
      </w:r>
    </w:p>
    <w:p w:rsidR="000467A2" w:rsidRPr="000467A2" w:rsidRDefault="000467A2" w:rsidP="000467A2">
      <w:pPr>
        <w:spacing w:before="240" w:after="120" w:line="276" w:lineRule="auto"/>
        <w:ind w:left="357" w:hanging="357"/>
        <w:jc w:val="center"/>
        <w:rPr>
          <w:rFonts w:ascii="Arial" w:eastAsia="Calibri" w:hAnsi="Arial" w:cs="Arial"/>
          <w:b/>
        </w:rPr>
      </w:pPr>
      <w:r w:rsidRPr="000467A2">
        <w:rPr>
          <w:rFonts w:ascii="Arial" w:eastAsia="Calibri" w:hAnsi="Arial" w:cs="Arial"/>
          <w:b/>
        </w:rPr>
        <w:t>MED</w:t>
      </w:r>
    </w:p>
    <w:p w:rsidR="000467A2" w:rsidRPr="000467A2" w:rsidRDefault="000467A2" w:rsidP="000467A2">
      <w:pPr>
        <w:spacing w:before="240" w:after="120" w:line="276" w:lineRule="auto"/>
        <w:ind w:left="357" w:hanging="357"/>
        <w:jc w:val="center"/>
        <w:rPr>
          <w:rFonts w:ascii="Arial" w:eastAsia="Calibri" w:hAnsi="Arial" w:cs="Arial"/>
          <w:b/>
        </w:rPr>
      </w:pPr>
    </w:p>
    <w:p w:rsidR="000467A2" w:rsidRDefault="000467A2" w:rsidP="000467A2">
      <w:pPr>
        <w:spacing w:before="240" w:after="200" w:line="276" w:lineRule="auto"/>
        <w:ind w:left="357" w:hanging="357"/>
        <w:jc w:val="center"/>
        <w:rPr>
          <w:rFonts w:ascii="Arial" w:eastAsia="Calibri" w:hAnsi="Arial" w:cs="Arial"/>
          <w:b/>
        </w:rPr>
      </w:pPr>
      <w:r w:rsidRPr="000467A2">
        <w:rPr>
          <w:rFonts w:ascii="Arial" w:eastAsia="Calibri" w:hAnsi="Arial" w:cs="Arial"/>
          <w:b/>
        </w:rPr>
        <w:t>ZVEZNIM MINISTROM ZA OBRAMBO REPUBLIKE AVSTRIJE,</w:t>
      </w:r>
    </w:p>
    <w:p w:rsidR="000467A2" w:rsidRPr="000467A2" w:rsidRDefault="000467A2" w:rsidP="000467A2">
      <w:pPr>
        <w:spacing w:before="240" w:after="200" w:line="276" w:lineRule="auto"/>
        <w:ind w:left="357" w:hanging="357"/>
        <w:jc w:val="center"/>
        <w:rPr>
          <w:rFonts w:ascii="Arial" w:eastAsia="Calibri" w:hAnsi="Arial" w:cs="Arial"/>
          <w:b/>
          <w:bCs/>
          <w:caps/>
        </w:rPr>
      </w:pPr>
      <w:r w:rsidRPr="000467A2">
        <w:rPr>
          <w:rFonts w:ascii="Arial" w:eastAsia="Calibri" w:hAnsi="Arial" w:cs="Arial"/>
          <w:b/>
        </w:rPr>
        <w:t>MINISTRSTVOM ZA OBRAMBO REPUBLIKE HRVAŠKE,</w:t>
      </w:r>
      <w:r w:rsidRPr="000467A2">
        <w:rPr>
          <w:rFonts w:ascii="Arial" w:eastAsia="Calibri" w:hAnsi="Arial" w:cs="Arial"/>
          <w:b/>
          <w:bCs/>
          <w:caps/>
        </w:rPr>
        <w:t xml:space="preserve"> </w:t>
      </w:r>
    </w:p>
    <w:p w:rsidR="000467A2" w:rsidRPr="000467A2" w:rsidRDefault="000467A2" w:rsidP="000467A2">
      <w:pPr>
        <w:spacing w:before="240" w:after="200" w:line="276" w:lineRule="auto"/>
        <w:ind w:left="357" w:hanging="357"/>
        <w:jc w:val="center"/>
        <w:rPr>
          <w:rFonts w:ascii="Arial" w:eastAsia="Calibri" w:hAnsi="Arial" w:cs="Arial"/>
          <w:b/>
          <w:bCs/>
          <w:caps/>
        </w:rPr>
      </w:pPr>
      <w:r w:rsidRPr="000467A2">
        <w:rPr>
          <w:rFonts w:ascii="Arial" w:eastAsia="Calibri" w:hAnsi="Arial" w:cs="Arial"/>
          <w:b/>
        </w:rPr>
        <w:t>MINISTRSTVOM ZA OBRAMBO MADŽARSKE,</w:t>
      </w:r>
      <w:r w:rsidRPr="000467A2">
        <w:rPr>
          <w:rFonts w:ascii="Arial" w:eastAsia="Calibri" w:hAnsi="Arial" w:cs="Arial"/>
          <w:b/>
          <w:bCs/>
          <w:caps/>
        </w:rPr>
        <w:t xml:space="preserve"> </w:t>
      </w:r>
    </w:p>
    <w:p w:rsidR="000467A2" w:rsidRPr="000467A2" w:rsidRDefault="000467A2" w:rsidP="000467A2">
      <w:pPr>
        <w:spacing w:before="240" w:after="200" w:line="276" w:lineRule="auto"/>
        <w:ind w:left="357" w:hanging="357"/>
        <w:jc w:val="center"/>
        <w:rPr>
          <w:rFonts w:ascii="Arial" w:eastAsia="Calibri" w:hAnsi="Arial" w:cs="Arial"/>
          <w:b/>
        </w:rPr>
      </w:pPr>
      <w:r w:rsidRPr="000467A2">
        <w:rPr>
          <w:rFonts w:ascii="Arial" w:eastAsia="Calibri" w:hAnsi="Arial" w:cs="Arial"/>
          <w:b/>
        </w:rPr>
        <w:t xml:space="preserve">MINISTRSTVOM ZA OBRAMBO SLOVAŠKE REPUBLIKE </w:t>
      </w:r>
    </w:p>
    <w:p w:rsidR="000467A2" w:rsidRPr="000467A2" w:rsidRDefault="000467A2" w:rsidP="000467A2">
      <w:pPr>
        <w:spacing w:before="240" w:after="200" w:line="276" w:lineRule="auto"/>
        <w:ind w:left="357" w:hanging="357"/>
        <w:jc w:val="center"/>
        <w:rPr>
          <w:rFonts w:ascii="Arial" w:eastAsia="Calibri" w:hAnsi="Arial" w:cs="Arial"/>
          <w:b/>
        </w:rPr>
      </w:pPr>
      <w:r w:rsidRPr="000467A2">
        <w:rPr>
          <w:rFonts w:ascii="Arial" w:eastAsia="Calibri" w:hAnsi="Arial" w:cs="Arial"/>
          <w:b/>
        </w:rPr>
        <w:t>IN</w:t>
      </w:r>
    </w:p>
    <w:p w:rsidR="000467A2" w:rsidRPr="000467A2" w:rsidRDefault="000467A2" w:rsidP="000467A2">
      <w:pPr>
        <w:spacing w:before="240" w:after="200" w:line="276" w:lineRule="auto"/>
        <w:ind w:left="357" w:hanging="357"/>
        <w:jc w:val="center"/>
        <w:rPr>
          <w:rFonts w:ascii="Arial" w:eastAsia="Calibri" w:hAnsi="Arial" w:cs="Arial"/>
          <w:b/>
        </w:rPr>
      </w:pPr>
      <w:r w:rsidRPr="000467A2">
        <w:rPr>
          <w:rFonts w:ascii="Arial" w:eastAsia="Calibri" w:hAnsi="Arial" w:cs="Arial"/>
          <w:b/>
        </w:rPr>
        <w:t xml:space="preserve">MINISTRSTVOM ZA OBRAMBO REPUBLIKE SLOVENIJE </w:t>
      </w:r>
    </w:p>
    <w:p w:rsidR="000467A2" w:rsidRPr="000467A2" w:rsidRDefault="000467A2" w:rsidP="000467A2">
      <w:pPr>
        <w:spacing w:before="240" w:after="200" w:line="276" w:lineRule="auto"/>
        <w:ind w:left="357" w:hanging="357"/>
        <w:jc w:val="center"/>
        <w:rPr>
          <w:rFonts w:ascii="Arial" w:eastAsia="Calibri" w:hAnsi="Arial" w:cs="Arial"/>
          <w:b/>
          <w:bCs/>
          <w:caps/>
        </w:rPr>
      </w:pPr>
    </w:p>
    <w:p w:rsidR="000467A2" w:rsidRPr="000467A2" w:rsidRDefault="000467A2" w:rsidP="000467A2">
      <w:pPr>
        <w:spacing w:before="240" w:after="200" w:line="276" w:lineRule="auto"/>
        <w:ind w:left="357" w:hanging="357"/>
        <w:jc w:val="center"/>
        <w:rPr>
          <w:rFonts w:ascii="Arial" w:eastAsia="Calibri" w:hAnsi="Arial" w:cs="Arial"/>
          <w:b/>
        </w:rPr>
      </w:pPr>
      <w:r w:rsidRPr="000467A2">
        <w:rPr>
          <w:rFonts w:ascii="Arial" w:eastAsia="Calibri" w:hAnsi="Arial" w:cs="Arial"/>
          <w:b/>
        </w:rPr>
        <w:t>O</w:t>
      </w:r>
    </w:p>
    <w:p w:rsidR="000467A2" w:rsidRPr="000467A2" w:rsidRDefault="000467A2" w:rsidP="000467A2">
      <w:pPr>
        <w:spacing w:before="240" w:after="200" w:line="276" w:lineRule="auto"/>
        <w:ind w:left="357" w:hanging="357"/>
        <w:jc w:val="center"/>
        <w:rPr>
          <w:rFonts w:ascii="Arial" w:eastAsia="Calibri" w:hAnsi="Arial" w:cs="Arial"/>
          <w:b/>
        </w:rPr>
      </w:pPr>
    </w:p>
    <w:p w:rsidR="000467A2" w:rsidRPr="000467A2" w:rsidRDefault="000467A2" w:rsidP="000467A2">
      <w:pPr>
        <w:spacing w:before="240" w:after="200" w:line="276" w:lineRule="auto"/>
        <w:ind w:left="357" w:hanging="357"/>
        <w:jc w:val="center"/>
        <w:rPr>
          <w:rFonts w:ascii="Arial" w:eastAsia="Calibri" w:hAnsi="Arial" w:cs="Arial"/>
          <w:b/>
          <w:bCs/>
          <w:caps/>
        </w:rPr>
      </w:pPr>
      <w:r w:rsidRPr="000467A2">
        <w:rPr>
          <w:rFonts w:ascii="Arial" w:eastAsia="Calibri" w:hAnsi="Arial" w:cs="Arial"/>
          <w:b/>
        </w:rPr>
        <w:t>USTANOVITVI</w:t>
      </w:r>
      <w:r w:rsidRPr="000467A2">
        <w:rPr>
          <w:rFonts w:ascii="Arial" w:eastAsia="Calibri" w:hAnsi="Arial" w:cs="Arial"/>
          <w:b/>
          <w:bCs/>
          <w:caps/>
        </w:rPr>
        <w:t xml:space="preserve"> </w:t>
      </w:r>
    </w:p>
    <w:p w:rsidR="000467A2" w:rsidRPr="000467A2" w:rsidRDefault="000467A2" w:rsidP="000467A2">
      <w:pPr>
        <w:spacing w:before="240" w:after="200" w:line="276" w:lineRule="auto"/>
        <w:ind w:left="357" w:hanging="357"/>
        <w:jc w:val="center"/>
        <w:rPr>
          <w:rFonts w:ascii="Arial" w:eastAsia="Calibri" w:hAnsi="Arial" w:cs="Arial"/>
          <w:b/>
          <w:bCs/>
          <w:caps/>
        </w:rPr>
      </w:pPr>
      <w:r w:rsidRPr="000467A2">
        <w:rPr>
          <w:rFonts w:ascii="Arial" w:eastAsia="Calibri" w:hAnsi="Arial" w:cs="Arial"/>
          <w:b/>
          <w:bCs/>
          <w:caps/>
        </w:rPr>
        <w:t>REGIONALNEGA POVELJSTVA KOMPONENTe ZA SPECIALNO DELOVANJE</w:t>
      </w:r>
    </w:p>
    <w:p w:rsidR="000467A2" w:rsidRPr="000467A2" w:rsidRDefault="000467A2" w:rsidP="000467A2">
      <w:pPr>
        <w:spacing w:before="240" w:after="200" w:line="276" w:lineRule="auto"/>
        <w:ind w:left="357" w:hanging="357"/>
        <w:jc w:val="center"/>
        <w:rPr>
          <w:rFonts w:ascii="Arial" w:eastAsia="Calibri" w:hAnsi="Arial" w:cs="Arial"/>
          <w:b/>
          <w:bCs/>
          <w:caps/>
        </w:rPr>
      </w:pPr>
    </w:p>
    <w:p w:rsidR="000467A2" w:rsidRPr="000467A2" w:rsidRDefault="000467A2" w:rsidP="000467A2">
      <w:pPr>
        <w:spacing w:before="240" w:after="200" w:line="276" w:lineRule="auto"/>
        <w:ind w:left="1797" w:hanging="357"/>
        <w:jc w:val="both"/>
        <w:rPr>
          <w:rFonts w:ascii="Arial" w:eastAsia="Calibri" w:hAnsi="Arial" w:cs="Arial"/>
          <w:b/>
        </w:rPr>
      </w:pPr>
      <w:r w:rsidRPr="000467A2">
        <w:rPr>
          <w:rFonts w:ascii="Arial" w:eastAsia="Calibri" w:hAnsi="Arial" w:cs="Arial"/>
        </w:rPr>
        <w:br w:type="page"/>
      </w:r>
    </w:p>
    <w:p w:rsidR="000467A2" w:rsidRPr="000467A2" w:rsidRDefault="000467A2" w:rsidP="000467A2">
      <w:pPr>
        <w:spacing w:before="240" w:after="200" w:line="276" w:lineRule="auto"/>
        <w:jc w:val="both"/>
        <w:rPr>
          <w:rFonts w:ascii="Arial" w:eastAsia="Calibri" w:hAnsi="Arial" w:cs="Arial"/>
          <w:b/>
        </w:rPr>
      </w:pPr>
      <w:r w:rsidRPr="000467A2">
        <w:rPr>
          <w:rFonts w:ascii="Arial" w:eastAsia="Calibri" w:hAnsi="Arial" w:cs="Arial"/>
          <w:b/>
        </w:rPr>
        <w:lastRenderedPageBreak/>
        <w:t xml:space="preserve">Uvod </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 xml:space="preserve">Zvezni minister za obrambo Republike Avstrije, </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Ministrstvo za obrambo Republike Hrvaške,</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 xml:space="preserve">Ministrstvo za obrambo Madžarske, </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 xml:space="preserve">Ministrstvo za obrambo Slovaške republike, </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 xml:space="preserve">Ministrstvo za obrambo Republike Slovenije, </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v nadaljevanju »udeleženci«, so se:</w:t>
      </w:r>
    </w:p>
    <w:p w:rsidR="000467A2" w:rsidRPr="000467A2" w:rsidRDefault="000467A2" w:rsidP="000467A2">
      <w:pPr>
        <w:spacing w:before="240" w:after="200" w:line="276" w:lineRule="auto"/>
        <w:jc w:val="both"/>
        <w:rPr>
          <w:rFonts w:ascii="Arial" w:eastAsia="Calibri" w:hAnsi="Arial" w:cs="Arial"/>
        </w:rPr>
      </w:pP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 xml:space="preserve">Ob upoštevanju </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Severnoatlantske pogodbe, podpisane 4. aprila 1949 v Washingtonu, za Natove zaveznice;</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dobrega prijateljskega sodelovanja, skupnih vrednot in regionalnega interesa udeležencev;</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 xml:space="preserve">pomena </w:t>
      </w:r>
      <w:proofErr w:type="spellStart"/>
      <w:r w:rsidRPr="000467A2">
        <w:rPr>
          <w:rFonts w:ascii="Arial" w:eastAsia="Calibri" w:hAnsi="Arial" w:cs="Arial"/>
        </w:rPr>
        <w:t>večnacionalnosti</w:t>
      </w:r>
      <w:proofErr w:type="spellEnd"/>
      <w:r w:rsidRPr="000467A2">
        <w:rPr>
          <w:rFonts w:ascii="Arial" w:eastAsia="Calibri" w:hAnsi="Arial" w:cs="Arial"/>
        </w:rPr>
        <w:t xml:space="preserve"> in </w:t>
      </w:r>
      <w:proofErr w:type="spellStart"/>
      <w:r w:rsidRPr="000467A2">
        <w:rPr>
          <w:rFonts w:ascii="Arial" w:eastAsia="Calibri" w:hAnsi="Arial" w:cs="Arial"/>
        </w:rPr>
        <w:t>interoperabilnosti</w:t>
      </w:r>
      <w:proofErr w:type="spellEnd"/>
      <w:r w:rsidRPr="000467A2">
        <w:rPr>
          <w:rFonts w:ascii="Arial" w:eastAsia="Calibri" w:hAnsi="Arial" w:cs="Arial"/>
        </w:rPr>
        <w:t xml:space="preserve"> hitro </w:t>
      </w:r>
      <w:proofErr w:type="spellStart"/>
      <w:r w:rsidRPr="000467A2">
        <w:rPr>
          <w:rFonts w:ascii="Arial" w:eastAsia="Calibri" w:hAnsi="Arial" w:cs="Arial"/>
        </w:rPr>
        <w:t>razmestljivih</w:t>
      </w:r>
      <w:proofErr w:type="spellEnd"/>
      <w:r w:rsidRPr="000467A2">
        <w:rPr>
          <w:rFonts w:ascii="Arial" w:eastAsia="Calibri" w:hAnsi="Arial" w:cs="Arial"/>
        </w:rPr>
        <w:t xml:space="preserve"> enot sil za specialno delovanje, za Natove zaveznice zlasti v smislu kriznega odzivanja skladno s 5. členom Severnoatlantske pogodbe in zunaj določil 5. člena;</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 xml:space="preserve">Sporazuma med pogodbenicami Severnoatlantske pogodbe o statusu njihovih sil, sklenjenega v Londonu 19. junija 1951 (Nato SOFA), in vsakega dopolnilnega sporazuma; </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Sporazuma med državami pogodbenicami Severnoatlantske pogodbe in drugimi državami, ki sodelujejo v Partnerstvu za mir, glede statusa njihovih sil, sklenjenega v Bruslju 19. junija 1995 (</w:t>
      </w:r>
      <w:proofErr w:type="spellStart"/>
      <w:r w:rsidRPr="000467A2">
        <w:rPr>
          <w:rFonts w:ascii="Arial" w:eastAsia="Calibri" w:hAnsi="Arial" w:cs="Arial"/>
        </w:rPr>
        <w:t>PzM</w:t>
      </w:r>
      <w:proofErr w:type="spellEnd"/>
      <w:r w:rsidRPr="000467A2">
        <w:rPr>
          <w:rFonts w:ascii="Arial" w:eastAsia="Calibri" w:hAnsi="Arial" w:cs="Arial"/>
        </w:rPr>
        <w:t xml:space="preserve"> SOFA);</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Sporazuma med državami članicami Evropske unije o statusu začasno dodeljenega vojaškega in civilnega osebja pri institucijah Evropske unije, poveljstva in vojaških sil, ki jih ima lahko na voljo Evropska unija v okviru priprave in izvajanja misij iz člena 17(2) Pogodbe o Evropski uniji, tudi med vojaškimi vajami, ter o vojaškem in civilnem osebju držav članic, s katerim razpolaga Evropska unija za ukrepanje v tem okviru (EU SOFA);</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Pisma o nameri med Ministrstvom za obrambo Republike Hrvaške, Ministrstvom za obrambo Madžarske, Ministrstvom za obrambo Slovaške republike in Ministrstvom za obrambo Republike Slovenije o večnacionalnem sodelovanju pri oblikovanju regionalnega poveljstva komponente za specialno delovanje, podpisanega 13. februarja 2019, in naknadno podpisanega s strani zveznega ministra za obrambo Republike Avstrije dne 14. maja 2019;</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lastRenderedPageBreak/>
        <w:t xml:space="preserve">Da imajo vsi udeleženci lastne nacionalne zahteve in/ali posamezne cilje zmogljivosti Nata 2017 za zagotavljanje delnih prispevkov za majhne združene operacije poveljstva komponente za specialno delovanje (SOCC SJO); </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da za Natove zaveznice zadevno področje zmogljivosti združenega poveljevanja in kontrole predstavlja eno od 18 prednostnih nalog Natovega obrambnega načrtovanja, da je namen regionalnega poveljstva komponente za specialno delovanje (R-SOCC) služiti predvsem kot večnacionalna zmogljivost sil za specialno delovanje za regionalne interese;</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da bi večnacionalno sodelovanje na tem področju zmogljivosti udeležencem lahko omogočilo učinkovitejše izpolnjevanje njihovih nacionalnih zahtev in/ali ciljev zmogljivosti Nata 2017 z izboljšano logistično sinergijo ter zagotavljalo večjo operativno vrednost;</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da sodelovanje med avstrijskimi, hrvaškimi, madžarskimi, slovaškimi in slovenskimi silami za specialno delovanje lahko postane okvir za daljnosežnejše mednarodno sodelovanje v širših koalicijah;</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ob priznavanju načela, da je regionalno poveljstvo komponente za specialno delovanje odprto za države članice Nata ali Evropske unije in za partnerske države Nata;</w:t>
      </w:r>
    </w:p>
    <w:p w:rsidR="000467A2" w:rsidRPr="000467A2" w:rsidRDefault="000467A2" w:rsidP="000467A2">
      <w:pPr>
        <w:numPr>
          <w:ilvl w:val="0"/>
          <w:numId w:val="1"/>
        </w:numPr>
        <w:spacing w:before="240" w:after="200" w:line="276" w:lineRule="auto"/>
        <w:jc w:val="both"/>
        <w:rPr>
          <w:rFonts w:ascii="Arial" w:eastAsia="Calibri" w:hAnsi="Arial" w:cs="Arial"/>
        </w:rPr>
      </w:pPr>
      <w:r w:rsidRPr="000467A2">
        <w:rPr>
          <w:rFonts w:ascii="Arial" w:eastAsia="Calibri" w:hAnsi="Arial" w:cs="Arial"/>
        </w:rPr>
        <w:t>možnosti sodelovanja v rotacijah poveljstva komponente za specialno delovanje (SOCC) Natovih odzivnih sil (NRF) in možnosti udeležbe na aktivnostih sil za specialno delovanje Evropske unije v okviru obrambnega sodelovanja držav Srednje Evrope;</w:t>
      </w:r>
    </w:p>
    <w:p w:rsidR="000467A2" w:rsidRPr="000467A2" w:rsidRDefault="000467A2" w:rsidP="000467A2">
      <w:pPr>
        <w:numPr>
          <w:ilvl w:val="0"/>
          <w:numId w:val="1"/>
        </w:numPr>
        <w:spacing w:before="240" w:after="200" w:line="276" w:lineRule="auto"/>
        <w:contextualSpacing/>
        <w:jc w:val="both"/>
        <w:rPr>
          <w:rFonts w:ascii="Arial" w:eastAsia="Calibri" w:hAnsi="Arial" w:cs="Arial"/>
        </w:rPr>
      </w:pPr>
      <w:r w:rsidRPr="000467A2">
        <w:rPr>
          <w:rFonts w:ascii="Arial" w:eastAsia="Calibri" w:hAnsi="Arial" w:cs="Arial"/>
        </w:rPr>
        <w:t>razvoja Natovega Akcijskega načrta pripravljenosti (MCM-0079-2015, 28. april 2015) za Natove zaveznice;</w:t>
      </w:r>
    </w:p>
    <w:p w:rsidR="000467A2" w:rsidRDefault="000467A2" w:rsidP="000467A2">
      <w:pPr>
        <w:spacing w:before="240" w:after="200" w:line="276" w:lineRule="auto"/>
        <w:ind w:left="360" w:hanging="357"/>
        <w:jc w:val="both"/>
        <w:rPr>
          <w:rFonts w:ascii="Arial" w:eastAsia="Calibri" w:hAnsi="Arial" w:cs="Arial"/>
        </w:rPr>
      </w:pPr>
    </w:p>
    <w:p w:rsidR="000467A2" w:rsidRPr="000467A2" w:rsidRDefault="000467A2" w:rsidP="000467A2">
      <w:pPr>
        <w:spacing w:before="240" w:after="200" w:line="276" w:lineRule="auto"/>
        <w:ind w:left="360" w:hanging="357"/>
        <w:jc w:val="both"/>
        <w:rPr>
          <w:rFonts w:ascii="Arial" w:eastAsia="Calibri" w:hAnsi="Arial" w:cs="Arial"/>
        </w:rPr>
      </w:pPr>
      <w:r w:rsidRPr="000467A2">
        <w:rPr>
          <w:rFonts w:ascii="Arial" w:eastAsia="Calibri" w:hAnsi="Arial" w:cs="Arial"/>
        </w:rPr>
        <w:t>dogovorili:</w:t>
      </w:r>
    </w:p>
    <w:p w:rsidR="000467A2" w:rsidRPr="000467A2" w:rsidRDefault="000467A2" w:rsidP="000467A2">
      <w:pPr>
        <w:spacing w:before="240" w:after="200" w:line="276" w:lineRule="auto"/>
        <w:ind w:left="360" w:hanging="357"/>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1" w:name="_Toc11253404"/>
      <w:r w:rsidRPr="000467A2">
        <w:rPr>
          <w:rFonts w:ascii="Arial" w:eastAsia="Times New Roman" w:hAnsi="Arial" w:cs="Arial"/>
          <w:b/>
        </w:rPr>
        <w:t>Namen</w:t>
      </w:r>
      <w:bookmarkEnd w:id="1"/>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Namen tega memoranduma o soglasju je zagotoviti okvir za vzpostavitev regionalnega poveljstva komponente za specialno delovanje (R-SOCC) kot trajne večnacionalne zmogljivosti poveljstva, oblikovane okoli nosilne države, za poveljevanje večnacionalnim silam za specialno delovanje in priključenim podpornim silam v skladu z ambicijo majhnih združenih operacij (SJO). Kot tako mora biti poveljstvo sposobno izvajati poveljevanje in kontrolo za do šest (6) kopenskih namenskih skupin za specialno delovanje / pomorskih namenskih skupin za specialno delovanje in eno (1) zračno namensko skupino za specialno delovanje s ciljem doseči polno operativno zmogljivost (FOC) leta 2024.</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Namen regionalnega poveljstva komponente za specialno delovanje je olajšati razvoj zmogljivosti, pridobljenih na podlagi nacionalnih zahtev in/ali Natovega procesa </w:t>
      </w:r>
      <w:r w:rsidRPr="000467A2">
        <w:rPr>
          <w:rFonts w:ascii="Arial" w:eastAsia="Calibri" w:hAnsi="Arial" w:cs="Arial"/>
        </w:rPr>
        <w:lastRenderedPageBreak/>
        <w:t xml:space="preserve">obrambnega načrtovanja, in ustvariti orodje za oblikovanje sil za prihodnje rotacije Natovih odzivnih sil, misije EU in druge operacije. </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Ta memorandum o soglasju zagotavlja okvir za vzpostavitev regionalnega poveljstva komponente za specialno delovanje ter na splošno opredeljuje pogoje in obveznosti regionalnega poveljstva komponente za specialno delovanje, vključno s poveljevanjem in kontrolo, usposabljanjem in vajami, operacijami, razmestitvijo, logistiko in financami.</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Madžarska deluje kot nosilna država, od katere se pričakuje, da zagotovi 0,5 popolnitve za regionalno poveljstvo komponente za specialno delovanje, in zagotovi poveljnika regionalnega poveljstva komponente za specialno delovanje.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Nadalje se od Madžarske pričakuje, da zagotovi informacijske sisteme poveljevanja in kontrole (C2IS) do ravni namenske skupine za specialno delovanje (SOTG) ter podporne funkcije za delovanje baze. Od nosilne države se pričakuje tudi, da usklajuje funkcije za zagotovitev bojnega delovanja (CSS) za komponente ter da zagotovi vsaj eno namensko skupino za specialno delovanje in taktično zmogljivost zračnega transporta.</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Od ostalih udeležencev se pričakuje, da zagotovijo osebje, potrebno za doseganje zmogljivosti 1,0 regionalnega poveljstva komponente za specialno delovanje, lahko pa zagotovijo tudi druge podrejene enote in zmogljivosti.</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Regionalno poveljstvo komponente za specialno delovanje lahko podpirajo tudi druge države.</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Kar zadeva udeležence držav članic Nata, se pričakuje, da regionalno poveljstvo komponente za specialno delovanje sodeluje v rotaciji Natovih odzivnih sil leta 2025. </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r w:rsidRPr="000467A2">
        <w:rPr>
          <w:rFonts w:ascii="Arial" w:eastAsia="Times New Roman" w:hAnsi="Arial" w:cs="Arial"/>
          <w:b/>
        </w:rPr>
        <w:t>Področje uporabe</w:t>
      </w:r>
    </w:p>
    <w:p w:rsidR="000467A2" w:rsidRPr="000467A2" w:rsidRDefault="000467A2" w:rsidP="000467A2">
      <w:pPr>
        <w:spacing w:before="240" w:after="200" w:line="276" w:lineRule="auto"/>
        <w:ind w:left="792"/>
        <w:contextualSpacing/>
        <w:jc w:val="both"/>
        <w:rPr>
          <w:rFonts w:ascii="Arial" w:eastAsia="Calibri" w:hAnsi="Arial" w:cs="Arial"/>
        </w:rPr>
      </w:pPr>
      <w:r w:rsidRPr="000467A2">
        <w:rPr>
          <w:rFonts w:ascii="Arial" w:eastAsia="Calibri" w:hAnsi="Arial" w:cs="Arial"/>
        </w:rPr>
        <w:t>Ta memorandum o soglasju ne ustvarja nobenih pravic ali obveznosti po mednarodnem pravu. Udeleženci se strinjajo, da namen tega memoranduma o soglasju ni, da bi bil v nasprotju z veljavnimi nacionalnimi zakoni ali predpisi, jih razširil ali nadomestil oziroma da bi bil v nasprotju z veljavnimi mednarodnimi sporazumi in obveznostmi ter organi, jih razširil ali nadomestil. O morebitnih nasprotjih se udeleženci medsebojno obvestijo, ob tem pa prevladajo določbe nacionalnega prava in predpisov ter mednarodnega prava in mednarodnih sporazumov.</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r w:rsidRPr="000467A2">
        <w:rPr>
          <w:rFonts w:ascii="Arial" w:eastAsia="Times New Roman" w:hAnsi="Arial" w:cs="Arial"/>
          <w:b/>
        </w:rPr>
        <w:t>Aktiviranje in razmestitev regionalnega poveljstva komponente za specialno delovanje</w:t>
      </w: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Katera koli operativna obveznost udeleženca se izvede le po odločitvi ustreznih nacionalnih organov. Vsak udeleženec ima posebno pravico, da določi nacionalno raven udeležbe.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lastRenderedPageBreak/>
        <w:t>Razen če ni določeno drugače, zahtevo za aktiviranje prejme nosilna država, ki o tem obvesti ostale udeležence.</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O aktiviranju regionalnega poveljstva komponente za specialno delovanje odloči upravni odbor. Za aktiviranje je potrebno soglasje nosilne države in vsaj dveh drugih udeležencev.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Odločitev o razmestitvi regionalnega poveljstva komponente za specialno delovanje se izvede le ob soglasju udeležencev, ki sodelujejo v aktivnosti.</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Za razmestitev regionalnega poveljstva komponente za specialno delovanje je potrebna udeležba nosilne države in vsaj dveh drugih udeležencev.</w:t>
      </w:r>
    </w:p>
    <w:p w:rsidR="000467A2" w:rsidRPr="000467A2" w:rsidRDefault="000467A2" w:rsidP="000467A2">
      <w:pPr>
        <w:spacing w:before="240" w:after="200" w:line="276" w:lineRule="auto"/>
        <w:ind w:left="720" w:hanging="720"/>
        <w:jc w:val="both"/>
        <w:rPr>
          <w:rFonts w:ascii="Arial" w:eastAsia="Calibri" w:hAnsi="Arial" w:cs="Arial"/>
          <w:b/>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2" w:name="_Toc11253409"/>
      <w:r w:rsidRPr="000467A2">
        <w:rPr>
          <w:rFonts w:ascii="Arial" w:eastAsia="Times New Roman" w:hAnsi="Arial" w:cs="Arial"/>
          <w:b/>
        </w:rPr>
        <w:t>Poveljevanje in kontrola</w:t>
      </w:r>
      <w:bookmarkEnd w:id="2"/>
      <w:r w:rsidRPr="000467A2">
        <w:rPr>
          <w:rFonts w:ascii="Arial" w:eastAsia="Times New Roman" w:hAnsi="Arial" w:cs="Arial"/>
          <w:b/>
        </w:rPr>
        <w:t xml:space="preserve"> med aktiviranjem in razmestitvijo</w:t>
      </w: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Ko se regionalno poveljstvo komponente za specialno delovanje aktivira in razmesti, se v največji možni meri vključi v obstoječo strukturo združenega poveljevanja in kontrole. Če ni na voljo nobene strukture združenega poveljevanja in kontrole, se struktura poveljevanja in kontrole vzpostavi z medsebojnim posvetovanjem med udeleženci.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Poveljevanje in kontrola sta v skladu z ustreznimi Natovimi doktrinami, Natovim konceptom delovanja in Natovimi standardi, razen če se udeleženci ne odločijo drugače.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Vsi nacionalni prispevki regionalnemu poveljstvu komponente za specialno delovanje ostanejo v celoti pod poveljstvom zadevnega udeleženca. Udeleženci prenesejo operativno kontrolo na poveljnika regionalnega poveljstva komponente za specialno delovanje v skladu z nacionalnimi postopki.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V primeru razmestitve se prenos pooblastil opravi ob prihodu sil na območje delovanja. Vsak udeleženec zagotovi izvod svojega prenosa pooblastil poveljniku regionalnega poveljstva komponente za specialno delovanje.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3" w:name="_Toc11253410"/>
      <w:r w:rsidRPr="000467A2">
        <w:rPr>
          <w:rFonts w:ascii="Arial" w:eastAsia="Times New Roman" w:hAnsi="Arial" w:cs="Arial"/>
          <w:b/>
        </w:rPr>
        <w:t>Organizacija</w:t>
      </w:r>
      <w:bookmarkEnd w:id="3"/>
      <w:r w:rsidRPr="000467A2">
        <w:rPr>
          <w:rFonts w:ascii="Arial" w:eastAsia="Times New Roman" w:hAnsi="Arial" w:cs="Arial"/>
          <w:b/>
        </w:rPr>
        <w:t xml:space="preserve"> </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 xml:space="preserve">Koncept regionalnega poveljstva komponente za specialno delovanje (R-SOCC) temelji na dveh organizacijskih strukturah: struktura upravljanja R-SOCC in operativna struktura R-SOCC. Struktura upravljanja se vzpostavi za oblikovanje in ohranjanje zmogljivosti, operativna struktura pa se vzpostavi za uporabo zmogljivosti in izvajanje poveljevanja in kontrole R-SOCC. </w:t>
      </w: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Struktura upravljanja R-SOCC </w:t>
      </w:r>
    </w:p>
    <w:p w:rsidR="000467A2" w:rsidRPr="000467A2" w:rsidRDefault="000467A2" w:rsidP="000467A2">
      <w:pPr>
        <w:spacing w:before="240" w:after="200" w:line="276" w:lineRule="auto"/>
        <w:ind w:left="792"/>
        <w:contextualSpacing/>
        <w:jc w:val="both"/>
        <w:rPr>
          <w:rFonts w:ascii="Arial" w:eastAsia="Calibri" w:hAnsi="Arial" w:cs="Arial"/>
        </w:rPr>
      </w:pPr>
      <w:r w:rsidRPr="000467A2">
        <w:rPr>
          <w:rFonts w:ascii="Arial" w:eastAsia="Calibri" w:hAnsi="Arial" w:cs="Arial"/>
        </w:rPr>
        <w:t xml:space="preserve">Struktura upravljanja je odgovorna za oblikovanje in ohranjanje zmogljivosti R-SOCC za stanje pripravljenosti za majhne združene operacije. </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lastRenderedPageBreak/>
        <w:t xml:space="preserve">Upravni odbor R-SOCC predstavlja namenski organ upravljanja in odločanja za vse vidike v zvezi z regionalnim poveljstvom komponente za specialno delovanje. </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Upravni odbor sestavlja en imenovani predstavnik iz vsakega udeleženca na ravni poveljnika sil za specialno delovanje ali na enakovredni ravni. Poleg tega lahko upravni odbor na podlagi soglasne odločitve povabi predstavnike drugih držav in subjektov na svoje sestanke.</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Vsak predstavnik v upravnem odboru ima en glas. Vse odločitve znotraj upravnega odbora se sprejemajo soglasno, razen odločitev o aktiviranju in o razmestitvi, kot je določeno v 3. poglavju.</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 xml:space="preserve">Upravnemu odboru predseduje in ga upravlja nosilna država. Upravni odbor se po potrebi sestaja – osebno ali kako drugače – na poziv predsednika, in sicer v tako rednih razmikih, kot je nujno za učinkovito izvajanje obveznosti, ali pa na posebno zahtevo katerega od udeležencev takoj, ko je to mogoče, vendar običajno ne redkeje kot dvakrat na leto. </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 xml:space="preserve">Upravni odbor lahko oblikuje delovne skupine za delo na posebnih vidikih, pomembnih za regionalno poveljstvo komponente za specialno delovanje. </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 xml:space="preserve">Če udeleženci predsedniku upravnega odbora podelijo mandat, jih predstavlja na Natovih konferencah o oblikovanju sil ali enakovrednem delovanju zunaj okvirov Nata. </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Upravni odbor sprejme svoj opis nalog in pristojnosti ter opis nalog in pristojnosti za delovne skupine.</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Operativna struktura R-SOCC </w:t>
      </w:r>
    </w:p>
    <w:p w:rsidR="000467A2" w:rsidRPr="000467A2" w:rsidRDefault="000467A2" w:rsidP="000467A2">
      <w:pPr>
        <w:spacing w:before="240" w:after="200" w:line="276" w:lineRule="auto"/>
        <w:ind w:left="792"/>
        <w:contextualSpacing/>
        <w:jc w:val="both"/>
        <w:rPr>
          <w:rFonts w:ascii="Arial" w:eastAsia="Calibri" w:hAnsi="Arial" w:cs="Arial"/>
        </w:rPr>
      </w:pPr>
      <w:r w:rsidRPr="000467A2">
        <w:rPr>
          <w:rFonts w:ascii="Arial" w:eastAsia="Calibri" w:hAnsi="Arial" w:cs="Arial"/>
        </w:rPr>
        <w:t xml:space="preserve">Operativna struktura je odgovorna za uporabo zmogljivosti in izvajanje poveljevanja in kontrole R-SOCC. Obveznosti in naloge so na splošno v skladu s Priročnikom SOCC Natovega poveljstva za specialno delovanje iz oktobra 2014. </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 xml:space="preserve">Regionalno poveljstvo komponente za specialno delovanje se popolni prek konference udeležencev o oblikovanju sil. Uporabljajo se Natove direktive in smernice za oblikovanje sil, razen če se udeleženci ne odločijo drugače. </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 xml:space="preserve">Regionalnemu poveljstvu komponente za specialno delovanje poveljuje poveljnik regionalnega poveljstva komponente za specialno delovanje. Položaj namestnika poveljnika in položaj načelnika štaba zasede udeleženec, ki ni nosilna država. </w:t>
      </w:r>
    </w:p>
    <w:p w:rsidR="000467A2" w:rsidRPr="000467A2" w:rsidRDefault="000467A2" w:rsidP="000467A2">
      <w:pPr>
        <w:spacing w:before="240" w:after="200" w:line="276" w:lineRule="auto"/>
        <w:ind w:left="720"/>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Poveljnik regionalnega poveljstva komponente za specialno delovanje se v imenu regionalnega poveljstva komponente za specialno delovanje usklajuje z drugimi subjekti na sebi ustrezni ravni.</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lastRenderedPageBreak/>
        <w:t>Poveljnik regionalnega poveljstva komponente za specialno delovanje izvaja poveljevanje in kontrolo nad zmogljivostmi omogočanja, povezanimi z regionalnim poveljstvom komponente za specialno delovanje in podrejenimi namenskimi skupinami.</w:t>
      </w:r>
    </w:p>
    <w:p w:rsidR="000467A2" w:rsidRPr="000467A2" w:rsidRDefault="000467A2" w:rsidP="000467A2">
      <w:pPr>
        <w:spacing w:before="240" w:after="200" w:line="276" w:lineRule="auto"/>
        <w:ind w:left="1797" w:hanging="357"/>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r w:rsidRPr="000467A2">
        <w:rPr>
          <w:rFonts w:ascii="Arial" w:eastAsia="Times New Roman" w:hAnsi="Arial" w:cs="Arial"/>
          <w:b/>
        </w:rPr>
        <w:t>Finančni dogovori</w:t>
      </w: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Vsak udeleženec je odgovoren za financiranje morebitnih stroškov, povezanih z izvajanjem tega memoranduma o soglasju.</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2"/>
          <w:numId w:val="3"/>
        </w:numPr>
        <w:spacing w:before="240" w:after="200" w:line="276" w:lineRule="auto"/>
        <w:ind w:left="1560" w:hanging="840"/>
        <w:contextualSpacing/>
        <w:jc w:val="both"/>
        <w:rPr>
          <w:rFonts w:ascii="Arial" w:eastAsia="Calibri" w:hAnsi="Arial" w:cs="Arial"/>
        </w:rPr>
      </w:pPr>
      <w:r w:rsidRPr="000467A2">
        <w:rPr>
          <w:rFonts w:ascii="Arial" w:eastAsia="Calibri" w:hAnsi="Arial" w:cs="Arial"/>
        </w:rPr>
        <w:t>Ti stroški lahko vključujejo:</w:t>
      </w:r>
    </w:p>
    <w:p w:rsidR="000467A2" w:rsidRPr="000467A2" w:rsidRDefault="000467A2" w:rsidP="000467A2">
      <w:pPr>
        <w:numPr>
          <w:ilvl w:val="0"/>
          <w:numId w:val="2"/>
        </w:numPr>
        <w:spacing w:before="240" w:after="240" w:line="276" w:lineRule="auto"/>
        <w:ind w:left="1797" w:hanging="357"/>
        <w:jc w:val="both"/>
        <w:rPr>
          <w:rFonts w:ascii="Arial" w:eastAsia="Calibri" w:hAnsi="Arial" w:cs="Arial"/>
        </w:rPr>
      </w:pPr>
      <w:r w:rsidRPr="000467A2">
        <w:rPr>
          <w:rFonts w:ascii="Arial" w:eastAsia="Calibri" w:hAnsi="Arial" w:cs="Arial"/>
        </w:rPr>
        <w:t xml:space="preserve">Vse stroške, povezane z izobraževanjem, usposabljanjem in udeleževanjem lastnih sil na vajah v regionalnem poveljstvu komponente za specialno delovanje; </w:t>
      </w:r>
    </w:p>
    <w:p w:rsidR="000467A2" w:rsidRPr="000467A2" w:rsidRDefault="000467A2" w:rsidP="000467A2">
      <w:pPr>
        <w:numPr>
          <w:ilvl w:val="0"/>
          <w:numId w:val="2"/>
        </w:numPr>
        <w:spacing w:before="240" w:after="200" w:line="276" w:lineRule="auto"/>
        <w:ind w:left="1797" w:hanging="357"/>
        <w:jc w:val="both"/>
        <w:rPr>
          <w:rFonts w:ascii="Arial" w:eastAsia="Calibri" w:hAnsi="Arial" w:cs="Arial"/>
        </w:rPr>
      </w:pPr>
      <w:r w:rsidRPr="000467A2">
        <w:rPr>
          <w:rFonts w:ascii="Arial" w:eastAsia="Calibri" w:hAnsi="Arial" w:cs="Arial"/>
        </w:rPr>
        <w:t>Vse stroške, nastale zaradi razmestitve, vzdrževanja in prerazporeditve lastnih sil v regionalnem poveljstvu komponente za specialno delovanje;</w:t>
      </w:r>
    </w:p>
    <w:p w:rsidR="000467A2" w:rsidRPr="000467A2" w:rsidRDefault="000467A2" w:rsidP="000467A2">
      <w:pPr>
        <w:numPr>
          <w:ilvl w:val="0"/>
          <w:numId w:val="2"/>
        </w:numPr>
        <w:spacing w:before="240" w:after="200" w:line="276" w:lineRule="auto"/>
        <w:ind w:left="1797" w:hanging="357"/>
        <w:jc w:val="both"/>
        <w:rPr>
          <w:rFonts w:ascii="Arial" w:eastAsia="Calibri" w:hAnsi="Arial" w:cs="Arial"/>
        </w:rPr>
      </w:pPr>
      <w:r w:rsidRPr="000467A2">
        <w:rPr>
          <w:rFonts w:ascii="Arial" w:eastAsia="Calibri" w:hAnsi="Arial" w:cs="Arial"/>
        </w:rPr>
        <w:t xml:space="preserve">Vsa plačila in dodatke za lastne sile v regionalnem poveljstvu komponente za specialno delovanje; </w:t>
      </w:r>
    </w:p>
    <w:p w:rsidR="000467A2" w:rsidRPr="000467A2" w:rsidRDefault="000467A2" w:rsidP="000467A2">
      <w:pPr>
        <w:numPr>
          <w:ilvl w:val="0"/>
          <w:numId w:val="2"/>
        </w:numPr>
        <w:spacing w:before="240" w:after="200" w:line="276" w:lineRule="auto"/>
        <w:ind w:left="1797" w:hanging="357"/>
        <w:jc w:val="both"/>
        <w:rPr>
          <w:rFonts w:ascii="Arial" w:eastAsia="Calibri" w:hAnsi="Arial" w:cs="Arial"/>
        </w:rPr>
      </w:pPr>
      <w:r w:rsidRPr="000467A2">
        <w:rPr>
          <w:rFonts w:ascii="Arial" w:eastAsia="Calibri" w:hAnsi="Arial" w:cs="Arial"/>
        </w:rPr>
        <w:t xml:space="preserve">Vse stroške, povezane z obveznostmi, izključno za uporabo na nacionalni ravni; </w:t>
      </w:r>
    </w:p>
    <w:p w:rsidR="000467A2" w:rsidRPr="000467A2" w:rsidRDefault="000467A2" w:rsidP="000467A2">
      <w:pPr>
        <w:numPr>
          <w:ilvl w:val="0"/>
          <w:numId w:val="2"/>
        </w:numPr>
        <w:spacing w:before="240" w:after="200" w:line="276" w:lineRule="auto"/>
        <w:ind w:left="1797" w:hanging="357"/>
        <w:jc w:val="both"/>
        <w:rPr>
          <w:rFonts w:ascii="Arial" w:eastAsia="Calibri" w:hAnsi="Arial" w:cs="Arial"/>
        </w:rPr>
      </w:pPr>
      <w:r w:rsidRPr="000467A2">
        <w:rPr>
          <w:rFonts w:ascii="Arial" w:eastAsia="Calibri" w:hAnsi="Arial" w:cs="Arial"/>
        </w:rPr>
        <w:t>Vse stroške, povezane z zagotavljanjem zmogljivosti omogočanja in podrejenih enot.</w:t>
      </w: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V primeru, da udeleženec obvesti ostale udeležence, da nima dovolj sredstev za izpolnjevanje svojih obveznosti v okviru tega memoranduma o soglasju, se udeleženci nemudoma posvetujejo o nadaljevanju pod spremenjenimi okoliščinami.</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O finančnih, računovodskih in revizijskih postopkih za deljene stroške, vključno z dogovori za povračilo stroškov, odloča upravni odbor, če je to potrebno.</w:t>
      </w:r>
    </w:p>
    <w:p w:rsidR="000467A2" w:rsidRPr="000467A2" w:rsidRDefault="000467A2" w:rsidP="000467A2">
      <w:pPr>
        <w:spacing w:before="240" w:after="200" w:line="276" w:lineRule="auto"/>
        <w:ind w:left="1797" w:hanging="357"/>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4" w:name="_Toc11253412"/>
      <w:r w:rsidRPr="000467A2">
        <w:rPr>
          <w:rFonts w:ascii="Arial" w:eastAsia="Times New Roman" w:hAnsi="Arial" w:cs="Arial"/>
          <w:b/>
        </w:rPr>
        <w:t>Namenske skupine za specialno delovanje (kopensko, pomorsko in zračno)</w:t>
      </w:r>
      <w:bookmarkEnd w:id="4"/>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Namen udeležencev je zagotoviti namenske skupine za specialno delovanje v okviru regionalnega poveljstva komponente za specialno delovanje, vključno s skupno zračno namensko skupino za specialno delovanje.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Udeleženci lahko druge države povabijo k prispevanju namenskih skupin za specialno delovanje za R-SOCC. </w:t>
      </w:r>
    </w:p>
    <w:p w:rsidR="000467A2" w:rsidRPr="000467A2" w:rsidRDefault="000467A2" w:rsidP="000467A2">
      <w:pPr>
        <w:spacing w:before="240" w:after="200" w:line="276" w:lineRule="auto"/>
        <w:ind w:left="720" w:hanging="720"/>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5" w:name="_Toc11253413"/>
      <w:r w:rsidRPr="000467A2">
        <w:rPr>
          <w:rFonts w:ascii="Arial" w:eastAsia="Times New Roman" w:hAnsi="Arial" w:cs="Arial"/>
          <w:b/>
        </w:rPr>
        <w:lastRenderedPageBreak/>
        <w:t>Svežnji omogočanja</w:t>
      </w:r>
      <w:bookmarkEnd w:id="5"/>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Glede na okoliščine regionalno poveljstvo komponente za specialno delovanje lahko zahteva dodatne zmogljivosti, kot so zdravstvena oskrba ravni Role 1, zaščita sil, delovanje proti improviziranim eksplozivnim sredstvom, zaščita pred kemičnimi, biološkimi, radiološkimi in jedrskimi nevarnostmi, zmogljivost delovanja računalniškega omrežja, zmogljivosti obveščevalno-izvidniške dejavnosti in/ali zmogljivosti informacijskega delovanja.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Te zmogljivosti se zagotovijo kot svežnji omogočanja prek procesa oblikovanja sil regionalnega poveljstva komponente za specialno delovanje. Svežnji omogočanja se ne obravnavajo kot sestavni del regionalnega poveljstva komponente za specialno delovanje. </w:t>
      </w:r>
    </w:p>
    <w:p w:rsidR="000467A2" w:rsidRPr="000467A2" w:rsidRDefault="000467A2" w:rsidP="000467A2">
      <w:pPr>
        <w:spacing w:before="240" w:after="200" w:line="276" w:lineRule="auto"/>
        <w:ind w:left="720" w:hanging="720"/>
        <w:jc w:val="both"/>
        <w:rPr>
          <w:rFonts w:ascii="Arial" w:eastAsia="Calibri" w:hAnsi="Arial" w:cs="Arial"/>
          <w:b/>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6" w:name="_Toc11253414"/>
      <w:r w:rsidRPr="000467A2">
        <w:rPr>
          <w:rFonts w:ascii="Arial" w:eastAsia="Times New Roman" w:hAnsi="Arial" w:cs="Arial"/>
          <w:b/>
        </w:rPr>
        <w:t>Sodelovanje drugih držav</w:t>
      </w:r>
      <w:bookmarkEnd w:id="6"/>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Druge države lahko na povabilo začasno sodelujejo v regionalnem poveljstvu komponente za specialno delovanje med vajami ali operacijami, in sicer z zagotavljanjem članov osebja, svežnjev omogočanja in/ali namenskih skupin za specialno delovanje.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contextualSpacing/>
        <w:jc w:val="both"/>
        <w:rPr>
          <w:rFonts w:ascii="Arial" w:eastAsia="Calibri" w:hAnsi="Arial" w:cs="Arial"/>
        </w:rPr>
      </w:pPr>
      <w:r w:rsidRPr="000467A2">
        <w:rPr>
          <w:rFonts w:ascii="Arial" w:eastAsia="Calibri" w:hAnsi="Arial" w:cs="Arial"/>
        </w:rPr>
        <w:t xml:space="preserve">Udeležba drugih držav je odvisna od ločenih dogovorov med udeleženci in drugo državo. </w:t>
      </w:r>
    </w:p>
    <w:p w:rsidR="000467A2" w:rsidRPr="000467A2" w:rsidRDefault="000467A2" w:rsidP="000467A2">
      <w:pPr>
        <w:spacing w:before="240" w:after="200" w:line="276" w:lineRule="auto"/>
        <w:ind w:left="720" w:hanging="720"/>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7" w:name="_Toc11253415"/>
      <w:r w:rsidRPr="000467A2">
        <w:rPr>
          <w:rFonts w:ascii="Arial" w:eastAsia="Times New Roman" w:hAnsi="Arial" w:cs="Arial"/>
          <w:b/>
        </w:rPr>
        <w:t>Pravni status in pristojnost</w:t>
      </w:r>
      <w:bookmarkEnd w:id="7"/>
    </w:p>
    <w:p w:rsidR="000467A2" w:rsidRPr="000467A2" w:rsidRDefault="000467A2" w:rsidP="000467A2">
      <w:pPr>
        <w:numPr>
          <w:ilvl w:val="1"/>
          <w:numId w:val="3"/>
        </w:numPr>
        <w:spacing w:before="240" w:after="200" w:line="276" w:lineRule="auto"/>
        <w:ind w:left="993" w:hanging="716"/>
        <w:contextualSpacing/>
        <w:jc w:val="both"/>
        <w:rPr>
          <w:rFonts w:ascii="Arial" w:eastAsia="Calibri" w:hAnsi="Arial" w:cs="Arial"/>
        </w:rPr>
      </w:pPr>
      <w:r w:rsidRPr="000467A2">
        <w:rPr>
          <w:rFonts w:ascii="Arial" w:eastAsia="Calibri" w:hAnsi="Arial" w:cs="Arial"/>
        </w:rPr>
        <w:t xml:space="preserve">Regionalno poveljstvo komponente za specialno delovanje se ne šteje za mednarodno vojaško poveljstvo in se zanj ne predvideva aktiviranje kot tako s strani Severnoatlantskega sveta.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ind w:left="993" w:hanging="633"/>
        <w:contextualSpacing/>
        <w:jc w:val="both"/>
        <w:rPr>
          <w:rFonts w:ascii="Arial" w:eastAsia="Calibri" w:hAnsi="Arial" w:cs="Arial"/>
        </w:rPr>
      </w:pPr>
      <w:r w:rsidRPr="000467A2">
        <w:rPr>
          <w:rFonts w:ascii="Arial" w:eastAsia="Calibri" w:hAnsi="Arial" w:cs="Arial"/>
        </w:rPr>
        <w:t>Status osebja na področju uporabe Nato SOFA/</w:t>
      </w:r>
      <w:proofErr w:type="spellStart"/>
      <w:r w:rsidRPr="000467A2">
        <w:rPr>
          <w:rFonts w:ascii="Arial" w:eastAsia="Calibri" w:hAnsi="Arial" w:cs="Arial"/>
        </w:rPr>
        <w:t>PzM</w:t>
      </w:r>
      <w:proofErr w:type="spellEnd"/>
      <w:r w:rsidRPr="000467A2">
        <w:rPr>
          <w:rFonts w:ascii="Arial" w:eastAsia="Calibri" w:hAnsi="Arial" w:cs="Arial"/>
        </w:rPr>
        <w:t xml:space="preserve"> SOFA urejajo Nato SOFA/</w:t>
      </w:r>
      <w:proofErr w:type="spellStart"/>
      <w:r w:rsidRPr="000467A2">
        <w:rPr>
          <w:rFonts w:ascii="Arial" w:eastAsia="Calibri" w:hAnsi="Arial" w:cs="Arial"/>
        </w:rPr>
        <w:t>PzM</w:t>
      </w:r>
      <w:proofErr w:type="spellEnd"/>
      <w:r w:rsidRPr="000467A2">
        <w:rPr>
          <w:rFonts w:ascii="Arial" w:eastAsia="Calibri" w:hAnsi="Arial" w:cs="Arial"/>
        </w:rPr>
        <w:t xml:space="preserve"> SOFA in drugi veljavni dogovori.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ind w:left="993" w:hanging="633"/>
        <w:contextualSpacing/>
        <w:jc w:val="both"/>
        <w:rPr>
          <w:rFonts w:ascii="Arial" w:eastAsia="Calibri" w:hAnsi="Arial" w:cs="Arial"/>
        </w:rPr>
      </w:pPr>
      <w:r w:rsidRPr="000467A2">
        <w:rPr>
          <w:rFonts w:ascii="Arial" w:eastAsia="Calibri" w:hAnsi="Arial" w:cs="Arial"/>
        </w:rPr>
        <w:t>Status osebja zunaj področja uporabe Nato SOFA/</w:t>
      </w:r>
      <w:proofErr w:type="spellStart"/>
      <w:r w:rsidRPr="000467A2">
        <w:rPr>
          <w:rFonts w:ascii="Arial" w:eastAsia="Calibri" w:hAnsi="Arial" w:cs="Arial"/>
        </w:rPr>
        <w:t>PzM</w:t>
      </w:r>
      <w:proofErr w:type="spellEnd"/>
      <w:r w:rsidRPr="000467A2">
        <w:rPr>
          <w:rFonts w:ascii="Arial" w:eastAsia="Calibri" w:hAnsi="Arial" w:cs="Arial"/>
        </w:rPr>
        <w:t xml:space="preserve"> SOFA se lahko obravnava v ločenem sporazumu SOFA.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ind w:left="993" w:hanging="633"/>
        <w:contextualSpacing/>
        <w:jc w:val="both"/>
        <w:rPr>
          <w:rFonts w:ascii="Arial" w:eastAsia="Calibri" w:hAnsi="Arial" w:cs="Arial"/>
        </w:rPr>
      </w:pPr>
      <w:r w:rsidRPr="000467A2">
        <w:rPr>
          <w:rFonts w:ascii="Arial" w:eastAsia="Calibri" w:hAnsi="Arial" w:cs="Arial"/>
        </w:rPr>
        <w:t xml:space="preserve">Udeleženci niso pristojni za disciplinske ukrepe proti osebju drugega udeleženca.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ind w:left="993" w:hanging="633"/>
        <w:contextualSpacing/>
        <w:jc w:val="both"/>
        <w:rPr>
          <w:rFonts w:ascii="Arial" w:eastAsia="Calibri" w:hAnsi="Arial" w:cs="Arial"/>
        </w:rPr>
      </w:pPr>
      <w:r w:rsidRPr="000467A2">
        <w:rPr>
          <w:rFonts w:ascii="Arial" w:eastAsia="Calibri" w:hAnsi="Arial" w:cs="Arial"/>
        </w:rPr>
        <w:t xml:space="preserve">Udeleženci na zahtevo in v obsegu, ki ga dovoljujejo njihovi nacionalni zakoni, pomagajo ostalim udeležencem pri administrativnih ali disciplinskih zadevah.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8" w:name="_Toc11253416"/>
      <w:r w:rsidRPr="000467A2">
        <w:rPr>
          <w:rFonts w:ascii="Arial" w:eastAsia="Times New Roman" w:hAnsi="Arial" w:cs="Arial"/>
          <w:b/>
        </w:rPr>
        <w:t>Terjatve in obveznosti</w:t>
      </w:r>
      <w:bookmarkEnd w:id="8"/>
    </w:p>
    <w:p w:rsidR="000467A2" w:rsidRPr="000467A2" w:rsidRDefault="000467A2" w:rsidP="000467A2">
      <w:pPr>
        <w:numPr>
          <w:ilvl w:val="1"/>
          <w:numId w:val="3"/>
        </w:numPr>
        <w:tabs>
          <w:tab w:val="left" w:pos="993"/>
        </w:tabs>
        <w:spacing w:before="240" w:after="200" w:line="276" w:lineRule="auto"/>
        <w:contextualSpacing/>
        <w:jc w:val="both"/>
        <w:rPr>
          <w:rFonts w:ascii="Arial" w:eastAsia="Calibri" w:hAnsi="Arial" w:cs="Arial"/>
        </w:rPr>
      </w:pPr>
      <w:r w:rsidRPr="000467A2">
        <w:rPr>
          <w:rFonts w:ascii="Arial" w:eastAsia="Calibri" w:hAnsi="Arial" w:cs="Arial"/>
        </w:rPr>
        <w:t xml:space="preserve">Terjatve se obravnavajo v skladu z VIII. členom Nato SOFA.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tabs>
          <w:tab w:val="left" w:pos="993"/>
        </w:tabs>
        <w:spacing w:before="240" w:after="200" w:line="276" w:lineRule="auto"/>
        <w:ind w:left="993" w:hanging="633"/>
        <w:contextualSpacing/>
        <w:jc w:val="both"/>
        <w:rPr>
          <w:rFonts w:ascii="Arial" w:eastAsia="Calibri" w:hAnsi="Arial" w:cs="Arial"/>
        </w:rPr>
      </w:pPr>
      <w:r w:rsidRPr="000467A2">
        <w:rPr>
          <w:rFonts w:ascii="Arial" w:eastAsia="Calibri" w:hAnsi="Arial" w:cs="Arial"/>
        </w:rPr>
        <w:lastRenderedPageBreak/>
        <w:t xml:space="preserve">Terjatve, ki niso zajete v VIII. členu Nato SOFA, se obravnavajo za vsak primer posebej v skladu s pravili in predpisi, ki se uporabljajo za obravnavano zadevo.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9" w:name="_Toc11253417"/>
      <w:r w:rsidRPr="000467A2">
        <w:rPr>
          <w:rFonts w:ascii="Arial" w:eastAsia="Times New Roman" w:hAnsi="Arial" w:cs="Arial"/>
          <w:b/>
        </w:rPr>
        <w:t>Varnost tajnih podatkov in gradiva</w:t>
      </w:r>
      <w:bookmarkEnd w:id="9"/>
    </w:p>
    <w:p w:rsidR="000467A2" w:rsidRPr="000467A2" w:rsidRDefault="000467A2" w:rsidP="000467A2">
      <w:pPr>
        <w:spacing w:before="240" w:after="0" w:line="276" w:lineRule="auto"/>
        <w:jc w:val="both"/>
        <w:rPr>
          <w:rFonts w:ascii="Arial" w:eastAsia="Calibri" w:hAnsi="Arial" w:cs="Arial"/>
        </w:rPr>
      </w:pPr>
      <w:r w:rsidRPr="000467A2">
        <w:rPr>
          <w:rFonts w:ascii="Arial" w:eastAsia="Calibri" w:hAnsi="Arial" w:cs="Arial"/>
        </w:rPr>
        <w:t xml:space="preserve">Tajni podatki ali gradivo, izmenjano ali ustvarjeno v povezavi s tem memorandumom o soglasju, se uporablja, prenaša, hrani ali obravnava in varuje v skladu z veljavnimi nacionalnimi varnostnimi zakoni in predpisi udeležencev in/ali </w:t>
      </w:r>
      <w:proofErr w:type="spellStart"/>
      <w:r w:rsidRPr="000467A2">
        <w:rPr>
          <w:rFonts w:ascii="Arial" w:eastAsia="Calibri" w:hAnsi="Arial" w:cs="Arial"/>
        </w:rPr>
        <w:t>dvo</w:t>
      </w:r>
      <w:proofErr w:type="spellEnd"/>
      <w:r w:rsidRPr="000467A2">
        <w:rPr>
          <w:rFonts w:ascii="Arial" w:eastAsia="Calibri" w:hAnsi="Arial" w:cs="Arial"/>
        </w:rPr>
        <w:t xml:space="preserve">- ali večstranskimi sporazumi, in sicer do mere, ko zagotavljajo stopnjo zaščite, ki ni manjša od stopnje, predpisane v dokumentu »Varnost v Organizaciji Severnoatlantske pogodbe« z dne 17. junija 2002 C-M(2002)49, vključno z vsemi dodatki in spremembami. </w:t>
      </w:r>
    </w:p>
    <w:p w:rsidR="000467A2" w:rsidRPr="000467A2" w:rsidRDefault="000467A2" w:rsidP="000467A2">
      <w:pPr>
        <w:spacing w:before="240" w:after="0" w:line="276" w:lineRule="auto"/>
        <w:jc w:val="both"/>
        <w:rPr>
          <w:rFonts w:ascii="Arial" w:eastAsia="Calibri" w:hAnsi="Arial" w:cs="Arial"/>
          <w:highlight w:val="yellow"/>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r w:rsidRPr="000467A2">
        <w:rPr>
          <w:rFonts w:ascii="Arial" w:eastAsia="Times New Roman" w:hAnsi="Arial" w:cs="Arial"/>
          <w:b/>
        </w:rPr>
        <w:t xml:space="preserve">Sprejem novih udeležencev </w:t>
      </w:r>
    </w:p>
    <w:p w:rsidR="000467A2" w:rsidRPr="000467A2" w:rsidRDefault="000467A2" w:rsidP="000467A2">
      <w:pPr>
        <w:numPr>
          <w:ilvl w:val="1"/>
          <w:numId w:val="3"/>
        </w:numPr>
        <w:tabs>
          <w:tab w:val="left" w:pos="993"/>
        </w:tabs>
        <w:spacing w:before="240" w:after="200" w:line="276" w:lineRule="auto"/>
        <w:ind w:left="993" w:hanging="633"/>
        <w:contextualSpacing/>
        <w:jc w:val="both"/>
        <w:rPr>
          <w:rFonts w:ascii="Arial" w:eastAsia="Calibri" w:hAnsi="Arial" w:cs="Arial"/>
        </w:rPr>
      </w:pPr>
      <w:r w:rsidRPr="000467A2">
        <w:rPr>
          <w:rFonts w:ascii="Arial" w:eastAsia="Calibri" w:hAnsi="Arial" w:cs="Arial"/>
        </w:rPr>
        <w:t>Ta memorandum o soglasju je odprt za sodelovanje vsake države članice Nata ali EU oziroma partnerske države Nata.</w:t>
      </w:r>
    </w:p>
    <w:p w:rsidR="000467A2" w:rsidRPr="000467A2" w:rsidRDefault="000467A2" w:rsidP="000467A2">
      <w:pPr>
        <w:tabs>
          <w:tab w:val="left" w:pos="993"/>
        </w:tabs>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tabs>
          <w:tab w:val="left" w:pos="993"/>
        </w:tabs>
        <w:spacing w:before="240" w:after="200" w:line="276" w:lineRule="auto"/>
        <w:ind w:left="993" w:hanging="633"/>
        <w:contextualSpacing/>
        <w:jc w:val="both"/>
        <w:rPr>
          <w:rFonts w:ascii="Arial" w:eastAsia="Calibri" w:hAnsi="Arial" w:cs="Arial"/>
        </w:rPr>
      </w:pPr>
      <w:r w:rsidRPr="000467A2">
        <w:rPr>
          <w:rFonts w:ascii="Arial" w:eastAsia="Calibri" w:hAnsi="Arial" w:cs="Arial"/>
        </w:rPr>
        <w:t>Za vsak sprejem novega udeleženca je potrebno soglasje vseh udeležencev, ki se obdela prek note o pristopu, kakor je določeno v Prilogi B.</w:t>
      </w:r>
    </w:p>
    <w:p w:rsidR="000467A2" w:rsidRPr="000467A2" w:rsidRDefault="000467A2" w:rsidP="000467A2">
      <w:pPr>
        <w:spacing w:before="240" w:after="200" w:line="276" w:lineRule="auto"/>
        <w:ind w:left="720" w:hanging="357"/>
        <w:contextualSpacing/>
        <w:jc w:val="both"/>
        <w:rPr>
          <w:rFonts w:ascii="Arial" w:eastAsia="Calibri" w:hAnsi="Arial" w:cs="Arial"/>
        </w:rPr>
      </w:pP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10" w:name="_Toc11253418"/>
      <w:r w:rsidRPr="000467A2">
        <w:rPr>
          <w:rFonts w:ascii="Arial" w:eastAsia="Times New Roman" w:hAnsi="Arial" w:cs="Arial"/>
          <w:b/>
        </w:rPr>
        <w:t>Razno</w:t>
      </w:r>
      <w:bookmarkEnd w:id="10"/>
    </w:p>
    <w:p w:rsidR="000467A2" w:rsidRPr="000467A2" w:rsidRDefault="000467A2" w:rsidP="000467A2">
      <w:pPr>
        <w:spacing w:before="240" w:after="200" w:line="276" w:lineRule="auto"/>
        <w:contextualSpacing/>
        <w:jc w:val="both"/>
        <w:rPr>
          <w:rFonts w:ascii="Arial" w:eastAsia="Calibri" w:hAnsi="Arial" w:cs="Arial"/>
        </w:rPr>
      </w:pPr>
      <w:r w:rsidRPr="000467A2">
        <w:rPr>
          <w:rFonts w:ascii="Arial" w:eastAsia="Calibri" w:hAnsi="Arial" w:cs="Arial"/>
        </w:rPr>
        <w:t xml:space="preserve">Udeleženci lahko izvajajo ta memorandum o soglasju prek dogovorov o podrobnostih regionalnega poveljstva komponente za specialno delovanje in o drugih zadevah, kot je potrebno.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11" w:name="_Toc11253419"/>
      <w:r w:rsidRPr="000467A2">
        <w:rPr>
          <w:rFonts w:ascii="Arial" w:eastAsia="Times New Roman" w:hAnsi="Arial" w:cs="Arial"/>
          <w:b/>
        </w:rPr>
        <w:t>Reševanje sporov</w:t>
      </w:r>
      <w:bookmarkEnd w:id="11"/>
    </w:p>
    <w:p w:rsidR="000467A2" w:rsidRPr="000467A2" w:rsidRDefault="000467A2" w:rsidP="000467A2">
      <w:pPr>
        <w:spacing w:before="240" w:after="0" w:line="276" w:lineRule="auto"/>
        <w:jc w:val="both"/>
        <w:rPr>
          <w:rFonts w:ascii="Arial" w:eastAsia="Calibri" w:hAnsi="Arial" w:cs="Arial"/>
        </w:rPr>
      </w:pPr>
      <w:r w:rsidRPr="000467A2">
        <w:rPr>
          <w:rFonts w:ascii="Arial" w:eastAsia="Calibri" w:hAnsi="Arial" w:cs="Arial"/>
        </w:rPr>
        <w:t xml:space="preserve">Udeleženci si prizadevajo, da vse medsebojne spore, ki izhajajo iz tega memoranduma o soglasju ali v zvezi z njim, rešujejo z medsebojnim posvetovanjem. </w:t>
      </w:r>
    </w:p>
    <w:p w:rsidR="000467A2" w:rsidRPr="000467A2" w:rsidRDefault="000467A2" w:rsidP="000467A2">
      <w:pPr>
        <w:spacing w:before="240" w:after="0" w:line="276" w:lineRule="auto"/>
        <w:jc w:val="both"/>
        <w:rPr>
          <w:rFonts w:ascii="Arial" w:eastAsia="Calibri" w:hAnsi="Arial" w:cs="Arial"/>
          <w:highlight w:val="yellow"/>
        </w:rPr>
      </w:pPr>
    </w:p>
    <w:p w:rsidR="000467A2" w:rsidRPr="000467A2" w:rsidRDefault="000467A2" w:rsidP="000467A2">
      <w:pPr>
        <w:keepNext/>
        <w:keepLines/>
        <w:numPr>
          <w:ilvl w:val="0"/>
          <w:numId w:val="3"/>
        </w:numPr>
        <w:spacing w:before="240" w:after="240" w:line="276" w:lineRule="auto"/>
        <w:jc w:val="both"/>
        <w:outlineLvl w:val="0"/>
        <w:rPr>
          <w:rFonts w:ascii="Arial" w:eastAsia="Times New Roman" w:hAnsi="Arial" w:cs="Arial"/>
          <w:b/>
        </w:rPr>
      </w:pPr>
      <w:bookmarkStart w:id="12" w:name="_Toc11253420"/>
      <w:r w:rsidRPr="000467A2">
        <w:rPr>
          <w:rFonts w:ascii="Arial" w:eastAsia="Times New Roman" w:hAnsi="Arial" w:cs="Arial"/>
          <w:b/>
        </w:rPr>
        <w:t>Končne določbe</w:t>
      </w:r>
      <w:bookmarkEnd w:id="12"/>
    </w:p>
    <w:p w:rsidR="000467A2" w:rsidRPr="000467A2" w:rsidRDefault="000467A2" w:rsidP="000467A2">
      <w:pPr>
        <w:numPr>
          <w:ilvl w:val="1"/>
          <w:numId w:val="3"/>
        </w:numPr>
        <w:tabs>
          <w:tab w:val="left" w:pos="993"/>
        </w:tabs>
        <w:spacing w:before="240" w:after="200" w:line="276" w:lineRule="auto"/>
        <w:ind w:left="993" w:hanging="633"/>
        <w:contextualSpacing/>
        <w:jc w:val="both"/>
        <w:rPr>
          <w:rFonts w:ascii="Arial" w:eastAsia="Calibri" w:hAnsi="Arial" w:cs="Arial"/>
        </w:rPr>
      </w:pPr>
      <w:r w:rsidRPr="000467A2">
        <w:rPr>
          <w:rFonts w:ascii="Arial" w:eastAsia="Calibri" w:hAnsi="Arial" w:cs="Arial"/>
        </w:rPr>
        <w:t xml:space="preserve">Ta memorandum o soglasju začne veljati ob podpisu nosilne države in dveh drugih udeležencev. Za preostale udeležence začne veljati z dnem njihovega podpisa.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tabs>
          <w:tab w:val="left" w:pos="993"/>
        </w:tabs>
        <w:spacing w:before="240" w:after="200" w:line="276" w:lineRule="auto"/>
        <w:ind w:left="993" w:hanging="633"/>
        <w:contextualSpacing/>
        <w:jc w:val="both"/>
        <w:rPr>
          <w:rFonts w:ascii="Arial" w:eastAsia="Calibri" w:hAnsi="Arial" w:cs="Arial"/>
        </w:rPr>
      </w:pPr>
      <w:r w:rsidRPr="000467A2">
        <w:rPr>
          <w:rFonts w:ascii="Arial" w:eastAsia="Calibri" w:hAnsi="Arial" w:cs="Arial"/>
        </w:rPr>
        <w:t xml:space="preserve">Ta memorandum o soglasju se lahko spremeni le s pisnim soglasjem vseh udeležencev. Spremembe začnejo veljati z dnem zadnjega podpisa. </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tabs>
          <w:tab w:val="left" w:pos="993"/>
        </w:tabs>
        <w:spacing w:before="240" w:after="200" w:line="276" w:lineRule="auto"/>
        <w:ind w:left="993" w:hanging="633"/>
        <w:contextualSpacing/>
        <w:jc w:val="both"/>
        <w:rPr>
          <w:rFonts w:ascii="Arial" w:eastAsia="Calibri" w:hAnsi="Arial" w:cs="Arial"/>
        </w:rPr>
      </w:pPr>
      <w:r w:rsidRPr="000467A2">
        <w:rPr>
          <w:rFonts w:ascii="Arial" w:eastAsia="Calibri" w:hAnsi="Arial" w:cs="Arial"/>
        </w:rPr>
        <w:t>Kateri koli udeleženec lahko odstopi od tega memoranduma o soglasju na podlagi pisnega obvestila, ki ga dvanajst mesecev vnaprej posreduje ostalim udeležencem. Udeleženec poravna vse nerešene zadeve, preden odstopi od Memoranduma o soglasju.</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numPr>
          <w:ilvl w:val="1"/>
          <w:numId w:val="3"/>
        </w:numPr>
        <w:spacing w:before="240" w:after="200" w:line="276" w:lineRule="auto"/>
        <w:ind w:left="993" w:hanging="633"/>
        <w:contextualSpacing/>
        <w:jc w:val="both"/>
        <w:rPr>
          <w:rFonts w:ascii="Arial" w:eastAsia="Calibri" w:hAnsi="Arial" w:cs="Arial"/>
        </w:rPr>
      </w:pPr>
      <w:r w:rsidRPr="000467A2">
        <w:rPr>
          <w:rFonts w:ascii="Arial" w:eastAsia="Calibri" w:hAnsi="Arial" w:cs="Arial"/>
        </w:rPr>
        <w:t>Ta memorandum o soglasju velja, dokler ga udeleženci ne odpovejo s pisnim soglasjem. Vse neporavnane zadeve se poravnajo, preden odpoved začne veljati.</w:t>
      </w:r>
    </w:p>
    <w:p w:rsidR="000467A2" w:rsidRPr="000467A2" w:rsidRDefault="000467A2" w:rsidP="000467A2">
      <w:pPr>
        <w:spacing w:before="240" w:after="200" w:line="276" w:lineRule="auto"/>
        <w:ind w:left="792"/>
        <w:contextualSpacing/>
        <w:jc w:val="both"/>
        <w:rPr>
          <w:rFonts w:ascii="Arial" w:eastAsia="Calibri" w:hAnsi="Arial" w:cs="Arial"/>
        </w:rPr>
      </w:pPr>
    </w:p>
    <w:p w:rsidR="000467A2" w:rsidRPr="000467A2" w:rsidRDefault="000467A2" w:rsidP="000467A2">
      <w:pPr>
        <w:spacing w:after="200" w:line="276" w:lineRule="auto"/>
        <w:jc w:val="both"/>
        <w:rPr>
          <w:rFonts w:ascii="Arial" w:eastAsia="Calibri" w:hAnsi="Arial" w:cs="Arial"/>
        </w:rPr>
      </w:pPr>
      <w:r w:rsidRPr="000467A2">
        <w:rPr>
          <w:rFonts w:ascii="Arial" w:eastAsia="Calibri" w:hAnsi="Arial" w:cs="Arial"/>
        </w:rPr>
        <w:t>Ta memorandum o soglasju je podpisan v enem (1) izvirniku v angleškem jeziku. Nosilna država hrani izvirnik, ostalim udeležencem pa zagotovi overjene kopije.</w:t>
      </w:r>
    </w:p>
    <w:p w:rsidR="000467A2" w:rsidRPr="000467A2" w:rsidRDefault="000467A2" w:rsidP="000467A2">
      <w:pPr>
        <w:spacing w:before="240" w:after="200" w:line="276" w:lineRule="auto"/>
        <w:ind w:left="720" w:hanging="720"/>
        <w:jc w:val="both"/>
        <w:rPr>
          <w:rFonts w:ascii="Arial" w:eastAsia="Calibri" w:hAnsi="Arial" w:cs="Arial"/>
        </w:rPr>
      </w:pPr>
      <w:r w:rsidRPr="000467A2">
        <w:rPr>
          <w:rFonts w:ascii="Arial" w:eastAsia="Calibri" w:hAnsi="Arial" w:cs="Arial"/>
        </w:rPr>
        <w:t xml:space="preserve">             </w:t>
      </w:r>
    </w:p>
    <w:p w:rsidR="000467A2" w:rsidRDefault="000467A2">
      <w:pPr>
        <w:spacing w:after="200" w:line="276" w:lineRule="auto"/>
        <w:rPr>
          <w:rFonts w:ascii="Arial" w:eastAsia="Calibri" w:hAnsi="Arial" w:cs="Arial"/>
        </w:rPr>
      </w:pPr>
      <w:r>
        <w:rPr>
          <w:rFonts w:ascii="Arial" w:eastAsia="Calibri" w:hAnsi="Arial" w:cs="Arial"/>
        </w:rPr>
        <w:br w:type="page"/>
      </w:r>
    </w:p>
    <w:p w:rsidR="000467A2" w:rsidRPr="000467A2" w:rsidRDefault="000467A2" w:rsidP="000467A2">
      <w:pPr>
        <w:spacing w:before="240" w:after="0" w:line="276" w:lineRule="auto"/>
        <w:jc w:val="both"/>
        <w:rPr>
          <w:rFonts w:ascii="Arial" w:eastAsia="Calibri" w:hAnsi="Arial" w:cs="Arial"/>
        </w:rPr>
      </w:pPr>
    </w:p>
    <w:p w:rsidR="000467A2" w:rsidRPr="000467A2" w:rsidRDefault="000467A2" w:rsidP="000467A2">
      <w:pPr>
        <w:spacing w:before="240" w:after="0" w:line="276" w:lineRule="auto"/>
        <w:jc w:val="both"/>
        <w:rPr>
          <w:rFonts w:ascii="Arial" w:eastAsia="Calibri" w:hAnsi="Arial" w:cs="Arial"/>
        </w:rPr>
      </w:pPr>
      <w:r>
        <w:rPr>
          <w:rFonts w:ascii="Arial" w:eastAsia="Calibri" w:hAnsi="Arial" w:cs="Arial"/>
        </w:rPr>
        <w:t xml:space="preserve">Damir </w:t>
      </w:r>
      <w:proofErr w:type="spellStart"/>
      <w:r>
        <w:rPr>
          <w:rFonts w:ascii="Arial" w:eastAsia="Calibri" w:hAnsi="Arial" w:cs="Arial"/>
        </w:rPr>
        <w:t>Krstičević</w:t>
      </w:r>
      <w:proofErr w:type="spellEnd"/>
      <w:r>
        <w:rPr>
          <w:rFonts w:ascii="Arial" w:eastAsia="Calibri" w:hAnsi="Arial" w:cs="Arial"/>
        </w:rPr>
        <w:t xml:space="preserve"> </w:t>
      </w:r>
      <w:proofErr w:type="spellStart"/>
      <w:r>
        <w:rPr>
          <w:rFonts w:ascii="Arial" w:eastAsia="Calibri" w:hAnsi="Arial" w:cs="Arial"/>
        </w:rPr>
        <w:t>l.r</w:t>
      </w:r>
      <w:proofErr w:type="spellEnd"/>
      <w:r>
        <w:rPr>
          <w:rFonts w:ascii="Arial" w:eastAsia="Calibri" w:hAnsi="Arial" w:cs="Arial"/>
        </w:rPr>
        <w:t>.</w:t>
      </w:r>
    </w:p>
    <w:p w:rsidR="000467A2" w:rsidRPr="000467A2" w:rsidRDefault="000467A2" w:rsidP="000467A2">
      <w:pPr>
        <w:spacing w:before="240" w:after="0" w:line="276" w:lineRule="auto"/>
        <w:jc w:val="both"/>
        <w:rPr>
          <w:rFonts w:ascii="Arial" w:eastAsia="Calibri" w:hAnsi="Arial" w:cs="Arial"/>
        </w:rPr>
      </w:pPr>
      <w:r w:rsidRPr="000467A2">
        <w:rPr>
          <w:rFonts w:ascii="Arial" w:eastAsia="Calibri" w:hAnsi="Arial" w:cs="Arial"/>
        </w:rPr>
        <w:t xml:space="preserve">Podpredsednik vlade in minister za obrambo Republike Hrvaške </w:t>
      </w:r>
    </w:p>
    <w:p w:rsidR="000467A2" w:rsidRPr="000467A2" w:rsidRDefault="000467A2" w:rsidP="000467A2">
      <w:pPr>
        <w:spacing w:before="240" w:after="0" w:line="276" w:lineRule="auto"/>
        <w:jc w:val="both"/>
        <w:rPr>
          <w:rFonts w:ascii="Arial" w:eastAsia="Calibri" w:hAnsi="Arial" w:cs="Arial"/>
        </w:rPr>
      </w:pPr>
    </w:p>
    <w:p w:rsidR="000467A2" w:rsidRDefault="000467A2" w:rsidP="000467A2">
      <w:pPr>
        <w:spacing w:before="240" w:after="0" w:line="276" w:lineRule="auto"/>
        <w:jc w:val="both"/>
        <w:rPr>
          <w:rFonts w:ascii="Arial" w:eastAsia="Calibri" w:hAnsi="Arial" w:cs="Arial"/>
        </w:rPr>
      </w:pPr>
      <w:r>
        <w:rPr>
          <w:rFonts w:ascii="Arial" w:eastAsia="Calibri" w:hAnsi="Arial" w:cs="Arial"/>
        </w:rPr>
        <w:t xml:space="preserve">Tibor </w:t>
      </w:r>
      <w:proofErr w:type="spellStart"/>
      <w:r>
        <w:rPr>
          <w:rFonts w:ascii="Arial" w:eastAsia="Calibri" w:hAnsi="Arial" w:cs="Arial"/>
        </w:rPr>
        <w:t>Benk</w:t>
      </w:r>
      <w:r w:rsidR="0088543F">
        <w:rPr>
          <w:rFonts w:ascii="Arial" w:eastAsia="Calibri" w:hAnsi="Arial" w:cs="Arial"/>
        </w:rPr>
        <w:t>ő</w:t>
      </w:r>
      <w:proofErr w:type="spellEnd"/>
      <w:r w:rsidR="009E33BD">
        <w:rPr>
          <w:rFonts w:ascii="Arial" w:eastAsia="Calibri" w:hAnsi="Arial" w:cs="Arial"/>
        </w:rPr>
        <w:t xml:space="preserve"> </w:t>
      </w:r>
      <w:proofErr w:type="spellStart"/>
      <w:r w:rsidR="009E33BD">
        <w:rPr>
          <w:rFonts w:ascii="Arial" w:eastAsia="Calibri" w:hAnsi="Arial" w:cs="Arial"/>
        </w:rPr>
        <w:t>l.r</w:t>
      </w:r>
      <w:proofErr w:type="spellEnd"/>
      <w:r w:rsidR="009E33BD">
        <w:rPr>
          <w:rFonts w:ascii="Arial" w:eastAsia="Calibri" w:hAnsi="Arial" w:cs="Arial"/>
        </w:rPr>
        <w:t>.</w:t>
      </w:r>
    </w:p>
    <w:p w:rsidR="000467A2" w:rsidRPr="000467A2" w:rsidRDefault="000467A2" w:rsidP="000467A2">
      <w:pPr>
        <w:spacing w:before="240" w:after="0" w:line="276" w:lineRule="auto"/>
        <w:jc w:val="both"/>
        <w:rPr>
          <w:rFonts w:ascii="Arial" w:eastAsia="Calibri" w:hAnsi="Arial" w:cs="Arial"/>
        </w:rPr>
      </w:pPr>
      <w:r w:rsidRPr="000467A2">
        <w:rPr>
          <w:rFonts w:ascii="Arial" w:eastAsia="Calibri" w:hAnsi="Arial" w:cs="Arial"/>
        </w:rPr>
        <w:t>Minister za obrambo Madžarske</w:t>
      </w:r>
    </w:p>
    <w:p w:rsidR="000467A2" w:rsidRPr="000467A2" w:rsidRDefault="000467A2" w:rsidP="000467A2">
      <w:pPr>
        <w:spacing w:before="240" w:after="0" w:line="276" w:lineRule="auto"/>
        <w:jc w:val="both"/>
        <w:rPr>
          <w:rFonts w:ascii="Arial" w:eastAsia="Calibri" w:hAnsi="Arial" w:cs="Arial"/>
        </w:rPr>
      </w:pPr>
    </w:p>
    <w:p w:rsidR="000467A2" w:rsidRPr="000467A2" w:rsidRDefault="000467A2" w:rsidP="000467A2">
      <w:pPr>
        <w:spacing w:before="240" w:after="0" w:line="276" w:lineRule="auto"/>
        <w:jc w:val="both"/>
        <w:rPr>
          <w:rFonts w:ascii="Arial" w:eastAsia="Calibri" w:hAnsi="Arial" w:cs="Arial"/>
        </w:rPr>
      </w:pPr>
      <w:r>
        <w:rPr>
          <w:rFonts w:ascii="Arial" w:eastAsia="Calibri" w:hAnsi="Arial" w:cs="Arial"/>
        </w:rPr>
        <w:t xml:space="preserve">Peter </w:t>
      </w:r>
      <w:proofErr w:type="spellStart"/>
      <w:r>
        <w:rPr>
          <w:rFonts w:ascii="Arial" w:eastAsia="Calibri" w:hAnsi="Arial" w:cs="Arial"/>
        </w:rPr>
        <w:t>Gajdoš</w:t>
      </w:r>
      <w:proofErr w:type="spellEnd"/>
      <w:r>
        <w:rPr>
          <w:rFonts w:ascii="Arial" w:eastAsia="Calibri" w:hAnsi="Arial" w:cs="Arial"/>
        </w:rPr>
        <w:t xml:space="preserve"> </w:t>
      </w:r>
      <w:proofErr w:type="spellStart"/>
      <w:r>
        <w:rPr>
          <w:rFonts w:ascii="Arial" w:eastAsia="Calibri" w:hAnsi="Arial" w:cs="Arial"/>
        </w:rPr>
        <w:t>l.r</w:t>
      </w:r>
      <w:proofErr w:type="spellEnd"/>
      <w:r>
        <w:rPr>
          <w:rFonts w:ascii="Arial" w:eastAsia="Calibri" w:hAnsi="Arial" w:cs="Arial"/>
        </w:rPr>
        <w:t>.</w:t>
      </w:r>
    </w:p>
    <w:p w:rsidR="000467A2" w:rsidRPr="000467A2" w:rsidRDefault="000467A2" w:rsidP="000467A2">
      <w:pPr>
        <w:spacing w:before="240" w:after="0" w:line="276" w:lineRule="auto"/>
        <w:jc w:val="both"/>
        <w:rPr>
          <w:rFonts w:ascii="Arial" w:eastAsia="Calibri" w:hAnsi="Arial" w:cs="Arial"/>
        </w:rPr>
      </w:pPr>
      <w:r w:rsidRPr="000467A2">
        <w:rPr>
          <w:rFonts w:ascii="Arial" w:eastAsia="Calibri" w:hAnsi="Arial" w:cs="Arial"/>
        </w:rPr>
        <w:t xml:space="preserve">Ministrstvo za obrambo Slovaške republike </w:t>
      </w:r>
    </w:p>
    <w:p w:rsidR="000467A2" w:rsidRPr="000467A2" w:rsidRDefault="000467A2" w:rsidP="000467A2">
      <w:pPr>
        <w:spacing w:before="240" w:after="0" w:line="276" w:lineRule="auto"/>
        <w:jc w:val="both"/>
        <w:rPr>
          <w:rFonts w:ascii="Arial" w:eastAsia="Calibri" w:hAnsi="Arial" w:cs="Arial"/>
        </w:rPr>
      </w:pPr>
    </w:p>
    <w:p w:rsidR="000467A2" w:rsidRPr="000467A2" w:rsidRDefault="000467A2" w:rsidP="000467A2">
      <w:pPr>
        <w:spacing w:before="240" w:after="0" w:line="276" w:lineRule="auto"/>
        <w:jc w:val="both"/>
        <w:rPr>
          <w:rFonts w:ascii="Arial" w:eastAsia="Calibri" w:hAnsi="Arial" w:cs="Arial"/>
        </w:rPr>
      </w:pPr>
      <w:r>
        <w:rPr>
          <w:rFonts w:ascii="Arial" w:eastAsia="Calibri" w:hAnsi="Arial" w:cs="Arial"/>
        </w:rPr>
        <w:t xml:space="preserve">Karl Viktor Erjavec </w:t>
      </w:r>
      <w:proofErr w:type="spellStart"/>
      <w:r>
        <w:rPr>
          <w:rFonts w:ascii="Arial" w:eastAsia="Calibri" w:hAnsi="Arial" w:cs="Arial"/>
        </w:rPr>
        <w:t>l.r</w:t>
      </w:r>
      <w:proofErr w:type="spellEnd"/>
      <w:r>
        <w:rPr>
          <w:rFonts w:ascii="Arial" w:eastAsia="Calibri" w:hAnsi="Arial" w:cs="Arial"/>
        </w:rPr>
        <w:t>.</w:t>
      </w:r>
    </w:p>
    <w:p w:rsidR="000467A2" w:rsidRPr="000467A2" w:rsidRDefault="000467A2" w:rsidP="000467A2">
      <w:pPr>
        <w:spacing w:before="240" w:after="0" w:line="276" w:lineRule="auto"/>
        <w:jc w:val="both"/>
        <w:rPr>
          <w:rFonts w:ascii="Arial" w:eastAsia="Calibri" w:hAnsi="Arial" w:cs="Arial"/>
        </w:rPr>
      </w:pPr>
      <w:r w:rsidRPr="000467A2">
        <w:rPr>
          <w:rFonts w:ascii="Arial" w:eastAsia="Calibri" w:hAnsi="Arial" w:cs="Arial"/>
        </w:rPr>
        <w:t xml:space="preserve">Podpredsednik vlade in minister za obrambo Republike Slovenije </w:t>
      </w:r>
    </w:p>
    <w:p w:rsidR="000467A2" w:rsidRPr="000467A2" w:rsidRDefault="000467A2" w:rsidP="000467A2">
      <w:pPr>
        <w:spacing w:before="240" w:after="0" w:line="276" w:lineRule="auto"/>
        <w:jc w:val="both"/>
        <w:rPr>
          <w:rFonts w:ascii="Arial" w:eastAsia="Calibri" w:hAnsi="Arial" w:cs="Arial"/>
        </w:rPr>
      </w:pPr>
    </w:p>
    <w:p w:rsidR="000467A2" w:rsidRDefault="000467A2" w:rsidP="000467A2">
      <w:pPr>
        <w:spacing w:before="240" w:after="200" w:line="276" w:lineRule="auto"/>
        <w:ind w:left="720" w:hanging="720"/>
        <w:jc w:val="both"/>
        <w:rPr>
          <w:rFonts w:ascii="Arial" w:eastAsia="Calibri" w:hAnsi="Arial" w:cs="Arial"/>
        </w:rPr>
      </w:pPr>
      <w:r>
        <w:rPr>
          <w:rFonts w:ascii="Arial" w:eastAsia="Calibri" w:hAnsi="Arial" w:cs="Arial"/>
        </w:rPr>
        <w:t>Kraj:</w:t>
      </w:r>
      <w:r w:rsidRPr="000467A2">
        <w:rPr>
          <w:rFonts w:ascii="Arial" w:eastAsia="Calibri" w:hAnsi="Arial" w:cs="Arial"/>
        </w:rPr>
        <w:t xml:space="preserve"> </w:t>
      </w:r>
      <w:r>
        <w:rPr>
          <w:rFonts w:ascii="Arial" w:eastAsia="Calibri" w:hAnsi="Arial" w:cs="Arial"/>
        </w:rPr>
        <w:t>Bruselj</w:t>
      </w:r>
    </w:p>
    <w:p w:rsidR="000467A2" w:rsidRPr="000467A2" w:rsidRDefault="000467A2" w:rsidP="000467A2">
      <w:pPr>
        <w:spacing w:before="240" w:after="200" w:line="276" w:lineRule="auto"/>
        <w:ind w:left="720" w:hanging="720"/>
        <w:jc w:val="both"/>
        <w:rPr>
          <w:rFonts w:ascii="Arial" w:eastAsia="Calibri" w:hAnsi="Arial" w:cs="Arial"/>
        </w:rPr>
      </w:pPr>
      <w:r>
        <w:rPr>
          <w:rFonts w:ascii="Arial" w:eastAsia="Calibri" w:hAnsi="Arial" w:cs="Arial"/>
        </w:rPr>
        <w:t>Datum: 25. oktobra 2019</w:t>
      </w:r>
    </w:p>
    <w:p w:rsidR="000467A2" w:rsidRDefault="000467A2" w:rsidP="000467A2">
      <w:pPr>
        <w:spacing w:before="240" w:after="200" w:line="276" w:lineRule="auto"/>
        <w:ind w:left="720" w:hanging="720"/>
        <w:jc w:val="both"/>
        <w:rPr>
          <w:rFonts w:ascii="Arial" w:eastAsia="Calibri" w:hAnsi="Arial" w:cs="Arial"/>
        </w:rPr>
      </w:pPr>
    </w:p>
    <w:p w:rsidR="00097C06" w:rsidRDefault="00097C06" w:rsidP="000467A2">
      <w:pPr>
        <w:spacing w:before="240" w:after="200" w:line="276" w:lineRule="auto"/>
        <w:ind w:left="720" w:hanging="720"/>
        <w:jc w:val="both"/>
        <w:rPr>
          <w:rFonts w:ascii="Arial" w:eastAsia="Calibri" w:hAnsi="Arial" w:cs="Arial"/>
        </w:rPr>
      </w:pPr>
    </w:p>
    <w:p w:rsidR="00097C06" w:rsidRDefault="00097C06" w:rsidP="000467A2">
      <w:pPr>
        <w:spacing w:before="240" w:after="200" w:line="276" w:lineRule="auto"/>
        <w:ind w:left="720" w:hanging="720"/>
        <w:jc w:val="both"/>
        <w:rPr>
          <w:rFonts w:ascii="Arial" w:eastAsia="Calibri" w:hAnsi="Arial" w:cs="Arial"/>
        </w:rPr>
      </w:pPr>
    </w:p>
    <w:p w:rsidR="00097C06" w:rsidRDefault="00097C06" w:rsidP="000467A2">
      <w:pPr>
        <w:spacing w:before="240" w:after="200" w:line="276" w:lineRule="auto"/>
        <w:ind w:left="720" w:hanging="720"/>
        <w:jc w:val="both"/>
        <w:rPr>
          <w:rFonts w:ascii="Arial" w:eastAsia="Calibri" w:hAnsi="Arial" w:cs="Arial"/>
        </w:rPr>
      </w:pPr>
    </w:p>
    <w:p w:rsidR="00097C06" w:rsidRDefault="00097C06" w:rsidP="000467A2">
      <w:pPr>
        <w:spacing w:before="240" w:after="200" w:line="276" w:lineRule="auto"/>
        <w:ind w:left="720" w:hanging="720"/>
        <w:jc w:val="both"/>
        <w:rPr>
          <w:rFonts w:ascii="Arial" w:eastAsia="Calibri" w:hAnsi="Arial" w:cs="Arial"/>
        </w:rPr>
      </w:pPr>
    </w:p>
    <w:p w:rsidR="00097C06" w:rsidRDefault="00097C06" w:rsidP="000467A2">
      <w:pPr>
        <w:spacing w:before="240" w:after="200" w:line="276" w:lineRule="auto"/>
        <w:ind w:left="720" w:hanging="720"/>
        <w:jc w:val="both"/>
        <w:rPr>
          <w:rFonts w:ascii="Arial" w:eastAsia="Calibri" w:hAnsi="Arial" w:cs="Arial"/>
        </w:rPr>
      </w:pPr>
    </w:p>
    <w:p w:rsidR="00097C06" w:rsidRDefault="00097C06" w:rsidP="000467A2">
      <w:pPr>
        <w:spacing w:before="240" w:after="200" w:line="276" w:lineRule="auto"/>
        <w:ind w:left="720" w:hanging="720"/>
        <w:jc w:val="both"/>
        <w:rPr>
          <w:rFonts w:ascii="Arial" w:eastAsia="Calibri" w:hAnsi="Arial" w:cs="Arial"/>
        </w:rPr>
      </w:pPr>
    </w:p>
    <w:p w:rsidR="00097C06" w:rsidRPr="00097C06" w:rsidRDefault="00097C06" w:rsidP="00097C06">
      <w:pPr>
        <w:spacing w:before="240" w:after="200" w:line="276" w:lineRule="auto"/>
        <w:jc w:val="both"/>
        <w:rPr>
          <w:rFonts w:ascii="Arial" w:eastAsia="Calibri" w:hAnsi="Arial" w:cs="Arial"/>
          <w:sz w:val="18"/>
          <w:szCs w:val="18"/>
        </w:rPr>
      </w:pPr>
      <w:r w:rsidRPr="00097C06">
        <w:rPr>
          <w:rFonts w:ascii="Arial" w:eastAsia="Calibri" w:hAnsi="Arial" w:cs="Arial"/>
          <w:sz w:val="18"/>
          <w:szCs w:val="18"/>
        </w:rPr>
        <w:t xml:space="preserve">Republika Slovenija bo </w:t>
      </w:r>
      <w:r w:rsidRPr="00097C06">
        <w:rPr>
          <w:rFonts w:ascii="Arial" w:hAnsi="Arial" w:cs="Arial"/>
          <w:sz w:val="18"/>
          <w:szCs w:val="18"/>
          <w:lang w:eastAsia="sl-SI"/>
        </w:rPr>
        <w:t>Memorandum o soglasju med Ministrstvom za obrambo Republike  Avstrije, Ministrstvom za obrambo Republike Hrvaške, Ministrstvom za obrambo Madžarske,  Ministrstvom za obrambo Slovaške republike in Ministrstvom za obrambo Slovenije o ustanovitvi regionalnega poveljstva komponente za specialno delovanje</w:t>
      </w:r>
      <w:r w:rsidRPr="00097C06">
        <w:rPr>
          <w:rFonts w:ascii="Arial" w:eastAsia="Calibri" w:hAnsi="Arial" w:cs="Arial"/>
          <w:sz w:val="18"/>
          <w:szCs w:val="18"/>
        </w:rPr>
        <w:t xml:space="preserve"> potrdila in se bo zanjo uporabljal od potrditve.</w:t>
      </w:r>
    </w:p>
    <w:p w:rsidR="000467A2" w:rsidRPr="000467A2" w:rsidRDefault="000467A2" w:rsidP="000467A2">
      <w:pPr>
        <w:spacing w:before="240" w:after="200" w:line="276" w:lineRule="auto"/>
        <w:ind w:left="1797" w:hanging="357"/>
        <w:jc w:val="both"/>
        <w:rPr>
          <w:rFonts w:ascii="Arial" w:eastAsia="Calibri" w:hAnsi="Arial" w:cs="Arial"/>
        </w:rPr>
      </w:pPr>
      <w:r w:rsidRPr="000467A2">
        <w:rPr>
          <w:rFonts w:ascii="Arial" w:eastAsia="Calibri" w:hAnsi="Arial" w:cs="Arial"/>
        </w:rPr>
        <w:br w:type="page"/>
      </w:r>
    </w:p>
    <w:p w:rsidR="00097C06" w:rsidRDefault="00097C06" w:rsidP="00097C06">
      <w:pPr>
        <w:spacing w:before="240" w:after="200" w:line="276" w:lineRule="auto"/>
        <w:ind w:left="720" w:hanging="720"/>
        <w:rPr>
          <w:rFonts w:ascii="Arial" w:eastAsia="Calibri" w:hAnsi="Arial" w:cs="Arial"/>
          <w:b/>
          <w:u w:val="single"/>
        </w:rPr>
      </w:pPr>
    </w:p>
    <w:p w:rsidR="00097C06" w:rsidRDefault="00097C06" w:rsidP="00097C06">
      <w:pPr>
        <w:spacing w:before="240" w:after="200" w:line="276" w:lineRule="auto"/>
        <w:ind w:left="720" w:hanging="720"/>
        <w:rPr>
          <w:rFonts w:ascii="Arial" w:eastAsia="Calibri" w:hAnsi="Arial" w:cs="Arial"/>
          <w:b/>
          <w:u w:val="single"/>
        </w:rPr>
      </w:pPr>
    </w:p>
    <w:p w:rsidR="00097C06" w:rsidRPr="006A22D5" w:rsidRDefault="00097C06" w:rsidP="00097C06">
      <w:pPr>
        <w:spacing w:before="240" w:after="0" w:line="240" w:lineRule="auto"/>
        <w:jc w:val="both"/>
        <w:rPr>
          <w:rFonts w:ascii="Arial" w:eastAsia="Calibri" w:hAnsi="Arial" w:cs="Arial"/>
          <w:sz w:val="20"/>
          <w:szCs w:val="20"/>
        </w:rPr>
      </w:pPr>
    </w:p>
    <w:p w:rsidR="00097C06" w:rsidRPr="006A22D5" w:rsidRDefault="00097C06" w:rsidP="00097C06">
      <w:pPr>
        <w:spacing w:before="240" w:after="0" w:line="240" w:lineRule="auto"/>
        <w:jc w:val="both"/>
        <w:rPr>
          <w:rFonts w:ascii="Arial" w:eastAsia="Calibri" w:hAnsi="Arial" w:cs="Arial"/>
          <w:sz w:val="20"/>
          <w:szCs w:val="20"/>
        </w:rPr>
      </w:pPr>
    </w:p>
    <w:p w:rsidR="00097C06" w:rsidRPr="00097C06" w:rsidRDefault="00097C06" w:rsidP="00097C06">
      <w:pPr>
        <w:spacing w:before="240" w:after="0" w:line="240" w:lineRule="auto"/>
        <w:jc w:val="both"/>
        <w:rPr>
          <w:rFonts w:ascii="Arial" w:eastAsia="Calibri" w:hAnsi="Arial" w:cs="Arial"/>
        </w:rPr>
      </w:pPr>
      <w:r w:rsidRPr="00097C06">
        <w:rPr>
          <w:rFonts w:ascii="Arial" w:eastAsia="Calibri" w:hAnsi="Arial" w:cs="Arial"/>
        </w:rPr>
        <w:t>___________________________</w:t>
      </w:r>
    </w:p>
    <w:p w:rsidR="00097C06" w:rsidRPr="00097C06" w:rsidRDefault="00097C06" w:rsidP="00097C06">
      <w:pPr>
        <w:spacing w:before="240" w:after="0" w:line="240" w:lineRule="auto"/>
        <w:jc w:val="both"/>
        <w:rPr>
          <w:rFonts w:ascii="Arial" w:eastAsia="Calibri" w:hAnsi="Arial" w:cs="Arial"/>
        </w:rPr>
      </w:pPr>
      <w:r w:rsidRPr="00097C06">
        <w:rPr>
          <w:rFonts w:ascii="Arial" w:eastAsia="Calibri" w:hAnsi="Arial" w:cs="Arial"/>
        </w:rPr>
        <w:t>Zvezni minister za obrambo Republike Avstrije</w:t>
      </w:r>
    </w:p>
    <w:p w:rsidR="00097C06" w:rsidRPr="00097C06" w:rsidRDefault="00097C06" w:rsidP="00097C06">
      <w:pPr>
        <w:spacing w:before="240" w:after="0" w:line="240" w:lineRule="auto"/>
        <w:jc w:val="both"/>
        <w:rPr>
          <w:rFonts w:ascii="Arial" w:eastAsia="Calibri" w:hAnsi="Arial" w:cs="Arial"/>
        </w:rPr>
      </w:pPr>
      <w:r>
        <w:rPr>
          <w:rFonts w:ascii="Arial" w:eastAsia="Calibri" w:hAnsi="Arial" w:cs="Arial"/>
        </w:rPr>
        <w:t xml:space="preserve">Thomas </w:t>
      </w:r>
      <w:proofErr w:type="spellStart"/>
      <w:r>
        <w:rPr>
          <w:rFonts w:ascii="Arial" w:eastAsia="Calibri" w:hAnsi="Arial" w:cs="Arial"/>
        </w:rPr>
        <w:t>Starlinger</w:t>
      </w:r>
      <w:proofErr w:type="spellEnd"/>
      <w:r>
        <w:rPr>
          <w:rFonts w:ascii="Arial" w:eastAsia="Calibri" w:hAnsi="Arial" w:cs="Arial"/>
        </w:rPr>
        <w:t xml:space="preserve"> </w:t>
      </w:r>
    </w:p>
    <w:p w:rsidR="00097C06" w:rsidRDefault="00097C06" w:rsidP="00097C06">
      <w:pPr>
        <w:spacing w:before="240" w:after="200" w:line="276" w:lineRule="auto"/>
        <w:ind w:left="720" w:hanging="720"/>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Pr="00097C06" w:rsidRDefault="00097C06" w:rsidP="00097C06">
      <w:pPr>
        <w:spacing w:before="240" w:after="200" w:line="276" w:lineRule="auto"/>
        <w:ind w:left="720" w:hanging="720"/>
        <w:jc w:val="both"/>
        <w:rPr>
          <w:rFonts w:ascii="Arial" w:eastAsia="Calibri" w:hAnsi="Arial" w:cs="Arial"/>
        </w:rPr>
      </w:pPr>
      <w:r w:rsidRPr="00097C06">
        <w:rPr>
          <w:rFonts w:ascii="Arial" w:eastAsia="Calibri" w:hAnsi="Arial" w:cs="Arial"/>
        </w:rPr>
        <w:t>Kraj:</w:t>
      </w:r>
    </w:p>
    <w:p w:rsidR="00097C06" w:rsidRPr="00097C06" w:rsidRDefault="00097C06" w:rsidP="00097C06">
      <w:pPr>
        <w:spacing w:before="240" w:after="200" w:line="276" w:lineRule="auto"/>
        <w:ind w:left="720" w:hanging="720"/>
        <w:jc w:val="both"/>
        <w:rPr>
          <w:rFonts w:ascii="Arial" w:eastAsia="Calibri" w:hAnsi="Arial" w:cs="Arial"/>
        </w:rPr>
      </w:pPr>
      <w:r w:rsidRPr="00097C06">
        <w:rPr>
          <w:rFonts w:ascii="Arial" w:eastAsia="Calibri" w:hAnsi="Arial" w:cs="Arial"/>
        </w:rPr>
        <w:t>Datum:</w:t>
      </w: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ind w:left="720" w:hanging="720"/>
        <w:jc w:val="both"/>
        <w:rPr>
          <w:rFonts w:ascii="Arial" w:eastAsia="Calibri" w:hAnsi="Arial" w:cs="Arial"/>
          <w:b/>
          <w:u w:val="single"/>
        </w:rPr>
      </w:pPr>
    </w:p>
    <w:p w:rsidR="00097C06" w:rsidRDefault="00097C06" w:rsidP="00097C06">
      <w:pPr>
        <w:spacing w:before="240" w:after="200" w:line="276" w:lineRule="auto"/>
        <w:jc w:val="both"/>
        <w:rPr>
          <w:rFonts w:ascii="Arial" w:eastAsia="Calibri" w:hAnsi="Arial" w:cs="Arial"/>
          <w:b/>
          <w:u w:val="single"/>
        </w:rPr>
      </w:pPr>
      <w:r w:rsidRPr="00097C06">
        <w:rPr>
          <w:rFonts w:ascii="Arial" w:eastAsia="Calibri" w:hAnsi="Arial" w:cs="Arial"/>
          <w:sz w:val="18"/>
          <w:szCs w:val="18"/>
        </w:rPr>
        <w:t xml:space="preserve">Republika Slovenija bo </w:t>
      </w:r>
      <w:r w:rsidRPr="00097C06">
        <w:rPr>
          <w:rFonts w:ascii="Arial" w:hAnsi="Arial" w:cs="Arial"/>
          <w:sz w:val="18"/>
          <w:szCs w:val="18"/>
          <w:lang w:eastAsia="sl-SI"/>
        </w:rPr>
        <w:t>Memorandum o soglasju med Ministrstvom za obrambo Republike  Avstrije, Ministrstvom za obrambo Republike Hrvaške, Ministrstvom za obrambo Madžarske,  Ministrstvom za obrambo Slovaške republike in Ministrstvom za obrambo Slovenije o ustanovitvi regionalnega poveljstva komponente za specialno delovanje</w:t>
      </w:r>
      <w:r w:rsidRPr="00097C06">
        <w:rPr>
          <w:rFonts w:ascii="Arial" w:eastAsia="Calibri" w:hAnsi="Arial" w:cs="Arial"/>
          <w:sz w:val="18"/>
          <w:szCs w:val="18"/>
        </w:rPr>
        <w:t xml:space="preserve"> potrdila in se bo zanjo uporabljal od potrditve.</w:t>
      </w:r>
    </w:p>
    <w:p w:rsidR="00097C06" w:rsidRDefault="00097C06">
      <w:pPr>
        <w:spacing w:after="200" w:line="276" w:lineRule="auto"/>
        <w:rPr>
          <w:rFonts w:ascii="Arial" w:eastAsia="Calibri" w:hAnsi="Arial" w:cs="Arial"/>
          <w:b/>
          <w:u w:val="single"/>
        </w:rPr>
      </w:pPr>
      <w:r>
        <w:rPr>
          <w:rFonts w:ascii="Arial" w:eastAsia="Calibri" w:hAnsi="Arial" w:cs="Arial"/>
          <w:b/>
          <w:u w:val="single"/>
        </w:rPr>
        <w:br w:type="page"/>
      </w:r>
    </w:p>
    <w:p w:rsidR="00097C06" w:rsidRDefault="00097C06" w:rsidP="000467A2">
      <w:pPr>
        <w:spacing w:before="240" w:after="200" w:line="276" w:lineRule="auto"/>
        <w:ind w:left="720" w:hanging="720"/>
        <w:jc w:val="center"/>
        <w:rPr>
          <w:rFonts w:ascii="Arial" w:eastAsia="Calibri" w:hAnsi="Arial" w:cs="Arial"/>
          <w:b/>
          <w:u w:val="single"/>
        </w:rPr>
      </w:pPr>
    </w:p>
    <w:p w:rsidR="000467A2" w:rsidRPr="000467A2" w:rsidRDefault="000467A2" w:rsidP="000467A2">
      <w:pPr>
        <w:spacing w:before="240" w:after="200" w:line="276" w:lineRule="auto"/>
        <w:ind w:left="720" w:hanging="720"/>
        <w:jc w:val="center"/>
        <w:rPr>
          <w:rFonts w:ascii="Arial" w:eastAsia="Calibri" w:hAnsi="Arial" w:cs="Arial"/>
          <w:b/>
          <w:u w:val="single"/>
        </w:rPr>
      </w:pPr>
      <w:r w:rsidRPr="000467A2">
        <w:rPr>
          <w:rFonts w:ascii="Arial" w:eastAsia="Calibri" w:hAnsi="Arial" w:cs="Arial"/>
          <w:b/>
          <w:u w:val="single"/>
        </w:rPr>
        <w:t>Priloga A</w:t>
      </w:r>
    </w:p>
    <w:p w:rsidR="000467A2" w:rsidRPr="000467A2" w:rsidRDefault="000467A2" w:rsidP="000467A2">
      <w:pPr>
        <w:keepNext/>
        <w:keepLines/>
        <w:spacing w:before="240" w:after="240" w:line="276" w:lineRule="auto"/>
        <w:outlineLvl w:val="0"/>
        <w:rPr>
          <w:rFonts w:ascii="Arial" w:eastAsia="Times New Roman" w:hAnsi="Arial" w:cs="Arial"/>
          <w:b/>
        </w:rPr>
      </w:pPr>
      <w:bookmarkStart w:id="13" w:name="_Toc11253421"/>
      <w:r w:rsidRPr="000467A2">
        <w:rPr>
          <w:rFonts w:ascii="Arial" w:eastAsia="Times New Roman" w:hAnsi="Arial" w:cs="Arial"/>
          <w:b/>
        </w:rPr>
        <w:t>Referenčni dokumenti</w:t>
      </w:r>
      <w:bookmarkEnd w:id="13"/>
      <w:r w:rsidRPr="000467A2">
        <w:rPr>
          <w:rFonts w:ascii="Arial" w:eastAsia="Times New Roman" w:hAnsi="Arial" w:cs="Arial"/>
          <w:b/>
        </w:rPr>
        <w:t xml:space="preserve">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Severnoatlantska pogodba z dne 4. aprila 1949.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Sporazum med pogodbenicami Severnoatlantske pogodbe o statusu njihovih sil z dne 19. junija 1951 (Nato SOFA).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Sporazum med državami pogodbenicami Severnoatlantske pogodbe in drugimi državami, ki sodelujejo v Partnerstvu za mir, glede statusa njihovih sil, sklenjenega v Bruslju 19. junija 1995 (</w:t>
      </w:r>
      <w:proofErr w:type="spellStart"/>
      <w:r w:rsidRPr="000467A2">
        <w:rPr>
          <w:rFonts w:ascii="Arial" w:eastAsia="Calibri" w:hAnsi="Arial" w:cs="Arial"/>
        </w:rPr>
        <w:t>PzM</w:t>
      </w:r>
      <w:proofErr w:type="spellEnd"/>
      <w:r w:rsidRPr="000467A2">
        <w:rPr>
          <w:rFonts w:ascii="Arial" w:eastAsia="Calibri" w:hAnsi="Arial" w:cs="Arial"/>
        </w:rPr>
        <w:t xml:space="preserve"> SOFA).</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Sporazum med državami članicami Evropske unije o statusu začasno dodeljenega vojaškega in civilnega osebja pri institucijah Evropske unije, poveljstva in vojaških sil, ki jih ima lahko na voljo Evropska unija v okviru priprave in izvajanja misij iz člena 17(2) Pogodbe o Evropski uniji, tudi med vojaškimi vajami, ter o vojaškem in civilnem osebju držav članic, s katerim razpolaga Evropska unija za ukrepanje v tem okviru (EU SOFA).</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STANAG 2034 Natov standardni postopek za nadomestilo in obrazec za zahtevek in prejem podpore v obliki sredstev oskrbe in storitev.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MC 0437/2 Politika specialnega delovanja, 21. april 2011.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Standardi ACO glede sil, X. zvezek – Sile za specialno delovanje, avgust 2012.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Standardi ACO glede sil, XI. zvezek – Poveljstvo sil za specialno delovanje in ocenjevanje enot, september 2011.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Natovo poveljstvo za specialno delovanje 80-002, Priročnik poveljstva komponente za specialno delovanje, oktober 2014.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ACT Bi-SC Kode zmogljivosti in izjave o zmogljivosti, januar 2016.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STANAG 6025 Finančna načela in postopki zagotavljanja podpore in sklepanja mednarodnih dogovorov, 2. izdaja, 22. januar 2013.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 xml:space="preserve">Natov glosar izrazov in definicij, Zavezniška administrativna publikacija št. 6 (AAP-6), izdaja iz leta 2018. </w:t>
      </w:r>
    </w:p>
    <w:p w:rsidR="000467A2" w:rsidRPr="000467A2" w:rsidRDefault="000467A2" w:rsidP="000467A2">
      <w:pPr>
        <w:numPr>
          <w:ilvl w:val="0"/>
          <w:numId w:val="4"/>
        </w:numPr>
        <w:spacing w:before="120" w:after="120" w:line="276" w:lineRule="auto"/>
        <w:ind w:left="567" w:hanging="425"/>
        <w:jc w:val="both"/>
        <w:rPr>
          <w:rFonts w:ascii="Arial" w:eastAsia="Calibri" w:hAnsi="Arial" w:cs="Arial"/>
        </w:rPr>
      </w:pPr>
      <w:r w:rsidRPr="000467A2">
        <w:rPr>
          <w:rFonts w:ascii="Arial" w:eastAsia="Calibri" w:hAnsi="Arial" w:cs="Arial"/>
        </w:rPr>
        <w:t>Varnost v Organizaciji Severnoatlantske pogodbe, 17. junij 2002, C-M(2002)49 (vključno z vsemi dodatki in spremembami).</w:t>
      </w:r>
    </w:p>
    <w:p w:rsidR="000467A2" w:rsidRPr="000467A2" w:rsidRDefault="000467A2" w:rsidP="000467A2">
      <w:pPr>
        <w:spacing w:before="240" w:after="200" w:line="276" w:lineRule="auto"/>
        <w:ind w:left="567" w:hanging="425"/>
        <w:jc w:val="both"/>
        <w:rPr>
          <w:rFonts w:ascii="Arial" w:eastAsia="Calibri" w:hAnsi="Arial" w:cs="Arial"/>
        </w:rPr>
      </w:pPr>
      <w:r w:rsidRPr="000467A2">
        <w:rPr>
          <w:rFonts w:ascii="Arial" w:eastAsia="Calibri" w:hAnsi="Arial" w:cs="Arial"/>
        </w:rPr>
        <w:br w:type="page"/>
      </w:r>
    </w:p>
    <w:p w:rsidR="000467A2" w:rsidRPr="000467A2" w:rsidRDefault="000467A2" w:rsidP="000467A2">
      <w:pPr>
        <w:spacing w:before="240" w:after="200" w:line="276" w:lineRule="auto"/>
        <w:ind w:left="720" w:hanging="720"/>
        <w:jc w:val="center"/>
        <w:rPr>
          <w:rFonts w:ascii="Arial" w:eastAsia="Calibri" w:hAnsi="Arial" w:cs="Arial"/>
          <w:b/>
          <w:u w:val="single"/>
        </w:rPr>
      </w:pPr>
      <w:r w:rsidRPr="000467A2">
        <w:rPr>
          <w:rFonts w:ascii="Arial" w:eastAsia="Calibri" w:hAnsi="Arial" w:cs="Arial"/>
          <w:b/>
          <w:u w:val="single"/>
        </w:rPr>
        <w:lastRenderedPageBreak/>
        <w:t>Priloga B</w:t>
      </w:r>
    </w:p>
    <w:p w:rsidR="000467A2" w:rsidRPr="000467A2" w:rsidRDefault="000467A2" w:rsidP="000467A2">
      <w:pPr>
        <w:keepNext/>
        <w:keepLines/>
        <w:spacing w:before="240" w:after="240" w:line="276" w:lineRule="auto"/>
        <w:outlineLvl w:val="0"/>
        <w:rPr>
          <w:rFonts w:ascii="Arial" w:eastAsia="Times New Roman" w:hAnsi="Arial" w:cs="Arial"/>
          <w:b/>
        </w:rPr>
      </w:pPr>
      <w:r w:rsidRPr="000467A2">
        <w:rPr>
          <w:rFonts w:ascii="Arial" w:eastAsia="Times New Roman" w:hAnsi="Arial" w:cs="Arial"/>
          <w:b/>
        </w:rPr>
        <w:t>Predloga note o pristopu</w:t>
      </w: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NOTA O PRISTOPU</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 xml:space="preserve">ZA [novega udeleženca] </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ZA SODELOVANJE PRI</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MEMORANDUMU O SOGLASJU</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MED</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ZVEZNIM MINISTROM ZA OBRAMBO REPUBLIKE AVSTRIJE,</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 xml:space="preserve">MINISTRSTVOM ZA OBRAMBO REPUBLIKE HRVAŠKE, </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 xml:space="preserve">MINISTRSTVOM ZA OBRAMBO MADŽARSKE, </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 xml:space="preserve">MINISTRSTVOM ZA OBRAMBO SLOVAŠKE REPUBLIKE </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IN</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 xml:space="preserve">MINISTRSTVOM ZA OBRAMBO REPUBLIKE SLOVENIJE </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O</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 xml:space="preserve">USTANOVITVI </w:t>
      </w:r>
    </w:p>
    <w:p w:rsidR="000467A2" w:rsidRPr="000467A2" w:rsidRDefault="000467A2" w:rsidP="000467A2">
      <w:pPr>
        <w:spacing w:before="240" w:after="240" w:line="276" w:lineRule="auto"/>
        <w:jc w:val="center"/>
        <w:rPr>
          <w:rFonts w:ascii="Arial" w:eastAsia="Calibri" w:hAnsi="Arial" w:cs="Arial"/>
          <w:b/>
          <w:bCs/>
        </w:rPr>
      </w:pPr>
      <w:r w:rsidRPr="000467A2">
        <w:rPr>
          <w:rFonts w:ascii="Arial" w:eastAsia="Calibri" w:hAnsi="Arial" w:cs="Arial"/>
          <w:b/>
          <w:bCs/>
        </w:rPr>
        <w:t>REGIONALNEGA POVELJSTVA KOMPONENTE ZA SPECIALNO DELOVANJE</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br w:type="page"/>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lastRenderedPageBreak/>
        <w:t>[Novi udeleženec]</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SE ODLOČI, z dnem zadnjega podpisa te note o pristopu, ZA SODELOVANJE V IN UPOŠTEVANJE Memoranduma o soglasju med zveznim ministrom za obrambo Republike Avstrije, Ministrstvom za obrambo Republike Hrvaške, Ministrstvom za obrambo Madžarske, Ministrstvom za obrambo Slovaške republike in Ministrstvom za obrambo Republike Slovenije o ustanovitvi regionalnega poveljstva komponente za specialno delovanje (</w:t>
      </w:r>
      <w:proofErr w:type="spellStart"/>
      <w:r w:rsidRPr="000467A2">
        <w:rPr>
          <w:rFonts w:ascii="Arial" w:eastAsia="Calibri" w:hAnsi="Arial" w:cs="Arial"/>
        </w:rPr>
        <w:t>MoS</w:t>
      </w:r>
      <w:proofErr w:type="spellEnd"/>
      <w:r w:rsidRPr="000467A2">
        <w:rPr>
          <w:rFonts w:ascii="Arial" w:eastAsia="Calibri" w:hAnsi="Arial" w:cs="Arial"/>
        </w:rPr>
        <w:t xml:space="preserve"> R-SOCC), ki je začel veljati dne ………….</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Za [novega udeleženca]</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(Podpis)</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(Ime in priimek)</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(Funkcija)</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(Kraj/datum)</w:t>
      </w:r>
    </w:p>
    <w:p w:rsidR="000467A2" w:rsidRPr="000467A2" w:rsidRDefault="000467A2" w:rsidP="000467A2">
      <w:pPr>
        <w:spacing w:before="240" w:after="200" w:line="276" w:lineRule="auto"/>
        <w:jc w:val="both"/>
        <w:rPr>
          <w:rFonts w:ascii="Arial" w:eastAsia="Calibri" w:hAnsi="Arial" w:cs="Arial"/>
        </w:rPr>
      </w:pP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Udeleženci tega memoranduma o soglasju R-SOCC</w:t>
      </w:r>
    </w:p>
    <w:p w:rsidR="000467A2" w:rsidRPr="000467A2" w:rsidRDefault="000467A2" w:rsidP="000467A2">
      <w:pPr>
        <w:spacing w:before="240" w:after="200" w:line="276" w:lineRule="auto"/>
        <w:jc w:val="both"/>
        <w:rPr>
          <w:rFonts w:ascii="Arial" w:eastAsia="Calibri" w:hAnsi="Arial" w:cs="Arial"/>
        </w:rPr>
      </w:pPr>
      <w:r w:rsidRPr="000467A2">
        <w:rPr>
          <w:rFonts w:ascii="Arial" w:eastAsia="Calibri" w:hAnsi="Arial" w:cs="Arial"/>
        </w:rPr>
        <w:t>POZDRAVLJAJO izraženo zavezo [novega udeleženca] in SE STRINJAJO, da se jim [novi udeleženec] pridruži kot udeleženec Memoranduma o soglasju R-SOCC.</w:t>
      </w:r>
    </w:p>
    <w:p w:rsidR="000467A2" w:rsidRPr="000467A2" w:rsidRDefault="000467A2" w:rsidP="000467A2">
      <w:pPr>
        <w:spacing w:before="120" w:after="200" w:line="276" w:lineRule="auto"/>
        <w:jc w:val="both"/>
        <w:rPr>
          <w:rFonts w:ascii="Arial" w:eastAsia="Calibri" w:hAnsi="Arial" w:cs="Arial"/>
        </w:rPr>
      </w:pPr>
      <w:r w:rsidRPr="000467A2">
        <w:rPr>
          <w:rFonts w:ascii="Arial" w:eastAsia="Calibri" w:hAnsi="Arial" w:cs="Arial"/>
        </w:rPr>
        <w:t>Ta nota o pristopu se podpiše v enem (1) izvirniku v angleškem jeziku. Nosilna država hrani izvirnik, ostalim udeležencem pa zagotovi overjene kopije.</w:t>
      </w:r>
    </w:p>
    <w:p w:rsidR="000467A2" w:rsidRPr="000467A2" w:rsidRDefault="000467A2" w:rsidP="000467A2">
      <w:pPr>
        <w:spacing w:before="120" w:after="200" w:line="276" w:lineRule="auto"/>
        <w:jc w:val="both"/>
        <w:rPr>
          <w:rFonts w:ascii="Arial" w:eastAsia="Calibri" w:hAnsi="Arial" w:cs="Arial"/>
        </w:rPr>
      </w:pPr>
      <w:r w:rsidRPr="000467A2">
        <w:rPr>
          <w:rFonts w:ascii="Arial" w:eastAsia="Calibri" w:hAnsi="Arial" w:cs="Arial"/>
        </w:rPr>
        <w:br w:type="page"/>
      </w:r>
    </w:p>
    <w:p w:rsidR="000467A2" w:rsidRPr="000467A2" w:rsidRDefault="000467A2" w:rsidP="000467A2">
      <w:pPr>
        <w:spacing w:before="240" w:after="200" w:line="276" w:lineRule="auto"/>
        <w:jc w:val="both"/>
        <w:rPr>
          <w:rFonts w:ascii="Arial" w:eastAsia="Calibri" w:hAnsi="Arial" w:cs="Arial"/>
          <w:lang w:eastAsia="de-DE"/>
        </w:rPr>
      </w:pPr>
      <w:r w:rsidRPr="000467A2">
        <w:rPr>
          <w:rFonts w:ascii="Arial" w:eastAsia="Calibri" w:hAnsi="Arial" w:cs="Arial"/>
          <w:lang w:eastAsia="de-DE"/>
        </w:rPr>
        <w:lastRenderedPageBreak/>
        <w:t>Za zveznega ministra za obrambo Republike Avstrije</w:t>
      </w:r>
    </w:p>
    <w:p w:rsidR="000467A2" w:rsidRPr="000467A2" w:rsidRDefault="000467A2" w:rsidP="000467A2">
      <w:pPr>
        <w:tabs>
          <w:tab w:val="left" w:pos="5220"/>
        </w:tabs>
        <w:spacing w:before="240" w:after="200" w:line="276" w:lineRule="auto"/>
        <w:jc w:val="both"/>
        <w:rPr>
          <w:rFonts w:ascii="Arial" w:eastAsia="Calibri" w:hAnsi="Arial" w:cs="Arial"/>
          <w:i/>
          <w:iCs/>
          <w:u w:val="single"/>
        </w:rPr>
      </w:pP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(Podpis)</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(Ime in priimek)</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(Funkcija)</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(Kraj/datum)</w:t>
      </w: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240" w:after="200" w:line="276" w:lineRule="auto"/>
        <w:jc w:val="both"/>
        <w:rPr>
          <w:rFonts w:ascii="Arial" w:eastAsia="Calibri" w:hAnsi="Arial" w:cs="Arial"/>
          <w:lang w:eastAsia="de-DE"/>
        </w:rPr>
      </w:pPr>
      <w:r w:rsidRPr="000467A2">
        <w:rPr>
          <w:rFonts w:ascii="Arial" w:eastAsia="Calibri" w:hAnsi="Arial" w:cs="Arial"/>
          <w:lang w:eastAsia="de-DE"/>
        </w:rPr>
        <w:t>Za Ministrstvo za obrambo Republike Hrvaške</w:t>
      </w:r>
    </w:p>
    <w:p w:rsidR="000467A2" w:rsidRPr="000467A2" w:rsidRDefault="000467A2" w:rsidP="000467A2">
      <w:pPr>
        <w:tabs>
          <w:tab w:val="left" w:pos="5220"/>
        </w:tabs>
        <w:spacing w:before="240" w:after="200" w:line="276" w:lineRule="auto"/>
        <w:jc w:val="both"/>
        <w:rPr>
          <w:rFonts w:ascii="Arial" w:eastAsia="Calibri" w:hAnsi="Arial" w:cs="Arial"/>
          <w:i/>
          <w:iCs/>
          <w:u w:val="single"/>
        </w:rPr>
      </w:pP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(Podpis)</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(Ime in priimek)</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(Funkcija)</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(Kraj/datum)</w:t>
      </w: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240" w:after="200" w:line="276" w:lineRule="auto"/>
        <w:jc w:val="both"/>
        <w:rPr>
          <w:rFonts w:ascii="Arial" w:eastAsia="Calibri" w:hAnsi="Arial" w:cs="Arial"/>
          <w:lang w:eastAsia="de-DE"/>
        </w:rPr>
      </w:pPr>
      <w:r w:rsidRPr="000467A2">
        <w:rPr>
          <w:rFonts w:ascii="Arial" w:eastAsia="Calibri" w:hAnsi="Arial" w:cs="Arial"/>
          <w:lang w:eastAsia="de-DE"/>
        </w:rPr>
        <w:t>Za Ministrstvo za obrambo Madžarske</w:t>
      </w:r>
    </w:p>
    <w:p w:rsidR="000467A2" w:rsidRPr="000467A2" w:rsidRDefault="000467A2" w:rsidP="000467A2">
      <w:pPr>
        <w:tabs>
          <w:tab w:val="left" w:pos="5220"/>
        </w:tabs>
        <w:spacing w:before="240" w:after="200" w:line="276" w:lineRule="auto"/>
        <w:jc w:val="both"/>
        <w:rPr>
          <w:rFonts w:ascii="Arial" w:eastAsia="Calibri" w:hAnsi="Arial" w:cs="Arial"/>
          <w:i/>
          <w:iCs/>
          <w:u w:val="single"/>
        </w:rPr>
      </w:pP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(Podpis)</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(Ime in priimek)</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(Funkcija)</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(Kraj/datum)</w:t>
      </w: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240" w:after="200" w:line="276" w:lineRule="auto"/>
        <w:jc w:val="both"/>
        <w:rPr>
          <w:rFonts w:ascii="Arial" w:eastAsia="Calibri" w:hAnsi="Arial" w:cs="Arial"/>
          <w:lang w:eastAsia="de-DE"/>
        </w:rPr>
      </w:pPr>
      <w:r w:rsidRPr="000467A2">
        <w:rPr>
          <w:rFonts w:ascii="Arial" w:eastAsia="Calibri" w:hAnsi="Arial" w:cs="Arial"/>
          <w:lang w:eastAsia="de-DE"/>
        </w:rPr>
        <w:t>Za Ministrstvo za obrambo Slovaške republike</w:t>
      </w:r>
    </w:p>
    <w:p w:rsidR="000467A2" w:rsidRPr="000467A2" w:rsidRDefault="000467A2" w:rsidP="000467A2">
      <w:pPr>
        <w:tabs>
          <w:tab w:val="left" w:pos="5220"/>
        </w:tabs>
        <w:spacing w:before="240" w:after="200" w:line="276" w:lineRule="auto"/>
        <w:jc w:val="both"/>
        <w:rPr>
          <w:rFonts w:ascii="Arial" w:eastAsia="Calibri" w:hAnsi="Arial" w:cs="Arial"/>
          <w:i/>
          <w:iCs/>
          <w:u w:val="single"/>
        </w:rPr>
      </w:pP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(Podpis)</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(Ime in priimek)</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lastRenderedPageBreak/>
        <w:t>(Funkcija)</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(Kraj/datum)</w:t>
      </w: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120" w:after="120" w:line="276" w:lineRule="auto"/>
        <w:jc w:val="both"/>
        <w:rPr>
          <w:rFonts w:ascii="Arial" w:eastAsia="Calibri" w:hAnsi="Arial" w:cs="Arial"/>
        </w:rPr>
      </w:pPr>
    </w:p>
    <w:p w:rsidR="000467A2" w:rsidRPr="000467A2" w:rsidRDefault="000467A2" w:rsidP="000467A2">
      <w:pPr>
        <w:spacing w:before="240" w:after="200" w:line="276" w:lineRule="auto"/>
        <w:jc w:val="both"/>
        <w:rPr>
          <w:rFonts w:ascii="Arial" w:eastAsia="Calibri" w:hAnsi="Arial" w:cs="Arial"/>
          <w:lang w:eastAsia="de-DE"/>
        </w:rPr>
      </w:pPr>
      <w:r w:rsidRPr="000467A2">
        <w:rPr>
          <w:rFonts w:ascii="Arial" w:eastAsia="Calibri" w:hAnsi="Arial" w:cs="Arial"/>
          <w:lang w:eastAsia="de-DE"/>
        </w:rPr>
        <w:t xml:space="preserve">Za Ministrstvo za obrambo Republike Slovenije </w:t>
      </w:r>
    </w:p>
    <w:p w:rsidR="000467A2" w:rsidRPr="000467A2" w:rsidRDefault="000467A2" w:rsidP="000467A2">
      <w:pPr>
        <w:tabs>
          <w:tab w:val="left" w:pos="5220"/>
        </w:tabs>
        <w:spacing w:before="240" w:after="200" w:line="276" w:lineRule="auto"/>
        <w:jc w:val="both"/>
        <w:rPr>
          <w:rFonts w:ascii="Arial" w:eastAsia="Calibri" w:hAnsi="Arial" w:cs="Arial"/>
          <w:i/>
          <w:iCs/>
          <w:u w:val="single"/>
        </w:rPr>
      </w:pP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(Podpis)</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(Ime in priimek)</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(Funkcija)</w:t>
      </w:r>
    </w:p>
    <w:p w:rsidR="000467A2" w:rsidRPr="000467A2" w:rsidRDefault="000467A2" w:rsidP="000467A2">
      <w:pPr>
        <w:tabs>
          <w:tab w:val="left" w:pos="5220"/>
        </w:tabs>
        <w:spacing w:before="240" w:after="200" w:line="276" w:lineRule="auto"/>
        <w:jc w:val="both"/>
        <w:rPr>
          <w:rFonts w:ascii="Arial" w:eastAsia="Calibri" w:hAnsi="Arial" w:cs="Arial"/>
          <w:i/>
          <w:iCs/>
        </w:rPr>
      </w:pPr>
      <w:r w:rsidRPr="000467A2">
        <w:rPr>
          <w:rFonts w:ascii="Arial" w:eastAsia="Calibri" w:hAnsi="Arial" w:cs="Arial"/>
          <w:i/>
          <w:iCs/>
        </w:rPr>
        <w:t>(Kraj/datum)</w:t>
      </w:r>
    </w:p>
    <w:sectPr w:rsidR="000467A2" w:rsidRPr="00046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8AB"/>
    <w:multiLevelType w:val="hybridMultilevel"/>
    <w:tmpl w:val="8834B90A"/>
    <w:lvl w:ilvl="0" w:tplc="CC7407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12A6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AA418F"/>
    <w:multiLevelType w:val="hybridMultilevel"/>
    <w:tmpl w:val="7C0E915E"/>
    <w:lvl w:ilvl="0" w:tplc="CC7407B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FC4AB2"/>
    <w:multiLevelType w:val="hybridMultilevel"/>
    <w:tmpl w:val="810A00BE"/>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A2"/>
    <w:rsid w:val="000467A2"/>
    <w:rsid w:val="00097C06"/>
    <w:rsid w:val="00225902"/>
    <w:rsid w:val="002935D6"/>
    <w:rsid w:val="005C2B80"/>
    <w:rsid w:val="0088543F"/>
    <w:rsid w:val="009E33BD"/>
    <w:rsid w:val="00B37BF3"/>
    <w:rsid w:val="00C44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EE311-6C2D-4E38-A92B-9502836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Marinič</dc:creator>
  <cp:keywords/>
  <dc:description/>
  <cp:lastModifiedBy>Nataša Šincek</cp:lastModifiedBy>
  <cp:revision>2</cp:revision>
  <dcterms:created xsi:type="dcterms:W3CDTF">2020-11-25T09:57:00Z</dcterms:created>
  <dcterms:modified xsi:type="dcterms:W3CDTF">2020-11-25T09:57:00Z</dcterms:modified>
</cp:coreProperties>
</file>