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Pr="00BA5263" w:rsidRDefault="003636EA" w:rsidP="00BA5263">
      <w:pPr>
        <w:pStyle w:val="datumtevilka"/>
        <w:rPr>
          <w:rFonts w:cs="Arial"/>
          <w:color w:val="000000"/>
        </w:rPr>
      </w:pPr>
    </w:p>
    <w:p w:rsidR="003636EA" w:rsidRPr="00BA5263" w:rsidRDefault="003636EA" w:rsidP="00BA5263">
      <w:pPr>
        <w:pStyle w:val="datumtevilka"/>
        <w:rPr>
          <w:rFonts w:cs="Arial"/>
        </w:rPr>
      </w:pPr>
      <w:r w:rsidRPr="00BA5263">
        <w:rPr>
          <w:rFonts w:cs="Arial"/>
        </w:rPr>
        <w:t xml:space="preserve">Številka: </w:t>
      </w:r>
      <w:r w:rsidRPr="00BA5263">
        <w:rPr>
          <w:rFonts w:cs="Arial"/>
        </w:rPr>
        <w:tab/>
      </w:r>
      <w:r w:rsidR="002656E3" w:rsidRPr="00BA5263">
        <w:rPr>
          <w:rFonts w:cs="Arial"/>
          <w:color w:val="000000"/>
        </w:rPr>
        <w:t>54402-3/2020/8</w:t>
      </w:r>
    </w:p>
    <w:p w:rsidR="003636EA" w:rsidRPr="00BA5263" w:rsidRDefault="003636EA" w:rsidP="00BA5263">
      <w:pPr>
        <w:pStyle w:val="datumtevilka"/>
        <w:rPr>
          <w:rFonts w:cs="Arial"/>
        </w:rPr>
      </w:pPr>
      <w:r w:rsidRPr="00BA5263">
        <w:rPr>
          <w:rFonts w:cs="Arial"/>
        </w:rPr>
        <w:t xml:space="preserve">Datum: </w:t>
      </w:r>
      <w:r w:rsidRPr="00BA5263">
        <w:rPr>
          <w:rFonts w:cs="Arial"/>
        </w:rPr>
        <w:tab/>
      </w:r>
      <w:r w:rsidR="002656E3" w:rsidRPr="00BA5263">
        <w:rPr>
          <w:rFonts w:cs="Arial"/>
          <w:color w:val="000000"/>
        </w:rPr>
        <w:t>31. 3. 2021</w:t>
      </w:r>
      <w:r w:rsidRPr="00BA5263">
        <w:rPr>
          <w:rFonts w:cs="Arial"/>
        </w:rPr>
        <w:t xml:space="preserve"> </w:t>
      </w:r>
    </w:p>
    <w:p w:rsidR="003636EA" w:rsidRPr="00BA5263" w:rsidRDefault="003636EA" w:rsidP="00BA5263">
      <w:pPr>
        <w:rPr>
          <w:rFonts w:cs="Arial"/>
          <w:szCs w:val="20"/>
        </w:rPr>
      </w:pPr>
    </w:p>
    <w:p w:rsidR="003636EA" w:rsidRPr="00BA5263" w:rsidRDefault="003636EA" w:rsidP="00BA5263">
      <w:pPr>
        <w:autoSpaceDE w:val="0"/>
        <w:autoSpaceDN w:val="0"/>
        <w:adjustRightInd w:val="0"/>
        <w:rPr>
          <w:rFonts w:cs="Arial"/>
          <w:color w:val="000000"/>
          <w:szCs w:val="20"/>
        </w:rPr>
      </w:pPr>
    </w:p>
    <w:p w:rsidR="00BA5263" w:rsidRPr="00BA5263" w:rsidRDefault="00BA5263" w:rsidP="00BA5263">
      <w:pPr>
        <w:tabs>
          <w:tab w:val="left" w:pos="1701"/>
        </w:tabs>
        <w:jc w:val="both"/>
        <w:rPr>
          <w:rFonts w:cs="Arial"/>
          <w:b/>
          <w:bCs/>
          <w:szCs w:val="20"/>
          <w:lang w:eastAsia="sl-SI"/>
        </w:rPr>
      </w:pPr>
      <w:r w:rsidRPr="00BA5263">
        <w:rPr>
          <w:rFonts w:cs="Arial"/>
          <w:b/>
          <w:bCs/>
          <w:szCs w:val="20"/>
          <w:lang w:eastAsia="sl-SI"/>
        </w:rPr>
        <w:t>MNENJE O IZPOLNJEVANJU ZAGOTOVIL AKREDITACIJE SISTEMA ZA OPERATIVNI PROGRAM ZA IZVAJANJE EVROPSKE KOHEZIJSKE POLITIKE V OBDOBJU 2014–2020, ŠTEVILKA (CCI) 2014SI16MAOP001</w:t>
      </w:r>
    </w:p>
    <w:p w:rsidR="00BA5263" w:rsidRPr="00BA5263" w:rsidRDefault="00BA5263" w:rsidP="00BA5263">
      <w:pPr>
        <w:jc w:val="both"/>
        <w:rPr>
          <w:rFonts w:cs="Arial"/>
          <w:bCs/>
          <w:szCs w:val="20"/>
          <w:lang w:eastAsia="sl-SI"/>
        </w:rPr>
      </w:pPr>
    </w:p>
    <w:p w:rsidR="00BA5263" w:rsidRPr="00BA5263" w:rsidRDefault="00BA5263" w:rsidP="00BA5263">
      <w:pPr>
        <w:jc w:val="both"/>
        <w:rPr>
          <w:rFonts w:cs="Arial"/>
          <w:bCs/>
          <w:szCs w:val="20"/>
          <w:lang w:eastAsia="sl-SI"/>
        </w:rPr>
      </w:pPr>
      <w:r w:rsidRPr="00BA5263">
        <w:rPr>
          <w:rFonts w:cs="Arial"/>
          <w:bCs/>
          <w:szCs w:val="20"/>
          <w:lang w:eastAsia="sl-SI"/>
        </w:rPr>
        <w:t>Uredba o porabi sredstev evropske kohezijske politike v Republiki Sloveniji v programskem obdobju 2014-2020 za cilj naložbe za rast in delovna mesta (</w:t>
      </w:r>
      <w:r w:rsidRPr="00BA5263">
        <w:rPr>
          <w:rFonts w:cs="Arial"/>
          <w:szCs w:val="20"/>
        </w:rPr>
        <w:t xml:space="preserve">Uradni list RS, št. </w:t>
      </w:r>
      <w:hyperlink r:id="rId7" w:tgtFrame="_blank" w:tooltip="Uredba o porabi sredstev evropske kohezijske politike v Republiki Sloveniji v programskem obdobju 2014–2020 za cilj naložbe za rast in delovna mesta" w:history="1">
        <w:r w:rsidRPr="00BA5263">
          <w:rPr>
            <w:rStyle w:val="Hiperpovezava"/>
            <w:rFonts w:cs="Arial"/>
            <w:color w:val="auto"/>
            <w:szCs w:val="20"/>
            <w:u w:val="none"/>
            <w:lang w:val="en-US"/>
          </w:rPr>
          <w:t>29/15</w:t>
        </w:r>
      </w:hyperlink>
      <w:r w:rsidRPr="00BA5263">
        <w:rPr>
          <w:rFonts w:cs="Arial"/>
          <w:szCs w:val="20"/>
          <w:lang w:val="en-US"/>
        </w:rPr>
        <w:t xml:space="preserve">, </w:t>
      </w:r>
      <w:hyperlink r:id="rId8" w:tgtFrame="_blank" w:tooltip="Uredba o spremembah in dopolnitvah Uredbe o porabi sredstev evropske kohezijske politike v Republiki Sloveniji v programskem obdobju 2014–2020 za cilj naložbe za rast in delovna mesta" w:history="1">
        <w:r w:rsidRPr="00BA5263">
          <w:rPr>
            <w:rStyle w:val="Hiperpovezava"/>
            <w:rFonts w:cs="Arial"/>
            <w:color w:val="auto"/>
            <w:szCs w:val="20"/>
            <w:u w:val="none"/>
            <w:lang w:val="en-US"/>
          </w:rPr>
          <w:t>36/16</w:t>
        </w:r>
      </w:hyperlink>
      <w:r w:rsidRPr="00BA5263">
        <w:rPr>
          <w:rFonts w:cs="Arial"/>
          <w:szCs w:val="20"/>
          <w:lang w:val="en-US"/>
        </w:rPr>
        <w:t xml:space="preserve">, </w:t>
      </w:r>
      <w:hyperlink r:id="rId9" w:tgtFrame="_blank" w:tooltip="Uredba o spremembah in dopolnitvah Uredbe o porabi sredstev evropske kohezijske politike v Republiki Sloveniji v programskem obdobju 2014–2020 za cilj naložbe za rast in delovna mesta" w:history="1">
        <w:r w:rsidRPr="00BA5263">
          <w:rPr>
            <w:rStyle w:val="Hiperpovezava"/>
            <w:rFonts w:cs="Arial"/>
            <w:color w:val="auto"/>
            <w:szCs w:val="20"/>
            <w:u w:val="none"/>
            <w:lang w:val="en-US"/>
          </w:rPr>
          <w:t>58/16</w:t>
        </w:r>
      </w:hyperlink>
      <w:r w:rsidRPr="00BA5263">
        <w:rPr>
          <w:rFonts w:cs="Arial"/>
          <w:szCs w:val="20"/>
          <w:lang w:val="en-US"/>
        </w:rPr>
        <w:t xml:space="preserve">, </w:t>
      </w:r>
      <w:hyperlink r:id="rId10" w:tgtFrame="_blank" w:tooltip="Popravek Uredbe o porabi sredstev evropske kohezijske politike v Republiki Sloveniji v programskem obdobju 2014–2020 za cilj naložbe za rast in delovna mesta" w:history="1">
        <w:r w:rsidRPr="00BA5263">
          <w:rPr>
            <w:rStyle w:val="Hiperpovezava"/>
            <w:rFonts w:cs="Arial"/>
            <w:color w:val="auto"/>
            <w:szCs w:val="20"/>
            <w:u w:val="none"/>
            <w:lang w:val="en-US"/>
          </w:rPr>
          <w:t xml:space="preserve">69/16 – </w:t>
        </w:r>
        <w:proofErr w:type="spellStart"/>
        <w:r w:rsidRPr="00BA5263">
          <w:rPr>
            <w:rStyle w:val="Hiperpovezava"/>
            <w:rFonts w:cs="Arial"/>
            <w:color w:val="auto"/>
            <w:szCs w:val="20"/>
            <w:u w:val="none"/>
            <w:lang w:val="en-US"/>
          </w:rPr>
          <w:t>popr</w:t>
        </w:r>
        <w:proofErr w:type="spellEnd"/>
        <w:r w:rsidRPr="00BA5263">
          <w:rPr>
            <w:rStyle w:val="Hiperpovezava"/>
            <w:rFonts w:cs="Arial"/>
            <w:color w:val="auto"/>
            <w:szCs w:val="20"/>
            <w:u w:val="none"/>
            <w:lang w:val="en-US"/>
          </w:rPr>
          <w:t>.</w:t>
        </w:r>
      </w:hyperlink>
      <w:r w:rsidRPr="00BA5263">
        <w:rPr>
          <w:rFonts w:cs="Arial"/>
          <w:szCs w:val="20"/>
          <w:lang w:val="en-US"/>
        </w:rPr>
        <w:t xml:space="preserve">, </w:t>
      </w:r>
      <w:hyperlink r:id="rId11" w:tgtFrame="_blank" w:tooltip="Uredba o spremembah Uredbe o porabi sredstev evropske kohezijske politike v Republiki Sloveniji v programskem obdobju 2014–2020 za cilj naložbe za rast in delovna mesta" w:history="1">
        <w:r w:rsidRPr="00BA5263">
          <w:rPr>
            <w:rStyle w:val="Hiperpovezava"/>
            <w:rFonts w:cs="Arial"/>
            <w:color w:val="auto"/>
            <w:szCs w:val="20"/>
            <w:u w:val="none"/>
            <w:lang w:val="en-US"/>
          </w:rPr>
          <w:t>15/17</w:t>
        </w:r>
      </w:hyperlink>
      <w:r w:rsidRPr="00BA5263">
        <w:rPr>
          <w:rFonts w:cs="Arial"/>
          <w:szCs w:val="20"/>
          <w:lang w:val="en-US"/>
        </w:rPr>
        <w:t xml:space="preserve">, </w:t>
      </w:r>
      <w:hyperlink r:id="rId12" w:tgtFrame="_blank" w:tooltip="Uredba o spremembi in dopolnitvi Uredbe o porabi sredstev evropske kohezijske politike v Republiki Sloveniji v programskem obdobju 2014–2020 za cilj naložbe za rast in delovna mesta" w:history="1">
        <w:r w:rsidRPr="00BA5263">
          <w:rPr>
            <w:rStyle w:val="Hiperpovezava"/>
            <w:rFonts w:cs="Arial"/>
            <w:color w:val="auto"/>
            <w:szCs w:val="20"/>
            <w:u w:val="none"/>
            <w:lang w:val="en-US"/>
          </w:rPr>
          <w:t>69/17</w:t>
        </w:r>
      </w:hyperlink>
      <w:r w:rsidRPr="00BA5263">
        <w:rPr>
          <w:rFonts w:cs="Arial"/>
          <w:szCs w:val="20"/>
          <w:lang w:val="en-US"/>
        </w:rPr>
        <w:t xml:space="preserve"> in </w:t>
      </w:r>
      <w:hyperlink r:id="rId13" w:tgtFrame="_blank" w:tooltip="Uredba o spremembi Uredbe o porabi sredstev evropske kohezijske politike v Republiki Sloveniji v programskem obdobju 2014–2020 za cilj naložbe za rast in delovna mesta" w:history="1">
        <w:r w:rsidRPr="00BA5263">
          <w:rPr>
            <w:rStyle w:val="Hiperpovezava"/>
            <w:rFonts w:cs="Arial"/>
            <w:color w:val="auto"/>
            <w:szCs w:val="20"/>
            <w:u w:val="none"/>
            <w:lang w:val="en-US"/>
          </w:rPr>
          <w:t>67/18</w:t>
        </w:r>
      </w:hyperlink>
      <w:r w:rsidRPr="00BA5263">
        <w:rPr>
          <w:rFonts w:cs="Arial"/>
          <w:szCs w:val="20"/>
          <w:lang w:val="en-US"/>
        </w:rPr>
        <w:t>)</w:t>
      </w:r>
      <w:r w:rsidRPr="00BA5263">
        <w:rPr>
          <w:rFonts w:cs="Arial"/>
          <w:bCs/>
          <w:szCs w:val="20"/>
          <w:lang w:eastAsia="sl-SI"/>
        </w:rPr>
        <w:t xml:space="preserve">, v 17.b členu določa Urad Republike Slovenije za nadzor proračuna (v nadaljnjem besedilu: UNP) kot organ, ki spremlja izpolnjevanje zagotovil akreditacije sistema. </w:t>
      </w:r>
    </w:p>
    <w:p w:rsidR="00BA5263" w:rsidRPr="00BA5263" w:rsidRDefault="00BA5263" w:rsidP="00BA5263">
      <w:pPr>
        <w:jc w:val="both"/>
        <w:rPr>
          <w:rFonts w:cs="Arial"/>
          <w:bCs/>
          <w:szCs w:val="20"/>
          <w:lang w:eastAsia="sl-SI"/>
        </w:rPr>
      </w:pPr>
    </w:p>
    <w:p w:rsidR="00BA5263" w:rsidRPr="00BA5263" w:rsidRDefault="00BA5263" w:rsidP="00BA5263">
      <w:pPr>
        <w:jc w:val="both"/>
        <w:rPr>
          <w:rFonts w:cs="Arial"/>
          <w:bCs/>
          <w:szCs w:val="20"/>
          <w:lang w:eastAsia="sl-SI"/>
        </w:rPr>
      </w:pPr>
      <w:r w:rsidRPr="00BA5263">
        <w:rPr>
          <w:rFonts w:cs="Arial"/>
          <w:bCs/>
          <w:szCs w:val="20"/>
          <w:lang w:eastAsia="sl-SI"/>
        </w:rPr>
        <w:t xml:space="preserve">UNP je dolžan spremljati, ali organi, ki so vključeni v sistem izvajanja kohezijske politike, v celotnem finančnem obdobju 2014–2020 izpolnjujejo zagotovila, ki so jih morali izpolnjevati ob akreditaciji sistema. Organi, vključeni v sistem spremljanja, so: </w:t>
      </w:r>
    </w:p>
    <w:p w:rsidR="00BA5263" w:rsidRPr="00BA5263" w:rsidRDefault="00BA5263" w:rsidP="00BA5263">
      <w:pPr>
        <w:numPr>
          <w:ilvl w:val="0"/>
          <w:numId w:val="7"/>
        </w:numPr>
        <w:ind w:hanging="720"/>
        <w:contextualSpacing/>
        <w:jc w:val="both"/>
        <w:rPr>
          <w:rFonts w:cs="Arial"/>
          <w:szCs w:val="20"/>
          <w:lang w:eastAsia="sl-SI"/>
        </w:rPr>
      </w:pPr>
      <w:r w:rsidRPr="00BA5263">
        <w:rPr>
          <w:rFonts w:cs="Arial"/>
          <w:szCs w:val="20"/>
          <w:lang w:eastAsia="sl-SI"/>
        </w:rPr>
        <w:t>Organ upravljanja za operativni program: Služba Vlade Republike Slovenije za razvoj in evropsko kohezijsko politiko, ki je vladna služba, pristojna za razvoj in evropsko kohezijsko politiko;</w:t>
      </w:r>
    </w:p>
    <w:p w:rsidR="00BA5263" w:rsidRPr="00BA5263" w:rsidRDefault="00BA5263" w:rsidP="00BA5263">
      <w:pPr>
        <w:numPr>
          <w:ilvl w:val="0"/>
          <w:numId w:val="7"/>
        </w:numPr>
        <w:ind w:hanging="720"/>
        <w:contextualSpacing/>
        <w:jc w:val="both"/>
        <w:rPr>
          <w:rFonts w:cs="Arial"/>
          <w:szCs w:val="20"/>
          <w:lang w:eastAsia="sl-SI"/>
        </w:rPr>
      </w:pPr>
      <w:r w:rsidRPr="00BA5263">
        <w:rPr>
          <w:rFonts w:cs="Arial"/>
          <w:szCs w:val="20"/>
          <w:lang w:eastAsia="sl-SI"/>
        </w:rPr>
        <w:t>Posredniški organi – ministrstva - pristojna za: delo, družino, socialne zadeve in enake možnosti (MDDSZ), gospodarski razvoj in tehnologijo (MGRT), kulturo (MK), javno upravo (MJU), pravosodje (MP), infrastrukturo (MZI), okolje in prostor (MOP), izobraževanje, znanost in šport (MIZŠ), zdravje (MZ); posredniški organ, določen z Uredbo o porabi sredstev, ki ni ministrstvo, je Združenje mestnih občin Slovenije, ki sodeluje pri izvajanju celostnih teritorialnih naložb;</w:t>
      </w:r>
    </w:p>
    <w:p w:rsidR="00BA5263" w:rsidRPr="00BA5263" w:rsidRDefault="00BA5263" w:rsidP="00BA5263">
      <w:pPr>
        <w:numPr>
          <w:ilvl w:val="0"/>
          <w:numId w:val="7"/>
        </w:numPr>
        <w:ind w:hanging="720"/>
        <w:contextualSpacing/>
        <w:jc w:val="both"/>
        <w:rPr>
          <w:rFonts w:cs="Arial"/>
          <w:szCs w:val="20"/>
          <w:lang w:eastAsia="sl-SI"/>
        </w:rPr>
      </w:pPr>
      <w:r w:rsidRPr="00BA5263">
        <w:rPr>
          <w:rFonts w:cs="Arial"/>
          <w:szCs w:val="20"/>
          <w:lang w:eastAsia="sl-SI"/>
        </w:rPr>
        <w:t>Izvajalski organi: Javni štipendijski, razvojni, invalidski in preživninski sklad Republike Slovenije, Zavod Republike Slovenije za zaposlovanje, Javni sklad Republike Slovenije za podjetništvo, Javni sklad Republike Slovenije za regionalni razvoj in razvoj podeželja ter Javna agencija Republike Slovenije za spodbujanje podjetništva, internacionalizacije, tujih investicij in tehnologije;</w:t>
      </w:r>
    </w:p>
    <w:p w:rsidR="00BA5263" w:rsidRPr="00BA5263" w:rsidRDefault="00BA5263" w:rsidP="00BA5263">
      <w:pPr>
        <w:numPr>
          <w:ilvl w:val="0"/>
          <w:numId w:val="7"/>
        </w:numPr>
        <w:ind w:hanging="720"/>
        <w:contextualSpacing/>
        <w:jc w:val="both"/>
        <w:rPr>
          <w:rFonts w:cs="Arial"/>
          <w:szCs w:val="20"/>
          <w:lang w:eastAsia="sl-SI"/>
        </w:rPr>
      </w:pPr>
      <w:r w:rsidRPr="00BA5263">
        <w:rPr>
          <w:rFonts w:cs="Arial"/>
          <w:szCs w:val="20"/>
          <w:lang w:eastAsia="sl-SI"/>
        </w:rPr>
        <w:t xml:space="preserve">Organ za potrjevanje za operativni program: Sektor za upravljanje s sredstvi EU/CA, ki je notranje organizacijska enota Ministrstva za finance, pristojna za upravljanje sredstev EU. </w:t>
      </w:r>
    </w:p>
    <w:p w:rsidR="00BA5263" w:rsidRPr="00BA5263" w:rsidRDefault="00BA5263" w:rsidP="00BA5263">
      <w:pPr>
        <w:jc w:val="both"/>
        <w:rPr>
          <w:rFonts w:cs="Arial"/>
          <w:bCs/>
          <w:szCs w:val="20"/>
          <w:lang w:eastAsia="sl-SI"/>
        </w:rPr>
      </w:pPr>
    </w:p>
    <w:p w:rsidR="00BA5263" w:rsidRPr="00BA5263" w:rsidRDefault="00BA5263" w:rsidP="00BA5263">
      <w:pPr>
        <w:jc w:val="both"/>
        <w:rPr>
          <w:rFonts w:cs="Arial"/>
          <w:bCs/>
          <w:szCs w:val="20"/>
          <w:lang w:eastAsia="sl-SI"/>
        </w:rPr>
      </w:pPr>
      <w:r w:rsidRPr="00BA5263">
        <w:rPr>
          <w:rFonts w:cs="Arial"/>
          <w:bCs/>
          <w:szCs w:val="20"/>
          <w:lang w:eastAsia="sl-SI"/>
        </w:rPr>
        <w:t>UNP ima sprejet Postopkovnik za izvajanje nalog organa za spremljanje izpolnjevanja zagotovil akreditacije sistema Evropske kohezijske politike za obdobje 2014–2020 in skladno s tem UNP enkrat letno posreduje Vladi Republike Slovenije mnenje glede izpolnjevanja zagotovil akreditacije sistema za operativni program za izvajanje Evropske kohezijske politike v obdobju 2014–2020.</w:t>
      </w:r>
    </w:p>
    <w:p w:rsidR="00BA5263" w:rsidRPr="00BA5263" w:rsidRDefault="00BA5263" w:rsidP="00BA5263">
      <w:pPr>
        <w:jc w:val="both"/>
        <w:rPr>
          <w:rFonts w:cs="Arial"/>
          <w:bCs/>
          <w:szCs w:val="20"/>
          <w:lang w:eastAsia="sl-SI"/>
        </w:rPr>
      </w:pPr>
    </w:p>
    <w:p w:rsidR="00BA5263" w:rsidRPr="00BA5263" w:rsidRDefault="00BA5263" w:rsidP="00BA5263">
      <w:pPr>
        <w:jc w:val="both"/>
        <w:rPr>
          <w:rFonts w:cs="Arial"/>
          <w:bCs/>
          <w:szCs w:val="20"/>
          <w:lang w:eastAsia="sl-SI"/>
        </w:rPr>
      </w:pPr>
      <w:r w:rsidRPr="00BA5263">
        <w:rPr>
          <w:rFonts w:cs="Arial"/>
          <w:bCs/>
          <w:szCs w:val="20"/>
          <w:lang w:eastAsia="sl-SI"/>
        </w:rPr>
        <w:t xml:space="preserve">UNP oceni, ali sistem upravljanja in nadzora daje ustrezna zagotovila, ki so bila dana ob akreditaciji sistema v skladu z zahtevami Evropske komisije, z merili za imenovanje iz Priloge XIII k Uredbi (EU) št. 1303/2013 za </w:t>
      </w:r>
      <w:r w:rsidRPr="00BA5263">
        <w:rPr>
          <w:rFonts w:cs="Arial"/>
          <w:i/>
          <w:szCs w:val="20"/>
          <w:lang w:eastAsia="sl-SI"/>
        </w:rPr>
        <w:t>Operativni program za izvajanje Evropske kohezijske politike v obdobju 2014-2020 (v nadaljnjem besedilu: Operativni program)</w:t>
      </w:r>
      <w:r w:rsidRPr="00BA5263">
        <w:rPr>
          <w:rFonts w:cs="Arial"/>
          <w:bCs/>
          <w:i/>
          <w:szCs w:val="20"/>
          <w:lang w:eastAsia="sl-SI"/>
        </w:rPr>
        <w:t>,</w:t>
      </w:r>
      <w:r w:rsidRPr="00BA5263">
        <w:rPr>
          <w:rFonts w:cs="Arial"/>
          <w:bCs/>
          <w:szCs w:val="20"/>
          <w:lang w:eastAsia="sl-SI"/>
        </w:rPr>
        <w:t xml:space="preserve"> številka (</w:t>
      </w:r>
      <w:r w:rsidRPr="00BA5263">
        <w:rPr>
          <w:rFonts w:cs="Arial"/>
          <w:szCs w:val="20"/>
          <w:lang w:eastAsia="sl-SI"/>
        </w:rPr>
        <w:t xml:space="preserve">CCI) 2014SI16MAOP001, za organ upravljanja Službo Vlade Republike Slovenije za razvoj in </w:t>
      </w:r>
      <w:r w:rsidRPr="00BA5263">
        <w:rPr>
          <w:rFonts w:cs="Arial"/>
          <w:szCs w:val="20"/>
          <w:lang w:eastAsia="sl-SI"/>
        </w:rPr>
        <w:lastRenderedPageBreak/>
        <w:t xml:space="preserve">evropsko kohezijsko politiko </w:t>
      </w:r>
      <w:r w:rsidRPr="00BA5263">
        <w:rPr>
          <w:rFonts w:cs="Arial"/>
          <w:bCs/>
          <w:szCs w:val="20"/>
          <w:lang w:eastAsia="sl-SI"/>
        </w:rPr>
        <w:t xml:space="preserve">(skupaj s posredniškimi in izvajalskimi organi) </w:t>
      </w:r>
      <w:r w:rsidRPr="00BA5263">
        <w:rPr>
          <w:rFonts w:cs="Arial"/>
          <w:szCs w:val="20"/>
          <w:lang w:eastAsia="sl-SI"/>
        </w:rPr>
        <w:t>in organ za potrjevanje Ministrstvo za finance – Sektor za upravljanje s sredstvi EU/CA</w:t>
      </w:r>
      <w:r w:rsidRPr="00BA5263">
        <w:rPr>
          <w:rFonts w:cs="Arial"/>
          <w:bCs/>
          <w:szCs w:val="20"/>
          <w:lang w:eastAsia="sl-SI"/>
        </w:rPr>
        <w:t xml:space="preserve">. </w:t>
      </w:r>
    </w:p>
    <w:p w:rsidR="00BA5263" w:rsidRPr="00BA5263" w:rsidRDefault="00BA5263" w:rsidP="00BA5263">
      <w:pPr>
        <w:jc w:val="both"/>
        <w:rPr>
          <w:rFonts w:cs="Arial"/>
          <w:bCs/>
          <w:szCs w:val="20"/>
          <w:lang w:eastAsia="sl-SI"/>
        </w:rPr>
      </w:pPr>
    </w:p>
    <w:p w:rsidR="00BA5263" w:rsidRDefault="00BA5263" w:rsidP="00BA5263">
      <w:pPr>
        <w:jc w:val="both"/>
        <w:rPr>
          <w:rFonts w:cs="Arial"/>
          <w:bCs/>
          <w:szCs w:val="20"/>
          <w:lang w:eastAsia="sl-SI"/>
        </w:rPr>
      </w:pPr>
      <w:r w:rsidRPr="00BA5263">
        <w:rPr>
          <w:rFonts w:cs="Arial"/>
          <w:bCs/>
          <w:szCs w:val="20"/>
          <w:lang w:eastAsia="sl-SI"/>
        </w:rPr>
        <w:t>OBSEG PREGLEDA</w:t>
      </w:r>
    </w:p>
    <w:p w:rsidR="00C73C72" w:rsidRPr="00BA5263" w:rsidRDefault="00C73C72" w:rsidP="00BA5263">
      <w:pPr>
        <w:jc w:val="both"/>
        <w:rPr>
          <w:rFonts w:cs="Arial"/>
          <w:bCs/>
          <w:szCs w:val="20"/>
          <w:lang w:eastAsia="sl-SI"/>
        </w:rPr>
      </w:pPr>
    </w:p>
    <w:p w:rsidR="00BA5263" w:rsidRPr="00BA5263" w:rsidRDefault="00BA5263" w:rsidP="00BA5263">
      <w:pPr>
        <w:jc w:val="both"/>
        <w:rPr>
          <w:rFonts w:cs="Arial"/>
          <w:bCs/>
          <w:szCs w:val="20"/>
          <w:lang w:eastAsia="sl-SI"/>
        </w:rPr>
      </w:pPr>
      <w:r w:rsidRPr="00BA5263">
        <w:rPr>
          <w:rFonts w:cs="Arial"/>
          <w:bCs/>
          <w:szCs w:val="20"/>
          <w:lang w:eastAsia="sl-SI"/>
        </w:rPr>
        <w:t>V letu 2020 je pregled, enako kot v preteklem letu, z</w:t>
      </w:r>
      <w:r>
        <w:rPr>
          <w:rFonts w:cs="Arial"/>
          <w:bCs/>
          <w:szCs w:val="20"/>
          <w:lang w:eastAsia="sl-SI"/>
        </w:rPr>
        <w:t>ajemal preverjanje posredovanih</w:t>
      </w:r>
      <w:r w:rsidRPr="00BA5263">
        <w:rPr>
          <w:rFonts w:cs="Arial"/>
          <w:bCs/>
          <w:szCs w:val="20"/>
          <w:lang w:eastAsia="sl-SI"/>
        </w:rPr>
        <w:t>:</w:t>
      </w:r>
    </w:p>
    <w:p w:rsidR="00BA5263" w:rsidRPr="00BA5263" w:rsidRDefault="00BA5263" w:rsidP="00BA5263">
      <w:pPr>
        <w:numPr>
          <w:ilvl w:val="0"/>
          <w:numId w:val="8"/>
        </w:numPr>
        <w:ind w:hanging="720"/>
        <w:contextualSpacing/>
        <w:jc w:val="both"/>
        <w:rPr>
          <w:rFonts w:cs="Arial"/>
          <w:szCs w:val="20"/>
          <w:lang w:eastAsia="sl-SI"/>
        </w:rPr>
      </w:pPr>
      <w:r w:rsidRPr="00BA5263">
        <w:rPr>
          <w:rFonts w:cs="Arial"/>
          <w:szCs w:val="20"/>
          <w:lang w:eastAsia="sl-SI"/>
        </w:rPr>
        <w:t>delnih revizijskih poročil in letnega poročila, ki ga pripravi UNP, v vlogi revizijskega organa pri izvedbi operativnega programa,</w:t>
      </w:r>
    </w:p>
    <w:p w:rsidR="00BA5263" w:rsidRPr="00BA5263" w:rsidRDefault="00BA5263" w:rsidP="00BA5263">
      <w:pPr>
        <w:numPr>
          <w:ilvl w:val="0"/>
          <w:numId w:val="8"/>
        </w:numPr>
        <w:ind w:hanging="720"/>
        <w:contextualSpacing/>
        <w:jc w:val="both"/>
        <w:rPr>
          <w:rFonts w:cs="Arial"/>
          <w:szCs w:val="20"/>
          <w:lang w:eastAsia="sl-SI"/>
        </w:rPr>
      </w:pPr>
      <w:r w:rsidRPr="00BA5263">
        <w:rPr>
          <w:rFonts w:cs="Arial"/>
          <w:szCs w:val="20"/>
          <w:lang w:eastAsia="sl-SI"/>
        </w:rPr>
        <w:t>poročil o preverjanjih upravljanja, ki jih pripravi organ upravljanja in posredniški organi,</w:t>
      </w:r>
    </w:p>
    <w:p w:rsidR="00BA5263" w:rsidRPr="00BA5263" w:rsidRDefault="00BA5263" w:rsidP="00BA5263">
      <w:pPr>
        <w:numPr>
          <w:ilvl w:val="0"/>
          <w:numId w:val="8"/>
        </w:numPr>
        <w:ind w:hanging="720"/>
        <w:contextualSpacing/>
        <w:jc w:val="both"/>
        <w:rPr>
          <w:rFonts w:cs="Arial"/>
          <w:szCs w:val="20"/>
          <w:lang w:eastAsia="sl-SI"/>
        </w:rPr>
      </w:pPr>
      <w:r w:rsidRPr="00BA5263">
        <w:rPr>
          <w:rFonts w:cs="Arial"/>
          <w:szCs w:val="20"/>
          <w:lang w:eastAsia="sl-SI"/>
        </w:rPr>
        <w:t>sprememb opisov sistema upravljanja in nadzora in</w:t>
      </w:r>
    </w:p>
    <w:p w:rsidR="00BA5263" w:rsidRPr="00BA5263" w:rsidRDefault="00BA5263" w:rsidP="00BA5263">
      <w:pPr>
        <w:numPr>
          <w:ilvl w:val="0"/>
          <w:numId w:val="8"/>
        </w:numPr>
        <w:ind w:hanging="720"/>
        <w:contextualSpacing/>
        <w:jc w:val="both"/>
        <w:rPr>
          <w:rFonts w:cs="Arial"/>
          <w:szCs w:val="20"/>
          <w:lang w:eastAsia="sl-SI"/>
        </w:rPr>
      </w:pPr>
      <w:r w:rsidRPr="00BA5263">
        <w:rPr>
          <w:rFonts w:cs="Arial"/>
          <w:szCs w:val="20"/>
          <w:lang w:eastAsia="sl-SI"/>
        </w:rPr>
        <w:t xml:space="preserve">ostale dokumentacije, ki se nanaša na sistem izvajanja evropske kohezijske politike, </w:t>
      </w:r>
    </w:p>
    <w:p w:rsidR="00BA5263" w:rsidRPr="00BA5263" w:rsidRDefault="00BA5263" w:rsidP="00BA5263">
      <w:pPr>
        <w:jc w:val="both"/>
        <w:rPr>
          <w:rFonts w:cs="Arial"/>
          <w:bCs/>
          <w:szCs w:val="20"/>
          <w:lang w:eastAsia="sl-SI"/>
        </w:rPr>
      </w:pPr>
      <w:r w:rsidRPr="00BA5263">
        <w:rPr>
          <w:rFonts w:cs="Arial"/>
          <w:bCs/>
          <w:szCs w:val="20"/>
          <w:lang w:eastAsia="sl-SI"/>
        </w:rPr>
        <w:t xml:space="preserve">pri čemer posebnosti, ki bi nakazovale na neizpolnjevanje sistemskih pogojev za imenovanja ob akreditaciji, niso bile zaznane. </w:t>
      </w:r>
    </w:p>
    <w:p w:rsidR="00BA5263" w:rsidRPr="00BA5263" w:rsidRDefault="00BA5263" w:rsidP="00BA5263">
      <w:pPr>
        <w:jc w:val="both"/>
        <w:rPr>
          <w:rFonts w:cs="Arial"/>
          <w:bCs/>
          <w:szCs w:val="20"/>
          <w:lang w:eastAsia="sl-SI"/>
        </w:rPr>
      </w:pPr>
    </w:p>
    <w:p w:rsidR="00BA5263" w:rsidRDefault="00BA5263" w:rsidP="00BA5263">
      <w:pPr>
        <w:jc w:val="both"/>
        <w:rPr>
          <w:rFonts w:cs="Arial"/>
          <w:bCs/>
          <w:szCs w:val="20"/>
          <w:lang w:eastAsia="sl-SI"/>
        </w:rPr>
      </w:pPr>
      <w:r w:rsidRPr="00BA5263">
        <w:rPr>
          <w:rFonts w:cs="Arial"/>
          <w:bCs/>
          <w:szCs w:val="20"/>
          <w:lang w:eastAsia="sl-SI"/>
        </w:rPr>
        <w:t xml:space="preserve">MNENJE </w:t>
      </w:r>
    </w:p>
    <w:p w:rsidR="00BA5263" w:rsidRPr="00BA5263" w:rsidRDefault="00BA5263" w:rsidP="00BA5263">
      <w:pPr>
        <w:jc w:val="both"/>
        <w:rPr>
          <w:rFonts w:cs="Arial"/>
          <w:bCs/>
          <w:szCs w:val="20"/>
          <w:lang w:eastAsia="sl-SI"/>
        </w:rPr>
      </w:pPr>
      <w:bookmarkStart w:id="0" w:name="_GoBack"/>
      <w:bookmarkEnd w:id="0"/>
    </w:p>
    <w:p w:rsidR="00BA5263" w:rsidRPr="00BA5263" w:rsidRDefault="00BA5263" w:rsidP="00BA5263">
      <w:pPr>
        <w:jc w:val="both"/>
        <w:rPr>
          <w:rFonts w:cs="Arial"/>
          <w:bCs/>
          <w:szCs w:val="20"/>
          <w:lang w:eastAsia="sl-SI"/>
        </w:rPr>
      </w:pPr>
      <w:r w:rsidRPr="00BA5263">
        <w:rPr>
          <w:rFonts w:cs="Arial"/>
          <w:bCs/>
          <w:szCs w:val="20"/>
          <w:lang w:eastAsia="sl-SI"/>
        </w:rPr>
        <w:t xml:space="preserve">Na podlagi izvedenega preverjanja </w:t>
      </w:r>
      <w:r w:rsidRPr="00BA5263">
        <w:rPr>
          <w:rFonts w:cs="Arial"/>
          <w:bCs/>
          <w:color w:val="000000"/>
          <w:szCs w:val="20"/>
          <w:lang w:eastAsia="sl-SI"/>
        </w:rPr>
        <w:t>in ocenjevanja</w:t>
      </w:r>
      <w:r w:rsidRPr="00BA5263">
        <w:rPr>
          <w:rFonts w:cs="Arial"/>
          <w:bCs/>
          <w:szCs w:val="20"/>
          <w:lang w:eastAsia="sl-SI"/>
        </w:rPr>
        <w:t xml:space="preserve"> UNP meni, da organ upravljanja (skupaj s posredniškimi in izvajalskimi organi) in organ za potrjevanje, imenovana za operativni program, izpolnjujeta merila za imenovanje ob akreditaciji sistema, ki se nanašajo na notranji nadzor, obvladovanje tveganj, dejavnosti upravljanja in nadzorne dejavnosti ter spremljanje iz Priloge XIII k Uredbi (EU) št. 1303/2013.</w:t>
      </w:r>
    </w:p>
    <w:p w:rsidR="00BA5263" w:rsidRPr="00BA5263" w:rsidRDefault="00BA5263" w:rsidP="00BA5263">
      <w:pPr>
        <w:jc w:val="both"/>
        <w:rPr>
          <w:rFonts w:cs="Arial"/>
          <w:bCs/>
          <w:szCs w:val="20"/>
          <w:lang w:eastAsia="sl-SI"/>
        </w:rPr>
      </w:pPr>
    </w:p>
    <w:p w:rsidR="00BA5263" w:rsidRPr="00BA5263" w:rsidRDefault="00BA5263" w:rsidP="00BA5263">
      <w:pPr>
        <w:tabs>
          <w:tab w:val="left" w:pos="1245"/>
        </w:tabs>
        <w:jc w:val="both"/>
        <w:rPr>
          <w:rFonts w:cs="Arial"/>
          <w:iCs/>
          <w:color w:val="000000"/>
          <w:szCs w:val="20"/>
          <w:lang w:eastAsia="sl-SI"/>
        </w:rPr>
      </w:pPr>
    </w:p>
    <w:p w:rsidR="00BA5263" w:rsidRPr="00BA5263" w:rsidRDefault="00BA5263" w:rsidP="00BA5263">
      <w:pPr>
        <w:tabs>
          <w:tab w:val="left" w:pos="1245"/>
        </w:tabs>
        <w:jc w:val="both"/>
        <w:rPr>
          <w:rFonts w:cs="Arial"/>
          <w:iCs/>
          <w:color w:val="000000"/>
          <w:szCs w:val="20"/>
          <w:lang w:eastAsia="sl-SI"/>
        </w:rPr>
      </w:pPr>
    </w:p>
    <w:p w:rsidR="003636EA" w:rsidRPr="00BA5263" w:rsidRDefault="003636EA" w:rsidP="00BA5263">
      <w:pPr>
        <w:tabs>
          <w:tab w:val="left" w:pos="7920"/>
        </w:tabs>
        <w:autoSpaceDE w:val="0"/>
        <w:autoSpaceDN w:val="0"/>
        <w:adjustRightInd w:val="0"/>
        <w:jc w:val="both"/>
        <w:rPr>
          <w:rFonts w:cs="Arial"/>
          <w:color w:val="000000"/>
          <w:szCs w:val="20"/>
        </w:rPr>
      </w:pPr>
    </w:p>
    <w:p w:rsidR="003636EA" w:rsidRPr="00BA5263" w:rsidRDefault="003636EA" w:rsidP="00BA5263">
      <w:pPr>
        <w:tabs>
          <w:tab w:val="left" w:pos="7920"/>
        </w:tabs>
        <w:autoSpaceDE w:val="0"/>
        <w:autoSpaceDN w:val="0"/>
        <w:adjustRightInd w:val="0"/>
        <w:jc w:val="both"/>
        <w:rPr>
          <w:rFonts w:cs="Arial"/>
          <w:color w:val="000000"/>
          <w:szCs w:val="20"/>
        </w:rPr>
      </w:pPr>
    </w:p>
    <w:p w:rsidR="003636EA" w:rsidRPr="00BA5263" w:rsidRDefault="003636EA" w:rsidP="00BA5263">
      <w:pPr>
        <w:tabs>
          <w:tab w:val="left" w:pos="7920"/>
        </w:tabs>
        <w:autoSpaceDE w:val="0"/>
        <w:autoSpaceDN w:val="0"/>
        <w:adjustRightInd w:val="0"/>
        <w:ind w:left="3400"/>
        <w:rPr>
          <w:rFonts w:cs="Arial"/>
          <w:color w:val="000000"/>
          <w:szCs w:val="20"/>
        </w:rPr>
      </w:pPr>
    </w:p>
    <w:p w:rsidR="003636EA" w:rsidRPr="00BA5263" w:rsidRDefault="002656E3" w:rsidP="00BA5263">
      <w:pPr>
        <w:tabs>
          <w:tab w:val="left" w:pos="7920"/>
        </w:tabs>
        <w:autoSpaceDE w:val="0"/>
        <w:autoSpaceDN w:val="0"/>
        <w:adjustRightInd w:val="0"/>
        <w:ind w:left="3400"/>
        <w:rPr>
          <w:rFonts w:cs="Arial"/>
          <w:color w:val="000000"/>
          <w:szCs w:val="20"/>
          <w:lang w:eastAsia="sl-SI"/>
        </w:rPr>
      </w:pPr>
      <w:r w:rsidRPr="00BA5263">
        <w:rPr>
          <w:rFonts w:cs="Arial"/>
          <w:color w:val="000000"/>
          <w:szCs w:val="20"/>
        </w:rPr>
        <w:t>Mag. Janja Garvas Hočevar</w:t>
      </w:r>
    </w:p>
    <w:p w:rsidR="003636EA" w:rsidRPr="00BA5263" w:rsidRDefault="002656E3" w:rsidP="00BA5263">
      <w:pPr>
        <w:autoSpaceDE w:val="0"/>
        <w:autoSpaceDN w:val="0"/>
        <w:adjustRightInd w:val="0"/>
        <w:ind w:left="3402"/>
        <w:rPr>
          <w:rFonts w:cs="Arial"/>
          <w:color w:val="000000"/>
          <w:szCs w:val="20"/>
        </w:rPr>
      </w:pPr>
      <w:r w:rsidRPr="00BA5263">
        <w:rPr>
          <w:rFonts w:cs="Arial"/>
          <w:color w:val="000000"/>
          <w:szCs w:val="20"/>
        </w:rPr>
        <w:t>vršilka dolžnosti generalnega sekretarja</w:t>
      </w:r>
    </w:p>
    <w:p w:rsidR="003636EA" w:rsidRPr="00BA5263" w:rsidRDefault="003636EA" w:rsidP="00BA5263">
      <w:pPr>
        <w:tabs>
          <w:tab w:val="left" w:pos="7920"/>
        </w:tabs>
        <w:autoSpaceDE w:val="0"/>
        <w:autoSpaceDN w:val="0"/>
        <w:adjustRightInd w:val="0"/>
        <w:jc w:val="both"/>
        <w:rPr>
          <w:rFonts w:cs="Arial"/>
          <w:color w:val="000000"/>
          <w:szCs w:val="20"/>
        </w:rPr>
      </w:pPr>
    </w:p>
    <w:p w:rsidR="00544323" w:rsidRPr="00BA5263" w:rsidRDefault="00544323" w:rsidP="00BA5263">
      <w:pPr>
        <w:tabs>
          <w:tab w:val="left" w:pos="7920"/>
        </w:tabs>
        <w:autoSpaceDE w:val="0"/>
        <w:autoSpaceDN w:val="0"/>
        <w:adjustRightInd w:val="0"/>
        <w:jc w:val="both"/>
        <w:rPr>
          <w:rFonts w:cs="Arial"/>
          <w:color w:val="000000"/>
          <w:szCs w:val="20"/>
        </w:rPr>
      </w:pPr>
    </w:p>
    <w:p w:rsidR="00544323" w:rsidRPr="00BA5263" w:rsidRDefault="00544323" w:rsidP="00BA5263">
      <w:pPr>
        <w:tabs>
          <w:tab w:val="left" w:pos="7920"/>
        </w:tabs>
        <w:autoSpaceDE w:val="0"/>
        <w:autoSpaceDN w:val="0"/>
        <w:adjustRightInd w:val="0"/>
        <w:jc w:val="both"/>
        <w:rPr>
          <w:rFonts w:cs="Arial"/>
          <w:color w:val="000000"/>
          <w:szCs w:val="20"/>
        </w:rPr>
      </w:pPr>
    </w:p>
    <w:p w:rsidR="00544323" w:rsidRPr="00BA5263" w:rsidRDefault="00544323" w:rsidP="00BA5263">
      <w:pPr>
        <w:tabs>
          <w:tab w:val="left" w:pos="7920"/>
        </w:tabs>
        <w:autoSpaceDE w:val="0"/>
        <w:autoSpaceDN w:val="0"/>
        <w:adjustRightInd w:val="0"/>
        <w:jc w:val="both"/>
        <w:rPr>
          <w:rFonts w:cs="Arial"/>
          <w:color w:val="000000"/>
          <w:szCs w:val="20"/>
        </w:rPr>
      </w:pPr>
    </w:p>
    <w:p w:rsidR="00544323" w:rsidRPr="00BA5263" w:rsidRDefault="00544323" w:rsidP="00BA5263">
      <w:pPr>
        <w:tabs>
          <w:tab w:val="left" w:pos="7920"/>
        </w:tabs>
        <w:autoSpaceDE w:val="0"/>
        <w:autoSpaceDN w:val="0"/>
        <w:adjustRightInd w:val="0"/>
        <w:jc w:val="both"/>
        <w:rPr>
          <w:rFonts w:cs="Arial"/>
          <w:color w:val="000000"/>
          <w:szCs w:val="20"/>
        </w:rPr>
      </w:pPr>
    </w:p>
    <w:p w:rsidR="00544323" w:rsidRPr="00BA5263" w:rsidRDefault="00544323" w:rsidP="00BA5263">
      <w:pPr>
        <w:tabs>
          <w:tab w:val="left" w:pos="7920"/>
        </w:tabs>
        <w:autoSpaceDE w:val="0"/>
        <w:autoSpaceDN w:val="0"/>
        <w:adjustRightInd w:val="0"/>
        <w:jc w:val="both"/>
        <w:rPr>
          <w:rFonts w:cs="Arial"/>
          <w:color w:val="000000"/>
          <w:szCs w:val="20"/>
        </w:rPr>
      </w:pPr>
    </w:p>
    <w:p w:rsidR="00642F73" w:rsidRPr="00BA5263" w:rsidRDefault="00642F73" w:rsidP="00BA5263">
      <w:pPr>
        <w:tabs>
          <w:tab w:val="left" w:pos="7920"/>
        </w:tabs>
        <w:autoSpaceDE w:val="0"/>
        <w:autoSpaceDN w:val="0"/>
        <w:adjustRightInd w:val="0"/>
        <w:jc w:val="both"/>
        <w:rPr>
          <w:rFonts w:cs="Arial"/>
          <w:color w:val="000000"/>
          <w:szCs w:val="20"/>
        </w:rPr>
      </w:pPr>
    </w:p>
    <w:p w:rsidR="00642F73" w:rsidRPr="00BA5263" w:rsidRDefault="00642F73" w:rsidP="00BA5263">
      <w:pPr>
        <w:tabs>
          <w:tab w:val="left" w:pos="7920"/>
        </w:tabs>
        <w:autoSpaceDE w:val="0"/>
        <w:autoSpaceDN w:val="0"/>
        <w:adjustRightInd w:val="0"/>
        <w:jc w:val="both"/>
        <w:rPr>
          <w:rFonts w:cs="Arial"/>
          <w:color w:val="000000"/>
          <w:szCs w:val="20"/>
        </w:rPr>
      </w:pPr>
    </w:p>
    <w:sectPr w:rsidR="00642F73" w:rsidRPr="00BA5263" w:rsidSect="005C3E50">
      <w:headerReference w:type="even" r:id="rId14"/>
      <w:headerReference w:type="default" r:id="rId15"/>
      <w:footerReference w:type="even" r:id="rId16"/>
      <w:footerReference w:type="default" r:id="rId17"/>
      <w:headerReference w:type="first" r:id="rId18"/>
      <w:footerReference w:type="first" r:id="rId19"/>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CB7" w:rsidRDefault="00F74CB7" w:rsidP="00767987">
      <w:pPr>
        <w:spacing w:line="240" w:lineRule="auto"/>
      </w:pPr>
      <w:r>
        <w:separator/>
      </w:r>
    </w:p>
  </w:endnote>
  <w:endnote w:type="continuationSeparator" w:id="0">
    <w:p w:rsidR="00F74CB7" w:rsidRDefault="00F74CB7"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05" w:rsidRDefault="0077060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C73C72">
          <w:rPr>
            <w:noProof/>
          </w:rPr>
          <w:t>2</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CB7" w:rsidRDefault="00F74CB7" w:rsidP="00767987">
      <w:pPr>
        <w:spacing w:line="240" w:lineRule="auto"/>
      </w:pPr>
      <w:r>
        <w:separator/>
      </w:r>
    </w:p>
  </w:footnote>
  <w:footnote w:type="continuationSeparator" w:id="0">
    <w:p w:rsidR="00F74CB7" w:rsidRDefault="00F74CB7"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05" w:rsidRDefault="0077060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05" w:rsidRDefault="00770605">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1979"/>
    <w:multiLevelType w:val="hybridMultilevel"/>
    <w:tmpl w:val="E55E0892"/>
    <w:lvl w:ilvl="0" w:tplc="236A24B2">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5A90954"/>
    <w:multiLevelType w:val="hybridMultilevel"/>
    <w:tmpl w:val="34A044C6"/>
    <w:lvl w:ilvl="0" w:tplc="2BF60A90">
      <w:numFmt w:val="bullet"/>
      <w:lvlText w:val="−"/>
      <w:lvlJc w:val="left"/>
      <w:pPr>
        <w:ind w:left="720" w:hanging="360"/>
      </w:pPr>
      <w:rPr>
        <w:rFonts w:ascii="Arial" w:eastAsia="Calibri"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A6433FA"/>
    <w:multiLevelType w:val="hybridMultilevel"/>
    <w:tmpl w:val="74CADEAE"/>
    <w:lvl w:ilvl="0" w:tplc="2BF60A90">
      <w:numFmt w:val="bullet"/>
      <w:lvlText w:val="−"/>
      <w:lvlJc w:val="left"/>
      <w:pPr>
        <w:ind w:left="720" w:hanging="360"/>
      </w:pPr>
      <w:rPr>
        <w:rFonts w:ascii="Arial" w:eastAsia="Calibri"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6" w15:restartNumberingAfterBreak="0">
    <w:nsid w:val="73583954"/>
    <w:multiLevelType w:val="hybridMultilevel"/>
    <w:tmpl w:val="00565E0E"/>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3242B"/>
    <w:rsid w:val="000718ED"/>
    <w:rsid w:val="000B3FE6"/>
    <w:rsid w:val="000E21B2"/>
    <w:rsid w:val="00204177"/>
    <w:rsid w:val="002656E3"/>
    <w:rsid w:val="003636EA"/>
    <w:rsid w:val="00366636"/>
    <w:rsid w:val="00367DE6"/>
    <w:rsid w:val="003B3E19"/>
    <w:rsid w:val="004076C6"/>
    <w:rsid w:val="004B7F76"/>
    <w:rsid w:val="004E1BCE"/>
    <w:rsid w:val="00544323"/>
    <w:rsid w:val="00552E5C"/>
    <w:rsid w:val="00592079"/>
    <w:rsid w:val="005C3E50"/>
    <w:rsid w:val="00642F73"/>
    <w:rsid w:val="00682FFE"/>
    <w:rsid w:val="00692EB6"/>
    <w:rsid w:val="006B2E27"/>
    <w:rsid w:val="006C69EC"/>
    <w:rsid w:val="007039D0"/>
    <w:rsid w:val="00710C90"/>
    <w:rsid w:val="00717DDF"/>
    <w:rsid w:val="00767987"/>
    <w:rsid w:val="00770605"/>
    <w:rsid w:val="00782FD4"/>
    <w:rsid w:val="0078462B"/>
    <w:rsid w:val="007D04F3"/>
    <w:rsid w:val="00811140"/>
    <w:rsid w:val="00834401"/>
    <w:rsid w:val="008A3F94"/>
    <w:rsid w:val="008D30A8"/>
    <w:rsid w:val="00904A48"/>
    <w:rsid w:val="00980294"/>
    <w:rsid w:val="009C5392"/>
    <w:rsid w:val="009D240E"/>
    <w:rsid w:val="009E0C40"/>
    <w:rsid w:val="00A50E4B"/>
    <w:rsid w:val="00A715DC"/>
    <w:rsid w:val="00A9231D"/>
    <w:rsid w:val="00B01357"/>
    <w:rsid w:val="00B40287"/>
    <w:rsid w:val="00BA5263"/>
    <w:rsid w:val="00C0216A"/>
    <w:rsid w:val="00C73C72"/>
    <w:rsid w:val="00CA1460"/>
    <w:rsid w:val="00CC6C23"/>
    <w:rsid w:val="00CD6077"/>
    <w:rsid w:val="00CE234E"/>
    <w:rsid w:val="00D02973"/>
    <w:rsid w:val="00DA09BE"/>
    <w:rsid w:val="00DE3553"/>
    <w:rsid w:val="00E30579"/>
    <w:rsid w:val="00E37094"/>
    <w:rsid w:val="00F46C2D"/>
    <w:rsid w:val="00F74CB7"/>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character" w:styleId="Hiperpovezava">
    <w:name w:val="Hyperlink"/>
    <w:basedOn w:val="Privzetapisavaodstavka"/>
    <w:uiPriority w:val="99"/>
    <w:semiHidden/>
    <w:unhideWhenUsed/>
    <w:rsid w:val="00BA5263"/>
    <w:rPr>
      <w:color w:val="0000FF"/>
      <w:u w:val="single"/>
    </w:rPr>
  </w:style>
  <w:style w:type="paragraph" w:styleId="Besedilooblaka">
    <w:name w:val="Balloon Text"/>
    <w:basedOn w:val="Navaden"/>
    <w:link w:val="BesedilooblakaZnak"/>
    <w:uiPriority w:val="99"/>
    <w:semiHidden/>
    <w:unhideWhenUsed/>
    <w:rsid w:val="00BA526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A52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8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1589" TargetMode="External"/><Relationship Id="rId13" Type="http://schemas.openxmlformats.org/officeDocument/2006/relationships/hyperlink" Target="http://www.uradni-list.si/1/objava.jsp?sop=2018-01-3316"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15-01-1251" TargetMode="External"/><Relationship Id="rId12" Type="http://schemas.openxmlformats.org/officeDocument/2006/relationships/hyperlink" Target="http://www.uradni-list.si/1/objava.jsp?sop=2017-01-336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7-01-079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radni-list.si/1/objava.jsp?sop=2016-21-2983"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uradni-list.si/1/objava.jsp?sop=2016-01-2481"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897</Words>
  <Characters>5114</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 Barbara Kunaver</cp:lastModifiedBy>
  <cp:revision>4</cp:revision>
  <dcterms:created xsi:type="dcterms:W3CDTF">2021-03-30T11:24:00Z</dcterms:created>
  <dcterms:modified xsi:type="dcterms:W3CDTF">2021-03-30T12:34:00Z</dcterms:modified>
</cp:coreProperties>
</file>