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23A4D" w14:textId="77777777" w:rsidR="0007238C" w:rsidRPr="005E7FFE" w:rsidRDefault="00FE6D9D" w:rsidP="00AE1F83">
      <w:pPr>
        <w:spacing w:after="0" w:line="260" w:lineRule="exact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drawing>
          <wp:anchor distT="0" distB="0" distL="114300" distR="114300" simplePos="0" relativeHeight="251657216" behindDoc="0" locked="0" layoutInCell="1" allowOverlap="1" wp14:anchorId="4DCE44A6" wp14:editId="7D2C726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19050" t="0" r="2540" b="0"/>
            <wp:wrapSquare wrapText="bothSides"/>
            <wp:docPr id="3" name="Slika 2" descr="0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03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33791C" w14:textId="77777777" w:rsidR="0007238C" w:rsidRPr="005E7FFE" w:rsidRDefault="00FE6D9D" w:rsidP="0007238C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 w:val="16"/>
          <w:lang w:val="sl-SI"/>
        </w:rPr>
      </w:pPr>
      <w:r>
        <w:rPr>
          <w:rFonts w:cs="Arial"/>
          <w:noProof/>
          <w:sz w:val="16"/>
          <w:lang w:val="sl-SI" w:eastAsia="sl-SI"/>
        </w:rPr>
        <w:drawing>
          <wp:anchor distT="0" distB="0" distL="114300" distR="114300" simplePos="0" relativeHeight="251658240" behindDoc="0" locked="0" layoutInCell="1" allowOverlap="1" wp14:anchorId="2D2E2BBE" wp14:editId="5F50ECC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19050" t="0" r="2540" b="0"/>
            <wp:wrapSquare wrapText="bothSides"/>
            <wp:docPr id="2" name="Slika 3" descr="0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03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38C" w:rsidRPr="005E7FFE">
        <w:rPr>
          <w:rFonts w:cs="Arial"/>
          <w:sz w:val="16"/>
          <w:lang w:val="sl-SI"/>
        </w:rPr>
        <w:t>Štefanova ulica 2, 1501 Ljubljana</w:t>
      </w:r>
      <w:r w:rsidR="0007238C" w:rsidRPr="005E7FFE">
        <w:rPr>
          <w:rFonts w:cs="Arial"/>
          <w:sz w:val="16"/>
          <w:lang w:val="sl-SI"/>
        </w:rPr>
        <w:tab/>
        <w:t>T: 01 428 40 00</w:t>
      </w:r>
    </w:p>
    <w:p w14:paraId="41B9F88B" w14:textId="77777777" w:rsidR="0007238C" w:rsidRPr="005E7FFE" w:rsidRDefault="0007238C" w:rsidP="0007238C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lang w:val="sl-SI"/>
        </w:rPr>
      </w:pPr>
      <w:r w:rsidRPr="005E7FFE">
        <w:rPr>
          <w:rFonts w:cs="Arial"/>
          <w:sz w:val="16"/>
          <w:lang w:val="sl-SI"/>
        </w:rPr>
        <w:tab/>
        <w:t>F: 01 428 47 33</w:t>
      </w:r>
    </w:p>
    <w:p w14:paraId="1680D061" w14:textId="77777777" w:rsidR="0007238C" w:rsidRPr="005E7FFE" w:rsidRDefault="0007238C" w:rsidP="0007238C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lang w:val="sl-SI"/>
        </w:rPr>
      </w:pPr>
      <w:r w:rsidRPr="005E7FFE">
        <w:rPr>
          <w:rFonts w:cs="Arial"/>
          <w:sz w:val="16"/>
          <w:lang w:val="sl-SI"/>
        </w:rPr>
        <w:tab/>
        <w:t>E: gp.mnz@gov.si</w:t>
      </w:r>
    </w:p>
    <w:p w14:paraId="66C6D195" w14:textId="77777777" w:rsidR="0007238C" w:rsidRPr="005E7FFE" w:rsidRDefault="0007238C" w:rsidP="0007238C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lang w:val="sl-SI"/>
        </w:rPr>
      </w:pPr>
      <w:r w:rsidRPr="005E7FFE">
        <w:rPr>
          <w:rFonts w:cs="Arial"/>
          <w:sz w:val="16"/>
          <w:lang w:val="sl-SI"/>
        </w:rPr>
        <w:tab/>
        <w:t>www.mnz.gov.si</w:t>
      </w:r>
    </w:p>
    <w:p w14:paraId="746331BE" w14:textId="77777777" w:rsidR="0007238C" w:rsidRPr="005E7FFE" w:rsidRDefault="0007238C" w:rsidP="00AE1F83">
      <w:pPr>
        <w:spacing w:after="0" w:line="260" w:lineRule="exact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C784674" w14:textId="77777777" w:rsidR="00C22B98" w:rsidRPr="005E7FFE" w:rsidRDefault="00C22B98" w:rsidP="00AE1F83">
      <w:pPr>
        <w:spacing w:after="0" w:line="260" w:lineRule="exact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AE1F83" w:rsidRPr="005E7FFE" w14:paraId="4E3B7FD3" w14:textId="77777777" w:rsidTr="00D02DF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D339081" w14:textId="32F633BA" w:rsidR="00AE1F83" w:rsidRPr="005E7FFE" w:rsidRDefault="00AE1F83" w:rsidP="00CD7C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6D2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500-148/2022/4</w:t>
            </w:r>
            <w:r w:rsidR="00A76BE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(102-22)</w:t>
            </w:r>
          </w:p>
        </w:tc>
      </w:tr>
      <w:tr w:rsidR="00AE1F83" w:rsidRPr="005E7FFE" w14:paraId="31822090" w14:textId="77777777" w:rsidTr="00D02DF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BA3AF1F" w14:textId="5C4C8114" w:rsidR="00AE1F83" w:rsidRPr="005E7FFE" w:rsidRDefault="00AE1F83" w:rsidP="00F84F0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F84F0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</w:t>
            </w:r>
            <w:r w:rsidR="006D2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3. 2022</w:t>
            </w:r>
          </w:p>
        </w:tc>
      </w:tr>
      <w:tr w:rsidR="00AE1F83" w:rsidRPr="005E7FFE" w14:paraId="62CDCA2F" w14:textId="77777777" w:rsidTr="00D02DF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8280828" w14:textId="0267B841" w:rsidR="00AE1F83" w:rsidRPr="005E7FFE" w:rsidRDefault="00AE1F83" w:rsidP="00CD7C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</w:t>
            </w:r>
            <w:r w:rsidR="00A76BE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A76BEE" w:rsidRPr="00357BD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se akt objavi v Uradnem listu RS)</w:t>
            </w:r>
          </w:p>
        </w:tc>
      </w:tr>
      <w:tr w:rsidR="00AE1F83" w:rsidRPr="005E7FFE" w14:paraId="5B030DB2" w14:textId="77777777" w:rsidTr="00D02DF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204FEA25" w14:textId="77777777" w:rsidR="00AE1F83" w:rsidRPr="005E7FFE" w:rsidRDefault="00AE1F83" w:rsidP="00CD7C8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E7FFE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34D64005" w14:textId="77777777" w:rsidR="00AE1F83" w:rsidRPr="005E7FFE" w:rsidRDefault="00FF797C" w:rsidP="00CD7C8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AE1F83" w:rsidRPr="005E7FFE">
                <w:rPr>
                  <w:rFonts w:ascii="Arial" w:eastAsia="Times New Roman" w:hAnsi="Arial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1A62CA99" w14:textId="77777777" w:rsidR="00AE1F83" w:rsidRPr="005E7FFE" w:rsidRDefault="00AE1F83" w:rsidP="00CD7C8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5E7FFE" w14:paraId="42B3C320" w14:textId="77777777" w:rsidTr="00D02DFA">
        <w:tc>
          <w:tcPr>
            <w:tcW w:w="9163" w:type="dxa"/>
            <w:gridSpan w:val="4"/>
          </w:tcPr>
          <w:p w14:paraId="1F3155C2" w14:textId="77777777" w:rsidR="00AE1F83" w:rsidRPr="005E7FFE" w:rsidRDefault="00AE1F83" w:rsidP="00CD7C8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bookmarkStart w:id="1" w:name="_Hlk96517602"/>
            <w:r w:rsidR="003E42C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Napotitev policijskih atašejev </w:t>
            </w:r>
            <w:r w:rsidR="00BA7C21" w:rsidRPr="005E7FF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Republike Slovenije</w:t>
            </w:r>
            <w:r w:rsidR="003E42C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6D57C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 Madžarsko in v Črno goro ter nerezidenčno pokrivanje Republike Kosovo, Republike Albanije, Republike Bolgarije, Romunije in Slovaške republike z obstoječo mrežo policijskih atašejev</w:t>
            </w:r>
            <w:r w:rsidR="003E42C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bookmarkEnd w:id="1"/>
            <w:r w:rsidR="00F90E69" w:rsidRPr="005E7FF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– predlog za </w:t>
            </w:r>
            <w:r w:rsidRPr="005E7FF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obravnavo </w:t>
            </w:r>
          </w:p>
        </w:tc>
      </w:tr>
      <w:tr w:rsidR="00AE1F83" w:rsidRPr="005E7FFE" w14:paraId="229C4D58" w14:textId="77777777" w:rsidTr="00D02DFA">
        <w:tc>
          <w:tcPr>
            <w:tcW w:w="9163" w:type="dxa"/>
            <w:gridSpan w:val="4"/>
          </w:tcPr>
          <w:p w14:paraId="05517FB1" w14:textId="77777777" w:rsidR="00AE1F83" w:rsidRPr="005E7FFE" w:rsidRDefault="00072F56" w:rsidP="00CD7C8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04CE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AE1F83" w:rsidRPr="005E7FFE" w14:paraId="4A1D1767" w14:textId="77777777" w:rsidTr="00D02DFA">
        <w:tc>
          <w:tcPr>
            <w:tcW w:w="9163" w:type="dxa"/>
            <w:gridSpan w:val="4"/>
          </w:tcPr>
          <w:p w14:paraId="614FEA9B" w14:textId="77777777" w:rsidR="0007238C" w:rsidRPr="005E7FFE" w:rsidRDefault="0007238C" w:rsidP="00CD7C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Na podlagi šestega odstavka 21. člena Zakona o Vladi Republike Slovenije (Uradni list RS, št. 24/05 – uradno prečiščeno besedilo, 109/08, 38/10 – ZUKN, 8/12</w:t>
            </w:r>
            <w:r w:rsidR="006D57C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r w:rsidR="006D57C8" w:rsidRPr="00072F5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21/13, 47/13</w:t>
            </w:r>
            <w:r w:rsidR="00C22B98" w:rsidRPr="00072F5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– ZDU-1G, </w:t>
            </w:r>
            <w:r w:rsidR="006D57C8" w:rsidRPr="00072F56">
              <w:rPr>
                <w:rFonts w:ascii="Arial" w:hAnsi="Arial" w:cs="Arial"/>
              </w:rPr>
              <w:t xml:space="preserve">65/14 </w:t>
            </w:r>
            <w:r w:rsidR="00C22B98" w:rsidRPr="00072F56">
              <w:rPr>
                <w:rFonts w:ascii="Arial" w:hAnsi="Arial" w:cs="Arial"/>
                <w:sz w:val="20"/>
                <w:szCs w:val="20"/>
              </w:rPr>
              <w:t>in 55/17</w:t>
            </w:r>
            <w:r w:rsidRPr="00072F5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</w:t>
            </w:r>
            <w:r w:rsidRPr="005E7FF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je Vlada Republike Slovenije  na ……. seji, dne ……………. sprejela naslednji </w:t>
            </w:r>
          </w:p>
          <w:p w14:paraId="51E81AA4" w14:textId="77777777" w:rsidR="0007238C" w:rsidRPr="005E7FFE" w:rsidRDefault="0007238C" w:rsidP="00CD7C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5052F9B7" w14:textId="77777777" w:rsidR="0007238C" w:rsidRPr="005E7FFE" w:rsidRDefault="0007238C" w:rsidP="00CD7C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SKLEP</w:t>
            </w:r>
          </w:p>
          <w:p w14:paraId="1A42D027" w14:textId="77777777" w:rsidR="0007238C" w:rsidRPr="005E7FFE" w:rsidRDefault="0007238C" w:rsidP="00CD7C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10382683" w14:textId="77777777" w:rsidR="00710128" w:rsidRPr="00710128" w:rsidRDefault="00EF1EBD" w:rsidP="00CD7C8B">
            <w:pPr>
              <w:numPr>
                <w:ilvl w:val="0"/>
                <w:numId w:val="12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128">
              <w:rPr>
                <w:rFonts w:ascii="Arial" w:hAnsi="Arial" w:cs="Arial"/>
                <w:sz w:val="20"/>
                <w:szCs w:val="20"/>
              </w:rPr>
              <w:t xml:space="preserve">Vlada Republike Slovenije </w:t>
            </w:r>
            <w:r w:rsidR="0070256F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Pr="00710128">
              <w:rPr>
                <w:rFonts w:ascii="Arial" w:hAnsi="Arial" w:cs="Arial"/>
                <w:sz w:val="20"/>
                <w:szCs w:val="20"/>
              </w:rPr>
              <w:t>odobri</w:t>
            </w:r>
            <w:r w:rsidR="0070256F">
              <w:rPr>
                <w:rFonts w:ascii="Arial" w:hAnsi="Arial" w:cs="Arial"/>
                <w:sz w:val="20"/>
                <w:szCs w:val="20"/>
              </w:rPr>
              <w:t>la</w:t>
            </w:r>
            <w:r w:rsidRPr="00710128">
              <w:rPr>
                <w:rFonts w:ascii="Arial" w:hAnsi="Arial" w:cs="Arial"/>
                <w:sz w:val="20"/>
                <w:szCs w:val="20"/>
              </w:rPr>
              <w:t xml:space="preserve"> napotitev policijskih atašejev </w:t>
            </w:r>
            <w:r w:rsidR="006D57C8">
              <w:rPr>
                <w:rFonts w:ascii="Arial" w:hAnsi="Arial" w:cs="Arial"/>
                <w:sz w:val="20"/>
                <w:szCs w:val="20"/>
              </w:rPr>
              <w:t xml:space="preserve">na Madžarsko (Budimpešta) in Črno goro (Podgorica) ter </w:t>
            </w:r>
            <w:r w:rsidR="00FE1F14" w:rsidRPr="00FE1F14">
              <w:rPr>
                <w:rFonts w:ascii="Arial" w:hAnsi="Arial" w:cs="Arial"/>
                <w:sz w:val="20"/>
                <w:szCs w:val="20"/>
              </w:rPr>
              <w:t>nerezidenčno pokrivanje Republike Kosovo</w:t>
            </w:r>
            <w:r w:rsidR="00FE1F14">
              <w:rPr>
                <w:rFonts w:ascii="Arial" w:hAnsi="Arial" w:cs="Arial"/>
                <w:sz w:val="20"/>
                <w:szCs w:val="20"/>
              </w:rPr>
              <w:t xml:space="preserve"> (Priština)</w:t>
            </w:r>
            <w:r w:rsidR="00FE1F14" w:rsidRPr="00FE1F14">
              <w:rPr>
                <w:rFonts w:ascii="Arial" w:hAnsi="Arial" w:cs="Arial"/>
                <w:sz w:val="20"/>
                <w:szCs w:val="20"/>
              </w:rPr>
              <w:t>, Republike Albanij</w:t>
            </w:r>
            <w:r w:rsidR="00FE1F14">
              <w:rPr>
                <w:rFonts w:ascii="Arial" w:hAnsi="Arial" w:cs="Arial"/>
                <w:sz w:val="20"/>
                <w:szCs w:val="20"/>
              </w:rPr>
              <w:t>e (Tirana)</w:t>
            </w:r>
            <w:r w:rsidR="00FE1F14" w:rsidRPr="00FE1F14">
              <w:rPr>
                <w:rFonts w:ascii="Arial" w:hAnsi="Arial" w:cs="Arial"/>
                <w:sz w:val="20"/>
                <w:szCs w:val="20"/>
              </w:rPr>
              <w:t>, Republike Bolgarije</w:t>
            </w:r>
            <w:r w:rsidR="00FE1F14">
              <w:rPr>
                <w:rFonts w:ascii="Arial" w:hAnsi="Arial" w:cs="Arial"/>
                <w:sz w:val="20"/>
                <w:szCs w:val="20"/>
              </w:rPr>
              <w:t xml:space="preserve"> (Sofija)</w:t>
            </w:r>
            <w:r w:rsidR="00FE1F14" w:rsidRPr="00FE1F14">
              <w:rPr>
                <w:rFonts w:ascii="Arial" w:hAnsi="Arial" w:cs="Arial"/>
                <w:sz w:val="20"/>
                <w:szCs w:val="20"/>
              </w:rPr>
              <w:t>, Romunije</w:t>
            </w:r>
            <w:r w:rsidR="00FE1F14">
              <w:rPr>
                <w:rFonts w:ascii="Arial" w:hAnsi="Arial" w:cs="Arial"/>
                <w:sz w:val="20"/>
                <w:szCs w:val="20"/>
              </w:rPr>
              <w:t xml:space="preserve"> (Bukarešta)</w:t>
            </w:r>
            <w:r w:rsidR="00FE1F14" w:rsidRPr="00FE1F14">
              <w:rPr>
                <w:rFonts w:ascii="Arial" w:hAnsi="Arial" w:cs="Arial"/>
                <w:sz w:val="20"/>
                <w:szCs w:val="20"/>
              </w:rPr>
              <w:t xml:space="preserve"> in Slovaške republike</w:t>
            </w:r>
            <w:r w:rsidR="00FE1F14">
              <w:rPr>
                <w:rFonts w:ascii="Arial" w:hAnsi="Arial" w:cs="Arial"/>
                <w:sz w:val="20"/>
                <w:szCs w:val="20"/>
              </w:rPr>
              <w:t xml:space="preserve"> (Bratislava)</w:t>
            </w:r>
            <w:r w:rsidR="00FE1F14" w:rsidRPr="00FE1F14">
              <w:rPr>
                <w:rFonts w:ascii="Arial" w:hAnsi="Arial" w:cs="Arial"/>
                <w:sz w:val="20"/>
                <w:szCs w:val="20"/>
              </w:rPr>
              <w:t xml:space="preserve"> z obstoječo mrežo </w:t>
            </w:r>
            <w:r w:rsidR="00FE1F14">
              <w:rPr>
                <w:rFonts w:ascii="Arial" w:hAnsi="Arial" w:cs="Arial"/>
                <w:sz w:val="20"/>
                <w:szCs w:val="20"/>
              </w:rPr>
              <w:t xml:space="preserve">rezidenčnih </w:t>
            </w:r>
            <w:r w:rsidR="00FE1F14" w:rsidRPr="00FE1F14">
              <w:rPr>
                <w:rFonts w:ascii="Arial" w:hAnsi="Arial" w:cs="Arial"/>
                <w:sz w:val="20"/>
                <w:szCs w:val="20"/>
              </w:rPr>
              <w:t>policijskih atašejev</w:t>
            </w:r>
            <w:r w:rsidR="00FE1F1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2A27DC" w14:textId="77777777" w:rsidR="00710128" w:rsidRDefault="00710128" w:rsidP="00CD7C8B">
            <w:pPr>
              <w:numPr>
                <w:ilvl w:val="0"/>
                <w:numId w:val="12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128">
              <w:rPr>
                <w:rFonts w:ascii="Arial" w:hAnsi="Arial" w:cs="Arial"/>
                <w:sz w:val="20"/>
                <w:szCs w:val="20"/>
              </w:rPr>
              <w:t xml:space="preserve">Vlada Republike Slovenije </w:t>
            </w:r>
            <w:r w:rsidR="0070256F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Pr="00710128">
              <w:rPr>
                <w:rFonts w:ascii="Arial" w:hAnsi="Arial" w:cs="Arial"/>
                <w:sz w:val="20"/>
                <w:szCs w:val="20"/>
              </w:rPr>
              <w:t>zadolži</w:t>
            </w:r>
            <w:r w:rsidR="0070256F">
              <w:rPr>
                <w:rFonts w:ascii="Arial" w:hAnsi="Arial" w:cs="Arial"/>
                <w:sz w:val="20"/>
                <w:szCs w:val="20"/>
              </w:rPr>
              <w:t>la</w:t>
            </w:r>
            <w:r w:rsidRPr="00710128">
              <w:rPr>
                <w:rFonts w:ascii="Arial" w:hAnsi="Arial" w:cs="Arial"/>
                <w:sz w:val="20"/>
                <w:szCs w:val="20"/>
              </w:rPr>
              <w:t xml:space="preserve"> Ministrstvo za notranje zadeve in Ministrstvo za zunanje zadeve, da izvede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 w:rsidRPr="00710128">
              <w:rPr>
                <w:rFonts w:ascii="Arial" w:hAnsi="Arial" w:cs="Arial"/>
                <w:sz w:val="20"/>
                <w:szCs w:val="20"/>
              </w:rPr>
              <w:t xml:space="preserve"> postopek napotitve policijsk</w:t>
            </w:r>
            <w:r>
              <w:rPr>
                <w:rFonts w:ascii="Arial" w:hAnsi="Arial" w:cs="Arial"/>
                <w:sz w:val="20"/>
                <w:szCs w:val="20"/>
              </w:rPr>
              <w:t>ih</w:t>
            </w:r>
            <w:r w:rsidRPr="00710128">
              <w:rPr>
                <w:rFonts w:ascii="Arial" w:hAnsi="Arial" w:cs="Arial"/>
                <w:sz w:val="20"/>
                <w:szCs w:val="20"/>
              </w:rPr>
              <w:t xml:space="preserve"> atašej</w:t>
            </w:r>
            <w:r>
              <w:rPr>
                <w:rFonts w:ascii="Arial" w:hAnsi="Arial" w:cs="Arial"/>
                <w:sz w:val="20"/>
                <w:szCs w:val="20"/>
              </w:rPr>
              <w:t>ev</w:t>
            </w:r>
            <w:r w:rsidRPr="00710128">
              <w:rPr>
                <w:rFonts w:ascii="Arial" w:hAnsi="Arial" w:cs="Arial"/>
                <w:sz w:val="20"/>
                <w:szCs w:val="20"/>
              </w:rPr>
              <w:t xml:space="preserve"> na delo v tujino</w:t>
            </w:r>
            <w:r w:rsidR="00FE1F14">
              <w:rPr>
                <w:rFonts w:ascii="Arial" w:hAnsi="Arial" w:cs="Arial"/>
                <w:sz w:val="20"/>
                <w:szCs w:val="20"/>
              </w:rPr>
              <w:t xml:space="preserve"> in postopek nerezidenčnega pokrivanja z obstoječo mrežo policijskih atašejev v tujini</w:t>
            </w:r>
            <w:r w:rsidRPr="0071012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480C92" w14:textId="77777777" w:rsidR="00072F56" w:rsidRDefault="00072F56" w:rsidP="00CD7C8B">
            <w:pPr>
              <w:spacing w:line="260" w:lineRule="exact"/>
              <w:ind w:left="70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171B39" w14:textId="77777777" w:rsidR="00072F56" w:rsidRPr="00304CEE" w:rsidRDefault="00072F56" w:rsidP="00CD7C8B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60" w:lineRule="exact"/>
              <w:ind w:left="4287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4CE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mag. Janja Garvas Hočevar</w:t>
            </w:r>
          </w:p>
          <w:p w14:paraId="717C3FE8" w14:textId="77777777" w:rsidR="00072F56" w:rsidRPr="00304CEE" w:rsidRDefault="00072F56" w:rsidP="00CD7C8B">
            <w:pPr>
              <w:autoSpaceDE w:val="0"/>
              <w:autoSpaceDN w:val="0"/>
              <w:adjustRightInd w:val="0"/>
              <w:spacing w:after="0" w:line="260" w:lineRule="exact"/>
              <w:ind w:left="4287"/>
              <w:rPr>
                <w:rFonts w:ascii="Arial" w:eastAsia="Times New Roman" w:hAnsi="Arial" w:cs="Arial"/>
                <w:sz w:val="20"/>
                <w:szCs w:val="20"/>
              </w:rPr>
            </w:pPr>
            <w:r w:rsidRPr="00304CEE">
              <w:rPr>
                <w:rFonts w:ascii="Arial" w:eastAsia="Times New Roman" w:hAnsi="Arial" w:cs="Arial"/>
                <w:sz w:val="20"/>
                <w:szCs w:val="20"/>
              </w:rPr>
              <w:t>v. d. generalne sekretarke</w:t>
            </w:r>
          </w:p>
          <w:p w14:paraId="46AC9E31" w14:textId="77777777" w:rsidR="0007238C" w:rsidRDefault="0007238C" w:rsidP="00CD7C8B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73DA1D4" w14:textId="77777777" w:rsidR="00B36686" w:rsidRPr="00B36686" w:rsidRDefault="00B36686" w:rsidP="00CD7C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B3668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Priloga:</w:t>
            </w:r>
          </w:p>
          <w:p w14:paraId="42762EA9" w14:textId="77777777" w:rsidR="006A09A8" w:rsidRPr="006A09A8" w:rsidRDefault="006A09A8" w:rsidP="00CD7C8B">
            <w:pPr>
              <w:pStyle w:val="Odstavekseznama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hAnsi="Arial" w:cs="Arial"/>
                <w:iCs/>
                <w:sz w:val="20"/>
                <w:szCs w:val="20"/>
                <w:lang w:val="sl-SI" w:eastAsia="sl-SI"/>
              </w:rPr>
            </w:pPr>
            <w:r w:rsidRPr="006A09A8">
              <w:rPr>
                <w:rFonts w:ascii="Arial" w:hAnsi="Arial" w:cs="Arial"/>
                <w:iCs/>
                <w:sz w:val="20"/>
                <w:szCs w:val="20"/>
                <w:lang w:val="sl-SI" w:eastAsia="sl-SI"/>
              </w:rPr>
              <w:t>Informacija o nameravani napotitvi policijskih atašejev Republike Slovenije na Madžarsko in v Črno goro ter nerezidenčno pokrivanje Republike Kosovo, Republike Albanije, Republike Bolgarije, Romunije in Slovaške republike z obstoječo mrežo policijskih atašejev</w:t>
            </w:r>
          </w:p>
          <w:p w14:paraId="4AE8F1C5" w14:textId="77777777" w:rsidR="00B36686" w:rsidRPr="00B36686" w:rsidRDefault="00B36686" w:rsidP="00CD7C8B">
            <w:pPr>
              <w:pStyle w:val="Odstavekseznama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val="sl-SI" w:eastAsia="sl-SI"/>
              </w:rPr>
            </w:pPr>
          </w:p>
          <w:p w14:paraId="658FED61" w14:textId="77777777" w:rsidR="00B36686" w:rsidRPr="00B36686" w:rsidRDefault="00B36686" w:rsidP="00CD7C8B">
            <w:pPr>
              <w:pStyle w:val="Odstavekseznama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val="sl-SI" w:eastAsia="sl-SI"/>
              </w:rPr>
            </w:pPr>
            <w:r w:rsidRPr="00B36686">
              <w:rPr>
                <w:rFonts w:ascii="Arial" w:hAnsi="Arial" w:cs="Arial"/>
                <w:iCs/>
                <w:sz w:val="20"/>
                <w:szCs w:val="20"/>
                <w:lang w:val="sl-SI" w:eastAsia="sl-SI"/>
              </w:rPr>
              <w:t>Vročiti:</w:t>
            </w:r>
          </w:p>
          <w:p w14:paraId="5D9281C5" w14:textId="77777777" w:rsidR="00B36686" w:rsidRPr="00B36686" w:rsidRDefault="00B36686" w:rsidP="00CD7C8B">
            <w:pPr>
              <w:pStyle w:val="Odstavekseznama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val="sl-SI" w:eastAsia="sl-SI"/>
              </w:rPr>
            </w:pPr>
            <w:r w:rsidRPr="00B36686">
              <w:rPr>
                <w:rFonts w:ascii="Arial" w:hAnsi="Arial" w:cs="Arial"/>
                <w:iCs/>
                <w:sz w:val="20"/>
                <w:szCs w:val="20"/>
                <w:lang w:val="sl-SI" w:eastAsia="sl-SI"/>
              </w:rPr>
              <w:t>Ministrstvu za notranje zadeve</w:t>
            </w:r>
          </w:p>
          <w:p w14:paraId="5889531C" w14:textId="77777777" w:rsidR="00B36686" w:rsidRPr="00B36686" w:rsidRDefault="00B36686" w:rsidP="00CD7C8B">
            <w:pPr>
              <w:pStyle w:val="Odstavekseznama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val="sl-SI" w:eastAsia="sl-SI"/>
              </w:rPr>
            </w:pPr>
            <w:r w:rsidRPr="00B36686">
              <w:rPr>
                <w:rFonts w:ascii="Arial" w:hAnsi="Arial" w:cs="Arial"/>
                <w:iCs/>
                <w:sz w:val="20"/>
                <w:szCs w:val="20"/>
                <w:lang w:val="sl-SI" w:eastAsia="sl-SI"/>
              </w:rPr>
              <w:t>Ministrstvo za zunanje zadeve</w:t>
            </w:r>
          </w:p>
          <w:p w14:paraId="27462C45" w14:textId="77777777" w:rsidR="00AE1F83" w:rsidRPr="005E7FFE" w:rsidRDefault="00AE1F83" w:rsidP="00CD7C8B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lang w:eastAsia="sl-SI"/>
              </w:rPr>
            </w:pPr>
          </w:p>
        </w:tc>
      </w:tr>
      <w:tr w:rsidR="00AE1F83" w:rsidRPr="005E7FFE" w14:paraId="790B6068" w14:textId="77777777" w:rsidTr="00D02DFA">
        <w:tc>
          <w:tcPr>
            <w:tcW w:w="9163" w:type="dxa"/>
            <w:gridSpan w:val="4"/>
          </w:tcPr>
          <w:p w14:paraId="59179712" w14:textId="77777777" w:rsidR="00AE1F83" w:rsidRPr="005E7FFE" w:rsidRDefault="00AE1F83" w:rsidP="00CD7C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AE1F83" w:rsidRPr="005E7FFE" w14:paraId="41E5DD47" w14:textId="77777777" w:rsidTr="00D02DFA">
        <w:tc>
          <w:tcPr>
            <w:tcW w:w="9163" w:type="dxa"/>
            <w:gridSpan w:val="4"/>
          </w:tcPr>
          <w:p w14:paraId="447E71F0" w14:textId="77777777" w:rsidR="00AE1F83" w:rsidRPr="005E7FFE" w:rsidRDefault="0007238C" w:rsidP="00CD7C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5E7FFE" w14:paraId="43B3E877" w14:textId="77777777" w:rsidTr="00D02DFA">
        <w:tc>
          <w:tcPr>
            <w:tcW w:w="9163" w:type="dxa"/>
            <w:gridSpan w:val="4"/>
          </w:tcPr>
          <w:p w14:paraId="2A66C582" w14:textId="77777777" w:rsidR="00AE1F83" w:rsidRPr="005E7FFE" w:rsidRDefault="00AE1F83" w:rsidP="00CD7C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AE1F83" w:rsidRPr="005E7FFE" w14:paraId="09FB086D" w14:textId="77777777" w:rsidTr="00D02DFA">
        <w:tc>
          <w:tcPr>
            <w:tcW w:w="9163" w:type="dxa"/>
            <w:gridSpan w:val="4"/>
          </w:tcPr>
          <w:p w14:paraId="67E9E7B5" w14:textId="77777777" w:rsidR="0070256F" w:rsidRDefault="0070256F" w:rsidP="00CD7C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- </w:t>
            </w:r>
            <w:r w:rsidR="00DC03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Suzana Ivanovič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r w:rsidR="00B3668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po pooblastilu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vodja Službe za evropske zadeve in mednarodno sodelovanje, MNZ</w:t>
            </w:r>
          </w:p>
          <w:p w14:paraId="136AF9BA" w14:textId="77777777" w:rsidR="00CA625D" w:rsidRPr="0070256F" w:rsidRDefault="00C22B98" w:rsidP="00CD7C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- </w:t>
            </w:r>
            <w:r w:rsidR="00DC03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dr. Anton Olaj, generalni direktor policije</w:t>
            </w:r>
          </w:p>
        </w:tc>
      </w:tr>
      <w:tr w:rsidR="00AE1F83" w:rsidRPr="005E7FFE" w14:paraId="6532CBBF" w14:textId="77777777" w:rsidTr="00D02DFA">
        <w:tc>
          <w:tcPr>
            <w:tcW w:w="9163" w:type="dxa"/>
            <w:gridSpan w:val="4"/>
          </w:tcPr>
          <w:p w14:paraId="7E7EE562" w14:textId="77777777" w:rsidR="00AE1F83" w:rsidRPr="005E7FFE" w:rsidRDefault="00AE1F83" w:rsidP="00CD7C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5E7FF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AE1F83" w:rsidRPr="005E7FFE" w14:paraId="0F2CA916" w14:textId="77777777" w:rsidTr="00D02DFA">
        <w:tc>
          <w:tcPr>
            <w:tcW w:w="9163" w:type="dxa"/>
            <w:gridSpan w:val="4"/>
          </w:tcPr>
          <w:p w14:paraId="68BF54FF" w14:textId="77777777" w:rsidR="00AE1F83" w:rsidRPr="005E7FFE" w:rsidRDefault="00C22B98" w:rsidP="00CD7C8B">
            <w:pPr>
              <w:pStyle w:val="Neotevilenodstavek"/>
              <w:spacing w:before="0" w:after="0" w:line="260" w:lineRule="exact"/>
              <w:rPr>
                <w:iCs/>
                <w:noProof/>
              </w:rPr>
            </w:pPr>
            <w:r w:rsidRPr="005E7FFE">
              <w:rPr>
                <w:iCs/>
                <w:noProof/>
              </w:rPr>
              <w:lastRenderedPageBreak/>
              <w:t>/</w:t>
            </w:r>
          </w:p>
        </w:tc>
      </w:tr>
      <w:tr w:rsidR="00AE1F83" w:rsidRPr="005E7FFE" w14:paraId="481CF298" w14:textId="77777777" w:rsidTr="00D02DFA">
        <w:tc>
          <w:tcPr>
            <w:tcW w:w="9163" w:type="dxa"/>
            <w:gridSpan w:val="4"/>
          </w:tcPr>
          <w:p w14:paraId="3F5F5A6E" w14:textId="77777777" w:rsidR="00AE1F83" w:rsidRPr="005E7FFE" w:rsidRDefault="00AE1F83" w:rsidP="00CD7C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AE1F83" w:rsidRPr="005E7FFE" w14:paraId="4E7DF6C6" w14:textId="77777777" w:rsidTr="00D02DFA">
        <w:tc>
          <w:tcPr>
            <w:tcW w:w="9163" w:type="dxa"/>
            <w:gridSpan w:val="4"/>
          </w:tcPr>
          <w:p w14:paraId="199399BF" w14:textId="77777777" w:rsidR="0007238C" w:rsidRPr="005E7FFE" w:rsidRDefault="00EB3A35" w:rsidP="00CD7C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5E7FFE" w14:paraId="18FB67E0" w14:textId="77777777" w:rsidTr="00D02DFA">
        <w:tc>
          <w:tcPr>
            <w:tcW w:w="9163" w:type="dxa"/>
            <w:gridSpan w:val="4"/>
          </w:tcPr>
          <w:p w14:paraId="5170E138" w14:textId="77777777" w:rsidR="00B36686" w:rsidRDefault="00AE1F83" w:rsidP="00CD7C8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  <w:r w:rsidR="00B3668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  <w:p w14:paraId="727D12A2" w14:textId="77777777" w:rsidR="0070256F" w:rsidRDefault="0070256F" w:rsidP="00CD7C8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Zaradi ugotovljenih potreb se predlaga razširitev mreže policijskih atašejev, ki svoje delo opravljajo na veleposlaništvih Republike Slovenije v tujini. </w:t>
            </w:r>
            <w:r w:rsidR="00DC03B9">
              <w:rPr>
                <w:rFonts w:ascii="Arial" w:eastAsia="Times New Roman" w:hAnsi="Arial" w:cs="Arial"/>
                <w:sz w:val="20"/>
                <w:szCs w:val="20"/>
              </w:rPr>
              <w:t>Poleg navedenega se predlaga nerezidenčno pokrivanje določenih držav v regiji z obstoječo mrežo policijskih ataše</w:t>
            </w:r>
            <w:r w:rsidR="00B36686">
              <w:rPr>
                <w:rFonts w:ascii="Arial" w:eastAsia="Times New Roman" w:hAnsi="Arial" w:cs="Arial"/>
                <w:sz w:val="20"/>
                <w:szCs w:val="20"/>
              </w:rPr>
              <w:t>je</w:t>
            </w:r>
            <w:r w:rsidR="00DC03B9">
              <w:rPr>
                <w:rFonts w:ascii="Arial" w:eastAsia="Times New Roman" w:hAnsi="Arial" w:cs="Arial"/>
                <w:sz w:val="20"/>
                <w:szCs w:val="20"/>
              </w:rPr>
              <w:t>v.</w:t>
            </w:r>
          </w:p>
          <w:p w14:paraId="4340C344" w14:textId="77777777" w:rsidR="0070256F" w:rsidRDefault="0070256F" w:rsidP="00CD7C8B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8FEFA1" w14:textId="2611C934" w:rsidR="0070256F" w:rsidRDefault="0070256F" w:rsidP="00CD7C8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Glede na oceno potreb, ki jo je pripravilo Ministrstvo za notranje zadeve, se predlaga napotitev policijskih atašejev </w:t>
            </w:r>
            <w:r w:rsidR="00DC03B9">
              <w:rPr>
                <w:rFonts w:ascii="Arial" w:hAnsi="Arial" w:cs="Arial"/>
                <w:sz w:val="20"/>
                <w:szCs w:val="20"/>
              </w:rPr>
              <w:t>na Madžarsko in v Črno goro</w:t>
            </w:r>
            <w:r>
              <w:rPr>
                <w:rFonts w:ascii="Arial" w:hAnsi="Arial" w:cs="Arial"/>
                <w:sz w:val="20"/>
                <w:szCs w:val="20"/>
              </w:rPr>
              <w:t>. Razlogi so predvsem operativne narave,</w:t>
            </w:r>
            <w:r w:rsidRPr="000D2A65">
              <w:rPr>
                <w:rFonts w:ascii="Arial" w:hAnsi="Arial" w:cs="Arial"/>
                <w:sz w:val="20"/>
                <w:szCs w:val="20"/>
              </w:rPr>
              <w:t xml:space="preserve"> saj bi to močno olajšalo in pospešilo sodelovanje </w:t>
            </w:r>
            <w:r>
              <w:rPr>
                <w:rFonts w:ascii="Arial" w:hAnsi="Arial" w:cs="Arial"/>
                <w:sz w:val="20"/>
                <w:szCs w:val="20"/>
              </w:rPr>
              <w:t>Slovenske policije z varnostnimi organi teh držav</w:t>
            </w:r>
            <w:r w:rsidRPr="000D2A65">
              <w:rPr>
                <w:rFonts w:ascii="Arial" w:hAnsi="Arial" w:cs="Arial"/>
                <w:sz w:val="20"/>
                <w:szCs w:val="20"/>
              </w:rPr>
              <w:t>.</w:t>
            </w:r>
            <w:r w:rsidR="00DC03B9">
              <w:rPr>
                <w:rFonts w:ascii="Arial" w:hAnsi="Arial" w:cs="Arial"/>
                <w:sz w:val="20"/>
                <w:szCs w:val="20"/>
              </w:rPr>
              <w:t xml:space="preserve"> Iz istih razlogov se predlaga nadgraditev dosedanjega sodelovanja tudi z obliko nerezidenčnega pokrivanj</w:t>
            </w:r>
            <w:r w:rsidR="002175D9">
              <w:rPr>
                <w:rFonts w:ascii="Arial" w:hAnsi="Arial" w:cs="Arial"/>
                <w:sz w:val="20"/>
                <w:szCs w:val="20"/>
              </w:rPr>
              <w:t>a</w:t>
            </w:r>
            <w:r w:rsidR="00DC03B9">
              <w:rPr>
                <w:rFonts w:ascii="Arial" w:hAnsi="Arial" w:cs="Arial"/>
                <w:sz w:val="20"/>
                <w:szCs w:val="20"/>
              </w:rPr>
              <w:t xml:space="preserve"> Republike Kosov</w:t>
            </w:r>
            <w:r w:rsidR="00B36686">
              <w:rPr>
                <w:rFonts w:ascii="Arial" w:hAnsi="Arial" w:cs="Arial"/>
                <w:sz w:val="20"/>
                <w:szCs w:val="20"/>
              </w:rPr>
              <w:t>o</w:t>
            </w:r>
            <w:r w:rsidR="00DC03B9">
              <w:rPr>
                <w:rFonts w:ascii="Arial" w:hAnsi="Arial" w:cs="Arial"/>
                <w:sz w:val="20"/>
                <w:szCs w:val="20"/>
              </w:rPr>
              <w:t>, Republike Albanije, Republike Bolgarije, Romunije in Slovaške republike z obstoječo mrežo domačih policijskih atašejev</w:t>
            </w:r>
            <w:r w:rsidR="007D56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AE8CADA" w14:textId="77777777" w:rsidR="007D565A" w:rsidRDefault="007D565A" w:rsidP="00CD7C8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FBB0574" w14:textId="77777777" w:rsidR="007D565A" w:rsidRDefault="007D565A" w:rsidP="00CD7C8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D565A">
              <w:rPr>
                <w:rFonts w:ascii="Arial" w:hAnsi="Arial" w:cs="Arial"/>
                <w:sz w:val="20"/>
                <w:szCs w:val="20"/>
              </w:rPr>
              <w:t>MNZ Republike Slovenije ima trenutno v tujino napotenih pet policijskih atašejev. Prvega v Republik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D565A">
              <w:rPr>
                <w:rFonts w:ascii="Arial" w:hAnsi="Arial" w:cs="Arial"/>
                <w:sz w:val="20"/>
                <w:szCs w:val="20"/>
              </w:rPr>
              <w:t xml:space="preserve"> Srbij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D565A">
              <w:rPr>
                <w:rFonts w:ascii="Arial" w:hAnsi="Arial" w:cs="Arial"/>
                <w:sz w:val="20"/>
                <w:szCs w:val="20"/>
              </w:rPr>
              <w:t xml:space="preserve"> (od leta 2007, s krajšo prekinitvijo), drugega v Bosn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D565A">
              <w:rPr>
                <w:rFonts w:ascii="Arial" w:hAnsi="Arial" w:cs="Arial"/>
                <w:sz w:val="20"/>
                <w:szCs w:val="20"/>
              </w:rPr>
              <w:t xml:space="preserve"> in Hercegovin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D565A">
              <w:rPr>
                <w:rFonts w:ascii="Arial" w:hAnsi="Arial" w:cs="Arial"/>
                <w:sz w:val="20"/>
                <w:szCs w:val="20"/>
              </w:rPr>
              <w:t xml:space="preserve"> (od leta 2013), tretjega v Severn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D565A">
              <w:rPr>
                <w:rFonts w:ascii="Arial" w:hAnsi="Arial" w:cs="Arial"/>
                <w:sz w:val="20"/>
                <w:szCs w:val="20"/>
              </w:rPr>
              <w:t xml:space="preserve"> Makedonij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D565A">
              <w:rPr>
                <w:rFonts w:ascii="Arial" w:hAnsi="Arial" w:cs="Arial"/>
                <w:sz w:val="20"/>
                <w:szCs w:val="20"/>
              </w:rPr>
              <w:t xml:space="preserve"> (od februarja leta 2020), četrtega v Republik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D565A">
              <w:rPr>
                <w:rFonts w:ascii="Arial" w:hAnsi="Arial" w:cs="Arial"/>
                <w:sz w:val="20"/>
                <w:szCs w:val="20"/>
              </w:rPr>
              <w:t xml:space="preserve"> Avstrij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D565A">
              <w:rPr>
                <w:rFonts w:ascii="Arial" w:hAnsi="Arial" w:cs="Arial"/>
                <w:sz w:val="20"/>
                <w:szCs w:val="20"/>
              </w:rPr>
              <w:t xml:space="preserve"> (od februarja leta 2020) in petega v Republik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D565A">
              <w:rPr>
                <w:rFonts w:ascii="Arial" w:hAnsi="Arial" w:cs="Arial"/>
                <w:sz w:val="20"/>
                <w:szCs w:val="20"/>
              </w:rPr>
              <w:t xml:space="preserve"> Hrvašk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D565A">
              <w:rPr>
                <w:rFonts w:ascii="Arial" w:hAnsi="Arial" w:cs="Arial"/>
                <w:sz w:val="20"/>
                <w:szCs w:val="20"/>
              </w:rPr>
              <w:t xml:space="preserve"> (od aprila leta 2020). Zadnje napotitve policijskih atašejev (uradnikov za zvezo) v Republiko Srbijo, Republiko Severno Makedonijo, Republiko Hrvaško in Republiko Avstrijo so bile izvedene na podlagi sklepa Vlade Republike Slovenije, številka 50000-3/2019/5, z dne 28. 3. 2019. Z vladnim sklepom je bila sprejeta odločitev tudi za napotitev policijskega atašeja (uradnika za zvezo) v Italijansko Republiko, vendar ta še ni bila izvedena. </w:t>
            </w:r>
          </w:p>
          <w:p w14:paraId="54CD2182" w14:textId="77777777" w:rsidR="007D565A" w:rsidRDefault="007D565A" w:rsidP="00CD7C8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8B676B" w14:textId="77777777" w:rsidR="0070256F" w:rsidRDefault="0070256F" w:rsidP="00CD7C8B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3B2B">
              <w:rPr>
                <w:rFonts w:ascii="Arial" w:eastAsia="Times New Roman" w:hAnsi="Arial" w:cs="Arial"/>
                <w:sz w:val="20"/>
                <w:szCs w:val="20"/>
              </w:rPr>
              <w:t xml:space="preserve">Odločitev o napotitvi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policijskih atašejev</w:t>
            </w:r>
            <w:r w:rsidRPr="00DE3B2B">
              <w:rPr>
                <w:rFonts w:ascii="Arial" w:eastAsia="Times New Roman" w:hAnsi="Arial" w:cs="Arial"/>
                <w:sz w:val="20"/>
                <w:szCs w:val="20"/>
              </w:rPr>
              <w:t xml:space="preserve"> skladno s 4. členom Pravilnika o policijskih atašejih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41D34">
              <w:rPr>
                <w:rFonts w:ascii="Arial" w:eastAsia="Times New Roman" w:hAnsi="Arial" w:cs="Arial"/>
                <w:sz w:val="20"/>
                <w:szCs w:val="20"/>
              </w:rPr>
              <w:t>(št. 007-284/2007/1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A41D34">
              <w:rPr>
                <w:rFonts w:ascii="Arial" w:eastAsia="Times New Roman" w:hAnsi="Arial" w:cs="Arial"/>
                <w:sz w:val="20"/>
                <w:szCs w:val="20"/>
              </w:rPr>
              <w:t>24. 9. 2007)</w:t>
            </w:r>
            <w:r w:rsidRPr="00DE3B2B">
              <w:rPr>
                <w:rFonts w:ascii="Arial" w:eastAsia="Times New Roman" w:hAnsi="Arial" w:cs="Arial"/>
                <w:sz w:val="20"/>
                <w:szCs w:val="20"/>
              </w:rPr>
              <w:t xml:space="preserve"> na predlog ministra za notranje zadeve sprejme Vlada RS.</w:t>
            </w:r>
          </w:p>
          <w:p w14:paraId="2EE16C10" w14:textId="11D79A24" w:rsidR="00330E11" w:rsidRPr="0070256F" w:rsidRDefault="00330E11" w:rsidP="00CD7C8B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5E7FFE" w14:paraId="698EBADC" w14:textId="77777777" w:rsidTr="00D02DFA">
        <w:tc>
          <w:tcPr>
            <w:tcW w:w="9163" w:type="dxa"/>
            <w:gridSpan w:val="4"/>
          </w:tcPr>
          <w:p w14:paraId="7FCCA97A" w14:textId="77777777" w:rsidR="00AE1F83" w:rsidRPr="005E7FFE" w:rsidRDefault="00EB3A35" w:rsidP="00CD7C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5E7FFE" w14:paraId="4EE9397E" w14:textId="77777777" w:rsidTr="00D02DFA">
        <w:tc>
          <w:tcPr>
            <w:tcW w:w="9163" w:type="dxa"/>
            <w:gridSpan w:val="4"/>
          </w:tcPr>
          <w:p w14:paraId="23A36869" w14:textId="77777777" w:rsidR="00AE1F83" w:rsidRPr="005E7FFE" w:rsidRDefault="00AE1F83" w:rsidP="00CD7C8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C22B98" w:rsidRPr="005E7FFE" w14:paraId="3330B8BB" w14:textId="77777777" w:rsidTr="00D02DFA">
        <w:tc>
          <w:tcPr>
            <w:tcW w:w="1448" w:type="dxa"/>
          </w:tcPr>
          <w:p w14:paraId="644F7D33" w14:textId="77777777" w:rsidR="00C22B98" w:rsidRPr="005E7FFE" w:rsidRDefault="00C22B98" w:rsidP="00CD7C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5882F2FB" w14:textId="77777777" w:rsidR="00C22B98" w:rsidRPr="005E7FFE" w:rsidRDefault="00C22B98" w:rsidP="00CD7C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32B05EC7" w14:textId="77777777" w:rsidR="00C22B98" w:rsidRPr="005E7FFE" w:rsidRDefault="00C22B98" w:rsidP="00CD7C8B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lang w:eastAsia="sl-SI"/>
              </w:rPr>
            </w:pPr>
            <w:r w:rsidRPr="00D82771">
              <w:rPr>
                <w:rFonts w:cs="Arial"/>
                <w:b/>
                <w:lang w:eastAsia="sl-SI"/>
              </w:rPr>
              <w:t>DA</w:t>
            </w:r>
            <w:r w:rsidRPr="005E7FFE">
              <w:rPr>
                <w:rFonts w:cs="Arial"/>
                <w:b/>
                <w:lang w:eastAsia="sl-SI"/>
              </w:rPr>
              <w:t>/</w:t>
            </w:r>
            <w:r w:rsidRPr="00D82771">
              <w:rPr>
                <w:rFonts w:cs="Arial"/>
                <w:lang w:eastAsia="sl-SI"/>
              </w:rPr>
              <w:t>NE</w:t>
            </w:r>
          </w:p>
        </w:tc>
      </w:tr>
      <w:tr w:rsidR="00C22B98" w:rsidRPr="005E7FFE" w14:paraId="4E04182F" w14:textId="77777777" w:rsidTr="00D02DFA">
        <w:tc>
          <w:tcPr>
            <w:tcW w:w="1448" w:type="dxa"/>
          </w:tcPr>
          <w:p w14:paraId="6F2BBFDD" w14:textId="77777777" w:rsidR="00C22B98" w:rsidRPr="005E7FFE" w:rsidRDefault="00C22B98" w:rsidP="00CD7C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7C6C6AA2" w14:textId="77777777" w:rsidR="00C22B98" w:rsidRPr="005E7FFE" w:rsidRDefault="00C22B98" w:rsidP="00CD7C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6643B1AD" w14:textId="77777777" w:rsidR="00C22B98" w:rsidRPr="005E7FFE" w:rsidRDefault="00C22B98" w:rsidP="00CD7C8B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lang w:eastAsia="sl-SI"/>
              </w:rPr>
            </w:pPr>
            <w:r w:rsidRPr="005E7FFE">
              <w:rPr>
                <w:rFonts w:cs="Arial"/>
                <w:lang w:eastAsia="sl-SI"/>
              </w:rPr>
              <w:t>DA</w:t>
            </w:r>
            <w:r w:rsidRPr="005E7FFE">
              <w:rPr>
                <w:rFonts w:cs="Arial"/>
                <w:b/>
                <w:lang w:eastAsia="sl-SI"/>
              </w:rPr>
              <w:t>/NE</w:t>
            </w:r>
          </w:p>
        </w:tc>
      </w:tr>
      <w:tr w:rsidR="00C22B98" w:rsidRPr="005E7FFE" w14:paraId="5146AB86" w14:textId="77777777" w:rsidTr="00D02DFA">
        <w:tc>
          <w:tcPr>
            <w:tcW w:w="1448" w:type="dxa"/>
          </w:tcPr>
          <w:p w14:paraId="0E2090DA" w14:textId="77777777" w:rsidR="00C22B98" w:rsidRPr="005E7FFE" w:rsidRDefault="00C22B98" w:rsidP="00CD7C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1261C381" w14:textId="77777777" w:rsidR="00C22B98" w:rsidRPr="005E7FFE" w:rsidRDefault="00C22B98" w:rsidP="00CD7C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4B95EA34" w14:textId="77777777" w:rsidR="00C22B98" w:rsidRPr="005E7FFE" w:rsidRDefault="00C22B98" w:rsidP="00CD7C8B">
            <w:pPr>
              <w:pStyle w:val="Neotevilenodstavek"/>
              <w:spacing w:before="0" w:after="0" w:line="260" w:lineRule="exact"/>
              <w:jc w:val="center"/>
              <w:rPr>
                <w:rFonts w:cs="Arial"/>
                <w:lang w:eastAsia="sl-SI"/>
              </w:rPr>
            </w:pPr>
            <w:r w:rsidRPr="005E7FFE">
              <w:rPr>
                <w:rFonts w:cs="Arial"/>
                <w:lang w:eastAsia="sl-SI"/>
              </w:rPr>
              <w:t>DA/</w:t>
            </w:r>
            <w:r w:rsidRPr="005E7FFE">
              <w:rPr>
                <w:rFonts w:cs="Arial"/>
                <w:b/>
                <w:lang w:eastAsia="sl-SI"/>
              </w:rPr>
              <w:t>NE</w:t>
            </w:r>
          </w:p>
        </w:tc>
      </w:tr>
      <w:tr w:rsidR="00C22B98" w:rsidRPr="005E7FFE" w14:paraId="4D2D81FB" w14:textId="77777777" w:rsidTr="00D02DFA">
        <w:tc>
          <w:tcPr>
            <w:tcW w:w="1448" w:type="dxa"/>
          </w:tcPr>
          <w:p w14:paraId="1F2F1D55" w14:textId="77777777" w:rsidR="00C22B98" w:rsidRPr="005E7FFE" w:rsidRDefault="00C22B98" w:rsidP="00CD7C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6D84FDB3" w14:textId="77777777" w:rsidR="00C22B98" w:rsidRPr="005E7FFE" w:rsidRDefault="00C22B98" w:rsidP="00CD7C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E7FF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2205A23B" w14:textId="77777777" w:rsidR="00C22B98" w:rsidRPr="005E7FFE" w:rsidRDefault="00C22B98" w:rsidP="00CD7C8B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lang w:eastAsia="sl-SI"/>
              </w:rPr>
            </w:pPr>
            <w:r w:rsidRPr="005E7FFE">
              <w:rPr>
                <w:rFonts w:cs="Arial"/>
                <w:lang w:eastAsia="sl-SI"/>
              </w:rPr>
              <w:t>DA/</w:t>
            </w:r>
            <w:r w:rsidRPr="005E7FFE">
              <w:rPr>
                <w:rFonts w:cs="Arial"/>
                <w:b/>
                <w:lang w:eastAsia="sl-SI"/>
              </w:rPr>
              <w:t>NE</w:t>
            </w:r>
          </w:p>
        </w:tc>
      </w:tr>
      <w:tr w:rsidR="00C22B98" w:rsidRPr="005E7FFE" w14:paraId="5B63DB17" w14:textId="77777777" w:rsidTr="00D02DFA">
        <w:tc>
          <w:tcPr>
            <w:tcW w:w="1448" w:type="dxa"/>
          </w:tcPr>
          <w:p w14:paraId="65E05E23" w14:textId="77777777" w:rsidR="00C22B98" w:rsidRPr="005E7FFE" w:rsidRDefault="00C22B98" w:rsidP="00CD7C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6B884A64" w14:textId="77777777" w:rsidR="00C22B98" w:rsidRPr="005E7FFE" w:rsidRDefault="00C22B98" w:rsidP="00CD7C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669ACAD2" w14:textId="77777777" w:rsidR="00C22B98" w:rsidRPr="005E7FFE" w:rsidRDefault="00C22B98" w:rsidP="00CD7C8B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lang w:eastAsia="sl-SI"/>
              </w:rPr>
            </w:pPr>
            <w:r w:rsidRPr="005E7FFE">
              <w:rPr>
                <w:rFonts w:cs="Arial"/>
                <w:lang w:eastAsia="sl-SI"/>
              </w:rPr>
              <w:t>DA/</w:t>
            </w:r>
            <w:r w:rsidRPr="005E7FFE">
              <w:rPr>
                <w:rFonts w:cs="Arial"/>
                <w:b/>
                <w:lang w:eastAsia="sl-SI"/>
              </w:rPr>
              <w:t>NE</w:t>
            </w:r>
          </w:p>
        </w:tc>
      </w:tr>
      <w:tr w:rsidR="00C22B98" w:rsidRPr="005E7FFE" w14:paraId="7D891C83" w14:textId="77777777" w:rsidTr="00D02DFA">
        <w:tc>
          <w:tcPr>
            <w:tcW w:w="1448" w:type="dxa"/>
          </w:tcPr>
          <w:p w14:paraId="20D8E46A" w14:textId="77777777" w:rsidR="00C22B98" w:rsidRPr="005E7FFE" w:rsidRDefault="00C22B98" w:rsidP="00CD7C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3BBF6EEE" w14:textId="77777777" w:rsidR="00C22B98" w:rsidRPr="005E7FFE" w:rsidRDefault="00C22B98" w:rsidP="00CD7C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3A0F71AF" w14:textId="77777777" w:rsidR="00C22B98" w:rsidRPr="005E7FFE" w:rsidRDefault="00C22B98" w:rsidP="00CD7C8B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lang w:eastAsia="sl-SI"/>
              </w:rPr>
            </w:pPr>
            <w:r w:rsidRPr="005E7FFE">
              <w:rPr>
                <w:rFonts w:cs="Arial"/>
                <w:lang w:eastAsia="sl-SI"/>
              </w:rPr>
              <w:t>DA/</w:t>
            </w:r>
            <w:r w:rsidRPr="005E7FFE">
              <w:rPr>
                <w:rFonts w:cs="Arial"/>
                <w:b/>
                <w:lang w:eastAsia="sl-SI"/>
              </w:rPr>
              <w:t>NE</w:t>
            </w:r>
          </w:p>
        </w:tc>
      </w:tr>
      <w:tr w:rsidR="00C22B98" w:rsidRPr="005E7FFE" w14:paraId="6CAFDC14" w14:textId="77777777" w:rsidTr="00D02DFA">
        <w:tc>
          <w:tcPr>
            <w:tcW w:w="1448" w:type="dxa"/>
            <w:tcBorders>
              <w:bottom w:val="single" w:sz="4" w:space="0" w:color="auto"/>
            </w:tcBorders>
          </w:tcPr>
          <w:p w14:paraId="1017DAE8" w14:textId="77777777" w:rsidR="00C22B98" w:rsidRPr="005E7FFE" w:rsidRDefault="00C22B98" w:rsidP="00CD7C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7E35BFEF" w14:textId="77777777" w:rsidR="00C22B98" w:rsidRPr="005E7FFE" w:rsidRDefault="00C22B98" w:rsidP="00CD7C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6F1122DE" w14:textId="77777777" w:rsidR="00C22B98" w:rsidRPr="005E7FFE" w:rsidRDefault="00C22B98" w:rsidP="00CD7C8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7F737FFA" w14:textId="77777777" w:rsidR="00C22B98" w:rsidRPr="005E7FFE" w:rsidRDefault="00C22B98" w:rsidP="00CD7C8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0D01983A" w14:textId="77777777" w:rsidR="00C22B98" w:rsidRPr="005E7FFE" w:rsidRDefault="00C22B98" w:rsidP="00CD7C8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1139AD09" w14:textId="77777777" w:rsidR="00C22B98" w:rsidRPr="005E7FFE" w:rsidRDefault="00C22B98" w:rsidP="00CD7C8B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lang w:eastAsia="sl-SI"/>
              </w:rPr>
            </w:pPr>
            <w:r w:rsidRPr="005E7FFE">
              <w:rPr>
                <w:rFonts w:cs="Arial"/>
                <w:lang w:eastAsia="sl-SI"/>
              </w:rPr>
              <w:t>DA/</w:t>
            </w:r>
            <w:r w:rsidRPr="005E7FFE">
              <w:rPr>
                <w:rFonts w:cs="Arial"/>
                <w:b/>
                <w:lang w:eastAsia="sl-SI"/>
              </w:rPr>
              <w:t>NE</w:t>
            </w:r>
          </w:p>
        </w:tc>
      </w:tr>
      <w:tr w:rsidR="00AE1F83" w:rsidRPr="005E7FFE" w14:paraId="0815660C" w14:textId="77777777" w:rsidTr="00D02DFA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9705" w14:textId="6817DCDC" w:rsidR="007D565A" w:rsidRPr="005E7FFE" w:rsidRDefault="00AE1F83" w:rsidP="00CD7C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</w:tc>
      </w:tr>
    </w:tbl>
    <w:p w14:paraId="37F89BEC" w14:textId="77777777" w:rsidR="00AE1F83" w:rsidRPr="005E7FFE" w:rsidRDefault="00AE1F83" w:rsidP="00CD7C8B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314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4"/>
        <w:gridCol w:w="827"/>
        <w:gridCol w:w="1391"/>
        <w:gridCol w:w="400"/>
        <w:gridCol w:w="1384"/>
        <w:gridCol w:w="688"/>
        <w:gridCol w:w="376"/>
        <w:gridCol w:w="387"/>
        <w:gridCol w:w="1837"/>
      </w:tblGrid>
      <w:tr w:rsidR="00AE1F83" w:rsidRPr="005E7FFE" w14:paraId="4512AB58" w14:textId="77777777" w:rsidTr="007F2CA0">
        <w:trPr>
          <w:cantSplit/>
          <w:trHeight w:val="35"/>
        </w:trPr>
        <w:tc>
          <w:tcPr>
            <w:tcW w:w="9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82841A" w14:textId="77777777" w:rsidR="00AE1F83" w:rsidRPr="005E7FFE" w:rsidRDefault="00AE1F83" w:rsidP="00CD7C8B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I. Ocena finančnih posledic, ki niso načrtovane v sprejetem proračunu</w:t>
            </w:r>
          </w:p>
        </w:tc>
      </w:tr>
      <w:tr w:rsidR="00AE1F83" w:rsidRPr="005E7FFE" w14:paraId="79F39A34" w14:textId="77777777" w:rsidTr="00F266C5">
        <w:trPr>
          <w:cantSplit/>
          <w:trHeight w:val="276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16E6" w14:textId="77777777" w:rsidR="00AE1F83" w:rsidRPr="005E7FFE" w:rsidRDefault="00AE1F83" w:rsidP="00CD7C8B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5DC7" w14:textId="77777777" w:rsidR="00AE1F83" w:rsidRPr="005E7FFE" w:rsidRDefault="00AE1F83" w:rsidP="00CD7C8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7FFE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8E9C" w14:textId="77777777" w:rsidR="00AE1F83" w:rsidRPr="005E7FFE" w:rsidRDefault="00AE1F83" w:rsidP="00CD7C8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7FFE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BF0E" w14:textId="77777777" w:rsidR="00AE1F83" w:rsidRPr="005E7FFE" w:rsidRDefault="00AE1F83" w:rsidP="00CD7C8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7FFE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4165" w14:textId="77777777" w:rsidR="00AE1F83" w:rsidRPr="005E7FFE" w:rsidRDefault="00AE1F83" w:rsidP="00CD7C8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7FFE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AE1F83" w:rsidRPr="005E7FFE" w14:paraId="7F5F1F48" w14:textId="77777777" w:rsidTr="00F266C5">
        <w:trPr>
          <w:cantSplit/>
          <w:trHeight w:val="423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A6EB" w14:textId="77777777" w:rsidR="00AE1F83" w:rsidRPr="005E7FFE" w:rsidRDefault="00AE1F83" w:rsidP="00CD7C8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7FFE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E7FFE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5E7F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39C0" w14:textId="77777777" w:rsidR="00AE1F83" w:rsidRPr="005E7FFE" w:rsidRDefault="00AE1F83" w:rsidP="00CD7C8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2CF5" w14:textId="77777777" w:rsidR="00AE1F83" w:rsidRPr="005E7FFE" w:rsidRDefault="00AE1F83" w:rsidP="00CD7C8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5AF2" w14:textId="77777777" w:rsidR="00AE1F83" w:rsidRPr="005E7FFE" w:rsidRDefault="00AE1F83" w:rsidP="00CD7C8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A246" w14:textId="77777777" w:rsidR="00AE1F83" w:rsidRPr="005E7FFE" w:rsidRDefault="00AE1F83" w:rsidP="00CD7C8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5E7FFE" w14:paraId="361F8199" w14:textId="77777777" w:rsidTr="00F266C5">
        <w:trPr>
          <w:cantSplit/>
          <w:trHeight w:val="423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14C6" w14:textId="77777777" w:rsidR="00AE1F83" w:rsidRPr="005E7FFE" w:rsidRDefault="00AE1F83" w:rsidP="00CD7C8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7FFE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E7FFE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5E7F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E770" w14:textId="77777777" w:rsidR="00AE1F83" w:rsidRPr="005E7FFE" w:rsidRDefault="00AE1F83" w:rsidP="00CD7C8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A919" w14:textId="77777777" w:rsidR="00AE1F83" w:rsidRPr="005E7FFE" w:rsidRDefault="00AE1F83" w:rsidP="00CD7C8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161F" w14:textId="77777777" w:rsidR="00AE1F83" w:rsidRPr="005E7FFE" w:rsidRDefault="00AE1F83" w:rsidP="00CD7C8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8EC9" w14:textId="77777777" w:rsidR="00AE1F83" w:rsidRPr="005E7FFE" w:rsidRDefault="00AE1F83" w:rsidP="00CD7C8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7F2CA0" w:rsidRPr="005E7FFE" w14:paraId="07EDE065" w14:textId="77777777" w:rsidTr="00F266C5">
        <w:trPr>
          <w:cantSplit/>
          <w:trHeight w:val="423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967B" w14:textId="77777777" w:rsidR="007F2CA0" w:rsidRPr="005E7FFE" w:rsidRDefault="007F2CA0" w:rsidP="00CD7C8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7FFE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E7FFE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5E7F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ECF6" w14:textId="3664087D" w:rsidR="007F2CA0" w:rsidRPr="000D07EE" w:rsidRDefault="007F2CA0" w:rsidP="00CD7C8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7202" w14:textId="2D5923D4" w:rsidR="007F2CA0" w:rsidRPr="007F2CA0" w:rsidRDefault="007F2CA0" w:rsidP="00CD7C8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8BFE" w14:textId="1C85D3F4" w:rsidR="007F2CA0" w:rsidRPr="007F2CA0" w:rsidRDefault="00F266C5" w:rsidP="00CD7C8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 w:rsidR="007F2CA0" w:rsidRPr="007F2CA0">
              <w:rPr>
                <w:rFonts w:ascii="Arial" w:eastAsia="Times New Roman" w:hAnsi="Arial" w:cs="Arial"/>
                <w:sz w:val="20"/>
                <w:szCs w:val="20"/>
              </w:rPr>
              <w:t>0.000,00 €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843D" w14:textId="41EF1455" w:rsidR="007F2CA0" w:rsidRPr="000D07EE" w:rsidRDefault="00F266C5" w:rsidP="00CD7C8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 w:rsidR="007F2CA0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7F2CA0" w:rsidRPr="004837FB">
              <w:rPr>
                <w:rFonts w:ascii="Arial" w:eastAsia="Times New Roman" w:hAnsi="Arial" w:cs="Arial"/>
                <w:sz w:val="20"/>
                <w:szCs w:val="20"/>
              </w:rPr>
              <w:t>.000,00 €</w:t>
            </w:r>
          </w:p>
        </w:tc>
      </w:tr>
      <w:tr w:rsidR="007F2CA0" w:rsidRPr="005E7FFE" w14:paraId="04A345F4" w14:textId="77777777" w:rsidTr="00F266C5">
        <w:trPr>
          <w:cantSplit/>
          <w:trHeight w:val="623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3A10" w14:textId="77777777" w:rsidR="007F2CA0" w:rsidRPr="005E7FFE" w:rsidRDefault="007F2CA0" w:rsidP="00CD7C8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7FFE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E7FFE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5E7FFE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5A92" w14:textId="77777777" w:rsidR="007F2CA0" w:rsidRPr="005E7FFE" w:rsidRDefault="007F2CA0" w:rsidP="00CD7C8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55F3" w14:textId="77777777" w:rsidR="007F2CA0" w:rsidRPr="005E7FFE" w:rsidRDefault="007F2CA0" w:rsidP="00CD7C8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2CFD" w14:textId="77777777" w:rsidR="007F2CA0" w:rsidRPr="005E7FFE" w:rsidRDefault="007F2CA0" w:rsidP="00CD7C8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93FD" w14:textId="77777777" w:rsidR="007F2CA0" w:rsidRPr="005E7FFE" w:rsidRDefault="007F2CA0" w:rsidP="00CD7C8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CA0" w:rsidRPr="005E7FFE" w14:paraId="29A344FE" w14:textId="77777777" w:rsidTr="00F266C5">
        <w:trPr>
          <w:cantSplit/>
          <w:trHeight w:val="423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58DE" w14:textId="77777777" w:rsidR="007F2CA0" w:rsidRPr="005E7FFE" w:rsidRDefault="007F2CA0" w:rsidP="00CD7C8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7FFE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E7FFE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5E7FFE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EB1A" w14:textId="77777777" w:rsidR="007F2CA0" w:rsidRPr="005E7FFE" w:rsidRDefault="007F2CA0" w:rsidP="00CD7C8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35F7" w14:textId="77777777" w:rsidR="007F2CA0" w:rsidRPr="005E7FFE" w:rsidRDefault="007F2CA0" w:rsidP="00CD7C8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FF67" w14:textId="77777777" w:rsidR="007F2CA0" w:rsidRPr="005E7FFE" w:rsidRDefault="007F2CA0" w:rsidP="00CD7C8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CE82" w14:textId="77777777" w:rsidR="007F2CA0" w:rsidRPr="005E7FFE" w:rsidRDefault="007F2CA0" w:rsidP="00CD7C8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7F2CA0" w:rsidRPr="005E7FFE" w14:paraId="7F99E842" w14:textId="77777777" w:rsidTr="007F2CA0">
        <w:trPr>
          <w:cantSplit/>
          <w:trHeight w:val="257"/>
        </w:trPr>
        <w:tc>
          <w:tcPr>
            <w:tcW w:w="9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9A902C" w14:textId="77777777" w:rsidR="007F2CA0" w:rsidRPr="005E7FFE" w:rsidRDefault="007F2CA0" w:rsidP="00CD7C8B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7F2CA0" w:rsidRPr="005E7FFE" w14:paraId="402DB487" w14:textId="77777777" w:rsidTr="007F2CA0">
        <w:trPr>
          <w:cantSplit/>
          <w:trHeight w:val="257"/>
        </w:trPr>
        <w:tc>
          <w:tcPr>
            <w:tcW w:w="9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E702AFB" w14:textId="77777777" w:rsidR="007F2CA0" w:rsidRPr="005E7FFE" w:rsidRDefault="007F2CA0" w:rsidP="00CD7C8B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 Pravice porabe za izvedbo predlaganih rešitev so zagotovljene:</w:t>
            </w:r>
          </w:p>
        </w:tc>
      </w:tr>
      <w:tr w:rsidR="007F2CA0" w:rsidRPr="005E7FFE" w14:paraId="25DFF091" w14:textId="77777777" w:rsidTr="00F266C5">
        <w:trPr>
          <w:cantSplit/>
          <w:trHeight w:val="1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749D" w14:textId="77777777" w:rsidR="007F2CA0" w:rsidRPr="005E7FFE" w:rsidRDefault="007F2CA0" w:rsidP="00CD7C8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7FFE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6F25" w14:textId="77777777" w:rsidR="007F2CA0" w:rsidRPr="005E7FFE" w:rsidRDefault="007F2CA0" w:rsidP="00CD7C8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7FFE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BC8D" w14:textId="77777777" w:rsidR="007F2CA0" w:rsidRPr="005E7FFE" w:rsidRDefault="007F2CA0" w:rsidP="00CD7C8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7FFE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4C76" w14:textId="77777777" w:rsidR="007F2CA0" w:rsidRPr="005E7FFE" w:rsidRDefault="007F2CA0" w:rsidP="00CD7C8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7FFE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F92D" w14:textId="77777777" w:rsidR="007F2CA0" w:rsidRPr="005E7FFE" w:rsidRDefault="007F2CA0" w:rsidP="00CD7C8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7FFE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7F2CA0" w:rsidRPr="005E7FFE" w14:paraId="5A6496EE" w14:textId="77777777" w:rsidTr="00F266C5">
        <w:trPr>
          <w:cantSplit/>
          <w:trHeight w:val="32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AD84" w14:textId="0BEBD46D" w:rsidR="007F2CA0" w:rsidRPr="00524C2A" w:rsidRDefault="007F2CA0" w:rsidP="00CD7C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5554" w14:textId="6AAA6086" w:rsidR="007F2CA0" w:rsidRPr="00524C2A" w:rsidRDefault="007F2CA0" w:rsidP="00CD7C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5015" w14:textId="071E1BCC" w:rsidR="007F2CA0" w:rsidRPr="00524C2A" w:rsidRDefault="007F2CA0" w:rsidP="00CD7C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03EF" w14:textId="59A62771" w:rsidR="007F2CA0" w:rsidRPr="00524C2A" w:rsidRDefault="007F2CA0" w:rsidP="00CD7C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942F" w14:textId="09CD6E09" w:rsidR="007F2CA0" w:rsidRPr="00524C2A" w:rsidRDefault="007F2CA0" w:rsidP="00CD7C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7F2CA0" w:rsidRPr="005E7FFE" w14:paraId="1F038208" w14:textId="77777777" w:rsidTr="00F266C5">
        <w:trPr>
          <w:cantSplit/>
          <w:trHeight w:val="9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09B7" w14:textId="290308BE" w:rsidR="007F2CA0" w:rsidRPr="00524C2A" w:rsidRDefault="007F2CA0" w:rsidP="00CD7C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A8D7" w14:textId="7FBACF17" w:rsidR="007F2CA0" w:rsidRPr="00524C2A" w:rsidRDefault="007F2CA0" w:rsidP="00CD7C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2781" w14:textId="038A931A" w:rsidR="007F2CA0" w:rsidRPr="00524C2A" w:rsidRDefault="007F2CA0" w:rsidP="00CD7C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732E" w14:textId="28A3435A" w:rsidR="007F2CA0" w:rsidRPr="00524C2A" w:rsidRDefault="007F2CA0" w:rsidP="00CD7C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7417" w14:textId="44B97085" w:rsidR="007F2CA0" w:rsidRPr="00524C2A" w:rsidRDefault="007F2CA0" w:rsidP="00CD7C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7F2CA0" w:rsidRPr="005E7FFE" w14:paraId="4D0F3F7D" w14:textId="77777777" w:rsidTr="00F266C5">
        <w:trPr>
          <w:cantSplit/>
          <w:trHeight w:val="95"/>
        </w:trPr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210E" w14:textId="77777777" w:rsidR="007F2CA0" w:rsidRPr="005E7FFE" w:rsidRDefault="007F2CA0" w:rsidP="00CD7C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001B" w14:textId="77777777" w:rsidR="007F2CA0" w:rsidRPr="005E7FFE" w:rsidRDefault="007F2CA0" w:rsidP="00CD7C8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0CD7" w14:textId="77777777" w:rsidR="007F2CA0" w:rsidRPr="005E7FFE" w:rsidRDefault="007F2CA0" w:rsidP="00CD7C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7F2CA0" w:rsidRPr="005E7FFE" w14:paraId="6A232CAC" w14:textId="77777777" w:rsidTr="007F2CA0">
        <w:trPr>
          <w:cantSplit/>
          <w:trHeight w:val="294"/>
        </w:trPr>
        <w:tc>
          <w:tcPr>
            <w:tcW w:w="9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037EC5" w14:textId="77777777" w:rsidR="007F2CA0" w:rsidRPr="005E7FFE" w:rsidRDefault="007F2CA0" w:rsidP="00CD7C8B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 Manjkajoče pravice porabe bodo zagotovljene s prerazporeditvijo:</w:t>
            </w:r>
          </w:p>
        </w:tc>
      </w:tr>
      <w:tr w:rsidR="007F2CA0" w:rsidRPr="005E7FFE" w14:paraId="098AFE63" w14:textId="77777777" w:rsidTr="00F266C5">
        <w:trPr>
          <w:cantSplit/>
          <w:trHeight w:val="1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ABE8" w14:textId="77777777" w:rsidR="007F2CA0" w:rsidRPr="005E7FFE" w:rsidRDefault="007F2CA0" w:rsidP="00CD7C8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7FFE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D2EC" w14:textId="77777777" w:rsidR="007F2CA0" w:rsidRPr="005E7FFE" w:rsidRDefault="007F2CA0" w:rsidP="00CD7C8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7FFE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9A4D" w14:textId="77777777" w:rsidR="007F2CA0" w:rsidRPr="005E7FFE" w:rsidRDefault="007F2CA0" w:rsidP="00CD7C8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7FFE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4B66" w14:textId="77777777" w:rsidR="007F2CA0" w:rsidRPr="005E7FFE" w:rsidRDefault="007F2CA0" w:rsidP="00CD7C8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7FFE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5036" w14:textId="77777777" w:rsidR="007F2CA0" w:rsidRPr="005E7FFE" w:rsidRDefault="007F2CA0" w:rsidP="00CD7C8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7FFE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F266C5" w:rsidRPr="005E7FFE" w14:paraId="530B7656" w14:textId="77777777" w:rsidTr="00F266C5">
        <w:trPr>
          <w:cantSplit/>
          <w:trHeight w:val="9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DC7B" w14:textId="77777777" w:rsidR="00F266C5" w:rsidRPr="008F2DC2" w:rsidRDefault="00F266C5" w:rsidP="00CD7C8B">
            <w:pPr>
              <w:pStyle w:val="Naslov1"/>
              <w:tabs>
                <w:tab w:val="left" w:pos="360"/>
              </w:tabs>
              <w:spacing w:before="0" w:after="0" w:line="260" w:lineRule="exact"/>
              <w:rPr>
                <w:rFonts w:cs="Arial"/>
                <w:sz w:val="20"/>
                <w:szCs w:val="20"/>
                <w:lang w:eastAsia="sl-SI"/>
              </w:rPr>
            </w:pPr>
            <w:r w:rsidRPr="00731F33">
              <w:rPr>
                <w:rFonts w:cs="Arial"/>
                <w:b w:val="0"/>
                <w:sz w:val="20"/>
                <w:szCs w:val="20"/>
              </w:rPr>
              <w:t>PU 1714 Policija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1D39" w14:textId="77777777" w:rsidR="00F266C5" w:rsidRPr="008F2DC2" w:rsidRDefault="00F266C5" w:rsidP="00CD7C8B">
            <w:pPr>
              <w:pStyle w:val="Naslov1"/>
              <w:tabs>
                <w:tab w:val="left" w:pos="360"/>
              </w:tabs>
              <w:spacing w:before="0" w:after="0" w:line="260" w:lineRule="exact"/>
              <w:rPr>
                <w:rFonts w:cs="Arial"/>
                <w:sz w:val="20"/>
                <w:szCs w:val="20"/>
                <w:lang w:eastAsia="sl-SI"/>
              </w:rPr>
            </w:pPr>
            <w:r w:rsidRPr="00042CCF">
              <w:rPr>
                <w:rFonts w:cs="Arial"/>
                <w:b w:val="0"/>
                <w:sz w:val="20"/>
                <w:szCs w:val="20"/>
                <w:lang w:eastAsia="sl-SI"/>
              </w:rPr>
              <w:t>1711-20-0002</w:t>
            </w:r>
            <w:r>
              <w:rPr>
                <w:rFonts w:cs="Arial"/>
                <w:b w:val="0"/>
                <w:sz w:val="20"/>
                <w:szCs w:val="20"/>
                <w:lang w:eastAsia="sl-SI"/>
              </w:rPr>
              <w:t xml:space="preserve"> Investicijska vzdrževanje in oprema MNZ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D292" w14:textId="77777777" w:rsidR="00F266C5" w:rsidRPr="008F2DC2" w:rsidRDefault="00F266C5" w:rsidP="00CD7C8B">
            <w:pPr>
              <w:pStyle w:val="Naslov1"/>
              <w:tabs>
                <w:tab w:val="left" w:pos="360"/>
              </w:tabs>
              <w:spacing w:before="0" w:after="0" w:line="260" w:lineRule="exact"/>
              <w:rPr>
                <w:rFonts w:cs="Arial"/>
                <w:sz w:val="20"/>
                <w:szCs w:val="20"/>
                <w:lang w:eastAsia="sl-SI"/>
              </w:rPr>
            </w:pPr>
            <w:r w:rsidRPr="00042CCF">
              <w:rPr>
                <w:rFonts w:cs="Arial"/>
                <w:b w:val="0"/>
                <w:sz w:val="20"/>
                <w:szCs w:val="20"/>
                <w:lang w:eastAsia="sl-SI"/>
              </w:rPr>
              <w:t xml:space="preserve">1228 </w:t>
            </w:r>
            <w:r>
              <w:rPr>
                <w:rFonts w:cs="Arial"/>
                <w:b w:val="0"/>
                <w:sz w:val="20"/>
                <w:szCs w:val="20"/>
                <w:lang w:eastAsia="sl-SI"/>
              </w:rPr>
              <w:t>Investicije in investicijsko vzdrževanje policije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1417" w14:textId="4F8BCDE6" w:rsidR="00F266C5" w:rsidRPr="005E7FFE" w:rsidRDefault="00904021" w:rsidP="00CD7C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 w:rsidR="00F266C5" w:rsidRPr="007F2CA0">
              <w:rPr>
                <w:rFonts w:ascii="Arial" w:eastAsia="Times New Roman" w:hAnsi="Arial" w:cs="Arial"/>
                <w:sz w:val="20"/>
                <w:szCs w:val="20"/>
              </w:rPr>
              <w:t>0.000,00 €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8328" w14:textId="77777777" w:rsidR="00F266C5" w:rsidRPr="005E7FFE" w:rsidRDefault="00F266C5" w:rsidP="00CD7C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 w:rsidRPr="007F2CA0">
              <w:rPr>
                <w:rFonts w:ascii="Arial" w:eastAsia="Times New Roman" w:hAnsi="Arial" w:cs="Arial"/>
                <w:sz w:val="20"/>
                <w:szCs w:val="20"/>
              </w:rPr>
              <w:t>0.000,00 €</w:t>
            </w:r>
          </w:p>
        </w:tc>
      </w:tr>
      <w:tr w:rsidR="00F266C5" w:rsidRPr="005E7FFE" w14:paraId="4E31F155" w14:textId="77777777" w:rsidTr="00F266C5">
        <w:trPr>
          <w:cantSplit/>
          <w:trHeight w:val="9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B527" w14:textId="77777777" w:rsidR="00F266C5" w:rsidRPr="008F2DC2" w:rsidRDefault="00F266C5" w:rsidP="00CD7C8B">
            <w:pPr>
              <w:pStyle w:val="Naslov1"/>
              <w:tabs>
                <w:tab w:val="left" w:pos="360"/>
              </w:tabs>
              <w:spacing w:before="0" w:after="0" w:line="260" w:lineRule="exact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994B" w14:textId="77777777" w:rsidR="00F266C5" w:rsidRPr="008F2DC2" w:rsidRDefault="00F266C5" w:rsidP="00CD7C8B">
            <w:pPr>
              <w:pStyle w:val="Naslov1"/>
              <w:tabs>
                <w:tab w:val="left" w:pos="360"/>
              </w:tabs>
              <w:spacing w:before="0" w:after="0" w:line="260" w:lineRule="exact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C376" w14:textId="77777777" w:rsidR="00F266C5" w:rsidRPr="008F2DC2" w:rsidRDefault="00F266C5" w:rsidP="00CD7C8B">
            <w:pPr>
              <w:pStyle w:val="Naslov1"/>
              <w:tabs>
                <w:tab w:val="left" w:pos="360"/>
              </w:tabs>
              <w:spacing w:before="0" w:after="0" w:line="260" w:lineRule="exact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7163" w14:textId="77777777" w:rsidR="00F266C5" w:rsidRPr="005E7FFE" w:rsidRDefault="00F266C5" w:rsidP="00CD7C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D5E8" w14:textId="77777777" w:rsidR="00F266C5" w:rsidRPr="005E7FFE" w:rsidRDefault="00F266C5" w:rsidP="00CD7C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F266C5" w:rsidRPr="005E7FFE" w14:paraId="2C9323FC" w14:textId="77777777" w:rsidTr="00F266C5">
        <w:trPr>
          <w:cantSplit/>
          <w:trHeight w:val="95"/>
        </w:trPr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31BA" w14:textId="77777777" w:rsidR="00F266C5" w:rsidRPr="005E7FFE" w:rsidRDefault="00F266C5" w:rsidP="00CD7C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A355" w14:textId="77777777" w:rsidR="00F266C5" w:rsidRPr="005E7FFE" w:rsidRDefault="00F266C5" w:rsidP="00CD7C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C9F9" w14:textId="77777777" w:rsidR="00F266C5" w:rsidRPr="005E7FFE" w:rsidRDefault="00F266C5" w:rsidP="00CD7C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F266C5" w:rsidRPr="005E7FFE" w14:paraId="397B560E" w14:textId="77777777" w:rsidTr="007F2CA0">
        <w:trPr>
          <w:cantSplit/>
          <w:trHeight w:val="207"/>
        </w:trPr>
        <w:tc>
          <w:tcPr>
            <w:tcW w:w="9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3D83BD0" w14:textId="77777777" w:rsidR="00F266C5" w:rsidRPr="005E7FFE" w:rsidRDefault="00F266C5" w:rsidP="00CD7C8B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 Načrtovana nadomestitev zmanjšanih prihodkov in povečanih odhodkov proračuna:</w:t>
            </w:r>
          </w:p>
        </w:tc>
      </w:tr>
      <w:tr w:rsidR="00F266C5" w:rsidRPr="005E7FFE" w14:paraId="25DF0F59" w14:textId="77777777" w:rsidTr="00F266C5">
        <w:trPr>
          <w:cantSplit/>
          <w:trHeight w:val="100"/>
        </w:trPr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3977" w14:textId="77777777" w:rsidR="00F266C5" w:rsidRPr="005E7FFE" w:rsidRDefault="00F266C5" w:rsidP="00CD7C8B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7FFE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7708" w14:textId="77777777" w:rsidR="00F266C5" w:rsidRPr="005E7FFE" w:rsidRDefault="00F266C5" w:rsidP="00CD7C8B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7FFE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177D" w14:textId="77777777" w:rsidR="00F266C5" w:rsidRPr="005E7FFE" w:rsidRDefault="00F266C5" w:rsidP="00CD7C8B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7FFE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F266C5" w:rsidRPr="005E7FFE" w14:paraId="1C8DD39C" w14:textId="77777777" w:rsidTr="00F266C5">
        <w:trPr>
          <w:cantSplit/>
          <w:trHeight w:val="95"/>
        </w:trPr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9A54" w14:textId="77777777" w:rsidR="00F266C5" w:rsidRPr="005E7FFE" w:rsidRDefault="00F266C5" w:rsidP="00CD7C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6FEA" w14:textId="77777777" w:rsidR="00F266C5" w:rsidRPr="005E7FFE" w:rsidRDefault="00F266C5" w:rsidP="00CD7C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5752" w14:textId="77777777" w:rsidR="00F266C5" w:rsidRPr="005E7FFE" w:rsidRDefault="00F266C5" w:rsidP="00CD7C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F266C5" w:rsidRPr="005E7FFE" w14:paraId="744B4675" w14:textId="77777777" w:rsidTr="00F266C5">
        <w:trPr>
          <w:cantSplit/>
          <w:trHeight w:val="95"/>
        </w:trPr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D3F4" w14:textId="77777777" w:rsidR="00F266C5" w:rsidRPr="005E7FFE" w:rsidRDefault="00F266C5" w:rsidP="00CD7C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E7AB" w14:textId="77777777" w:rsidR="00F266C5" w:rsidRPr="005E7FFE" w:rsidRDefault="00F266C5" w:rsidP="00CD7C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7584" w14:textId="77777777" w:rsidR="00F266C5" w:rsidRPr="005E7FFE" w:rsidRDefault="00F266C5" w:rsidP="00CD7C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F266C5" w:rsidRPr="005E7FFE" w14:paraId="4328AADA" w14:textId="77777777" w:rsidTr="00F266C5">
        <w:trPr>
          <w:cantSplit/>
          <w:trHeight w:val="95"/>
        </w:trPr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D9DD" w14:textId="77777777" w:rsidR="00F266C5" w:rsidRPr="005E7FFE" w:rsidRDefault="00F266C5" w:rsidP="00CD7C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A15E" w14:textId="77777777" w:rsidR="00F266C5" w:rsidRPr="005E7FFE" w:rsidRDefault="00F266C5" w:rsidP="00CD7C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1D3" w14:textId="77777777" w:rsidR="00F266C5" w:rsidRPr="005E7FFE" w:rsidRDefault="00F266C5" w:rsidP="00CD7C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F266C5" w:rsidRPr="005E7FFE" w14:paraId="671EB62A" w14:textId="77777777" w:rsidTr="00F266C5">
        <w:trPr>
          <w:cantSplit/>
          <w:trHeight w:val="95"/>
        </w:trPr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46D0" w14:textId="77777777" w:rsidR="00F266C5" w:rsidRPr="005E7FFE" w:rsidRDefault="00F266C5" w:rsidP="00CD7C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5654" w14:textId="77777777" w:rsidR="00F266C5" w:rsidRPr="005E7FFE" w:rsidRDefault="00F266C5" w:rsidP="00CD7C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BA45" w14:textId="77777777" w:rsidR="00F266C5" w:rsidRPr="005E7FFE" w:rsidRDefault="00F266C5" w:rsidP="00CD7C8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F266C5" w:rsidRPr="005E7FFE" w14:paraId="313D3A32" w14:textId="77777777" w:rsidTr="00F644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802"/>
        </w:trPr>
        <w:tc>
          <w:tcPr>
            <w:tcW w:w="9314" w:type="dxa"/>
            <w:gridSpan w:val="9"/>
          </w:tcPr>
          <w:p w14:paraId="39C057B1" w14:textId="62B1829D" w:rsidR="00F266C5" w:rsidRDefault="00F266C5" w:rsidP="00CD7C8B">
            <w:pPr>
              <w:pStyle w:val="Naslovpredpisa"/>
              <w:spacing w:after="0" w:line="260" w:lineRule="exact"/>
              <w:jc w:val="both"/>
              <w:rPr>
                <w:rFonts w:cs="Arial"/>
              </w:rPr>
            </w:pPr>
            <w:r w:rsidRPr="002978FE">
              <w:rPr>
                <w:rFonts w:cs="Arial"/>
              </w:rPr>
              <w:t>OBRAZLOŽITEV FINANČNIH POSLEDIC:</w:t>
            </w:r>
          </w:p>
          <w:p w14:paraId="22F0F6A5" w14:textId="79F217BB" w:rsidR="0040466B" w:rsidRDefault="0040466B" w:rsidP="00CD7C8B">
            <w:pPr>
              <w:pStyle w:val="Naslovpredpisa"/>
              <w:spacing w:after="0" w:line="260" w:lineRule="exact"/>
              <w:jc w:val="both"/>
              <w:rPr>
                <w:rFonts w:cs="Arial"/>
                <w:b w:val="0"/>
              </w:rPr>
            </w:pPr>
            <w:r w:rsidRPr="00F64440">
              <w:rPr>
                <w:rFonts w:cs="Arial"/>
                <w:b w:val="0"/>
              </w:rPr>
              <w:t>Letni strošek napotitve posameznega policijskega atašeja znaša</w:t>
            </w:r>
            <w:r w:rsidRPr="0040466B">
              <w:rPr>
                <w:rFonts w:cs="Arial"/>
                <w:b w:val="0"/>
              </w:rPr>
              <w:t xml:space="preserve"> okvirno</w:t>
            </w:r>
            <w:r w:rsidRPr="00F64440">
              <w:rPr>
                <w:rFonts w:cs="Arial"/>
                <w:b w:val="0"/>
              </w:rPr>
              <w:t xml:space="preserve"> 120.000 EUR, odvisno od države napotitve, pri čemer so ti stroški višji v prvem letu napotitve za približno 17 %</w:t>
            </w:r>
            <w:r>
              <w:rPr>
                <w:rFonts w:cs="Arial"/>
                <w:b w:val="0"/>
              </w:rPr>
              <w:t xml:space="preserve"> oziroma 20.000 EUR</w:t>
            </w:r>
            <w:r w:rsidRPr="00F64440">
              <w:rPr>
                <w:rFonts w:cs="Arial"/>
                <w:b w:val="0"/>
              </w:rPr>
              <w:t>.</w:t>
            </w:r>
            <w:r>
              <w:rPr>
                <w:rFonts w:cs="Arial"/>
                <w:b w:val="0"/>
              </w:rPr>
              <w:t xml:space="preserve"> Letni stroški </w:t>
            </w:r>
            <w:r w:rsidR="00EE4A7C">
              <w:rPr>
                <w:rFonts w:cs="Arial"/>
                <w:b w:val="0"/>
              </w:rPr>
              <w:t>nerezidenčnega pokrivanja</w:t>
            </w:r>
            <w:r w:rsidR="006315A6">
              <w:rPr>
                <w:rFonts w:cs="Arial"/>
                <w:b w:val="0"/>
              </w:rPr>
              <w:t xml:space="preserve"> predvidenih območji</w:t>
            </w:r>
            <w:r w:rsidR="00EE4A7C">
              <w:rPr>
                <w:rFonts w:cs="Arial"/>
                <w:b w:val="0"/>
              </w:rPr>
              <w:t xml:space="preserve"> se ocenjujejo na 10.000 EUR letno. </w:t>
            </w:r>
          </w:p>
          <w:p w14:paraId="1132ED83" w14:textId="4A0E26CA" w:rsidR="00F266C5" w:rsidRPr="00F64440" w:rsidRDefault="0040466B" w:rsidP="00CD7C8B">
            <w:pPr>
              <w:pStyle w:val="Naslovpredpisa"/>
              <w:spacing w:after="0" w:line="260" w:lineRule="exact"/>
              <w:jc w:val="both"/>
              <w:rPr>
                <w:rFonts w:cs="Arial"/>
                <w:b w:val="0"/>
              </w:rPr>
            </w:pPr>
            <w:r w:rsidRPr="00F64440">
              <w:rPr>
                <w:b w:val="0"/>
              </w:rPr>
              <w:t>V navedeno oceno stroškov napotitve</w:t>
            </w:r>
            <w:r w:rsidR="006315A6">
              <w:rPr>
                <w:b w:val="0"/>
              </w:rPr>
              <w:t xml:space="preserve"> rezidenčnih policijskih </w:t>
            </w:r>
            <w:r w:rsidR="008F0583">
              <w:rPr>
                <w:b w:val="0"/>
              </w:rPr>
              <w:t>atašejev</w:t>
            </w:r>
            <w:r w:rsidRPr="00F64440">
              <w:rPr>
                <w:b w:val="0"/>
              </w:rPr>
              <w:t xml:space="preserve"> so vključeni stroški bruto plače, vsi materialni stroški, vključno s stroškom najema stanovanja, uporaba službenega vozila, stroški za telekomunikacije, stroški nabave pisarniškega materiala ter udeležba pri sofinanciranju stroškov za delovanje veleposlaništva. V prvem letu so predvideni višji stroški zaradi upoštevanja zagonski stroškov (računalniš</w:t>
            </w:r>
            <w:r w:rsidR="002175D9">
              <w:rPr>
                <w:b w:val="0"/>
              </w:rPr>
              <w:t>k</w:t>
            </w:r>
            <w:r w:rsidRPr="00F64440">
              <w:rPr>
                <w:b w:val="0"/>
              </w:rPr>
              <w:t xml:space="preserve">a in telekomunikacijska oprema), ki znašajo okvirno 20.000,00 EUR na posameznega policijskega atašeja (odvisno od opremljenosti posameznega veleposlaništva Republike Slovenije). </w:t>
            </w:r>
            <w:r w:rsidRPr="0040466B">
              <w:rPr>
                <w:rFonts w:cs="Arial"/>
                <w:b w:val="0"/>
              </w:rPr>
              <w:t xml:space="preserve"> </w:t>
            </w:r>
          </w:p>
          <w:p w14:paraId="31DF7723" w14:textId="7680E04D" w:rsidR="00EE4A7C" w:rsidRDefault="00F266C5" w:rsidP="00CD7C8B">
            <w:pPr>
              <w:pStyle w:val="Naslovpredpisa"/>
              <w:spacing w:after="0" w:line="260" w:lineRule="exact"/>
              <w:jc w:val="both"/>
              <w:rPr>
                <w:rFonts w:cs="Arial"/>
                <w:b w:val="0"/>
                <w:lang w:eastAsia="sl-SI"/>
              </w:rPr>
            </w:pPr>
            <w:r w:rsidRPr="00F64440">
              <w:rPr>
                <w:rFonts w:cs="Arial"/>
                <w:b w:val="0"/>
                <w:lang w:eastAsia="sl-SI"/>
              </w:rPr>
              <w:t>Ocena finančnih posledic napotit</w:t>
            </w:r>
            <w:r w:rsidR="002175D9">
              <w:rPr>
                <w:rFonts w:cs="Arial"/>
                <w:b w:val="0"/>
                <w:lang w:eastAsia="sl-SI"/>
              </w:rPr>
              <w:t>ve</w:t>
            </w:r>
            <w:r w:rsidRPr="00F64440">
              <w:rPr>
                <w:rFonts w:cs="Arial"/>
                <w:b w:val="0"/>
                <w:lang w:eastAsia="sl-SI"/>
              </w:rPr>
              <w:t xml:space="preserve"> policijskih atašejev na Madžarsko in Črno goro je pripravljena na podlagi povprečnih materialnih stroškov in stroškov dela v letu 2021 za policijske atašeje napotene v BIH, Republiko Srbijo in Republiko Severno Makedonijo z upoštevanje</w:t>
            </w:r>
            <w:r w:rsidR="008F0583">
              <w:rPr>
                <w:rFonts w:cs="Arial"/>
                <w:b w:val="0"/>
                <w:lang w:eastAsia="sl-SI"/>
              </w:rPr>
              <w:t>m</w:t>
            </w:r>
            <w:r w:rsidRPr="00F64440">
              <w:rPr>
                <w:rFonts w:cs="Arial"/>
                <w:b w:val="0"/>
                <w:lang w:eastAsia="sl-SI"/>
              </w:rPr>
              <w:t xml:space="preserve"> dviga cen, za nerezidenčno pokrivanje </w:t>
            </w:r>
            <w:r w:rsidRPr="00F64440">
              <w:rPr>
                <w:rFonts w:cs="Arial"/>
                <w:b w:val="0"/>
              </w:rPr>
              <w:t xml:space="preserve">Republike Kosovo, Republike Albanije, Republike Bolgarije, Romunije in Slovaške republike je </w:t>
            </w:r>
            <w:r w:rsidR="00840012">
              <w:rPr>
                <w:rFonts w:cs="Arial"/>
                <w:b w:val="0"/>
              </w:rPr>
              <w:t xml:space="preserve">ocena </w:t>
            </w:r>
            <w:r w:rsidRPr="00F64440">
              <w:rPr>
                <w:rFonts w:cs="Arial"/>
                <w:b w:val="0"/>
              </w:rPr>
              <w:t xml:space="preserve">pripravljena </w:t>
            </w:r>
            <w:r w:rsidR="00EE4A7C">
              <w:rPr>
                <w:rFonts w:cs="Arial"/>
                <w:b w:val="0"/>
              </w:rPr>
              <w:t xml:space="preserve">na podlagi </w:t>
            </w:r>
            <w:r w:rsidR="00840012" w:rsidRPr="00840012">
              <w:rPr>
                <w:rFonts w:cs="Arial"/>
                <w:b w:val="0"/>
              </w:rPr>
              <w:t>ocene</w:t>
            </w:r>
            <w:r w:rsidRPr="00F64440">
              <w:rPr>
                <w:rFonts w:cs="Arial"/>
                <w:b w:val="0"/>
              </w:rPr>
              <w:t xml:space="preserve"> službenih poti in spremljajočih stroškov</w:t>
            </w:r>
            <w:r w:rsidRPr="00F64440">
              <w:rPr>
                <w:rFonts w:cs="Arial"/>
                <w:b w:val="0"/>
                <w:lang w:eastAsia="sl-SI"/>
              </w:rPr>
              <w:t>.</w:t>
            </w:r>
            <w:r w:rsidR="00EE4A7C">
              <w:rPr>
                <w:rFonts w:cs="Arial"/>
                <w:b w:val="0"/>
              </w:rPr>
              <w:t xml:space="preserve">Naveden strošek ni bil zagotovljen ob pripravi proračuna za leti 2022 in 2023 in se bo zagotavljal s prerazporeditvijo iz proračunske postavke 1228 </w:t>
            </w:r>
            <w:r w:rsidR="00EE4A7C">
              <w:rPr>
                <w:rFonts w:cs="Arial"/>
                <w:b w:val="0"/>
                <w:lang w:eastAsia="sl-SI"/>
              </w:rPr>
              <w:t xml:space="preserve">Investicije in investicijsko vzdrževanje policije, projekt </w:t>
            </w:r>
            <w:r w:rsidR="00EE4A7C" w:rsidRPr="00042CCF">
              <w:rPr>
                <w:rFonts w:cs="Arial"/>
                <w:b w:val="0"/>
                <w:lang w:eastAsia="sl-SI"/>
              </w:rPr>
              <w:t>1711-20-0002</w:t>
            </w:r>
            <w:r w:rsidR="00EE4A7C">
              <w:rPr>
                <w:rFonts w:cs="Arial"/>
                <w:b w:val="0"/>
                <w:lang w:eastAsia="sl-SI"/>
              </w:rPr>
              <w:t xml:space="preserve"> Investicijska vzdrževanje in oprema MNZ. </w:t>
            </w:r>
          </w:p>
          <w:p w14:paraId="64EA58F2" w14:textId="31A7978A" w:rsidR="00F266C5" w:rsidRDefault="00F266C5" w:rsidP="00CD7C8B">
            <w:pPr>
              <w:pStyle w:val="Naslovpredpisa"/>
              <w:spacing w:after="0" w:line="260" w:lineRule="exact"/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Policijsk</w:t>
            </w:r>
            <w:r w:rsidR="00F64440">
              <w:rPr>
                <w:rFonts w:cs="Arial"/>
                <w:b w:val="0"/>
              </w:rPr>
              <w:t>a</w:t>
            </w:r>
            <w:r>
              <w:rPr>
                <w:rFonts w:cs="Arial"/>
                <w:b w:val="0"/>
              </w:rPr>
              <w:t xml:space="preserve"> atašej</w:t>
            </w:r>
            <w:r w:rsidR="00F64440">
              <w:rPr>
                <w:rFonts w:cs="Arial"/>
                <w:b w:val="0"/>
              </w:rPr>
              <w:t>a na Madžarskem in v Črni gori</w:t>
            </w:r>
            <w:r w:rsidRPr="0029660F">
              <w:rPr>
                <w:rFonts w:cs="Arial"/>
                <w:b w:val="0"/>
              </w:rPr>
              <w:t xml:space="preserve"> bi z delom </w:t>
            </w:r>
            <w:r>
              <w:rPr>
                <w:rFonts w:cs="Arial"/>
                <w:b w:val="0"/>
              </w:rPr>
              <w:t>predvidoma začel</w:t>
            </w:r>
            <w:r w:rsidR="00F64440">
              <w:rPr>
                <w:rFonts w:cs="Arial"/>
                <w:b w:val="0"/>
              </w:rPr>
              <w:t>a</w:t>
            </w:r>
            <w:r>
              <w:rPr>
                <w:rFonts w:cs="Arial"/>
                <w:b w:val="0"/>
              </w:rPr>
              <w:t xml:space="preserve"> </w:t>
            </w:r>
            <w:r w:rsidR="002175D9">
              <w:rPr>
                <w:rFonts w:cs="Arial"/>
                <w:b w:val="0"/>
              </w:rPr>
              <w:t>maja</w:t>
            </w:r>
            <w:r w:rsidR="00904021">
              <w:rPr>
                <w:rFonts w:cs="Arial"/>
                <w:b w:val="0"/>
              </w:rPr>
              <w:t xml:space="preserve"> </w:t>
            </w:r>
            <w:r w:rsidRPr="0029660F">
              <w:rPr>
                <w:rFonts w:cs="Arial"/>
                <w:b w:val="0"/>
              </w:rPr>
              <w:t>20</w:t>
            </w:r>
            <w:r w:rsidR="00904021">
              <w:rPr>
                <w:rFonts w:cs="Arial"/>
                <w:b w:val="0"/>
              </w:rPr>
              <w:t>22</w:t>
            </w:r>
            <w:r w:rsidRPr="0029660F">
              <w:rPr>
                <w:rFonts w:cs="Arial"/>
                <w:b w:val="0"/>
              </w:rPr>
              <w:t xml:space="preserve">, ko bodo opravljeni izbirni postopki, zaključeno njihovo usposabljanje in bodo imeli zagotovljene pogoje za delo skladno s Pravilnikom o policijskih atašejih </w:t>
            </w:r>
            <w:r>
              <w:rPr>
                <w:rFonts w:cs="Arial"/>
                <w:b w:val="0"/>
              </w:rPr>
              <w:t>(</w:t>
            </w:r>
            <w:r w:rsidRPr="0029660F">
              <w:rPr>
                <w:rFonts w:cs="Arial"/>
                <w:b w:val="0"/>
              </w:rPr>
              <w:t>št. 007-284/2007/1 z dne 24. 9. 2007</w:t>
            </w:r>
            <w:r>
              <w:rPr>
                <w:rFonts w:cs="Arial"/>
                <w:b w:val="0"/>
              </w:rPr>
              <w:t>)</w:t>
            </w:r>
            <w:r w:rsidRPr="0029660F">
              <w:rPr>
                <w:rFonts w:cs="Arial"/>
                <w:b w:val="0"/>
              </w:rPr>
              <w:t xml:space="preserve">. </w:t>
            </w:r>
            <w:r>
              <w:rPr>
                <w:rFonts w:cs="Arial"/>
                <w:b w:val="0"/>
              </w:rPr>
              <w:t>Navedeni pravilnik določa napotitev</w:t>
            </w:r>
            <w:r w:rsidRPr="0029660F">
              <w:rPr>
                <w:rFonts w:cs="Arial"/>
                <w:b w:val="0"/>
              </w:rPr>
              <w:t xml:space="preserve"> za obdobje štirih let. </w:t>
            </w:r>
            <w:r>
              <w:rPr>
                <w:rFonts w:cs="Arial"/>
                <w:b w:val="0"/>
              </w:rPr>
              <w:t>Z</w:t>
            </w:r>
            <w:r w:rsidRPr="0029660F">
              <w:rPr>
                <w:rFonts w:cs="Arial"/>
                <w:b w:val="0"/>
              </w:rPr>
              <w:t xml:space="preserve">agotavljanje materialno–tehničnih pogojev dela in financiranje materialnih stroškov za delo </w:t>
            </w:r>
            <w:r>
              <w:rPr>
                <w:rFonts w:cs="Arial"/>
                <w:b w:val="0"/>
              </w:rPr>
              <w:t xml:space="preserve">policijskega atašeja je urejeno v </w:t>
            </w:r>
            <w:r w:rsidRPr="0029660F">
              <w:rPr>
                <w:rFonts w:cs="Arial"/>
                <w:b w:val="0"/>
              </w:rPr>
              <w:t>Sporazum</w:t>
            </w:r>
            <w:r>
              <w:rPr>
                <w:rFonts w:cs="Arial"/>
                <w:b w:val="0"/>
              </w:rPr>
              <w:t>u</w:t>
            </w:r>
            <w:r w:rsidRPr="0029660F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 xml:space="preserve">med Ministrstvom za notranje zadeve in Ministrstvom za zunanje zadeve </w:t>
            </w:r>
            <w:r w:rsidRPr="0029660F">
              <w:rPr>
                <w:rFonts w:cs="Arial"/>
                <w:b w:val="0"/>
              </w:rPr>
              <w:t xml:space="preserve">o policijskih atašejih </w:t>
            </w:r>
            <w:r>
              <w:rPr>
                <w:rFonts w:cs="Arial"/>
                <w:b w:val="0"/>
              </w:rPr>
              <w:t>(</w:t>
            </w:r>
            <w:r w:rsidRPr="0029660F">
              <w:rPr>
                <w:rFonts w:cs="Arial"/>
                <w:b w:val="0"/>
              </w:rPr>
              <w:t>št. 007-106/2007/2 z dne 10. 4. 2007</w:t>
            </w:r>
            <w:r>
              <w:rPr>
                <w:rFonts w:cs="Arial"/>
                <w:b w:val="0"/>
              </w:rPr>
              <w:t>)</w:t>
            </w:r>
            <w:r w:rsidRPr="0029660F">
              <w:rPr>
                <w:rFonts w:cs="Arial"/>
                <w:b w:val="0"/>
              </w:rPr>
              <w:t>.</w:t>
            </w:r>
          </w:p>
          <w:p w14:paraId="6C862EDA" w14:textId="77777777" w:rsidR="0078312C" w:rsidRDefault="0078312C" w:rsidP="00CD7C8B">
            <w:pPr>
              <w:pStyle w:val="Neotevilenodstavek"/>
              <w:spacing w:before="0" w:line="260" w:lineRule="exact"/>
              <w:contextualSpacing/>
              <w:rPr>
                <w:rFonts w:cs="Arial"/>
              </w:rPr>
            </w:pPr>
          </w:p>
          <w:p w14:paraId="53885BF9" w14:textId="50FF4851" w:rsidR="00F266C5" w:rsidRPr="005E7FFE" w:rsidRDefault="00F266C5" w:rsidP="00CD7C8B">
            <w:pPr>
              <w:pStyle w:val="Neotevilenodstavek"/>
              <w:spacing w:before="0" w:line="260" w:lineRule="exact"/>
              <w:contextualSpacing/>
              <w:rPr>
                <w:rFonts w:cs="Arial"/>
                <w:b/>
                <w:bCs/>
                <w:spacing w:val="40"/>
                <w:lang w:eastAsia="sl-SI"/>
              </w:rPr>
            </w:pPr>
            <w:r w:rsidRPr="0029660F">
              <w:rPr>
                <w:rFonts w:cs="Arial"/>
              </w:rPr>
              <w:t>V času opravljanja nalog v tujini pripada javnemu uslužbencu plača, izračunana na način, ki je določen v Uredbi o plačah in drugih prejemkih javnih uslužbencev za delo v tujini (Uradni list RS, št. 14/09, 16/09 – popr., 23/09, 51/10, 67/10, 80/10 – ZUTD, 41/12, 68/12, 47/13, 96/14, 39/15, 57/15, 73/15, 98/15, 6/16, 38/16, 62/16, 4/17, 26/17, 35/17, 54/17, 5/18, 35/18, 43/18</w:t>
            </w:r>
            <w:r>
              <w:rPr>
                <w:rFonts w:cs="Arial"/>
              </w:rPr>
              <w:t xml:space="preserve">, </w:t>
            </w:r>
            <w:r w:rsidRPr="0029660F">
              <w:rPr>
                <w:rFonts w:cs="Arial"/>
              </w:rPr>
              <w:t>64/18</w:t>
            </w:r>
            <w:r w:rsidR="00EE4A7C">
              <w:rPr>
                <w:rFonts w:cs="Arial"/>
              </w:rPr>
              <w:t>,</w:t>
            </w:r>
            <w:r w:rsidRPr="008522E9">
              <w:rPr>
                <w:rFonts w:cs="Arial"/>
              </w:rPr>
              <w:t xml:space="preserve"> 6/19</w:t>
            </w:r>
            <w:r w:rsidR="00EE4A7C">
              <w:rPr>
                <w:rFonts w:cs="Arial"/>
              </w:rPr>
              <w:t xml:space="preserve">, 35/19, 59/19, 78/19, 7/20, 129/20, 3/21, 16/21, 61/21, 87/21, 158/21 in 15/22 </w:t>
            </w:r>
            <w:r w:rsidRPr="0029660F">
              <w:rPr>
                <w:rFonts w:cs="Arial"/>
              </w:rPr>
              <w:t xml:space="preserve">). </w:t>
            </w:r>
          </w:p>
        </w:tc>
      </w:tr>
      <w:tr w:rsidR="00F266C5" w:rsidRPr="005E7FFE" w14:paraId="3467C22C" w14:textId="77777777" w:rsidTr="007F2C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93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68BB" w14:textId="77777777" w:rsidR="00F266C5" w:rsidRPr="005E7FFE" w:rsidRDefault="00F266C5" w:rsidP="00CD7C8B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7FFE">
              <w:rPr>
                <w:rFonts w:ascii="Arial" w:eastAsia="Times New Roman" w:hAnsi="Arial" w:cs="Arial"/>
                <w:b/>
                <w:sz w:val="20"/>
                <w:szCs w:val="20"/>
              </w:rPr>
              <w:t>7.b Predstavitev ocene finančnih posledic pod 40.000 EUR:</w:t>
            </w:r>
          </w:p>
          <w:p w14:paraId="125A7C85" w14:textId="66F51FFB" w:rsidR="00F266C5" w:rsidRPr="005E7FFE" w:rsidRDefault="00F266C5" w:rsidP="00CD7C8B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7FFE"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F266C5" w:rsidRPr="005E7FFE" w14:paraId="52D06285" w14:textId="77777777" w:rsidTr="007F2C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3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F33F" w14:textId="77777777" w:rsidR="00F266C5" w:rsidRPr="005E7FFE" w:rsidRDefault="00F266C5" w:rsidP="00CD7C8B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7FFE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F266C5" w:rsidRPr="005E7FFE" w14:paraId="7070FA1B" w14:textId="77777777" w:rsidTr="00F266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0" w:type="dxa"/>
            <w:gridSpan w:val="7"/>
          </w:tcPr>
          <w:p w14:paraId="1F606FB8" w14:textId="77777777" w:rsidR="00F266C5" w:rsidRPr="005E7FFE" w:rsidRDefault="00F266C5" w:rsidP="00CD7C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51AAB2CB" w14:textId="77777777" w:rsidR="00F266C5" w:rsidRPr="005E7FFE" w:rsidRDefault="00F266C5" w:rsidP="00CD7C8B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1C9A047E" w14:textId="77777777" w:rsidR="00F266C5" w:rsidRPr="005E7FFE" w:rsidRDefault="00F266C5" w:rsidP="00CD7C8B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4E3ACF24" w14:textId="16A2EE57" w:rsidR="00F266C5" w:rsidRPr="00CD7C8B" w:rsidRDefault="00F266C5" w:rsidP="00CD7C8B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</w:tc>
        <w:tc>
          <w:tcPr>
            <w:tcW w:w="2224" w:type="dxa"/>
            <w:gridSpan w:val="2"/>
          </w:tcPr>
          <w:p w14:paraId="4129821A" w14:textId="77777777" w:rsidR="00F266C5" w:rsidRPr="005E7FFE" w:rsidRDefault="00F266C5" w:rsidP="00CD7C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5E7FF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F266C5" w:rsidRPr="005E7FFE" w14:paraId="2E10B910" w14:textId="77777777" w:rsidTr="007F2C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314" w:type="dxa"/>
            <w:gridSpan w:val="9"/>
          </w:tcPr>
          <w:p w14:paraId="3937D5C5" w14:textId="77777777" w:rsidR="00F266C5" w:rsidRPr="005E7FFE" w:rsidRDefault="00F266C5" w:rsidP="00CD7C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04CE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ne vpliva na pristojnosti, delovanje ali financiranje občin, zato usklajevanje z občinami ni potrebno.</w:t>
            </w:r>
          </w:p>
        </w:tc>
      </w:tr>
      <w:tr w:rsidR="00F266C5" w:rsidRPr="005E7FFE" w14:paraId="3DABDD3F" w14:textId="77777777" w:rsidTr="007F2C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14" w:type="dxa"/>
            <w:gridSpan w:val="9"/>
            <w:vAlign w:val="center"/>
          </w:tcPr>
          <w:p w14:paraId="52987420" w14:textId="77777777" w:rsidR="00F266C5" w:rsidRPr="005E7FFE" w:rsidRDefault="00F266C5" w:rsidP="00CD7C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F266C5" w:rsidRPr="005E7FFE" w14:paraId="47B4D874" w14:textId="77777777" w:rsidTr="00F266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0" w:type="dxa"/>
            <w:gridSpan w:val="7"/>
          </w:tcPr>
          <w:p w14:paraId="055389C4" w14:textId="77777777" w:rsidR="00F266C5" w:rsidRPr="005E7FFE" w:rsidRDefault="00F266C5" w:rsidP="00CD7C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224" w:type="dxa"/>
            <w:gridSpan w:val="2"/>
          </w:tcPr>
          <w:p w14:paraId="70D8C971" w14:textId="77777777" w:rsidR="00F266C5" w:rsidRPr="005E7FFE" w:rsidRDefault="00F266C5" w:rsidP="00CD7C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  <w:r w:rsidRPr="005E7FF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/NE</w:t>
            </w:r>
          </w:p>
        </w:tc>
      </w:tr>
      <w:tr w:rsidR="00F266C5" w:rsidRPr="005E7FFE" w14:paraId="6CAFDB78" w14:textId="77777777" w:rsidTr="007F2C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14" w:type="dxa"/>
            <w:gridSpan w:val="9"/>
          </w:tcPr>
          <w:p w14:paraId="7FE0C343" w14:textId="77777777" w:rsidR="00F266C5" w:rsidRPr="005E7FFE" w:rsidRDefault="00F266C5" w:rsidP="00CD7C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NE, navedite, zakaj ni bilo objavljeno.)</w:t>
            </w:r>
          </w:p>
        </w:tc>
      </w:tr>
      <w:tr w:rsidR="00F266C5" w:rsidRPr="005E7FFE" w14:paraId="18CC8E8C" w14:textId="77777777" w:rsidTr="007F2C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14" w:type="dxa"/>
            <w:gridSpan w:val="9"/>
          </w:tcPr>
          <w:p w14:paraId="1EE380AF" w14:textId="449E24B9" w:rsidR="00F266C5" w:rsidRPr="005E7FFE" w:rsidRDefault="00F266C5" w:rsidP="00CD7C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DA, navedite:</w:t>
            </w:r>
          </w:p>
        </w:tc>
      </w:tr>
      <w:tr w:rsidR="00F266C5" w:rsidRPr="005E7FFE" w14:paraId="47548F7E" w14:textId="77777777" w:rsidTr="00F266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0" w:type="dxa"/>
            <w:gridSpan w:val="7"/>
            <w:vAlign w:val="center"/>
          </w:tcPr>
          <w:p w14:paraId="7A854395" w14:textId="77777777" w:rsidR="00F266C5" w:rsidRPr="005E7FFE" w:rsidRDefault="00F266C5" w:rsidP="00CD7C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224" w:type="dxa"/>
            <w:gridSpan w:val="2"/>
            <w:vAlign w:val="center"/>
          </w:tcPr>
          <w:p w14:paraId="657EAA35" w14:textId="77777777" w:rsidR="00F266C5" w:rsidRPr="005E7FFE" w:rsidRDefault="00F266C5" w:rsidP="00CD7C8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iCs/>
                <w:lang w:eastAsia="sl-SI"/>
              </w:rPr>
            </w:pPr>
            <w:r w:rsidRPr="005E7FFE">
              <w:rPr>
                <w:rFonts w:cs="Arial"/>
                <w:lang w:eastAsia="sl-SI"/>
              </w:rPr>
              <w:t>DA/</w:t>
            </w:r>
            <w:r w:rsidRPr="005E7FFE">
              <w:rPr>
                <w:rFonts w:cs="Arial"/>
                <w:b/>
                <w:lang w:eastAsia="sl-SI"/>
              </w:rPr>
              <w:t>NE</w:t>
            </w:r>
          </w:p>
        </w:tc>
      </w:tr>
      <w:tr w:rsidR="00F266C5" w:rsidRPr="005E7FFE" w14:paraId="1D60C38F" w14:textId="77777777" w:rsidTr="00F266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0" w:type="dxa"/>
            <w:gridSpan w:val="7"/>
            <w:vAlign w:val="center"/>
          </w:tcPr>
          <w:p w14:paraId="12119F41" w14:textId="77777777" w:rsidR="00F266C5" w:rsidRPr="005E7FFE" w:rsidRDefault="00F266C5" w:rsidP="00CD7C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E7FF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224" w:type="dxa"/>
            <w:gridSpan w:val="2"/>
            <w:vAlign w:val="center"/>
          </w:tcPr>
          <w:p w14:paraId="49174938" w14:textId="77777777" w:rsidR="00F266C5" w:rsidRPr="005E7FFE" w:rsidRDefault="00F266C5" w:rsidP="00CD7C8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lang w:eastAsia="sl-SI"/>
              </w:rPr>
            </w:pPr>
            <w:r w:rsidRPr="005E7FFE">
              <w:rPr>
                <w:rFonts w:cs="Arial"/>
                <w:lang w:eastAsia="sl-SI"/>
              </w:rPr>
              <w:t>DA/</w:t>
            </w:r>
            <w:r w:rsidRPr="005E7FFE">
              <w:rPr>
                <w:rFonts w:cs="Arial"/>
                <w:b/>
                <w:lang w:eastAsia="sl-SI"/>
              </w:rPr>
              <w:t>NE</w:t>
            </w:r>
          </w:p>
        </w:tc>
      </w:tr>
      <w:tr w:rsidR="00F266C5" w:rsidRPr="005E7FFE" w14:paraId="115FC5EB" w14:textId="77777777" w:rsidTr="007F2C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131A" w14:textId="77777777" w:rsidR="00F266C5" w:rsidRPr="005E7FFE" w:rsidRDefault="00F266C5" w:rsidP="00CD7C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0958913C" w14:textId="77777777" w:rsidR="00F266C5" w:rsidRPr="00304CEE" w:rsidRDefault="00F266C5" w:rsidP="00CD7C8B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304CE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</w:t>
            </w:r>
            <w:r w:rsidRPr="00304CEE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Aleš Hojs</w:t>
            </w:r>
          </w:p>
          <w:p w14:paraId="25C85489" w14:textId="77777777" w:rsidR="00F266C5" w:rsidRPr="005E7FFE" w:rsidRDefault="00F266C5" w:rsidP="00CD7C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04CEE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                        minister</w:t>
            </w:r>
          </w:p>
        </w:tc>
      </w:tr>
    </w:tbl>
    <w:p w14:paraId="6BAF089B" w14:textId="2C5D8F5B" w:rsidR="006C1178" w:rsidRPr="006C1178" w:rsidRDefault="0060270A" w:rsidP="00CD7C8B">
      <w:pPr>
        <w:widowControl w:val="0"/>
        <w:spacing w:after="0" w:line="260" w:lineRule="exact"/>
        <w:jc w:val="both"/>
        <w:rPr>
          <w:rFonts w:ascii="Arial" w:eastAsia="Times New Roman" w:hAnsi="Arial" w:cs="Arial"/>
          <w:b/>
          <w:caps/>
          <w:sz w:val="20"/>
          <w:szCs w:val="20"/>
        </w:rPr>
      </w:pPr>
      <w:bookmarkStart w:id="2" w:name="_Hlk96518755"/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Informacija o nameravani </w:t>
      </w:r>
      <w:r w:rsidRPr="006C1178">
        <w:rPr>
          <w:rFonts w:ascii="Arial" w:eastAsia="Times New Roman" w:hAnsi="Arial" w:cs="Arial"/>
          <w:b/>
          <w:sz w:val="20"/>
          <w:szCs w:val="20"/>
          <w:lang w:eastAsia="sl-SI"/>
        </w:rPr>
        <w:t>napotit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vi policijskih atašejev Republike Slovenije na Madžarsko in v Črno g</w:t>
      </w:r>
      <w:r w:rsidRPr="006C1178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oro ter nerezidenčno pokrivanje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R</w:t>
      </w:r>
      <w:r w:rsidRPr="006C1178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epublike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K</w:t>
      </w:r>
      <w:r w:rsidRPr="006C1178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osovo,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R</w:t>
      </w:r>
      <w:r w:rsidRPr="006C1178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epublike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A</w:t>
      </w:r>
      <w:r w:rsidRPr="006C1178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lbanije,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R</w:t>
      </w:r>
      <w:r w:rsidRPr="006C1178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epublike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B</w:t>
      </w:r>
      <w:r w:rsidRPr="006C1178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olgarije,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R</w:t>
      </w:r>
      <w:r w:rsidRPr="006C1178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omunije in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S</w:t>
      </w:r>
      <w:r w:rsidRPr="006C1178">
        <w:rPr>
          <w:rFonts w:ascii="Arial" w:eastAsia="Times New Roman" w:hAnsi="Arial" w:cs="Arial"/>
          <w:b/>
          <w:sz w:val="20"/>
          <w:szCs w:val="20"/>
          <w:lang w:eastAsia="sl-SI"/>
        </w:rPr>
        <w:t>lovaške republike z obstoječo mrežo policijskih atašejev</w:t>
      </w:r>
    </w:p>
    <w:bookmarkEnd w:id="2"/>
    <w:p w14:paraId="34EA11E1" w14:textId="77777777" w:rsidR="006C1178" w:rsidRDefault="006C1178" w:rsidP="00CD7C8B">
      <w:pPr>
        <w:widowControl w:val="0"/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12BCAA0D" w14:textId="77777777" w:rsidR="006C1178" w:rsidRDefault="006C1178" w:rsidP="00CD7C8B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29660F">
        <w:rPr>
          <w:rFonts w:ascii="Arial" w:hAnsi="Arial" w:cs="Arial"/>
          <w:sz w:val="20"/>
          <w:szCs w:val="20"/>
        </w:rPr>
        <w:t xml:space="preserve">Zagotavljanje varnosti in ustrezno odzivanje na kriminaliteto sta za državljane </w:t>
      </w:r>
      <w:r>
        <w:rPr>
          <w:rFonts w:ascii="Arial" w:hAnsi="Arial" w:cs="Arial"/>
          <w:sz w:val="20"/>
          <w:szCs w:val="20"/>
        </w:rPr>
        <w:t>vsake države</w:t>
      </w:r>
      <w:r w:rsidRPr="0029660F">
        <w:rPr>
          <w:rFonts w:ascii="Arial" w:hAnsi="Arial" w:cs="Arial"/>
          <w:sz w:val="20"/>
          <w:szCs w:val="20"/>
        </w:rPr>
        <w:t xml:space="preserve"> zelo pomembni področji delovanja</w:t>
      </w:r>
      <w:r>
        <w:rPr>
          <w:rFonts w:ascii="Arial" w:hAnsi="Arial" w:cs="Arial"/>
          <w:sz w:val="20"/>
          <w:szCs w:val="20"/>
        </w:rPr>
        <w:t xml:space="preserve"> državnih institucij</w:t>
      </w:r>
      <w:r w:rsidRPr="0029660F">
        <w:rPr>
          <w:rFonts w:ascii="Arial" w:hAnsi="Arial" w:cs="Arial"/>
          <w:sz w:val="20"/>
          <w:szCs w:val="20"/>
        </w:rPr>
        <w:t xml:space="preserve">. Od </w:t>
      </w:r>
      <w:r>
        <w:rPr>
          <w:rFonts w:ascii="Arial" w:hAnsi="Arial" w:cs="Arial"/>
          <w:sz w:val="20"/>
          <w:szCs w:val="20"/>
        </w:rPr>
        <w:t xml:space="preserve">njih </w:t>
      </w:r>
      <w:r w:rsidRPr="0029660F">
        <w:rPr>
          <w:rFonts w:ascii="Arial" w:hAnsi="Arial" w:cs="Arial"/>
          <w:sz w:val="20"/>
          <w:szCs w:val="20"/>
        </w:rPr>
        <w:t xml:space="preserve">se pričakuje </w:t>
      </w:r>
      <w:r>
        <w:rPr>
          <w:rFonts w:ascii="Arial" w:hAnsi="Arial" w:cs="Arial"/>
          <w:sz w:val="20"/>
          <w:szCs w:val="20"/>
        </w:rPr>
        <w:t xml:space="preserve">sprejem potrebnih ukrepov za </w:t>
      </w:r>
      <w:r w:rsidRPr="0029660F">
        <w:rPr>
          <w:rFonts w:ascii="Arial" w:hAnsi="Arial" w:cs="Arial"/>
          <w:sz w:val="20"/>
          <w:szCs w:val="20"/>
        </w:rPr>
        <w:t xml:space="preserve">učinkovito preprečevanje in </w:t>
      </w:r>
      <w:r>
        <w:rPr>
          <w:rFonts w:ascii="Arial" w:hAnsi="Arial" w:cs="Arial"/>
          <w:sz w:val="20"/>
          <w:szCs w:val="20"/>
        </w:rPr>
        <w:t xml:space="preserve">pregon </w:t>
      </w:r>
      <w:r w:rsidRPr="0029660F">
        <w:rPr>
          <w:rFonts w:ascii="Arial" w:hAnsi="Arial" w:cs="Arial"/>
          <w:sz w:val="20"/>
          <w:szCs w:val="20"/>
        </w:rPr>
        <w:t xml:space="preserve">vseh vrst kriminalitete </w:t>
      </w:r>
      <w:r>
        <w:rPr>
          <w:rFonts w:ascii="Arial" w:hAnsi="Arial" w:cs="Arial"/>
          <w:sz w:val="20"/>
          <w:szCs w:val="20"/>
        </w:rPr>
        <w:t xml:space="preserve">in za </w:t>
      </w:r>
      <w:r w:rsidRPr="0029660F">
        <w:rPr>
          <w:rFonts w:ascii="Arial" w:hAnsi="Arial" w:cs="Arial"/>
          <w:sz w:val="20"/>
          <w:szCs w:val="20"/>
        </w:rPr>
        <w:t>zagotavljanje miru in demokracije.</w:t>
      </w:r>
      <w:r w:rsidRPr="0029660F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Mednarodno sodelovanje organov odrivanja in pregona kaznivih dejanj je pomemben element delovanja varnostnega aparata in </w:t>
      </w:r>
      <w:r w:rsidRPr="0029660F">
        <w:rPr>
          <w:rFonts w:ascii="Arial" w:hAnsi="Arial" w:cs="Arial"/>
          <w:sz w:val="20"/>
          <w:szCs w:val="20"/>
        </w:rPr>
        <w:t>temelji na neposrednem dvo</w:t>
      </w:r>
      <w:r>
        <w:rPr>
          <w:rFonts w:ascii="Arial" w:hAnsi="Arial" w:cs="Arial"/>
          <w:sz w:val="20"/>
          <w:szCs w:val="20"/>
        </w:rPr>
        <w:t>-</w:t>
      </w:r>
      <w:r w:rsidRPr="0029660F">
        <w:rPr>
          <w:rFonts w:ascii="Arial" w:hAnsi="Arial" w:cs="Arial"/>
          <w:sz w:val="20"/>
          <w:szCs w:val="20"/>
        </w:rPr>
        <w:t xml:space="preserve"> ali večstranskem sodelovanju med </w:t>
      </w:r>
      <w:r>
        <w:rPr>
          <w:rFonts w:ascii="Arial" w:hAnsi="Arial" w:cs="Arial"/>
          <w:sz w:val="20"/>
          <w:szCs w:val="20"/>
        </w:rPr>
        <w:t xml:space="preserve">državami. Sodelovanje zajema različne vidike, najpogosteje pa vključuje medsebojno podporo </w:t>
      </w:r>
      <w:r w:rsidRPr="0029660F">
        <w:rPr>
          <w:rFonts w:ascii="Arial" w:hAnsi="Arial" w:cs="Arial"/>
          <w:sz w:val="20"/>
          <w:szCs w:val="20"/>
        </w:rPr>
        <w:t>pri preprečevanj</w:t>
      </w:r>
      <w:r>
        <w:rPr>
          <w:rFonts w:ascii="Arial" w:hAnsi="Arial" w:cs="Arial"/>
          <w:sz w:val="20"/>
          <w:szCs w:val="20"/>
        </w:rPr>
        <w:t xml:space="preserve">u, odkrivanju ali preiskovanju kaznivih dejanj bodisi </w:t>
      </w:r>
      <w:r w:rsidRPr="0029660F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izmenjavo podatkov in informacij, bodisi z izvajanjem konkretnih operativnih aktivnosti.</w:t>
      </w:r>
      <w:r w:rsidRPr="0029660F">
        <w:rPr>
          <w:rFonts w:ascii="Arial" w:hAnsi="Arial" w:cs="Arial"/>
          <w:sz w:val="20"/>
          <w:szCs w:val="20"/>
        </w:rPr>
        <w:t xml:space="preserve"> </w:t>
      </w:r>
    </w:p>
    <w:p w14:paraId="6AD468DF" w14:textId="77777777" w:rsidR="006C1178" w:rsidRDefault="006C1178" w:rsidP="00CD7C8B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71C81D08" w14:textId="77777777" w:rsidR="006C1178" w:rsidRDefault="006C1178" w:rsidP="00CD7C8B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Pomembna oblika policijskega </w:t>
      </w:r>
      <w:r w:rsidRPr="0029660F">
        <w:rPr>
          <w:rFonts w:ascii="Arial" w:hAnsi="Arial" w:cs="Arial"/>
          <w:sz w:val="20"/>
          <w:szCs w:val="20"/>
        </w:rPr>
        <w:t xml:space="preserve">sodelovanja je </w:t>
      </w:r>
      <w:r>
        <w:rPr>
          <w:rFonts w:ascii="Arial" w:hAnsi="Arial" w:cs="Arial"/>
          <w:sz w:val="20"/>
          <w:szCs w:val="20"/>
        </w:rPr>
        <w:t xml:space="preserve">tudi napotitev policijskih atašejev. </w:t>
      </w:r>
      <w:r w:rsidRPr="0029660F">
        <w:rPr>
          <w:rFonts w:ascii="Arial" w:hAnsi="Arial" w:cs="Arial"/>
          <w:sz w:val="20"/>
          <w:szCs w:val="20"/>
        </w:rPr>
        <w:t xml:space="preserve">Ta oblika sodelovanja med policijami </w:t>
      </w:r>
      <w:r>
        <w:rPr>
          <w:rFonts w:ascii="Arial" w:hAnsi="Arial" w:cs="Arial"/>
          <w:sz w:val="20"/>
          <w:szCs w:val="20"/>
        </w:rPr>
        <w:t>oziroma</w:t>
      </w:r>
      <w:r w:rsidRPr="0029660F">
        <w:rPr>
          <w:rFonts w:ascii="Arial" w:hAnsi="Arial" w:cs="Arial"/>
          <w:sz w:val="20"/>
          <w:szCs w:val="20"/>
        </w:rPr>
        <w:t xml:space="preserve"> pristojnimi službami je opredeljena </w:t>
      </w:r>
      <w:r>
        <w:rPr>
          <w:rFonts w:ascii="Arial" w:hAnsi="Arial" w:cs="Arial"/>
          <w:sz w:val="20"/>
          <w:szCs w:val="20"/>
        </w:rPr>
        <w:t xml:space="preserve">tudi </w:t>
      </w:r>
      <w:r w:rsidRPr="0029660F">
        <w:rPr>
          <w:rFonts w:ascii="Arial" w:hAnsi="Arial" w:cs="Arial"/>
          <w:sz w:val="20"/>
          <w:szCs w:val="20"/>
        </w:rPr>
        <w:t>v več dokumentih</w:t>
      </w:r>
      <w:r>
        <w:rPr>
          <w:rFonts w:ascii="Arial" w:hAnsi="Arial" w:cs="Arial"/>
          <w:sz w:val="20"/>
          <w:szCs w:val="20"/>
        </w:rPr>
        <w:t xml:space="preserve"> EU</w:t>
      </w:r>
      <w:r w:rsidRPr="0029660F">
        <w:rPr>
          <w:rFonts w:ascii="Arial" w:hAnsi="Arial" w:cs="Arial"/>
          <w:sz w:val="20"/>
          <w:szCs w:val="20"/>
        </w:rPr>
        <w:t xml:space="preserve">. Odločitev o napotitvi </w:t>
      </w:r>
      <w:r>
        <w:rPr>
          <w:rFonts w:ascii="Arial" w:hAnsi="Arial" w:cs="Arial"/>
          <w:sz w:val="20"/>
          <w:szCs w:val="20"/>
        </w:rPr>
        <w:t>policijskih atašejev</w:t>
      </w:r>
      <w:r w:rsidRPr="0029660F">
        <w:rPr>
          <w:rFonts w:ascii="Arial" w:hAnsi="Arial" w:cs="Arial"/>
          <w:sz w:val="20"/>
          <w:szCs w:val="20"/>
        </w:rPr>
        <w:t xml:space="preserve"> v določeno državo je </w:t>
      </w:r>
      <w:r>
        <w:rPr>
          <w:rFonts w:ascii="Arial" w:hAnsi="Arial" w:cs="Arial"/>
          <w:sz w:val="20"/>
          <w:szCs w:val="20"/>
        </w:rPr>
        <w:t>sicer prepuščena nacionalni ureditvi in oceni</w:t>
      </w:r>
      <w:r w:rsidRPr="0029660F">
        <w:rPr>
          <w:rFonts w:ascii="Arial" w:hAnsi="Arial" w:cs="Arial"/>
          <w:sz w:val="20"/>
          <w:szCs w:val="20"/>
        </w:rPr>
        <w:t xml:space="preserve"> posamezne države, </w:t>
      </w:r>
      <w:r>
        <w:rPr>
          <w:rFonts w:ascii="Arial" w:hAnsi="Arial" w:cs="Arial"/>
          <w:sz w:val="20"/>
          <w:szCs w:val="20"/>
        </w:rPr>
        <w:t xml:space="preserve">ali bo uporabila </w:t>
      </w:r>
      <w:r w:rsidRPr="0029660F">
        <w:rPr>
          <w:rFonts w:ascii="Arial" w:hAnsi="Arial" w:cs="Arial"/>
          <w:sz w:val="20"/>
          <w:szCs w:val="20"/>
        </w:rPr>
        <w:t xml:space="preserve">takšno obliko skupnega sodelovanja. </w:t>
      </w:r>
      <w:r>
        <w:rPr>
          <w:rFonts w:ascii="Arial" w:hAnsi="Arial" w:cs="Arial"/>
          <w:sz w:val="20"/>
          <w:szCs w:val="20"/>
        </w:rPr>
        <w:t>Delovanje policijskih atašejev se praviloma ureja z dvo- ali večstranskimi mednarodnimi pogodbami</w:t>
      </w:r>
      <w:r w:rsidRPr="0029660F">
        <w:rPr>
          <w:rFonts w:ascii="Arial" w:hAnsi="Arial" w:cs="Arial"/>
          <w:sz w:val="20"/>
          <w:szCs w:val="20"/>
        </w:rPr>
        <w:t xml:space="preserve">. </w:t>
      </w:r>
    </w:p>
    <w:p w14:paraId="250EBD02" w14:textId="77777777" w:rsidR="006C1178" w:rsidRDefault="006C1178" w:rsidP="00CD7C8B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4175CE5E" w14:textId="77777777" w:rsidR="006C1178" w:rsidRDefault="006C1178" w:rsidP="00CD7C8B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Namen policijskih atašejev je praviloma zastopanje</w:t>
      </w:r>
      <w:r w:rsidRPr="0029660F">
        <w:rPr>
          <w:rFonts w:ascii="Arial" w:hAnsi="Arial" w:cs="Arial"/>
          <w:sz w:val="20"/>
          <w:szCs w:val="20"/>
        </w:rPr>
        <w:t xml:space="preserve"> interes</w:t>
      </w:r>
      <w:r>
        <w:rPr>
          <w:rFonts w:ascii="Arial" w:hAnsi="Arial" w:cs="Arial"/>
          <w:sz w:val="20"/>
          <w:szCs w:val="20"/>
        </w:rPr>
        <w:t>a</w:t>
      </w:r>
      <w:r w:rsidRPr="0029660F">
        <w:rPr>
          <w:rFonts w:ascii="Arial" w:hAnsi="Arial" w:cs="Arial"/>
          <w:sz w:val="20"/>
          <w:szCs w:val="20"/>
        </w:rPr>
        <w:t xml:space="preserve"> države pošiljateljice, </w:t>
      </w:r>
      <w:r>
        <w:rPr>
          <w:rFonts w:ascii="Arial" w:hAnsi="Arial" w:cs="Arial"/>
          <w:sz w:val="20"/>
          <w:szCs w:val="20"/>
        </w:rPr>
        <w:t>s</w:t>
      </w:r>
      <w:r w:rsidRPr="0029660F">
        <w:rPr>
          <w:rFonts w:ascii="Arial" w:hAnsi="Arial" w:cs="Arial"/>
          <w:sz w:val="20"/>
          <w:szCs w:val="20"/>
        </w:rPr>
        <w:t>podbuja</w:t>
      </w:r>
      <w:r>
        <w:rPr>
          <w:rFonts w:ascii="Arial" w:hAnsi="Arial" w:cs="Arial"/>
          <w:sz w:val="20"/>
          <w:szCs w:val="20"/>
        </w:rPr>
        <w:t>nje, pospeševanje in krepitev</w:t>
      </w:r>
      <w:r w:rsidRPr="002966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mednarodnega policijskega sodelovanja, ugotavljanje</w:t>
      </w:r>
      <w:r w:rsidRPr="0029660F">
        <w:rPr>
          <w:rFonts w:ascii="Arial" w:hAnsi="Arial" w:cs="Arial"/>
          <w:sz w:val="20"/>
          <w:szCs w:val="20"/>
        </w:rPr>
        <w:t xml:space="preserve"> dejst</w:t>
      </w:r>
      <w:r>
        <w:rPr>
          <w:rFonts w:ascii="Arial" w:hAnsi="Arial" w:cs="Arial"/>
          <w:sz w:val="20"/>
          <w:szCs w:val="20"/>
        </w:rPr>
        <w:t>e</w:t>
      </w:r>
      <w:r w:rsidRPr="0029660F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, </w:t>
      </w:r>
      <w:r w:rsidRPr="0029660F">
        <w:rPr>
          <w:rFonts w:ascii="Arial" w:hAnsi="Arial" w:cs="Arial"/>
          <w:sz w:val="20"/>
          <w:szCs w:val="20"/>
        </w:rPr>
        <w:t>zbira</w:t>
      </w:r>
      <w:r>
        <w:rPr>
          <w:rFonts w:ascii="Arial" w:hAnsi="Arial" w:cs="Arial"/>
          <w:sz w:val="20"/>
          <w:szCs w:val="20"/>
        </w:rPr>
        <w:t>nje, vrednotenje, analiza in posredovanje</w:t>
      </w:r>
      <w:r w:rsidRPr="0029660F">
        <w:rPr>
          <w:rFonts w:ascii="Arial" w:hAnsi="Arial" w:cs="Arial"/>
          <w:sz w:val="20"/>
          <w:szCs w:val="20"/>
        </w:rPr>
        <w:t xml:space="preserve"> informacije, ki so pomembne za delo </w:t>
      </w:r>
      <w:r>
        <w:rPr>
          <w:rFonts w:ascii="Arial" w:hAnsi="Arial" w:cs="Arial"/>
          <w:sz w:val="20"/>
          <w:szCs w:val="20"/>
        </w:rPr>
        <w:t>organov preprečevanja, odkrivanja in pregona, pomoč</w:t>
      </w:r>
      <w:r w:rsidRPr="0029660F">
        <w:rPr>
          <w:rFonts w:ascii="Arial" w:hAnsi="Arial" w:cs="Arial"/>
          <w:sz w:val="20"/>
          <w:szCs w:val="20"/>
        </w:rPr>
        <w:t xml:space="preserve"> v postopkih mednarodne pravne pomoči v kazenskih</w:t>
      </w:r>
      <w:r>
        <w:rPr>
          <w:rFonts w:ascii="Arial" w:hAnsi="Arial" w:cs="Arial"/>
          <w:sz w:val="20"/>
          <w:szCs w:val="20"/>
        </w:rPr>
        <w:t xml:space="preserve"> zadevah in po potrebi pomoč </w:t>
      </w:r>
      <w:r w:rsidRPr="0029660F">
        <w:rPr>
          <w:rFonts w:ascii="Arial" w:hAnsi="Arial" w:cs="Arial"/>
          <w:sz w:val="20"/>
          <w:szCs w:val="20"/>
        </w:rPr>
        <w:t xml:space="preserve">drugim organom odkrivanja in pregona. </w:t>
      </w:r>
      <w:r>
        <w:rPr>
          <w:rFonts w:ascii="Arial" w:hAnsi="Arial" w:cs="Arial"/>
          <w:sz w:val="20"/>
          <w:szCs w:val="20"/>
        </w:rPr>
        <w:t xml:space="preserve">Policijski atašeji imajo </w:t>
      </w:r>
      <w:r w:rsidRPr="0029660F">
        <w:rPr>
          <w:rFonts w:ascii="Arial" w:hAnsi="Arial" w:cs="Arial"/>
          <w:sz w:val="20"/>
          <w:szCs w:val="20"/>
        </w:rPr>
        <w:t xml:space="preserve">podporno in svetovalno vlogo in ne smejo samostojno izvajati uradnih pooblastil. </w:t>
      </w:r>
    </w:p>
    <w:p w14:paraId="5F7AC16A" w14:textId="77777777" w:rsidR="006C1178" w:rsidRDefault="006C1178" w:rsidP="00CD7C8B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035AF47A" w14:textId="77777777" w:rsidR="006C1178" w:rsidRDefault="006C1178" w:rsidP="00CD7C8B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7F2CA0">
        <w:rPr>
          <w:rFonts w:ascii="Arial" w:hAnsi="Arial" w:cs="Arial"/>
          <w:sz w:val="20"/>
          <w:szCs w:val="20"/>
        </w:rPr>
        <w:t>Z nerezidenčn</w:t>
      </w:r>
      <w:r>
        <w:rPr>
          <w:rFonts w:ascii="Arial" w:hAnsi="Arial" w:cs="Arial"/>
          <w:sz w:val="20"/>
          <w:szCs w:val="20"/>
        </w:rPr>
        <w:t xml:space="preserve">o obliko </w:t>
      </w:r>
      <w:r w:rsidRPr="007F2CA0">
        <w:rPr>
          <w:rFonts w:ascii="Arial" w:hAnsi="Arial" w:cs="Arial"/>
          <w:sz w:val="20"/>
          <w:szCs w:val="20"/>
        </w:rPr>
        <w:t>pokrivanj</w:t>
      </w:r>
      <w:r>
        <w:rPr>
          <w:rFonts w:ascii="Arial" w:hAnsi="Arial" w:cs="Arial"/>
          <w:sz w:val="20"/>
          <w:szCs w:val="20"/>
        </w:rPr>
        <w:t xml:space="preserve">a držav z obstoječo mrežo rezidenčnih policijskih atašejev se krepi in nadgrajuje mednarodno policijsko sodelovanje. Ta oblika daje podlago za bolj realno in objektivno oceno za morebitno kasnejšo rezidenčno pokrivanje držav. </w:t>
      </w:r>
      <w:r w:rsidRPr="007F2CA0">
        <w:rPr>
          <w:rFonts w:ascii="Arial" w:hAnsi="Arial" w:cs="Arial"/>
          <w:sz w:val="20"/>
          <w:szCs w:val="20"/>
        </w:rPr>
        <w:t xml:space="preserve">Predvsem na področju priseljevanja ter boja zoper organiziran kriminal. Glede na aktualnost migracijske situacije in dvig varnostnih tveganj, povezanih s spreminjajočo se strukturo in številom ilegalnih migrantov </w:t>
      </w:r>
      <w:r>
        <w:rPr>
          <w:rFonts w:ascii="Arial" w:hAnsi="Arial" w:cs="Arial"/>
          <w:sz w:val="20"/>
          <w:szCs w:val="20"/>
        </w:rPr>
        <w:t>je potrebno</w:t>
      </w:r>
      <w:r w:rsidRPr="007F2CA0">
        <w:rPr>
          <w:rFonts w:ascii="Arial" w:hAnsi="Arial" w:cs="Arial"/>
          <w:sz w:val="20"/>
          <w:szCs w:val="20"/>
        </w:rPr>
        <w:t xml:space="preserve"> razmere na zunanji meji EU še bolj pozorno spremljati. Prav tako n</w:t>
      </w:r>
      <w:r>
        <w:rPr>
          <w:rFonts w:ascii="Arial" w:hAnsi="Arial" w:cs="Arial"/>
          <w:sz w:val="20"/>
          <w:szCs w:val="20"/>
        </w:rPr>
        <w:t>i</w:t>
      </w:r>
      <w:r w:rsidRPr="007F2CA0">
        <w:rPr>
          <w:rFonts w:ascii="Arial" w:hAnsi="Arial" w:cs="Arial"/>
          <w:sz w:val="20"/>
          <w:szCs w:val="20"/>
        </w:rPr>
        <w:t xml:space="preserve"> zanemariti trenutnih politično varnostnih razmer v posameznih državah v regiji, kjer zaradi nestabilnih političnih razmer, varnostni organi niso sposobni izvajati učinkovitih ukrepov za boj zoper organiziranemu kriminalu in korupciji.</w:t>
      </w:r>
    </w:p>
    <w:p w14:paraId="53618E30" w14:textId="77777777" w:rsidR="006C1178" w:rsidRDefault="006C1178" w:rsidP="00CD7C8B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6098A52C" w14:textId="77777777" w:rsidR="006C1178" w:rsidRDefault="006C1178" w:rsidP="00CD7C8B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nadaljevanju navajamo </w:t>
      </w:r>
      <w:r w:rsidRPr="0029660F">
        <w:rPr>
          <w:rFonts w:ascii="Arial" w:hAnsi="Arial" w:cs="Arial"/>
          <w:sz w:val="20"/>
          <w:szCs w:val="20"/>
        </w:rPr>
        <w:t>kratk</w:t>
      </w:r>
      <w:r>
        <w:rPr>
          <w:rFonts w:ascii="Arial" w:hAnsi="Arial" w:cs="Arial"/>
          <w:sz w:val="20"/>
          <w:szCs w:val="20"/>
        </w:rPr>
        <w:t>o</w:t>
      </w:r>
      <w:r w:rsidRPr="0029660F">
        <w:rPr>
          <w:rFonts w:ascii="Arial" w:hAnsi="Arial" w:cs="Arial"/>
          <w:sz w:val="20"/>
          <w:szCs w:val="20"/>
        </w:rPr>
        <w:t xml:space="preserve"> obrazložitev </w:t>
      </w:r>
      <w:r>
        <w:rPr>
          <w:rFonts w:ascii="Arial" w:hAnsi="Arial" w:cs="Arial"/>
          <w:sz w:val="20"/>
          <w:szCs w:val="20"/>
        </w:rPr>
        <w:t xml:space="preserve">izbora držav napotitve. </w:t>
      </w:r>
    </w:p>
    <w:p w14:paraId="5B056BBD" w14:textId="77777777" w:rsidR="006A09A8" w:rsidRDefault="006A09A8" w:rsidP="00CD7C8B">
      <w:pPr>
        <w:spacing w:after="0" w:line="26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A031AEE" w14:textId="77777777" w:rsidR="006C1178" w:rsidRPr="006C1178" w:rsidRDefault="006C1178" w:rsidP="00CD7C8B">
      <w:pPr>
        <w:pStyle w:val="Odstavekseznama"/>
        <w:numPr>
          <w:ilvl w:val="0"/>
          <w:numId w:val="21"/>
        </w:numPr>
        <w:spacing w:line="26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C1178">
        <w:rPr>
          <w:rFonts w:ascii="Arial" w:hAnsi="Arial" w:cs="Arial"/>
          <w:b/>
          <w:color w:val="000000"/>
          <w:sz w:val="20"/>
          <w:szCs w:val="20"/>
        </w:rPr>
        <w:t xml:space="preserve">REZIDENČNO POKRIVANJE - </w:t>
      </w:r>
    </w:p>
    <w:p w14:paraId="642D2487" w14:textId="77777777" w:rsidR="006C1178" w:rsidRDefault="006C1178" w:rsidP="00CD7C8B">
      <w:pPr>
        <w:spacing w:after="0" w:line="26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2DF49DA" w14:textId="77777777" w:rsidR="006C1178" w:rsidRDefault="006C1178" w:rsidP="00CD7C8B">
      <w:pPr>
        <w:spacing w:after="0" w:line="26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Madžarska:</w:t>
      </w:r>
    </w:p>
    <w:p w14:paraId="3B20FEDF" w14:textId="77777777" w:rsidR="006C1178" w:rsidRPr="00515F9F" w:rsidRDefault="006C1178" w:rsidP="00CD7C8B">
      <w:pPr>
        <w:spacing w:after="0" w:line="260" w:lineRule="exact"/>
        <w:jc w:val="both"/>
        <w:rPr>
          <w:rFonts w:ascii="Arial" w:hAnsi="Arial" w:cs="Arial"/>
          <w:sz w:val="20"/>
        </w:rPr>
      </w:pPr>
      <w:bookmarkStart w:id="3" w:name="_Hlk95898075"/>
    </w:p>
    <w:p w14:paraId="7BDE8035" w14:textId="54B2A5BE" w:rsidR="006C1178" w:rsidRDefault="006C1178" w:rsidP="00CD7C8B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515F9F">
        <w:rPr>
          <w:rFonts w:ascii="Arial" w:hAnsi="Arial" w:cs="Arial"/>
          <w:sz w:val="20"/>
          <w:szCs w:val="20"/>
        </w:rPr>
        <w:t xml:space="preserve">Madžarska sodi v krog sosednjih EU držav, s katero ima Republika Slovenija na številnih področjih in nivojih  razvejano policijsko </w:t>
      </w:r>
      <w:bookmarkEnd w:id="3"/>
      <w:r w:rsidRPr="00515F9F">
        <w:rPr>
          <w:rFonts w:ascii="Arial" w:hAnsi="Arial" w:cs="Arial"/>
          <w:sz w:val="20"/>
          <w:szCs w:val="20"/>
        </w:rPr>
        <w:t xml:space="preserve">sodelovanje. </w:t>
      </w:r>
      <w:r w:rsidRPr="00515F9F">
        <w:rPr>
          <w:rFonts w:ascii="Arial" w:eastAsia="Times New Roman" w:hAnsi="Arial" w:cs="Arial"/>
          <w:sz w:val="20"/>
          <w:szCs w:val="20"/>
          <w:lang w:eastAsia="x-none"/>
        </w:rPr>
        <w:t xml:space="preserve">Republika Slovenija je v 2. polovici 2021 predsedovala Svetu EU na področju notranjih zadev. Med svojimi prioritetami je veliko pozornosti namenila prav krepitvi sodelovanja z državami jugozahodnega Balkana, pomembno pa je bilo tudi tesnejše medsebojno sodelovanje z Madžarsko. </w:t>
      </w:r>
      <w:r w:rsidRPr="00515F9F">
        <w:rPr>
          <w:rFonts w:ascii="Arial" w:hAnsi="Arial" w:cs="Arial"/>
          <w:sz w:val="20"/>
          <w:szCs w:val="20"/>
        </w:rPr>
        <w:t xml:space="preserve">Glede na vsestransko prepletenost medsebojnih odnosov, skupne interese in večjo učinkovitost pri strateškem in operativnem sodelovanju na področju notranjih zadev, bi bila čim prejšnja rezidenčna napotitev policijskega atašeja v Budimpešto zelo koristna. </w:t>
      </w:r>
      <w:bookmarkStart w:id="4" w:name="_Hlk95911955"/>
      <w:r w:rsidRPr="00515F9F">
        <w:rPr>
          <w:rFonts w:ascii="Arial" w:hAnsi="Arial" w:cs="Arial"/>
          <w:sz w:val="20"/>
          <w:szCs w:val="20"/>
        </w:rPr>
        <w:t xml:space="preserve">K temu je potrebno dodati tudi aktualne razmere na področju nezakonitih migracij v povezavi s krizno situacijo na beloruski državni meji, s katero se sicer najbolj soočajo Litva, Latvija in Poljska. Vendar pa gre za enega izmed elementov ogrožanja varnosti EU in lahko vpliva na sprožitev večjega migrantskega vala. </w:t>
      </w:r>
      <w:bookmarkEnd w:id="4"/>
      <w:r w:rsidR="006957F5">
        <w:rPr>
          <w:rFonts w:ascii="Arial" w:hAnsi="Arial" w:cs="Arial"/>
          <w:sz w:val="20"/>
          <w:szCs w:val="20"/>
        </w:rPr>
        <w:t xml:space="preserve">Prav tako </w:t>
      </w:r>
      <w:r w:rsidR="00662C23">
        <w:rPr>
          <w:rFonts w:ascii="Arial" w:hAnsi="Arial" w:cs="Arial"/>
          <w:sz w:val="20"/>
          <w:szCs w:val="20"/>
        </w:rPr>
        <w:t xml:space="preserve">se </w:t>
      </w:r>
      <w:r w:rsidR="006957F5">
        <w:rPr>
          <w:rFonts w:ascii="Arial" w:hAnsi="Arial" w:cs="Arial"/>
          <w:sz w:val="20"/>
          <w:szCs w:val="20"/>
        </w:rPr>
        <w:t>zaradi zaostrenih varnostnih razmer v Ukrajini</w:t>
      </w:r>
      <w:r w:rsidR="00662C23">
        <w:rPr>
          <w:rFonts w:ascii="Arial" w:hAnsi="Arial" w:cs="Arial"/>
          <w:sz w:val="20"/>
          <w:szCs w:val="20"/>
        </w:rPr>
        <w:t xml:space="preserve"> pričakuje povečanje begunske problematike saj Madžarska neposredno meji z Ukrajino. </w:t>
      </w:r>
      <w:r w:rsidRPr="00515F9F">
        <w:rPr>
          <w:rFonts w:ascii="Arial" w:hAnsi="Arial" w:cs="Arial"/>
          <w:sz w:val="20"/>
          <w:szCs w:val="20"/>
        </w:rPr>
        <w:t xml:space="preserve">Policijski ataše bi lahko neposredno pridobival potrebne informacije, ki so zelo pomembne za pravočasni odziv pristojnih organov v Republiki Sloveniji, še posebej policije. Njegova vloga bi okrepila tudi sodelovanje na področju problematike ukradenih vozil v državah Zahodne Evrope, ki tranzitirajo Slovenijo in Madžarsko v smeri tretjih držav. </w:t>
      </w:r>
      <w:bookmarkStart w:id="5" w:name="_Hlk95899540"/>
    </w:p>
    <w:p w14:paraId="21E9713C" w14:textId="77777777" w:rsidR="006C1178" w:rsidRDefault="006C1178" w:rsidP="00CD7C8B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13A9C791" w14:textId="0531ACE4" w:rsidR="006C1178" w:rsidRPr="00072F56" w:rsidRDefault="006C1178" w:rsidP="00CD7C8B">
      <w:pPr>
        <w:spacing w:line="260" w:lineRule="exact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72F56">
        <w:rPr>
          <w:rFonts w:ascii="Arial" w:hAnsi="Arial" w:cs="Arial"/>
          <w:sz w:val="20"/>
          <w:szCs w:val="20"/>
        </w:rPr>
        <w:t xml:space="preserve">Pravna podlaga za </w:t>
      </w:r>
      <w:r>
        <w:rPr>
          <w:rFonts w:ascii="Arial" w:hAnsi="Arial" w:cs="Arial"/>
          <w:sz w:val="20"/>
          <w:szCs w:val="20"/>
        </w:rPr>
        <w:t xml:space="preserve">napotitev policijskega atašeja je </w:t>
      </w:r>
      <w:r w:rsidR="0078312C">
        <w:rPr>
          <w:rFonts w:ascii="Helv" w:hAnsi="Helv" w:cs="Helv"/>
          <w:color w:val="000000"/>
          <w:sz w:val="20"/>
          <w:szCs w:val="20"/>
          <w:lang w:eastAsia="sl-SI"/>
        </w:rPr>
        <w:t>18. člen Sporazuma med Republiko Slovenijo in Republiko Madžarsko o čezmejnem policijskem sodelovanju organov za zatiranje kriminalitete (Uradni list RS št. 19/07 – Mednarodne pogodbe, št. </w:t>
      </w:r>
      <w:hyperlink r:id="rId10" w:history="1">
        <w:r w:rsidR="0078312C">
          <w:rPr>
            <w:rFonts w:ascii="Helv" w:hAnsi="Helv" w:cs="Helv"/>
            <w:color w:val="000000"/>
            <w:sz w:val="20"/>
            <w:szCs w:val="20"/>
            <w:lang w:eastAsia="sl-SI"/>
          </w:rPr>
          <w:t>4/07</w:t>
        </w:r>
      </w:hyperlink>
      <w:r w:rsidR="0078312C">
        <w:rPr>
          <w:rFonts w:ascii="Helv" w:hAnsi="Helv" w:cs="Helv"/>
          <w:color w:val="000000"/>
          <w:sz w:val="20"/>
          <w:szCs w:val="20"/>
          <w:lang w:eastAsia="sl-SI"/>
        </w:rPr>
        <w:t>).</w:t>
      </w:r>
    </w:p>
    <w:bookmarkEnd w:id="5"/>
    <w:p w14:paraId="7359C510" w14:textId="77777777" w:rsidR="006C1178" w:rsidRDefault="006C1178" w:rsidP="00CD7C8B">
      <w:pPr>
        <w:spacing w:after="0" w:line="26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5E9EA47" w14:textId="77777777" w:rsidR="006C1178" w:rsidRDefault="006C1178" w:rsidP="00CD7C8B">
      <w:pPr>
        <w:spacing w:after="0" w:line="26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Črna gora</w:t>
      </w:r>
    </w:p>
    <w:p w14:paraId="09CD7C30" w14:textId="77777777" w:rsidR="006C1178" w:rsidRDefault="006C1178" w:rsidP="00CD7C8B">
      <w:pPr>
        <w:spacing w:after="0" w:line="26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B220179" w14:textId="7989AFE2" w:rsidR="006C1178" w:rsidRDefault="006C1178" w:rsidP="00CD7C8B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515F9F">
        <w:rPr>
          <w:rFonts w:ascii="Arial" w:hAnsi="Arial" w:cs="Arial"/>
          <w:sz w:val="20"/>
          <w:szCs w:val="20"/>
        </w:rPr>
        <w:t xml:space="preserve">Veleposlaništvo Republike Slovenije v Črni </w:t>
      </w:r>
      <w:r>
        <w:rPr>
          <w:rFonts w:ascii="Arial" w:hAnsi="Arial" w:cs="Arial"/>
          <w:sz w:val="20"/>
          <w:szCs w:val="20"/>
        </w:rPr>
        <w:t>g</w:t>
      </w:r>
      <w:r w:rsidRPr="00515F9F">
        <w:rPr>
          <w:rFonts w:ascii="Arial" w:hAnsi="Arial" w:cs="Arial"/>
          <w:sz w:val="20"/>
          <w:szCs w:val="20"/>
        </w:rPr>
        <w:t xml:space="preserve">ori je že večkrat predlagalo napotitev policijskega atašeja v Črno </w:t>
      </w:r>
      <w:r w:rsidR="0060270A">
        <w:rPr>
          <w:rFonts w:ascii="Arial" w:hAnsi="Arial" w:cs="Arial"/>
          <w:sz w:val="20"/>
          <w:szCs w:val="20"/>
        </w:rPr>
        <w:t>g</w:t>
      </w:r>
      <w:r w:rsidRPr="00515F9F">
        <w:rPr>
          <w:rFonts w:ascii="Arial" w:hAnsi="Arial" w:cs="Arial"/>
          <w:sz w:val="20"/>
          <w:szCs w:val="20"/>
        </w:rPr>
        <w:t xml:space="preserve">oro. Do sedaj je Republika Slovenija v Črno goro napotila enega policijskega atašeja v obdobju od novembra 2008 do novembra 2012. Menimo, da bi se s ponovno napotitvijo okrepilo dvostransko sodelovanje pri zagotavljanju nacionalne in mednarodne varnosti. </w:t>
      </w:r>
      <w:r w:rsidRPr="00515F9F">
        <w:rPr>
          <w:rFonts w:ascii="Arial" w:hAnsi="Arial" w:cs="Arial"/>
          <w:color w:val="000000"/>
          <w:sz w:val="20"/>
          <w:szCs w:val="20"/>
        </w:rPr>
        <w:t>Pri dvostranskem sodelovanju bi prevladoval zlasti mi</w:t>
      </w:r>
      <w:r w:rsidRPr="00515F9F">
        <w:rPr>
          <w:rFonts w:ascii="Arial" w:hAnsi="Arial" w:cs="Arial"/>
          <w:sz w:val="20"/>
          <w:szCs w:val="20"/>
        </w:rPr>
        <w:t xml:space="preserve">gracijska problematika, ki je za nas zelo občutljivo področje ter področje čezmejne kriminalitete (delovanje kriminalnih združb z območja Zahodnega Balkana). Preverjene informacije policijskega atašeja bi lahko pomagale pri ukrepih za učinkovitejši nadzor meje in odkrivanju in preprečevanju čezmejne kriminalitete v Republiki Sloveniji ter tudi za verodostojnejši odziv na mednarodni ravni. Policijski ataše v Podgorici bi lahko zelo koristil pri pomoči in svetovanju na številnih drugih področjih notranjih zadev. </w:t>
      </w:r>
    </w:p>
    <w:p w14:paraId="529F5619" w14:textId="77777777" w:rsidR="006C1178" w:rsidRDefault="006C1178" w:rsidP="00CD7C8B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45B6E070" w14:textId="0BC6597D" w:rsidR="006C1178" w:rsidRPr="00072F56" w:rsidRDefault="006C1178" w:rsidP="00CD7C8B">
      <w:pPr>
        <w:spacing w:line="260" w:lineRule="exact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72F56">
        <w:rPr>
          <w:rFonts w:ascii="Arial" w:hAnsi="Arial" w:cs="Arial"/>
          <w:sz w:val="20"/>
          <w:szCs w:val="20"/>
        </w:rPr>
        <w:t xml:space="preserve">Pravna podlaga za </w:t>
      </w:r>
      <w:r>
        <w:rPr>
          <w:rFonts w:ascii="Arial" w:hAnsi="Arial" w:cs="Arial"/>
          <w:sz w:val="20"/>
          <w:szCs w:val="20"/>
        </w:rPr>
        <w:t xml:space="preserve">napotitev policijskega atašeja je </w:t>
      </w:r>
      <w:r w:rsidR="0078312C">
        <w:rPr>
          <w:rFonts w:ascii="Helv" w:hAnsi="Helv" w:cs="Helv"/>
          <w:color w:val="000000"/>
          <w:sz w:val="20"/>
          <w:szCs w:val="20"/>
          <w:lang w:eastAsia="sl-SI"/>
        </w:rPr>
        <w:t>2. člen Sporazuma med Vlado Republike Slovenije in Vlado Republike Črne gore o sodelovanju v boju proti organiziranemu kriminalu, trgovini z ljudmi in ilegalnim migracijam, nezakoniti trgovini s prepovedanimi drogami in predhodnimi sestavinami, terorizmu in drugim kaznivim dejanjem (Uradni list RS št. 37/07 – Mednarodne pogodbe, št. </w:t>
      </w:r>
      <w:hyperlink r:id="rId11" w:history="1">
        <w:r w:rsidR="0078312C">
          <w:rPr>
            <w:rFonts w:ascii="Helv" w:hAnsi="Helv" w:cs="Helv"/>
            <w:color w:val="000000"/>
            <w:sz w:val="20"/>
            <w:szCs w:val="20"/>
            <w:lang w:eastAsia="sl-SI"/>
          </w:rPr>
          <w:t>6/07</w:t>
        </w:r>
      </w:hyperlink>
      <w:r w:rsidR="0078312C">
        <w:rPr>
          <w:rFonts w:ascii="Helv" w:hAnsi="Helv" w:cs="Helv"/>
          <w:color w:val="000000"/>
          <w:sz w:val="20"/>
          <w:szCs w:val="20"/>
          <w:lang w:eastAsia="sl-SI"/>
        </w:rPr>
        <w:t>).</w:t>
      </w:r>
    </w:p>
    <w:p w14:paraId="13CCFCFC" w14:textId="77777777" w:rsidR="006C1178" w:rsidRPr="00515F9F" w:rsidRDefault="006C1178" w:rsidP="00CD7C8B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3A121049" w14:textId="77777777" w:rsidR="006C1178" w:rsidRPr="006C1178" w:rsidRDefault="006C1178" w:rsidP="00CD7C8B">
      <w:pPr>
        <w:pStyle w:val="Odstavekseznama"/>
        <w:numPr>
          <w:ilvl w:val="0"/>
          <w:numId w:val="21"/>
        </w:numPr>
        <w:spacing w:line="26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C1178">
        <w:rPr>
          <w:rFonts w:ascii="Arial" w:hAnsi="Arial" w:cs="Arial"/>
          <w:b/>
          <w:color w:val="000000"/>
          <w:sz w:val="20"/>
          <w:szCs w:val="20"/>
        </w:rPr>
        <w:t>NEREZIDENČNO POKRIVANJE</w:t>
      </w:r>
    </w:p>
    <w:p w14:paraId="620797F6" w14:textId="77777777" w:rsidR="006C1178" w:rsidRDefault="006C1178" w:rsidP="00CD7C8B">
      <w:pPr>
        <w:spacing w:after="0" w:line="26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85D913B" w14:textId="77777777" w:rsidR="006C1178" w:rsidRDefault="006C1178" w:rsidP="00CD7C8B">
      <w:pPr>
        <w:spacing w:line="260" w:lineRule="exact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Republika Kosovo </w:t>
      </w:r>
    </w:p>
    <w:p w14:paraId="18996E9C" w14:textId="77777777" w:rsidR="006C1178" w:rsidRDefault="006C1178" w:rsidP="00CD7C8B">
      <w:pPr>
        <w:spacing w:line="260" w:lineRule="exact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13518E8" w14:textId="77777777" w:rsidR="006C1178" w:rsidRDefault="006C1178" w:rsidP="00CD7C8B">
      <w:pPr>
        <w:spacing w:line="260" w:lineRule="exact"/>
        <w:contextualSpacing/>
        <w:jc w:val="both"/>
        <w:rPr>
          <w:rFonts w:ascii="Helv" w:hAnsi="Helv" w:cs="Helv"/>
          <w:sz w:val="20"/>
          <w:szCs w:val="20"/>
        </w:rPr>
      </w:pPr>
      <w:r>
        <w:rPr>
          <w:rFonts w:ascii="Arial" w:hAnsi="Arial" w:cs="Arial"/>
          <w:sz w:val="20"/>
        </w:rPr>
        <w:t xml:space="preserve">Predlagamo </w:t>
      </w:r>
      <w:r w:rsidRPr="00134A69">
        <w:rPr>
          <w:rFonts w:ascii="Arial" w:hAnsi="Arial" w:cs="Arial"/>
          <w:sz w:val="20"/>
        </w:rPr>
        <w:t xml:space="preserve">nerezidenčno pokrivanje </w:t>
      </w:r>
      <w:r>
        <w:rPr>
          <w:rFonts w:ascii="Arial" w:hAnsi="Arial" w:cs="Arial"/>
          <w:sz w:val="20"/>
        </w:rPr>
        <w:t xml:space="preserve">Republike Kosovo </w:t>
      </w:r>
      <w:r w:rsidRPr="00134A69">
        <w:rPr>
          <w:rFonts w:ascii="Arial" w:hAnsi="Arial" w:cs="Arial"/>
          <w:sz w:val="20"/>
        </w:rPr>
        <w:t>s strani policijskega atašeja v Republiki Severni Makedoniji (Skopje)</w:t>
      </w:r>
      <w:r>
        <w:rPr>
          <w:rFonts w:ascii="Arial" w:hAnsi="Arial" w:cs="Arial"/>
          <w:sz w:val="20"/>
        </w:rPr>
        <w:t xml:space="preserve">. </w:t>
      </w:r>
      <w:r w:rsidRPr="00134A69">
        <w:rPr>
          <w:rFonts w:ascii="Arial" w:eastAsia="Times New Roman" w:hAnsi="Arial"/>
          <w:sz w:val="20"/>
          <w:szCs w:val="20"/>
        </w:rPr>
        <w:t>Mednarodno policijsko sodelovanje slovenske kriminalistične policije s policijo Republike Kosova na nivoju centralnih organov poteka v okviru bilateralne izmenjave informacij med Direktoratom za mednarodno sodelovanje policije Kosova ter Sektorjem za mednarodno policijsko sodelovanje Uprave kriminalistične policije.</w:t>
      </w:r>
      <w:r>
        <w:rPr>
          <w:rFonts w:ascii="Arial" w:eastAsia="Times New Roman" w:hAnsi="Arial"/>
          <w:sz w:val="20"/>
          <w:szCs w:val="20"/>
        </w:rPr>
        <w:t xml:space="preserve"> Gre za </w:t>
      </w:r>
      <w:r w:rsidRPr="00134A69">
        <w:rPr>
          <w:rFonts w:ascii="Helv" w:hAnsi="Helv" w:cs="Helv"/>
          <w:sz w:val="20"/>
          <w:szCs w:val="20"/>
        </w:rPr>
        <w:t>strateško in operativno pomembn</w:t>
      </w:r>
      <w:r>
        <w:rPr>
          <w:rFonts w:ascii="Helv" w:hAnsi="Helv" w:cs="Helv"/>
          <w:sz w:val="20"/>
          <w:szCs w:val="20"/>
        </w:rPr>
        <w:t>o</w:t>
      </w:r>
      <w:r w:rsidRPr="00134A69">
        <w:rPr>
          <w:rFonts w:ascii="Helv" w:hAnsi="Helv" w:cs="Helv"/>
          <w:sz w:val="20"/>
          <w:szCs w:val="20"/>
        </w:rPr>
        <w:t xml:space="preserve"> držav</w:t>
      </w:r>
      <w:r>
        <w:rPr>
          <w:rFonts w:ascii="Helv" w:hAnsi="Helv" w:cs="Helv"/>
          <w:sz w:val="20"/>
          <w:szCs w:val="20"/>
        </w:rPr>
        <w:t>o</w:t>
      </w:r>
      <w:r w:rsidRPr="00134A69">
        <w:rPr>
          <w:rFonts w:ascii="Helv" w:hAnsi="Helv" w:cs="Helv"/>
          <w:sz w:val="20"/>
          <w:szCs w:val="20"/>
        </w:rPr>
        <w:t xml:space="preserve"> za slovensko policijo. Še posebej z vidika problematike organizirane kriminalitete, ki zajema tako mednarodno trgovino s prepovedanimi drogami, ilegalne migracije, kot tudi trgovino z ljudmi.</w:t>
      </w:r>
    </w:p>
    <w:p w14:paraId="7D096BFF" w14:textId="77777777" w:rsidR="006C1178" w:rsidRPr="00072F56" w:rsidRDefault="006C1178" w:rsidP="00CD7C8B">
      <w:pPr>
        <w:spacing w:line="260" w:lineRule="exact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D810F2B" w14:textId="3D84122B" w:rsidR="006C1178" w:rsidRPr="00072F56" w:rsidRDefault="006C1178" w:rsidP="00CD7C8B">
      <w:pPr>
        <w:spacing w:line="260" w:lineRule="exact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72F56">
        <w:rPr>
          <w:rFonts w:ascii="Arial" w:hAnsi="Arial" w:cs="Arial"/>
          <w:sz w:val="20"/>
          <w:szCs w:val="20"/>
        </w:rPr>
        <w:t>Pravna podlaga za nerezidenčno pokrivanje je</w:t>
      </w:r>
      <w:r w:rsidR="0078312C">
        <w:rPr>
          <w:rFonts w:ascii="Arial" w:hAnsi="Arial" w:cs="Arial"/>
          <w:sz w:val="20"/>
          <w:szCs w:val="20"/>
        </w:rPr>
        <w:t xml:space="preserve"> </w:t>
      </w:r>
      <w:r w:rsidR="0078312C">
        <w:rPr>
          <w:rFonts w:ascii="Helv" w:hAnsi="Helv" w:cs="Helv"/>
          <w:color w:val="000000"/>
          <w:sz w:val="20"/>
          <w:szCs w:val="20"/>
          <w:lang w:eastAsia="sl-SI"/>
        </w:rPr>
        <w:t>2. člen Sporazuma med Vlado Republike Slovenije in Vlado Republike Kosovo o policijskem sodelovanju (Uradni list RS št. 80/15 – Mednarodne pogodbe, št. 13/15).</w:t>
      </w:r>
    </w:p>
    <w:p w14:paraId="0B2FD671" w14:textId="77777777" w:rsidR="006C1178" w:rsidRPr="00072F56" w:rsidRDefault="006C1178" w:rsidP="00CD7C8B">
      <w:pPr>
        <w:spacing w:line="260" w:lineRule="exact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5425D3B" w14:textId="77777777" w:rsidR="006C1178" w:rsidRDefault="006C1178" w:rsidP="00CD7C8B">
      <w:pPr>
        <w:spacing w:after="0" w:line="2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Republika Albanija</w:t>
      </w:r>
      <w:r>
        <w:rPr>
          <w:rFonts w:ascii="Arial" w:hAnsi="Arial" w:cs="Arial"/>
          <w:sz w:val="20"/>
        </w:rPr>
        <w:t xml:space="preserve"> </w:t>
      </w:r>
    </w:p>
    <w:p w14:paraId="1DFF7268" w14:textId="77777777" w:rsidR="006C1178" w:rsidRDefault="006C1178" w:rsidP="00CD7C8B">
      <w:pPr>
        <w:spacing w:after="0" w:line="260" w:lineRule="exact"/>
        <w:jc w:val="both"/>
        <w:rPr>
          <w:rFonts w:ascii="Arial" w:hAnsi="Arial" w:cs="Arial"/>
          <w:sz w:val="20"/>
        </w:rPr>
      </w:pPr>
    </w:p>
    <w:p w14:paraId="6BD4CEAE" w14:textId="77777777" w:rsidR="006C1178" w:rsidRDefault="006C1178" w:rsidP="00CD7C8B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3A634F">
        <w:rPr>
          <w:rFonts w:ascii="Arial" w:hAnsi="Arial" w:cs="Arial"/>
          <w:sz w:val="20"/>
        </w:rPr>
        <w:t xml:space="preserve">Predlagamo nerezidenčno pokrivanje Republike Albanije s strani policijskega atašeja v Republiki Severni Makedoniji (Skopje). </w:t>
      </w:r>
      <w:r w:rsidRPr="00134A69">
        <w:rPr>
          <w:rFonts w:ascii="Arial" w:eastAsia="Times New Roman" w:hAnsi="Arial" w:cs="Arial"/>
          <w:sz w:val="20"/>
          <w:szCs w:val="24"/>
          <w:lang w:eastAsia="sl-SI"/>
        </w:rPr>
        <w:t xml:space="preserve">Mednarodno policijsko sodelovanje slovenske kriminalistične policije s policijo Republike Albanije poteka v okviru Mednarodne organizacije kriminalistične policije </w:t>
      </w:r>
      <w:r w:rsidRPr="003A634F">
        <w:rPr>
          <w:rFonts w:ascii="Arial" w:eastAsia="Times New Roman" w:hAnsi="Arial" w:cs="Arial"/>
          <w:sz w:val="20"/>
          <w:szCs w:val="24"/>
          <w:lang w:eastAsia="sl-SI"/>
        </w:rPr>
        <w:t xml:space="preserve">Interpol </w:t>
      </w:r>
      <w:r w:rsidRPr="00134A69">
        <w:rPr>
          <w:rFonts w:ascii="Arial" w:eastAsia="Times New Roman" w:hAnsi="Arial" w:cs="Arial"/>
          <w:sz w:val="20"/>
          <w:szCs w:val="24"/>
          <w:lang w:eastAsia="sl-SI"/>
        </w:rPr>
        <w:t xml:space="preserve">in se izvaja v sodelovanju med Nacionalnima centralnima birojema </w:t>
      </w:r>
      <w:r w:rsidRPr="003A634F">
        <w:rPr>
          <w:rFonts w:ascii="Arial" w:eastAsia="Times New Roman" w:hAnsi="Arial" w:cs="Arial"/>
          <w:sz w:val="20"/>
          <w:szCs w:val="24"/>
          <w:lang w:eastAsia="sl-SI"/>
        </w:rPr>
        <w:t>Interpola</w:t>
      </w:r>
      <w:r w:rsidRPr="00134A69">
        <w:rPr>
          <w:rFonts w:ascii="Arial" w:eastAsia="Times New Roman" w:hAnsi="Arial" w:cs="Arial"/>
          <w:sz w:val="20"/>
          <w:szCs w:val="24"/>
          <w:lang w:eastAsia="sl-SI"/>
        </w:rPr>
        <w:t xml:space="preserve"> Tirana in </w:t>
      </w:r>
      <w:r w:rsidRPr="003A634F">
        <w:rPr>
          <w:rFonts w:ascii="Arial" w:eastAsia="Times New Roman" w:hAnsi="Arial" w:cs="Arial"/>
          <w:sz w:val="20"/>
          <w:szCs w:val="24"/>
          <w:lang w:eastAsia="sl-SI"/>
        </w:rPr>
        <w:t>Interpola</w:t>
      </w:r>
      <w:r w:rsidRPr="00134A69">
        <w:rPr>
          <w:rFonts w:ascii="Arial" w:eastAsia="Times New Roman" w:hAnsi="Arial" w:cs="Arial"/>
          <w:sz w:val="20"/>
          <w:szCs w:val="24"/>
          <w:lang w:eastAsia="sl-SI"/>
        </w:rPr>
        <w:t xml:space="preserve"> Ljubljana</w:t>
      </w:r>
      <w:r w:rsidRPr="003A634F">
        <w:rPr>
          <w:rFonts w:ascii="Arial" w:eastAsia="Times New Roman" w:hAnsi="Arial" w:cs="Arial"/>
          <w:sz w:val="20"/>
          <w:szCs w:val="24"/>
          <w:lang w:eastAsia="sl-SI"/>
        </w:rPr>
        <w:t xml:space="preserve">. </w:t>
      </w:r>
      <w:r w:rsidRPr="00134A69">
        <w:rPr>
          <w:rFonts w:ascii="Arial" w:hAnsi="Arial" w:cs="Arial"/>
          <w:sz w:val="20"/>
          <w:szCs w:val="20"/>
        </w:rPr>
        <w:t>Še posebej z vidika problematike organizirane kriminalitete, ki zajema tako mednarodno trgovino s prepovedanimi drogami, ilegalne migracije, kot tudi trgovino z ljudmi. Preko</w:t>
      </w:r>
      <w:r w:rsidRPr="003A634F">
        <w:rPr>
          <w:rFonts w:ascii="Arial" w:hAnsi="Arial" w:cs="Arial"/>
          <w:sz w:val="20"/>
          <w:szCs w:val="20"/>
        </w:rPr>
        <w:t xml:space="preserve"> navedene države </w:t>
      </w:r>
      <w:r w:rsidRPr="00134A69">
        <w:rPr>
          <w:rFonts w:ascii="Arial" w:hAnsi="Arial" w:cs="Arial"/>
          <w:sz w:val="20"/>
          <w:szCs w:val="20"/>
        </w:rPr>
        <w:t>vodi ena izmed vej t.i. "balkanske poti". Bližina Severne Makedonije, Črne</w:t>
      </w:r>
      <w:r w:rsidRPr="003A634F">
        <w:rPr>
          <w:rFonts w:ascii="Arial" w:hAnsi="Arial" w:cs="Arial"/>
          <w:sz w:val="20"/>
          <w:szCs w:val="20"/>
        </w:rPr>
        <w:t xml:space="preserve"> gore, Kosova, </w:t>
      </w:r>
      <w:r w:rsidRPr="00134A69">
        <w:rPr>
          <w:rFonts w:ascii="Arial" w:hAnsi="Arial" w:cs="Arial"/>
          <w:sz w:val="20"/>
          <w:szCs w:val="20"/>
        </w:rPr>
        <w:t>Srbije in naprej BIH ter Hrvaške pa to pomembnost še dviguje.</w:t>
      </w:r>
      <w:r w:rsidRPr="003A634F">
        <w:rPr>
          <w:rFonts w:ascii="Arial" w:hAnsi="Arial" w:cs="Arial"/>
          <w:sz w:val="20"/>
          <w:szCs w:val="20"/>
        </w:rPr>
        <w:t xml:space="preserve"> </w:t>
      </w:r>
      <w:r w:rsidRPr="00134A69">
        <w:rPr>
          <w:rFonts w:ascii="Arial" w:hAnsi="Arial" w:cs="Arial"/>
          <w:sz w:val="20"/>
          <w:szCs w:val="20"/>
        </w:rPr>
        <w:t xml:space="preserve">Prepričani smo, da </w:t>
      </w:r>
      <w:r w:rsidRPr="003A634F">
        <w:rPr>
          <w:rFonts w:ascii="Arial" w:hAnsi="Arial" w:cs="Arial"/>
          <w:sz w:val="20"/>
          <w:szCs w:val="20"/>
        </w:rPr>
        <w:t>ima albanska</w:t>
      </w:r>
      <w:r w:rsidRPr="00134A69">
        <w:rPr>
          <w:rFonts w:ascii="Arial" w:hAnsi="Arial" w:cs="Arial"/>
          <w:sz w:val="20"/>
          <w:szCs w:val="20"/>
        </w:rPr>
        <w:t xml:space="preserve"> policij</w:t>
      </w:r>
      <w:r w:rsidRPr="003A634F">
        <w:rPr>
          <w:rFonts w:ascii="Arial" w:hAnsi="Arial" w:cs="Arial"/>
          <w:sz w:val="20"/>
          <w:szCs w:val="20"/>
        </w:rPr>
        <w:t>a</w:t>
      </w:r>
      <w:r w:rsidRPr="00134A69">
        <w:rPr>
          <w:rFonts w:ascii="Arial" w:hAnsi="Arial" w:cs="Arial"/>
          <w:sz w:val="20"/>
          <w:szCs w:val="20"/>
        </w:rPr>
        <w:t xml:space="preserve"> veliko operativnih podatkov, ki bi koristili tudi slovenski policiji</w:t>
      </w:r>
      <w:r w:rsidRPr="003A634F">
        <w:rPr>
          <w:rFonts w:ascii="Arial" w:hAnsi="Arial" w:cs="Arial"/>
          <w:sz w:val="20"/>
          <w:szCs w:val="20"/>
        </w:rPr>
        <w:t xml:space="preserve">. </w:t>
      </w:r>
    </w:p>
    <w:p w14:paraId="5E09CD50" w14:textId="77777777" w:rsidR="006C1178" w:rsidRDefault="006C1178" w:rsidP="00CD7C8B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391669AD" w14:textId="3E3ECF20" w:rsidR="006C1178" w:rsidRPr="00072F56" w:rsidRDefault="006C1178" w:rsidP="00CD7C8B">
      <w:pPr>
        <w:spacing w:line="260" w:lineRule="exact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72F56">
        <w:rPr>
          <w:rFonts w:ascii="Arial" w:hAnsi="Arial" w:cs="Arial"/>
          <w:sz w:val="20"/>
          <w:szCs w:val="20"/>
        </w:rPr>
        <w:t>Pravna podlaga za nerezidenčno pokrivanje je</w:t>
      </w:r>
      <w:r w:rsidR="0078312C">
        <w:rPr>
          <w:rFonts w:ascii="Arial" w:hAnsi="Arial" w:cs="Arial"/>
          <w:sz w:val="20"/>
          <w:szCs w:val="20"/>
        </w:rPr>
        <w:t xml:space="preserve"> </w:t>
      </w:r>
      <w:r w:rsidR="0078312C">
        <w:rPr>
          <w:rFonts w:ascii="Helv" w:hAnsi="Helv" w:cs="Helv"/>
          <w:color w:val="000000"/>
          <w:sz w:val="20"/>
          <w:szCs w:val="20"/>
          <w:lang w:eastAsia="sl-SI"/>
        </w:rPr>
        <w:t xml:space="preserve"> 2. člen Dogovora med Vlado Republike Slovenije in Vlado Republike Albanije o sodelovanju v boju proti terorizmu, ilegalnemu prometu z mamili in organiziranemu kriminalu (Uradni list RS št. 65/94 – Mednarodne pogodbe, št. </w:t>
      </w:r>
      <w:hyperlink r:id="rId12" w:history="1">
        <w:r w:rsidR="0078312C">
          <w:rPr>
            <w:rFonts w:ascii="Helv" w:hAnsi="Helv" w:cs="Helv"/>
            <w:color w:val="000000"/>
            <w:sz w:val="20"/>
            <w:szCs w:val="20"/>
            <w:lang w:eastAsia="sl-SI"/>
          </w:rPr>
          <w:t>18/94</w:t>
        </w:r>
      </w:hyperlink>
      <w:r w:rsidR="0078312C">
        <w:rPr>
          <w:rFonts w:ascii="Helv" w:hAnsi="Helv" w:cs="Helv"/>
          <w:color w:val="000000"/>
          <w:sz w:val="20"/>
          <w:szCs w:val="20"/>
          <w:lang w:eastAsia="sl-SI"/>
        </w:rPr>
        <w:t>).</w:t>
      </w:r>
    </w:p>
    <w:p w14:paraId="2BE0F61A" w14:textId="77777777" w:rsidR="006C1178" w:rsidRDefault="006C1178" w:rsidP="00CD7C8B">
      <w:pPr>
        <w:spacing w:after="0" w:line="26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04E1EA1" w14:textId="77777777" w:rsidR="006C1178" w:rsidRDefault="006C1178" w:rsidP="00CD7C8B">
      <w:pPr>
        <w:spacing w:after="0" w:line="26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Romunija, Republika Bolgarija in Slovaška republika</w:t>
      </w:r>
    </w:p>
    <w:p w14:paraId="7FFA08DC" w14:textId="77777777" w:rsidR="006C1178" w:rsidRDefault="006C1178" w:rsidP="00CD7C8B">
      <w:pPr>
        <w:spacing w:after="0" w:line="260" w:lineRule="exact"/>
        <w:jc w:val="both"/>
        <w:rPr>
          <w:rFonts w:ascii="Arial" w:hAnsi="Arial" w:cs="Arial"/>
          <w:sz w:val="20"/>
        </w:rPr>
      </w:pPr>
    </w:p>
    <w:p w14:paraId="3632E239" w14:textId="77777777" w:rsidR="006C1178" w:rsidRDefault="006C1178" w:rsidP="00CD7C8B">
      <w:pPr>
        <w:spacing w:line="26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3A634F">
        <w:rPr>
          <w:rFonts w:ascii="Arial" w:hAnsi="Arial" w:cs="Arial"/>
          <w:sz w:val="20"/>
        </w:rPr>
        <w:t xml:space="preserve">Predlagamo nerezidenčno pokrivanje </w:t>
      </w:r>
      <w:r>
        <w:rPr>
          <w:rFonts w:ascii="Arial" w:hAnsi="Arial" w:cs="Arial"/>
          <w:sz w:val="20"/>
        </w:rPr>
        <w:t>Romunije in Republike Bolgarije</w:t>
      </w:r>
      <w:r w:rsidRPr="003A634F">
        <w:rPr>
          <w:rFonts w:ascii="Arial" w:hAnsi="Arial" w:cs="Arial"/>
          <w:sz w:val="20"/>
        </w:rPr>
        <w:t xml:space="preserve"> s strani policijskega atašeja v Republiki </w:t>
      </w:r>
      <w:r>
        <w:rPr>
          <w:rFonts w:ascii="Arial" w:hAnsi="Arial" w:cs="Arial"/>
          <w:sz w:val="20"/>
        </w:rPr>
        <w:t>Srbiji (Beograd</w:t>
      </w:r>
      <w:r w:rsidRPr="003A634F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ter Slovaške republike s strani </w:t>
      </w:r>
      <w:r w:rsidRPr="00637F4B">
        <w:rPr>
          <w:rFonts w:ascii="Arial" w:hAnsi="Arial" w:cs="Arial"/>
          <w:sz w:val="20"/>
        </w:rPr>
        <w:t>policijskega atašeja v Republiki Avstriji (Dunaj).</w:t>
      </w:r>
      <w:r>
        <w:rPr>
          <w:rFonts w:ascii="Arial" w:hAnsi="Arial" w:cs="Arial"/>
          <w:sz w:val="20"/>
        </w:rPr>
        <w:t xml:space="preserve"> </w:t>
      </w:r>
      <w:r w:rsidRPr="003A634F">
        <w:rPr>
          <w:rFonts w:ascii="Arial" w:hAnsi="Arial" w:cs="Arial"/>
          <w:sz w:val="20"/>
          <w:szCs w:val="20"/>
        </w:rPr>
        <w:t xml:space="preserve">Glavno vodilo za </w:t>
      </w:r>
      <w:r w:rsidRPr="003A634F">
        <w:rPr>
          <w:rFonts w:ascii="Arial" w:hAnsi="Arial" w:cs="Arial"/>
          <w:sz w:val="20"/>
        </w:rPr>
        <w:t xml:space="preserve">nerezidenčno pokrivanje Romunije, Bolgarije in Slovaške sloni na načelu proaktivnosti. </w:t>
      </w:r>
      <w:r>
        <w:rPr>
          <w:rFonts w:ascii="Arial" w:hAnsi="Arial" w:cs="Arial"/>
          <w:sz w:val="20"/>
        </w:rPr>
        <w:t>U</w:t>
      </w:r>
      <w:r w:rsidRPr="003A634F">
        <w:rPr>
          <w:rFonts w:ascii="Arial" w:hAnsi="Arial" w:cs="Arial"/>
          <w:sz w:val="20"/>
        </w:rPr>
        <w:t>poštevati</w:t>
      </w:r>
      <w:r>
        <w:rPr>
          <w:rFonts w:ascii="Arial" w:hAnsi="Arial" w:cs="Arial"/>
          <w:sz w:val="20"/>
        </w:rPr>
        <w:t xml:space="preserve"> je potrebno</w:t>
      </w:r>
      <w:r w:rsidRPr="003A634F">
        <w:rPr>
          <w:rFonts w:ascii="Arial" w:hAnsi="Arial" w:cs="Arial"/>
          <w:sz w:val="20"/>
        </w:rPr>
        <w:t xml:space="preserve"> </w:t>
      </w:r>
      <w:r w:rsidRPr="003A634F">
        <w:rPr>
          <w:rFonts w:ascii="Arial" w:hAnsi="Arial" w:cs="Arial"/>
          <w:sz w:val="20"/>
          <w:szCs w:val="20"/>
        </w:rPr>
        <w:t xml:space="preserve">aktualne razmere na področju nezakonitih migracij v povezavi s krizno situacijo, predvsem na beloruski državni meji, kar lahko sproži večji migrantski val v smeri ostalih držav EU. To je povezano tudi z instrumentalizacijo hibridnih groženj in izkoriščanje migrantov v politične namene. Ne smemo pa zanemariti elementa čezmejne kriminalitete v navedenih držav, iz katerih prihajajo in delujejo mednarodne kriminalne združbe na območju celotne EU. Z nerezidenčnim pokrivanjem navedenih držav bi še okrepili mednarodno sodelovanje, ki sicer že poteka preko utečenih uradnih kanalov (Europol, Interpol itd.). </w:t>
      </w:r>
    </w:p>
    <w:p w14:paraId="591D79C0" w14:textId="77777777" w:rsidR="006C1178" w:rsidRDefault="006C1178" w:rsidP="00CD7C8B">
      <w:pPr>
        <w:spacing w:line="260" w:lineRule="exact"/>
        <w:contextualSpacing/>
        <w:jc w:val="both"/>
        <w:rPr>
          <w:rFonts w:ascii="Arial" w:eastAsia="Times New Roman" w:hAnsi="Arial"/>
          <w:sz w:val="20"/>
          <w:szCs w:val="24"/>
        </w:rPr>
      </w:pPr>
    </w:p>
    <w:p w14:paraId="1AD079E7" w14:textId="53D2AC64" w:rsidR="0078312C" w:rsidRDefault="006C1178" w:rsidP="00CD7C8B">
      <w:pPr>
        <w:spacing w:line="26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072F56">
        <w:rPr>
          <w:rFonts w:ascii="Arial" w:hAnsi="Arial" w:cs="Arial"/>
          <w:sz w:val="20"/>
          <w:szCs w:val="20"/>
        </w:rPr>
        <w:t>Pravna podlaga za nerezidenčno pokrivanje</w:t>
      </w:r>
      <w:r w:rsidR="0078312C">
        <w:rPr>
          <w:rFonts w:ascii="Arial" w:hAnsi="Arial" w:cs="Arial"/>
          <w:sz w:val="20"/>
          <w:szCs w:val="20"/>
        </w:rPr>
        <w:t>:</w:t>
      </w:r>
    </w:p>
    <w:p w14:paraId="6D9E3AF4" w14:textId="51A34CBA" w:rsidR="0078312C" w:rsidRDefault="0078312C" w:rsidP="00CD7C8B">
      <w:pPr>
        <w:autoSpaceDE w:val="0"/>
        <w:autoSpaceDN w:val="0"/>
        <w:adjustRightInd w:val="0"/>
        <w:spacing w:after="0" w:line="260" w:lineRule="exact"/>
        <w:jc w:val="both"/>
        <w:rPr>
          <w:rFonts w:ascii="Helv" w:hAnsi="Helv" w:cs="Helv"/>
          <w:color w:val="000000"/>
          <w:sz w:val="20"/>
          <w:szCs w:val="20"/>
          <w:lang w:eastAsia="sl-SI"/>
        </w:rPr>
      </w:pPr>
      <w:r>
        <w:rPr>
          <w:rFonts w:ascii="Helv" w:hAnsi="Helv" w:cs="Helv"/>
          <w:color w:val="000000"/>
          <w:sz w:val="20"/>
          <w:szCs w:val="20"/>
          <w:lang w:eastAsia="sl-SI"/>
        </w:rPr>
        <w:t>Romunija: 2. člen Sporazuma med Vlado Republike Slovenije in Vlado Romunije o sodelovanju v boju proti organiziranemu kriminalu, nedovoljenem prometu z mamili, psihotropnimi snovmi in prekurzorji, terorizmu in drugim hujšim kaznivim dejanjem  (Uradni list RS št. 19/01 – Mednarodne pogodbe, št. </w:t>
      </w:r>
      <w:hyperlink r:id="rId13" w:history="1">
        <w:r>
          <w:rPr>
            <w:rFonts w:ascii="Helv" w:hAnsi="Helv" w:cs="Helv"/>
            <w:color w:val="000000"/>
            <w:sz w:val="20"/>
            <w:szCs w:val="20"/>
            <w:lang w:eastAsia="sl-SI"/>
          </w:rPr>
          <w:t>6/01</w:t>
        </w:r>
      </w:hyperlink>
      <w:r>
        <w:rPr>
          <w:rFonts w:ascii="Helv" w:hAnsi="Helv" w:cs="Helv"/>
          <w:color w:val="000000"/>
          <w:sz w:val="20"/>
          <w:szCs w:val="20"/>
          <w:lang w:eastAsia="sl-SI"/>
        </w:rPr>
        <w:t>);</w:t>
      </w:r>
    </w:p>
    <w:p w14:paraId="03BF7534" w14:textId="5E360C4C" w:rsidR="0078312C" w:rsidRDefault="0078312C" w:rsidP="00CD7C8B">
      <w:pPr>
        <w:autoSpaceDE w:val="0"/>
        <w:autoSpaceDN w:val="0"/>
        <w:adjustRightInd w:val="0"/>
        <w:spacing w:after="0" w:line="260" w:lineRule="exact"/>
        <w:jc w:val="both"/>
        <w:rPr>
          <w:rFonts w:ascii="Helv" w:hAnsi="Helv" w:cs="Helv"/>
          <w:color w:val="000000"/>
          <w:sz w:val="20"/>
          <w:szCs w:val="20"/>
          <w:lang w:eastAsia="sl-SI"/>
        </w:rPr>
      </w:pPr>
      <w:r>
        <w:rPr>
          <w:rFonts w:ascii="Helv" w:hAnsi="Helv" w:cs="Helv"/>
          <w:color w:val="000000"/>
          <w:sz w:val="20"/>
          <w:szCs w:val="20"/>
          <w:lang w:eastAsia="sl-SI"/>
        </w:rPr>
        <w:t>Republika Bolgarija: 2. člen Sporazuma med Vlado Republike Slovenije in Vlado Republike Bolgarije o sodelovanju v boju proti organiziranemu kriminalu, nezakoniti trgovini s prepovedanimi drogami, psihotropnimi snovmi in predhodnimi sestavinami, terorizmu in drugim hujšim kaznivim dejanjem (Uradni list RS št. 25/02 – Mednarodne pogodbe, št. </w:t>
      </w:r>
      <w:hyperlink r:id="rId14" w:history="1">
        <w:r>
          <w:rPr>
            <w:rFonts w:ascii="Helv" w:hAnsi="Helv" w:cs="Helv"/>
            <w:color w:val="000000"/>
            <w:sz w:val="20"/>
            <w:szCs w:val="20"/>
            <w:lang w:eastAsia="sl-SI"/>
          </w:rPr>
          <w:t>7/02</w:t>
        </w:r>
      </w:hyperlink>
      <w:r>
        <w:rPr>
          <w:rFonts w:ascii="Helv" w:hAnsi="Helv" w:cs="Helv"/>
          <w:color w:val="000000"/>
          <w:sz w:val="20"/>
          <w:szCs w:val="20"/>
          <w:lang w:eastAsia="sl-SI"/>
        </w:rPr>
        <w:t>);</w:t>
      </w:r>
    </w:p>
    <w:p w14:paraId="632B2744" w14:textId="6145CF83" w:rsidR="0078312C" w:rsidRDefault="0078312C" w:rsidP="00CD7C8B">
      <w:pPr>
        <w:spacing w:line="260" w:lineRule="exact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  <w:lang w:eastAsia="sl-SI"/>
        </w:rPr>
        <w:t>Slovaška republika: 2. člen Dogovora med Vlado Republike Slovenije in Vlado Slovaške republike o sodelovanju v boju proti terorizmu, ilegalnemu prometu z mamili, psihotropnimi snovmi in prekurzorji ter organiziranemu kriminalu (Uradni list RS št. 21/95 – Mednarodne pogodbe, št. </w:t>
      </w:r>
      <w:hyperlink r:id="rId15" w:history="1">
        <w:r>
          <w:rPr>
            <w:rFonts w:ascii="Helv" w:hAnsi="Helv" w:cs="Helv"/>
            <w:color w:val="000000"/>
            <w:sz w:val="20"/>
            <w:szCs w:val="20"/>
            <w:lang w:eastAsia="sl-SI"/>
          </w:rPr>
          <w:t>6/95</w:t>
        </w:r>
      </w:hyperlink>
      <w:r>
        <w:rPr>
          <w:rFonts w:ascii="Helv" w:hAnsi="Helv" w:cs="Helv"/>
          <w:color w:val="000000"/>
          <w:sz w:val="20"/>
          <w:szCs w:val="20"/>
          <w:lang w:eastAsia="sl-SI"/>
        </w:rPr>
        <w:t>)</w:t>
      </w:r>
      <w:r w:rsidR="00CD7C8B">
        <w:rPr>
          <w:rFonts w:ascii="Helv" w:hAnsi="Helv" w:cs="Helv"/>
          <w:color w:val="000000"/>
          <w:sz w:val="20"/>
          <w:szCs w:val="20"/>
          <w:lang w:eastAsia="sl-SI"/>
        </w:rPr>
        <w:t>.</w:t>
      </w:r>
    </w:p>
    <w:p w14:paraId="35320769" w14:textId="77777777" w:rsidR="0078312C" w:rsidRPr="00072F56" w:rsidRDefault="0078312C" w:rsidP="0078312C">
      <w:pPr>
        <w:spacing w:line="240" w:lineRule="auto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943CBCC" w14:textId="77777777" w:rsidR="006C1178" w:rsidRPr="003A634F" w:rsidRDefault="006C1178" w:rsidP="0078312C">
      <w:pPr>
        <w:spacing w:line="240" w:lineRule="auto"/>
        <w:contextualSpacing/>
        <w:jc w:val="both"/>
        <w:rPr>
          <w:rFonts w:ascii="Arial" w:eastAsia="Times New Roman" w:hAnsi="Arial"/>
          <w:sz w:val="20"/>
          <w:szCs w:val="24"/>
        </w:rPr>
      </w:pPr>
    </w:p>
    <w:p w14:paraId="28EE075C" w14:textId="77777777" w:rsidR="006C1178" w:rsidRDefault="006C1178" w:rsidP="0078312C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E9D1B61" w14:textId="77777777" w:rsidR="006C1178" w:rsidRDefault="006C1178" w:rsidP="006C1178">
      <w:pPr>
        <w:pStyle w:val="Naslovpredpisa"/>
        <w:spacing w:after="0" w:line="240" w:lineRule="auto"/>
        <w:jc w:val="both"/>
        <w:rPr>
          <w:rFonts w:cs="Arial"/>
        </w:rPr>
      </w:pPr>
    </w:p>
    <w:p w14:paraId="7C303299" w14:textId="77777777" w:rsidR="00490674" w:rsidRPr="005E7FFE" w:rsidRDefault="00490674"/>
    <w:p w14:paraId="60121A08" w14:textId="77777777" w:rsidR="00490674" w:rsidRPr="005E7FFE" w:rsidRDefault="00490674"/>
    <w:p w14:paraId="317D87E3" w14:textId="77777777" w:rsidR="00490674" w:rsidRPr="005E7FFE" w:rsidRDefault="00490674"/>
    <w:p w14:paraId="37D2E748" w14:textId="77777777" w:rsidR="00490674" w:rsidRPr="005E7FFE" w:rsidRDefault="00490674"/>
    <w:p w14:paraId="30FF8A80" w14:textId="77777777" w:rsidR="00490674" w:rsidRPr="005E7FFE" w:rsidRDefault="00490674"/>
    <w:p w14:paraId="56712611" w14:textId="77777777" w:rsidR="00490674" w:rsidRPr="005E7FFE" w:rsidRDefault="00490674"/>
    <w:sectPr w:rsidR="00490674" w:rsidRPr="005E7FFE" w:rsidSect="00611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467B8" w14:textId="77777777" w:rsidR="00400A88" w:rsidRDefault="00400A88" w:rsidP="00DE3B2B">
      <w:pPr>
        <w:spacing w:after="0" w:line="240" w:lineRule="auto"/>
      </w:pPr>
      <w:r>
        <w:separator/>
      </w:r>
    </w:p>
  </w:endnote>
  <w:endnote w:type="continuationSeparator" w:id="0">
    <w:p w14:paraId="5187FEEE" w14:textId="77777777" w:rsidR="00400A88" w:rsidRDefault="00400A88" w:rsidP="00DE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60A00" w14:textId="77777777" w:rsidR="00400A88" w:rsidRDefault="00400A88" w:rsidP="00DE3B2B">
      <w:pPr>
        <w:spacing w:after="0" w:line="240" w:lineRule="auto"/>
      </w:pPr>
      <w:r>
        <w:separator/>
      </w:r>
    </w:p>
  </w:footnote>
  <w:footnote w:type="continuationSeparator" w:id="0">
    <w:p w14:paraId="078C3317" w14:textId="77777777" w:rsidR="00400A88" w:rsidRDefault="00400A88" w:rsidP="00DE3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042B"/>
    <w:multiLevelType w:val="hybridMultilevel"/>
    <w:tmpl w:val="5642B068"/>
    <w:lvl w:ilvl="0" w:tplc="55E6EEA2">
      <w:start w:val="1"/>
      <w:numFmt w:val="decimal"/>
      <w:lvlText w:val="%1."/>
      <w:lvlJc w:val="left"/>
      <w:pPr>
        <w:ind w:left="706" w:hanging="672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4" w:hanging="360"/>
      </w:pPr>
    </w:lvl>
    <w:lvl w:ilvl="2" w:tplc="0424001B" w:tentative="1">
      <w:start w:val="1"/>
      <w:numFmt w:val="lowerRoman"/>
      <w:lvlText w:val="%3."/>
      <w:lvlJc w:val="right"/>
      <w:pPr>
        <w:ind w:left="1834" w:hanging="180"/>
      </w:pPr>
    </w:lvl>
    <w:lvl w:ilvl="3" w:tplc="0424000F" w:tentative="1">
      <w:start w:val="1"/>
      <w:numFmt w:val="decimal"/>
      <w:lvlText w:val="%4."/>
      <w:lvlJc w:val="left"/>
      <w:pPr>
        <w:ind w:left="2554" w:hanging="360"/>
      </w:pPr>
    </w:lvl>
    <w:lvl w:ilvl="4" w:tplc="04240019" w:tentative="1">
      <w:start w:val="1"/>
      <w:numFmt w:val="lowerLetter"/>
      <w:lvlText w:val="%5."/>
      <w:lvlJc w:val="left"/>
      <w:pPr>
        <w:ind w:left="3274" w:hanging="360"/>
      </w:pPr>
    </w:lvl>
    <w:lvl w:ilvl="5" w:tplc="0424001B" w:tentative="1">
      <w:start w:val="1"/>
      <w:numFmt w:val="lowerRoman"/>
      <w:lvlText w:val="%6."/>
      <w:lvlJc w:val="right"/>
      <w:pPr>
        <w:ind w:left="3994" w:hanging="180"/>
      </w:pPr>
    </w:lvl>
    <w:lvl w:ilvl="6" w:tplc="0424000F" w:tentative="1">
      <w:start w:val="1"/>
      <w:numFmt w:val="decimal"/>
      <w:lvlText w:val="%7."/>
      <w:lvlJc w:val="left"/>
      <w:pPr>
        <w:ind w:left="4714" w:hanging="360"/>
      </w:pPr>
    </w:lvl>
    <w:lvl w:ilvl="7" w:tplc="04240019" w:tentative="1">
      <w:start w:val="1"/>
      <w:numFmt w:val="lowerLetter"/>
      <w:lvlText w:val="%8."/>
      <w:lvlJc w:val="left"/>
      <w:pPr>
        <w:ind w:left="5434" w:hanging="360"/>
      </w:pPr>
    </w:lvl>
    <w:lvl w:ilvl="8" w:tplc="0424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70D0565"/>
    <w:multiLevelType w:val="hybridMultilevel"/>
    <w:tmpl w:val="EC60DF46"/>
    <w:lvl w:ilvl="0" w:tplc="5D42015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A7831"/>
    <w:multiLevelType w:val="hybridMultilevel"/>
    <w:tmpl w:val="DC02E818"/>
    <w:lvl w:ilvl="0" w:tplc="678607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879E8"/>
    <w:multiLevelType w:val="hybridMultilevel"/>
    <w:tmpl w:val="DD0A88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BB70A5"/>
    <w:multiLevelType w:val="hybridMultilevel"/>
    <w:tmpl w:val="52F2A6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D2529"/>
    <w:multiLevelType w:val="hybridMultilevel"/>
    <w:tmpl w:val="94CCD53A"/>
    <w:lvl w:ilvl="0" w:tplc="027EFF84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015142"/>
    <w:multiLevelType w:val="hybridMultilevel"/>
    <w:tmpl w:val="901E6B72"/>
    <w:lvl w:ilvl="0" w:tplc="4FA02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9B3DB9"/>
    <w:multiLevelType w:val="hybridMultilevel"/>
    <w:tmpl w:val="9B7E9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A404968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A6176"/>
    <w:multiLevelType w:val="hybridMultilevel"/>
    <w:tmpl w:val="AA1A16A0"/>
    <w:lvl w:ilvl="0" w:tplc="FEF4957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59F25811"/>
    <w:multiLevelType w:val="hybridMultilevel"/>
    <w:tmpl w:val="B72229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B39CD"/>
    <w:multiLevelType w:val="hybridMultilevel"/>
    <w:tmpl w:val="41F2370E"/>
    <w:lvl w:ilvl="0" w:tplc="027EFF84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A2125"/>
    <w:multiLevelType w:val="hybridMultilevel"/>
    <w:tmpl w:val="72DCD08A"/>
    <w:lvl w:ilvl="0" w:tplc="D634180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1B3D6E"/>
    <w:multiLevelType w:val="hybridMultilevel"/>
    <w:tmpl w:val="5642B068"/>
    <w:lvl w:ilvl="0" w:tplc="55E6EEA2">
      <w:start w:val="1"/>
      <w:numFmt w:val="decimal"/>
      <w:lvlText w:val="%1."/>
      <w:lvlJc w:val="left"/>
      <w:pPr>
        <w:ind w:left="706" w:hanging="672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4" w:hanging="360"/>
      </w:pPr>
    </w:lvl>
    <w:lvl w:ilvl="2" w:tplc="0424001B" w:tentative="1">
      <w:start w:val="1"/>
      <w:numFmt w:val="lowerRoman"/>
      <w:lvlText w:val="%3."/>
      <w:lvlJc w:val="right"/>
      <w:pPr>
        <w:ind w:left="1834" w:hanging="180"/>
      </w:pPr>
    </w:lvl>
    <w:lvl w:ilvl="3" w:tplc="0424000F" w:tentative="1">
      <w:start w:val="1"/>
      <w:numFmt w:val="decimal"/>
      <w:lvlText w:val="%4."/>
      <w:lvlJc w:val="left"/>
      <w:pPr>
        <w:ind w:left="2554" w:hanging="360"/>
      </w:pPr>
    </w:lvl>
    <w:lvl w:ilvl="4" w:tplc="04240019" w:tentative="1">
      <w:start w:val="1"/>
      <w:numFmt w:val="lowerLetter"/>
      <w:lvlText w:val="%5."/>
      <w:lvlJc w:val="left"/>
      <w:pPr>
        <w:ind w:left="3274" w:hanging="360"/>
      </w:pPr>
    </w:lvl>
    <w:lvl w:ilvl="5" w:tplc="0424001B" w:tentative="1">
      <w:start w:val="1"/>
      <w:numFmt w:val="lowerRoman"/>
      <w:lvlText w:val="%6."/>
      <w:lvlJc w:val="right"/>
      <w:pPr>
        <w:ind w:left="3994" w:hanging="180"/>
      </w:pPr>
    </w:lvl>
    <w:lvl w:ilvl="6" w:tplc="0424000F" w:tentative="1">
      <w:start w:val="1"/>
      <w:numFmt w:val="decimal"/>
      <w:lvlText w:val="%7."/>
      <w:lvlJc w:val="left"/>
      <w:pPr>
        <w:ind w:left="4714" w:hanging="360"/>
      </w:pPr>
    </w:lvl>
    <w:lvl w:ilvl="7" w:tplc="04240019" w:tentative="1">
      <w:start w:val="1"/>
      <w:numFmt w:val="lowerLetter"/>
      <w:lvlText w:val="%8."/>
      <w:lvlJc w:val="left"/>
      <w:pPr>
        <w:ind w:left="5434" w:hanging="360"/>
      </w:pPr>
    </w:lvl>
    <w:lvl w:ilvl="8" w:tplc="0424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7E5732FD"/>
    <w:multiLevelType w:val="hybridMultilevel"/>
    <w:tmpl w:val="E746F24C"/>
    <w:lvl w:ilvl="0" w:tplc="3FF030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6"/>
  </w:num>
  <w:num w:numId="5">
    <w:abstractNumId w:val="20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11"/>
  </w:num>
  <w:num w:numId="12">
    <w:abstractNumId w:val="18"/>
  </w:num>
  <w:num w:numId="13">
    <w:abstractNumId w:val="0"/>
  </w:num>
  <w:num w:numId="14">
    <w:abstractNumId w:val="17"/>
  </w:num>
  <w:num w:numId="15">
    <w:abstractNumId w:val="1"/>
  </w:num>
  <w:num w:numId="16">
    <w:abstractNumId w:val="19"/>
  </w:num>
  <w:num w:numId="17">
    <w:abstractNumId w:val="4"/>
  </w:num>
  <w:num w:numId="18">
    <w:abstractNumId w:val="12"/>
  </w:num>
  <w:num w:numId="19">
    <w:abstractNumId w:val="7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83"/>
    <w:rsid w:val="00001C0F"/>
    <w:rsid w:val="00002BBC"/>
    <w:rsid w:val="00015C8E"/>
    <w:rsid w:val="0001666D"/>
    <w:rsid w:val="00065459"/>
    <w:rsid w:val="0007238C"/>
    <w:rsid w:val="00072F56"/>
    <w:rsid w:val="00075384"/>
    <w:rsid w:val="0008697E"/>
    <w:rsid w:val="000C133A"/>
    <w:rsid w:val="000C5531"/>
    <w:rsid w:val="000D2A65"/>
    <w:rsid w:val="000D42C1"/>
    <w:rsid w:val="000E7F9D"/>
    <w:rsid w:val="00104E66"/>
    <w:rsid w:val="00127ABE"/>
    <w:rsid w:val="00134A69"/>
    <w:rsid w:val="00137A49"/>
    <w:rsid w:val="0015008D"/>
    <w:rsid w:val="001973E4"/>
    <w:rsid w:val="001A5CED"/>
    <w:rsid w:val="001A652B"/>
    <w:rsid w:val="001B2E68"/>
    <w:rsid w:val="001C36DA"/>
    <w:rsid w:val="001C3DF4"/>
    <w:rsid w:val="002175D9"/>
    <w:rsid w:val="0022004E"/>
    <w:rsid w:val="002234C6"/>
    <w:rsid w:val="00227E15"/>
    <w:rsid w:val="00250B90"/>
    <w:rsid w:val="00264D0A"/>
    <w:rsid w:val="0029660F"/>
    <w:rsid w:val="002978FE"/>
    <w:rsid w:val="002A34AD"/>
    <w:rsid w:val="002E05AC"/>
    <w:rsid w:val="002E4750"/>
    <w:rsid w:val="00321A64"/>
    <w:rsid w:val="00323AC0"/>
    <w:rsid w:val="003256EA"/>
    <w:rsid w:val="00330E11"/>
    <w:rsid w:val="00337B09"/>
    <w:rsid w:val="00340173"/>
    <w:rsid w:val="003548F2"/>
    <w:rsid w:val="00366E32"/>
    <w:rsid w:val="00373C14"/>
    <w:rsid w:val="00386CCF"/>
    <w:rsid w:val="00392781"/>
    <w:rsid w:val="003A634F"/>
    <w:rsid w:val="003B78A0"/>
    <w:rsid w:val="003E42C8"/>
    <w:rsid w:val="00400A88"/>
    <w:rsid w:val="0040466B"/>
    <w:rsid w:val="004151D1"/>
    <w:rsid w:val="00423CB7"/>
    <w:rsid w:val="004339BF"/>
    <w:rsid w:val="0044613F"/>
    <w:rsid w:val="00455361"/>
    <w:rsid w:val="004609FE"/>
    <w:rsid w:val="0046713F"/>
    <w:rsid w:val="00485483"/>
    <w:rsid w:val="00490674"/>
    <w:rsid w:val="004A712F"/>
    <w:rsid w:val="004B7654"/>
    <w:rsid w:val="004C448D"/>
    <w:rsid w:val="004C5009"/>
    <w:rsid w:val="004D7530"/>
    <w:rsid w:val="004E3092"/>
    <w:rsid w:val="004F1722"/>
    <w:rsid w:val="004F5DDE"/>
    <w:rsid w:val="00510976"/>
    <w:rsid w:val="00515805"/>
    <w:rsid w:val="00515F9F"/>
    <w:rsid w:val="00520F5E"/>
    <w:rsid w:val="00524C2A"/>
    <w:rsid w:val="00533D9A"/>
    <w:rsid w:val="00533FAF"/>
    <w:rsid w:val="00537589"/>
    <w:rsid w:val="00553408"/>
    <w:rsid w:val="005566D5"/>
    <w:rsid w:val="00582C46"/>
    <w:rsid w:val="00595B9A"/>
    <w:rsid w:val="00597BDE"/>
    <w:rsid w:val="005A0AE3"/>
    <w:rsid w:val="005B0382"/>
    <w:rsid w:val="005C3D4C"/>
    <w:rsid w:val="005E7FFE"/>
    <w:rsid w:val="005F3248"/>
    <w:rsid w:val="0060270A"/>
    <w:rsid w:val="006114ED"/>
    <w:rsid w:val="0061468A"/>
    <w:rsid w:val="00621C93"/>
    <w:rsid w:val="006315A6"/>
    <w:rsid w:val="00637F4B"/>
    <w:rsid w:val="006460AB"/>
    <w:rsid w:val="00660482"/>
    <w:rsid w:val="00662C23"/>
    <w:rsid w:val="00674AF4"/>
    <w:rsid w:val="006819F6"/>
    <w:rsid w:val="006910D8"/>
    <w:rsid w:val="006957F5"/>
    <w:rsid w:val="006958A4"/>
    <w:rsid w:val="00695EC3"/>
    <w:rsid w:val="006A09A8"/>
    <w:rsid w:val="006B5764"/>
    <w:rsid w:val="006C1178"/>
    <w:rsid w:val="006D257B"/>
    <w:rsid w:val="006D57C8"/>
    <w:rsid w:val="006E6483"/>
    <w:rsid w:val="006F0911"/>
    <w:rsid w:val="006F3944"/>
    <w:rsid w:val="0070256F"/>
    <w:rsid w:val="00710128"/>
    <w:rsid w:val="00713746"/>
    <w:rsid w:val="007150AB"/>
    <w:rsid w:val="00721F62"/>
    <w:rsid w:val="00731BF1"/>
    <w:rsid w:val="0078312C"/>
    <w:rsid w:val="00797E12"/>
    <w:rsid w:val="007A4825"/>
    <w:rsid w:val="007D565A"/>
    <w:rsid w:val="007F2CA0"/>
    <w:rsid w:val="007F7EDC"/>
    <w:rsid w:val="008143EB"/>
    <w:rsid w:val="008147B3"/>
    <w:rsid w:val="00840012"/>
    <w:rsid w:val="00846517"/>
    <w:rsid w:val="008522E9"/>
    <w:rsid w:val="00872489"/>
    <w:rsid w:val="00880C0A"/>
    <w:rsid w:val="00884C86"/>
    <w:rsid w:val="00884FEF"/>
    <w:rsid w:val="008B7D6B"/>
    <w:rsid w:val="008C6F57"/>
    <w:rsid w:val="008D785D"/>
    <w:rsid w:val="008E0007"/>
    <w:rsid w:val="008F0583"/>
    <w:rsid w:val="008F210F"/>
    <w:rsid w:val="008F2DC2"/>
    <w:rsid w:val="00904021"/>
    <w:rsid w:val="00917A5E"/>
    <w:rsid w:val="009313A3"/>
    <w:rsid w:val="009456D1"/>
    <w:rsid w:val="009547E2"/>
    <w:rsid w:val="00956FC8"/>
    <w:rsid w:val="0096453F"/>
    <w:rsid w:val="00977BAB"/>
    <w:rsid w:val="009874DC"/>
    <w:rsid w:val="00990888"/>
    <w:rsid w:val="009A43A6"/>
    <w:rsid w:val="009B2576"/>
    <w:rsid w:val="009B382E"/>
    <w:rsid w:val="009C67FA"/>
    <w:rsid w:val="009E266E"/>
    <w:rsid w:val="009E35FC"/>
    <w:rsid w:val="00A13CD5"/>
    <w:rsid w:val="00A17F10"/>
    <w:rsid w:val="00A24C60"/>
    <w:rsid w:val="00A333B0"/>
    <w:rsid w:val="00A3565C"/>
    <w:rsid w:val="00A41D34"/>
    <w:rsid w:val="00A60CD4"/>
    <w:rsid w:val="00A62E93"/>
    <w:rsid w:val="00A62FD9"/>
    <w:rsid w:val="00A7137E"/>
    <w:rsid w:val="00A75939"/>
    <w:rsid w:val="00A76BEE"/>
    <w:rsid w:val="00A84A4E"/>
    <w:rsid w:val="00AA24B1"/>
    <w:rsid w:val="00AD02FE"/>
    <w:rsid w:val="00AE1F83"/>
    <w:rsid w:val="00AE2F88"/>
    <w:rsid w:val="00B03E3D"/>
    <w:rsid w:val="00B36686"/>
    <w:rsid w:val="00B379A0"/>
    <w:rsid w:val="00BA7C21"/>
    <w:rsid w:val="00BB7124"/>
    <w:rsid w:val="00BC1355"/>
    <w:rsid w:val="00BC2D42"/>
    <w:rsid w:val="00BC3F4F"/>
    <w:rsid w:val="00BC4640"/>
    <w:rsid w:val="00BF2BC5"/>
    <w:rsid w:val="00C20939"/>
    <w:rsid w:val="00C22B98"/>
    <w:rsid w:val="00C23C63"/>
    <w:rsid w:val="00C24B2C"/>
    <w:rsid w:val="00C2545F"/>
    <w:rsid w:val="00C30C66"/>
    <w:rsid w:val="00C44C5F"/>
    <w:rsid w:val="00C62ACE"/>
    <w:rsid w:val="00C831F9"/>
    <w:rsid w:val="00C8658A"/>
    <w:rsid w:val="00C929E8"/>
    <w:rsid w:val="00CA625D"/>
    <w:rsid w:val="00CC3215"/>
    <w:rsid w:val="00CD3AA8"/>
    <w:rsid w:val="00CD7C8B"/>
    <w:rsid w:val="00D02DFA"/>
    <w:rsid w:val="00D44AE0"/>
    <w:rsid w:val="00D47F48"/>
    <w:rsid w:val="00D77629"/>
    <w:rsid w:val="00D82771"/>
    <w:rsid w:val="00D87264"/>
    <w:rsid w:val="00D924CD"/>
    <w:rsid w:val="00DA28AD"/>
    <w:rsid w:val="00DA73D6"/>
    <w:rsid w:val="00DC03B9"/>
    <w:rsid w:val="00DC3C77"/>
    <w:rsid w:val="00DD460F"/>
    <w:rsid w:val="00DE1C34"/>
    <w:rsid w:val="00DE3B2B"/>
    <w:rsid w:val="00E00E8D"/>
    <w:rsid w:val="00E029FD"/>
    <w:rsid w:val="00E07C8F"/>
    <w:rsid w:val="00E32381"/>
    <w:rsid w:val="00E35473"/>
    <w:rsid w:val="00E45BE0"/>
    <w:rsid w:val="00E623C7"/>
    <w:rsid w:val="00E86A68"/>
    <w:rsid w:val="00E96868"/>
    <w:rsid w:val="00EA4672"/>
    <w:rsid w:val="00EB0D5C"/>
    <w:rsid w:val="00EB3A35"/>
    <w:rsid w:val="00EE1348"/>
    <w:rsid w:val="00EE4A7C"/>
    <w:rsid w:val="00EF1EBD"/>
    <w:rsid w:val="00EF4E32"/>
    <w:rsid w:val="00F07A6A"/>
    <w:rsid w:val="00F17996"/>
    <w:rsid w:val="00F266C5"/>
    <w:rsid w:val="00F3203D"/>
    <w:rsid w:val="00F47BD6"/>
    <w:rsid w:val="00F64440"/>
    <w:rsid w:val="00F73CF6"/>
    <w:rsid w:val="00F73FC7"/>
    <w:rsid w:val="00F84F05"/>
    <w:rsid w:val="00F90E53"/>
    <w:rsid w:val="00F90E69"/>
    <w:rsid w:val="00FB397B"/>
    <w:rsid w:val="00FB77C8"/>
    <w:rsid w:val="00FC5FBE"/>
    <w:rsid w:val="00FC7849"/>
    <w:rsid w:val="00FE1F14"/>
    <w:rsid w:val="00FE4345"/>
    <w:rsid w:val="00FE6D9D"/>
    <w:rsid w:val="00FE769D"/>
    <w:rsid w:val="00FF4608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5FB7"/>
  <w15:docId w15:val="{20C50C9F-959B-47EF-BFF7-35F0F4FF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51D1"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F90E53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7238C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en-US"/>
    </w:rPr>
  </w:style>
  <w:style w:type="character" w:customStyle="1" w:styleId="GlavaZnak">
    <w:name w:val="Glava Znak"/>
    <w:link w:val="Glava"/>
    <w:rsid w:val="0007238C"/>
    <w:rPr>
      <w:rFonts w:ascii="Arial" w:eastAsia="Times New Roman" w:hAnsi="Arial" w:cs="Times New Roman"/>
      <w:sz w:val="20"/>
      <w:szCs w:val="24"/>
      <w:lang w:val="en-US"/>
    </w:rPr>
  </w:style>
  <w:style w:type="character" w:styleId="Hiperpovezava">
    <w:name w:val="Hyperlink"/>
    <w:uiPriority w:val="99"/>
    <w:unhideWhenUsed/>
    <w:rsid w:val="0007238C"/>
    <w:rPr>
      <w:color w:val="0563C1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07238C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/>
      <w:sz w:val="20"/>
      <w:szCs w:val="20"/>
    </w:rPr>
  </w:style>
  <w:style w:type="character" w:customStyle="1" w:styleId="NeotevilenodstavekZnak">
    <w:name w:val="Neoštevilčen odstavek Znak"/>
    <w:link w:val="Neotevilenodstavek"/>
    <w:rsid w:val="0007238C"/>
    <w:rPr>
      <w:rFonts w:ascii="Arial" w:eastAsia="Times New Roman" w:hAnsi="Arial" w:cs="Times New Roman"/>
    </w:rPr>
  </w:style>
  <w:style w:type="paragraph" w:customStyle="1" w:styleId="Naslovpredpisa">
    <w:name w:val="Naslov_predpisa"/>
    <w:basedOn w:val="Navaden"/>
    <w:link w:val="NaslovpredpisaZnak"/>
    <w:qFormat/>
    <w:rsid w:val="00490674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/>
      <w:b/>
      <w:sz w:val="20"/>
      <w:szCs w:val="20"/>
    </w:rPr>
  </w:style>
  <w:style w:type="character" w:customStyle="1" w:styleId="NaslovpredpisaZnak">
    <w:name w:val="Naslov_predpisa Znak"/>
    <w:link w:val="Naslovpredpisa"/>
    <w:rsid w:val="00490674"/>
    <w:rPr>
      <w:rFonts w:ascii="Arial" w:eastAsia="Times New Roman" w:hAnsi="Arial" w:cs="Times New Roman"/>
      <w:b/>
    </w:rPr>
  </w:style>
  <w:style w:type="paragraph" w:styleId="Odstavekseznama">
    <w:name w:val="List Paragraph"/>
    <w:basedOn w:val="Navaden"/>
    <w:uiPriority w:val="34"/>
    <w:qFormat/>
    <w:rsid w:val="004906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67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C67FA"/>
    <w:rPr>
      <w:rFonts w:ascii="Tahoma" w:hAnsi="Tahoma" w:cs="Tahoma"/>
      <w:sz w:val="16"/>
      <w:szCs w:val="16"/>
    </w:rPr>
  </w:style>
  <w:style w:type="character" w:styleId="Pripombasklic">
    <w:name w:val="annotation reference"/>
    <w:uiPriority w:val="99"/>
    <w:semiHidden/>
    <w:unhideWhenUsed/>
    <w:rsid w:val="00956FC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56FC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956FC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56FC8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956FC8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E3B2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DE3B2B"/>
    <w:rPr>
      <w:rFonts w:ascii="Calibri" w:eastAsia="Calibri" w:hAnsi="Calibri" w:cs="Times New Roman"/>
      <w:lang w:eastAsia="en-US"/>
    </w:rPr>
  </w:style>
  <w:style w:type="character" w:styleId="Sprotnaopomba-sklic">
    <w:name w:val="footnote reference"/>
    <w:uiPriority w:val="99"/>
    <w:semiHidden/>
    <w:unhideWhenUsed/>
    <w:rsid w:val="00DE3B2B"/>
    <w:rPr>
      <w:vertAlign w:val="superscript"/>
    </w:rPr>
  </w:style>
  <w:style w:type="paragraph" w:styleId="Brezrazmikov">
    <w:name w:val="No Spacing"/>
    <w:uiPriority w:val="1"/>
    <w:qFormat/>
    <w:rsid w:val="00F17996"/>
    <w:rPr>
      <w:sz w:val="22"/>
      <w:szCs w:val="22"/>
      <w:lang w:eastAsia="en-US"/>
    </w:rPr>
  </w:style>
  <w:style w:type="character" w:customStyle="1" w:styleId="Naslov1Znak">
    <w:name w:val="Naslov 1 Znak"/>
    <w:link w:val="Naslov1"/>
    <w:rsid w:val="00F90E53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ZnakZnakZnakZnakZnakZnakZnakZnakZnakZnakZnak1ZnakZnakZnakZnak">
    <w:name w:val="Znak Znak Znak Znak Znak Znak Znak Znak Znak Znak Znak1 Znak Znak Znak Znak"/>
    <w:basedOn w:val="Navaden"/>
    <w:rsid w:val="00F90E53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ga">
    <w:name w:val="footer"/>
    <w:basedOn w:val="Navaden"/>
    <w:link w:val="NogaZnak"/>
    <w:uiPriority w:val="99"/>
    <w:unhideWhenUsed/>
    <w:rsid w:val="00C2545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254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radni-list.si/1/objava.jsp?sop=2007-02-00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1994-02-009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7-02-00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1995-02-0029" TargetMode="External"/><Relationship Id="rId10" Type="http://schemas.openxmlformats.org/officeDocument/2006/relationships/hyperlink" Target="http://www.uradni-list.si/1/objava.jsp?sop=2007-02-002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Relationship Id="rId14" Type="http://schemas.openxmlformats.org/officeDocument/2006/relationships/hyperlink" Target="http://www.uradni-list.si/1/objava.jsp?sop=2002-02-002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58F37-E0A4-4AB3-AC14-E1D63222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3023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RS, Policija</Company>
  <LinksUpToDate>false</LinksUpToDate>
  <CharactersWithSpaces>20216</CharactersWithSpaces>
  <SharedDoc>false</SharedDoc>
  <HLinks>
    <vt:vector size="24" baseType="variant">
      <vt:variant>
        <vt:i4>6750263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http://www.uradni-list.si/1/objava.jsp?urlurid=20142739</vt:lpwstr>
      </vt:variant>
      <vt:variant>
        <vt:lpwstr/>
      </vt:variant>
      <vt:variant>
        <vt:i4>7274544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http://www.uradni-list.si/1/objava.jsp?urlurid=20131783</vt:lpwstr>
      </vt:variant>
      <vt:variant>
        <vt:lpwstr/>
      </vt:variant>
      <vt:variant>
        <vt:i4>6684735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http://www.uradni-list.si/1/objava.jsp?urlurid=2013787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Pernuš</dc:creator>
  <cp:lastModifiedBy>Miha Škarič</cp:lastModifiedBy>
  <cp:revision>11</cp:revision>
  <cp:lastPrinted>2019-02-19T14:31:00Z</cp:lastPrinted>
  <dcterms:created xsi:type="dcterms:W3CDTF">2022-03-02T11:06:00Z</dcterms:created>
  <dcterms:modified xsi:type="dcterms:W3CDTF">2022-03-22T12:14:00Z</dcterms:modified>
</cp:coreProperties>
</file>