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7A34D" w14:textId="77777777" w:rsidR="00133175" w:rsidRPr="00C633FF" w:rsidRDefault="00133175" w:rsidP="005E333A">
      <w:pPr>
        <w:autoSpaceDE w:val="0"/>
        <w:autoSpaceDN w:val="0"/>
        <w:adjustRightInd w:val="0"/>
        <w:ind w:left="7200"/>
        <w:jc w:val="center"/>
        <w:rPr>
          <w:rFonts w:cs="Arial"/>
          <w:szCs w:val="20"/>
        </w:rPr>
      </w:pPr>
      <w:r w:rsidRPr="00C633FF">
        <w:rPr>
          <w:rFonts w:cs="Arial"/>
          <w:szCs w:val="20"/>
        </w:rPr>
        <w:t>PREDLOG</w:t>
      </w:r>
    </w:p>
    <w:p w14:paraId="5C2088AD" w14:textId="77777777" w:rsidR="00133175" w:rsidRPr="00C633FF" w:rsidRDefault="00133175" w:rsidP="005E333A">
      <w:pPr>
        <w:autoSpaceDE w:val="0"/>
        <w:autoSpaceDN w:val="0"/>
        <w:adjustRightInd w:val="0"/>
        <w:jc w:val="right"/>
        <w:rPr>
          <w:rFonts w:cs="Arial"/>
          <w:szCs w:val="20"/>
        </w:rPr>
      </w:pPr>
    </w:p>
    <w:p w14:paraId="67284E87" w14:textId="77777777" w:rsidR="00133175" w:rsidRPr="00C633FF" w:rsidRDefault="00133175" w:rsidP="005E333A">
      <w:pPr>
        <w:autoSpaceDE w:val="0"/>
        <w:autoSpaceDN w:val="0"/>
        <w:adjustRightInd w:val="0"/>
        <w:ind w:left="6480"/>
        <w:rPr>
          <w:rFonts w:cs="Arial"/>
          <w:color w:val="000000"/>
          <w:szCs w:val="20"/>
        </w:rPr>
      </w:pPr>
      <w:r w:rsidRPr="00232EF9">
        <w:rPr>
          <w:rFonts w:cs="Arial"/>
          <w:iCs/>
          <w:szCs w:val="20"/>
          <w:lang w:eastAsia="sl-SI"/>
        </w:rPr>
        <w:t xml:space="preserve">EVA </w:t>
      </w:r>
      <w:r w:rsidRPr="00232EF9">
        <w:rPr>
          <w:rFonts w:cs="Arial"/>
          <w:color w:val="000000"/>
          <w:szCs w:val="20"/>
          <w:lang w:eastAsia="sl-SI"/>
        </w:rPr>
        <w:t>2021-1811-0043</w:t>
      </w:r>
    </w:p>
    <w:p w14:paraId="105990A6" w14:textId="77777777" w:rsidR="00133175" w:rsidRPr="00C633FF" w:rsidRDefault="00133175" w:rsidP="005E333A">
      <w:pPr>
        <w:autoSpaceDE w:val="0"/>
        <w:autoSpaceDN w:val="0"/>
        <w:adjustRightInd w:val="0"/>
        <w:jc w:val="center"/>
        <w:rPr>
          <w:rFonts w:ascii="Times New Roman" w:hAnsi="Times New Roman"/>
          <w:b/>
          <w:caps/>
          <w:color w:val="000000"/>
          <w:sz w:val="24"/>
        </w:rPr>
      </w:pPr>
    </w:p>
    <w:p w14:paraId="570EF098" w14:textId="77777777" w:rsidR="00133175" w:rsidRPr="00C633FF" w:rsidRDefault="00133175" w:rsidP="005E333A">
      <w:pPr>
        <w:autoSpaceDE w:val="0"/>
        <w:autoSpaceDN w:val="0"/>
        <w:adjustRightInd w:val="0"/>
        <w:jc w:val="center"/>
        <w:rPr>
          <w:rFonts w:cs="Arial"/>
          <w:b/>
          <w:caps/>
          <w:color w:val="000000"/>
          <w:szCs w:val="20"/>
        </w:rPr>
      </w:pPr>
    </w:p>
    <w:p w14:paraId="7330CB36" w14:textId="77777777" w:rsidR="00133175" w:rsidRPr="00C633FF" w:rsidRDefault="00133175" w:rsidP="005E333A">
      <w:pPr>
        <w:autoSpaceDE w:val="0"/>
        <w:autoSpaceDN w:val="0"/>
        <w:adjustRightInd w:val="0"/>
        <w:jc w:val="center"/>
        <w:rPr>
          <w:rFonts w:cs="Arial"/>
          <w:b/>
          <w:bCs/>
          <w:color w:val="000000"/>
          <w:szCs w:val="20"/>
        </w:rPr>
      </w:pPr>
      <w:r w:rsidRPr="00C633FF">
        <w:rPr>
          <w:rFonts w:cs="Arial"/>
          <w:b/>
          <w:bCs/>
          <w:color w:val="000000"/>
          <w:szCs w:val="20"/>
        </w:rPr>
        <w:t xml:space="preserve">ZAKON O DOPOLNITVI ZAKONA O RATIFIKACIJI </w:t>
      </w:r>
    </w:p>
    <w:p w14:paraId="31F0C836" w14:textId="77777777" w:rsidR="00133175" w:rsidRPr="00C633FF" w:rsidRDefault="00133175" w:rsidP="005E333A">
      <w:pPr>
        <w:autoSpaceDE w:val="0"/>
        <w:autoSpaceDN w:val="0"/>
        <w:adjustRightInd w:val="0"/>
        <w:jc w:val="center"/>
        <w:rPr>
          <w:rFonts w:cs="Arial"/>
          <w:color w:val="000000"/>
          <w:szCs w:val="20"/>
        </w:rPr>
      </w:pPr>
      <w:r>
        <w:rPr>
          <w:rFonts w:cs="Arial"/>
          <w:b/>
          <w:bCs/>
          <w:color w:val="000000"/>
          <w:szCs w:val="20"/>
        </w:rPr>
        <w:t>DRUGEGA</w:t>
      </w:r>
      <w:r w:rsidRPr="00C633FF">
        <w:rPr>
          <w:rFonts w:cs="Arial"/>
          <w:b/>
          <w:bCs/>
          <w:color w:val="000000"/>
          <w:szCs w:val="20"/>
        </w:rPr>
        <w:t xml:space="preserve"> DODATNEGA PROTOKOLA K EVROPSKI KONVENCIJI O MEDSEBOJNI PRAVNI POMOČI V KAZENSKIH ZADEVAH</w:t>
      </w:r>
    </w:p>
    <w:p w14:paraId="7D3D812D" w14:textId="77777777" w:rsidR="00133175" w:rsidRPr="00C633FF" w:rsidRDefault="00133175" w:rsidP="005E333A">
      <w:pPr>
        <w:autoSpaceDE w:val="0"/>
        <w:autoSpaceDN w:val="0"/>
        <w:adjustRightInd w:val="0"/>
        <w:jc w:val="center"/>
        <w:rPr>
          <w:rFonts w:cs="Arial"/>
          <w:color w:val="000000"/>
          <w:szCs w:val="20"/>
        </w:rPr>
      </w:pPr>
    </w:p>
    <w:p w14:paraId="3B919914" w14:textId="77777777" w:rsidR="00133175" w:rsidRPr="00C633FF" w:rsidRDefault="00133175" w:rsidP="005E333A">
      <w:pPr>
        <w:autoSpaceDE w:val="0"/>
        <w:autoSpaceDN w:val="0"/>
        <w:adjustRightInd w:val="0"/>
        <w:jc w:val="center"/>
        <w:rPr>
          <w:rFonts w:cs="Arial"/>
          <w:color w:val="000000"/>
          <w:szCs w:val="20"/>
        </w:rPr>
      </w:pPr>
    </w:p>
    <w:p w14:paraId="5BAA6650" w14:textId="77777777" w:rsidR="00133175" w:rsidRPr="00C633FF" w:rsidRDefault="00133175" w:rsidP="005E333A">
      <w:pPr>
        <w:autoSpaceDE w:val="0"/>
        <w:autoSpaceDN w:val="0"/>
        <w:adjustRightInd w:val="0"/>
        <w:jc w:val="center"/>
        <w:rPr>
          <w:rFonts w:cs="Arial"/>
          <w:color w:val="000000"/>
          <w:szCs w:val="20"/>
        </w:rPr>
      </w:pPr>
      <w:r w:rsidRPr="00C633FF">
        <w:rPr>
          <w:rFonts w:cs="Arial"/>
          <w:color w:val="000000"/>
          <w:szCs w:val="20"/>
        </w:rPr>
        <w:t>1. člen</w:t>
      </w:r>
    </w:p>
    <w:p w14:paraId="3323E0EE" w14:textId="77777777" w:rsidR="00133175" w:rsidRPr="00C633FF" w:rsidRDefault="00133175" w:rsidP="00F90D6D">
      <w:pPr>
        <w:jc w:val="both"/>
        <w:rPr>
          <w:i/>
          <w:iCs/>
        </w:rPr>
      </w:pPr>
    </w:p>
    <w:p w14:paraId="0278EA73" w14:textId="77777777" w:rsidR="00133175" w:rsidRPr="00422063" w:rsidRDefault="00133175" w:rsidP="005E333A">
      <w:pPr>
        <w:jc w:val="both"/>
      </w:pPr>
      <w:r w:rsidRPr="00422063">
        <w:t xml:space="preserve">V Zakonu o ratifikaciji Drugega dodatnega protokola k Evropski konvenciji o medsebojni pravni pomoči v kazenskih zadevah (Uradni list RS – Mednarodne pogodbe, št. 14/12) se v 3. členu </w:t>
      </w:r>
      <w:r w:rsidR="00AC355B">
        <w:t xml:space="preserve">za besedilom člena, ki postane prvi odstavek, </w:t>
      </w:r>
      <w:r w:rsidRPr="00422063">
        <w:t xml:space="preserve">doda nov drugi odstavek, ki se glasi: </w:t>
      </w:r>
    </w:p>
    <w:p w14:paraId="73C6E509" w14:textId="77777777" w:rsidR="00133175" w:rsidRPr="00422063" w:rsidRDefault="00133175" w:rsidP="005E333A">
      <w:pPr>
        <w:jc w:val="both"/>
      </w:pPr>
    </w:p>
    <w:p w14:paraId="304D915E" w14:textId="64F4C6A4" w:rsidR="00133175" w:rsidRPr="00422063" w:rsidRDefault="00AC355B" w:rsidP="005E333A">
      <w:pPr>
        <w:jc w:val="both"/>
      </w:pPr>
      <w:r>
        <w:t>»</w:t>
      </w:r>
      <w:r w:rsidR="00364AC9">
        <w:t xml:space="preserve">(2) </w:t>
      </w:r>
      <w:r w:rsidR="00133175" w:rsidRPr="00422063">
        <w:t xml:space="preserve">V skladu z drugim odstavkom 33. člena Drugega dodatnega protokola Republika Slovenija izjavlja, da lahko Evropsko javno tožilstvo, kadar naj bi skupna preiskovalna skupina iz 20. člena navedenega protokola delovala na ozemlju Republike Slovenije, deluje kot </w:t>
      </w:r>
      <w:r>
        <w:t>»</w:t>
      </w:r>
      <w:r w:rsidR="00133175" w:rsidRPr="00422063">
        <w:t>pristojni organ</w:t>
      </w:r>
      <w:r>
        <w:t>«</w:t>
      </w:r>
      <w:r w:rsidR="00133175" w:rsidRPr="00422063">
        <w:t xml:space="preserve"> v skladu z 20. členom navedenega protokola samo s predhodnim soglasjem pravosodnih organov Republike Slovenije ter v skladu z Uredbo Sveta (EU) 2017/1939 </w:t>
      </w:r>
      <w:r>
        <w:t xml:space="preserve">z dne 12. oktobra 2017 o izvajanju okrepljenega sodelovanja v zvezi z ustanovitvijo Evropskega javnega tožilstva (EJT) (UL L št. </w:t>
      </w:r>
      <w:r w:rsidR="00AC7677" w:rsidRPr="00133175">
        <w:rPr>
          <w:rFonts w:cs="Arial"/>
          <w:szCs w:val="20"/>
        </w:rPr>
        <w:t>283</w:t>
      </w:r>
      <w:r>
        <w:t xml:space="preserve"> z dne </w:t>
      </w:r>
      <w:r w:rsidR="00BE15AD">
        <w:t>31</w:t>
      </w:r>
      <w:r>
        <w:t xml:space="preserve">. 10. 2017, str. 1) </w:t>
      </w:r>
      <w:r w:rsidR="00133175" w:rsidRPr="00422063">
        <w:t>in veljavno nacionalno zakonodajo.</w:t>
      </w:r>
      <w:r>
        <w:t>«.</w:t>
      </w:r>
    </w:p>
    <w:p w14:paraId="2ACEA0BC" w14:textId="77777777" w:rsidR="00133175" w:rsidRPr="00C633FF" w:rsidRDefault="00133175" w:rsidP="005E333A">
      <w:pPr>
        <w:autoSpaceDE w:val="0"/>
        <w:autoSpaceDN w:val="0"/>
        <w:adjustRightInd w:val="0"/>
        <w:rPr>
          <w:rFonts w:cs="Arial"/>
          <w:color w:val="000000"/>
          <w:szCs w:val="20"/>
        </w:rPr>
      </w:pPr>
    </w:p>
    <w:p w14:paraId="53F9211D" w14:textId="77777777" w:rsidR="00133175" w:rsidRPr="00C633FF" w:rsidRDefault="00133175" w:rsidP="005E333A">
      <w:pPr>
        <w:autoSpaceDE w:val="0"/>
        <w:autoSpaceDN w:val="0"/>
        <w:adjustRightInd w:val="0"/>
        <w:rPr>
          <w:rFonts w:cs="Arial"/>
          <w:color w:val="000000"/>
          <w:szCs w:val="20"/>
        </w:rPr>
      </w:pPr>
    </w:p>
    <w:p w14:paraId="1778470E" w14:textId="77777777" w:rsidR="00133175" w:rsidRPr="00C633FF" w:rsidRDefault="00133175" w:rsidP="005E333A">
      <w:pPr>
        <w:autoSpaceDE w:val="0"/>
        <w:autoSpaceDN w:val="0"/>
        <w:adjustRightInd w:val="0"/>
        <w:jc w:val="center"/>
        <w:rPr>
          <w:rFonts w:cs="Arial"/>
          <w:color w:val="000000"/>
          <w:szCs w:val="20"/>
        </w:rPr>
      </w:pPr>
      <w:r w:rsidRPr="00C633FF">
        <w:rPr>
          <w:rFonts w:cs="Arial"/>
          <w:color w:val="000000"/>
          <w:szCs w:val="20"/>
        </w:rPr>
        <w:t>2. člen</w:t>
      </w:r>
    </w:p>
    <w:p w14:paraId="7C4A9EAD" w14:textId="77777777" w:rsidR="00133175" w:rsidRPr="00C633FF" w:rsidRDefault="00133175" w:rsidP="005E333A">
      <w:pPr>
        <w:autoSpaceDE w:val="0"/>
        <w:autoSpaceDN w:val="0"/>
        <w:adjustRightInd w:val="0"/>
        <w:rPr>
          <w:rFonts w:cs="Arial"/>
          <w:color w:val="000000"/>
          <w:szCs w:val="20"/>
        </w:rPr>
      </w:pPr>
    </w:p>
    <w:p w14:paraId="55B654B3" w14:textId="77777777" w:rsidR="00133175" w:rsidRPr="00C633FF" w:rsidRDefault="00133175" w:rsidP="005E333A">
      <w:pPr>
        <w:autoSpaceDE w:val="0"/>
        <w:autoSpaceDN w:val="0"/>
        <w:adjustRightInd w:val="0"/>
        <w:jc w:val="both"/>
        <w:rPr>
          <w:rFonts w:cs="Arial"/>
          <w:color w:val="000000"/>
          <w:szCs w:val="20"/>
        </w:rPr>
      </w:pPr>
      <w:r w:rsidRPr="00C633FF">
        <w:rPr>
          <w:rFonts w:cs="Arial"/>
          <w:color w:val="000000"/>
          <w:szCs w:val="20"/>
        </w:rPr>
        <w:t>Ta zakon začne veljati naslednji dan po objavi v Uradnem listu Republike Slovenije – Mednarodne pogodbe.</w:t>
      </w:r>
    </w:p>
    <w:p w14:paraId="4EDC28A0" w14:textId="77777777" w:rsidR="00133175" w:rsidRPr="00C633FF" w:rsidRDefault="00133175" w:rsidP="00F90D6D">
      <w:pPr>
        <w:tabs>
          <w:tab w:val="left" w:pos="5812"/>
        </w:tabs>
        <w:jc w:val="both"/>
        <w:rPr>
          <w:rFonts w:cs="Arial"/>
          <w:szCs w:val="20"/>
        </w:rPr>
      </w:pPr>
      <w:r w:rsidRPr="00C633FF">
        <w:rPr>
          <w:rFonts w:cs="Arial"/>
          <w:szCs w:val="20"/>
        </w:rPr>
        <w:t xml:space="preserve"> </w:t>
      </w:r>
    </w:p>
    <w:p w14:paraId="6F0F548B" w14:textId="77777777" w:rsidR="00133175" w:rsidRPr="00C633FF" w:rsidRDefault="00133175">
      <w:pPr>
        <w:tabs>
          <w:tab w:val="left" w:pos="5812"/>
        </w:tabs>
        <w:jc w:val="center"/>
      </w:pPr>
      <w:r w:rsidRPr="00C633FF">
        <w:t xml:space="preserve"> </w:t>
      </w:r>
    </w:p>
    <w:p w14:paraId="3A2B5135" w14:textId="77777777" w:rsidR="00133175" w:rsidRPr="00C633FF" w:rsidRDefault="00133175">
      <w:pPr>
        <w:jc w:val="both"/>
      </w:pPr>
    </w:p>
    <w:p w14:paraId="2AD729B5" w14:textId="77777777" w:rsidR="00133175" w:rsidRPr="00C633FF" w:rsidRDefault="00133175"/>
    <w:p w14:paraId="1B67DB39" w14:textId="77777777" w:rsidR="00133175" w:rsidRPr="00C633FF" w:rsidRDefault="00133175" w:rsidP="005E333A">
      <w:pPr>
        <w:pStyle w:val="NoSpacing"/>
        <w:spacing w:line="260" w:lineRule="exact"/>
      </w:pPr>
    </w:p>
    <w:p w14:paraId="7A51E4B5" w14:textId="77777777" w:rsidR="00133175" w:rsidRPr="00C633FF" w:rsidRDefault="00133175" w:rsidP="005E333A">
      <w:pPr>
        <w:pStyle w:val="NoSpacing"/>
        <w:spacing w:line="260" w:lineRule="exact"/>
      </w:pPr>
    </w:p>
    <w:p w14:paraId="32BFED24" w14:textId="77777777" w:rsidR="00133175" w:rsidRPr="00C633FF" w:rsidRDefault="00133175" w:rsidP="005E333A">
      <w:pPr>
        <w:pStyle w:val="NoSpacing"/>
        <w:spacing w:line="260" w:lineRule="exact"/>
      </w:pPr>
    </w:p>
    <w:p w14:paraId="07F93B73" w14:textId="77777777" w:rsidR="00133175" w:rsidRPr="00C633FF" w:rsidRDefault="00133175" w:rsidP="005E333A">
      <w:pPr>
        <w:pStyle w:val="NoSpacing"/>
        <w:spacing w:line="260" w:lineRule="exact"/>
      </w:pPr>
    </w:p>
    <w:p w14:paraId="7F6A552F" w14:textId="77777777" w:rsidR="00133175" w:rsidRPr="00C633FF" w:rsidRDefault="00133175" w:rsidP="005E333A">
      <w:pPr>
        <w:pStyle w:val="NoSpacing"/>
        <w:spacing w:line="260" w:lineRule="exact"/>
      </w:pPr>
    </w:p>
    <w:p w14:paraId="2D52E4EF" w14:textId="77777777" w:rsidR="00133175" w:rsidRPr="00C633FF" w:rsidRDefault="00133175" w:rsidP="005E333A">
      <w:pPr>
        <w:pStyle w:val="NoSpacing"/>
        <w:spacing w:line="260" w:lineRule="exact"/>
      </w:pPr>
    </w:p>
    <w:p w14:paraId="60257E36" w14:textId="77777777" w:rsidR="00133175" w:rsidRPr="00C633FF" w:rsidRDefault="00133175" w:rsidP="005E333A">
      <w:pPr>
        <w:pStyle w:val="NoSpacing"/>
        <w:spacing w:line="260" w:lineRule="exact"/>
      </w:pPr>
    </w:p>
    <w:p w14:paraId="1967D235" w14:textId="77777777" w:rsidR="00133175" w:rsidRPr="00C633FF" w:rsidRDefault="00133175" w:rsidP="005E333A">
      <w:pPr>
        <w:pStyle w:val="NoSpacing"/>
        <w:spacing w:line="260" w:lineRule="exact"/>
      </w:pPr>
    </w:p>
    <w:p w14:paraId="3EF80702" w14:textId="77777777" w:rsidR="00133175" w:rsidRPr="00C633FF" w:rsidRDefault="00133175" w:rsidP="005E333A">
      <w:pPr>
        <w:pStyle w:val="NoSpacing"/>
        <w:spacing w:line="260" w:lineRule="exact"/>
      </w:pPr>
    </w:p>
    <w:p w14:paraId="4C31A3B4" w14:textId="77777777" w:rsidR="00133175" w:rsidRPr="00C633FF" w:rsidRDefault="00133175" w:rsidP="005E333A">
      <w:pPr>
        <w:pStyle w:val="NoSpacing"/>
        <w:spacing w:line="260" w:lineRule="exact"/>
      </w:pPr>
    </w:p>
    <w:p w14:paraId="27621146" w14:textId="77777777" w:rsidR="00133175" w:rsidRPr="00C633FF" w:rsidRDefault="00133175" w:rsidP="005E333A">
      <w:pPr>
        <w:pStyle w:val="NoSpacing"/>
        <w:spacing w:line="260" w:lineRule="exact"/>
      </w:pPr>
    </w:p>
    <w:p w14:paraId="783D7EF2" w14:textId="77777777" w:rsidR="00133175" w:rsidRPr="00C633FF" w:rsidRDefault="00133175" w:rsidP="005E333A">
      <w:pPr>
        <w:pStyle w:val="NoSpacing"/>
        <w:spacing w:line="260" w:lineRule="exact"/>
      </w:pPr>
    </w:p>
    <w:p w14:paraId="6A3C05EB" w14:textId="77777777" w:rsidR="00133175" w:rsidRPr="00C633FF" w:rsidRDefault="00133175" w:rsidP="005E333A">
      <w:pPr>
        <w:pStyle w:val="NoSpacing"/>
        <w:spacing w:line="260" w:lineRule="exact"/>
      </w:pPr>
    </w:p>
    <w:p w14:paraId="1BBBF9E4" w14:textId="77777777" w:rsidR="00133175" w:rsidRPr="00C633FF" w:rsidRDefault="00133175" w:rsidP="005E333A">
      <w:pPr>
        <w:pStyle w:val="NoSpacing"/>
        <w:spacing w:line="260" w:lineRule="exact"/>
      </w:pPr>
    </w:p>
    <w:p w14:paraId="156E5A6D" w14:textId="77777777" w:rsidR="00133175" w:rsidRDefault="00133175" w:rsidP="005E333A">
      <w:pPr>
        <w:pStyle w:val="NoSpacing"/>
        <w:spacing w:line="260" w:lineRule="exact"/>
      </w:pPr>
    </w:p>
    <w:p w14:paraId="458FBCB9" w14:textId="77777777" w:rsidR="00133175" w:rsidRPr="00C633FF" w:rsidRDefault="00133175" w:rsidP="005E333A">
      <w:pPr>
        <w:pStyle w:val="NoSpacing"/>
        <w:spacing w:line="260" w:lineRule="exact"/>
      </w:pPr>
    </w:p>
    <w:p w14:paraId="3647D6BB" w14:textId="77777777" w:rsidR="00133175" w:rsidRDefault="00133175" w:rsidP="005E333A">
      <w:pPr>
        <w:pStyle w:val="NoSpacing"/>
        <w:spacing w:line="260" w:lineRule="exact"/>
      </w:pPr>
    </w:p>
    <w:p w14:paraId="7D058F62" w14:textId="77777777" w:rsidR="00133175" w:rsidRDefault="00133175" w:rsidP="005E333A">
      <w:pPr>
        <w:pStyle w:val="NoSpacing"/>
        <w:spacing w:line="260" w:lineRule="exact"/>
      </w:pPr>
    </w:p>
    <w:p w14:paraId="595A9F6E" w14:textId="77777777" w:rsidR="00133175" w:rsidRDefault="00133175" w:rsidP="005E333A">
      <w:pPr>
        <w:pStyle w:val="NoSpacing"/>
        <w:spacing w:line="260" w:lineRule="exact"/>
      </w:pPr>
    </w:p>
    <w:p w14:paraId="04A3307B" w14:textId="77777777" w:rsidR="00133175" w:rsidRDefault="00133175" w:rsidP="005E333A">
      <w:pPr>
        <w:pStyle w:val="NoSpacing"/>
        <w:spacing w:line="260" w:lineRule="exact"/>
      </w:pPr>
    </w:p>
    <w:p w14:paraId="03879948" w14:textId="77777777" w:rsidR="00133175" w:rsidRPr="00C633FF" w:rsidRDefault="00133175" w:rsidP="005E333A">
      <w:pPr>
        <w:pStyle w:val="NoSpacing"/>
        <w:spacing w:line="260" w:lineRule="exact"/>
      </w:pPr>
    </w:p>
    <w:p w14:paraId="04101449" w14:textId="77777777" w:rsidR="00133175" w:rsidRPr="00C633FF" w:rsidRDefault="00133175" w:rsidP="005E333A">
      <w:pPr>
        <w:pStyle w:val="NoSpacing"/>
        <w:spacing w:line="260" w:lineRule="exact"/>
      </w:pPr>
    </w:p>
    <w:p w14:paraId="77E6DFAD" w14:textId="77777777" w:rsidR="00133175" w:rsidRPr="00133175" w:rsidRDefault="00133175" w:rsidP="005E333A">
      <w:pPr>
        <w:pStyle w:val="NoSpacing"/>
        <w:spacing w:line="260" w:lineRule="exact"/>
        <w:jc w:val="center"/>
        <w:rPr>
          <w:rFonts w:ascii="Arial" w:hAnsi="Arial" w:cs="Arial"/>
          <w:b/>
          <w:sz w:val="20"/>
          <w:szCs w:val="20"/>
        </w:rPr>
      </w:pPr>
      <w:r w:rsidRPr="00133175">
        <w:rPr>
          <w:rFonts w:ascii="Arial" w:hAnsi="Arial" w:cs="Arial"/>
          <w:b/>
          <w:sz w:val="20"/>
          <w:szCs w:val="20"/>
        </w:rPr>
        <w:t>OBRAZLOŽITEV</w:t>
      </w:r>
    </w:p>
    <w:p w14:paraId="6F1FE1A9" w14:textId="77777777" w:rsidR="00133175" w:rsidRPr="00133175" w:rsidRDefault="00133175" w:rsidP="005E333A">
      <w:pPr>
        <w:pStyle w:val="NoSpacing"/>
        <w:spacing w:line="260" w:lineRule="exact"/>
        <w:jc w:val="center"/>
        <w:rPr>
          <w:rFonts w:ascii="Arial" w:hAnsi="Arial" w:cs="Arial"/>
          <w:b/>
          <w:sz w:val="20"/>
          <w:szCs w:val="20"/>
        </w:rPr>
      </w:pPr>
    </w:p>
    <w:p w14:paraId="35210D4D" w14:textId="75067F06" w:rsidR="00133175" w:rsidRPr="00133175" w:rsidRDefault="00133175" w:rsidP="005E333A">
      <w:pPr>
        <w:jc w:val="both"/>
        <w:rPr>
          <w:rFonts w:cs="Arial"/>
          <w:szCs w:val="20"/>
        </w:rPr>
      </w:pPr>
      <w:r w:rsidRPr="00133175">
        <w:rPr>
          <w:rFonts w:cs="Arial"/>
          <w:szCs w:val="20"/>
        </w:rPr>
        <w:t>Republika Slovenija je Evropsko konvencijo o medsebojni pravni pomoči v kazenskih zadevah in Dodatni protokol k Evropski konvenciji o medsebojni pravni pomoči v kazenskih zadevah ratificirala 22. septembra 1999 (Zakon o ratifikaciji Evropske konvencije o medsebojni pravni pomoči v kazenskih zadevah in Dodatnega protokola k Evropski konvenciji o medsebojni pravni pomoči v kazenskih zadevah, Uradni list RS – Mednarodne pogodbe, št. 25/99, spremenjen z Zakonom o dopolnitvi Zakona o ratifikaciji Evropske konvencije o medsebojni pravni pomoči v kazenskih zadevah in Dodatnega protokola k Evropski konvenciji o medsebojni pravni pomoči v kazenskih zadevah, Uradni list RS – Mednarodne pogodbe, št. 13/01.)</w:t>
      </w:r>
    </w:p>
    <w:p w14:paraId="50081505" w14:textId="77777777" w:rsidR="00133175" w:rsidRPr="00133175" w:rsidRDefault="00133175" w:rsidP="005E333A">
      <w:pPr>
        <w:jc w:val="both"/>
        <w:rPr>
          <w:rFonts w:cs="Arial"/>
          <w:szCs w:val="20"/>
        </w:rPr>
      </w:pPr>
    </w:p>
    <w:p w14:paraId="611B36AF" w14:textId="42935F18" w:rsidR="00133175" w:rsidRPr="00133175" w:rsidRDefault="00133175" w:rsidP="005E333A">
      <w:pPr>
        <w:jc w:val="both"/>
        <w:rPr>
          <w:rFonts w:cs="Arial"/>
          <w:szCs w:val="20"/>
        </w:rPr>
      </w:pPr>
      <w:r w:rsidRPr="00133175">
        <w:rPr>
          <w:rFonts w:cs="Arial"/>
          <w:szCs w:val="20"/>
        </w:rPr>
        <w:t xml:space="preserve">Dne 7. aprila 2005 je Republika Slovenija podpisala še </w:t>
      </w:r>
      <w:r w:rsidRPr="00133175">
        <w:rPr>
          <w:rFonts w:cs="Arial"/>
          <w:szCs w:val="20"/>
          <w:u w:val="single"/>
        </w:rPr>
        <w:t>Drugi dodatni protokol k Evropski konvenciji o medsebojni pravni pomoči v kazenskih zadevah</w:t>
      </w:r>
      <w:r w:rsidRPr="00133175">
        <w:rPr>
          <w:rFonts w:cs="Arial"/>
          <w:szCs w:val="20"/>
        </w:rPr>
        <w:t xml:space="preserve">. Državni zbor </w:t>
      </w:r>
      <w:r w:rsidR="00F90D6D">
        <w:rPr>
          <w:rFonts w:cs="Arial"/>
          <w:szCs w:val="20"/>
        </w:rPr>
        <w:t xml:space="preserve">Republike Slovenije </w:t>
      </w:r>
      <w:r w:rsidRPr="00133175">
        <w:rPr>
          <w:rFonts w:cs="Arial"/>
          <w:szCs w:val="20"/>
        </w:rPr>
        <w:t>je Zakon o ratifikaciji Drugega dodatnega protokola k Evropski konvenciji o medsebojni pravni pomoči v kazenskih zadevah sprejel 21. novembra 2012 (Uradni list RS – Mednarodne pogodbe, št. 14/12).</w:t>
      </w:r>
    </w:p>
    <w:p w14:paraId="6C0DB78E" w14:textId="77777777" w:rsidR="00133175" w:rsidRPr="00133175" w:rsidRDefault="00133175" w:rsidP="005E333A">
      <w:pPr>
        <w:jc w:val="both"/>
        <w:rPr>
          <w:rFonts w:cs="Arial"/>
          <w:szCs w:val="20"/>
        </w:rPr>
      </w:pPr>
    </w:p>
    <w:p w14:paraId="6547B693" w14:textId="19B39759" w:rsidR="00133175" w:rsidRPr="00133175" w:rsidRDefault="00133175" w:rsidP="005E333A">
      <w:pPr>
        <w:jc w:val="both"/>
        <w:rPr>
          <w:rFonts w:cs="Arial"/>
          <w:szCs w:val="20"/>
        </w:rPr>
      </w:pPr>
      <w:r w:rsidRPr="00133175">
        <w:rPr>
          <w:rFonts w:cs="Arial"/>
          <w:szCs w:val="20"/>
        </w:rPr>
        <w:t xml:space="preserve">Svet EU je 12. oktobra 2017 sprejel </w:t>
      </w:r>
      <w:r w:rsidRPr="00133175">
        <w:rPr>
          <w:rFonts w:cs="Arial"/>
          <w:szCs w:val="20"/>
          <w:u w:val="single"/>
        </w:rPr>
        <w:t>Uredbo 2017/1939 o izvajanju okrepljenega sodelovanja v zvezi z ustanovitvijo Evropskega javnega tožilstva (EJT)</w:t>
      </w:r>
      <w:r w:rsidRPr="00133175">
        <w:rPr>
          <w:rFonts w:cs="Arial"/>
          <w:szCs w:val="20"/>
        </w:rPr>
        <w:t xml:space="preserve"> (UL L 283, 31. 10. 2017</w:t>
      </w:r>
      <w:r w:rsidR="00AC355B">
        <w:rPr>
          <w:rFonts w:cs="Arial"/>
          <w:szCs w:val="20"/>
        </w:rPr>
        <w:t>, str</w:t>
      </w:r>
      <w:r w:rsidR="007E5123">
        <w:rPr>
          <w:rFonts w:cs="Arial"/>
          <w:szCs w:val="20"/>
        </w:rPr>
        <w:t>.</w:t>
      </w:r>
      <w:r w:rsidR="00AC355B">
        <w:rPr>
          <w:rFonts w:cs="Arial"/>
          <w:szCs w:val="20"/>
        </w:rPr>
        <w:t xml:space="preserve"> 1: v nadaljnjem besedilu: Uredba 2017/1939</w:t>
      </w:r>
      <w:r w:rsidRPr="00133175">
        <w:rPr>
          <w:rFonts w:cs="Arial"/>
          <w:szCs w:val="20"/>
        </w:rPr>
        <w:t>), ki je začela veljati 20. novembra 2017.</w:t>
      </w:r>
    </w:p>
    <w:p w14:paraId="0B340623" w14:textId="77777777" w:rsidR="00133175" w:rsidRPr="00133175" w:rsidRDefault="00133175" w:rsidP="005E333A">
      <w:pPr>
        <w:jc w:val="both"/>
        <w:rPr>
          <w:rFonts w:cs="Arial"/>
          <w:szCs w:val="20"/>
        </w:rPr>
      </w:pPr>
    </w:p>
    <w:p w14:paraId="65DC334C" w14:textId="3C2DFA21" w:rsidR="00133175" w:rsidRPr="00133175" w:rsidRDefault="00133175" w:rsidP="005E333A">
      <w:pPr>
        <w:jc w:val="both"/>
        <w:rPr>
          <w:rFonts w:cs="Arial"/>
          <w:szCs w:val="20"/>
        </w:rPr>
      </w:pPr>
      <w:r w:rsidRPr="00133175">
        <w:rPr>
          <w:rFonts w:cs="Arial"/>
          <w:szCs w:val="20"/>
        </w:rPr>
        <w:t>Evropsko javno tožilstvo (v</w:t>
      </w:r>
      <w:r w:rsidR="00AC355B">
        <w:rPr>
          <w:rFonts w:cs="Arial"/>
          <w:szCs w:val="20"/>
        </w:rPr>
        <w:t xml:space="preserve"> nadaljnjem besedilu</w:t>
      </w:r>
      <w:r w:rsidRPr="00133175">
        <w:rPr>
          <w:rFonts w:cs="Arial"/>
          <w:szCs w:val="20"/>
        </w:rPr>
        <w:t>: EJT) je 1. junija 2021 prevzelo naloge preiskave in pregona iz svoje pristojnosti po Uredbi 2017/1939</w:t>
      </w:r>
    </w:p>
    <w:p w14:paraId="4BA8C87E" w14:textId="77777777" w:rsidR="00133175" w:rsidRPr="00133175" w:rsidRDefault="00133175" w:rsidP="005E333A">
      <w:pPr>
        <w:jc w:val="both"/>
        <w:rPr>
          <w:rFonts w:cs="Arial"/>
          <w:szCs w:val="20"/>
        </w:rPr>
      </w:pPr>
    </w:p>
    <w:p w14:paraId="25207A78" w14:textId="19060630" w:rsidR="00133175" w:rsidRPr="00133175" w:rsidRDefault="00133175" w:rsidP="005E333A">
      <w:pPr>
        <w:jc w:val="both"/>
        <w:rPr>
          <w:rFonts w:cs="Arial"/>
          <w:szCs w:val="20"/>
        </w:rPr>
      </w:pPr>
      <w:r w:rsidRPr="00133175">
        <w:rPr>
          <w:rFonts w:cs="Arial"/>
          <w:szCs w:val="20"/>
        </w:rPr>
        <w:t xml:space="preserve">EJT je stvarno pristojno za kazniva dejanja, ki škodijo finančnim interesom EU, kot so določena </w:t>
      </w:r>
      <w:r w:rsidRPr="00AC355B">
        <w:rPr>
          <w:rFonts w:cs="Arial"/>
          <w:szCs w:val="20"/>
        </w:rPr>
        <w:t xml:space="preserve">v </w:t>
      </w:r>
      <w:r w:rsidR="00AC355B">
        <w:rPr>
          <w:rFonts w:cs="Arial"/>
          <w:szCs w:val="20"/>
        </w:rPr>
        <w:t>Direktivi</w:t>
      </w:r>
      <w:r w:rsidR="00AC355B" w:rsidRPr="000D182D">
        <w:rPr>
          <w:rFonts w:cs="Arial"/>
          <w:szCs w:val="20"/>
        </w:rPr>
        <w:t xml:space="preserve"> (EU) 2017/1371 Evropskega parlamenta in Sveta z dne 5. julija 2017 o boju proti goljufijam, ki škodijo finančnim interesom Unije, z uporabo kazenskega prava</w:t>
      </w:r>
      <w:r w:rsidR="00AC355B">
        <w:rPr>
          <w:rFonts w:cs="Arial"/>
          <w:szCs w:val="20"/>
        </w:rPr>
        <w:t xml:space="preserve"> (UL L št. </w:t>
      </w:r>
      <w:r w:rsidR="00AC7677">
        <w:rPr>
          <w:rFonts w:cs="Arial"/>
          <w:szCs w:val="20"/>
        </w:rPr>
        <w:t xml:space="preserve">198 z dne </w:t>
      </w:r>
      <w:r w:rsidR="00437AD9">
        <w:rPr>
          <w:rFonts w:cs="Arial"/>
          <w:szCs w:val="20"/>
        </w:rPr>
        <w:t>28</w:t>
      </w:r>
      <w:r w:rsidR="00AC7677">
        <w:rPr>
          <w:rFonts w:cs="Arial"/>
          <w:szCs w:val="20"/>
        </w:rPr>
        <w:t>. 7. 2017, str</w:t>
      </w:r>
      <w:r w:rsidR="000D182D">
        <w:rPr>
          <w:rFonts w:cs="Arial"/>
          <w:szCs w:val="20"/>
        </w:rPr>
        <w:t>.</w:t>
      </w:r>
      <w:r w:rsidR="00AC7677">
        <w:rPr>
          <w:rFonts w:cs="Arial"/>
          <w:szCs w:val="20"/>
        </w:rPr>
        <w:t xml:space="preserve"> 29)</w:t>
      </w:r>
      <w:r w:rsidRPr="00AC355B">
        <w:rPr>
          <w:rFonts w:cs="Arial"/>
          <w:szCs w:val="20"/>
        </w:rPr>
        <w:t>, in z njimi povezana kazniva dejanja, z določenimi omejitvami glede višine škode (22. in 25. člen Uredbe 2017/1939). V primerih, v katerih svojo pristojnost izvaja EJT, pristojni nacionalni</w:t>
      </w:r>
      <w:r w:rsidRPr="00133175">
        <w:rPr>
          <w:rFonts w:cs="Arial"/>
          <w:szCs w:val="20"/>
        </w:rPr>
        <w:t xml:space="preserve"> organi ne smejo izvajati svoje pristojnosti v zvezi z istim kaznivim ravnanjem (prvi odstavek 25. člena Uredbe 2017/1939).</w:t>
      </w:r>
    </w:p>
    <w:p w14:paraId="6A070843" w14:textId="77777777" w:rsidR="00133175" w:rsidRPr="00133175" w:rsidRDefault="00133175" w:rsidP="005E333A">
      <w:pPr>
        <w:jc w:val="both"/>
        <w:rPr>
          <w:rFonts w:cs="Arial"/>
          <w:szCs w:val="20"/>
        </w:rPr>
      </w:pPr>
    </w:p>
    <w:p w14:paraId="2AD4D4CC" w14:textId="77777777" w:rsidR="00133175" w:rsidRPr="00133175" w:rsidRDefault="00133175" w:rsidP="005E333A">
      <w:pPr>
        <w:jc w:val="both"/>
        <w:rPr>
          <w:rFonts w:cs="Arial"/>
          <w:szCs w:val="20"/>
        </w:rPr>
      </w:pPr>
      <w:r w:rsidRPr="00133175">
        <w:rPr>
          <w:rFonts w:cs="Arial"/>
          <w:szCs w:val="20"/>
        </w:rPr>
        <w:t>Če ne obstaja sporazum med Evropsko unijo in tretjo državo (ali več njimi), sklenjeni sporazum pa to dopušča in tretja država to sprejema, države članice priznajo in, kadar je ustrezno, uradno obvestijo EJT kot pristojni organ za namene izvajanja že sklenjenih večstranskih mednarodnih sporazumov o pravni pomoči v kazenskih zadevah, če je to potrebno in mogoče (četrti odstavek 104. člena Uredbe 2017/1939).</w:t>
      </w:r>
    </w:p>
    <w:p w14:paraId="41F46383" w14:textId="77777777" w:rsidR="00133175" w:rsidRPr="00133175" w:rsidRDefault="00133175" w:rsidP="005E333A">
      <w:pPr>
        <w:jc w:val="both"/>
        <w:rPr>
          <w:rFonts w:cs="Arial"/>
          <w:szCs w:val="20"/>
        </w:rPr>
      </w:pPr>
    </w:p>
    <w:p w14:paraId="579A646B" w14:textId="77777777" w:rsidR="00133175" w:rsidRPr="00133175" w:rsidRDefault="00133175" w:rsidP="005E333A">
      <w:pPr>
        <w:jc w:val="both"/>
        <w:rPr>
          <w:rFonts w:cs="Arial"/>
          <w:szCs w:val="20"/>
        </w:rPr>
      </w:pPr>
      <w:r w:rsidRPr="00133175">
        <w:rPr>
          <w:rFonts w:cs="Arial"/>
          <w:szCs w:val="20"/>
        </w:rPr>
        <w:t>Podobno kot Evropska konvencija o medsebojni pravni pomoči v kazenskih zadevah, ki jo drugi dodatni protokol dopolnjuje, tudi slednji pomeni pomembno pravno podlago za sodelovanje med pristojnimi organi, zlasti ker omogoča neposredno komunikacijo med pravosodnimi organi, zaslišanje prič in izvedencev preko video- in telekomunikacijskih sredstev ter ureja nekatere čezmejne/skupne preiskovalne ukrepe (čezmejno opazovanje, nadzorovane pošiljke, tajno delovanje in skupne preiskovalne skupine).</w:t>
      </w:r>
    </w:p>
    <w:p w14:paraId="590B2FD1" w14:textId="77777777" w:rsidR="00133175" w:rsidRPr="00133175" w:rsidRDefault="00133175" w:rsidP="005E333A">
      <w:pPr>
        <w:autoSpaceDE w:val="0"/>
        <w:autoSpaceDN w:val="0"/>
        <w:adjustRightInd w:val="0"/>
        <w:jc w:val="both"/>
        <w:rPr>
          <w:rFonts w:cs="Arial"/>
          <w:szCs w:val="20"/>
        </w:rPr>
      </w:pPr>
    </w:p>
    <w:p w14:paraId="4582D1D5" w14:textId="2AB3E42D" w:rsidR="00133175" w:rsidRDefault="00133175" w:rsidP="00F90D6D">
      <w:pPr>
        <w:autoSpaceDE w:val="0"/>
        <w:autoSpaceDN w:val="0"/>
        <w:adjustRightInd w:val="0"/>
        <w:jc w:val="both"/>
      </w:pPr>
      <w:r w:rsidRPr="00133175">
        <w:rPr>
          <w:rFonts w:cs="Arial"/>
          <w:szCs w:val="20"/>
          <w:u w:val="single"/>
        </w:rPr>
        <w:t>Drugi dodatni protokol k Evropski konvenciji o medsebojni pravni pomoči v kazenskih zadevah</w:t>
      </w:r>
      <w:r w:rsidRPr="00133175">
        <w:rPr>
          <w:rFonts w:cs="Arial"/>
          <w:szCs w:val="20"/>
        </w:rPr>
        <w:t xml:space="preserve"> v 20. členu ureja skupne preiskovalne skupine. V slovenski zakonodaji je njihovo ustanavljanje in delovanje urejeno v 53. in 54. členu Zakona o sodelovanju v kazenskih zadevah z državami članicami Evropske unije (</w:t>
      </w:r>
      <w:r w:rsidRPr="000D182D">
        <w:rPr>
          <w:rFonts w:cs="Arial"/>
          <w:szCs w:val="20"/>
        </w:rPr>
        <w:t>Uradni list RS, št. 48/13</w:t>
      </w:r>
      <w:r w:rsidR="00AC7677" w:rsidRPr="000D182D">
        <w:rPr>
          <w:rFonts w:cs="Arial"/>
          <w:szCs w:val="20"/>
        </w:rPr>
        <w:t xml:space="preserve">, </w:t>
      </w:r>
      <w:hyperlink r:id="rId6" w:tgtFrame="_blank" w:tooltip="Zakon o spremembah in dopolnitvah Zakona o sodelovanju v kazenskih zadevah z državami članicami Evropske unije" w:history="1">
        <w:r w:rsidR="00AC7677" w:rsidRPr="000D182D">
          <w:rPr>
            <w:rStyle w:val="Hyperlink"/>
            <w:rFonts w:cs="Arial"/>
            <w:color w:val="auto"/>
            <w:szCs w:val="20"/>
            <w:u w:val="none"/>
          </w:rPr>
          <w:t>37/15</w:t>
        </w:r>
      </w:hyperlink>
      <w:r w:rsidR="00AC7677" w:rsidRPr="000D182D">
        <w:rPr>
          <w:rFonts w:cs="Arial"/>
          <w:szCs w:val="20"/>
        </w:rPr>
        <w:t xml:space="preserve">, </w:t>
      </w:r>
      <w:hyperlink r:id="rId7" w:tgtFrame="_blank" w:tooltip="Zakon o spremembah in dopolnitvah Zakona o sodelovanju v kazenskih zadevah z državami članicami Evropske unije" w:history="1">
        <w:r w:rsidR="00AC7677" w:rsidRPr="000D182D">
          <w:rPr>
            <w:rStyle w:val="Hyperlink"/>
            <w:rFonts w:cs="Arial"/>
            <w:color w:val="auto"/>
            <w:szCs w:val="20"/>
            <w:u w:val="none"/>
          </w:rPr>
          <w:t>22/18</w:t>
        </w:r>
      </w:hyperlink>
      <w:r w:rsidR="00AC7677" w:rsidRPr="000D182D">
        <w:rPr>
          <w:rFonts w:cs="Arial"/>
          <w:szCs w:val="20"/>
        </w:rPr>
        <w:t xml:space="preserve"> in </w:t>
      </w:r>
      <w:hyperlink r:id="rId8" w:tgtFrame="_blank" w:tooltip="Zakon o spremembah in dopolnitvah Zakona o sodelovanju v kazenskih zadevah z državami članicami Evropske unije" w:history="1">
        <w:r w:rsidR="00AC7677" w:rsidRPr="000D182D">
          <w:rPr>
            <w:rStyle w:val="Hyperlink"/>
            <w:rFonts w:cs="Arial"/>
            <w:color w:val="auto"/>
            <w:szCs w:val="20"/>
            <w:u w:val="none"/>
          </w:rPr>
          <w:t>94/21</w:t>
        </w:r>
      </w:hyperlink>
      <w:r w:rsidR="00AC7677" w:rsidRPr="000D182D">
        <w:rPr>
          <w:rFonts w:cs="Arial"/>
          <w:szCs w:val="20"/>
        </w:rPr>
        <w:t>)</w:t>
      </w:r>
      <w:r w:rsidRPr="000D182D">
        <w:rPr>
          <w:rFonts w:cs="Arial"/>
          <w:szCs w:val="20"/>
        </w:rPr>
        <w:t xml:space="preserve"> oziroma v 160.b členu Zakona o kazenskem postopku (</w:t>
      </w:r>
      <w:r w:rsidR="00AC7677" w:rsidRPr="000D182D">
        <w:t xml:space="preserve">Uradni list RS, št. </w:t>
      </w:r>
      <w:hyperlink r:id="rId9" w:tgtFrame="_blank" w:tooltip="Zakon o kazenskem postopku (uradno prečiščeno besedilo)" w:history="1">
        <w:r w:rsidR="00AC7677" w:rsidRPr="000D182D">
          <w:rPr>
            <w:rStyle w:val="Hyperlink"/>
            <w:color w:val="auto"/>
            <w:u w:val="none"/>
          </w:rPr>
          <w:t>32/12</w:t>
        </w:r>
      </w:hyperlink>
      <w:r w:rsidR="00AC7677" w:rsidRPr="000D182D">
        <w:t xml:space="preserve"> – uradno prečiščeno besedilo, </w:t>
      </w:r>
      <w:hyperlink r:id="rId10" w:tgtFrame="_blank" w:tooltip="Zakon o spremembah in dopolnitvah Zakona o kazenskem postopku" w:history="1">
        <w:r w:rsidR="00AC7677" w:rsidRPr="000D182D">
          <w:rPr>
            <w:rStyle w:val="Hyperlink"/>
            <w:color w:val="auto"/>
            <w:u w:val="none"/>
          </w:rPr>
          <w:t>47/13</w:t>
        </w:r>
      </w:hyperlink>
      <w:r w:rsidR="00AC7677" w:rsidRPr="000D182D">
        <w:t xml:space="preserve">, </w:t>
      </w:r>
      <w:hyperlink r:id="rId11" w:tgtFrame="_blank" w:tooltip="Zakon o spremembah in dopolnitvah Zakona o kazenskem postopku" w:history="1">
        <w:r w:rsidR="00AC7677" w:rsidRPr="000D182D">
          <w:rPr>
            <w:rStyle w:val="Hyperlink"/>
            <w:color w:val="auto"/>
            <w:u w:val="none"/>
          </w:rPr>
          <w:t>87/14</w:t>
        </w:r>
      </w:hyperlink>
      <w:r w:rsidR="00AC7677" w:rsidRPr="000D182D">
        <w:t xml:space="preserve">, </w:t>
      </w:r>
      <w:hyperlink r:id="rId12" w:tgtFrame="_blank" w:tooltip="Odločba o ugotovitvi, da sta Zakon o kazenskem postopku in Zakon o odvetništvu v neskladju z Ustavo in odločba o ugotovitvi kršitve človekove pravice" w:history="1">
        <w:r w:rsidR="00AC7677" w:rsidRPr="000D182D">
          <w:rPr>
            <w:rStyle w:val="Hyperlink"/>
            <w:color w:val="auto"/>
            <w:u w:val="none"/>
          </w:rPr>
          <w:t>8/16</w:t>
        </w:r>
      </w:hyperlink>
      <w:r w:rsidR="00AC7677" w:rsidRPr="000D182D">
        <w:t xml:space="preserve"> – </w:t>
      </w:r>
      <w:proofErr w:type="spellStart"/>
      <w:r w:rsidR="00AC7677" w:rsidRPr="000D182D">
        <w:t>odl</w:t>
      </w:r>
      <w:proofErr w:type="spellEnd"/>
      <w:r w:rsidR="00AC7677" w:rsidRPr="000D182D">
        <w:t xml:space="preserve">. US, </w:t>
      </w:r>
      <w:hyperlink r:id="rId13" w:tgtFrame="_blank" w:tooltip="Odločba o razveljavitvi četrtega odstavka 399. člena Zakona o kazenskem postopku, kolikor izključuje pritožbo zoper sklep Vrhovnega sodišča o odreditvi pripora po četrtem odstavku 394. člena v zvezi z drugim odstavkom 398. člena Zakona o kazenskem postopku" w:history="1">
        <w:r w:rsidR="00AC7677" w:rsidRPr="000D182D">
          <w:rPr>
            <w:rStyle w:val="Hyperlink"/>
            <w:color w:val="auto"/>
            <w:u w:val="none"/>
          </w:rPr>
          <w:t>64/16</w:t>
        </w:r>
      </w:hyperlink>
      <w:r w:rsidR="00AC7677" w:rsidRPr="000D182D">
        <w:t xml:space="preserve"> – </w:t>
      </w:r>
      <w:proofErr w:type="spellStart"/>
      <w:r w:rsidR="00AC7677" w:rsidRPr="000D182D">
        <w:t>odl</w:t>
      </w:r>
      <w:proofErr w:type="spellEnd"/>
      <w:r w:rsidR="00AC7677" w:rsidRPr="000D182D">
        <w:t xml:space="preserve">. US, </w:t>
      </w:r>
      <w:hyperlink r:id="rId14" w:tgtFrame="_blank" w:tooltip="Odločba o razveljavitvi tretje povedi prvega odstavka 78. člena Zakona o kazenskem postopku, kolikor se nanaša na primere, ko je domnevno žaljiva izjava usmerjena osebno zoper sodnika oziroma senat, pred katerim je bila dana oziroma ki je pristojen odločiti o " w:history="1">
        <w:r w:rsidR="00AC7677" w:rsidRPr="000D182D">
          <w:rPr>
            <w:rStyle w:val="Hyperlink"/>
            <w:color w:val="auto"/>
            <w:u w:val="none"/>
          </w:rPr>
          <w:t>65/16</w:t>
        </w:r>
      </w:hyperlink>
      <w:r w:rsidR="00AC7677" w:rsidRPr="000D182D">
        <w:t xml:space="preserve"> – </w:t>
      </w:r>
      <w:proofErr w:type="spellStart"/>
      <w:r w:rsidR="00AC7677" w:rsidRPr="000D182D">
        <w:t>odl</w:t>
      </w:r>
      <w:proofErr w:type="spellEnd"/>
      <w:r w:rsidR="00AC7677" w:rsidRPr="000D182D">
        <w:t xml:space="preserve">. US, </w:t>
      </w:r>
      <w:hyperlink r:id="rId15" w:tgtFrame="_blank" w:tooltip="Avtentična razlaga četrtega odstavka 153. člena in drugega odstavka 154. člena Zakona o kazenskem postopku" w:history="1">
        <w:r w:rsidR="00AC7677" w:rsidRPr="000D182D">
          <w:rPr>
            <w:rStyle w:val="Hyperlink"/>
            <w:color w:val="auto"/>
            <w:u w:val="none"/>
          </w:rPr>
          <w:t>66/17</w:t>
        </w:r>
      </w:hyperlink>
      <w:r w:rsidR="00AC7677" w:rsidRPr="000D182D">
        <w:t xml:space="preserve"> – ORZKP153,154, </w:t>
      </w:r>
      <w:hyperlink r:id="rId16" w:tgtFrame="_blank" w:tooltip="Zakon o spremembah in dopolnitvah Zakona o kazenskem postopku" w:history="1">
        <w:r w:rsidR="00AC7677" w:rsidRPr="000D182D">
          <w:rPr>
            <w:rStyle w:val="Hyperlink"/>
            <w:color w:val="auto"/>
            <w:u w:val="none"/>
          </w:rPr>
          <w:t>22/19</w:t>
        </w:r>
      </w:hyperlink>
      <w:r w:rsidR="00AC7677" w:rsidRPr="000D182D">
        <w:t xml:space="preserve">, </w:t>
      </w:r>
      <w:hyperlink r:id="rId17" w:tgtFrame="_blank" w:tooltip="Odločba o ugotovitvi, da je 41. člen Zakona o kazenskem postopku v neskladju z Ustavo in o razveljavitvi sodbe Vrhovnega sodišča" w:history="1">
        <w:r w:rsidR="00AC7677" w:rsidRPr="000D182D">
          <w:rPr>
            <w:rStyle w:val="Hyperlink"/>
            <w:color w:val="auto"/>
            <w:u w:val="none"/>
          </w:rPr>
          <w:t>55/20</w:t>
        </w:r>
      </w:hyperlink>
      <w:r w:rsidR="00AC7677" w:rsidRPr="000D182D">
        <w:t xml:space="preserve"> – </w:t>
      </w:r>
      <w:proofErr w:type="spellStart"/>
      <w:r w:rsidR="00AC7677" w:rsidRPr="000D182D">
        <w:t>odl</w:t>
      </w:r>
      <w:proofErr w:type="spellEnd"/>
      <w:r w:rsidR="00AC7677" w:rsidRPr="000D182D">
        <w:t xml:space="preserve">. US, </w:t>
      </w:r>
      <w:hyperlink r:id="rId18" w:tgtFrame="_blank" w:tooltip="Odločba o ugotovitvi, da je drugi odstavek 129.a člena Zakona o kazenskem postopku, kolikor določa petnajstdnevni rok za vložitev predloga o nadomestitvi kazni zapora s hišnim zaporom, ki teče od pravnomočnosti sodbe oziroma od zadnje vročitve prepisa sodbe da" w:history="1">
        <w:r w:rsidR="00AC7677" w:rsidRPr="000D182D">
          <w:rPr>
            <w:rStyle w:val="Hyperlink"/>
            <w:color w:val="auto"/>
            <w:u w:val="none"/>
          </w:rPr>
          <w:t>89/20</w:t>
        </w:r>
      </w:hyperlink>
      <w:r w:rsidR="00AC7677" w:rsidRPr="000D182D">
        <w:t xml:space="preserve"> – </w:t>
      </w:r>
      <w:proofErr w:type="spellStart"/>
      <w:r w:rsidR="00AC7677" w:rsidRPr="000D182D">
        <w:t>odl</w:t>
      </w:r>
      <w:proofErr w:type="spellEnd"/>
      <w:r w:rsidR="00AC7677" w:rsidRPr="000D182D">
        <w:t xml:space="preserve">. US, </w:t>
      </w:r>
      <w:hyperlink r:id="rId19" w:tgtFrame="_blank" w:tooltip="Odločba o ugotovitvi, da je Zakon o kazenskem postopku v neskladju z ustavo, in o ugotovitvi kršitve človekove pravice" w:history="1">
        <w:r w:rsidR="00AC7677" w:rsidRPr="000D182D">
          <w:rPr>
            <w:rStyle w:val="Hyperlink"/>
            <w:color w:val="auto"/>
            <w:u w:val="none"/>
          </w:rPr>
          <w:t>191/20</w:t>
        </w:r>
      </w:hyperlink>
      <w:r w:rsidR="00AC7677" w:rsidRPr="000D182D">
        <w:t xml:space="preserve"> – </w:t>
      </w:r>
      <w:proofErr w:type="spellStart"/>
      <w:r w:rsidR="00AC7677" w:rsidRPr="000D182D">
        <w:t>odl</w:t>
      </w:r>
      <w:proofErr w:type="spellEnd"/>
      <w:r w:rsidR="00AC7677" w:rsidRPr="000D182D">
        <w:t xml:space="preserve">. US, </w:t>
      </w:r>
      <w:hyperlink r:id="rId20" w:tgtFrame="_blank" w:tooltip="Zakon o spremembah in dopolnitvah Zakona o kazenskem postopku" w:history="1">
        <w:r w:rsidR="00AC7677" w:rsidRPr="000D182D">
          <w:rPr>
            <w:rStyle w:val="Hyperlink"/>
            <w:color w:val="auto"/>
            <w:u w:val="none"/>
          </w:rPr>
          <w:t>200/20</w:t>
        </w:r>
      </w:hyperlink>
      <w:r w:rsidR="00AC7677" w:rsidRPr="000D182D">
        <w:t xml:space="preserve"> in </w:t>
      </w:r>
      <w:hyperlink r:id="rId21" w:tgtFrame="_blank" w:tooltip="Odločba o delni razveljavitvi 107. in 149. do 152. člena Poslovnika Državnega zbora ter o ugotovitvi, da sta bila četrti odstavek 153. člena in drugi odstavek 154. člena Zakona o kazenskem postopku v neskladju z Ustavo" w:history="1">
        <w:r w:rsidR="00AC7677" w:rsidRPr="000D182D">
          <w:rPr>
            <w:rStyle w:val="Hyperlink"/>
            <w:color w:val="auto"/>
            <w:u w:val="none"/>
          </w:rPr>
          <w:t>105/21</w:t>
        </w:r>
      </w:hyperlink>
      <w:r w:rsidR="00AC7677" w:rsidRPr="000D182D">
        <w:t xml:space="preserve"> – </w:t>
      </w:r>
      <w:proofErr w:type="spellStart"/>
      <w:r w:rsidR="00AC7677" w:rsidRPr="000D182D">
        <w:t>odl</w:t>
      </w:r>
      <w:proofErr w:type="spellEnd"/>
      <w:r w:rsidR="00AC7677" w:rsidRPr="000D182D">
        <w:t>. US).</w:t>
      </w:r>
    </w:p>
    <w:p w14:paraId="52455EA0" w14:textId="77777777" w:rsidR="00F90D6D" w:rsidRPr="000D182D" w:rsidRDefault="00F90D6D" w:rsidP="005E333A">
      <w:pPr>
        <w:autoSpaceDE w:val="0"/>
        <w:autoSpaceDN w:val="0"/>
        <w:adjustRightInd w:val="0"/>
        <w:jc w:val="both"/>
        <w:rPr>
          <w:rFonts w:cs="Arial"/>
          <w:szCs w:val="20"/>
        </w:rPr>
      </w:pPr>
    </w:p>
    <w:p w14:paraId="46B8AA80" w14:textId="0BC5BCFB" w:rsidR="00133175" w:rsidRPr="00133175" w:rsidRDefault="00133175" w:rsidP="005E333A">
      <w:pPr>
        <w:jc w:val="both"/>
        <w:rPr>
          <w:rFonts w:cs="Arial"/>
          <w:szCs w:val="20"/>
        </w:rPr>
      </w:pPr>
      <w:r w:rsidRPr="00133175">
        <w:rPr>
          <w:rFonts w:cs="Arial"/>
          <w:szCs w:val="20"/>
        </w:rPr>
        <w:t>V primerih, ko bo podana pristojnost EJT v skladu z določbami Uredbe 2017/1939, bo</w:t>
      </w:r>
      <w:r w:rsidR="00F90D6D">
        <w:rPr>
          <w:rFonts w:cs="Arial"/>
          <w:szCs w:val="20"/>
        </w:rPr>
        <w:t xml:space="preserve"> ta</w:t>
      </w:r>
      <w:r w:rsidRPr="00133175">
        <w:rPr>
          <w:rFonts w:cs="Arial"/>
          <w:szCs w:val="20"/>
        </w:rPr>
        <w:t xml:space="preserve"> deloval kot pristojni organ, ki lahko v skladu z 20. členom Drugega dodatnega protokola k Evropski konvenciji o medsebojni pravni pomoči v kazenskih zadevah sestavi skupno preiskovalno skupino, ki bo delovala na območju Republike Slovenije. V tej zvezi </w:t>
      </w:r>
      <w:r w:rsidR="00F90D6D">
        <w:rPr>
          <w:rFonts w:cs="Arial"/>
          <w:szCs w:val="20"/>
        </w:rPr>
        <w:t xml:space="preserve">ga </w:t>
      </w:r>
      <w:r w:rsidRPr="00133175">
        <w:rPr>
          <w:rFonts w:cs="Arial"/>
          <w:szCs w:val="20"/>
        </w:rPr>
        <w:t xml:space="preserve">mora Republika Slovenija na podlagi te določbe četrtega odstavka 104. člena Uredbe 2017/1939 EJT uradno priglasiti kot pristojni organ. </w:t>
      </w:r>
    </w:p>
    <w:p w14:paraId="3571CD56" w14:textId="77777777" w:rsidR="00133175" w:rsidRPr="00133175" w:rsidRDefault="00133175" w:rsidP="005E333A">
      <w:pPr>
        <w:autoSpaceDE w:val="0"/>
        <w:autoSpaceDN w:val="0"/>
        <w:adjustRightInd w:val="0"/>
        <w:jc w:val="both"/>
        <w:rPr>
          <w:rFonts w:cs="Arial"/>
          <w:szCs w:val="20"/>
        </w:rPr>
      </w:pPr>
    </w:p>
    <w:p w14:paraId="69DF381A" w14:textId="3628334C" w:rsidR="00133175" w:rsidRPr="00133175" w:rsidRDefault="00133175" w:rsidP="005E333A">
      <w:pPr>
        <w:autoSpaceDE w:val="0"/>
        <w:autoSpaceDN w:val="0"/>
        <w:adjustRightInd w:val="0"/>
        <w:jc w:val="both"/>
        <w:rPr>
          <w:rFonts w:cs="Arial"/>
          <w:szCs w:val="20"/>
        </w:rPr>
      </w:pPr>
      <w:r w:rsidRPr="00133175">
        <w:rPr>
          <w:rFonts w:cs="Arial"/>
          <w:szCs w:val="20"/>
        </w:rPr>
        <w:t>Za</w:t>
      </w:r>
      <w:r w:rsidR="002E1ECA">
        <w:rPr>
          <w:rFonts w:cs="Arial"/>
          <w:szCs w:val="20"/>
        </w:rPr>
        <w:t xml:space="preserve">radi navedenega se </w:t>
      </w:r>
      <w:r w:rsidRPr="00133175">
        <w:rPr>
          <w:rFonts w:cs="Arial"/>
          <w:szCs w:val="20"/>
        </w:rPr>
        <w:t>predlaga</w:t>
      </w:r>
      <w:r w:rsidR="002E1ECA">
        <w:rPr>
          <w:rFonts w:cs="Arial"/>
          <w:szCs w:val="20"/>
        </w:rPr>
        <w:t xml:space="preserve"> </w:t>
      </w:r>
      <w:r w:rsidRPr="00133175">
        <w:rPr>
          <w:rFonts w:cs="Arial"/>
          <w:szCs w:val="20"/>
        </w:rPr>
        <w:t>dopolnitev določbe 3. člena tako, da Republika Slovenija uradno priglasi, da lahko EJT s predhodnim soglasjem pravosodnih organov Republike Slovenije ter v skladu z zakonodajo EU in veljavno nacionalno zakonodajo deluje kot pristojni organ po 20. členu Drugega dodatnega protokola k Evropski konvenciji o medsebojni pravni pomoči v kazenskih zadevah, v katerih je za to pristojen v skladu z Uredbo 2017/1939.</w:t>
      </w:r>
    </w:p>
    <w:p w14:paraId="337831CF" w14:textId="77777777" w:rsidR="00133175" w:rsidRPr="00133175" w:rsidRDefault="00133175" w:rsidP="005E333A">
      <w:pPr>
        <w:jc w:val="both"/>
        <w:rPr>
          <w:rFonts w:cs="Arial"/>
          <w:szCs w:val="20"/>
        </w:rPr>
      </w:pPr>
    </w:p>
    <w:p w14:paraId="251BAF69" w14:textId="77777777" w:rsidR="00133175" w:rsidRPr="00133175" w:rsidRDefault="00133175" w:rsidP="005E333A">
      <w:pPr>
        <w:jc w:val="both"/>
        <w:rPr>
          <w:rFonts w:cs="Arial"/>
          <w:szCs w:val="20"/>
        </w:rPr>
      </w:pPr>
      <w:r w:rsidRPr="00133175">
        <w:rPr>
          <w:rFonts w:cs="Arial"/>
          <w:szCs w:val="20"/>
        </w:rPr>
        <w:t>Vsebina uradnih priglasitev pristojnosti EJT, ki jih mora podati posamezna država članica EU v zvezi z Evropsko konvencijo o medsebojni pravni pomoči v kazenskih zadevah z obema dodatnima protokoloma, je bila usklajena na ravni vseh držav članic EU. Predlagana sprememba zakona o ratifikaciji drugega dodatnega protokola sledi besedilu pripravljene vzorčne izjave.</w:t>
      </w:r>
    </w:p>
    <w:p w14:paraId="3225277C" w14:textId="77777777" w:rsidR="00133175" w:rsidRPr="00133175" w:rsidRDefault="00133175" w:rsidP="005E333A">
      <w:pPr>
        <w:jc w:val="both"/>
        <w:rPr>
          <w:rFonts w:cs="Arial"/>
          <w:szCs w:val="20"/>
        </w:rPr>
      </w:pPr>
    </w:p>
    <w:p w14:paraId="56689FCE" w14:textId="1D840AB7" w:rsidR="00133175" w:rsidRPr="00133175" w:rsidRDefault="00133175" w:rsidP="005E333A">
      <w:pPr>
        <w:jc w:val="both"/>
        <w:rPr>
          <w:rFonts w:cs="Arial"/>
          <w:szCs w:val="20"/>
        </w:rPr>
      </w:pPr>
      <w:r w:rsidRPr="00133175">
        <w:rPr>
          <w:rFonts w:cs="Arial"/>
          <w:szCs w:val="20"/>
        </w:rPr>
        <w:t xml:space="preserve">Glede na to, da je EJT že začel z operativnim delovanjem, obenem pa predlagane spremembe zakona o ratifikaciji pomenijo pravno podlago za uradne priglasitve, ki jih mora </w:t>
      </w:r>
      <w:r w:rsidR="00AC7677">
        <w:rPr>
          <w:rFonts w:cs="Arial"/>
          <w:szCs w:val="20"/>
        </w:rPr>
        <w:t xml:space="preserve">Republika </w:t>
      </w:r>
      <w:r w:rsidRPr="00133175">
        <w:rPr>
          <w:rFonts w:cs="Arial"/>
          <w:szCs w:val="20"/>
        </w:rPr>
        <w:t>Slovenija dati v skladu z Uredbo 2017/1939, kot je bilo obrazloženo zgoraj, je potrebna čimprejšnja uveljavitev zakona o ratifikaciji. Zato predlagamo, naj začnejo dopolnitve zakona veljati naslednji dan po objavi v Uradnem listu R</w:t>
      </w:r>
      <w:r w:rsidR="00AC7677">
        <w:rPr>
          <w:rFonts w:cs="Arial"/>
          <w:szCs w:val="20"/>
        </w:rPr>
        <w:t xml:space="preserve">epublike </w:t>
      </w:r>
      <w:r w:rsidRPr="00133175">
        <w:rPr>
          <w:rFonts w:cs="Arial"/>
          <w:szCs w:val="20"/>
        </w:rPr>
        <w:t>S</w:t>
      </w:r>
      <w:r w:rsidR="00AC7677">
        <w:rPr>
          <w:rFonts w:cs="Arial"/>
          <w:szCs w:val="20"/>
        </w:rPr>
        <w:t>lovenije</w:t>
      </w:r>
      <w:r w:rsidRPr="00133175">
        <w:rPr>
          <w:rFonts w:cs="Arial"/>
          <w:szCs w:val="20"/>
        </w:rPr>
        <w:t xml:space="preserve">. </w:t>
      </w:r>
    </w:p>
    <w:p w14:paraId="06C780EC" w14:textId="77777777" w:rsidR="00133175" w:rsidRPr="00133175" w:rsidRDefault="00133175" w:rsidP="005E333A">
      <w:pPr>
        <w:pStyle w:val="NoSpacing"/>
        <w:spacing w:line="260" w:lineRule="exact"/>
        <w:rPr>
          <w:rFonts w:ascii="Arial" w:hAnsi="Arial" w:cs="Arial"/>
          <w:sz w:val="20"/>
          <w:szCs w:val="20"/>
        </w:rPr>
      </w:pPr>
    </w:p>
    <w:p w14:paraId="2EA9A478" w14:textId="77777777" w:rsidR="00133175" w:rsidRPr="00133175" w:rsidRDefault="00133175" w:rsidP="00F90D6D">
      <w:pPr>
        <w:rPr>
          <w:rFonts w:cs="Arial"/>
          <w:szCs w:val="20"/>
        </w:rPr>
      </w:pPr>
      <w:r w:rsidRPr="00133175">
        <w:rPr>
          <w:rFonts w:cs="Arial"/>
          <w:szCs w:val="20"/>
        </w:rPr>
        <w:t xml:space="preserve">Dopolnitev zakona o ratifikaciji ne zahteva izdaje novih ali spremembe veljavnih predpisov. </w:t>
      </w:r>
    </w:p>
    <w:p w14:paraId="3D17550E" w14:textId="77777777" w:rsidR="00133175" w:rsidRPr="00133175" w:rsidRDefault="00133175">
      <w:pPr>
        <w:rPr>
          <w:rFonts w:cs="Arial"/>
          <w:szCs w:val="20"/>
        </w:rPr>
      </w:pPr>
    </w:p>
    <w:p w14:paraId="4326BC2C" w14:textId="77777777" w:rsidR="00133175" w:rsidRPr="00133175" w:rsidRDefault="00133175" w:rsidP="00B86E7F">
      <w:pPr>
        <w:jc w:val="both"/>
        <w:rPr>
          <w:rFonts w:cs="Arial"/>
          <w:szCs w:val="20"/>
        </w:rPr>
      </w:pPr>
      <w:r w:rsidRPr="00133175">
        <w:rPr>
          <w:rFonts w:cs="Arial"/>
          <w:szCs w:val="20"/>
        </w:rPr>
        <w:t>Dopolnitev zakona o ratifikaciji ne zahteva dodatnih finančnih sredstev iz proračuna Republike Slovenije.</w:t>
      </w:r>
    </w:p>
    <w:p w14:paraId="400DC5C4" w14:textId="77777777" w:rsidR="00133175" w:rsidRPr="00133175" w:rsidRDefault="00133175">
      <w:pPr>
        <w:rPr>
          <w:rFonts w:cs="Arial"/>
          <w:szCs w:val="20"/>
        </w:rPr>
      </w:pPr>
    </w:p>
    <w:p w14:paraId="6B68CB9D" w14:textId="34E0340B" w:rsidR="000701A7" w:rsidRDefault="00133175" w:rsidP="005E333A">
      <w:pPr>
        <w:tabs>
          <w:tab w:val="left" w:pos="0"/>
          <w:tab w:val="left" w:pos="142"/>
          <w:tab w:val="left" w:pos="851"/>
        </w:tabs>
        <w:ind w:right="668"/>
        <w:jc w:val="both"/>
        <w:rPr>
          <w:rFonts w:cs="Arial"/>
          <w:szCs w:val="20"/>
        </w:rPr>
      </w:pPr>
      <w:r w:rsidRPr="00133175">
        <w:rPr>
          <w:rFonts w:cs="Arial"/>
          <w:szCs w:val="20"/>
        </w:rPr>
        <w:t>Gradivo ni predmet usklajevanja s pravnim redom Evropske unije.</w:t>
      </w:r>
    </w:p>
    <w:p w14:paraId="18396BEE" w14:textId="77777777" w:rsidR="000701A7" w:rsidRDefault="000701A7">
      <w:pPr>
        <w:spacing w:after="200" w:line="276" w:lineRule="auto"/>
        <w:rPr>
          <w:rFonts w:cs="Arial"/>
          <w:szCs w:val="20"/>
        </w:rPr>
      </w:pPr>
      <w:r>
        <w:rPr>
          <w:rFonts w:cs="Arial"/>
          <w:szCs w:val="20"/>
        </w:rPr>
        <w:br w:type="page"/>
      </w:r>
    </w:p>
    <w:p w14:paraId="6DEE4C72" w14:textId="17A18AEF" w:rsidR="000701A7" w:rsidRDefault="000701A7" w:rsidP="000701A7">
      <w:pPr>
        <w:tabs>
          <w:tab w:val="left" w:pos="0"/>
          <w:tab w:val="left" w:pos="142"/>
          <w:tab w:val="left" w:pos="851"/>
        </w:tabs>
        <w:jc w:val="center"/>
        <w:rPr>
          <w:rFonts w:cs="Arial"/>
          <w:b/>
          <w:szCs w:val="20"/>
        </w:rPr>
      </w:pPr>
      <w:r w:rsidRPr="007741B5">
        <w:rPr>
          <w:rFonts w:cs="Arial"/>
          <w:b/>
          <w:szCs w:val="20"/>
        </w:rPr>
        <w:lastRenderedPageBreak/>
        <w:t>BESEDILO ČLENA, KI SE DOPOLNJUJE</w:t>
      </w:r>
    </w:p>
    <w:p w14:paraId="2B5BBC55" w14:textId="77777777" w:rsidR="00FA658C" w:rsidRPr="007741B5" w:rsidRDefault="00FA658C" w:rsidP="000701A7">
      <w:pPr>
        <w:tabs>
          <w:tab w:val="left" w:pos="0"/>
          <w:tab w:val="left" w:pos="142"/>
          <w:tab w:val="left" w:pos="851"/>
        </w:tabs>
        <w:jc w:val="center"/>
        <w:rPr>
          <w:rFonts w:cs="Arial"/>
          <w:b/>
          <w:szCs w:val="20"/>
        </w:rPr>
      </w:pPr>
    </w:p>
    <w:p w14:paraId="69F79A16" w14:textId="77777777" w:rsidR="000701A7" w:rsidRDefault="000701A7" w:rsidP="000701A7">
      <w:pPr>
        <w:tabs>
          <w:tab w:val="left" w:pos="0"/>
          <w:tab w:val="left" w:pos="142"/>
          <w:tab w:val="left" w:pos="851"/>
        </w:tabs>
        <w:jc w:val="both"/>
        <w:rPr>
          <w:rFonts w:cs="Arial"/>
          <w:szCs w:val="20"/>
        </w:rPr>
      </w:pPr>
    </w:p>
    <w:p w14:paraId="5ADF34C1" w14:textId="3DFBEA89" w:rsidR="000701A7" w:rsidRDefault="000701A7" w:rsidP="000701A7">
      <w:pPr>
        <w:tabs>
          <w:tab w:val="left" w:pos="0"/>
          <w:tab w:val="left" w:pos="142"/>
          <w:tab w:val="left" w:pos="851"/>
        </w:tabs>
        <w:jc w:val="both"/>
      </w:pPr>
      <w:r>
        <w:rPr>
          <w:rFonts w:cs="Arial"/>
          <w:szCs w:val="20"/>
        </w:rPr>
        <w:t xml:space="preserve">Dopolnjuje se 3. člen </w:t>
      </w:r>
      <w:r>
        <w:t>Zakona</w:t>
      </w:r>
      <w:r w:rsidRPr="00422063">
        <w:t xml:space="preserve"> o ratifikaciji Drugega dodatnega protokola k Evropski konvenciji o medsebojni pravni pomoči v kazenskih zadevah (Uradni list RS – Mednarodne pogodbe, št. 14/12)</w:t>
      </w:r>
      <w:r>
        <w:t>, ki se glasi:</w:t>
      </w:r>
    </w:p>
    <w:p w14:paraId="046158E6" w14:textId="259C1BD7" w:rsidR="000701A7" w:rsidRDefault="000701A7" w:rsidP="000701A7">
      <w:pPr>
        <w:tabs>
          <w:tab w:val="left" w:pos="0"/>
          <w:tab w:val="left" w:pos="142"/>
          <w:tab w:val="left" w:pos="851"/>
        </w:tabs>
        <w:jc w:val="both"/>
      </w:pPr>
    </w:p>
    <w:p w14:paraId="3BE877F7" w14:textId="77777777" w:rsidR="000701A7" w:rsidRPr="000701A7" w:rsidRDefault="000701A7" w:rsidP="000701A7">
      <w:pPr>
        <w:jc w:val="both"/>
        <w:rPr>
          <w:rStyle w:val="Hyperlink"/>
          <w:rFonts w:cs="Arial"/>
          <w:color w:val="auto"/>
          <w:szCs w:val="20"/>
          <w:u w:val="none"/>
          <w:shd w:val="clear" w:color="auto" w:fill="FFFFFF"/>
        </w:rPr>
      </w:pPr>
      <w:r w:rsidRPr="000701A7">
        <w:rPr>
          <w:szCs w:val="20"/>
        </w:rPr>
        <w:fldChar w:fldCharType="begin"/>
      </w:r>
      <w:r w:rsidRPr="000701A7">
        <w:rPr>
          <w:szCs w:val="20"/>
        </w:rPr>
        <w:instrText xml:space="preserve"> HYPERLINK "https://www.uradni-list.si/glasilo-uradni-list-rs/vsebina/2012-02-0083/" \l "3.%C2%A0%C4%8Dlen" </w:instrText>
      </w:r>
      <w:r w:rsidRPr="000701A7">
        <w:rPr>
          <w:szCs w:val="20"/>
        </w:rPr>
        <w:fldChar w:fldCharType="separate"/>
      </w:r>
    </w:p>
    <w:p w14:paraId="604F1BB7" w14:textId="7954C39F" w:rsidR="000701A7" w:rsidRPr="000701A7" w:rsidRDefault="000701A7" w:rsidP="000701A7">
      <w:pPr>
        <w:jc w:val="center"/>
        <w:rPr>
          <w:b/>
          <w:bCs/>
          <w:szCs w:val="20"/>
        </w:rPr>
      </w:pPr>
      <w:bookmarkStart w:id="0" w:name="_GoBack"/>
      <w:bookmarkEnd w:id="0"/>
      <w:r w:rsidRPr="000701A7">
        <w:rPr>
          <w:rFonts w:cs="Arial"/>
          <w:b/>
          <w:bCs/>
          <w:szCs w:val="20"/>
          <w:shd w:val="clear" w:color="auto" w:fill="FFFFFF"/>
        </w:rPr>
        <w:t>3. člen</w:t>
      </w:r>
    </w:p>
    <w:p w14:paraId="55E72547" w14:textId="77777777" w:rsidR="000701A7" w:rsidRPr="000701A7" w:rsidRDefault="000701A7" w:rsidP="000701A7">
      <w:pPr>
        <w:jc w:val="both"/>
        <w:rPr>
          <w:rFonts w:ascii="Times New Roman" w:hAnsi="Times New Roman"/>
          <w:szCs w:val="20"/>
        </w:rPr>
      </w:pPr>
      <w:r w:rsidRPr="000701A7">
        <w:rPr>
          <w:szCs w:val="20"/>
        </w:rPr>
        <w:fldChar w:fldCharType="end"/>
      </w:r>
    </w:p>
    <w:p w14:paraId="7B528829" w14:textId="77777777" w:rsidR="000701A7" w:rsidRDefault="000701A7" w:rsidP="000701A7">
      <w:pPr>
        <w:shd w:val="clear" w:color="auto" w:fill="FFFFFF"/>
        <w:ind w:firstLine="240"/>
        <w:jc w:val="both"/>
        <w:rPr>
          <w:rFonts w:cs="Arial"/>
          <w:szCs w:val="20"/>
        </w:rPr>
      </w:pPr>
      <w:r w:rsidRPr="000701A7">
        <w:rPr>
          <w:rFonts w:cs="Arial"/>
          <w:szCs w:val="20"/>
        </w:rPr>
        <w:t>Republika Slovenija ob deponiranju svoje listine o ratifikaciji protokola generalnemu sekretarju Sveta Evrope sporoči naslednjo izjavo:</w:t>
      </w:r>
    </w:p>
    <w:p w14:paraId="7D68ED29" w14:textId="77777777" w:rsidR="000701A7" w:rsidRDefault="000701A7" w:rsidP="000701A7">
      <w:pPr>
        <w:shd w:val="clear" w:color="auto" w:fill="FFFFFF"/>
        <w:jc w:val="both"/>
        <w:rPr>
          <w:rFonts w:cs="Arial"/>
          <w:szCs w:val="20"/>
        </w:rPr>
      </w:pPr>
      <w:r w:rsidRPr="000701A7">
        <w:rPr>
          <w:rFonts w:cs="Arial"/>
          <w:szCs w:val="20"/>
        </w:rPr>
        <w:t>»Na podlagi četrtega odstavka 18. člena protokola Republika Slovenija izjavlja, da so pristojni organi za izvajanje 18. člena protokola Ministrstvo za notranje zadeve – Policija, pristojno državno tožilstvo ter pristojno sodišče – preiskovalni sodnik.</w:t>
      </w:r>
    </w:p>
    <w:p w14:paraId="259B5565" w14:textId="77777777" w:rsidR="000701A7" w:rsidRDefault="000701A7" w:rsidP="000701A7">
      <w:pPr>
        <w:shd w:val="clear" w:color="auto" w:fill="FFFFFF"/>
        <w:jc w:val="both"/>
        <w:rPr>
          <w:rFonts w:cs="Arial"/>
          <w:szCs w:val="20"/>
        </w:rPr>
      </w:pPr>
      <w:r w:rsidRPr="000701A7">
        <w:rPr>
          <w:rFonts w:cs="Arial"/>
          <w:szCs w:val="20"/>
        </w:rPr>
        <w:t>Na podlagi četrtega odstavka 19. člena protokola Republika Slovenija izjavlja, da so pristojni organi za izvajanje drugega odstavka 19. člena protokola Ministrstvo za notranje zadeve – Policija, pristojno državno tožilstvo ter pristojno sodišče – preiskovalni sodnik.</w:t>
      </w:r>
    </w:p>
    <w:p w14:paraId="1F8E00EB" w14:textId="5327DAFB" w:rsidR="000701A7" w:rsidRPr="000701A7" w:rsidRDefault="000701A7" w:rsidP="000701A7">
      <w:pPr>
        <w:shd w:val="clear" w:color="auto" w:fill="FFFFFF"/>
        <w:jc w:val="both"/>
        <w:rPr>
          <w:rFonts w:cs="Arial"/>
          <w:szCs w:val="20"/>
        </w:rPr>
      </w:pPr>
      <w:r w:rsidRPr="000701A7">
        <w:rPr>
          <w:rFonts w:cs="Arial"/>
          <w:szCs w:val="20"/>
        </w:rPr>
        <w:t>Na podlagi 27. člena protokola Republika Slovenija izjavlja, da so pristojni upravni organi za namene tretjega odstavka 1. člena Evropske konvencije o medsebojni pravni pomoči v kazenskih zadevah tisti organi, ki skladno z notranjo zakonodajo Republike Slovenije opravljajo naloge nadzora nad izvrševanjem predpisov ter imajo s tem v zvezi pristojnost za odločanje o prekrških.«.</w:t>
      </w:r>
    </w:p>
    <w:p w14:paraId="70E4C7FE" w14:textId="77777777" w:rsidR="000701A7" w:rsidRPr="000701A7" w:rsidRDefault="000701A7" w:rsidP="000701A7">
      <w:pPr>
        <w:tabs>
          <w:tab w:val="left" w:pos="0"/>
          <w:tab w:val="left" w:pos="142"/>
          <w:tab w:val="left" w:pos="851"/>
        </w:tabs>
        <w:jc w:val="both"/>
        <w:rPr>
          <w:szCs w:val="20"/>
        </w:rPr>
      </w:pPr>
    </w:p>
    <w:p w14:paraId="3FF7A622" w14:textId="77777777" w:rsidR="000701A7" w:rsidRPr="000701A7" w:rsidRDefault="000701A7" w:rsidP="000701A7">
      <w:pPr>
        <w:tabs>
          <w:tab w:val="left" w:pos="0"/>
          <w:tab w:val="left" w:pos="142"/>
          <w:tab w:val="left" w:pos="851"/>
        </w:tabs>
        <w:jc w:val="both"/>
        <w:rPr>
          <w:szCs w:val="20"/>
        </w:rPr>
      </w:pPr>
    </w:p>
    <w:p w14:paraId="1E657257" w14:textId="77777777" w:rsidR="00133175" w:rsidRPr="00133175" w:rsidRDefault="00133175" w:rsidP="005E333A">
      <w:pPr>
        <w:tabs>
          <w:tab w:val="left" w:pos="0"/>
          <w:tab w:val="left" w:pos="142"/>
          <w:tab w:val="left" w:pos="851"/>
        </w:tabs>
        <w:ind w:right="668"/>
        <w:jc w:val="both"/>
        <w:rPr>
          <w:rFonts w:cs="Arial"/>
          <w:szCs w:val="20"/>
        </w:rPr>
      </w:pPr>
    </w:p>
    <w:p w14:paraId="2E5836F4" w14:textId="77777777" w:rsidR="00133175" w:rsidRPr="00133175" w:rsidRDefault="00133175" w:rsidP="005E333A">
      <w:pPr>
        <w:jc w:val="both"/>
        <w:rPr>
          <w:rFonts w:eastAsia="EUAlbertina-Regu-Identity-H" w:cs="Arial"/>
          <w:szCs w:val="20"/>
        </w:rPr>
      </w:pPr>
    </w:p>
    <w:p w14:paraId="0940FE4B" w14:textId="77777777" w:rsidR="00B37BF3" w:rsidRPr="00133175" w:rsidRDefault="00B37BF3" w:rsidP="005E333A">
      <w:pPr>
        <w:pStyle w:val="NoSpacing"/>
        <w:spacing w:line="260" w:lineRule="exact"/>
        <w:rPr>
          <w:rFonts w:ascii="Arial" w:hAnsi="Arial" w:cs="Arial"/>
          <w:sz w:val="20"/>
          <w:szCs w:val="20"/>
        </w:rPr>
      </w:pPr>
    </w:p>
    <w:sectPr w:rsidR="00B37BF3" w:rsidRPr="00133175" w:rsidSect="003867D6">
      <w:headerReference w:type="default" r:id="rId22"/>
      <w:headerReference w:type="first" r:id="rId2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1979A" w14:textId="77777777" w:rsidR="0013794A" w:rsidRDefault="0013794A" w:rsidP="00133175">
      <w:pPr>
        <w:spacing w:line="240" w:lineRule="auto"/>
      </w:pPr>
      <w:r>
        <w:separator/>
      </w:r>
    </w:p>
  </w:endnote>
  <w:endnote w:type="continuationSeparator" w:id="0">
    <w:p w14:paraId="3E0FF6F4" w14:textId="77777777" w:rsidR="0013794A" w:rsidRDefault="0013794A" w:rsidP="00133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Identity-H">
    <w:altName w:val="MS Mincho"/>
    <w:panose1 w:val="00000000000000000000"/>
    <w:charset w:val="80"/>
    <w:family w:val="auto"/>
    <w:notTrueType/>
    <w:pitch w:val="default"/>
    <w:sig w:usb0="00000001" w:usb1="08070000" w:usb2="00000010" w:usb3="00000000" w:csb0="00020000"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839F2" w14:textId="77777777" w:rsidR="0013794A" w:rsidRDefault="0013794A" w:rsidP="00133175">
      <w:pPr>
        <w:spacing w:line="240" w:lineRule="auto"/>
      </w:pPr>
      <w:r>
        <w:separator/>
      </w:r>
    </w:p>
  </w:footnote>
  <w:footnote w:type="continuationSeparator" w:id="0">
    <w:p w14:paraId="53E8E26D" w14:textId="77777777" w:rsidR="0013794A" w:rsidRDefault="0013794A" w:rsidP="001331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CE014" w14:textId="77777777" w:rsidR="001A26B8" w:rsidRPr="005E7BAD" w:rsidRDefault="00FA658C"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A26B8" w:rsidRPr="008F3500" w14:paraId="54084FBB" w14:textId="77777777">
      <w:trPr>
        <w:cantSplit/>
        <w:trHeight w:hRule="exact" w:val="847"/>
      </w:trPr>
      <w:tc>
        <w:tcPr>
          <w:tcW w:w="567" w:type="dxa"/>
        </w:tcPr>
        <w:p w14:paraId="2ACB4AFB" w14:textId="77777777" w:rsidR="001A26B8" w:rsidRPr="008F3500" w:rsidRDefault="00084307"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4" distB="4294967294" distL="114300" distR="114300" simplePos="0" relativeHeight="251659264" behindDoc="0" locked="0" layoutInCell="0" allowOverlap="1" wp14:anchorId="14CE14D8" wp14:editId="41025F29">
                    <wp:simplePos x="0" y="0"/>
                    <wp:positionH relativeFrom="column">
                      <wp:posOffset>29845</wp:posOffset>
                    </wp:positionH>
                    <wp:positionV relativeFrom="page">
                      <wp:posOffset>3600449</wp:posOffset>
                    </wp:positionV>
                    <wp:extent cx="215900" cy="0"/>
                    <wp:effectExtent l="0" t="0" r="1270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2B7276" id="_x0000_t32" coordsize="21600,21600" o:spt="32" o:oned="t" path="m,l21600,21600e" filled="f">
                    <v:path arrowok="t" fillok="f" o:connecttype="none"/>
                    <o:lock v:ext="edit" shapetype="t"/>
                  </v:shapetype>
                  <v:shape id="Straight Arrow Connector 2" o:spid="_x0000_s1026" type="#_x0000_t32" style="position:absolute;margin-left:2.35pt;margin-top:283.5pt;width:1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" o:allowincell="f" strokecolor="#529dba" strokeweight=".5pt">
                    <w10:wrap anchory="page"/>
                  </v:shape>
                </w:pict>
              </mc:Fallback>
            </mc:AlternateContent>
          </w:r>
        </w:p>
      </w:tc>
    </w:tr>
  </w:tbl>
  <w:p w14:paraId="5DE79CE3" w14:textId="77777777" w:rsidR="001A26B8" w:rsidRPr="008F3500" w:rsidRDefault="00FA658C" w:rsidP="007D75CF">
    <w:pPr>
      <w:pStyle w:val="Header"/>
      <w:tabs>
        <w:tab w:val="clear" w:pos="4320"/>
        <w:tab w:val="clear" w:pos="8640"/>
        <w:tab w:val="left" w:pos="511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75"/>
    <w:rsid w:val="000701A7"/>
    <w:rsid w:val="00084307"/>
    <w:rsid w:val="000D182D"/>
    <w:rsid w:val="00133175"/>
    <w:rsid w:val="0013794A"/>
    <w:rsid w:val="00225902"/>
    <w:rsid w:val="002935D6"/>
    <w:rsid w:val="002E1ECA"/>
    <w:rsid w:val="003577F2"/>
    <w:rsid w:val="00364AC9"/>
    <w:rsid w:val="0039695B"/>
    <w:rsid w:val="00437AD9"/>
    <w:rsid w:val="005C2B80"/>
    <w:rsid w:val="005E333A"/>
    <w:rsid w:val="0071246D"/>
    <w:rsid w:val="007E5123"/>
    <w:rsid w:val="00AC355B"/>
    <w:rsid w:val="00AC7677"/>
    <w:rsid w:val="00B30D0D"/>
    <w:rsid w:val="00B37BF3"/>
    <w:rsid w:val="00B86E7F"/>
    <w:rsid w:val="00BE15AD"/>
    <w:rsid w:val="00C5681E"/>
    <w:rsid w:val="00F90D6D"/>
    <w:rsid w:val="00FA65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F80926E"/>
  <w15:docId w15:val="{58EBDF67-EF44-4845-93D8-BCDBA319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175"/>
    <w:pPr>
      <w:spacing w:after="0" w:line="260" w:lineRule="exact"/>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Header">
    <w:name w:val="header"/>
    <w:basedOn w:val="Normal"/>
    <w:link w:val="HeaderChar"/>
    <w:rsid w:val="00133175"/>
    <w:pPr>
      <w:tabs>
        <w:tab w:val="center" w:pos="4320"/>
        <w:tab w:val="right" w:pos="8640"/>
      </w:tabs>
    </w:pPr>
  </w:style>
  <w:style w:type="character" w:customStyle="1" w:styleId="HeaderChar">
    <w:name w:val="Header Char"/>
    <w:basedOn w:val="DefaultParagraphFont"/>
    <w:link w:val="Header"/>
    <w:rsid w:val="00133175"/>
    <w:rPr>
      <w:rFonts w:ascii="Arial" w:eastAsia="Times New Roman" w:hAnsi="Arial" w:cs="Times New Roman"/>
      <w:sz w:val="20"/>
      <w:szCs w:val="24"/>
      <w:lang w:val="en-US"/>
    </w:rPr>
  </w:style>
  <w:style w:type="paragraph" w:styleId="Footer">
    <w:name w:val="footer"/>
    <w:basedOn w:val="Normal"/>
    <w:link w:val="FooterChar"/>
    <w:uiPriority w:val="99"/>
    <w:unhideWhenUsed/>
    <w:rsid w:val="00133175"/>
    <w:pPr>
      <w:tabs>
        <w:tab w:val="center" w:pos="4536"/>
        <w:tab w:val="right" w:pos="9072"/>
      </w:tabs>
      <w:spacing w:line="240" w:lineRule="auto"/>
    </w:pPr>
  </w:style>
  <w:style w:type="character" w:customStyle="1" w:styleId="FooterChar">
    <w:name w:val="Footer Char"/>
    <w:basedOn w:val="DefaultParagraphFont"/>
    <w:link w:val="Footer"/>
    <w:uiPriority w:val="99"/>
    <w:rsid w:val="00133175"/>
    <w:rPr>
      <w:rFonts w:ascii="Arial" w:eastAsia="Times New Roman" w:hAnsi="Arial" w:cs="Times New Roman"/>
      <w:sz w:val="20"/>
      <w:szCs w:val="24"/>
      <w:lang w:val="en-US"/>
    </w:rPr>
  </w:style>
  <w:style w:type="paragraph" w:styleId="BalloonText">
    <w:name w:val="Balloon Text"/>
    <w:basedOn w:val="Normal"/>
    <w:link w:val="BalloonTextChar"/>
    <w:uiPriority w:val="99"/>
    <w:semiHidden/>
    <w:unhideWhenUsed/>
    <w:rsid w:val="00AC35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55B"/>
    <w:rPr>
      <w:rFonts w:ascii="Tahoma" w:eastAsia="Times New Roman" w:hAnsi="Tahoma" w:cs="Tahoma"/>
      <w:sz w:val="16"/>
      <w:szCs w:val="16"/>
    </w:rPr>
  </w:style>
  <w:style w:type="character" w:styleId="Hyperlink">
    <w:name w:val="Hyperlink"/>
    <w:basedOn w:val="DefaultParagraphFont"/>
    <w:uiPriority w:val="99"/>
    <w:unhideWhenUsed/>
    <w:rsid w:val="00AC7677"/>
    <w:rPr>
      <w:color w:val="0000FF" w:themeColor="hyperlink"/>
      <w:u w:val="single"/>
    </w:rPr>
  </w:style>
  <w:style w:type="character" w:styleId="CommentReference">
    <w:name w:val="annotation reference"/>
    <w:basedOn w:val="DefaultParagraphFont"/>
    <w:uiPriority w:val="99"/>
    <w:semiHidden/>
    <w:unhideWhenUsed/>
    <w:rsid w:val="00437AD9"/>
    <w:rPr>
      <w:sz w:val="16"/>
      <w:szCs w:val="16"/>
    </w:rPr>
  </w:style>
  <w:style w:type="paragraph" w:styleId="CommentText">
    <w:name w:val="annotation text"/>
    <w:basedOn w:val="Normal"/>
    <w:link w:val="CommentTextChar"/>
    <w:uiPriority w:val="99"/>
    <w:semiHidden/>
    <w:unhideWhenUsed/>
    <w:rsid w:val="00437AD9"/>
    <w:pPr>
      <w:spacing w:line="240" w:lineRule="auto"/>
    </w:pPr>
    <w:rPr>
      <w:szCs w:val="20"/>
    </w:rPr>
  </w:style>
  <w:style w:type="character" w:customStyle="1" w:styleId="CommentTextChar">
    <w:name w:val="Comment Text Char"/>
    <w:basedOn w:val="DefaultParagraphFont"/>
    <w:link w:val="CommentText"/>
    <w:uiPriority w:val="99"/>
    <w:semiHidden/>
    <w:rsid w:val="00437AD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7AD9"/>
    <w:rPr>
      <w:b/>
      <w:bCs/>
    </w:rPr>
  </w:style>
  <w:style w:type="character" w:customStyle="1" w:styleId="CommentSubjectChar">
    <w:name w:val="Comment Subject Char"/>
    <w:basedOn w:val="CommentTextChar"/>
    <w:link w:val="CommentSubject"/>
    <w:uiPriority w:val="99"/>
    <w:semiHidden/>
    <w:rsid w:val="00437AD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1997" TargetMode="External"/><Relationship Id="rId13" Type="http://schemas.openxmlformats.org/officeDocument/2006/relationships/hyperlink" Target="http://www.uradni-list.si/1/objava.jsp?sop=2016-01-2762" TargetMode="External"/><Relationship Id="rId18" Type="http://schemas.openxmlformats.org/officeDocument/2006/relationships/hyperlink" Target="http://www.uradni-list.si/1/objava.jsp?sop=2020-01-1450" TargetMode="External"/><Relationship Id="rId3" Type="http://schemas.openxmlformats.org/officeDocument/2006/relationships/webSettings" Target="webSettings.xml"/><Relationship Id="rId21" Type="http://schemas.openxmlformats.org/officeDocument/2006/relationships/hyperlink" Target="http://www.uradni-list.si/1/objava.jsp?sop=2021-01-2232" TargetMode="External"/><Relationship Id="rId7" Type="http://schemas.openxmlformats.org/officeDocument/2006/relationships/hyperlink" Target="http://www.uradni-list.si/1/objava.jsp?sop=2018-01-0945" TargetMode="External"/><Relationship Id="rId12" Type="http://schemas.openxmlformats.org/officeDocument/2006/relationships/hyperlink" Target="http://www.uradni-list.si/1/objava.jsp?sop=2016-01-0293" TargetMode="External"/><Relationship Id="rId17" Type="http://schemas.openxmlformats.org/officeDocument/2006/relationships/hyperlink" Target="http://www.uradni-list.si/1/objava.jsp?sop=2020-01-0819"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uradni-list.si/1/objava.jsp?sop=2019-01-0915" TargetMode="External"/><Relationship Id="rId20" Type="http://schemas.openxmlformats.org/officeDocument/2006/relationships/hyperlink" Target="http://www.uradni-list.si/1/objava.jsp?sop=2020-01-3630" TargetMode="External"/><Relationship Id="rId1" Type="http://schemas.openxmlformats.org/officeDocument/2006/relationships/styles" Target="styles.xml"/><Relationship Id="rId6" Type="http://schemas.openxmlformats.org/officeDocument/2006/relationships/hyperlink" Target="http://www.uradni-list.si/1/objava.jsp?sop=2015-01-1512" TargetMode="External"/><Relationship Id="rId11" Type="http://schemas.openxmlformats.org/officeDocument/2006/relationships/hyperlink" Target="http://www.uradni-list.si/1/objava.jsp?sop=2014-01-3503"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uradni-list.si/1/objava.jsp?sop=2017-01-3091" TargetMode="External"/><Relationship Id="rId23" Type="http://schemas.openxmlformats.org/officeDocument/2006/relationships/header" Target="header2.xml"/><Relationship Id="rId10" Type="http://schemas.openxmlformats.org/officeDocument/2006/relationships/hyperlink" Target="http://www.uradni-list.si/1/objava.jsp?sop=2013-01-1782" TargetMode="External"/><Relationship Id="rId19" Type="http://schemas.openxmlformats.org/officeDocument/2006/relationships/hyperlink" Target="http://www.uradni-list.si/1/objava.jsp?sop=2020-01-3356" TargetMode="External"/><Relationship Id="rId4" Type="http://schemas.openxmlformats.org/officeDocument/2006/relationships/footnotes" Target="footnotes.xml"/><Relationship Id="rId9" Type="http://schemas.openxmlformats.org/officeDocument/2006/relationships/hyperlink" Target="http://www.uradni-list.si/1/objava.jsp?sop=2012-01-1405" TargetMode="External"/><Relationship Id="rId14" Type="http://schemas.openxmlformats.org/officeDocument/2006/relationships/hyperlink" Target="http://www.uradni-list.si/1/objava.jsp?sop=2016-01-2798"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1770</Words>
  <Characters>10090</Characters>
  <Application>Microsoft Office Word</Application>
  <DocSecurity>0</DocSecurity>
  <Lines>84</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Furlanič</dc:creator>
  <cp:keywords/>
  <dc:description/>
  <cp:lastModifiedBy>Nataša Zupančič</cp:lastModifiedBy>
  <cp:revision>5</cp:revision>
  <cp:lastPrinted>2021-08-04T09:18:00Z</cp:lastPrinted>
  <dcterms:created xsi:type="dcterms:W3CDTF">2021-08-03T13:45:00Z</dcterms:created>
  <dcterms:modified xsi:type="dcterms:W3CDTF">2021-08-12T09:03:00Z</dcterms:modified>
</cp:coreProperties>
</file>