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9D53C" w14:textId="77777777" w:rsidR="007F54BB" w:rsidRDefault="007F54BB" w:rsidP="007F54BB">
      <w:pPr>
        <w:pStyle w:val="Odstavek"/>
        <w:spacing w:before="0"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Priloga:</w:t>
      </w:r>
    </w:p>
    <w:p w14:paraId="08D6502B" w14:textId="77777777" w:rsidR="007F54BB" w:rsidRDefault="007F54BB" w:rsidP="007F54BB">
      <w:pPr>
        <w:pStyle w:val="Odstavek"/>
        <w:spacing w:before="0" w:line="276" w:lineRule="auto"/>
        <w:ind w:firstLine="0"/>
        <w:rPr>
          <w:b/>
          <w:sz w:val="20"/>
          <w:szCs w:val="20"/>
        </w:rPr>
      </w:pPr>
    </w:p>
    <w:p w14:paraId="20CE2E48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b/>
          <w:sz w:val="20"/>
          <w:szCs w:val="20"/>
        </w:rPr>
      </w:pPr>
      <w:r w:rsidRPr="00B530B1">
        <w:rPr>
          <w:sz w:val="20"/>
          <w:szCs w:val="20"/>
        </w:rPr>
        <w:t>»</w:t>
      </w:r>
      <w:r w:rsidRPr="0020656B">
        <w:rPr>
          <w:b/>
          <w:sz w:val="20"/>
          <w:szCs w:val="20"/>
        </w:rPr>
        <w:t>Priloga</w:t>
      </w:r>
      <w:r>
        <w:rPr>
          <w:b/>
          <w:sz w:val="20"/>
          <w:szCs w:val="20"/>
        </w:rPr>
        <w:t> </w:t>
      </w:r>
      <w:r w:rsidRPr="0020656B">
        <w:rPr>
          <w:b/>
          <w:sz w:val="20"/>
          <w:szCs w:val="20"/>
        </w:rPr>
        <w:t xml:space="preserve">2: </w:t>
      </w:r>
      <w:r w:rsidRPr="0020656B">
        <w:rPr>
          <w:b/>
          <w:sz w:val="20"/>
          <w:szCs w:val="20"/>
        </w:rPr>
        <w:tab/>
        <w:t xml:space="preserve">Opredelitev ciljev in pogojev na področju javnega naročanja čistih in </w:t>
      </w:r>
      <w:proofErr w:type="spellStart"/>
      <w:r w:rsidRPr="0020656B">
        <w:rPr>
          <w:b/>
          <w:sz w:val="20"/>
          <w:szCs w:val="20"/>
        </w:rPr>
        <w:t>brezemisijskih</w:t>
      </w:r>
      <w:proofErr w:type="spellEnd"/>
      <w:r w:rsidRPr="0020656B">
        <w:rPr>
          <w:b/>
          <w:sz w:val="20"/>
          <w:szCs w:val="20"/>
        </w:rPr>
        <w:t xml:space="preserve"> vozil za cestni prevoz</w:t>
      </w:r>
    </w:p>
    <w:p w14:paraId="20D23D86" w14:textId="77777777" w:rsidR="007F54BB" w:rsidRPr="0020656B" w:rsidRDefault="007F54BB" w:rsidP="007F54BB">
      <w:pPr>
        <w:pStyle w:val="Odstavek"/>
        <w:spacing w:before="0" w:line="276" w:lineRule="auto"/>
        <w:ind w:firstLine="0"/>
        <w:jc w:val="left"/>
        <w:rPr>
          <w:b/>
          <w:sz w:val="20"/>
          <w:szCs w:val="20"/>
        </w:rPr>
      </w:pPr>
    </w:p>
    <w:p w14:paraId="3C8F0E74" w14:textId="77777777" w:rsidR="007F54BB" w:rsidRPr="0020656B" w:rsidRDefault="007F54BB" w:rsidP="007F54BB">
      <w:pPr>
        <w:jc w:val="both"/>
        <w:rPr>
          <w:rFonts w:cs="Arial"/>
          <w:b/>
          <w:szCs w:val="20"/>
          <w:lang w:val="sl-SI"/>
        </w:rPr>
      </w:pPr>
      <w:r w:rsidRPr="0020656B">
        <w:rPr>
          <w:rFonts w:cs="Arial"/>
          <w:b/>
          <w:szCs w:val="20"/>
          <w:lang w:val="sl-SI"/>
        </w:rPr>
        <w:t>1. Opredelitev pojmov in področja uporabe</w:t>
      </w:r>
    </w:p>
    <w:p w14:paraId="572A4AA3" w14:textId="77777777" w:rsidR="007F54BB" w:rsidRPr="0020656B" w:rsidRDefault="007F54BB" w:rsidP="007F54BB">
      <w:pPr>
        <w:jc w:val="both"/>
        <w:rPr>
          <w:rFonts w:cs="Arial"/>
          <w:szCs w:val="20"/>
          <w:lang w:val="sl-SI"/>
        </w:rPr>
      </w:pPr>
      <w:r w:rsidRPr="0020656B">
        <w:rPr>
          <w:rFonts w:cs="Arial"/>
          <w:szCs w:val="20"/>
          <w:lang w:val="sl-SI"/>
        </w:rPr>
        <w:t>Cilji in pogoji se uporabljajo za javno naročanje vozil za cestni prevoz, ki bodo kupljena, zakupljena, najeta ali kupljena s pridržanim lastništvom</w:t>
      </w:r>
      <w:r>
        <w:rPr>
          <w:rFonts w:cs="Arial"/>
          <w:szCs w:val="20"/>
          <w:lang w:val="sl-SI"/>
        </w:rPr>
        <w:t>,</w:t>
      </w:r>
      <w:r w:rsidRPr="0020656B">
        <w:rPr>
          <w:rFonts w:cs="Arial"/>
          <w:szCs w:val="20"/>
          <w:lang w:val="sl-SI"/>
        </w:rPr>
        <w:t xml:space="preserve"> ter za naročanje storitev</w:t>
      </w:r>
      <w:r>
        <w:rPr>
          <w:rFonts w:cs="Arial"/>
          <w:szCs w:val="20"/>
          <w:lang w:val="sl-SI"/>
        </w:rPr>
        <w:t xml:space="preserve"> iz</w:t>
      </w:r>
      <w:r w:rsidRPr="0020656B">
        <w:rPr>
          <w:rFonts w:cs="Arial"/>
          <w:szCs w:val="20"/>
          <w:lang w:val="sl-SI"/>
        </w:rPr>
        <w:t xml:space="preserve"> 60</w:t>
      </w:r>
      <w:r>
        <w:rPr>
          <w:rFonts w:cs="Arial"/>
          <w:szCs w:val="20"/>
          <w:lang w:val="sl-SI"/>
        </w:rPr>
        <w:t>.</w:t>
      </w:r>
      <w:r w:rsidRPr="0020656B">
        <w:rPr>
          <w:rFonts w:cs="Arial"/>
          <w:szCs w:val="20"/>
          <w:lang w:val="sl-SI"/>
        </w:rPr>
        <w:t>a točk</w:t>
      </w:r>
      <w:r>
        <w:rPr>
          <w:rFonts w:cs="Arial"/>
          <w:szCs w:val="20"/>
          <w:lang w:val="sl-SI"/>
        </w:rPr>
        <w:t>e</w:t>
      </w:r>
      <w:r w:rsidRPr="0020656B">
        <w:rPr>
          <w:rFonts w:cs="Arial"/>
          <w:szCs w:val="20"/>
          <w:lang w:val="sl-SI"/>
        </w:rPr>
        <w:t xml:space="preserve"> Priloge</w:t>
      </w:r>
      <w:r>
        <w:rPr>
          <w:rFonts w:cs="Arial"/>
          <w:szCs w:val="20"/>
          <w:lang w:val="sl-SI"/>
        </w:rPr>
        <w:t> </w:t>
      </w:r>
      <w:r w:rsidRPr="0020656B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 xml:space="preserve"> </w:t>
      </w:r>
      <w:r w:rsidRPr="0020656B">
        <w:rPr>
          <w:rFonts w:cs="Arial"/>
          <w:szCs w:val="20"/>
          <w:lang w:val="sl-SI"/>
        </w:rPr>
        <w:t>te uredb</w:t>
      </w:r>
      <w:r>
        <w:rPr>
          <w:rFonts w:cs="Arial"/>
          <w:szCs w:val="20"/>
          <w:lang w:val="sl-SI"/>
        </w:rPr>
        <w:t>i</w:t>
      </w:r>
      <w:r w:rsidRPr="0020656B">
        <w:rPr>
          <w:rFonts w:cs="Arial"/>
          <w:szCs w:val="20"/>
          <w:lang w:val="sl-SI"/>
        </w:rPr>
        <w:t>, katerih postopek javnega naročila se bo začel 2.</w:t>
      </w:r>
      <w:r>
        <w:rPr>
          <w:rFonts w:cs="Arial"/>
          <w:szCs w:val="20"/>
          <w:lang w:val="sl-SI"/>
        </w:rPr>
        <w:t> </w:t>
      </w:r>
      <w:r w:rsidRPr="0020656B">
        <w:rPr>
          <w:rFonts w:cs="Arial"/>
          <w:szCs w:val="20"/>
          <w:lang w:val="sl-SI"/>
        </w:rPr>
        <w:t xml:space="preserve">avgusta 2021 ali </w:t>
      </w:r>
      <w:r>
        <w:rPr>
          <w:rFonts w:cs="Arial"/>
          <w:szCs w:val="20"/>
          <w:lang w:val="sl-SI"/>
        </w:rPr>
        <w:t>poz</w:t>
      </w:r>
      <w:r w:rsidRPr="0020656B">
        <w:rPr>
          <w:rFonts w:cs="Arial"/>
          <w:szCs w:val="20"/>
          <w:lang w:val="sl-SI"/>
        </w:rPr>
        <w:t>neje. Pri naročilu storitev cilji veljajo za vozila, ki se bodo uporabljala za zagotavljanje storitev, zajetih v posameznih pogodbah.</w:t>
      </w:r>
    </w:p>
    <w:p w14:paraId="0C7E2888" w14:textId="77777777" w:rsidR="007F54BB" w:rsidRPr="0020656B" w:rsidRDefault="007F54BB" w:rsidP="007F54BB">
      <w:pPr>
        <w:jc w:val="both"/>
        <w:rPr>
          <w:rFonts w:cs="Arial"/>
          <w:szCs w:val="20"/>
          <w:lang w:val="sl-SI"/>
        </w:rPr>
      </w:pPr>
    </w:p>
    <w:p w14:paraId="5EE5B0A9" w14:textId="77777777" w:rsidR="007F54BB" w:rsidRPr="0020656B" w:rsidRDefault="007F54BB" w:rsidP="007F54BB">
      <w:pPr>
        <w:spacing w:after="120" w:line="240" w:lineRule="auto"/>
        <w:jc w:val="both"/>
        <w:rPr>
          <w:rFonts w:cs="Arial"/>
          <w:lang w:val="sl-SI"/>
        </w:rPr>
      </w:pPr>
      <w:r w:rsidRPr="0020656B">
        <w:rPr>
          <w:rFonts w:cs="Arial"/>
          <w:lang w:val="sl-SI"/>
        </w:rPr>
        <w:t>Tabela 1: Opredelitev pojmov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3"/>
        <w:gridCol w:w="6547"/>
      </w:tblGrid>
      <w:tr w:rsidR="007F54BB" w:rsidRPr="00C44804" w14:paraId="4D2301C6" w14:textId="77777777" w:rsidTr="008B67D0">
        <w:tc>
          <w:tcPr>
            <w:tcW w:w="534" w:type="dxa"/>
            <w:shd w:val="clear" w:color="auto" w:fill="auto"/>
          </w:tcPr>
          <w:p w14:paraId="2CB739A2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1.1</w:t>
            </w:r>
          </w:p>
        </w:tc>
        <w:tc>
          <w:tcPr>
            <w:tcW w:w="2553" w:type="dxa"/>
            <w:shd w:val="clear" w:color="auto" w:fill="auto"/>
          </w:tcPr>
          <w:p w14:paraId="0C2AC775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»Alternativni viri energije«</w:t>
            </w:r>
          </w:p>
        </w:tc>
        <w:tc>
          <w:tcPr>
            <w:tcW w:w="6547" w:type="dxa"/>
            <w:shd w:val="clear" w:color="auto" w:fill="auto"/>
          </w:tcPr>
          <w:p w14:paraId="6032918B" w14:textId="77777777" w:rsidR="007F54BB" w:rsidRPr="00C44804" w:rsidRDefault="007F54BB" w:rsidP="008B67D0">
            <w:pPr>
              <w:spacing w:after="12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Pomenijo </w:t>
            </w:r>
            <w:r w:rsidRPr="00C44804">
              <w:rPr>
                <w:rFonts w:cs="Arial"/>
                <w:szCs w:val="20"/>
                <w:lang w:val="sl-SI"/>
              </w:rPr>
              <w:t>vire energije</w:t>
            </w:r>
            <w:r>
              <w:rPr>
                <w:rFonts w:cs="Arial"/>
                <w:szCs w:val="20"/>
                <w:lang w:val="sl-SI"/>
              </w:rPr>
              <w:t xml:space="preserve"> ali goriva</w:t>
            </w:r>
            <w:r w:rsidRPr="00C44804">
              <w:rPr>
                <w:rFonts w:cs="Arial"/>
                <w:szCs w:val="20"/>
                <w:lang w:val="sl-SI"/>
              </w:rPr>
              <w:t>, ki se vsaj deloma uporabljajo kot nadomestek za fosilne naftne vire pri oskrbi prometa z energijo ter ki lahko prispevajo k dekarbonizaciji prometa in izboljšujejo okoljske parametre delovanja prometnega sektorja. Med drugim zajemajo:</w:t>
            </w:r>
          </w:p>
          <w:p w14:paraId="0F066AA0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>električno energijo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04352989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>vodik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06872319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>biogoriva, razen goriv, ki se proizvajajo iz krme z visokim tveganjem za posredno spremembo rabe zemljišč</w:t>
            </w:r>
            <w:r>
              <w:rPr>
                <w:rFonts w:ascii="Arial" w:hAnsi="Arial" w:cs="Arial"/>
                <w:sz w:val="20"/>
              </w:rPr>
              <w:t>,</w:t>
            </w:r>
            <w:r w:rsidRPr="00C44804">
              <w:rPr>
                <w:rFonts w:ascii="Arial" w:hAnsi="Arial" w:cs="Arial"/>
                <w:sz w:val="20"/>
              </w:rPr>
              <w:t xml:space="preserve"> za katere je opazna znatna širitev proizvodnje na zemljišča z velikimi zalogami ogljika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095A1DA6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>sintetična in parafinska goriva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30192F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 xml:space="preserve">zemeljski plin, vključno z </w:t>
            </w:r>
            <w:proofErr w:type="spellStart"/>
            <w:r w:rsidRPr="00C44804">
              <w:rPr>
                <w:rFonts w:ascii="Arial" w:hAnsi="Arial" w:cs="Arial"/>
                <w:sz w:val="20"/>
              </w:rPr>
              <w:t>biometanom</w:t>
            </w:r>
            <w:proofErr w:type="spellEnd"/>
            <w:r w:rsidRPr="00C44804">
              <w:rPr>
                <w:rFonts w:ascii="Arial" w:hAnsi="Arial" w:cs="Arial"/>
                <w:sz w:val="20"/>
              </w:rPr>
              <w:t>, v plinasti (stisnjeni zemeljski plin – SZP) in tekoči obliki (utekočinjeni zemeljski plin – UZP)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0D42FC8A" w14:textId="77777777" w:rsidR="007F54BB" w:rsidRPr="00C44804" w:rsidRDefault="007F54BB" w:rsidP="007F54BB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120"/>
              <w:ind w:right="125"/>
              <w:contextualSpacing w:val="0"/>
              <w:rPr>
                <w:rFonts w:ascii="Arial" w:hAnsi="Arial" w:cs="Arial"/>
                <w:sz w:val="20"/>
              </w:rPr>
            </w:pPr>
            <w:r w:rsidRPr="00C44804">
              <w:rPr>
                <w:rFonts w:ascii="Arial" w:hAnsi="Arial" w:cs="Arial"/>
                <w:sz w:val="20"/>
              </w:rPr>
              <w:t>utekočinjeni naftni plin (UNP).</w:t>
            </w:r>
          </w:p>
          <w:p w14:paraId="5DDEF327" w14:textId="77777777" w:rsidR="007F54BB" w:rsidRPr="00C44804" w:rsidRDefault="007F54BB" w:rsidP="008B67D0">
            <w:pPr>
              <w:jc w:val="both"/>
              <w:rPr>
                <w:rFonts w:cs="Arial"/>
                <w:szCs w:val="20"/>
                <w:lang w:val="sl-SI"/>
              </w:rPr>
            </w:pPr>
            <w:r w:rsidRPr="00C44804">
              <w:rPr>
                <w:rFonts w:cs="Arial"/>
                <w:szCs w:val="20"/>
                <w:lang w:val="sl-SI"/>
              </w:rPr>
              <w:t>Pri vozilih, ki uporabljajo tekoča biogoriva, sintetična in parafinska goriva, se ta goriva ne smejo mešati s konvencionalnimi fosilnimi gorivi.</w:t>
            </w:r>
          </w:p>
        </w:tc>
      </w:tr>
      <w:tr w:rsidR="007F54BB" w:rsidRPr="00C44804" w14:paraId="435B40E6" w14:textId="77777777" w:rsidTr="008B67D0">
        <w:tc>
          <w:tcPr>
            <w:tcW w:w="534" w:type="dxa"/>
            <w:shd w:val="clear" w:color="auto" w:fill="auto"/>
          </w:tcPr>
          <w:p w14:paraId="5307E444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</w:p>
          <w:p w14:paraId="70CCEEA6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</w:t>
            </w:r>
            <w:r w:rsidRPr="00C44804">
              <w:rPr>
                <w:rFonts w:cs="Arial"/>
                <w:szCs w:val="20"/>
                <w:lang w:val="sl-SI"/>
              </w:rPr>
              <w:t>.</w:t>
            </w:r>
            <w:r>
              <w:rPr>
                <w:rFonts w:cs="Arial"/>
                <w:szCs w:val="20"/>
                <w:lang w:val="sl-SI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00EC505E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</w:p>
          <w:p w14:paraId="04D3D595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 w:rsidRPr="00C44804">
              <w:rPr>
                <w:rFonts w:cs="Arial"/>
                <w:szCs w:val="20"/>
                <w:lang w:val="sl-SI"/>
              </w:rPr>
              <w:t xml:space="preserve">»Čisto </w:t>
            </w:r>
            <w:r>
              <w:rPr>
                <w:rFonts w:cs="Arial"/>
                <w:szCs w:val="20"/>
                <w:lang w:val="sl-SI"/>
              </w:rPr>
              <w:t xml:space="preserve">lahko </w:t>
            </w:r>
            <w:r w:rsidRPr="00C44804">
              <w:rPr>
                <w:rFonts w:cs="Arial"/>
                <w:szCs w:val="20"/>
                <w:lang w:val="sl-SI"/>
              </w:rPr>
              <w:t xml:space="preserve">vozilo« </w:t>
            </w:r>
          </w:p>
        </w:tc>
        <w:tc>
          <w:tcPr>
            <w:tcW w:w="6547" w:type="dxa"/>
            <w:shd w:val="clear" w:color="auto" w:fill="auto"/>
          </w:tcPr>
          <w:p w14:paraId="4DB567C8" w14:textId="77777777" w:rsidR="007F54BB" w:rsidRPr="00C44804" w:rsidRDefault="007F54BB" w:rsidP="008B67D0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Pomeni </w:t>
            </w:r>
            <w:r w:rsidRPr="00C44804">
              <w:rPr>
                <w:rFonts w:cs="Arial"/>
                <w:szCs w:val="20"/>
                <w:lang w:val="sl-SI"/>
              </w:rPr>
              <w:t>vozilo kategorije M1, M2 ali N1 z največjimi izpušnimi emisijami, izraženimi v CO</w:t>
            </w:r>
            <w:r w:rsidRPr="00C330AB">
              <w:rPr>
                <w:rFonts w:cs="Arial"/>
                <w:szCs w:val="20"/>
                <w:vertAlign w:val="subscript"/>
                <w:lang w:val="sl-SI"/>
              </w:rPr>
              <w:t>2</w:t>
            </w:r>
            <w:r w:rsidRPr="00C44804">
              <w:rPr>
                <w:rFonts w:cs="Arial"/>
                <w:szCs w:val="20"/>
                <w:lang w:val="sl-SI"/>
              </w:rPr>
              <w:t xml:space="preserve"> g/km, in emisijami onesnaževal pri dejanski vožnji pod odstotkom veljavnih mejnih vrednosti emisij iz </w:t>
            </w:r>
            <w:r>
              <w:rPr>
                <w:rFonts w:cs="Arial"/>
                <w:szCs w:val="20"/>
                <w:lang w:val="sl-SI"/>
              </w:rPr>
              <w:t>T</w:t>
            </w:r>
            <w:r w:rsidRPr="00C44804">
              <w:rPr>
                <w:rFonts w:cs="Arial"/>
                <w:szCs w:val="20"/>
                <w:lang w:val="sl-SI"/>
              </w:rPr>
              <w:t>abele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 xml:space="preserve">2 </w:t>
            </w:r>
            <w:r>
              <w:rPr>
                <w:rFonts w:cs="Arial"/>
                <w:szCs w:val="20"/>
                <w:lang w:val="sl-SI"/>
              </w:rPr>
              <w:t>te priloge.</w:t>
            </w:r>
          </w:p>
        </w:tc>
      </w:tr>
      <w:tr w:rsidR="007F54BB" w:rsidRPr="00C44804" w14:paraId="3123AF46" w14:textId="77777777" w:rsidTr="008B67D0">
        <w:tc>
          <w:tcPr>
            <w:tcW w:w="534" w:type="dxa"/>
            <w:shd w:val="clear" w:color="auto" w:fill="auto"/>
          </w:tcPr>
          <w:p w14:paraId="1ED59EF5" w14:textId="77777777" w:rsidR="007F54BB" w:rsidRPr="004300E3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1.3</w:t>
            </w:r>
          </w:p>
        </w:tc>
        <w:tc>
          <w:tcPr>
            <w:tcW w:w="2553" w:type="dxa"/>
            <w:shd w:val="clear" w:color="auto" w:fill="auto"/>
          </w:tcPr>
          <w:p w14:paraId="043FE9F6" w14:textId="77777777" w:rsidR="007F54BB" w:rsidRPr="004300E3" w:rsidRDefault="007F54BB" w:rsidP="008B67D0">
            <w:pPr>
              <w:rPr>
                <w:rFonts w:cs="Arial"/>
                <w:szCs w:val="20"/>
                <w:lang w:val="sl-SI"/>
              </w:rPr>
            </w:pPr>
            <w:r w:rsidRPr="004300E3">
              <w:rPr>
                <w:rFonts w:cs="Arial"/>
                <w:szCs w:val="20"/>
                <w:lang w:val="sl-SI"/>
              </w:rPr>
              <w:t>»</w:t>
            </w:r>
            <w:r>
              <w:rPr>
                <w:rFonts w:cs="Arial"/>
                <w:szCs w:val="20"/>
                <w:lang w:val="sl-SI"/>
              </w:rPr>
              <w:t>Čisto težko</w:t>
            </w:r>
            <w:r w:rsidRPr="004300E3">
              <w:rPr>
                <w:rFonts w:cs="Arial"/>
                <w:szCs w:val="20"/>
                <w:lang w:val="sl-SI"/>
              </w:rPr>
              <w:t xml:space="preserve"> vozilo«</w:t>
            </w:r>
          </w:p>
        </w:tc>
        <w:tc>
          <w:tcPr>
            <w:tcW w:w="6547" w:type="dxa"/>
            <w:shd w:val="clear" w:color="auto" w:fill="auto"/>
          </w:tcPr>
          <w:p w14:paraId="22FF2463" w14:textId="77777777" w:rsidR="007F54BB" w:rsidRPr="00DF0A55" w:rsidRDefault="007F54BB" w:rsidP="008B67D0">
            <w:pPr>
              <w:jc w:val="both"/>
              <w:rPr>
                <w:rFonts w:cs="Arial"/>
                <w:szCs w:val="20"/>
                <w:highlight w:val="yellow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Pomeni </w:t>
            </w:r>
            <w:r w:rsidRPr="004300E3">
              <w:rPr>
                <w:rFonts w:cs="Arial"/>
                <w:szCs w:val="20"/>
                <w:lang w:val="sl-SI"/>
              </w:rPr>
              <w:t>vozil</w:t>
            </w:r>
            <w:r>
              <w:rPr>
                <w:rFonts w:cs="Arial"/>
                <w:szCs w:val="20"/>
                <w:lang w:val="sl-SI"/>
              </w:rPr>
              <w:t xml:space="preserve">o kategorije </w:t>
            </w:r>
            <w:r w:rsidRPr="004300E3">
              <w:rPr>
                <w:rFonts w:cs="Arial"/>
                <w:szCs w:val="20"/>
                <w:lang w:val="sl-SI"/>
              </w:rPr>
              <w:t>N2 ali N3,</w:t>
            </w:r>
            <w:r>
              <w:rPr>
                <w:rFonts w:cs="Arial"/>
                <w:szCs w:val="20"/>
                <w:lang w:val="sl-SI"/>
              </w:rPr>
              <w:t xml:space="preserve"> ki uporablja alternativne vire energije, kot so navedeni v točki 1.1 te tabele.</w:t>
            </w:r>
          </w:p>
        </w:tc>
      </w:tr>
      <w:tr w:rsidR="007F54BB" w:rsidRPr="00C44804" w14:paraId="05D3E65B" w14:textId="77777777" w:rsidTr="008B67D0">
        <w:tc>
          <w:tcPr>
            <w:tcW w:w="534" w:type="dxa"/>
            <w:shd w:val="clear" w:color="auto" w:fill="auto"/>
          </w:tcPr>
          <w:p w14:paraId="4107EAF1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1.4</w:t>
            </w:r>
          </w:p>
        </w:tc>
        <w:tc>
          <w:tcPr>
            <w:tcW w:w="2553" w:type="dxa"/>
            <w:shd w:val="clear" w:color="auto" w:fill="auto"/>
          </w:tcPr>
          <w:p w14:paraId="67CD0992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 w:rsidRPr="00C44804">
              <w:rPr>
                <w:rFonts w:cs="Arial"/>
                <w:szCs w:val="20"/>
                <w:lang w:val="sl-SI"/>
              </w:rPr>
              <w:t>»</w:t>
            </w:r>
            <w:r>
              <w:rPr>
                <w:rFonts w:cs="Arial"/>
                <w:szCs w:val="20"/>
                <w:lang w:val="sl-SI"/>
              </w:rPr>
              <w:t>Čisti m</w:t>
            </w:r>
            <w:r w:rsidRPr="00C44804">
              <w:rPr>
                <w:rFonts w:cs="Arial"/>
                <w:szCs w:val="20"/>
                <w:lang w:val="sl-SI"/>
              </w:rPr>
              <w:t>estni avtobus«</w:t>
            </w:r>
          </w:p>
        </w:tc>
        <w:tc>
          <w:tcPr>
            <w:tcW w:w="6547" w:type="dxa"/>
            <w:shd w:val="clear" w:color="auto" w:fill="auto"/>
          </w:tcPr>
          <w:p w14:paraId="3FF52711" w14:textId="77777777" w:rsidR="007F54BB" w:rsidRPr="00C44804" w:rsidRDefault="007F54BB" w:rsidP="008B67D0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C44804">
              <w:rPr>
                <w:rFonts w:cs="Arial"/>
                <w:szCs w:val="20"/>
                <w:lang w:val="sl-SI"/>
              </w:rPr>
              <w:t>omeni vozilo kategorije M3 (razred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I in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A)</w:t>
            </w:r>
            <w:r>
              <w:rPr>
                <w:rFonts w:cs="Arial"/>
                <w:szCs w:val="20"/>
                <w:lang w:val="sl-SI"/>
              </w:rPr>
              <w:t>, ki uporablja alternativne vire energije, kot so navedeni v točki 1.1 te tabele.</w:t>
            </w:r>
          </w:p>
          <w:p w14:paraId="3AE888C6" w14:textId="77777777" w:rsidR="007F54BB" w:rsidRPr="00C44804" w:rsidRDefault="007F54BB" w:rsidP="008B67D0">
            <w:pPr>
              <w:jc w:val="both"/>
              <w:rPr>
                <w:rFonts w:cs="Arial"/>
                <w:szCs w:val="20"/>
                <w:lang w:val="sl-SI"/>
              </w:rPr>
            </w:pPr>
            <w:r w:rsidRPr="00C44804">
              <w:rPr>
                <w:rFonts w:cs="Arial"/>
                <w:szCs w:val="20"/>
                <w:lang w:val="sl-SI"/>
              </w:rPr>
              <w:t>Vozilo razreda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I pomeni vozilo kategorije M3 za prevoz več kot 22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potnikov poleg voznika, s prostorom za stoječe potnike in z možnostjo hitre menjave potnikov. Vozilo razreda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A pomeni vozilo kategorije M3 za prevoz več kot 22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C44804">
              <w:rPr>
                <w:rFonts w:cs="Arial"/>
                <w:szCs w:val="20"/>
                <w:lang w:val="sl-SI"/>
              </w:rPr>
              <w:t>potnikov poleg voznika, namenjeno prevozu stoječih potnikov</w:t>
            </w:r>
            <w:r>
              <w:rPr>
                <w:rFonts w:cs="Arial"/>
                <w:szCs w:val="20"/>
                <w:lang w:val="sl-SI"/>
              </w:rPr>
              <w:t>. V</w:t>
            </w:r>
            <w:r w:rsidRPr="00C44804">
              <w:rPr>
                <w:rFonts w:cs="Arial"/>
                <w:szCs w:val="20"/>
                <w:lang w:val="sl-SI"/>
              </w:rPr>
              <w:t>ozilo te kategorije ima sedišča in prostor za stoječe potnike.</w:t>
            </w:r>
          </w:p>
        </w:tc>
      </w:tr>
      <w:tr w:rsidR="007F54BB" w:rsidRPr="00C44804" w14:paraId="29F06613" w14:textId="77777777" w:rsidTr="008B67D0">
        <w:tc>
          <w:tcPr>
            <w:tcW w:w="534" w:type="dxa"/>
            <w:shd w:val="clear" w:color="auto" w:fill="auto"/>
          </w:tcPr>
          <w:p w14:paraId="2D38DD0B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</w:t>
            </w:r>
            <w:r w:rsidRPr="00C44804">
              <w:rPr>
                <w:rFonts w:cs="Arial"/>
                <w:szCs w:val="20"/>
                <w:lang w:val="sl-SI"/>
              </w:rPr>
              <w:t>.</w:t>
            </w:r>
            <w:r>
              <w:rPr>
                <w:rFonts w:cs="Arial"/>
                <w:szCs w:val="20"/>
                <w:lang w:val="sl-SI"/>
              </w:rPr>
              <w:t>5</w:t>
            </w:r>
          </w:p>
        </w:tc>
        <w:tc>
          <w:tcPr>
            <w:tcW w:w="2553" w:type="dxa"/>
            <w:shd w:val="clear" w:color="auto" w:fill="auto"/>
          </w:tcPr>
          <w:p w14:paraId="7984BA5F" w14:textId="77777777" w:rsidR="007F54BB" w:rsidRPr="00C44804" w:rsidRDefault="007F54BB" w:rsidP="008B67D0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»</w:t>
            </w:r>
            <w:proofErr w:type="spellStart"/>
            <w:r>
              <w:rPr>
                <w:rFonts w:cs="Arial"/>
                <w:szCs w:val="20"/>
                <w:lang w:val="sl-SI"/>
              </w:rPr>
              <w:t>Brezemisijski</w:t>
            </w:r>
            <w:proofErr w:type="spellEnd"/>
            <w:r>
              <w:rPr>
                <w:rFonts w:cs="Arial"/>
                <w:szCs w:val="20"/>
                <w:lang w:val="sl-SI"/>
              </w:rPr>
              <w:t xml:space="preserve"> mestni avtobus</w:t>
            </w:r>
            <w:r w:rsidRPr="00C44804">
              <w:rPr>
                <w:rFonts w:cs="Arial"/>
                <w:szCs w:val="20"/>
                <w:lang w:val="sl-SI"/>
              </w:rPr>
              <w:t>«</w:t>
            </w:r>
          </w:p>
        </w:tc>
        <w:tc>
          <w:tcPr>
            <w:tcW w:w="6547" w:type="dxa"/>
            <w:shd w:val="clear" w:color="auto" w:fill="auto"/>
          </w:tcPr>
          <w:p w14:paraId="73EEC45F" w14:textId="77777777" w:rsidR="007F54BB" w:rsidRPr="00C44804" w:rsidRDefault="007F54BB" w:rsidP="008B67D0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C44804">
              <w:rPr>
                <w:rFonts w:cs="Arial"/>
                <w:szCs w:val="20"/>
                <w:lang w:val="sl-SI"/>
              </w:rPr>
              <w:t xml:space="preserve">omeni </w:t>
            </w:r>
            <w:r>
              <w:rPr>
                <w:rFonts w:cs="Arial"/>
                <w:szCs w:val="20"/>
                <w:lang w:val="sl-SI"/>
              </w:rPr>
              <w:t xml:space="preserve">čisti mestni avtobus, kot je naveden v točki 1.4 te tabele, brez </w:t>
            </w:r>
            <w:r w:rsidRPr="009511EE">
              <w:rPr>
                <w:rFonts w:cs="Arial"/>
                <w:szCs w:val="20"/>
                <w:lang w:val="sl-SI"/>
              </w:rPr>
              <w:t>motorja z notranjim zgorevanjem ali z motorjem z notranjim zgorevanjem, ki oddaja manj kot 1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9511EE">
              <w:rPr>
                <w:rFonts w:cs="Arial"/>
                <w:szCs w:val="20"/>
                <w:lang w:val="sl-SI"/>
              </w:rPr>
              <w:t>g CO</w:t>
            </w:r>
            <w:r w:rsidRPr="00C330AB">
              <w:rPr>
                <w:rFonts w:cs="Arial"/>
                <w:szCs w:val="20"/>
                <w:vertAlign w:val="subscript"/>
                <w:lang w:val="sl-SI"/>
              </w:rPr>
              <w:t>2</w:t>
            </w:r>
            <w:r w:rsidRPr="009511EE">
              <w:rPr>
                <w:rFonts w:cs="Arial"/>
                <w:szCs w:val="20"/>
                <w:lang w:val="sl-SI"/>
              </w:rPr>
              <w:t>/kWh, merjeno v skladu z Uredbo (ES) št.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9511EE">
              <w:rPr>
                <w:rFonts w:cs="Arial"/>
                <w:szCs w:val="20"/>
                <w:lang w:val="sl-SI"/>
              </w:rPr>
              <w:t>595/2009 Evropskega parlamenta in Sveta ali ki oddaja manj kot 1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9511EE">
              <w:rPr>
                <w:rFonts w:cs="Arial"/>
                <w:szCs w:val="20"/>
                <w:lang w:val="sl-SI"/>
              </w:rPr>
              <w:t>g CO</w:t>
            </w:r>
            <w:r w:rsidRPr="00C330AB">
              <w:rPr>
                <w:rFonts w:cs="Arial"/>
                <w:szCs w:val="20"/>
                <w:vertAlign w:val="subscript"/>
                <w:lang w:val="sl-SI"/>
              </w:rPr>
              <w:t>2</w:t>
            </w:r>
            <w:r w:rsidRPr="009511EE">
              <w:rPr>
                <w:rFonts w:cs="Arial"/>
                <w:szCs w:val="20"/>
                <w:lang w:val="sl-SI"/>
              </w:rPr>
              <w:t>/km, merjeno v skladu z Uredbo (ES) št.</w:t>
            </w:r>
            <w:r>
              <w:rPr>
                <w:rFonts w:cs="Arial"/>
                <w:szCs w:val="20"/>
                <w:lang w:val="sl-SI"/>
              </w:rPr>
              <w:t> </w:t>
            </w:r>
            <w:r w:rsidRPr="009511EE">
              <w:rPr>
                <w:rFonts w:cs="Arial"/>
                <w:szCs w:val="20"/>
                <w:lang w:val="sl-SI"/>
              </w:rPr>
              <w:t>715/2007 Evropskega parlamenta in Sveta.</w:t>
            </w:r>
          </w:p>
        </w:tc>
      </w:tr>
    </w:tbl>
    <w:p w14:paraId="0688C098" w14:textId="36BED469" w:rsidR="007F54BB" w:rsidRDefault="007F54BB" w:rsidP="007F54BB">
      <w:pPr>
        <w:rPr>
          <w:rFonts w:cs="Arial"/>
          <w:b/>
          <w:szCs w:val="20"/>
          <w:lang w:val="sl-SI"/>
        </w:rPr>
      </w:pPr>
    </w:p>
    <w:p w14:paraId="51E79915" w14:textId="3CE8ABC5" w:rsidR="007F54BB" w:rsidRDefault="007F54BB" w:rsidP="007F54BB">
      <w:pPr>
        <w:rPr>
          <w:rFonts w:cs="Arial"/>
          <w:b/>
          <w:szCs w:val="20"/>
          <w:lang w:val="sl-SI"/>
        </w:rPr>
      </w:pPr>
    </w:p>
    <w:p w14:paraId="4512890C" w14:textId="73205B16" w:rsidR="007F54BB" w:rsidRDefault="007F54BB" w:rsidP="007F54BB">
      <w:pPr>
        <w:rPr>
          <w:rFonts w:cs="Arial"/>
          <w:b/>
          <w:szCs w:val="20"/>
          <w:lang w:val="sl-SI"/>
        </w:rPr>
      </w:pPr>
    </w:p>
    <w:p w14:paraId="3B535101" w14:textId="06577081" w:rsidR="007F54BB" w:rsidRDefault="007F54BB" w:rsidP="007F54BB">
      <w:pPr>
        <w:rPr>
          <w:rFonts w:cs="Arial"/>
          <w:b/>
          <w:szCs w:val="20"/>
          <w:lang w:val="sl-SI"/>
        </w:rPr>
      </w:pPr>
    </w:p>
    <w:p w14:paraId="6383AFDF" w14:textId="77777777" w:rsidR="007F54BB" w:rsidRPr="0020656B" w:rsidRDefault="007F54BB" w:rsidP="007F54BB">
      <w:pPr>
        <w:rPr>
          <w:rFonts w:cs="Arial"/>
          <w:b/>
          <w:szCs w:val="20"/>
          <w:lang w:val="sl-SI"/>
        </w:rPr>
      </w:pPr>
    </w:p>
    <w:p w14:paraId="47514AF4" w14:textId="77777777" w:rsidR="007F54BB" w:rsidRPr="0020656B" w:rsidRDefault="007F54BB" w:rsidP="007F54BB">
      <w:pPr>
        <w:rPr>
          <w:rFonts w:cs="Arial"/>
          <w:b/>
          <w:szCs w:val="20"/>
          <w:lang w:val="sl-SI"/>
        </w:rPr>
      </w:pPr>
    </w:p>
    <w:p w14:paraId="14B55446" w14:textId="77777777" w:rsidR="007F54BB" w:rsidRPr="0020656B" w:rsidRDefault="007F54BB" w:rsidP="007F54BB">
      <w:pPr>
        <w:rPr>
          <w:rFonts w:cs="Arial"/>
          <w:b/>
          <w:lang w:val="sl-SI"/>
        </w:rPr>
      </w:pPr>
      <w:r w:rsidRPr="0020656B">
        <w:rPr>
          <w:rFonts w:cs="Arial"/>
          <w:b/>
          <w:szCs w:val="20"/>
          <w:lang w:val="sl-SI"/>
        </w:rPr>
        <w:lastRenderedPageBreak/>
        <w:t>2</w:t>
      </w:r>
      <w:r w:rsidRPr="0020656B">
        <w:rPr>
          <w:rFonts w:cs="Arial"/>
          <w:b/>
          <w:lang w:val="sl-SI"/>
        </w:rPr>
        <w:t>. Opredelitev mejnih vrednosti emisij za čista lahka vozila</w:t>
      </w:r>
    </w:p>
    <w:p w14:paraId="0B6ECEE9" w14:textId="77777777" w:rsidR="007F54BB" w:rsidRPr="0020656B" w:rsidRDefault="007F54BB" w:rsidP="007F54BB">
      <w:pPr>
        <w:spacing w:after="120" w:line="240" w:lineRule="auto"/>
        <w:rPr>
          <w:rFonts w:cs="Arial"/>
          <w:lang w:val="sl-SI"/>
        </w:rPr>
      </w:pPr>
      <w:r w:rsidRPr="0020656B">
        <w:rPr>
          <w:rFonts w:cs="Arial"/>
          <w:lang w:val="sl-SI"/>
        </w:rPr>
        <w:t>Tabela</w:t>
      </w:r>
      <w:r>
        <w:rPr>
          <w:rFonts w:cs="Arial"/>
          <w:lang w:val="sl-SI"/>
        </w:rPr>
        <w:t> </w:t>
      </w:r>
      <w:r w:rsidRPr="0020656B">
        <w:rPr>
          <w:rFonts w:cs="Arial"/>
          <w:lang w:val="sl-SI"/>
        </w:rPr>
        <w:t>2: Mejne vrednosti emisij za čista lahka vozila</w:t>
      </w:r>
    </w:p>
    <w:tbl>
      <w:tblPr>
        <w:tblW w:w="9389" w:type="dxa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1983"/>
        <w:gridCol w:w="2163"/>
        <w:gridCol w:w="1803"/>
        <w:gridCol w:w="1988"/>
        <w:gridCol w:w="178"/>
      </w:tblGrid>
      <w:tr w:rsidR="007F54BB" w:rsidRPr="00C44804" w14:paraId="4D834525" w14:textId="77777777" w:rsidTr="008B67D0">
        <w:trPr>
          <w:gridAfter w:val="1"/>
          <w:wAfter w:w="178" w:type="dxa"/>
          <w:trHeight w:val="353"/>
        </w:trPr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35046D14" w14:textId="77777777" w:rsidR="007F54BB" w:rsidRPr="00C44804" w:rsidRDefault="007F54BB" w:rsidP="008B67D0">
            <w:pPr>
              <w:pStyle w:val="TableParagraph"/>
              <w:spacing w:before="68" w:after="120"/>
              <w:ind w:left="66"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95"/>
                <w:sz w:val="20"/>
                <w:szCs w:val="20"/>
              </w:rPr>
              <w:t>Kategorije vozil</w:t>
            </w:r>
          </w:p>
        </w:tc>
        <w:tc>
          <w:tcPr>
            <w:tcW w:w="4146" w:type="dxa"/>
            <w:gridSpan w:val="2"/>
            <w:shd w:val="clear" w:color="auto" w:fill="auto"/>
          </w:tcPr>
          <w:p w14:paraId="05D96718" w14:textId="77777777" w:rsidR="007F54BB" w:rsidRPr="00C44804" w:rsidRDefault="007F54BB" w:rsidP="008B67D0">
            <w:pPr>
              <w:pStyle w:val="TableParagraph"/>
              <w:spacing w:before="68" w:after="120"/>
              <w:ind w:left="1186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Do 31.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44804">
              <w:rPr>
                <w:rFonts w:ascii="Arial" w:hAnsi="Arial" w:cs="Arial"/>
                <w:sz w:val="20"/>
                <w:szCs w:val="20"/>
              </w:rPr>
              <w:t>decembra 2025</w:t>
            </w:r>
          </w:p>
        </w:tc>
        <w:tc>
          <w:tcPr>
            <w:tcW w:w="3791" w:type="dxa"/>
            <w:gridSpan w:val="2"/>
            <w:tcBorders>
              <w:right w:val="nil"/>
            </w:tcBorders>
            <w:shd w:val="clear" w:color="auto" w:fill="auto"/>
          </w:tcPr>
          <w:p w14:paraId="0054BA7F" w14:textId="77777777" w:rsidR="007F54BB" w:rsidRPr="00C44804" w:rsidRDefault="007F54BB" w:rsidP="008B67D0">
            <w:pPr>
              <w:pStyle w:val="TableParagraph"/>
              <w:spacing w:before="68" w:after="120"/>
              <w:ind w:left="1291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Od 1.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44804">
              <w:rPr>
                <w:rFonts w:ascii="Arial" w:hAnsi="Arial" w:cs="Arial"/>
                <w:sz w:val="20"/>
                <w:szCs w:val="20"/>
              </w:rPr>
              <w:t>januarja 2026</w:t>
            </w:r>
          </w:p>
        </w:tc>
      </w:tr>
      <w:tr w:rsidR="00297FC1" w:rsidRPr="00C44804" w14:paraId="01BF7C34" w14:textId="77777777" w:rsidTr="008B67D0">
        <w:trPr>
          <w:trHeight w:val="250"/>
        </w:trPr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5110E9EF" w14:textId="77777777" w:rsidR="00297FC1" w:rsidRPr="00C44804" w:rsidRDefault="00297FC1" w:rsidP="008B67D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  <w:shd w:val="clear" w:color="auto" w:fill="auto"/>
          </w:tcPr>
          <w:p w14:paraId="10EB4481" w14:textId="77777777" w:rsidR="00297FC1" w:rsidRPr="00C44804" w:rsidRDefault="00297FC1" w:rsidP="008B67D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CO</w:t>
            </w:r>
            <w:r w:rsidRPr="00C44804">
              <w:rPr>
                <w:rFonts w:ascii="Arial" w:hAnsi="Arial" w:cs="Arial"/>
                <w:position w:val="-3"/>
                <w:sz w:val="20"/>
                <w:szCs w:val="20"/>
              </w:rPr>
              <w:t xml:space="preserve">2 </w:t>
            </w:r>
            <w:r w:rsidRPr="00C44804">
              <w:rPr>
                <w:rFonts w:ascii="Arial" w:hAnsi="Arial" w:cs="Arial"/>
                <w:sz w:val="20"/>
                <w:szCs w:val="20"/>
              </w:rPr>
              <w:t>g/km</w:t>
            </w:r>
          </w:p>
        </w:tc>
        <w:tc>
          <w:tcPr>
            <w:tcW w:w="2163" w:type="dxa"/>
            <w:shd w:val="clear" w:color="auto" w:fill="auto"/>
          </w:tcPr>
          <w:p w14:paraId="2CAFB1B3" w14:textId="1E337489" w:rsidR="00297FC1" w:rsidRDefault="00297FC1" w:rsidP="00234455">
            <w:pPr>
              <w:rPr>
                <w:w w:val="90"/>
              </w:rPr>
            </w:pPr>
            <w:r>
              <w:rPr>
                <w:w w:val="90"/>
              </w:rPr>
              <w:t>Emisije onesnaževal zraka pri dejanski vožnji (</w:t>
            </w:r>
            <w:r w:rsidRPr="00297FC1">
              <w:rPr>
                <w:w w:val="90"/>
                <w:vertAlign w:val="superscript"/>
              </w:rPr>
              <w:t>1</w:t>
            </w:r>
            <w:r>
              <w:rPr>
                <w:w w:val="90"/>
              </w:rPr>
              <w:t>) kot odstotek mejnih vrednosti emisij (</w:t>
            </w:r>
            <w:r w:rsidRPr="00297FC1">
              <w:rPr>
                <w:w w:val="90"/>
                <w:vertAlign w:val="superscript"/>
              </w:rPr>
              <w:t>2</w:t>
            </w:r>
            <w:r>
              <w:rPr>
                <w:w w:val="90"/>
              </w:rPr>
              <w:t>)</w:t>
            </w:r>
          </w:p>
          <w:p w14:paraId="6B40F9A4" w14:textId="77777777" w:rsidR="00297FC1" w:rsidRPr="00C44804" w:rsidRDefault="00297FC1" w:rsidP="008B67D0">
            <w:pPr>
              <w:pStyle w:val="TableParagraph"/>
              <w:spacing w:before="0" w:line="183" w:lineRule="exact"/>
              <w:ind w:left="85" w:right="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tcBorders>
              <w:bottom w:val="nil"/>
            </w:tcBorders>
            <w:shd w:val="clear" w:color="auto" w:fill="auto"/>
          </w:tcPr>
          <w:p w14:paraId="36B5EBB6" w14:textId="77777777" w:rsidR="00297FC1" w:rsidRPr="00C44804" w:rsidRDefault="00297FC1" w:rsidP="008B67D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CO</w:t>
            </w:r>
            <w:r w:rsidRPr="00C44804">
              <w:rPr>
                <w:rFonts w:ascii="Arial" w:hAnsi="Arial" w:cs="Arial"/>
                <w:position w:val="-3"/>
                <w:sz w:val="20"/>
                <w:szCs w:val="20"/>
              </w:rPr>
              <w:t xml:space="preserve">2 </w:t>
            </w:r>
            <w:r w:rsidRPr="00C44804">
              <w:rPr>
                <w:rFonts w:ascii="Arial" w:hAnsi="Arial" w:cs="Arial"/>
                <w:sz w:val="20"/>
                <w:szCs w:val="20"/>
              </w:rPr>
              <w:t>g/km</w:t>
            </w:r>
          </w:p>
        </w:tc>
        <w:tc>
          <w:tcPr>
            <w:tcW w:w="216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23E31D6" w14:textId="77777777" w:rsidR="00297FC1" w:rsidRDefault="00297FC1" w:rsidP="00234455">
            <w:pPr>
              <w:rPr>
                <w:w w:val="90"/>
              </w:rPr>
            </w:pPr>
            <w:r>
              <w:rPr>
                <w:w w:val="90"/>
              </w:rPr>
              <w:t>Emisije onesnaževal zraka pri dejanski vožnji (</w:t>
            </w:r>
            <w:r w:rsidRPr="00297FC1">
              <w:rPr>
                <w:w w:val="90"/>
                <w:vertAlign w:val="superscript"/>
              </w:rPr>
              <w:t>1</w:t>
            </w:r>
            <w:r>
              <w:rPr>
                <w:w w:val="90"/>
              </w:rPr>
              <w:t>) kot odstotek mejnih vrednosti emisij (</w:t>
            </w:r>
            <w:r w:rsidRPr="00297FC1">
              <w:rPr>
                <w:w w:val="90"/>
                <w:vertAlign w:val="superscript"/>
              </w:rPr>
              <w:t>2</w:t>
            </w:r>
            <w:r>
              <w:rPr>
                <w:w w:val="90"/>
              </w:rPr>
              <w:t>)</w:t>
            </w:r>
          </w:p>
          <w:p w14:paraId="7C206494" w14:textId="2886B0ED" w:rsidR="00297FC1" w:rsidRPr="00C44804" w:rsidRDefault="00297FC1" w:rsidP="008B67D0">
            <w:pPr>
              <w:pStyle w:val="TableParagraph"/>
              <w:spacing w:before="68" w:line="162" w:lineRule="exact"/>
              <w:ind w:right="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4BB" w:rsidRPr="00C44804" w14:paraId="70FE2EE3" w14:textId="77777777" w:rsidTr="008B67D0">
        <w:trPr>
          <w:gridAfter w:val="1"/>
          <w:wAfter w:w="178" w:type="dxa"/>
          <w:trHeight w:val="536"/>
        </w:trPr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43B9AE1A" w14:textId="77777777" w:rsidR="007F54BB" w:rsidRPr="00C44804" w:rsidRDefault="007F54BB" w:rsidP="008B67D0">
            <w:pPr>
              <w:pStyle w:val="TableParagraph"/>
              <w:spacing w:before="110"/>
              <w:ind w:left="64" w:right="5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44804">
              <w:rPr>
                <w:rFonts w:ascii="Arial" w:hAnsi="Arial" w:cs="Arial"/>
                <w:w w:val="105"/>
                <w:sz w:val="20"/>
                <w:szCs w:val="20"/>
              </w:rPr>
              <w:t>M</w:t>
            </w:r>
            <w:r w:rsidRPr="00C44804">
              <w:rPr>
                <w:rFonts w:ascii="Arial" w:hAnsi="Arial" w:cs="Arial"/>
                <w:w w:val="105"/>
                <w:position w:val="-4"/>
                <w:sz w:val="20"/>
                <w:szCs w:val="20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4558FA61" w14:textId="77777777" w:rsidR="007F54BB" w:rsidRPr="00C44804" w:rsidRDefault="007F54BB" w:rsidP="008B67D0">
            <w:pPr>
              <w:pStyle w:val="TableParagraph"/>
              <w:spacing w:before="110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3" w:type="dxa"/>
            <w:shd w:val="clear" w:color="auto" w:fill="auto"/>
          </w:tcPr>
          <w:p w14:paraId="018A3A67" w14:textId="77777777" w:rsidR="007F54BB" w:rsidRPr="00C44804" w:rsidRDefault="007F54BB" w:rsidP="008B67D0">
            <w:pPr>
              <w:pStyle w:val="TableParagraph"/>
              <w:spacing w:before="110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95"/>
                <w:sz w:val="20"/>
                <w:szCs w:val="20"/>
              </w:rPr>
              <w:t>80 %</w:t>
            </w:r>
          </w:p>
        </w:tc>
        <w:tc>
          <w:tcPr>
            <w:tcW w:w="1803" w:type="dxa"/>
            <w:shd w:val="clear" w:color="auto" w:fill="auto"/>
          </w:tcPr>
          <w:p w14:paraId="2EEF28C2" w14:textId="77777777" w:rsidR="007F54BB" w:rsidRPr="00C44804" w:rsidRDefault="007F54BB" w:rsidP="008B67D0">
            <w:pPr>
              <w:pStyle w:val="TableParagraph"/>
              <w:spacing w:before="110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87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</w:tcPr>
          <w:p w14:paraId="27FB5BD1" w14:textId="77777777" w:rsidR="007F54BB" w:rsidRPr="00C44804" w:rsidRDefault="007F54BB" w:rsidP="008B67D0">
            <w:pPr>
              <w:pStyle w:val="TableParagraph"/>
              <w:spacing w:before="110"/>
              <w:ind w:left="90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ni relevantno</w:t>
            </w:r>
          </w:p>
        </w:tc>
      </w:tr>
      <w:tr w:rsidR="007F54BB" w:rsidRPr="00C44804" w14:paraId="4B345876" w14:textId="77777777" w:rsidTr="008B67D0">
        <w:trPr>
          <w:gridAfter w:val="1"/>
          <w:wAfter w:w="178" w:type="dxa"/>
          <w:trHeight w:val="611"/>
        </w:trPr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6259A75F" w14:textId="77777777" w:rsidR="007F54BB" w:rsidRPr="00C44804" w:rsidRDefault="007F54BB" w:rsidP="008B67D0">
            <w:pPr>
              <w:pStyle w:val="TableParagraph"/>
              <w:spacing w:before="184"/>
              <w:ind w:left="64"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M</w:t>
            </w:r>
            <w:r w:rsidRPr="00C44804">
              <w:rPr>
                <w:rFonts w:ascii="Arial" w:hAnsi="Arial" w:cs="Arial"/>
                <w:position w:val="-4"/>
                <w:sz w:val="20"/>
                <w:szCs w:val="20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14:paraId="2476D522" w14:textId="77777777" w:rsidR="007F54BB" w:rsidRPr="00C44804" w:rsidRDefault="007F54BB" w:rsidP="008B67D0">
            <w:pPr>
              <w:pStyle w:val="TableParagraph"/>
              <w:spacing w:before="184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3" w:type="dxa"/>
            <w:shd w:val="clear" w:color="auto" w:fill="auto"/>
          </w:tcPr>
          <w:p w14:paraId="7DDB4939" w14:textId="77777777" w:rsidR="007F54BB" w:rsidRPr="00C44804" w:rsidRDefault="007F54BB" w:rsidP="008B67D0">
            <w:pPr>
              <w:pStyle w:val="TableParagraph"/>
              <w:spacing w:before="184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95"/>
                <w:sz w:val="20"/>
                <w:szCs w:val="20"/>
              </w:rPr>
              <w:t>80 %</w:t>
            </w:r>
          </w:p>
        </w:tc>
        <w:tc>
          <w:tcPr>
            <w:tcW w:w="1803" w:type="dxa"/>
            <w:shd w:val="clear" w:color="auto" w:fill="auto"/>
          </w:tcPr>
          <w:p w14:paraId="609501AC" w14:textId="77777777" w:rsidR="007F54BB" w:rsidRPr="00C44804" w:rsidRDefault="007F54BB" w:rsidP="008B67D0">
            <w:pPr>
              <w:pStyle w:val="TableParagraph"/>
              <w:spacing w:before="184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87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</w:tcPr>
          <w:p w14:paraId="4F6E07F6" w14:textId="77777777" w:rsidR="007F54BB" w:rsidRPr="00C44804" w:rsidRDefault="007F54BB" w:rsidP="008B67D0">
            <w:pPr>
              <w:pStyle w:val="TableParagraph"/>
              <w:spacing w:before="184"/>
              <w:ind w:left="90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ni relevantno</w:t>
            </w:r>
          </w:p>
        </w:tc>
      </w:tr>
      <w:tr w:rsidR="007F54BB" w:rsidRPr="00C44804" w14:paraId="6654944C" w14:textId="77777777" w:rsidTr="008B67D0">
        <w:trPr>
          <w:gridAfter w:val="1"/>
          <w:wAfter w:w="178" w:type="dxa"/>
          <w:trHeight w:val="611"/>
        </w:trPr>
        <w:tc>
          <w:tcPr>
            <w:tcW w:w="1274" w:type="dxa"/>
            <w:tcBorders>
              <w:left w:val="nil"/>
            </w:tcBorders>
            <w:shd w:val="clear" w:color="auto" w:fill="auto"/>
          </w:tcPr>
          <w:p w14:paraId="32327684" w14:textId="77777777" w:rsidR="007F54BB" w:rsidRPr="00C44804" w:rsidRDefault="007F54BB" w:rsidP="008B67D0">
            <w:pPr>
              <w:pStyle w:val="TableParagraph"/>
              <w:spacing w:before="183"/>
              <w:ind w:left="65" w:right="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110"/>
                <w:sz w:val="20"/>
                <w:szCs w:val="20"/>
              </w:rPr>
              <w:t>N</w:t>
            </w:r>
            <w:r w:rsidRPr="00C44804">
              <w:rPr>
                <w:rFonts w:ascii="Arial" w:hAnsi="Arial" w:cs="Arial"/>
                <w:w w:val="110"/>
                <w:position w:val="-4"/>
                <w:sz w:val="20"/>
                <w:szCs w:val="20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54F98303" w14:textId="77777777" w:rsidR="007F54BB" w:rsidRPr="00C44804" w:rsidRDefault="007F54BB" w:rsidP="008B67D0">
            <w:pPr>
              <w:pStyle w:val="TableParagraph"/>
              <w:spacing w:before="183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3" w:type="dxa"/>
            <w:shd w:val="clear" w:color="auto" w:fill="auto"/>
          </w:tcPr>
          <w:p w14:paraId="0323FADC" w14:textId="77777777" w:rsidR="007F54BB" w:rsidRPr="00C44804" w:rsidRDefault="007F54BB" w:rsidP="008B67D0">
            <w:pPr>
              <w:pStyle w:val="TableParagraph"/>
              <w:spacing w:before="183"/>
              <w:ind w:left="85" w:right="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95"/>
                <w:sz w:val="20"/>
                <w:szCs w:val="20"/>
              </w:rPr>
              <w:t>80 %</w:t>
            </w:r>
          </w:p>
        </w:tc>
        <w:tc>
          <w:tcPr>
            <w:tcW w:w="1803" w:type="dxa"/>
            <w:shd w:val="clear" w:color="auto" w:fill="auto"/>
          </w:tcPr>
          <w:p w14:paraId="165B8B90" w14:textId="77777777" w:rsidR="007F54BB" w:rsidRPr="00C44804" w:rsidRDefault="007F54BB" w:rsidP="008B67D0">
            <w:pPr>
              <w:pStyle w:val="TableParagraph"/>
              <w:spacing w:before="183"/>
              <w:ind w:lef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w w:val="87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right w:val="nil"/>
            </w:tcBorders>
            <w:shd w:val="clear" w:color="auto" w:fill="auto"/>
          </w:tcPr>
          <w:p w14:paraId="5105CB49" w14:textId="77777777" w:rsidR="007F54BB" w:rsidRPr="00C44804" w:rsidRDefault="007F54BB" w:rsidP="008B67D0">
            <w:pPr>
              <w:pStyle w:val="TableParagraph"/>
              <w:spacing w:before="183"/>
              <w:ind w:left="90"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804">
              <w:rPr>
                <w:rFonts w:ascii="Arial" w:hAnsi="Arial" w:cs="Arial"/>
                <w:sz w:val="20"/>
                <w:szCs w:val="20"/>
              </w:rPr>
              <w:t>ni relevantno</w:t>
            </w:r>
          </w:p>
        </w:tc>
      </w:tr>
    </w:tbl>
    <w:p w14:paraId="55CA0D36" w14:textId="77777777" w:rsidR="007F54BB" w:rsidRPr="0020656B" w:rsidRDefault="007F54BB" w:rsidP="007F54BB">
      <w:pPr>
        <w:rPr>
          <w:rFonts w:cs="Arial"/>
          <w:i/>
          <w:szCs w:val="20"/>
          <w:lang w:val="sl-SI"/>
        </w:rPr>
      </w:pPr>
    </w:p>
    <w:p w14:paraId="4369B625" w14:textId="464EC540" w:rsidR="007F54BB" w:rsidRDefault="00297FC1" w:rsidP="00B41F9A">
      <w:pPr>
        <w:widowControl w:val="0"/>
        <w:tabs>
          <w:tab w:val="left" w:pos="375"/>
        </w:tabs>
        <w:autoSpaceDE w:val="0"/>
        <w:autoSpaceDN w:val="0"/>
        <w:spacing w:before="75" w:line="232" w:lineRule="auto"/>
        <w:ind w:right="125"/>
        <w:jc w:val="both"/>
        <w:rPr>
          <w:rFonts w:cs="Arial"/>
          <w:w w:val="95"/>
          <w:lang w:val="sl-SI"/>
        </w:rPr>
      </w:pPr>
      <w:r w:rsidRPr="00297FC1">
        <w:rPr>
          <w:rFonts w:cs="Arial"/>
          <w:w w:val="90"/>
          <w:szCs w:val="20"/>
          <w:lang w:val="sl-SI"/>
        </w:rPr>
        <w:t>(</w:t>
      </w:r>
      <w:r w:rsidRPr="00297FC1">
        <w:rPr>
          <w:rFonts w:cs="Arial"/>
          <w:w w:val="90"/>
          <w:szCs w:val="20"/>
          <w:vertAlign w:val="superscript"/>
          <w:lang w:val="sl-SI"/>
        </w:rPr>
        <w:t>1</w:t>
      </w:r>
      <w:r w:rsidRPr="00297FC1">
        <w:rPr>
          <w:rFonts w:cs="Arial"/>
          <w:w w:val="90"/>
          <w:szCs w:val="20"/>
          <w:lang w:val="sl-SI"/>
        </w:rPr>
        <w:t xml:space="preserve">) </w:t>
      </w:r>
      <w:r w:rsidR="007F54BB" w:rsidRPr="007F54BB">
        <w:rPr>
          <w:rFonts w:cs="Arial"/>
          <w:w w:val="90"/>
          <w:lang w:val="sl-SI"/>
        </w:rPr>
        <w:t xml:space="preserve">Deklarirane največje vrednosti emisij pri dejanski vožnji (RDE) števila delcev (PN) v #/km in dušikovih oksidov (NOx) v mg/km, kot </w:t>
      </w:r>
      <w:r w:rsidR="007F54BB" w:rsidRPr="007F54BB">
        <w:rPr>
          <w:rFonts w:cs="Arial"/>
          <w:w w:val="95"/>
          <w:lang w:val="sl-SI"/>
        </w:rPr>
        <w:t>so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navedene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točki</w:t>
      </w:r>
      <w:r w:rsidR="007F54BB" w:rsidRPr="007F54BB">
        <w:rPr>
          <w:rFonts w:cs="Arial"/>
          <w:spacing w:val="-1"/>
          <w:w w:val="95"/>
          <w:lang w:val="sl-SI"/>
        </w:rPr>
        <w:t> </w:t>
      </w:r>
      <w:r w:rsidR="007F54BB" w:rsidRPr="007F54BB">
        <w:rPr>
          <w:rFonts w:cs="Arial"/>
          <w:w w:val="95"/>
          <w:lang w:val="sl-SI"/>
        </w:rPr>
        <w:t>48.2</w:t>
      </w:r>
      <w:r w:rsidR="007F54BB" w:rsidRPr="007F54BB">
        <w:rPr>
          <w:rFonts w:cs="Arial"/>
          <w:spacing w:val="-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certifikata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o</w:t>
      </w:r>
      <w:r w:rsidR="007F54BB" w:rsidRPr="007F54BB">
        <w:rPr>
          <w:rFonts w:cs="Arial"/>
          <w:spacing w:val="-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skladnosti,</w:t>
      </w:r>
      <w:r w:rsidR="007F54BB" w:rsidRPr="007F54BB">
        <w:rPr>
          <w:rFonts w:cs="Arial"/>
          <w:spacing w:val="-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kot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je</w:t>
      </w:r>
      <w:r w:rsidR="007F54BB" w:rsidRPr="007F54BB">
        <w:rPr>
          <w:rFonts w:cs="Arial"/>
          <w:spacing w:val="-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opisano</w:t>
      </w:r>
      <w:r w:rsidR="007F54BB" w:rsidRPr="007F54BB">
        <w:rPr>
          <w:rFonts w:cs="Arial"/>
          <w:spacing w:val="-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Prilogi</w:t>
      </w:r>
      <w:r w:rsidR="007F54BB" w:rsidRPr="007F54BB">
        <w:rPr>
          <w:rFonts w:cs="Arial"/>
          <w:spacing w:val="-2"/>
          <w:w w:val="95"/>
          <w:lang w:val="sl-SI"/>
        </w:rPr>
        <w:t> </w:t>
      </w:r>
      <w:r w:rsidR="007F54BB" w:rsidRPr="007F54BB">
        <w:rPr>
          <w:rFonts w:cs="Arial"/>
          <w:w w:val="95"/>
          <w:lang w:val="sl-SI"/>
        </w:rPr>
        <w:t>IX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k</w:t>
      </w:r>
      <w:r w:rsidR="007F54BB" w:rsidRPr="007F54BB">
        <w:rPr>
          <w:rFonts w:cs="Arial"/>
          <w:spacing w:val="-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Direktivi</w:t>
      </w:r>
      <w:r w:rsidR="007F54BB" w:rsidRPr="007F54BB">
        <w:rPr>
          <w:rFonts w:cs="Arial"/>
          <w:spacing w:val="-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2007/46/ES</w:t>
      </w:r>
      <w:r w:rsidR="007F54BB" w:rsidRPr="007F54BB">
        <w:rPr>
          <w:rFonts w:cs="Arial"/>
          <w:spacing w:val="-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Evropskega</w:t>
      </w:r>
      <w:r w:rsidR="007F54BB" w:rsidRPr="007F54BB">
        <w:rPr>
          <w:rFonts w:cs="Arial"/>
          <w:spacing w:val="-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parlamenta</w:t>
      </w:r>
      <w:r w:rsidR="007F54BB" w:rsidRPr="007F54BB">
        <w:rPr>
          <w:rFonts w:cs="Arial"/>
          <w:spacing w:val="-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in Sveta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(*)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tako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za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celotno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kot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mestno</w:t>
      </w:r>
      <w:r w:rsidR="007F54BB" w:rsidRPr="007F54BB">
        <w:rPr>
          <w:rFonts w:cs="Arial"/>
          <w:spacing w:val="6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vožnjo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za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preskus</w:t>
      </w:r>
      <w:r w:rsidR="007F54BB" w:rsidRPr="007F54BB">
        <w:rPr>
          <w:rFonts w:cs="Arial"/>
          <w:spacing w:val="6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emisij</w:t>
      </w:r>
      <w:r w:rsidR="007F54BB" w:rsidRPr="007F54BB">
        <w:rPr>
          <w:rFonts w:cs="Arial"/>
          <w:spacing w:val="6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pri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dejanski</w:t>
      </w:r>
      <w:r w:rsidR="007F54BB" w:rsidRPr="007F54BB">
        <w:rPr>
          <w:rFonts w:cs="Arial"/>
          <w:spacing w:val="7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vožnji.</w:t>
      </w:r>
    </w:p>
    <w:p w14:paraId="44250F3F" w14:textId="77777777" w:rsidR="007F54BB" w:rsidRDefault="007F54BB" w:rsidP="007F54BB">
      <w:pPr>
        <w:widowControl w:val="0"/>
        <w:tabs>
          <w:tab w:val="left" w:pos="375"/>
        </w:tabs>
        <w:autoSpaceDE w:val="0"/>
        <w:autoSpaceDN w:val="0"/>
        <w:spacing w:before="75" w:line="232" w:lineRule="auto"/>
        <w:ind w:right="125"/>
        <w:rPr>
          <w:rFonts w:cs="Arial"/>
          <w:w w:val="95"/>
          <w:lang w:val="sl-SI"/>
        </w:rPr>
      </w:pPr>
    </w:p>
    <w:p w14:paraId="73E2D318" w14:textId="472353EE" w:rsidR="007F54BB" w:rsidRPr="007F54BB" w:rsidRDefault="00297FC1" w:rsidP="00B41F9A">
      <w:pPr>
        <w:widowControl w:val="0"/>
        <w:tabs>
          <w:tab w:val="left" w:pos="375"/>
        </w:tabs>
        <w:autoSpaceDE w:val="0"/>
        <w:autoSpaceDN w:val="0"/>
        <w:spacing w:line="200" w:lineRule="exact"/>
        <w:rPr>
          <w:rFonts w:cs="Arial"/>
          <w:lang w:val="sl-SI"/>
        </w:rPr>
      </w:pPr>
      <w:r w:rsidRPr="00297FC1">
        <w:rPr>
          <w:rFonts w:cs="Arial"/>
          <w:w w:val="90"/>
          <w:szCs w:val="20"/>
          <w:lang w:val="sl-SI"/>
        </w:rPr>
        <w:t>(</w:t>
      </w:r>
      <w:r>
        <w:rPr>
          <w:rFonts w:cs="Arial"/>
          <w:w w:val="90"/>
          <w:szCs w:val="20"/>
          <w:vertAlign w:val="superscript"/>
          <w:lang w:val="sl-SI"/>
        </w:rPr>
        <w:t>2</w:t>
      </w:r>
      <w:r w:rsidRPr="00297FC1">
        <w:rPr>
          <w:rFonts w:cs="Arial"/>
          <w:w w:val="90"/>
          <w:szCs w:val="20"/>
          <w:lang w:val="sl-SI"/>
        </w:rPr>
        <w:t xml:space="preserve">) </w:t>
      </w:r>
      <w:r w:rsidR="007F54BB" w:rsidRPr="007F54BB">
        <w:rPr>
          <w:rFonts w:cs="Arial"/>
          <w:w w:val="95"/>
          <w:lang w:val="sl-SI"/>
        </w:rPr>
        <w:t>Veljavne</w:t>
      </w:r>
      <w:r w:rsidR="007F54BB" w:rsidRPr="007F54BB">
        <w:rPr>
          <w:rFonts w:cs="Arial"/>
          <w:spacing w:val="1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mejne</w:t>
      </w:r>
      <w:r w:rsidR="007F54BB" w:rsidRPr="007F54BB">
        <w:rPr>
          <w:rFonts w:cs="Arial"/>
          <w:spacing w:val="6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vrednosti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emisij</w:t>
      </w:r>
      <w:r w:rsidR="007F54BB" w:rsidRPr="007F54BB">
        <w:rPr>
          <w:rFonts w:cs="Arial"/>
          <w:spacing w:val="2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v</w:t>
      </w:r>
      <w:r w:rsidR="007F54BB" w:rsidRPr="007F54BB">
        <w:rPr>
          <w:rFonts w:cs="Arial"/>
          <w:spacing w:val="5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Prilogi</w:t>
      </w:r>
      <w:r w:rsidR="007F54BB" w:rsidRPr="007F54BB">
        <w:rPr>
          <w:rFonts w:cs="Arial"/>
          <w:spacing w:val="4"/>
          <w:w w:val="95"/>
          <w:lang w:val="sl-SI"/>
        </w:rPr>
        <w:t> </w:t>
      </w:r>
      <w:r w:rsidR="007F54BB" w:rsidRPr="007F54BB">
        <w:rPr>
          <w:rFonts w:cs="Arial"/>
          <w:w w:val="95"/>
          <w:lang w:val="sl-SI"/>
        </w:rPr>
        <w:t>I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Uredbe</w:t>
      </w:r>
      <w:r w:rsidR="007F54BB" w:rsidRPr="007F54BB">
        <w:rPr>
          <w:rFonts w:cs="Arial"/>
          <w:spacing w:val="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(ES)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št.</w:t>
      </w:r>
      <w:r w:rsidR="007F54BB" w:rsidRPr="007F54BB">
        <w:rPr>
          <w:rFonts w:cs="Arial"/>
          <w:spacing w:val="5"/>
          <w:w w:val="95"/>
          <w:lang w:val="sl-SI"/>
        </w:rPr>
        <w:t> </w:t>
      </w:r>
      <w:r w:rsidR="007F54BB" w:rsidRPr="007F54BB">
        <w:rPr>
          <w:rFonts w:cs="Arial"/>
          <w:w w:val="95"/>
          <w:lang w:val="sl-SI"/>
        </w:rPr>
        <w:t>715/2007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ali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aktov,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ki</w:t>
      </w:r>
      <w:r w:rsidR="007F54BB" w:rsidRPr="007F54BB">
        <w:rPr>
          <w:rFonts w:cs="Arial"/>
          <w:spacing w:val="3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jo</w:t>
      </w:r>
      <w:r w:rsidR="007F54BB" w:rsidRPr="007F54BB">
        <w:rPr>
          <w:rFonts w:cs="Arial"/>
          <w:spacing w:val="4"/>
          <w:w w:val="95"/>
          <w:lang w:val="sl-SI"/>
        </w:rPr>
        <w:t xml:space="preserve"> </w:t>
      </w:r>
      <w:r w:rsidR="007F54BB" w:rsidRPr="007F54BB">
        <w:rPr>
          <w:rFonts w:cs="Arial"/>
          <w:w w:val="95"/>
          <w:lang w:val="sl-SI"/>
        </w:rPr>
        <w:t>nasledijo.</w:t>
      </w:r>
    </w:p>
    <w:p w14:paraId="6CA751F9" w14:textId="77777777" w:rsidR="007F54BB" w:rsidRPr="007F54BB" w:rsidRDefault="007F54BB" w:rsidP="007F54BB">
      <w:pPr>
        <w:widowControl w:val="0"/>
        <w:tabs>
          <w:tab w:val="left" w:pos="375"/>
        </w:tabs>
        <w:autoSpaceDE w:val="0"/>
        <w:autoSpaceDN w:val="0"/>
        <w:spacing w:line="189" w:lineRule="exact"/>
        <w:rPr>
          <w:rFonts w:cs="Arial"/>
          <w:w w:val="95"/>
          <w:lang w:val="sl-SI"/>
        </w:rPr>
      </w:pPr>
      <w:r w:rsidRPr="0020656B"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4E389" wp14:editId="4EA0FD5E">
                <wp:simplePos x="0" y="0"/>
                <wp:positionH relativeFrom="page">
                  <wp:posOffset>855345</wp:posOffset>
                </wp:positionH>
                <wp:positionV relativeFrom="paragraph">
                  <wp:posOffset>180340</wp:posOffset>
                </wp:positionV>
                <wp:extent cx="5849620" cy="6985"/>
                <wp:effectExtent l="0" t="0" r="0" b="0"/>
                <wp:wrapTopAndBottom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620" cy="69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DFAC2" id="Pravokotnik 15" o:spid="_x0000_s1026" style="position:absolute;margin-left:67.35pt;margin-top:14.2pt;width:460.6pt;height: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3158D785" w14:textId="77777777" w:rsidR="007F54BB" w:rsidRPr="0020656B" w:rsidRDefault="007F54BB" w:rsidP="007F54BB">
      <w:pPr>
        <w:rPr>
          <w:rFonts w:cs="Arial"/>
          <w:b/>
          <w:szCs w:val="20"/>
          <w:lang w:val="sl-SI"/>
        </w:rPr>
      </w:pPr>
    </w:p>
    <w:p w14:paraId="3850C8C8" w14:textId="77777777" w:rsidR="007F54BB" w:rsidRPr="0020656B" w:rsidRDefault="007F54BB" w:rsidP="007F54BB">
      <w:pPr>
        <w:jc w:val="both"/>
        <w:rPr>
          <w:rFonts w:cs="Arial"/>
          <w:b/>
          <w:szCs w:val="20"/>
          <w:lang w:val="sl-SI"/>
        </w:rPr>
      </w:pPr>
      <w:r w:rsidRPr="0020656B">
        <w:rPr>
          <w:rFonts w:cs="Arial"/>
          <w:b/>
          <w:szCs w:val="20"/>
          <w:lang w:val="sl-SI"/>
        </w:rPr>
        <w:t xml:space="preserve">3. Opredelitev minimalnih ciljev čistih in </w:t>
      </w:r>
      <w:proofErr w:type="spellStart"/>
      <w:r w:rsidRPr="0020656B">
        <w:rPr>
          <w:rFonts w:cs="Arial"/>
          <w:b/>
          <w:szCs w:val="20"/>
          <w:lang w:val="sl-SI"/>
        </w:rPr>
        <w:t>brezemisijskih</w:t>
      </w:r>
      <w:proofErr w:type="spellEnd"/>
      <w:r w:rsidRPr="0020656B">
        <w:rPr>
          <w:rFonts w:cs="Arial"/>
          <w:b/>
          <w:szCs w:val="20"/>
          <w:lang w:val="sl-SI"/>
        </w:rPr>
        <w:t xml:space="preserve"> vozil za cestni prevoz v postopkih javnega naročanja vozil in storitev prevoza</w:t>
      </w:r>
    </w:p>
    <w:p w14:paraId="0E3374BB" w14:textId="77777777" w:rsidR="007F54BB" w:rsidRPr="0020656B" w:rsidRDefault="007F54BB" w:rsidP="007F54BB">
      <w:pPr>
        <w:jc w:val="both"/>
        <w:rPr>
          <w:rFonts w:cs="Arial"/>
          <w:szCs w:val="20"/>
          <w:lang w:val="sl-SI"/>
        </w:rPr>
      </w:pPr>
    </w:p>
    <w:p w14:paraId="6711D5C4" w14:textId="77777777" w:rsidR="007F54BB" w:rsidRPr="0020656B" w:rsidRDefault="007F54BB" w:rsidP="007F54BB">
      <w:pPr>
        <w:jc w:val="both"/>
        <w:rPr>
          <w:rFonts w:cs="Arial"/>
          <w:color w:val="FF0000"/>
          <w:szCs w:val="20"/>
          <w:lang w:val="sl-SI"/>
        </w:rPr>
      </w:pPr>
      <w:r w:rsidRPr="0020656B">
        <w:rPr>
          <w:rFonts w:cs="Arial"/>
          <w:szCs w:val="20"/>
          <w:lang w:val="sl-SI"/>
        </w:rPr>
        <w:t>Tabela</w:t>
      </w:r>
      <w:r>
        <w:rPr>
          <w:rFonts w:cs="Arial"/>
          <w:szCs w:val="20"/>
          <w:lang w:val="sl-SI"/>
        </w:rPr>
        <w:t> </w:t>
      </w:r>
      <w:r w:rsidRPr="0020656B">
        <w:rPr>
          <w:rFonts w:cs="Arial"/>
          <w:szCs w:val="20"/>
          <w:lang w:val="sl-SI"/>
        </w:rPr>
        <w:t>3: Minimalni cilji za čista lahka vozila v celotnem številu vozil, zajetih v pogodbah pri javnem naročilu vozil in storitev prevoza</w:t>
      </w:r>
    </w:p>
    <w:tbl>
      <w:tblPr>
        <w:tblW w:w="765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4"/>
        <w:gridCol w:w="1843"/>
      </w:tblGrid>
      <w:tr w:rsidR="007F54BB" w:rsidRPr="0020656B" w14:paraId="419AB878" w14:textId="77777777" w:rsidTr="008B67D0">
        <w:trPr>
          <w:trHeight w:val="400"/>
          <w:tblHeader/>
        </w:trPr>
        <w:tc>
          <w:tcPr>
            <w:tcW w:w="7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42A40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Kategorija vozil: čista lahka vozila (M1, M2 in N1)</w:t>
            </w:r>
          </w:p>
        </w:tc>
      </w:tr>
      <w:tr w:rsidR="007F54BB" w:rsidRPr="0020656B" w14:paraId="351E62C1" w14:textId="77777777" w:rsidTr="008B67D0">
        <w:trPr>
          <w:trHeight w:val="978"/>
          <w:tblHeader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3A1F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2.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avgusta 2021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2025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980C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januarja 2026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2030</w:t>
            </w:r>
          </w:p>
        </w:tc>
      </w:tr>
      <w:tr w:rsidR="007F54BB" w:rsidRPr="0020656B" w14:paraId="7F072F25" w14:textId="77777777" w:rsidTr="008B67D0">
        <w:trPr>
          <w:trHeight w:val="973"/>
          <w:tblHeader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67B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BD7D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0C1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508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</w:tr>
      <w:tr w:rsidR="007F54BB" w:rsidRPr="0020656B" w14:paraId="6BB1309D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920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076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FA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04A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</w:tr>
      <w:tr w:rsidR="007F54BB" w:rsidRPr="0020656B" w14:paraId="48E7C960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ED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BF6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40E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0AF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</w:tr>
      <w:tr w:rsidR="007F54BB" w:rsidRPr="0020656B" w14:paraId="129C89CC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65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EEC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15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99D1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</w:tr>
      <w:tr w:rsidR="007F54BB" w:rsidRPr="0020656B" w14:paraId="090F04B2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60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BA6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E3E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8F8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</w:tr>
      <w:tr w:rsidR="007F54BB" w:rsidRPr="0020656B" w14:paraId="7E8AC74D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66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326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FF2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2B5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</w:tr>
      <w:tr w:rsidR="007F54BB" w:rsidRPr="0020656B" w14:paraId="4144EFC4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A3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743F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A20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39C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</w:tr>
      <w:tr w:rsidR="007F54BB" w:rsidRPr="0020656B" w14:paraId="00A66C31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AB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15F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E7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46C2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</w:tr>
      <w:tr w:rsidR="007F54BB" w:rsidRPr="0020656B" w14:paraId="7905F1BB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A9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765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29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61D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</w:tr>
      <w:tr w:rsidR="007F54BB" w:rsidRPr="0020656B" w14:paraId="4BEF350B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C8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82D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63E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2B3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</w:tr>
      <w:tr w:rsidR="007F54BB" w:rsidRPr="0020656B" w14:paraId="7569C376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C7F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41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B72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3E8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F30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</w:tr>
      <w:tr w:rsidR="007F54BB" w:rsidRPr="0020656B" w14:paraId="715B286C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773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0BE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49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2B9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</w:tr>
      <w:tr w:rsidR="007F54BB" w:rsidRPr="0020656B" w14:paraId="7BD74833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B3C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F3BD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BEE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CAC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</w:tr>
      <w:tr w:rsidR="007F54BB" w:rsidRPr="0020656B" w14:paraId="6D138DE9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BF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C10A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30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18FB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</w:tr>
      <w:tr w:rsidR="007F54BB" w:rsidRPr="0020656B" w14:paraId="0C459F7F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1E7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16E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FEF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522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</w:tr>
      <w:tr w:rsidR="007F54BB" w:rsidRPr="0020656B" w14:paraId="796F1133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870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C103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2E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735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</w:tr>
      <w:tr w:rsidR="007F54BB" w:rsidRPr="0020656B" w14:paraId="3F12FC27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BDF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E6D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F46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F209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</w:tr>
      <w:tr w:rsidR="007F54BB" w:rsidRPr="0020656B" w14:paraId="5DADCD46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4B3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18DA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33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D255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</w:tr>
      <w:tr w:rsidR="007F54BB" w:rsidRPr="0020656B" w14:paraId="32E6C937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46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8D1A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41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4FF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</w:tr>
      <w:tr w:rsidR="007F54BB" w:rsidRPr="0020656B" w14:paraId="6399E582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20F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9A5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3E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050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</w:tr>
      <w:tr w:rsidR="007F54BB" w:rsidRPr="0020656B" w14:paraId="120085AA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68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34B1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D89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8033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</w:tr>
      <w:tr w:rsidR="007F54BB" w:rsidRPr="0020656B" w14:paraId="22E01CB9" w14:textId="77777777" w:rsidTr="008B67D0">
        <w:trPr>
          <w:trHeight w:val="38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A3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780C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247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8B33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</w:tr>
      <w:tr w:rsidR="007F54BB" w:rsidRPr="0020656B" w14:paraId="1707641E" w14:textId="77777777" w:rsidTr="008B67D0">
        <w:trPr>
          <w:trHeight w:val="4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39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834D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00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C67C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</w:tr>
    </w:tbl>
    <w:p w14:paraId="11988661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</w:p>
    <w:p w14:paraId="2367E28D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 xml:space="preserve">Opombe: </w:t>
      </w:r>
    </w:p>
    <w:p w14:paraId="636AEE3F" w14:textId="77777777" w:rsidR="007F54BB" w:rsidRPr="0020656B" w:rsidRDefault="007F54BB" w:rsidP="00B41F9A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>a) v primeru več kot 100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se upošteva delež vsaj 22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% čisti</w:t>
      </w:r>
      <w:r>
        <w:rPr>
          <w:rFonts w:cs="Arial"/>
          <w:i/>
          <w:lang w:val="sl-SI"/>
        </w:rPr>
        <w:t>h</w:t>
      </w:r>
      <w:r w:rsidRPr="0020656B">
        <w:rPr>
          <w:rFonts w:cs="Arial"/>
          <w:i/>
          <w:lang w:val="sl-SI"/>
        </w:rPr>
        <w:t xml:space="preserve"> vozil, tako da se pomnoži število vseh vozil z 0,22 </w:t>
      </w:r>
      <w:r>
        <w:rPr>
          <w:rFonts w:cs="Arial"/>
          <w:i/>
          <w:lang w:val="sl-SI"/>
        </w:rPr>
        <w:t>in</w:t>
      </w:r>
      <w:r w:rsidRPr="0020656B">
        <w:rPr>
          <w:rFonts w:cs="Arial"/>
          <w:i/>
          <w:lang w:val="sl-SI"/>
        </w:rPr>
        <w:t xml:space="preserve"> zaokroži navzgor na višje celo število (npr. v primeru 105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je število čistih vozil 24)</w:t>
      </w:r>
      <w:r>
        <w:rPr>
          <w:rFonts w:cs="Arial"/>
          <w:i/>
          <w:lang w:val="sl-SI"/>
        </w:rPr>
        <w:t>;</w:t>
      </w:r>
    </w:p>
    <w:p w14:paraId="1842DB7A" w14:textId="77777777" w:rsidR="007F54BB" w:rsidRPr="0020656B" w:rsidRDefault="007F54BB" w:rsidP="00B41F9A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 xml:space="preserve">b) </w:t>
      </w:r>
      <w:r>
        <w:rPr>
          <w:rFonts w:cs="Arial"/>
          <w:i/>
          <w:lang w:val="sl-SI"/>
        </w:rPr>
        <w:t>če</w:t>
      </w:r>
      <w:r w:rsidRPr="0020656B">
        <w:rPr>
          <w:rFonts w:cs="Arial"/>
          <w:i/>
          <w:lang w:val="sl-SI"/>
        </w:rPr>
        <w:t xml:space="preserve"> naročnik naroči le eno vozilo</w:t>
      </w:r>
      <w:r>
        <w:rPr>
          <w:rFonts w:cs="Arial"/>
          <w:i/>
          <w:lang w:val="sl-SI"/>
        </w:rPr>
        <w:t>,</w:t>
      </w:r>
      <w:r w:rsidRPr="0020656B">
        <w:rPr>
          <w:rFonts w:cs="Arial"/>
          <w:i/>
          <w:lang w:val="sl-SI"/>
        </w:rPr>
        <w:t xml:space="preserve"> mora to biti čisto.</w:t>
      </w:r>
    </w:p>
    <w:p w14:paraId="57EAA312" w14:textId="77777777" w:rsidR="007F54BB" w:rsidRPr="0020656B" w:rsidRDefault="007F54BB" w:rsidP="007F54BB">
      <w:pPr>
        <w:rPr>
          <w:lang w:val="sl-SI"/>
        </w:rPr>
      </w:pPr>
    </w:p>
    <w:p w14:paraId="5F7EDBE1" w14:textId="77777777" w:rsidR="007F54BB" w:rsidRPr="0020656B" w:rsidRDefault="007F54BB" w:rsidP="007F54BB">
      <w:pPr>
        <w:rPr>
          <w:rFonts w:cs="Arial"/>
          <w:szCs w:val="20"/>
          <w:lang w:val="sl-SI"/>
        </w:rPr>
      </w:pPr>
    </w:p>
    <w:p w14:paraId="20C6279F" w14:textId="77777777" w:rsidR="007F54BB" w:rsidRPr="0020656B" w:rsidRDefault="007F54BB" w:rsidP="007F54BB">
      <w:pPr>
        <w:jc w:val="both"/>
        <w:rPr>
          <w:rFonts w:cs="Arial"/>
          <w:color w:val="FF0000"/>
          <w:szCs w:val="20"/>
          <w:lang w:val="sl-SI"/>
        </w:rPr>
      </w:pPr>
      <w:r w:rsidRPr="0020656B">
        <w:rPr>
          <w:rFonts w:cs="Arial"/>
          <w:szCs w:val="20"/>
          <w:lang w:val="sl-SI"/>
        </w:rPr>
        <w:t>Tabela</w:t>
      </w:r>
      <w:r>
        <w:rPr>
          <w:rFonts w:cs="Arial"/>
          <w:szCs w:val="20"/>
          <w:lang w:val="sl-SI"/>
        </w:rPr>
        <w:t> </w:t>
      </w:r>
      <w:r w:rsidRPr="0020656B">
        <w:rPr>
          <w:rFonts w:cs="Arial"/>
          <w:szCs w:val="20"/>
          <w:lang w:val="sl-SI"/>
        </w:rPr>
        <w:t>4: Minimalni cilji za čista težka vozila v celotnem številu vozil, zajetih v pogodbah pri javnem naročilu vozil in storitev prevoza</w:t>
      </w:r>
    </w:p>
    <w:tbl>
      <w:tblPr>
        <w:tblW w:w="751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1559"/>
      </w:tblGrid>
      <w:tr w:rsidR="007F54BB" w:rsidRPr="0020656B" w14:paraId="07B846CE" w14:textId="77777777" w:rsidTr="008B67D0">
        <w:trPr>
          <w:trHeight w:val="280"/>
          <w:tblHeader/>
        </w:trPr>
        <w:tc>
          <w:tcPr>
            <w:tcW w:w="7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EAD34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Kategorija vozil: čista težka vozila (N2, N3)</w:t>
            </w:r>
          </w:p>
        </w:tc>
      </w:tr>
      <w:tr w:rsidR="007F54BB" w:rsidRPr="0020656B" w14:paraId="711FC91D" w14:textId="77777777" w:rsidTr="008B67D0">
        <w:trPr>
          <w:trHeight w:val="680"/>
          <w:tblHeader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0F1A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2.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avgusta 2021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2025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2681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januarja 2026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2030</w:t>
            </w:r>
          </w:p>
        </w:tc>
      </w:tr>
      <w:tr w:rsidR="007F54BB" w:rsidRPr="0020656B" w14:paraId="20E3E8EF" w14:textId="77777777" w:rsidTr="008B67D0">
        <w:trPr>
          <w:trHeight w:val="694"/>
          <w:tblHeader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556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0DBB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C57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D1A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</w:tr>
      <w:tr w:rsidR="007F54BB" w:rsidRPr="0020656B" w14:paraId="4DBC561D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69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45E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95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24CE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</w:tr>
      <w:tr w:rsidR="007F54BB" w:rsidRPr="0020656B" w14:paraId="14BE3B68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27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60E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D3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332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</w:tr>
      <w:tr w:rsidR="007F54BB" w:rsidRPr="0020656B" w14:paraId="117890DE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F4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05F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F2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932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</w:tr>
      <w:tr w:rsidR="007F54BB" w:rsidRPr="0020656B" w14:paraId="1C6392BA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E6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43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161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83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E9F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</w:tr>
      <w:tr w:rsidR="007F54BB" w:rsidRPr="0020656B" w14:paraId="00DD76A8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AAA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F7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F6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B1B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</w:tr>
      <w:tr w:rsidR="007F54BB" w:rsidRPr="0020656B" w14:paraId="0D86CB56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A1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BA8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ED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ED46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</w:tr>
      <w:tr w:rsidR="007F54BB" w:rsidRPr="0020656B" w14:paraId="208DC357" w14:textId="77777777" w:rsidTr="008B67D0">
        <w:trPr>
          <w:trHeight w:val="36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4EE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B14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0E4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25B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</w:tr>
      <w:tr w:rsidR="007F54BB" w:rsidRPr="0020656B" w14:paraId="319EFD5C" w14:textId="77777777" w:rsidTr="008B67D0">
        <w:trPr>
          <w:trHeight w:val="369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7DC" w14:textId="77777777" w:rsidR="007F54BB" w:rsidRPr="0020656B" w:rsidRDefault="007F54BB" w:rsidP="008B67D0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92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85A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</w:tr>
      <w:tr w:rsidR="007F54BB" w:rsidRPr="0020656B" w14:paraId="4F79CF49" w14:textId="77777777" w:rsidTr="008B67D0">
        <w:trPr>
          <w:trHeight w:val="369"/>
        </w:trPr>
        <w:tc>
          <w:tcPr>
            <w:tcW w:w="38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73F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61E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1FE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</w:tr>
    </w:tbl>
    <w:p w14:paraId="0F1212B7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>Opombe:</w:t>
      </w:r>
    </w:p>
    <w:p w14:paraId="4364BF3C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>a) v obdobju od 2.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8.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2021 do 31.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12.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2025 se v primeru več kot 100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upošteva delež vsaj 7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% čisti</w:t>
      </w:r>
      <w:r>
        <w:rPr>
          <w:rFonts w:cs="Arial"/>
          <w:i/>
          <w:lang w:val="sl-SI"/>
        </w:rPr>
        <w:t>h</w:t>
      </w:r>
      <w:r w:rsidRPr="0020656B">
        <w:rPr>
          <w:rFonts w:cs="Arial"/>
          <w:i/>
          <w:lang w:val="sl-SI"/>
        </w:rPr>
        <w:t xml:space="preserve"> vozil, tako da se število vseh vozil pomnoži z 0,07 </w:t>
      </w:r>
      <w:r>
        <w:rPr>
          <w:rFonts w:cs="Arial"/>
          <w:i/>
          <w:lang w:val="sl-SI"/>
        </w:rPr>
        <w:t>in</w:t>
      </w:r>
      <w:r w:rsidRPr="0020656B">
        <w:rPr>
          <w:rFonts w:cs="Arial"/>
          <w:i/>
          <w:lang w:val="sl-SI"/>
        </w:rPr>
        <w:t xml:space="preserve"> zaokroži navzgor na višje celo število (v primeru 105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je število čistih vozil 8)</w:t>
      </w:r>
      <w:r>
        <w:rPr>
          <w:rFonts w:cs="Arial"/>
          <w:i/>
          <w:lang w:val="sl-SI"/>
        </w:rPr>
        <w:t>;</w:t>
      </w:r>
    </w:p>
    <w:p w14:paraId="0B0948F3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>b) v obdobju od 1.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1.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2026 do 31.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12.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2030 se v primeru več kot 100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upošteva delež 9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% čisti</w:t>
      </w:r>
      <w:r>
        <w:rPr>
          <w:rFonts w:cs="Arial"/>
          <w:i/>
          <w:lang w:val="sl-SI"/>
        </w:rPr>
        <w:t>h</w:t>
      </w:r>
      <w:r w:rsidRPr="0020656B">
        <w:rPr>
          <w:rFonts w:cs="Arial"/>
          <w:i/>
          <w:lang w:val="sl-SI"/>
        </w:rPr>
        <w:t xml:space="preserve"> vozil, tako da se število vseh vozil pomnoži z 0,09 </w:t>
      </w:r>
      <w:r>
        <w:rPr>
          <w:rFonts w:cs="Arial"/>
          <w:i/>
          <w:lang w:val="sl-SI"/>
        </w:rPr>
        <w:t>in</w:t>
      </w:r>
      <w:r w:rsidRPr="0020656B">
        <w:rPr>
          <w:rFonts w:cs="Arial"/>
          <w:i/>
          <w:lang w:val="sl-SI"/>
        </w:rPr>
        <w:t xml:space="preserve"> zaokroži navzgor na višje celo število (v primeru 105</w:t>
      </w:r>
      <w:r>
        <w:rPr>
          <w:rFonts w:cs="Arial"/>
          <w:i/>
          <w:lang w:val="sl-SI"/>
        </w:rPr>
        <w:t> </w:t>
      </w:r>
      <w:r w:rsidRPr="0020656B">
        <w:rPr>
          <w:rFonts w:cs="Arial"/>
          <w:i/>
          <w:lang w:val="sl-SI"/>
        </w:rPr>
        <w:t>vozil je število čistih vozil 10)</w:t>
      </w:r>
      <w:r>
        <w:rPr>
          <w:rFonts w:cs="Arial"/>
          <w:i/>
          <w:lang w:val="sl-SI"/>
        </w:rPr>
        <w:t>;</w:t>
      </w:r>
    </w:p>
    <w:p w14:paraId="7E40582F" w14:textId="77777777" w:rsidR="007F54BB" w:rsidRPr="0020656B" w:rsidRDefault="007F54BB" w:rsidP="007F54BB">
      <w:pPr>
        <w:spacing w:before="120" w:line="240" w:lineRule="auto"/>
        <w:jc w:val="both"/>
        <w:rPr>
          <w:rFonts w:cs="Arial"/>
          <w:i/>
          <w:lang w:val="sl-SI"/>
        </w:rPr>
      </w:pPr>
      <w:r w:rsidRPr="0020656B">
        <w:rPr>
          <w:rFonts w:cs="Arial"/>
          <w:i/>
          <w:lang w:val="sl-SI"/>
        </w:rPr>
        <w:t>c)</w:t>
      </w:r>
      <w:r w:rsidRPr="0020656B">
        <w:rPr>
          <w:rFonts w:cs="Arial"/>
          <w:lang w:val="sl-SI"/>
        </w:rPr>
        <w:t xml:space="preserve"> </w:t>
      </w:r>
      <w:r>
        <w:rPr>
          <w:rFonts w:cs="Arial"/>
          <w:i/>
          <w:lang w:val="sl-SI"/>
        </w:rPr>
        <w:t>če</w:t>
      </w:r>
      <w:r w:rsidRPr="0020656B">
        <w:rPr>
          <w:rFonts w:cs="Arial"/>
          <w:i/>
          <w:lang w:val="sl-SI"/>
        </w:rPr>
        <w:t xml:space="preserve"> naročnik naroči le eno vozilo</w:t>
      </w:r>
      <w:r>
        <w:rPr>
          <w:rFonts w:cs="Arial"/>
          <w:i/>
          <w:lang w:val="sl-SI"/>
        </w:rPr>
        <w:t>,</w:t>
      </w:r>
      <w:r w:rsidRPr="0020656B">
        <w:rPr>
          <w:rFonts w:cs="Arial"/>
          <w:i/>
          <w:lang w:val="sl-SI"/>
        </w:rPr>
        <w:t xml:space="preserve"> mora to biti čisto.</w:t>
      </w:r>
    </w:p>
    <w:p w14:paraId="0583EEFA" w14:textId="77777777" w:rsidR="007F54BB" w:rsidRPr="0020656B" w:rsidRDefault="007F54BB" w:rsidP="007F54BB">
      <w:pPr>
        <w:jc w:val="both"/>
        <w:rPr>
          <w:i/>
          <w:lang w:val="sl-SI"/>
        </w:rPr>
      </w:pPr>
    </w:p>
    <w:p w14:paraId="31738F83" w14:textId="77777777" w:rsidR="007F54BB" w:rsidRPr="0020656B" w:rsidRDefault="007F54BB" w:rsidP="007F54BB">
      <w:pPr>
        <w:rPr>
          <w:rFonts w:cs="Arial"/>
          <w:lang w:val="sl-SI"/>
        </w:rPr>
      </w:pPr>
    </w:p>
    <w:p w14:paraId="39557240" w14:textId="77777777" w:rsidR="007F54BB" w:rsidRPr="0020656B" w:rsidRDefault="007F54BB" w:rsidP="007F54BB">
      <w:pPr>
        <w:rPr>
          <w:rFonts w:cs="Arial"/>
          <w:color w:val="FF0000"/>
          <w:szCs w:val="20"/>
          <w:lang w:val="sl-SI"/>
        </w:rPr>
      </w:pPr>
      <w:r w:rsidRPr="0020656B">
        <w:rPr>
          <w:rFonts w:cs="Arial"/>
          <w:lang w:val="sl-SI"/>
        </w:rPr>
        <w:t>Tabela</w:t>
      </w:r>
      <w:r>
        <w:rPr>
          <w:rFonts w:cs="Arial"/>
          <w:lang w:val="sl-SI"/>
        </w:rPr>
        <w:t> </w:t>
      </w:r>
      <w:r w:rsidRPr="0020656B">
        <w:rPr>
          <w:rFonts w:cs="Arial"/>
          <w:lang w:val="sl-SI"/>
        </w:rPr>
        <w:t xml:space="preserve">5: Minimalni cilji za čiste in </w:t>
      </w:r>
      <w:proofErr w:type="spellStart"/>
      <w:r w:rsidRPr="0020656B">
        <w:rPr>
          <w:rFonts w:cs="Arial"/>
          <w:lang w:val="sl-SI"/>
        </w:rPr>
        <w:t>brezemisijske</w:t>
      </w:r>
      <w:proofErr w:type="spellEnd"/>
      <w:r w:rsidRPr="0020656B">
        <w:rPr>
          <w:rFonts w:cs="Arial"/>
          <w:lang w:val="sl-SI"/>
        </w:rPr>
        <w:t xml:space="preserve"> mestne avtobuse v celotnem številu vozil, zajetih v pogodbah pri javnem naročilu vozil in storitev prevoza</w:t>
      </w:r>
    </w:p>
    <w:tbl>
      <w:tblPr>
        <w:tblW w:w="986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664"/>
        <w:gridCol w:w="1738"/>
        <w:gridCol w:w="1399"/>
        <w:gridCol w:w="1522"/>
      </w:tblGrid>
      <w:tr w:rsidR="007F54BB" w:rsidRPr="0020656B" w14:paraId="6E888FAA" w14:textId="77777777" w:rsidTr="008B67D0">
        <w:trPr>
          <w:trHeight w:val="390"/>
          <w:tblHeader/>
        </w:trPr>
        <w:tc>
          <w:tcPr>
            <w:tcW w:w="9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CDD0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Kategorija vozil: čisti in </w:t>
            </w:r>
            <w:proofErr w:type="spellStart"/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brezemisijski</w:t>
            </w:r>
            <w:proofErr w:type="spellEnd"/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 xml:space="preserve"> mestni avtobusi (M3, razred</w:t>
            </w: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I in</w:t>
            </w:r>
            <w:r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b/>
                <w:bCs/>
                <w:color w:val="000000"/>
                <w:szCs w:val="20"/>
                <w:lang w:val="sl-SI" w:eastAsia="sl-SI"/>
              </w:rPr>
              <w:t>A)</w:t>
            </w:r>
          </w:p>
        </w:tc>
      </w:tr>
      <w:tr w:rsidR="007F54BB" w:rsidRPr="0020656B" w14:paraId="17B22CF1" w14:textId="77777777" w:rsidTr="008B67D0">
        <w:trPr>
          <w:trHeight w:val="948"/>
          <w:tblHeader/>
        </w:trPr>
        <w:tc>
          <w:tcPr>
            <w:tcW w:w="52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C4E1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2.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avgusta 2021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2025</w:t>
            </w:r>
          </w:p>
        </w:tc>
        <w:tc>
          <w:tcPr>
            <w:tcW w:w="4659" w:type="dxa"/>
            <w:gridSpan w:val="3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CA06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Od 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januarja 2026 do 31.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decembra 2030</w:t>
            </w:r>
          </w:p>
        </w:tc>
      </w:tr>
      <w:tr w:rsidR="007F54BB" w:rsidRPr="0020656B" w14:paraId="7AECEB07" w14:textId="77777777" w:rsidTr="008B67D0">
        <w:trPr>
          <w:trHeight w:val="1284"/>
          <w:tblHeader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2E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17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F7A7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Obvezno število </w:t>
            </w:r>
            <w:proofErr w:type="spellStart"/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brezemisijskih</w:t>
            </w:r>
            <w:proofErr w:type="spellEnd"/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vozil v čistih vozilih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FF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Število vseh vozil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,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zajetih v pogodbah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2A2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Obvezno število čistih vozil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392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Obvezno število </w:t>
            </w:r>
            <w:proofErr w:type="spellStart"/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brezemisijskih</w:t>
            </w:r>
            <w:proofErr w:type="spellEnd"/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 xml:space="preserve"> vozil v čistih vozilih</w:t>
            </w:r>
          </w:p>
        </w:tc>
      </w:tr>
      <w:tr w:rsidR="007F54BB" w:rsidRPr="0020656B" w14:paraId="5EA34872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58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AC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AD3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D5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4E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97C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</w:tr>
      <w:tr w:rsidR="007F54BB" w:rsidRPr="0020656B" w14:paraId="41F37EE0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275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EE7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ABA6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37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21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691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</w:t>
            </w:r>
          </w:p>
        </w:tc>
      </w:tr>
      <w:tr w:rsidR="007F54BB" w:rsidRPr="0020656B" w14:paraId="177E03AD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3F1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A4B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B51D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F5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09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166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</w:tr>
      <w:tr w:rsidR="007F54BB" w:rsidRPr="0020656B" w14:paraId="790E1B41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B54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205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398F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2B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77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926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</w:t>
            </w:r>
          </w:p>
        </w:tc>
      </w:tr>
      <w:tr w:rsidR="007F54BB" w:rsidRPr="0020656B" w14:paraId="65F32B33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72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5C0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837B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1F6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92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642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</w:tr>
      <w:tr w:rsidR="007F54BB" w:rsidRPr="0020656B" w14:paraId="0C42518C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25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4C9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B4D31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73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9C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E5AE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</w:t>
            </w:r>
          </w:p>
        </w:tc>
      </w:tr>
      <w:tr w:rsidR="007F54BB" w:rsidRPr="0020656B" w14:paraId="6E1076B0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247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42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47F81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D1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CC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1B81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</w:tr>
      <w:tr w:rsidR="007F54BB" w:rsidRPr="0020656B" w14:paraId="071E950D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57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BD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2CFB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4D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F4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8263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</w:tr>
      <w:tr w:rsidR="007F54BB" w:rsidRPr="0020656B" w14:paraId="6441B4D2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66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29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00E1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858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31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A6E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</w:tr>
      <w:tr w:rsidR="007F54BB" w:rsidRPr="0020656B" w14:paraId="0E859BB4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26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0E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CDA9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EB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0C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554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</w:t>
            </w:r>
          </w:p>
        </w:tc>
      </w:tr>
      <w:tr w:rsidR="007F54BB" w:rsidRPr="0020656B" w14:paraId="6CFC7306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F52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lastRenderedPageBreak/>
              <w:t>37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0F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FFA0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64B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9B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6A3F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</w:tr>
      <w:tr w:rsidR="007F54BB" w:rsidRPr="0020656B" w14:paraId="77D41B0E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D8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16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8FD0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DC2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E4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0C3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</w:t>
            </w:r>
          </w:p>
        </w:tc>
      </w:tr>
      <w:tr w:rsidR="007F54BB" w:rsidRPr="0020656B" w14:paraId="16427456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06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2A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D851D0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4D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0A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836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</w:tr>
      <w:tr w:rsidR="007F54BB" w:rsidRPr="0020656B" w14:paraId="00BBF717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45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18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04D6A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FFF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448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4BA4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</w:t>
            </w:r>
          </w:p>
        </w:tc>
      </w:tr>
      <w:tr w:rsidR="007F54BB" w:rsidRPr="0020656B" w14:paraId="1B001AC4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DC0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255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64E79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C72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0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08F2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</w:tr>
      <w:tr w:rsidR="007F54BB" w:rsidRPr="0020656B" w14:paraId="225B4BFF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E2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CE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4ED27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7A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FF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70EB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</w:t>
            </w:r>
          </w:p>
        </w:tc>
      </w:tr>
      <w:tr w:rsidR="007F54BB" w:rsidRPr="0020656B" w14:paraId="4B4E5D03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D7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7A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C0704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4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18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65E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</w:tr>
      <w:tr w:rsidR="007F54BB" w:rsidRPr="0020656B" w14:paraId="0BC150F8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81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96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CD799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F2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DB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B9EA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</w:t>
            </w:r>
          </w:p>
        </w:tc>
      </w:tr>
      <w:tr w:rsidR="007F54BB" w:rsidRPr="0020656B" w14:paraId="7623075E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02D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26F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E2577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90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DB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C569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</w:tr>
      <w:tr w:rsidR="007F54BB" w:rsidRPr="0020656B" w14:paraId="3E8E8667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E9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2BC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2625B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98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D2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EE1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</w:t>
            </w:r>
          </w:p>
        </w:tc>
      </w:tr>
      <w:tr w:rsidR="007F54BB" w:rsidRPr="0020656B" w14:paraId="33A3A872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F10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72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B6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0214D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F0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2FB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A5DF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</w:tr>
      <w:tr w:rsidR="007F54BB" w:rsidRPr="0020656B" w14:paraId="164BC876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DD7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76C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4B618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121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EAD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B05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11</w:t>
            </w:r>
          </w:p>
        </w:tc>
      </w:tr>
      <w:tr w:rsidR="007F54BB" w:rsidRPr="0020656B" w14:paraId="6DBF1153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73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51D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A92E3F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AD4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7A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8D77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</w:tr>
      <w:tr w:rsidR="007F54BB" w:rsidRPr="0020656B" w14:paraId="4593F3BC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8B3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D1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E1C0EA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F3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58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BE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40E4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12</w:t>
            </w:r>
          </w:p>
        </w:tc>
      </w:tr>
      <w:tr w:rsidR="007F54BB" w:rsidRPr="0020656B" w14:paraId="4EA84199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39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E4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1286F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6B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B72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54C2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</w:tr>
      <w:tr w:rsidR="007F54BB" w:rsidRPr="0020656B" w14:paraId="79CD2E93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FF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0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27D4D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0F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DB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7C9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13</w:t>
            </w:r>
          </w:p>
        </w:tc>
      </w:tr>
      <w:tr w:rsidR="007F54BB" w:rsidRPr="0020656B" w14:paraId="011C3765" w14:textId="77777777" w:rsidTr="008B67D0">
        <w:trPr>
          <w:trHeight w:val="371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C47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94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292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DAC86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42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2D7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7142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</w:tr>
      <w:tr w:rsidR="007F54BB" w:rsidRPr="0020656B" w14:paraId="003F883D" w14:textId="77777777" w:rsidTr="008B67D0">
        <w:trPr>
          <w:trHeight w:val="39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C56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97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49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38A14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5B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69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592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07A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14</w:t>
            </w:r>
          </w:p>
        </w:tc>
      </w:tr>
      <w:tr w:rsidR="007F54BB" w:rsidRPr="0020656B" w14:paraId="44C03D4B" w14:textId="77777777" w:rsidTr="008B67D0">
        <w:trPr>
          <w:trHeight w:val="371"/>
        </w:trPr>
        <w:tc>
          <w:tcPr>
            <w:tcW w:w="5208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5A4076" w14:textId="77777777" w:rsidR="007F54BB" w:rsidRPr="0020656B" w:rsidRDefault="007F54BB" w:rsidP="008B67D0">
            <w:pPr>
              <w:spacing w:line="240" w:lineRule="auto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4167C07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444F760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37702B2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653583D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510F99C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5E8C77B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4DD94EF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24B74F5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276CA9B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0EB849F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4EF988A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 </w:t>
            </w:r>
          </w:p>
          <w:p w14:paraId="55FD44C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7044E17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1D8A2ACF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  <w:p w14:paraId="589910D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03286A3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  <w:p w14:paraId="4080875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50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D2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8E7C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</w:tr>
      <w:tr w:rsidR="007F54BB" w:rsidRPr="0020656B" w14:paraId="36D05A88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FC401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5DA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1C2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DAC1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15</w:t>
            </w:r>
          </w:p>
        </w:tc>
      </w:tr>
      <w:tr w:rsidR="007F54BB" w:rsidRPr="0020656B" w14:paraId="276A435B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2DDB4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A9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75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0B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A4E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</w:tr>
      <w:tr w:rsidR="007F54BB" w:rsidRPr="0020656B" w14:paraId="536D3C2F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A6C33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D1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78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7CD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331E0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16</w:t>
            </w:r>
          </w:p>
        </w:tc>
      </w:tr>
      <w:tr w:rsidR="007F54BB" w:rsidRPr="0020656B" w14:paraId="784F3DF6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AAC0C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374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E76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9EB2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</w:tr>
      <w:tr w:rsidR="007F54BB" w:rsidRPr="0020656B" w14:paraId="16AD9C21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08FDC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8FF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DA0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E988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17</w:t>
            </w:r>
          </w:p>
        </w:tc>
      </w:tr>
      <w:tr w:rsidR="007F54BB" w:rsidRPr="0020656B" w14:paraId="5A7B71CF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4B5CD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03E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DB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F69D1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</w:tr>
      <w:tr w:rsidR="007F54BB" w:rsidRPr="0020656B" w14:paraId="1239CC12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CC9E7D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148B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88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8D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31C8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18</w:t>
            </w:r>
          </w:p>
        </w:tc>
      </w:tr>
      <w:tr w:rsidR="007F54BB" w:rsidRPr="0020656B" w14:paraId="19CD6AF7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56996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CC6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91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3E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EA50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</w:tr>
      <w:tr w:rsidR="007F54BB" w:rsidRPr="0020656B" w14:paraId="543CF8E4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88D3768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B0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93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AB43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DFC82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19</w:t>
            </w:r>
          </w:p>
        </w:tc>
      </w:tr>
      <w:tr w:rsidR="007F54BB" w:rsidRPr="0020656B" w14:paraId="4895EA11" w14:textId="77777777" w:rsidTr="008B67D0">
        <w:trPr>
          <w:trHeight w:val="371"/>
        </w:trPr>
        <w:tc>
          <w:tcPr>
            <w:tcW w:w="520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2531B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974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96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969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39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16BEA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</w:tr>
      <w:tr w:rsidR="007F54BB" w:rsidRPr="0020656B" w14:paraId="768B5068" w14:textId="77777777" w:rsidTr="008B67D0">
        <w:trPr>
          <w:trHeight w:val="245"/>
        </w:trPr>
        <w:tc>
          <w:tcPr>
            <w:tcW w:w="520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4163E5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738" w:type="dxa"/>
            <w:tcBorders>
              <w:top w:val="nil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1A3C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99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–</w:t>
            </w: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C07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E28AD" w14:textId="77777777" w:rsidR="007F54BB" w:rsidRPr="0020656B" w:rsidRDefault="007F54BB" w:rsidP="008B67D0">
            <w:pPr>
              <w:spacing w:line="240" w:lineRule="auto"/>
              <w:jc w:val="center"/>
              <w:rPr>
                <w:rFonts w:cs="Arial"/>
                <w:color w:val="000000"/>
                <w:szCs w:val="20"/>
                <w:lang w:val="sl-SI" w:eastAsia="sl-SI"/>
              </w:rPr>
            </w:pPr>
            <w:r w:rsidRPr="0020656B">
              <w:rPr>
                <w:rFonts w:cs="Arial"/>
                <w:color w:val="000000"/>
                <w:szCs w:val="20"/>
                <w:lang w:val="sl-SI" w:eastAsia="sl-SI"/>
              </w:rPr>
              <w:t>20</w:t>
            </w:r>
          </w:p>
        </w:tc>
      </w:tr>
    </w:tbl>
    <w:p w14:paraId="5998A4A2" w14:textId="77777777" w:rsidR="007F54BB" w:rsidRPr="0020656B" w:rsidRDefault="007F54BB" w:rsidP="007F54BB">
      <w:pPr>
        <w:pStyle w:val="Odstavek"/>
        <w:spacing w:before="0" w:line="276" w:lineRule="auto"/>
        <w:ind w:firstLine="0"/>
        <w:jc w:val="left"/>
        <w:rPr>
          <w:i/>
          <w:sz w:val="20"/>
        </w:rPr>
      </w:pPr>
    </w:p>
    <w:p w14:paraId="4FF0C89F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  <w:r w:rsidRPr="0020656B">
        <w:rPr>
          <w:i/>
          <w:sz w:val="20"/>
        </w:rPr>
        <w:t xml:space="preserve">Opombe: </w:t>
      </w:r>
    </w:p>
    <w:p w14:paraId="634D5992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  <w:r w:rsidRPr="0020656B">
        <w:rPr>
          <w:i/>
          <w:sz w:val="20"/>
        </w:rPr>
        <w:t>a) v obdobju od 2.</w:t>
      </w:r>
      <w:r>
        <w:rPr>
          <w:i/>
          <w:sz w:val="20"/>
        </w:rPr>
        <w:t> </w:t>
      </w:r>
      <w:r w:rsidRPr="0020656B">
        <w:rPr>
          <w:i/>
          <w:sz w:val="20"/>
        </w:rPr>
        <w:t>8.</w:t>
      </w:r>
      <w:r>
        <w:rPr>
          <w:i/>
          <w:sz w:val="20"/>
        </w:rPr>
        <w:t> </w:t>
      </w:r>
      <w:r w:rsidRPr="0020656B">
        <w:rPr>
          <w:i/>
          <w:sz w:val="20"/>
        </w:rPr>
        <w:t>2021 do 31.</w:t>
      </w:r>
      <w:r>
        <w:rPr>
          <w:i/>
          <w:sz w:val="20"/>
        </w:rPr>
        <w:t> </w:t>
      </w:r>
      <w:r w:rsidRPr="0020656B">
        <w:rPr>
          <w:i/>
          <w:sz w:val="20"/>
        </w:rPr>
        <w:t>12.</w:t>
      </w:r>
      <w:r>
        <w:rPr>
          <w:i/>
          <w:sz w:val="20"/>
        </w:rPr>
        <w:t> </w:t>
      </w:r>
      <w:r w:rsidRPr="0020656B">
        <w:rPr>
          <w:i/>
          <w:sz w:val="20"/>
        </w:rPr>
        <w:t>2025 se v primeru več kot 100</w:t>
      </w:r>
      <w:r>
        <w:rPr>
          <w:i/>
          <w:sz w:val="20"/>
        </w:rPr>
        <w:t> </w:t>
      </w:r>
      <w:r w:rsidRPr="0020656B">
        <w:rPr>
          <w:i/>
          <w:sz w:val="20"/>
        </w:rPr>
        <w:t>vozil upošteva delež vsaj 28</w:t>
      </w:r>
      <w:r>
        <w:rPr>
          <w:i/>
          <w:sz w:val="20"/>
        </w:rPr>
        <w:t> </w:t>
      </w:r>
      <w:r w:rsidRPr="0020656B">
        <w:rPr>
          <w:i/>
          <w:sz w:val="20"/>
        </w:rPr>
        <w:t>% čisti</w:t>
      </w:r>
      <w:r>
        <w:rPr>
          <w:i/>
          <w:sz w:val="20"/>
        </w:rPr>
        <w:t>h</w:t>
      </w:r>
      <w:r w:rsidRPr="0020656B">
        <w:rPr>
          <w:i/>
          <w:sz w:val="20"/>
        </w:rPr>
        <w:t xml:space="preserve"> vozil, tako da se število vseh vozil pomnoži z 0,28 </w:t>
      </w:r>
      <w:r>
        <w:rPr>
          <w:i/>
          <w:sz w:val="20"/>
        </w:rPr>
        <w:t>in</w:t>
      </w:r>
      <w:r w:rsidRPr="0020656B">
        <w:rPr>
          <w:i/>
          <w:sz w:val="20"/>
        </w:rPr>
        <w:t xml:space="preserve"> zaokroži navzgor na višje celo število (v primeru 105</w:t>
      </w:r>
      <w:r>
        <w:rPr>
          <w:i/>
          <w:sz w:val="20"/>
        </w:rPr>
        <w:t> </w:t>
      </w:r>
      <w:r w:rsidRPr="0020656B">
        <w:rPr>
          <w:i/>
          <w:sz w:val="20"/>
        </w:rPr>
        <w:t xml:space="preserve">vozil je število čistih vozil 30). Izračun </w:t>
      </w:r>
      <w:proofErr w:type="spellStart"/>
      <w:r w:rsidRPr="0020656B">
        <w:rPr>
          <w:i/>
          <w:sz w:val="20"/>
        </w:rPr>
        <w:t>brezemis</w:t>
      </w:r>
      <w:r>
        <w:rPr>
          <w:i/>
          <w:sz w:val="20"/>
        </w:rPr>
        <w:t>i</w:t>
      </w:r>
      <w:r w:rsidRPr="0020656B">
        <w:rPr>
          <w:i/>
          <w:sz w:val="20"/>
        </w:rPr>
        <w:t>js</w:t>
      </w:r>
      <w:r>
        <w:rPr>
          <w:i/>
          <w:sz w:val="20"/>
        </w:rPr>
        <w:t>k</w:t>
      </w:r>
      <w:r w:rsidRPr="0020656B">
        <w:rPr>
          <w:i/>
          <w:sz w:val="20"/>
        </w:rPr>
        <w:t>ih</w:t>
      </w:r>
      <w:proofErr w:type="spellEnd"/>
      <w:r w:rsidRPr="0020656B">
        <w:rPr>
          <w:i/>
          <w:sz w:val="20"/>
        </w:rPr>
        <w:t xml:space="preserve"> vozil se naredi tako, da se čista vozila pomnožijo z 0,5 </w:t>
      </w:r>
      <w:r>
        <w:rPr>
          <w:i/>
          <w:sz w:val="20"/>
        </w:rPr>
        <w:t>in</w:t>
      </w:r>
      <w:r w:rsidRPr="0020656B">
        <w:rPr>
          <w:i/>
          <w:sz w:val="20"/>
        </w:rPr>
        <w:t xml:space="preserve"> zaokroži navzgor na višje celo število (v primeru 30</w:t>
      </w:r>
      <w:r>
        <w:rPr>
          <w:i/>
          <w:sz w:val="20"/>
        </w:rPr>
        <w:t> </w:t>
      </w:r>
      <w:r w:rsidRPr="0020656B">
        <w:rPr>
          <w:i/>
          <w:sz w:val="20"/>
        </w:rPr>
        <w:t xml:space="preserve">čistih vozil je </w:t>
      </w:r>
      <w:proofErr w:type="spellStart"/>
      <w:r w:rsidRPr="0020656B">
        <w:rPr>
          <w:i/>
          <w:sz w:val="20"/>
        </w:rPr>
        <w:t>brezemisijskih</w:t>
      </w:r>
      <w:proofErr w:type="spellEnd"/>
      <w:r w:rsidRPr="0020656B">
        <w:rPr>
          <w:i/>
          <w:sz w:val="20"/>
        </w:rPr>
        <w:t xml:space="preserve"> 15)</w:t>
      </w:r>
      <w:r>
        <w:rPr>
          <w:i/>
          <w:sz w:val="20"/>
        </w:rPr>
        <w:t>;</w:t>
      </w:r>
    </w:p>
    <w:p w14:paraId="29721FC4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</w:p>
    <w:p w14:paraId="1A3960FF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  <w:r w:rsidRPr="0020656B">
        <w:rPr>
          <w:i/>
          <w:sz w:val="20"/>
        </w:rPr>
        <w:t>b) v obdobju od 1.</w:t>
      </w:r>
      <w:r>
        <w:rPr>
          <w:i/>
          <w:sz w:val="20"/>
        </w:rPr>
        <w:t> </w:t>
      </w:r>
      <w:r w:rsidRPr="0020656B">
        <w:rPr>
          <w:i/>
          <w:sz w:val="20"/>
        </w:rPr>
        <w:t>1.</w:t>
      </w:r>
      <w:r>
        <w:rPr>
          <w:i/>
          <w:sz w:val="20"/>
        </w:rPr>
        <w:t> </w:t>
      </w:r>
      <w:r w:rsidRPr="0020656B">
        <w:rPr>
          <w:i/>
          <w:sz w:val="20"/>
        </w:rPr>
        <w:t>2026 do 31.</w:t>
      </w:r>
      <w:r>
        <w:rPr>
          <w:i/>
          <w:sz w:val="20"/>
        </w:rPr>
        <w:t> </w:t>
      </w:r>
      <w:r w:rsidRPr="0020656B">
        <w:rPr>
          <w:i/>
          <w:sz w:val="20"/>
        </w:rPr>
        <w:t>12.</w:t>
      </w:r>
      <w:r>
        <w:rPr>
          <w:i/>
          <w:sz w:val="20"/>
        </w:rPr>
        <w:t> </w:t>
      </w:r>
      <w:r w:rsidRPr="0020656B">
        <w:rPr>
          <w:i/>
          <w:sz w:val="20"/>
        </w:rPr>
        <w:t>2030 se v primeru več kot 100</w:t>
      </w:r>
      <w:r>
        <w:rPr>
          <w:i/>
          <w:sz w:val="20"/>
        </w:rPr>
        <w:t> </w:t>
      </w:r>
      <w:r w:rsidRPr="0020656B">
        <w:rPr>
          <w:i/>
          <w:sz w:val="20"/>
        </w:rPr>
        <w:t>vozil upošteva delež vsaj 40</w:t>
      </w:r>
      <w:r>
        <w:rPr>
          <w:i/>
          <w:sz w:val="20"/>
        </w:rPr>
        <w:t> </w:t>
      </w:r>
      <w:r w:rsidRPr="0020656B">
        <w:rPr>
          <w:i/>
          <w:sz w:val="20"/>
        </w:rPr>
        <w:t>% čisti</w:t>
      </w:r>
      <w:r>
        <w:rPr>
          <w:i/>
          <w:sz w:val="20"/>
        </w:rPr>
        <w:t>h</w:t>
      </w:r>
      <w:r w:rsidRPr="0020656B">
        <w:rPr>
          <w:i/>
          <w:sz w:val="20"/>
        </w:rPr>
        <w:t xml:space="preserve"> vozil, tako da se število vseh vozil pomnoži z 0,40 </w:t>
      </w:r>
      <w:r>
        <w:rPr>
          <w:i/>
          <w:sz w:val="20"/>
        </w:rPr>
        <w:t>in</w:t>
      </w:r>
      <w:r w:rsidRPr="0020656B">
        <w:rPr>
          <w:i/>
          <w:sz w:val="20"/>
        </w:rPr>
        <w:t xml:space="preserve"> zaokroži navzgor na višje celo število (v primeru 106</w:t>
      </w:r>
      <w:r>
        <w:rPr>
          <w:i/>
          <w:sz w:val="20"/>
        </w:rPr>
        <w:t> </w:t>
      </w:r>
      <w:r w:rsidRPr="0020656B">
        <w:rPr>
          <w:i/>
          <w:sz w:val="20"/>
        </w:rPr>
        <w:t xml:space="preserve">vozil je število čistih vozil 43). Izračun </w:t>
      </w:r>
      <w:proofErr w:type="spellStart"/>
      <w:r w:rsidRPr="0020656B">
        <w:rPr>
          <w:i/>
          <w:sz w:val="20"/>
        </w:rPr>
        <w:t>brezemis</w:t>
      </w:r>
      <w:r>
        <w:rPr>
          <w:i/>
          <w:sz w:val="20"/>
        </w:rPr>
        <w:t>i</w:t>
      </w:r>
      <w:r w:rsidRPr="0020656B">
        <w:rPr>
          <w:i/>
          <w:sz w:val="20"/>
        </w:rPr>
        <w:t>js</w:t>
      </w:r>
      <w:r>
        <w:rPr>
          <w:i/>
          <w:sz w:val="20"/>
        </w:rPr>
        <w:t>k</w:t>
      </w:r>
      <w:r w:rsidRPr="0020656B">
        <w:rPr>
          <w:i/>
          <w:sz w:val="20"/>
        </w:rPr>
        <w:t>ih</w:t>
      </w:r>
      <w:proofErr w:type="spellEnd"/>
      <w:r w:rsidRPr="0020656B">
        <w:rPr>
          <w:i/>
          <w:sz w:val="20"/>
        </w:rPr>
        <w:t xml:space="preserve"> vozil se naredi tako, da se čista vozila pomnožijo z 0,5 </w:t>
      </w:r>
      <w:r>
        <w:rPr>
          <w:i/>
          <w:sz w:val="20"/>
        </w:rPr>
        <w:t>in</w:t>
      </w:r>
      <w:r w:rsidRPr="0020656B">
        <w:rPr>
          <w:i/>
          <w:sz w:val="20"/>
        </w:rPr>
        <w:t xml:space="preserve"> zaokroži navzgor na višje celo število (v primeru 43</w:t>
      </w:r>
      <w:r>
        <w:rPr>
          <w:i/>
          <w:sz w:val="20"/>
        </w:rPr>
        <w:t> </w:t>
      </w:r>
      <w:r w:rsidRPr="0020656B">
        <w:rPr>
          <w:i/>
          <w:sz w:val="20"/>
        </w:rPr>
        <w:t xml:space="preserve">čistih vozil je </w:t>
      </w:r>
      <w:proofErr w:type="spellStart"/>
      <w:r w:rsidRPr="0020656B">
        <w:rPr>
          <w:i/>
          <w:sz w:val="20"/>
        </w:rPr>
        <w:t>brezemisijskih</w:t>
      </w:r>
      <w:proofErr w:type="spellEnd"/>
      <w:r w:rsidRPr="0020656B">
        <w:rPr>
          <w:i/>
          <w:sz w:val="20"/>
        </w:rPr>
        <w:t xml:space="preserve"> 22)</w:t>
      </w:r>
      <w:r>
        <w:rPr>
          <w:i/>
          <w:sz w:val="20"/>
        </w:rPr>
        <w:t>;</w:t>
      </w:r>
    </w:p>
    <w:p w14:paraId="264AD25B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</w:p>
    <w:p w14:paraId="1F74BDFC" w14:textId="77777777" w:rsidR="007F54BB" w:rsidRPr="0020656B" w:rsidRDefault="007F54BB" w:rsidP="007F54BB">
      <w:pPr>
        <w:pStyle w:val="Odstavek"/>
        <w:spacing w:before="0" w:line="276" w:lineRule="auto"/>
        <w:ind w:firstLine="0"/>
        <w:rPr>
          <w:i/>
          <w:sz w:val="20"/>
        </w:rPr>
      </w:pPr>
      <w:r w:rsidRPr="0020656B">
        <w:rPr>
          <w:i/>
          <w:sz w:val="20"/>
        </w:rPr>
        <w:t xml:space="preserve">c) </w:t>
      </w:r>
      <w:r>
        <w:rPr>
          <w:i/>
          <w:sz w:val="20"/>
        </w:rPr>
        <w:t>če</w:t>
      </w:r>
      <w:r w:rsidRPr="0020656B">
        <w:rPr>
          <w:i/>
          <w:sz w:val="20"/>
        </w:rPr>
        <w:t xml:space="preserve"> naročnik naroči le eno vozilo</w:t>
      </w:r>
      <w:r>
        <w:rPr>
          <w:i/>
          <w:sz w:val="20"/>
        </w:rPr>
        <w:t>,</w:t>
      </w:r>
      <w:r w:rsidRPr="0020656B">
        <w:rPr>
          <w:i/>
          <w:sz w:val="20"/>
        </w:rPr>
        <w:t xml:space="preserve"> mora to biti čisto oz. </w:t>
      </w:r>
      <w:proofErr w:type="spellStart"/>
      <w:r w:rsidRPr="0020656B">
        <w:rPr>
          <w:i/>
          <w:sz w:val="20"/>
        </w:rPr>
        <w:t>brezemisijsko</w:t>
      </w:r>
      <w:proofErr w:type="spellEnd"/>
      <w:r w:rsidRPr="0020656B">
        <w:rPr>
          <w:i/>
          <w:sz w:val="20"/>
        </w:rPr>
        <w:t>.</w:t>
      </w:r>
      <w:r>
        <w:rPr>
          <w:i/>
          <w:sz w:val="20"/>
        </w:rPr>
        <w:t>«.</w:t>
      </w:r>
    </w:p>
    <w:p w14:paraId="5CA9269D" w14:textId="77777777" w:rsidR="007F54BB" w:rsidRPr="0020656B" w:rsidRDefault="007F54BB" w:rsidP="007F54BB">
      <w:pPr>
        <w:rPr>
          <w:rFonts w:cs="Arial"/>
          <w:b/>
          <w:szCs w:val="20"/>
          <w:lang w:val="sl-SI"/>
        </w:rPr>
      </w:pPr>
    </w:p>
    <w:p w14:paraId="603B4C78" w14:textId="77777777" w:rsidR="007F54BB" w:rsidRPr="0020656B" w:rsidRDefault="007F54BB" w:rsidP="007F54BB">
      <w:pPr>
        <w:ind w:left="1418"/>
        <w:jc w:val="center"/>
        <w:rPr>
          <w:rFonts w:cs="Arial"/>
          <w:b/>
          <w:szCs w:val="20"/>
          <w:lang w:val="sl-SI"/>
        </w:rPr>
      </w:pPr>
    </w:p>
    <w:p w14:paraId="075AE908" w14:textId="309F01D0" w:rsidR="0092058E" w:rsidRPr="007F54BB" w:rsidRDefault="0092058E" w:rsidP="007F54BB">
      <w:pPr>
        <w:rPr>
          <w:lang w:val="it-IT"/>
        </w:rPr>
      </w:pPr>
    </w:p>
    <w:sectPr w:rsidR="0092058E" w:rsidRPr="007F5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7BA00" w14:textId="77777777" w:rsidR="00CB10C4" w:rsidRDefault="00CB10C4" w:rsidP="007F54BB">
      <w:pPr>
        <w:spacing w:line="240" w:lineRule="auto"/>
      </w:pPr>
      <w:r>
        <w:separator/>
      </w:r>
    </w:p>
  </w:endnote>
  <w:endnote w:type="continuationSeparator" w:id="0">
    <w:p w14:paraId="2AC55EE5" w14:textId="77777777" w:rsidR="00CB10C4" w:rsidRDefault="00CB10C4" w:rsidP="007F5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4C740" w14:textId="77777777" w:rsidR="00D52873" w:rsidRDefault="00D5287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12435"/>
      <w:docPartObj>
        <w:docPartGallery w:val="Page Numbers (Bottom of Page)"/>
        <w:docPartUnique/>
      </w:docPartObj>
    </w:sdtPr>
    <w:sdtEndPr/>
    <w:sdtContent>
      <w:p w14:paraId="37F0F064" w14:textId="73E5EA91" w:rsidR="00D52873" w:rsidRDefault="00D5287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509" w:rsidRPr="00B16509">
          <w:rPr>
            <w:noProof/>
            <w:lang w:val="sl-SI"/>
          </w:rPr>
          <w:t>6</w:t>
        </w:r>
        <w:r>
          <w:fldChar w:fldCharType="end"/>
        </w:r>
      </w:p>
    </w:sdtContent>
  </w:sdt>
  <w:p w14:paraId="07884FB7" w14:textId="77777777" w:rsidR="00D52873" w:rsidRDefault="00D5287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AF25E" w14:textId="77777777" w:rsidR="00D52873" w:rsidRDefault="00D5287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51C16" w14:textId="77777777" w:rsidR="00CB10C4" w:rsidRDefault="00CB10C4" w:rsidP="007F54BB">
      <w:pPr>
        <w:spacing w:line="240" w:lineRule="auto"/>
      </w:pPr>
      <w:r>
        <w:separator/>
      </w:r>
    </w:p>
  </w:footnote>
  <w:footnote w:type="continuationSeparator" w:id="0">
    <w:p w14:paraId="2010FCBD" w14:textId="77777777" w:rsidR="00CB10C4" w:rsidRDefault="00CB10C4" w:rsidP="007F5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44C79" w14:textId="77777777" w:rsidR="00D52873" w:rsidRDefault="00D5287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C5BCF" w14:textId="77777777" w:rsidR="00D52873" w:rsidRDefault="00D5287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B1E5F" w14:textId="77777777" w:rsidR="00D52873" w:rsidRDefault="00D5287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682F"/>
    <w:multiLevelType w:val="hybridMultilevel"/>
    <w:tmpl w:val="4EC68A6C"/>
    <w:lvl w:ilvl="0" w:tplc="FC6E9F3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07FF5"/>
    <w:multiLevelType w:val="hybridMultilevel"/>
    <w:tmpl w:val="50ECBC54"/>
    <w:lvl w:ilvl="0" w:tplc="7F4CFAAA">
      <w:start w:val="1"/>
      <w:numFmt w:val="decimal"/>
      <w:lvlText w:val="(%1)"/>
      <w:lvlJc w:val="left"/>
      <w:pPr>
        <w:ind w:left="374" w:hanging="268"/>
      </w:pPr>
      <w:rPr>
        <w:rFonts w:ascii="Georgia" w:eastAsia="Georgia" w:hAnsi="Georgia" w:cs="Georgia" w:hint="default"/>
        <w:spacing w:val="-1"/>
        <w:w w:val="69"/>
        <w:sz w:val="17"/>
        <w:szCs w:val="17"/>
        <w:lang w:val="sl-SI" w:eastAsia="en-US" w:bidi="ar-SA"/>
      </w:rPr>
    </w:lvl>
    <w:lvl w:ilvl="1" w:tplc="FBA6DD50">
      <w:numFmt w:val="bullet"/>
      <w:lvlText w:val="•"/>
      <w:lvlJc w:val="left"/>
      <w:pPr>
        <w:ind w:left="1286" w:hanging="268"/>
      </w:pPr>
      <w:rPr>
        <w:rFonts w:hint="default"/>
        <w:lang w:val="sl-SI" w:eastAsia="en-US" w:bidi="ar-SA"/>
      </w:rPr>
    </w:lvl>
    <w:lvl w:ilvl="2" w:tplc="F1807598">
      <w:numFmt w:val="bullet"/>
      <w:lvlText w:val="•"/>
      <w:lvlJc w:val="left"/>
      <w:pPr>
        <w:ind w:left="2193" w:hanging="268"/>
      </w:pPr>
      <w:rPr>
        <w:rFonts w:hint="default"/>
        <w:lang w:val="sl-SI" w:eastAsia="en-US" w:bidi="ar-SA"/>
      </w:rPr>
    </w:lvl>
    <w:lvl w:ilvl="3" w:tplc="EB4436B0">
      <w:numFmt w:val="bullet"/>
      <w:lvlText w:val="•"/>
      <w:lvlJc w:val="left"/>
      <w:pPr>
        <w:ind w:left="3099" w:hanging="268"/>
      </w:pPr>
      <w:rPr>
        <w:rFonts w:hint="default"/>
        <w:lang w:val="sl-SI" w:eastAsia="en-US" w:bidi="ar-SA"/>
      </w:rPr>
    </w:lvl>
    <w:lvl w:ilvl="4" w:tplc="5FACC0D4">
      <w:numFmt w:val="bullet"/>
      <w:lvlText w:val="•"/>
      <w:lvlJc w:val="left"/>
      <w:pPr>
        <w:ind w:left="4006" w:hanging="268"/>
      </w:pPr>
      <w:rPr>
        <w:rFonts w:hint="default"/>
        <w:lang w:val="sl-SI" w:eastAsia="en-US" w:bidi="ar-SA"/>
      </w:rPr>
    </w:lvl>
    <w:lvl w:ilvl="5" w:tplc="2B3880B8">
      <w:numFmt w:val="bullet"/>
      <w:lvlText w:val="•"/>
      <w:lvlJc w:val="left"/>
      <w:pPr>
        <w:ind w:left="4912" w:hanging="268"/>
      </w:pPr>
      <w:rPr>
        <w:rFonts w:hint="default"/>
        <w:lang w:val="sl-SI" w:eastAsia="en-US" w:bidi="ar-SA"/>
      </w:rPr>
    </w:lvl>
    <w:lvl w:ilvl="6" w:tplc="B8621BBC">
      <w:numFmt w:val="bullet"/>
      <w:lvlText w:val="•"/>
      <w:lvlJc w:val="left"/>
      <w:pPr>
        <w:ind w:left="5819" w:hanging="268"/>
      </w:pPr>
      <w:rPr>
        <w:rFonts w:hint="default"/>
        <w:lang w:val="sl-SI" w:eastAsia="en-US" w:bidi="ar-SA"/>
      </w:rPr>
    </w:lvl>
    <w:lvl w:ilvl="7" w:tplc="501CC27A">
      <w:numFmt w:val="bullet"/>
      <w:lvlText w:val="•"/>
      <w:lvlJc w:val="left"/>
      <w:pPr>
        <w:ind w:left="6725" w:hanging="268"/>
      </w:pPr>
      <w:rPr>
        <w:rFonts w:hint="default"/>
        <w:lang w:val="sl-SI" w:eastAsia="en-US" w:bidi="ar-SA"/>
      </w:rPr>
    </w:lvl>
    <w:lvl w:ilvl="8" w:tplc="5C9C3AD0">
      <w:numFmt w:val="bullet"/>
      <w:lvlText w:val="•"/>
      <w:lvlJc w:val="left"/>
      <w:pPr>
        <w:ind w:left="7632" w:hanging="268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BB"/>
    <w:rsid w:val="00234455"/>
    <w:rsid w:val="00297FC1"/>
    <w:rsid w:val="00534EB8"/>
    <w:rsid w:val="00584895"/>
    <w:rsid w:val="007F54BB"/>
    <w:rsid w:val="0092058E"/>
    <w:rsid w:val="00B16509"/>
    <w:rsid w:val="00B41F9A"/>
    <w:rsid w:val="00CB10C4"/>
    <w:rsid w:val="00D52873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1820"/>
  <w15:chartTrackingRefBased/>
  <w15:docId w15:val="{C7645979-9D7C-468A-826D-7BA14F3D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54BB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Footnote,Fußnote,Sprotna opomba - besedilo Znak1 Char,Sprotna opomba - besedilo Znak Znak Char,Znak Znak Znak Char,Znak Znak Znak Znak Znak Znak Znak Char,Znak Znak1 Char,Znak Znak Znak Znak Znak Znak1 Char,????? ?????? ????,fn"/>
    <w:basedOn w:val="Navaden"/>
    <w:link w:val="Sprotnaopomba-besediloZnak"/>
    <w:uiPriority w:val="99"/>
    <w:qFormat/>
    <w:rsid w:val="007F54BB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,Sprotna opomba - besedilo Znak1 Char Znak,Sprotna opomba - besedilo Znak Znak Char Znak,Znak Znak Znak Char Znak,Znak Znak Znak Znak Znak Znak Znak Char Znak,Znak Znak1 Char Znak,fn Znak"/>
    <w:basedOn w:val="Privzetapisavaodstavka"/>
    <w:link w:val="Sprotnaopomba-besedilo"/>
    <w:uiPriority w:val="99"/>
    <w:rsid w:val="007F54BB"/>
    <w:rPr>
      <w:rFonts w:ascii="Arial" w:eastAsia="Times New Roman" w:hAnsi="Arial" w:cs="Times New Roman"/>
      <w:sz w:val="20"/>
      <w:szCs w:val="20"/>
      <w:lang w:val="en-GB"/>
    </w:rPr>
  </w:style>
  <w:style w:type="paragraph" w:styleId="Odstavekseznama">
    <w:name w:val="List Paragraph"/>
    <w:basedOn w:val="Navaden"/>
    <w:link w:val="OdstavekseznamaZnak"/>
    <w:uiPriority w:val="1"/>
    <w:qFormat/>
    <w:rsid w:val="007F54BB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val="sl-SI" w:eastAsia="sl-SI"/>
    </w:rPr>
  </w:style>
  <w:style w:type="character" w:styleId="Sprotnaopomba-sklic">
    <w:name w:val="footnote reference"/>
    <w:aliases w:val="Fussnota,Footnote symbol,Footnotes refss,callout,BVI fnr,16 Point,Superscript 6 Point,nota pié di pagina,Footnote reference number,note TESI,SUPERS,EN Footnote Reference,-E Fußnotenzeichen,number,Times 10 Point"/>
    <w:link w:val="FootnotesymbolCarZchn"/>
    <w:uiPriority w:val="99"/>
    <w:qFormat/>
    <w:rsid w:val="007F54BB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7F54B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locked/>
    <w:rsid w:val="007F54BB"/>
    <w:rPr>
      <w:rFonts w:ascii="Arial" w:eastAsia="Times New Roman" w:hAnsi="Arial" w:cs="Arial"/>
      <w:lang w:eastAsia="sl-SI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uiPriority w:val="99"/>
    <w:rsid w:val="007F54BB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val="sl-SI"/>
    </w:rPr>
  </w:style>
  <w:style w:type="character" w:customStyle="1" w:styleId="OdstavekseznamaZnak">
    <w:name w:val="Odstavek seznama Znak"/>
    <w:link w:val="Odstavekseznama"/>
    <w:uiPriority w:val="1"/>
    <w:qFormat/>
    <w:locked/>
    <w:rsid w:val="007F54BB"/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TableParagraph">
    <w:name w:val="Table Paragraph"/>
    <w:basedOn w:val="Navaden"/>
    <w:uiPriority w:val="1"/>
    <w:qFormat/>
    <w:rsid w:val="007F54BB"/>
    <w:pPr>
      <w:widowControl w:val="0"/>
      <w:autoSpaceDE w:val="0"/>
      <w:autoSpaceDN w:val="0"/>
      <w:spacing w:before="116" w:line="240" w:lineRule="auto"/>
      <w:ind w:left="5"/>
    </w:pPr>
    <w:rPr>
      <w:rFonts w:ascii="Georgia" w:eastAsia="Georgia" w:hAnsi="Georgia" w:cs="Georgia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7F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7FC1"/>
    <w:rPr>
      <w:rFonts w:ascii="Segoe UI" w:eastAsia="Times New Roman" w:hAnsi="Segoe UI" w:cs="Segoe UI"/>
      <w:sz w:val="18"/>
      <w:szCs w:val="18"/>
      <w:lang w:val="en-US"/>
    </w:rPr>
  </w:style>
  <w:style w:type="paragraph" w:styleId="Glava">
    <w:name w:val="header"/>
    <w:basedOn w:val="Navaden"/>
    <w:link w:val="GlavaZnak"/>
    <w:uiPriority w:val="99"/>
    <w:unhideWhenUsed/>
    <w:rsid w:val="00D5287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287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D5287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2873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1975F3-D807-4471-82E2-00B9E703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Skok Klima</dc:creator>
  <cp:keywords/>
  <dc:description/>
  <cp:lastModifiedBy>Barbara Kunavar</cp:lastModifiedBy>
  <cp:revision>6</cp:revision>
  <dcterms:created xsi:type="dcterms:W3CDTF">2021-07-20T13:36:00Z</dcterms:created>
  <dcterms:modified xsi:type="dcterms:W3CDTF">2021-07-21T09:00:00Z</dcterms:modified>
</cp:coreProperties>
</file>