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5177E">
      <w:pPr>
        <w:pStyle w:val="datumtevilka"/>
        <w:rPr>
          <w:rFonts w:cs="Arial"/>
          <w:color w:val="000000"/>
        </w:rPr>
      </w:pPr>
    </w:p>
    <w:p w:rsidR="003636EA" w:rsidRDefault="003636EA" w:rsidP="0035177E">
      <w:pPr>
        <w:pStyle w:val="datumtevilka"/>
        <w:rPr>
          <w:rFonts w:cs="Arial"/>
          <w:color w:val="000000"/>
        </w:rPr>
      </w:pPr>
    </w:p>
    <w:p w:rsidR="003636EA" w:rsidRPr="002760DC" w:rsidRDefault="003636EA" w:rsidP="0035177E">
      <w:pPr>
        <w:pStyle w:val="datumtevilka"/>
      </w:pPr>
      <w:r w:rsidRPr="002760DC">
        <w:t xml:space="preserve">Številka: </w:t>
      </w:r>
      <w:r w:rsidRPr="002760DC">
        <w:tab/>
      </w:r>
      <w:r w:rsidR="000710D2">
        <w:rPr>
          <w:rFonts w:cs="Arial"/>
          <w:color w:val="000000"/>
        </w:rPr>
        <w:t>35400-3/2021/5</w:t>
      </w:r>
    </w:p>
    <w:p w:rsidR="003636EA" w:rsidRPr="002760DC" w:rsidRDefault="003636EA" w:rsidP="0035177E">
      <w:pPr>
        <w:pStyle w:val="datumtevilka"/>
      </w:pPr>
      <w:r>
        <w:t>Datum:</w:t>
      </w:r>
      <w:r w:rsidRPr="002760DC">
        <w:t xml:space="preserve"> </w:t>
      </w:r>
      <w:r w:rsidRPr="002760DC">
        <w:tab/>
      </w:r>
      <w:r w:rsidR="000710D2">
        <w:rPr>
          <w:rFonts w:cs="Arial"/>
          <w:color w:val="000000"/>
        </w:rPr>
        <w:t>21. 4. 2021</w:t>
      </w:r>
      <w:r w:rsidRPr="002760DC">
        <w:t xml:space="preserve"> </w:t>
      </w:r>
    </w:p>
    <w:p w:rsidR="003636EA" w:rsidRPr="002760DC" w:rsidRDefault="003636EA" w:rsidP="0035177E"/>
    <w:p w:rsidR="003636EA" w:rsidRDefault="003636EA" w:rsidP="0035177E">
      <w:pPr>
        <w:autoSpaceDE w:val="0"/>
        <w:autoSpaceDN w:val="0"/>
        <w:adjustRightInd w:val="0"/>
        <w:rPr>
          <w:rFonts w:cs="Arial"/>
          <w:color w:val="000000"/>
          <w:szCs w:val="20"/>
        </w:rPr>
      </w:pPr>
    </w:p>
    <w:p w:rsidR="0035177E" w:rsidRPr="00283518" w:rsidRDefault="0035177E" w:rsidP="00FF57F1">
      <w:pPr>
        <w:jc w:val="center"/>
        <w:rPr>
          <w:rFonts w:cs="Arial"/>
          <w:b/>
          <w:szCs w:val="20"/>
        </w:rPr>
      </w:pPr>
      <w:r w:rsidRPr="00283518">
        <w:rPr>
          <w:rFonts w:cs="Arial"/>
          <w:b/>
          <w:szCs w:val="20"/>
        </w:rPr>
        <w:t xml:space="preserve">Letni program ukrepov za izboljšanje kakovosti okolja v Zgornji Mežiški dolini </w:t>
      </w:r>
      <w:r w:rsidR="00FF57F1">
        <w:rPr>
          <w:rFonts w:cs="Arial"/>
          <w:b/>
          <w:szCs w:val="20"/>
        </w:rPr>
        <w:br/>
      </w:r>
      <w:r w:rsidRPr="00283518">
        <w:rPr>
          <w:rFonts w:cs="Arial"/>
          <w:b/>
          <w:szCs w:val="20"/>
        </w:rPr>
        <w:t>za leto 2021</w:t>
      </w:r>
    </w:p>
    <w:p w:rsidR="0035177E" w:rsidRPr="006603A9" w:rsidRDefault="0035177E" w:rsidP="0035177E">
      <w:pPr>
        <w:rPr>
          <w:rFonts w:cs="Arial"/>
          <w:szCs w:val="20"/>
        </w:rPr>
      </w:pPr>
    </w:p>
    <w:p w:rsidR="0035177E" w:rsidRPr="006603A9" w:rsidRDefault="0035177E" w:rsidP="0035177E">
      <w:pPr>
        <w:jc w:val="both"/>
        <w:rPr>
          <w:rFonts w:cs="Arial"/>
          <w:szCs w:val="20"/>
        </w:rPr>
      </w:pPr>
      <w:r>
        <w:rPr>
          <w:rFonts w:cs="Arial"/>
          <w:szCs w:val="20"/>
        </w:rPr>
        <w:t xml:space="preserve">Z izvajanjem Programa ukrepov za izboljšanje kakovosti okolja v Zgornji Mežiški dolini želimo zmanjšati izpostavljenost prebivalcev, še posebno njegove najbolj občutljive skupine mlajših otrok, svincu iz okolja. Zato sta v </w:t>
      </w:r>
      <w:r w:rsidRPr="006603A9">
        <w:rPr>
          <w:rFonts w:cs="Arial"/>
          <w:szCs w:val="20"/>
        </w:rPr>
        <w:t xml:space="preserve">Odloku (Uradni list RS, št. </w:t>
      </w:r>
      <w:hyperlink r:id="rId7" w:tgtFrame="_blank" w:tooltip="Odlok o območjih največje obremenjenosti okolja in o programu ukrepov za izboljšanje kakovosti okolja v Zgornji Mežiški dolini" w:history="1">
        <w:r w:rsidRPr="006603A9">
          <w:rPr>
            <w:rFonts w:cs="Arial"/>
            <w:szCs w:val="20"/>
          </w:rPr>
          <w:t>119/07</w:t>
        </w:r>
      </w:hyperlink>
      <w:r w:rsidRPr="006603A9">
        <w:rPr>
          <w:rFonts w:cs="Arial"/>
          <w:szCs w:val="20"/>
        </w:rPr>
        <w:t>) predvide</w:t>
      </w:r>
      <w:r>
        <w:rPr>
          <w:rFonts w:cs="Arial"/>
          <w:szCs w:val="20"/>
        </w:rPr>
        <w:t>na</w:t>
      </w:r>
      <w:r w:rsidRPr="006603A9">
        <w:rPr>
          <w:rFonts w:cs="Arial"/>
          <w:szCs w:val="20"/>
        </w:rPr>
        <w:t xml:space="preserve"> znižanje vrednosti svinca, kadmija in cinka v tleh na saniranih območjih ter znižanje vrednosti svinca v krvi otrok pod vrednost 100 μg/l v vsaj 95</w:t>
      </w:r>
      <w:r>
        <w:rPr>
          <w:rFonts w:cs="Arial"/>
          <w:szCs w:val="20"/>
        </w:rPr>
        <w:t xml:space="preserve"> </w:t>
      </w:r>
      <w:r w:rsidRPr="006603A9">
        <w:rPr>
          <w:rFonts w:cs="Arial"/>
          <w:szCs w:val="20"/>
        </w:rPr>
        <w:t xml:space="preserve">% primerov. </w:t>
      </w:r>
      <w:r>
        <w:rPr>
          <w:rFonts w:cs="Arial"/>
          <w:szCs w:val="20"/>
        </w:rPr>
        <w:t>Seveda si želimo, da bi imeli vsi otroci tem nižje vrednosti svinca v krvi, v odloku pa je podan cilj v kvantitativni obliki in v skladu z rezultati, ki so se izkazali za dosegljive pri podobnih sanacijskih programih v svetu.</w:t>
      </w:r>
      <w:r w:rsidRPr="006603A9">
        <w:rPr>
          <w:rFonts w:cs="Arial"/>
          <w:szCs w:val="20"/>
        </w:rPr>
        <w:t xml:space="preserve"> Vrednost svinca v krvi otrok je kazal</w:t>
      </w:r>
      <w:r>
        <w:rPr>
          <w:rFonts w:cs="Arial"/>
          <w:szCs w:val="20"/>
        </w:rPr>
        <w:t>nik</w:t>
      </w:r>
      <w:r w:rsidRPr="006603A9">
        <w:rPr>
          <w:rFonts w:cs="Arial"/>
          <w:szCs w:val="20"/>
        </w:rPr>
        <w:t xml:space="preserve"> izpostavljenosti </w:t>
      </w:r>
      <w:r>
        <w:rPr>
          <w:rFonts w:cs="Arial"/>
          <w:szCs w:val="20"/>
        </w:rPr>
        <w:t xml:space="preserve">otrok </w:t>
      </w:r>
      <w:r w:rsidRPr="006603A9">
        <w:rPr>
          <w:rFonts w:cs="Arial"/>
          <w:szCs w:val="20"/>
        </w:rPr>
        <w:t>svincu iz različnih virov iz okolja</w:t>
      </w:r>
      <w:r>
        <w:rPr>
          <w:rFonts w:cs="Arial"/>
          <w:szCs w:val="20"/>
        </w:rPr>
        <w:t>,</w:t>
      </w:r>
      <w:r w:rsidRPr="006603A9">
        <w:rPr>
          <w:rFonts w:cs="Arial"/>
          <w:szCs w:val="20"/>
        </w:rPr>
        <w:t xml:space="preserve"> v kater</w:t>
      </w:r>
      <w:r>
        <w:rPr>
          <w:rFonts w:cs="Arial"/>
          <w:szCs w:val="20"/>
        </w:rPr>
        <w:t>em otroci živijo, zato bi uspešno izvedenim sanacijskim ukrepom in manjši izpostavljenosti</w:t>
      </w:r>
      <w:r w:rsidRPr="006603A9">
        <w:rPr>
          <w:rFonts w:cs="Arial"/>
          <w:szCs w:val="20"/>
        </w:rPr>
        <w:t xml:space="preserve"> </w:t>
      </w:r>
      <w:r>
        <w:rPr>
          <w:rFonts w:cs="Arial"/>
          <w:szCs w:val="20"/>
        </w:rPr>
        <w:t>moralo slediti tudi zmanjšanje povprečnih vred</w:t>
      </w:r>
      <w:r w:rsidRPr="006603A9">
        <w:rPr>
          <w:rFonts w:cs="Arial"/>
          <w:szCs w:val="20"/>
        </w:rPr>
        <w:t>nosti svinca v krvi.</w:t>
      </w:r>
      <w:r>
        <w:rPr>
          <w:rFonts w:cs="Arial"/>
          <w:szCs w:val="20"/>
        </w:rPr>
        <w:t xml:space="preserve"> Manjša obremenjenost otrok s svincem pa pomeni manj škode za njihovo zdravje, čeprav v primeru svinca tako rekoč ne moremo doseči zdravju varne vrednosti, ker je vsaka prisotnost v telesu zdravju škodljiva.</w:t>
      </w:r>
      <w:r w:rsidRPr="006603A9">
        <w:rPr>
          <w:rFonts w:cs="Arial"/>
          <w:szCs w:val="20"/>
        </w:rPr>
        <w:t xml:space="preserve"> </w:t>
      </w:r>
    </w:p>
    <w:p w:rsidR="0035177E" w:rsidRPr="006603A9" w:rsidRDefault="0035177E" w:rsidP="0035177E">
      <w:pPr>
        <w:jc w:val="both"/>
        <w:rPr>
          <w:rFonts w:cs="Arial"/>
          <w:szCs w:val="20"/>
        </w:rPr>
      </w:pPr>
    </w:p>
    <w:p w:rsidR="0035177E" w:rsidRDefault="0035177E" w:rsidP="0035177E">
      <w:pPr>
        <w:jc w:val="both"/>
        <w:rPr>
          <w:rFonts w:cs="Arial"/>
          <w:szCs w:val="20"/>
        </w:rPr>
      </w:pPr>
      <w:r w:rsidRPr="006603A9">
        <w:rPr>
          <w:rFonts w:cs="Arial"/>
          <w:szCs w:val="20"/>
        </w:rPr>
        <w:t xml:space="preserve">V okviru programa vsako leto spremljamo vsebnost svinca v krvi triletnih otrok (starosti </w:t>
      </w:r>
      <w:r>
        <w:rPr>
          <w:rFonts w:cs="Arial"/>
          <w:szCs w:val="20"/>
        </w:rPr>
        <w:br/>
      </w:r>
      <w:r w:rsidRPr="006603A9">
        <w:rPr>
          <w:rFonts w:cs="Arial"/>
          <w:szCs w:val="20"/>
        </w:rPr>
        <w:t>24–48 mesecev) iz Zgornje Mežiške doline,</w:t>
      </w:r>
      <w:r>
        <w:rPr>
          <w:rFonts w:cs="Arial"/>
          <w:szCs w:val="20"/>
        </w:rPr>
        <w:t xml:space="preserve"> vsakih pet let (leta 2008, 2013 in 2018) pa izvedemo p</w:t>
      </w:r>
      <w:r w:rsidRPr="006603A9">
        <w:rPr>
          <w:rFonts w:cs="Arial"/>
          <w:szCs w:val="20"/>
        </w:rPr>
        <w:t>revalen</w:t>
      </w:r>
      <w:r>
        <w:rPr>
          <w:rFonts w:cs="Arial"/>
          <w:szCs w:val="20"/>
        </w:rPr>
        <w:t>t</w:t>
      </w:r>
      <w:r w:rsidRPr="006603A9">
        <w:rPr>
          <w:rFonts w:cs="Arial"/>
          <w:szCs w:val="20"/>
        </w:rPr>
        <w:t>no študijo</w:t>
      </w:r>
      <w:r>
        <w:rPr>
          <w:rFonts w:cs="Arial"/>
          <w:szCs w:val="20"/>
        </w:rPr>
        <w:t xml:space="preserve">. </w:t>
      </w:r>
      <w:r w:rsidRPr="006603A9">
        <w:rPr>
          <w:rFonts w:cs="Arial"/>
          <w:szCs w:val="20"/>
        </w:rPr>
        <w:t>V</w:t>
      </w:r>
      <w:r>
        <w:rPr>
          <w:rFonts w:cs="Arial"/>
          <w:szCs w:val="20"/>
        </w:rPr>
        <w:t>anjo</w:t>
      </w:r>
      <w:r w:rsidRPr="006603A9">
        <w:rPr>
          <w:rFonts w:cs="Arial"/>
          <w:szCs w:val="20"/>
        </w:rPr>
        <w:t xml:space="preserve"> so vključeni otro</w:t>
      </w:r>
      <w:r>
        <w:rPr>
          <w:rFonts w:cs="Arial"/>
          <w:szCs w:val="20"/>
        </w:rPr>
        <w:t>ci</w:t>
      </w:r>
      <w:r w:rsidRPr="006603A9">
        <w:rPr>
          <w:rFonts w:cs="Arial"/>
          <w:szCs w:val="20"/>
        </w:rPr>
        <w:t xml:space="preserve"> v starosti od </w:t>
      </w:r>
      <w:r>
        <w:rPr>
          <w:rFonts w:cs="Arial"/>
          <w:szCs w:val="20"/>
        </w:rPr>
        <w:t>enega</w:t>
      </w:r>
      <w:r w:rsidRPr="006603A9">
        <w:rPr>
          <w:rFonts w:cs="Arial"/>
          <w:szCs w:val="20"/>
        </w:rPr>
        <w:t xml:space="preserve"> do </w:t>
      </w:r>
      <w:r>
        <w:rPr>
          <w:rFonts w:cs="Arial"/>
          <w:szCs w:val="20"/>
        </w:rPr>
        <w:t>šest</w:t>
      </w:r>
      <w:r w:rsidRPr="006603A9">
        <w:rPr>
          <w:rFonts w:cs="Arial"/>
          <w:szCs w:val="20"/>
        </w:rPr>
        <w:t xml:space="preserve"> </w:t>
      </w:r>
      <w:r>
        <w:rPr>
          <w:rFonts w:cs="Arial"/>
          <w:szCs w:val="20"/>
        </w:rPr>
        <w:t>let (12–72 mesecev) in 9 let</w:t>
      </w:r>
      <w:r w:rsidRPr="006603A9">
        <w:rPr>
          <w:rFonts w:cs="Arial"/>
          <w:szCs w:val="20"/>
        </w:rPr>
        <w:t xml:space="preserve"> (108</w:t>
      </w:r>
      <w:r>
        <w:rPr>
          <w:rFonts w:cs="Arial"/>
          <w:szCs w:val="20"/>
        </w:rPr>
        <w:t>–</w:t>
      </w:r>
      <w:r w:rsidRPr="006603A9">
        <w:rPr>
          <w:rFonts w:cs="Arial"/>
          <w:szCs w:val="20"/>
        </w:rPr>
        <w:t>120 mesecev) iz Zgornje Mežiške doline ter</w:t>
      </w:r>
      <w:r>
        <w:rPr>
          <w:rFonts w:cs="Arial"/>
          <w:szCs w:val="20"/>
        </w:rPr>
        <w:t xml:space="preserve"> 3 leta (od 24 do 48 mesecev) stari otroci</w:t>
      </w:r>
      <w:r w:rsidRPr="006603A9">
        <w:rPr>
          <w:rFonts w:cs="Arial"/>
          <w:szCs w:val="20"/>
        </w:rPr>
        <w:t xml:space="preserve"> iz Spodnje Mežiške doline. </w:t>
      </w:r>
      <w:r>
        <w:rPr>
          <w:rFonts w:cs="Arial"/>
          <w:szCs w:val="20"/>
        </w:rPr>
        <w:t>Zadnja p</w:t>
      </w:r>
      <w:r w:rsidRPr="006603A9">
        <w:rPr>
          <w:rFonts w:cs="Arial"/>
          <w:szCs w:val="20"/>
        </w:rPr>
        <w:t>revalen</w:t>
      </w:r>
      <w:r>
        <w:rPr>
          <w:rFonts w:cs="Arial"/>
          <w:szCs w:val="20"/>
        </w:rPr>
        <w:t>t</w:t>
      </w:r>
      <w:r w:rsidRPr="006603A9">
        <w:rPr>
          <w:rFonts w:cs="Arial"/>
          <w:szCs w:val="20"/>
        </w:rPr>
        <w:t>na študija je bila</w:t>
      </w:r>
      <w:r>
        <w:rPr>
          <w:rFonts w:cs="Arial"/>
          <w:szCs w:val="20"/>
        </w:rPr>
        <w:t xml:space="preserve"> izvedena leta 2018 in je vključevala 526 otrok</w:t>
      </w:r>
      <w:r w:rsidRPr="006603A9">
        <w:rPr>
          <w:rFonts w:cs="Arial"/>
          <w:szCs w:val="20"/>
        </w:rPr>
        <w:t xml:space="preserve"> iz c</w:t>
      </w:r>
      <w:r>
        <w:rPr>
          <w:rFonts w:cs="Arial"/>
          <w:szCs w:val="20"/>
        </w:rPr>
        <w:t xml:space="preserve">elotne Mežiške doline, za primerjavo </w:t>
      </w:r>
      <w:r w:rsidRPr="006603A9">
        <w:rPr>
          <w:rFonts w:cs="Arial"/>
          <w:szCs w:val="20"/>
        </w:rPr>
        <w:t>je bil</w:t>
      </w:r>
      <w:r>
        <w:rPr>
          <w:rFonts w:cs="Arial"/>
          <w:szCs w:val="20"/>
        </w:rPr>
        <w:t>o leta 2020 v odvzem vzorcev vključenih 100</w:t>
      </w:r>
      <w:r w:rsidRPr="006603A9">
        <w:rPr>
          <w:rFonts w:cs="Arial"/>
          <w:szCs w:val="20"/>
        </w:rPr>
        <w:t xml:space="preserve"> triletnikov iz Zgornje Mežiške doline. </w:t>
      </w:r>
    </w:p>
    <w:p w:rsidR="0035177E" w:rsidRDefault="0035177E" w:rsidP="0035177E">
      <w:pPr>
        <w:jc w:val="both"/>
        <w:rPr>
          <w:rFonts w:cs="Arial"/>
          <w:szCs w:val="20"/>
        </w:rPr>
      </w:pPr>
    </w:p>
    <w:p w:rsidR="0035177E" w:rsidRPr="006603A9" w:rsidRDefault="0035177E" w:rsidP="0035177E">
      <w:pPr>
        <w:jc w:val="both"/>
        <w:rPr>
          <w:rFonts w:cs="Arial"/>
          <w:szCs w:val="20"/>
        </w:rPr>
      </w:pPr>
      <w:r w:rsidRPr="006603A9">
        <w:rPr>
          <w:rFonts w:cs="Arial"/>
          <w:szCs w:val="20"/>
        </w:rPr>
        <w:t>Prevalen</w:t>
      </w:r>
      <w:r>
        <w:rPr>
          <w:rFonts w:cs="Arial"/>
          <w:szCs w:val="20"/>
        </w:rPr>
        <w:t>t</w:t>
      </w:r>
      <w:r w:rsidRPr="006603A9">
        <w:rPr>
          <w:rFonts w:cs="Arial"/>
          <w:szCs w:val="20"/>
        </w:rPr>
        <w:t>na študija leta 2018 je po</w:t>
      </w:r>
      <w:r>
        <w:rPr>
          <w:rFonts w:cs="Arial"/>
          <w:szCs w:val="20"/>
        </w:rPr>
        <w:t>kazala</w:t>
      </w:r>
      <w:r w:rsidRPr="006603A9">
        <w:rPr>
          <w:rFonts w:cs="Arial"/>
          <w:szCs w:val="20"/>
        </w:rPr>
        <w:t xml:space="preserve">, da je skupina triletnikov najbolj obremenjena skupina otrok, saj so bile v tej skupini ugotovljene najvišje vrednosti svinca. V </w:t>
      </w:r>
      <w:r>
        <w:rPr>
          <w:rFonts w:cs="Arial"/>
          <w:szCs w:val="20"/>
        </w:rPr>
        <w:t>vsej</w:t>
      </w:r>
      <w:r w:rsidRPr="006603A9">
        <w:rPr>
          <w:rFonts w:cs="Arial"/>
          <w:szCs w:val="20"/>
        </w:rPr>
        <w:t xml:space="preserve"> testirani populaciji otrok iz Zgornje M</w:t>
      </w:r>
      <w:r>
        <w:rPr>
          <w:rFonts w:cs="Arial"/>
          <w:szCs w:val="20"/>
        </w:rPr>
        <w:t>ežiške doline</w:t>
      </w:r>
      <w:r w:rsidRPr="006603A9">
        <w:rPr>
          <w:rFonts w:cs="Arial"/>
          <w:szCs w:val="20"/>
        </w:rPr>
        <w:t xml:space="preserve"> je </w:t>
      </w:r>
      <w:r>
        <w:rPr>
          <w:rFonts w:cs="Arial"/>
          <w:szCs w:val="20"/>
        </w:rPr>
        <w:t>imelo visoko vrednost svinca v krvi (≥ 100 µg/l) 8,9 % otrok, med triletniki pa 16,1 %.</w:t>
      </w:r>
      <w:r w:rsidRPr="006603A9">
        <w:rPr>
          <w:rFonts w:cs="Arial"/>
          <w:szCs w:val="20"/>
        </w:rPr>
        <w:t xml:space="preserve"> Študija je pokazala tudi, da so otroci iz Zgornje Mežiške doline s svincem bolj obremenjeni od otrok iz Spodnje Mežiške doline,</w:t>
      </w:r>
      <w:r>
        <w:rPr>
          <w:rFonts w:cs="Arial"/>
          <w:szCs w:val="20"/>
        </w:rPr>
        <w:t xml:space="preserve"> n</w:t>
      </w:r>
      <w:r w:rsidRPr="006603A9">
        <w:rPr>
          <w:rFonts w:cs="Arial"/>
          <w:szCs w:val="20"/>
        </w:rPr>
        <w:t xml:space="preserve">ajbolj </w:t>
      </w:r>
      <w:r>
        <w:rPr>
          <w:rFonts w:cs="Arial"/>
          <w:szCs w:val="20"/>
        </w:rPr>
        <w:t>pa je vzbujala skrb</w:t>
      </w:r>
      <w:r w:rsidRPr="006603A9">
        <w:rPr>
          <w:rFonts w:cs="Arial"/>
          <w:szCs w:val="20"/>
        </w:rPr>
        <w:t xml:space="preserve"> ugotovitev študije, da se vrednosti svinca v krvi otrok od leta 2013 niso nižale.</w:t>
      </w:r>
    </w:p>
    <w:p w:rsidR="0035177E" w:rsidRPr="006603A9" w:rsidRDefault="0035177E" w:rsidP="0035177E">
      <w:pPr>
        <w:jc w:val="both"/>
        <w:rPr>
          <w:rFonts w:cs="Arial"/>
          <w:szCs w:val="20"/>
        </w:rPr>
      </w:pPr>
    </w:p>
    <w:p w:rsidR="0035177E" w:rsidRDefault="0035177E" w:rsidP="0035177E">
      <w:pPr>
        <w:jc w:val="both"/>
        <w:rPr>
          <w:rFonts w:cs="Arial"/>
          <w:szCs w:val="20"/>
        </w:rPr>
      </w:pPr>
      <w:r>
        <w:rPr>
          <w:rFonts w:cs="Arial"/>
          <w:szCs w:val="20"/>
        </w:rPr>
        <w:t>P</w:t>
      </w:r>
      <w:r w:rsidRPr="006603A9">
        <w:rPr>
          <w:rFonts w:cs="Arial"/>
          <w:szCs w:val="20"/>
        </w:rPr>
        <w:t>rimerjave rezultatov za vrednost svinca v krvi triletnikov iz Zgornje Mežiške pokaže</w:t>
      </w:r>
      <w:r>
        <w:rPr>
          <w:rFonts w:cs="Arial"/>
          <w:szCs w:val="20"/>
        </w:rPr>
        <w:t>jo</w:t>
      </w:r>
      <w:r w:rsidRPr="006603A9">
        <w:rPr>
          <w:rFonts w:cs="Arial"/>
          <w:szCs w:val="20"/>
        </w:rPr>
        <w:t xml:space="preserve">, da je ta </w:t>
      </w:r>
      <w:r>
        <w:rPr>
          <w:rFonts w:cs="Arial"/>
          <w:szCs w:val="20"/>
        </w:rPr>
        <w:t>po začetku izvajanja ukrepov</w:t>
      </w:r>
      <w:r w:rsidRPr="006603A9">
        <w:rPr>
          <w:rFonts w:cs="Arial"/>
          <w:szCs w:val="20"/>
        </w:rPr>
        <w:t xml:space="preserve"> padala, nato pa </w:t>
      </w:r>
      <w:r>
        <w:rPr>
          <w:rFonts w:cs="Arial"/>
          <w:szCs w:val="20"/>
        </w:rPr>
        <w:t xml:space="preserve">se je </w:t>
      </w:r>
      <w:r w:rsidRPr="006603A9">
        <w:rPr>
          <w:rFonts w:cs="Arial"/>
          <w:szCs w:val="20"/>
        </w:rPr>
        <w:t>ustalila. Primerjava obdobij 2006</w:t>
      </w:r>
      <w:r>
        <w:rPr>
          <w:rFonts w:cs="Arial"/>
          <w:szCs w:val="20"/>
        </w:rPr>
        <w:t>–</w:t>
      </w:r>
      <w:r w:rsidRPr="006603A9">
        <w:rPr>
          <w:rFonts w:cs="Arial"/>
          <w:szCs w:val="20"/>
        </w:rPr>
        <w:t xml:space="preserve">2007, </w:t>
      </w:r>
      <w:r>
        <w:rPr>
          <w:rFonts w:cs="Arial"/>
          <w:szCs w:val="20"/>
        </w:rPr>
        <w:br/>
      </w:r>
      <w:r w:rsidRPr="006603A9">
        <w:rPr>
          <w:rFonts w:cs="Arial"/>
          <w:szCs w:val="20"/>
        </w:rPr>
        <w:t>2008</w:t>
      </w:r>
      <w:r>
        <w:rPr>
          <w:rFonts w:cs="Arial"/>
          <w:szCs w:val="20"/>
        </w:rPr>
        <w:t>–</w:t>
      </w:r>
      <w:r w:rsidRPr="006603A9">
        <w:rPr>
          <w:rFonts w:cs="Arial"/>
          <w:szCs w:val="20"/>
        </w:rPr>
        <w:t>2009 in 2010</w:t>
      </w:r>
      <w:r>
        <w:rPr>
          <w:rFonts w:cs="Arial"/>
          <w:szCs w:val="20"/>
        </w:rPr>
        <w:t>–</w:t>
      </w:r>
      <w:r w:rsidRPr="006603A9">
        <w:rPr>
          <w:rFonts w:cs="Arial"/>
          <w:szCs w:val="20"/>
        </w:rPr>
        <w:t>2011 pokaže, da je imelo na začetku visoke vrednosti (≥100 µg/l) svinca v krvi nad 50</w:t>
      </w:r>
      <w:r>
        <w:rPr>
          <w:rFonts w:cs="Arial"/>
          <w:szCs w:val="20"/>
        </w:rPr>
        <w:t xml:space="preserve"> </w:t>
      </w:r>
      <w:r w:rsidRPr="006603A9">
        <w:rPr>
          <w:rFonts w:cs="Arial"/>
          <w:szCs w:val="20"/>
        </w:rPr>
        <w:t>% otrok, kar se je najprej znižalo na 20</w:t>
      </w:r>
      <w:r>
        <w:rPr>
          <w:rFonts w:cs="Arial"/>
          <w:szCs w:val="20"/>
        </w:rPr>
        <w:t xml:space="preserve"> </w:t>
      </w:r>
      <w:r w:rsidRPr="006603A9">
        <w:rPr>
          <w:rFonts w:cs="Arial"/>
          <w:szCs w:val="20"/>
        </w:rPr>
        <w:t>%</w:t>
      </w:r>
      <w:r>
        <w:rPr>
          <w:rFonts w:cs="Arial"/>
          <w:szCs w:val="20"/>
        </w:rPr>
        <w:t>,</w:t>
      </w:r>
      <w:r w:rsidRPr="006603A9">
        <w:rPr>
          <w:rFonts w:cs="Arial"/>
          <w:szCs w:val="20"/>
        </w:rPr>
        <w:t xml:space="preserve"> nato pa </w:t>
      </w:r>
      <w:r>
        <w:rPr>
          <w:rFonts w:cs="Arial"/>
          <w:szCs w:val="20"/>
        </w:rPr>
        <w:t xml:space="preserve">se je </w:t>
      </w:r>
      <w:r w:rsidRPr="006603A9">
        <w:rPr>
          <w:rFonts w:cs="Arial"/>
          <w:szCs w:val="20"/>
        </w:rPr>
        <w:t xml:space="preserve">ustalilo </w:t>
      </w:r>
      <w:r>
        <w:rPr>
          <w:rFonts w:cs="Arial"/>
          <w:szCs w:val="20"/>
        </w:rPr>
        <w:t>pri</w:t>
      </w:r>
      <w:r w:rsidRPr="006603A9">
        <w:rPr>
          <w:rFonts w:cs="Arial"/>
          <w:szCs w:val="20"/>
        </w:rPr>
        <w:t xml:space="preserve"> </w:t>
      </w:r>
      <w:r>
        <w:rPr>
          <w:rFonts w:cs="Arial"/>
          <w:szCs w:val="20"/>
        </w:rPr>
        <w:t>približno</w:t>
      </w:r>
      <w:r w:rsidRPr="006603A9">
        <w:rPr>
          <w:rFonts w:cs="Arial"/>
          <w:szCs w:val="20"/>
        </w:rPr>
        <w:t xml:space="preserve"> 10</w:t>
      </w:r>
      <w:r>
        <w:rPr>
          <w:rFonts w:cs="Arial"/>
          <w:szCs w:val="20"/>
        </w:rPr>
        <w:t xml:space="preserve"> </w:t>
      </w:r>
      <w:r w:rsidRPr="006603A9">
        <w:rPr>
          <w:rFonts w:cs="Arial"/>
          <w:szCs w:val="20"/>
        </w:rPr>
        <w:t>%.</w:t>
      </w:r>
      <w:r>
        <w:rPr>
          <w:rFonts w:cs="Arial"/>
          <w:szCs w:val="20"/>
        </w:rPr>
        <w:t xml:space="preserve"> Od leta 2016 </w:t>
      </w:r>
      <w:r w:rsidRPr="006603A9">
        <w:rPr>
          <w:rFonts w:cs="Arial"/>
          <w:szCs w:val="20"/>
        </w:rPr>
        <w:t>so vrednosti precej nihale. Leta 2016 so bile visoke vrednosti (100 µg/l in več) izmerjene pri 7,9</w:t>
      </w:r>
      <w:r>
        <w:rPr>
          <w:rFonts w:cs="Arial"/>
          <w:szCs w:val="20"/>
        </w:rPr>
        <w:t xml:space="preserve"> </w:t>
      </w:r>
      <w:r w:rsidRPr="006603A9">
        <w:rPr>
          <w:rFonts w:cs="Arial"/>
          <w:szCs w:val="20"/>
        </w:rPr>
        <w:t>% triletnikov, leta 2017</w:t>
      </w:r>
      <w:r>
        <w:rPr>
          <w:rFonts w:cs="Arial"/>
          <w:szCs w:val="20"/>
        </w:rPr>
        <w:t xml:space="preserve"> pri 20 %, leta 2018 pri 16,1 %,</w:t>
      </w:r>
      <w:r w:rsidRPr="006603A9">
        <w:rPr>
          <w:rFonts w:cs="Arial"/>
          <w:szCs w:val="20"/>
        </w:rPr>
        <w:t xml:space="preserve"> leta 2019 pri 4,6</w:t>
      </w:r>
      <w:r>
        <w:rPr>
          <w:rFonts w:cs="Arial"/>
          <w:szCs w:val="20"/>
        </w:rPr>
        <w:t xml:space="preserve"> </w:t>
      </w:r>
      <w:r w:rsidRPr="006603A9">
        <w:rPr>
          <w:rFonts w:cs="Arial"/>
          <w:szCs w:val="20"/>
        </w:rPr>
        <w:t>%</w:t>
      </w:r>
      <w:r>
        <w:rPr>
          <w:rFonts w:cs="Arial"/>
          <w:szCs w:val="20"/>
        </w:rPr>
        <w:t xml:space="preserve"> in leta 2020 pri 4 %</w:t>
      </w:r>
      <w:r w:rsidRPr="006603A9">
        <w:rPr>
          <w:rFonts w:cs="Arial"/>
          <w:szCs w:val="20"/>
        </w:rPr>
        <w:t xml:space="preserve">. </w:t>
      </w:r>
      <w:r>
        <w:rPr>
          <w:rFonts w:cs="Arial"/>
          <w:szCs w:val="20"/>
        </w:rPr>
        <w:t xml:space="preserve">Glede rezultate meritev v zadnjih dveh letih bi lahko ocenili, da je cilj programa dosežen, vendar ne gre prehitevati s sklepi. Nižje vrednosti so bile izmerjene v letih, ko je bila zaradi vremena (2016, 2019) oziroma protiepidemijskih ukrepov (2020) izpostavljenost otrok onesnaženemu prahu verjetno nižja. </w:t>
      </w:r>
    </w:p>
    <w:p w:rsidR="0035177E" w:rsidRDefault="0035177E" w:rsidP="0035177E">
      <w:pPr>
        <w:jc w:val="both"/>
        <w:rPr>
          <w:rFonts w:cs="Arial"/>
          <w:szCs w:val="20"/>
        </w:rPr>
      </w:pPr>
    </w:p>
    <w:p w:rsidR="0035177E" w:rsidRDefault="0035177E" w:rsidP="0035177E">
      <w:pPr>
        <w:jc w:val="both"/>
        <w:rPr>
          <w:rFonts w:cs="Arial"/>
          <w:szCs w:val="20"/>
        </w:rPr>
      </w:pPr>
      <w:r>
        <w:rPr>
          <w:rFonts w:cs="Arial"/>
          <w:szCs w:val="20"/>
        </w:rPr>
        <w:lastRenderedPageBreak/>
        <w:t xml:space="preserve">Onesnažena tla in prah sta najpomembnejša vira </w:t>
      </w:r>
      <w:r w:rsidRPr="006603A9">
        <w:rPr>
          <w:rFonts w:cs="Arial"/>
          <w:szCs w:val="20"/>
        </w:rPr>
        <w:t xml:space="preserve">izpostavljenosti otrok iz Zgornje Mežiške doline svincu. </w:t>
      </w:r>
      <w:r>
        <w:rPr>
          <w:rFonts w:cs="Arial"/>
          <w:szCs w:val="20"/>
        </w:rPr>
        <w:t>Ukrepi, ki se v programu izvajajo, bi morali biti predvsem usmerjeni v omejevanje izpostavljenosti prebivalstva tem virom. V tem smislu so bila leta 2019 določena merila za prednostni izbor ukrepov – glavno merilo je želeni učinek ukrepa oziroma v kolikšni meri bo ukrep zmanjšal izpostavljenost otrok svincu, pomembna pa sta še tem natančnejša opredelitev težave in možnost izvedbe glede na ceno in zahtevnost. Ukrepi morajo biti načrtovani na podlagi teh meril in izvedeni tako, da ne prinašajo novih oziroma dodatnih izpustov potencialno toksičnih snovi v okolje ter zagotavljajo dolgotrajno</w:t>
      </w:r>
      <w:r w:rsidR="00FF57F1">
        <w:rPr>
          <w:rFonts w:cs="Arial"/>
          <w:szCs w:val="20"/>
        </w:rPr>
        <w:t xml:space="preserve"> vzdrževanje doseženega učinka.</w:t>
      </w:r>
    </w:p>
    <w:p w:rsidR="00FF57F1" w:rsidRDefault="00FF57F1" w:rsidP="0035177E">
      <w:pPr>
        <w:jc w:val="both"/>
        <w:rPr>
          <w:rFonts w:cs="Arial"/>
          <w:szCs w:val="20"/>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r>
        <w:rPr>
          <w:rFonts w:cs="Arial"/>
          <w:noProof/>
          <w:szCs w:val="20"/>
          <w:lang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33655</wp:posOffset>
            </wp:positionV>
            <wp:extent cx="4968000" cy="3316153"/>
            <wp:effectExtent l="19050" t="19050" r="23495" b="17780"/>
            <wp:wrapNone/>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000" cy="331615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Default="0035177E" w:rsidP="0035177E">
      <w:pPr>
        <w:jc w:val="both"/>
        <w:rPr>
          <w:rFonts w:ascii="Calibri" w:hAnsi="Calibri" w:cs="Calibri"/>
          <w:sz w:val="22"/>
          <w:szCs w:val="22"/>
        </w:rPr>
      </w:pPr>
    </w:p>
    <w:p w:rsidR="0035177E" w:rsidRPr="006603A9" w:rsidRDefault="0035177E" w:rsidP="0035177E">
      <w:pPr>
        <w:jc w:val="center"/>
        <w:rPr>
          <w:rFonts w:cs="Arial"/>
          <w:noProof/>
          <w:szCs w:val="20"/>
          <w:lang w:eastAsia="sl-SI"/>
        </w:rPr>
      </w:pPr>
    </w:p>
    <w:p w:rsidR="0035177E" w:rsidRDefault="0035177E" w:rsidP="0035177E">
      <w:pPr>
        <w:jc w:val="center"/>
        <w:rPr>
          <w:rFonts w:cs="Arial"/>
          <w:szCs w:val="20"/>
          <w:u w:val="single"/>
        </w:rPr>
      </w:pPr>
    </w:p>
    <w:p w:rsidR="0035177E" w:rsidRDefault="0035177E" w:rsidP="0035177E">
      <w:pPr>
        <w:jc w:val="center"/>
        <w:rPr>
          <w:rFonts w:cs="Arial"/>
          <w:szCs w:val="20"/>
          <w:u w:val="single"/>
        </w:rPr>
      </w:pPr>
    </w:p>
    <w:p w:rsidR="0035177E" w:rsidRDefault="0035177E" w:rsidP="0035177E">
      <w:pPr>
        <w:jc w:val="center"/>
        <w:rPr>
          <w:rFonts w:cs="Arial"/>
          <w:szCs w:val="20"/>
          <w:u w:val="single"/>
        </w:rPr>
      </w:pPr>
    </w:p>
    <w:p w:rsidR="0035177E" w:rsidRDefault="0035177E" w:rsidP="0035177E">
      <w:pPr>
        <w:jc w:val="center"/>
        <w:rPr>
          <w:rFonts w:cs="Arial"/>
          <w:szCs w:val="20"/>
          <w:u w:val="single"/>
        </w:rPr>
      </w:pPr>
    </w:p>
    <w:p w:rsidR="0035177E" w:rsidRDefault="0035177E" w:rsidP="0035177E">
      <w:pPr>
        <w:jc w:val="center"/>
        <w:rPr>
          <w:rFonts w:cs="Arial"/>
          <w:szCs w:val="20"/>
          <w:u w:val="single"/>
        </w:rPr>
      </w:pPr>
    </w:p>
    <w:p w:rsidR="0035177E" w:rsidRDefault="0035177E" w:rsidP="0035177E">
      <w:pPr>
        <w:jc w:val="center"/>
        <w:rPr>
          <w:rFonts w:cs="Arial"/>
          <w:szCs w:val="20"/>
          <w:u w:val="single"/>
        </w:rPr>
      </w:pPr>
    </w:p>
    <w:p w:rsidR="0035177E" w:rsidRDefault="0035177E" w:rsidP="0035177E">
      <w:pPr>
        <w:jc w:val="center"/>
        <w:rPr>
          <w:rFonts w:cs="Arial"/>
          <w:szCs w:val="20"/>
          <w:u w:val="single"/>
        </w:rPr>
      </w:pPr>
    </w:p>
    <w:p w:rsidR="0035177E" w:rsidRPr="006603A9" w:rsidRDefault="0035177E" w:rsidP="0035177E">
      <w:pPr>
        <w:rPr>
          <w:rFonts w:cs="Arial"/>
          <w:szCs w:val="20"/>
          <w:u w:val="single"/>
        </w:rPr>
      </w:pPr>
      <w:r w:rsidRPr="006603A9">
        <w:rPr>
          <w:rFonts w:cs="Arial"/>
          <w:szCs w:val="20"/>
          <w:u w:val="single"/>
        </w:rPr>
        <w:t>Slika: Primerjava deležev tri leta starih otrok iz Zgornje Mežiške doline glede na izmerjene vsebnosti svinca v krvi otrok</w:t>
      </w:r>
    </w:p>
    <w:p w:rsidR="0035177E" w:rsidRDefault="0035177E" w:rsidP="0035177E">
      <w:pPr>
        <w:jc w:val="both"/>
        <w:rPr>
          <w:rFonts w:cs="Arial"/>
          <w:szCs w:val="20"/>
        </w:rPr>
      </w:pPr>
    </w:p>
    <w:p w:rsidR="00FF57F1" w:rsidRPr="006603A9" w:rsidRDefault="00FF57F1" w:rsidP="0035177E">
      <w:pPr>
        <w:jc w:val="both"/>
        <w:rPr>
          <w:rFonts w:cs="Arial"/>
          <w:szCs w:val="20"/>
        </w:rPr>
      </w:pPr>
    </w:p>
    <w:p w:rsidR="0035177E" w:rsidRDefault="0035177E" w:rsidP="0035177E">
      <w:pPr>
        <w:jc w:val="both"/>
        <w:rPr>
          <w:rFonts w:cs="Arial"/>
          <w:szCs w:val="20"/>
        </w:rPr>
      </w:pPr>
      <w:r>
        <w:rPr>
          <w:rFonts w:cs="Arial"/>
          <w:szCs w:val="20"/>
        </w:rPr>
        <w:t xml:space="preserve">Podobno kot delež otrok z ugotovljeno visoko vrednostjo svinca v krvi se je nižala tudi mediana za svinec v krvi triletnikov iz Zgornje Mežiške doline. Najnižja vrednost je bila ugotovljena leta 2020. </w:t>
      </w:r>
      <w:r w:rsidRPr="006603A9">
        <w:rPr>
          <w:rFonts w:cs="Arial"/>
          <w:szCs w:val="20"/>
        </w:rPr>
        <w:t>Pr</w:t>
      </w:r>
      <w:r>
        <w:rPr>
          <w:rFonts w:cs="Arial"/>
          <w:szCs w:val="20"/>
        </w:rPr>
        <w:t xml:space="preserve">imerjava vrednosti mediane (grafikon) za triletnike in vse otroke ob izvedbi prevalentnih študij leta 2008, 2013 in 2018 kaže višje vrednosti za skupino triletnikov, kar potrjuje, da je ta skupina bolj dovzetna za izpostavljenost oziroma vnos svinca. </w:t>
      </w:r>
    </w:p>
    <w:p w:rsidR="0035177E" w:rsidRDefault="0035177E" w:rsidP="0035177E">
      <w:pPr>
        <w:jc w:val="both"/>
        <w:rPr>
          <w:rFonts w:cs="Arial"/>
          <w:szCs w:val="20"/>
        </w:rPr>
      </w:pPr>
    </w:p>
    <w:p w:rsidR="0035177E" w:rsidRPr="006603A9" w:rsidRDefault="0035177E" w:rsidP="0035177E">
      <w:pPr>
        <w:jc w:val="both"/>
        <w:rPr>
          <w:rFonts w:cs="Arial"/>
          <w:szCs w:val="20"/>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r>
        <w:rPr>
          <w:rFonts w:cs="Arial"/>
          <w:noProof/>
          <w:szCs w:val="20"/>
          <w:lang w:eastAsia="sl-SI"/>
        </w:rPr>
        <w:drawing>
          <wp:anchor distT="0" distB="0" distL="114300" distR="114300" simplePos="0" relativeHeight="251659264" behindDoc="1" locked="0" layoutInCell="1" allowOverlap="1">
            <wp:simplePos x="0" y="0"/>
            <wp:positionH relativeFrom="margin">
              <wp:align>left</wp:align>
            </wp:positionH>
            <wp:positionV relativeFrom="paragraph">
              <wp:posOffset>10795</wp:posOffset>
            </wp:positionV>
            <wp:extent cx="5661025" cy="34556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1025" cy="3455670"/>
                    </a:xfrm>
                    <a:prstGeom prst="rect">
                      <a:avLst/>
                    </a:prstGeom>
                    <a:noFill/>
                  </pic:spPr>
                </pic:pic>
              </a:graphicData>
            </a:graphic>
            <wp14:sizeRelH relativeFrom="page">
              <wp14:pctWidth>0</wp14:pctWidth>
            </wp14:sizeRelH>
            <wp14:sizeRelV relativeFrom="page">
              <wp14:pctHeight>0</wp14:pctHeight>
            </wp14:sizeRelV>
          </wp:anchor>
        </w:drawing>
      </w: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szCs w:val="20"/>
          <w:u w:val="single"/>
        </w:rPr>
      </w:pPr>
    </w:p>
    <w:p w:rsidR="0035177E" w:rsidRDefault="0035177E" w:rsidP="0035177E">
      <w:pPr>
        <w:autoSpaceDE w:val="0"/>
        <w:autoSpaceDN w:val="0"/>
        <w:adjustRightInd w:val="0"/>
        <w:rPr>
          <w:rFonts w:cs="Arial"/>
          <w:color w:val="000000"/>
          <w:szCs w:val="20"/>
        </w:rPr>
        <w:sectPr w:rsidR="0035177E" w:rsidSect="005C3E50">
          <w:footerReference w:type="default" r:id="rId10"/>
          <w:headerReference w:type="first" r:id="rId11"/>
          <w:footerReference w:type="first" r:id="rId12"/>
          <w:pgSz w:w="11906" w:h="16838"/>
          <w:pgMar w:top="1701" w:right="1701" w:bottom="1134" w:left="1701" w:header="964" w:footer="794" w:gutter="0"/>
          <w:cols w:space="708"/>
          <w:titlePg/>
          <w:docGrid w:linePitch="360"/>
        </w:sectPr>
      </w:pPr>
      <w:r w:rsidRPr="006603A9">
        <w:rPr>
          <w:rFonts w:cs="Arial"/>
          <w:szCs w:val="20"/>
          <w:u w:val="single"/>
        </w:rPr>
        <w:t xml:space="preserve">Slika: Primerjava mediane vrednosti svinca v krvi </w:t>
      </w:r>
      <w:r>
        <w:rPr>
          <w:rFonts w:cs="Arial"/>
          <w:szCs w:val="20"/>
          <w:u w:val="single"/>
        </w:rPr>
        <w:t xml:space="preserve">triletnikov (od 24 do 48 mesecev) </w:t>
      </w:r>
      <w:r w:rsidRPr="006603A9">
        <w:rPr>
          <w:rFonts w:cs="Arial"/>
          <w:szCs w:val="20"/>
          <w:u w:val="single"/>
        </w:rPr>
        <w:t>po</w:t>
      </w:r>
      <w:r>
        <w:rPr>
          <w:rFonts w:cs="Arial"/>
          <w:szCs w:val="20"/>
          <w:u w:val="single"/>
        </w:rPr>
        <w:t xml:space="preserve"> letih ter primerjava z mediano za vse vključene otroke iz Zgornje Mežiške doline v letih izvedbe prevalentne študij</w:t>
      </w:r>
      <w:r w:rsidR="00FF57F1">
        <w:rPr>
          <w:rFonts w:cs="Arial"/>
          <w:szCs w:val="20"/>
          <w:u w:val="single"/>
        </w:rPr>
        <w:t>e</w:t>
      </w:r>
    </w:p>
    <w:tbl>
      <w:tblPr>
        <w:tblpPr w:leftFromText="141" w:rightFromText="141" w:vertAnchor="text" w:horzAnchor="page" w:tblpX="1615" w:tblpY="18"/>
        <w:tblW w:w="12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1"/>
        <w:gridCol w:w="7651"/>
        <w:gridCol w:w="1276"/>
        <w:gridCol w:w="1276"/>
        <w:gridCol w:w="1417"/>
      </w:tblGrid>
      <w:tr w:rsidR="001100FF" w:rsidRPr="0035177E" w:rsidTr="001100FF">
        <w:tc>
          <w:tcPr>
            <w:tcW w:w="8392" w:type="dxa"/>
            <w:gridSpan w:val="2"/>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lastRenderedPageBreak/>
              <w:t>Načrt ukrepov za leto 2021</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417"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2021</w:t>
            </w:r>
          </w:p>
        </w:tc>
      </w:tr>
      <w:tr w:rsidR="001100FF" w:rsidRPr="0035177E" w:rsidTr="001100FF">
        <w:tc>
          <w:tcPr>
            <w:tcW w:w="8392" w:type="dxa"/>
            <w:gridSpan w:val="2"/>
            <w:tcBorders>
              <w:bottom w:val="single" w:sz="4" w:space="0" w:color="000000"/>
            </w:tcBorders>
          </w:tcPr>
          <w:p w:rsidR="001100FF" w:rsidRPr="0035177E" w:rsidRDefault="001100FF" w:rsidP="001100FF">
            <w:pPr>
              <w:spacing w:line="276" w:lineRule="auto"/>
              <w:rPr>
                <w:rFonts w:cs="Arial"/>
                <w:szCs w:val="20"/>
              </w:rPr>
            </w:pPr>
            <w:r w:rsidRPr="0035177E">
              <w:rPr>
                <w:rFonts w:cs="Arial"/>
                <w:b/>
                <w:bCs/>
                <w:szCs w:val="20"/>
              </w:rPr>
              <w:t>UKREPI po točkah iz priloge 2 Odloka</w:t>
            </w:r>
          </w:p>
        </w:tc>
        <w:tc>
          <w:tcPr>
            <w:tcW w:w="1276"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Občina</w:t>
            </w:r>
          </w:p>
          <w:p w:rsidR="001100FF" w:rsidRPr="0035177E" w:rsidRDefault="001100FF" w:rsidP="001100FF">
            <w:pPr>
              <w:spacing w:line="276" w:lineRule="auto"/>
              <w:rPr>
                <w:rFonts w:cs="Arial"/>
                <w:szCs w:val="20"/>
              </w:rPr>
            </w:pPr>
            <w:r w:rsidRPr="0035177E">
              <w:rPr>
                <w:rFonts w:cs="Arial"/>
                <w:szCs w:val="20"/>
              </w:rPr>
              <w:t>Mežica</w:t>
            </w:r>
          </w:p>
        </w:tc>
        <w:tc>
          <w:tcPr>
            <w:tcW w:w="1276"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Občina</w:t>
            </w:r>
          </w:p>
          <w:p w:rsidR="001100FF" w:rsidRPr="0035177E" w:rsidRDefault="001100FF" w:rsidP="001100FF">
            <w:pPr>
              <w:spacing w:line="276" w:lineRule="auto"/>
              <w:rPr>
                <w:rFonts w:cs="Arial"/>
                <w:szCs w:val="20"/>
              </w:rPr>
            </w:pPr>
            <w:r w:rsidRPr="0035177E">
              <w:rPr>
                <w:rFonts w:cs="Arial"/>
                <w:szCs w:val="20"/>
              </w:rPr>
              <w:t>Črna</w:t>
            </w:r>
          </w:p>
        </w:tc>
        <w:tc>
          <w:tcPr>
            <w:tcW w:w="1417"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SKUPAJ</w:t>
            </w: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2.1</w:t>
            </w:r>
          </w:p>
        </w:tc>
        <w:tc>
          <w:tcPr>
            <w:tcW w:w="7651" w:type="dxa"/>
            <w:shd w:val="pct10" w:color="auto" w:fill="auto"/>
          </w:tcPr>
          <w:p w:rsidR="001100FF" w:rsidRPr="0035177E" w:rsidRDefault="001100FF" w:rsidP="001100FF">
            <w:pPr>
              <w:spacing w:line="276" w:lineRule="auto"/>
              <w:rPr>
                <w:rFonts w:cs="Arial"/>
                <w:b/>
                <w:bCs/>
                <w:szCs w:val="20"/>
              </w:rPr>
            </w:pPr>
            <w:r w:rsidRPr="0035177E">
              <w:rPr>
                <w:rFonts w:cs="Arial"/>
                <w:b/>
                <w:bCs/>
                <w:szCs w:val="20"/>
              </w:rPr>
              <w:t xml:space="preserve">Zamenjava onesnažene zemlje in </w:t>
            </w:r>
            <w:proofErr w:type="spellStart"/>
            <w:r w:rsidRPr="0035177E">
              <w:rPr>
                <w:rFonts w:cs="Arial"/>
                <w:b/>
                <w:bCs/>
                <w:szCs w:val="20"/>
              </w:rPr>
              <w:t>zasejanje</w:t>
            </w:r>
            <w:proofErr w:type="spellEnd"/>
            <w:r w:rsidRPr="0035177E">
              <w:rPr>
                <w:rFonts w:cs="Arial"/>
                <w:b/>
                <w:bCs/>
                <w:szCs w:val="20"/>
              </w:rPr>
              <w:t xml:space="preserve"> trave na javnih površinah, ki so namenjene zadrževanju otrok</w:t>
            </w:r>
          </w:p>
        </w:tc>
        <w:tc>
          <w:tcPr>
            <w:tcW w:w="1276" w:type="dxa"/>
            <w:shd w:val="pct10" w:color="auto" w:fill="auto"/>
          </w:tcPr>
          <w:p w:rsidR="001100FF" w:rsidRPr="0035177E" w:rsidRDefault="001100FF" w:rsidP="001100FF">
            <w:pPr>
              <w:spacing w:line="276" w:lineRule="auto"/>
              <w:jc w:val="right"/>
              <w:rPr>
                <w:rFonts w:cs="Arial"/>
                <w:szCs w:val="20"/>
              </w:rPr>
            </w:pPr>
            <w:r w:rsidRPr="0035177E">
              <w:rPr>
                <w:rFonts w:cs="Arial"/>
                <w:szCs w:val="20"/>
              </w:rPr>
              <w:t>35.000</w:t>
            </w:r>
          </w:p>
        </w:tc>
        <w:tc>
          <w:tcPr>
            <w:tcW w:w="1276" w:type="dxa"/>
            <w:shd w:val="pct10" w:color="auto" w:fill="auto"/>
          </w:tcPr>
          <w:p w:rsidR="001100FF" w:rsidRPr="0035177E" w:rsidRDefault="001100FF" w:rsidP="001100FF">
            <w:pPr>
              <w:spacing w:line="276" w:lineRule="auto"/>
              <w:jc w:val="right"/>
              <w:rPr>
                <w:rFonts w:cs="Arial"/>
                <w:szCs w:val="20"/>
              </w:rPr>
            </w:pPr>
            <w:r w:rsidRPr="0035177E">
              <w:rPr>
                <w:rFonts w:cs="Arial"/>
                <w:szCs w:val="20"/>
              </w:rPr>
              <w:t>100.000</w:t>
            </w: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135.000,00</w:t>
            </w:r>
          </w:p>
        </w:tc>
      </w:tr>
      <w:tr w:rsidR="001100FF" w:rsidRPr="0035177E" w:rsidTr="001100FF">
        <w:trPr>
          <w:trHeight w:val="604"/>
        </w:trPr>
        <w:tc>
          <w:tcPr>
            <w:tcW w:w="741" w:type="dxa"/>
            <w:tcBorders>
              <w:bottom w:val="single" w:sz="4" w:space="0" w:color="000000"/>
            </w:tcBorders>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Borders>
              <w:bottom w:val="single" w:sz="4" w:space="0" w:color="000000"/>
            </w:tcBorders>
          </w:tcPr>
          <w:p w:rsidR="001100FF" w:rsidRPr="0035177E" w:rsidRDefault="001100FF" w:rsidP="001100FF">
            <w:pPr>
              <w:numPr>
                <w:ilvl w:val="0"/>
                <w:numId w:val="6"/>
              </w:numPr>
              <w:rPr>
                <w:rFonts w:cs="Arial"/>
                <w:szCs w:val="20"/>
              </w:rPr>
            </w:pPr>
            <w:r w:rsidRPr="0035177E">
              <w:rPr>
                <w:rFonts w:cs="Arial"/>
                <w:bCs/>
                <w:szCs w:val="20"/>
              </w:rPr>
              <w:t>Ureditev otroških igrišč na območju občine, najprej igrišča Vrtca Mežica (zatravitev golih površin, namestitev ustreznih podlag za protiprašno ureditev pod otroškimi igrali, postavitev pitnikov in umivalnikov in drugi ukrepi, ki bodo preprečevali stik otrok s kontaminirano zemljino in pripomogli k večji higieni otrok – umivanje rok) po priporočilih NIJZ.</w:t>
            </w:r>
          </w:p>
        </w:tc>
        <w:tc>
          <w:tcPr>
            <w:tcW w:w="1276" w:type="dxa"/>
            <w:tcBorders>
              <w:bottom w:val="single" w:sz="4" w:space="0" w:color="000000"/>
            </w:tcBorders>
          </w:tcPr>
          <w:p w:rsidR="001100FF" w:rsidRPr="0035177E" w:rsidRDefault="001100FF" w:rsidP="001100FF">
            <w:pPr>
              <w:spacing w:line="276" w:lineRule="auto"/>
              <w:jc w:val="right"/>
              <w:rPr>
                <w:rFonts w:cs="Arial"/>
                <w:color w:val="0070C0"/>
                <w:szCs w:val="20"/>
              </w:rPr>
            </w:pPr>
            <w:r w:rsidRPr="0035177E">
              <w:rPr>
                <w:rFonts w:cs="Arial"/>
                <w:color w:val="0070C0"/>
                <w:szCs w:val="20"/>
              </w:rPr>
              <w:t>35.000</w:t>
            </w:r>
          </w:p>
        </w:tc>
        <w:tc>
          <w:tcPr>
            <w:tcW w:w="1276" w:type="dxa"/>
            <w:tcBorders>
              <w:bottom w:val="single" w:sz="4" w:space="0" w:color="000000"/>
            </w:tcBorders>
          </w:tcPr>
          <w:p w:rsidR="001100FF" w:rsidRPr="0035177E" w:rsidRDefault="001100FF" w:rsidP="001100FF">
            <w:pPr>
              <w:spacing w:line="276" w:lineRule="auto"/>
              <w:jc w:val="right"/>
              <w:rPr>
                <w:rFonts w:cs="Arial"/>
                <w:color w:val="0070C0"/>
                <w:szCs w:val="20"/>
              </w:rPr>
            </w:pPr>
          </w:p>
        </w:tc>
        <w:tc>
          <w:tcPr>
            <w:tcW w:w="1417" w:type="dxa"/>
            <w:tcBorders>
              <w:bottom w:val="single" w:sz="4" w:space="0" w:color="000000"/>
            </w:tcBorders>
          </w:tcPr>
          <w:p w:rsidR="001100FF" w:rsidRPr="0035177E" w:rsidRDefault="001100FF" w:rsidP="001100FF">
            <w:pPr>
              <w:spacing w:line="276" w:lineRule="auto"/>
              <w:rPr>
                <w:rFonts w:cs="Arial"/>
                <w:color w:val="0070C0"/>
                <w:szCs w:val="20"/>
              </w:rPr>
            </w:pPr>
          </w:p>
        </w:tc>
      </w:tr>
      <w:tr w:rsidR="001100FF" w:rsidRPr="0035177E" w:rsidTr="001100FF">
        <w:trPr>
          <w:trHeight w:val="604"/>
        </w:trPr>
        <w:tc>
          <w:tcPr>
            <w:tcW w:w="741"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Č</w:t>
            </w:r>
          </w:p>
        </w:tc>
        <w:tc>
          <w:tcPr>
            <w:tcW w:w="7651" w:type="dxa"/>
            <w:tcBorders>
              <w:bottom w:val="single" w:sz="4" w:space="0" w:color="000000"/>
            </w:tcBorders>
          </w:tcPr>
          <w:p w:rsidR="001100FF" w:rsidRPr="0035177E" w:rsidRDefault="001100FF" w:rsidP="001100FF">
            <w:pPr>
              <w:numPr>
                <w:ilvl w:val="0"/>
                <w:numId w:val="6"/>
              </w:numPr>
              <w:rPr>
                <w:rFonts w:cs="Arial"/>
                <w:szCs w:val="20"/>
              </w:rPr>
            </w:pPr>
            <w:r w:rsidRPr="0035177E">
              <w:rPr>
                <w:rFonts w:cs="Arial"/>
                <w:szCs w:val="20"/>
              </w:rPr>
              <w:t>Celovita ureditev otroškega igrišča pri OŠ Žerjav, zatravitev golih površin, ureditev igralnih površin s podlagami;</w:t>
            </w:r>
          </w:p>
          <w:p w:rsidR="001100FF" w:rsidRPr="0035177E" w:rsidRDefault="001100FF" w:rsidP="001100FF">
            <w:pPr>
              <w:numPr>
                <w:ilvl w:val="0"/>
                <w:numId w:val="6"/>
              </w:numPr>
              <w:rPr>
                <w:rFonts w:cs="Arial"/>
                <w:szCs w:val="20"/>
              </w:rPr>
            </w:pPr>
            <w:r w:rsidRPr="0035177E">
              <w:rPr>
                <w:rFonts w:cs="Arial"/>
                <w:szCs w:val="20"/>
              </w:rPr>
              <w:t>ureditev igralnih podlag in kotička s pitno vodo na igrišču na Bognarjevi ridi;</w:t>
            </w:r>
          </w:p>
          <w:p w:rsidR="001100FF" w:rsidRPr="0035177E" w:rsidRDefault="001100FF" w:rsidP="001100FF">
            <w:pPr>
              <w:numPr>
                <w:ilvl w:val="0"/>
                <w:numId w:val="6"/>
              </w:numPr>
              <w:rPr>
                <w:rFonts w:cs="Arial"/>
                <w:szCs w:val="20"/>
              </w:rPr>
            </w:pPr>
            <w:r w:rsidRPr="0035177E">
              <w:rPr>
                <w:rFonts w:cs="Arial"/>
                <w:szCs w:val="20"/>
              </w:rPr>
              <w:t xml:space="preserve">ureditev površin ob igriščih na območju </w:t>
            </w:r>
            <w:proofErr w:type="spellStart"/>
            <w:r w:rsidRPr="0035177E">
              <w:rPr>
                <w:rFonts w:cs="Arial"/>
                <w:szCs w:val="20"/>
              </w:rPr>
              <w:t>pumptrack</w:t>
            </w:r>
            <w:proofErr w:type="spellEnd"/>
            <w:r w:rsidRPr="0035177E">
              <w:rPr>
                <w:rFonts w:cs="Arial"/>
                <w:szCs w:val="20"/>
              </w:rPr>
              <w:t xml:space="preserve"> steze in ureditev kotička s pitno vodo</w:t>
            </w:r>
          </w:p>
          <w:p w:rsidR="001100FF" w:rsidRPr="0035177E" w:rsidRDefault="001100FF" w:rsidP="001100FF">
            <w:pPr>
              <w:numPr>
                <w:ilvl w:val="0"/>
                <w:numId w:val="6"/>
              </w:numPr>
              <w:rPr>
                <w:rFonts w:cs="Arial"/>
                <w:szCs w:val="20"/>
              </w:rPr>
            </w:pPr>
            <w:r w:rsidRPr="0035177E">
              <w:rPr>
                <w:rFonts w:cs="Arial"/>
                <w:szCs w:val="20"/>
              </w:rPr>
              <w:t>ter vzdrževanje otroških igrišč v kraju, ureditev površine za postavitev doživljajskega igrišča za otroke …</w:t>
            </w:r>
          </w:p>
        </w:tc>
        <w:tc>
          <w:tcPr>
            <w:tcW w:w="1276" w:type="dxa"/>
            <w:tcBorders>
              <w:bottom w:val="single" w:sz="4" w:space="0" w:color="000000"/>
            </w:tcBorders>
          </w:tcPr>
          <w:p w:rsidR="001100FF" w:rsidRPr="0035177E" w:rsidRDefault="001100FF" w:rsidP="001100FF">
            <w:pPr>
              <w:spacing w:line="276" w:lineRule="auto"/>
              <w:jc w:val="right"/>
              <w:rPr>
                <w:rFonts w:cs="Arial"/>
                <w:szCs w:val="20"/>
              </w:rPr>
            </w:pPr>
          </w:p>
        </w:tc>
        <w:tc>
          <w:tcPr>
            <w:tcW w:w="1276" w:type="dxa"/>
            <w:tcBorders>
              <w:bottom w:val="single" w:sz="4" w:space="0" w:color="000000"/>
            </w:tcBorders>
          </w:tcPr>
          <w:p w:rsidR="001100FF" w:rsidRPr="0035177E" w:rsidRDefault="001100FF" w:rsidP="001100FF">
            <w:pPr>
              <w:spacing w:line="276" w:lineRule="auto"/>
              <w:jc w:val="right"/>
              <w:rPr>
                <w:rFonts w:cs="Arial"/>
                <w:szCs w:val="20"/>
              </w:rPr>
            </w:pPr>
            <w:r w:rsidRPr="0035177E">
              <w:rPr>
                <w:rFonts w:cs="Arial"/>
                <w:szCs w:val="20"/>
              </w:rPr>
              <w:t>100.000</w:t>
            </w:r>
          </w:p>
        </w:tc>
        <w:tc>
          <w:tcPr>
            <w:tcW w:w="1417" w:type="dxa"/>
            <w:tcBorders>
              <w:bottom w:val="single" w:sz="4" w:space="0" w:color="000000"/>
            </w:tcBorders>
          </w:tcPr>
          <w:p w:rsidR="001100FF" w:rsidRPr="0035177E" w:rsidRDefault="001100FF" w:rsidP="001100FF">
            <w:pPr>
              <w:spacing w:line="276" w:lineRule="auto"/>
              <w:rPr>
                <w:rFonts w:cs="Arial"/>
                <w:szCs w:val="20"/>
              </w:rPr>
            </w:pP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2.2</w:t>
            </w:r>
          </w:p>
        </w:tc>
        <w:tc>
          <w:tcPr>
            <w:tcW w:w="7651" w:type="dxa"/>
            <w:shd w:val="pct10" w:color="auto" w:fill="auto"/>
          </w:tcPr>
          <w:p w:rsidR="001100FF" w:rsidRPr="0035177E" w:rsidRDefault="001100FF" w:rsidP="001100FF">
            <w:pPr>
              <w:spacing w:line="276" w:lineRule="auto"/>
              <w:rPr>
                <w:rFonts w:cs="Arial"/>
                <w:b/>
                <w:bCs/>
                <w:szCs w:val="20"/>
              </w:rPr>
            </w:pPr>
            <w:r w:rsidRPr="0035177E">
              <w:rPr>
                <w:rFonts w:cs="Arial"/>
                <w:b/>
                <w:bCs/>
                <w:szCs w:val="20"/>
              </w:rPr>
              <w:t>Preplastitev javnih površin, po katerih se gibljejo in zadržujejo otroci</w:t>
            </w:r>
          </w:p>
        </w:tc>
        <w:tc>
          <w:tcPr>
            <w:tcW w:w="1276" w:type="dxa"/>
            <w:shd w:val="pct10" w:color="auto" w:fill="auto"/>
          </w:tcPr>
          <w:p w:rsidR="001100FF" w:rsidRPr="0035177E" w:rsidRDefault="001100FF" w:rsidP="001100FF">
            <w:pPr>
              <w:spacing w:line="276" w:lineRule="auto"/>
              <w:jc w:val="right"/>
              <w:rPr>
                <w:rFonts w:cs="Arial"/>
                <w:color w:val="0070C0"/>
                <w:szCs w:val="20"/>
              </w:rPr>
            </w:pPr>
            <w:r w:rsidRPr="0035177E">
              <w:rPr>
                <w:rFonts w:cs="Arial"/>
                <w:color w:val="0070C0"/>
                <w:szCs w:val="20"/>
              </w:rPr>
              <w:t>750.000</w:t>
            </w:r>
          </w:p>
        </w:tc>
        <w:tc>
          <w:tcPr>
            <w:tcW w:w="1276" w:type="dxa"/>
            <w:shd w:val="pct10" w:color="auto" w:fill="auto"/>
          </w:tcPr>
          <w:p w:rsidR="001100FF" w:rsidRPr="0035177E" w:rsidRDefault="001100FF" w:rsidP="001100FF">
            <w:pPr>
              <w:spacing w:line="276" w:lineRule="auto"/>
              <w:jc w:val="right"/>
              <w:rPr>
                <w:rFonts w:cs="Arial"/>
                <w:szCs w:val="20"/>
              </w:rPr>
            </w:pPr>
            <w:r w:rsidRPr="0035177E">
              <w:rPr>
                <w:rFonts w:cs="Arial"/>
                <w:szCs w:val="20"/>
              </w:rPr>
              <w:t>954.000</w:t>
            </w: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1.704.000,00</w:t>
            </w: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6"/>
              </w:numPr>
              <w:rPr>
                <w:rFonts w:cs="Arial"/>
                <w:color w:val="0070C0"/>
                <w:szCs w:val="20"/>
              </w:rPr>
            </w:pPr>
            <w:r w:rsidRPr="0035177E">
              <w:rPr>
                <w:rFonts w:cs="Arial"/>
                <w:color w:val="0070C0"/>
                <w:szCs w:val="20"/>
              </w:rPr>
              <w:t>preplastitev Prežihove ulice (v središču Mežice)</w:t>
            </w:r>
          </w:p>
        </w:tc>
        <w:tc>
          <w:tcPr>
            <w:tcW w:w="1276" w:type="dxa"/>
          </w:tcPr>
          <w:p w:rsidR="001100FF" w:rsidRPr="0035177E" w:rsidRDefault="001100FF" w:rsidP="001100FF">
            <w:pPr>
              <w:spacing w:line="276" w:lineRule="auto"/>
              <w:jc w:val="right"/>
              <w:rPr>
                <w:rFonts w:cs="Arial"/>
                <w:color w:val="0070C0"/>
                <w:szCs w:val="20"/>
              </w:rPr>
            </w:pPr>
            <w:r w:rsidRPr="0035177E">
              <w:rPr>
                <w:rFonts w:cs="Arial"/>
                <w:color w:val="0070C0"/>
                <w:szCs w:val="20"/>
              </w:rPr>
              <w:t>200.000</w:t>
            </w:r>
          </w:p>
        </w:tc>
        <w:tc>
          <w:tcPr>
            <w:tcW w:w="1276" w:type="dxa"/>
          </w:tcPr>
          <w:p w:rsidR="001100FF" w:rsidRPr="0035177E" w:rsidRDefault="001100FF" w:rsidP="001100FF">
            <w:pPr>
              <w:spacing w:line="276" w:lineRule="auto"/>
              <w:jc w:val="right"/>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6"/>
              </w:numPr>
              <w:rPr>
                <w:rFonts w:cs="Arial"/>
                <w:color w:val="0070C0"/>
                <w:szCs w:val="20"/>
              </w:rPr>
            </w:pPr>
            <w:r w:rsidRPr="0035177E">
              <w:rPr>
                <w:rFonts w:cs="Arial"/>
                <w:color w:val="0070C0"/>
                <w:szCs w:val="20"/>
              </w:rPr>
              <w:t>preplastitev Mariborske ceste (v središču Mežice)</w:t>
            </w:r>
          </w:p>
        </w:tc>
        <w:tc>
          <w:tcPr>
            <w:tcW w:w="1276" w:type="dxa"/>
          </w:tcPr>
          <w:p w:rsidR="001100FF" w:rsidRPr="0035177E" w:rsidRDefault="001100FF" w:rsidP="001100FF">
            <w:pPr>
              <w:spacing w:line="276" w:lineRule="auto"/>
              <w:jc w:val="right"/>
              <w:rPr>
                <w:rFonts w:cs="Arial"/>
                <w:color w:val="0070C0"/>
                <w:szCs w:val="20"/>
              </w:rPr>
            </w:pPr>
            <w:r w:rsidRPr="0035177E">
              <w:rPr>
                <w:rFonts w:cs="Arial"/>
                <w:color w:val="0070C0"/>
                <w:szCs w:val="20"/>
              </w:rPr>
              <w:t>300.000</w:t>
            </w:r>
          </w:p>
        </w:tc>
        <w:tc>
          <w:tcPr>
            <w:tcW w:w="1276" w:type="dxa"/>
          </w:tcPr>
          <w:p w:rsidR="001100FF" w:rsidRPr="0035177E" w:rsidRDefault="001100FF" w:rsidP="001100FF">
            <w:pPr>
              <w:spacing w:line="276" w:lineRule="auto"/>
              <w:jc w:val="right"/>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6"/>
              </w:numPr>
              <w:rPr>
                <w:rFonts w:cs="Arial"/>
                <w:color w:val="0070C0"/>
                <w:szCs w:val="20"/>
              </w:rPr>
            </w:pPr>
            <w:r w:rsidRPr="0035177E">
              <w:rPr>
                <w:rFonts w:cs="Arial"/>
                <w:color w:val="0070C0"/>
                <w:szCs w:val="20"/>
              </w:rPr>
              <w:t>preplastitev ceste mimo zaselka hiš Podkraj št. 8 (kmetija Pušnik), 8a, 8b in 8c</w:t>
            </w:r>
          </w:p>
        </w:tc>
        <w:tc>
          <w:tcPr>
            <w:tcW w:w="1276" w:type="dxa"/>
          </w:tcPr>
          <w:p w:rsidR="001100FF" w:rsidRPr="0035177E" w:rsidRDefault="001100FF" w:rsidP="001100FF">
            <w:pPr>
              <w:spacing w:line="276" w:lineRule="auto"/>
              <w:jc w:val="right"/>
              <w:rPr>
                <w:rFonts w:cs="Arial"/>
                <w:color w:val="0070C0"/>
                <w:szCs w:val="20"/>
              </w:rPr>
            </w:pPr>
            <w:r w:rsidRPr="0035177E">
              <w:rPr>
                <w:rFonts w:cs="Arial"/>
                <w:color w:val="0070C0"/>
                <w:szCs w:val="20"/>
              </w:rPr>
              <w:t>60.000</w:t>
            </w:r>
          </w:p>
        </w:tc>
        <w:tc>
          <w:tcPr>
            <w:tcW w:w="1276" w:type="dxa"/>
          </w:tcPr>
          <w:p w:rsidR="001100FF" w:rsidRPr="0035177E" w:rsidRDefault="001100FF" w:rsidP="001100FF">
            <w:pPr>
              <w:spacing w:line="276" w:lineRule="auto"/>
              <w:jc w:val="right"/>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6"/>
              </w:numPr>
              <w:rPr>
                <w:rFonts w:cs="Arial"/>
                <w:color w:val="0070C0"/>
                <w:szCs w:val="20"/>
              </w:rPr>
            </w:pPr>
            <w:r w:rsidRPr="0035177E">
              <w:rPr>
                <w:rFonts w:cs="Arial"/>
                <w:color w:val="0070C0"/>
                <w:szCs w:val="20"/>
              </w:rPr>
              <w:t>preplastitev ceste restavracija Polena–Praper</w:t>
            </w:r>
          </w:p>
        </w:tc>
        <w:tc>
          <w:tcPr>
            <w:tcW w:w="1276" w:type="dxa"/>
          </w:tcPr>
          <w:p w:rsidR="001100FF" w:rsidRPr="0035177E" w:rsidRDefault="001100FF" w:rsidP="001100FF">
            <w:pPr>
              <w:spacing w:line="276" w:lineRule="auto"/>
              <w:jc w:val="right"/>
              <w:rPr>
                <w:rFonts w:cs="Arial"/>
                <w:color w:val="0070C0"/>
                <w:szCs w:val="20"/>
              </w:rPr>
            </w:pPr>
            <w:r w:rsidRPr="0035177E">
              <w:rPr>
                <w:rFonts w:cs="Arial"/>
                <w:color w:val="0070C0"/>
                <w:szCs w:val="20"/>
              </w:rPr>
              <w:t>40.000</w:t>
            </w:r>
          </w:p>
        </w:tc>
        <w:tc>
          <w:tcPr>
            <w:tcW w:w="1276" w:type="dxa"/>
          </w:tcPr>
          <w:p w:rsidR="001100FF" w:rsidRPr="0035177E" w:rsidRDefault="001100FF" w:rsidP="001100FF">
            <w:pPr>
              <w:spacing w:line="276" w:lineRule="auto"/>
              <w:jc w:val="right"/>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6"/>
              </w:numPr>
              <w:rPr>
                <w:rFonts w:cs="Arial"/>
                <w:color w:val="0070C0"/>
                <w:szCs w:val="20"/>
              </w:rPr>
            </w:pPr>
            <w:r w:rsidRPr="0035177E">
              <w:rPr>
                <w:rFonts w:cs="Arial"/>
                <w:color w:val="0070C0"/>
                <w:szCs w:val="20"/>
              </w:rPr>
              <w:t>preplastitev povezovalne poti med regionalno cesto in bloki na Mariborski cesti</w:t>
            </w:r>
          </w:p>
        </w:tc>
        <w:tc>
          <w:tcPr>
            <w:tcW w:w="1276" w:type="dxa"/>
          </w:tcPr>
          <w:p w:rsidR="001100FF" w:rsidRPr="0035177E" w:rsidRDefault="001100FF" w:rsidP="001100FF">
            <w:pPr>
              <w:spacing w:line="276" w:lineRule="auto"/>
              <w:jc w:val="right"/>
              <w:rPr>
                <w:rFonts w:cs="Arial"/>
                <w:color w:val="0070C0"/>
                <w:szCs w:val="20"/>
              </w:rPr>
            </w:pPr>
            <w:r w:rsidRPr="0035177E">
              <w:rPr>
                <w:rFonts w:cs="Arial"/>
                <w:color w:val="0070C0"/>
                <w:szCs w:val="20"/>
              </w:rPr>
              <w:t>20.000</w:t>
            </w:r>
          </w:p>
        </w:tc>
        <w:tc>
          <w:tcPr>
            <w:tcW w:w="1276" w:type="dxa"/>
          </w:tcPr>
          <w:p w:rsidR="001100FF" w:rsidRPr="0035177E" w:rsidRDefault="001100FF" w:rsidP="001100FF">
            <w:pPr>
              <w:spacing w:line="276" w:lineRule="auto"/>
              <w:jc w:val="right"/>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pStyle w:val="Odstavekseznama"/>
              <w:numPr>
                <w:ilvl w:val="0"/>
                <w:numId w:val="6"/>
              </w:numPr>
              <w:spacing w:line="240" w:lineRule="auto"/>
              <w:jc w:val="both"/>
              <w:rPr>
                <w:rFonts w:cs="Arial"/>
                <w:color w:val="0070C0"/>
                <w:szCs w:val="20"/>
              </w:rPr>
            </w:pPr>
            <w:r w:rsidRPr="0035177E">
              <w:rPr>
                <w:rFonts w:cs="Arial"/>
                <w:color w:val="0070C0"/>
                <w:szCs w:val="20"/>
              </w:rPr>
              <w:t xml:space="preserve">preplastitev Lenartove ulice med bloki od št. 1 do št. 6 (v središču Mežice, pod pogojem pridobitve lastništva) (če pogoj ne bo izpolnjen, preplastitev drugih ulic v središču Mežice, na primer ceste ob Meži št. od 18 do št. 21 in podobno) </w:t>
            </w:r>
          </w:p>
        </w:tc>
        <w:tc>
          <w:tcPr>
            <w:tcW w:w="1276" w:type="dxa"/>
          </w:tcPr>
          <w:p w:rsidR="001100FF" w:rsidRPr="0035177E" w:rsidRDefault="001100FF" w:rsidP="001100FF">
            <w:pPr>
              <w:spacing w:line="276" w:lineRule="auto"/>
              <w:jc w:val="right"/>
              <w:rPr>
                <w:rFonts w:cs="Arial"/>
                <w:color w:val="0070C0"/>
                <w:szCs w:val="20"/>
              </w:rPr>
            </w:pPr>
            <w:r w:rsidRPr="0035177E">
              <w:rPr>
                <w:rFonts w:cs="Arial"/>
                <w:color w:val="0070C0"/>
                <w:szCs w:val="20"/>
              </w:rPr>
              <w:t>130.000</w:t>
            </w:r>
          </w:p>
        </w:tc>
        <w:tc>
          <w:tcPr>
            <w:tcW w:w="1276" w:type="dxa"/>
          </w:tcPr>
          <w:p w:rsidR="001100FF" w:rsidRPr="0035177E" w:rsidRDefault="001100FF" w:rsidP="001100FF">
            <w:pPr>
              <w:spacing w:line="276" w:lineRule="auto"/>
              <w:jc w:val="right"/>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szCs w:val="20"/>
              </w:rPr>
            </w:pPr>
            <w:r w:rsidRPr="0035177E">
              <w:rPr>
                <w:rFonts w:cs="Arial"/>
                <w:szCs w:val="20"/>
              </w:rPr>
              <w:t>Č</w:t>
            </w:r>
          </w:p>
        </w:tc>
        <w:tc>
          <w:tcPr>
            <w:tcW w:w="7651" w:type="dxa"/>
          </w:tcPr>
          <w:p w:rsidR="001100FF" w:rsidRPr="0035177E" w:rsidRDefault="001100FF" w:rsidP="001100FF">
            <w:pPr>
              <w:pStyle w:val="Odstavekseznama"/>
              <w:numPr>
                <w:ilvl w:val="0"/>
                <w:numId w:val="8"/>
              </w:numPr>
              <w:suppressAutoHyphens/>
              <w:autoSpaceDN w:val="0"/>
              <w:spacing w:line="240" w:lineRule="auto"/>
              <w:contextualSpacing w:val="0"/>
              <w:textAlignment w:val="baseline"/>
              <w:rPr>
                <w:rFonts w:cs="Arial"/>
                <w:color w:val="000000"/>
                <w:szCs w:val="20"/>
              </w:rPr>
            </w:pPr>
            <w:r w:rsidRPr="0035177E">
              <w:rPr>
                <w:rFonts w:cs="Arial"/>
                <w:color w:val="000000"/>
                <w:szCs w:val="20"/>
              </w:rPr>
              <w:t xml:space="preserve">asfaltiranje makadamskih površin v okolici (asfaltiranje v zaselkih: Podpeca - Navršnik, Petek, Pori, Pikovo, Šumahov vrh - </w:t>
            </w:r>
            <w:proofErr w:type="spellStart"/>
            <w:r w:rsidRPr="0035177E">
              <w:rPr>
                <w:rFonts w:cs="Arial"/>
                <w:color w:val="000000"/>
                <w:szCs w:val="20"/>
              </w:rPr>
              <w:t>Gutovnik</w:t>
            </w:r>
            <w:proofErr w:type="spellEnd"/>
            <w:r w:rsidRPr="0035177E">
              <w:rPr>
                <w:rFonts w:cs="Arial"/>
                <w:color w:val="000000"/>
                <w:szCs w:val="20"/>
              </w:rPr>
              <w:t>, Špan, Šumah, Javorje, Ludranski vrh - Jerak, Jazbina, Koprivna, Bistra)</w:t>
            </w:r>
          </w:p>
        </w:tc>
        <w:tc>
          <w:tcPr>
            <w:tcW w:w="1276" w:type="dxa"/>
          </w:tcPr>
          <w:p w:rsidR="001100FF" w:rsidRPr="0035177E" w:rsidRDefault="001100FF" w:rsidP="001100FF">
            <w:pPr>
              <w:spacing w:line="276" w:lineRule="auto"/>
              <w:rPr>
                <w:rFonts w:cs="Arial"/>
                <w:szCs w:val="20"/>
              </w:rPr>
            </w:pPr>
          </w:p>
        </w:tc>
        <w:tc>
          <w:tcPr>
            <w:tcW w:w="1276" w:type="dxa"/>
          </w:tcPr>
          <w:p w:rsidR="001100FF" w:rsidRPr="0035177E" w:rsidRDefault="001100FF" w:rsidP="001100FF">
            <w:pPr>
              <w:spacing w:line="276" w:lineRule="auto"/>
              <w:jc w:val="right"/>
              <w:rPr>
                <w:rFonts w:cs="Arial"/>
                <w:szCs w:val="20"/>
              </w:rPr>
            </w:pPr>
            <w:r w:rsidRPr="0035177E">
              <w:rPr>
                <w:rFonts w:cs="Arial"/>
                <w:szCs w:val="20"/>
              </w:rPr>
              <w:t>250.000</w:t>
            </w: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szCs w:val="20"/>
              </w:rPr>
            </w:pPr>
            <w:r w:rsidRPr="0035177E">
              <w:rPr>
                <w:rFonts w:cs="Arial"/>
                <w:szCs w:val="20"/>
              </w:rPr>
              <w:t>Č</w:t>
            </w:r>
          </w:p>
        </w:tc>
        <w:tc>
          <w:tcPr>
            <w:tcW w:w="7651" w:type="dxa"/>
          </w:tcPr>
          <w:p w:rsidR="001100FF" w:rsidRPr="0035177E" w:rsidRDefault="001100FF" w:rsidP="001100FF">
            <w:pPr>
              <w:pStyle w:val="Odstavekseznama"/>
              <w:numPr>
                <w:ilvl w:val="0"/>
                <w:numId w:val="8"/>
              </w:numPr>
              <w:suppressAutoHyphens/>
              <w:autoSpaceDN w:val="0"/>
              <w:spacing w:line="240" w:lineRule="auto"/>
              <w:contextualSpacing w:val="0"/>
              <w:textAlignment w:val="baseline"/>
              <w:rPr>
                <w:rFonts w:cs="Arial"/>
                <w:color w:val="000000"/>
                <w:szCs w:val="20"/>
              </w:rPr>
            </w:pPr>
            <w:r w:rsidRPr="0035177E">
              <w:rPr>
                <w:rFonts w:cs="Arial"/>
                <w:color w:val="000000"/>
                <w:szCs w:val="20"/>
              </w:rPr>
              <w:t>asfaltiranje površin – središče Črne z bližnjo okolico</w:t>
            </w:r>
          </w:p>
          <w:p w:rsidR="001100FF" w:rsidRPr="0035177E" w:rsidRDefault="001100FF" w:rsidP="001100FF">
            <w:pPr>
              <w:pStyle w:val="Odstavekseznama"/>
              <w:suppressAutoHyphens/>
              <w:autoSpaceDN w:val="0"/>
              <w:ind w:left="360"/>
              <w:contextualSpacing w:val="0"/>
              <w:textAlignment w:val="baseline"/>
              <w:rPr>
                <w:rFonts w:cs="Arial"/>
                <w:color w:val="000000"/>
                <w:szCs w:val="20"/>
              </w:rPr>
            </w:pPr>
            <w:r w:rsidRPr="0035177E">
              <w:rPr>
                <w:rFonts w:cs="Arial"/>
                <w:color w:val="000000"/>
                <w:szCs w:val="20"/>
              </w:rPr>
              <w:lastRenderedPageBreak/>
              <w:t>(Pristava 65–67, Rudarjevo 23–14, površine okrog stanovanjske hiše Center 104, sofinanciranje gradnje pločnikov v Mušeniku, ureditev okolice okrog vrtca Kralj Matjaž)</w:t>
            </w:r>
          </w:p>
        </w:tc>
        <w:tc>
          <w:tcPr>
            <w:tcW w:w="1276" w:type="dxa"/>
          </w:tcPr>
          <w:p w:rsidR="001100FF" w:rsidRPr="0035177E" w:rsidRDefault="001100FF" w:rsidP="001100FF">
            <w:pPr>
              <w:spacing w:line="276" w:lineRule="auto"/>
              <w:rPr>
                <w:rFonts w:cs="Arial"/>
                <w:szCs w:val="20"/>
              </w:rPr>
            </w:pPr>
          </w:p>
        </w:tc>
        <w:tc>
          <w:tcPr>
            <w:tcW w:w="1276" w:type="dxa"/>
          </w:tcPr>
          <w:p w:rsidR="001100FF" w:rsidRPr="0035177E" w:rsidRDefault="001100FF" w:rsidP="001100FF">
            <w:pPr>
              <w:spacing w:line="276" w:lineRule="auto"/>
              <w:rPr>
                <w:rFonts w:cs="Arial"/>
                <w:szCs w:val="20"/>
              </w:rPr>
            </w:pPr>
            <w:r w:rsidRPr="0035177E">
              <w:rPr>
                <w:rFonts w:cs="Arial"/>
                <w:szCs w:val="20"/>
              </w:rPr>
              <w:t>450.000</w:t>
            </w: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szCs w:val="20"/>
              </w:rPr>
            </w:pPr>
            <w:r w:rsidRPr="0035177E">
              <w:rPr>
                <w:rFonts w:cs="Arial"/>
                <w:szCs w:val="20"/>
              </w:rPr>
              <w:t>Č</w:t>
            </w:r>
          </w:p>
        </w:tc>
        <w:tc>
          <w:tcPr>
            <w:tcW w:w="7651" w:type="dxa"/>
          </w:tcPr>
          <w:p w:rsidR="001100FF" w:rsidRPr="0035177E" w:rsidRDefault="001100FF" w:rsidP="001100FF">
            <w:pPr>
              <w:pStyle w:val="Odstavekseznama"/>
              <w:numPr>
                <w:ilvl w:val="0"/>
                <w:numId w:val="8"/>
              </w:numPr>
              <w:suppressAutoHyphens/>
              <w:autoSpaceDN w:val="0"/>
              <w:spacing w:line="240" w:lineRule="auto"/>
              <w:contextualSpacing w:val="0"/>
              <w:textAlignment w:val="baseline"/>
              <w:rPr>
                <w:rFonts w:cs="Arial"/>
                <w:color w:val="000000"/>
                <w:szCs w:val="20"/>
              </w:rPr>
            </w:pPr>
            <w:r w:rsidRPr="0035177E">
              <w:rPr>
                <w:rFonts w:cs="Arial"/>
                <w:color w:val="000000"/>
                <w:szCs w:val="20"/>
              </w:rPr>
              <w:t xml:space="preserve">asfaltiranje površin – Žerjav </w:t>
            </w:r>
          </w:p>
          <w:p w:rsidR="001100FF" w:rsidRPr="0035177E" w:rsidRDefault="001100FF" w:rsidP="001100FF">
            <w:pPr>
              <w:pStyle w:val="Odstavekseznama"/>
              <w:suppressAutoHyphens/>
              <w:autoSpaceDN w:val="0"/>
              <w:ind w:left="360"/>
              <w:contextualSpacing w:val="0"/>
              <w:textAlignment w:val="baseline"/>
              <w:rPr>
                <w:rFonts w:cs="Arial"/>
                <w:color w:val="000000"/>
                <w:szCs w:val="20"/>
              </w:rPr>
            </w:pPr>
            <w:r w:rsidRPr="0035177E">
              <w:rPr>
                <w:rFonts w:cs="Arial"/>
                <w:color w:val="000000"/>
                <w:szCs w:val="20"/>
              </w:rPr>
              <w:t xml:space="preserve">(ureditev okolice delavskega doma Žerjav, ureditev parkirišča pri parku Žerjav, ureditev območja in lokacije vzorčevalnika delcev v zraku) </w:t>
            </w:r>
          </w:p>
        </w:tc>
        <w:tc>
          <w:tcPr>
            <w:tcW w:w="1276" w:type="dxa"/>
          </w:tcPr>
          <w:p w:rsidR="001100FF" w:rsidRPr="0035177E" w:rsidRDefault="001100FF" w:rsidP="001100FF">
            <w:pPr>
              <w:spacing w:line="276" w:lineRule="auto"/>
              <w:rPr>
                <w:rFonts w:cs="Arial"/>
                <w:szCs w:val="20"/>
              </w:rPr>
            </w:pPr>
          </w:p>
        </w:tc>
        <w:tc>
          <w:tcPr>
            <w:tcW w:w="1276" w:type="dxa"/>
          </w:tcPr>
          <w:p w:rsidR="001100FF" w:rsidRPr="0035177E" w:rsidRDefault="001100FF" w:rsidP="001100FF">
            <w:pPr>
              <w:spacing w:line="276" w:lineRule="auto"/>
              <w:rPr>
                <w:rFonts w:cs="Arial"/>
                <w:szCs w:val="20"/>
              </w:rPr>
            </w:pPr>
            <w:r w:rsidRPr="0035177E">
              <w:rPr>
                <w:rFonts w:cs="Arial"/>
                <w:szCs w:val="20"/>
              </w:rPr>
              <w:t>254.000</w:t>
            </w: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2.3</w:t>
            </w:r>
          </w:p>
        </w:tc>
        <w:tc>
          <w:tcPr>
            <w:tcW w:w="7651" w:type="dxa"/>
            <w:shd w:val="pct10" w:color="auto" w:fill="auto"/>
          </w:tcPr>
          <w:p w:rsidR="001100FF" w:rsidRPr="0035177E" w:rsidRDefault="001100FF" w:rsidP="001100FF">
            <w:pPr>
              <w:spacing w:line="276" w:lineRule="auto"/>
              <w:rPr>
                <w:rFonts w:cs="Arial"/>
                <w:b/>
                <w:bCs/>
                <w:szCs w:val="20"/>
              </w:rPr>
            </w:pPr>
            <w:r w:rsidRPr="0035177E">
              <w:rPr>
                <w:rFonts w:cs="Arial"/>
                <w:b/>
                <w:bCs/>
                <w:szCs w:val="20"/>
              </w:rPr>
              <w:t>Mokro čiščenje javnih površin</w:t>
            </w:r>
          </w:p>
        </w:tc>
        <w:tc>
          <w:tcPr>
            <w:tcW w:w="1276" w:type="dxa"/>
            <w:shd w:val="pct10" w:color="auto" w:fill="auto"/>
          </w:tcPr>
          <w:p w:rsidR="001100FF" w:rsidRPr="0035177E" w:rsidRDefault="001100FF" w:rsidP="001100FF">
            <w:pPr>
              <w:spacing w:line="276" w:lineRule="auto"/>
              <w:rPr>
                <w:rFonts w:cs="Arial"/>
                <w:color w:val="0070C0"/>
                <w:szCs w:val="20"/>
              </w:rPr>
            </w:pPr>
            <w:r w:rsidRPr="0035177E">
              <w:rPr>
                <w:rFonts w:cs="Arial"/>
                <w:color w:val="0070C0"/>
                <w:szCs w:val="20"/>
              </w:rPr>
              <w:t>27.000</w:t>
            </w:r>
          </w:p>
        </w:tc>
        <w:tc>
          <w:tcPr>
            <w:tcW w:w="1276" w:type="dxa"/>
            <w:shd w:val="pct10" w:color="auto" w:fill="auto"/>
          </w:tcPr>
          <w:p w:rsidR="001100FF" w:rsidRPr="0035177E" w:rsidRDefault="001100FF" w:rsidP="001100FF">
            <w:pPr>
              <w:spacing w:line="276" w:lineRule="auto"/>
              <w:rPr>
                <w:rFonts w:cs="Arial"/>
                <w:szCs w:val="20"/>
              </w:rPr>
            </w:pPr>
            <w:r w:rsidRPr="0035177E">
              <w:rPr>
                <w:rFonts w:cs="Arial"/>
                <w:szCs w:val="20"/>
              </w:rPr>
              <w:t>100.000</w:t>
            </w: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127.000,00</w:t>
            </w: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7"/>
              </w:numPr>
              <w:spacing w:line="276" w:lineRule="auto"/>
              <w:jc w:val="both"/>
              <w:rPr>
                <w:rFonts w:cs="Arial"/>
                <w:color w:val="0070C0"/>
                <w:szCs w:val="20"/>
              </w:rPr>
            </w:pPr>
            <w:r w:rsidRPr="0035177E">
              <w:rPr>
                <w:rFonts w:cs="Arial"/>
                <w:color w:val="0070C0"/>
                <w:szCs w:val="20"/>
              </w:rPr>
              <w:t>mokro čiščenje utrjenih površin z namenskim strojem na območju občine Mežica</w:t>
            </w:r>
          </w:p>
        </w:tc>
        <w:tc>
          <w:tcPr>
            <w:tcW w:w="1276" w:type="dxa"/>
          </w:tcPr>
          <w:p w:rsidR="001100FF" w:rsidRPr="0035177E" w:rsidRDefault="001100FF" w:rsidP="001100FF">
            <w:pPr>
              <w:spacing w:line="276" w:lineRule="auto"/>
              <w:rPr>
                <w:rFonts w:cs="Arial"/>
                <w:color w:val="0070C0"/>
                <w:szCs w:val="20"/>
              </w:rPr>
            </w:pPr>
            <w:r w:rsidRPr="0035177E">
              <w:rPr>
                <w:rFonts w:cs="Arial"/>
                <w:color w:val="0070C0"/>
                <w:szCs w:val="20"/>
              </w:rPr>
              <w:t>27.000</w:t>
            </w:r>
          </w:p>
        </w:tc>
        <w:tc>
          <w:tcPr>
            <w:tcW w:w="1276" w:type="dxa"/>
          </w:tcPr>
          <w:p w:rsidR="001100FF" w:rsidRPr="0035177E" w:rsidRDefault="001100FF" w:rsidP="001100FF">
            <w:pPr>
              <w:spacing w:line="276" w:lineRule="auto"/>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rPr>
          <w:trHeight w:val="243"/>
        </w:trPr>
        <w:tc>
          <w:tcPr>
            <w:tcW w:w="741"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Č</w:t>
            </w:r>
          </w:p>
        </w:tc>
        <w:tc>
          <w:tcPr>
            <w:tcW w:w="7651" w:type="dxa"/>
            <w:tcBorders>
              <w:bottom w:val="single" w:sz="4" w:space="0" w:color="000000"/>
            </w:tcBorders>
          </w:tcPr>
          <w:p w:rsidR="001100FF" w:rsidRPr="0035177E" w:rsidRDefault="001100FF" w:rsidP="001100FF">
            <w:pPr>
              <w:numPr>
                <w:ilvl w:val="0"/>
                <w:numId w:val="7"/>
              </w:numPr>
              <w:spacing w:line="276" w:lineRule="auto"/>
              <w:rPr>
                <w:rFonts w:cs="Arial"/>
                <w:szCs w:val="20"/>
              </w:rPr>
            </w:pPr>
            <w:r w:rsidRPr="0035177E">
              <w:rPr>
                <w:rFonts w:cs="Arial"/>
                <w:szCs w:val="20"/>
              </w:rPr>
              <w:t>mokro čiščenje utrjenih površin z namenskim strojem na območju Črne z okolico in Žerjava</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100.000</w:t>
            </w:r>
          </w:p>
        </w:tc>
        <w:tc>
          <w:tcPr>
            <w:tcW w:w="1417" w:type="dxa"/>
            <w:tcBorders>
              <w:bottom w:val="single" w:sz="4" w:space="0" w:color="000000"/>
            </w:tcBorders>
          </w:tcPr>
          <w:p w:rsidR="001100FF" w:rsidRPr="0035177E" w:rsidRDefault="001100FF" w:rsidP="001100FF">
            <w:pPr>
              <w:spacing w:line="276" w:lineRule="auto"/>
              <w:rPr>
                <w:rFonts w:cs="Arial"/>
                <w:szCs w:val="20"/>
              </w:rPr>
            </w:pP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2.4</w:t>
            </w:r>
          </w:p>
        </w:tc>
        <w:tc>
          <w:tcPr>
            <w:tcW w:w="7651" w:type="dxa"/>
            <w:shd w:val="pct10" w:color="auto" w:fill="auto"/>
          </w:tcPr>
          <w:p w:rsidR="001100FF" w:rsidRPr="0035177E" w:rsidRDefault="001100FF" w:rsidP="001100FF">
            <w:pPr>
              <w:spacing w:line="276" w:lineRule="auto"/>
              <w:rPr>
                <w:rFonts w:cs="Arial"/>
                <w:szCs w:val="20"/>
              </w:rPr>
            </w:pPr>
            <w:r w:rsidRPr="0035177E">
              <w:rPr>
                <w:rFonts w:cs="Arial"/>
                <w:b/>
                <w:bCs/>
                <w:szCs w:val="20"/>
              </w:rPr>
              <w:t>Ureditev golih javnih površin z rastlinskimi prevlekami</w:t>
            </w:r>
          </w:p>
        </w:tc>
        <w:tc>
          <w:tcPr>
            <w:tcW w:w="1276" w:type="dxa"/>
            <w:shd w:val="pct10" w:color="auto" w:fill="auto"/>
          </w:tcPr>
          <w:p w:rsidR="001100FF" w:rsidRPr="0035177E" w:rsidRDefault="001100FF" w:rsidP="001100FF">
            <w:pPr>
              <w:spacing w:line="276" w:lineRule="auto"/>
              <w:rPr>
                <w:rFonts w:cs="Arial"/>
                <w:b/>
                <w:szCs w:val="20"/>
              </w:rPr>
            </w:pPr>
          </w:p>
        </w:tc>
        <w:tc>
          <w:tcPr>
            <w:tcW w:w="1276" w:type="dxa"/>
            <w:shd w:val="pct10" w:color="auto" w:fill="auto"/>
          </w:tcPr>
          <w:p w:rsidR="001100FF" w:rsidRPr="0035177E" w:rsidRDefault="001100FF" w:rsidP="001100FF">
            <w:pPr>
              <w:spacing w:line="276" w:lineRule="auto"/>
              <w:rPr>
                <w:rFonts w:cs="Arial"/>
                <w:szCs w:val="20"/>
              </w:rPr>
            </w:pPr>
            <w:r w:rsidRPr="0035177E">
              <w:rPr>
                <w:rFonts w:cs="Arial"/>
                <w:szCs w:val="20"/>
              </w:rPr>
              <w:t>200.000</w:t>
            </w: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200.000,00</w:t>
            </w:r>
          </w:p>
        </w:tc>
      </w:tr>
      <w:tr w:rsidR="001100FF" w:rsidRPr="0035177E" w:rsidTr="001100FF">
        <w:tc>
          <w:tcPr>
            <w:tcW w:w="741"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Č</w:t>
            </w:r>
          </w:p>
        </w:tc>
        <w:tc>
          <w:tcPr>
            <w:tcW w:w="7651" w:type="dxa"/>
            <w:tcBorders>
              <w:bottom w:val="single" w:sz="4" w:space="0" w:color="000000"/>
            </w:tcBorders>
          </w:tcPr>
          <w:p w:rsidR="001100FF" w:rsidRPr="0035177E" w:rsidRDefault="001100FF" w:rsidP="001100FF">
            <w:pPr>
              <w:numPr>
                <w:ilvl w:val="0"/>
                <w:numId w:val="7"/>
              </w:numPr>
              <w:spacing w:line="276" w:lineRule="auto"/>
              <w:rPr>
                <w:rFonts w:cs="Arial"/>
                <w:szCs w:val="20"/>
              </w:rPr>
            </w:pPr>
            <w:r w:rsidRPr="0035177E">
              <w:rPr>
                <w:rFonts w:cs="Arial"/>
                <w:szCs w:val="20"/>
              </w:rPr>
              <w:t xml:space="preserve">ureditev površin parka pri Osnovni šoli Črna, </w:t>
            </w:r>
          </w:p>
          <w:p w:rsidR="001100FF" w:rsidRPr="0035177E" w:rsidRDefault="001100FF" w:rsidP="001100FF">
            <w:pPr>
              <w:numPr>
                <w:ilvl w:val="0"/>
                <w:numId w:val="7"/>
              </w:numPr>
              <w:rPr>
                <w:rFonts w:cs="Arial"/>
                <w:szCs w:val="20"/>
              </w:rPr>
            </w:pPr>
            <w:r w:rsidRPr="0035177E">
              <w:rPr>
                <w:rFonts w:cs="Arial"/>
                <w:szCs w:val="20"/>
              </w:rPr>
              <w:t xml:space="preserve">protiprašna ureditev brežine na hribčku med vrtcem in osnovno šolo, </w:t>
            </w:r>
          </w:p>
          <w:p w:rsidR="001100FF" w:rsidRPr="0035177E" w:rsidRDefault="001100FF" w:rsidP="001100FF">
            <w:pPr>
              <w:numPr>
                <w:ilvl w:val="0"/>
                <w:numId w:val="7"/>
              </w:numPr>
              <w:spacing w:line="276" w:lineRule="auto"/>
              <w:rPr>
                <w:rFonts w:cs="Arial"/>
                <w:szCs w:val="20"/>
              </w:rPr>
            </w:pPr>
            <w:r w:rsidRPr="0035177E">
              <w:rPr>
                <w:rFonts w:cs="Arial"/>
                <w:szCs w:val="20"/>
              </w:rPr>
              <w:t xml:space="preserve">ureditev okolice objektov Center 2-4, </w:t>
            </w:r>
          </w:p>
          <w:p w:rsidR="001100FF" w:rsidRPr="0035177E" w:rsidRDefault="001100FF" w:rsidP="001100FF">
            <w:pPr>
              <w:numPr>
                <w:ilvl w:val="0"/>
                <w:numId w:val="7"/>
              </w:numPr>
              <w:spacing w:line="276" w:lineRule="auto"/>
              <w:rPr>
                <w:rFonts w:cs="Arial"/>
                <w:szCs w:val="20"/>
              </w:rPr>
            </w:pPr>
            <w:r w:rsidRPr="0035177E">
              <w:rPr>
                <w:rFonts w:cs="Arial"/>
                <w:szCs w:val="20"/>
              </w:rPr>
              <w:t>ureditev brežin na cesti Jasa–Kogelnik in v Bistri (prepleti, zaščita brežin),</w:t>
            </w:r>
          </w:p>
          <w:p w:rsidR="001100FF" w:rsidRPr="0035177E" w:rsidRDefault="001100FF" w:rsidP="001100FF">
            <w:pPr>
              <w:numPr>
                <w:ilvl w:val="0"/>
                <w:numId w:val="7"/>
              </w:numPr>
              <w:spacing w:line="276" w:lineRule="auto"/>
              <w:rPr>
                <w:rFonts w:cs="Arial"/>
                <w:szCs w:val="20"/>
              </w:rPr>
            </w:pPr>
            <w:r w:rsidRPr="0035177E">
              <w:rPr>
                <w:rFonts w:cs="Arial"/>
                <w:szCs w:val="20"/>
              </w:rPr>
              <w:t xml:space="preserve">ureditev zelenih površin ob poti, ki vodi od centra proti šoli </w:t>
            </w:r>
            <w:r w:rsidRPr="0035177E">
              <w:rPr>
                <w:rFonts w:cs="Arial"/>
                <w:color w:val="353838"/>
                <w:szCs w:val="20"/>
                <w:lang w:eastAsia="sl-SI"/>
              </w:rPr>
              <w:t>– zagotavljanje varnosti otrok pri spodbujanju projekta Peš v šolo</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200.000</w:t>
            </w:r>
          </w:p>
        </w:tc>
        <w:tc>
          <w:tcPr>
            <w:tcW w:w="1417" w:type="dxa"/>
            <w:tcBorders>
              <w:bottom w:val="single" w:sz="4" w:space="0" w:color="000000"/>
            </w:tcBorders>
          </w:tcPr>
          <w:p w:rsidR="001100FF" w:rsidRPr="0035177E" w:rsidRDefault="001100FF" w:rsidP="001100FF">
            <w:pPr>
              <w:spacing w:line="276" w:lineRule="auto"/>
              <w:rPr>
                <w:rFonts w:cs="Arial"/>
                <w:szCs w:val="20"/>
              </w:rPr>
            </w:pP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2.5</w:t>
            </w:r>
          </w:p>
        </w:tc>
        <w:tc>
          <w:tcPr>
            <w:tcW w:w="7651" w:type="dxa"/>
            <w:shd w:val="pct10" w:color="auto" w:fill="auto"/>
          </w:tcPr>
          <w:p w:rsidR="001100FF" w:rsidRPr="0035177E" w:rsidRDefault="001100FF" w:rsidP="001100FF">
            <w:pPr>
              <w:spacing w:line="276" w:lineRule="auto"/>
              <w:rPr>
                <w:rFonts w:cs="Arial"/>
                <w:b/>
                <w:bCs/>
                <w:szCs w:val="20"/>
              </w:rPr>
            </w:pPr>
            <w:r w:rsidRPr="0035177E">
              <w:rPr>
                <w:rFonts w:cs="Arial"/>
                <w:b/>
                <w:bCs/>
                <w:szCs w:val="20"/>
              </w:rPr>
              <w:t>Določitev lokacij za varno vrtnarjenje</w:t>
            </w:r>
          </w:p>
        </w:tc>
        <w:tc>
          <w:tcPr>
            <w:tcW w:w="1276" w:type="dxa"/>
            <w:shd w:val="pct10" w:color="auto" w:fill="auto"/>
          </w:tcPr>
          <w:p w:rsidR="001100FF" w:rsidRPr="0035177E" w:rsidRDefault="001100FF" w:rsidP="001100FF">
            <w:pPr>
              <w:spacing w:line="276" w:lineRule="auto"/>
              <w:rPr>
                <w:rFonts w:cs="Arial"/>
                <w:szCs w:val="20"/>
              </w:rPr>
            </w:pPr>
          </w:p>
        </w:tc>
        <w:tc>
          <w:tcPr>
            <w:tcW w:w="1276" w:type="dxa"/>
            <w:shd w:val="pct10" w:color="auto" w:fill="auto"/>
          </w:tcPr>
          <w:p w:rsidR="001100FF" w:rsidRPr="0035177E" w:rsidRDefault="001100FF" w:rsidP="001100FF">
            <w:pPr>
              <w:spacing w:line="276" w:lineRule="auto"/>
              <w:rPr>
                <w:rFonts w:cs="Arial"/>
                <w:szCs w:val="20"/>
              </w:rPr>
            </w:pPr>
            <w:r w:rsidRPr="0035177E">
              <w:rPr>
                <w:rFonts w:cs="Arial"/>
                <w:szCs w:val="20"/>
              </w:rPr>
              <w:t>10.000</w:t>
            </w: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10.000,00</w:t>
            </w:r>
          </w:p>
        </w:tc>
      </w:tr>
      <w:tr w:rsidR="001100FF" w:rsidRPr="0035177E" w:rsidTr="001100FF">
        <w:tc>
          <w:tcPr>
            <w:tcW w:w="741"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Č</w:t>
            </w:r>
          </w:p>
        </w:tc>
        <w:tc>
          <w:tcPr>
            <w:tcW w:w="7651" w:type="dxa"/>
            <w:tcBorders>
              <w:bottom w:val="single" w:sz="4" w:space="0" w:color="000000"/>
            </w:tcBorders>
          </w:tcPr>
          <w:p w:rsidR="001100FF" w:rsidRPr="0035177E" w:rsidRDefault="001100FF" w:rsidP="001100FF">
            <w:pPr>
              <w:numPr>
                <w:ilvl w:val="0"/>
                <w:numId w:val="7"/>
              </w:numPr>
              <w:spacing w:line="276" w:lineRule="auto"/>
              <w:rPr>
                <w:rFonts w:cs="Arial"/>
                <w:szCs w:val="20"/>
              </w:rPr>
            </w:pPr>
            <w:r w:rsidRPr="0035177E">
              <w:rPr>
                <w:rFonts w:cs="Arial"/>
                <w:szCs w:val="20"/>
              </w:rPr>
              <w:t>vzdrževanje varnega vrta v Žerjavu</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10.000</w:t>
            </w:r>
          </w:p>
        </w:tc>
        <w:tc>
          <w:tcPr>
            <w:tcW w:w="1417" w:type="dxa"/>
            <w:tcBorders>
              <w:bottom w:val="single" w:sz="4" w:space="0" w:color="000000"/>
            </w:tcBorders>
          </w:tcPr>
          <w:p w:rsidR="001100FF" w:rsidRPr="0035177E" w:rsidRDefault="001100FF" w:rsidP="001100FF">
            <w:pPr>
              <w:spacing w:line="276" w:lineRule="auto"/>
              <w:rPr>
                <w:rFonts w:cs="Arial"/>
                <w:szCs w:val="20"/>
              </w:rPr>
            </w:pP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2.6</w:t>
            </w:r>
          </w:p>
        </w:tc>
        <w:tc>
          <w:tcPr>
            <w:tcW w:w="7651" w:type="dxa"/>
            <w:shd w:val="pct10" w:color="auto" w:fill="auto"/>
          </w:tcPr>
          <w:p w:rsidR="001100FF" w:rsidRPr="0035177E" w:rsidRDefault="001100FF" w:rsidP="001100FF">
            <w:pPr>
              <w:spacing w:line="276" w:lineRule="auto"/>
              <w:rPr>
                <w:rFonts w:cs="Arial"/>
                <w:szCs w:val="20"/>
              </w:rPr>
            </w:pPr>
            <w:r w:rsidRPr="0035177E">
              <w:rPr>
                <w:rFonts w:cs="Arial"/>
                <w:b/>
                <w:bCs/>
                <w:szCs w:val="20"/>
              </w:rPr>
              <w:t>Dodeljevanje subvencij za zagotovitev varovalne prehrane javnim vzgojno-izobraževalnim zavodom in drugim javnim zavodom za vzgojo, izobraževanje in zdravstveno varstvo otrok</w:t>
            </w:r>
          </w:p>
        </w:tc>
        <w:tc>
          <w:tcPr>
            <w:tcW w:w="1276" w:type="dxa"/>
            <w:shd w:val="pct10" w:color="auto" w:fill="auto"/>
          </w:tcPr>
          <w:p w:rsidR="001100FF" w:rsidRPr="0035177E" w:rsidRDefault="001100FF" w:rsidP="001100FF">
            <w:pPr>
              <w:spacing w:line="276" w:lineRule="auto"/>
              <w:rPr>
                <w:rFonts w:cs="Arial"/>
                <w:color w:val="0070C0"/>
                <w:szCs w:val="20"/>
              </w:rPr>
            </w:pPr>
            <w:r w:rsidRPr="0035177E">
              <w:rPr>
                <w:rFonts w:cs="Arial"/>
                <w:color w:val="0070C0"/>
                <w:szCs w:val="20"/>
              </w:rPr>
              <w:t>10.000</w:t>
            </w:r>
          </w:p>
        </w:tc>
        <w:tc>
          <w:tcPr>
            <w:tcW w:w="1276" w:type="dxa"/>
            <w:shd w:val="pct10" w:color="auto" w:fill="auto"/>
          </w:tcPr>
          <w:p w:rsidR="001100FF" w:rsidRPr="0035177E" w:rsidRDefault="001100FF" w:rsidP="001100FF">
            <w:pPr>
              <w:spacing w:line="276" w:lineRule="auto"/>
              <w:rPr>
                <w:rFonts w:cs="Arial"/>
                <w:szCs w:val="20"/>
              </w:rPr>
            </w:pPr>
            <w:r w:rsidRPr="0035177E">
              <w:rPr>
                <w:rFonts w:cs="Arial"/>
                <w:szCs w:val="20"/>
              </w:rPr>
              <w:t>30.000</w:t>
            </w: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40.000,00</w:t>
            </w:r>
          </w:p>
        </w:tc>
      </w:tr>
      <w:tr w:rsidR="001100FF" w:rsidRPr="0035177E" w:rsidTr="001100FF">
        <w:tc>
          <w:tcPr>
            <w:tcW w:w="741" w:type="dxa"/>
          </w:tcPr>
          <w:p w:rsidR="001100FF" w:rsidRPr="0035177E" w:rsidRDefault="001100FF" w:rsidP="001100FF">
            <w:pPr>
              <w:spacing w:line="276" w:lineRule="auto"/>
              <w:rPr>
                <w:rFonts w:cs="Arial"/>
                <w:color w:val="0070C0"/>
                <w:szCs w:val="20"/>
              </w:rPr>
            </w:pPr>
            <w:r w:rsidRPr="0035177E">
              <w:rPr>
                <w:rFonts w:cs="Arial"/>
                <w:color w:val="0070C0"/>
                <w:szCs w:val="20"/>
              </w:rPr>
              <w:t>M</w:t>
            </w:r>
          </w:p>
        </w:tc>
        <w:tc>
          <w:tcPr>
            <w:tcW w:w="7651" w:type="dxa"/>
          </w:tcPr>
          <w:p w:rsidR="001100FF" w:rsidRPr="0035177E" w:rsidRDefault="001100FF" w:rsidP="001100FF">
            <w:pPr>
              <w:numPr>
                <w:ilvl w:val="0"/>
                <w:numId w:val="7"/>
              </w:numPr>
              <w:spacing w:line="276" w:lineRule="auto"/>
              <w:ind w:left="357" w:hanging="357"/>
              <w:jc w:val="both"/>
              <w:rPr>
                <w:rFonts w:cs="Arial"/>
                <w:color w:val="0070C0"/>
                <w:szCs w:val="20"/>
              </w:rPr>
            </w:pPr>
            <w:r w:rsidRPr="0035177E">
              <w:rPr>
                <w:rFonts w:cs="Arial"/>
                <w:color w:val="0070C0"/>
                <w:szCs w:val="20"/>
              </w:rPr>
              <w:t>subvencije varovalne prehrane za mlajše otroke na območju občine Mežica</w:t>
            </w:r>
          </w:p>
        </w:tc>
        <w:tc>
          <w:tcPr>
            <w:tcW w:w="1276" w:type="dxa"/>
          </w:tcPr>
          <w:p w:rsidR="001100FF" w:rsidRPr="0035177E" w:rsidRDefault="001100FF" w:rsidP="001100FF">
            <w:pPr>
              <w:spacing w:line="276" w:lineRule="auto"/>
              <w:rPr>
                <w:rFonts w:cs="Arial"/>
                <w:color w:val="0070C0"/>
                <w:szCs w:val="20"/>
              </w:rPr>
            </w:pPr>
            <w:r w:rsidRPr="0035177E">
              <w:rPr>
                <w:rFonts w:cs="Arial"/>
                <w:color w:val="0070C0"/>
                <w:szCs w:val="20"/>
              </w:rPr>
              <w:t>10.000</w:t>
            </w:r>
          </w:p>
        </w:tc>
        <w:tc>
          <w:tcPr>
            <w:tcW w:w="1276" w:type="dxa"/>
          </w:tcPr>
          <w:p w:rsidR="001100FF" w:rsidRPr="0035177E" w:rsidRDefault="001100FF" w:rsidP="001100FF">
            <w:pPr>
              <w:spacing w:line="276" w:lineRule="auto"/>
              <w:rPr>
                <w:rFonts w:cs="Arial"/>
                <w:color w:val="0070C0"/>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Pr>
          <w:p w:rsidR="001100FF" w:rsidRPr="0035177E" w:rsidRDefault="001100FF" w:rsidP="001100FF">
            <w:pPr>
              <w:spacing w:line="276" w:lineRule="auto"/>
              <w:rPr>
                <w:rFonts w:cs="Arial"/>
                <w:szCs w:val="20"/>
              </w:rPr>
            </w:pPr>
            <w:r w:rsidRPr="0035177E">
              <w:rPr>
                <w:rFonts w:cs="Arial"/>
                <w:szCs w:val="20"/>
              </w:rPr>
              <w:t>Č</w:t>
            </w:r>
          </w:p>
        </w:tc>
        <w:tc>
          <w:tcPr>
            <w:tcW w:w="7651" w:type="dxa"/>
          </w:tcPr>
          <w:p w:rsidR="001100FF" w:rsidRPr="0035177E" w:rsidRDefault="001100FF" w:rsidP="001100FF">
            <w:pPr>
              <w:numPr>
                <w:ilvl w:val="0"/>
                <w:numId w:val="7"/>
              </w:numPr>
              <w:spacing w:line="276" w:lineRule="auto"/>
              <w:ind w:left="357" w:hanging="357"/>
              <w:jc w:val="both"/>
              <w:rPr>
                <w:rFonts w:cs="Arial"/>
                <w:szCs w:val="20"/>
              </w:rPr>
            </w:pPr>
            <w:r w:rsidRPr="0035177E">
              <w:rPr>
                <w:rFonts w:cs="Arial"/>
                <w:szCs w:val="20"/>
              </w:rPr>
              <w:t>izvajanje programa dopolnilne varovalne prehrane za mlajše otroke iz občine Črna na Koroškem</w:t>
            </w:r>
          </w:p>
        </w:tc>
        <w:tc>
          <w:tcPr>
            <w:tcW w:w="1276" w:type="dxa"/>
          </w:tcPr>
          <w:p w:rsidR="001100FF" w:rsidRPr="0035177E" w:rsidRDefault="001100FF" w:rsidP="001100FF">
            <w:pPr>
              <w:spacing w:line="276" w:lineRule="auto"/>
              <w:rPr>
                <w:rFonts w:cs="Arial"/>
                <w:strike/>
                <w:szCs w:val="20"/>
              </w:rPr>
            </w:pPr>
          </w:p>
        </w:tc>
        <w:tc>
          <w:tcPr>
            <w:tcW w:w="1276" w:type="dxa"/>
          </w:tcPr>
          <w:p w:rsidR="001100FF" w:rsidRPr="0035177E" w:rsidRDefault="001100FF" w:rsidP="001100FF">
            <w:pPr>
              <w:spacing w:line="276" w:lineRule="auto"/>
              <w:rPr>
                <w:rFonts w:cs="Arial"/>
                <w:szCs w:val="20"/>
              </w:rPr>
            </w:pPr>
            <w:r w:rsidRPr="0035177E">
              <w:rPr>
                <w:rFonts w:cs="Arial"/>
                <w:szCs w:val="20"/>
              </w:rPr>
              <w:t>30.000</w:t>
            </w:r>
          </w:p>
        </w:tc>
        <w:tc>
          <w:tcPr>
            <w:tcW w:w="1417" w:type="dxa"/>
          </w:tcPr>
          <w:p w:rsidR="001100FF" w:rsidRPr="0035177E" w:rsidRDefault="001100FF" w:rsidP="001100FF">
            <w:pPr>
              <w:spacing w:line="276" w:lineRule="auto"/>
              <w:rPr>
                <w:rFonts w:cs="Arial"/>
                <w:strike/>
                <w:szCs w:val="20"/>
              </w:rPr>
            </w:pPr>
          </w:p>
        </w:tc>
      </w:tr>
      <w:tr w:rsidR="001100FF" w:rsidRPr="0035177E" w:rsidTr="001100FF">
        <w:tc>
          <w:tcPr>
            <w:tcW w:w="741" w:type="dxa"/>
            <w:tcBorders>
              <w:bottom w:val="single" w:sz="4" w:space="0" w:color="000000"/>
            </w:tcBorders>
            <w:shd w:val="pct10" w:color="auto" w:fill="auto"/>
          </w:tcPr>
          <w:p w:rsidR="001100FF" w:rsidRPr="0035177E" w:rsidRDefault="001100FF" w:rsidP="001100FF">
            <w:pPr>
              <w:spacing w:line="276" w:lineRule="auto"/>
              <w:rPr>
                <w:rFonts w:cs="Arial"/>
                <w:szCs w:val="20"/>
              </w:rPr>
            </w:pPr>
            <w:r w:rsidRPr="0035177E">
              <w:rPr>
                <w:rFonts w:cs="Arial"/>
                <w:szCs w:val="20"/>
              </w:rPr>
              <w:t>2.7</w:t>
            </w:r>
          </w:p>
        </w:tc>
        <w:tc>
          <w:tcPr>
            <w:tcW w:w="7651" w:type="dxa"/>
            <w:tcBorders>
              <w:bottom w:val="single" w:sz="4" w:space="0" w:color="000000"/>
            </w:tcBorders>
            <w:shd w:val="pct10" w:color="auto" w:fill="auto"/>
          </w:tcPr>
          <w:p w:rsidR="001100FF" w:rsidRPr="0035177E" w:rsidRDefault="001100FF" w:rsidP="001100FF">
            <w:pPr>
              <w:spacing w:line="276" w:lineRule="auto"/>
              <w:rPr>
                <w:rFonts w:cs="Arial"/>
                <w:b/>
                <w:bCs/>
                <w:szCs w:val="20"/>
              </w:rPr>
            </w:pPr>
            <w:r w:rsidRPr="0035177E">
              <w:rPr>
                <w:rFonts w:cs="Arial"/>
                <w:b/>
                <w:bCs/>
                <w:szCs w:val="20"/>
              </w:rPr>
              <w:t>Čiščenje fasad in ostrešij stavb, namenjenih prebivanju</w:t>
            </w:r>
          </w:p>
        </w:tc>
        <w:tc>
          <w:tcPr>
            <w:tcW w:w="1276" w:type="dxa"/>
            <w:tcBorders>
              <w:bottom w:val="single" w:sz="4" w:space="0" w:color="000000"/>
            </w:tcBorders>
            <w:shd w:val="pct10" w:color="auto" w:fill="auto"/>
          </w:tcPr>
          <w:p w:rsidR="001100FF" w:rsidRPr="0035177E" w:rsidRDefault="001100FF" w:rsidP="001100FF">
            <w:pPr>
              <w:spacing w:line="276" w:lineRule="auto"/>
              <w:rPr>
                <w:rFonts w:cs="Arial"/>
                <w:b/>
                <w:szCs w:val="20"/>
              </w:rPr>
            </w:pPr>
          </w:p>
        </w:tc>
        <w:tc>
          <w:tcPr>
            <w:tcW w:w="1276" w:type="dxa"/>
            <w:tcBorders>
              <w:bottom w:val="single" w:sz="4" w:space="0" w:color="000000"/>
            </w:tcBorders>
            <w:shd w:val="pct10" w:color="auto" w:fill="auto"/>
          </w:tcPr>
          <w:p w:rsidR="001100FF" w:rsidRPr="0035177E" w:rsidRDefault="001100FF" w:rsidP="001100FF">
            <w:pPr>
              <w:spacing w:line="276" w:lineRule="auto"/>
              <w:rPr>
                <w:rFonts w:cs="Arial"/>
                <w:szCs w:val="20"/>
              </w:rPr>
            </w:pPr>
            <w:r w:rsidRPr="0035177E">
              <w:rPr>
                <w:rFonts w:cs="Arial"/>
                <w:szCs w:val="20"/>
              </w:rPr>
              <w:t>160.000</w:t>
            </w:r>
          </w:p>
        </w:tc>
        <w:tc>
          <w:tcPr>
            <w:tcW w:w="1417" w:type="dxa"/>
            <w:tcBorders>
              <w:bottom w:val="single" w:sz="4" w:space="0" w:color="000000"/>
            </w:tcBorders>
            <w:shd w:val="pct10" w:color="auto" w:fill="auto"/>
          </w:tcPr>
          <w:p w:rsidR="001100FF" w:rsidRPr="0035177E" w:rsidRDefault="001100FF" w:rsidP="001100FF">
            <w:pPr>
              <w:spacing w:line="276" w:lineRule="auto"/>
              <w:rPr>
                <w:rFonts w:cs="Arial"/>
                <w:b/>
                <w:szCs w:val="20"/>
              </w:rPr>
            </w:pPr>
            <w:r w:rsidRPr="0035177E">
              <w:rPr>
                <w:rFonts w:cs="Arial"/>
                <w:b/>
                <w:szCs w:val="20"/>
              </w:rPr>
              <w:t>160.000,00</w:t>
            </w:r>
          </w:p>
        </w:tc>
      </w:tr>
      <w:tr w:rsidR="001100FF" w:rsidRPr="0035177E" w:rsidTr="001100FF">
        <w:tc>
          <w:tcPr>
            <w:tcW w:w="741" w:type="dxa"/>
            <w:shd w:val="clear" w:color="auto" w:fill="auto"/>
          </w:tcPr>
          <w:p w:rsidR="001100FF" w:rsidRPr="0035177E" w:rsidRDefault="001100FF" w:rsidP="001100FF">
            <w:pPr>
              <w:spacing w:line="276" w:lineRule="auto"/>
              <w:rPr>
                <w:rFonts w:cs="Arial"/>
                <w:szCs w:val="20"/>
              </w:rPr>
            </w:pPr>
            <w:r w:rsidRPr="0035177E">
              <w:rPr>
                <w:rFonts w:cs="Arial"/>
                <w:szCs w:val="20"/>
              </w:rPr>
              <w:t>Č</w:t>
            </w:r>
          </w:p>
        </w:tc>
        <w:tc>
          <w:tcPr>
            <w:tcW w:w="7651" w:type="dxa"/>
            <w:shd w:val="clear" w:color="auto" w:fill="auto"/>
          </w:tcPr>
          <w:p w:rsidR="001100FF" w:rsidRPr="0035177E" w:rsidRDefault="001100FF" w:rsidP="001100FF">
            <w:pPr>
              <w:numPr>
                <w:ilvl w:val="0"/>
                <w:numId w:val="7"/>
              </w:numPr>
              <w:spacing w:line="276" w:lineRule="auto"/>
              <w:rPr>
                <w:rFonts w:cs="Arial"/>
                <w:b/>
                <w:bCs/>
                <w:szCs w:val="20"/>
              </w:rPr>
            </w:pPr>
            <w:r w:rsidRPr="0035177E">
              <w:rPr>
                <w:rFonts w:cs="Arial"/>
                <w:szCs w:val="20"/>
              </w:rPr>
              <w:t>čiščenje ostrešja oziroma fasad javnih stavb v lasti občine (Gasilski dom Črna, Stara gozdna uprava, Hotel – severni del stavbe)</w:t>
            </w:r>
          </w:p>
        </w:tc>
        <w:tc>
          <w:tcPr>
            <w:tcW w:w="1276" w:type="dxa"/>
            <w:shd w:val="clear" w:color="auto" w:fill="auto"/>
          </w:tcPr>
          <w:p w:rsidR="001100FF" w:rsidRPr="0035177E" w:rsidRDefault="001100FF" w:rsidP="001100FF">
            <w:pPr>
              <w:spacing w:line="276" w:lineRule="auto"/>
              <w:rPr>
                <w:rFonts w:cs="Arial"/>
                <w:b/>
                <w:szCs w:val="20"/>
              </w:rPr>
            </w:pPr>
          </w:p>
        </w:tc>
        <w:tc>
          <w:tcPr>
            <w:tcW w:w="1276" w:type="dxa"/>
            <w:shd w:val="clear" w:color="auto" w:fill="auto"/>
          </w:tcPr>
          <w:p w:rsidR="001100FF" w:rsidRPr="0035177E" w:rsidRDefault="001100FF" w:rsidP="001100FF">
            <w:pPr>
              <w:spacing w:line="276" w:lineRule="auto"/>
              <w:rPr>
                <w:rFonts w:cs="Arial"/>
                <w:szCs w:val="20"/>
              </w:rPr>
            </w:pPr>
            <w:r w:rsidRPr="0035177E">
              <w:rPr>
                <w:rFonts w:cs="Arial"/>
                <w:szCs w:val="20"/>
              </w:rPr>
              <w:t>160.000</w:t>
            </w:r>
          </w:p>
        </w:tc>
        <w:tc>
          <w:tcPr>
            <w:tcW w:w="1417" w:type="dxa"/>
            <w:shd w:val="clear" w:color="auto" w:fill="auto"/>
          </w:tcPr>
          <w:p w:rsidR="001100FF" w:rsidRPr="0035177E" w:rsidRDefault="001100FF" w:rsidP="001100FF">
            <w:pPr>
              <w:spacing w:line="276" w:lineRule="auto"/>
              <w:rPr>
                <w:rFonts w:cs="Arial"/>
                <w:b/>
                <w:szCs w:val="20"/>
              </w:rPr>
            </w:pPr>
          </w:p>
        </w:tc>
      </w:tr>
      <w:tr w:rsidR="001100FF" w:rsidRPr="0035177E" w:rsidTr="001100FF">
        <w:tc>
          <w:tcPr>
            <w:tcW w:w="741" w:type="dxa"/>
            <w:shd w:val="pct10" w:color="auto" w:fill="auto"/>
          </w:tcPr>
          <w:p w:rsidR="001100FF" w:rsidRPr="0035177E" w:rsidRDefault="001100FF" w:rsidP="001100FF">
            <w:pPr>
              <w:spacing w:line="276" w:lineRule="auto"/>
              <w:rPr>
                <w:rFonts w:cs="Arial"/>
                <w:szCs w:val="20"/>
              </w:rPr>
            </w:pPr>
            <w:r w:rsidRPr="0035177E">
              <w:rPr>
                <w:rFonts w:cs="Arial"/>
                <w:szCs w:val="20"/>
              </w:rPr>
              <w:t>2.8</w:t>
            </w:r>
          </w:p>
        </w:tc>
        <w:tc>
          <w:tcPr>
            <w:tcW w:w="7651" w:type="dxa"/>
            <w:shd w:val="pct10" w:color="auto" w:fill="auto"/>
          </w:tcPr>
          <w:p w:rsidR="001100FF" w:rsidRPr="0035177E" w:rsidRDefault="001100FF" w:rsidP="001100FF">
            <w:pPr>
              <w:spacing w:line="276" w:lineRule="auto"/>
              <w:rPr>
                <w:rFonts w:cs="Arial"/>
                <w:b/>
                <w:bCs/>
                <w:szCs w:val="20"/>
              </w:rPr>
            </w:pPr>
            <w:r w:rsidRPr="0035177E">
              <w:rPr>
                <w:rFonts w:cs="Arial"/>
                <w:b/>
                <w:bCs/>
                <w:szCs w:val="20"/>
              </w:rPr>
              <w:t>Vzpostavitev in izvajanje obveščanja in ozaveščanja prebivalcev o možnih virih strupenih kovin in načinih zmanjšanja njihovega vnosa v telo ter o varni in varovalni prehrani</w:t>
            </w:r>
          </w:p>
        </w:tc>
        <w:tc>
          <w:tcPr>
            <w:tcW w:w="1276" w:type="dxa"/>
            <w:shd w:val="pct10" w:color="auto" w:fill="auto"/>
          </w:tcPr>
          <w:p w:rsidR="001100FF" w:rsidRPr="0035177E" w:rsidRDefault="001100FF" w:rsidP="001100FF">
            <w:pPr>
              <w:spacing w:line="276" w:lineRule="auto"/>
              <w:rPr>
                <w:rFonts w:cs="Arial"/>
                <w:szCs w:val="20"/>
              </w:rPr>
            </w:pPr>
          </w:p>
        </w:tc>
        <w:tc>
          <w:tcPr>
            <w:tcW w:w="1276" w:type="dxa"/>
            <w:shd w:val="pct10" w:color="auto" w:fill="auto"/>
          </w:tcPr>
          <w:p w:rsidR="001100FF" w:rsidRPr="0035177E" w:rsidRDefault="001100FF" w:rsidP="001100FF">
            <w:pPr>
              <w:spacing w:line="276" w:lineRule="auto"/>
              <w:rPr>
                <w:rFonts w:cs="Arial"/>
                <w:szCs w:val="20"/>
              </w:rPr>
            </w:pPr>
          </w:p>
        </w:tc>
        <w:tc>
          <w:tcPr>
            <w:tcW w:w="1417" w:type="dxa"/>
            <w:shd w:val="pct10" w:color="auto" w:fill="auto"/>
          </w:tcPr>
          <w:p w:rsidR="001100FF" w:rsidRPr="0035177E" w:rsidRDefault="001100FF" w:rsidP="001100FF">
            <w:pPr>
              <w:spacing w:line="276" w:lineRule="auto"/>
              <w:rPr>
                <w:rFonts w:cs="Arial"/>
                <w:b/>
                <w:szCs w:val="20"/>
              </w:rPr>
            </w:pPr>
            <w:r w:rsidRPr="0035177E">
              <w:rPr>
                <w:rFonts w:cs="Arial"/>
                <w:b/>
                <w:szCs w:val="20"/>
              </w:rPr>
              <w:t>32.000,00</w:t>
            </w:r>
          </w:p>
        </w:tc>
      </w:tr>
      <w:tr w:rsidR="001100FF" w:rsidRPr="0035177E" w:rsidTr="001100FF">
        <w:tc>
          <w:tcPr>
            <w:tcW w:w="741"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lastRenderedPageBreak/>
              <w:t>NIJZ</w:t>
            </w:r>
          </w:p>
        </w:tc>
        <w:tc>
          <w:tcPr>
            <w:tcW w:w="7651" w:type="dxa"/>
            <w:tcBorders>
              <w:bottom w:val="single" w:sz="4" w:space="0" w:color="000000"/>
            </w:tcBorders>
          </w:tcPr>
          <w:p w:rsidR="001100FF" w:rsidRPr="0035177E" w:rsidRDefault="001100FF" w:rsidP="001100FF">
            <w:pPr>
              <w:rPr>
                <w:rFonts w:cs="Arial"/>
                <w:szCs w:val="20"/>
              </w:rPr>
            </w:pPr>
            <w:r w:rsidRPr="0035177E">
              <w:rPr>
                <w:rFonts w:cs="Arial"/>
                <w:szCs w:val="20"/>
              </w:rPr>
              <w:t>V okviru ukrepa so predvidene naslednje dejavnosti:</w:t>
            </w:r>
          </w:p>
          <w:p w:rsidR="001100FF" w:rsidRPr="0035177E" w:rsidRDefault="001100FF" w:rsidP="001100FF">
            <w:pPr>
              <w:numPr>
                <w:ilvl w:val="0"/>
                <w:numId w:val="7"/>
              </w:numPr>
              <w:spacing w:line="276" w:lineRule="auto"/>
              <w:jc w:val="both"/>
              <w:rPr>
                <w:rFonts w:cs="Arial"/>
                <w:szCs w:val="20"/>
              </w:rPr>
            </w:pPr>
            <w:r w:rsidRPr="0035177E">
              <w:rPr>
                <w:rFonts w:cs="Arial"/>
                <w:szCs w:val="20"/>
              </w:rPr>
              <w:t>priprava podlag za izbor živil v okviru ukrepa dopolnilne varovalne prehrane, usklajevanje izpeljave ukrepa med dobavitelji in uporabniki hrane, izobraževanje tehničnega osebja v vrtcih in šolah;</w:t>
            </w:r>
          </w:p>
          <w:p w:rsidR="001100FF" w:rsidRPr="0035177E" w:rsidRDefault="001100FF" w:rsidP="001100FF">
            <w:pPr>
              <w:numPr>
                <w:ilvl w:val="0"/>
                <w:numId w:val="7"/>
              </w:numPr>
              <w:spacing w:line="276" w:lineRule="auto"/>
              <w:jc w:val="both"/>
              <w:rPr>
                <w:rFonts w:cs="Arial"/>
                <w:szCs w:val="20"/>
              </w:rPr>
            </w:pPr>
            <w:r w:rsidRPr="0035177E">
              <w:rPr>
                <w:rFonts w:cs="Arial"/>
                <w:szCs w:val="20"/>
              </w:rPr>
              <w:t>izvedba učnih ur za otroke v vrtcih Mežica, Črna in Žerjav;</w:t>
            </w:r>
          </w:p>
          <w:p w:rsidR="001100FF" w:rsidRPr="0035177E" w:rsidRDefault="001100FF" w:rsidP="001100FF">
            <w:pPr>
              <w:numPr>
                <w:ilvl w:val="0"/>
                <w:numId w:val="7"/>
              </w:numPr>
              <w:spacing w:line="276" w:lineRule="auto"/>
              <w:jc w:val="both"/>
              <w:rPr>
                <w:rFonts w:cs="Arial"/>
                <w:szCs w:val="20"/>
              </w:rPr>
            </w:pPr>
            <w:r w:rsidRPr="0035177E">
              <w:rPr>
                <w:rFonts w:cs="Arial"/>
                <w:szCs w:val="20"/>
              </w:rPr>
              <w:t>objava prispevkov o izvajanju programa in priporočil za zmanjšanje izpostavljenosti v lokalnih glasilih;</w:t>
            </w:r>
          </w:p>
          <w:p w:rsidR="001100FF" w:rsidRPr="0035177E" w:rsidRDefault="001100FF" w:rsidP="001100FF">
            <w:pPr>
              <w:numPr>
                <w:ilvl w:val="0"/>
                <w:numId w:val="7"/>
              </w:numPr>
              <w:spacing w:line="276" w:lineRule="auto"/>
              <w:jc w:val="both"/>
              <w:rPr>
                <w:rFonts w:cs="Arial"/>
                <w:szCs w:val="20"/>
              </w:rPr>
            </w:pPr>
            <w:r w:rsidRPr="0035177E">
              <w:rPr>
                <w:rFonts w:cs="Arial"/>
                <w:szCs w:val="20"/>
              </w:rPr>
              <w:t>vzdrževanje spletne strani z informacijami v zvezi s programom;</w:t>
            </w:r>
          </w:p>
          <w:p w:rsidR="001100FF" w:rsidRPr="0035177E" w:rsidRDefault="001100FF" w:rsidP="001100FF">
            <w:pPr>
              <w:numPr>
                <w:ilvl w:val="0"/>
                <w:numId w:val="7"/>
              </w:numPr>
              <w:spacing w:line="276" w:lineRule="auto"/>
              <w:jc w:val="both"/>
              <w:rPr>
                <w:rFonts w:cs="Arial"/>
                <w:szCs w:val="20"/>
              </w:rPr>
            </w:pPr>
            <w:r w:rsidRPr="0035177E">
              <w:rPr>
                <w:rFonts w:cs="Arial"/>
                <w:szCs w:val="20"/>
              </w:rPr>
              <w:t xml:space="preserve">priprava in predstavitev strokovnih prispevkov v zvezi s programom na strokovnih srečanjih; </w:t>
            </w:r>
          </w:p>
          <w:p w:rsidR="001100FF" w:rsidRPr="0035177E" w:rsidRDefault="001100FF" w:rsidP="001100FF">
            <w:pPr>
              <w:numPr>
                <w:ilvl w:val="0"/>
                <w:numId w:val="7"/>
              </w:numPr>
              <w:spacing w:line="276" w:lineRule="auto"/>
              <w:jc w:val="both"/>
              <w:rPr>
                <w:rFonts w:cs="Arial"/>
                <w:szCs w:val="20"/>
              </w:rPr>
            </w:pPr>
            <w:r w:rsidRPr="0035177E">
              <w:rPr>
                <w:rFonts w:cs="Arial"/>
                <w:szCs w:val="20"/>
              </w:rPr>
              <w:t>obveščanje drugih zainteresiranih deležnikov, zagotavljanje informacij za medije …</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417" w:type="dxa"/>
            <w:tcBorders>
              <w:bottom w:val="single" w:sz="4" w:space="0" w:color="000000"/>
            </w:tcBorders>
          </w:tcPr>
          <w:p w:rsidR="001100FF" w:rsidRPr="0035177E" w:rsidRDefault="001100FF" w:rsidP="001100FF">
            <w:pPr>
              <w:spacing w:line="276" w:lineRule="auto"/>
              <w:rPr>
                <w:rFonts w:cs="Arial"/>
                <w:szCs w:val="20"/>
              </w:rPr>
            </w:pPr>
          </w:p>
        </w:tc>
      </w:tr>
      <w:tr w:rsidR="001100FF" w:rsidRPr="0035177E" w:rsidTr="001100FF">
        <w:tc>
          <w:tcPr>
            <w:tcW w:w="741" w:type="dxa"/>
            <w:tcBorders>
              <w:bottom w:val="single" w:sz="4" w:space="0" w:color="000000"/>
            </w:tcBorders>
            <w:shd w:val="pct12" w:color="auto" w:fill="auto"/>
          </w:tcPr>
          <w:p w:rsidR="001100FF" w:rsidRPr="0035177E" w:rsidRDefault="001100FF" w:rsidP="001100FF">
            <w:pPr>
              <w:spacing w:line="276" w:lineRule="auto"/>
              <w:rPr>
                <w:rFonts w:cs="Arial"/>
                <w:szCs w:val="20"/>
              </w:rPr>
            </w:pPr>
            <w:r w:rsidRPr="0035177E">
              <w:rPr>
                <w:rFonts w:cs="Arial"/>
                <w:szCs w:val="20"/>
              </w:rPr>
              <w:t>2.9</w:t>
            </w:r>
          </w:p>
        </w:tc>
        <w:tc>
          <w:tcPr>
            <w:tcW w:w="7651" w:type="dxa"/>
            <w:tcBorders>
              <w:bottom w:val="single" w:sz="4" w:space="0" w:color="000000"/>
            </w:tcBorders>
            <w:shd w:val="pct12" w:color="auto" w:fill="auto"/>
          </w:tcPr>
          <w:p w:rsidR="001100FF" w:rsidRPr="0035177E" w:rsidRDefault="001100FF" w:rsidP="001100FF">
            <w:pPr>
              <w:rPr>
                <w:rFonts w:cs="Arial"/>
                <w:szCs w:val="20"/>
              </w:rPr>
            </w:pPr>
            <w:r w:rsidRPr="0035177E">
              <w:rPr>
                <w:rFonts w:cs="Arial"/>
                <w:b/>
                <w:bCs/>
                <w:szCs w:val="20"/>
              </w:rPr>
              <w:t>Ocena onesnaženja v širšem bivalnem okolju</w:t>
            </w:r>
          </w:p>
        </w:tc>
        <w:tc>
          <w:tcPr>
            <w:tcW w:w="1276" w:type="dxa"/>
            <w:tcBorders>
              <w:bottom w:val="single" w:sz="4" w:space="0" w:color="000000"/>
            </w:tcBorders>
            <w:shd w:val="pct12" w:color="auto" w:fill="auto"/>
          </w:tcPr>
          <w:p w:rsidR="001100FF" w:rsidRPr="0035177E" w:rsidRDefault="001100FF" w:rsidP="001100FF">
            <w:pPr>
              <w:spacing w:line="276" w:lineRule="auto"/>
              <w:rPr>
                <w:rFonts w:cs="Arial"/>
                <w:szCs w:val="20"/>
              </w:rPr>
            </w:pPr>
          </w:p>
        </w:tc>
        <w:tc>
          <w:tcPr>
            <w:tcW w:w="1276" w:type="dxa"/>
            <w:tcBorders>
              <w:bottom w:val="single" w:sz="4" w:space="0" w:color="000000"/>
            </w:tcBorders>
            <w:shd w:val="pct12" w:color="auto" w:fill="auto"/>
          </w:tcPr>
          <w:p w:rsidR="001100FF" w:rsidRPr="0035177E" w:rsidRDefault="001100FF" w:rsidP="001100FF">
            <w:pPr>
              <w:spacing w:line="276" w:lineRule="auto"/>
              <w:rPr>
                <w:rFonts w:cs="Arial"/>
                <w:szCs w:val="20"/>
              </w:rPr>
            </w:pPr>
          </w:p>
        </w:tc>
        <w:tc>
          <w:tcPr>
            <w:tcW w:w="1417" w:type="dxa"/>
            <w:tcBorders>
              <w:bottom w:val="single" w:sz="4" w:space="0" w:color="000000"/>
            </w:tcBorders>
            <w:shd w:val="pct12" w:color="auto" w:fill="auto"/>
          </w:tcPr>
          <w:p w:rsidR="001100FF" w:rsidRPr="0035177E" w:rsidRDefault="001100FF" w:rsidP="001100FF">
            <w:pPr>
              <w:spacing w:line="276" w:lineRule="auto"/>
              <w:rPr>
                <w:rFonts w:cs="Arial"/>
                <w:szCs w:val="20"/>
              </w:rPr>
            </w:pPr>
            <w:r w:rsidRPr="0035177E">
              <w:rPr>
                <w:rFonts w:cs="Arial"/>
                <w:b/>
                <w:szCs w:val="20"/>
              </w:rPr>
              <w:t>22.000</w:t>
            </w:r>
          </w:p>
        </w:tc>
      </w:tr>
      <w:tr w:rsidR="001100FF" w:rsidRPr="0035177E" w:rsidTr="001100FF">
        <w:tc>
          <w:tcPr>
            <w:tcW w:w="741" w:type="dxa"/>
            <w:tcBorders>
              <w:bottom w:val="single" w:sz="4" w:space="0" w:color="000000"/>
            </w:tcBorders>
          </w:tcPr>
          <w:p w:rsidR="001100FF" w:rsidRPr="0035177E" w:rsidRDefault="001100FF" w:rsidP="001100FF">
            <w:pPr>
              <w:spacing w:line="276" w:lineRule="auto"/>
              <w:rPr>
                <w:rFonts w:cs="Arial"/>
                <w:szCs w:val="20"/>
              </w:rPr>
            </w:pPr>
          </w:p>
        </w:tc>
        <w:tc>
          <w:tcPr>
            <w:tcW w:w="7651" w:type="dxa"/>
            <w:tcBorders>
              <w:bottom w:val="single" w:sz="4" w:space="0" w:color="000000"/>
            </w:tcBorders>
          </w:tcPr>
          <w:p w:rsidR="001100FF" w:rsidRPr="0035177E" w:rsidRDefault="001100FF" w:rsidP="001100FF">
            <w:pPr>
              <w:pStyle w:val="Odstavekseznama"/>
              <w:numPr>
                <w:ilvl w:val="0"/>
                <w:numId w:val="9"/>
              </w:numPr>
              <w:spacing w:line="240" w:lineRule="auto"/>
              <w:jc w:val="both"/>
              <w:rPr>
                <w:rFonts w:cs="Arial"/>
                <w:b/>
                <w:bCs/>
                <w:szCs w:val="20"/>
              </w:rPr>
            </w:pPr>
            <w:r w:rsidRPr="0035177E">
              <w:rPr>
                <w:rFonts w:cs="Arial"/>
                <w:szCs w:val="20"/>
              </w:rPr>
              <w:t xml:space="preserve">izdelava ocene onesnaženosti tal na površinah, namenjenih igri otrok (po globini in površini). Priprava predlogov sanacije površin. Nalogo usklajuje NIJZ s podporo ARSO. Pri meritvah in pregledu sodeluje usposobljen zunanji izvajalec. </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417" w:type="dxa"/>
            <w:tcBorders>
              <w:bottom w:val="single" w:sz="4" w:space="0" w:color="000000"/>
            </w:tcBorders>
          </w:tcPr>
          <w:p w:rsidR="001100FF" w:rsidRPr="0035177E" w:rsidRDefault="001100FF" w:rsidP="001100FF">
            <w:pPr>
              <w:spacing w:line="276" w:lineRule="auto"/>
              <w:rPr>
                <w:rFonts w:cs="Arial"/>
                <w:b/>
                <w:szCs w:val="20"/>
              </w:rPr>
            </w:pPr>
          </w:p>
        </w:tc>
      </w:tr>
      <w:tr w:rsidR="001100FF" w:rsidRPr="0035177E" w:rsidTr="001100FF">
        <w:tc>
          <w:tcPr>
            <w:tcW w:w="741" w:type="dxa"/>
            <w:shd w:val="clear" w:color="auto" w:fill="D9D9D9"/>
          </w:tcPr>
          <w:p w:rsidR="001100FF" w:rsidRPr="0035177E" w:rsidRDefault="001100FF" w:rsidP="001100FF">
            <w:pPr>
              <w:spacing w:line="276" w:lineRule="auto"/>
              <w:rPr>
                <w:rFonts w:cs="Arial"/>
                <w:szCs w:val="20"/>
              </w:rPr>
            </w:pPr>
            <w:r w:rsidRPr="0035177E">
              <w:rPr>
                <w:rFonts w:cs="Arial"/>
                <w:szCs w:val="20"/>
              </w:rPr>
              <w:t>2.10</w:t>
            </w:r>
          </w:p>
        </w:tc>
        <w:tc>
          <w:tcPr>
            <w:tcW w:w="7651" w:type="dxa"/>
            <w:shd w:val="clear" w:color="auto" w:fill="D9D9D9"/>
          </w:tcPr>
          <w:p w:rsidR="001100FF" w:rsidRPr="0035177E" w:rsidRDefault="001100FF" w:rsidP="001100FF">
            <w:pPr>
              <w:spacing w:line="276" w:lineRule="auto"/>
              <w:rPr>
                <w:rFonts w:cs="Arial"/>
                <w:b/>
                <w:bCs/>
                <w:szCs w:val="20"/>
              </w:rPr>
            </w:pPr>
            <w:r w:rsidRPr="0035177E">
              <w:rPr>
                <w:rFonts w:cs="Arial"/>
                <w:b/>
                <w:bCs/>
                <w:szCs w:val="20"/>
              </w:rPr>
              <w:t>Monitoring prašnih delcev v zraku</w:t>
            </w:r>
          </w:p>
        </w:tc>
        <w:tc>
          <w:tcPr>
            <w:tcW w:w="1276" w:type="dxa"/>
            <w:shd w:val="clear" w:color="auto" w:fill="D9D9D9"/>
          </w:tcPr>
          <w:p w:rsidR="001100FF" w:rsidRPr="0035177E" w:rsidRDefault="001100FF" w:rsidP="001100FF">
            <w:pPr>
              <w:spacing w:line="276" w:lineRule="auto"/>
              <w:rPr>
                <w:rFonts w:cs="Arial"/>
                <w:szCs w:val="20"/>
              </w:rPr>
            </w:pPr>
          </w:p>
        </w:tc>
        <w:tc>
          <w:tcPr>
            <w:tcW w:w="1276" w:type="dxa"/>
            <w:shd w:val="clear" w:color="auto" w:fill="D9D9D9"/>
          </w:tcPr>
          <w:p w:rsidR="001100FF" w:rsidRPr="0035177E" w:rsidRDefault="001100FF" w:rsidP="001100FF">
            <w:pPr>
              <w:spacing w:line="276" w:lineRule="auto"/>
              <w:rPr>
                <w:rFonts w:cs="Arial"/>
                <w:szCs w:val="20"/>
              </w:rPr>
            </w:pPr>
          </w:p>
        </w:tc>
        <w:tc>
          <w:tcPr>
            <w:tcW w:w="1417" w:type="dxa"/>
            <w:shd w:val="clear" w:color="auto" w:fill="D9D9D9"/>
          </w:tcPr>
          <w:p w:rsidR="001100FF" w:rsidRPr="0035177E" w:rsidRDefault="001100FF" w:rsidP="001100FF">
            <w:pPr>
              <w:spacing w:line="276" w:lineRule="auto"/>
              <w:rPr>
                <w:rFonts w:cs="Arial"/>
                <w:b/>
                <w:szCs w:val="20"/>
              </w:rPr>
            </w:pPr>
            <w:r w:rsidRPr="0035177E">
              <w:rPr>
                <w:rFonts w:cs="Arial"/>
                <w:b/>
                <w:szCs w:val="20"/>
              </w:rPr>
              <w:t>25.000,00</w:t>
            </w:r>
          </w:p>
        </w:tc>
      </w:tr>
      <w:tr w:rsidR="001100FF" w:rsidRPr="0035177E" w:rsidTr="001100FF">
        <w:tc>
          <w:tcPr>
            <w:tcW w:w="741" w:type="dxa"/>
            <w:tcBorders>
              <w:bottom w:val="single" w:sz="4" w:space="0" w:color="000000"/>
            </w:tcBorders>
          </w:tcPr>
          <w:p w:rsidR="001100FF" w:rsidRPr="0035177E" w:rsidRDefault="001100FF" w:rsidP="001100FF">
            <w:pPr>
              <w:spacing w:line="276" w:lineRule="auto"/>
              <w:rPr>
                <w:rFonts w:cs="Arial"/>
                <w:szCs w:val="20"/>
              </w:rPr>
            </w:pPr>
            <w:r w:rsidRPr="0035177E">
              <w:rPr>
                <w:rFonts w:cs="Arial"/>
                <w:szCs w:val="20"/>
              </w:rPr>
              <w:t>ARSO</w:t>
            </w:r>
          </w:p>
        </w:tc>
        <w:tc>
          <w:tcPr>
            <w:tcW w:w="7651" w:type="dxa"/>
            <w:tcBorders>
              <w:bottom w:val="single" w:sz="4" w:space="0" w:color="000000"/>
            </w:tcBorders>
          </w:tcPr>
          <w:p w:rsidR="001100FF" w:rsidRPr="0035177E" w:rsidRDefault="001100FF" w:rsidP="001100FF">
            <w:pPr>
              <w:spacing w:line="276" w:lineRule="auto"/>
              <w:rPr>
                <w:rFonts w:cs="Arial"/>
                <w:b/>
                <w:bCs/>
                <w:szCs w:val="20"/>
              </w:rPr>
            </w:pPr>
            <w:r w:rsidRPr="0035177E">
              <w:rPr>
                <w:rFonts w:cs="Arial"/>
                <w:szCs w:val="20"/>
              </w:rPr>
              <w:t xml:space="preserve">Nadaljevanje izvajanja monitoringa prašnih delcev v zraku na lokaciji v Žerjavu </w:t>
            </w: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276" w:type="dxa"/>
            <w:tcBorders>
              <w:bottom w:val="single" w:sz="4" w:space="0" w:color="000000"/>
            </w:tcBorders>
          </w:tcPr>
          <w:p w:rsidR="001100FF" w:rsidRPr="0035177E" w:rsidRDefault="001100FF" w:rsidP="001100FF">
            <w:pPr>
              <w:spacing w:line="276" w:lineRule="auto"/>
              <w:rPr>
                <w:rFonts w:cs="Arial"/>
                <w:szCs w:val="20"/>
              </w:rPr>
            </w:pPr>
          </w:p>
        </w:tc>
        <w:tc>
          <w:tcPr>
            <w:tcW w:w="1417" w:type="dxa"/>
            <w:tcBorders>
              <w:bottom w:val="single" w:sz="4" w:space="0" w:color="000000"/>
            </w:tcBorders>
          </w:tcPr>
          <w:p w:rsidR="001100FF" w:rsidRPr="0035177E" w:rsidRDefault="001100FF" w:rsidP="001100FF">
            <w:pPr>
              <w:spacing w:line="276" w:lineRule="auto"/>
              <w:rPr>
                <w:rFonts w:cs="Arial"/>
                <w:szCs w:val="20"/>
              </w:rPr>
            </w:pPr>
          </w:p>
        </w:tc>
      </w:tr>
      <w:tr w:rsidR="001100FF" w:rsidRPr="0035177E" w:rsidTr="001100FF">
        <w:tc>
          <w:tcPr>
            <w:tcW w:w="741" w:type="dxa"/>
            <w:shd w:val="clear" w:color="auto" w:fill="D9D9D9"/>
          </w:tcPr>
          <w:p w:rsidR="001100FF" w:rsidRPr="0035177E" w:rsidRDefault="001100FF" w:rsidP="001100FF">
            <w:pPr>
              <w:spacing w:line="276" w:lineRule="auto"/>
              <w:rPr>
                <w:rFonts w:cs="Arial"/>
                <w:szCs w:val="20"/>
              </w:rPr>
            </w:pPr>
            <w:r w:rsidRPr="0035177E">
              <w:rPr>
                <w:rFonts w:cs="Arial"/>
                <w:szCs w:val="20"/>
              </w:rPr>
              <w:t>2.11</w:t>
            </w:r>
          </w:p>
        </w:tc>
        <w:tc>
          <w:tcPr>
            <w:tcW w:w="7651" w:type="dxa"/>
            <w:shd w:val="clear" w:color="auto" w:fill="D9D9D9"/>
          </w:tcPr>
          <w:p w:rsidR="001100FF" w:rsidRPr="0035177E" w:rsidRDefault="001100FF" w:rsidP="001100FF">
            <w:pPr>
              <w:spacing w:line="276" w:lineRule="auto"/>
              <w:rPr>
                <w:rFonts w:cs="Arial"/>
                <w:b/>
                <w:bCs/>
                <w:szCs w:val="20"/>
              </w:rPr>
            </w:pPr>
            <w:r w:rsidRPr="0035177E">
              <w:rPr>
                <w:rFonts w:cs="Arial"/>
                <w:b/>
                <w:bCs/>
                <w:szCs w:val="20"/>
              </w:rPr>
              <w:t>Monitoring tal in vode</w:t>
            </w:r>
          </w:p>
        </w:tc>
        <w:tc>
          <w:tcPr>
            <w:tcW w:w="1276" w:type="dxa"/>
            <w:shd w:val="clear" w:color="auto" w:fill="D9D9D9"/>
          </w:tcPr>
          <w:p w:rsidR="001100FF" w:rsidRPr="0035177E" w:rsidRDefault="001100FF" w:rsidP="001100FF">
            <w:pPr>
              <w:spacing w:line="276" w:lineRule="auto"/>
              <w:rPr>
                <w:rFonts w:cs="Arial"/>
                <w:szCs w:val="20"/>
              </w:rPr>
            </w:pPr>
          </w:p>
        </w:tc>
        <w:tc>
          <w:tcPr>
            <w:tcW w:w="1276" w:type="dxa"/>
            <w:shd w:val="clear" w:color="auto" w:fill="D9D9D9"/>
          </w:tcPr>
          <w:p w:rsidR="001100FF" w:rsidRPr="0035177E" w:rsidRDefault="001100FF" w:rsidP="001100FF">
            <w:pPr>
              <w:spacing w:line="276" w:lineRule="auto"/>
              <w:rPr>
                <w:rFonts w:cs="Arial"/>
                <w:szCs w:val="20"/>
              </w:rPr>
            </w:pPr>
          </w:p>
        </w:tc>
        <w:tc>
          <w:tcPr>
            <w:tcW w:w="1417" w:type="dxa"/>
            <w:shd w:val="clear" w:color="auto" w:fill="D9D9D9"/>
          </w:tcPr>
          <w:p w:rsidR="001100FF" w:rsidRPr="0035177E" w:rsidRDefault="001100FF" w:rsidP="001100FF">
            <w:pPr>
              <w:spacing w:line="276" w:lineRule="auto"/>
              <w:rPr>
                <w:rFonts w:cs="Arial"/>
                <w:b/>
                <w:szCs w:val="20"/>
              </w:rPr>
            </w:pPr>
            <w:r w:rsidRPr="0035177E">
              <w:rPr>
                <w:rFonts w:cs="Arial"/>
                <w:b/>
                <w:szCs w:val="20"/>
              </w:rPr>
              <w:t>20.000,00</w:t>
            </w:r>
          </w:p>
        </w:tc>
      </w:tr>
      <w:tr w:rsidR="001100FF" w:rsidRPr="0035177E" w:rsidTr="001100FF">
        <w:tc>
          <w:tcPr>
            <w:tcW w:w="741" w:type="dxa"/>
          </w:tcPr>
          <w:p w:rsidR="001100FF" w:rsidRPr="0035177E" w:rsidRDefault="001100FF" w:rsidP="001100FF">
            <w:pPr>
              <w:spacing w:line="276" w:lineRule="auto"/>
              <w:rPr>
                <w:rFonts w:cs="Arial"/>
                <w:szCs w:val="20"/>
              </w:rPr>
            </w:pPr>
            <w:r w:rsidRPr="0035177E">
              <w:rPr>
                <w:rFonts w:cs="Arial"/>
                <w:szCs w:val="20"/>
              </w:rPr>
              <w:t>ARSO</w:t>
            </w:r>
          </w:p>
        </w:tc>
        <w:tc>
          <w:tcPr>
            <w:tcW w:w="7651" w:type="dxa"/>
          </w:tcPr>
          <w:p w:rsidR="001100FF" w:rsidRPr="0035177E" w:rsidRDefault="001100FF" w:rsidP="001100FF">
            <w:pPr>
              <w:spacing w:line="276" w:lineRule="auto"/>
              <w:rPr>
                <w:rFonts w:cs="Arial"/>
                <w:b/>
                <w:bCs/>
                <w:szCs w:val="20"/>
              </w:rPr>
            </w:pPr>
            <w:r w:rsidRPr="0035177E">
              <w:rPr>
                <w:rFonts w:cs="Arial"/>
                <w:szCs w:val="20"/>
              </w:rPr>
              <w:t>Izvajanje monitoringa na površinah, kjer so bili izvedeni in kjer so predvideni ukrepi za izboljšanje kakovosti okolja, ter na lokacijah, kjer so otroci s povišano vsebnostjo svinca v krvi.</w:t>
            </w:r>
          </w:p>
        </w:tc>
        <w:tc>
          <w:tcPr>
            <w:tcW w:w="1276" w:type="dxa"/>
          </w:tcPr>
          <w:p w:rsidR="001100FF" w:rsidRPr="0035177E" w:rsidRDefault="001100FF" w:rsidP="001100FF">
            <w:pPr>
              <w:spacing w:line="276" w:lineRule="auto"/>
              <w:rPr>
                <w:rFonts w:cs="Arial"/>
                <w:szCs w:val="20"/>
              </w:rPr>
            </w:pPr>
          </w:p>
        </w:tc>
        <w:tc>
          <w:tcPr>
            <w:tcW w:w="1276" w:type="dxa"/>
          </w:tcPr>
          <w:p w:rsidR="001100FF" w:rsidRPr="0035177E" w:rsidRDefault="001100FF" w:rsidP="001100FF">
            <w:pPr>
              <w:spacing w:line="276" w:lineRule="auto"/>
              <w:rPr>
                <w:rFonts w:cs="Arial"/>
                <w:szCs w:val="20"/>
              </w:rPr>
            </w:pPr>
          </w:p>
        </w:tc>
        <w:tc>
          <w:tcPr>
            <w:tcW w:w="1417" w:type="dxa"/>
          </w:tcPr>
          <w:p w:rsidR="001100FF" w:rsidRPr="0035177E" w:rsidRDefault="001100FF" w:rsidP="001100FF">
            <w:pPr>
              <w:spacing w:line="276" w:lineRule="auto"/>
              <w:rPr>
                <w:rFonts w:cs="Arial"/>
                <w:szCs w:val="20"/>
              </w:rPr>
            </w:pPr>
          </w:p>
        </w:tc>
      </w:tr>
      <w:tr w:rsidR="001100FF" w:rsidRPr="0035177E" w:rsidTr="001100FF">
        <w:tc>
          <w:tcPr>
            <w:tcW w:w="741" w:type="dxa"/>
            <w:tcBorders>
              <w:bottom w:val="single" w:sz="4" w:space="0" w:color="000000"/>
            </w:tcBorders>
            <w:shd w:val="clear" w:color="auto" w:fill="D9D9D9"/>
          </w:tcPr>
          <w:p w:rsidR="001100FF" w:rsidRPr="0035177E" w:rsidRDefault="001100FF" w:rsidP="001100FF">
            <w:pPr>
              <w:spacing w:line="276" w:lineRule="auto"/>
              <w:rPr>
                <w:rFonts w:cs="Arial"/>
                <w:szCs w:val="20"/>
              </w:rPr>
            </w:pPr>
            <w:r w:rsidRPr="0035177E">
              <w:rPr>
                <w:rFonts w:cs="Arial"/>
                <w:szCs w:val="20"/>
              </w:rPr>
              <w:t>2.12.</w:t>
            </w:r>
          </w:p>
        </w:tc>
        <w:tc>
          <w:tcPr>
            <w:tcW w:w="7651" w:type="dxa"/>
            <w:tcBorders>
              <w:bottom w:val="single" w:sz="4" w:space="0" w:color="000000"/>
            </w:tcBorders>
            <w:shd w:val="clear" w:color="auto" w:fill="D9D9D9"/>
          </w:tcPr>
          <w:p w:rsidR="001100FF" w:rsidRPr="0035177E" w:rsidRDefault="001100FF" w:rsidP="001100FF">
            <w:pPr>
              <w:spacing w:line="276" w:lineRule="auto"/>
              <w:rPr>
                <w:rFonts w:cs="Arial"/>
                <w:szCs w:val="20"/>
              </w:rPr>
            </w:pPr>
            <w:r w:rsidRPr="0035177E">
              <w:rPr>
                <w:rFonts w:cs="Arial"/>
                <w:b/>
                <w:bCs/>
                <w:szCs w:val="20"/>
              </w:rPr>
              <w:t>Usklajevanje priprave letnih programov ukrepov in poročil o izvajanju programa ter strokovni nadzor nad izvajanjem ukrepov iz tega odloka na operativni ravni</w:t>
            </w:r>
          </w:p>
        </w:tc>
        <w:tc>
          <w:tcPr>
            <w:tcW w:w="1276" w:type="dxa"/>
            <w:tcBorders>
              <w:bottom w:val="single" w:sz="4" w:space="0" w:color="000000"/>
            </w:tcBorders>
            <w:shd w:val="clear" w:color="auto" w:fill="D9D9D9"/>
          </w:tcPr>
          <w:p w:rsidR="001100FF" w:rsidRPr="0035177E" w:rsidRDefault="001100FF" w:rsidP="001100FF">
            <w:pPr>
              <w:spacing w:line="276" w:lineRule="auto"/>
              <w:rPr>
                <w:rFonts w:cs="Arial"/>
                <w:szCs w:val="20"/>
              </w:rPr>
            </w:pPr>
          </w:p>
        </w:tc>
        <w:tc>
          <w:tcPr>
            <w:tcW w:w="1276" w:type="dxa"/>
            <w:tcBorders>
              <w:bottom w:val="single" w:sz="4" w:space="0" w:color="000000"/>
            </w:tcBorders>
            <w:shd w:val="clear" w:color="auto" w:fill="D9D9D9"/>
          </w:tcPr>
          <w:p w:rsidR="001100FF" w:rsidRPr="0035177E" w:rsidRDefault="001100FF" w:rsidP="001100FF">
            <w:pPr>
              <w:spacing w:line="276" w:lineRule="auto"/>
              <w:rPr>
                <w:rFonts w:cs="Arial"/>
                <w:szCs w:val="20"/>
              </w:rPr>
            </w:pPr>
          </w:p>
        </w:tc>
        <w:tc>
          <w:tcPr>
            <w:tcW w:w="1417" w:type="dxa"/>
            <w:tcBorders>
              <w:bottom w:val="single" w:sz="4" w:space="0" w:color="000000"/>
            </w:tcBorders>
            <w:shd w:val="clear" w:color="auto" w:fill="D9D9D9"/>
          </w:tcPr>
          <w:p w:rsidR="001100FF" w:rsidRPr="0035177E" w:rsidRDefault="001100FF" w:rsidP="001100FF">
            <w:pPr>
              <w:spacing w:line="276" w:lineRule="auto"/>
              <w:rPr>
                <w:rFonts w:cs="Arial"/>
                <w:b/>
                <w:szCs w:val="20"/>
              </w:rPr>
            </w:pPr>
            <w:r w:rsidRPr="0035177E">
              <w:rPr>
                <w:rFonts w:cs="Arial"/>
                <w:b/>
                <w:szCs w:val="20"/>
              </w:rPr>
              <w:t>25.000,00</w:t>
            </w:r>
          </w:p>
          <w:p w:rsidR="001100FF" w:rsidRPr="0035177E" w:rsidRDefault="001100FF" w:rsidP="001100FF">
            <w:pPr>
              <w:spacing w:line="276" w:lineRule="auto"/>
              <w:rPr>
                <w:rFonts w:cs="Arial"/>
                <w:szCs w:val="20"/>
              </w:rPr>
            </w:pPr>
          </w:p>
        </w:tc>
      </w:tr>
      <w:tr w:rsidR="001100FF" w:rsidRPr="0035177E" w:rsidTr="001100FF">
        <w:tc>
          <w:tcPr>
            <w:tcW w:w="741" w:type="dxa"/>
            <w:shd w:val="clear" w:color="auto" w:fill="FFFFFF" w:themeFill="background1"/>
          </w:tcPr>
          <w:p w:rsidR="001100FF" w:rsidRPr="0035177E" w:rsidRDefault="001100FF" w:rsidP="001100FF">
            <w:pPr>
              <w:spacing w:line="276" w:lineRule="auto"/>
              <w:rPr>
                <w:rFonts w:cs="Arial"/>
                <w:szCs w:val="20"/>
              </w:rPr>
            </w:pPr>
            <w:r w:rsidRPr="0035177E">
              <w:rPr>
                <w:rFonts w:cs="Arial"/>
                <w:szCs w:val="20"/>
              </w:rPr>
              <w:t>NIJZ</w:t>
            </w:r>
          </w:p>
        </w:tc>
        <w:tc>
          <w:tcPr>
            <w:tcW w:w="7651" w:type="dxa"/>
            <w:shd w:val="clear" w:color="auto" w:fill="FFFFFF" w:themeFill="background1"/>
          </w:tcPr>
          <w:p w:rsidR="001100FF" w:rsidRPr="0035177E" w:rsidRDefault="001100FF" w:rsidP="001100FF">
            <w:pPr>
              <w:spacing w:line="276" w:lineRule="auto"/>
              <w:jc w:val="both"/>
              <w:rPr>
                <w:rFonts w:cs="Arial"/>
                <w:szCs w:val="20"/>
              </w:rPr>
            </w:pPr>
            <w:r w:rsidRPr="0035177E">
              <w:rPr>
                <w:rFonts w:cs="Arial"/>
                <w:szCs w:val="20"/>
              </w:rPr>
              <w:t>Usklajevanje priprave predlogov za obdobni načrt ukrepov:</w:t>
            </w:r>
          </w:p>
          <w:p w:rsidR="001100FF" w:rsidRPr="0035177E" w:rsidRDefault="001100FF" w:rsidP="001100FF">
            <w:pPr>
              <w:numPr>
                <w:ilvl w:val="0"/>
                <w:numId w:val="7"/>
              </w:numPr>
              <w:spacing w:line="276" w:lineRule="auto"/>
              <w:jc w:val="both"/>
              <w:rPr>
                <w:rFonts w:cs="Arial"/>
                <w:szCs w:val="20"/>
              </w:rPr>
            </w:pPr>
            <w:r w:rsidRPr="0035177E">
              <w:rPr>
                <w:rFonts w:cs="Arial"/>
                <w:szCs w:val="20"/>
              </w:rPr>
              <w:t xml:space="preserve">priprava predlogov nalog, ki jih izvaja NIJZ, in skupaj z ARSO priprava programa monitoringov okolja (zrak, tla); </w:t>
            </w:r>
          </w:p>
          <w:p w:rsidR="001100FF" w:rsidRPr="0035177E" w:rsidRDefault="001100FF" w:rsidP="001100FF">
            <w:pPr>
              <w:numPr>
                <w:ilvl w:val="0"/>
                <w:numId w:val="7"/>
              </w:numPr>
              <w:spacing w:line="276" w:lineRule="auto"/>
              <w:jc w:val="both"/>
              <w:rPr>
                <w:rFonts w:cs="Arial"/>
                <w:szCs w:val="20"/>
              </w:rPr>
            </w:pPr>
            <w:r w:rsidRPr="0035177E">
              <w:rPr>
                <w:rFonts w:cs="Arial"/>
                <w:szCs w:val="20"/>
              </w:rPr>
              <w:lastRenderedPageBreak/>
              <w:t>združitev končnih načrtov ukrepov, ki jih pripravita občini, z načrti monitoringa in informacijsko-motivacijskih dejavnosti v predlog obdobnega načrta ukrepov, ki je poslan na MOP;</w:t>
            </w:r>
          </w:p>
          <w:p w:rsidR="001100FF" w:rsidRPr="0035177E" w:rsidRDefault="001100FF" w:rsidP="001100FF">
            <w:pPr>
              <w:numPr>
                <w:ilvl w:val="0"/>
                <w:numId w:val="7"/>
              </w:numPr>
              <w:spacing w:line="276" w:lineRule="auto"/>
              <w:jc w:val="both"/>
              <w:rPr>
                <w:rFonts w:cs="Arial"/>
                <w:szCs w:val="20"/>
              </w:rPr>
            </w:pPr>
            <w:r w:rsidRPr="0035177E">
              <w:rPr>
                <w:rFonts w:cs="Arial"/>
                <w:szCs w:val="20"/>
              </w:rPr>
              <w:t>pregled stanja lokacij, kjer so lokalne skupnosti predlagale izvedbo ukrepov;</w:t>
            </w:r>
          </w:p>
          <w:p w:rsidR="001100FF" w:rsidRPr="0035177E" w:rsidRDefault="001100FF" w:rsidP="001100FF">
            <w:pPr>
              <w:numPr>
                <w:ilvl w:val="0"/>
                <w:numId w:val="7"/>
              </w:numPr>
              <w:spacing w:line="276" w:lineRule="auto"/>
              <w:jc w:val="both"/>
              <w:rPr>
                <w:rFonts w:cs="Arial"/>
                <w:szCs w:val="20"/>
              </w:rPr>
            </w:pPr>
            <w:r w:rsidRPr="0035177E">
              <w:rPr>
                <w:rFonts w:cs="Arial"/>
                <w:szCs w:val="20"/>
              </w:rPr>
              <w:t xml:space="preserve">redno spremljanje stanja na terenu, pregled napredka zastavljenih dejavnosti; pregledi lokacij, kjer so bile ugotovljene povišane vsebnosti svinca v krvi otrok; </w:t>
            </w:r>
          </w:p>
          <w:p w:rsidR="001100FF" w:rsidRPr="0035177E" w:rsidRDefault="001100FF" w:rsidP="001100FF">
            <w:pPr>
              <w:numPr>
                <w:ilvl w:val="0"/>
                <w:numId w:val="7"/>
              </w:numPr>
              <w:spacing w:line="276" w:lineRule="auto"/>
              <w:jc w:val="both"/>
              <w:rPr>
                <w:rFonts w:cs="Arial"/>
                <w:szCs w:val="20"/>
              </w:rPr>
            </w:pPr>
            <w:r w:rsidRPr="0035177E">
              <w:rPr>
                <w:rFonts w:cs="Arial"/>
                <w:szCs w:val="20"/>
              </w:rPr>
              <w:t>evalvacija poteka programa s poročilom in oceno napredka;</w:t>
            </w:r>
          </w:p>
          <w:p w:rsidR="001100FF" w:rsidRPr="0035177E" w:rsidRDefault="001100FF" w:rsidP="001100FF">
            <w:pPr>
              <w:numPr>
                <w:ilvl w:val="0"/>
                <w:numId w:val="7"/>
              </w:numPr>
              <w:spacing w:line="276" w:lineRule="auto"/>
              <w:jc w:val="both"/>
              <w:rPr>
                <w:rFonts w:cs="Arial"/>
                <w:szCs w:val="20"/>
              </w:rPr>
            </w:pPr>
            <w:r w:rsidRPr="0035177E">
              <w:rPr>
                <w:rFonts w:cs="Arial"/>
                <w:szCs w:val="20"/>
              </w:rPr>
              <w:t>priprava obdobnih poročil o izvajanju programa z opisom izvedenih dejavnosti.</w:t>
            </w:r>
          </w:p>
          <w:p w:rsidR="001100FF" w:rsidRPr="0035177E" w:rsidRDefault="001100FF" w:rsidP="001100FF">
            <w:pPr>
              <w:spacing w:line="276" w:lineRule="auto"/>
              <w:rPr>
                <w:rFonts w:cs="Arial"/>
                <w:b/>
                <w:bCs/>
                <w:szCs w:val="20"/>
              </w:rPr>
            </w:pPr>
            <w:r w:rsidRPr="0035177E">
              <w:rPr>
                <w:rFonts w:cs="Arial"/>
                <w:szCs w:val="20"/>
              </w:rPr>
              <w:t xml:space="preserve">Pregled rezultatov monitoringa krvi otrok, monitoringa tal in zraka ter pregled izvajanja zastavljenih dejavnosti. </w:t>
            </w:r>
          </w:p>
        </w:tc>
        <w:tc>
          <w:tcPr>
            <w:tcW w:w="1276" w:type="dxa"/>
            <w:shd w:val="clear" w:color="auto" w:fill="FFFFFF" w:themeFill="background1"/>
          </w:tcPr>
          <w:p w:rsidR="001100FF" w:rsidRPr="0035177E" w:rsidRDefault="001100FF" w:rsidP="001100FF">
            <w:pPr>
              <w:spacing w:line="276" w:lineRule="auto"/>
              <w:rPr>
                <w:rFonts w:cs="Arial"/>
                <w:szCs w:val="20"/>
              </w:rPr>
            </w:pPr>
          </w:p>
        </w:tc>
        <w:tc>
          <w:tcPr>
            <w:tcW w:w="1276" w:type="dxa"/>
            <w:shd w:val="clear" w:color="auto" w:fill="FFFFFF" w:themeFill="background1"/>
          </w:tcPr>
          <w:p w:rsidR="001100FF" w:rsidRPr="0035177E" w:rsidRDefault="001100FF" w:rsidP="001100FF">
            <w:pPr>
              <w:spacing w:line="276" w:lineRule="auto"/>
              <w:rPr>
                <w:rFonts w:cs="Arial"/>
                <w:szCs w:val="20"/>
              </w:rPr>
            </w:pPr>
          </w:p>
        </w:tc>
        <w:tc>
          <w:tcPr>
            <w:tcW w:w="1417" w:type="dxa"/>
            <w:shd w:val="clear" w:color="auto" w:fill="FFFFFF" w:themeFill="background1"/>
          </w:tcPr>
          <w:p w:rsidR="001100FF" w:rsidRPr="0035177E" w:rsidRDefault="001100FF" w:rsidP="001100FF">
            <w:pPr>
              <w:spacing w:line="276" w:lineRule="auto"/>
              <w:rPr>
                <w:rFonts w:cs="Arial"/>
                <w:b/>
                <w:szCs w:val="20"/>
              </w:rPr>
            </w:pPr>
          </w:p>
        </w:tc>
      </w:tr>
    </w:tbl>
    <w:p w:rsidR="0053293D" w:rsidRDefault="0053293D" w:rsidP="005D4B08">
      <w:pPr>
        <w:spacing w:line="276" w:lineRule="auto"/>
        <w:rPr>
          <w:rFonts w:cs="Arial"/>
          <w:szCs w:val="20"/>
        </w:rPr>
        <w:sectPr w:rsidR="0053293D" w:rsidSect="0035177E">
          <w:headerReference w:type="first" r:id="rId13"/>
          <w:pgSz w:w="16838" w:h="11906" w:orient="landscape"/>
          <w:pgMar w:top="1701" w:right="1701" w:bottom="1701" w:left="1134" w:header="964" w:footer="794" w:gutter="0"/>
          <w:cols w:space="708"/>
          <w:titlePg/>
          <w:docGrid w:linePitch="360"/>
        </w:sectPr>
      </w:pPr>
      <w:bookmarkStart w:id="0" w:name="_GoBack"/>
      <w:bookmarkEnd w:id="0"/>
    </w:p>
    <w:p w:rsidR="0035177E" w:rsidRDefault="0035177E" w:rsidP="0035177E">
      <w:pPr>
        <w:autoSpaceDE w:val="0"/>
        <w:autoSpaceDN w:val="0"/>
        <w:adjustRightInd w:val="0"/>
        <w:rPr>
          <w:rFonts w:cs="Arial"/>
          <w:color w:val="000000"/>
          <w:szCs w:val="20"/>
        </w:rPr>
      </w:pPr>
    </w:p>
    <w:p w:rsidR="0035177E" w:rsidRDefault="0035177E" w:rsidP="0035177E">
      <w:pPr>
        <w:autoSpaceDE w:val="0"/>
        <w:autoSpaceDN w:val="0"/>
        <w:adjustRightInd w:val="0"/>
        <w:rPr>
          <w:rFonts w:cs="Arial"/>
          <w:color w:val="000000"/>
          <w:szCs w:val="20"/>
        </w:rPr>
      </w:pPr>
    </w:p>
    <w:tbl>
      <w:tblPr>
        <w:tblW w:w="148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4503"/>
        <w:gridCol w:w="10347"/>
      </w:tblGrid>
      <w:tr w:rsidR="0035177E" w:rsidRPr="004A0E46" w:rsidTr="005D4B08">
        <w:trPr>
          <w:trHeight w:val="567"/>
        </w:trPr>
        <w:tc>
          <w:tcPr>
            <w:tcW w:w="4503" w:type="dxa"/>
            <w:tcBorders>
              <w:top w:val="single" w:sz="8" w:space="0" w:color="FFFFFF"/>
              <w:left w:val="single" w:sz="8" w:space="0" w:color="FFFFFF"/>
              <w:bottom w:val="single" w:sz="24" w:space="0" w:color="FFFFFF"/>
              <w:right w:val="single" w:sz="8" w:space="0" w:color="FFFFFF"/>
            </w:tcBorders>
            <w:shd w:val="clear" w:color="auto" w:fill="4BACC6"/>
          </w:tcPr>
          <w:p w:rsidR="0035177E" w:rsidRPr="00992308" w:rsidRDefault="0035177E" w:rsidP="005D4B08">
            <w:pPr>
              <w:rPr>
                <w:rFonts w:cs="Arial"/>
                <w:bCs/>
                <w:color w:val="FFFFFF"/>
                <w:szCs w:val="20"/>
              </w:rPr>
            </w:pPr>
            <w:r w:rsidRPr="00992308">
              <w:rPr>
                <w:rFonts w:cs="Arial"/>
                <w:bCs/>
                <w:color w:val="FFFFFF"/>
                <w:szCs w:val="20"/>
              </w:rPr>
              <w:t xml:space="preserve">UKREPI po točkah iz priloge 2 Odloka </w:t>
            </w:r>
          </w:p>
        </w:tc>
        <w:tc>
          <w:tcPr>
            <w:tcW w:w="10347" w:type="dxa"/>
            <w:tcBorders>
              <w:top w:val="single" w:sz="8" w:space="0" w:color="FFFFFF"/>
              <w:left w:val="single" w:sz="8" w:space="0" w:color="FFFFFF"/>
              <w:bottom w:val="single" w:sz="24" w:space="0" w:color="FFFFFF"/>
              <w:right w:val="single" w:sz="8" w:space="0" w:color="FFFFFF"/>
            </w:tcBorders>
            <w:shd w:val="clear" w:color="auto" w:fill="4BACC6"/>
          </w:tcPr>
          <w:p w:rsidR="0035177E" w:rsidRPr="004A0E46" w:rsidRDefault="0035177E" w:rsidP="005D4B08">
            <w:pPr>
              <w:rPr>
                <w:rFonts w:cs="Arial"/>
                <w:b/>
                <w:bCs/>
                <w:color w:val="FFFFFF"/>
                <w:szCs w:val="20"/>
              </w:rPr>
            </w:pPr>
            <w:r w:rsidRPr="004A0E46">
              <w:rPr>
                <w:rFonts w:cs="Arial"/>
                <w:b/>
                <w:bCs/>
                <w:color w:val="FFFFFF"/>
                <w:szCs w:val="20"/>
              </w:rPr>
              <w:t>RAZLAGA UKREPA</w:t>
            </w:r>
          </w:p>
        </w:tc>
      </w:tr>
      <w:tr w:rsidR="0035177E" w:rsidRPr="004A0E46" w:rsidTr="005D4B08">
        <w:trPr>
          <w:trHeight w:val="567"/>
        </w:trPr>
        <w:tc>
          <w:tcPr>
            <w:tcW w:w="4503" w:type="dxa"/>
            <w:tcBorders>
              <w:top w:val="single" w:sz="8" w:space="0" w:color="FFFFFF"/>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2.1</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Zamenjava onesnažene zemlje in</w:t>
            </w:r>
          </w:p>
          <w:p w:rsidR="0035177E" w:rsidRPr="00992308" w:rsidRDefault="0035177E" w:rsidP="005D4B08">
            <w:pPr>
              <w:autoSpaceDE w:val="0"/>
              <w:autoSpaceDN w:val="0"/>
              <w:adjustRightInd w:val="0"/>
              <w:rPr>
                <w:rFonts w:cs="Arial"/>
                <w:bCs/>
                <w:color w:val="FFFFFF"/>
                <w:szCs w:val="20"/>
              </w:rPr>
            </w:pPr>
            <w:proofErr w:type="spellStart"/>
            <w:r w:rsidRPr="00992308">
              <w:rPr>
                <w:rFonts w:cs="Arial"/>
                <w:bCs/>
                <w:color w:val="FFFFFF"/>
                <w:szCs w:val="20"/>
              </w:rPr>
              <w:t>zasejanje</w:t>
            </w:r>
            <w:proofErr w:type="spellEnd"/>
            <w:r w:rsidRPr="00992308">
              <w:rPr>
                <w:rFonts w:cs="Arial"/>
                <w:bCs/>
                <w:color w:val="FFFFFF"/>
                <w:szCs w:val="20"/>
              </w:rPr>
              <w:t xml:space="preserve"> trave na javnih površinah, ki so namenjene zadrževanju otrok</w:t>
            </w:r>
          </w:p>
          <w:p w:rsidR="0035177E" w:rsidRPr="00992308" w:rsidRDefault="0035177E" w:rsidP="005D4B08">
            <w:pPr>
              <w:pStyle w:val="Odstavekseznama"/>
              <w:ind w:left="0"/>
              <w:rPr>
                <w:rFonts w:cs="Arial"/>
                <w:bCs/>
                <w:color w:val="FFFFFF"/>
                <w:szCs w:val="20"/>
              </w:rPr>
            </w:pPr>
          </w:p>
        </w:tc>
        <w:tc>
          <w:tcPr>
            <w:tcW w:w="10347" w:type="dxa"/>
            <w:tcBorders>
              <w:top w:val="single" w:sz="8" w:space="0" w:color="FFFFFF"/>
              <w:left w:val="single" w:sz="8" w:space="0" w:color="FFFFFF"/>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xml:space="preserve">– V okviru ukrepa se predvsem izvaja menjava vrhnje plasti onesnažene zemlje s čisto zemljo oziroma drugo talno podlago, ki preprečuje dviganje prahu oziroma stik otrok z onesnaženimi tlemi. V ukrep so lahko uvrščene tudi druge dejavnosti, ki zmanjšujejo izpostavljenost otrok težkim kovinam na otroških igriščih oziroma njihov vnos v telo, kot so: ureditev higienskih kotičkov s pitno vodo na igriščih, ureditev poti na otroških igriščih, ureditev igral in okolice, vzdrževanje neonesnaženega materiala v peskovnikih, drugi ukrepi za zmanjšanje izpostavljenosti ali vnosa težkih kovin na otroških igriščih, če je podana ustrezna strokovna razlaga doseženega učinka. </w:t>
            </w:r>
          </w:p>
        </w:tc>
      </w:tr>
      <w:tr w:rsidR="0035177E" w:rsidRPr="004A0E46" w:rsidTr="005D4B08">
        <w:trPr>
          <w:trHeight w:val="567"/>
        </w:trPr>
        <w:tc>
          <w:tcPr>
            <w:tcW w:w="4503" w:type="dxa"/>
            <w:tcBorders>
              <w:top w:val="single" w:sz="8" w:space="0" w:color="FFFFFF"/>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2.2</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Preplastitev javnih površin, po katerih se gibljejo in zadržujejo otroci</w:t>
            </w:r>
          </w:p>
        </w:tc>
        <w:tc>
          <w:tcPr>
            <w:tcW w:w="10347" w:type="dxa"/>
            <w:tcBorders>
              <w:top w:val="single" w:sz="8" w:space="0" w:color="FFFFFF"/>
              <w:left w:val="single" w:sz="8" w:space="0" w:color="FFFFFF"/>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V okviru ukrepa se izvajajo preplastitve makadamskih in drugih neustrezno utrjenih površin, s katerih se dviguje onesnaženi prah. Ukrep se izvaja na igriščih, dvoriščih, cestah, parkiriščih oziroma vseh drugih površinah, v okolici katerih bivajo in se gibljejo otroci in obstaja možnost raznosa onesnaženega prahu v prostore in na z njimi povezane površine.</w:t>
            </w:r>
          </w:p>
        </w:tc>
      </w:tr>
      <w:tr w:rsidR="0035177E" w:rsidRPr="004A0E46" w:rsidTr="005D4B08">
        <w:trPr>
          <w:trHeight w:val="567"/>
        </w:trPr>
        <w:tc>
          <w:tcPr>
            <w:tcW w:w="4503" w:type="dxa"/>
            <w:vMerge w:val="restart"/>
            <w:tcBorders>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2.3</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Mokro čiščenje javnih površin</w:t>
            </w:r>
          </w:p>
          <w:p w:rsidR="0035177E" w:rsidRPr="00992308" w:rsidRDefault="0035177E" w:rsidP="005D4B08">
            <w:pPr>
              <w:autoSpaceDE w:val="0"/>
              <w:autoSpaceDN w:val="0"/>
              <w:adjustRightInd w:val="0"/>
              <w:rPr>
                <w:rFonts w:cs="Arial"/>
                <w:bCs/>
                <w:color w:val="FFFFFF"/>
                <w:szCs w:val="20"/>
              </w:rPr>
            </w:pPr>
          </w:p>
        </w:tc>
        <w:tc>
          <w:tcPr>
            <w:tcW w:w="10347" w:type="dxa"/>
            <w:vMerge w:val="restart"/>
            <w:shd w:val="clear" w:color="auto" w:fill="A5D5E2"/>
          </w:tcPr>
          <w:p w:rsidR="0035177E" w:rsidRPr="004A0E46" w:rsidRDefault="0035177E" w:rsidP="005D4B08">
            <w:pPr>
              <w:rPr>
                <w:rFonts w:cs="Arial"/>
                <w:szCs w:val="20"/>
              </w:rPr>
            </w:pPr>
            <w:r w:rsidRPr="004A0E46">
              <w:rPr>
                <w:rFonts w:cs="Arial"/>
                <w:szCs w:val="20"/>
              </w:rPr>
              <w:t>– V okviru ukrepa je predvidena organizacija mokrega čiščenja utrjenih površin, na katerih se nabira onesnaženi prah. Ukrep vključuje nabavo ustreznega stroja z dodatno opremo ter zagotovitev usposobljenih delavcev in materiala za mokro čiščenje. Z ukrepom se lahko izvajajo tudi druge dejavnosti, povezane s preprečevanjem prašenja onesnaženega materiala z utrjenih površin, če je pripravljena ustrezna strokovna razlaga učinka ukrepa z vidika preprečevanja izpostavljenosti in vnosa težkih kovin.</w:t>
            </w:r>
          </w:p>
        </w:tc>
      </w:tr>
      <w:tr w:rsidR="0035177E" w:rsidRPr="004A0E46" w:rsidTr="005D4B08">
        <w:trPr>
          <w:trHeight w:val="567"/>
        </w:trPr>
        <w:tc>
          <w:tcPr>
            <w:tcW w:w="4503" w:type="dxa"/>
            <w:vMerge/>
            <w:tcBorders>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p>
        </w:tc>
        <w:tc>
          <w:tcPr>
            <w:tcW w:w="10347" w:type="dxa"/>
            <w:vMerge/>
            <w:shd w:val="clear" w:color="auto" w:fill="A5D5E2"/>
          </w:tcPr>
          <w:p w:rsidR="0035177E" w:rsidRPr="004A0E46" w:rsidRDefault="0035177E" w:rsidP="005D4B08">
            <w:pPr>
              <w:rPr>
                <w:rFonts w:cs="Arial"/>
                <w:szCs w:val="20"/>
              </w:rPr>
            </w:pPr>
          </w:p>
        </w:tc>
      </w:tr>
      <w:tr w:rsidR="0035177E" w:rsidRPr="004A0E46" w:rsidTr="005D4B08">
        <w:trPr>
          <w:trHeight w:val="293"/>
        </w:trPr>
        <w:tc>
          <w:tcPr>
            <w:tcW w:w="4503" w:type="dxa"/>
            <w:vMerge/>
            <w:tcBorders>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p>
        </w:tc>
        <w:tc>
          <w:tcPr>
            <w:tcW w:w="10347" w:type="dxa"/>
            <w:vMerge/>
            <w:shd w:val="clear" w:color="auto" w:fill="A5D5E2"/>
          </w:tcPr>
          <w:p w:rsidR="0035177E" w:rsidRPr="004A0E46" w:rsidRDefault="0035177E" w:rsidP="005D4B08">
            <w:pPr>
              <w:rPr>
                <w:rFonts w:cs="Arial"/>
                <w:szCs w:val="20"/>
              </w:rPr>
            </w:pPr>
          </w:p>
        </w:tc>
      </w:tr>
      <w:tr w:rsidR="0035177E" w:rsidRPr="004A0E46" w:rsidTr="005D4B08">
        <w:trPr>
          <w:trHeight w:val="567"/>
        </w:trPr>
        <w:tc>
          <w:tcPr>
            <w:tcW w:w="4503" w:type="dxa"/>
            <w:tcBorders>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 xml:space="preserve">2.4 </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Ureditev golih javnih površin z rastlinskimi prevlekami</w:t>
            </w:r>
          </w:p>
        </w:tc>
        <w:tc>
          <w:tcPr>
            <w:tcW w:w="10347" w:type="dxa"/>
            <w:shd w:val="clear" w:color="auto" w:fill="A5D5E2"/>
          </w:tcPr>
          <w:p w:rsidR="0035177E" w:rsidRPr="004A0E46" w:rsidRDefault="0035177E" w:rsidP="005D4B08">
            <w:pPr>
              <w:rPr>
                <w:rFonts w:cs="Arial"/>
                <w:szCs w:val="20"/>
              </w:rPr>
            </w:pPr>
            <w:r w:rsidRPr="004A0E46">
              <w:rPr>
                <w:rFonts w:cs="Arial"/>
                <w:szCs w:val="20"/>
              </w:rPr>
              <w:t xml:space="preserve">– V okviru ukrepa se urejajo gole oziroma slabo poraščene površino s čisto zemljo in zatravitvijo ter hortikulturno ureditvijo. Ukrep se izvaja na naseljenih območjih, kjer so gole površine. Ukrep se izvaja tudi v kombinaciji z drugimi ukrepi z namenom doseganja celovitega učinka in preprečevanja nastajanja oziroma širjenja golih površin. </w:t>
            </w:r>
          </w:p>
        </w:tc>
      </w:tr>
      <w:tr w:rsidR="0035177E" w:rsidRPr="004A0E46" w:rsidTr="005D4B08">
        <w:trPr>
          <w:trHeight w:val="567"/>
        </w:trPr>
        <w:tc>
          <w:tcPr>
            <w:tcW w:w="4503" w:type="dxa"/>
            <w:tcBorders>
              <w:top w:val="single" w:sz="8" w:space="0" w:color="FFFFFF"/>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2.5</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Ureditev lokacij za varno vrtnarjenje</w:t>
            </w:r>
          </w:p>
        </w:tc>
        <w:tc>
          <w:tcPr>
            <w:tcW w:w="10347" w:type="dxa"/>
            <w:tcBorders>
              <w:top w:val="single" w:sz="8" w:space="0" w:color="FFFFFF"/>
              <w:left w:val="single" w:sz="8" w:space="0" w:color="FFFFFF"/>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V okviru ukrepa je predvidena ureditev namenskih površin s čisto zemljo za vrtnarjenje. Dejavnost vključuje ureditev gred oziroma vrtičkov s čisto zemljo, ureditev okolice vrtov, ureditev prostora za shranjevanje opreme, zagotovitev dostopa do čiste vode.</w:t>
            </w:r>
          </w:p>
        </w:tc>
      </w:tr>
      <w:tr w:rsidR="0035177E" w:rsidRPr="004A0E46" w:rsidTr="005D4B08">
        <w:trPr>
          <w:trHeight w:val="567"/>
        </w:trPr>
        <w:tc>
          <w:tcPr>
            <w:tcW w:w="4503" w:type="dxa"/>
            <w:vMerge w:val="restart"/>
            <w:tcBorders>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2.6</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Dodeljevanje subvencij za zagotovitev varovalne prehrane javnim vzgojno-izobraževalnim zavodom in drugim javnim zavodom za vzgojo, izobraževanje in zdravstveno varstvo otrok</w:t>
            </w:r>
          </w:p>
        </w:tc>
        <w:tc>
          <w:tcPr>
            <w:tcW w:w="10347" w:type="dxa"/>
            <w:vMerge w:val="restart"/>
            <w:shd w:val="clear" w:color="auto" w:fill="A5D5E2"/>
          </w:tcPr>
          <w:p w:rsidR="0035177E" w:rsidRPr="004A0E46" w:rsidRDefault="0035177E" w:rsidP="005D4B08">
            <w:pPr>
              <w:rPr>
                <w:rFonts w:cs="Arial"/>
                <w:szCs w:val="20"/>
              </w:rPr>
            </w:pPr>
            <w:r w:rsidRPr="004A0E46">
              <w:rPr>
                <w:rFonts w:cs="Arial"/>
                <w:szCs w:val="20"/>
              </w:rPr>
              <w:t>– V okviru ukrepa se izvajata nabava in priprava dodatnih živil oziroma jedi z večjo vsebnostjo snovi, ki krepijo zdravje in v povezavi z rednimi obroki ovirajo vezavo svinca v telesu. Prednostno se v okviru ukrepa nabavljajo bolj kakovostna ekološko pridelana živila, priprava živil pa je usmerjena v ohranitev njihovih pozitivnih hranilnih lastnosti.</w:t>
            </w:r>
          </w:p>
          <w:p w:rsidR="0035177E" w:rsidRPr="004A0E46" w:rsidRDefault="0035177E" w:rsidP="005D4B08">
            <w:pPr>
              <w:rPr>
                <w:rFonts w:cs="Arial"/>
                <w:szCs w:val="20"/>
              </w:rPr>
            </w:pPr>
          </w:p>
        </w:tc>
      </w:tr>
      <w:tr w:rsidR="0035177E" w:rsidRPr="004A0E46" w:rsidTr="005D4B08">
        <w:trPr>
          <w:trHeight w:val="567"/>
        </w:trPr>
        <w:tc>
          <w:tcPr>
            <w:tcW w:w="4503" w:type="dxa"/>
            <w:vMerge/>
            <w:tcBorders>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p>
        </w:tc>
        <w:tc>
          <w:tcPr>
            <w:tcW w:w="10347" w:type="dxa"/>
            <w:vMerge/>
            <w:tcBorders>
              <w:bottom w:val="nil"/>
            </w:tcBorders>
            <w:shd w:val="clear" w:color="auto" w:fill="A5D5E2"/>
          </w:tcPr>
          <w:p w:rsidR="0035177E" w:rsidRPr="004A0E46" w:rsidRDefault="0035177E" w:rsidP="005D4B08">
            <w:pPr>
              <w:tabs>
                <w:tab w:val="num" w:pos="0"/>
              </w:tabs>
              <w:spacing w:before="120"/>
              <w:rPr>
                <w:rFonts w:cs="Arial"/>
                <w:szCs w:val="20"/>
              </w:rPr>
            </w:pPr>
          </w:p>
        </w:tc>
      </w:tr>
      <w:tr w:rsidR="0035177E" w:rsidRPr="004A0E46" w:rsidTr="005D4B08">
        <w:trPr>
          <w:trHeight w:val="567"/>
        </w:trPr>
        <w:tc>
          <w:tcPr>
            <w:tcW w:w="4503" w:type="dxa"/>
            <w:tcBorders>
              <w:top w:val="single" w:sz="8" w:space="0" w:color="FFFFFF"/>
              <w:left w:val="single" w:sz="8" w:space="0" w:color="FFFFFF"/>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lastRenderedPageBreak/>
              <w:t>2.7</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Čiščenje fasad in ostrešij stavb,</w:t>
            </w:r>
          </w:p>
          <w:p w:rsidR="0035177E" w:rsidRPr="00992308" w:rsidRDefault="0035177E" w:rsidP="005D4B08">
            <w:pPr>
              <w:pStyle w:val="Odstavekseznama"/>
              <w:ind w:left="0"/>
              <w:rPr>
                <w:rFonts w:cs="Arial"/>
                <w:bCs/>
                <w:color w:val="FFFFFF"/>
                <w:szCs w:val="20"/>
              </w:rPr>
            </w:pPr>
            <w:r w:rsidRPr="00992308">
              <w:rPr>
                <w:rFonts w:cs="Arial"/>
                <w:bCs/>
                <w:color w:val="FFFFFF"/>
                <w:szCs w:val="20"/>
              </w:rPr>
              <w:t>namenjenih za bivanje</w:t>
            </w:r>
          </w:p>
          <w:p w:rsidR="0035177E" w:rsidRPr="00992308" w:rsidRDefault="0035177E" w:rsidP="005D4B08">
            <w:pPr>
              <w:pStyle w:val="Odstavekseznama"/>
              <w:ind w:left="0"/>
              <w:rPr>
                <w:rFonts w:cs="Arial"/>
                <w:bCs/>
                <w:color w:val="FFFFFF"/>
                <w:szCs w:val="20"/>
              </w:rPr>
            </w:pPr>
          </w:p>
        </w:tc>
        <w:tc>
          <w:tcPr>
            <w:tcW w:w="10347" w:type="dxa"/>
            <w:tcBorders>
              <w:top w:val="single" w:sz="8" w:space="0" w:color="FFFFFF"/>
              <w:left w:val="single" w:sz="8" w:space="0" w:color="FFFFFF"/>
              <w:bottom w:val="nil"/>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xml:space="preserve">– V okviru ukrepa se izvaja celovito čiščenje podstrešij oziroma ostrešij javnih stavb, na katerih je nakopičen onesnaženi prah. Ukrep vključuje ureditev dotrajanih fasad javnih stavb, s katerih se lušči obremenjeni material, ter ureditev ostrešij z zamenjavo onesnaženih materialov in preprečevanjem ponovnega vnosa obremenjenega prahu na podstrešja stavb. </w:t>
            </w:r>
          </w:p>
        </w:tc>
      </w:tr>
      <w:tr w:rsidR="0035177E" w:rsidRPr="004A0E46" w:rsidTr="005D4B08">
        <w:trPr>
          <w:trHeight w:val="567"/>
        </w:trPr>
        <w:tc>
          <w:tcPr>
            <w:tcW w:w="4503" w:type="dxa"/>
            <w:tcBorders>
              <w:left w:val="single" w:sz="8" w:space="0" w:color="FFFFFF"/>
              <w:bottom w:val="nil"/>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2.8</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Vzpostavitev in izvajanje obveščanja</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in ozaveščanja prebivalcev o možnih</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virih strupenih kovin in načinih zmanjšanja njihovega vnosa v telo ter o varni in varovalni prehrani</w:t>
            </w:r>
          </w:p>
        </w:tc>
        <w:tc>
          <w:tcPr>
            <w:tcW w:w="10347" w:type="dxa"/>
            <w:tcBorders>
              <w:bottom w:val="nil"/>
            </w:tcBorders>
            <w:shd w:val="clear" w:color="auto" w:fill="A5D5E2"/>
          </w:tcPr>
          <w:p w:rsidR="0035177E" w:rsidRPr="004A0E46" w:rsidRDefault="0035177E" w:rsidP="005D4B08">
            <w:pPr>
              <w:rPr>
                <w:rFonts w:cs="Arial"/>
                <w:szCs w:val="20"/>
              </w:rPr>
            </w:pPr>
            <w:r w:rsidRPr="004A0E46">
              <w:rPr>
                <w:rFonts w:cs="Arial"/>
                <w:szCs w:val="20"/>
              </w:rPr>
              <w:t>– V okviru ukrepa se izvaja informiranje javnosti in občutljivih skupin o poteku in rezultatih programa ukrepov za izboljšanje kakovosti okolja, informiranje in motiviranje občanov o lastnem delovanju za zmanjšanje izpostavljenosti težkim kovinam, zmanjšanje njihovega vnosa v telo in njihove vezave v telesu. Spremlja se program dopolnilne varovalne prehrane v vrtcih in šolah in zagotavlja ustrezna strokovna podpora. Zagotovljeni so redno strokovno svetovanje, izvajanje informativnih točk in vzdrževanje spletne strani sanacijskega programa.</w:t>
            </w:r>
          </w:p>
        </w:tc>
      </w:tr>
      <w:tr w:rsidR="0035177E" w:rsidRPr="004A0E46" w:rsidTr="005D4B08">
        <w:trPr>
          <w:trHeight w:val="567"/>
        </w:trPr>
        <w:tc>
          <w:tcPr>
            <w:tcW w:w="4503" w:type="dxa"/>
            <w:tcBorders>
              <w:left w:val="single" w:sz="8" w:space="0" w:color="FFFFFF"/>
              <w:bottom w:val="nil"/>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2.9</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Ocena onesnaženja v širšem bivalnem</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okolju</w:t>
            </w:r>
          </w:p>
        </w:tc>
        <w:tc>
          <w:tcPr>
            <w:tcW w:w="10347" w:type="dxa"/>
            <w:tcBorders>
              <w:bottom w:val="nil"/>
            </w:tcBorders>
            <w:shd w:val="clear" w:color="auto" w:fill="A5D5E2"/>
          </w:tcPr>
          <w:p w:rsidR="0035177E" w:rsidRPr="004A0E46" w:rsidRDefault="0035177E" w:rsidP="005D4B08">
            <w:pPr>
              <w:rPr>
                <w:rFonts w:cs="Arial"/>
                <w:szCs w:val="20"/>
              </w:rPr>
            </w:pPr>
            <w:r w:rsidRPr="004A0E46">
              <w:rPr>
                <w:rFonts w:cs="Arial"/>
                <w:szCs w:val="20"/>
              </w:rPr>
              <w:t>– V okviru ukrepa sta predvideni ocena onesnaženja okolja in posledična izpostavljenost prebivalstva težkim kovinam na območjih, nekoliko oddaljenih od središč (Mežica, Žerjav, Črna), kjer so podatki o obremenjenosti okolja še pomanjkljivi.</w:t>
            </w:r>
          </w:p>
        </w:tc>
      </w:tr>
      <w:tr w:rsidR="0035177E" w:rsidRPr="004A0E46" w:rsidTr="005D4B08">
        <w:trPr>
          <w:trHeight w:val="567"/>
        </w:trPr>
        <w:tc>
          <w:tcPr>
            <w:tcW w:w="4503" w:type="dxa"/>
            <w:tcBorders>
              <w:top w:val="single" w:sz="8" w:space="0" w:color="FFFFFF"/>
              <w:left w:val="single" w:sz="8" w:space="0" w:color="FFFFFF"/>
              <w:bottom w:val="nil"/>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2.10</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Monitoring prašnih delcev v zraku</w:t>
            </w:r>
          </w:p>
        </w:tc>
        <w:tc>
          <w:tcPr>
            <w:tcW w:w="10347" w:type="dxa"/>
            <w:tcBorders>
              <w:top w:val="single" w:sz="8" w:space="0" w:color="FFFFFF"/>
              <w:left w:val="single" w:sz="8" w:space="0" w:color="FFFFFF"/>
              <w:bottom w:val="nil"/>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V okviru ukrepa se izvaja monitoring prašnih delcev in težkih kovin v njih na lokacijah v Zgornji Mežiški dolini. Ukrep vključuje redne meritve na določenih lokacijah in ciljane meritve za pridobitev dodatnih informacij. Izvajajo se vzorčenje, laboratorijske analize in priprava poročil.</w:t>
            </w:r>
          </w:p>
        </w:tc>
      </w:tr>
      <w:tr w:rsidR="0035177E" w:rsidRPr="004A0E46" w:rsidTr="005D4B08">
        <w:trPr>
          <w:trHeight w:val="567"/>
        </w:trPr>
        <w:tc>
          <w:tcPr>
            <w:tcW w:w="4503" w:type="dxa"/>
            <w:tcBorders>
              <w:top w:val="single" w:sz="8" w:space="0" w:color="FFFFFF"/>
              <w:left w:val="single" w:sz="8" w:space="0" w:color="FFFFFF"/>
              <w:bottom w:val="nil"/>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2.11</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Monitoring tal in vode</w:t>
            </w:r>
          </w:p>
        </w:tc>
        <w:tc>
          <w:tcPr>
            <w:tcW w:w="10347" w:type="dxa"/>
            <w:tcBorders>
              <w:top w:val="single" w:sz="8" w:space="0" w:color="FFFFFF"/>
              <w:left w:val="single" w:sz="8" w:space="0" w:color="FFFFFF"/>
              <w:bottom w:val="nil"/>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xml:space="preserve">– V okviru ukrepa se izvaja monitoring vzorcev tal na lokacijah, kjer so bili izvedeni ali pa je predvidena izvedba ukrepov za izboljšanje kakovosti okolja. Ukrep vključuje vzorčenje na izbranih lokacijah, izvedbo potrebnih laboratorijskih analiz, pripravo poročil, mnenj in predlogov. </w:t>
            </w:r>
          </w:p>
        </w:tc>
      </w:tr>
      <w:tr w:rsidR="0035177E" w:rsidRPr="004A0E46" w:rsidTr="005D4B08">
        <w:trPr>
          <w:trHeight w:val="567"/>
        </w:trPr>
        <w:tc>
          <w:tcPr>
            <w:tcW w:w="4503" w:type="dxa"/>
            <w:tcBorders>
              <w:top w:val="single" w:sz="8" w:space="0" w:color="FFFFFF"/>
              <w:left w:val="single" w:sz="8" w:space="0" w:color="FFFFFF"/>
              <w:bottom w:val="nil"/>
              <w:right w:val="single" w:sz="24" w:space="0" w:color="FFFFFF"/>
            </w:tcBorders>
            <w:shd w:val="clear" w:color="auto" w:fill="4BACC6"/>
          </w:tcPr>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2.12</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Usklajevanje priprave letnih programov</w:t>
            </w:r>
          </w:p>
          <w:p w:rsidR="0035177E" w:rsidRPr="00992308" w:rsidRDefault="0035177E" w:rsidP="005D4B08">
            <w:pPr>
              <w:autoSpaceDE w:val="0"/>
              <w:autoSpaceDN w:val="0"/>
              <w:adjustRightInd w:val="0"/>
              <w:rPr>
                <w:rFonts w:cs="Arial"/>
                <w:bCs/>
                <w:color w:val="FFFFFF"/>
                <w:szCs w:val="20"/>
              </w:rPr>
            </w:pPr>
            <w:r w:rsidRPr="00992308">
              <w:rPr>
                <w:rFonts w:cs="Arial"/>
                <w:bCs/>
                <w:color w:val="FFFFFF"/>
                <w:szCs w:val="20"/>
              </w:rPr>
              <w:t>ukrepov in poročil o izvajanju programa ter strokovni nadzor nad izvajanjem ukrepov iz tega odloka na operativni ravni</w:t>
            </w:r>
          </w:p>
          <w:p w:rsidR="0035177E" w:rsidRPr="00992308" w:rsidRDefault="0035177E" w:rsidP="005D4B08">
            <w:pPr>
              <w:autoSpaceDE w:val="0"/>
              <w:autoSpaceDN w:val="0"/>
              <w:adjustRightInd w:val="0"/>
              <w:rPr>
                <w:rFonts w:cs="Arial"/>
                <w:bCs/>
                <w:color w:val="FFFFFF"/>
                <w:szCs w:val="20"/>
              </w:rPr>
            </w:pPr>
          </w:p>
        </w:tc>
        <w:tc>
          <w:tcPr>
            <w:tcW w:w="10347" w:type="dxa"/>
            <w:tcBorders>
              <w:top w:val="single" w:sz="8" w:space="0" w:color="FFFFFF"/>
              <w:left w:val="single" w:sz="8" w:space="0" w:color="FFFFFF"/>
              <w:bottom w:val="nil"/>
              <w:right w:val="single" w:sz="8" w:space="0" w:color="FFFFFF"/>
            </w:tcBorders>
            <w:shd w:val="clear" w:color="auto" w:fill="A5D5E2"/>
          </w:tcPr>
          <w:p w:rsidR="0035177E" w:rsidRPr="004A0E46" w:rsidRDefault="0035177E" w:rsidP="005D4B08">
            <w:pPr>
              <w:rPr>
                <w:rFonts w:cs="Arial"/>
                <w:szCs w:val="20"/>
              </w:rPr>
            </w:pPr>
            <w:r w:rsidRPr="004A0E46">
              <w:rPr>
                <w:rFonts w:cs="Arial"/>
                <w:szCs w:val="20"/>
              </w:rPr>
              <w:t xml:space="preserve">– V okviru ukrepa se izvajajo priprava letnih načrtov, nadzor nad izvajanjem zastavljenih načrtov, evalvacija, informacijska podpora, analize in priprava poročil. </w:t>
            </w:r>
          </w:p>
          <w:p w:rsidR="0035177E" w:rsidRPr="004A0E46" w:rsidRDefault="0035177E" w:rsidP="005D4B08">
            <w:pPr>
              <w:rPr>
                <w:rFonts w:cs="Arial"/>
                <w:szCs w:val="20"/>
              </w:rPr>
            </w:pPr>
          </w:p>
          <w:p w:rsidR="0035177E" w:rsidRPr="004A0E46" w:rsidRDefault="0035177E" w:rsidP="005D4B08">
            <w:pPr>
              <w:rPr>
                <w:rFonts w:cs="Arial"/>
                <w:szCs w:val="20"/>
              </w:rPr>
            </w:pPr>
          </w:p>
        </w:tc>
      </w:tr>
    </w:tbl>
    <w:p w:rsidR="0035177E" w:rsidRPr="002760DC" w:rsidRDefault="0035177E" w:rsidP="0035177E">
      <w:pPr>
        <w:autoSpaceDE w:val="0"/>
        <w:autoSpaceDN w:val="0"/>
        <w:adjustRightInd w:val="0"/>
        <w:rPr>
          <w:rFonts w:cs="Arial"/>
          <w:color w:val="000000"/>
          <w:szCs w:val="20"/>
        </w:rPr>
      </w:pPr>
    </w:p>
    <w:sectPr w:rsidR="0035177E" w:rsidRPr="002760DC" w:rsidSect="0035177E">
      <w:headerReference w:type="first" r:id="rId14"/>
      <w:pgSz w:w="16838" w:h="11906" w:orient="landscape"/>
      <w:pgMar w:top="1701" w:right="1701" w:bottom="1701" w:left="1134"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4F" w:rsidRDefault="0059174F" w:rsidP="00767987">
      <w:pPr>
        <w:spacing w:line="240" w:lineRule="auto"/>
      </w:pPr>
      <w:r>
        <w:separator/>
      </w:r>
    </w:p>
  </w:endnote>
  <w:endnote w:type="continuationSeparator" w:id="0">
    <w:p w:rsidR="0059174F" w:rsidRDefault="0059174F"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992308">
          <w:rPr>
            <w:noProof/>
          </w:rPr>
          <w:t>9</w:t>
        </w:r>
        <w:r>
          <w:fldChar w:fldCharType="end"/>
        </w:r>
      </w:p>
    </w:sdtContent>
  </w:sdt>
  <w:p w:rsidR="00E37094" w:rsidRDefault="00E3709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4F" w:rsidRDefault="0059174F" w:rsidP="00767987">
      <w:pPr>
        <w:spacing w:line="240" w:lineRule="auto"/>
      </w:pPr>
      <w:r>
        <w:separator/>
      </w:r>
    </w:p>
  </w:footnote>
  <w:footnote w:type="continuationSeparator" w:id="0">
    <w:p w:rsidR="0059174F" w:rsidRDefault="0059174F"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FF57F1" w:rsidRDefault="00FF57F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FF" w:rsidRDefault="001100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3D" w:rsidRDefault="0053293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43C"/>
    <w:multiLevelType w:val="hybridMultilevel"/>
    <w:tmpl w:val="0BAC1844"/>
    <w:lvl w:ilvl="0" w:tplc="0424000F">
      <w:start w:val="1"/>
      <w:numFmt w:val="decimal"/>
      <w:lvlText w:val="%1."/>
      <w:lvlJc w:val="left"/>
      <w:pPr>
        <w:ind w:left="1260" w:hanging="360"/>
      </w:p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 w15:restartNumberingAfterBreak="0">
    <w:nsid w:val="35EB3FD2"/>
    <w:multiLevelType w:val="hybridMultilevel"/>
    <w:tmpl w:val="A54281EE"/>
    <w:lvl w:ilvl="0" w:tplc="3384CBCA">
      <w:start w:val="5"/>
      <w:numFmt w:val="bullet"/>
      <w:lvlText w:val="–"/>
      <w:lvlJc w:val="left"/>
      <w:pPr>
        <w:ind w:left="738" w:hanging="360"/>
      </w:pPr>
      <w:rPr>
        <w:rFonts w:ascii="Arial" w:eastAsia="Times New Roman" w:hAnsi="Arial" w:cs="Arial" w:hint="default"/>
      </w:rPr>
    </w:lvl>
    <w:lvl w:ilvl="1" w:tplc="04240003" w:tentative="1">
      <w:start w:val="1"/>
      <w:numFmt w:val="bullet"/>
      <w:lvlText w:val="o"/>
      <w:lvlJc w:val="left"/>
      <w:pPr>
        <w:ind w:left="1458" w:hanging="360"/>
      </w:pPr>
      <w:rPr>
        <w:rFonts w:ascii="Courier New" w:hAnsi="Courier New" w:cs="Courier New" w:hint="default"/>
      </w:rPr>
    </w:lvl>
    <w:lvl w:ilvl="2" w:tplc="04240005" w:tentative="1">
      <w:start w:val="1"/>
      <w:numFmt w:val="bullet"/>
      <w:lvlText w:val=""/>
      <w:lvlJc w:val="left"/>
      <w:pPr>
        <w:ind w:left="2178" w:hanging="360"/>
      </w:pPr>
      <w:rPr>
        <w:rFonts w:ascii="Wingdings" w:hAnsi="Wingdings" w:hint="default"/>
      </w:rPr>
    </w:lvl>
    <w:lvl w:ilvl="3" w:tplc="04240001" w:tentative="1">
      <w:start w:val="1"/>
      <w:numFmt w:val="bullet"/>
      <w:lvlText w:val=""/>
      <w:lvlJc w:val="left"/>
      <w:pPr>
        <w:ind w:left="2898" w:hanging="360"/>
      </w:pPr>
      <w:rPr>
        <w:rFonts w:ascii="Symbol" w:hAnsi="Symbol" w:hint="default"/>
      </w:rPr>
    </w:lvl>
    <w:lvl w:ilvl="4" w:tplc="04240003" w:tentative="1">
      <w:start w:val="1"/>
      <w:numFmt w:val="bullet"/>
      <w:lvlText w:val="o"/>
      <w:lvlJc w:val="left"/>
      <w:pPr>
        <w:ind w:left="3618" w:hanging="360"/>
      </w:pPr>
      <w:rPr>
        <w:rFonts w:ascii="Courier New" w:hAnsi="Courier New" w:cs="Courier New" w:hint="default"/>
      </w:rPr>
    </w:lvl>
    <w:lvl w:ilvl="5" w:tplc="04240005" w:tentative="1">
      <w:start w:val="1"/>
      <w:numFmt w:val="bullet"/>
      <w:lvlText w:val=""/>
      <w:lvlJc w:val="left"/>
      <w:pPr>
        <w:ind w:left="4338" w:hanging="360"/>
      </w:pPr>
      <w:rPr>
        <w:rFonts w:ascii="Wingdings" w:hAnsi="Wingdings" w:hint="default"/>
      </w:rPr>
    </w:lvl>
    <w:lvl w:ilvl="6" w:tplc="04240001" w:tentative="1">
      <w:start w:val="1"/>
      <w:numFmt w:val="bullet"/>
      <w:lvlText w:val=""/>
      <w:lvlJc w:val="left"/>
      <w:pPr>
        <w:ind w:left="5058" w:hanging="360"/>
      </w:pPr>
      <w:rPr>
        <w:rFonts w:ascii="Symbol" w:hAnsi="Symbol" w:hint="default"/>
      </w:rPr>
    </w:lvl>
    <w:lvl w:ilvl="7" w:tplc="04240003" w:tentative="1">
      <w:start w:val="1"/>
      <w:numFmt w:val="bullet"/>
      <w:lvlText w:val="o"/>
      <w:lvlJc w:val="left"/>
      <w:pPr>
        <w:ind w:left="5778" w:hanging="360"/>
      </w:pPr>
      <w:rPr>
        <w:rFonts w:ascii="Courier New" w:hAnsi="Courier New" w:cs="Courier New" w:hint="default"/>
      </w:rPr>
    </w:lvl>
    <w:lvl w:ilvl="8" w:tplc="04240005" w:tentative="1">
      <w:start w:val="1"/>
      <w:numFmt w:val="bullet"/>
      <w:lvlText w:val=""/>
      <w:lvlJc w:val="left"/>
      <w:pPr>
        <w:ind w:left="6498" w:hanging="360"/>
      </w:pPr>
      <w:rPr>
        <w:rFonts w:ascii="Wingdings" w:hAnsi="Wingdings" w:hint="default"/>
      </w:rPr>
    </w:lvl>
  </w:abstractNum>
  <w:abstractNum w:abstractNumId="2" w15:restartNumberingAfterBreak="0">
    <w:nsid w:val="44221E25"/>
    <w:multiLevelType w:val="hybridMultilevel"/>
    <w:tmpl w:val="35D6DD3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F791A"/>
    <w:multiLevelType w:val="hybridMultilevel"/>
    <w:tmpl w:val="5A144C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AF94E08"/>
    <w:multiLevelType w:val="hybridMultilevel"/>
    <w:tmpl w:val="AADA12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6A4E0FC7"/>
    <w:multiLevelType w:val="hybridMultilevel"/>
    <w:tmpl w:val="00D89D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0D2"/>
    <w:rsid w:val="000718ED"/>
    <w:rsid w:val="000B3FE6"/>
    <w:rsid w:val="000E21B2"/>
    <w:rsid w:val="001100FF"/>
    <w:rsid w:val="001916D5"/>
    <w:rsid w:val="00204177"/>
    <w:rsid w:val="00253890"/>
    <w:rsid w:val="0035177E"/>
    <w:rsid w:val="003636EA"/>
    <w:rsid w:val="00366636"/>
    <w:rsid w:val="00367DE6"/>
    <w:rsid w:val="003B3E19"/>
    <w:rsid w:val="004076C6"/>
    <w:rsid w:val="004914E2"/>
    <w:rsid w:val="004A0E46"/>
    <w:rsid w:val="004B7F76"/>
    <w:rsid w:val="004E1BCE"/>
    <w:rsid w:val="0053293D"/>
    <w:rsid w:val="00552E5C"/>
    <w:rsid w:val="005729C6"/>
    <w:rsid w:val="0059174F"/>
    <w:rsid w:val="00592079"/>
    <w:rsid w:val="005C3E50"/>
    <w:rsid w:val="00682FFE"/>
    <w:rsid w:val="00692EB6"/>
    <w:rsid w:val="006C69EC"/>
    <w:rsid w:val="006D17B5"/>
    <w:rsid w:val="006D5277"/>
    <w:rsid w:val="006F018F"/>
    <w:rsid w:val="007039D0"/>
    <w:rsid w:val="00710C90"/>
    <w:rsid w:val="00717DDF"/>
    <w:rsid w:val="00767987"/>
    <w:rsid w:val="00782FD4"/>
    <w:rsid w:val="007D04F3"/>
    <w:rsid w:val="007F39C0"/>
    <w:rsid w:val="00811140"/>
    <w:rsid w:val="00834401"/>
    <w:rsid w:val="008A27E1"/>
    <w:rsid w:val="008A3F94"/>
    <w:rsid w:val="008D30A8"/>
    <w:rsid w:val="00904A48"/>
    <w:rsid w:val="00980294"/>
    <w:rsid w:val="00992308"/>
    <w:rsid w:val="009C5392"/>
    <w:rsid w:val="009E0C40"/>
    <w:rsid w:val="00A50E4B"/>
    <w:rsid w:val="00A715DC"/>
    <w:rsid w:val="00A9231D"/>
    <w:rsid w:val="00B01357"/>
    <w:rsid w:val="00B40287"/>
    <w:rsid w:val="00C0216A"/>
    <w:rsid w:val="00CA1460"/>
    <w:rsid w:val="00CC6C23"/>
    <w:rsid w:val="00CD6077"/>
    <w:rsid w:val="00CE234E"/>
    <w:rsid w:val="00D02973"/>
    <w:rsid w:val="00D475DD"/>
    <w:rsid w:val="00DA09BE"/>
    <w:rsid w:val="00DE3553"/>
    <w:rsid w:val="00E30579"/>
    <w:rsid w:val="00E37094"/>
    <w:rsid w:val="00F46C2D"/>
    <w:rsid w:val="00FB00DD"/>
    <w:rsid w:val="00FE1680"/>
    <w:rsid w:val="00FF57F1"/>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07-01-599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14458</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Andreja Rajh</cp:lastModifiedBy>
  <cp:revision>2</cp:revision>
  <dcterms:created xsi:type="dcterms:W3CDTF">2021-04-20T11:24:00Z</dcterms:created>
  <dcterms:modified xsi:type="dcterms:W3CDTF">2021-04-20T11:24:00Z</dcterms:modified>
</cp:coreProperties>
</file>