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FBD" w:rsidRDefault="00896FBD" w:rsidP="00896FBD">
      <w:pPr>
        <w:pStyle w:val="datumtevilka"/>
      </w:pPr>
      <w:r>
        <w:t xml:space="preserve">Številka: </w:t>
      </w:r>
      <w:r>
        <w:tab/>
      </w:r>
      <w:r w:rsidR="00D35091">
        <w:rPr>
          <w:rFonts w:cs="Arial"/>
          <w:color w:val="000000"/>
        </w:rPr>
        <w:t>00104-298/2021/4</w:t>
      </w:r>
    </w:p>
    <w:p w:rsidR="00896FBD" w:rsidRDefault="00896FBD" w:rsidP="00896FBD">
      <w:pPr>
        <w:pStyle w:val="datumtevilka"/>
      </w:pPr>
      <w:r>
        <w:t>Datum:</w:t>
      </w:r>
      <w:r>
        <w:tab/>
      </w:r>
      <w:r w:rsidR="00D35091">
        <w:rPr>
          <w:rFonts w:cs="Arial"/>
          <w:color w:val="000000"/>
        </w:rPr>
        <w:t>12. 8. 2021</w:t>
      </w:r>
      <w:r>
        <w:t xml:space="preserve"> </w:t>
      </w:r>
    </w:p>
    <w:p w:rsidR="00896FBD" w:rsidRDefault="00896FBD" w:rsidP="00896FBD"/>
    <w:p w:rsidR="00896FBD" w:rsidRDefault="00896FBD" w:rsidP="00896FBD">
      <w:pPr>
        <w:autoSpaceDE w:val="0"/>
        <w:autoSpaceDN w:val="0"/>
        <w:adjustRightInd w:val="0"/>
        <w:rPr>
          <w:rFonts w:cs="Arial"/>
          <w:color w:val="000000"/>
          <w:szCs w:val="20"/>
        </w:rPr>
      </w:pPr>
    </w:p>
    <w:p w:rsidR="00323B2E" w:rsidRDefault="00323B2E" w:rsidP="00896FBD">
      <w:pPr>
        <w:autoSpaceDE w:val="0"/>
        <w:autoSpaceDN w:val="0"/>
        <w:adjustRightInd w:val="0"/>
        <w:rPr>
          <w:rFonts w:cs="Arial"/>
          <w:color w:val="000000"/>
          <w:szCs w:val="20"/>
        </w:rPr>
      </w:pPr>
    </w:p>
    <w:p w:rsidR="00323B2E" w:rsidRDefault="00323B2E" w:rsidP="00896FBD">
      <w:pPr>
        <w:autoSpaceDE w:val="0"/>
        <w:autoSpaceDN w:val="0"/>
        <w:adjustRightInd w:val="0"/>
        <w:rPr>
          <w:rFonts w:cs="Arial"/>
          <w:color w:val="000000"/>
          <w:szCs w:val="20"/>
        </w:rPr>
      </w:pPr>
    </w:p>
    <w:p w:rsidR="00323B2E" w:rsidRDefault="00323B2E" w:rsidP="00896FBD">
      <w:pPr>
        <w:autoSpaceDE w:val="0"/>
        <w:autoSpaceDN w:val="0"/>
        <w:adjustRightInd w:val="0"/>
        <w:rPr>
          <w:rFonts w:cs="Arial"/>
          <w:color w:val="000000"/>
          <w:szCs w:val="20"/>
        </w:rPr>
      </w:pPr>
    </w:p>
    <w:p w:rsidR="00896FBD" w:rsidRPr="00323B2E" w:rsidRDefault="005600EF" w:rsidP="00323B2E">
      <w:pPr>
        <w:autoSpaceDE w:val="0"/>
        <w:autoSpaceDN w:val="0"/>
        <w:adjustRightInd w:val="0"/>
        <w:ind w:left="709" w:hanging="709"/>
        <w:jc w:val="center"/>
        <w:rPr>
          <w:rFonts w:cs="Arial"/>
          <w:b/>
          <w:color w:val="000000"/>
          <w:szCs w:val="20"/>
        </w:rPr>
      </w:pPr>
      <w:r w:rsidRPr="00323B2E">
        <w:rPr>
          <w:rFonts w:cs="Arial"/>
          <w:b/>
          <w:color w:val="000000"/>
          <w:szCs w:val="20"/>
        </w:rPr>
        <w:t>Odgovor</w:t>
      </w:r>
      <w:r w:rsidR="00D35091" w:rsidRPr="00323B2E">
        <w:rPr>
          <w:rFonts w:cs="Arial"/>
          <w:b/>
          <w:color w:val="000000"/>
          <w:szCs w:val="20"/>
        </w:rPr>
        <w:t xml:space="preserve"> na poslansko vprašanje Janija Ivanuše v zvezi s številom zaposlenih v javnih upravi</w:t>
      </w:r>
    </w:p>
    <w:p w:rsidR="00896FBD" w:rsidRDefault="00896FBD" w:rsidP="00896FBD">
      <w:pPr>
        <w:autoSpaceDE w:val="0"/>
        <w:autoSpaceDN w:val="0"/>
        <w:adjustRightInd w:val="0"/>
        <w:rPr>
          <w:rFonts w:cs="Arial"/>
          <w:color w:val="000000"/>
          <w:szCs w:val="20"/>
        </w:rPr>
      </w:pPr>
    </w:p>
    <w:p w:rsidR="00323B2E" w:rsidRDefault="00323B2E" w:rsidP="00896FBD">
      <w:pPr>
        <w:autoSpaceDE w:val="0"/>
        <w:autoSpaceDN w:val="0"/>
        <w:adjustRightInd w:val="0"/>
        <w:rPr>
          <w:rFonts w:cs="Arial"/>
          <w:color w:val="000000"/>
          <w:szCs w:val="20"/>
        </w:rPr>
      </w:pPr>
    </w:p>
    <w:p w:rsidR="00896FBD" w:rsidRDefault="00896FBD" w:rsidP="00896FBD">
      <w:pPr>
        <w:autoSpaceDE w:val="0"/>
        <w:autoSpaceDN w:val="0"/>
        <w:adjustRightInd w:val="0"/>
        <w:rPr>
          <w:rFonts w:cs="Arial"/>
          <w:color w:val="000000"/>
          <w:szCs w:val="20"/>
        </w:rPr>
      </w:pPr>
    </w:p>
    <w:p w:rsidR="00323B2E" w:rsidRDefault="00323B2E" w:rsidP="00323B2E">
      <w:pPr>
        <w:autoSpaceDE w:val="0"/>
        <w:autoSpaceDN w:val="0"/>
        <w:adjustRightInd w:val="0"/>
        <w:spacing w:line="240" w:lineRule="exact"/>
        <w:jc w:val="both"/>
        <w:rPr>
          <w:rFonts w:cs="Arial"/>
          <w:szCs w:val="20"/>
        </w:rPr>
      </w:pPr>
      <w:bookmarkStart w:id="0" w:name="_Hlk70340779"/>
      <w:r>
        <w:rPr>
          <w:rFonts w:cs="Arial"/>
          <w:szCs w:val="20"/>
        </w:rPr>
        <w:t>Predsednik Državnega zbora Republike Slovenije, Igor Zorčič, je Vladi Republike Slovenije (</w:t>
      </w:r>
      <w:r>
        <w:rPr>
          <w:rFonts w:cs="Arial"/>
          <w:szCs w:val="20"/>
          <w:lang w:eastAsia="sl-SI"/>
        </w:rPr>
        <w:t xml:space="preserve">v nadaljnjem besedilu: Vlada RS) </w:t>
      </w:r>
      <w:r>
        <w:rPr>
          <w:rFonts w:cs="Arial"/>
          <w:szCs w:val="20"/>
        </w:rPr>
        <w:t>z dopisom, št. 020-07/21-1036/2 z dne 8. 7. 2021 posredoval pisno poslansko vprašanje poslanca Janija Ivanuše v zvezi s številom zaposlenih v javni upravi.</w:t>
      </w:r>
      <w:bookmarkEnd w:id="0"/>
    </w:p>
    <w:p w:rsidR="00323B2E" w:rsidRDefault="00323B2E" w:rsidP="00323B2E">
      <w:pPr>
        <w:spacing w:line="240" w:lineRule="exact"/>
        <w:jc w:val="both"/>
        <w:rPr>
          <w:rFonts w:cs="Arial"/>
          <w:szCs w:val="20"/>
          <w:lang w:eastAsia="sl-SI"/>
        </w:rPr>
      </w:pPr>
    </w:p>
    <w:p w:rsidR="00323B2E" w:rsidRDefault="00323B2E" w:rsidP="00323B2E">
      <w:pPr>
        <w:autoSpaceDE w:val="0"/>
        <w:autoSpaceDN w:val="0"/>
        <w:adjustRightInd w:val="0"/>
        <w:spacing w:line="240" w:lineRule="exact"/>
        <w:jc w:val="both"/>
        <w:rPr>
          <w:rFonts w:cs="Arial"/>
          <w:iCs/>
          <w:szCs w:val="20"/>
        </w:rPr>
      </w:pPr>
      <w:r>
        <w:rPr>
          <w:rFonts w:cs="Arial"/>
          <w:iCs/>
          <w:szCs w:val="20"/>
        </w:rPr>
        <w:t>V pisnem poslanskem vprašanju poslanec Jani Ivanuša navaja, da naj bi konec lanskega poletja bilo v javni upravi zaposlenih več kot 173.000 oseb, oktobra naj bi število zaposlenih celo padlo pod 172.000. Govori se, da naj bi bilo danes v javni upravi zaposlenih že več kot 182.000 ljudi.</w:t>
      </w:r>
    </w:p>
    <w:p w:rsidR="00323B2E" w:rsidRDefault="00323B2E" w:rsidP="00323B2E">
      <w:pPr>
        <w:autoSpaceDE w:val="0"/>
        <w:autoSpaceDN w:val="0"/>
        <w:adjustRightInd w:val="0"/>
        <w:spacing w:line="240" w:lineRule="exact"/>
        <w:jc w:val="both"/>
        <w:rPr>
          <w:rFonts w:cs="Arial"/>
          <w:iCs/>
          <w:szCs w:val="20"/>
        </w:rPr>
      </w:pPr>
    </w:p>
    <w:p w:rsidR="00323B2E" w:rsidRDefault="00323B2E" w:rsidP="00323B2E">
      <w:pPr>
        <w:autoSpaceDE w:val="0"/>
        <w:autoSpaceDN w:val="0"/>
        <w:adjustRightInd w:val="0"/>
        <w:spacing w:line="240" w:lineRule="exact"/>
        <w:jc w:val="both"/>
        <w:rPr>
          <w:rFonts w:cs="Arial"/>
          <w:iCs/>
          <w:szCs w:val="20"/>
        </w:rPr>
      </w:pPr>
      <w:r>
        <w:rPr>
          <w:rFonts w:cs="Arial"/>
          <w:iCs/>
          <w:szCs w:val="20"/>
        </w:rPr>
        <w:t>V tej zvezi Vladi RS zastavlja naslednja vprašanja:</w:t>
      </w:r>
    </w:p>
    <w:p w:rsidR="00323B2E" w:rsidRDefault="00323B2E" w:rsidP="00323B2E">
      <w:pPr>
        <w:autoSpaceDE w:val="0"/>
        <w:autoSpaceDN w:val="0"/>
        <w:adjustRightInd w:val="0"/>
        <w:spacing w:line="240" w:lineRule="exact"/>
        <w:jc w:val="both"/>
        <w:rPr>
          <w:rFonts w:cs="Arial"/>
          <w:iCs/>
          <w:szCs w:val="20"/>
        </w:rPr>
      </w:pPr>
    </w:p>
    <w:p w:rsidR="00323B2E" w:rsidRDefault="00323B2E" w:rsidP="00323B2E">
      <w:pPr>
        <w:autoSpaceDE w:val="0"/>
        <w:autoSpaceDN w:val="0"/>
        <w:adjustRightInd w:val="0"/>
        <w:spacing w:line="240" w:lineRule="exact"/>
        <w:jc w:val="both"/>
        <w:rPr>
          <w:rFonts w:cs="Arial"/>
          <w:iCs/>
          <w:szCs w:val="20"/>
        </w:rPr>
      </w:pPr>
      <w:r>
        <w:rPr>
          <w:rFonts w:cs="Arial"/>
          <w:iCs/>
          <w:szCs w:val="20"/>
        </w:rPr>
        <w:t>1. Koliko je trenutno zaposlenih oseb posebej po sektorjih javne uprave in koliko vseh skupaj?</w:t>
      </w:r>
    </w:p>
    <w:p w:rsidR="00323B2E" w:rsidRDefault="00323B2E" w:rsidP="00323B2E">
      <w:pPr>
        <w:autoSpaceDE w:val="0"/>
        <w:autoSpaceDN w:val="0"/>
        <w:adjustRightInd w:val="0"/>
        <w:spacing w:line="240" w:lineRule="exact"/>
        <w:jc w:val="both"/>
        <w:rPr>
          <w:rFonts w:cs="Arial"/>
          <w:iCs/>
          <w:szCs w:val="20"/>
        </w:rPr>
      </w:pPr>
    </w:p>
    <w:p w:rsidR="00323B2E" w:rsidRDefault="00323B2E" w:rsidP="00323B2E">
      <w:pPr>
        <w:autoSpaceDE w:val="0"/>
        <w:autoSpaceDN w:val="0"/>
        <w:adjustRightInd w:val="0"/>
        <w:spacing w:line="240" w:lineRule="exact"/>
        <w:jc w:val="both"/>
        <w:rPr>
          <w:rFonts w:cs="Arial"/>
          <w:iCs/>
          <w:szCs w:val="20"/>
        </w:rPr>
      </w:pPr>
      <w:r>
        <w:rPr>
          <w:rFonts w:cs="Arial"/>
          <w:iCs/>
          <w:szCs w:val="20"/>
        </w:rPr>
        <w:t>2. Kje so razlogi, da je število zaposlenih v javni upravi tako sunkovito naraslo?</w:t>
      </w:r>
    </w:p>
    <w:p w:rsidR="00323B2E" w:rsidRDefault="00323B2E" w:rsidP="00323B2E">
      <w:pPr>
        <w:autoSpaceDE w:val="0"/>
        <w:autoSpaceDN w:val="0"/>
        <w:adjustRightInd w:val="0"/>
        <w:spacing w:line="240" w:lineRule="exact"/>
        <w:jc w:val="both"/>
        <w:rPr>
          <w:rFonts w:cs="Arial"/>
          <w:iCs/>
          <w:szCs w:val="20"/>
        </w:rPr>
      </w:pPr>
    </w:p>
    <w:p w:rsidR="00323B2E" w:rsidRDefault="00323B2E" w:rsidP="00323B2E">
      <w:pPr>
        <w:autoSpaceDE w:val="0"/>
        <w:autoSpaceDN w:val="0"/>
        <w:adjustRightInd w:val="0"/>
        <w:spacing w:line="240" w:lineRule="exact"/>
        <w:jc w:val="both"/>
        <w:rPr>
          <w:rFonts w:cs="Arial"/>
          <w:iCs/>
          <w:szCs w:val="20"/>
        </w:rPr>
      </w:pPr>
      <w:r>
        <w:rPr>
          <w:rFonts w:cs="Arial"/>
          <w:iCs/>
          <w:szCs w:val="20"/>
        </w:rPr>
        <w:t>3. Koliko je predsedovanje EU vplivalo na zvišanje števila zaposlenih v javni upravi?</w:t>
      </w:r>
    </w:p>
    <w:p w:rsidR="00323B2E" w:rsidRDefault="00323B2E" w:rsidP="00323B2E">
      <w:pPr>
        <w:autoSpaceDE w:val="0"/>
        <w:autoSpaceDN w:val="0"/>
        <w:adjustRightInd w:val="0"/>
        <w:spacing w:line="240" w:lineRule="exact"/>
        <w:jc w:val="both"/>
        <w:rPr>
          <w:rFonts w:cs="Arial"/>
          <w:iCs/>
          <w:szCs w:val="20"/>
        </w:rPr>
      </w:pPr>
    </w:p>
    <w:p w:rsidR="00323B2E" w:rsidRDefault="00323B2E" w:rsidP="00323B2E">
      <w:pPr>
        <w:autoSpaceDE w:val="0"/>
        <w:autoSpaceDN w:val="0"/>
        <w:adjustRightInd w:val="0"/>
        <w:spacing w:line="240" w:lineRule="exact"/>
        <w:jc w:val="both"/>
        <w:rPr>
          <w:rFonts w:cs="Arial"/>
          <w:iCs/>
          <w:szCs w:val="20"/>
        </w:rPr>
      </w:pPr>
      <w:r>
        <w:rPr>
          <w:rFonts w:cs="Arial"/>
          <w:iCs/>
          <w:szCs w:val="20"/>
        </w:rPr>
        <w:t>4. Za koliko in v katerih sektorjih javne uprave se je število zaposlenih najbolj povečalo?</w:t>
      </w:r>
    </w:p>
    <w:p w:rsidR="00323B2E" w:rsidRDefault="00323B2E" w:rsidP="00323B2E">
      <w:pPr>
        <w:autoSpaceDE w:val="0"/>
        <w:autoSpaceDN w:val="0"/>
        <w:adjustRightInd w:val="0"/>
        <w:spacing w:line="240" w:lineRule="exact"/>
        <w:jc w:val="both"/>
        <w:rPr>
          <w:rFonts w:cs="Arial"/>
          <w:iCs/>
          <w:szCs w:val="20"/>
        </w:rPr>
      </w:pPr>
    </w:p>
    <w:p w:rsidR="00323B2E" w:rsidRDefault="00323B2E" w:rsidP="00323B2E">
      <w:pPr>
        <w:autoSpaceDE w:val="0"/>
        <w:autoSpaceDN w:val="0"/>
        <w:adjustRightInd w:val="0"/>
        <w:spacing w:line="240" w:lineRule="exact"/>
        <w:jc w:val="both"/>
        <w:rPr>
          <w:rFonts w:cs="Arial"/>
          <w:iCs/>
          <w:szCs w:val="20"/>
        </w:rPr>
      </w:pPr>
      <w:r>
        <w:rPr>
          <w:rFonts w:cs="Arial"/>
          <w:iCs/>
          <w:szCs w:val="20"/>
        </w:rPr>
        <w:lastRenderedPageBreak/>
        <w:t>Vlada je poslansko vprašanje proučila in nanj posreduje naslednji odgovor:</w:t>
      </w:r>
    </w:p>
    <w:p w:rsidR="00323B2E" w:rsidRDefault="00323B2E" w:rsidP="00323B2E">
      <w:pPr>
        <w:autoSpaceDE w:val="0"/>
        <w:autoSpaceDN w:val="0"/>
        <w:adjustRightInd w:val="0"/>
        <w:spacing w:line="240" w:lineRule="exact"/>
        <w:jc w:val="both"/>
        <w:rPr>
          <w:rFonts w:cs="Arial"/>
          <w:iCs/>
          <w:szCs w:val="20"/>
        </w:rPr>
      </w:pPr>
      <w:r>
        <w:rPr>
          <w:rFonts w:cs="Arial"/>
          <w:iCs/>
          <w:szCs w:val="20"/>
        </w:rPr>
        <w:t xml:space="preserve">  </w:t>
      </w:r>
    </w:p>
    <w:p w:rsidR="00323B2E" w:rsidRDefault="00323B2E" w:rsidP="00323B2E">
      <w:pPr>
        <w:spacing w:line="240" w:lineRule="exact"/>
        <w:jc w:val="both"/>
        <w:rPr>
          <w:rFonts w:cs="Arial"/>
          <w:iCs/>
          <w:szCs w:val="20"/>
        </w:rPr>
      </w:pPr>
      <w:r>
        <w:rPr>
          <w:rFonts w:cs="Arial"/>
          <w:iCs/>
          <w:szCs w:val="20"/>
        </w:rPr>
        <w:t>Odgovor na prvo vprašanje je razviden iz Preglednice 1.</w:t>
      </w:r>
    </w:p>
    <w:p w:rsidR="00323B2E" w:rsidRDefault="00323B2E" w:rsidP="00323B2E">
      <w:pPr>
        <w:spacing w:line="240" w:lineRule="exact"/>
        <w:jc w:val="both"/>
        <w:rPr>
          <w:rFonts w:cs="Arial"/>
          <w:iCs/>
          <w:szCs w:val="20"/>
        </w:rPr>
      </w:pPr>
    </w:p>
    <w:p w:rsidR="00323B2E" w:rsidRDefault="00323B2E" w:rsidP="00323B2E">
      <w:pPr>
        <w:spacing w:line="240" w:lineRule="exact"/>
        <w:jc w:val="both"/>
        <w:rPr>
          <w:bCs/>
        </w:rPr>
      </w:pPr>
      <w:r>
        <w:rPr>
          <w:rFonts w:cs="Arial"/>
          <w:iCs/>
          <w:szCs w:val="20"/>
        </w:rPr>
        <w:t xml:space="preserve">Na drugo vprašanje v zvezi z razlogi za sunkovito povišanje zaposlenih Vlada RS pojasnjuje, da se je ocena števila zaposlenih od oktobra 2020 do aprila 2021 povišala za skupno 1.163 zaposlenih, kar je verjetno </w:t>
      </w:r>
      <w:r>
        <w:rPr>
          <w:rFonts w:cs="Arial"/>
          <w:color w:val="000000"/>
          <w:szCs w:val="20"/>
          <w:lang w:eastAsia="sl-SI"/>
        </w:rPr>
        <w:t>pripisati posledicam, ki so jih terjale razmere, nastale zaradi</w:t>
      </w:r>
      <w:r>
        <w:rPr>
          <w:bCs/>
        </w:rPr>
        <w:t xml:space="preserve"> epidemije COVID-19.</w:t>
      </w:r>
    </w:p>
    <w:p w:rsidR="00323B2E" w:rsidRDefault="00323B2E" w:rsidP="00323B2E">
      <w:pPr>
        <w:spacing w:line="240" w:lineRule="exact"/>
        <w:jc w:val="both"/>
        <w:rPr>
          <w:bCs/>
        </w:rPr>
      </w:pPr>
    </w:p>
    <w:p w:rsidR="00323B2E" w:rsidRDefault="00323B2E" w:rsidP="00323B2E">
      <w:pPr>
        <w:spacing w:line="240" w:lineRule="exact"/>
        <w:jc w:val="both"/>
        <w:rPr>
          <w:bCs/>
        </w:rPr>
      </w:pPr>
      <w:r>
        <w:rPr>
          <w:bCs/>
        </w:rPr>
        <w:t>Odgovor na tretje vprašanje je razviden iz Preglednice 2, pri tem pa Vlada RS pojasnjuje, da je število zaposlenih skladno s sprejetim Kadrovskim načrtom za posebni vladni projekt Predsedovanja Republike Slovenije Svetu Evropske unije 2021 (PSEU21), po katerem znaša dovoljeno število zaposlitev za priprave in izvedbo predsedovanja Republike Slovenije Svetu Evropske unije do 350 zaposlitev za določen čas.</w:t>
      </w:r>
    </w:p>
    <w:p w:rsidR="00323B2E" w:rsidRDefault="00323B2E" w:rsidP="00323B2E">
      <w:pPr>
        <w:autoSpaceDE w:val="0"/>
        <w:autoSpaceDN w:val="0"/>
        <w:adjustRightInd w:val="0"/>
        <w:spacing w:line="240" w:lineRule="exact"/>
        <w:jc w:val="both"/>
        <w:rPr>
          <w:rFonts w:cs="Arial"/>
          <w:szCs w:val="20"/>
          <w:lang w:eastAsia="sl-SI"/>
        </w:rPr>
      </w:pPr>
    </w:p>
    <w:p w:rsidR="00323B2E" w:rsidRDefault="00323B2E" w:rsidP="00323B2E">
      <w:pPr>
        <w:autoSpaceDE w:val="0"/>
        <w:autoSpaceDN w:val="0"/>
        <w:adjustRightInd w:val="0"/>
        <w:spacing w:line="240" w:lineRule="exact"/>
        <w:jc w:val="both"/>
        <w:rPr>
          <w:rFonts w:cs="Arial"/>
          <w:color w:val="000000" w:themeColor="text1"/>
          <w:szCs w:val="20"/>
          <w:lang w:eastAsia="sl-SI"/>
        </w:rPr>
      </w:pPr>
      <w:r>
        <w:rPr>
          <w:rFonts w:cs="Arial"/>
          <w:szCs w:val="20"/>
          <w:lang w:eastAsia="sl-SI"/>
        </w:rPr>
        <w:t>V zvezi s četrtim vprašanjem Vlada RS pojasnjuje</w:t>
      </w:r>
      <w:r>
        <w:rPr>
          <w:rFonts w:cs="Arial"/>
          <w:color w:val="000000" w:themeColor="text1"/>
          <w:szCs w:val="20"/>
          <w:lang w:eastAsia="sl-SI"/>
        </w:rPr>
        <w:t xml:space="preserve">, da se je </w:t>
      </w:r>
      <w:r>
        <w:rPr>
          <w:rFonts w:cs="Arial"/>
          <w:iCs/>
          <w:szCs w:val="20"/>
        </w:rPr>
        <w:t>ocena absolutnega števila zaposlenih o</w:t>
      </w:r>
      <w:r>
        <w:rPr>
          <w:rFonts w:cs="Arial"/>
          <w:color w:val="000000"/>
          <w:szCs w:val="20"/>
          <w:lang w:eastAsia="sl-SI"/>
        </w:rPr>
        <w:t xml:space="preserve">d </w:t>
      </w:r>
      <w:r>
        <w:rPr>
          <w:rFonts w:cs="Arial"/>
          <w:iCs/>
          <w:szCs w:val="20"/>
        </w:rPr>
        <w:t xml:space="preserve">oktobra 2020 do aprila 2021 za največ povečala na področju </w:t>
      </w:r>
      <w:r>
        <w:rPr>
          <w:rFonts w:cs="Arial"/>
          <w:color w:val="000000"/>
          <w:szCs w:val="20"/>
          <w:lang w:eastAsia="sl-SI"/>
        </w:rPr>
        <w:t xml:space="preserve">dejavnosti vzgoje, izobraževanja in športa ter zdravstva in socialnega varstva, in sicer za skupno 1.271 zaposlenih. </w:t>
      </w:r>
    </w:p>
    <w:p w:rsidR="00323B2E" w:rsidRDefault="00323B2E" w:rsidP="00323B2E">
      <w:pPr>
        <w:autoSpaceDE w:val="0"/>
        <w:autoSpaceDN w:val="0"/>
        <w:adjustRightInd w:val="0"/>
        <w:spacing w:line="240" w:lineRule="auto"/>
        <w:jc w:val="both"/>
        <w:rPr>
          <w:rFonts w:cs="Arial"/>
          <w:szCs w:val="20"/>
          <w:lang w:eastAsia="sl-SI"/>
        </w:rPr>
      </w:pPr>
    </w:p>
    <w:p w:rsidR="00323B2E" w:rsidRDefault="00323B2E" w:rsidP="00323B2E">
      <w:pPr>
        <w:spacing w:line="240" w:lineRule="auto"/>
        <w:jc w:val="both"/>
        <w:rPr>
          <w:rFonts w:cs="Arial"/>
          <w:iCs/>
          <w:szCs w:val="20"/>
        </w:rPr>
      </w:pPr>
    </w:p>
    <w:p w:rsidR="00323B2E" w:rsidRDefault="00323B2E" w:rsidP="00323B2E">
      <w:pPr>
        <w:spacing w:line="240" w:lineRule="auto"/>
        <w:jc w:val="both"/>
        <w:rPr>
          <w:rFonts w:cs="Arial"/>
          <w:iCs/>
          <w:szCs w:val="20"/>
        </w:rPr>
      </w:pPr>
    </w:p>
    <w:p w:rsidR="00323B2E" w:rsidRDefault="00323B2E" w:rsidP="00323B2E">
      <w:pPr>
        <w:spacing w:line="240" w:lineRule="auto"/>
        <w:jc w:val="both"/>
        <w:rPr>
          <w:rFonts w:cs="Arial"/>
          <w:color w:val="000000"/>
          <w:szCs w:val="20"/>
          <w:lang w:eastAsia="sl-SI"/>
        </w:rPr>
      </w:pPr>
      <w:r>
        <w:rPr>
          <w:rFonts w:cs="Arial"/>
          <w:iCs/>
          <w:szCs w:val="20"/>
        </w:rPr>
        <w:t xml:space="preserve">Preglednica 1: </w:t>
      </w:r>
      <w:r>
        <w:rPr>
          <w:rFonts w:cs="Arial"/>
          <w:color w:val="000000"/>
          <w:szCs w:val="20"/>
          <w:lang w:eastAsia="sl-SI"/>
        </w:rPr>
        <w:t xml:space="preserve">Ocena števila zaposlenih javnih uslužbencev in funkcionarjev po podskupinah dejavnosti in za celotni javni sektor v aprilu 2021 </w:t>
      </w:r>
    </w:p>
    <w:tbl>
      <w:tblPr>
        <w:tblpPr w:leftFromText="141" w:rightFromText="141" w:vertAnchor="text" w:horzAnchor="margin" w:tblpY="157"/>
        <w:tblW w:w="6936" w:type="dxa"/>
        <w:tblCellMar>
          <w:left w:w="70" w:type="dxa"/>
          <w:right w:w="70" w:type="dxa"/>
        </w:tblCellMar>
        <w:tblLook w:val="04A0" w:firstRow="1" w:lastRow="0" w:firstColumn="1" w:lastColumn="0" w:noHBand="0" w:noVBand="1"/>
      </w:tblPr>
      <w:tblGrid>
        <w:gridCol w:w="5660"/>
        <w:gridCol w:w="1276"/>
      </w:tblGrid>
      <w:tr w:rsidR="00323B2E" w:rsidTr="00323B2E">
        <w:trPr>
          <w:trHeight w:val="214"/>
        </w:trPr>
        <w:tc>
          <w:tcPr>
            <w:tcW w:w="5660" w:type="dxa"/>
            <w:tcBorders>
              <w:top w:val="single" w:sz="8" w:space="0" w:color="auto"/>
              <w:left w:val="single" w:sz="8" w:space="0" w:color="auto"/>
              <w:bottom w:val="single" w:sz="4" w:space="0" w:color="auto"/>
              <w:right w:val="single" w:sz="4" w:space="0" w:color="auto"/>
            </w:tcBorders>
            <w:shd w:val="clear" w:color="auto" w:fill="BFBFBF"/>
            <w:noWrap/>
            <w:vAlign w:val="bottom"/>
            <w:hideMark/>
          </w:tcPr>
          <w:p w:rsidR="00323B2E" w:rsidRDefault="00323B2E">
            <w:pPr>
              <w:spacing w:line="240" w:lineRule="auto"/>
              <w:rPr>
                <w:rFonts w:cs="Arial"/>
                <w:b/>
                <w:bCs/>
                <w:color w:val="000000"/>
                <w:sz w:val="16"/>
                <w:szCs w:val="16"/>
                <w:lang w:eastAsia="sl-SI"/>
              </w:rPr>
            </w:pPr>
            <w:r>
              <w:rPr>
                <w:rFonts w:cs="Arial"/>
                <w:b/>
                <w:bCs/>
                <w:color w:val="000000"/>
                <w:sz w:val="16"/>
                <w:szCs w:val="16"/>
                <w:lang w:eastAsia="sl-SI"/>
              </w:rPr>
              <w:t>Podskupina dejavnosti</w:t>
            </w:r>
          </w:p>
        </w:tc>
        <w:tc>
          <w:tcPr>
            <w:tcW w:w="1276" w:type="dxa"/>
            <w:tcBorders>
              <w:top w:val="single" w:sz="8" w:space="0" w:color="auto"/>
              <w:left w:val="nil"/>
              <w:bottom w:val="single" w:sz="4" w:space="0" w:color="auto"/>
              <w:right w:val="single" w:sz="4" w:space="0" w:color="auto"/>
            </w:tcBorders>
            <w:shd w:val="clear" w:color="auto" w:fill="BFBFBF"/>
            <w:noWrap/>
            <w:vAlign w:val="bottom"/>
            <w:hideMark/>
          </w:tcPr>
          <w:p w:rsidR="00323B2E" w:rsidRDefault="00323B2E">
            <w:pPr>
              <w:spacing w:line="240" w:lineRule="auto"/>
              <w:jc w:val="right"/>
              <w:rPr>
                <w:rFonts w:cs="Arial"/>
                <w:b/>
                <w:bCs/>
                <w:color w:val="000000"/>
                <w:sz w:val="16"/>
                <w:szCs w:val="16"/>
                <w:lang w:eastAsia="sl-SI"/>
              </w:rPr>
            </w:pPr>
            <w:r>
              <w:rPr>
                <w:rFonts w:cs="Arial"/>
                <w:b/>
                <w:bCs/>
                <w:color w:val="000000"/>
                <w:sz w:val="16"/>
                <w:szCs w:val="16"/>
                <w:lang w:eastAsia="sl-SI"/>
              </w:rPr>
              <w:t xml:space="preserve">Št. </w:t>
            </w:r>
            <w:proofErr w:type="spellStart"/>
            <w:r>
              <w:rPr>
                <w:rFonts w:cs="Arial"/>
                <w:b/>
                <w:bCs/>
                <w:color w:val="000000"/>
                <w:sz w:val="16"/>
                <w:szCs w:val="16"/>
                <w:lang w:eastAsia="sl-SI"/>
              </w:rPr>
              <w:t>zap</w:t>
            </w:r>
            <w:proofErr w:type="spellEnd"/>
            <w:r>
              <w:rPr>
                <w:rFonts w:cs="Arial"/>
                <w:b/>
                <w:bCs/>
                <w:color w:val="000000"/>
                <w:sz w:val="16"/>
                <w:szCs w:val="16"/>
                <w:lang w:eastAsia="sl-SI"/>
              </w:rPr>
              <w:t>. apr.21</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0. PRORAČUNSKI UPORABNIK NI ČLAN PODSKUPINE RPU</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239</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1.1. NEVLADNI PRORAČUNSKI UPORABNIKI</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1.003</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1.2.1. VLADNE SLUŽBE</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938</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1.2.2. MINISTRSTVA IN ORGANI V SESTAVI</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27.682</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1.2.3. UPRAVNE ENOTE</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2.311</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1.3. PRAVOSODNI PRORAČUNSKI UPORABNIKI</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5.184</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2.1. OBČINE</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5.685</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2.2. KRAJEVNE SKUPNOSTI IN DRUGE LOKALNE SKUPNOSTI</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47</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3.1. JAVNI ZAVODI IN DRUGI IZVAJALCI JAVNIH SLUŽB S PODROČJA VZGOJE, IZOBRAŽEVANJA IN ŠPORTA</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70.682</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3.10. JAVNI ZAVODI IN DRUGI IZVAJALCI JAVNIH SLUŽB S PODROČJA MALEGA GOSPODARSTVA IN TURIZMA</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327</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3.11. JAVNI ZAVODI IN DRUGI IZVAJALCI JAVNIH SLUŽB S PODROČJA JAVNEGA REDA IN VARNOSTI</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732</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3.15. AGENCIJE</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1.047</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3.2. JAVNI ZAVODI IN DRUGI IZVAJALCI JAVNIH SLUŽB S PODROČJA ZDRAVSTVA</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41.020</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3.3. JAVNI ZAVODI IN DRUGI IZVAJALCI JAVNIH SLUŽB S PODROČJA SOCIALNEGA VARSTVA</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14.520</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3.4. JAVNI ZAVODI IN DRUGI IZVAJALCI JAVNIH SLUŽB S PODROČJA KULTURE</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7.279</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3.5. JAVNI ZAVODI IN DRUGI IZVAJALCI JAVNIH SLUŽB S PODROČJA RAZISKOVALNE DEJAVNOSTI</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3.449</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3.6. JAVNI ZAVODI IN DRUGI IZVAJALCI JAVNIH SLUŽB S PODROČJA KMETIJSTVA IN GOZDARSTVA</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1.591</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3.7. JAVNI ZAVODI IN DRUGI IZVAJALCI JAVNIH SLUŽB S PODROČJA OKOLJA IN PROSTORA</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291</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3.9. JAVNI ZAVODI IN DRUGI IZVAJALCI JAVNIH SLUŽB S PODROČJA GOSPODARSKIH DEJAVNOSTI</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269</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4.1. SKLADI IN DRUGI IZVAJALCI OBVEZNEGA SOCIALNEGA ZAVAROVANJA</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2.875</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4.2. JAVNI SKLADI NA RAVNI DRŽAVE</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292</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4.3. JAVNI SKLADI NA RAVNI OBČIN</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121</w:t>
            </w:r>
          </w:p>
        </w:tc>
      </w:tr>
      <w:tr w:rsidR="00323B2E" w:rsidTr="00323B2E">
        <w:trPr>
          <w:trHeight w:val="214"/>
        </w:trPr>
        <w:tc>
          <w:tcPr>
            <w:tcW w:w="5660" w:type="dxa"/>
            <w:tcBorders>
              <w:top w:val="nil"/>
              <w:left w:val="single" w:sz="8" w:space="0" w:color="auto"/>
              <w:bottom w:val="single" w:sz="4" w:space="0" w:color="auto"/>
              <w:right w:val="single" w:sz="4" w:space="0" w:color="auto"/>
            </w:tcBorders>
            <w:noWrap/>
            <w:vAlign w:val="bottom"/>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6.1. SAMOUPRAVNE NARODNOSTNE SKUPNOSTI</w:t>
            </w:r>
          </w:p>
        </w:tc>
        <w:tc>
          <w:tcPr>
            <w:tcW w:w="1276" w:type="dxa"/>
            <w:tcBorders>
              <w:top w:val="nil"/>
              <w:left w:val="nil"/>
              <w:bottom w:val="single" w:sz="4" w:space="0" w:color="auto"/>
              <w:right w:val="single" w:sz="4" w:space="0" w:color="auto"/>
            </w:tcBorders>
            <w:noWrap/>
            <w:vAlign w:val="bottom"/>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42</w:t>
            </w:r>
          </w:p>
        </w:tc>
      </w:tr>
      <w:tr w:rsidR="00323B2E" w:rsidTr="00323B2E">
        <w:trPr>
          <w:trHeight w:val="224"/>
        </w:trPr>
        <w:tc>
          <w:tcPr>
            <w:tcW w:w="5660" w:type="dxa"/>
            <w:tcBorders>
              <w:top w:val="nil"/>
              <w:left w:val="single" w:sz="8" w:space="0" w:color="auto"/>
              <w:bottom w:val="single" w:sz="8" w:space="0" w:color="auto"/>
              <w:right w:val="single" w:sz="4" w:space="0" w:color="auto"/>
            </w:tcBorders>
            <w:shd w:val="clear" w:color="auto" w:fill="BFBFBF"/>
            <w:noWrap/>
            <w:vAlign w:val="bottom"/>
            <w:hideMark/>
          </w:tcPr>
          <w:p w:rsidR="00323B2E" w:rsidRDefault="00323B2E">
            <w:pPr>
              <w:spacing w:line="240" w:lineRule="auto"/>
              <w:rPr>
                <w:rFonts w:cs="Arial"/>
                <w:b/>
                <w:bCs/>
                <w:color w:val="000000"/>
                <w:sz w:val="16"/>
                <w:szCs w:val="16"/>
                <w:lang w:eastAsia="sl-SI"/>
              </w:rPr>
            </w:pPr>
            <w:r>
              <w:rPr>
                <w:rFonts w:cs="Arial"/>
                <w:b/>
                <w:bCs/>
                <w:color w:val="000000"/>
                <w:sz w:val="16"/>
                <w:szCs w:val="16"/>
                <w:lang w:eastAsia="sl-SI"/>
              </w:rPr>
              <w:t xml:space="preserve">JAVNI SEKTOR </w:t>
            </w:r>
          </w:p>
        </w:tc>
        <w:tc>
          <w:tcPr>
            <w:tcW w:w="1276" w:type="dxa"/>
            <w:tcBorders>
              <w:top w:val="nil"/>
              <w:left w:val="nil"/>
              <w:bottom w:val="single" w:sz="8" w:space="0" w:color="auto"/>
              <w:right w:val="single" w:sz="4" w:space="0" w:color="auto"/>
            </w:tcBorders>
            <w:shd w:val="clear" w:color="auto" w:fill="BFBFBF"/>
            <w:noWrap/>
            <w:vAlign w:val="bottom"/>
            <w:hideMark/>
          </w:tcPr>
          <w:p w:rsidR="00323B2E" w:rsidRDefault="00323B2E">
            <w:pPr>
              <w:spacing w:line="240" w:lineRule="auto"/>
              <w:jc w:val="right"/>
              <w:rPr>
                <w:rFonts w:cs="Arial"/>
                <w:b/>
                <w:bCs/>
                <w:color w:val="000000"/>
                <w:sz w:val="16"/>
                <w:szCs w:val="16"/>
                <w:lang w:eastAsia="sl-SI"/>
              </w:rPr>
            </w:pPr>
            <w:r>
              <w:rPr>
                <w:rFonts w:cs="Arial"/>
                <w:b/>
                <w:bCs/>
                <w:color w:val="000000"/>
                <w:sz w:val="16"/>
                <w:szCs w:val="16"/>
                <w:lang w:eastAsia="sl-SI"/>
              </w:rPr>
              <w:t>186.786</w:t>
            </w:r>
          </w:p>
        </w:tc>
      </w:tr>
    </w:tbl>
    <w:p w:rsidR="00323B2E" w:rsidRDefault="00323B2E" w:rsidP="00323B2E">
      <w:pPr>
        <w:autoSpaceDE w:val="0"/>
        <w:autoSpaceDN w:val="0"/>
        <w:adjustRightInd w:val="0"/>
        <w:spacing w:line="240" w:lineRule="auto"/>
        <w:jc w:val="both"/>
        <w:rPr>
          <w:rFonts w:cs="Arial"/>
          <w:iCs/>
          <w:sz w:val="16"/>
          <w:szCs w:val="16"/>
        </w:rPr>
      </w:pPr>
      <w:r>
        <w:rPr>
          <w:rFonts w:cs="Arial"/>
          <w:iCs/>
          <w:sz w:val="16"/>
          <w:szCs w:val="16"/>
        </w:rPr>
        <w:t>Vir: ISPAP</w:t>
      </w:r>
    </w:p>
    <w:p w:rsidR="00323B2E" w:rsidRDefault="00323B2E" w:rsidP="00323B2E">
      <w:pPr>
        <w:autoSpaceDE w:val="0"/>
        <w:autoSpaceDN w:val="0"/>
        <w:adjustRightInd w:val="0"/>
        <w:spacing w:line="240" w:lineRule="exact"/>
        <w:jc w:val="both"/>
        <w:rPr>
          <w:rFonts w:cs="Arial"/>
          <w:iCs/>
          <w:szCs w:val="20"/>
        </w:rPr>
      </w:pPr>
    </w:p>
    <w:p w:rsidR="00323B2E" w:rsidRDefault="00323B2E" w:rsidP="00323B2E">
      <w:pPr>
        <w:autoSpaceDE w:val="0"/>
        <w:autoSpaceDN w:val="0"/>
        <w:adjustRightInd w:val="0"/>
        <w:spacing w:line="240" w:lineRule="exact"/>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iCs/>
          <w:szCs w:val="20"/>
        </w:rPr>
      </w:pPr>
    </w:p>
    <w:p w:rsidR="00323B2E" w:rsidRDefault="00323B2E" w:rsidP="00323B2E">
      <w:pPr>
        <w:spacing w:after="120" w:line="240" w:lineRule="auto"/>
        <w:ind w:right="-227"/>
        <w:jc w:val="both"/>
        <w:rPr>
          <w:rFonts w:cs="Arial"/>
          <w:color w:val="000000"/>
          <w:szCs w:val="20"/>
          <w:lang w:eastAsia="sl-SI"/>
        </w:rPr>
      </w:pPr>
      <w:bookmarkStart w:id="1" w:name="_GoBack"/>
      <w:bookmarkEnd w:id="1"/>
      <w:r>
        <w:rPr>
          <w:rFonts w:cs="Arial"/>
          <w:iCs/>
          <w:szCs w:val="20"/>
        </w:rPr>
        <w:t xml:space="preserve">Preglednica 2: </w:t>
      </w:r>
      <w:r>
        <w:rPr>
          <w:rFonts w:cs="Arial"/>
          <w:color w:val="000000"/>
          <w:szCs w:val="20"/>
          <w:lang w:eastAsia="sl-SI"/>
        </w:rPr>
        <w:t xml:space="preserve">Število zaposlenih javnih uslužbencev v organih državne </w:t>
      </w:r>
      <w:r>
        <w:rPr>
          <w:rFonts w:cs="Arial"/>
          <w:color w:val="000000" w:themeColor="text1"/>
          <w:szCs w:val="20"/>
          <w:lang w:eastAsia="sl-SI"/>
        </w:rPr>
        <w:t>uprave po posebnem  vladnem projektu PSEU21</w:t>
      </w:r>
    </w:p>
    <w:tbl>
      <w:tblPr>
        <w:tblW w:w="0" w:type="dxa"/>
        <w:tblLayout w:type="fixed"/>
        <w:tblCellMar>
          <w:left w:w="70" w:type="dxa"/>
          <w:right w:w="70" w:type="dxa"/>
        </w:tblCellMar>
        <w:tblLook w:val="04A0" w:firstRow="1" w:lastRow="0" w:firstColumn="1" w:lastColumn="0" w:noHBand="0" w:noVBand="1"/>
      </w:tblPr>
      <w:tblGrid>
        <w:gridCol w:w="5802"/>
        <w:gridCol w:w="1134"/>
        <w:gridCol w:w="1134"/>
      </w:tblGrid>
      <w:tr w:rsidR="00323B2E" w:rsidTr="00323B2E">
        <w:trPr>
          <w:trHeight w:val="215"/>
        </w:trPr>
        <w:tc>
          <w:tcPr>
            <w:tcW w:w="5802" w:type="dxa"/>
            <w:tcBorders>
              <w:top w:val="single" w:sz="8" w:space="0" w:color="auto"/>
              <w:left w:val="single" w:sz="8" w:space="0" w:color="auto"/>
              <w:bottom w:val="single" w:sz="8" w:space="0" w:color="auto"/>
              <w:right w:val="single" w:sz="8" w:space="0" w:color="auto"/>
            </w:tcBorders>
            <w:shd w:val="pct20" w:color="000000" w:fill="FFFFFF"/>
            <w:noWrap/>
            <w:vAlign w:val="center"/>
            <w:hideMark/>
          </w:tcPr>
          <w:p w:rsidR="00323B2E" w:rsidRDefault="00323B2E">
            <w:pPr>
              <w:spacing w:line="240" w:lineRule="auto"/>
              <w:rPr>
                <w:rFonts w:cs="Arial"/>
                <w:b/>
                <w:bCs/>
                <w:color w:val="000000"/>
                <w:sz w:val="16"/>
                <w:szCs w:val="16"/>
                <w:lang w:eastAsia="sl-SI"/>
              </w:rPr>
            </w:pPr>
            <w:r>
              <w:rPr>
                <w:rFonts w:cs="Arial"/>
                <w:b/>
                <w:bCs/>
                <w:color w:val="000000"/>
                <w:sz w:val="16"/>
                <w:szCs w:val="16"/>
                <w:lang w:eastAsia="sl-SI"/>
              </w:rPr>
              <w:t>Organi državne uprave </w:t>
            </w:r>
          </w:p>
        </w:tc>
        <w:tc>
          <w:tcPr>
            <w:tcW w:w="1134" w:type="dxa"/>
            <w:tcBorders>
              <w:top w:val="single" w:sz="8" w:space="0" w:color="auto"/>
              <w:left w:val="nil"/>
              <w:bottom w:val="single" w:sz="8" w:space="0" w:color="auto"/>
              <w:right w:val="single" w:sz="8" w:space="0" w:color="auto"/>
            </w:tcBorders>
            <w:shd w:val="pct20" w:color="000000" w:fill="FFFFFF"/>
            <w:vAlign w:val="center"/>
            <w:hideMark/>
          </w:tcPr>
          <w:p w:rsidR="00323B2E" w:rsidRDefault="00323B2E">
            <w:pPr>
              <w:spacing w:line="240" w:lineRule="auto"/>
              <w:jc w:val="center"/>
              <w:rPr>
                <w:rFonts w:cs="Arial"/>
                <w:b/>
                <w:bCs/>
                <w:color w:val="000000"/>
                <w:sz w:val="16"/>
                <w:szCs w:val="16"/>
                <w:lang w:eastAsia="sl-SI"/>
              </w:rPr>
            </w:pPr>
            <w:r>
              <w:rPr>
                <w:rFonts w:cs="Arial"/>
                <w:b/>
                <w:bCs/>
                <w:color w:val="000000"/>
                <w:sz w:val="16"/>
                <w:szCs w:val="16"/>
                <w:lang w:eastAsia="sl-SI"/>
              </w:rPr>
              <w:t xml:space="preserve">Št. </w:t>
            </w:r>
            <w:proofErr w:type="spellStart"/>
            <w:r>
              <w:rPr>
                <w:rFonts w:cs="Arial"/>
                <w:b/>
                <w:bCs/>
                <w:color w:val="000000"/>
                <w:sz w:val="16"/>
                <w:szCs w:val="16"/>
                <w:lang w:eastAsia="sl-SI"/>
              </w:rPr>
              <w:t>zap</w:t>
            </w:r>
            <w:proofErr w:type="spellEnd"/>
            <w:r>
              <w:rPr>
                <w:rFonts w:cs="Arial"/>
                <w:b/>
                <w:bCs/>
                <w:color w:val="000000"/>
                <w:sz w:val="16"/>
                <w:szCs w:val="16"/>
                <w:lang w:eastAsia="sl-SI"/>
              </w:rPr>
              <w:t>. avg. 2020</w:t>
            </w:r>
          </w:p>
        </w:tc>
        <w:tc>
          <w:tcPr>
            <w:tcW w:w="1134" w:type="dxa"/>
            <w:tcBorders>
              <w:top w:val="single" w:sz="8" w:space="0" w:color="auto"/>
              <w:left w:val="nil"/>
              <w:bottom w:val="single" w:sz="8" w:space="0" w:color="auto"/>
              <w:right w:val="single" w:sz="8" w:space="0" w:color="auto"/>
            </w:tcBorders>
            <w:shd w:val="pct20" w:color="000000" w:fill="FFFFFF"/>
            <w:vAlign w:val="center"/>
            <w:hideMark/>
          </w:tcPr>
          <w:p w:rsidR="00323B2E" w:rsidRDefault="00323B2E">
            <w:pPr>
              <w:spacing w:line="240" w:lineRule="auto"/>
              <w:jc w:val="center"/>
              <w:rPr>
                <w:rFonts w:cs="Arial"/>
                <w:b/>
                <w:bCs/>
                <w:color w:val="000000"/>
                <w:sz w:val="16"/>
                <w:szCs w:val="16"/>
                <w:lang w:eastAsia="sl-SI"/>
              </w:rPr>
            </w:pPr>
            <w:r>
              <w:rPr>
                <w:rFonts w:cs="Arial"/>
                <w:b/>
                <w:bCs/>
                <w:color w:val="000000"/>
                <w:sz w:val="16"/>
                <w:szCs w:val="16"/>
                <w:lang w:eastAsia="sl-SI"/>
              </w:rPr>
              <w:t xml:space="preserve">Št. </w:t>
            </w:r>
            <w:proofErr w:type="spellStart"/>
            <w:r>
              <w:rPr>
                <w:rFonts w:cs="Arial"/>
                <w:b/>
                <w:bCs/>
                <w:color w:val="000000"/>
                <w:sz w:val="16"/>
                <w:szCs w:val="16"/>
                <w:lang w:eastAsia="sl-SI"/>
              </w:rPr>
              <w:t>zap</w:t>
            </w:r>
            <w:proofErr w:type="spellEnd"/>
            <w:r>
              <w:rPr>
                <w:rFonts w:cs="Arial"/>
                <w:b/>
                <w:bCs/>
                <w:color w:val="000000"/>
                <w:sz w:val="16"/>
                <w:szCs w:val="16"/>
                <w:lang w:eastAsia="sl-SI"/>
              </w:rPr>
              <w:t xml:space="preserve">. </w:t>
            </w:r>
            <w:proofErr w:type="spellStart"/>
            <w:r>
              <w:rPr>
                <w:rFonts w:cs="Arial"/>
                <w:b/>
                <w:bCs/>
                <w:color w:val="000000"/>
                <w:sz w:val="16"/>
                <w:szCs w:val="16"/>
                <w:lang w:eastAsia="sl-SI"/>
              </w:rPr>
              <w:t>jun</w:t>
            </w:r>
            <w:proofErr w:type="spellEnd"/>
            <w:r>
              <w:rPr>
                <w:rFonts w:cs="Arial"/>
                <w:b/>
                <w:bCs/>
                <w:color w:val="000000"/>
                <w:sz w:val="16"/>
                <w:szCs w:val="16"/>
                <w:lang w:eastAsia="sl-SI"/>
              </w:rPr>
              <w:t>. 2021</w:t>
            </w:r>
          </w:p>
        </w:tc>
      </w:tr>
      <w:tr w:rsidR="00323B2E" w:rsidTr="00323B2E">
        <w:trPr>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VLADNE SLUŽBE ODGOVORNE PREDSEDNIKU VLADE RS</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0</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0</w:t>
            </w:r>
          </w:p>
        </w:tc>
      </w:tr>
      <w:tr w:rsidR="00323B2E" w:rsidTr="00323B2E">
        <w:trPr>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VLADNE SLUŽBE ODGOVORNE GENERALNEMU SEKRETARJU VLADE RS</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29</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39</w:t>
            </w:r>
          </w:p>
        </w:tc>
      </w:tr>
      <w:tr w:rsidR="00323B2E" w:rsidTr="00323B2E">
        <w:trPr>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SLUŽBA VLADE RS ZA RAZVOJ IN EVROPSKO KOHEZIJSKO POLITIKO</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w:t>
            </w:r>
          </w:p>
        </w:tc>
      </w:tr>
      <w:tr w:rsidR="00323B2E" w:rsidTr="00323B2E">
        <w:trPr>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FINANCE</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w:t>
            </w:r>
          </w:p>
        </w:tc>
      </w:tr>
      <w:tr w:rsidR="00323B2E" w:rsidTr="00323B2E">
        <w:trPr>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ZUNANJE ZADEVE</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59</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180</w:t>
            </w:r>
          </w:p>
        </w:tc>
      </w:tr>
      <w:tr w:rsidR="00323B2E" w:rsidTr="00323B2E">
        <w:trPr>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PRAVOSODJE</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8</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9</w:t>
            </w:r>
          </w:p>
        </w:tc>
      </w:tr>
      <w:tr w:rsidR="00323B2E" w:rsidTr="00323B2E">
        <w:trPr>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GOSPODARSKI RAZVOJ IN TEHNOLOGIJO</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4</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7</w:t>
            </w:r>
          </w:p>
        </w:tc>
      </w:tr>
      <w:tr w:rsidR="00323B2E" w:rsidTr="00323B2E">
        <w:trPr>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KMETIJSTVO, GOZDARSTVO IN PREHRANO</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14</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17</w:t>
            </w:r>
          </w:p>
        </w:tc>
      </w:tr>
      <w:tr w:rsidR="00323B2E" w:rsidTr="00323B2E">
        <w:trPr>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INFRASTRUKTURO</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2</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5</w:t>
            </w:r>
          </w:p>
        </w:tc>
      </w:tr>
      <w:tr w:rsidR="00323B2E" w:rsidTr="00323B2E">
        <w:trPr>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OKOLJE IN PROSTOR</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6</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12</w:t>
            </w:r>
          </w:p>
        </w:tc>
      </w:tr>
      <w:tr w:rsidR="00323B2E" w:rsidTr="00323B2E">
        <w:trPr>
          <w:cantSplit/>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DELO, DRUŽINO, SOCIALNE ZADEVE IN ENAKE MOŽNOSTI</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3</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5</w:t>
            </w:r>
          </w:p>
        </w:tc>
      </w:tr>
      <w:tr w:rsidR="00323B2E" w:rsidTr="00323B2E">
        <w:trPr>
          <w:cantSplit/>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ZDRAVJE</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6</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8</w:t>
            </w:r>
          </w:p>
        </w:tc>
      </w:tr>
      <w:tr w:rsidR="00323B2E" w:rsidTr="00323B2E">
        <w:trPr>
          <w:cantSplit/>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JAVNO UPRAVO</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8</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13</w:t>
            </w:r>
          </w:p>
        </w:tc>
      </w:tr>
      <w:tr w:rsidR="00323B2E" w:rsidTr="00323B2E">
        <w:trPr>
          <w:cantSplit/>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IZOBRAŽEVANJE, ZNANOST IN ŠPORT</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4</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5</w:t>
            </w:r>
          </w:p>
        </w:tc>
      </w:tr>
      <w:tr w:rsidR="00323B2E" w:rsidTr="00323B2E">
        <w:trPr>
          <w:cantSplit/>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KULTURO</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2</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w:t>
            </w:r>
          </w:p>
        </w:tc>
      </w:tr>
      <w:tr w:rsidR="00323B2E" w:rsidTr="00323B2E">
        <w:trPr>
          <w:cantSplit/>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NOTRANJE ZADEVE</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5</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8</w:t>
            </w:r>
          </w:p>
        </w:tc>
      </w:tr>
      <w:tr w:rsidR="00323B2E" w:rsidTr="00323B2E">
        <w:trPr>
          <w:cantSplit/>
          <w:trHeight w:val="215"/>
        </w:trPr>
        <w:tc>
          <w:tcPr>
            <w:tcW w:w="5802" w:type="dxa"/>
            <w:tcBorders>
              <w:top w:val="nil"/>
              <w:left w:val="single" w:sz="8" w:space="0" w:color="auto"/>
              <w:bottom w:val="single" w:sz="8" w:space="0" w:color="auto"/>
              <w:right w:val="single" w:sz="8" w:space="0" w:color="auto"/>
            </w:tcBorders>
            <w:shd w:val="clear" w:color="auto" w:fill="FFFFFF"/>
            <w:vAlign w:val="center"/>
            <w:hideMark/>
          </w:tcPr>
          <w:p w:rsidR="00323B2E" w:rsidRDefault="00323B2E">
            <w:pPr>
              <w:spacing w:line="240" w:lineRule="auto"/>
              <w:rPr>
                <w:rFonts w:cs="Arial"/>
                <w:color w:val="000000"/>
                <w:sz w:val="16"/>
                <w:szCs w:val="16"/>
                <w:lang w:eastAsia="sl-SI"/>
              </w:rPr>
            </w:pPr>
            <w:r>
              <w:rPr>
                <w:rFonts w:cs="Arial"/>
                <w:color w:val="000000"/>
                <w:sz w:val="16"/>
                <w:szCs w:val="16"/>
                <w:lang w:eastAsia="sl-SI"/>
              </w:rPr>
              <w:t>MINISTRSTVO ZA OBRAMBO</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6</w:t>
            </w:r>
          </w:p>
        </w:tc>
        <w:tc>
          <w:tcPr>
            <w:tcW w:w="1134" w:type="dxa"/>
            <w:tcBorders>
              <w:top w:val="nil"/>
              <w:left w:val="nil"/>
              <w:bottom w:val="single" w:sz="8" w:space="0" w:color="auto"/>
              <w:right w:val="single" w:sz="8" w:space="0" w:color="auto"/>
            </w:tcBorders>
            <w:shd w:val="clear" w:color="auto" w:fill="FFFFFF"/>
            <w:vAlign w:val="center"/>
            <w:hideMark/>
          </w:tcPr>
          <w:p w:rsidR="00323B2E" w:rsidRDefault="00323B2E">
            <w:pPr>
              <w:spacing w:line="240" w:lineRule="auto"/>
              <w:jc w:val="right"/>
              <w:rPr>
                <w:rFonts w:cs="Arial"/>
                <w:color w:val="000000"/>
                <w:sz w:val="16"/>
                <w:szCs w:val="16"/>
                <w:lang w:eastAsia="sl-SI"/>
              </w:rPr>
            </w:pPr>
            <w:r>
              <w:rPr>
                <w:rFonts w:cs="Arial"/>
                <w:color w:val="000000"/>
                <w:sz w:val="16"/>
                <w:szCs w:val="16"/>
                <w:lang w:eastAsia="sl-SI"/>
              </w:rPr>
              <w:t>10</w:t>
            </w:r>
          </w:p>
        </w:tc>
      </w:tr>
      <w:tr w:rsidR="00323B2E" w:rsidTr="00323B2E">
        <w:trPr>
          <w:cantSplit/>
          <w:trHeight w:val="215"/>
        </w:trPr>
        <w:tc>
          <w:tcPr>
            <w:tcW w:w="5802" w:type="dxa"/>
            <w:tcBorders>
              <w:top w:val="single" w:sz="8" w:space="0" w:color="auto"/>
              <w:left w:val="single" w:sz="8" w:space="0" w:color="auto"/>
              <w:bottom w:val="single" w:sz="8" w:space="0" w:color="auto"/>
              <w:right w:val="single" w:sz="8" w:space="0" w:color="auto"/>
            </w:tcBorders>
            <w:shd w:val="pct25" w:color="000000" w:fill="FFFFFF"/>
            <w:noWrap/>
            <w:vAlign w:val="center"/>
            <w:hideMark/>
          </w:tcPr>
          <w:p w:rsidR="00323B2E" w:rsidRDefault="00323B2E">
            <w:pPr>
              <w:spacing w:line="240" w:lineRule="auto"/>
              <w:rPr>
                <w:rFonts w:cs="Arial"/>
                <w:b/>
                <w:bCs/>
                <w:color w:val="000000"/>
                <w:sz w:val="16"/>
                <w:szCs w:val="16"/>
                <w:lang w:eastAsia="sl-SI"/>
              </w:rPr>
            </w:pPr>
            <w:r>
              <w:rPr>
                <w:rFonts w:cs="Arial"/>
                <w:b/>
                <w:bCs/>
                <w:color w:val="000000"/>
                <w:sz w:val="16"/>
                <w:szCs w:val="16"/>
                <w:lang w:eastAsia="sl-SI"/>
              </w:rPr>
              <w:t xml:space="preserve">Skupaj </w:t>
            </w:r>
          </w:p>
        </w:tc>
        <w:tc>
          <w:tcPr>
            <w:tcW w:w="1134" w:type="dxa"/>
            <w:tcBorders>
              <w:top w:val="single" w:sz="8" w:space="0" w:color="auto"/>
              <w:left w:val="nil"/>
              <w:bottom w:val="single" w:sz="8" w:space="0" w:color="auto"/>
              <w:right w:val="single" w:sz="8" w:space="0" w:color="auto"/>
            </w:tcBorders>
            <w:shd w:val="pct25" w:color="000000" w:fill="FFFFFF"/>
            <w:vAlign w:val="center"/>
            <w:hideMark/>
          </w:tcPr>
          <w:p w:rsidR="00323B2E" w:rsidRDefault="00323B2E">
            <w:pPr>
              <w:spacing w:line="240" w:lineRule="auto"/>
              <w:jc w:val="right"/>
              <w:rPr>
                <w:rFonts w:cs="Arial"/>
                <w:b/>
                <w:bCs/>
                <w:color w:val="000000"/>
                <w:sz w:val="16"/>
                <w:szCs w:val="16"/>
                <w:lang w:eastAsia="sl-SI"/>
              </w:rPr>
            </w:pPr>
            <w:r>
              <w:rPr>
                <w:rFonts w:cs="Arial"/>
                <w:b/>
                <w:bCs/>
                <w:color w:val="000000"/>
                <w:sz w:val="16"/>
                <w:szCs w:val="16"/>
                <w:lang w:eastAsia="sl-SI"/>
              </w:rPr>
              <w:t>158</w:t>
            </w:r>
          </w:p>
        </w:tc>
        <w:tc>
          <w:tcPr>
            <w:tcW w:w="1134" w:type="dxa"/>
            <w:tcBorders>
              <w:top w:val="single" w:sz="8" w:space="0" w:color="auto"/>
              <w:left w:val="nil"/>
              <w:bottom w:val="single" w:sz="8" w:space="0" w:color="auto"/>
              <w:right w:val="single" w:sz="8" w:space="0" w:color="auto"/>
            </w:tcBorders>
            <w:shd w:val="pct25" w:color="000000" w:fill="FFFFFF"/>
            <w:vAlign w:val="center"/>
            <w:hideMark/>
          </w:tcPr>
          <w:p w:rsidR="00323B2E" w:rsidRDefault="00323B2E">
            <w:pPr>
              <w:spacing w:line="240" w:lineRule="auto"/>
              <w:jc w:val="right"/>
              <w:rPr>
                <w:rFonts w:cs="Arial"/>
                <w:b/>
                <w:bCs/>
                <w:color w:val="000000"/>
                <w:sz w:val="16"/>
                <w:szCs w:val="16"/>
                <w:lang w:eastAsia="sl-SI"/>
              </w:rPr>
            </w:pPr>
            <w:r>
              <w:rPr>
                <w:rFonts w:cs="Arial"/>
                <w:b/>
                <w:bCs/>
                <w:color w:val="000000"/>
                <w:sz w:val="16"/>
                <w:szCs w:val="16"/>
                <w:lang w:eastAsia="sl-SI"/>
              </w:rPr>
              <w:t>321</w:t>
            </w:r>
          </w:p>
        </w:tc>
      </w:tr>
    </w:tbl>
    <w:p w:rsidR="00323B2E" w:rsidRDefault="00323B2E" w:rsidP="00323B2E">
      <w:pPr>
        <w:spacing w:line="240" w:lineRule="auto"/>
        <w:jc w:val="both"/>
        <w:rPr>
          <w:rFonts w:cs="Arial"/>
          <w:color w:val="000000"/>
          <w:sz w:val="16"/>
          <w:szCs w:val="16"/>
          <w:lang w:eastAsia="sl-SI"/>
        </w:rPr>
      </w:pPr>
      <w:r>
        <w:rPr>
          <w:rFonts w:cs="Arial"/>
          <w:color w:val="000000"/>
          <w:sz w:val="16"/>
          <w:szCs w:val="16"/>
          <w:lang w:eastAsia="sl-SI"/>
        </w:rPr>
        <w:t>Vir: CKEDU, stanje na dan 31.8.2020 in 30.6.2021 (izpisano 13.7.2021)</w:t>
      </w:r>
    </w:p>
    <w:p w:rsidR="00782FD4" w:rsidRPr="00EC13B0" w:rsidRDefault="00782FD4" w:rsidP="00323B2E">
      <w:pPr>
        <w:autoSpaceDE w:val="0"/>
        <w:autoSpaceDN w:val="0"/>
        <w:adjustRightInd w:val="0"/>
      </w:pPr>
    </w:p>
    <w:sectPr w:rsidR="00782FD4" w:rsidRPr="00EC13B0" w:rsidSect="005D595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1B8" w:rsidRDefault="001141B8" w:rsidP="00767987">
      <w:pPr>
        <w:spacing w:line="240" w:lineRule="auto"/>
      </w:pPr>
      <w:r>
        <w:separator/>
      </w:r>
    </w:p>
  </w:endnote>
  <w:endnote w:type="continuationSeparator" w:id="0">
    <w:p w:rsidR="001141B8" w:rsidRDefault="001141B8"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1F" w:rsidRDefault="00CA2F1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1F" w:rsidRDefault="00CA2F1F">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1F" w:rsidRDefault="00CA2F1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1B8" w:rsidRDefault="001141B8" w:rsidP="00767987">
      <w:pPr>
        <w:spacing w:line="240" w:lineRule="auto"/>
      </w:pPr>
      <w:r>
        <w:separator/>
      </w:r>
    </w:p>
  </w:footnote>
  <w:footnote w:type="continuationSeparator" w:id="0">
    <w:p w:rsidR="001141B8" w:rsidRDefault="001141B8"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1F" w:rsidRDefault="00CA2F1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1F" w:rsidRDefault="00CA2F1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957" w:rsidRPr="00A9231D" w:rsidRDefault="005D5957" w:rsidP="005D5957">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7ACAF12D" wp14:editId="5693384B">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D5957" w:rsidRPr="00A9231D" w:rsidRDefault="005D5957" w:rsidP="005D5957">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D5957" w:rsidRPr="00A9231D" w:rsidRDefault="005D5957" w:rsidP="005D5957">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752"/>
    <w:multiLevelType w:val="hybridMultilevel"/>
    <w:tmpl w:val="6008B0F2"/>
    <w:lvl w:ilvl="0" w:tplc="5684846C">
      <w:start w:val="1"/>
      <w:numFmt w:val="bullet"/>
      <w:lvlText w:val="–"/>
      <w:lvlJc w:val="left"/>
      <w:pPr>
        <w:ind w:left="980" w:hanging="360"/>
      </w:pPr>
      <w:rPr>
        <w:rFonts w:ascii="Arial" w:hAnsi="Arial" w:cs="Times New Roman" w:hint="default"/>
      </w:rPr>
    </w:lvl>
    <w:lvl w:ilvl="1" w:tplc="04090003">
      <w:start w:val="1"/>
      <w:numFmt w:val="bullet"/>
      <w:lvlText w:val="o"/>
      <w:lvlJc w:val="left"/>
      <w:pPr>
        <w:ind w:left="1700" w:hanging="360"/>
      </w:pPr>
      <w:rPr>
        <w:rFonts w:ascii="Courier New" w:hAnsi="Courier New" w:cs="Courier New" w:hint="default"/>
      </w:rPr>
    </w:lvl>
    <w:lvl w:ilvl="2" w:tplc="04090005">
      <w:start w:val="1"/>
      <w:numFmt w:val="bullet"/>
      <w:lvlText w:val=""/>
      <w:lvlJc w:val="left"/>
      <w:pPr>
        <w:ind w:left="2420" w:hanging="360"/>
      </w:pPr>
      <w:rPr>
        <w:rFonts w:ascii="Wingdings" w:hAnsi="Wingdings" w:hint="default"/>
      </w:rPr>
    </w:lvl>
    <w:lvl w:ilvl="3" w:tplc="04090001">
      <w:start w:val="1"/>
      <w:numFmt w:val="bullet"/>
      <w:lvlText w:val=""/>
      <w:lvlJc w:val="left"/>
      <w:pPr>
        <w:ind w:left="3140" w:hanging="360"/>
      </w:pPr>
      <w:rPr>
        <w:rFonts w:ascii="Symbol" w:hAnsi="Symbol" w:hint="default"/>
      </w:rPr>
    </w:lvl>
    <w:lvl w:ilvl="4" w:tplc="04090003">
      <w:start w:val="1"/>
      <w:numFmt w:val="bullet"/>
      <w:lvlText w:val="o"/>
      <w:lvlJc w:val="left"/>
      <w:pPr>
        <w:ind w:left="3860" w:hanging="360"/>
      </w:pPr>
      <w:rPr>
        <w:rFonts w:ascii="Courier New" w:hAnsi="Courier New" w:cs="Courier New" w:hint="default"/>
      </w:rPr>
    </w:lvl>
    <w:lvl w:ilvl="5" w:tplc="04090005">
      <w:start w:val="1"/>
      <w:numFmt w:val="bullet"/>
      <w:lvlText w:val=""/>
      <w:lvlJc w:val="left"/>
      <w:pPr>
        <w:ind w:left="4580" w:hanging="360"/>
      </w:pPr>
      <w:rPr>
        <w:rFonts w:ascii="Wingdings" w:hAnsi="Wingdings" w:hint="default"/>
      </w:rPr>
    </w:lvl>
    <w:lvl w:ilvl="6" w:tplc="04090001">
      <w:start w:val="1"/>
      <w:numFmt w:val="bullet"/>
      <w:lvlText w:val=""/>
      <w:lvlJc w:val="left"/>
      <w:pPr>
        <w:ind w:left="5300" w:hanging="360"/>
      </w:pPr>
      <w:rPr>
        <w:rFonts w:ascii="Symbol" w:hAnsi="Symbol" w:hint="default"/>
      </w:rPr>
    </w:lvl>
    <w:lvl w:ilvl="7" w:tplc="04090003">
      <w:start w:val="1"/>
      <w:numFmt w:val="bullet"/>
      <w:lvlText w:val="o"/>
      <w:lvlJc w:val="left"/>
      <w:pPr>
        <w:ind w:left="6020" w:hanging="360"/>
      </w:pPr>
      <w:rPr>
        <w:rFonts w:ascii="Courier New" w:hAnsi="Courier New" w:cs="Courier New" w:hint="default"/>
      </w:rPr>
    </w:lvl>
    <w:lvl w:ilvl="8" w:tplc="04090005">
      <w:start w:val="1"/>
      <w:numFmt w:val="bullet"/>
      <w:lvlText w:val=""/>
      <w:lvlJc w:val="left"/>
      <w:pPr>
        <w:ind w:left="6740" w:hanging="360"/>
      </w:pPr>
      <w:rPr>
        <w:rFonts w:ascii="Wingdings" w:hAnsi="Wingdings" w:hint="default"/>
      </w:rPr>
    </w:lvl>
  </w:abstractNum>
  <w:abstractNum w:abstractNumId="1"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B3FE6"/>
    <w:rsid w:val="000E21B2"/>
    <w:rsid w:val="001141B8"/>
    <w:rsid w:val="00204177"/>
    <w:rsid w:val="00323B2E"/>
    <w:rsid w:val="00366636"/>
    <w:rsid w:val="00367DE6"/>
    <w:rsid w:val="003B3E19"/>
    <w:rsid w:val="004076C6"/>
    <w:rsid w:val="004B7F76"/>
    <w:rsid w:val="004E1BCE"/>
    <w:rsid w:val="005600EF"/>
    <w:rsid w:val="0056541B"/>
    <w:rsid w:val="00592079"/>
    <w:rsid w:val="005D5957"/>
    <w:rsid w:val="00676475"/>
    <w:rsid w:val="00682FFE"/>
    <w:rsid w:val="006C69EC"/>
    <w:rsid w:val="007039D0"/>
    <w:rsid w:val="00710C90"/>
    <w:rsid w:val="00767987"/>
    <w:rsid w:val="00782FD4"/>
    <w:rsid w:val="00811140"/>
    <w:rsid w:val="00896FBD"/>
    <w:rsid w:val="008A3F94"/>
    <w:rsid w:val="00904A48"/>
    <w:rsid w:val="00980294"/>
    <w:rsid w:val="009C5392"/>
    <w:rsid w:val="00A50E4B"/>
    <w:rsid w:val="00A9231D"/>
    <w:rsid w:val="00B40287"/>
    <w:rsid w:val="00C0216A"/>
    <w:rsid w:val="00CA2F1F"/>
    <w:rsid w:val="00CD6077"/>
    <w:rsid w:val="00CE234E"/>
    <w:rsid w:val="00D02973"/>
    <w:rsid w:val="00D35091"/>
    <w:rsid w:val="00DA09BE"/>
    <w:rsid w:val="00E278C9"/>
    <w:rsid w:val="00E30579"/>
    <w:rsid w:val="00EC13B0"/>
    <w:rsid w:val="00FB00DD"/>
    <w:rsid w:val="00FE16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semiHidden/>
    <w:unhideWhenUsed/>
    <w:rsid w:val="005D59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66083">
      <w:bodyDiv w:val="1"/>
      <w:marLeft w:val="0"/>
      <w:marRight w:val="0"/>
      <w:marTop w:val="0"/>
      <w:marBottom w:val="0"/>
      <w:divBdr>
        <w:top w:val="none" w:sz="0" w:space="0" w:color="auto"/>
        <w:left w:val="none" w:sz="0" w:space="0" w:color="auto"/>
        <w:bottom w:val="none" w:sz="0" w:space="0" w:color="auto"/>
        <w:right w:val="none" w:sz="0" w:space="0" w:color="auto"/>
      </w:divBdr>
    </w:div>
    <w:div w:id="1374306362">
      <w:bodyDiv w:val="1"/>
      <w:marLeft w:val="0"/>
      <w:marRight w:val="0"/>
      <w:marTop w:val="0"/>
      <w:marBottom w:val="0"/>
      <w:divBdr>
        <w:top w:val="none" w:sz="0" w:space="0" w:color="auto"/>
        <w:left w:val="none" w:sz="0" w:space="0" w:color="auto"/>
        <w:bottom w:val="none" w:sz="0" w:space="0" w:color="auto"/>
        <w:right w:val="none" w:sz="0" w:space="0" w:color="auto"/>
      </w:divBdr>
    </w:div>
    <w:div w:id="174976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4179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Adamič</dc:creator>
  <cp:keywords/>
  <dc:description/>
  <cp:lastModifiedBy>Darja Adamič</cp:lastModifiedBy>
  <cp:revision>2</cp:revision>
  <dcterms:created xsi:type="dcterms:W3CDTF">2021-08-12T09:47:00Z</dcterms:created>
  <dcterms:modified xsi:type="dcterms:W3CDTF">2021-08-12T09:47:00Z</dcterms:modified>
</cp:coreProperties>
</file>