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FE1" w:rsidRDefault="009C1FE1" w:rsidP="00F46C2D">
      <w:pPr>
        <w:pStyle w:val="datumtevilka"/>
        <w:rPr>
          <w:rFonts w:cs="Arial"/>
          <w:color w:val="000000"/>
        </w:rPr>
      </w:pPr>
    </w:p>
    <w:p w:rsidR="003636EA" w:rsidRPr="002760DC" w:rsidRDefault="003636EA" w:rsidP="00F46C2D">
      <w:pPr>
        <w:pStyle w:val="datumtevilka"/>
      </w:pPr>
      <w:r w:rsidRPr="002760DC">
        <w:rPr>
          <w:rFonts w:cs="Arial"/>
          <w:color w:val="000000"/>
        </w:rPr>
        <w:tab/>
      </w:r>
    </w:p>
    <w:p w:rsidR="003636EA" w:rsidRPr="00EF798A" w:rsidRDefault="003636EA" w:rsidP="00EF798A">
      <w:pPr>
        <w:pStyle w:val="datumtevilka"/>
        <w:rPr>
          <w:rFonts w:cs="Arial"/>
        </w:rPr>
      </w:pPr>
      <w:r w:rsidRPr="00EF798A">
        <w:rPr>
          <w:rFonts w:cs="Arial"/>
        </w:rPr>
        <w:t xml:space="preserve">Številka: </w:t>
      </w:r>
      <w:r w:rsidRPr="00EF798A">
        <w:rPr>
          <w:rFonts w:cs="Arial"/>
        </w:rPr>
        <w:tab/>
      </w:r>
      <w:r w:rsidR="00EA309A">
        <w:rPr>
          <w:rFonts w:cs="Arial"/>
          <w:color w:val="000000"/>
        </w:rPr>
        <w:t>09502-1/2020/10</w:t>
      </w:r>
    </w:p>
    <w:p w:rsidR="003636EA" w:rsidRPr="00EF798A" w:rsidRDefault="003636EA" w:rsidP="00EF798A">
      <w:pPr>
        <w:pStyle w:val="datumtevilka"/>
        <w:rPr>
          <w:rFonts w:cs="Arial"/>
        </w:rPr>
      </w:pPr>
      <w:r w:rsidRPr="00EF798A">
        <w:rPr>
          <w:rFonts w:cs="Arial"/>
        </w:rPr>
        <w:t xml:space="preserve">Datum: </w:t>
      </w:r>
      <w:r w:rsidRPr="00EF798A">
        <w:rPr>
          <w:rFonts w:cs="Arial"/>
        </w:rPr>
        <w:tab/>
      </w:r>
      <w:r w:rsidR="001E2355" w:rsidRPr="00EF798A">
        <w:rPr>
          <w:rFonts w:cs="Arial"/>
          <w:color w:val="000000"/>
        </w:rPr>
        <w:t>3. 3. 2022</w:t>
      </w:r>
      <w:r w:rsidRPr="00EF798A">
        <w:rPr>
          <w:rFonts w:cs="Arial"/>
        </w:rPr>
        <w:t xml:space="preserve"> </w:t>
      </w:r>
    </w:p>
    <w:p w:rsidR="003636EA" w:rsidRPr="00EF798A" w:rsidRDefault="003636EA" w:rsidP="00EF798A">
      <w:pPr>
        <w:rPr>
          <w:rFonts w:cs="Arial"/>
          <w:szCs w:val="20"/>
        </w:rPr>
      </w:pPr>
    </w:p>
    <w:p w:rsidR="003636EA" w:rsidRPr="00EF798A" w:rsidRDefault="003636EA" w:rsidP="00EF798A">
      <w:pPr>
        <w:autoSpaceDE w:val="0"/>
        <w:autoSpaceDN w:val="0"/>
        <w:adjustRightInd w:val="0"/>
        <w:rPr>
          <w:rFonts w:cs="Arial"/>
          <w:color w:val="000000"/>
          <w:szCs w:val="20"/>
        </w:rPr>
      </w:pPr>
    </w:p>
    <w:p w:rsidR="003636EA" w:rsidRPr="00EF798A" w:rsidRDefault="003636EA" w:rsidP="00EF798A">
      <w:pPr>
        <w:autoSpaceDE w:val="0"/>
        <w:autoSpaceDN w:val="0"/>
        <w:adjustRightInd w:val="0"/>
        <w:jc w:val="both"/>
        <w:rPr>
          <w:rFonts w:cs="Arial"/>
          <w:color w:val="000000"/>
          <w:szCs w:val="20"/>
        </w:rPr>
      </w:pPr>
    </w:p>
    <w:p w:rsidR="009E7480" w:rsidRPr="009F41D0" w:rsidRDefault="009E7480" w:rsidP="009E7480">
      <w:pPr>
        <w:ind w:left="720"/>
        <w:contextualSpacing/>
        <w:rPr>
          <w:b/>
          <w:lang w:eastAsia="sl-SI"/>
        </w:rPr>
      </w:pPr>
    </w:p>
    <w:p w:rsidR="009E7480" w:rsidRPr="009E7480" w:rsidRDefault="009E7480" w:rsidP="009E7480">
      <w:pPr>
        <w:overflowPunct w:val="0"/>
        <w:autoSpaceDE w:val="0"/>
        <w:autoSpaceDN w:val="0"/>
        <w:adjustRightInd w:val="0"/>
        <w:jc w:val="center"/>
        <w:textAlignment w:val="baseline"/>
        <w:rPr>
          <w:rFonts w:cs="Arial"/>
          <w:b/>
          <w:szCs w:val="20"/>
          <w:lang w:eastAsia="sl-SI"/>
        </w:rPr>
      </w:pPr>
      <w:r w:rsidRPr="009E7480">
        <w:rPr>
          <w:rFonts w:cs="Arial"/>
          <w:b/>
          <w:szCs w:val="20"/>
          <w:lang w:eastAsia="sl-SI"/>
        </w:rPr>
        <w:t xml:space="preserve">SPREMEMBE IN DOPOLNITVE PROGRAMA </w:t>
      </w:r>
    </w:p>
    <w:p w:rsidR="009E7480" w:rsidRPr="009E7480" w:rsidRDefault="009E7480" w:rsidP="009E7480">
      <w:pPr>
        <w:overflowPunct w:val="0"/>
        <w:autoSpaceDE w:val="0"/>
        <w:autoSpaceDN w:val="0"/>
        <w:adjustRightInd w:val="0"/>
        <w:jc w:val="center"/>
        <w:textAlignment w:val="baseline"/>
        <w:rPr>
          <w:rFonts w:cs="Arial"/>
          <w:b/>
          <w:szCs w:val="20"/>
          <w:lang w:eastAsia="sl-SI"/>
        </w:rPr>
      </w:pPr>
      <w:r w:rsidRPr="009E7480">
        <w:rPr>
          <w:rFonts w:cs="Arial"/>
          <w:b/>
          <w:szCs w:val="20"/>
          <w:lang w:eastAsia="sl-SI"/>
        </w:rPr>
        <w:t xml:space="preserve">SPODBUJANJA GOSPODARSKE OSNOVE MADŽARSKE NARODNE SKUPNOSTI </w:t>
      </w:r>
      <w:r w:rsidR="002B78C4">
        <w:rPr>
          <w:rFonts w:cs="Arial"/>
          <w:b/>
          <w:szCs w:val="20"/>
          <w:lang w:eastAsia="sl-SI"/>
        </w:rPr>
        <w:br/>
      </w:r>
      <w:r w:rsidRPr="009E7480">
        <w:rPr>
          <w:rFonts w:cs="Arial"/>
          <w:b/>
          <w:szCs w:val="20"/>
          <w:lang w:eastAsia="sl-SI"/>
        </w:rPr>
        <w:t>2021</w:t>
      </w:r>
      <w:r w:rsidRPr="009E7480">
        <w:rPr>
          <w:rFonts w:cs="Arial"/>
          <w:color w:val="000000"/>
          <w:szCs w:val="20"/>
          <w:shd w:val="clear" w:color="auto" w:fill="FFFFFF"/>
          <w:lang w:eastAsia="sl-SI"/>
        </w:rPr>
        <w:t>–</w:t>
      </w:r>
      <w:r w:rsidRPr="009E7480">
        <w:rPr>
          <w:rFonts w:cs="Arial"/>
          <w:b/>
          <w:szCs w:val="20"/>
          <w:lang w:eastAsia="sl-SI"/>
        </w:rPr>
        <w:t>2024</w:t>
      </w:r>
    </w:p>
    <w:p w:rsidR="009E7480" w:rsidRDefault="009E7480" w:rsidP="009E7480">
      <w:pPr>
        <w:overflowPunct w:val="0"/>
        <w:autoSpaceDE w:val="0"/>
        <w:autoSpaceDN w:val="0"/>
        <w:adjustRightInd w:val="0"/>
        <w:jc w:val="center"/>
        <w:textAlignment w:val="baseline"/>
        <w:rPr>
          <w:rFonts w:cs="Arial"/>
          <w:b/>
          <w:szCs w:val="20"/>
          <w:lang w:eastAsia="sl-SI"/>
        </w:rPr>
      </w:pPr>
    </w:p>
    <w:p w:rsidR="00A707C2" w:rsidRPr="009E7480" w:rsidRDefault="00A707C2" w:rsidP="009E7480">
      <w:pPr>
        <w:overflowPunct w:val="0"/>
        <w:autoSpaceDE w:val="0"/>
        <w:autoSpaceDN w:val="0"/>
        <w:adjustRightInd w:val="0"/>
        <w:jc w:val="center"/>
        <w:textAlignment w:val="baseline"/>
        <w:rPr>
          <w:rFonts w:cs="Arial"/>
          <w:b/>
          <w:szCs w:val="20"/>
          <w:lang w:eastAsia="sl-SI"/>
        </w:rPr>
      </w:pPr>
    </w:p>
    <w:p w:rsidR="009E7480" w:rsidRPr="009E7480" w:rsidRDefault="009E7480" w:rsidP="009E7480">
      <w:pPr>
        <w:overflowPunct w:val="0"/>
        <w:autoSpaceDE w:val="0"/>
        <w:autoSpaceDN w:val="0"/>
        <w:adjustRightInd w:val="0"/>
        <w:jc w:val="center"/>
        <w:textAlignment w:val="baseline"/>
        <w:rPr>
          <w:rFonts w:cs="Arial"/>
          <w:szCs w:val="20"/>
          <w:lang w:eastAsia="sl-SI"/>
        </w:rPr>
      </w:pPr>
      <w:r w:rsidRPr="009E7480">
        <w:rPr>
          <w:rFonts w:cs="Arial"/>
          <w:szCs w:val="20"/>
          <w:lang w:eastAsia="sl-SI"/>
        </w:rPr>
        <w:t>I</w:t>
      </w:r>
    </w:p>
    <w:p w:rsidR="009E7480" w:rsidRPr="009E7480" w:rsidRDefault="009E7480" w:rsidP="009E7480">
      <w:pPr>
        <w:overflowPunct w:val="0"/>
        <w:autoSpaceDE w:val="0"/>
        <w:autoSpaceDN w:val="0"/>
        <w:adjustRightInd w:val="0"/>
        <w:jc w:val="center"/>
        <w:textAlignment w:val="baseline"/>
        <w:rPr>
          <w:rFonts w:cs="Arial"/>
          <w:szCs w:val="20"/>
          <w:lang w:eastAsia="sl-SI"/>
        </w:rPr>
      </w:pPr>
    </w:p>
    <w:p w:rsidR="009E7480" w:rsidRPr="009E7480" w:rsidRDefault="009E7480" w:rsidP="009E7480">
      <w:pPr>
        <w:jc w:val="both"/>
        <w:rPr>
          <w:rFonts w:cs="Arial"/>
          <w:szCs w:val="20"/>
        </w:rPr>
      </w:pPr>
      <w:r w:rsidRPr="009E7480">
        <w:rPr>
          <w:rFonts w:cs="Arial"/>
          <w:szCs w:val="20"/>
        </w:rPr>
        <w:t>V Programu spodbujanja gospodarske osnove madžarske narodne skupnosti 2021–2024 (v nadaljnjem besedilu: Program) se v Poglavju 3 pri točki 3.4 pri ukrepu 4 besedili podukrepa 4.1 in podukrepa 4.2 spremenita tako, da se glasita:</w:t>
      </w:r>
    </w:p>
    <w:p w:rsidR="009E7480" w:rsidRPr="009E7480" w:rsidRDefault="009E7480" w:rsidP="009E7480">
      <w:pPr>
        <w:overflowPunct w:val="0"/>
        <w:autoSpaceDE w:val="0"/>
        <w:autoSpaceDN w:val="0"/>
        <w:adjustRightInd w:val="0"/>
        <w:jc w:val="both"/>
        <w:textAlignment w:val="baseline"/>
        <w:rPr>
          <w:rFonts w:cs="Arial"/>
          <w:szCs w:val="20"/>
          <w:u w:color="000000"/>
        </w:rPr>
      </w:pPr>
      <w:r w:rsidRPr="009E7480">
        <w:rPr>
          <w:rFonts w:cs="Arial"/>
          <w:szCs w:val="20"/>
        </w:rPr>
        <w:t>»</w:t>
      </w:r>
      <w:bookmarkStart w:id="0" w:name="_Toc94093400"/>
      <w:r w:rsidRPr="009E7480">
        <w:rPr>
          <w:rFonts w:cs="Arial"/>
          <w:szCs w:val="20"/>
          <w:u w:color="000000"/>
        </w:rPr>
        <w:t xml:space="preserve"> </w:t>
      </w:r>
      <w:r w:rsidRPr="009E7480">
        <w:rPr>
          <w:rFonts w:cs="Arial"/>
          <w:b/>
          <w:bCs/>
          <w:szCs w:val="20"/>
          <w:u w:color="000000"/>
          <w:lang w:val="x-none"/>
        </w:rPr>
        <w:t xml:space="preserve">Podukrep 4.1: </w:t>
      </w:r>
      <w:r w:rsidRPr="009E7480">
        <w:rPr>
          <w:rFonts w:cs="Arial"/>
          <w:b/>
          <w:bCs/>
          <w:szCs w:val="20"/>
          <w:u w:color="000000"/>
          <w:lang w:val="x-none"/>
        </w:rPr>
        <w:tab/>
        <w:t>Vzpostavitev in delovanje »vzorčne kmetije« z namenom spodbujanja kmetijstva na programskem območju</w:t>
      </w:r>
      <w:bookmarkEnd w:id="0"/>
    </w:p>
    <w:p w:rsidR="009E7480" w:rsidRPr="009E7480" w:rsidRDefault="009E7480" w:rsidP="009E7480">
      <w:pPr>
        <w:rPr>
          <w:rFonts w:cs="Arial"/>
          <w:szCs w:val="20"/>
          <w:u w:color="000000"/>
        </w:rPr>
      </w:pPr>
    </w:p>
    <w:p w:rsidR="009E7480" w:rsidRPr="009E7480" w:rsidRDefault="009E7480" w:rsidP="009E7480">
      <w:pPr>
        <w:rPr>
          <w:rFonts w:cs="Arial"/>
          <w:b/>
          <w:bCs/>
          <w:szCs w:val="20"/>
          <w:u w:val="single" w:color="000000"/>
        </w:rPr>
      </w:pPr>
      <w:r w:rsidRPr="009E7480">
        <w:rPr>
          <w:rFonts w:cs="Arial"/>
          <w:b/>
          <w:bCs/>
          <w:szCs w:val="20"/>
          <w:u w:val="single" w:color="000000"/>
        </w:rPr>
        <w:t>Namen in cilji podukrepa 4.1</w:t>
      </w:r>
    </w:p>
    <w:p w:rsidR="009E7480" w:rsidRPr="009E7480" w:rsidRDefault="009E7480" w:rsidP="009E7480">
      <w:pPr>
        <w:jc w:val="both"/>
        <w:rPr>
          <w:rFonts w:cs="Arial"/>
          <w:szCs w:val="20"/>
          <w:u w:color="000000"/>
        </w:rPr>
      </w:pPr>
      <w:r w:rsidRPr="009E7480">
        <w:rPr>
          <w:rFonts w:cs="Arial"/>
          <w:szCs w:val="20"/>
          <w:u w:color="000000"/>
        </w:rPr>
        <w:t>Vzpostavitev in delovanje »vzorčne kmetije« ima za namen nepridobitno podporo razvoju kmetijskih in živilskih dejavnosti na narodnostno mešanem območju v Pomurju, ki bo dostopna vsem državljanom Republike Slovenije in drugim obiskovalcem, z namenom predstavitve primerov dobrih praks, inovativnih pristopov kmetovanja in povezovanja, itd. Na »vzorčni kmetiji« se bodo spodbujale in organizirale razvojne, raziskovalne, izobraževalne in druge nepridobitne dejavnosti s področja kmetijske proizvodnje ter bodo namenjene spodbujanju razvoja odpornega in konkurenčnega kmetijstva na programskem območju. Prispevale bodo tudi k ohranjanju narodne identitete pripadnikov madžarske narodne skupnosti in bodo pomembne za njihov razvoj in razvoj kmetijstva na tem območju. Namen »vzorčne kmetije« je med drugim zagotoviti prenos znanja na področju pridelave, reje in predelave; povezovanje kmetijskih proizvajalcev krožnega gospodarstva in trajnostnega razvoja na narodnostno mešanem območju. Cilj je, da »vzorčna kmetija« predstavlja stično točko primerov dobrih praks za področje kmetijstva na tem območju in nudi vse potrebne informacije, znanje, priporočila in druge nepridobitne storitve za spodbujanje razvoja kmetijstva na tem območju.</w:t>
      </w:r>
    </w:p>
    <w:p w:rsidR="009E7480" w:rsidRPr="009E7480" w:rsidRDefault="009E7480" w:rsidP="009E7480">
      <w:pPr>
        <w:jc w:val="both"/>
        <w:rPr>
          <w:rFonts w:cs="Arial"/>
          <w:szCs w:val="20"/>
          <w:u w:color="000000"/>
        </w:rPr>
      </w:pPr>
    </w:p>
    <w:p w:rsidR="009E7480" w:rsidRPr="009E7480" w:rsidRDefault="009E7480" w:rsidP="009E7480">
      <w:pPr>
        <w:jc w:val="both"/>
        <w:rPr>
          <w:rFonts w:cs="Arial"/>
          <w:szCs w:val="20"/>
          <w:u w:val="single" w:color="000000"/>
        </w:rPr>
      </w:pPr>
      <w:r w:rsidRPr="009E7480">
        <w:rPr>
          <w:rFonts w:cs="Arial"/>
          <w:szCs w:val="20"/>
          <w:u w:val="single" w:color="000000"/>
        </w:rPr>
        <w:t>Osnovni cilj podukrepa 4.1</w:t>
      </w:r>
    </w:p>
    <w:p w:rsidR="009E7480" w:rsidRPr="009E7480" w:rsidRDefault="009E7480" w:rsidP="009E7480">
      <w:pPr>
        <w:jc w:val="both"/>
        <w:rPr>
          <w:rFonts w:cs="Arial"/>
          <w:szCs w:val="20"/>
          <w:u w:color="000000"/>
        </w:rPr>
      </w:pPr>
      <w:r w:rsidRPr="009E7480">
        <w:rPr>
          <w:rFonts w:cs="Arial"/>
          <w:szCs w:val="20"/>
          <w:u w:color="000000"/>
        </w:rPr>
        <w:t xml:space="preserve">Vzpostavitev in delovanje »vzorčne kmetije« z namenom spodbujanja kmetijstva na programskem območju« je vzpostavitev nepridobitne vzorčne kmetije kot spodbujevalca razvoja kmetijstva z namenom ohranjanja poseljenosti narodnostno mešanega območja. </w:t>
      </w:r>
    </w:p>
    <w:p w:rsidR="009E7480" w:rsidRPr="009E7480" w:rsidRDefault="009E7480" w:rsidP="009E7480">
      <w:pPr>
        <w:jc w:val="both"/>
        <w:rPr>
          <w:rFonts w:cs="Arial"/>
          <w:szCs w:val="20"/>
          <w:u w:color="000000"/>
        </w:rPr>
      </w:pPr>
    </w:p>
    <w:p w:rsidR="009E7480" w:rsidRPr="009E7480" w:rsidRDefault="009E7480" w:rsidP="009E7480">
      <w:pPr>
        <w:rPr>
          <w:rFonts w:cs="Arial"/>
          <w:szCs w:val="20"/>
          <w:u w:val="single" w:color="000000"/>
        </w:rPr>
      </w:pPr>
      <w:r w:rsidRPr="009E7480">
        <w:rPr>
          <w:rFonts w:cs="Arial"/>
          <w:szCs w:val="20"/>
          <w:u w:val="single" w:color="000000"/>
        </w:rPr>
        <w:t>Nadaljnji cilji so še:</w:t>
      </w:r>
    </w:p>
    <w:p w:rsidR="009E7480" w:rsidRPr="009E7480" w:rsidRDefault="009E7480" w:rsidP="003113B6">
      <w:pPr>
        <w:numPr>
          <w:ilvl w:val="0"/>
          <w:numId w:val="7"/>
        </w:numPr>
        <w:overflowPunct w:val="0"/>
        <w:autoSpaceDE w:val="0"/>
        <w:autoSpaceDN w:val="0"/>
        <w:adjustRightInd w:val="0"/>
        <w:ind w:hanging="720"/>
        <w:jc w:val="both"/>
        <w:textAlignment w:val="baseline"/>
        <w:rPr>
          <w:rFonts w:cs="Arial"/>
          <w:szCs w:val="20"/>
          <w:u w:color="000000"/>
        </w:rPr>
      </w:pPr>
      <w:r w:rsidRPr="009E7480">
        <w:rPr>
          <w:rFonts w:cs="Arial"/>
          <w:szCs w:val="20"/>
          <w:u w:color="000000"/>
        </w:rPr>
        <w:t>spodbujanje kmetijskih proizvajalcev k aktivni udeležbi pri razvoju »vzorčne kmetije« in uporabljanju modelov pridelave, predelave in krožnega gospodarstva na programskem območju pri svoji lastni pridelavi oziroma predelavi;</w:t>
      </w:r>
    </w:p>
    <w:p w:rsidR="009E7480" w:rsidRPr="009E7480" w:rsidRDefault="009E7480" w:rsidP="003113B6">
      <w:pPr>
        <w:numPr>
          <w:ilvl w:val="0"/>
          <w:numId w:val="7"/>
        </w:numPr>
        <w:overflowPunct w:val="0"/>
        <w:autoSpaceDE w:val="0"/>
        <w:autoSpaceDN w:val="0"/>
        <w:adjustRightInd w:val="0"/>
        <w:ind w:hanging="720"/>
        <w:jc w:val="both"/>
        <w:textAlignment w:val="baseline"/>
        <w:rPr>
          <w:rFonts w:cs="Arial"/>
          <w:szCs w:val="20"/>
          <w:u w:color="000000"/>
        </w:rPr>
      </w:pPr>
      <w:r w:rsidRPr="009E7480">
        <w:rPr>
          <w:rFonts w:cs="Arial"/>
          <w:szCs w:val="20"/>
          <w:u w:color="000000"/>
        </w:rPr>
        <w:t>spodbujanje javnih zavodov in drugih ponudnikov gostinskih storitev k uporabljanju vzpostavljenih modelov nabave lokalnih pridelkov oziroma živil;</w:t>
      </w:r>
    </w:p>
    <w:p w:rsidR="009E7480" w:rsidRPr="009E7480" w:rsidRDefault="009E7480" w:rsidP="003113B6">
      <w:pPr>
        <w:numPr>
          <w:ilvl w:val="0"/>
          <w:numId w:val="7"/>
        </w:numPr>
        <w:overflowPunct w:val="0"/>
        <w:autoSpaceDE w:val="0"/>
        <w:autoSpaceDN w:val="0"/>
        <w:adjustRightInd w:val="0"/>
        <w:ind w:hanging="720"/>
        <w:jc w:val="both"/>
        <w:textAlignment w:val="baseline"/>
        <w:rPr>
          <w:rFonts w:cs="Arial"/>
          <w:szCs w:val="20"/>
          <w:u w:color="000000"/>
        </w:rPr>
      </w:pPr>
      <w:r w:rsidRPr="009E7480">
        <w:rPr>
          <w:rFonts w:cs="Arial"/>
          <w:szCs w:val="20"/>
          <w:u w:color="000000"/>
        </w:rPr>
        <w:lastRenderedPageBreak/>
        <w:t>vzpostavitev modelov pridelave, predelave in krožnega gospodarstva upoštevajoč sodob</w:t>
      </w:r>
      <w:r w:rsidR="003113B6">
        <w:rPr>
          <w:rFonts w:cs="Arial"/>
          <w:szCs w:val="20"/>
          <w:u w:color="000000"/>
        </w:rPr>
        <w:t xml:space="preserve">ne trende, inovativne pristope </w:t>
      </w:r>
      <w:r w:rsidRPr="009E7480">
        <w:rPr>
          <w:rFonts w:cs="Arial"/>
          <w:szCs w:val="20"/>
          <w:u w:color="000000"/>
        </w:rPr>
        <w:t>in naravne danosti programskega območja v kmetijstvu;</w:t>
      </w:r>
    </w:p>
    <w:p w:rsidR="009E7480" w:rsidRPr="009E7480" w:rsidRDefault="009E7480" w:rsidP="003113B6">
      <w:pPr>
        <w:numPr>
          <w:ilvl w:val="0"/>
          <w:numId w:val="7"/>
        </w:numPr>
        <w:overflowPunct w:val="0"/>
        <w:autoSpaceDE w:val="0"/>
        <w:autoSpaceDN w:val="0"/>
        <w:adjustRightInd w:val="0"/>
        <w:ind w:hanging="720"/>
        <w:jc w:val="both"/>
        <w:textAlignment w:val="baseline"/>
        <w:rPr>
          <w:rFonts w:cs="Arial"/>
          <w:szCs w:val="20"/>
          <w:u w:color="000000"/>
        </w:rPr>
      </w:pPr>
      <w:r w:rsidRPr="009E7480">
        <w:rPr>
          <w:rFonts w:cs="Arial"/>
          <w:szCs w:val="20"/>
          <w:u w:color="000000"/>
        </w:rPr>
        <w:t>vzpostaviti in razviti informacijski center in razvojno-raziskovalno enoto, ki bo delovalo na področju kmetijstva.</w:t>
      </w:r>
    </w:p>
    <w:p w:rsidR="009E7480" w:rsidRPr="009E7480" w:rsidRDefault="009E7480" w:rsidP="009E7480">
      <w:pPr>
        <w:ind w:hanging="720"/>
        <w:rPr>
          <w:rFonts w:cs="Arial"/>
          <w:szCs w:val="20"/>
          <w:u w:color="000000"/>
        </w:rPr>
      </w:pPr>
    </w:p>
    <w:p w:rsidR="009E7480" w:rsidRPr="009E7480" w:rsidRDefault="009E7480" w:rsidP="009E7480">
      <w:pPr>
        <w:rPr>
          <w:rFonts w:cs="Arial"/>
          <w:b/>
          <w:bCs/>
          <w:szCs w:val="20"/>
          <w:u w:val="single" w:color="000000"/>
        </w:rPr>
      </w:pPr>
      <w:r w:rsidRPr="009E7480">
        <w:rPr>
          <w:rFonts w:cs="Arial"/>
          <w:b/>
          <w:bCs/>
          <w:szCs w:val="20"/>
          <w:u w:val="single" w:color="000000"/>
        </w:rPr>
        <w:t>Sredstva tega podukrepa bodo namenjena naslednjim upravičenim stroškom:</w:t>
      </w:r>
    </w:p>
    <w:p w:rsidR="009E7480" w:rsidRPr="009E7480" w:rsidRDefault="009E7480" w:rsidP="003113B6">
      <w:pPr>
        <w:numPr>
          <w:ilvl w:val="0"/>
          <w:numId w:val="7"/>
        </w:numPr>
        <w:overflowPunct w:val="0"/>
        <w:autoSpaceDE w:val="0"/>
        <w:autoSpaceDN w:val="0"/>
        <w:adjustRightInd w:val="0"/>
        <w:ind w:hanging="720"/>
        <w:jc w:val="both"/>
        <w:textAlignment w:val="baseline"/>
        <w:rPr>
          <w:rFonts w:cs="Arial"/>
          <w:szCs w:val="20"/>
          <w:u w:color="000000"/>
        </w:rPr>
      </w:pPr>
      <w:r w:rsidRPr="009E7480">
        <w:rPr>
          <w:rFonts w:cs="Arial"/>
          <w:szCs w:val="20"/>
          <w:u w:color="000000"/>
        </w:rPr>
        <w:t xml:space="preserve">nakupu in gradnji nepremičnin, ki bodo del »vzorčne kmetije« – kmetija, kmetijska zemljišča, pomožni objekti (gospodarski objekti, pripadajoči objekti, rastlinjaki in drugi objekti za izvajanje dejavnosti v okviru ukrepa 4); </w:t>
      </w:r>
    </w:p>
    <w:p w:rsidR="009E7480" w:rsidRPr="009E7480" w:rsidRDefault="009E7480" w:rsidP="003113B6">
      <w:pPr>
        <w:numPr>
          <w:ilvl w:val="0"/>
          <w:numId w:val="7"/>
        </w:numPr>
        <w:overflowPunct w:val="0"/>
        <w:autoSpaceDE w:val="0"/>
        <w:autoSpaceDN w:val="0"/>
        <w:adjustRightInd w:val="0"/>
        <w:ind w:hanging="720"/>
        <w:jc w:val="both"/>
        <w:textAlignment w:val="baseline"/>
        <w:rPr>
          <w:rFonts w:cs="Arial"/>
          <w:szCs w:val="20"/>
          <w:u w:color="000000"/>
        </w:rPr>
      </w:pPr>
      <w:r w:rsidRPr="009E7480">
        <w:rPr>
          <w:rFonts w:cs="Arial"/>
          <w:szCs w:val="20"/>
          <w:u w:color="000000"/>
        </w:rPr>
        <w:t>nakupu in gradnji informacijskega centra in razvojno-raziskovalne enote na področju kmetijstva;</w:t>
      </w:r>
    </w:p>
    <w:p w:rsidR="009E7480" w:rsidRPr="009E7480" w:rsidRDefault="009E7480" w:rsidP="003113B6">
      <w:pPr>
        <w:numPr>
          <w:ilvl w:val="0"/>
          <w:numId w:val="7"/>
        </w:numPr>
        <w:overflowPunct w:val="0"/>
        <w:autoSpaceDE w:val="0"/>
        <w:autoSpaceDN w:val="0"/>
        <w:adjustRightInd w:val="0"/>
        <w:ind w:hanging="720"/>
        <w:jc w:val="both"/>
        <w:textAlignment w:val="baseline"/>
        <w:rPr>
          <w:rFonts w:cs="Arial"/>
          <w:szCs w:val="20"/>
          <w:u w:color="000000"/>
        </w:rPr>
      </w:pPr>
      <w:r w:rsidRPr="009E7480">
        <w:rPr>
          <w:rFonts w:cs="Arial"/>
          <w:szCs w:val="20"/>
          <w:u w:color="000000"/>
        </w:rPr>
        <w:t>nakupu kmetijske mehanizacije in nakupu opreme (zunanja in notranja oprema);</w:t>
      </w:r>
    </w:p>
    <w:p w:rsidR="009E7480" w:rsidRPr="009E7480" w:rsidRDefault="009E7480" w:rsidP="003113B6">
      <w:pPr>
        <w:numPr>
          <w:ilvl w:val="0"/>
          <w:numId w:val="7"/>
        </w:numPr>
        <w:overflowPunct w:val="0"/>
        <w:autoSpaceDE w:val="0"/>
        <w:autoSpaceDN w:val="0"/>
        <w:adjustRightInd w:val="0"/>
        <w:ind w:hanging="720"/>
        <w:jc w:val="both"/>
        <w:textAlignment w:val="baseline"/>
        <w:rPr>
          <w:rFonts w:cs="Arial"/>
          <w:szCs w:val="20"/>
          <w:u w:color="000000"/>
        </w:rPr>
      </w:pPr>
      <w:r w:rsidRPr="009E7480">
        <w:rPr>
          <w:rFonts w:cs="Arial"/>
          <w:szCs w:val="20"/>
          <w:u w:color="000000"/>
        </w:rPr>
        <w:t>izboljšanju proizvodnega potenciala kmetijskih zemljišč (npr. postavitev oziroma obnova trajnih nasadov, postavitev pašnikov);</w:t>
      </w:r>
    </w:p>
    <w:p w:rsidR="009E7480" w:rsidRPr="009E7480" w:rsidRDefault="009E7480" w:rsidP="003113B6">
      <w:pPr>
        <w:numPr>
          <w:ilvl w:val="0"/>
          <w:numId w:val="7"/>
        </w:numPr>
        <w:overflowPunct w:val="0"/>
        <w:autoSpaceDE w:val="0"/>
        <w:autoSpaceDN w:val="0"/>
        <w:adjustRightInd w:val="0"/>
        <w:ind w:hanging="720"/>
        <w:jc w:val="both"/>
        <w:textAlignment w:val="baseline"/>
        <w:rPr>
          <w:rFonts w:cs="Arial"/>
          <w:szCs w:val="20"/>
          <w:u w:color="000000"/>
        </w:rPr>
      </w:pPr>
      <w:r w:rsidRPr="009E7480">
        <w:rPr>
          <w:rFonts w:cs="Arial"/>
          <w:szCs w:val="20"/>
          <w:u w:color="000000"/>
        </w:rPr>
        <w:t>nakupu živali za namen delovanja vzorčne kmetije;</w:t>
      </w:r>
    </w:p>
    <w:p w:rsidR="009E7480" w:rsidRPr="009E7480" w:rsidRDefault="009E7480" w:rsidP="003113B6">
      <w:pPr>
        <w:numPr>
          <w:ilvl w:val="0"/>
          <w:numId w:val="7"/>
        </w:numPr>
        <w:overflowPunct w:val="0"/>
        <w:autoSpaceDE w:val="0"/>
        <w:autoSpaceDN w:val="0"/>
        <w:adjustRightInd w:val="0"/>
        <w:ind w:hanging="720"/>
        <w:jc w:val="both"/>
        <w:textAlignment w:val="baseline"/>
        <w:rPr>
          <w:rFonts w:cs="Arial"/>
          <w:szCs w:val="20"/>
          <w:u w:color="000000"/>
        </w:rPr>
      </w:pPr>
      <w:r w:rsidRPr="009E7480">
        <w:rPr>
          <w:rFonts w:cs="Arial"/>
          <w:szCs w:val="20"/>
          <w:u w:color="000000"/>
        </w:rPr>
        <w:t>naložbam, namenjenim učinkoviti rabe energije in obnovljivim virom energije;</w:t>
      </w:r>
    </w:p>
    <w:p w:rsidR="009E7480" w:rsidRPr="009E7480" w:rsidRDefault="009E7480" w:rsidP="003113B6">
      <w:pPr>
        <w:numPr>
          <w:ilvl w:val="0"/>
          <w:numId w:val="7"/>
        </w:numPr>
        <w:overflowPunct w:val="0"/>
        <w:autoSpaceDE w:val="0"/>
        <w:autoSpaceDN w:val="0"/>
        <w:adjustRightInd w:val="0"/>
        <w:ind w:hanging="720"/>
        <w:jc w:val="both"/>
        <w:textAlignment w:val="baseline"/>
        <w:rPr>
          <w:rFonts w:cs="Arial"/>
          <w:szCs w:val="20"/>
          <w:u w:color="000000"/>
        </w:rPr>
      </w:pPr>
      <w:r w:rsidRPr="009E7480">
        <w:rPr>
          <w:rFonts w:cs="Arial"/>
          <w:szCs w:val="20"/>
          <w:u w:color="000000"/>
        </w:rPr>
        <w:t>tekočim stroškom pridelave in predelave (materialni stroški in stroški storitev);</w:t>
      </w:r>
    </w:p>
    <w:p w:rsidR="009E7480" w:rsidRPr="009E7480" w:rsidRDefault="009E7480" w:rsidP="003113B6">
      <w:pPr>
        <w:numPr>
          <w:ilvl w:val="0"/>
          <w:numId w:val="7"/>
        </w:numPr>
        <w:overflowPunct w:val="0"/>
        <w:autoSpaceDE w:val="0"/>
        <w:autoSpaceDN w:val="0"/>
        <w:adjustRightInd w:val="0"/>
        <w:ind w:hanging="720"/>
        <w:jc w:val="both"/>
        <w:textAlignment w:val="baseline"/>
        <w:rPr>
          <w:rFonts w:cs="Arial"/>
          <w:szCs w:val="20"/>
          <w:u w:color="000000"/>
        </w:rPr>
      </w:pPr>
      <w:bookmarkStart w:id="1" w:name="_Hlk94173821"/>
      <w:r w:rsidRPr="009E7480">
        <w:rPr>
          <w:rFonts w:cs="Arial"/>
          <w:szCs w:val="20"/>
          <w:u w:color="000000"/>
        </w:rPr>
        <w:t xml:space="preserve">režijskim stroškom </w:t>
      </w:r>
      <w:bookmarkEnd w:id="1"/>
      <w:r w:rsidRPr="009E7480">
        <w:rPr>
          <w:rFonts w:cs="Arial"/>
          <w:szCs w:val="20"/>
          <w:u w:color="000000"/>
        </w:rPr>
        <w:t xml:space="preserve">(potrošni material za delovanje in promocijo, splošni stroški </w:t>
      </w:r>
      <w:r w:rsidR="002B78C4">
        <w:rPr>
          <w:rFonts w:cs="Arial"/>
          <w:szCs w:val="20"/>
          <w:u w:color="000000"/>
        </w:rPr>
        <w:br/>
      </w:r>
      <w:r w:rsidRPr="009E7480">
        <w:rPr>
          <w:rFonts w:cs="Arial"/>
          <w:szCs w:val="20"/>
          <w:u w:color="000000"/>
        </w:rPr>
        <w:t>storitev – elektrika, voda, telefon, ogrevanje, računovodstvo,…);</w:t>
      </w:r>
    </w:p>
    <w:p w:rsidR="009E7480" w:rsidRPr="009E7480" w:rsidRDefault="009E7480" w:rsidP="003113B6">
      <w:pPr>
        <w:numPr>
          <w:ilvl w:val="0"/>
          <w:numId w:val="7"/>
        </w:numPr>
        <w:overflowPunct w:val="0"/>
        <w:autoSpaceDE w:val="0"/>
        <w:autoSpaceDN w:val="0"/>
        <w:adjustRightInd w:val="0"/>
        <w:ind w:hanging="720"/>
        <w:jc w:val="both"/>
        <w:textAlignment w:val="baseline"/>
        <w:rPr>
          <w:rFonts w:cs="Arial"/>
          <w:szCs w:val="20"/>
          <w:u w:color="000000"/>
        </w:rPr>
      </w:pPr>
      <w:r w:rsidRPr="009E7480">
        <w:rPr>
          <w:rFonts w:cs="Arial"/>
          <w:szCs w:val="20"/>
          <w:u w:color="000000"/>
        </w:rPr>
        <w:t>priprave dokumentacije;</w:t>
      </w:r>
    </w:p>
    <w:p w:rsidR="009E7480" w:rsidRPr="009E7480" w:rsidRDefault="009E7480" w:rsidP="003113B6">
      <w:pPr>
        <w:numPr>
          <w:ilvl w:val="0"/>
          <w:numId w:val="7"/>
        </w:numPr>
        <w:overflowPunct w:val="0"/>
        <w:autoSpaceDE w:val="0"/>
        <w:autoSpaceDN w:val="0"/>
        <w:adjustRightInd w:val="0"/>
        <w:ind w:hanging="720"/>
        <w:jc w:val="both"/>
        <w:textAlignment w:val="baseline"/>
        <w:rPr>
          <w:rFonts w:cs="Arial"/>
          <w:szCs w:val="20"/>
          <w:u w:color="000000"/>
        </w:rPr>
      </w:pPr>
      <w:r w:rsidRPr="009E7480">
        <w:rPr>
          <w:rFonts w:cs="Arial"/>
          <w:szCs w:val="20"/>
          <w:u w:color="000000"/>
        </w:rPr>
        <w:t>dela.</w:t>
      </w:r>
    </w:p>
    <w:p w:rsidR="009E7480" w:rsidRPr="009E7480" w:rsidRDefault="009E7480" w:rsidP="009E7480">
      <w:pPr>
        <w:rPr>
          <w:rFonts w:cs="Arial"/>
          <w:szCs w:val="20"/>
          <w:u w:color="000000"/>
        </w:rPr>
      </w:pPr>
    </w:p>
    <w:p w:rsidR="009E7480" w:rsidRPr="009E7480" w:rsidRDefault="009E7480" w:rsidP="009E7480">
      <w:pPr>
        <w:jc w:val="both"/>
        <w:rPr>
          <w:rFonts w:cs="Arial"/>
          <w:szCs w:val="20"/>
          <w:u w:color="000000"/>
        </w:rPr>
      </w:pPr>
      <w:bookmarkStart w:id="2" w:name="_Hlk89680322"/>
      <w:r w:rsidRPr="009E7480">
        <w:rPr>
          <w:rFonts w:cs="Arial"/>
          <w:szCs w:val="20"/>
          <w:u w:color="000000"/>
        </w:rPr>
        <w:t>Ne glede na prejšnji odstavek so sredstva tega podukrepa namenjena tudi za financiranje podukrepa 4.2, in sicer za naslednje upravičene stroške, ki ne spadajo na področje uporabe pravil o državni pomoči:</w:t>
      </w:r>
    </w:p>
    <w:p w:rsidR="009E7480" w:rsidRPr="009E7480" w:rsidRDefault="009E7480" w:rsidP="003113B6">
      <w:pPr>
        <w:numPr>
          <w:ilvl w:val="0"/>
          <w:numId w:val="7"/>
        </w:numPr>
        <w:overflowPunct w:val="0"/>
        <w:autoSpaceDE w:val="0"/>
        <w:autoSpaceDN w:val="0"/>
        <w:adjustRightInd w:val="0"/>
        <w:ind w:hanging="720"/>
        <w:jc w:val="both"/>
        <w:textAlignment w:val="baseline"/>
        <w:rPr>
          <w:rFonts w:cs="Arial"/>
          <w:szCs w:val="20"/>
          <w:u w:color="000000"/>
        </w:rPr>
      </w:pPr>
      <w:r w:rsidRPr="009E7480">
        <w:rPr>
          <w:rFonts w:cs="Arial"/>
          <w:szCs w:val="20"/>
          <w:u w:color="000000"/>
        </w:rPr>
        <w:t xml:space="preserve">stroškom priprave dokumentacije za izvedbo aktivnosti, </w:t>
      </w:r>
    </w:p>
    <w:p w:rsidR="009E7480" w:rsidRPr="009E7480" w:rsidRDefault="009E7480" w:rsidP="003113B6">
      <w:pPr>
        <w:numPr>
          <w:ilvl w:val="0"/>
          <w:numId w:val="7"/>
        </w:numPr>
        <w:overflowPunct w:val="0"/>
        <w:autoSpaceDE w:val="0"/>
        <w:autoSpaceDN w:val="0"/>
        <w:adjustRightInd w:val="0"/>
        <w:ind w:hanging="720"/>
        <w:jc w:val="both"/>
        <w:textAlignment w:val="baseline"/>
        <w:rPr>
          <w:rFonts w:cs="Arial"/>
          <w:szCs w:val="20"/>
          <w:u w:color="000000"/>
        </w:rPr>
      </w:pPr>
      <w:r w:rsidRPr="009E7480">
        <w:rPr>
          <w:rFonts w:cs="Arial"/>
          <w:szCs w:val="20"/>
          <w:u w:color="000000"/>
        </w:rPr>
        <w:t>režijskim stroškom in</w:t>
      </w:r>
    </w:p>
    <w:p w:rsidR="009E7480" w:rsidRPr="009E7480" w:rsidRDefault="009E7480" w:rsidP="003113B6">
      <w:pPr>
        <w:numPr>
          <w:ilvl w:val="0"/>
          <w:numId w:val="7"/>
        </w:numPr>
        <w:overflowPunct w:val="0"/>
        <w:autoSpaceDE w:val="0"/>
        <w:autoSpaceDN w:val="0"/>
        <w:adjustRightInd w:val="0"/>
        <w:ind w:hanging="720"/>
        <w:jc w:val="both"/>
        <w:textAlignment w:val="baseline"/>
        <w:rPr>
          <w:rFonts w:cs="Arial"/>
          <w:szCs w:val="20"/>
          <w:u w:color="000000"/>
        </w:rPr>
      </w:pPr>
      <w:r w:rsidRPr="009E7480">
        <w:rPr>
          <w:rFonts w:cs="Arial"/>
          <w:szCs w:val="20"/>
          <w:u w:color="000000"/>
        </w:rPr>
        <w:t>stroškom dela.</w:t>
      </w:r>
    </w:p>
    <w:p w:rsidR="009E7480" w:rsidRPr="009E7480" w:rsidRDefault="009E7480" w:rsidP="009E7480">
      <w:pPr>
        <w:jc w:val="both"/>
        <w:rPr>
          <w:rFonts w:cs="Arial"/>
          <w:szCs w:val="20"/>
          <w:u w:color="000000"/>
        </w:rPr>
      </w:pPr>
    </w:p>
    <w:p w:rsidR="009E7480" w:rsidRPr="009E7480" w:rsidRDefault="009E7480" w:rsidP="009E7480">
      <w:pPr>
        <w:jc w:val="both"/>
        <w:rPr>
          <w:rFonts w:cs="Arial"/>
          <w:szCs w:val="20"/>
          <w:u w:color="000000"/>
        </w:rPr>
      </w:pPr>
      <w:bookmarkStart w:id="3" w:name="_Hlk90539797"/>
      <w:bookmarkStart w:id="4" w:name="_Hlk89257276"/>
      <w:bookmarkStart w:id="5" w:name="_Hlk90539718"/>
      <w:r w:rsidRPr="009E7480">
        <w:rPr>
          <w:rFonts w:cs="Arial"/>
          <w:szCs w:val="20"/>
          <w:u w:color="000000"/>
        </w:rPr>
        <w:t>Izvajalec podukrepa je upravičen do povračila sredstev za tiste upravičene stroške, ki so nastali po podpisu pogodbe.</w:t>
      </w:r>
    </w:p>
    <w:p w:rsidR="009E7480" w:rsidRPr="009E7480" w:rsidRDefault="009E7480" w:rsidP="009E7480">
      <w:pPr>
        <w:jc w:val="both"/>
        <w:rPr>
          <w:rFonts w:cs="Arial"/>
          <w:szCs w:val="20"/>
          <w:u w:color="000000"/>
        </w:rPr>
      </w:pPr>
    </w:p>
    <w:bookmarkEnd w:id="3"/>
    <w:p w:rsidR="009E7480" w:rsidRPr="009E7480" w:rsidRDefault="009E7480" w:rsidP="009E7480">
      <w:pPr>
        <w:jc w:val="both"/>
        <w:rPr>
          <w:rFonts w:cs="Arial"/>
          <w:szCs w:val="20"/>
          <w:u w:color="000000"/>
        </w:rPr>
      </w:pPr>
      <w:r w:rsidRPr="009E7480">
        <w:rPr>
          <w:rFonts w:cs="Arial"/>
          <w:szCs w:val="20"/>
          <w:u w:color="000000"/>
        </w:rPr>
        <w:t>Ne glede na prejšnji odstavek se štejejo za stroške, ki so upravičeni do povračila sredstev tudi stroški za izvedbo aktivnosti podukrepov 4.1 in 4.2, ki so nastali po sprejetju sprememb in dopolnitvah programa, z dne 29. 9. 2021 ter so povezani s pripravo dokumentacije, skladne z Uredbo o enotni metodologiji, za pripravo in obravnavo investicijske dokumentacije na področju javnih financ (Uradni list RS, št. 60/06, 54/10 in 27/16; v nadaljnjem besedilu: Uredba).</w:t>
      </w:r>
    </w:p>
    <w:p w:rsidR="009E7480" w:rsidRPr="009E7480" w:rsidRDefault="009E7480" w:rsidP="009E7480">
      <w:pPr>
        <w:jc w:val="both"/>
        <w:rPr>
          <w:rFonts w:cs="Arial"/>
          <w:szCs w:val="20"/>
          <w:u w:color="000000"/>
        </w:rPr>
      </w:pPr>
    </w:p>
    <w:p w:rsidR="009E7480" w:rsidRPr="009E7480" w:rsidRDefault="009E7480" w:rsidP="009E7480">
      <w:pPr>
        <w:jc w:val="both"/>
        <w:rPr>
          <w:rFonts w:cs="Arial"/>
          <w:szCs w:val="20"/>
          <w:u w:color="000000"/>
        </w:rPr>
      </w:pPr>
      <w:r w:rsidRPr="009E7480">
        <w:rPr>
          <w:rFonts w:cs="Arial"/>
          <w:szCs w:val="20"/>
          <w:u w:color="000000"/>
        </w:rPr>
        <w:t>Če je izdelovalec dokumentacije iz prejšnjega odstavka PMSNS, so stroški za pripravo dokumentacije lahko upravičeni do povračila sredstev samo v okviru stroškov dela ter režijskih stroškov.</w:t>
      </w:r>
    </w:p>
    <w:p w:rsidR="009E7480" w:rsidRPr="009E7480" w:rsidRDefault="009E7480" w:rsidP="009E7480">
      <w:pPr>
        <w:jc w:val="both"/>
        <w:rPr>
          <w:rFonts w:cs="Arial"/>
          <w:szCs w:val="20"/>
          <w:highlight w:val="cyan"/>
          <w:u w:color="000000"/>
        </w:rPr>
      </w:pPr>
    </w:p>
    <w:p w:rsidR="009E7480" w:rsidRPr="009E7480" w:rsidRDefault="009E7480" w:rsidP="009E7480">
      <w:pPr>
        <w:jc w:val="both"/>
        <w:rPr>
          <w:rFonts w:cs="Arial"/>
          <w:szCs w:val="20"/>
          <w:u w:color="000000"/>
        </w:rPr>
      </w:pPr>
      <w:r w:rsidRPr="009E7480">
        <w:rPr>
          <w:rFonts w:cs="Arial"/>
          <w:szCs w:val="20"/>
          <w:u w:color="000000"/>
        </w:rPr>
        <w:t>Če PMSNS izbere zunanj</w:t>
      </w:r>
      <w:r w:rsidR="003838E9">
        <w:rPr>
          <w:rFonts w:cs="Arial"/>
          <w:szCs w:val="20"/>
          <w:u w:color="000000"/>
        </w:rPr>
        <w:t xml:space="preserve">ega izvajalca, ga mora izbrati </w:t>
      </w:r>
      <w:r w:rsidRPr="009E7480">
        <w:rPr>
          <w:rFonts w:cs="Arial"/>
          <w:szCs w:val="20"/>
          <w:u w:color="000000"/>
        </w:rPr>
        <w:t>v skladu z zakonom, ki ureja javno naročanje. Strošek priprave dokumentacije je v tem primeru upravičen strošek v višini računa, ki ga izstavi izvajalec izbran po postopku javnega naročanja.</w:t>
      </w:r>
    </w:p>
    <w:bookmarkEnd w:id="2"/>
    <w:bookmarkEnd w:id="4"/>
    <w:bookmarkEnd w:id="5"/>
    <w:p w:rsidR="009E7480" w:rsidRPr="009E7480" w:rsidRDefault="009E7480" w:rsidP="009E7480">
      <w:pPr>
        <w:jc w:val="both"/>
        <w:rPr>
          <w:rFonts w:cs="Arial"/>
          <w:szCs w:val="20"/>
          <w:u w:color="000000"/>
        </w:rPr>
      </w:pPr>
    </w:p>
    <w:p w:rsidR="009E7480" w:rsidRPr="009E7480" w:rsidRDefault="009E7480" w:rsidP="009E7480">
      <w:pPr>
        <w:jc w:val="both"/>
        <w:rPr>
          <w:rFonts w:cs="Arial"/>
          <w:szCs w:val="20"/>
          <w:u w:color="000000"/>
        </w:rPr>
      </w:pPr>
      <w:r w:rsidRPr="009E7480">
        <w:rPr>
          <w:rFonts w:cs="Arial"/>
          <w:b/>
          <w:bCs/>
          <w:szCs w:val="20"/>
          <w:u w:val="single" w:color="000000"/>
        </w:rPr>
        <w:t>Stopnja sofinanciranja upravičenih stroškov</w:t>
      </w:r>
      <w:r w:rsidRPr="009E7480">
        <w:rPr>
          <w:rFonts w:cs="Arial"/>
          <w:szCs w:val="20"/>
          <w:u w:color="000000"/>
        </w:rPr>
        <w:t xml:space="preserve"> </w:t>
      </w:r>
    </w:p>
    <w:p w:rsidR="009E7480" w:rsidRPr="009E7480" w:rsidRDefault="009E7480" w:rsidP="009E7480">
      <w:pPr>
        <w:jc w:val="both"/>
        <w:rPr>
          <w:rFonts w:cs="Arial"/>
          <w:szCs w:val="20"/>
          <w:u w:color="000000"/>
        </w:rPr>
      </w:pPr>
      <w:r w:rsidRPr="009E7480">
        <w:rPr>
          <w:rFonts w:cs="Arial"/>
          <w:szCs w:val="20"/>
          <w:u w:color="000000"/>
        </w:rPr>
        <w:t>Sofinanciranje v okviru podukrepa 4.1 je omejeno na 100 % upravičenih stroškov dokler niso namenjena ustvarjanju konkurence na trgu blaga in storitev in ne pomenijo državne pomoči v smislu zakona, ki ureja spremljanje državnih pomoči. Finančna sredstva v okviru podukrepa 4.1 se zagotovijo iz proračuna Ministrstva za kmetijstvo, gozdarstvo in prehrano (v nadaljnjem besedilu: MKGP).</w:t>
      </w:r>
    </w:p>
    <w:p w:rsidR="009E7480" w:rsidRPr="009E7480" w:rsidRDefault="009E7480" w:rsidP="009E7480">
      <w:pPr>
        <w:jc w:val="both"/>
        <w:rPr>
          <w:rFonts w:cs="Arial"/>
          <w:szCs w:val="20"/>
          <w:u w:color="000000"/>
        </w:rPr>
      </w:pPr>
    </w:p>
    <w:p w:rsidR="009E7480" w:rsidRPr="009E7480" w:rsidRDefault="009E7480" w:rsidP="009E7480">
      <w:pPr>
        <w:jc w:val="both"/>
        <w:rPr>
          <w:rFonts w:cs="Arial"/>
          <w:b/>
          <w:bCs/>
          <w:szCs w:val="20"/>
          <w:u w:val="single" w:color="000000"/>
        </w:rPr>
      </w:pPr>
      <w:r w:rsidRPr="009E7480">
        <w:rPr>
          <w:rFonts w:cs="Arial"/>
          <w:b/>
          <w:bCs/>
          <w:szCs w:val="20"/>
          <w:u w:val="single" w:color="000000"/>
        </w:rPr>
        <w:t>Način izvajanja</w:t>
      </w:r>
    </w:p>
    <w:p w:rsidR="009E7480" w:rsidRPr="009E7480" w:rsidRDefault="009E7480" w:rsidP="009E7480">
      <w:pPr>
        <w:jc w:val="both"/>
        <w:rPr>
          <w:rFonts w:cs="Arial"/>
          <w:szCs w:val="20"/>
          <w:u w:color="000000"/>
        </w:rPr>
      </w:pPr>
      <w:bookmarkStart w:id="6" w:name="_Hlk92098908"/>
      <w:r w:rsidRPr="009E7480">
        <w:rPr>
          <w:rFonts w:cs="Arial"/>
          <w:szCs w:val="20"/>
          <w:u w:color="000000"/>
        </w:rPr>
        <w:t xml:space="preserve">Aktivnosti v okviru tega podukrepa bo izvajala PMSNS. Za naloge, za katere PMSNS ni usposobljena, PMSNS izbere zunanje izvajalce v skladu z zakonom, ki ureja javno naročanje ter načelom preglednosti, odprtosti in nediskriminatornosti v izbirnem postopku. Sredstva se bodo dodeljevala na podlagi tripartitne pogodbe sklenjene med </w:t>
      </w:r>
      <w:bookmarkStart w:id="7" w:name="_Hlk93911321"/>
      <w:r w:rsidRPr="009E7480">
        <w:rPr>
          <w:rFonts w:cs="Arial"/>
          <w:szCs w:val="20"/>
          <w:u w:color="000000"/>
        </w:rPr>
        <w:t>MKGP</w:t>
      </w:r>
      <w:bookmarkEnd w:id="7"/>
      <w:r w:rsidRPr="009E7480">
        <w:rPr>
          <w:rFonts w:cs="Arial"/>
          <w:szCs w:val="20"/>
          <w:u w:color="000000"/>
        </w:rPr>
        <w:t>, ARSKTRP in PMSNS v kateri se podrobneje opredelijo pravice in obveznosti, naloge, roki, sankcije in finančna sredstva za izvedbo podukrepa. PMSNS pripravi dokument identifikacije investicijskega projekta, predinvesticijsko zasnovo in investicijski program v skladu z Uredbo in tem programom. Investicijski program je sestavni del tripartitne pogodbe.</w:t>
      </w:r>
    </w:p>
    <w:p w:rsidR="009E7480" w:rsidRPr="009E7480" w:rsidRDefault="009E7480" w:rsidP="009E7480">
      <w:pPr>
        <w:jc w:val="both"/>
        <w:rPr>
          <w:rFonts w:cs="Arial"/>
          <w:szCs w:val="20"/>
          <w:u w:color="000000"/>
        </w:rPr>
      </w:pPr>
    </w:p>
    <w:p w:rsidR="009E7480" w:rsidRPr="009E7480" w:rsidRDefault="009E7480" w:rsidP="009E7480">
      <w:pPr>
        <w:jc w:val="both"/>
        <w:rPr>
          <w:rFonts w:cs="Arial"/>
          <w:szCs w:val="20"/>
          <w:u w:color="000000"/>
        </w:rPr>
      </w:pPr>
      <w:r w:rsidRPr="009E7480">
        <w:rPr>
          <w:rFonts w:cs="Arial"/>
          <w:szCs w:val="20"/>
          <w:u w:color="000000"/>
        </w:rPr>
        <w:t xml:space="preserve">Izvajalcem storitev, ki bodo izbrani v skladu z zakonom, ki ureja javno naročanje, bodo storitve izplačane na podlagi prejetih računov s priloženimi: </w:t>
      </w:r>
    </w:p>
    <w:p w:rsidR="009E7480" w:rsidRPr="009E7480" w:rsidRDefault="009E7480" w:rsidP="00CE5671">
      <w:pPr>
        <w:numPr>
          <w:ilvl w:val="0"/>
          <w:numId w:val="7"/>
        </w:numPr>
        <w:overflowPunct w:val="0"/>
        <w:autoSpaceDE w:val="0"/>
        <w:autoSpaceDN w:val="0"/>
        <w:adjustRightInd w:val="0"/>
        <w:ind w:hanging="720"/>
        <w:jc w:val="both"/>
        <w:textAlignment w:val="baseline"/>
        <w:rPr>
          <w:rFonts w:cs="Arial"/>
          <w:szCs w:val="20"/>
          <w:u w:color="000000"/>
        </w:rPr>
      </w:pPr>
      <w:r w:rsidRPr="009E7480">
        <w:rPr>
          <w:rFonts w:cs="Arial"/>
          <w:szCs w:val="20"/>
          <w:u w:color="000000"/>
        </w:rPr>
        <w:t>dokazili o izvedbi dejavnosti v skladu s pogodbo ali naročilnico in</w:t>
      </w:r>
    </w:p>
    <w:p w:rsidR="009E7480" w:rsidRPr="009E7480" w:rsidRDefault="009E7480" w:rsidP="00CE5671">
      <w:pPr>
        <w:numPr>
          <w:ilvl w:val="0"/>
          <w:numId w:val="7"/>
        </w:numPr>
        <w:overflowPunct w:val="0"/>
        <w:autoSpaceDE w:val="0"/>
        <w:autoSpaceDN w:val="0"/>
        <w:adjustRightInd w:val="0"/>
        <w:ind w:hanging="720"/>
        <w:jc w:val="both"/>
        <w:textAlignment w:val="baseline"/>
        <w:rPr>
          <w:rFonts w:cs="Arial"/>
          <w:szCs w:val="20"/>
          <w:u w:color="000000"/>
        </w:rPr>
      </w:pPr>
      <w:r w:rsidRPr="009E7480">
        <w:rPr>
          <w:rFonts w:cs="Arial"/>
          <w:szCs w:val="20"/>
          <w:u w:color="000000"/>
        </w:rPr>
        <w:t>drugimi dokazili, določenimi v javnem naročilu.</w:t>
      </w:r>
    </w:p>
    <w:p w:rsidR="009E7480" w:rsidRPr="009E7480" w:rsidRDefault="009E7480" w:rsidP="009E7480">
      <w:pPr>
        <w:ind w:hanging="720"/>
        <w:rPr>
          <w:rFonts w:cs="Arial"/>
          <w:szCs w:val="20"/>
          <w:u w:color="000000"/>
        </w:rPr>
      </w:pPr>
    </w:p>
    <w:p w:rsidR="009E7480" w:rsidRPr="009E7480" w:rsidRDefault="009E7480" w:rsidP="009E7480">
      <w:pPr>
        <w:jc w:val="both"/>
        <w:rPr>
          <w:rFonts w:cs="Arial"/>
          <w:szCs w:val="20"/>
          <w:u w:color="000000"/>
        </w:rPr>
      </w:pPr>
      <w:r w:rsidRPr="009E7480">
        <w:rPr>
          <w:rFonts w:cs="Arial"/>
          <w:szCs w:val="20"/>
          <w:u w:color="000000"/>
        </w:rPr>
        <w:t>ARSKTRP izvede plačilo v skladu s tripartitno pogodbo na podlagi zahtevkov PMSNS po izvedenih aktivnostih, katerim se priložijo:</w:t>
      </w:r>
    </w:p>
    <w:p w:rsidR="009E7480" w:rsidRPr="009E7480" w:rsidRDefault="009E7480" w:rsidP="00CE5671">
      <w:pPr>
        <w:numPr>
          <w:ilvl w:val="0"/>
          <w:numId w:val="7"/>
        </w:numPr>
        <w:overflowPunct w:val="0"/>
        <w:autoSpaceDE w:val="0"/>
        <w:autoSpaceDN w:val="0"/>
        <w:adjustRightInd w:val="0"/>
        <w:ind w:hanging="720"/>
        <w:jc w:val="both"/>
        <w:textAlignment w:val="baseline"/>
        <w:rPr>
          <w:rFonts w:cs="Arial"/>
          <w:szCs w:val="20"/>
          <w:u w:color="000000"/>
        </w:rPr>
      </w:pPr>
      <w:r w:rsidRPr="009E7480">
        <w:rPr>
          <w:rFonts w:cs="Arial"/>
          <w:szCs w:val="20"/>
          <w:u w:color="000000"/>
        </w:rPr>
        <w:t>poročila z vsemi potrebnimi računi in dokazili o plačilu ter dokazili o izvedbi aktivnosti in nalog iz tega programa, ki morajo biti v skladu z investicijskim programom in tripartitno pogodbo ter s predpisi s področja izvrševanja proračuna;</w:t>
      </w:r>
    </w:p>
    <w:p w:rsidR="009E7480" w:rsidRPr="009E7480" w:rsidRDefault="009E7480" w:rsidP="00CE5671">
      <w:pPr>
        <w:numPr>
          <w:ilvl w:val="0"/>
          <w:numId w:val="7"/>
        </w:numPr>
        <w:overflowPunct w:val="0"/>
        <w:autoSpaceDE w:val="0"/>
        <w:autoSpaceDN w:val="0"/>
        <w:adjustRightInd w:val="0"/>
        <w:ind w:hanging="720"/>
        <w:jc w:val="both"/>
        <w:textAlignment w:val="baseline"/>
        <w:rPr>
          <w:rFonts w:cs="Arial"/>
          <w:szCs w:val="20"/>
          <w:u w:color="000000"/>
        </w:rPr>
      </w:pPr>
      <w:r w:rsidRPr="009E7480">
        <w:rPr>
          <w:rFonts w:cs="Arial"/>
          <w:szCs w:val="20"/>
          <w:u w:color="000000"/>
        </w:rPr>
        <w:t xml:space="preserve">druga dokazila, določena v pogodbi. </w:t>
      </w:r>
    </w:p>
    <w:bookmarkEnd w:id="6"/>
    <w:p w:rsidR="009E7480" w:rsidRPr="009E7480" w:rsidRDefault="009E7480" w:rsidP="009E7480">
      <w:pPr>
        <w:rPr>
          <w:rFonts w:cs="Arial"/>
          <w:szCs w:val="20"/>
          <w:u w:color="000000"/>
        </w:rPr>
      </w:pPr>
    </w:p>
    <w:p w:rsidR="009E7480" w:rsidRPr="009E7480" w:rsidRDefault="009E7480" w:rsidP="009E7480">
      <w:pPr>
        <w:rPr>
          <w:rFonts w:cs="Arial"/>
          <w:b/>
          <w:bCs/>
          <w:szCs w:val="20"/>
          <w:u w:val="single" w:color="000000"/>
        </w:rPr>
      </w:pPr>
      <w:r w:rsidRPr="009E7480">
        <w:rPr>
          <w:rFonts w:cs="Arial"/>
          <w:b/>
          <w:bCs/>
          <w:szCs w:val="20"/>
          <w:u w:val="single" w:color="000000"/>
        </w:rPr>
        <w:t>Sheme državnih pomoči:</w:t>
      </w:r>
    </w:p>
    <w:p w:rsidR="009E7480" w:rsidRPr="009E7480" w:rsidRDefault="009E7480" w:rsidP="009E7480">
      <w:pPr>
        <w:jc w:val="both"/>
        <w:rPr>
          <w:rFonts w:cs="Arial"/>
          <w:szCs w:val="20"/>
          <w:u w:color="000000"/>
        </w:rPr>
      </w:pPr>
      <w:r w:rsidRPr="009E7480">
        <w:rPr>
          <w:rFonts w:cs="Arial"/>
          <w:szCs w:val="20"/>
          <w:u w:color="000000"/>
        </w:rPr>
        <w:t xml:space="preserve">Sredstva v okviru podukrepa 4.1 niso namenjena ustvarjanju konkurence na trgu blaga in storitev in ne pomenijo državne pomoči v smislu zakona, ki ureja spremljanje državnih pomoči in prvega odstavka </w:t>
      </w:r>
      <w:proofErr w:type="spellStart"/>
      <w:r w:rsidRPr="009E7480">
        <w:rPr>
          <w:rFonts w:cs="Arial"/>
          <w:szCs w:val="20"/>
          <w:u w:color="000000"/>
        </w:rPr>
        <w:t>107.člena</w:t>
      </w:r>
      <w:proofErr w:type="spellEnd"/>
      <w:r w:rsidRPr="009E7480">
        <w:rPr>
          <w:rFonts w:cs="Arial"/>
          <w:szCs w:val="20"/>
          <w:u w:color="000000"/>
        </w:rPr>
        <w:t xml:space="preserve"> Pogodbe o delovanju Evropske unije.</w:t>
      </w:r>
      <w:r w:rsidRPr="009E7480" w:rsidDel="000168D7">
        <w:rPr>
          <w:rFonts w:cs="Arial"/>
          <w:szCs w:val="20"/>
          <w:u w:color="000000"/>
        </w:rPr>
        <w:t xml:space="preserve"> </w:t>
      </w:r>
      <w:r w:rsidRPr="009E7480">
        <w:rPr>
          <w:rFonts w:cs="Arial"/>
          <w:szCs w:val="20"/>
          <w:u w:color="000000"/>
        </w:rPr>
        <w:t xml:space="preserve">Pri tem ukrepu gre za vzpostavitev pogojev za delovanje »vzorčne kmetije«, ki bo delovala v celoti nepridobitno in z namenom spodbujanja razvoja kmetijstva na tem programskem območju. </w:t>
      </w:r>
      <w:bookmarkStart w:id="8" w:name="_Hlk92445607"/>
      <w:bookmarkStart w:id="9" w:name="_Hlk92445473"/>
      <w:r w:rsidRPr="009E7480">
        <w:rPr>
          <w:rFonts w:cs="Arial"/>
          <w:szCs w:val="20"/>
          <w:u w:color="000000"/>
        </w:rPr>
        <w:t>»Vzorčna kmetija« bo v lasti PMSNS, ki so tudi koristniki teh finančnih sredstev</w:t>
      </w:r>
      <w:bookmarkEnd w:id="8"/>
      <w:r w:rsidRPr="009E7480">
        <w:rPr>
          <w:rFonts w:cs="Arial"/>
          <w:szCs w:val="20"/>
          <w:u w:color="000000"/>
        </w:rPr>
        <w:t xml:space="preserve"> </w:t>
      </w:r>
      <w:bookmarkStart w:id="10" w:name="_Hlk92098994"/>
      <w:r w:rsidRPr="009E7480">
        <w:rPr>
          <w:rFonts w:cs="Arial"/>
          <w:szCs w:val="20"/>
          <w:u w:color="000000"/>
        </w:rPr>
        <w:t xml:space="preserve">in jo še najmanj 10 let po izteku tripartitne pogodbe ne sme odtujiti, </w:t>
      </w:r>
      <w:r w:rsidRPr="009E7480">
        <w:rPr>
          <w:rFonts w:eastAsia="Calibri" w:cs="Arial"/>
          <w:szCs w:val="20"/>
          <w:lang w:eastAsia="sl-SI"/>
        </w:rPr>
        <w:t>kar se zavede v Zemljiški knjigi na stroške PMSNS.</w:t>
      </w:r>
      <w:bookmarkEnd w:id="9"/>
      <w:bookmarkEnd w:id="10"/>
      <w:r w:rsidR="00897E3C">
        <w:rPr>
          <w:rFonts w:eastAsia="Calibri" w:cs="Arial"/>
          <w:color w:val="000000"/>
          <w:szCs w:val="20"/>
          <w:lang w:eastAsia="sl-SI"/>
        </w:rPr>
        <w:t xml:space="preserve"> </w:t>
      </w:r>
      <w:r w:rsidRPr="009E7480">
        <w:rPr>
          <w:rFonts w:cs="Arial"/>
          <w:szCs w:val="20"/>
          <w:u w:color="000000"/>
        </w:rPr>
        <w:t>Dejavnosti, ki jih bo opravljala »vzorčna kmetija«, bodo dostopne vsem in bodo brezplačne z namenom spodbujanja kmetijstva na programskem območju. Vzorčna kmetija bo odprta vsem obiskovalcem in ne bo opravljala gospodarske dejavnosti.</w:t>
      </w:r>
    </w:p>
    <w:p w:rsidR="009E7480" w:rsidRPr="009E7480" w:rsidRDefault="009E7480" w:rsidP="009E7480">
      <w:pPr>
        <w:jc w:val="both"/>
        <w:rPr>
          <w:rFonts w:cs="Arial"/>
          <w:szCs w:val="20"/>
          <w:u w:color="000000"/>
        </w:rPr>
      </w:pPr>
    </w:p>
    <w:p w:rsidR="009E7480" w:rsidRPr="009E7480" w:rsidRDefault="009E7480" w:rsidP="009E7480">
      <w:pPr>
        <w:jc w:val="both"/>
        <w:rPr>
          <w:rFonts w:cs="Arial"/>
          <w:szCs w:val="20"/>
          <w:u w:color="000000"/>
        </w:rPr>
      </w:pPr>
      <w:r w:rsidRPr="009E7480">
        <w:rPr>
          <w:rFonts w:cs="Arial"/>
          <w:szCs w:val="20"/>
          <w:u w:color="000000"/>
        </w:rPr>
        <w:t>Če bi se na »vzorčni kmetiji« opravljale tržne dejavnosti proti plačilu bo treba voditi ločeno računovodstvo in bo treba za tiste investicije tudi priglasiti ustrezno shemo državnih pomoči v okviru novega ukrepa.</w:t>
      </w:r>
    </w:p>
    <w:p w:rsidR="009E7480" w:rsidRPr="009E7480" w:rsidRDefault="009E7480" w:rsidP="009E7480">
      <w:pPr>
        <w:rPr>
          <w:rFonts w:cs="Arial"/>
          <w:szCs w:val="20"/>
          <w:u w:color="000000"/>
        </w:rPr>
      </w:pPr>
    </w:p>
    <w:p w:rsidR="009E7480" w:rsidRPr="009E7480" w:rsidRDefault="009E7480" w:rsidP="009E7480">
      <w:pPr>
        <w:rPr>
          <w:rFonts w:cs="Arial"/>
          <w:szCs w:val="20"/>
          <w:u w:color="000000"/>
        </w:rPr>
      </w:pPr>
      <w:bookmarkStart w:id="11" w:name="_Hlk83364280"/>
      <w:r w:rsidRPr="009E7480">
        <w:rPr>
          <w:rFonts w:cs="Arial"/>
          <w:b/>
          <w:bCs/>
          <w:szCs w:val="20"/>
          <w:u w:color="000000"/>
        </w:rPr>
        <w:t>Pomoč po podukrepu 4.1:</w:t>
      </w:r>
      <w:r w:rsidRPr="009E7480">
        <w:rPr>
          <w:rFonts w:cs="Arial"/>
          <w:szCs w:val="20"/>
          <w:u w:color="000000"/>
        </w:rPr>
        <w:t xml:space="preserve"> </w:t>
      </w:r>
    </w:p>
    <w:p w:rsidR="009E7480" w:rsidRPr="009E7480" w:rsidRDefault="009E7480" w:rsidP="009E7480">
      <w:pPr>
        <w:numPr>
          <w:ilvl w:val="0"/>
          <w:numId w:val="7"/>
        </w:numPr>
        <w:overflowPunct w:val="0"/>
        <w:autoSpaceDE w:val="0"/>
        <w:autoSpaceDN w:val="0"/>
        <w:adjustRightInd w:val="0"/>
        <w:jc w:val="both"/>
        <w:textAlignment w:val="baseline"/>
        <w:rPr>
          <w:rFonts w:cs="Arial"/>
          <w:szCs w:val="20"/>
          <w:u w:color="000000"/>
        </w:rPr>
      </w:pPr>
      <w:r w:rsidRPr="009E7480">
        <w:rPr>
          <w:rFonts w:cs="Arial"/>
          <w:szCs w:val="20"/>
          <w:u w:color="000000"/>
        </w:rPr>
        <w:t>se ne dodeli za davek na dodano vrednost, razen kadar po predpisih, ki urejajo davek na dodano vrednost, le-ta ni izterljiv.</w:t>
      </w:r>
    </w:p>
    <w:p w:rsidR="009E7480" w:rsidRPr="009E7480" w:rsidRDefault="009E7480" w:rsidP="009E7480">
      <w:pPr>
        <w:jc w:val="both"/>
        <w:rPr>
          <w:rFonts w:cs="Arial"/>
          <w:szCs w:val="20"/>
          <w:u w:color="000000"/>
        </w:rPr>
      </w:pPr>
    </w:p>
    <w:p w:rsidR="009E7480" w:rsidRPr="009E7480" w:rsidRDefault="009E7480" w:rsidP="009E7480">
      <w:pPr>
        <w:keepNext/>
        <w:ind w:left="1410" w:hanging="1410"/>
        <w:jc w:val="both"/>
        <w:outlineLvl w:val="2"/>
        <w:rPr>
          <w:rFonts w:cs="Arial"/>
          <w:b/>
          <w:bCs/>
          <w:szCs w:val="20"/>
          <w:u w:color="000000"/>
          <w:lang w:val="x-none"/>
        </w:rPr>
      </w:pPr>
      <w:bookmarkStart w:id="12" w:name="_Toc94093401"/>
      <w:bookmarkEnd w:id="11"/>
      <w:r w:rsidRPr="009E7480">
        <w:rPr>
          <w:rFonts w:cs="Arial"/>
          <w:b/>
          <w:bCs/>
          <w:szCs w:val="20"/>
          <w:u w:color="000000"/>
          <w:lang w:val="x-none"/>
        </w:rPr>
        <w:t xml:space="preserve">Podukrep 4.2: </w:t>
      </w:r>
      <w:r w:rsidRPr="009E7480">
        <w:rPr>
          <w:rFonts w:cs="Arial"/>
          <w:b/>
          <w:bCs/>
          <w:szCs w:val="20"/>
          <w:u w:color="000000"/>
          <w:lang w:val="x-none"/>
        </w:rPr>
        <w:tab/>
        <w:t>Spodbujanje razvoja kmetijstva in kmetijskih proizvodov iz programskega območja</w:t>
      </w:r>
      <w:bookmarkEnd w:id="12"/>
    </w:p>
    <w:p w:rsidR="009E7480" w:rsidRPr="009E7480" w:rsidRDefault="009E7480" w:rsidP="009E7480">
      <w:pPr>
        <w:rPr>
          <w:rFonts w:cs="Arial"/>
          <w:szCs w:val="20"/>
          <w:u w:color="000000"/>
        </w:rPr>
      </w:pPr>
    </w:p>
    <w:p w:rsidR="009E7480" w:rsidRPr="009E7480" w:rsidRDefault="009E7480" w:rsidP="009E7480">
      <w:pPr>
        <w:rPr>
          <w:rFonts w:cs="Arial"/>
          <w:b/>
          <w:bCs/>
          <w:szCs w:val="20"/>
          <w:u w:val="single" w:color="000000"/>
        </w:rPr>
      </w:pPr>
      <w:r w:rsidRPr="009E7480">
        <w:rPr>
          <w:rFonts w:cs="Arial"/>
          <w:b/>
          <w:bCs/>
          <w:szCs w:val="20"/>
          <w:u w:val="single" w:color="000000"/>
        </w:rPr>
        <w:t>Namen in cilji podukrepa 4.2</w:t>
      </w:r>
    </w:p>
    <w:p w:rsidR="009E7480" w:rsidRPr="009E7480" w:rsidRDefault="009E7480" w:rsidP="009E7480">
      <w:pPr>
        <w:jc w:val="both"/>
        <w:rPr>
          <w:rFonts w:cs="Arial"/>
          <w:szCs w:val="20"/>
          <w:u w:color="000000"/>
        </w:rPr>
      </w:pPr>
      <w:r w:rsidRPr="009E7480">
        <w:rPr>
          <w:rFonts w:cs="Arial"/>
          <w:szCs w:val="20"/>
          <w:u w:color="000000"/>
        </w:rPr>
        <w:t xml:space="preserve">Podukrep 4.2 ima za namen spodbujanje razvoja odpornega in konkurenčnega kmetijstva na programskem območju s spodbujanjem organiziranja tržnic, sejmov, degustacij, dogodkov oziroma razstav z namenom ozaveščanja o kmetijskih proizvodih, kakovostni prehrani, načinih pridelave in predelave, prenosu dobrih praks na področju krožnega gospodarjenja v kmetijstvu, shemah kakovosti, zmanjšanju izgub in količin odpadne hrane ter pomenu kmetijstva za razvoj podeželja in kakovostnega načina prehranjevanja na programskem območju. Namen podukrepa </w:t>
      </w:r>
      <w:r w:rsidRPr="009E7480">
        <w:rPr>
          <w:rFonts w:cs="Arial"/>
          <w:szCs w:val="20"/>
          <w:u w:color="000000"/>
        </w:rPr>
        <w:lastRenderedPageBreak/>
        <w:t xml:space="preserve">4.2 je tudi vzpostaviti enotno spletno platformo s celostno grafično podobo za generično informiranje o kmetijskih proizvodih z območja na katerem živi madžarska narodna skupnost in informiranju o primerih dobrih praks, ki jih izvaja »vzorčna kmetija«. Namen podukrepa 4.2 je tudi podjetjem, dejavnim v kmetijskem sektorju, in mladim kmetom pomagati pri uporabi storitev svetovanja za izboljšanje gospodarske in okoljske učinkovitosti ter zmanjšanje negativnega vpliva njihovega podjetja ali naložbe na podnebje in povečanje odpornosti teh podjetij ali naložb na podnebne spremembe. </w:t>
      </w:r>
    </w:p>
    <w:p w:rsidR="009E7480" w:rsidRPr="009E7480" w:rsidRDefault="009E7480" w:rsidP="009E7480">
      <w:pPr>
        <w:jc w:val="both"/>
        <w:rPr>
          <w:rFonts w:cs="Arial"/>
          <w:szCs w:val="20"/>
          <w:u w:color="000000"/>
        </w:rPr>
      </w:pPr>
    </w:p>
    <w:p w:rsidR="009E7480" w:rsidRPr="009E7480" w:rsidRDefault="009E7480" w:rsidP="009E7480">
      <w:pPr>
        <w:jc w:val="both"/>
        <w:rPr>
          <w:rFonts w:cs="Arial"/>
          <w:szCs w:val="20"/>
          <w:u w:color="000000"/>
        </w:rPr>
      </w:pPr>
      <w:r w:rsidRPr="009E7480">
        <w:rPr>
          <w:rFonts w:cs="Arial"/>
          <w:szCs w:val="20"/>
          <w:u w:val="single" w:color="000000"/>
        </w:rPr>
        <w:t>Osnovni cilj podukrepa 4.2</w:t>
      </w:r>
      <w:r w:rsidRPr="009E7480">
        <w:rPr>
          <w:rFonts w:cs="Arial"/>
          <w:szCs w:val="20"/>
          <w:u w:color="000000"/>
        </w:rPr>
        <w:t xml:space="preserve"> je z aktivnostmi spodbujanja razvoja kmetijstva ozavestiti kmetijske proizvajalce ter širšo javnost o pomenu kmetijske proizvodnje za razvoj podeželja in območja, na katerem živi madžarska narodna skupnost in o razvojnih možnostih in priložnostih v kmetijstvu na programskem območju, na katerem živi madžarska narodna skupnost.</w:t>
      </w:r>
    </w:p>
    <w:p w:rsidR="009E7480" w:rsidRPr="009E7480" w:rsidRDefault="009E7480" w:rsidP="009E7480">
      <w:pPr>
        <w:jc w:val="both"/>
        <w:rPr>
          <w:rFonts w:cs="Arial"/>
          <w:szCs w:val="20"/>
          <w:u w:color="000000"/>
        </w:rPr>
      </w:pPr>
    </w:p>
    <w:p w:rsidR="009E7480" w:rsidRPr="009E7480" w:rsidRDefault="009E7480" w:rsidP="009E7480">
      <w:pPr>
        <w:jc w:val="both"/>
        <w:rPr>
          <w:rFonts w:cs="Arial"/>
          <w:szCs w:val="20"/>
          <w:u w:val="single" w:color="000000"/>
        </w:rPr>
      </w:pPr>
      <w:r w:rsidRPr="009E7480">
        <w:rPr>
          <w:rFonts w:cs="Arial"/>
          <w:szCs w:val="20"/>
          <w:u w:val="single" w:color="000000"/>
        </w:rPr>
        <w:t>Nadaljnji cilji so še:</w:t>
      </w:r>
    </w:p>
    <w:p w:rsidR="009E7480" w:rsidRPr="009E7480" w:rsidRDefault="009E7480" w:rsidP="00CE5671">
      <w:pPr>
        <w:numPr>
          <w:ilvl w:val="0"/>
          <w:numId w:val="7"/>
        </w:numPr>
        <w:overflowPunct w:val="0"/>
        <w:autoSpaceDE w:val="0"/>
        <w:autoSpaceDN w:val="0"/>
        <w:adjustRightInd w:val="0"/>
        <w:ind w:hanging="720"/>
        <w:jc w:val="both"/>
        <w:textAlignment w:val="baseline"/>
        <w:rPr>
          <w:rFonts w:cs="Arial"/>
          <w:szCs w:val="20"/>
          <w:u w:color="000000"/>
        </w:rPr>
      </w:pPr>
      <w:r w:rsidRPr="009E7480">
        <w:rPr>
          <w:rFonts w:cs="Arial"/>
          <w:szCs w:val="20"/>
          <w:u w:color="000000"/>
        </w:rPr>
        <w:t>informiranje in spodbujanje kmetijskih proizvajalcev za sodelovanje in uvajanje dobrih praks s področja kmetijstva;</w:t>
      </w:r>
    </w:p>
    <w:p w:rsidR="009E7480" w:rsidRPr="009E7480" w:rsidRDefault="009E7480" w:rsidP="00CE5671">
      <w:pPr>
        <w:numPr>
          <w:ilvl w:val="0"/>
          <w:numId w:val="7"/>
        </w:numPr>
        <w:overflowPunct w:val="0"/>
        <w:autoSpaceDE w:val="0"/>
        <w:autoSpaceDN w:val="0"/>
        <w:adjustRightInd w:val="0"/>
        <w:ind w:hanging="720"/>
        <w:jc w:val="both"/>
        <w:textAlignment w:val="baseline"/>
        <w:rPr>
          <w:rFonts w:cs="Arial"/>
          <w:szCs w:val="20"/>
          <w:u w:color="000000"/>
        </w:rPr>
      </w:pPr>
      <w:r w:rsidRPr="009E7480">
        <w:rPr>
          <w:rFonts w:cs="Arial"/>
          <w:szCs w:val="20"/>
          <w:u w:color="000000"/>
        </w:rPr>
        <w:t>spodbujanje kmetijskih proizvajalcev k aktivni udeležbi na organiziranih dogodkih;</w:t>
      </w:r>
    </w:p>
    <w:p w:rsidR="009E7480" w:rsidRPr="009E7480" w:rsidRDefault="009E7480" w:rsidP="00CE5671">
      <w:pPr>
        <w:numPr>
          <w:ilvl w:val="0"/>
          <w:numId w:val="7"/>
        </w:numPr>
        <w:overflowPunct w:val="0"/>
        <w:autoSpaceDE w:val="0"/>
        <w:autoSpaceDN w:val="0"/>
        <w:adjustRightInd w:val="0"/>
        <w:ind w:hanging="720"/>
        <w:jc w:val="both"/>
        <w:textAlignment w:val="baseline"/>
        <w:rPr>
          <w:rFonts w:cs="Arial"/>
          <w:szCs w:val="20"/>
          <w:u w:color="000000"/>
        </w:rPr>
      </w:pPr>
      <w:r w:rsidRPr="009E7480">
        <w:rPr>
          <w:rFonts w:cs="Arial"/>
          <w:szCs w:val="20"/>
          <w:u w:color="000000"/>
        </w:rPr>
        <w:t>spodbujanje kmetijskih proizvajalcev k aktivni predstavitvi na vzpostavljeni spletni platformi;</w:t>
      </w:r>
    </w:p>
    <w:p w:rsidR="009E7480" w:rsidRPr="009E7480" w:rsidRDefault="009E7480" w:rsidP="00CE5671">
      <w:pPr>
        <w:numPr>
          <w:ilvl w:val="0"/>
          <w:numId w:val="7"/>
        </w:numPr>
        <w:overflowPunct w:val="0"/>
        <w:autoSpaceDE w:val="0"/>
        <w:autoSpaceDN w:val="0"/>
        <w:adjustRightInd w:val="0"/>
        <w:ind w:hanging="720"/>
        <w:jc w:val="both"/>
        <w:textAlignment w:val="baseline"/>
        <w:rPr>
          <w:rFonts w:cs="Arial"/>
          <w:szCs w:val="20"/>
          <w:u w:color="000000"/>
        </w:rPr>
      </w:pPr>
      <w:r w:rsidRPr="009E7480">
        <w:rPr>
          <w:rFonts w:cs="Arial"/>
          <w:szCs w:val="20"/>
          <w:u w:color="000000"/>
        </w:rPr>
        <w:t>vključitev kmetijskih proizvajalcev v sheme kakovosti (ekološka shema, IK, ZOP, ZTP, ZGO);</w:t>
      </w:r>
    </w:p>
    <w:p w:rsidR="009E7480" w:rsidRPr="009E7480" w:rsidRDefault="009E7480" w:rsidP="00CE5671">
      <w:pPr>
        <w:numPr>
          <w:ilvl w:val="0"/>
          <w:numId w:val="7"/>
        </w:numPr>
        <w:overflowPunct w:val="0"/>
        <w:autoSpaceDE w:val="0"/>
        <w:autoSpaceDN w:val="0"/>
        <w:adjustRightInd w:val="0"/>
        <w:ind w:hanging="720"/>
        <w:jc w:val="both"/>
        <w:textAlignment w:val="baseline"/>
        <w:rPr>
          <w:rFonts w:cs="Arial"/>
          <w:szCs w:val="20"/>
          <w:u w:color="000000"/>
        </w:rPr>
      </w:pPr>
      <w:r w:rsidRPr="009E7480">
        <w:rPr>
          <w:rFonts w:cs="Arial"/>
          <w:szCs w:val="20"/>
          <w:u w:color="000000"/>
        </w:rPr>
        <w:t>usposobiti čim večje število kmetijskih proizvajalcev o možnostih povezovanja v skupine proizvajalcev ter načinih skupnega trženja;</w:t>
      </w:r>
    </w:p>
    <w:p w:rsidR="009E7480" w:rsidRPr="009E7480" w:rsidRDefault="009E7480" w:rsidP="00CE5671">
      <w:pPr>
        <w:numPr>
          <w:ilvl w:val="0"/>
          <w:numId w:val="7"/>
        </w:numPr>
        <w:overflowPunct w:val="0"/>
        <w:autoSpaceDE w:val="0"/>
        <w:autoSpaceDN w:val="0"/>
        <w:adjustRightInd w:val="0"/>
        <w:ind w:hanging="720"/>
        <w:jc w:val="both"/>
        <w:textAlignment w:val="baseline"/>
        <w:rPr>
          <w:rFonts w:cs="Arial"/>
          <w:szCs w:val="20"/>
          <w:u w:color="000000"/>
        </w:rPr>
      </w:pPr>
      <w:r w:rsidRPr="009E7480">
        <w:rPr>
          <w:rFonts w:cs="Arial"/>
          <w:szCs w:val="20"/>
          <w:u w:color="000000"/>
        </w:rPr>
        <w:t>informirati čim večje število kmetijskih proizvajalcev o načinih zagotavljanja stalne ponudbe glede na povpraševanje in trende na programskem območju;</w:t>
      </w:r>
    </w:p>
    <w:p w:rsidR="009E7480" w:rsidRPr="009E7480" w:rsidRDefault="009E7480" w:rsidP="00CE5671">
      <w:pPr>
        <w:numPr>
          <w:ilvl w:val="0"/>
          <w:numId w:val="7"/>
        </w:numPr>
        <w:overflowPunct w:val="0"/>
        <w:autoSpaceDE w:val="0"/>
        <w:autoSpaceDN w:val="0"/>
        <w:adjustRightInd w:val="0"/>
        <w:ind w:hanging="720"/>
        <w:jc w:val="both"/>
        <w:textAlignment w:val="baseline"/>
        <w:rPr>
          <w:rFonts w:cs="Arial"/>
          <w:szCs w:val="20"/>
          <w:u w:color="000000"/>
        </w:rPr>
      </w:pPr>
      <w:r w:rsidRPr="009E7480">
        <w:rPr>
          <w:rFonts w:cs="Arial"/>
          <w:szCs w:val="20"/>
          <w:u w:color="000000"/>
        </w:rPr>
        <w:t>informirati čim večje število kmetijskih proizvajalcev o načinih in pomenu shranjevanja, skladiščenja ter o drugih načinih uporabe kmetijskih proizvodov;</w:t>
      </w:r>
    </w:p>
    <w:p w:rsidR="009E7480" w:rsidRPr="009E7480" w:rsidRDefault="009E7480" w:rsidP="00CE5671">
      <w:pPr>
        <w:numPr>
          <w:ilvl w:val="0"/>
          <w:numId w:val="7"/>
        </w:numPr>
        <w:overflowPunct w:val="0"/>
        <w:autoSpaceDE w:val="0"/>
        <w:autoSpaceDN w:val="0"/>
        <w:adjustRightInd w:val="0"/>
        <w:ind w:hanging="720"/>
        <w:jc w:val="both"/>
        <w:textAlignment w:val="baseline"/>
        <w:rPr>
          <w:rFonts w:cs="Arial"/>
          <w:szCs w:val="20"/>
          <w:u w:color="000000"/>
        </w:rPr>
      </w:pPr>
      <w:r w:rsidRPr="009E7480">
        <w:rPr>
          <w:rFonts w:cs="Arial"/>
          <w:szCs w:val="20"/>
          <w:u w:color="000000"/>
        </w:rPr>
        <w:t>nuditi storitve svetovanja za izboljšanje gospodarske in okoljske učinkovitosti kmetijskim gospodarstvom in mladim kmetom na programskem območju, v povezavi z vsebinami, opredeljenimi v tretjem in četrtem odstavku 22. člena Uredbe 702/2014/EU.</w:t>
      </w:r>
    </w:p>
    <w:p w:rsidR="009E7480" w:rsidRPr="009E7480" w:rsidRDefault="009E7480" w:rsidP="009E7480">
      <w:pPr>
        <w:ind w:hanging="720"/>
        <w:jc w:val="both"/>
        <w:rPr>
          <w:rFonts w:cs="Arial"/>
          <w:szCs w:val="20"/>
          <w:u w:color="000000"/>
        </w:rPr>
      </w:pPr>
    </w:p>
    <w:p w:rsidR="009E7480" w:rsidRPr="009E7480" w:rsidRDefault="009E7480" w:rsidP="009E7480">
      <w:pPr>
        <w:jc w:val="both"/>
        <w:rPr>
          <w:rFonts w:cs="Arial"/>
          <w:b/>
          <w:bCs/>
          <w:szCs w:val="20"/>
          <w:u w:val="single" w:color="000000"/>
        </w:rPr>
      </w:pPr>
      <w:r w:rsidRPr="009E7480">
        <w:rPr>
          <w:rFonts w:cs="Arial"/>
          <w:b/>
          <w:bCs/>
          <w:szCs w:val="20"/>
          <w:u w:val="single" w:color="000000"/>
        </w:rPr>
        <w:t>Sheme pomoči</w:t>
      </w:r>
    </w:p>
    <w:p w:rsidR="009E7480" w:rsidRPr="009E7480" w:rsidRDefault="009E7480" w:rsidP="009E7480">
      <w:pPr>
        <w:autoSpaceDE w:val="0"/>
        <w:autoSpaceDN w:val="0"/>
        <w:adjustRightInd w:val="0"/>
        <w:jc w:val="both"/>
        <w:rPr>
          <w:rFonts w:cs="Arial"/>
          <w:szCs w:val="20"/>
          <w:u w:color="000000"/>
        </w:rPr>
      </w:pPr>
      <w:r w:rsidRPr="009E7480">
        <w:rPr>
          <w:rFonts w:cs="Arial"/>
          <w:szCs w:val="20"/>
          <w:u w:color="000000"/>
        </w:rPr>
        <w:t>Podukrep 4.2 se izvede v skladu z:</w:t>
      </w:r>
    </w:p>
    <w:p w:rsidR="009E7480" w:rsidRPr="009E7480" w:rsidRDefault="009E7480" w:rsidP="00CE5671">
      <w:pPr>
        <w:numPr>
          <w:ilvl w:val="0"/>
          <w:numId w:val="9"/>
        </w:numPr>
        <w:overflowPunct w:val="0"/>
        <w:autoSpaceDE w:val="0"/>
        <w:autoSpaceDN w:val="0"/>
        <w:adjustRightInd w:val="0"/>
        <w:ind w:hanging="780"/>
        <w:contextualSpacing/>
        <w:jc w:val="both"/>
        <w:textAlignment w:val="baseline"/>
        <w:rPr>
          <w:rFonts w:cs="Arial"/>
          <w:szCs w:val="20"/>
          <w:u w:color="000000"/>
        </w:rPr>
      </w:pPr>
      <w:r w:rsidRPr="009E7480">
        <w:rPr>
          <w:rFonts w:cs="Arial"/>
          <w:szCs w:val="20"/>
          <w:u w:color="000000"/>
        </w:rPr>
        <w:t>Uredbo 702/2014/EU in</w:t>
      </w:r>
    </w:p>
    <w:p w:rsidR="009E7480" w:rsidRPr="009E7480" w:rsidRDefault="009E7480" w:rsidP="00CE5671">
      <w:pPr>
        <w:numPr>
          <w:ilvl w:val="0"/>
          <w:numId w:val="9"/>
        </w:numPr>
        <w:overflowPunct w:val="0"/>
        <w:autoSpaceDE w:val="0"/>
        <w:autoSpaceDN w:val="0"/>
        <w:adjustRightInd w:val="0"/>
        <w:ind w:hanging="780"/>
        <w:contextualSpacing/>
        <w:jc w:val="both"/>
        <w:textAlignment w:val="baseline"/>
        <w:rPr>
          <w:rFonts w:cs="Arial"/>
          <w:szCs w:val="20"/>
          <w:u w:color="000000"/>
        </w:rPr>
      </w:pPr>
      <w:r w:rsidRPr="009E7480">
        <w:rPr>
          <w:rFonts w:cs="Arial"/>
          <w:szCs w:val="20"/>
          <w:u w:color="000000"/>
        </w:rPr>
        <w:t xml:space="preserve">Uredbo Komisije (EU) št. 1407/2013 z dne 18. decembra 2013 o uporabi členov 107 in 108 Pogodbe o delovanju Evropske unije pri pomoči de </w:t>
      </w:r>
      <w:proofErr w:type="spellStart"/>
      <w:r w:rsidRPr="009E7480">
        <w:rPr>
          <w:rFonts w:cs="Arial"/>
          <w:szCs w:val="20"/>
          <w:u w:color="000000"/>
        </w:rPr>
        <w:t>minimis</w:t>
      </w:r>
      <w:proofErr w:type="spellEnd"/>
      <w:r w:rsidRPr="009E7480">
        <w:rPr>
          <w:rFonts w:cs="Arial"/>
          <w:szCs w:val="20"/>
          <w:u w:color="000000"/>
        </w:rPr>
        <w:t xml:space="preserve"> (UL L št. 352 z dne </w:t>
      </w:r>
      <w:r w:rsidR="002B78C4">
        <w:rPr>
          <w:rFonts w:cs="Arial"/>
          <w:szCs w:val="20"/>
          <w:u w:color="000000"/>
        </w:rPr>
        <w:br/>
      </w:r>
      <w:r w:rsidRPr="009E7480">
        <w:rPr>
          <w:rFonts w:cs="Arial"/>
          <w:szCs w:val="20"/>
          <w:u w:color="000000"/>
        </w:rPr>
        <w:t xml:space="preserve">24. 12. 2013, str. 1), zadnjič spremenjeno z Uredbo Komisije (EU) 2020/972 z dne </w:t>
      </w:r>
      <w:r w:rsidR="002B78C4">
        <w:rPr>
          <w:rFonts w:cs="Arial"/>
          <w:szCs w:val="20"/>
          <w:u w:color="000000"/>
        </w:rPr>
        <w:br/>
      </w:r>
      <w:r w:rsidRPr="009E7480">
        <w:rPr>
          <w:rFonts w:cs="Arial"/>
          <w:szCs w:val="20"/>
          <w:u w:color="000000"/>
        </w:rPr>
        <w:t xml:space="preserve">2. julija 2020 o spremembi Uredbe (EU) št. 1407/2013 v zvezi s podaljšanjem njene veljavnosti in o spremembi Uredbe (EU) št. 651/2014 v zvezi s podaljšanjem njene veljavnosti in ustreznimi prilagoditvami (UL L št. 215 z dne 7. 7. 2020, str. 3), </w:t>
      </w:r>
      <w:r w:rsidR="002B78C4">
        <w:rPr>
          <w:rFonts w:cs="Arial"/>
          <w:szCs w:val="20"/>
          <w:u w:color="000000"/>
        </w:rPr>
        <w:br/>
      </w:r>
      <w:r w:rsidRPr="009E7480">
        <w:rPr>
          <w:rFonts w:cs="Arial"/>
          <w:szCs w:val="20"/>
          <w:u w:color="000000"/>
        </w:rPr>
        <w:t xml:space="preserve">(v nadaljnjem besedilu: </w:t>
      </w:r>
      <w:bookmarkStart w:id="13" w:name="_Hlk93670101"/>
      <w:r w:rsidRPr="009E7480">
        <w:rPr>
          <w:rFonts w:cs="Arial"/>
          <w:szCs w:val="20"/>
          <w:u w:color="000000"/>
        </w:rPr>
        <w:t>Uredba 1407/2013/EU</w:t>
      </w:r>
      <w:bookmarkEnd w:id="13"/>
      <w:r w:rsidRPr="009E7480">
        <w:rPr>
          <w:rFonts w:cs="Arial"/>
          <w:szCs w:val="20"/>
          <w:u w:color="000000"/>
        </w:rPr>
        <w:t xml:space="preserve">). </w:t>
      </w:r>
    </w:p>
    <w:p w:rsidR="009E7480" w:rsidRPr="009E7480" w:rsidRDefault="009E7480" w:rsidP="009E7480">
      <w:pPr>
        <w:autoSpaceDE w:val="0"/>
        <w:autoSpaceDN w:val="0"/>
        <w:adjustRightInd w:val="0"/>
        <w:jc w:val="both"/>
        <w:rPr>
          <w:rFonts w:cs="Arial"/>
          <w:szCs w:val="20"/>
          <w:u w:color="000000"/>
        </w:rPr>
      </w:pPr>
    </w:p>
    <w:p w:rsidR="009E7480" w:rsidRPr="009E7480" w:rsidRDefault="009E7480" w:rsidP="009E7480">
      <w:pPr>
        <w:numPr>
          <w:ilvl w:val="0"/>
          <w:numId w:val="10"/>
        </w:numPr>
        <w:overflowPunct w:val="0"/>
        <w:autoSpaceDE w:val="0"/>
        <w:autoSpaceDN w:val="0"/>
        <w:adjustRightInd w:val="0"/>
        <w:contextualSpacing/>
        <w:jc w:val="both"/>
        <w:textAlignment w:val="baseline"/>
        <w:rPr>
          <w:rFonts w:cs="Arial"/>
          <w:b/>
          <w:bCs/>
          <w:szCs w:val="20"/>
          <w:u w:val="single" w:color="000000"/>
        </w:rPr>
      </w:pPr>
      <w:r w:rsidRPr="009E7480">
        <w:rPr>
          <w:rFonts w:cs="Arial"/>
          <w:b/>
          <w:bCs/>
          <w:szCs w:val="20"/>
          <w:u w:val="single" w:color="000000"/>
        </w:rPr>
        <w:t xml:space="preserve">Shema državnih pomoči v skladu z </w:t>
      </w:r>
      <w:r w:rsidRPr="009E7480">
        <w:rPr>
          <w:rFonts w:cs="Arial"/>
          <w:b/>
          <w:szCs w:val="20"/>
          <w:u w:val="single" w:color="000000"/>
        </w:rPr>
        <w:t>Uredbo 702/2014/EU</w:t>
      </w:r>
      <w:r w:rsidRPr="009E7480">
        <w:rPr>
          <w:rFonts w:cs="Arial"/>
          <w:b/>
          <w:szCs w:val="20"/>
          <w:u w:color="000000"/>
        </w:rPr>
        <w:t xml:space="preserve"> </w:t>
      </w:r>
    </w:p>
    <w:p w:rsidR="009E7480" w:rsidRPr="009E7480" w:rsidRDefault="009E7480" w:rsidP="009E7480">
      <w:pPr>
        <w:autoSpaceDE w:val="0"/>
        <w:autoSpaceDN w:val="0"/>
        <w:adjustRightInd w:val="0"/>
        <w:jc w:val="both"/>
        <w:rPr>
          <w:rFonts w:cs="Arial"/>
          <w:b/>
          <w:bCs/>
          <w:szCs w:val="20"/>
          <w:u w:val="single" w:color="000000"/>
        </w:rPr>
      </w:pPr>
    </w:p>
    <w:p w:rsidR="009E7480" w:rsidRPr="009E7480" w:rsidRDefault="009E7480" w:rsidP="009E7480">
      <w:pPr>
        <w:autoSpaceDE w:val="0"/>
        <w:autoSpaceDN w:val="0"/>
        <w:adjustRightInd w:val="0"/>
        <w:jc w:val="both"/>
        <w:rPr>
          <w:rFonts w:cs="Arial"/>
          <w:b/>
          <w:bCs/>
          <w:szCs w:val="20"/>
          <w:u w:val="single" w:color="000000"/>
        </w:rPr>
      </w:pPr>
      <w:r w:rsidRPr="009E7480">
        <w:rPr>
          <w:rFonts w:cs="Arial"/>
          <w:b/>
          <w:bCs/>
          <w:szCs w:val="20"/>
          <w:u w:val="single" w:color="000000"/>
        </w:rPr>
        <w:t>Izvzeta področja uporabe podukrepa 4.2:</w:t>
      </w:r>
    </w:p>
    <w:p w:rsidR="009E7480" w:rsidRPr="009E7480" w:rsidRDefault="009E7480" w:rsidP="00CE5671">
      <w:pPr>
        <w:numPr>
          <w:ilvl w:val="0"/>
          <w:numId w:val="7"/>
        </w:numPr>
        <w:overflowPunct w:val="0"/>
        <w:autoSpaceDE w:val="0"/>
        <w:autoSpaceDN w:val="0"/>
        <w:adjustRightInd w:val="0"/>
        <w:ind w:hanging="720"/>
        <w:jc w:val="both"/>
        <w:textAlignment w:val="baseline"/>
        <w:rPr>
          <w:rFonts w:cs="Arial"/>
          <w:szCs w:val="20"/>
          <w:u w:color="000000"/>
        </w:rPr>
      </w:pPr>
      <w:r w:rsidRPr="009E7480">
        <w:rPr>
          <w:rFonts w:cs="Arial"/>
          <w:szCs w:val="20"/>
          <w:u w:color="000000"/>
        </w:rPr>
        <w:t>naslovniki neporavnanega naloga za izterjavo na podlagi predhodnega sklepa Evropske komisije, s katerim je bila pomoč razglašena za nezakonito in nezdružljivo z notranjim trgom;</w:t>
      </w:r>
    </w:p>
    <w:p w:rsidR="009E7480" w:rsidRPr="009E7480" w:rsidRDefault="009E7480" w:rsidP="00CE5671">
      <w:pPr>
        <w:numPr>
          <w:ilvl w:val="0"/>
          <w:numId w:val="7"/>
        </w:numPr>
        <w:overflowPunct w:val="0"/>
        <w:autoSpaceDE w:val="0"/>
        <w:autoSpaceDN w:val="0"/>
        <w:adjustRightInd w:val="0"/>
        <w:ind w:hanging="720"/>
        <w:jc w:val="both"/>
        <w:textAlignment w:val="baseline"/>
        <w:rPr>
          <w:rFonts w:cs="Arial"/>
          <w:szCs w:val="20"/>
          <w:u w:color="000000"/>
        </w:rPr>
      </w:pPr>
      <w:r w:rsidRPr="009E7480">
        <w:rPr>
          <w:rFonts w:cs="Arial"/>
          <w:szCs w:val="20"/>
          <w:u w:color="000000"/>
        </w:rPr>
        <w:t>podjetja v težavah, kot so opredeljena v štirinajstem odstavku 2. člena Uredbe 702/2014/EU.</w:t>
      </w:r>
    </w:p>
    <w:p w:rsidR="009E7480" w:rsidRPr="009E7480" w:rsidRDefault="009E7480" w:rsidP="009E7480">
      <w:pPr>
        <w:jc w:val="both"/>
        <w:rPr>
          <w:rFonts w:cs="Arial"/>
          <w:szCs w:val="20"/>
          <w:u w:color="000000"/>
        </w:rPr>
      </w:pPr>
    </w:p>
    <w:p w:rsidR="009E7480" w:rsidRPr="009E7480" w:rsidRDefault="009E7480" w:rsidP="009E7480">
      <w:pPr>
        <w:jc w:val="both"/>
        <w:rPr>
          <w:rFonts w:cs="Arial"/>
          <w:szCs w:val="20"/>
          <w:u w:color="000000"/>
        </w:rPr>
      </w:pPr>
      <w:r w:rsidRPr="009E7480">
        <w:rPr>
          <w:rFonts w:cs="Arial"/>
          <w:szCs w:val="20"/>
          <w:u w:color="000000"/>
        </w:rPr>
        <w:lastRenderedPageBreak/>
        <w:t>Ne glede na drugo alinejo prejšnjega odstavka so lahko upravičena do pomoči v okviru tega podukrepa tudi podjetja v težavah, ki izpolnjujejo pogoje iz točke (c) šestega odstavka 1. člena Uredbe 702/2014/EU.</w:t>
      </w:r>
    </w:p>
    <w:p w:rsidR="009E7480" w:rsidRPr="009E7480" w:rsidRDefault="009E7480" w:rsidP="009E7480">
      <w:pPr>
        <w:jc w:val="both"/>
        <w:rPr>
          <w:rFonts w:cs="Arial"/>
          <w:szCs w:val="20"/>
          <w:u w:color="000000"/>
        </w:rPr>
      </w:pPr>
    </w:p>
    <w:p w:rsidR="009E7480" w:rsidRPr="009E7480" w:rsidRDefault="009E7480" w:rsidP="009E7480">
      <w:pPr>
        <w:jc w:val="both"/>
        <w:rPr>
          <w:rFonts w:cs="Arial"/>
          <w:b/>
          <w:bCs/>
          <w:szCs w:val="20"/>
          <w:u w:val="single" w:color="000000"/>
        </w:rPr>
      </w:pPr>
      <w:r w:rsidRPr="009E7480">
        <w:rPr>
          <w:rFonts w:cs="Arial"/>
          <w:b/>
          <w:bCs/>
          <w:szCs w:val="20"/>
          <w:u w:val="single" w:color="000000"/>
        </w:rPr>
        <w:t xml:space="preserve">Pomoč iz podukrepa 4.2: </w:t>
      </w:r>
    </w:p>
    <w:p w:rsidR="009E7480" w:rsidRPr="009E7480" w:rsidRDefault="009E7480" w:rsidP="008E6396">
      <w:pPr>
        <w:numPr>
          <w:ilvl w:val="0"/>
          <w:numId w:val="7"/>
        </w:numPr>
        <w:overflowPunct w:val="0"/>
        <w:autoSpaceDE w:val="0"/>
        <w:autoSpaceDN w:val="0"/>
        <w:adjustRightInd w:val="0"/>
        <w:ind w:hanging="720"/>
        <w:jc w:val="both"/>
        <w:textAlignment w:val="baseline"/>
        <w:rPr>
          <w:rFonts w:cs="Arial"/>
          <w:szCs w:val="20"/>
          <w:u w:color="000000"/>
        </w:rPr>
      </w:pPr>
      <w:r w:rsidRPr="009E7480">
        <w:rPr>
          <w:rFonts w:cs="Arial"/>
          <w:szCs w:val="20"/>
          <w:u w:color="000000"/>
        </w:rPr>
        <w:t xml:space="preserve">se ne uporablja za pomoč za dejavnosti, povezane z izvozom v tretje države ali države članice Evropske unije, in sicer če je pomoč neposredno povezana z izvoženimi količinami, vzpostavitvijo in delovanjem distribucijske mreže ali drugimi tekočimi stroški, povezanimi z izvozno dejavnostjo; </w:t>
      </w:r>
    </w:p>
    <w:p w:rsidR="009E7480" w:rsidRPr="009E7480" w:rsidRDefault="009E7480" w:rsidP="008E6396">
      <w:pPr>
        <w:numPr>
          <w:ilvl w:val="0"/>
          <w:numId w:val="7"/>
        </w:numPr>
        <w:overflowPunct w:val="0"/>
        <w:autoSpaceDE w:val="0"/>
        <w:autoSpaceDN w:val="0"/>
        <w:adjustRightInd w:val="0"/>
        <w:ind w:hanging="720"/>
        <w:jc w:val="both"/>
        <w:textAlignment w:val="baseline"/>
        <w:rPr>
          <w:rFonts w:cs="Arial"/>
          <w:szCs w:val="20"/>
          <w:u w:color="000000"/>
        </w:rPr>
      </w:pPr>
      <w:r w:rsidRPr="009E7480">
        <w:rPr>
          <w:rFonts w:cs="Arial"/>
          <w:szCs w:val="20"/>
          <w:u w:color="000000"/>
        </w:rPr>
        <w:t>pomoč, ki je odvisna od prednostne uporabe domačega blaga pred uporabo uvoženega blaga;</w:t>
      </w:r>
    </w:p>
    <w:p w:rsidR="009E7480" w:rsidRPr="009E7480" w:rsidRDefault="009E7480" w:rsidP="008E6396">
      <w:pPr>
        <w:numPr>
          <w:ilvl w:val="0"/>
          <w:numId w:val="7"/>
        </w:numPr>
        <w:overflowPunct w:val="0"/>
        <w:autoSpaceDE w:val="0"/>
        <w:autoSpaceDN w:val="0"/>
        <w:adjustRightInd w:val="0"/>
        <w:ind w:hanging="720"/>
        <w:jc w:val="both"/>
        <w:textAlignment w:val="baseline"/>
        <w:rPr>
          <w:rFonts w:cs="Arial"/>
          <w:szCs w:val="20"/>
          <w:u w:color="000000"/>
        </w:rPr>
      </w:pPr>
      <w:r w:rsidRPr="009E7480">
        <w:rPr>
          <w:rFonts w:cs="Arial"/>
          <w:szCs w:val="20"/>
          <w:u w:color="000000"/>
        </w:rPr>
        <w:t>se ne dodeli za davek na dodano vrednost, razen kadar po predpisih, ki urejajo davek na dodano vrednost, le-ta ni izterljiv.</w:t>
      </w:r>
    </w:p>
    <w:p w:rsidR="009E7480" w:rsidRPr="009E7480" w:rsidRDefault="009E7480" w:rsidP="009E7480">
      <w:pPr>
        <w:jc w:val="both"/>
        <w:rPr>
          <w:rFonts w:cs="Arial"/>
          <w:szCs w:val="20"/>
          <w:u w:color="000000"/>
        </w:rPr>
      </w:pPr>
    </w:p>
    <w:p w:rsidR="009E7480" w:rsidRPr="009E7480" w:rsidRDefault="009E7480" w:rsidP="009E7480">
      <w:pPr>
        <w:jc w:val="both"/>
        <w:rPr>
          <w:rFonts w:cs="Arial"/>
          <w:b/>
          <w:szCs w:val="20"/>
          <w:u w:val="single" w:color="000000"/>
        </w:rPr>
      </w:pPr>
      <w:r w:rsidRPr="009E7480">
        <w:rPr>
          <w:rFonts w:cs="Arial"/>
          <w:b/>
          <w:szCs w:val="20"/>
          <w:u w:val="single" w:color="000000"/>
        </w:rPr>
        <w:t>Sredstva tega podukrepa v okviru sheme državne pomoči v skladu z Uredbo 702/2014/EU bodo namenjena naslednjim upravičenim stroškom:</w:t>
      </w:r>
    </w:p>
    <w:p w:rsidR="009E7480" w:rsidRPr="009E7480" w:rsidRDefault="009E7480" w:rsidP="008E6396">
      <w:pPr>
        <w:numPr>
          <w:ilvl w:val="0"/>
          <w:numId w:val="11"/>
        </w:numPr>
        <w:tabs>
          <w:tab w:val="left" w:pos="1276"/>
        </w:tabs>
        <w:overflowPunct w:val="0"/>
        <w:autoSpaceDE w:val="0"/>
        <w:autoSpaceDN w:val="0"/>
        <w:adjustRightInd w:val="0"/>
        <w:ind w:hanging="720"/>
        <w:jc w:val="both"/>
        <w:textAlignment w:val="baseline"/>
        <w:rPr>
          <w:rFonts w:cs="Arial"/>
          <w:szCs w:val="20"/>
          <w:u w:color="000000"/>
        </w:rPr>
      </w:pPr>
      <w:bookmarkStart w:id="14" w:name="_Hlk92099501"/>
      <w:r w:rsidRPr="009E7480">
        <w:rPr>
          <w:rFonts w:cs="Arial"/>
          <w:szCs w:val="20"/>
          <w:u w:color="000000"/>
        </w:rPr>
        <w:t>v okviru prenosa znanja in informiranja (21. člen Uredbe 702/2014/EU):</w:t>
      </w:r>
    </w:p>
    <w:p w:rsidR="009E7480" w:rsidRPr="009E7480" w:rsidRDefault="009E7480" w:rsidP="008E6396">
      <w:pPr>
        <w:numPr>
          <w:ilvl w:val="1"/>
          <w:numId w:val="11"/>
        </w:numPr>
        <w:overflowPunct w:val="0"/>
        <w:autoSpaceDE w:val="0"/>
        <w:autoSpaceDN w:val="0"/>
        <w:adjustRightInd w:val="0"/>
        <w:ind w:left="1276" w:hanging="567"/>
        <w:jc w:val="both"/>
        <w:textAlignment w:val="baseline"/>
        <w:rPr>
          <w:rFonts w:cs="Arial"/>
          <w:szCs w:val="20"/>
          <w:u w:color="000000"/>
        </w:rPr>
      </w:pPr>
      <w:r w:rsidRPr="009E7480">
        <w:rPr>
          <w:rFonts w:cs="Arial"/>
          <w:szCs w:val="20"/>
          <w:u w:color="000000"/>
        </w:rPr>
        <w:t>organizaciji usposabljanj in dejavnosti pridobivanja strokovnih znanj, vključno z usposabljanji, delavnicami in inštruiranjem ter predstavitvenih dejavnosti ali dejavnosti informiranja;</w:t>
      </w:r>
    </w:p>
    <w:p w:rsidR="009E7480" w:rsidRPr="009E7480" w:rsidRDefault="009E7480" w:rsidP="008E6396">
      <w:pPr>
        <w:numPr>
          <w:ilvl w:val="1"/>
          <w:numId w:val="11"/>
        </w:numPr>
        <w:overflowPunct w:val="0"/>
        <w:autoSpaceDE w:val="0"/>
        <w:autoSpaceDN w:val="0"/>
        <w:adjustRightInd w:val="0"/>
        <w:ind w:left="1276" w:hanging="567"/>
        <w:jc w:val="both"/>
        <w:textAlignment w:val="baseline"/>
        <w:rPr>
          <w:rFonts w:cs="Arial"/>
          <w:szCs w:val="20"/>
          <w:u w:color="000000"/>
        </w:rPr>
      </w:pPr>
      <w:r w:rsidRPr="009E7480">
        <w:rPr>
          <w:rFonts w:cs="Arial"/>
          <w:szCs w:val="20"/>
          <w:u w:color="000000"/>
        </w:rPr>
        <w:t>potovanja, nastanitve in dnevnic udeležencev;</w:t>
      </w:r>
    </w:p>
    <w:p w:rsidR="009E7480" w:rsidRPr="009E7480" w:rsidRDefault="009E7480" w:rsidP="008E6396">
      <w:pPr>
        <w:numPr>
          <w:ilvl w:val="1"/>
          <w:numId w:val="11"/>
        </w:numPr>
        <w:overflowPunct w:val="0"/>
        <w:autoSpaceDE w:val="0"/>
        <w:autoSpaceDN w:val="0"/>
        <w:adjustRightInd w:val="0"/>
        <w:ind w:left="1276" w:hanging="567"/>
        <w:jc w:val="both"/>
        <w:textAlignment w:val="baseline"/>
        <w:rPr>
          <w:rFonts w:cs="Arial"/>
          <w:szCs w:val="20"/>
          <w:u w:color="000000"/>
        </w:rPr>
      </w:pPr>
      <w:r w:rsidRPr="009E7480">
        <w:rPr>
          <w:rFonts w:cs="Arial"/>
          <w:szCs w:val="20"/>
          <w:u w:color="000000"/>
        </w:rPr>
        <w:t xml:space="preserve">v primeru predstavitvenih projektov v zvezi z naložbami: </w:t>
      </w:r>
    </w:p>
    <w:p w:rsidR="009E7480" w:rsidRPr="009E7480" w:rsidRDefault="009E7480" w:rsidP="008E6396">
      <w:pPr>
        <w:numPr>
          <w:ilvl w:val="3"/>
          <w:numId w:val="13"/>
        </w:numPr>
        <w:overflowPunct w:val="0"/>
        <w:autoSpaceDE w:val="0"/>
        <w:autoSpaceDN w:val="0"/>
        <w:adjustRightInd w:val="0"/>
        <w:ind w:left="1843" w:hanging="567"/>
        <w:jc w:val="both"/>
        <w:textAlignment w:val="baseline"/>
        <w:rPr>
          <w:rFonts w:cs="Arial"/>
          <w:szCs w:val="20"/>
          <w:u w:color="000000"/>
        </w:rPr>
      </w:pPr>
      <w:r w:rsidRPr="009E7480">
        <w:rPr>
          <w:rFonts w:cs="Arial"/>
          <w:szCs w:val="20"/>
          <w:u w:color="000000"/>
        </w:rPr>
        <w:t xml:space="preserve">gradnji, nakupu, vključno z zakupom, ali izboljšanju nepremičnin, pri čemer so zemljišča upravičena le v obsegu, ki ne presega 10 % skupnih upravičenih stroškov zadevne dejavnosti; </w:t>
      </w:r>
    </w:p>
    <w:p w:rsidR="009E7480" w:rsidRPr="009E7480" w:rsidRDefault="009E7480" w:rsidP="008E6396">
      <w:pPr>
        <w:numPr>
          <w:ilvl w:val="3"/>
          <w:numId w:val="13"/>
        </w:numPr>
        <w:overflowPunct w:val="0"/>
        <w:autoSpaceDE w:val="0"/>
        <w:autoSpaceDN w:val="0"/>
        <w:adjustRightInd w:val="0"/>
        <w:ind w:left="1843" w:hanging="567"/>
        <w:jc w:val="both"/>
        <w:textAlignment w:val="baseline"/>
        <w:rPr>
          <w:rFonts w:cs="Arial"/>
          <w:szCs w:val="20"/>
          <w:u w:color="000000"/>
        </w:rPr>
      </w:pPr>
      <w:r w:rsidRPr="009E7480">
        <w:rPr>
          <w:rFonts w:cs="Arial"/>
          <w:szCs w:val="20"/>
          <w:u w:color="000000"/>
        </w:rPr>
        <w:t xml:space="preserve">nakupu ali zakupu strojev in opreme do tržne vrednosti sredstva; </w:t>
      </w:r>
    </w:p>
    <w:p w:rsidR="009E7480" w:rsidRPr="009E7480" w:rsidRDefault="009E7480" w:rsidP="008E6396">
      <w:pPr>
        <w:numPr>
          <w:ilvl w:val="3"/>
          <w:numId w:val="13"/>
        </w:numPr>
        <w:overflowPunct w:val="0"/>
        <w:autoSpaceDE w:val="0"/>
        <w:autoSpaceDN w:val="0"/>
        <w:adjustRightInd w:val="0"/>
        <w:ind w:left="1843" w:hanging="567"/>
        <w:jc w:val="both"/>
        <w:textAlignment w:val="baseline"/>
        <w:rPr>
          <w:rFonts w:cs="Arial"/>
          <w:szCs w:val="20"/>
          <w:u w:color="000000"/>
        </w:rPr>
      </w:pPr>
      <w:r w:rsidRPr="009E7480">
        <w:rPr>
          <w:rFonts w:cs="Arial"/>
          <w:szCs w:val="20"/>
          <w:u w:color="000000"/>
        </w:rPr>
        <w:t xml:space="preserve">splošnim stroškom, povezanimi z izdatki iz 1. in 2. točke te alineje, kot so plačila za storitve arhitektov, inženirjev in svetovalcev, plačila za storitve svetovanja v zvezi z okoljsko in ekonomsko trajnostjo, vključno s stroški za študije izvedljivosti; študije izvedljivosti ostanejo upravičen strošek tudi takrat, ko glede na njihove rezultate niso nastali nobeni stroški v okviru 1. in 2. točke te alineje; </w:t>
      </w:r>
    </w:p>
    <w:p w:rsidR="009E7480" w:rsidRPr="009E7480" w:rsidRDefault="009E7480" w:rsidP="009C1FDD">
      <w:pPr>
        <w:numPr>
          <w:ilvl w:val="3"/>
          <w:numId w:val="13"/>
        </w:numPr>
        <w:overflowPunct w:val="0"/>
        <w:autoSpaceDE w:val="0"/>
        <w:autoSpaceDN w:val="0"/>
        <w:adjustRightInd w:val="0"/>
        <w:ind w:left="1843" w:hanging="567"/>
        <w:jc w:val="both"/>
        <w:textAlignment w:val="baseline"/>
        <w:rPr>
          <w:rFonts w:cs="Arial"/>
          <w:szCs w:val="20"/>
          <w:u w:color="000000"/>
        </w:rPr>
      </w:pPr>
      <w:r w:rsidRPr="009E7480">
        <w:rPr>
          <w:rFonts w:cs="Arial"/>
          <w:szCs w:val="20"/>
          <w:u w:color="000000"/>
        </w:rPr>
        <w:t>pridobitvi ali razvoju računalniške programske opreme ter pridobitvi patentov, licenc, avtorskih pravic in blagovnih znamk;</w:t>
      </w:r>
    </w:p>
    <w:p w:rsidR="009E7480" w:rsidRPr="009E7480" w:rsidRDefault="009E7480" w:rsidP="009C1FDD">
      <w:pPr>
        <w:numPr>
          <w:ilvl w:val="0"/>
          <w:numId w:val="11"/>
        </w:numPr>
        <w:overflowPunct w:val="0"/>
        <w:autoSpaceDE w:val="0"/>
        <w:autoSpaceDN w:val="0"/>
        <w:adjustRightInd w:val="0"/>
        <w:ind w:hanging="720"/>
        <w:jc w:val="both"/>
        <w:textAlignment w:val="baseline"/>
        <w:rPr>
          <w:rFonts w:cs="Arial"/>
          <w:szCs w:val="20"/>
          <w:u w:color="000000"/>
        </w:rPr>
      </w:pPr>
      <w:r w:rsidRPr="009E7480">
        <w:rPr>
          <w:rFonts w:cs="Arial"/>
          <w:szCs w:val="20"/>
          <w:u w:color="000000"/>
        </w:rPr>
        <w:t>v okviru svetovanja (22. člen Uredbe 702/2014/EU):</w:t>
      </w:r>
    </w:p>
    <w:p w:rsidR="009E7480" w:rsidRPr="009E7480" w:rsidRDefault="009E7480" w:rsidP="009C1FDD">
      <w:pPr>
        <w:numPr>
          <w:ilvl w:val="1"/>
          <w:numId w:val="11"/>
        </w:numPr>
        <w:overflowPunct w:val="0"/>
        <w:autoSpaceDE w:val="0"/>
        <w:autoSpaceDN w:val="0"/>
        <w:adjustRightInd w:val="0"/>
        <w:ind w:left="1276" w:hanging="567"/>
        <w:jc w:val="both"/>
        <w:textAlignment w:val="baseline"/>
        <w:rPr>
          <w:rFonts w:cs="Arial"/>
          <w:szCs w:val="20"/>
          <w:u w:color="000000"/>
        </w:rPr>
      </w:pPr>
      <w:r w:rsidRPr="009E7480">
        <w:rPr>
          <w:rFonts w:cs="Arial"/>
          <w:szCs w:val="20"/>
          <w:u w:color="000000"/>
        </w:rPr>
        <w:t xml:space="preserve">svetovanju glede zadev iz tretjega in četrtega odstavka 22. člena Uredbe 702/2014/EU, pri čemer velja omejitev 1.500 </w:t>
      </w:r>
      <w:proofErr w:type="spellStart"/>
      <w:r w:rsidRPr="009E7480">
        <w:rPr>
          <w:rFonts w:cs="Arial"/>
          <w:szCs w:val="20"/>
          <w:u w:color="000000"/>
        </w:rPr>
        <w:t>eurov</w:t>
      </w:r>
      <w:proofErr w:type="spellEnd"/>
      <w:r w:rsidRPr="009E7480">
        <w:rPr>
          <w:rFonts w:cs="Arial"/>
          <w:szCs w:val="20"/>
          <w:u w:color="000000"/>
        </w:rPr>
        <w:t xml:space="preserve"> na posamezno storitev svetovanja;</w:t>
      </w:r>
    </w:p>
    <w:p w:rsidR="009E7480" w:rsidRPr="009E7480" w:rsidRDefault="009E7480" w:rsidP="009C1FDD">
      <w:pPr>
        <w:numPr>
          <w:ilvl w:val="0"/>
          <w:numId w:val="11"/>
        </w:numPr>
        <w:overflowPunct w:val="0"/>
        <w:autoSpaceDE w:val="0"/>
        <w:autoSpaceDN w:val="0"/>
        <w:adjustRightInd w:val="0"/>
        <w:ind w:hanging="720"/>
        <w:jc w:val="both"/>
        <w:textAlignment w:val="baseline"/>
        <w:rPr>
          <w:rFonts w:cs="Arial"/>
          <w:szCs w:val="20"/>
          <w:u w:color="000000"/>
        </w:rPr>
      </w:pPr>
      <w:r w:rsidRPr="009E7480">
        <w:rPr>
          <w:rFonts w:cs="Arial"/>
          <w:szCs w:val="20"/>
          <w:u w:color="000000"/>
        </w:rPr>
        <w:t>v okviru promocijskih dejavnosti (24. člen Uredbe 702/2014/EU):</w:t>
      </w:r>
    </w:p>
    <w:p w:rsidR="009E7480" w:rsidRPr="009E7480" w:rsidRDefault="009E7480" w:rsidP="009C1FDD">
      <w:pPr>
        <w:numPr>
          <w:ilvl w:val="0"/>
          <w:numId w:val="8"/>
        </w:numPr>
        <w:overflowPunct w:val="0"/>
        <w:autoSpaceDE w:val="0"/>
        <w:autoSpaceDN w:val="0"/>
        <w:adjustRightInd w:val="0"/>
        <w:ind w:left="1276" w:hanging="567"/>
        <w:jc w:val="both"/>
        <w:textAlignment w:val="baseline"/>
        <w:rPr>
          <w:rFonts w:cs="Arial"/>
          <w:szCs w:val="20"/>
          <w:u w:color="000000"/>
        </w:rPr>
      </w:pPr>
      <w:r w:rsidRPr="009E7480">
        <w:rPr>
          <w:rFonts w:cs="Arial"/>
          <w:szCs w:val="20"/>
          <w:u w:color="000000"/>
        </w:rPr>
        <w:t>organizaciji tekmovanj, sejmov ali razstav;</w:t>
      </w:r>
    </w:p>
    <w:p w:rsidR="009E7480" w:rsidRPr="009E7480" w:rsidRDefault="009E7480" w:rsidP="009C1FDD">
      <w:pPr>
        <w:numPr>
          <w:ilvl w:val="0"/>
          <w:numId w:val="8"/>
        </w:numPr>
        <w:overflowPunct w:val="0"/>
        <w:autoSpaceDE w:val="0"/>
        <w:autoSpaceDN w:val="0"/>
        <w:adjustRightInd w:val="0"/>
        <w:ind w:left="1276" w:hanging="567"/>
        <w:jc w:val="both"/>
        <w:textAlignment w:val="baseline"/>
        <w:rPr>
          <w:rFonts w:cs="Arial"/>
          <w:szCs w:val="20"/>
          <w:u w:color="000000"/>
        </w:rPr>
      </w:pPr>
      <w:r w:rsidRPr="009E7480">
        <w:rPr>
          <w:rFonts w:cs="Arial"/>
          <w:szCs w:val="20"/>
          <w:u w:color="000000"/>
        </w:rPr>
        <w:t>najemu ustreznih prostorov za izvedbo tekmovanj, sejmov ali razstav;</w:t>
      </w:r>
    </w:p>
    <w:p w:rsidR="009E7480" w:rsidRPr="009E7480" w:rsidRDefault="009E7480" w:rsidP="009C1FDD">
      <w:pPr>
        <w:numPr>
          <w:ilvl w:val="0"/>
          <w:numId w:val="8"/>
        </w:numPr>
        <w:overflowPunct w:val="0"/>
        <w:autoSpaceDE w:val="0"/>
        <w:autoSpaceDN w:val="0"/>
        <w:adjustRightInd w:val="0"/>
        <w:ind w:left="1276" w:hanging="567"/>
        <w:jc w:val="both"/>
        <w:textAlignment w:val="baseline"/>
        <w:rPr>
          <w:rFonts w:cs="Arial"/>
          <w:szCs w:val="20"/>
          <w:u w:color="000000"/>
        </w:rPr>
      </w:pPr>
      <w:r w:rsidRPr="009E7480">
        <w:rPr>
          <w:rFonts w:cs="Arial"/>
          <w:szCs w:val="20"/>
          <w:u w:color="000000"/>
        </w:rPr>
        <w:t>najemu stojnic ter njihovi postavitvi in razstavljanju;</w:t>
      </w:r>
    </w:p>
    <w:p w:rsidR="009E7480" w:rsidRPr="009E7480" w:rsidRDefault="009E7480" w:rsidP="009C1FDD">
      <w:pPr>
        <w:numPr>
          <w:ilvl w:val="0"/>
          <w:numId w:val="6"/>
        </w:numPr>
        <w:overflowPunct w:val="0"/>
        <w:autoSpaceDE w:val="0"/>
        <w:autoSpaceDN w:val="0"/>
        <w:adjustRightInd w:val="0"/>
        <w:ind w:left="1276" w:hanging="567"/>
        <w:jc w:val="both"/>
        <w:textAlignment w:val="baseline"/>
        <w:rPr>
          <w:rFonts w:cs="Arial"/>
          <w:szCs w:val="20"/>
          <w:u w:color="000000"/>
        </w:rPr>
      </w:pPr>
      <w:r w:rsidRPr="009E7480">
        <w:rPr>
          <w:rFonts w:cs="Arial"/>
          <w:szCs w:val="20"/>
          <w:u w:color="000000"/>
        </w:rPr>
        <w:t>stroškom udeležbe na tekmovanjih, sejmih ali razstavah;</w:t>
      </w:r>
    </w:p>
    <w:p w:rsidR="009E7480" w:rsidRPr="009E7480" w:rsidRDefault="009E7480" w:rsidP="009C1FDD">
      <w:pPr>
        <w:numPr>
          <w:ilvl w:val="0"/>
          <w:numId w:val="6"/>
        </w:numPr>
        <w:overflowPunct w:val="0"/>
        <w:autoSpaceDE w:val="0"/>
        <w:autoSpaceDN w:val="0"/>
        <w:adjustRightInd w:val="0"/>
        <w:ind w:left="1276" w:hanging="567"/>
        <w:jc w:val="both"/>
        <w:textAlignment w:val="baseline"/>
        <w:rPr>
          <w:rFonts w:cs="Arial"/>
          <w:szCs w:val="20"/>
          <w:u w:color="000000"/>
        </w:rPr>
      </w:pPr>
      <w:r w:rsidRPr="009E7480">
        <w:rPr>
          <w:rFonts w:cs="Arial"/>
          <w:szCs w:val="20"/>
          <w:u w:color="000000"/>
        </w:rPr>
        <w:t>potnim stroškom in stroškom prevoza živali;</w:t>
      </w:r>
    </w:p>
    <w:p w:rsidR="009E7480" w:rsidRPr="009E7480" w:rsidRDefault="009E7480" w:rsidP="009C1FDD">
      <w:pPr>
        <w:numPr>
          <w:ilvl w:val="0"/>
          <w:numId w:val="6"/>
        </w:numPr>
        <w:overflowPunct w:val="0"/>
        <w:autoSpaceDE w:val="0"/>
        <w:autoSpaceDN w:val="0"/>
        <w:adjustRightInd w:val="0"/>
        <w:ind w:left="1276" w:hanging="567"/>
        <w:jc w:val="both"/>
        <w:textAlignment w:val="baseline"/>
        <w:rPr>
          <w:rFonts w:cs="Arial"/>
          <w:szCs w:val="20"/>
          <w:u w:color="000000"/>
        </w:rPr>
      </w:pPr>
      <w:r w:rsidRPr="009E7480">
        <w:rPr>
          <w:rFonts w:cs="Arial"/>
          <w:szCs w:val="20"/>
          <w:u w:color="000000"/>
        </w:rPr>
        <w:t xml:space="preserve">simboličnim nagradam do vrednosti 1.000 </w:t>
      </w:r>
      <w:proofErr w:type="spellStart"/>
      <w:r w:rsidRPr="009E7480">
        <w:rPr>
          <w:rFonts w:cs="Arial"/>
          <w:szCs w:val="20"/>
          <w:u w:color="000000"/>
        </w:rPr>
        <w:t>eurov</w:t>
      </w:r>
      <w:proofErr w:type="spellEnd"/>
      <w:r w:rsidRPr="009E7480">
        <w:rPr>
          <w:rFonts w:cs="Arial"/>
          <w:szCs w:val="20"/>
          <w:u w:color="000000"/>
        </w:rPr>
        <w:t xml:space="preserve"> na nagrado in zmagovalca tekmovanja, ki se dodeli v naravi;</w:t>
      </w:r>
    </w:p>
    <w:p w:rsidR="009E7480" w:rsidRPr="009E7480" w:rsidRDefault="009E7480" w:rsidP="009C1FDD">
      <w:pPr>
        <w:numPr>
          <w:ilvl w:val="0"/>
          <w:numId w:val="6"/>
        </w:numPr>
        <w:overflowPunct w:val="0"/>
        <w:autoSpaceDE w:val="0"/>
        <w:autoSpaceDN w:val="0"/>
        <w:adjustRightInd w:val="0"/>
        <w:ind w:left="1276" w:hanging="567"/>
        <w:jc w:val="both"/>
        <w:textAlignment w:val="baseline"/>
        <w:rPr>
          <w:rFonts w:cs="Arial"/>
          <w:szCs w:val="20"/>
          <w:u w:color="000000"/>
        </w:rPr>
      </w:pPr>
      <w:r w:rsidRPr="009E7480">
        <w:rPr>
          <w:rFonts w:cs="Arial"/>
          <w:szCs w:val="20"/>
          <w:u w:color="000000"/>
        </w:rPr>
        <w:t>publikacijam in spletnim mestom, v katerih je dogodek napovedan in obsegajo:</w:t>
      </w:r>
    </w:p>
    <w:p w:rsidR="009E7480" w:rsidRPr="009E7480" w:rsidRDefault="009E7480" w:rsidP="009C1FDD">
      <w:pPr>
        <w:numPr>
          <w:ilvl w:val="2"/>
          <w:numId w:val="12"/>
        </w:numPr>
        <w:overflowPunct w:val="0"/>
        <w:autoSpaceDE w:val="0"/>
        <w:autoSpaceDN w:val="0"/>
        <w:adjustRightInd w:val="0"/>
        <w:ind w:left="1843" w:hanging="567"/>
        <w:jc w:val="both"/>
        <w:textAlignment w:val="baseline"/>
        <w:rPr>
          <w:rFonts w:cs="Arial"/>
          <w:szCs w:val="20"/>
          <w:u w:color="000000"/>
        </w:rPr>
      </w:pPr>
      <w:r w:rsidRPr="009E7480">
        <w:rPr>
          <w:rFonts w:cs="Arial"/>
          <w:szCs w:val="20"/>
          <w:u w:color="000000"/>
        </w:rPr>
        <w:t xml:space="preserve">tiskane in elektronske publikacije, spletišča in spote v elektronskih medijih, na radiu ali televiziji, namenjenih predstavljanju dejanskih informacij o upravičencih iz programskega območja ali proizvajalcih določenega kmetijskega proizvoda, pri čemer morajo biti informacije nevtralne, upravičenci pa morajo imeti enake možnosti, da so predstavljeni v </w:t>
      </w:r>
      <w:r w:rsidRPr="009E7480">
        <w:rPr>
          <w:rFonts w:cs="Arial"/>
          <w:szCs w:val="20"/>
          <w:u w:color="000000"/>
        </w:rPr>
        <w:lastRenderedPageBreak/>
        <w:t>publikaciji; publikacije ne smejo vsebovati navedb o posameznem podjetju, blagovni znamki ali poreklu;</w:t>
      </w:r>
    </w:p>
    <w:p w:rsidR="009E7480" w:rsidRPr="009E7480" w:rsidRDefault="009E7480" w:rsidP="009C1FDD">
      <w:pPr>
        <w:numPr>
          <w:ilvl w:val="2"/>
          <w:numId w:val="12"/>
        </w:numPr>
        <w:overflowPunct w:val="0"/>
        <w:autoSpaceDE w:val="0"/>
        <w:autoSpaceDN w:val="0"/>
        <w:adjustRightInd w:val="0"/>
        <w:ind w:left="1843" w:hanging="567"/>
        <w:jc w:val="both"/>
        <w:textAlignment w:val="baseline"/>
        <w:rPr>
          <w:rFonts w:cs="Arial"/>
          <w:szCs w:val="20"/>
          <w:u w:color="000000"/>
        </w:rPr>
      </w:pPr>
      <w:r w:rsidRPr="009E7480">
        <w:rPr>
          <w:rFonts w:cs="Arial"/>
          <w:szCs w:val="20"/>
          <w:u w:color="000000"/>
        </w:rPr>
        <w:t>širjenje znanstvenih spoznanj in dejanskih informacij o shemah kakovosti, odprtih za kmetijske proizvode iz drugih držav članic Evropske unije in tretjih držav, in generičnih kmetijskih proizvodih, njihovi hranilni vrednosti in njihovi priporočeni uporabi.</w:t>
      </w:r>
    </w:p>
    <w:p w:rsidR="009E7480" w:rsidRPr="009E7480" w:rsidRDefault="009E7480" w:rsidP="009E7480">
      <w:pPr>
        <w:overflowPunct w:val="0"/>
        <w:autoSpaceDE w:val="0"/>
        <w:autoSpaceDN w:val="0"/>
        <w:adjustRightInd w:val="0"/>
        <w:jc w:val="both"/>
        <w:textAlignment w:val="baseline"/>
        <w:rPr>
          <w:rFonts w:cs="Arial"/>
          <w:szCs w:val="20"/>
          <w:u w:color="000000"/>
        </w:rPr>
      </w:pPr>
    </w:p>
    <w:p w:rsidR="009E7480" w:rsidRPr="009E7480" w:rsidRDefault="009E7480" w:rsidP="009E7480">
      <w:pPr>
        <w:overflowPunct w:val="0"/>
        <w:autoSpaceDE w:val="0"/>
        <w:autoSpaceDN w:val="0"/>
        <w:adjustRightInd w:val="0"/>
        <w:jc w:val="both"/>
        <w:textAlignment w:val="baseline"/>
        <w:rPr>
          <w:rFonts w:cs="Arial"/>
          <w:szCs w:val="20"/>
          <w:u w:color="000000"/>
        </w:rPr>
      </w:pPr>
      <w:r w:rsidRPr="009E7480">
        <w:rPr>
          <w:rFonts w:cs="Arial"/>
          <w:szCs w:val="20"/>
          <w:u w:color="000000"/>
        </w:rPr>
        <w:t xml:space="preserve">Stroški iz tretje alineje točke a) prejšnjega odstavka so upravičeni do pomoči samo v obsegu, v katerem se uporabljajo za predstavitveni projekt in za obdobje trajanje predstavitvenega projekta, pri čemer za upravičene stroške štejejo le stroški amortizacije, ki ustrezajo trajanju projekta in so izračunani na podlagi splošno sprejetih računovodskih načel. Pomoč za te stroške je omejena na največ 100.000 </w:t>
      </w:r>
      <w:proofErr w:type="spellStart"/>
      <w:r w:rsidRPr="009E7480">
        <w:rPr>
          <w:rFonts w:cs="Arial"/>
          <w:szCs w:val="20"/>
          <w:u w:color="000000"/>
        </w:rPr>
        <w:t>eurov</w:t>
      </w:r>
      <w:proofErr w:type="spellEnd"/>
      <w:r w:rsidRPr="009E7480">
        <w:rPr>
          <w:rFonts w:cs="Arial"/>
          <w:szCs w:val="20"/>
          <w:u w:color="000000"/>
        </w:rPr>
        <w:t xml:space="preserve"> v katerem koli obdobju treh obračunskih let.</w:t>
      </w:r>
    </w:p>
    <w:p w:rsidR="009E7480" w:rsidRPr="009E7480" w:rsidRDefault="009E7480" w:rsidP="009E7480">
      <w:pPr>
        <w:overflowPunct w:val="0"/>
        <w:autoSpaceDE w:val="0"/>
        <w:autoSpaceDN w:val="0"/>
        <w:adjustRightInd w:val="0"/>
        <w:jc w:val="both"/>
        <w:textAlignment w:val="baseline"/>
        <w:rPr>
          <w:rFonts w:cs="Arial"/>
          <w:szCs w:val="20"/>
          <w:u w:color="000000"/>
        </w:rPr>
      </w:pPr>
    </w:p>
    <w:p w:rsidR="009E7480" w:rsidRPr="009E7480" w:rsidRDefault="009E7480" w:rsidP="009E7480">
      <w:pPr>
        <w:overflowPunct w:val="0"/>
        <w:autoSpaceDE w:val="0"/>
        <w:autoSpaceDN w:val="0"/>
        <w:adjustRightInd w:val="0"/>
        <w:jc w:val="both"/>
        <w:textAlignment w:val="baseline"/>
        <w:rPr>
          <w:rFonts w:cs="Arial"/>
          <w:szCs w:val="20"/>
          <w:u w:color="000000"/>
        </w:rPr>
      </w:pPr>
      <w:r w:rsidRPr="009E7480">
        <w:rPr>
          <w:rFonts w:cs="Arial"/>
          <w:szCs w:val="20"/>
          <w:u w:color="000000"/>
        </w:rPr>
        <w:t xml:space="preserve">Upravičencem se pomoč iz tega podukrepa dodeli le za stroške, nastale po predložitvi vloge PMSNS-ju oziroma izbranemu zunanjemu izvajalcu subvencionirane storitve. Vloga mora vsebovati najmanj naslednje podatke: </w:t>
      </w:r>
    </w:p>
    <w:p w:rsidR="009E7480" w:rsidRPr="009E7480" w:rsidRDefault="009E7480" w:rsidP="008F4924">
      <w:pPr>
        <w:numPr>
          <w:ilvl w:val="0"/>
          <w:numId w:val="7"/>
        </w:numPr>
        <w:overflowPunct w:val="0"/>
        <w:autoSpaceDE w:val="0"/>
        <w:autoSpaceDN w:val="0"/>
        <w:adjustRightInd w:val="0"/>
        <w:ind w:hanging="720"/>
        <w:jc w:val="both"/>
        <w:textAlignment w:val="baseline"/>
        <w:rPr>
          <w:rFonts w:cs="Arial"/>
          <w:szCs w:val="20"/>
          <w:u w:color="000000"/>
        </w:rPr>
      </w:pPr>
      <w:r w:rsidRPr="009E7480">
        <w:rPr>
          <w:rFonts w:cs="Arial"/>
          <w:szCs w:val="20"/>
          <w:u w:color="000000"/>
        </w:rPr>
        <w:t>ime in velikost vlagatelja (mikro, malo ali srednje podjetje);</w:t>
      </w:r>
    </w:p>
    <w:p w:rsidR="009E7480" w:rsidRPr="009E7480" w:rsidRDefault="009E7480" w:rsidP="008F4924">
      <w:pPr>
        <w:numPr>
          <w:ilvl w:val="0"/>
          <w:numId w:val="7"/>
        </w:numPr>
        <w:overflowPunct w:val="0"/>
        <w:autoSpaceDE w:val="0"/>
        <w:autoSpaceDN w:val="0"/>
        <w:adjustRightInd w:val="0"/>
        <w:ind w:hanging="720"/>
        <w:jc w:val="both"/>
        <w:textAlignment w:val="baseline"/>
        <w:rPr>
          <w:rFonts w:cs="Arial"/>
          <w:szCs w:val="20"/>
          <w:u w:color="000000"/>
        </w:rPr>
      </w:pPr>
      <w:r w:rsidRPr="009E7480">
        <w:rPr>
          <w:rFonts w:cs="Arial"/>
          <w:szCs w:val="20"/>
          <w:u w:color="000000"/>
        </w:rPr>
        <w:t xml:space="preserve">opis projekta oziroma dejavnosti, vključno z datumom začetka in konca projekta oziroma dejavnosti; </w:t>
      </w:r>
    </w:p>
    <w:p w:rsidR="009E7480" w:rsidRPr="009E7480" w:rsidRDefault="009E7480" w:rsidP="008F4924">
      <w:pPr>
        <w:numPr>
          <w:ilvl w:val="0"/>
          <w:numId w:val="7"/>
        </w:numPr>
        <w:overflowPunct w:val="0"/>
        <w:autoSpaceDE w:val="0"/>
        <w:autoSpaceDN w:val="0"/>
        <w:adjustRightInd w:val="0"/>
        <w:ind w:hanging="720"/>
        <w:jc w:val="both"/>
        <w:textAlignment w:val="baseline"/>
        <w:rPr>
          <w:rFonts w:cs="Arial"/>
          <w:szCs w:val="20"/>
          <w:u w:color="000000"/>
        </w:rPr>
      </w:pPr>
      <w:r w:rsidRPr="009E7480">
        <w:rPr>
          <w:rFonts w:cs="Arial"/>
          <w:szCs w:val="20"/>
          <w:u w:color="000000"/>
        </w:rPr>
        <w:t xml:space="preserve">lokacijo projekta oziroma dejavnosti; </w:t>
      </w:r>
    </w:p>
    <w:p w:rsidR="009E7480" w:rsidRPr="009E7480" w:rsidRDefault="009E7480" w:rsidP="008F4924">
      <w:pPr>
        <w:numPr>
          <w:ilvl w:val="0"/>
          <w:numId w:val="7"/>
        </w:numPr>
        <w:overflowPunct w:val="0"/>
        <w:autoSpaceDE w:val="0"/>
        <w:autoSpaceDN w:val="0"/>
        <w:adjustRightInd w:val="0"/>
        <w:ind w:hanging="720"/>
        <w:jc w:val="both"/>
        <w:textAlignment w:val="baseline"/>
        <w:rPr>
          <w:rFonts w:cs="Arial"/>
          <w:szCs w:val="20"/>
          <w:u w:color="000000"/>
        </w:rPr>
      </w:pPr>
      <w:r w:rsidRPr="009E7480">
        <w:rPr>
          <w:rFonts w:cs="Arial"/>
          <w:szCs w:val="20"/>
          <w:u w:color="000000"/>
        </w:rPr>
        <w:t>seznam upravičenih stroškov;</w:t>
      </w:r>
    </w:p>
    <w:p w:rsidR="009E7480" w:rsidRPr="009E7480" w:rsidRDefault="009E7480" w:rsidP="008F4924">
      <w:pPr>
        <w:numPr>
          <w:ilvl w:val="0"/>
          <w:numId w:val="7"/>
        </w:numPr>
        <w:overflowPunct w:val="0"/>
        <w:autoSpaceDE w:val="0"/>
        <w:autoSpaceDN w:val="0"/>
        <w:adjustRightInd w:val="0"/>
        <w:ind w:hanging="720"/>
        <w:jc w:val="both"/>
        <w:textAlignment w:val="baseline"/>
        <w:rPr>
          <w:rFonts w:cs="Arial"/>
          <w:szCs w:val="20"/>
          <w:u w:color="000000"/>
        </w:rPr>
      </w:pPr>
      <w:r w:rsidRPr="009E7480">
        <w:rPr>
          <w:rFonts w:cs="Arial"/>
          <w:szCs w:val="20"/>
          <w:u w:color="000000"/>
        </w:rPr>
        <w:t>vrsto (nepovratna sredstva, posojilo, jamstvo, vračljivi predujem ali drugo) in znesek javnega financiranja, potrebnega za projekt oziroma dejavnost.</w:t>
      </w:r>
      <w:bookmarkStart w:id="15" w:name="_Hlk92099463"/>
      <w:bookmarkEnd w:id="14"/>
    </w:p>
    <w:p w:rsidR="009E7480" w:rsidRPr="009E7480" w:rsidRDefault="009E7480" w:rsidP="009E7480">
      <w:pPr>
        <w:jc w:val="both"/>
        <w:rPr>
          <w:rFonts w:cs="Arial"/>
          <w:szCs w:val="20"/>
          <w:u w:color="000000"/>
        </w:rPr>
      </w:pPr>
    </w:p>
    <w:p w:rsidR="009E7480" w:rsidRPr="009E7480" w:rsidRDefault="009E7480" w:rsidP="009E7480">
      <w:pPr>
        <w:jc w:val="both"/>
        <w:rPr>
          <w:rFonts w:cs="Arial"/>
          <w:szCs w:val="20"/>
          <w:u w:color="000000"/>
        </w:rPr>
      </w:pPr>
      <w:bookmarkStart w:id="16" w:name="_Hlk93909139"/>
      <w:bookmarkEnd w:id="15"/>
      <w:r w:rsidRPr="009E7480">
        <w:rPr>
          <w:rFonts w:cs="Arial"/>
          <w:b/>
          <w:bCs/>
          <w:szCs w:val="20"/>
          <w:u w:val="single" w:color="000000"/>
        </w:rPr>
        <w:t>Stopnja intenzivnosti pomoči in financiranje</w:t>
      </w:r>
      <w:r w:rsidRPr="009E7480">
        <w:rPr>
          <w:rFonts w:cs="Arial"/>
          <w:szCs w:val="20"/>
          <w:u w:color="000000"/>
        </w:rPr>
        <w:t xml:space="preserve"> </w:t>
      </w:r>
    </w:p>
    <w:bookmarkEnd w:id="16"/>
    <w:p w:rsidR="009E7480" w:rsidRPr="009E7480" w:rsidRDefault="009E7480" w:rsidP="009E7480">
      <w:pPr>
        <w:jc w:val="both"/>
        <w:rPr>
          <w:rFonts w:cs="Arial"/>
          <w:szCs w:val="20"/>
          <w:u w:color="000000"/>
        </w:rPr>
      </w:pPr>
      <w:r w:rsidRPr="009E7480">
        <w:rPr>
          <w:rFonts w:cs="Arial"/>
          <w:szCs w:val="20"/>
          <w:u w:color="000000"/>
        </w:rPr>
        <w:t>Intenzivnost pomoči v okviru podukrepa 4.2 je omejena na 100 % upravičenih stroškov. Finančna sredstva za pomoč v okviru podukrepa 4.2 se zagotovijo iz proračuna MKGP.</w:t>
      </w:r>
    </w:p>
    <w:p w:rsidR="009E7480" w:rsidRPr="009E7480" w:rsidRDefault="009E7480" w:rsidP="009E7480">
      <w:pPr>
        <w:jc w:val="both"/>
        <w:rPr>
          <w:rFonts w:cs="Arial"/>
          <w:szCs w:val="20"/>
          <w:u w:color="000000"/>
        </w:rPr>
      </w:pPr>
    </w:p>
    <w:p w:rsidR="009E7480" w:rsidRPr="009E7480" w:rsidRDefault="009E7480" w:rsidP="009E7480">
      <w:pPr>
        <w:jc w:val="both"/>
        <w:rPr>
          <w:rFonts w:cs="Arial"/>
          <w:szCs w:val="20"/>
          <w:u w:color="000000"/>
        </w:rPr>
      </w:pPr>
      <w:r w:rsidRPr="009E7480">
        <w:rPr>
          <w:rFonts w:cs="Arial"/>
          <w:b/>
          <w:bCs/>
          <w:szCs w:val="20"/>
          <w:u w:val="single" w:color="000000"/>
        </w:rPr>
        <w:t>Upravičenci</w:t>
      </w:r>
      <w:r w:rsidRPr="009E7480">
        <w:rPr>
          <w:rFonts w:cs="Arial"/>
          <w:szCs w:val="20"/>
          <w:u w:color="000000"/>
        </w:rPr>
        <w:t xml:space="preserve"> do pomoči v okviru podukrepa 4.2 so kmetijska gospodarstva, ki so mikro, mala in srednja podjetja, kot so opredeljena v drugem odstavku 2. člena Uredbe 702/2014/EU, vpisana v register kmetijskih gospodarstev in so dejavna v primarni kmetijski proizvodnji, predelavi in trženju kmetijskih proizvodov.</w:t>
      </w:r>
    </w:p>
    <w:p w:rsidR="009E7480" w:rsidRPr="009E7480" w:rsidRDefault="009E7480" w:rsidP="009E7480">
      <w:pPr>
        <w:jc w:val="both"/>
        <w:rPr>
          <w:rFonts w:cs="Arial"/>
          <w:szCs w:val="20"/>
          <w:u w:color="000000"/>
        </w:rPr>
      </w:pPr>
    </w:p>
    <w:p w:rsidR="009E7480" w:rsidRPr="009E7480" w:rsidRDefault="009E7480" w:rsidP="009E7480">
      <w:pPr>
        <w:rPr>
          <w:rFonts w:cs="Arial"/>
          <w:b/>
          <w:bCs/>
          <w:szCs w:val="20"/>
          <w:u w:val="single" w:color="000000"/>
        </w:rPr>
      </w:pPr>
      <w:r w:rsidRPr="009E7480">
        <w:rPr>
          <w:rFonts w:cs="Arial"/>
          <w:b/>
          <w:bCs/>
          <w:szCs w:val="20"/>
          <w:u w:val="single" w:color="000000"/>
        </w:rPr>
        <w:t>Oblika pomoči</w:t>
      </w:r>
    </w:p>
    <w:p w:rsidR="009E7480" w:rsidRPr="009E7480" w:rsidRDefault="009E7480" w:rsidP="009E7480">
      <w:pPr>
        <w:jc w:val="both"/>
        <w:rPr>
          <w:rFonts w:cs="Arial"/>
          <w:szCs w:val="20"/>
          <w:u w:color="000000"/>
        </w:rPr>
      </w:pPr>
      <w:r w:rsidRPr="009E7480">
        <w:rPr>
          <w:rFonts w:cs="Arial"/>
          <w:szCs w:val="20"/>
          <w:u w:color="000000"/>
        </w:rPr>
        <w:t xml:space="preserve">Pomoč je upravičencem iz prejšnjega odstavka dodeljena v naravi kot subvencionirana storitev in ne vključuje neposrednih plačil upravičencem, temveč se neposredno plačilo izplača izvajalcu subvencioniranih storitev. Subjekti, ki izvajajo subvencionirano storitev iz tega podukrepa, zagotovijo ustrezno zmogljivost v obliki usposobljenosti in rednega izobraževanja osebja za opravljanje zadevnih nalog. </w:t>
      </w:r>
    </w:p>
    <w:p w:rsidR="009E7480" w:rsidRPr="009E7480" w:rsidRDefault="009E7480" w:rsidP="009E7480">
      <w:pPr>
        <w:jc w:val="both"/>
        <w:rPr>
          <w:rFonts w:cs="Arial"/>
          <w:szCs w:val="20"/>
          <w:u w:color="000000"/>
        </w:rPr>
      </w:pPr>
    </w:p>
    <w:p w:rsidR="009E7480" w:rsidRPr="009E7480" w:rsidRDefault="009E7480" w:rsidP="009E7480">
      <w:pPr>
        <w:jc w:val="both"/>
        <w:rPr>
          <w:rFonts w:cs="Arial"/>
          <w:szCs w:val="20"/>
          <w:u w:color="000000"/>
        </w:rPr>
      </w:pPr>
      <w:r w:rsidRPr="009E7480">
        <w:rPr>
          <w:rFonts w:cs="Arial"/>
          <w:szCs w:val="20"/>
          <w:u w:color="000000"/>
        </w:rPr>
        <w:t>Pomoč v okviru podukrepa 4.2 je na podlagi objektivno opredeljenih pogojev dostopna vsem upravičencem - podjetjem na programskem območju, o čemer jih PMSNS javno seznani.</w:t>
      </w:r>
    </w:p>
    <w:p w:rsidR="009E7480" w:rsidRPr="009E7480" w:rsidRDefault="009E7480" w:rsidP="009E7480">
      <w:pPr>
        <w:rPr>
          <w:rFonts w:cs="Arial"/>
          <w:b/>
          <w:bCs/>
          <w:szCs w:val="20"/>
          <w:u w:val="single" w:color="000000"/>
        </w:rPr>
      </w:pPr>
    </w:p>
    <w:p w:rsidR="009E7480" w:rsidRPr="009E7480" w:rsidRDefault="009E7480" w:rsidP="009E7480">
      <w:pPr>
        <w:rPr>
          <w:rFonts w:cs="Arial"/>
          <w:b/>
          <w:bCs/>
          <w:szCs w:val="20"/>
          <w:u w:val="single" w:color="000000"/>
        </w:rPr>
      </w:pPr>
      <w:r w:rsidRPr="009E7480">
        <w:rPr>
          <w:rFonts w:cs="Arial"/>
          <w:b/>
          <w:bCs/>
          <w:szCs w:val="20"/>
          <w:u w:val="single" w:color="000000"/>
        </w:rPr>
        <w:t>Način izvajanja</w:t>
      </w:r>
    </w:p>
    <w:p w:rsidR="009E7480" w:rsidRPr="009E7480" w:rsidRDefault="009E7480" w:rsidP="009E7480">
      <w:pPr>
        <w:jc w:val="both"/>
        <w:rPr>
          <w:rFonts w:cs="Arial"/>
          <w:szCs w:val="20"/>
          <w:u w:color="000000"/>
        </w:rPr>
      </w:pPr>
      <w:r w:rsidRPr="009E7480">
        <w:rPr>
          <w:rFonts w:cs="Arial"/>
          <w:szCs w:val="20"/>
          <w:u w:color="000000"/>
        </w:rPr>
        <w:t xml:space="preserve">Aktivnosti v okviru tega podukrepa bo izvajala PMSNS. Sredstva se bodo dodeljevala na podlagi tripartitne sklenjene pogodbe med MKGP, ARSKTRP in PMSNS v kateri se podrobneje opredelijo pravice in obveznosti, naloge, roki, sankcije in finančna sredstva za izvedbo podukrepa 4.2. Vse navedene naloge in aktivnosti tega podukrepa bo PMSNS izvajala na podlagi podrobnega letnega načrta dela, v katerem bodo naloge konkretizirane, finančno ter terminsko ovrednotene in ga bo MKGP in ARSKTRP posredovala v roku, ki bo določen v pogodbi. Za naloge, za katere PMSNS ni usposobljena, kot npr. za izvedbo dogodkov, promocijskih aktivnosti, oblikovanje, tisk itd., PMSNS izbere zunanje izvajalce ob upoštevanju </w:t>
      </w:r>
      <w:bookmarkStart w:id="17" w:name="_Hlk92099662"/>
      <w:r w:rsidRPr="009E7480">
        <w:rPr>
          <w:rFonts w:cs="Arial"/>
          <w:szCs w:val="20"/>
          <w:u w:color="000000"/>
        </w:rPr>
        <w:t xml:space="preserve">zakona, ki ureja javno naročanje </w:t>
      </w:r>
      <w:bookmarkEnd w:id="17"/>
      <w:r w:rsidRPr="009E7480">
        <w:rPr>
          <w:rFonts w:cs="Arial"/>
          <w:szCs w:val="20"/>
          <w:u w:color="000000"/>
        </w:rPr>
        <w:t xml:space="preserve">ter načela preglednosti, odprtosti in nediskriminatornosti v izbirnem postopku. </w:t>
      </w:r>
    </w:p>
    <w:p w:rsidR="009E7480" w:rsidRPr="009E7480" w:rsidRDefault="009E7480" w:rsidP="009E7480">
      <w:pPr>
        <w:jc w:val="both"/>
        <w:rPr>
          <w:rFonts w:cs="Arial"/>
          <w:szCs w:val="20"/>
          <w:u w:color="000000"/>
        </w:rPr>
      </w:pPr>
    </w:p>
    <w:p w:rsidR="009E7480" w:rsidRPr="009E7480" w:rsidRDefault="009E7480" w:rsidP="009E7480">
      <w:pPr>
        <w:jc w:val="both"/>
        <w:rPr>
          <w:rFonts w:cs="Arial"/>
          <w:szCs w:val="20"/>
          <w:u w:color="000000"/>
        </w:rPr>
      </w:pPr>
      <w:bookmarkStart w:id="18" w:name="_Hlk92099689"/>
      <w:r w:rsidRPr="009E7480">
        <w:rPr>
          <w:rFonts w:cs="Arial"/>
          <w:szCs w:val="20"/>
          <w:u w:color="000000"/>
        </w:rPr>
        <w:t xml:space="preserve">Ne glede na prejšnji odstavek, se bo v letu 2022 podukrep 4.2 izvajal na podlagi podrobnega načrta dela za leto 2022, ki bo sestavni del tripartitne pogodbe in v katerem bodo naloge konkretizirane, finančno ter terminsko ovrednotene. </w:t>
      </w:r>
      <w:bookmarkEnd w:id="18"/>
    </w:p>
    <w:p w:rsidR="009E7480" w:rsidRPr="009E7480" w:rsidRDefault="009E7480" w:rsidP="009E7480">
      <w:pPr>
        <w:jc w:val="both"/>
        <w:rPr>
          <w:rFonts w:cs="Arial"/>
          <w:szCs w:val="20"/>
          <w:u w:color="000000"/>
        </w:rPr>
      </w:pPr>
    </w:p>
    <w:p w:rsidR="009E7480" w:rsidRPr="009E7480" w:rsidRDefault="009E7480" w:rsidP="009E7480">
      <w:pPr>
        <w:jc w:val="both"/>
        <w:rPr>
          <w:rFonts w:cs="Arial"/>
          <w:szCs w:val="20"/>
          <w:u w:color="000000"/>
        </w:rPr>
      </w:pPr>
      <w:r w:rsidRPr="009E7480">
        <w:rPr>
          <w:rFonts w:cs="Arial"/>
          <w:szCs w:val="20"/>
          <w:u w:color="000000"/>
        </w:rPr>
        <w:t xml:space="preserve">Izvajalcem storitev, ki bodo izbrani v skladu </w:t>
      </w:r>
      <w:bookmarkStart w:id="19" w:name="_Hlk92099773"/>
      <w:r w:rsidR="00EE101D">
        <w:rPr>
          <w:rFonts w:cs="Arial"/>
          <w:szCs w:val="20"/>
          <w:u w:color="000000"/>
        </w:rPr>
        <w:t>z zakonom, ki ureja javno</w:t>
      </w:r>
      <w:r w:rsidRPr="009E7480">
        <w:rPr>
          <w:rFonts w:cs="Arial"/>
          <w:szCs w:val="20"/>
          <w:u w:color="000000"/>
        </w:rPr>
        <w:t xml:space="preserve"> naročanje</w:t>
      </w:r>
      <w:bookmarkEnd w:id="19"/>
      <w:r w:rsidRPr="009E7480">
        <w:rPr>
          <w:rFonts w:cs="Arial"/>
          <w:szCs w:val="20"/>
          <w:u w:color="000000"/>
        </w:rPr>
        <w:t xml:space="preserve">, bodo storitve izplačane na podlagi prejetih računov s priloženimi: </w:t>
      </w:r>
    </w:p>
    <w:p w:rsidR="009E7480" w:rsidRPr="009E7480" w:rsidRDefault="009E7480" w:rsidP="00EE101D">
      <w:pPr>
        <w:numPr>
          <w:ilvl w:val="0"/>
          <w:numId w:val="7"/>
        </w:numPr>
        <w:overflowPunct w:val="0"/>
        <w:autoSpaceDE w:val="0"/>
        <w:autoSpaceDN w:val="0"/>
        <w:adjustRightInd w:val="0"/>
        <w:ind w:hanging="720"/>
        <w:jc w:val="both"/>
        <w:textAlignment w:val="baseline"/>
        <w:rPr>
          <w:rFonts w:cs="Arial"/>
          <w:szCs w:val="20"/>
          <w:u w:color="000000"/>
        </w:rPr>
      </w:pPr>
      <w:r w:rsidRPr="009E7480">
        <w:rPr>
          <w:rFonts w:cs="Arial"/>
          <w:szCs w:val="20"/>
          <w:u w:color="000000"/>
        </w:rPr>
        <w:t>dokazili o izvedbi dejavnosti v skladu s pogodbo ali naročilnico in</w:t>
      </w:r>
    </w:p>
    <w:p w:rsidR="009E7480" w:rsidRPr="009E7480" w:rsidRDefault="009E7480" w:rsidP="00EE101D">
      <w:pPr>
        <w:numPr>
          <w:ilvl w:val="0"/>
          <w:numId w:val="7"/>
        </w:numPr>
        <w:overflowPunct w:val="0"/>
        <w:autoSpaceDE w:val="0"/>
        <w:autoSpaceDN w:val="0"/>
        <w:adjustRightInd w:val="0"/>
        <w:ind w:hanging="720"/>
        <w:jc w:val="both"/>
        <w:textAlignment w:val="baseline"/>
        <w:rPr>
          <w:rFonts w:cs="Arial"/>
          <w:szCs w:val="20"/>
          <w:u w:color="000000"/>
        </w:rPr>
      </w:pPr>
      <w:r w:rsidRPr="009E7480">
        <w:rPr>
          <w:rFonts w:cs="Arial"/>
          <w:szCs w:val="20"/>
          <w:u w:color="000000"/>
        </w:rPr>
        <w:t>drugimi dokazili, določenimi v javnem naročilu.</w:t>
      </w:r>
    </w:p>
    <w:p w:rsidR="009E7480" w:rsidRPr="009E7480" w:rsidRDefault="009E7480" w:rsidP="009E7480">
      <w:pPr>
        <w:ind w:hanging="720"/>
        <w:rPr>
          <w:rFonts w:cs="Arial"/>
          <w:szCs w:val="20"/>
          <w:u w:color="000000"/>
        </w:rPr>
      </w:pPr>
    </w:p>
    <w:p w:rsidR="009E7480" w:rsidRPr="009E7480" w:rsidRDefault="009E7480" w:rsidP="009E7480">
      <w:pPr>
        <w:jc w:val="both"/>
        <w:rPr>
          <w:rFonts w:cs="Arial"/>
          <w:szCs w:val="20"/>
          <w:u w:color="000000"/>
        </w:rPr>
      </w:pPr>
      <w:r w:rsidRPr="009E7480">
        <w:rPr>
          <w:rFonts w:cs="Arial"/>
          <w:szCs w:val="20"/>
          <w:u w:color="000000"/>
        </w:rPr>
        <w:t>ARSKTRP izvede plačilo v skladu s tripartitno pogodbo na podlagi zahtevkov PMSNS po izvedenih aktivnostih, katerim se priložijo: vsa dokazila o izvedenih</w:t>
      </w:r>
      <w:r w:rsidR="00EE101D">
        <w:rPr>
          <w:rFonts w:cs="Arial"/>
          <w:szCs w:val="20"/>
          <w:u w:color="000000"/>
        </w:rPr>
        <w:t xml:space="preserve"> aktivnostih, vso dokumentacijo </w:t>
      </w:r>
      <w:r w:rsidRPr="009E7480">
        <w:rPr>
          <w:rFonts w:cs="Arial"/>
          <w:szCs w:val="20"/>
          <w:u w:color="000000"/>
        </w:rPr>
        <w:t xml:space="preserve">vezano na izvedbo postopkov javnega naročanja, račune, dokazila o plačilu, skladno s tem programom in pogodbo ter s predpisi s področja izvrševanja proračuna. </w:t>
      </w:r>
    </w:p>
    <w:p w:rsidR="009E7480" w:rsidRPr="009E7480" w:rsidRDefault="009E7480" w:rsidP="009E7480">
      <w:pPr>
        <w:jc w:val="both"/>
        <w:rPr>
          <w:rFonts w:cs="Arial"/>
          <w:szCs w:val="20"/>
          <w:u w:color="000000"/>
        </w:rPr>
      </w:pPr>
    </w:p>
    <w:p w:rsidR="009E7480" w:rsidRPr="009E7480" w:rsidRDefault="009E7480" w:rsidP="009E7480">
      <w:pPr>
        <w:jc w:val="both"/>
        <w:rPr>
          <w:rFonts w:cs="Arial"/>
          <w:b/>
          <w:bCs/>
          <w:szCs w:val="20"/>
          <w:u w:val="single" w:color="000000"/>
        </w:rPr>
      </w:pPr>
      <w:r w:rsidRPr="009E7480">
        <w:rPr>
          <w:rFonts w:cs="Arial"/>
          <w:b/>
          <w:bCs/>
          <w:szCs w:val="20"/>
          <w:u w:val="single" w:color="000000"/>
        </w:rPr>
        <w:t>Začetek izvajanja podukrepa 4.2</w:t>
      </w:r>
    </w:p>
    <w:p w:rsidR="009E7480" w:rsidRPr="009E7480" w:rsidRDefault="009E7480" w:rsidP="009E7480">
      <w:pPr>
        <w:jc w:val="both"/>
        <w:rPr>
          <w:rFonts w:cs="Arial"/>
          <w:szCs w:val="20"/>
          <w:u w:color="000000"/>
        </w:rPr>
      </w:pPr>
      <w:r w:rsidRPr="009E7480">
        <w:rPr>
          <w:rFonts w:cs="Arial"/>
          <w:szCs w:val="20"/>
          <w:u w:color="000000"/>
        </w:rPr>
        <w:t xml:space="preserve">Shema pomoči v skladu z Uredbo 702/2014/EU se lahko začne izvajati, ko Evropska komisija izda potrdilo o prejemu povzetka informacij o državni pomoči z identifikacijsko številko pomoči. </w:t>
      </w:r>
    </w:p>
    <w:p w:rsidR="009E7480" w:rsidRPr="009E7480" w:rsidRDefault="009E7480" w:rsidP="009E7480">
      <w:pPr>
        <w:jc w:val="both"/>
        <w:rPr>
          <w:rFonts w:cs="Arial"/>
          <w:szCs w:val="20"/>
          <w:u w:color="000000"/>
        </w:rPr>
      </w:pPr>
    </w:p>
    <w:p w:rsidR="009E7480" w:rsidRPr="009E7480" w:rsidRDefault="009E7480" w:rsidP="009E7480">
      <w:pPr>
        <w:jc w:val="both"/>
        <w:rPr>
          <w:rFonts w:cs="Arial"/>
          <w:szCs w:val="20"/>
          <w:u w:color="000000"/>
        </w:rPr>
      </w:pPr>
      <w:r w:rsidRPr="009E7480">
        <w:rPr>
          <w:rFonts w:cs="Arial"/>
          <w:szCs w:val="20"/>
          <w:u w:color="000000"/>
        </w:rPr>
        <w:t>PMSNS objavi obvestilo o prejemu potrdila Evropske komisije iz prejšnjega odstavka na svoji spletni strani.</w:t>
      </w:r>
    </w:p>
    <w:p w:rsidR="009E7480" w:rsidRPr="009E7480" w:rsidRDefault="009E7480" w:rsidP="009E7480">
      <w:pPr>
        <w:jc w:val="both"/>
        <w:rPr>
          <w:rFonts w:cs="Arial"/>
          <w:szCs w:val="20"/>
          <w:u w:color="000000"/>
        </w:rPr>
      </w:pPr>
    </w:p>
    <w:p w:rsidR="009E7480" w:rsidRPr="009E7480" w:rsidRDefault="009E7480" w:rsidP="009E7480">
      <w:pPr>
        <w:jc w:val="both"/>
        <w:rPr>
          <w:rFonts w:cs="Arial"/>
          <w:b/>
          <w:bCs/>
          <w:szCs w:val="20"/>
          <w:u w:val="single" w:color="000000"/>
        </w:rPr>
      </w:pPr>
      <w:r w:rsidRPr="009E7480">
        <w:rPr>
          <w:rFonts w:cs="Arial"/>
          <w:b/>
          <w:bCs/>
          <w:szCs w:val="20"/>
          <w:u w:val="single" w:color="000000"/>
        </w:rPr>
        <w:t>Združevanje pomoči</w:t>
      </w:r>
    </w:p>
    <w:p w:rsidR="009E7480" w:rsidRPr="009E7480" w:rsidRDefault="009E7480" w:rsidP="009E7480">
      <w:pPr>
        <w:jc w:val="both"/>
        <w:rPr>
          <w:rFonts w:cs="Arial"/>
          <w:szCs w:val="20"/>
          <w:u w:color="000000"/>
        </w:rPr>
      </w:pPr>
      <w:r w:rsidRPr="009E7480">
        <w:rPr>
          <w:rFonts w:cs="Arial"/>
          <w:szCs w:val="20"/>
          <w:u w:color="000000"/>
        </w:rPr>
        <w:t>Državna pomoč po podukrepu 4.2 se lahko dodeli hkrati na podlagi več shem ali skupaj s pomočjo ad hoc pod pogojem, da skupni znesek državne pomoči za isti namen oziroma dejavnost prenosa znanja in informiranja ne presega največje intenzivnosti pomoči ali zneska pomoči iz 21. člena Uredbe 702/2014/EU, v primeru aktivnosti spodbujevalnih ukrepov za kmetijske proizvode ne presega največje intenzivnosti pomoči ali zneska pomoči iz 24. člena Uredbe 702/2014/EU ter v primeru pomoči za storitve svetovanja ne presega največje intenzivnosti pomoči ali zneska pomoči iz 22. člena Uredbe 702/2014/EU.</w:t>
      </w:r>
    </w:p>
    <w:p w:rsidR="009E7480" w:rsidRPr="009E7480" w:rsidRDefault="009E7480" w:rsidP="009E7480">
      <w:pPr>
        <w:jc w:val="both"/>
        <w:rPr>
          <w:rFonts w:cs="Arial"/>
          <w:szCs w:val="20"/>
          <w:u w:color="000000"/>
        </w:rPr>
      </w:pPr>
    </w:p>
    <w:p w:rsidR="009E7480" w:rsidRPr="009E7480" w:rsidRDefault="009E7480" w:rsidP="009E7480">
      <w:pPr>
        <w:jc w:val="both"/>
        <w:rPr>
          <w:rFonts w:cs="Arial"/>
          <w:szCs w:val="20"/>
          <w:u w:color="000000"/>
        </w:rPr>
      </w:pPr>
      <w:r w:rsidRPr="009E7480">
        <w:rPr>
          <w:rFonts w:cs="Arial"/>
          <w:szCs w:val="20"/>
          <w:u w:color="000000"/>
        </w:rPr>
        <w:t xml:space="preserve">Državna pomoč po podukrepu 4.2 se lahko dodeli skupaj s katerokoli drugo državno pomočjo v zvezi z istimi upravičenimi stroški, ki se deloma ali v celoti prekrivajo samo, če s takim združevanjem ne bo presežena največja intenzivnost pomoči ali znesek pomoči, ki se uporablja za to vrsto pomoči v skladu z Uredbo 702/2014/EU. </w:t>
      </w:r>
    </w:p>
    <w:p w:rsidR="009E7480" w:rsidRPr="009E7480" w:rsidRDefault="009E7480" w:rsidP="009E7480">
      <w:pPr>
        <w:jc w:val="both"/>
        <w:rPr>
          <w:rFonts w:cs="Arial"/>
          <w:szCs w:val="20"/>
          <w:u w:color="000000"/>
        </w:rPr>
      </w:pPr>
    </w:p>
    <w:p w:rsidR="009E7480" w:rsidRPr="009E7480" w:rsidRDefault="009E7480" w:rsidP="009E7480">
      <w:pPr>
        <w:jc w:val="both"/>
        <w:rPr>
          <w:rFonts w:cs="Arial"/>
          <w:szCs w:val="20"/>
          <w:u w:color="000000"/>
        </w:rPr>
      </w:pPr>
      <w:r w:rsidRPr="009E7480">
        <w:rPr>
          <w:rFonts w:cs="Arial"/>
          <w:szCs w:val="20"/>
          <w:u w:color="000000"/>
        </w:rPr>
        <w:t xml:space="preserve">Poleg državne pomoči po podukrepu 4.2 se ne sme dodeliti nobena pomoč de </w:t>
      </w:r>
      <w:proofErr w:type="spellStart"/>
      <w:r w:rsidRPr="009E7480">
        <w:rPr>
          <w:rFonts w:cs="Arial"/>
          <w:szCs w:val="20"/>
          <w:u w:color="000000"/>
        </w:rPr>
        <w:t>minimis</w:t>
      </w:r>
      <w:proofErr w:type="spellEnd"/>
      <w:r w:rsidRPr="009E7480">
        <w:rPr>
          <w:rFonts w:cs="Arial"/>
          <w:szCs w:val="20"/>
          <w:u w:color="000000"/>
        </w:rPr>
        <w:t xml:space="preserve"> v zvezi z istimi upravičenimi stroški, če bi bila s takim združevanjem presežena intenzivnost pomoči ali znesek pomoči, ki so določeni v 21., 22. in 24. členu Uredbe 702/2014/EU.  </w:t>
      </w:r>
    </w:p>
    <w:p w:rsidR="009E7480" w:rsidRPr="009E7480" w:rsidRDefault="009E7480" w:rsidP="009E7480">
      <w:pPr>
        <w:jc w:val="both"/>
        <w:rPr>
          <w:rFonts w:cs="Arial"/>
          <w:szCs w:val="20"/>
          <w:u w:color="000000"/>
        </w:rPr>
      </w:pPr>
    </w:p>
    <w:p w:rsidR="009E7480" w:rsidRPr="009E7480" w:rsidRDefault="009E7480" w:rsidP="009E7480">
      <w:pPr>
        <w:jc w:val="both"/>
        <w:rPr>
          <w:rFonts w:cs="Arial"/>
          <w:b/>
          <w:bCs/>
          <w:szCs w:val="20"/>
          <w:u w:val="single" w:color="000000"/>
        </w:rPr>
      </w:pPr>
      <w:r w:rsidRPr="009E7480">
        <w:rPr>
          <w:rFonts w:cs="Arial"/>
          <w:b/>
          <w:bCs/>
          <w:szCs w:val="20"/>
          <w:u w:val="single" w:color="000000"/>
        </w:rPr>
        <w:t>Preglednost in poročanje</w:t>
      </w:r>
    </w:p>
    <w:p w:rsidR="009E7480" w:rsidRPr="009E7480" w:rsidRDefault="009E7480" w:rsidP="009E7480">
      <w:pPr>
        <w:jc w:val="both"/>
        <w:rPr>
          <w:rFonts w:cs="Arial"/>
          <w:szCs w:val="20"/>
          <w:u w:color="000000"/>
        </w:rPr>
      </w:pPr>
      <w:r w:rsidRPr="009E7480">
        <w:rPr>
          <w:rFonts w:cs="Arial"/>
          <w:szCs w:val="20"/>
          <w:u w:color="000000"/>
        </w:rPr>
        <w:t>V skladu z 9. členom Uredbe 702/2014/EU se na spletni strani MKGP objavijo vse zahtevane informacije o shemi državne pomoči po tem podukrepu, in sicer: celotno besedilo sheme pomoči, vključno s povzetkom informacij, in njene izvedbene določbe ali povezave na ta besedila ter podatki o organu, ki dodeljuje pomoč. Te informacije so na voljo splošni javnosti brez omejitev najmanj 10 let od datuma dodelitve pomoči.</w:t>
      </w:r>
    </w:p>
    <w:p w:rsidR="009E7480" w:rsidRPr="009E7480" w:rsidRDefault="009E7480" w:rsidP="009E7480">
      <w:pPr>
        <w:rPr>
          <w:rFonts w:cs="Arial"/>
          <w:szCs w:val="20"/>
          <w:u w:color="000000"/>
        </w:rPr>
      </w:pPr>
    </w:p>
    <w:p w:rsidR="009E7480" w:rsidRPr="009E7480" w:rsidRDefault="009E7480" w:rsidP="009E7480">
      <w:pPr>
        <w:jc w:val="both"/>
        <w:rPr>
          <w:rFonts w:cs="Arial"/>
          <w:szCs w:val="20"/>
          <w:u w:color="000000"/>
        </w:rPr>
      </w:pPr>
      <w:r w:rsidRPr="009E7480">
        <w:rPr>
          <w:rFonts w:cs="Arial"/>
          <w:szCs w:val="20"/>
          <w:u w:color="000000"/>
        </w:rPr>
        <w:t>PMSNS poroča MKGP o dodeljenih državnih pomočeh v okviru tega podukrepa v skladu s pravilnikom, ki ureja način dajanja podatkov in poročanje o državnih pomočeh s kmetijskega področja, in navodili, ki so objavljena na osrednjem spletnem mestu državne uprave.</w:t>
      </w:r>
    </w:p>
    <w:p w:rsidR="009E7480" w:rsidRDefault="009E7480" w:rsidP="009E7480">
      <w:pPr>
        <w:jc w:val="both"/>
        <w:rPr>
          <w:rFonts w:cs="Arial"/>
          <w:szCs w:val="20"/>
          <w:u w:color="000000"/>
        </w:rPr>
      </w:pPr>
    </w:p>
    <w:p w:rsidR="00EE101D" w:rsidRDefault="00EE101D" w:rsidP="009E7480">
      <w:pPr>
        <w:jc w:val="both"/>
        <w:rPr>
          <w:rFonts w:cs="Arial"/>
          <w:szCs w:val="20"/>
          <w:u w:color="000000"/>
        </w:rPr>
      </w:pPr>
    </w:p>
    <w:p w:rsidR="00EE101D" w:rsidRPr="009E7480" w:rsidRDefault="00EE101D" w:rsidP="009E7480">
      <w:pPr>
        <w:jc w:val="both"/>
        <w:rPr>
          <w:rFonts w:cs="Arial"/>
          <w:szCs w:val="20"/>
          <w:u w:color="000000"/>
        </w:rPr>
      </w:pPr>
    </w:p>
    <w:p w:rsidR="009E7480" w:rsidRPr="009E7480" w:rsidRDefault="009E7480" w:rsidP="009E7480">
      <w:pPr>
        <w:jc w:val="both"/>
        <w:rPr>
          <w:rFonts w:cs="Arial"/>
          <w:b/>
          <w:bCs/>
          <w:szCs w:val="20"/>
          <w:u w:val="single" w:color="000000"/>
        </w:rPr>
      </w:pPr>
      <w:r w:rsidRPr="009E7480">
        <w:rPr>
          <w:rFonts w:cs="Arial"/>
          <w:b/>
          <w:bCs/>
          <w:szCs w:val="20"/>
          <w:u w:val="single" w:color="000000"/>
        </w:rPr>
        <w:lastRenderedPageBreak/>
        <w:t>Hramba dokumentacije</w:t>
      </w:r>
    </w:p>
    <w:p w:rsidR="009E7480" w:rsidRPr="009E7480" w:rsidRDefault="009E7480" w:rsidP="009E7480">
      <w:pPr>
        <w:jc w:val="both"/>
        <w:rPr>
          <w:rFonts w:cs="Arial"/>
          <w:szCs w:val="20"/>
          <w:u w:color="000000"/>
        </w:rPr>
      </w:pPr>
      <w:r w:rsidRPr="009E7480">
        <w:rPr>
          <w:rFonts w:cs="Arial"/>
          <w:szCs w:val="20"/>
          <w:u w:color="000000"/>
        </w:rPr>
        <w:t>PMSNS natančne evidence z informacijami in dokazili o posameznih dodeljenih pomočeh hrani še 10 let od dneva, ko mu je bila dodeljena zadnja posamična pomoč v okviru podukrepa 4.2.</w:t>
      </w:r>
      <w:r w:rsidRPr="009E7480">
        <w:rPr>
          <w:rFonts w:eastAsia="Calibri" w:cs="Arial"/>
          <w:color w:val="000000"/>
          <w:szCs w:val="20"/>
        </w:rPr>
        <w:t>«.</w:t>
      </w:r>
    </w:p>
    <w:p w:rsidR="009E7480" w:rsidRPr="009E7480" w:rsidRDefault="009E7480" w:rsidP="009E7480">
      <w:pPr>
        <w:tabs>
          <w:tab w:val="left" w:pos="1214"/>
        </w:tabs>
        <w:jc w:val="both"/>
        <w:rPr>
          <w:rFonts w:cs="Arial"/>
          <w:szCs w:val="20"/>
          <w:u w:color="000000"/>
        </w:rPr>
      </w:pPr>
    </w:p>
    <w:p w:rsidR="009E7480" w:rsidRPr="009E7480" w:rsidRDefault="009E7480" w:rsidP="009E7480">
      <w:pPr>
        <w:numPr>
          <w:ilvl w:val="0"/>
          <w:numId w:val="10"/>
        </w:numPr>
        <w:overflowPunct w:val="0"/>
        <w:autoSpaceDE w:val="0"/>
        <w:autoSpaceDN w:val="0"/>
        <w:adjustRightInd w:val="0"/>
        <w:contextualSpacing/>
        <w:jc w:val="both"/>
        <w:textAlignment w:val="baseline"/>
        <w:rPr>
          <w:rFonts w:cs="Arial"/>
          <w:b/>
          <w:bCs/>
          <w:szCs w:val="20"/>
          <w:u w:val="single" w:color="000000"/>
        </w:rPr>
      </w:pPr>
      <w:r w:rsidRPr="009E7480">
        <w:rPr>
          <w:rFonts w:cs="Arial"/>
          <w:b/>
          <w:bCs/>
          <w:szCs w:val="20"/>
          <w:u w:val="single" w:color="000000"/>
        </w:rPr>
        <w:t xml:space="preserve">Shema de </w:t>
      </w:r>
      <w:proofErr w:type="spellStart"/>
      <w:r w:rsidRPr="009E7480">
        <w:rPr>
          <w:rFonts w:cs="Arial"/>
          <w:b/>
          <w:bCs/>
          <w:szCs w:val="20"/>
          <w:u w:val="single" w:color="000000"/>
        </w:rPr>
        <w:t>minimis</w:t>
      </w:r>
      <w:proofErr w:type="spellEnd"/>
      <w:r w:rsidRPr="009E7480">
        <w:rPr>
          <w:rFonts w:cs="Arial"/>
          <w:b/>
          <w:bCs/>
          <w:szCs w:val="20"/>
          <w:u w:val="single" w:color="000000"/>
        </w:rPr>
        <w:t xml:space="preserve"> pomoči v skladu z Uredbo 1407/2013/EU</w:t>
      </w:r>
    </w:p>
    <w:p w:rsidR="009E7480" w:rsidRPr="009E7480" w:rsidRDefault="009E7480" w:rsidP="009E7480">
      <w:pPr>
        <w:tabs>
          <w:tab w:val="left" w:pos="1214"/>
        </w:tabs>
        <w:jc w:val="both"/>
        <w:rPr>
          <w:rFonts w:cs="Arial"/>
          <w:szCs w:val="20"/>
          <w:u w:color="000000"/>
        </w:rPr>
      </w:pPr>
    </w:p>
    <w:p w:rsidR="009E7480" w:rsidRPr="009E7480" w:rsidRDefault="009E7480" w:rsidP="009E7480">
      <w:pPr>
        <w:tabs>
          <w:tab w:val="left" w:pos="1214"/>
        </w:tabs>
        <w:jc w:val="both"/>
        <w:rPr>
          <w:rFonts w:cs="Arial"/>
          <w:b/>
          <w:szCs w:val="20"/>
          <w:u w:color="000000"/>
        </w:rPr>
      </w:pPr>
      <w:r w:rsidRPr="009E7480">
        <w:rPr>
          <w:rFonts w:cs="Arial"/>
          <w:b/>
          <w:szCs w:val="20"/>
          <w:u w:color="000000"/>
        </w:rPr>
        <w:t xml:space="preserve">Pomoč iz podukrepa 4.2, ki se dodeli kot pomoč de </w:t>
      </w:r>
      <w:proofErr w:type="spellStart"/>
      <w:r w:rsidRPr="009E7480">
        <w:rPr>
          <w:rFonts w:cs="Arial"/>
          <w:b/>
          <w:szCs w:val="20"/>
          <w:u w:color="000000"/>
        </w:rPr>
        <w:t>minimis</w:t>
      </w:r>
      <w:proofErr w:type="spellEnd"/>
      <w:r w:rsidRPr="009E7480">
        <w:rPr>
          <w:rFonts w:cs="Arial"/>
          <w:b/>
          <w:szCs w:val="20"/>
          <w:u w:color="000000"/>
        </w:rPr>
        <w:t xml:space="preserve"> v skladu z Uredbo 1407/2013/EU, se ne dodeli za: </w:t>
      </w:r>
    </w:p>
    <w:p w:rsidR="009E7480" w:rsidRPr="009E7480" w:rsidRDefault="009E7480" w:rsidP="00EE101D">
      <w:pPr>
        <w:numPr>
          <w:ilvl w:val="0"/>
          <w:numId w:val="7"/>
        </w:numPr>
        <w:overflowPunct w:val="0"/>
        <w:autoSpaceDE w:val="0"/>
        <w:autoSpaceDN w:val="0"/>
        <w:adjustRightInd w:val="0"/>
        <w:ind w:hanging="720"/>
        <w:jc w:val="both"/>
        <w:textAlignment w:val="baseline"/>
        <w:rPr>
          <w:rFonts w:cs="Arial"/>
          <w:szCs w:val="20"/>
          <w:u w:color="000000"/>
        </w:rPr>
      </w:pPr>
      <w:r w:rsidRPr="009E7480">
        <w:rPr>
          <w:rFonts w:cs="Arial"/>
          <w:szCs w:val="20"/>
          <w:u w:color="000000"/>
        </w:rPr>
        <w:t xml:space="preserve">dejavnost ribištva in akvakulture; </w:t>
      </w:r>
    </w:p>
    <w:p w:rsidR="009E7480" w:rsidRPr="009E7480" w:rsidRDefault="009E7480" w:rsidP="00EE101D">
      <w:pPr>
        <w:numPr>
          <w:ilvl w:val="0"/>
          <w:numId w:val="7"/>
        </w:numPr>
        <w:overflowPunct w:val="0"/>
        <w:autoSpaceDE w:val="0"/>
        <w:autoSpaceDN w:val="0"/>
        <w:adjustRightInd w:val="0"/>
        <w:ind w:hanging="720"/>
        <w:jc w:val="both"/>
        <w:textAlignment w:val="baseline"/>
        <w:rPr>
          <w:rFonts w:cs="Arial"/>
          <w:szCs w:val="20"/>
          <w:u w:color="000000"/>
        </w:rPr>
      </w:pPr>
      <w:r w:rsidRPr="009E7480">
        <w:rPr>
          <w:rFonts w:cs="Arial"/>
          <w:szCs w:val="20"/>
          <w:u w:color="000000"/>
        </w:rPr>
        <w:t xml:space="preserve">primarno kmetijsko proizvodnjo, kot je opredeljena v 5. točki 2. člena Uredbe 702/2014/EU; </w:t>
      </w:r>
    </w:p>
    <w:p w:rsidR="009E7480" w:rsidRPr="009E7480" w:rsidRDefault="009E7480" w:rsidP="00EE101D">
      <w:pPr>
        <w:numPr>
          <w:ilvl w:val="0"/>
          <w:numId w:val="7"/>
        </w:numPr>
        <w:overflowPunct w:val="0"/>
        <w:autoSpaceDE w:val="0"/>
        <w:autoSpaceDN w:val="0"/>
        <w:adjustRightInd w:val="0"/>
        <w:ind w:hanging="720"/>
        <w:jc w:val="both"/>
        <w:textAlignment w:val="baseline"/>
        <w:rPr>
          <w:rFonts w:cs="Arial"/>
          <w:szCs w:val="20"/>
          <w:u w:color="000000"/>
        </w:rPr>
      </w:pPr>
      <w:r w:rsidRPr="009E7480">
        <w:rPr>
          <w:rFonts w:cs="Arial"/>
          <w:szCs w:val="20"/>
          <w:u w:color="000000"/>
        </w:rPr>
        <w:t>predelavo in trženje kmetijskih proizvodov, kot sta opredeljeni v 6. in 7. točki 2. člena Uredbe 702/2014/EU, v naslednjih primerih:</w:t>
      </w:r>
    </w:p>
    <w:p w:rsidR="009E7480" w:rsidRPr="009E7480" w:rsidRDefault="009E7480" w:rsidP="00EE101D">
      <w:pPr>
        <w:numPr>
          <w:ilvl w:val="0"/>
          <w:numId w:val="14"/>
        </w:numPr>
        <w:tabs>
          <w:tab w:val="left" w:pos="1276"/>
        </w:tabs>
        <w:overflowPunct w:val="0"/>
        <w:autoSpaceDE w:val="0"/>
        <w:autoSpaceDN w:val="0"/>
        <w:adjustRightInd w:val="0"/>
        <w:ind w:left="1276" w:hanging="567"/>
        <w:jc w:val="both"/>
        <w:textAlignment w:val="baseline"/>
        <w:rPr>
          <w:rFonts w:cs="Arial"/>
          <w:szCs w:val="20"/>
          <w:u w:color="000000"/>
        </w:rPr>
      </w:pPr>
      <w:r w:rsidRPr="009E7480">
        <w:rPr>
          <w:rFonts w:cs="Arial"/>
          <w:szCs w:val="20"/>
          <w:u w:color="000000"/>
        </w:rPr>
        <w:t>če je znesek pomoči določen na podlagi cene ali količine zadevnih proizvodov, ki so kupljeni od primarnih proizvajalcev ali jih zadevna podjetja dajo na trg,</w:t>
      </w:r>
    </w:p>
    <w:p w:rsidR="009E7480" w:rsidRPr="009E7480" w:rsidRDefault="009E7480" w:rsidP="00EE101D">
      <w:pPr>
        <w:numPr>
          <w:ilvl w:val="0"/>
          <w:numId w:val="14"/>
        </w:numPr>
        <w:tabs>
          <w:tab w:val="left" w:pos="1276"/>
        </w:tabs>
        <w:overflowPunct w:val="0"/>
        <w:autoSpaceDE w:val="0"/>
        <w:autoSpaceDN w:val="0"/>
        <w:adjustRightInd w:val="0"/>
        <w:ind w:left="1276" w:hanging="567"/>
        <w:jc w:val="both"/>
        <w:textAlignment w:val="baseline"/>
        <w:rPr>
          <w:rFonts w:cs="Arial"/>
          <w:szCs w:val="20"/>
          <w:u w:color="000000"/>
        </w:rPr>
      </w:pPr>
      <w:r w:rsidRPr="009E7480">
        <w:rPr>
          <w:rFonts w:cs="Arial"/>
          <w:szCs w:val="20"/>
          <w:u w:color="000000"/>
        </w:rPr>
        <w:t>če je pomoč pogojena s tem, da se delno ali v celoti prenese na primarne proizvajalce;</w:t>
      </w:r>
    </w:p>
    <w:p w:rsidR="009E7480" w:rsidRPr="009E7480" w:rsidRDefault="009E7480" w:rsidP="00EE101D">
      <w:pPr>
        <w:numPr>
          <w:ilvl w:val="0"/>
          <w:numId w:val="7"/>
        </w:numPr>
        <w:overflowPunct w:val="0"/>
        <w:autoSpaceDE w:val="0"/>
        <w:autoSpaceDN w:val="0"/>
        <w:adjustRightInd w:val="0"/>
        <w:ind w:hanging="720"/>
        <w:jc w:val="both"/>
        <w:textAlignment w:val="baseline"/>
        <w:rPr>
          <w:rFonts w:cs="Arial"/>
          <w:szCs w:val="20"/>
          <w:u w:color="000000"/>
        </w:rPr>
      </w:pPr>
      <w:r w:rsidRPr="009E7480">
        <w:rPr>
          <w:rFonts w:cs="Arial"/>
          <w:szCs w:val="20"/>
          <w:u w:color="000000"/>
        </w:rPr>
        <w:t>izvoz oziroma z izvozom povezane dejavnosti v tretje države ali države članice Evropske unije, kot je pomoč, neposredno povezana z izvoženimi količinami, z ustanovitvijo in delovanjem distribucijske mreže ali drugimi tekočimi izdatki, povezanimi z izvozno dejavnostjo;</w:t>
      </w:r>
    </w:p>
    <w:p w:rsidR="009E7480" w:rsidRPr="009E7480" w:rsidRDefault="009E7480" w:rsidP="00EE101D">
      <w:pPr>
        <w:numPr>
          <w:ilvl w:val="0"/>
          <w:numId w:val="7"/>
        </w:numPr>
        <w:overflowPunct w:val="0"/>
        <w:autoSpaceDE w:val="0"/>
        <w:autoSpaceDN w:val="0"/>
        <w:adjustRightInd w:val="0"/>
        <w:ind w:hanging="720"/>
        <w:jc w:val="both"/>
        <w:textAlignment w:val="baseline"/>
        <w:rPr>
          <w:rFonts w:cs="Arial"/>
          <w:szCs w:val="20"/>
          <w:u w:color="000000"/>
        </w:rPr>
      </w:pPr>
      <w:r w:rsidRPr="009E7480">
        <w:rPr>
          <w:rFonts w:cs="Arial"/>
          <w:szCs w:val="20"/>
          <w:u w:color="000000"/>
        </w:rPr>
        <w:t>dejavnosti, ki se pogojujejo s prednostno rabo domačih proizvodov pred uvoženimi.</w:t>
      </w:r>
    </w:p>
    <w:p w:rsidR="009E7480" w:rsidRPr="009E7480" w:rsidRDefault="009E7480" w:rsidP="009E7480">
      <w:pPr>
        <w:jc w:val="both"/>
        <w:rPr>
          <w:rFonts w:cs="Arial"/>
          <w:b/>
          <w:szCs w:val="20"/>
          <w:u w:val="single" w:color="000000"/>
        </w:rPr>
      </w:pPr>
    </w:p>
    <w:p w:rsidR="009E7480" w:rsidRPr="009E7480" w:rsidRDefault="009E7480" w:rsidP="009E7480">
      <w:pPr>
        <w:jc w:val="both"/>
        <w:rPr>
          <w:rFonts w:cs="Arial"/>
          <w:b/>
          <w:szCs w:val="20"/>
          <w:u w:val="single" w:color="000000"/>
        </w:rPr>
      </w:pPr>
      <w:r w:rsidRPr="009E7480">
        <w:rPr>
          <w:rFonts w:cs="Arial"/>
          <w:b/>
          <w:szCs w:val="20"/>
          <w:u w:val="single" w:color="000000"/>
        </w:rPr>
        <w:t xml:space="preserve">Sredstva tega podukrepa v okviru sheme de </w:t>
      </w:r>
      <w:proofErr w:type="spellStart"/>
      <w:r w:rsidRPr="009E7480">
        <w:rPr>
          <w:rFonts w:cs="Arial"/>
          <w:b/>
          <w:szCs w:val="20"/>
          <w:u w:val="single" w:color="000000"/>
        </w:rPr>
        <w:t>minimis</w:t>
      </w:r>
      <w:proofErr w:type="spellEnd"/>
      <w:r w:rsidRPr="009E7480">
        <w:rPr>
          <w:rFonts w:cs="Arial"/>
          <w:b/>
          <w:szCs w:val="20"/>
          <w:u w:val="single" w:color="000000"/>
        </w:rPr>
        <w:t>:</w:t>
      </w:r>
    </w:p>
    <w:p w:rsidR="009E7480" w:rsidRPr="009E7480" w:rsidRDefault="009E7480" w:rsidP="009E7480">
      <w:pPr>
        <w:tabs>
          <w:tab w:val="left" w:pos="1214"/>
        </w:tabs>
        <w:jc w:val="both"/>
        <w:rPr>
          <w:rFonts w:eastAsia="Calibri" w:cs="Arial"/>
          <w:szCs w:val="20"/>
          <w:lang w:eastAsia="sl-SI"/>
        </w:rPr>
      </w:pPr>
      <w:r w:rsidRPr="009E7480">
        <w:rPr>
          <w:rFonts w:eastAsia="Calibri" w:cs="Arial"/>
          <w:szCs w:val="20"/>
          <w:lang w:eastAsia="sl-SI"/>
        </w:rPr>
        <w:t xml:space="preserve">V okviru sheme de </w:t>
      </w:r>
      <w:proofErr w:type="spellStart"/>
      <w:r w:rsidRPr="009E7480">
        <w:rPr>
          <w:rFonts w:eastAsia="Calibri" w:cs="Arial"/>
          <w:szCs w:val="20"/>
          <w:lang w:eastAsia="sl-SI"/>
        </w:rPr>
        <w:t>minimis</w:t>
      </w:r>
      <w:proofErr w:type="spellEnd"/>
      <w:r w:rsidRPr="009E7480">
        <w:rPr>
          <w:rFonts w:eastAsia="Calibri" w:cs="Arial"/>
          <w:szCs w:val="20"/>
          <w:lang w:eastAsia="sl-SI"/>
        </w:rPr>
        <w:t xml:space="preserve"> so upravičeni stroški enaki kot za shemo državne pomoči v skladu z Uredbo 702/2014/EU (stroški v zvezi s prenosom znanja in informiranjem, svetovanjem in stroški v okviru promocijskih dejavnosti) pod pogojem, da se ne nanašajo na primarno kmetijsko proizvodnjo. </w:t>
      </w:r>
    </w:p>
    <w:p w:rsidR="009E7480" w:rsidRPr="009E7480" w:rsidRDefault="009E7480" w:rsidP="009E7480">
      <w:pPr>
        <w:tabs>
          <w:tab w:val="left" w:pos="1214"/>
        </w:tabs>
        <w:jc w:val="both"/>
        <w:rPr>
          <w:rFonts w:eastAsia="Calibri" w:cs="Arial"/>
          <w:color w:val="000000"/>
          <w:szCs w:val="20"/>
          <w:lang w:eastAsia="sl-SI"/>
        </w:rPr>
      </w:pPr>
    </w:p>
    <w:p w:rsidR="009E7480" w:rsidRPr="009E7480" w:rsidRDefault="009E7480" w:rsidP="009E7480">
      <w:pPr>
        <w:jc w:val="both"/>
        <w:rPr>
          <w:rFonts w:cs="Arial"/>
          <w:szCs w:val="20"/>
          <w:u w:color="000000"/>
        </w:rPr>
      </w:pPr>
      <w:r w:rsidRPr="009E7480">
        <w:rPr>
          <w:rFonts w:cs="Arial"/>
          <w:b/>
          <w:bCs/>
          <w:szCs w:val="20"/>
          <w:u w:val="single" w:color="000000"/>
        </w:rPr>
        <w:t>Stopnja intenzivnosti pomoči in financiranje</w:t>
      </w:r>
      <w:r w:rsidRPr="009E7480">
        <w:rPr>
          <w:rFonts w:cs="Arial"/>
          <w:szCs w:val="20"/>
          <w:u w:color="000000"/>
        </w:rPr>
        <w:t xml:space="preserve"> </w:t>
      </w:r>
    </w:p>
    <w:p w:rsidR="009E7480" w:rsidRPr="009E7480" w:rsidRDefault="009E7480" w:rsidP="009E7480">
      <w:pPr>
        <w:tabs>
          <w:tab w:val="left" w:pos="1214"/>
        </w:tabs>
        <w:jc w:val="both"/>
        <w:rPr>
          <w:rFonts w:cs="Arial"/>
          <w:szCs w:val="20"/>
          <w:u w:color="000000"/>
        </w:rPr>
      </w:pPr>
      <w:r w:rsidRPr="009E7480">
        <w:rPr>
          <w:rFonts w:cs="Arial"/>
          <w:szCs w:val="20"/>
          <w:u w:color="000000"/>
        </w:rPr>
        <w:t xml:space="preserve">Skupni znesek pomoči, dodeljen enotnemu podjetju, kot je opredeljeno v drugem odstavku </w:t>
      </w:r>
      <w:r w:rsidR="002B78C4">
        <w:rPr>
          <w:rFonts w:cs="Arial"/>
          <w:szCs w:val="20"/>
          <w:u w:color="000000"/>
        </w:rPr>
        <w:br/>
      </w:r>
      <w:r w:rsidRPr="009E7480">
        <w:rPr>
          <w:rFonts w:cs="Arial"/>
          <w:szCs w:val="20"/>
          <w:u w:color="000000"/>
        </w:rPr>
        <w:t xml:space="preserve">2. člena Uredbe 1407/2013/EU, ne bo presegel 200.000,00 </w:t>
      </w:r>
      <w:proofErr w:type="spellStart"/>
      <w:r w:rsidRPr="009E7480">
        <w:rPr>
          <w:rFonts w:cs="Arial"/>
          <w:szCs w:val="20"/>
          <w:u w:color="000000"/>
        </w:rPr>
        <w:t>eurov</w:t>
      </w:r>
      <w:proofErr w:type="spellEnd"/>
      <w:r w:rsidRPr="009E7480">
        <w:rPr>
          <w:rFonts w:cs="Arial"/>
          <w:szCs w:val="20"/>
          <w:u w:color="000000"/>
        </w:rPr>
        <w:t xml:space="preserve"> v obdobju zadnjih treh proračunskih let, ne glede na obliko ali namen pomoči ter ne glede na to, ali se pomoč dodeli iz sredstev države, lokalnih skupnosti ali Unije.</w:t>
      </w:r>
    </w:p>
    <w:p w:rsidR="009E7480" w:rsidRPr="009E7480" w:rsidRDefault="009E7480" w:rsidP="009E7480">
      <w:pPr>
        <w:tabs>
          <w:tab w:val="left" w:pos="1214"/>
        </w:tabs>
        <w:jc w:val="both"/>
        <w:rPr>
          <w:rFonts w:cs="Arial"/>
          <w:szCs w:val="20"/>
          <w:u w:color="000000"/>
        </w:rPr>
      </w:pPr>
    </w:p>
    <w:p w:rsidR="009E7480" w:rsidRPr="009E7480" w:rsidRDefault="009E7480" w:rsidP="009E7480">
      <w:pPr>
        <w:tabs>
          <w:tab w:val="left" w:pos="1214"/>
        </w:tabs>
        <w:jc w:val="both"/>
        <w:rPr>
          <w:rFonts w:cs="Arial"/>
          <w:b/>
          <w:bCs/>
          <w:szCs w:val="20"/>
          <w:u w:color="000000"/>
        </w:rPr>
      </w:pPr>
      <w:r w:rsidRPr="009E7480">
        <w:rPr>
          <w:rFonts w:cs="Arial"/>
          <w:b/>
          <w:bCs/>
          <w:szCs w:val="20"/>
          <w:u w:color="000000"/>
        </w:rPr>
        <w:t xml:space="preserve">Združevanje pomoči: </w:t>
      </w:r>
    </w:p>
    <w:p w:rsidR="009E7480" w:rsidRPr="009E7480" w:rsidRDefault="009E7480" w:rsidP="00EE101D">
      <w:pPr>
        <w:numPr>
          <w:ilvl w:val="0"/>
          <w:numId w:val="7"/>
        </w:numPr>
        <w:overflowPunct w:val="0"/>
        <w:autoSpaceDE w:val="0"/>
        <w:autoSpaceDN w:val="0"/>
        <w:adjustRightInd w:val="0"/>
        <w:ind w:hanging="720"/>
        <w:jc w:val="both"/>
        <w:textAlignment w:val="baseline"/>
        <w:rPr>
          <w:rFonts w:cs="Arial"/>
          <w:szCs w:val="20"/>
          <w:u w:color="000000"/>
        </w:rPr>
      </w:pPr>
      <w:r w:rsidRPr="009E7480">
        <w:rPr>
          <w:rFonts w:cs="Arial"/>
          <w:szCs w:val="20"/>
          <w:u w:color="000000"/>
        </w:rPr>
        <w:t xml:space="preserve">pomoč de </w:t>
      </w:r>
      <w:proofErr w:type="spellStart"/>
      <w:r w:rsidRPr="009E7480">
        <w:rPr>
          <w:rFonts w:cs="Arial"/>
          <w:szCs w:val="20"/>
          <w:u w:color="000000"/>
        </w:rPr>
        <w:t>minimis</w:t>
      </w:r>
      <w:proofErr w:type="spellEnd"/>
      <w:r w:rsidRPr="009E7480">
        <w:rPr>
          <w:rFonts w:cs="Arial"/>
          <w:szCs w:val="20"/>
          <w:u w:color="000000"/>
        </w:rPr>
        <w:t xml:space="preserve"> se ne sme </w:t>
      </w:r>
      <w:proofErr w:type="spellStart"/>
      <w:r w:rsidRPr="009E7480">
        <w:rPr>
          <w:rFonts w:cs="Arial"/>
          <w:szCs w:val="20"/>
          <w:u w:color="000000"/>
        </w:rPr>
        <w:t>kumulirati</w:t>
      </w:r>
      <w:proofErr w:type="spellEnd"/>
      <w:r w:rsidRPr="009E7480">
        <w:rPr>
          <w:rFonts w:cs="Arial"/>
          <w:szCs w:val="20"/>
          <w:u w:color="000000"/>
        </w:rPr>
        <w:t xml:space="preserve"> z državno pomočjo v zvezi z istimi upravičenimi stroški ali državno pomočjo za isti ukrep za financiranje tveganja, če bi se s takšno kumulacijo presegla največja intenzivnost pomoči ali znesek pomoči;</w:t>
      </w:r>
    </w:p>
    <w:p w:rsidR="009E7480" w:rsidRPr="009E7480" w:rsidRDefault="009E7480" w:rsidP="00EE101D">
      <w:pPr>
        <w:numPr>
          <w:ilvl w:val="0"/>
          <w:numId w:val="7"/>
        </w:numPr>
        <w:overflowPunct w:val="0"/>
        <w:autoSpaceDE w:val="0"/>
        <w:autoSpaceDN w:val="0"/>
        <w:adjustRightInd w:val="0"/>
        <w:ind w:hanging="720"/>
        <w:jc w:val="both"/>
        <w:textAlignment w:val="baseline"/>
        <w:rPr>
          <w:rFonts w:cs="Arial"/>
          <w:szCs w:val="20"/>
          <w:u w:color="000000"/>
        </w:rPr>
      </w:pPr>
      <w:r w:rsidRPr="009E7480">
        <w:rPr>
          <w:rFonts w:cs="Arial"/>
          <w:szCs w:val="20"/>
          <w:u w:color="000000"/>
        </w:rPr>
        <w:t xml:space="preserve">pomoč de </w:t>
      </w:r>
      <w:proofErr w:type="spellStart"/>
      <w:r w:rsidRPr="009E7480">
        <w:rPr>
          <w:rFonts w:cs="Arial"/>
          <w:szCs w:val="20"/>
          <w:u w:color="000000"/>
        </w:rPr>
        <w:t>minimis</w:t>
      </w:r>
      <w:proofErr w:type="spellEnd"/>
      <w:r w:rsidRPr="009E7480">
        <w:rPr>
          <w:rFonts w:cs="Arial"/>
          <w:szCs w:val="20"/>
          <w:u w:color="000000"/>
        </w:rPr>
        <w:t xml:space="preserve">, dodeljena v skladu z Uredbo 1407/2013/EU, se lahko </w:t>
      </w:r>
      <w:proofErr w:type="spellStart"/>
      <w:r w:rsidRPr="009E7480">
        <w:rPr>
          <w:rFonts w:cs="Arial"/>
          <w:szCs w:val="20"/>
          <w:u w:color="000000"/>
        </w:rPr>
        <w:t>kumulira</w:t>
      </w:r>
      <w:proofErr w:type="spellEnd"/>
      <w:r w:rsidRPr="009E7480">
        <w:rPr>
          <w:rFonts w:cs="Arial"/>
          <w:szCs w:val="20"/>
          <w:u w:color="000000"/>
        </w:rPr>
        <w:t xml:space="preserve"> s pomočjo de </w:t>
      </w:r>
      <w:proofErr w:type="spellStart"/>
      <w:r w:rsidRPr="009E7480">
        <w:rPr>
          <w:rFonts w:cs="Arial"/>
          <w:szCs w:val="20"/>
          <w:u w:color="000000"/>
        </w:rPr>
        <w:t>minimis</w:t>
      </w:r>
      <w:proofErr w:type="spellEnd"/>
      <w:r w:rsidRPr="009E7480">
        <w:rPr>
          <w:rFonts w:cs="Arial"/>
          <w:szCs w:val="20"/>
          <w:u w:color="000000"/>
        </w:rPr>
        <w:t xml:space="preserve">, dodeljeno v skladu z Uredbo Komisije (EU) št. 360/2012 z dne 25. aprila 2012 o uporabi členov 107 in 108 Pogodbe o delovanju Evropske unije pri pomoči de </w:t>
      </w:r>
      <w:proofErr w:type="spellStart"/>
      <w:r w:rsidRPr="009E7480">
        <w:rPr>
          <w:rFonts w:cs="Arial"/>
          <w:szCs w:val="20"/>
          <w:u w:color="000000"/>
        </w:rPr>
        <w:t>minimis</w:t>
      </w:r>
      <w:proofErr w:type="spellEnd"/>
      <w:r w:rsidRPr="009E7480">
        <w:rPr>
          <w:rFonts w:cs="Arial"/>
          <w:szCs w:val="20"/>
          <w:u w:color="000000"/>
        </w:rPr>
        <w:t xml:space="preserve"> za podjetja, ki opravljajo storitve splošnega gospodarskega pomena (UL L št. 114 z dne 26. 4. 2012, str. 8), zadnjič spremenjeno z Uredbo Komisije (EU) 2020/1474 z dne 13. oktobra 2020 o spremembi Uredbe (EU) št. 360/2012 glede podaljšanja njenega obdobja uporabe in časovno omejenega odstopanja za podjetja v težavah, da bi se upošteval učinek pandemije COVID-19 (UL L št. 337 z dne </w:t>
      </w:r>
      <w:r w:rsidR="002B78C4">
        <w:rPr>
          <w:rFonts w:cs="Arial"/>
          <w:szCs w:val="20"/>
          <w:u w:color="000000"/>
        </w:rPr>
        <w:br/>
      </w:r>
      <w:r w:rsidRPr="009E7480">
        <w:rPr>
          <w:rFonts w:cs="Arial"/>
          <w:szCs w:val="20"/>
          <w:u w:color="000000"/>
        </w:rPr>
        <w:t>14. 10. 2020, str. 1), (v nadaljnjem besedilu: Uredba 360/2012/EU) do zgornje meje, določene v Uredbi 360/2012/EU;</w:t>
      </w:r>
    </w:p>
    <w:p w:rsidR="009E7480" w:rsidRPr="009E7480" w:rsidRDefault="009E7480" w:rsidP="00EE101D">
      <w:pPr>
        <w:numPr>
          <w:ilvl w:val="0"/>
          <w:numId w:val="7"/>
        </w:numPr>
        <w:overflowPunct w:val="0"/>
        <w:autoSpaceDE w:val="0"/>
        <w:autoSpaceDN w:val="0"/>
        <w:adjustRightInd w:val="0"/>
        <w:ind w:hanging="720"/>
        <w:jc w:val="both"/>
        <w:textAlignment w:val="baseline"/>
        <w:rPr>
          <w:rFonts w:cs="Arial"/>
          <w:szCs w:val="20"/>
          <w:u w:color="000000"/>
        </w:rPr>
      </w:pPr>
      <w:r w:rsidRPr="009E7480">
        <w:rPr>
          <w:rFonts w:cs="Arial"/>
          <w:szCs w:val="20"/>
          <w:u w:color="000000"/>
        </w:rPr>
        <w:t xml:space="preserve">pomoč de </w:t>
      </w:r>
      <w:proofErr w:type="spellStart"/>
      <w:r w:rsidRPr="009E7480">
        <w:rPr>
          <w:rFonts w:cs="Arial"/>
          <w:szCs w:val="20"/>
          <w:u w:color="000000"/>
        </w:rPr>
        <w:t>minimis</w:t>
      </w:r>
      <w:proofErr w:type="spellEnd"/>
      <w:r w:rsidRPr="009E7480">
        <w:rPr>
          <w:rFonts w:cs="Arial"/>
          <w:szCs w:val="20"/>
          <w:u w:color="000000"/>
        </w:rPr>
        <w:t xml:space="preserve">, dodeljena v skladu z Uredbo 1407/2013/EU se lahko </w:t>
      </w:r>
      <w:proofErr w:type="spellStart"/>
      <w:r w:rsidRPr="009E7480">
        <w:rPr>
          <w:rFonts w:cs="Arial"/>
          <w:szCs w:val="20"/>
          <w:u w:color="000000"/>
        </w:rPr>
        <w:t>kumulira</w:t>
      </w:r>
      <w:proofErr w:type="spellEnd"/>
      <w:r w:rsidRPr="009E7480">
        <w:rPr>
          <w:rFonts w:cs="Arial"/>
          <w:szCs w:val="20"/>
          <w:u w:color="000000"/>
        </w:rPr>
        <w:t xml:space="preserve"> s pomočjo de </w:t>
      </w:r>
      <w:proofErr w:type="spellStart"/>
      <w:r w:rsidRPr="009E7480">
        <w:rPr>
          <w:rFonts w:cs="Arial"/>
          <w:szCs w:val="20"/>
          <w:u w:color="000000"/>
        </w:rPr>
        <w:t>minimis</w:t>
      </w:r>
      <w:proofErr w:type="spellEnd"/>
      <w:r w:rsidRPr="009E7480">
        <w:rPr>
          <w:rFonts w:cs="Arial"/>
          <w:szCs w:val="20"/>
          <w:u w:color="000000"/>
        </w:rPr>
        <w:t xml:space="preserve">, dodeljeno v skladu z drugimi uredbami de </w:t>
      </w:r>
      <w:proofErr w:type="spellStart"/>
      <w:r w:rsidRPr="009E7480">
        <w:rPr>
          <w:rFonts w:cs="Arial"/>
          <w:szCs w:val="20"/>
          <w:u w:color="000000"/>
        </w:rPr>
        <w:t>minimis</w:t>
      </w:r>
      <w:proofErr w:type="spellEnd"/>
      <w:r w:rsidRPr="009E7480">
        <w:rPr>
          <w:rFonts w:cs="Arial"/>
          <w:szCs w:val="20"/>
          <w:u w:color="000000"/>
        </w:rPr>
        <w:t xml:space="preserve"> do ustrezne zgornje meje (200.000 oz. 100.000 </w:t>
      </w:r>
      <w:proofErr w:type="spellStart"/>
      <w:r w:rsidRPr="009E7480">
        <w:rPr>
          <w:rFonts w:cs="Arial"/>
          <w:szCs w:val="20"/>
          <w:u w:color="000000"/>
        </w:rPr>
        <w:t>eurov</w:t>
      </w:r>
      <w:proofErr w:type="spellEnd"/>
      <w:r w:rsidRPr="009E7480">
        <w:rPr>
          <w:rFonts w:cs="Arial"/>
          <w:szCs w:val="20"/>
          <w:u w:color="000000"/>
        </w:rPr>
        <w:t>).</w:t>
      </w:r>
    </w:p>
    <w:p w:rsidR="009E7480" w:rsidRPr="009E7480" w:rsidRDefault="009E7480" w:rsidP="009E7480">
      <w:pPr>
        <w:tabs>
          <w:tab w:val="left" w:pos="1214"/>
        </w:tabs>
        <w:jc w:val="both"/>
        <w:rPr>
          <w:rFonts w:cs="Arial"/>
          <w:szCs w:val="20"/>
          <w:u w:color="000000"/>
        </w:rPr>
      </w:pPr>
    </w:p>
    <w:p w:rsidR="009E7480" w:rsidRPr="009E7480" w:rsidRDefault="009E7480" w:rsidP="009E7480">
      <w:pPr>
        <w:jc w:val="both"/>
        <w:rPr>
          <w:rFonts w:cs="Arial"/>
          <w:b/>
          <w:bCs/>
          <w:szCs w:val="20"/>
          <w:u w:val="single" w:color="000000"/>
        </w:rPr>
      </w:pPr>
      <w:r w:rsidRPr="009E7480">
        <w:rPr>
          <w:rFonts w:cs="Arial"/>
          <w:b/>
          <w:bCs/>
          <w:szCs w:val="20"/>
          <w:u w:val="single" w:color="000000"/>
        </w:rPr>
        <w:lastRenderedPageBreak/>
        <w:t>Preglednost in poročanje</w:t>
      </w:r>
    </w:p>
    <w:p w:rsidR="009E7480" w:rsidRPr="009E7480" w:rsidRDefault="009E7480" w:rsidP="009E7480">
      <w:pPr>
        <w:tabs>
          <w:tab w:val="left" w:pos="1214"/>
        </w:tabs>
        <w:jc w:val="both"/>
        <w:rPr>
          <w:rFonts w:cs="Arial"/>
          <w:szCs w:val="20"/>
          <w:u w:color="000000"/>
        </w:rPr>
      </w:pPr>
      <w:r w:rsidRPr="009E7480">
        <w:rPr>
          <w:rFonts w:cs="Arial"/>
          <w:szCs w:val="20"/>
          <w:u w:color="000000"/>
        </w:rPr>
        <w:t>PMSNS bo od prejemnika pomoči pred dodelitvijo sredstev pridobila pisno izjavo o:</w:t>
      </w:r>
    </w:p>
    <w:p w:rsidR="009E7480" w:rsidRPr="009E7480" w:rsidRDefault="009E7480" w:rsidP="00EE101D">
      <w:pPr>
        <w:numPr>
          <w:ilvl w:val="0"/>
          <w:numId w:val="7"/>
        </w:numPr>
        <w:overflowPunct w:val="0"/>
        <w:autoSpaceDE w:val="0"/>
        <w:autoSpaceDN w:val="0"/>
        <w:adjustRightInd w:val="0"/>
        <w:ind w:hanging="720"/>
        <w:jc w:val="both"/>
        <w:textAlignment w:val="baseline"/>
        <w:rPr>
          <w:rFonts w:cs="Arial"/>
          <w:szCs w:val="20"/>
          <w:u w:color="000000"/>
          <w:lang w:eastAsia="sl-SI"/>
        </w:rPr>
      </w:pPr>
      <w:r w:rsidRPr="009E7480">
        <w:rPr>
          <w:rFonts w:cs="Arial"/>
          <w:szCs w:val="20"/>
          <w:u w:color="000000"/>
        </w:rPr>
        <w:t xml:space="preserve">vseh drugih pomočeh de </w:t>
      </w:r>
      <w:proofErr w:type="spellStart"/>
      <w:r w:rsidRPr="009E7480">
        <w:rPr>
          <w:rFonts w:cs="Arial"/>
          <w:szCs w:val="20"/>
          <w:u w:color="000000"/>
        </w:rPr>
        <w:t>minimis</w:t>
      </w:r>
      <w:proofErr w:type="spellEnd"/>
      <w:r w:rsidRPr="009E7480">
        <w:rPr>
          <w:rFonts w:cs="Arial"/>
          <w:szCs w:val="20"/>
          <w:u w:color="000000"/>
        </w:rPr>
        <w:t xml:space="preserve">, ki jih je enotno podjetje prejelo na podlagi Uredbe 1407/2013/EU ali drugih uredb de </w:t>
      </w:r>
      <w:proofErr w:type="spellStart"/>
      <w:r w:rsidRPr="009E7480">
        <w:rPr>
          <w:rFonts w:cs="Arial"/>
          <w:szCs w:val="20"/>
          <w:u w:color="000000"/>
        </w:rPr>
        <w:t>minimis</w:t>
      </w:r>
      <w:proofErr w:type="spellEnd"/>
      <w:r w:rsidRPr="009E7480">
        <w:rPr>
          <w:rFonts w:cs="Arial"/>
          <w:szCs w:val="20"/>
          <w:u w:color="000000"/>
        </w:rPr>
        <w:t xml:space="preserve"> v predhodnih dveh in v tekočem proračunskem letu</w:t>
      </w:r>
      <w:r w:rsidRPr="009E7480">
        <w:rPr>
          <w:rFonts w:cs="Arial"/>
          <w:szCs w:val="20"/>
          <w:u w:color="000000"/>
          <w:lang w:eastAsia="sl-SI"/>
        </w:rPr>
        <w:t>,</w:t>
      </w:r>
    </w:p>
    <w:p w:rsidR="009E7480" w:rsidRPr="009E7480" w:rsidRDefault="009E7480" w:rsidP="00EE101D">
      <w:pPr>
        <w:numPr>
          <w:ilvl w:val="0"/>
          <w:numId w:val="7"/>
        </w:numPr>
        <w:overflowPunct w:val="0"/>
        <w:autoSpaceDE w:val="0"/>
        <w:autoSpaceDN w:val="0"/>
        <w:adjustRightInd w:val="0"/>
        <w:ind w:hanging="720"/>
        <w:jc w:val="both"/>
        <w:textAlignment w:val="baseline"/>
        <w:rPr>
          <w:rFonts w:cs="Arial"/>
          <w:szCs w:val="20"/>
          <w:u w:color="000000"/>
        </w:rPr>
      </w:pPr>
      <w:r w:rsidRPr="009E7480">
        <w:rPr>
          <w:rFonts w:cs="Arial"/>
          <w:szCs w:val="20"/>
          <w:u w:color="000000"/>
        </w:rPr>
        <w:t xml:space="preserve">drugih že prejetih (ali zaprošenih) pomočeh za iste upravičene stroške.  </w:t>
      </w:r>
    </w:p>
    <w:p w:rsidR="009E7480" w:rsidRPr="009E7480" w:rsidRDefault="009E7480" w:rsidP="009E7480">
      <w:pPr>
        <w:tabs>
          <w:tab w:val="left" w:pos="1214"/>
        </w:tabs>
        <w:ind w:left="360"/>
        <w:jc w:val="both"/>
        <w:rPr>
          <w:rFonts w:cs="Arial"/>
          <w:szCs w:val="20"/>
          <w:u w:color="000000"/>
        </w:rPr>
      </w:pPr>
    </w:p>
    <w:p w:rsidR="009E7480" w:rsidRPr="009E7480" w:rsidRDefault="009E7480" w:rsidP="009E7480">
      <w:pPr>
        <w:tabs>
          <w:tab w:val="left" w:pos="1214"/>
        </w:tabs>
        <w:jc w:val="both"/>
        <w:rPr>
          <w:rFonts w:cs="Arial"/>
          <w:szCs w:val="20"/>
          <w:u w:color="000000"/>
        </w:rPr>
      </w:pPr>
      <w:r w:rsidRPr="009E7480">
        <w:rPr>
          <w:rFonts w:cs="Arial"/>
          <w:szCs w:val="20"/>
          <w:u w:color="000000"/>
        </w:rPr>
        <w:t xml:space="preserve">PMSNS zagotovi, da z dodeljenim zneskom pomoči de </w:t>
      </w:r>
      <w:proofErr w:type="spellStart"/>
      <w:r w:rsidRPr="009E7480">
        <w:rPr>
          <w:rFonts w:cs="Arial"/>
          <w:szCs w:val="20"/>
          <w:u w:color="000000"/>
        </w:rPr>
        <w:t>minimis</w:t>
      </w:r>
      <w:proofErr w:type="spellEnd"/>
      <w:r w:rsidRPr="009E7480">
        <w:rPr>
          <w:rFonts w:cs="Arial"/>
          <w:szCs w:val="20"/>
          <w:u w:color="000000"/>
        </w:rPr>
        <w:t xml:space="preserve">, ne bo presežena zgornja meja de </w:t>
      </w:r>
      <w:proofErr w:type="spellStart"/>
      <w:r w:rsidRPr="009E7480">
        <w:rPr>
          <w:rFonts w:cs="Arial"/>
          <w:szCs w:val="20"/>
          <w:u w:color="000000"/>
        </w:rPr>
        <w:t>minimis</w:t>
      </w:r>
      <w:proofErr w:type="spellEnd"/>
      <w:r w:rsidRPr="009E7480">
        <w:rPr>
          <w:rFonts w:cs="Arial"/>
          <w:szCs w:val="20"/>
          <w:u w:color="000000"/>
        </w:rPr>
        <w:t xml:space="preserve"> pomoči ter intenzivnosti pomoči po drugih predpisih. </w:t>
      </w:r>
    </w:p>
    <w:p w:rsidR="009E7480" w:rsidRPr="009E7480" w:rsidRDefault="009E7480" w:rsidP="009E7480">
      <w:pPr>
        <w:tabs>
          <w:tab w:val="left" w:pos="1214"/>
        </w:tabs>
        <w:jc w:val="both"/>
        <w:rPr>
          <w:rFonts w:cs="Arial"/>
          <w:szCs w:val="20"/>
          <w:u w:color="000000"/>
        </w:rPr>
      </w:pPr>
    </w:p>
    <w:p w:rsidR="009E7480" w:rsidRPr="009E7480" w:rsidRDefault="009E7480" w:rsidP="009E7480">
      <w:pPr>
        <w:tabs>
          <w:tab w:val="left" w:pos="1214"/>
        </w:tabs>
        <w:jc w:val="both"/>
        <w:rPr>
          <w:rFonts w:cs="Arial"/>
          <w:szCs w:val="20"/>
          <w:u w:color="000000"/>
        </w:rPr>
      </w:pPr>
      <w:r w:rsidRPr="009E7480">
        <w:rPr>
          <w:rFonts w:cs="Arial"/>
          <w:szCs w:val="20"/>
          <w:u w:color="000000"/>
        </w:rPr>
        <w:t xml:space="preserve">PMSNS bo pisno obvestil prejemnika: </w:t>
      </w:r>
    </w:p>
    <w:p w:rsidR="009E7480" w:rsidRPr="009E7480" w:rsidRDefault="009E7480" w:rsidP="00A36D4B">
      <w:pPr>
        <w:numPr>
          <w:ilvl w:val="0"/>
          <w:numId w:val="7"/>
        </w:numPr>
        <w:overflowPunct w:val="0"/>
        <w:autoSpaceDE w:val="0"/>
        <w:autoSpaceDN w:val="0"/>
        <w:adjustRightInd w:val="0"/>
        <w:ind w:hanging="720"/>
        <w:jc w:val="both"/>
        <w:textAlignment w:val="baseline"/>
        <w:rPr>
          <w:rFonts w:cs="Arial"/>
          <w:szCs w:val="20"/>
          <w:u w:color="000000"/>
        </w:rPr>
      </w:pPr>
      <w:r w:rsidRPr="009E7480">
        <w:rPr>
          <w:rFonts w:cs="Arial"/>
          <w:szCs w:val="20"/>
          <w:u w:color="000000"/>
        </w:rPr>
        <w:t xml:space="preserve">da mu je pomoč dodeljena po pravilu »de </w:t>
      </w:r>
      <w:proofErr w:type="spellStart"/>
      <w:r w:rsidRPr="009E7480">
        <w:rPr>
          <w:rFonts w:cs="Arial"/>
          <w:szCs w:val="20"/>
          <w:u w:color="000000"/>
        </w:rPr>
        <w:t>minimis</w:t>
      </w:r>
      <w:proofErr w:type="spellEnd"/>
      <w:r w:rsidRPr="009E7480">
        <w:rPr>
          <w:rFonts w:cs="Arial"/>
          <w:szCs w:val="20"/>
          <w:u w:color="000000"/>
        </w:rPr>
        <w:t xml:space="preserve"> v skladu z Uredbo 1407/2013/EU,</w:t>
      </w:r>
    </w:p>
    <w:p w:rsidR="009E7480" w:rsidRPr="009E7480" w:rsidRDefault="009E7480" w:rsidP="00A36D4B">
      <w:pPr>
        <w:numPr>
          <w:ilvl w:val="0"/>
          <w:numId w:val="7"/>
        </w:numPr>
        <w:overflowPunct w:val="0"/>
        <w:autoSpaceDE w:val="0"/>
        <w:autoSpaceDN w:val="0"/>
        <w:adjustRightInd w:val="0"/>
        <w:ind w:hanging="720"/>
        <w:jc w:val="both"/>
        <w:textAlignment w:val="baseline"/>
        <w:rPr>
          <w:rFonts w:cs="Arial"/>
          <w:szCs w:val="20"/>
          <w:u w:color="000000"/>
        </w:rPr>
      </w:pPr>
      <w:r w:rsidRPr="009E7480">
        <w:rPr>
          <w:rFonts w:cs="Arial"/>
          <w:szCs w:val="20"/>
          <w:u w:color="000000"/>
        </w:rPr>
        <w:t xml:space="preserve">o znesku de </w:t>
      </w:r>
      <w:proofErr w:type="spellStart"/>
      <w:r w:rsidRPr="009E7480">
        <w:rPr>
          <w:rFonts w:cs="Arial"/>
          <w:szCs w:val="20"/>
          <w:u w:color="000000"/>
        </w:rPr>
        <w:t>minimis</w:t>
      </w:r>
      <w:proofErr w:type="spellEnd"/>
      <w:r w:rsidRPr="009E7480">
        <w:rPr>
          <w:rFonts w:cs="Arial"/>
          <w:szCs w:val="20"/>
          <w:u w:color="000000"/>
        </w:rPr>
        <w:t xml:space="preserve"> pomoči.</w:t>
      </w:r>
    </w:p>
    <w:p w:rsidR="009E7480" w:rsidRPr="009E7480" w:rsidRDefault="009E7480" w:rsidP="009E7480">
      <w:pPr>
        <w:tabs>
          <w:tab w:val="left" w:pos="1214"/>
        </w:tabs>
        <w:ind w:left="359"/>
        <w:jc w:val="both"/>
        <w:rPr>
          <w:rFonts w:cs="Arial"/>
          <w:szCs w:val="20"/>
          <w:u w:color="000000"/>
        </w:rPr>
      </w:pPr>
    </w:p>
    <w:p w:rsidR="009E7480" w:rsidRPr="009E7480" w:rsidRDefault="009E7480" w:rsidP="009E7480">
      <w:pPr>
        <w:tabs>
          <w:tab w:val="left" w:pos="1214"/>
        </w:tabs>
        <w:jc w:val="both"/>
        <w:rPr>
          <w:rFonts w:cs="Arial"/>
          <w:szCs w:val="20"/>
          <w:u w:color="000000"/>
        </w:rPr>
      </w:pPr>
      <w:r w:rsidRPr="009E7480">
        <w:rPr>
          <w:rFonts w:cs="Arial"/>
          <w:b/>
          <w:bCs/>
          <w:szCs w:val="20"/>
          <w:u w:val="single" w:color="000000"/>
        </w:rPr>
        <w:t>Hramba dokumentacije</w:t>
      </w:r>
    </w:p>
    <w:p w:rsidR="009E7480" w:rsidRPr="009E7480" w:rsidRDefault="009E7480" w:rsidP="009E7480">
      <w:pPr>
        <w:tabs>
          <w:tab w:val="left" w:pos="1214"/>
        </w:tabs>
        <w:jc w:val="both"/>
        <w:rPr>
          <w:rFonts w:cs="Arial"/>
          <w:szCs w:val="20"/>
          <w:u w:color="000000"/>
        </w:rPr>
      </w:pPr>
      <w:r w:rsidRPr="009E7480">
        <w:rPr>
          <w:rFonts w:cs="Arial"/>
          <w:szCs w:val="20"/>
          <w:u w:color="000000"/>
        </w:rPr>
        <w:t xml:space="preserve">PMSNS hrani evidence o individualni pomoči de </w:t>
      </w:r>
      <w:proofErr w:type="spellStart"/>
      <w:r w:rsidRPr="009E7480">
        <w:rPr>
          <w:rFonts w:cs="Arial"/>
          <w:szCs w:val="20"/>
          <w:u w:color="000000"/>
        </w:rPr>
        <w:t>minimis</w:t>
      </w:r>
      <w:proofErr w:type="spellEnd"/>
      <w:r w:rsidRPr="009E7480">
        <w:rPr>
          <w:rFonts w:cs="Arial"/>
          <w:szCs w:val="20"/>
          <w:u w:color="000000"/>
        </w:rPr>
        <w:t xml:space="preserve"> še najmanj 10 let od datuma dodelitve pomoči.«. </w:t>
      </w:r>
    </w:p>
    <w:p w:rsidR="009E7480" w:rsidRPr="009E7480" w:rsidRDefault="009E7480" w:rsidP="009E7480">
      <w:pPr>
        <w:jc w:val="both"/>
        <w:rPr>
          <w:rFonts w:cs="Arial"/>
          <w:szCs w:val="20"/>
          <w:lang w:eastAsia="sl-SI"/>
        </w:rPr>
      </w:pPr>
    </w:p>
    <w:p w:rsidR="009E7480" w:rsidRPr="009E7480" w:rsidRDefault="009E7480" w:rsidP="009E7480">
      <w:pPr>
        <w:overflowPunct w:val="0"/>
        <w:autoSpaceDE w:val="0"/>
        <w:autoSpaceDN w:val="0"/>
        <w:adjustRightInd w:val="0"/>
        <w:jc w:val="both"/>
        <w:textAlignment w:val="baseline"/>
        <w:rPr>
          <w:rFonts w:cs="Arial"/>
          <w:szCs w:val="20"/>
          <w:u w:color="000000"/>
          <w:lang w:eastAsia="sl-SI"/>
        </w:rPr>
      </w:pPr>
    </w:p>
    <w:p w:rsidR="009E7480" w:rsidRPr="009E7480" w:rsidRDefault="009E7480" w:rsidP="009E7480">
      <w:pPr>
        <w:jc w:val="center"/>
        <w:rPr>
          <w:rFonts w:cs="Arial"/>
          <w:szCs w:val="20"/>
        </w:rPr>
      </w:pPr>
      <w:bookmarkStart w:id="20" w:name="_Hlk80957103"/>
      <w:r w:rsidRPr="009E7480">
        <w:rPr>
          <w:rFonts w:cs="Arial"/>
          <w:szCs w:val="20"/>
        </w:rPr>
        <w:t>II</w:t>
      </w:r>
    </w:p>
    <w:p w:rsidR="009E7480" w:rsidRPr="009E7480" w:rsidRDefault="009E7480" w:rsidP="009E7480">
      <w:pPr>
        <w:jc w:val="both"/>
        <w:rPr>
          <w:rFonts w:cs="Arial"/>
          <w:szCs w:val="20"/>
          <w:u w:color="000000"/>
        </w:rPr>
      </w:pPr>
    </w:p>
    <w:p w:rsidR="00A707C2" w:rsidRPr="009E7480" w:rsidRDefault="009E7480" w:rsidP="009E7480">
      <w:pPr>
        <w:jc w:val="both"/>
        <w:rPr>
          <w:rFonts w:cs="Arial"/>
          <w:szCs w:val="20"/>
          <w:u w:color="000000"/>
        </w:rPr>
      </w:pPr>
      <w:r w:rsidRPr="009E7480">
        <w:rPr>
          <w:rFonts w:cs="Arial"/>
          <w:szCs w:val="20"/>
          <w:u w:color="000000"/>
        </w:rPr>
        <w:t>Poglavje 4 se spremeni tako, da se glasi:</w:t>
      </w:r>
    </w:p>
    <w:p w:rsidR="009E7480" w:rsidRPr="009E7480" w:rsidRDefault="009E7480" w:rsidP="009E7480">
      <w:pPr>
        <w:overflowPunct w:val="0"/>
        <w:autoSpaceDE w:val="0"/>
        <w:autoSpaceDN w:val="0"/>
        <w:adjustRightInd w:val="0"/>
        <w:jc w:val="both"/>
        <w:textAlignment w:val="baseline"/>
        <w:rPr>
          <w:rFonts w:cs="Arial"/>
          <w:szCs w:val="20"/>
          <w:u w:color="000000"/>
          <w:lang w:val="x-none" w:eastAsia="x-none"/>
        </w:rPr>
      </w:pPr>
      <w:r w:rsidRPr="009E7480">
        <w:rPr>
          <w:rFonts w:cs="Arial"/>
          <w:szCs w:val="20"/>
          <w:u w:color="000000"/>
          <w:lang w:val="x-none"/>
        </w:rPr>
        <w:t>»</w:t>
      </w:r>
      <w:r w:rsidRPr="009E7480">
        <w:rPr>
          <w:rFonts w:cs="Arial"/>
          <w:b/>
          <w:bCs/>
          <w:szCs w:val="20"/>
          <w:u w:color="000000"/>
          <w:lang w:val="x-none" w:eastAsia="x-none"/>
        </w:rPr>
        <w:t>4</w:t>
      </w:r>
      <w:r w:rsidRPr="009E7480">
        <w:rPr>
          <w:rFonts w:cs="Arial"/>
          <w:b/>
          <w:bCs/>
          <w:szCs w:val="20"/>
          <w:u w:color="000000"/>
          <w:lang w:val="x-none"/>
        </w:rPr>
        <w:t xml:space="preserve"> </w:t>
      </w:r>
      <w:r w:rsidRPr="009E7480">
        <w:rPr>
          <w:rFonts w:cs="Arial"/>
          <w:b/>
          <w:bCs/>
          <w:szCs w:val="20"/>
          <w:u w:color="000000"/>
          <w:lang w:val="x-none" w:eastAsia="x-none"/>
        </w:rPr>
        <w:t>Finančni okvir</w:t>
      </w:r>
    </w:p>
    <w:p w:rsidR="009E7480" w:rsidRPr="009E7480" w:rsidRDefault="009E7480" w:rsidP="009E7480">
      <w:pPr>
        <w:rPr>
          <w:rFonts w:cs="Arial"/>
          <w:szCs w:val="20"/>
          <w:u w:color="000000"/>
        </w:rPr>
      </w:pPr>
    </w:p>
    <w:p w:rsidR="009E7480" w:rsidRPr="009E7480" w:rsidRDefault="009E7480" w:rsidP="009E7480">
      <w:pPr>
        <w:jc w:val="both"/>
        <w:rPr>
          <w:rFonts w:cs="Arial"/>
          <w:szCs w:val="20"/>
          <w:u w:color="000000"/>
        </w:rPr>
      </w:pPr>
      <w:r w:rsidRPr="009E7480">
        <w:rPr>
          <w:rFonts w:cs="Arial"/>
          <w:szCs w:val="20"/>
          <w:u w:color="000000"/>
        </w:rPr>
        <w:t xml:space="preserve">4.1 Sredstva za izvedbo ukrepov št. 1, 2 in 3 iz tega programa so zagotovljena na posebni proračunski postavki MGRT PP 160045 – Razvoj območij narodnih skupnosti. Razpoložljiva proračunska sredstva za posamezno proračunsko leto znašajo 700.000,00 </w:t>
      </w:r>
      <w:proofErr w:type="spellStart"/>
      <w:r w:rsidRPr="009E7480">
        <w:rPr>
          <w:rFonts w:cs="Arial"/>
          <w:szCs w:val="20"/>
          <w:u w:color="000000"/>
        </w:rPr>
        <w:t>eura</w:t>
      </w:r>
      <w:proofErr w:type="spellEnd"/>
      <w:r w:rsidRPr="009E7480">
        <w:rPr>
          <w:rFonts w:cs="Arial"/>
          <w:szCs w:val="20"/>
          <w:u w:color="000000"/>
        </w:rPr>
        <w:t>.</w:t>
      </w:r>
    </w:p>
    <w:p w:rsidR="009E7480" w:rsidRPr="009E7480" w:rsidRDefault="009E7480" w:rsidP="009E7480">
      <w:pPr>
        <w:jc w:val="both"/>
        <w:rPr>
          <w:rFonts w:cs="Arial"/>
          <w:szCs w:val="20"/>
          <w:u w:color="000000"/>
        </w:rPr>
      </w:pPr>
      <w:r w:rsidRPr="009E7480">
        <w:rPr>
          <w:rFonts w:cs="Arial"/>
          <w:szCs w:val="20"/>
          <w:u w:color="000000"/>
        </w:rPr>
        <w:t xml:space="preserve">Vrednost ukrepov št. 1, 2 in 3 iz programa za obdobje od 2021 do 2024 tako znaša </w:t>
      </w:r>
      <w:r w:rsidR="002B78C4">
        <w:rPr>
          <w:rFonts w:cs="Arial"/>
          <w:szCs w:val="20"/>
          <w:u w:color="000000"/>
        </w:rPr>
        <w:br/>
      </w:r>
      <w:r w:rsidRPr="009E7480">
        <w:rPr>
          <w:rFonts w:cs="Arial"/>
          <w:szCs w:val="20"/>
          <w:u w:color="000000"/>
        </w:rPr>
        <w:t xml:space="preserve">2.800.000 </w:t>
      </w:r>
      <w:proofErr w:type="spellStart"/>
      <w:r w:rsidRPr="009E7480">
        <w:rPr>
          <w:rFonts w:cs="Arial"/>
          <w:szCs w:val="20"/>
          <w:u w:color="000000"/>
        </w:rPr>
        <w:t>eurov</w:t>
      </w:r>
      <w:proofErr w:type="spellEnd"/>
      <w:r w:rsidRPr="009E7480">
        <w:rPr>
          <w:rFonts w:cs="Arial"/>
          <w:szCs w:val="20"/>
          <w:u w:color="000000"/>
        </w:rPr>
        <w:t>.</w:t>
      </w:r>
    </w:p>
    <w:p w:rsidR="009E7480" w:rsidRPr="009E7480" w:rsidRDefault="009E7480" w:rsidP="009E7480">
      <w:pPr>
        <w:jc w:val="both"/>
        <w:rPr>
          <w:rFonts w:cs="Arial"/>
          <w:szCs w:val="20"/>
          <w:u w:color="000000"/>
        </w:rPr>
      </w:pPr>
    </w:p>
    <w:p w:rsidR="009E7480" w:rsidRPr="009E7480" w:rsidRDefault="009E7480" w:rsidP="009E7480">
      <w:pPr>
        <w:jc w:val="both"/>
        <w:rPr>
          <w:rFonts w:cs="Arial"/>
          <w:szCs w:val="20"/>
          <w:u w:color="000000"/>
        </w:rPr>
      </w:pPr>
      <w:bookmarkStart w:id="21" w:name="_Hlk92099976"/>
      <w:r w:rsidRPr="009E7480">
        <w:rPr>
          <w:rFonts w:cs="Arial"/>
          <w:szCs w:val="20"/>
          <w:u w:color="000000"/>
        </w:rPr>
        <w:t xml:space="preserve">4.2 Sredstva za izvedbo ukrepa št. 4 s podukrepoma 4.1 in 4.2 iz tega programa so zagotovljena na posebni proračunski postavki MKGP PP 211016 - Podpora narodnim skupnostim in sicer za leto 2022 (2,5 mio </w:t>
      </w:r>
      <w:proofErr w:type="spellStart"/>
      <w:r w:rsidRPr="009E7480">
        <w:rPr>
          <w:rFonts w:cs="Arial"/>
          <w:szCs w:val="20"/>
          <w:u w:color="000000"/>
        </w:rPr>
        <w:t>eurov</w:t>
      </w:r>
      <w:proofErr w:type="spellEnd"/>
      <w:r w:rsidRPr="009E7480">
        <w:rPr>
          <w:rFonts w:cs="Arial"/>
          <w:szCs w:val="20"/>
          <w:u w:color="000000"/>
        </w:rPr>
        <w:t xml:space="preserve">), za leto 2023 (3,0 mio </w:t>
      </w:r>
      <w:proofErr w:type="spellStart"/>
      <w:r w:rsidRPr="009E7480">
        <w:rPr>
          <w:rFonts w:cs="Arial"/>
          <w:szCs w:val="20"/>
          <w:u w:color="000000"/>
        </w:rPr>
        <w:t>eurov</w:t>
      </w:r>
      <w:proofErr w:type="spellEnd"/>
      <w:r w:rsidRPr="009E7480">
        <w:rPr>
          <w:rFonts w:cs="Arial"/>
          <w:szCs w:val="20"/>
          <w:u w:color="000000"/>
        </w:rPr>
        <w:t xml:space="preserve">) in za leto 2024 (2,5 mio </w:t>
      </w:r>
      <w:proofErr w:type="spellStart"/>
      <w:r w:rsidRPr="009E7480">
        <w:rPr>
          <w:rFonts w:cs="Arial"/>
          <w:szCs w:val="20"/>
          <w:u w:color="000000"/>
        </w:rPr>
        <w:t>eurov</w:t>
      </w:r>
      <w:proofErr w:type="spellEnd"/>
      <w:r w:rsidRPr="009E7480">
        <w:rPr>
          <w:rFonts w:cs="Arial"/>
          <w:szCs w:val="20"/>
          <w:u w:color="000000"/>
        </w:rPr>
        <w:t xml:space="preserve">). </w:t>
      </w:r>
    </w:p>
    <w:p w:rsidR="009E7480" w:rsidRPr="009E7480" w:rsidRDefault="009E7480" w:rsidP="009E7480">
      <w:pPr>
        <w:jc w:val="both"/>
        <w:rPr>
          <w:rFonts w:cs="Arial"/>
          <w:szCs w:val="20"/>
          <w:u w:color="000000"/>
        </w:rPr>
      </w:pPr>
    </w:p>
    <w:p w:rsidR="009E7480" w:rsidRPr="009E7480" w:rsidRDefault="009E7480" w:rsidP="009E7480">
      <w:pPr>
        <w:jc w:val="both"/>
        <w:rPr>
          <w:rFonts w:cs="Arial"/>
          <w:szCs w:val="20"/>
          <w:u w:color="000000"/>
        </w:rPr>
      </w:pPr>
      <w:r w:rsidRPr="009E7480">
        <w:rPr>
          <w:rFonts w:cs="Arial"/>
          <w:szCs w:val="20"/>
          <w:u w:color="000000"/>
        </w:rPr>
        <w:t xml:space="preserve">Načrtovana proračunska sredstva za izplačila v letih 2022, 2023 in 2024 skupaj znašajo 8,0 mio </w:t>
      </w:r>
      <w:proofErr w:type="spellStart"/>
      <w:r w:rsidRPr="009E7480">
        <w:rPr>
          <w:rFonts w:cs="Arial"/>
          <w:szCs w:val="20"/>
          <w:u w:color="000000"/>
        </w:rPr>
        <w:t>eurov</w:t>
      </w:r>
      <w:proofErr w:type="spellEnd"/>
      <w:r w:rsidRPr="009E7480">
        <w:rPr>
          <w:rFonts w:cs="Arial"/>
          <w:szCs w:val="20"/>
          <w:u w:color="000000"/>
        </w:rPr>
        <w:t xml:space="preserve">. MKGP bo prevzelo obveznosti v skladu z zakonodajo in vsakokratnim veljavnim proračunom. V primeru, da sredstva v vsakokratnem državnem proračunu ne bodo razpoložljiva, mora biti predložena sprememba programa in sklenjen aneks k tripartitni pogodbi. Celotna vrednost 4. ukrepa iz tega programa za obdobje med leti 2021 do 2024 tako znaša 8.000.000 </w:t>
      </w:r>
      <w:proofErr w:type="spellStart"/>
      <w:r w:rsidRPr="009E7480">
        <w:rPr>
          <w:rFonts w:cs="Arial"/>
          <w:szCs w:val="20"/>
          <w:u w:color="000000"/>
        </w:rPr>
        <w:t>eurov</w:t>
      </w:r>
      <w:proofErr w:type="spellEnd"/>
      <w:r w:rsidRPr="009E7480">
        <w:rPr>
          <w:rFonts w:cs="Arial"/>
          <w:szCs w:val="20"/>
          <w:u w:color="000000"/>
        </w:rPr>
        <w:t xml:space="preserve">. </w:t>
      </w:r>
    </w:p>
    <w:p w:rsidR="00A707C2" w:rsidRDefault="00A707C2" w:rsidP="009E7480">
      <w:pPr>
        <w:jc w:val="both"/>
        <w:rPr>
          <w:rFonts w:cs="Arial"/>
          <w:szCs w:val="20"/>
          <w:u w:color="000000"/>
        </w:rPr>
      </w:pPr>
    </w:p>
    <w:p w:rsidR="004F4A7C" w:rsidRDefault="004F4A7C" w:rsidP="009E7480">
      <w:pPr>
        <w:jc w:val="both"/>
        <w:rPr>
          <w:rFonts w:cs="Arial"/>
          <w:szCs w:val="20"/>
          <w:u w:color="000000"/>
        </w:rPr>
      </w:pPr>
    </w:p>
    <w:p w:rsidR="004F4A7C" w:rsidRDefault="004F4A7C" w:rsidP="009E7480">
      <w:pPr>
        <w:jc w:val="both"/>
        <w:rPr>
          <w:rFonts w:cs="Arial"/>
          <w:szCs w:val="20"/>
          <w:u w:color="000000"/>
        </w:rPr>
      </w:pPr>
    </w:p>
    <w:p w:rsidR="004F4A7C" w:rsidRDefault="004F4A7C" w:rsidP="009E7480">
      <w:pPr>
        <w:jc w:val="both"/>
        <w:rPr>
          <w:rFonts w:cs="Arial"/>
          <w:szCs w:val="20"/>
          <w:u w:color="000000"/>
        </w:rPr>
      </w:pPr>
    </w:p>
    <w:p w:rsidR="004F4A7C" w:rsidRDefault="004F4A7C" w:rsidP="009E7480">
      <w:pPr>
        <w:jc w:val="both"/>
        <w:rPr>
          <w:rFonts w:cs="Arial"/>
          <w:szCs w:val="20"/>
          <w:u w:color="000000"/>
        </w:rPr>
      </w:pPr>
    </w:p>
    <w:p w:rsidR="004F4A7C" w:rsidRDefault="004F4A7C" w:rsidP="009E7480">
      <w:pPr>
        <w:jc w:val="both"/>
        <w:rPr>
          <w:rFonts w:cs="Arial"/>
          <w:szCs w:val="20"/>
          <w:u w:color="000000"/>
        </w:rPr>
      </w:pPr>
    </w:p>
    <w:p w:rsidR="004F4A7C" w:rsidRDefault="004F4A7C" w:rsidP="009E7480">
      <w:pPr>
        <w:jc w:val="both"/>
        <w:rPr>
          <w:rFonts w:cs="Arial"/>
          <w:szCs w:val="20"/>
          <w:u w:color="000000"/>
        </w:rPr>
      </w:pPr>
    </w:p>
    <w:p w:rsidR="004F4A7C" w:rsidRDefault="004F4A7C" w:rsidP="009E7480">
      <w:pPr>
        <w:jc w:val="both"/>
        <w:rPr>
          <w:rFonts w:cs="Arial"/>
          <w:szCs w:val="20"/>
          <w:u w:color="000000"/>
        </w:rPr>
      </w:pPr>
    </w:p>
    <w:p w:rsidR="004F4A7C" w:rsidRDefault="004F4A7C" w:rsidP="009E7480">
      <w:pPr>
        <w:jc w:val="both"/>
        <w:rPr>
          <w:rFonts w:cs="Arial"/>
          <w:szCs w:val="20"/>
          <w:u w:color="000000"/>
        </w:rPr>
      </w:pPr>
    </w:p>
    <w:p w:rsidR="004F4A7C" w:rsidRDefault="004F4A7C" w:rsidP="009E7480">
      <w:pPr>
        <w:jc w:val="both"/>
        <w:rPr>
          <w:rFonts w:cs="Arial"/>
          <w:szCs w:val="20"/>
          <w:u w:color="000000"/>
        </w:rPr>
      </w:pPr>
    </w:p>
    <w:p w:rsidR="004F4A7C" w:rsidRDefault="004F4A7C" w:rsidP="009E7480">
      <w:pPr>
        <w:jc w:val="both"/>
        <w:rPr>
          <w:rFonts w:cs="Arial"/>
          <w:szCs w:val="20"/>
          <w:u w:color="000000"/>
        </w:rPr>
      </w:pPr>
    </w:p>
    <w:p w:rsidR="004F4A7C" w:rsidRDefault="004F4A7C" w:rsidP="009E7480">
      <w:pPr>
        <w:jc w:val="both"/>
        <w:rPr>
          <w:rFonts w:cs="Arial"/>
          <w:szCs w:val="20"/>
          <w:u w:color="000000"/>
        </w:rPr>
      </w:pPr>
    </w:p>
    <w:p w:rsidR="004F4A7C" w:rsidRPr="009E7480" w:rsidRDefault="004F4A7C" w:rsidP="009E7480">
      <w:pPr>
        <w:jc w:val="both"/>
        <w:rPr>
          <w:rFonts w:cs="Arial"/>
          <w:szCs w:val="20"/>
          <w:u w:color="000000"/>
        </w:rPr>
      </w:pPr>
    </w:p>
    <w:p w:rsidR="009E7480" w:rsidRPr="009E7480" w:rsidRDefault="009E7480" w:rsidP="009E7480">
      <w:pPr>
        <w:jc w:val="both"/>
        <w:rPr>
          <w:rFonts w:cs="Arial"/>
          <w:szCs w:val="20"/>
          <w:u w:color="000000"/>
        </w:rPr>
      </w:pPr>
      <w:r w:rsidRPr="009E7480">
        <w:rPr>
          <w:rFonts w:cs="Arial"/>
          <w:szCs w:val="20"/>
          <w:u w:color="000000"/>
        </w:rPr>
        <w:lastRenderedPageBreak/>
        <w:t xml:space="preserve">Preglednica 6: Finančni načrt programa v obdobju 2021–2024 (v </w:t>
      </w:r>
      <w:proofErr w:type="spellStart"/>
      <w:r w:rsidRPr="009E7480">
        <w:rPr>
          <w:rFonts w:cs="Arial"/>
          <w:szCs w:val="20"/>
          <w:u w:color="000000"/>
        </w:rPr>
        <w:t>eurih</w:t>
      </w:r>
      <w:proofErr w:type="spellEnd"/>
      <w:r w:rsidRPr="009E7480">
        <w:rPr>
          <w:rFonts w:cs="Arial"/>
          <w:szCs w:val="20"/>
          <w:u w:color="000000"/>
        </w:rPr>
        <w:t>)</w:t>
      </w:r>
    </w:p>
    <w:tbl>
      <w:tblPr>
        <w:tblpPr w:leftFromText="141" w:rightFromText="141" w:vertAnchor="text" w:horzAnchor="margin" w:tblpXSpec="center" w:tblpY="170"/>
        <w:tblW w:w="9468" w:type="dxa"/>
        <w:tblCellMar>
          <w:left w:w="70" w:type="dxa"/>
          <w:right w:w="70" w:type="dxa"/>
        </w:tblCellMar>
        <w:tblLook w:val="04A0" w:firstRow="1" w:lastRow="0" w:firstColumn="1" w:lastColumn="0" w:noHBand="0" w:noVBand="1"/>
      </w:tblPr>
      <w:tblGrid>
        <w:gridCol w:w="2194"/>
        <w:gridCol w:w="1008"/>
        <w:gridCol w:w="1208"/>
        <w:gridCol w:w="1208"/>
        <w:gridCol w:w="1208"/>
        <w:gridCol w:w="2642"/>
      </w:tblGrid>
      <w:tr w:rsidR="009E7480" w:rsidRPr="009F41D0" w:rsidTr="00747321">
        <w:trPr>
          <w:trHeight w:val="216"/>
        </w:trPr>
        <w:tc>
          <w:tcPr>
            <w:tcW w:w="9468"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bookmarkEnd w:id="21"/>
          <w:p w:rsidR="009E7480" w:rsidRPr="009F41D0" w:rsidRDefault="009E7480" w:rsidP="00747321">
            <w:pPr>
              <w:jc w:val="both"/>
              <w:rPr>
                <w:rFonts w:ascii="Calibri" w:hAnsi="Calibri" w:cs="Calibri"/>
                <w:u w:color="000000"/>
              </w:rPr>
            </w:pPr>
            <w:r w:rsidRPr="009F41D0">
              <w:rPr>
                <w:rFonts w:ascii="Calibri" w:hAnsi="Calibri" w:cs="Calibri"/>
                <w:u w:color="000000"/>
              </w:rPr>
              <w:t xml:space="preserve">Finančni načrt Programa v obdobju 2021-2024 (v </w:t>
            </w:r>
            <w:proofErr w:type="spellStart"/>
            <w:r w:rsidRPr="009F41D0">
              <w:rPr>
                <w:rFonts w:ascii="Calibri" w:hAnsi="Calibri" w:cs="Calibri"/>
                <w:u w:color="000000"/>
              </w:rPr>
              <w:t>eurih</w:t>
            </w:r>
            <w:proofErr w:type="spellEnd"/>
            <w:r w:rsidRPr="009F41D0">
              <w:rPr>
                <w:rFonts w:ascii="Calibri" w:hAnsi="Calibri" w:cs="Calibri"/>
                <w:u w:color="000000"/>
              </w:rPr>
              <w:t>)</w:t>
            </w:r>
          </w:p>
        </w:tc>
      </w:tr>
      <w:tr w:rsidR="009E7480" w:rsidRPr="009F41D0" w:rsidTr="00747321">
        <w:trPr>
          <w:trHeight w:val="1086"/>
        </w:trPr>
        <w:tc>
          <w:tcPr>
            <w:tcW w:w="2194" w:type="dxa"/>
            <w:tcBorders>
              <w:top w:val="nil"/>
              <w:left w:val="single" w:sz="4" w:space="0" w:color="auto"/>
              <w:bottom w:val="single" w:sz="4" w:space="0" w:color="auto"/>
              <w:right w:val="single" w:sz="4" w:space="0" w:color="auto"/>
            </w:tcBorders>
            <w:shd w:val="clear" w:color="auto" w:fill="auto"/>
            <w:noWrap/>
            <w:vAlign w:val="center"/>
            <w:hideMark/>
          </w:tcPr>
          <w:p w:rsidR="009E7480" w:rsidRPr="009F41D0" w:rsidRDefault="009E7480" w:rsidP="00747321">
            <w:pPr>
              <w:jc w:val="both"/>
              <w:rPr>
                <w:rFonts w:ascii="Calibri" w:hAnsi="Calibri" w:cs="Calibri"/>
                <w:u w:color="000000"/>
              </w:rPr>
            </w:pPr>
            <w:r w:rsidRPr="009F41D0">
              <w:rPr>
                <w:rFonts w:ascii="Calibri" w:hAnsi="Calibri" w:cs="Calibri"/>
                <w:u w:color="000000"/>
              </w:rPr>
              <w:t xml:space="preserve">Ukrepi Programa </w:t>
            </w:r>
          </w:p>
        </w:tc>
        <w:tc>
          <w:tcPr>
            <w:tcW w:w="1008" w:type="dxa"/>
            <w:tcBorders>
              <w:top w:val="nil"/>
              <w:left w:val="nil"/>
              <w:bottom w:val="single" w:sz="4" w:space="0" w:color="auto"/>
              <w:right w:val="single" w:sz="4" w:space="0" w:color="auto"/>
            </w:tcBorders>
            <w:shd w:val="clear" w:color="auto" w:fill="auto"/>
            <w:noWrap/>
            <w:vAlign w:val="center"/>
            <w:hideMark/>
          </w:tcPr>
          <w:p w:rsidR="009E7480" w:rsidRPr="009F41D0" w:rsidRDefault="009E7480" w:rsidP="00747321">
            <w:pPr>
              <w:jc w:val="center"/>
              <w:rPr>
                <w:rFonts w:ascii="Calibri" w:hAnsi="Calibri" w:cs="Calibri"/>
                <w:u w:color="000000"/>
              </w:rPr>
            </w:pPr>
            <w:r w:rsidRPr="009F41D0">
              <w:rPr>
                <w:rFonts w:ascii="Calibri" w:hAnsi="Calibri" w:cs="Calibri"/>
                <w:u w:color="000000"/>
              </w:rPr>
              <w:t>2021</w:t>
            </w:r>
          </w:p>
        </w:tc>
        <w:tc>
          <w:tcPr>
            <w:tcW w:w="1208" w:type="dxa"/>
            <w:tcBorders>
              <w:top w:val="nil"/>
              <w:left w:val="nil"/>
              <w:bottom w:val="single" w:sz="4" w:space="0" w:color="auto"/>
              <w:right w:val="single" w:sz="4" w:space="0" w:color="auto"/>
            </w:tcBorders>
            <w:shd w:val="clear" w:color="auto" w:fill="auto"/>
            <w:noWrap/>
            <w:vAlign w:val="center"/>
            <w:hideMark/>
          </w:tcPr>
          <w:p w:rsidR="009E7480" w:rsidRPr="009F41D0" w:rsidRDefault="009E7480" w:rsidP="00747321">
            <w:pPr>
              <w:jc w:val="center"/>
              <w:rPr>
                <w:rFonts w:ascii="Calibri" w:hAnsi="Calibri" w:cs="Calibri"/>
                <w:u w:color="000000"/>
              </w:rPr>
            </w:pPr>
            <w:r w:rsidRPr="009F41D0">
              <w:rPr>
                <w:rFonts w:ascii="Calibri" w:hAnsi="Calibri" w:cs="Calibri"/>
                <w:u w:color="000000"/>
              </w:rPr>
              <w:t>2022</w:t>
            </w:r>
          </w:p>
        </w:tc>
        <w:tc>
          <w:tcPr>
            <w:tcW w:w="1208" w:type="dxa"/>
            <w:tcBorders>
              <w:top w:val="nil"/>
              <w:left w:val="nil"/>
              <w:bottom w:val="single" w:sz="4" w:space="0" w:color="auto"/>
              <w:right w:val="single" w:sz="4" w:space="0" w:color="auto"/>
            </w:tcBorders>
            <w:shd w:val="clear" w:color="auto" w:fill="auto"/>
            <w:noWrap/>
            <w:vAlign w:val="center"/>
            <w:hideMark/>
          </w:tcPr>
          <w:p w:rsidR="009E7480" w:rsidRPr="009F41D0" w:rsidRDefault="009E7480" w:rsidP="00747321">
            <w:pPr>
              <w:jc w:val="center"/>
              <w:rPr>
                <w:rFonts w:ascii="Calibri" w:hAnsi="Calibri" w:cs="Calibri"/>
                <w:u w:color="000000"/>
              </w:rPr>
            </w:pPr>
            <w:r w:rsidRPr="009F41D0">
              <w:rPr>
                <w:rFonts w:ascii="Calibri" w:hAnsi="Calibri" w:cs="Calibri"/>
                <w:u w:color="000000"/>
              </w:rPr>
              <w:t>2023</w:t>
            </w:r>
          </w:p>
        </w:tc>
        <w:tc>
          <w:tcPr>
            <w:tcW w:w="1208" w:type="dxa"/>
            <w:tcBorders>
              <w:top w:val="nil"/>
              <w:left w:val="nil"/>
              <w:bottom w:val="single" w:sz="4" w:space="0" w:color="auto"/>
              <w:right w:val="single" w:sz="4" w:space="0" w:color="auto"/>
            </w:tcBorders>
            <w:shd w:val="clear" w:color="auto" w:fill="auto"/>
            <w:noWrap/>
            <w:vAlign w:val="center"/>
            <w:hideMark/>
          </w:tcPr>
          <w:p w:rsidR="009E7480" w:rsidRPr="009F41D0" w:rsidRDefault="009E7480" w:rsidP="00747321">
            <w:pPr>
              <w:jc w:val="center"/>
              <w:rPr>
                <w:rFonts w:ascii="Calibri" w:hAnsi="Calibri" w:cs="Calibri"/>
                <w:u w:color="000000"/>
              </w:rPr>
            </w:pPr>
            <w:r w:rsidRPr="009F41D0">
              <w:rPr>
                <w:rFonts w:ascii="Calibri" w:hAnsi="Calibri" w:cs="Calibri"/>
                <w:u w:color="000000"/>
              </w:rPr>
              <w:t>2024</w:t>
            </w:r>
          </w:p>
        </w:tc>
        <w:tc>
          <w:tcPr>
            <w:tcW w:w="2642" w:type="dxa"/>
            <w:tcBorders>
              <w:top w:val="nil"/>
              <w:left w:val="nil"/>
              <w:bottom w:val="single" w:sz="4" w:space="0" w:color="auto"/>
              <w:right w:val="single" w:sz="4" w:space="0" w:color="auto"/>
            </w:tcBorders>
            <w:shd w:val="clear" w:color="auto" w:fill="auto"/>
            <w:vAlign w:val="center"/>
            <w:hideMark/>
          </w:tcPr>
          <w:p w:rsidR="009E7480" w:rsidRPr="009F41D0" w:rsidRDefault="009E7480" w:rsidP="00747321">
            <w:pPr>
              <w:jc w:val="center"/>
              <w:rPr>
                <w:rFonts w:ascii="Calibri" w:hAnsi="Calibri" w:cs="Calibri"/>
                <w:u w:color="000000"/>
              </w:rPr>
            </w:pPr>
            <w:r w:rsidRPr="009F41D0">
              <w:rPr>
                <w:rFonts w:ascii="Calibri" w:hAnsi="Calibri" w:cs="Calibri"/>
                <w:u w:color="000000"/>
              </w:rPr>
              <w:t>SKUPAJ VREDNOST PO POSAMEZNIH UKREPIH/</w:t>
            </w:r>
          </w:p>
          <w:p w:rsidR="009E7480" w:rsidRPr="009F41D0" w:rsidRDefault="009E7480" w:rsidP="00747321">
            <w:pPr>
              <w:jc w:val="center"/>
              <w:rPr>
                <w:rFonts w:ascii="Calibri" w:hAnsi="Calibri" w:cs="Calibri"/>
                <w:u w:color="000000"/>
              </w:rPr>
            </w:pPr>
            <w:r w:rsidRPr="009F41D0">
              <w:rPr>
                <w:rFonts w:ascii="Calibri" w:hAnsi="Calibri" w:cs="Calibri"/>
                <w:u w:color="000000"/>
              </w:rPr>
              <w:t>PODUKREPIH</w:t>
            </w:r>
          </w:p>
        </w:tc>
      </w:tr>
      <w:tr w:rsidR="009E7480" w:rsidRPr="009F41D0" w:rsidTr="00747321">
        <w:trPr>
          <w:trHeight w:val="216"/>
        </w:trPr>
        <w:tc>
          <w:tcPr>
            <w:tcW w:w="2194" w:type="dxa"/>
            <w:tcBorders>
              <w:top w:val="nil"/>
              <w:left w:val="single" w:sz="4" w:space="0" w:color="auto"/>
              <w:bottom w:val="single" w:sz="4" w:space="0" w:color="auto"/>
              <w:right w:val="single" w:sz="4" w:space="0" w:color="auto"/>
            </w:tcBorders>
            <w:shd w:val="clear" w:color="auto" w:fill="auto"/>
            <w:noWrap/>
            <w:vAlign w:val="bottom"/>
            <w:hideMark/>
          </w:tcPr>
          <w:p w:rsidR="009E7480" w:rsidRPr="009F41D0" w:rsidRDefault="009E7480" w:rsidP="00747321">
            <w:pPr>
              <w:jc w:val="both"/>
              <w:rPr>
                <w:rFonts w:ascii="Calibri" w:hAnsi="Calibri" w:cs="Calibri"/>
                <w:u w:color="000000"/>
              </w:rPr>
            </w:pPr>
            <w:r w:rsidRPr="009F41D0">
              <w:rPr>
                <w:rFonts w:ascii="Calibri" w:hAnsi="Calibri" w:cs="Calibri"/>
                <w:u w:color="000000"/>
              </w:rPr>
              <w:t>Ukrep 1</w:t>
            </w:r>
          </w:p>
        </w:tc>
        <w:tc>
          <w:tcPr>
            <w:tcW w:w="1008" w:type="dxa"/>
            <w:tcBorders>
              <w:top w:val="nil"/>
              <w:left w:val="nil"/>
              <w:bottom w:val="single" w:sz="4" w:space="0" w:color="auto"/>
              <w:right w:val="single" w:sz="4" w:space="0" w:color="auto"/>
            </w:tcBorders>
            <w:shd w:val="clear" w:color="auto" w:fill="auto"/>
            <w:noWrap/>
            <w:vAlign w:val="bottom"/>
            <w:hideMark/>
          </w:tcPr>
          <w:p w:rsidR="009E7480" w:rsidRPr="009F41D0" w:rsidRDefault="009E7480" w:rsidP="00747321">
            <w:pPr>
              <w:jc w:val="center"/>
              <w:rPr>
                <w:rFonts w:ascii="Calibri" w:hAnsi="Calibri" w:cs="Calibri"/>
                <w:u w:color="000000"/>
              </w:rPr>
            </w:pPr>
            <w:r w:rsidRPr="009F41D0">
              <w:rPr>
                <w:rFonts w:ascii="Calibri" w:hAnsi="Calibri" w:cs="Calibri"/>
                <w:u w:color="000000"/>
              </w:rPr>
              <w:t>300.000</w:t>
            </w:r>
          </w:p>
        </w:tc>
        <w:tc>
          <w:tcPr>
            <w:tcW w:w="1208" w:type="dxa"/>
            <w:tcBorders>
              <w:top w:val="nil"/>
              <w:left w:val="nil"/>
              <w:bottom w:val="single" w:sz="4" w:space="0" w:color="auto"/>
              <w:right w:val="single" w:sz="4" w:space="0" w:color="auto"/>
            </w:tcBorders>
            <w:shd w:val="clear" w:color="auto" w:fill="auto"/>
            <w:noWrap/>
            <w:vAlign w:val="bottom"/>
            <w:hideMark/>
          </w:tcPr>
          <w:p w:rsidR="009E7480" w:rsidRPr="009F41D0" w:rsidRDefault="009E7480" w:rsidP="00747321">
            <w:pPr>
              <w:jc w:val="center"/>
              <w:rPr>
                <w:rFonts w:ascii="Calibri" w:hAnsi="Calibri" w:cs="Calibri"/>
                <w:u w:color="000000"/>
              </w:rPr>
            </w:pPr>
            <w:r w:rsidRPr="009F41D0">
              <w:rPr>
                <w:rFonts w:ascii="Calibri" w:hAnsi="Calibri" w:cs="Calibri"/>
                <w:u w:color="000000"/>
              </w:rPr>
              <w:t>300.000</w:t>
            </w:r>
          </w:p>
        </w:tc>
        <w:tc>
          <w:tcPr>
            <w:tcW w:w="1208" w:type="dxa"/>
            <w:tcBorders>
              <w:top w:val="nil"/>
              <w:left w:val="nil"/>
              <w:bottom w:val="single" w:sz="4" w:space="0" w:color="auto"/>
              <w:right w:val="single" w:sz="4" w:space="0" w:color="auto"/>
            </w:tcBorders>
            <w:shd w:val="clear" w:color="auto" w:fill="auto"/>
            <w:noWrap/>
            <w:vAlign w:val="bottom"/>
            <w:hideMark/>
          </w:tcPr>
          <w:p w:rsidR="009E7480" w:rsidRPr="009F41D0" w:rsidRDefault="009E7480" w:rsidP="00747321">
            <w:pPr>
              <w:jc w:val="center"/>
              <w:rPr>
                <w:rFonts w:ascii="Calibri" w:hAnsi="Calibri" w:cs="Calibri"/>
                <w:u w:color="000000"/>
              </w:rPr>
            </w:pPr>
            <w:r w:rsidRPr="009F41D0">
              <w:rPr>
                <w:rFonts w:ascii="Calibri" w:hAnsi="Calibri" w:cs="Calibri"/>
                <w:u w:color="000000"/>
              </w:rPr>
              <w:t>300.000</w:t>
            </w:r>
          </w:p>
        </w:tc>
        <w:tc>
          <w:tcPr>
            <w:tcW w:w="1208" w:type="dxa"/>
            <w:tcBorders>
              <w:top w:val="nil"/>
              <w:left w:val="nil"/>
              <w:bottom w:val="single" w:sz="4" w:space="0" w:color="auto"/>
              <w:right w:val="single" w:sz="4" w:space="0" w:color="auto"/>
            </w:tcBorders>
            <w:shd w:val="clear" w:color="auto" w:fill="auto"/>
            <w:noWrap/>
            <w:vAlign w:val="bottom"/>
            <w:hideMark/>
          </w:tcPr>
          <w:p w:rsidR="009E7480" w:rsidRPr="009F41D0" w:rsidRDefault="009E7480" w:rsidP="00747321">
            <w:pPr>
              <w:jc w:val="center"/>
              <w:rPr>
                <w:rFonts w:ascii="Calibri" w:hAnsi="Calibri" w:cs="Calibri"/>
                <w:u w:color="000000"/>
              </w:rPr>
            </w:pPr>
            <w:r w:rsidRPr="009F41D0">
              <w:rPr>
                <w:rFonts w:ascii="Calibri" w:hAnsi="Calibri" w:cs="Calibri"/>
                <w:u w:color="000000"/>
              </w:rPr>
              <w:t>300.000</w:t>
            </w:r>
          </w:p>
        </w:tc>
        <w:tc>
          <w:tcPr>
            <w:tcW w:w="2642" w:type="dxa"/>
            <w:tcBorders>
              <w:top w:val="nil"/>
              <w:left w:val="nil"/>
              <w:bottom w:val="single" w:sz="4" w:space="0" w:color="auto"/>
              <w:right w:val="single" w:sz="4" w:space="0" w:color="auto"/>
            </w:tcBorders>
            <w:shd w:val="clear" w:color="auto" w:fill="auto"/>
            <w:noWrap/>
            <w:vAlign w:val="bottom"/>
            <w:hideMark/>
          </w:tcPr>
          <w:p w:rsidR="009E7480" w:rsidRPr="009F41D0" w:rsidRDefault="009E7480" w:rsidP="00747321">
            <w:pPr>
              <w:jc w:val="center"/>
              <w:rPr>
                <w:rFonts w:ascii="Calibri" w:hAnsi="Calibri" w:cs="Calibri"/>
                <w:u w:color="000000"/>
              </w:rPr>
            </w:pPr>
            <w:r w:rsidRPr="009F41D0">
              <w:rPr>
                <w:rFonts w:ascii="Calibri" w:hAnsi="Calibri" w:cs="Calibri"/>
                <w:u w:color="000000"/>
              </w:rPr>
              <w:t>1.200.000</w:t>
            </w:r>
          </w:p>
        </w:tc>
      </w:tr>
      <w:tr w:rsidR="009E7480" w:rsidRPr="009F41D0" w:rsidTr="00747321">
        <w:trPr>
          <w:trHeight w:val="216"/>
        </w:trPr>
        <w:tc>
          <w:tcPr>
            <w:tcW w:w="2194" w:type="dxa"/>
            <w:tcBorders>
              <w:top w:val="nil"/>
              <w:left w:val="single" w:sz="4" w:space="0" w:color="auto"/>
              <w:bottom w:val="single" w:sz="4" w:space="0" w:color="auto"/>
              <w:right w:val="single" w:sz="4" w:space="0" w:color="auto"/>
            </w:tcBorders>
            <w:shd w:val="clear" w:color="auto" w:fill="auto"/>
            <w:noWrap/>
            <w:vAlign w:val="bottom"/>
            <w:hideMark/>
          </w:tcPr>
          <w:p w:rsidR="009E7480" w:rsidRPr="009F41D0" w:rsidRDefault="009E7480" w:rsidP="00747321">
            <w:pPr>
              <w:jc w:val="both"/>
              <w:rPr>
                <w:rFonts w:ascii="Calibri" w:hAnsi="Calibri" w:cs="Calibri"/>
                <w:u w:color="000000"/>
              </w:rPr>
            </w:pPr>
            <w:r w:rsidRPr="009F41D0">
              <w:rPr>
                <w:rFonts w:ascii="Calibri" w:hAnsi="Calibri" w:cs="Calibri"/>
                <w:u w:color="000000"/>
              </w:rPr>
              <w:t>Ukrep 2</w:t>
            </w:r>
          </w:p>
        </w:tc>
        <w:tc>
          <w:tcPr>
            <w:tcW w:w="1008" w:type="dxa"/>
            <w:tcBorders>
              <w:top w:val="nil"/>
              <w:left w:val="nil"/>
              <w:bottom w:val="single" w:sz="4" w:space="0" w:color="auto"/>
              <w:right w:val="single" w:sz="4" w:space="0" w:color="auto"/>
            </w:tcBorders>
            <w:shd w:val="clear" w:color="auto" w:fill="auto"/>
            <w:noWrap/>
            <w:vAlign w:val="bottom"/>
            <w:hideMark/>
          </w:tcPr>
          <w:p w:rsidR="009E7480" w:rsidRPr="009F41D0" w:rsidRDefault="009E7480" w:rsidP="00747321">
            <w:pPr>
              <w:jc w:val="center"/>
              <w:rPr>
                <w:rFonts w:ascii="Calibri" w:hAnsi="Calibri" w:cs="Calibri"/>
                <w:u w:color="000000"/>
              </w:rPr>
            </w:pPr>
            <w:r w:rsidRPr="009F41D0">
              <w:rPr>
                <w:rFonts w:ascii="Calibri" w:hAnsi="Calibri" w:cs="Calibri"/>
                <w:u w:color="000000"/>
              </w:rPr>
              <w:t>180.000</w:t>
            </w:r>
          </w:p>
        </w:tc>
        <w:tc>
          <w:tcPr>
            <w:tcW w:w="1208" w:type="dxa"/>
            <w:tcBorders>
              <w:top w:val="nil"/>
              <w:left w:val="nil"/>
              <w:bottom w:val="single" w:sz="4" w:space="0" w:color="auto"/>
              <w:right w:val="single" w:sz="4" w:space="0" w:color="auto"/>
            </w:tcBorders>
            <w:shd w:val="clear" w:color="auto" w:fill="auto"/>
            <w:noWrap/>
            <w:vAlign w:val="bottom"/>
            <w:hideMark/>
          </w:tcPr>
          <w:p w:rsidR="009E7480" w:rsidRPr="009F41D0" w:rsidRDefault="009E7480" w:rsidP="00747321">
            <w:pPr>
              <w:jc w:val="center"/>
              <w:rPr>
                <w:rFonts w:ascii="Calibri" w:hAnsi="Calibri" w:cs="Calibri"/>
                <w:u w:color="000000"/>
              </w:rPr>
            </w:pPr>
            <w:r w:rsidRPr="009F41D0">
              <w:rPr>
                <w:rFonts w:ascii="Calibri" w:hAnsi="Calibri" w:cs="Calibri"/>
                <w:u w:color="000000"/>
              </w:rPr>
              <w:t>180.000</w:t>
            </w:r>
          </w:p>
        </w:tc>
        <w:tc>
          <w:tcPr>
            <w:tcW w:w="1208" w:type="dxa"/>
            <w:tcBorders>
              <w:top w:val="nil"/>
              <w:left w:val="nil"/>
              <w:bottom w:val="single" w:sz="4" w:space="0" w:color="auto"/>
              <w:right w:val="single" w:sz="4" w:space="0" w:color="auto"/>
            </w:tcBorders>
            <w:shd w:val="clear" w:color="auto" w:fill="auto"/>
            <w:noWrap/>
            <w:vAlign w:val="bottom"/>
            <w:hideMark/>
          </w:tcPr>
          <w:p w:rsidR="009E7480" w:rsidRPr="009F41D0" w:rsidRDefault="009E7480" w:rsidP="00747321">
            <w:pPr>
              <w:jc w:val="center"/>
              <w:rPr>
                <w:rFonts w:ascii="Calibri" w:hAnsi="Calibri" w:cs="Calibri"/>
                <w:u w:color="000000"/>
              </w:rPr>
            </w:pPr>
            <w:r w:rsidRPr="009F41D0">
              <w:rPr>
                <w:rFonts w:ascii="Calibri" w:hAnsi="Calibri" w:cs="Calibri"/>
                <w:u w:color="000000"/>
              </w:rPr>
              <w:t>180.000</w:t>
            </w:r>
          </w:p>
        </w:tc>
        <w:tc>
          <w:tcPr>
            <w:tcW w:w="1208" w:type="dxa"/>
            <w:tcBorders>
              <w:top w:val="nil"/>
              <w:left w:val="nil"/>
              <w:bottom w:val="single" w:sz="4" w:space="0" w:color="auto"/>
              <w:right w:val="single" w:sz="4" w:space="0" w:color="auto"/>
            </w:tcBorders>
            <w:shd w:val="clear" w:color="auto" w:fill="auto"/>
            <w:noWrap/>
            <w:vAlign w:val="bottom"/>
            <w:hideMark/>
          </w:tcPr>
          <w:p w:rsidR="009E7480" w:rsidRPr="009F41D0" w:rsidRDefault="009E7480" w:rsidP="00747321">
            <w:pPr>
              <w:jc w:val="center"/>
              <w:rPr>
                <w:rFonts w:ascii="Calibri" w:hAnsi="Calibri" w:cs="Calibri"/>
                <w:u w:color="000000"/>
              </w:rPr>
            </w:pPr>
            <w:r w:rsidRPr="009F41D0">
              <w:rPr>
                <w:rFonts w:ascii="Calibri" w:hAnsi="Calibri" w:cs="Calibri"/>
                <w:u w:color="000000"/>
              </w:rPr>
              <w:t>180.000</w:t>
            </w:r>
          </w:p>
        </w:tc>
        <w:tc>
          <w:tcPr>
            <w:tcW w:w="2642" w:type="dxa"/>
            <w:tcBorders>
              <w:top w:val="nil"/>
              <w:left w:val="nil"/>
              <w:bottom w:val="single" w:sz="4" w:space="0" w:color="auto"/>
              <w:right w:val="single" w:sz="4" w:space="0" w:color="auto"/>
            </w:tcBorders>
            <w:shd w:val="clear" w:color="auto" w:fill="auto"/>
            <w:noWrap/>
            <w:vAlign w:val="bottom"/>
            <w:hideMark/>
          </w:tcPr>
          <w:p w:rsidR="009E7480" w:rsidRPr="009F41D0" w:rsidRDefault="009E7480" w:rsidP="00747321">
            <w:pPr>
              <w:jc w:val="center"/>
              <w:rPr>
                <w:rFonts w:ascii="Calibri" w:hAnsi="Calibri" w:cs="Calibri"/>
                <w:u w:color="000000"/>
              </w:rPr>
            </w:pPr>
            <w:r w:rsidRPr="009F41D0">
              <w:rPr>
                <w:rFonts w:ascii="Calibri" w:hAnsi="Calibri" w:cs="Calibri"/>
                <w:u w:color="000000"/>
              </w:rPr>
              <w:t>720.000</w:t>
            </w:r>
          </w:p>
        </w:tc>
      </w:tr>
      <w:tr w:rsidR="009E7480" w:rsidRPr="009F41D0" w:rsidTr="00747321">
        <w:trPr>
          <w:trHeight w:val="216"/>
        </w:trPr>
        <w:tc>
          <w:tcPr>
            <w:tcW w:w="2194" w:type="dxa"/>
            <w:tcBorders>
              <w:top w:val="nil"/>
              <w:left w:val="single" w:sz="4" w:space="0" w:color="auto"/>
              <w:bottom w:val="single" w:sz="4" w:space="0" w:color="auto"/>
              <w:right w:val="single" w:sz="4" w:space="0" w:color="auto"/>
            </w:tcBorders>
            <w:shd w:val="clear" w:color="auto" w:fill="auto"/>
            <w:noWrap/>
            <w:vAlign w:val="bottom"/>
            <w:hideMark/>
          </w:tcPr>
          <w:p w:rsidR="009E7480" w:rsidRPr="009F41D0" w:rsidRDefault="009E7480" w:rsidP="00747321">
            <w:pPr>
              <w:jc w:val="both"/>
              <w:rPr>
                <w:rFonts w:ascii="Calibri" w:hAnsi="Calibri" w:cs="Calibri"/>
                <w:u w:color="000000"/>
              </w:rPr>
            </w:pPr>
            <w:r w:rsidRPr="009F41D0">
              <w:rPr>
                <w:rFonts w:ascii="Calibri" w:hAnsi="Calibri" w:cs="Calibri"/>
                <w:u w:color="000000"/>
              </w:rPr>
              <w:t>Ukrep 3</w:t>
            </w:r>
          </w:p>
        </w:tc>
        <w:tc>
          <w:tcPr>
            <w:tcW w:w="1008" w:type="dxa"/>
            <w:tcBorders>
              <w:top w:val="nil"/>
              <w:left w:val="nil"/>
              <w:bottom w:val="single" w:sz="4" w:space="0" w:color="auto"/>
              <w:right w:val="single" w:sz="4" w:space="0" w:color="auto"/>
            </w:tcBorders>
            <w:shd w:val="clear" w:color="auto" w:fill="auto"/>
            <w:noWrap/>
            <w:vAlign w:val="bottom"/>
            <w:hideMark/>
          </w:tcPr>
          <w:p w:rsidR="009E7480" w:rsidRPr="009F41D0" w:rsidRDefault="009E7480" w:rsidP="00747321">
            <w:pPr>
              <w:jc w:val="center"/>
              <w:rPr>
                <w:rFonts w:ascii="Calibri" w:hAnsi="Calibri" w:cs="Calibri"/>
                <w:u w:color="000000"/>
              </w:rPr>
            </w:pPr>
            <w:r w:rsidRPr="009F41D0">
              <w:rPr>
                <w:rFonts w:ascii="Calibri" w:hAnsi="Calibri" w:cs="Calibri"/>
                <w:u w:color="000000"/>
              </w:rPr>
              <w:t>220.000</w:t>
            </w:r>
          </w:p>
        </w:tc>
        <w:tc>
          <w:tcPr>
            <w:tcW w:w="1208" w:type="dxa"/>
            <w:tcBorders>
              <w:top w:val="nil"/>
              <w:left w:val="nil"/>
              <w:bottom w:val="single" w:sz="4" w:space="0" w:color="auto"/>
              <w:right w:val="single" w:sz="4" w:space="0" w:color="auto"/>
            </w:tcBorders>
            <w:shd w:val="clear" w:color="auto" w:fill="auto"/>
            <w:noWrap/>
            <w:vAlign w:val="bottom"/>
            <w:hideMark/>
          </w:tcPr>
          <w:p w:rsidR="009E7480" w:rsidRPr="009F41D0" w:rsidRDefault="009E7480" w:rsidP="00747321">
            <w:pPr>
              <w:jc w:val="center"/>
              <w:rPr>
                <w:rFonts w:ascii="Calibri" w:hAnsi="Calibri" w:cs="Calibri"/>
                <w:u w:color="000000"/>
              </w:rPr>
            </w:pPr>
            <w:r w:rsidRPr="009F41D0">
              <w:rPr>
                <w:rFonts w:ascii="Calibri" w:hAnsi="Calibri" w:cs="Calibri"/>
                <w:u w:color="000000"/>
              </w:rPr>
              <w:t>220.000</w:t>
            </w:r>
          </w:p>
        </w:tc>
        <w:tc>
          <w:tcPr>
            <w:tcW w:w="1208" w:type="dxa"/>
            <w:tcBorders>
              <w:top w:val="nil"/>
              <w:left w:val="nil"/>
              <w:bottom w:val="single" w:sz="4" w:space="0" w:color="auto"/>
              <w:right w:val="single" w:sz="4" w:space="0" w:color="auto"/>
            </w:tcBorders>
            <w:shd w:val="clear" w:color="auto" w:fill="auto"/>
            <w:noWrap/>
            <w:vAlign w:val="bottom"/>
            <w:hideMark/>
          </w:tcPr>
          <w:p w:rsidR="009E7480" w:rsidRPr="009F41D0" w:rsidRDefault="009E7480" w:rsidP="00747321">
            <w:pPr>
              <w:jc w:val="center"/>
              <w:rPr>
                <w:rFonts w:ascii="Calibri" w:hAnsi="Calibri" w:cs="Calibri"/>
                <w:u w:color="000000"/>
              </w:rPr>
            </w:pPr>
            <w:r w:rsidRPr="009F41D0">
              <w:rPr>
                <w:rFonts w:ascii="Calibri" w:hAnsi="Calibri" w:cs="Calibri"/>
                <w:u w:color="000000"/>
              </w:rPr>
              <w:t>220.000</w:t>
            </w:r>
          </w:p>
        </w:tc>
        <w:tc>
          <w:tcPr>
            <w:tcW w:w="1208" w:type="dxa"/>
            <w:tcBorders>
              <w:top w:val="nil"/>
              <w:left w:val="nil"/>
              <w:bottom w:val="single" w:sz="4" w:space="0" w:color="auto"/>
              <w:right w:val="single" w:sz="4" w:space="0" w:color="auto"/>
            </w:tcBorders>
            <w:shd w:val="clear" w:color="auto" w:fill="auto"/>
            <w:noWrap/>
            <w:vAlign w:val="bottom"/>
            <w:hideMark/>
          </w:tcPr>
          <w:p w:rsidR="009E7480" w:rsidRPr="009F41D0" w:rsidRDefault="009E7480" w:rsidP="00747321">
            <w:pPr>
              <w:jc w:val="center"/>
              <w:rPr>
                <w:rFonts w:ascii="Calibri" w:hAnsi="Calibri" w:cs="Calibri"/>
                <w:u w:color="000000"/>
              </w:rPr>
            </w:pPr>
            <w:r w:rsidRPr="009F41D0">
              <w:rPr>
                <w:rFonts w:ascii="Calibri" w:hAnsi="Calibri" w:cs="Calibri"/>
                <w:u w:color="000000"/>
              </w:rPr>
              <w:t>220.000</w:t>
            </w:r>
          </w:p>
        </w:tc>
        <w:tc>
          <w:tcPr>
            <w:tcW w:w="2642" w:type="dxa"/>
            <w:tcBorders>
              <w:top w:val="nil"/>
              <w:left w:val="nil"/>
              <w:bottom w:val="single" w:sz="4" w:space="0" w:color="auto"/>
              <w:right w:val="single" w:sz="4" w:space="0" w:color="auto"/>
            </w:tcBorders>
            <w:shd w:val="clear" w:color="auto" w:fill="auto"/>
            <w:noWrap/>
            <w:vAlign w:val="bottom"/>
            <w:hideMark/>
          </w:tcPr>
          <w:p w:rsidR="009E7480" w:rsidRPr="009F41D0" w:rsidRDefault="009E7480" w:rsidP="00747321">
            <w:pPr>
              <w:jc w:val="center"/>
              <w:rPr>
                <w:rFonts w:ascii="Calibri" w:hAnsi="Calibri" w:cs="Calibri"/>
                <w:u w:color="000000"/>
              </w:rPr>
            </w:pPr>
            <w:r w:rsidRPr="009F41D0">
              <w:rPr>
                <w:rFonts w:ascii="Calibri" w:hAnsi="Calibri" w:cs="Calibri"/>
                <w:u w:color="000000"/>
              </w:rPr>
              <w:t>880.000</w:t>
            </w:r>
          </w:p>
        </w:tc>
      </w:tr>
      <w:tr w:rsidR="009E7480" w:rsidRPr="009F41D0" w:rsidTr="00747321">
        <w:trPr>
          <w:trHeight w:val="216"/>
        </w:trPr>
        <w:tc>
          <w:tcPr>
            <w:tcW w:w="2194" w:type="dxa"/>
            <w:tcBorders>
              <w:top w:val="nil"/>
              <w:left w:val="single" w:sz="4" w:space="0" w:color="auto"/>
              <w:bottom w:val="single" w:sz="4" w:space="0" w:color="auto"/>
              <w:right w:val="single" w:sz="4" w:space="0" w:color="auto"/>
            </w:tcBorders>
            <w:shd w:val="clear" w:color="auto" w:fill="auto"/>
            <w:noWrap/>
            <w:vAlign w:val="bottom"/>
          </w:tcPr>
          <w:p w:rsidR="009E7480" w:rsidRPr="009F41D0" w:rsidRDefault="009E7480" w:rsidP="00747321">
            <w:pPr>
              <w:jc w:val="both"/>
              <w:rPr>
                <w:rFonts w:ascii="Calibri" w:hAnsi="Calibri" w:cs="Calibri"/>
                <w:u w:color="000000"/>
              </w:rPr>
            </w:pPr>
            <w:r w:rsidRPr="009F41D0">
              <w:rPr>
                <w:rFonts w:ascii="Calibri" w:hAnsi="Calibri" w:cs="Calibri"/>
                <w:u w:color="000000"/>
              </w:rPr>
              <w:t>Ukrep 4 – podukrep 4.1.</w:t>
            </w:r>
          </w:p>
        </w:tc>
        <w:tc>
          <w:tcPr>
            <w:tcW w:w="1008" w:type="dxa"/>
            <w:tcBorders>
              <w:top w:val="nil"/>
              <w:left w:val="nil"/>
              <w:bottom w:val="single" w:sz="4" w:space="0" w:color="auto"/>
              <w:right w:val="single" w:sz="4" w:space="0" w:color="auto"/>
            </w:tcBorders>
            <w:shd w:val="clear" w:color="auto" w:fill="auto"/>
            <w:noWrap/>
            <w:vAlign w:val="center"/>
          </w:tcPr>
          <w:p w:rsidR="009E7480" w:rsidRPr="009F41D0" w:rsidRDefault="009E7480" w:rsidP="00747321">
            <w:pPr>
              <w:jc w:val="center"/>
              <w:rPr>
                <w:rFonts w:ascii="Calibri" w:hAnsi="Calibri" w:cs="Calibri"/>
                <w:u w:color="000000"/>
              </w:rPr>
            </w:pPr>
            <w:r w:rsidRPr="009F41D0">
              <w:rPr>
                <w:rFonts w:ascii="Calibri" w:hAnsi="Calibri" w:cs="Calibri"/>
                <w:u w:color="000000"/>
              </w:rPr>
              <w:t>-</w:t>
            </w:r>
          </w:p>
        </w:tc>
        <w:tc>
          <w:tcPr>
            <w:tcW w:w="1208" w:type="dxa"/>
            <w:tcBorders>
              <w:top w:val="nil"/>
              <w:left w:val="nil"/>
              <w:bottom w:val="single" w:sz="4" w:space="0" w:color="auto"/>
              <w:right w:val="single" w:sz="4" w:space="0" w:color="auto"/>
            </w:tcBorders>
            <w:shd w:val="clear" w:color="auto" w:fill="auto"/>
            <w:noWrap/>
            <w:vAlign w:val="center"/>
          </w:tcPr>
          <w:p w:rsidR="009E7480" w:rsidRPr="009F41D0" w:rsidRDefault="009E7480" w:rsidP="00747321">
            <w:pPr>
              <w:jc w:val="center"/>
              <w:rPr>
                <w:rFonts w:ascii="Calibri" w:hAnsi="Calibri" w:cs="Calibri"/>
                <w:u w:color="000000"/>
              </w:rPr>
            </w:pPr>
            <w:r w:rsidRPr="009F41D0">
              <w:rPr>
                <w:rFonts w:ascii="Calibri" w:hAnsi="Calibri" w:cs="Calibri"/>
                <w:u w:color="000000"/>
              </w:rPr>
              <w:t>2.180.000</w:t>
            </w:r>
          </w:p>
        </w:tc>
        <w:tc>
          <w:tcPr>
            <w:tcW w:w="1208" w:type="dxa"/>
            <w:tcBorders>
              <w:top w:val="nil"/>
              <w:left w:val="nil"/>
              <w:bottom w:val="single" w:sz="4" w:space="0" w:color="auto"/>
              <w:right w:val="single" w:sz="4" w:space="0" w:color="auto"/>
            </w:tcBorders>
            <w:shd w:val="clear" w:color="auto" w:fill="auto"/>
            <w:noWrap/>
            <w:vAlign w:val="center"/>
          </w:tcPr>
          <w:p w:rsidR="009E7480" w:rsidRPr="009F41D0" w:rsidRDefault="009E7480" w:rsidP="00747321">
            <w:pPr>
              <w:jc w:val="center"/>
              <w:rPr>
                <w:rFonts w:ascii="Calibri" w:hAnsi="Calibri" w:cs="Calibri"/>
                <w:u w:color="000000"/>
              </w:rPr>
            </w:pPr>
            <w:r w:rsidRPr="009F41D0">
              <w:rPr>
                <w:rFonts w:ascii="Calibri" w:hAnsi="Calibri" w:cs="Calibri"/>
                <w:u w:color="000000"/>
              </w:rPr>
              <w:t>2.600.000</w:t>
            </w:r>
          </w:p>
        </w:tc>
        <w:tc>
          <w:tcPr>
            <w:tcW w:w="1208" w:type="dxa"/>
            <w:tcBorders>
              <w:top w:val="nil"/>
              <w:left w:val="nil"/>
              <w:bottom w:val="single" w:sz="4" w:space="0" w:color="auto"/>
              <w:right w:val="single" w:sz="4" w:space="0" w:color="auto"/>
            </w:tcBorders>
            <w:shd w:val="clear" w:color="auto" w:fill="auto"/>
            <w:noWrap/>
            <w:vAlign w:val="center"/>
          </w:tcPr>
          <w:p w:rsidR="009E7480" w:rsidRPr="009F41D0" w:rsidRDefault="009E7480" w:rsidP="00747321">
            <w:pPr>
              <w:jc w:val="center"/>
              <w:rPr>
                <w:rFonts w:ascii="Calibri" w:hAnsi="Calibri" w:cs="Calibri"/>
                <w:u w:color="000000"/>
              </w:rPr>
            </w:pPr>
            <w:r w:rsidRPr="009F41D0">
              <w:rPr>
                <w:rFonts w:ascii="Calibri" w:hAnsi="Calibri" w:cs="Calibri"/>
                <w:u w:color="000000"/>
              </w:rPr>
              <w:t>1.920.000</w:t>
            </w:r>
          </w:p>
        </w:tc>
        <w:tc>
          <w:tcPr>
            <w:tcW w:w="2642" w:type="dxa"/>
            <w:tcBorders>
              <w:top w:val="nil"/>
              <w:left w:val="nil"/>
              <w:bottom w:val="single" w:sz="4" w:space="0" w:color="auto"/>
              <w:right w:val="single" w:sz="4" w:space="0" w:color="auto"/>
            </w:tcBorders>
            <w:shd w:val="clear" w:color="auto" w:fill="auto"/>
            <w:noWrap/>
            <w:vAlign w:val="center"/>
          </w:tcPr>
          <w:p w:rsidR="009E7480" w:rsidRPr="009F41D0" w:rsidRDefault="009E7480" w:rsidP="00747321">
            <w:pPr>
              <w:jc w:val="center"/>
              <w:rPr>
                <w:rFonts w:ascii="Calibri" w:hAnsi="Calibri" w:cs="Calibri"/>
                <w:u w:color="000000"/>
              </w:rPr>
            </w:pPr>
            <w:r w:rsidRPr="009F41D0">
              <w:rPr>
                <w:rFonts w:ascii="Calibri" w:hAnsi="Calibri" w:cs="Calibri"/>
                <w:u w:color="000000"/>
              </w:rPr>
              <w:t>6.700.000</w:t>
            </w:r>
          </w:p>
        </w:tc>
      </w:tr>
      <w:tr w:rsidR="009E7480" w:rsidRPr="009F41D0" w:rsidTr="00747321">
        <w:trPr>
          <w:trHeight w:val="216"/>
        </w:trPr>
        <w:tc>
          <w:tcPr>
            <w:tcW w:w="2194" w:type="dxa"/>
            <w:tcBorders>
              <w:top w:val="nil"/>
              <w:left w:val="single" w:sz="4" w:space="0" w:color="auto"/>
              <w:bottom w:val="single" w:sz="4" w:space="0" w:color="auto"/>
              <w:right w:val="single" w:sz="4" w:space="0" w:color="auto"/>
            </w:tcBorders>
            <w:shd w:val="clear" w:color="auto" w:fill="auto"/>
            <w:noWrap/>
            <w:vAlign w:val="bottom"/>
          </w:tcPr>
          <w:p w:rsidR="009E7480" w:rsidRPr="009F41D0" w:rsidRDefault="009E7480" w:rsidP="00747321">
            <w:pPr>
              <w:jc w:val="both"/>
              <w:rPr>
                <w:rFonts w:ascii="Calibri" w:hAnsi="Calibri" w:cs="Calibri"/>
                <w:u w:color="000000"/>
              </w:rPr>
            </w:pPr>
            <w:r w:rsidRPr="009F41D0">
              <w:rPr>
                <w:rFonts w:ascii="Calibri" w:hAnsi="Calibri" w:cs="Calibri"/>
                <w:u w:color="000000"/>
              </w:rPr>
              <w:t>Ukrep 4 – podukrep 4.2.</w:t>
            </w:r>
          </w:p>
        </w:tc>
        <w:tc>
          <w:tcPr>
            <w:tcW w:w="1008" w:type="dxa"/>
            <w:tcBorders>
              <w:top w:val="nil"/>
              <w:left w:val="nil"/>
              <w:bottom w:val="single" w:sz="4" w:space="0" w:color="auto"/>
              <w:right w:val="single" w:sz="4" w:space="0" w:color="auto"/>
            </w:tcBorders>
            <w:shd w:val="clear" w:color="auto" w:fill="auto"/>
            <w:noWrap/>
            <w:vAlign w:val="center"/>
          </w:tcPr>
          <w:p w:rsidR="009E7480" w:rsidRPr="009F41D0" w:rsidRDefault="009E7480" w:rsidP="00747321">
            <w:pPr>
              <w:jc w:val="center"/>
              <w:rPr>
                <w:rFonts w:ascii="Calibri" w:hAnsi="Calibri" w:cs="Calibri"/>
                <w:u w:color="000000"/>
              </w:rPr>
            </w:pPr>
            <w:r w:rsidRPr="009F41D0">
              <w:rPr>
                <w:rFonts w:ascii="Calibri" w:hAnsi="Calibri" w:cs="Calibri"/>
                <w:u w:color="000000"/>
              </w:rPr>
              <w:t>-</w:t>
            </w:r>
          </w:p>
        </w:tc>
        <w:tc>
          <w:tcPr>
            <w:tcW w:w="1208" w:type="dxa"/>
            <w:tcBorders>
              <w:top w:val="nil"/>
              <w:left w:val="nil"/>
              <w:bottom w:val="single" w:sz="4" w:space="0" w:color="auto"/>
              <w:right w:val="single" w:sz="4" w:space="0" w:color="auto"/>
            </w:tcBorders>
            <w:shd w:val="clear" w:color="auto" w:fill="auto"/>
            <w:noWrap/>
            <w:vAlign w:val="center"/>
          </w:tcPr>
          <w:p w:rsidR="009E7480" w:rsidRPr="009F41D0" w:rsidRDefault="009E7480" w:rsidP="00747321">
            <w:pPr>
              <w:jc w:val="center"/>
              <w:rPr>
                <w:rFonts w:ascii="Calibri" w:hAnsi="Calibri" w:cs="Calibri"/>
                <w:u w:color="000000"/>
              </w:rPr>
            </w:pPr>
            <w:r w:rsidRPr="009F41D0">
              <w:rPr>
                <w:rFonts w:ascii="Calibri" w:hAnsi="Calibri" w:cs="Calibri"/>
                <w:u w:color="000000"/>
              </w:rPr>
              <w:t>320.000</w:t>
            </w:r>
          </w:p>
        </w:tc>
        <w:tc>
          <w:tcPr>
            <w:tcW w:w="1208" w:type="dxa"/>
            <w:tcBorders>
              <w:top w:val="nil"/>
              <w:left w:val="nil"/>
              <w:bottom w:val="single" w:sz="4" w:space="0" w:color="auto"/>
              <w:right w:val="single" w:sz="4" w:space="0" w:color="auto"/>
            </w:tcBorders>
            <w:shd w:val="clear" w:color="auto" w:fill="auto"/>
            <w:noWrap/>
            <w:vAlign w:val="center"/>
          </w:tcPr>
          <w:p w:rsidR="009E7480" w:rsidRPr="009F41D0" w:rsidRDefault="009E7480" w:rsidP="00747321">
            <w:pPr>
              <w:jc w:val="center"/>
              <w:rPr>
                <w:rFonts w:ascii="Calibri" w:hAnsi="Calibri" w:cs="Calibri"/>
                <w:u w:color="000000"/>
              </w:rPr>
            </w:pPr>
            <w:r w:rsidRPr="009F41D0">
              <w:rPr>
                <w:rFonts w:ascii="Calibri" w:hAnsi="Calibri" w:cs="Calibri"/>
                <w:u w:color="000000"/>
              </w:rPr>
              <w:t>400.000</w:t>
            </w:r>
          </w:p>
        </w:tc>
        <w:tc>
          <w:tcPr>
            <w:tcW w:w="1208" w:type="dxa"/>
            <w:tcBorders>
              <w:top w:val="nil"/>
              <w:left w:val="nil"/>
              <w:bottom w:val="single" w:sz="4" w:space="0" w:color="auto"/>
              <w:right w:val="single" w:sz="4" w:space="0" w:color="auto"/>
            </w:tcBorders>
            <w:shd w:val="clear" w:color="auto" w:fill="auto"/>
            <w:noWrap/>
            <w:vAlign w:val="center"/>
          </w:tcPr>
          <w:p w:rsidR="009E7480" w:rsidRPr="009F41D0" w:rsidRDefault="009E7480" w:rsidP="00747321">
            <w:pPr>
              <w:jc w:val="center"/>
              <w:rPr>
                <w:rFonts w:ascii="Calibri" w:hAnsi="Calibri" w:cs="Calibri"/>
                <w:u w:color="000000"/>
              </w:rPr>
            </w:pPr>
            <w:r w:rsidRPr="009F41D0">
              <w:rPr>
                <w:rFonts w:ascii="Calibri" w:hAnsi="Calibri" w:cs="Calibri"/>
                <w:u w:color="000000"/>
              </w:rPr>
              <w:t>580.000</w:t>
            </w:r>
          </w:p>
        </w:tc>
        <w:tc>
          <w:tcPr>
            <w:tcW w:w="2642" w:type="dxa"/>
            <w:tcBorders>
              <w:top w:val="nil"/>
              <w:left w:val="nil"/>
              <w:bottom w:val="single" w:sz="4" w:space="0" w:color="auto"/>
              <w:right w:val="single" w:sz="4" w:space="0" w:color="auto"/>
            </w:tcBorders>
            <w:shd w:val="clear" w:color="auto" w:fill="auto"/>
            <w:noWrap/>
            <w:vAlign w:val="center"/>
          </w:tcPr>
          <w:p w:rsidR="009E7480" w:rsidRPr="009F41D0" w:rsidRDefault="009E7480" w:rsidP="00747321">
            <w:pPr>
              <w:jc w:val="center"/>
              <w:rPr>
                <w:rFonts w:ascii="Calibri" w:hAnsi="Calibri" w:cs="Calibri"/>
                <w:u w:color="000000"/>
              </w:rPr>
            </w:pPr>
            <w:r w:rsidRPr="009F41D0">
              <w:rPr>
                <w:rFonts w:ascii="Calibri" w:hAnsi="Calibri" w:cs="Calibri"/>
                <w:u w:color="000000"/>
              </w:rPr>
              <w:t>1.300.000</w:t>
            </w:r>
          </w:p>
        </w:tc>
      </w:tr>
      <w:tr w:rsidR="009E7480" w:rsidRPr="009F41D0" w:rsidTr="00747321">
        <w:trPr>
          <w:trHeight w:val="1521"/>
        </w:trPr>
        <w:tc>
          <w:tcPr>
            <w:tcW w:w="2194" w:type="dxa"/>
            <w:tcBorders>
              <w:top w:val="nil"/>
              <w:left w:val="single" w:sz="4" w:space="0" w:color="auto"/>
              <w:bottom w:val="single" w:sz="4" w:space="0" w:color="auto"/>
              <w:right w:val="single" w:sz="4" w:space="0" w:color="auto"/>
            </w:tcBorders>
            <w:shd w:val="clear" w:color="auto" w:fill="auto"/>
            <w:vAlign w:val="bottom"/>
            <w:hideMark/>
          </w:tcPr>
          <w:p w:rsidR="009E7480" w:rsidRPr="009F41D0" w:rsidRDefault="009E7480" w:rsidP="00747321">
            <w:pPr>
              <w:jc w:val="both"/>
              <w:rPr>
                <w:rFonts w:ascii="Calibri" w:hAnsi="Calibri" w:cs="Calibri"/>
                <w:u w:color="000000"/>
              </w:rPr>
            </w:pPr>
            <w:r w:rsidRPr="009F41D0">
              <w:rPr>
                <w:rFonts w:ascii="Calibri" w:hAnsi="Calibri" w:cs="Calibri"/>
                <w:u w:color="000000"/>
              </w:rPr>
              <w:t>SKUPNA VREDNOST UKREPOV PROGRAMA PO POSAMEZNEM PRORAČUNSKEM LETU</w:t>
            </w:r>
          </w:p>
        </w:tc>
        <w:tc>
          <w:tcPr>
            <w:tcW w:w="1008" w:type="dxa"/>
            <w:tcBorders>
              <w:top w:val="nil"/>
              <w:left w:val="nil"/>
              <w:bottom w:val="single" w:sz="4" w:space="0" w:color="auto"/>
              <w:right w:val="single" w:sz="4" w:space="0" w:color="auto"/>
            </w:tcBorders>
            <w:shd w:val="clear" w:color="auto" w:fill="auto"/>
            <w:noWrap/>
            <w:vAlign w:val="center"/>
            <w:hideMark/>
          </w:tcPr>
          <w:p w:rsidR="009E7480" w:rsidRPr="009F41D0" w:rsidRDefault="009E7480" w:rsidP="00747321">
            <w:pPr>
              <w:jc w:val="center"/>
              <w:rPr>
                <w:rFonts w:ascii="Calibri" w:hAnsi="Calibri" w:cs="Calibri"/>
                <w:u w:color="000000"/>
              </w:rPr>
            </w:pPr>
            <w:r w:rsidRPr="009F41D0">
              <w:rPr>
                <w:rFonts w:ascii="Calibri" w:hAnsi="Calibri" w:cs="Calibri"/>
                <w:u w:color="000000"/>
              </w:rPr>
              <w:t>700.000</w:t>
            </w:r>
          </w:p>
        </w:tc>
        <w:tc>
          <w:tcPr>
            <w:tcW w:w="1208" w:type="dxa"/>
            <w:tcBorders>
              <w:top w:val="nil"/>
              <w:left w:val="nil"/>
              <w:bottom w:val="single" w:sz="4" w:space="0" w:color="auto"/>
              <w:right w:val="single" w:sz="4" w:space="0" w:color="auto"/>
            </w:tcBorders>
            <w:shd w:val="clear" w:color="auto" w:fill="auto"/>
            <w:noWrap/>
            <w:vAlign w:val="center"/>
            <w:hideMark/>
          </w:tcPr>
          <w:p w:rsidR="009E7480" w:rsidRPr="009F41D0" w:rsidRDefault="009E7480" w:rsidP="00747321">
            <w:pPr>
              <w:jc w:val="center"/>
              <w:rPr>
                <w:rFonts w:ascii="Calibri" w:hAnsi="Calibri" w:cs="Calibri"/>
                <w:u w:color="000000"/>
              </w:rPr>
            </w:pPr>
            <w:r w:rsidRPr="009F41D0">
              <w:rPr>
                <w:rFonts w:ascii="Calibri" w:hAnsi="Calibri" w:cs="Calibri"/>
                <w:u w:color="000000"/>
              </w:rPr>
              <w:t>3.200.000</w:t>
            </w:r>
          </w:p>
        </w:tc>
        <w:tc>
          <w:tcPr>
            <w:tcW w:w="1208" w:type="dxa"/>
            <w:tcBorders>
              <w:top w:val="nil"/>
              <w:left w:val="nil"/>
              <w:bottom w:val="single" w:sz="4" w:space="0" w:color="auto"/>
              <w:right w:val="single" w:sz="4" w:space="0" w:color="auto"/>
            </w:tcBorders>
            <w:shd w:val="clear" w:color="auto" w:fill="auto"/>
            <w:noWrap/>
            <w:vAlign w:val="center"/>
            <w:hideMark/>
          </w:tcPr>
          <w:p w:rsidR="009E7480" w:rsidRPr="009F41D0" w:rsidRDefault="009E7480" w:rsidP="00747321">
            <w:pPr>
              <w:jc w:val="center"/>
              <w:rPr>
                <w:rFonts w:ascii="Calibri" w:hAnsi="Calibri" w:cs="Calibri"/>
                <w:u w:color="000000"/>
              </w:rPr>
            </w:pPr>
            <w:r w:rsidRPr="009F41D0">
              <w:rPr>
                <w:rFonts w:ascii="Calibri" w:hAnsi="Calibri" w:cs="Calibri"/>
                <w:u w:color="000000"/>
              </w:rPr>
              <w:t>3.700.000</w:t>
            </w:r>
          </w:p>
        </w:tc>
        <w:tc>
          <w:tcPr>
            <w:tcW w:w="1208" w:type="dxa"/>
            <w:tcBorders>
              <w:top w:val="nil"/>
              <w:left w:val="nil"/>
              <w:bottom w:val="single" w:sz="4" w:space="0" w:color="auto"/>
              <w:right w:val="single" w:sz="4" w:space="0" w:color="auto"/>
            </w:tcBorders>
            <w:shd w:val="clear" w:color="auto" w:fill="auto"/>
            <w:noWrap/>
            <w:vAlign w:val="center"/>
            <w:hideMark/>
          </w:tcPr>
          <w:p w:rsidR="009E7480" w:rsidRPr="009F41D0" w:rsidRDefault="009E7480" w:rsidP="00747321">
            <w:pPr>
              <w:jc w:val="center"/>
              <w:rPr>
                <w:rFonts w:ascii="Calibri" w:hAnsi="Calibri" w:cs="Calibri"/>
                <w:u w:color="000000"/>
              </w:rPr>
            </w:pPr>
            <w:r w:rsidRPr="009F41D0">
              <w:rPr>
                <w:rFonts w:ascii="Calibri" w:hAnsi="Calibri" w:cs="Calibri"/>
                <w:u w:color="000000"/>
              </w:rPr>
              <w:t>3.200.000</w:t>
            </w:r>
          </w:p>
        </w:tc>
        <w:tc>
          <w:tcPr>
            <w:tcW w:w="2642" w:type="dxa"/>
            <w:tcBorders>
              <w:top w:val="nil"/>
              <w:left w:val="nil"/>
              <w:bottom w:val="single" w:sz="4" w:space="0" w:color="auto"/>
              <w:right w:val="single" w:sz="4" w:space="0" w:color="auto"/>
            </w:tcBorders>
            <w:shd w:val="clear" w:color="auto" w:fill="auto"/>
            <w:noWrap/>
            <w:vAlign w:val="bottom"/>
            <w:hideMark/>
          </w:tcPr>
          <w:p w:rsidR="009E7480" w:rsidRPr="009F41D0" w:rsidRDefault="009E7480" w:rsidP="00747321">
            <w:pPr>
              <w:jc w:val="center"/>
              <w:rPr>
                <w:rFonts w:ascii="Calibri" w:hAnsi="Calibri" w:cs="Calibri"/>
                <w:u w:color="000000"/>
              </w:rPr>
            </w:pPr>
          </w:p>
        </w:tc>
      </w:tr>
      <w:tr w:rsidR="009E7480" w:rsidRPr="009F41D0" w:rsidTr="00747321">
        <w:trPr>
          <w:trHeight w:val="434"/>
        </w:trPr>
        <w:tc>
          <w:tcPr>
            <w:tcW w:w="2194" w:type="dxa"/>
            <w:tcBorders>
              <w:top w:val="nil"/>
              <w:left w:val="single" w:sz="4" w:space="0" w:color="auto"/>
              <w:bottom w:val="single" w:sz="4" w:space="0" w:color="auto"/>
              <w:right w:val="single" w:sz="4" w:space="0" w:color="auto"/>
            </w:tcBorders>
            <w:shd w:val="clear" w:color="auto" w:fill="auto"/>
            <w:vAlign w:val="bottom"/>
            <w:hideMark/>
          </w:tcPr>
          <w:p w:rsidR="009E7480" w:rsidRPr="009F41D0" w:rsidRDefault="009E7480" w:rsidP="00747321">
            <w:pPr>
              <w:jc w:val="both"/>
              <w:rPr>
                <w:rFonts w:ascii="Calibri" w:hAnsi="Calibri" w:cs="Calibri"/>
                <w:u w:color="000000"/>
              </w:rPr>
            </w:pPr>
            <w:r w:rsidRPr="009F41D0">
              <w:rPr>
                <w:rFonts w:ascii="Calibri" w:hAnsi="Calibri" w:cs="Calibri"/>
                <w:u w:color="000000"/>
              </w:rPr>
              <w:t xml:space="preserve">SKUPAJ VREDNOST PROGRAMA </w:t>
            </w:r>
          </w:p>
        </w:tc>
        <w:tc>
          <w:tcPr>
            <w:tcW w:w="4632" w:type="dxa"/>
            <w:gridSpan w:val="4"/>
            <w:tcBorders>
              <w:top w:val="single" w:sz="4" w:space="0" w:color="auto"/>
              <w:left w:val="nil"/>
              <w:bottom w:val="single" w:sz="4" w:space="0" w:color="auto"/>
              <w:right w:val="single" w:sz="4" w:space="0" w:color="auto"/>
            </w:tcBorders>
            <w:shd w:val="clear" w:color="auto" w:fill="auto"/>
            <w:noWrap/>
            <w:vAlign w:val="center"/>
            <w:hideMark/>
          </w:tcPr>
          <w:p w:rsidR="009E7480" w:rsidRPr="009F41D0" w:rsidRDefault="009E7480" w:rsidP="00747321">
            <w:pPr>
              <w:jc w:val="center"/>
              <w:rPr>
                <w:rFonts w:ascii="Calibri" w:hAnsi="Calibri" w:cs="Calibri"/>
                <w:b/>
                <w:bCs/>
                <w:u w:color="000000"/>
              </w:rPr>
            </w:pPr>
            <w:r w:rsidRPr="009F41D0">
              <w:rPr>
                <w:rFonts w:ascii="Calibri" w:hAnsi="Calibri" w:cs="Calibri"/>
                <w:b/>
                <w:bCs/>
                <w:u w:color="000000"/>
              </w:rPr>
              <w:t>10.800.000</w:t>
            </w:r>
          </w:p>
        </w:tc>
        <w:tc>
          <w:tcPr>
            <w:tcW w:w="2642" w:type="dxa"/>
            <w:tcBorders>
              <w:top w:val="nil"/>
              <w:left w:val="nil"/>
              <w:bottom w:val="single" w:sz="4" w:space="0" w:color="auto"/>
              <w:right w:val="single" w:sz="4" w:space="0" w:color="auto"/>
            </w:tcBorders>
            <w:shd w:val="clear" w:color="auto" w:fill="auto"/>
            <w:noWrap/>
            <w:vAlign w:val="bottom"/>
            <w:hideMark/>
          </w:tcPr>
          <w:p w:rsidR="009E7480" w:rsidRPr="009F41D0" w:rsidRDefault="009E7480" w:rsidP="00747321">
            <w:pPr>
              <w:jc w:val="both"/>
              <w:rPr>
                <w:rFonts w:ascii="Calibri" w:hAnsi="Calibri" w:cs="Calibri"/>
                <w:u w:color="000000"/>
              </w:rPr>
            </w:pPr>
            <w:r w:rsidRPr="009F41D0">
              <w:rPr>
                <w:rFonts w:ascii="Calibri" w:hAnsi="Calibri" w:cs="Calibri"/>
                <w:u w:color="000000"/>
              </w:rPr>
              <w:t> </w:t>
            </w:r>
          </w:p>
        </w:tc>
      </w:tr>
    </w:tbl>
    <w:p w:rsidR="009E7480" w:rsidRPr="002B78C4" w:rsidRDefault="009E7480" w:rsidP="002B78C4">
      <w:pPr>
        <w:keepNext/>
        <w:keepLines/>
        <w:spacing w:line="240" w:lineRule="auto"/>
        <w:ind w:right="7655"/>
        <w:outlineLvl w:val="0"/>
        <w:rPr>
          <w:rFonts w:cs="Arial"/>
          <w:kern w:val="32"/>
          <w:u w:color="000000"/>
          <w:lang w:val="x-none"/>
        </w:rPr>
      </w:pPr>
      <w:bookmarkStart w:id="22" w:name="_GoBack"/>
      <w:r w:rsidRPr="002B78C4">
        <w:rPr>
          <w:rFonts w:cs="Arial"/>
          <w:kern w:val="32"/>
          <w:u w:color="000000"/>
          <w:lang w:val="x-none"/>
        </w:rPr>
        <w:t>«.</w:t>
      </w:r>
    </w:p>
    <w:bookmarkEnd w:id="20"/>
    <w:bookmarkEnd w:id="22"/>
    <w:p w:rsidR="009E0C40" w:rsidRPr="00EF798A" w:rsidRDefault="009E0C40" w:rsidP="009E7480">
      <w:pPr>
        <w:ind w:right="62"/>
        <w:jc w:val="both"/>
        <w:rPr>
          <w:rFonts w:cs="Arial"/>
          <w:color w:val="000000"/>
          <w:szCs w:val="20"/>
        </w:rPr>
      </w:pPr>
    </w:p>
    <w:sectPr w:rsidR="009E0C40" w:rsidRPr="00EF798A" w:rsidSect="005C3E50">
      <w:headerReference w:type="even" r:id="rId7"/>
      <w:headerReference w:type="default" r:id="rId8"/>
      <w:footerReference w:type="even" r:id="rId9"/>
      <w:footerReference w:type="default" r:id="rId10"/>
      <w:headerReference w:type="first" r:id="rId11"/>
      <w:footerReference w:type="first" r:id="rId12"/>
      <w:pgSz w:w="11906" w:h="16838"/>
      <w:pgMar w:top="1701" w:right="1701" w:bottom="1134" w:left="1701" w:header="96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D59" w:rsidRDefault="00440D59" w:rsidP="00767987">
      <w:pPr>
        <w:spacing w:line="240" w:lineRule="auto"/>
      </w:pPr>
      <w:r>
        <w:separator/>
      </w:r>
    </w:p>
  </w:endnote>
  <w:endnote w:type="continuationSeparator" w:id="0">
    <w:p w:rsidR="00440D59" w:rsidRDefault="00440D59" w:rsidP="007679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Microsoft Yi Baiti">
    <w:panose1 w:val="03000500000000000000"/>
    <w:charset w:val="00"/>
    <w:family w:val="script"/>
    <w:pitch w:val="variable"/>
    <w:sig w:usb0="80000003" w:usb1="00010402" w:usb2="00080002" w:usb3="00000000" w:csb0="00000001"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FAB" w:rsidRDefault="00276FAB">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608314"/>
      <w:docPartObj>
        <w:docPartGallery w:val="Page Numbers (Bottom of Page)"/>
        <w:docPartUnique/>
      </w:docPartObj>
    </w:sdtPr>
    <w:sdtEndPr/>
    <w:sdtContent>
      <w:p w:rsidR="00E37094" w:rsidRDefault="00E37094">
        <w:pPr>
          <w:pStyle w:val="Noga"/>
          <w:jc w:val="right"/>
        </w:pPr>
        <w:r>
          <w:fldChar w:fldCharType="begin"/>
        </w:r>
        <w:r>
          <w:instrText>PAGE   \* MERGEFORMAT</w:instrText>
        </w:r>
        <w:r>
          <w:fldChar w:fldCharType="separate"/>
        </w:r>
        <w:r w:rsidR="002B78C4">
          <w:rPr>
            <w:noProof/>
          </w:rPr>
          <w:t>10</w:t>
        </w:r>
        <w:r>
          <w:fldChar w:fldCharType="end"/>
        </w:r>
      </w:p>
    </w:sdtContent>
  </w:sdt>
  <w:p w:rsidR="00E37094" w:rsidRDefault="00E37094">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E5C" w:rsidRDefault="00552E5C" w:rsidP="00B01357">
    <w:pPr>
      <w:pStyle w:val="Noga"/>
      <w:jc w:val="right"/>
    </w:pPr>
  </w:p>
  <w:p w:rsidR="006C69EC" w:rsidRDefault="006C69EC">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D59" w:rsidRDefault="00440D59" w:rsidP="00767987">
      <w:pPr>
        <w:spacing w:line="240" w:lineRule="auto"/>
      </w:pPr>
      <w:r>
        <w:separator/>
      </w:r>
    </w:p>
  </w:footnote>
  <w:footnote w:type="continuationSeparator" w:id="0">
    <w:p w:rsidR="00440D59" w:rsidRDefault="00440D59" w:rsidP="0076798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FAB" w:rsidRDefault="00276FAB">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FAB" w:rsidRDefault="00276FAB">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E50" w:rsidRPr="00A9231D" w:rsidRDefault="005C3E50" w:rsidP="005C3E50">
    <w:pPr>
      <w:pStyle w:val="Glava"/>
      <w:tabs>
        <w:tab w:val="clear" w:pos="4536"/>
        <w:tab w:val="clear" w:pos="9072"/>
        <w:tab w:val="left" w:pos="5112"/>
        <w:tab w:val="left" w:pos="8641"/>
      </w:tabs>
      <w:spacing w:before="340" w:line="240" w:lineRule="exact"/>
      <w:ind w:left="-765"/>
      <w:rPr>
        <w:rFonts w:cs="Arial"/>
        <w:sz w:val="16"/>
      </w:rPr>
    </w:pPr>
    <w:r w:rsidRPr="00CE234E">
      <w:rPr>
        <w:noProof/>
        <w:lang w:eastAsia="sl-SI"/>
      </w:rPr>
      <w:drawing>
        <wp:inline distT="0" distB="0" distL="0" distR="0" wp14:anchorId="6A2662D8" wp14:editId="5DAAEB08">
          <wp:extent cx="2165350" cy="325120"/>
          <wp:effectExtent l="0" t="0" r="6350" b="0"/>
          <wp:docPr id="2" name="Slika 2"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325120"/>
                  </a:xfrm>
                  <a:prstGeom prst="rect">
                    <a:avLst/>
                  </a:prstGeom>
                  <a:noFill/>
                  <a:ln>
                    <a:noFill/>
                  </a:ln>
                </pic:spPr>
              </pic:pic>
            </a:graphicData>
          </a:graphic>
        </wp:inline>
      </w:drawing>
    </w:r>
  </w:p>
  <w:p w:rsidR="005C3E50" w:rsidRPr="00A9231D" w:rsidRDefault="005C3E50" w:rsidP="005C3E50">
    <w:pPr>
      <w:pStyle w:val="Glava"/>
      <w:tabs>
        <w:tab w:val="clear" w:pos="4536"/>
        <w:tab w:val="clear" w:pos="9072"/>
        <w:tab w:val="left" w:pos="5114"/>
        <w:tab w:val="left" w:pos="8641"/>
      </w:tabs>
      <w:spacing w:before="120" w:line="240" w:lineRule="exact"/>
      <w:rPr>
        <w:rFonts w:cs="Arial"/>
        <w:sz w:val="16"/>
      </w:rPr>
    </w:pPr>
    <w:r w:rsidRPr="00A9231D">
      <w:rPr>
        <w:rFonts w:cs="Arial"/>
        <w:sz w:val="16"/>
      </w:rPr>
      <w:t xml:space="preserve">Gregorčičeva </w:t>
    </w:r>
    <w:r>
      <w:rPr>
        <w:rFonts w:cs="Arial"/>
        <w:sz w:val="16"/>
      </w:rPr>
      <w:t xml:space="preserve">ulica </w:t>
    </w:r>
    <w:r w:rsidRPr="00A9231D">
      <w:rPr>
        <w:rFonts w:cs="Arial"/>
        <w:sz w:val="16"/>
      </w:rPr>
      <w:t>20–25, 100</w:t>
    </w:r>
    <w:r>
      <w:rPr>
        <w:rFonts w:cs="Arial"/>
        <w:sz w:val="16"/>
      </w:rPr>
      <w:t>0</w:t>
    </w:r>
    <w:r w:rsidRPr="00A9231D">
      <w:rPr>
        <w:rFonts w:cs="Arial"/>
        <w:sz w:val="16"/>
      </w:rPr>
      <w:t xml:space="preserve"> Ljubljana</w:t>
    </w:r>
    <w:r w:rsidRPr="00A9231D">
      <w:rPr>
        <w:rFonts w:cs="Arial"/>
        <w:sz w:val="16"/>
      </w:rPr>
      <w:tab/>
      <w:t>T: +386 1 478 1000</w:t>
    </w:r>
  </w:p>
  <w:p w:rsidR="005C3E50" w:rsidRPr="00A9231D" w:rsidRDefault="005C3E50" w:rsidP="005C3E50">
    <w:pPr>
      <w:pStyle w:val="Glava"/>
      <w:tabs>
        <w:tab w:val="clear" w:pos="4536"/>
        <w:tab w:val="clear" w:pos="9072"/>
        <w:tab w:val="left" w:pos="5114"/>
        <w:tab w:val="left" w:pos="8641"/>
      </w:tabs>
      <w:spacing w:line="240" w:lineRule="exact"/>
      <w:rPr>
        <w:rFonts w:cs="Arial"/>
        <w:sz w:val="16"/>
      </w:rPr>
    </w:pPr>
    <w:r w:rsidRPr="00A9231D">
      <w:rPr>
        <w:rFonts w:cs="Arial"/>
        <w:sz w:val="16"/>
      </w:rPr>
      <w:tab/>
      <w:t>F: +386 1 478 1607</w:t>
    </w:r>
  </w:p>
  <w:p w:rsidR="005C3E50" w:rsidRPr="00A9231D" w:rsidRDefault="005C3E50" w:rsidP="005C3E50">
    <w:pPr>
      <w:pStyle w:val="Glava"/>
      <w:tabs>
        <w:tab w:val="clear" w:pos="4536"/>
        <w:tab w:val="clear" w:pos="9072"/>
        <w:tab w:val="left" w:pos="5114"/>
        <w:tab w:val="left" w:pos="8641"/>
      </w:tabs>
      <w:spacing w:line="240" w:lineRule="exact"/>
      <w:rPr>
        <w:rFonts w:cs="Arial"/>
        <w:sz w:val="16"/>
      </w:rPr>
    </w:pPr>
    <w:r w:rsidRPr="00A9231D">
      <w:rPr>
        <w:rFonts w:cs="Arial"/>
        <w:sz w:val="16"/>
      </w:rPr>
      <w:tab/>
      <w:t>E: gp.gs@gov.si</w:t>
    </w:r>
  </w:p>
  <w:p w:rsidR="005C3E50" w:rsidRPr="00A9231D" w:rsidRDefault="005C3E50" w:rsidP="005C3E50">
    <w:pPr>
      <w:pStyle w:val="Glava"/>
      <w:tabs>
        <w:tab w:val="clear" w:pos="4536"/>
        <w:tab w:val="clear" w:pos="9072"/>
        <w:tab w:val="left" w:pos="5114"/>
        <w:tab w:val="left" w:pos="8641"/>
      </w:tabs>
      <w:spacing w:line="240" w:lineRule="exact"/>
      <w:rPr>
        <w:rFonts w:cs="Arial"/>
        <w:sz w:val="16"/>
      </w:rPr>
    </w:pPr>
    <w:r w:rsidRPr="00A9231D">
      <w:rPr>
        <w:rFonts w:cs="Arial"/>
        <w:sz w:val="16"/>
      </w:rPr>
      <w:tab/>
      <w:t>http://www.vlada.si/</w:t>
    </w:r>
  </w:p>
  <w:p w:rsidR="006C69EC" w:rsidRDefault="006C69EC">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82386"/>
    <w:multiLevelType w:val="hybridMultilevel"/>
    <w:tmpl w:val="00505232"/>
    <w:lvl w:ilvl="0" w:tplc="0424000F">
      <w:start w:val="1"/>
      <w:numFmt w:val="decimal"/>
      <w:lvlText w:val="%1."/>
      <w:lvlJc w:val="left"/>
      <w:pPr>
        <w:ind w:left="780" w:hanging="360"/>
      </w:p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1" w15:restartNumberingAfterBreak="0">
    <w:nsid w:val="17622DB8"/>
    <w:multiLevelType w:val="hybridMultilevel"/>
    <w:tmpl w:val="FC725864"/>
    <w:lvl w:ilvl="0" w:tplc="04240017">
      <w:start w:val="1"/>
      <w:numFmt w:val="lowerLetter"/>
      <w:lvlText w:val="%1)"/>
      <w:lvlJc w:val="left"/>
      <w:pPr>
        <w:ind w:left="720" w:hanging="360"/>
      </w:pPr>
    </w:lvl>
    <w:lvl w:ilvl="1" w:tplc="0198A28A">
      <w:start w:val="5"/>
      <w:numFmt w:val="bullet"/>
      <w:lvlText w:val="–"/>
      <w:lvlJc w:val="left"/>
      <w:pPr>
        <w:ind w:left="1440" w:hanging="360"/>
      </w:pPr>
      <w:rPr>
        <w:rFonts w:ascii="Calibri" w:eastAsia="Microsoft Yi Baiti" w:hAnsi="Calibri" w:cs="Calibri" w:hint="default"/>
      </w:r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201336A"/>
    <w:multiLevelType w:val="hybridMultilevel"/>
    <w:tmpl w:val="3F30A152"/>
    <w:lvl w:ilvl="0" w:tplc="FFFFFFFF">
      <w:start w:val="1"/>
      <w:numFmt w:val="bullet"/>
      <w:lvlText w:val="­"/>
      <w:lvlJc w:val="left"/>
      <w:pPr>
        <w:ind w:left="720" w:hanging="360"/>
      </w:pPr>
      <w:rPr>
        <w:rFonts w:ascii="Courier New" w:hAnsi="Courier New" w:hint="default"/>
      </w:rPr>
    </w:lvl>
    <w:lvl w:ilvl="1" w:tplc="FFFFFFFF">
      <w:start w:val="1"/>
      <w:numFmt w:val="bullet"/>
      <w:lvlText w:val="o"/>
      <w:lvlJc w:val="left"/>
      <w:pPr>
        <w:ind w:left="1440" w:hanging="360"/>
      </w:pPr>
      <w:rPr>
        <w:rFonts w:ascii="Courier New" w:hAnsi="Courier New" w:cs="Courier New" w:hint="default"/>
      </w:rPr>
    </w:lvl>
    <w:lvl w:ilvl="2" w:tplc="0424000F">
      <w:start w:val="1"/>
      <w:numFmt w:val="decimal"/>
      <w:lvlText w:val="%3."/>
      <w:lvlJc w:val="left"/>
      <w:pPr>
        <w:ind w:left="234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21D6828"/>
    <w:multiLevelType w:val="hybridMultilevel"/>
    <w:tmpl w:val="2AB00CE2"/>
    <w:lvl w:ilvl="0" w:tplc="0424000F">
      <w:start w:val="1"/>
      <w:numFmt w:val="decimal"/>
      <w:lvlText w:val="%1."/>
      <w:lvlJc w:val="left"/>
      <w:pPr>
        <w:tabs>
          <w:tab w:val="num" w:pos="360"/>
        </w:tabs>
        <w:ind w:left="360" w:hanging="360"/>
      </w:pPr>
      <w:rPr>
        <w:rFonts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CF97C8A"/>
    <w:multiLevelType w:val="hybridMultilevel"/>
    <w:tmpl w:val="178E1D90"/>
    <w:lvl w:ilvl="0" w:tplc="FFFFFFFF">
      <w:start w:val="1"/>
      <w:numFmt w:val="lowerLetter"/>
      <w:lvlText w:val="%1)"/>
      <w:lvlJc w:val="left"/>
      <w:pPr>
        <w:ind w:left="720" w:hanging="360"/>
      </w:pPr>
    </w:lvl>
    <w:lvl w:ilvl="1" w:tplc="FFFFFFFF">
      <w:start w:val="5"/>
      <w:numFmt w:val="bullet"/>
      <w:lvlText w:val="–"/>
      <w:lvlJc w:val="left"/>
      <w:pPr>
        <w:ind w:left="1440" w:hanging="360"/>
      </w:pPr>
      <w:rPr>
        <w:rFonts w:ascii="Calibri" w:eastAsia="Microsoft Yi Baiti" w:hAnsi="Calibri" w:cs="Calibri" w:hint="default"/>
      </w:rPr>
    </w:lvl>
    <w:lvl w:ilvl="2" w:tplc="0424000F">
      <w:start w:val="1"/>
      <w:numFmt w:val="decimal"/>
      <w:lvlText w:val="%3."/>
      <w:lvlJc w:val="left"/>
      <w:pPr>
        <w:ind w:left="78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C3D300C"/>
    <w:multiLevelType w:val="hybridMultilevel"/>
    <w:tmpl w:val="0DBA05AE"/>
    <w:lvl w:ilvl="0" w:tplc="BEFC76A2">
      <w:start w:val="1"/>
      <w:numFmt w:val="bullet"/>
      <w:lvlText w:val="­"/>
      <w:lvlJc w:val="left"/>
      <w:pPr>
        <w:ind w:left="720" w:hanging="360"/>
      </w:pPr>
      <w:rPr>
        <w:rFonts w:ascii="Courier New" w:hAnsi="Courier New"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48C6656"/>
    <w:multiLevelType w:val="hybridMultilevel"/>
    <w:tmpl w:val="903A8BD4"/>
    <w:lvl w:ilvl="0" w:tplc="04240015">
      <w:start w:val="1"/>
      <w:numFmt w:val="upp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49837A76"/>
    <w:multiLevelType w:val="hybridMultilevel"/>
    <w:tmpl w:val="2C7AAF34"/>
    <w:lvl w:ilvl="0" w:tplc="C12E8DE4">
      <w:start w:val="1"/>
      <w:numFmt w:val="bullet"/>
      <w:lvlText w:val=""/>
      <w:lvlJc w:val="left"/>
      <w:pPr>
        <w:ind w:left="720" w:hanging="360"/>
      </w:pPr>
      <w:rPr>
        <w:rFonts w:ascii="Symbol" w:eastAsiaTheme="minorHAnsi" w:hAnsi="Symbol" w:hint="default"/>
        <w:color w:val="000000" w:themeColor="text1"/>
      </w:rPr>
    </w:lvl>
    <w:lvl w:ilvl="1" w:tplc="C12E8DE4">
      <w:start w:val="1"/>
      <w:numFmt w:val="bullet"/>
      <w:lvlText w:val=""/>
      <w:lvlJc w:val="left"/>
      <w:pPr>
        <w:ind w:left="1440" w:hanging="360"/>
      </w:pPr>
      <w:rPr>
        <w:rFonts w:ascii="Symbol" w:eastAsiaTheme="minorHAnsi" w:hAnsi="Symbol" w:hint="default"/>
        <w:color w:val="000000" w:themeColor="text1"/>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C080309"/>
    <w:multiLevelType w:val="hybridMultilevel"/>
    <w:tmpl w:val="596E5182"/>
    <w:lvl w:ilvl="0" w:tplc="795AEBD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51AE41EE"/>
    <w:multiLevelType w:val="hybridMultilevel"/>
    <w:tmpl w:val="0AF82B5E"/>
    <w:lvl w:ilvl="0" w:tplc="BEFC76A2">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583524C"/>
    <w:multiLevelType w:val="hybridMultilevel"/>
    <w:tmpl w:val="D07CA032"/>
    <w:lvl w:ilvl="0" w:tplc="5684846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451286"/>
    <w:multiLevelType w:val="hybridMultilevel"/>
    <w:tmpl w:val="88B88C78"/>
    <w:lvl w:ilvl="0" w:tplc="5684846C">
      <w:start w:val="1"/>
      <w:numFmt w:val="bullet"/>
      <w:lvlText w:val="–"/>
      <w:lvlJc w:val="left"/>
      <w:pPr>
        <w:ind w:left="697" w:hanging="360"/>
      </w:pPr>
      <w:rPr>
        <w:rFonts w:ascii="Arial" w:hAnsi="Arial" w:hint="default"/>
      </w:rPr>
    </w:lvl>
    <w:lvl w:ilvl="1" w:tplc="4A728A6C">
      <w:numFmt w:val="bullet"/>
      <w:lvlText w:val="-"/>
      <w:lvlJc w:val="left"/>
      <w:pPr>
        <w:ind w:left="1417" w:hanging="360"/>
      </w:pPr>
      <w:rPr>
        <w:rFonts w:ascii="Arial" w:eastAsia="Calibri" w:hAnsi="Arial" w:cs="Arial"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12" w15:restartNumberingAfterBreak="0">
    <w:nsid w:val="6E5173DD"/>
    <w:multiLevelType w:val="hybridMultilevel"/>
    <w:tmpl w:val="513243D2"/>
    <w:lvl w:ilvl="0" w:tplc="04240019">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7A8E5F05"/>
    <w:multiLevelType w:val="hybridMultilevel"/>
    <w:tmpl w:val="1DD25C6C"/>
    <w:lvl w:ilvl="0" w:tplc="5684846C">
      <w:start w:val="1"/>
      <w:numFmt w:val="bullet"/>
      <w:lvlText w:val="–"/>
      <w:lvlJc w:val="left"/>
      <w:pPr>
        <w:ind w:left="720" w:hanging="360"/>
      </w:pPr>
      <w:rPr>
        <w:rFonts w:ascii="Arial" w:hAnsi="Aria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0"/>
  </w:num>
  <w:num w:numId="4">
    <w:abstractNumId w:val="3"/>
  </w:num>
  <w:num w:numId="5">
    <w:abstractNumId w:val="7"/>
  </w:num>
  <w:num w:numId="6">
    <w:abstractNumId w:val="5"/>
  </w:num>
  <w:num w:numId="7">
    <w:abstractNumId w:val="9"/>
  </w:num>
  <w:num w:numId="8">
    <w:abstractNumId w:val="13"/>
  </w:num>
  <w:num w:numId="9">
    <w:abstractNumId w:val="0"/>
  </w:num>
  <w:num w:numId="10">
    <w:abstractNumId w:val="6"/>
  </w:num>
  <w:num w:numId="11">
    <w:abstractNumId w:val="1"/>
  </w:num>
  <w:num w:numId="12">
    <w:abstractNumId w:val="2"/>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CE"/>
    <w:rsid w:val="000718ED"/>
    <w:rsid w:val="000B3FE6"/>
    <w:rsid w:val="000E21B2"/>
    <w:rsid w:val="001E2355"/>
    <w:rsid w:val="00204177"/>
    <w:rsid w:val="00276FAB"/>
    <w:rsid w:val="002B78C4"/>
    <w:rsid w:val="003113B6"/>
    <w:rsid w:val="003636EA"/>
    <w:rsid w:val="00366636"/>
    <w:rsid w:val="00367DE6"/>
    <w:rsid w:val="003838E9"/>
    <w:rsid w:val="003B3E19"/>
    <w:rsid w:val="003B7C14"/>
    <w:rsid w:val="004076C6"/>
    <w:rsid w:val="00440D59"/>
    <w:rsid w:val="004770C7"/>
    <w:rsid w:val="004914E2"/>
    <w:rsid w:val="004B7F76"/>
    <w:rsid w:val="004E1BCE"/>
    <w:rsid w:val="004F4A7C"/>
    <w:rsid w:val="00552E5C"/>
    <w:rsid w:val="005729C6"/>
    <w:rsid w:val="00592079"/>
    <w:rsid w:val="005C3E50"/>
    <w:rsid w:val="006200D6"/>
    <w:rsid w:val="00682FFE"/>
    <w:rsid w:val="00692B1E"/>
    <w:rsid w:val="00692EB6"/>
    <w:rsid w:val="006C69EC"/>
    <w:rsid w:val="006D17B5"/>
    <w:rsid w:val="007039D0"/>
    <w:rsid w:val="00710C90"/>
    <w:rsid w:val="00717DDF"/>
    <w:rsid w:val="00767987"/>
    <w:rsid w:val="00782FD4"/>
    <w:rsid w:val="007D04F3"/>
    <w:rsid w:val="007D45E5"/>
    <w:rsid w:val="00811140"/>
    <w:rsid w:val="00834401"/>
    <w:rsid w:val="00897E3C"/>
    <w:rsid w:val="008A27E1"/>
    <w:rsid w:val="008A3F94"/>
    <w:rsid w:val="008D30A8"/>
    <w:rsid w:val="008E6396"/>
    <w:rsid w:val="008F4924"/>
    <w:rsid w:val="00904A48"/>
    <w:rsid w:val="00980294"/>
    <w:rsid w:val="009C1FDD"/>
    <w:rsid w:val="009C1FE1"/>
    <w:rsid w:val="009C5392"/>
    <w:rsid w:val="009E0C40"/>
    <w:rsid w:val="009E7480"/>
    <w:rsid w:val="00A36D4B"/>
    <w:rsid w:val="00A50E4B"/>
    <w:rsid w:val="00A707C2"/>
    <w:rsid w:val="00A715DC"/>
    <w:rsid w:val="00A9231D"/>
    <w:rsid w:val="00B01357"/>
    <w:rsid w:val="00B40287"/>
    <w:rsid w:val="00C0216A"/>
    <w:rsid w:val="00C06F3B"/>
    <w:rsid w:val="00CA1460"/>
    <w:rsid w:val="00CC6C23"/>
    <w:rsid w:val="00CD6077"/>
    <w:rsid w:val="00CE234E"/>
    <w:rsid w:val="00CE5671"/>
    <w:rsid w:val="00D02973"/>
    <w:rsid w:val="00DA09BE"/>
    <w:rsid w:val="00DE3553"/>
    <w:rsid w:val="00E30579"/>
    <w:rsid w:val="00E37094"/>
    <w:rsid w:val="00EA309A"/>
    <w:rsid w:val="00EE101D"/>
    <w:rsid w:val="00EE5D68"/>
    <w:rsid w:val="00EF798A"/>
    <w:rsid w:val="00F46C2D"/>
    <w:rsid w:val="00F47770"/>
    <w:rsid w:val="00FB00DD"/>
    <w:rsid w:val="00FE1680"/>
  </w:rsids>
  <m:mathPr>
    <m:mathFont m:val="Cambria Math"/>
    <m:brkBin m:val="before"/>
    <m:brkBinSub m:val="--"/>
    <m:smallFrac m:val="0"/>
    <m:dispDef/>
    <m:lMargin m:val="0"/>
    <m:rMargin m:val="0"/>
    <m:defJc m:val="centerGroup"/>
    <m:wrapIndent m:val="1440"/>
    <m:intLim m:val="subSup"/>
    <m:naryLim m:val="undOvr"/>
  </m:mathPr>
  <w:themeFontLang w:val="sl-SI" w:bidi="s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89029D-D534-4CF9-8555-38669BE2F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A3F94"/>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atumtevilka">
    <w:name w:val="datum številka"/>
    <w:basedOn w:val="Navaden"/>
    <w:qFormat/>
    <w:rsid w:val="00767987"/>
    <w:pPr>
      <w:tabs>
        <w:tab w:val="left" w:pos="1701"/>
      </w:tabs>
    </w:pPr>
    <w:rPr>
      <w:szCs w:val="20"/>
      <w:lang w:eastAsia="sl-SI"/>
    </w:rPr>
  </w:style>
  <w:style w:type="paragraph" w:styleId="Glava">
    <w:name w:val="header"/>
    <w:basedOn w:val="Navaden"/>
    <w:link w:val="GlavaZnak"/>
    <w:unhideWhenUsed/>
    <w:rsid w:val="00767987"/>
    <w:pPr>
      <w:tabs>
        <w:tab w:val="center" w:pos="4536"/>
        <w:tab w:val="right" w:pos="9072"/>
      </w:tabs>
      <w:spacing w:line="240" w:lineRule="auto"/>
    </w:pPr>
  </w:style>
  <w:style w:type="character" w:customStyle="1" w:styleId="GlavaZnak">
    <w:name w:val="Glava Znak"/>
    <w:basedOn w:val="Privzetapisavaodstavka"/>
    <w:link w:val="Glava"/>
    <w:rsid w:val="00767987"/>
  </w:style>
  <w:style w:type="paragraph" w:styleId="Noga">
    <w:name w:val="footer"/>
    <w:basedOn w:val="Navaden"/>
    <w:link w:val="NogaZnak"/>
    <w:uiPriority w:val="99"/>
    <w:unhideWhenUsed/>
    <w:rsid w:val="00767987"/>
    <w:pPr>
      <w:tabs>
        <w:tab w:val="center" w:pos="4536"/>
        <w:tab w:val="right" w:pos="9072"/>
      </w:tabs>
      <w:spacing w:line="240" w:lineRule="auto"/>
    </w:pPr>
  </w:style>
  <w:style w:type="character" w:customStyle="1" w:styleId="NogaZnak">
    <w:name w:val="Noga Znak"/>
    <w:basedOn w:val="Privzetapisavaodstavka"/>
    <w:link w:val="Noga"/>
    <w:uiPriority w:val="99"/>
    <w:rsid w:val="00767987"/>
  </w:style>
  <w:style w:type="paragraph" w:styleId="Odstavekseznama">
    <w:name w:val="List Paragraph"/>
    <w:basedOn w:val="Navaden"/>
    <w:uiPriority w:val="34"/>
    <w:qFormat/>
    <w:rsid w:val="00E30579"/>
    <w:pPr>
      <w:ind w:left="720"/>
      <w:contextualSpacing/>
    </w:pPr>
  </w:style>
  <w:style w:type="paragraph" w:customStyle="1" w:styleId="ZADEVA">
    <w:name w:val="ZADEVA"/>
    <w:basedOn w:val="Navaden"/>
    <w:qFormat/>
    <w:rsid w:val="008A3F94"/>
    <w:pPr>
      <w:tabs>
        <w:tab w:val="left" w:pos="1701"/>
      </w:tabs>
      <w:ind w:left="1701" w:hanging="1701"/>
    </w:pPr>
    <w:rPr>
      <w:b/>
      <w:lang w:val="it-IT"/>
    </w:rPr>
  </w:style>
  <w:style w:type="paragraph" w:customStyle="1" w:styleId="podpisi">
    <w:name w:val="podpisi"/>
    <w:basedOn w:val="Navaden"/>
    <w:qFormat/>
    <w:rsid w:val="008A3F94"/>
    <w:pPr>
      <w:tabs>
        <w:tab w:val="left" w:pos="3402"/>
      </w:tabs>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10</Pages>
  <Words>4038</Words>
  <Characters>23019</Characters>
  <Application>Microsoft Office Word</Application>
  <DocSecurity>0</DocSecurity>
  <Lines>191</Lines>
  <Paragraphs>54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Polona Vogrinčič</dc:creator>
  <cp:keywords/>
  <dc:description/>
  <cp:lastModifiedBy>Sara Pernuš</cp:lastModifiedBy>
  <cp:revision>17</cp:revision>
  <dcterms:created xsi:type="dcterms:W3CDTF">2022-03-01T13:47:00Z</dcterms:created>
  <dcterms:modified xsi:type="dcterms:W3CDTF">2022-03-01T15:10:00Z</dcterms:modified>
</cp:coreProperties>
</file>