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723C44" w:rsidRDefault="00723C44" w:rsidP="00723C44">
      <w:pPr>
        <w:jc w:val="right"/>
        <w:rPr>
          <w:b/>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493C15">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990861">
              <w:rPr>
                <w:rFonts w:cs="Arial"/>
                <w:szCs w:val="20"/>
                <w:lang w:val="sl-SI" w:eastAsia="sl-SI"/>
              </w:rPr>
              <w:t>5612-23/2020/4</w:t>
            </w:r>
            <w:bookmarkStart w:id="0" w:name="_GoBack"/>
            <w:bookmarkEnd w:id="0"/>
          </w:p>
        </w:tc>
      </w:tr>
      <w:tr w:rsidR="00BE1017" w:rsidRPr="00BE1017" w:rsidTr="00B876EB">
        <w:trPr>
          <w:gridAfter w:val="3"/>
          <w:wAfter w:w="3087" w:type="dxa"/>
          <w:trHeight w:val="265"/>
        </w:trPr>
        <w:tc>
          <w:tcPr>
            <w:tcW w:w="6076" w:type="dxa"/>
            <w:gridSpan w:val="2"/>
          </w:tcPr>
          <w:p w:rsidR="00BE1017" w:rsidRPr="00BE1017" w:rsidRDefault="00417075" w:rsidP="00723C44">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15. julija </w:t>
            </w:r>
            <w:r w:rsidR="0019464B">
              <w:rPr>
                <w:rFonts w:cs="Arial"/>
                <w:szCs w:val="20"/>
                <w:lang w:val="sl-SI" w:eastAsia="sl-SI"/>
              </w:rPr>
              <w:t>2020</w:t>
            </w:r>
          </w:p>
        </w:tc>
      </w:tr>
      <w:tr w:rsidR="00BE1017" w:rsidRPr="00493C15" w:rsidTr="00B876EB">
        <w:trPr>
          <w:gridAfter w:val="3"/>
          <w:wAfter w:w="3087" w:type="dxa"/>
          <w:trHeight w:val="265"/>
        </w:trPr>
        <w:tc>
          <w:tcPr>
            <w:tcW w:w="6076" w:type="dxa"/>
            <w:gridSpan w:val="2"/>
          </w:tcPr>
          <w:p w:rsidR="00BE1017" w:rsidRPr="00BE1017" w:rsidRDefault="0019464B"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w:t>
            </w:r>
            <w:r w:rsidR="00DB43D9">
              <w:rPr>
                <w:rFonts w:ascii="Helv" w:hAnsi="Helv" w:cs="Helv"/>
                <w:color w:val="000000"/>
                <w:szCs w:val="20"/>
                <w:lang w:val="sl-SI" w:eastAsia="sl-SI"/>
              </w:rPr>
              <w:t>2020-1811-0017</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990861" w:rsidP="00BE1017">
            <w:pPr>
              <w:rPr>
                <w:rFonts w:eastAsia="Calibri" w:cs="Arial"/>
                <w:szCs w:val="20"/>
                <w:lang w:val="sl-SI"/>
              </w:rPr>
            </w:pPr>
            <w:hyperlink r:id="rId7"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5043E4" w:rsidRDefault="00BE1017" w:rsidP="00D2194D">
            <w:pPr>
              <w:suppressAutoHyphens/>
              <w:overflowPunct w:val="0"/>
              <w:autoSpaceDE w:val="0"/>
              <w:autoSpaceDN w:val="0"/>
              <w:adjustRightInd w:val="0"/>
              <w:ind w:left="1051" w:hanging="1051"/>
              <w:jc w:val="both"/>
              <w:textAlignment w:val="baseline"/>
              <w:rPr>
                <w:rFonts w:cs="Arial"/>
                <w:b/>
                <w:szCs w:val="20"/>
                <w:lang w:val="sl-SI" w:eastAsia="sl-SI"/>
              </w:rPr>
            </w:pPr>
            <w:r w:rsidRPr="005043E4">
              <w:rPr>
                <w:rFonts w:cs="Arial"/>
                <w:b/>
                <w:szCs w:val="20"/>
                <w:lang w:val="sl-SI" w:eastAsia="sl-SI"/>
              </w:rPr>
              <w:t xml:space="preserve">ZADEVA: </w:t>
            </w:r>
            <w:r w:rsidR="005043E4">
              <w:rPr>
                <w:rFonts w:cs="Arial"/>
                <w:b/>
                <w:szCs w:val="20"/>
                <w:lang w:val="sl-SI" w:eastAsia="sl-SI"/>
              </w:rPr>
              <w:t xml:space="preserve">  </w:t>
            </w:r>
            <w:r w:rsidR="00493C15" w:rsidRPr="005043E4">
              <w:rPr>
                <w:rFonts w:cs="Arial"/>
                <w:b/>
                <w:szCs w:val="20"/>
                <w:lang w:val="sl-SI" w:eastAsia="sl-SI"/>
              </w:rPr>
              <w:t xml:space="preserve">Uredba o ratifikaciji </w:t>
            </w:r>
            <w:r w:rsidR="0019464B">
              <w:rPr>
                <w:rFonts w:cs="Arial"/>
                <w:b/>
                <w:szCs w:val="20"/>
                <w:lang w:val="sl-SI"/>
              </w:rPr>
              <w:t>spremenjenih Prilog I in II k Pogodbi o ustanovitvi</w:t>
            </w:r>
            <w:r w:rsidR="00D2194D">
              <w:rPr>
                <w:rFonts w:cs="Arial"/>
                <w:b/>
                <w:szCs w:val="20"/>
                <w:lang w:val="sl-SI"/>
              </w:rPr>
              <w:t xml:space="preserve">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w:t>
            </w:r>
            <w:r w:rsidR="0019464B">
              <w:rPr>
                <w:rFonts w:cs="Arial"/>
                <w:b/>
                <w:szCs w:val="20"/>
                <w:lang w:val="sl-SI"/>
              </w:rPr>
              <w:t xml:space="preserve"> </w:t>
            </w:r>
            <w:r w:rsidRPr="005043E4">
              <w:rPr>
                <w:rFonts w:cs="Arial"/>
                <w:b/>
                <w:szCs w:val="20"/>
                <w:lang w:val="sl-SI" w:eastAsia="sl-SI"/>
              </w:rPr>
              <w:t xml:space="preserve">–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493C15" w:rsidTr="00B876EB">
        <w:trPr>
          <w:gridAfter w:val="1"/>
          <w:wAfter w:w="30" w:type="dxa"/>
          <w:trHeight w:val="3108"/>
        </w:trPr>
        <w:tc>
          <w:tcPr>
            <w:tcW w:w="9133" w:type="dxa"/>
            <w:gridSpan w:val="4"/>
          </w:tcPr>
          <w:p w:rsidR="00493C15" w:rsidRDefault="00493C15" w:rsidP="00493C15">
            <w:pPr>
              <w:spacing w:after="120" w:line="240" w:lineRule="auto"/>
              <w:jc w:val="both"/>
              <w:rPr>
                <w:rFonts w:cs="Arial"/>
                <w:szCs w:val="20"/>
                <w:lang w:val="sl-SI"/>
              </w:rPr>
            </w:pPr>
            <w:r w:rsidRPr="001D2500">
              <w:rPr>
                <w:rFonts w:cs="Arial"/>
                <w:szCs w:val="20"/>
                <w:lang w:val="sl-SI"/>
              </w:rPr>
              <w:t xml:space="preserve">Na podlagi </w:t>
            </w:r>
            <w:r>
              <w:rPr>
                <w:rFonts w:cs="Arial"/>
                <w:szCs w:val="20"/>
                <w:lang w:val="sl-SI"/>
              </w:rPr>
              <w:t xml:space="preserve">prve alineje šestega odstavka </w:t>
            </w:r>
            <w:r w:rsidRPr="001D2500">
              <w:rPr>
                <w:rFonts w:cs="Arial"/>
                <w:szCs w:val="20"/>
                <w:lang w:val="sl-SI"/>
              </w:rPr>
              <w:t>75. člena Zakona o zunanjih zadevah (Uradni list RS, št. 113/03 - uradno prečiščeno besedilo, 20/06 – ZNOMCMO, 76</w:t>
            </w:r>
            <w:r>
              <w:rPr>
                <w:rFonts w:cs="Arial"/>
                <w:szCs w:val="20"/>
                <w:lang w:val="sl-SI"/>
              </w:rPr>
              <w:t>/08, 108/09, 80/10 – ZUTD,</w:t>
            </w:r>
            <w:r w:rsidRPr="001D2500">
              <w:rPr>
                <w:rFonts w:cs="Arial"/>
                <w:szCs w:val="20"/>
                <w:lang w:val="sl-SI"/>
              </w:rPr>
              <w:t xml:space="preserve"> 31/15</w:t>
            </w:r>
            <w:r>
              <w:rPr>
                <w:rFonts w:cs="Arial"/>
                <w:szCs w:val="20"/>
                <w:lang w:val="sl-SI"/>
              </w:rPr>
              <w:t xml:space="preserve"> in </w:t>
            </w:r>
            <w:r>
              <w:rPr>
                <w:iCs/>
                <w:lang w:val="sl-SI"/>
              </w:rPr>
              <w:t xml:space="preserve">30/18 - </w:t>
            </w:r>
            <w:proofErr w:type="spellStart"/>
            <w:r>
              <w:rPr>
                <w:iCs/>
                <w:lang w:val="sl-SI"/>
              </w:rPr>
              <w:t>ZKZaš</w:t>
            </w:r>
            <w:proofErr w:type="spellEnd"/>
            <w:r w:rsidRPr="001D2500">
              <w:rPr>
                <w:rFonts w:cs="Arial"/>
                <w:szCs w:val="20"/>
                <w:lang w:val="sl-SI"/>
              </w:rPr>
              <w:t>) je Vlada Republike Slovenije na .......... seji dne ........... sprejela naslednji sklep:</w:t>
            </w:r>
          </w:p>
          <w:p w:rsidR="00493C15" w:rsidRPr="00713967" w:rsidRDefault="00493C15" w:rsidP="00493C15">
            <w:pPr>
              <w:spacing w:line="240" w:lineRule="atLeast"/>
              <w:rPr>
                <w:rFonts w:cs="Arial"/>
                <w:bCs/>
                <w:color w:val="FF0000"/>
                <w:szCs w:val="20"/>
                <w:lang w:val="sl-SI"/>
              </w:rPr>
            </w:pPr>
          </w:p>
          <w:p w:rsidR="00D462DB" w:rsidRPr="008A5E7D" w:rsidRDefault="00493C15" w:rsidP="00D462DB">
            <w:pPr>
              <w:pStyle w:val="NoSpacing"/>
              <w:spacing w:line="276" w:lineRule="auto"/>
              <w:jc w:val="both"/>
              <w:rPr>
                <w:rFonts w:ascii="Arial" w:hAnsi="Arial" w:cs="Arial"/>
                <w:sz w:val="20"/>
                <w:szCs w:val="20"/>
              </w:rPr>
            </w:pPr>
            <w:r w:rsidRPr="00D2194D">
              <w:rPr>
                <w:rFonts w:ascii="Arial" w:hAnsi="Arial" w:cs="Arial"/>
                <w:sz w:val="20"/>
                <w:szCs w:val="20"/>
              </w:rPr>
              <w:t xml:space="preserve">Vlada Republike Slovenije je </w:t>
            </w:r>
            <w:r w:rsidRPr="00D2194D">
              <w:rPr>
                <w:rFonts w:ascii="Arial" w:hAnsi="Arial" w:cs="Arial"/>
                <w:color w:val="000000"/>
                <w:sz w:val="20"/>
                <w:szCs w:val="20"/>
              </w:rPr>
              <w:t xml:space="preserve">izdala </w:t>
            </w:r>
            <w:r w:rsidR="00D2194D" w:rsidRPr="00D2194D">
              <w:rPr>
                <w:rFonts w:ascii="Arial" w:hAnsi="Arial" w:cs="Arial"/>
                <w:sz w:val="20"/>
                <w:szCs w:val="20"/>
                <w:lang w:eastAsia="sl-SI"/>
              </w:rPr>
              <w:t xml:space="preserve">Uredbo o ratifikaciji </w:t>
            </w:r>
            <w:r w:rsidR="00D2194D" w:rsidRPr="00D2194D">
              <w:rPr>
                <w:rFonts w:ascii="Arial" w:hAnsi="Arial" w:cs="Arial"/>
                <w:sz w:val="20"/>
                <w:szCs w:val="20"/>
              </w:rPr>
              <w:t>spremenjenih Prilog I in II k Pogodbi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w:t>
            </w:r>
            <w:r w:rsidR="00D2194D">
              <w:rPr>
                <w:rFonts w:ascii="Arial" w:hAnsi="Arial" w:cs="Arial"/>
                <w:sz w:val="20"/>
                <w:szCs w:val="20"/>
              </w:rPr>
              <w:t>, ki jo je sprejel</w:t>
            </w:r>
            <w:r w:rsidR="00944647">
              <w:rPr>
                <w:rFonts w:ascii="Arial" w:hAnsi="Arial" w:cs="Arial"/>
                <w:sz w:val="20"/>
                <w:szCs w:val="20"/>
              </w:rPr>
              <w:t xml:space="preserve"> Svet guvernerjev E</w:t>
            </w:r>
            <w:r w:rsidR="00D2194D">
              <w:rPr>
                <w:rFonts w:ascii="Arial" w:hAnsi="Arial" w:cs="Arial"/>
                <w:sz w:val="20"/>
                <w:szCs w:val="20"/>
              </w:rPr>
              <w:t>vropskega m</w:t>
            </w:r>
            <w:r w:rsidR="003B12C4">
              <w:rPr>
                <w:rFonts w:ascii="Arial" w:hAnsi="Arial" w:cs="Arial"/>
                <w:sz w:val="20"/>
                <w:szCs w:val="20"/>
              </w:rPr>
              <w:t>ehanizma za stabilnost</w:t>
            </w:r>
            <w:r w:rsidR="003B36B8">
              <w:rPr>
                <w:rFonts w:ascii="Arial" w:hAnsi="Arial" w:cs="Arial"/>
                <w:sz w:val="20"/>
                <w:szCs w:val="20"/>
              </w:rPr>
              <w:t xml:space="preserve"> v Bruslju</w:t>
            </w:r>
            <w:r w:rsidR="00D462DB">
              <w:rPr>
                <w:rFonts w:ascii="Arial" w:hAnsi="Arial" w:cs="Arial"/>
                <w:sz w:val="20"/>
                <w:szCs w:val="20"/>
              </w:rPr>
              <w:t xml:space="preserve"> 4. decembra 2019, in jo</w:t>
            </w:r>
            <w:r w:rsidR="00D462DB" w:rsidRPr="008A5E7D">
              <w:rPr>
                <w:rFonts w:ascii="Arial" w:hAnsi="Arial" w:cs="Arial"/>
                <w:sz w:val="20"/>
                <w:szCs w:val="20"/>
              </w:rPr>
              <w:t xml:space="preserve"> objavi v Uradnem listu Republike Slovenije.</w:t>
            </w:r>
          </w:p>
          <w:p w:rsidR="00493C15" w:rsidRPr="00D2194D" w:rsidRDefault="00493C15" w:rsidP="00493C15">
            <w:pPr>
              <w:pStyle w:val="NoSpacing"/>
              <w:spacing w:line="276" w:lineRule="auto"/>
              <w:jc w:val="both"/>
              <w:rPr>
                <w:rFonts w:ascii="Arial" w:hAnsi="Arial" w:cs="Arial"/>
                <w:sz w:val="20"/>
                <w:szCs w:val="20"/>
              </w:rPr>
            </w:pPr>
          </w:p>
          <w:p w:rsidR="00493C15" w:rsidRPr="00BE6BA2" w:rsidRDefault="00493C15" w:rsidP="00493C15">
            <w:pPr>
              <w:spacing w:line="240" w:lineRule="atLeast"/>
              <w:ind w:left="720"/>
              <w:jc w:val="both"/>
              <w:rPr>
                <w:rFonts w:cs="Arial"/>
                <w:bCs/>
                <w:szCs w:val="20"/>
                <w:lang w:val="sl-SI"/>
              </w:rPr>
            </w:pPr>
          </w:p>
          <w:p w:rsidR="00493C15" w:rsidRPr="00BE6BA2" w:rsidRDefault="00493C15" w:rsidP="00493C15">
            <w:pPr>
              <w:spacing w:line="240" w:lineRule="atLeast"/>
              <w:jc w:val="both"/>
              <w:rPr>
                <w:rFonts w:cs="Arial"/>
                <w:bCs/>
                <w:szCs w:val="20"/>
                <w:lang w:val="sl-SI"/>
              </w:rPr>
            </w:pPr>
            <w:r w:rsidRPr="00BE6BA2">
              <w:rPr>
                <w:rFonts w:cs="Arial"/>
                <w:bCs/>
                <w:szCs w:val="20"/>
                <w:lang w:val="sl-SI"/>
              </w:rPr>
              <w:t>Sklep prejme</w:t>
            </w:r>
            <w:r>
              <w:rPr>
                <w:rFonts w:cs="Arial"/>
                <w:bCs/>
                <w:szCs w:val="20"/>
                <w:lang w:val="sl-SI"/>
              </w:rPr>
              <w:t>ta</w:t>
            </w:r>
            <w:r w:rsidRPr="00BE6BA2">
              <w:rPr>
                <w:rFonts w:cs="Arial"/>
                <w:bCs/>
                <w:szCs w:val="20"/>
                <w:lang w:val="sl-SI"/>
              </w:rPr>
              <w:t xml:space="preserve">: </w:t>
            </w:r>
          </w:p>
          <w:p w:rsidR="00493C15" w:rsidRDefault="00493C15" w:rsidP="00493C15">
            <w:pPr>
              <w:spacing w:line="240" w:lineRule="atLeast"/>
              <w:jc w:val="both"/>
              <w:rPr>
                <w:rFonts w:cs="Arial"/>
                <w:bCs/>
                <w:szCs w:val="20"/>
                <w:lang w:val="sl-SI"/>
              </w:rPr>
            </w:pPr>
            <w:r w:rsidRPr="00BE6BA2">
              <w:rPr>
                <w:rFonts w:cs="Arial"/>
                <w:bCs/>
                <w:szCs w:val="20"/>
                <w:lang w:val="sl-SI"/>
              </w:rPr>
              <w:t>- Ministrstvo za zunanje zadeve</w:t>
            </w:r>
            <w:r>
              <w:rPr>
                <w:rFonts w:cs="Arial"/>
                <w:bCs/>
                <w:szCs w:val="20"/>
                <w:lang w:val="sl-SI"/>
              </w:rPr>
              <w:t>,</w:t>
            </w:r>
          </w:p>
          <w:p w:rsidR="00493C15" w:rsidRDefault="00493C15" w:rsidP="00493C15">
            <w:pPr>
              <w:spacing w:line="240" w:lineRule="atLeast"/>
              <w:jc w:val="both"/>
              <w:rPr>
                <w:rFonts w:cs="Arial"/>
                <w:bCs/>
                <w:szCs w:val="20"/>
                <w:lang w:val="sl-SI"/>
              </w:rPr>
            </w:pPr>
            <w:r>
              <w:rPr>
                <w:rFonts w:cs="Arial"/>
                <w:bCs/>
                <w:szCs w:val="20"/>
                <w:lang w:val="sl-SI"/>
              </w:rPr>
              <w:t xml:space="preserve">- </w:t>
            </w:r>
            <w:r w:rsidR="003B12C4">
              <w:rPr>
                <w:rFonts w:cs="Arial"/>
                <w:bCs/>
                <w:szCs w:val="20"/>
                <w:lang w:val="sl-SI"/>
              </w:rPr>
              <w:t>Ministrstvo za finance.</w:t>
            </w:r>
          </w:p>
          <w:p w:rsidR="00BE1017" w:rsidRPr="00BE6BA2" w:rsidRDefault="00BE1017" w:rsidP="00A821AE">
            <w:pPr>
              <w:spacing w:line="240" w:lineRule="atLeast"/>
              <w:jc w:val="both"/>
              <w:rPr>
                <w:rFonts w:cs="Arial"/>
                <w:bCs/>
                <w:i/>
                <w:color w:val="FF0000"/>
                <w:szCs w:val="20"/>
                <w:lang w:val="sl-SI"/>
              </w:rPr>
            </w:pP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E30B34" w:rsidTr="00B876EB">
        <w:tc>
          <w:tcPr>
            <w:tcW w:w="9163" w:type="dxa"/>
            <w:gridSpan w:val="5"/>
          </w:tcPr>
          <w:p w:rsidR="00493C15" w:rsidRPr="001D1BC1" w:rsidRDefault="00493C15" w:rsidP="00493C15">
            <w:pPr>
              <w:numPr>
                <w:ilvl w:val="0"/>
                <w:numId w:val="28"/>
              </w:numPr>
              <w:tabs>
                <w:tab w:val="left" w:pos="0"/>
              </w:tabs>
              <w:spacing w:line="240" w:lineRule="auto"/>
              <w:jc w:val="both"/>
              <w:rPr>
                <w:rFonts w:cs="Arial"/>
                <w:szCs w:val="20"/>
                <w:lang w:val="sl-SI"/>
              </w:rPr>
            </w:pPr>
            <w:r>
              <w:rPr>
                <w:rFonts w:cs="Arial"/>
                <w:szCs w:val="20"/>
              </w:rPr>
              <w:t>d</w:t>
            </w:r>
            <w:r>
              <w:rPr>
                <w:rFonts w:cs="Arial"/>
                <w:szCs w:val="20"/>
                <w:lang w:val="sl-SI"/>
              </w:rPr>
              <w:t>r. Marko Rakovec</w:t>
            </w:r>
            <w:r w:rsidRPr="001D1BC1">
              <w:rPr>
                <w:rFonts w:cs="Arial"/>
                <w:szCs w:val="20"/>
                <w:lang w:val="sl-SI"/>
              </w:rPr>
              <w:t xml:space="preserve">, </w:t>
            </w:r>
            <w:r>
              <w:rPr>
                <w:rFonts w:cs="Arial"/>
                <w:szCs w:val="20"/>
                <w:lang w:val="sl-SI"/>
              </w:rPr>
              <w:t>v. d. generalnega</w:t>
            </w:r>
            <w:r w:rsidRPr="001D1BC1">
              <w:rPr>
                <w:rFonts w:cs="Arial"/>
                <w:szCs w:val="20"/>
                <w:lang w:val="sl-SI"/>
              </w:rPr>
              <w:t xml:space="preserve"> direktor</w:t>
            </w:r>
            <w:r>
              <w:rPr>
                <w:rFonts w:cs="Arial"/>
                <w:szCs w:val="20"/>
                <w:lang w:val="sl-SI"/>
              </w:rPr>
              <w:t>ja</w:t>
            </w:r>
            <w:r w:rsidRPr="001D1BC1">
              <w:rPr>
                <w:rFonts w:cs="Arial"/>
                <w:szCs w:val="20"/>
                <w:lang w:val="sl-SI"/>
              </w:rPr>
              <w:t xml:space="preserve"> Direktorata za </w:t>
            </w:r>
            <w:r>
              <w:rPr>
                <w:rFonts w:cs="Arial"/>
                <w:szCs w:val="20"/>
                <w:lang w:val="sl-SI"/>
              </w:rPr>
              <w:t xml:space="preserve">mednarodno pravo in zaščito interesov </w:t>
            </w:r>
            <w:r w:rsidRPr="001D1BC1">
              <w:rPr>
                <w:rFonts w:cs="Arial"/>
                <w:szCs w:val="20"/>
                <w:lang w:val="sl-SI"/>
              </w:rPr>
              <w:t>Ministrstv</w:t>
            </w:r>
            <w:r>
              <w:rPr>
                <w:rFonts w:cs="Arial"/>
                <w:szCs w:val="20"/>
                <w:lang w:val="sl-SI"/>
              </w:rPr>
              <w:t>a</w:t>
            </w:r>
            <w:r w:rsidRPr="001D1BC1">
              <w:rPr>
                <w:rFonts w:cs="Arial"/>
                <w:szCs w:val="20"/>
                <w:lang w:val="sl-SI"/>
              </w:rPr>
              <w:t xml:space="preserve"> za zunanje zadeve,</w:t>
            </w:r>
          </w:p>
          <w:p w:rsidR="00B876EB" w:rsidRPr="00B876EB" w:rsidRDefault="00493C15" w:rsidP="00493C15">
            <w:pPr>
              <w:overflowPunct w:val="0"/>
              <w:autoSpaceDE w:val="0"/>
              <w:autoSpaceDN w:val="0"/>
              <w:adjustRightInd w:val="0"/>
              <w:jc w:val="both"/>
              <w:textAlignment w:val="baseline"/>
              <w:rPr>
                <w:rFonts w:cs="Arial"/>
                <w:iCs/>
                <w:szCs w:val="20"/>
                <w:lang w:val="sl-SI" w:eastAsia="sl-SI"/>
              </w:rPr>
            </w:pPr>
            <w:r>
              <w:rPr>
                <w:rFonts w:cs="Arial"/>
                <w:bCs/>
                <w:szCs w:val="20"/>
                <w:lang w:val="sl-SI"/>
              </w:rPr>
              <w:t xml:space="preserve">      </w:t>
            </w:r>
            <w:r w:rsidRPr="00EC53E7">
              <w:rPr>
                <w:rFonts w:cs="Arial"/>
                <w:bCs/>
                <w:szCs w:val="20"/>
                <w:lang w:val="sl-SI"/>
              </w:rPr>
              <w:t xml:space="preserve">- </w:t>
            </w:r>
            <w:r w:rsidRPr="009414BF">
              <w:rPr>
                <w:rFonts w:cs="Arial"/>
                <w:b/>
                <w:szCs w:val="20"/>
                <w:lang w:val="sl-SI"/>
              </w:rPr>
              <w:t xml:space="preserve">  </w:t>
            </w:r>
            <w:r>
              <w:rPr>
                <w:rFonts w:cs="Arial"/>
                <w:b/>
                <w:szCs w:val="20"/>
                <w:lang w:val="sl-SI"/>
              </w:rPr>
              <w:t xml:space="preserve">  </w:t>
            </w:r>
            <w:r>
              <w:rPr>
                <w:szCs w:val="20"/>
                <w:lang w:val="sl-SI"/>
              </w:rPr>
              <w:t xml:space="preserve">Mateja </w:t>
            </w:r>
            <w:proofErr w:type="spellStart"/>
            <w:r>
              <w:rPr>
                <w:szCs w:val="20"/>
                <w:lang w:val="sl-SI"/>
              </w:rPr>
              <w:t>Štrumelj</w:t>
            </w:r>
            <w:proofErr w:type="spellEnd"/>
            <w:r>
              <w:rPr>
                <w:szCs w:val="20"/>
                <w:lang w:val="sl-SI"/>
              </w:rPr>
              <w:t>-Piškur</w:t>
            </w:r>
            <w:r w:rsidRPr="00707C04">
              <w:rPr>
                <w:szCs w:val="20"/>
                <w:lang w:val="sl-SI"/>
              </w:rPr>
              <w:t>, vodj</w:t>
            </w:r>
            <w:r>
              <w:rPr>
                <w:szCs w:val="20"/>
                <w:lang w:val="sl-SI"/>
              </w:rPr>
              <w:t>a</w:t>
            </w:r>
            <w:r w:rsidRPr="00707C04">
              <w:rPr>
                <w:szCs w:val="20"/>
                <w:lang w:val="sl-SI"/>
              </w:rPr>
              <w:t xml:space="preserve"> Sektorja za mednarodno pravo Ministrstv</w:t>
            </w:r>
            <w:r>
              <w:rPr>
                <w:szCs w:val="20"/>
                <w:lang w:val="sl-SI"/>
              </w:rPr>
              <w:t>a</w:t>
            </w:r>
            <w:r w:rsidRPr="00707C04">
              <w:rPr>
                <w:szCs w:val="20"/>
                <w:lang w:val="sl-SI"/>
              </w:rPr>
              <w:t xml:space="preserve"> za zunanje</w:t>
            </w:r>
            <w:r>
              <w:rPr>
                <w:szCs w:val="20"/>
                <w:lang w:val="sl-SI"/>
              </w:rPr>
              <w:t xml:space="preserve"> zadeve</w:t>
            </w:r>
            <w:r>
              <w:rPr>
                <w:rFonts w:cs="Arial"/>
                <w:szCs w:val="20"/>
                <w:lang w:val="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493C15"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493C15"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E30B34" w:rsidTr="00B876EB">
        <w:tc>
          <w:tcPr>
            <w:tcW w:w="9163" w:type="dxa"/>
            <w:gridSpan w:val="5"/>
          </w:tcPr>
          <w:p w:rsidR="003B36B8" w:rsidRDefault="003B36B8" w:rsidP="003B36B8">
            <w:pPr>
              <w:jc w:val="both"/>
              <w:rPr>
                <w:rFonts w:cs="Arial"/>
                <w:szCs w:val="20"/>
                <w:lang w:val="sl-SI"/>
              </w:rPr>
            </w:pPr>
            <w:r w:rsidRPr="000F3FC2">
              <w:rPr>
                <w:rFonts w:cs="Arial"/>
                <w:szCs w:val="20"/>
                <w:lang w:val="sl-SI"/>
              </w:rPr>
              <w:lastRenderedPageBreak/>
              <w:t xml:space="preserve">Svet guvernerjev </w:t>
            </w:r>
            <w:r w:rsidRPr="00690351">
              <w:rPr>
                <w:rFonts w:cs="Arial"/>
                <w:szCs w:val="20"/>
                <w:lang w:val="sl-SI"/>
              </w:rPr>
              <w:t xml:space="preserve">Evropskega mehanizma za stabilnost </w:t>
            </w:r>
            <w:r>
              <w:rPr>
                <w:rFonts w:cs="Arial"/>
                <w:szCs w:val="20"/>
                <w:lang w:val="sl-SI"/>
              </w:rPr>
              <w:t>je</w:t>
            </w:r>
            <w:r w:rsidRPr="000F3FC2">
              <w:rPr>
                <w:rFonts w:cs="Arial"/>
                <w:szCs w:val="20"/>
                <w:lang w:val="sl-SI"/>
              </w:rPr>
              <w:t xml:space="preserve"> na zasedanju 4. decembra 2019</w:t>
            </w:r>
            <w:r>
              <w:rPr>
                <w:rFonts w:cs="Arial"/>
                <w:szCs w:val="20"/>
                <w:lang w:val="sl-SI"/>
              </w:rPr>
              <w:t xml:space="preserve"> v Bruslju</w:t>
            </w:r>
            <w:r w:rsidRPr="000F3FC2">
              <w:rPr>
                <w:rFonts w:cs="Arial"/>
                <w:szCs w:val="20"/>
                <w:lang w:val="sl-SI"/>
              </w:rPr>
              <w:t xml:space="preserve"> obravnaval predlog spremembe prilog I in II k pogodbi</w:t>
            </w:r>
            <w:r>
              <w:rPr>
                <w:rFonts w:cs="Arial"/>
                <w:szCs w:val="20"/>
                <w:lang w:val="sl-SI"/>
              </w:rPr>
              <w:t>,</w:t>
            </w:r>
            <w:r w:rsidRPr="000F3FC2">
              <w:rPr>
                <w:rFonts w:cs="Arial"/>
                <w:szCs w:val="20"/>
                <w:lang w:val="sl-SI"/>
              </w:rPr>
              <w:t xml:space="preserve"> zaradi poteka začasne prilagoditve ključa za vplačilo kapitala s strani Malte. </w:t>
            </w:r>
          </w:p>
          <w:p w:rsidR="003B36B8" w:rsidRDefault="003B36B8" w:rsidP="003B36B8">
            <w:pPr>
              <w:jc w:val="both"/>
              <w:rPr>
                <w:rFonts w:cs="Arial"/>
                <w:szCs w:val="20"/>
                <w:lang w:val="sl-SI"/>
              </w:rPr>
            </w:pPr>
            <w:r w:rsidRPr="007676FD">
              <w:rPr>
                <w:rFonts w:cs="Arial"/>
                <w:szCs w:val="20"/>
                <w:lang w:val="sl-SI"/>
              </w:rPr>
              <w:t>Razdelitveni ključ za vpis odobrenega delniškega kapitala Evropskega mehanizma za stabilnost je opredeljen v prvem odstavku 11. člena pogodbe in temelji na ključu, po katerem nacionalne centralne banke držav članic EMS vpisujejo kapital ECB v skladu s členom 29 Protokola (št. 4) o statutu Evropskega sistema centralnih bank in Evropske centralne banke, ki je priložen Pogodbi o Evropski uniji in Pogodbi o delovanju Evropske unije.</w:t>
            </w:r>
          </w:p>
          <w:p w:rsidR="00B876EB" w:rsidRPr="00B876EB" w:rsidRDefault="00B876EB" w:rsidP="00F07084">
            <w:pPr>
              <w:spacing w:line="276" w:lineRule="auto"/>
              <w:jc w:val="both"/>
              <w:rPr>
                <w:rFonts w:cs="Arial"/>
                <w:iCs/>
                <w:szCs w:val="20"/>
                <w:lang w:val="sl-SI" w:eastAsia="sl-SI"/>
              </w:rPr>
            </w:pP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3B36B8" w:rsidP="00B876EB">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3B36B8" w:rsidRDefault="003B36B8" w:rsidP="003B36B8">
            <w:pPr>
              <w:jc w:val="both"/>
              <w:rPr>
                <w:szCs w:val="20"/>
                <w:lang w:val="sl-SI"/>
              </w:rPr>
            </w:pPr>
            <w:r>
              <w:rPr>
                <w:szCs w:val="20"/>
                <w:lang w:val="sl-SI"/>
              </w:rPr>
              <w:t xml:space="preserve">Zaradi prenehanja začasno zmanjšanega kapitalskega ključa Malte v Evropskem mehanizmu za stabilnost pride do prerazporeditve kapitala med Malto in ostalimi članicami, vključno z Republiko Slovenijo. </w:t>
            </w:r>
          </w:p>
          <w:p w:rsidR="003B36B8" w:rsidRDefault="003B36B8" w:rsidP="003B36B8">
            <w:pPr>
              <w:jc w:val="both"/>
              <w:rPr>
                <w:szCs w:val="20"/>
                <w:lang w:val="sl-SI"/>
              </w:rPr>
            </w:pPr>
            <w:r w:rsidRPr="00480FA5">
              <w:rPr>
                <w:szCs w:val="20"/>
                <w:lang w:val="sl-SI"/>
              </w:rPr>
              <w:t>Vpisani kapital Malte v Evropski mehanizem za stabilnost se poveča za 122</w:t>
            </w:r>
            <w:r>
              <w:rPr>
                <w:szCs w:val="20"/>
                <w:lang w:val="sl-SI"/>
              </w:rPr>
              <w:t>,</w:t>
            </w:r>
            <w:r w:rsidRPr="00480FA5">
              <w:rPr>
                <w:szCs w:val="20"/>
                <w:lang w:val="sl-SI"/>
              </w:rPr>
              <w:t xml:space="preserve">1 milijonov EUR, od česar </w:t>
            </w:r>
            <w:r>
              <w:rPr>
                <w:szCs w:val="20"/>
                <w:lang w:val="sl-SI"/>
              </w:rPr>
              <w:t>Malta</w:t>
            </w:r>
            <w:r w:rsidRPr="00480FA5">
              <w:rPr>
                <w:szCs w:val="20"/>
                <w:lang w:val="sl-SI"/>
              </w:rPr>
              <w:t xml:space="preserve"> vplača 13</w:t>
            </w:r>
            <w:r>
              <w:rPr>
                <w:szCs w:val="20"/>
                <w:lang w:val="sl-SI"/>
              </w:rPr>
              <w:t>,</w:t>
            </w:r>
            <w:r w:rsidRPr="00480FA5">
              <w:rPr>
                <w:szCs w:val="20"/>
                <w:lang w:val="sl-SI"/>
              </w:rPr>
              <w:t xml:space="preserve">96 milijonov EUR. </w:t>
            </w:r>
            <w:r>
              <w:rPr>
                <w:szCs w:val="20"/>
                <w:lang w:val="sl-SI"/>
              </w:rPr>
              <w:t xml:space="preserve">Posledično se zmanjša vpisani kapital vsem ostalih državam članicam. EMS znesek, ki je enak vplačanemu kapitalu Malte iz tega naslova, se </w:t>
            </w:r>
            <w:r w:rsidRPr="00480FA5">
              <w:rPr>
                <w:szCs w:val="20"/>
                <w:lang w:val="sl-SI"/>
              </w:rPr>
              <w:t>prerazporedi drugim državam članicam, med drugim tudi Republik</w:t>
            </w:r>
            <w:r>
              <w:rPr>
                <w:szCs w:val="20"/>
                <w:lang w:val="sl-SI"/>
              </w:rPr>
              <w:t>i</w:t>
            </w:r>
            <w:r w:rsidRPr="00480FA5">
              <w:rPr>
                <w:szCs w:val="20"/>
                <w:lang w:val="sl-SI"/>
              </w:rPr>
              <w:t xml:space="preserve"> Slovenij</w:t>
            </w:r>
            <w:r>
              <w:rPr>
                <w:szCs w:val="20"/>
                <w:lang w:val="sl-SI"/>
              </w:rPr>
              <w:t>i</w:t>
            </w:r>
            <w:r w:rsidRPr="00480FA5">
              <w:rPr>
                <w:szCs w:val="20"/>
                <w:lang w:val="sl-SI"/>
              </w:rPr>
              <w:t>, ki prejme 49.990,00 EUR.</w:t>
            </w:r>
          </w:p>
          <w:p w:rsidR="003B36B8" w:rsidRDefault="003B36B8" w:rsidP="003B36B8">
            <w:pPr>
              <w:jc w:val="both"/>
              <w:rPr>
                <w:szCs w:val="20"/>
                <w:lang w:val="sl-SI"/>
              </w:rPr>
            </w:pPr>
            <w:r w:rsidRPr="00210BEE">
              <w:rPr>
                <w:szCs w:val="20"/>
                <w:lang w:val="sl-SI"/>
              </w:rPr>
              <w:t>15. januarja 2020 je bilo prejeto plačilo v dobro Republike Slovenije v znesku 49.990,00 EUR.</w:t>
            </w:r>
          </w:p>
          <w:p w:rsidR="003B36B8" w:rsidRDefault="003B36B8" w:rsidP="003B36B8">
            <w:pPr>
              <w:jc w:val="both"/>
              <w:rPr>
                <w:szCs w:val="20"/>
                <w:lang w:val="sl-SI"/>
              </w:rPr>
            </w:pPr>
            <w:r w:rsidRPr="00C30B74">
              <w:rPr>
                <w:szCs w:val="20"/>
                <w:lang w:val="sl-SI"/>
              </w:rPr>
              <w:t>V zameno za ta prenos se vplačani kapital RS sorazmerno zmanjša za 49.990</w:t>
            </w:r>
            <w:r>
              <w:rPr>
                <w:szCs w:val="20"/>
                <w:lang w:val="sl-SI"/>
              </w:rPr>
              <w:t>,00</w:t>
            </w:r>
            <w:r w:rsidRPr="00C30B74">
              <w:rPr>
                <w:szCs w:val="20"/>
                <w:lang w:val="sl-SI"/>
              </w:rPr>
              <w:t xml:space="preserve"> EUR (na 376</w:t>
            </w:r>
            <w:r>
              <w:rPr>
                <w:szCs w:val="20"/>
                <w:lang w:val="sl-SI"/>
              </w:rPr>
              <w:t>.</w:t>
            </w:r>
            <w:r w:rsidRPr="00C30B74">
              <w:rPr>
                <w:szCs w:val="20"/>
                <w:lang w:val="sl-SI"/>
              </w:rPr>
              <w:t>830</w:t>
            </w:r>
            <w:r>
              <w:rPr>
                <w:szCs w:val="20"/>
                <w:lang w:val="sl-SI"/>
              </w:rPr>
              <w:t>.</w:t>
            </w:r>
            <w:r w:rsidRPr="00C30B74">
              <w:rPr>
                <w:szCs w:val="20"/>
                <w:lang w:val="sl-SI"/>
              </w:rPr>
              <w:t>000</w:t>
            </w:r>
            <w:r>
              <w:rPr>
                <w:szCs w:val="20"/>
                <w:lang w:val="sl-SI"/>
              </w:rPr>
              <w:t>,00</w:t>
            </w:r>
            <w:r w:rsidRPr="00C30B74">
              <w:rPr>
                <w:szCs w:val="20"/>
                <w:lang w:val="sl-SI"/>
              </w:rPr>
              <w:t xml:space="preserve"> EUR). Prav tako se vpisani kapital sorazmerno zmanjša za 400.000</w:t>
            </w:r>
            <w:r>
              <w:rPr>
                <w:szCs w:val="20"/>
                <w:lang w:val="sl-SI"/>
              </w:rPr>
              <w:t>,00</w:t>
            </w:r>
            <w:r w:rsidRPr="00C30B74">
              <w:rPr>
                <w:szCs w:val="20"/>
                <w:lang w:val="sl-SI"/>
              </w:rPr>
              <w:t xml:space="preserve"> EUR (na 3</w:t>
            </w:r>
            <w:r>
              <w:rPr>
                <w:szCs w:val="20"/>
                <w:lang w:val="sl-SI"/>
              </w:rPr>
              <w:t>.</w:t>
            </w:r>
            <w:r w:rsidRPr="00C30B74">
              <w:rPr>
                <w:szCs w:val="20"/>
                <w:lang w:val="sl-SI"/>
              </w:rPr>
              <w:t>297</w:t>
            </w:r>
            <w:r>
              <w:rPr>
                <w:szCs w:val="20"/>
                <w:lang w:val="sl-SI"/>
              </w:rPr>
              <w:t>.</w:t>
            </w:r>
            <w:r w:rsidRPr="00C30B74">
              <w:rPr>
                <w:szCs w:val="20"/>
                <w:lang w:val="sl-SI"/>
              </w:rPr>
              <w:t>300</w:t>
            </w:r>
            <w:r>
              <w:rPr>
                <w:szCs w:val="20"/>
                <w:lang w:val="sl-SI"/>
              </w:rPr>
              <w:t>.</w:t>
            </w:r>
            <w:r w:rsidRPr="00C30B74">
              <w:rPr>
                <w:szCs w:val="20"/>
                <w:lang w:val="sl-SI"/>
              </w:rPr>
              <w:t>000</w:t>
            </w:r>
            <w:r>
              <w:rPr>
                <w:szCs w:val="20"/>
                <w:lang w:val="sl-SI"/>
              </w:rPr>
              <w:t>,00</w:t>
            </w:r>
            <w:r w:rsidRPr="00C30B74">
              <w:rPr>
                <w:szCs w:val="20"/>
                <w:lang w:val="sl-SI"/>
              </w:rPr>
              <w:t xml:space="preserve"> EUR) oz. se prispevni ključ Republike Slovenije zmanjša iz 0,4679 na 0,4678.</w:t>
            </w:r>
          </w:p>
          <w:p w:rsidR="00B876EB" w:rsidRPr="00B876EB" w:rsidRDefault="00B876EB" w:rsidP="003B36B8">
            <w:pPr>
              <w:jc w:val="both"/>
              <w:rPr>
                <w:rFonts w:cs="Arial"/>
                <w:szCs w:val="20"/>
                <w:lang w:val="sl-SI" w:eastAsia="sl-SI"/>
              </w:rPr>
            </w:pPr>
          </w:p>
        </w:tc>
      </w:tr>
    </w:tbl>
    <w:p w:rsidR="00B876EB" w:rsidRPr="00B876EB" w:rsidRDefault="00B876EB" w:rsidP="00B876EB">
      <w:pPr>
        <w:rPr>
          <w:rFonts w:cs="Arial"/>
          <w:vanish/>
          <w:szCs w:val="20"/>
          <w:lang w:val="sl-SI"/>
        </w:rPr>
      </w:pPr>
    </w:p>
    <w:tbl>
      <w:tblPr>
        <w:tblW w:w="96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731"/>
        <w:gridCol w:w="2128"/>
        <w:gridCol w:w="13"/>
      </w:tblGrid>
      <w:tr w:rsidR="00B876EB" w:rsidRPr="00B876EB" w:rsidTr="006A5494">
        <w:trPr>
          <w:cantSplit/>
          <w:trHeight w:val="35"/>
        </w:trPr>
        <w:tc>
          <w:tcPr>
            <w:tcW w:w="9641"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6A5494">
        <w:trPr>
          <w:gridAfter w:val="1"/>
          <w:wAfter w:w="13"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6A5494">
        <w:trPr>
          <w:gridAfter w:val="1"/>
          <w:wAfter w:w="13"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723C44" w:rsidTr="006A5494">
        <w:trPr>
          <w:gridAfter w:val="1"/>
          <w:wAfter w:w="1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723C44">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6A5494">
            <w:pPr>
              <w:widowControl w:val="0"/>
              <w:tabs>
                <w:tab w:val="left" w:pos="360"/>
              </w:tabs>
              <w:jc w:val="center"/>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723C44"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6A5494">
        <w:trPr>
          <w:cantSplit/>
          <w:trHeight w:val="294"/>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6A5494">
        <w:trPr>
          <w:cantSplit/>
          <w:trHeight w:val="207"/>
        </w:trPr>
        <w:tc>
          <w:tcPr>
            <w:tcW w:w="9641"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rsidTr="006A54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E30B34"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641" w:type="dxa"/>
            <w:gridSpan w:val="10"/>
          </w:tcPr>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E30B34"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641" w:type="dxa"/>
            <w:gridSpan w:val="10"/>
            <w:tcBorders>
              <w:top w:val="single" w:sz="4" w:space="0" w:color="000000"/>
              <w:left w:val="single" w:sz="4" w:space="0" w:color="000000"/>
              <w:bottom w:val="single" w:sz="4" w:space="0" w:color="000000"/>
              <w:right w:val="single" w:sz="4" w:space="0" w:color="000000"/>
            </w:tcBorders>
          </w:tcPr>
          <w:p w:rsidR="00493C15" w:rsidRPr="00B876EB" w:rsidRDefault="00B876EB" w:rsidP="003B36B8">
            <w:pPr>
              <w:rPr>
                <w:rFonts w:cs="Arial"/>
                <w:b/>
                <w:szCs w:val="20"/>
                <w:lang w:val="sl-SI"/>
              </w:rPr>
            </w:pPr>
            <w:r w:rsidRPr="00B876EB">
              <w:rPr>
                <w:rFonts w:cs="Arial"/>
                <w:b/>
                <w:szCs w:val="20"/>
                <w:lang w:val="sl-SI"/>
              </w:rPr>
              <w:lastRenderedPageBreak/>
              <w:t>7.b Predstavitev ocene finančnih posledic pod 40.000 EUR:</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41" w:type="dxa"/>
            <w:gridSpan w:val="10"/>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872" w:type="dxa"/>
            <w:gridSpan w:val="3"/>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41" w:type="dxa"/>
            <w:gridSpan w:val="10"/>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872" w:type="dxa"/>
            <w:gridSpan w:val="3"/>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493C15"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rsidR="00B876EB" w:rsidRPr="00B876EB" w:rsidRDefault="00B876EB" w:rsidP="00493C15">
            <w:pPr>
              <w:widowControl w:val="0"/>
              <w:overflowPunct w:val="0"/>
              <w:autoSpaceDE w:val="0"/>
              <w:autoSpaceDN w:val="0"/>
              <w:adjustRightInd w:val="0"/>
              <w:jc w:val="both"/>
              <w:textAlignment w:val="baseline"/>
              <w:rPr>
                <w:rFonts w:cs="Arial"/>
                <w:iCs/>
                <w:szCs w:val="20"/>
                <w:lang w:val="sl-SI" w:eastAsia="sl-SI"/>
              </w:rPr>
            </w:pPr>
          </w:p>
        </w:tc>
      </w:tr>
      <w:tr w:rsidR="00B876EB" w:rsidRPr="00493C15"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872" w:type="dxa"/>
            <w:gridSpan w:val="3"/>
            <w:vAlign w:val="center"/>
          </w:tcPr>
          <w:p w:rsidR="00B876EB" w:rsidRPr="00B876EB" w:rsidRDefault="00493C15" w:rsidP="00B876EB">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872" w:type="dxa"/>
            <w:gridSpan w:val="3"/>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501604" w:rsidRPr="00501604">
              <w:rPr>
                <w:rFonts w:cs="Arial"/>
                <w:b/>
                <w:szCs w:val="20"/>
                <w:lang w:val="sl-SI" w:eastAsia="sl-SI"/>
              </w:rPr>
              <w:t xml:space="preserve">dr. </w:t>
            </w:r>
            <w:r w:rsidR="0035454B">
              <w:rPr>
                <w:rFonts w:cs="Arial"/>
                <w:b/>
                <w:szCs w:val="20"/>
                <w:lang w:val="sl-SI" w:eastAsia="sl-SI"/>
              </w:rPr>
              <w:t>Anže Logar</w:t>
            </w:r>
          </w:p>
          <w:p w:rsidR="00B876EB" w:rsidRPr="00B876EB"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B876EB" w:rsidRPr="00B876EB">
              <w:rPr>
                <w:rFonts w:cs="Arial"/>
                <w:b/>
                <w:szCs w:val="20"/>
                <w:lang w:val="sl-SI" w:eastAsia="sl-SI"/>
              </w:rPr>
              <w:t>MINISTER</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CE2F65" w:rsidRPr="00670F4F" w:rsidRDefault="00CE2F65" w:rsidP="00493C15">
      <w:pPr>
        <w:tabs>
          <w:tab w:val="left" w:pos="5812"/>
        </w:tabs>
        <w:jc w:val="center"/>
        <w:rPr>
          <w:lang w:val="sl-SI"/>
        </w:rPr>
      </w:pPr>
      <w:r>
        <w:rPr>
          <w:lang w:val="sl-SI"/>
        </w:rPr>
        <w:br w:type="page"/>
      </w:r>
      <w:r w:rsidR="00493C15" w:rsidRPr="00670F4F">
        <w:rPr>
          <w:lang w:val="sl-SI"/>
        </w:rPr>
        <w:lastRenderedPageBreak/>
        <w:t xml:space="preserve"> </w:t>
      </w:r>
    </w:p>
    <w:p w:rsidR="00493C15" w:rsidRPr="004816B9" w:rsidRDefault="00493C15" w:rsidP="00493C15">
      <w:pPr>
        <w:pStyle w:val="BodyText"/>
        <w:jc w:val="both"/>
        <w:rPr>
          <w:rFonts w:cs="Arial"/>
          <w:szCs w:val="20"/>
          <w:lang w:val="sl-SI"/>
        </w:rPr>
      </w:pPr>
      <w:r w:rsidRPr="004816B9">
        <w:rPr>
          <w:rFonts w:cs="Arial"/>
          <w:szCs w:val="20"/>
          <w:lang w:val="sl-SI"/>
        </w:rPr>
        <w:t xml:space="preserve">Na podlagi </w:t>
      </w:r>
      <w:r>
        <w:rPr>
          <w:rFonts w:cs="Arial"/>
          <w:szCs w:val="20"/>
          <w:lang w:val="sl-SI"/>
        </w:rPr>
        <w:t>prve alineje šestega</w:t>
      </w:r>
      <w:r w:rsidRPr="004816B9">
        <w:rPr>
          <w:rFonts w:cs="Arial"/>
          <w:szCs w:val="20"/>
          <w:lang w:val="sl-SI"/>
        </w:rPr>
        <w:t xml:space="preserve"> odstavka 75. člena Zakona o zunanjih zadevah (Uradni list RS, št. 113/03 - uradno prečiščeno besedilo, 20/06 – ZNOMCMO, 76/08, 108/09, 80/10 </w:t>
      </w:r>
      <w:r>
        <w:rPr>
          <w:rFonts w:cs="Arial"/>
          <w:szCs w:val="20"/>
          <w:lang w:val="sl-SI"/>
        </w:rPr>
        <w:t>–</w:t>
      </w:r>
      <w:r w:rsidRPr="004816B9">
        <w:rPr>
          <w:rFonts w:cs="Arial"/>
          <w:szCs w:val="20"/>
          <w:lang w:val="sl-SI"/>
        </w:rPr>
        <w:t xml:space="preserve"> ZUTD</w:t>
      </w:r>
      <w:r>
        <w:rPr>
          <w:rFonts w:cs="Arial"/>
          <w:szCs w:val="20"/>
          <w:lang w:val="sl-SI"/>
        </w:rPr>
        <w:t>,</w:t>
      </w:r>
      <w:r w:rsidRPr="004816B9">
        <w:rPr>
          <w:rFonts w:cs="Arial"/>
          <w:szCs w:val="20"/>
          <w:lang w:val="sl-SI"/>
        </w:rPr>
        <w:t xml:space="preserve"> 31/15</w:t>
      </w:r>
      <w:r>
        <w:rPr>
          <w:rFonts w:cs="Arial"/>
          <w:szCs w:val="20"/>
          <w:lang w:val="sl-SI"/>
        </w:rPr>
        <w:t xml:space="preserve"> in </w:t>
      </w:r>
      <w:r>
        <w:rPr>
          <w:iCs/>
          <w:lang w:val="sl-SI"/>
        </w:rPr>
        <w:t xml:space="preserve">30/18 - </w:t>
      </w:r>
      <w:proofErr w:type="spellStart"/>
      <w:r>
        <w:rPr>
          <w:iCs/>
          <w:lang w:val="sl-SI"/>
        </w:rPr>
        <w:t>ZKZaš</w:t>
      </w:r>
      <w:proofErr w:type="spellEnd"/>
      <w:r w:rsidRPr="004816B9">
        <w:rPr>
          <w:rFonts w:cs="Arial"/>
          <w:szCs w:val="20"/>
          <w:lang w:val="sl-SI"/>
        </w:rPr>
        <w:t>) Vlada Republike Slovenije</w:t>
      </w:r>
      <w:r>
        <w:rPr>
          <w:rFonts w:cs="Arial"/>
          <w:szCs w:val="20"/>
          <w:lang w:val="sl-SI"/>
        </w:rPr>
        <w:t xml:space="preserve"> izdaja</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bCs/>
          <w:szCs w:val="20"/>
          <w:lang w:val="sl-SI"/>
        </w:rPr>
      </w:pPr>
    </w:p>
    <w:p w:rsidR="00772514" w:rsidRDefault="00493C15" w:rsidP="00772514">
      <w:pPr>
        <w:autoSpaceDE w:val="0"/>
        <w:autoSpaceDN w:val="0"/>
        <w:adjustRightInd w:val="0"/>
        <w:spacing w:line="240" w:lineRule="auto"/>
        <w:jc w:val="center"/>
        <w:rPr>
          <w:rFonts w:cs="Arial"/>
          <w:b/>
          <w:bCs/>
          <w:szCs w:val="20"/>
          <w:lang w:val="sl-SI"/>
        </w:rPr>
      </w:pPr>
      <w:r w:rsidRPr="00DF553F">
        <w:rPr>
          <w:rFonts w:cs="Arial"/>
          <w:b/>
          <w:bCs/>
          <w:szCs w:val="20"/>
          <w:lang w:val="sl-SI"/>
        </w:rPr>
        <w:t>UREDBO O RATIFIKACIJI</w:t>
      </w:r>
      <w:r w:rsidR="003B36B8">
        <w:rPr>
          <w:rFonts w:cs="Arial"/>
          <w:b/>
          <w:bCs/>
          <w:szCs w:val="20"/>
          <w:lang w:val="sl-SI"/>
        </w:rPr>
        <w:t xml:space="preserve"> </w:t>
      </w:r>
    </w:p>
    <w:p w:rsidR="003B36B8" w:rsidRPr="003B36B8" w:rsidRDefault="003B36B8" w:rsidP="00772514">
      <w:pPr>
        <w:autoSpaceDE w:val="0"/>
        <w:autoSpaceDN w:val="0"/>
        <w:adjustRightInd w:val="0"/>
        <w:spacing w:line="240" w:lineRule="auto"/>
        <w:jc w:val="center"/>
        <w:rPr>
          <w:rFonts w:cs="Arial"/>
          <w:b/>
          <w:bCs/>
          <w:szCs w:val="20"/>
          <w:lang w:val="sl-SI"/>
        </w:rPr>
      </w:pPr>
      <w:r w:rsidRPr="00DA73E2">
        <w:rPr>
          <w:rFonts w:cs="Arial"/>
          <w:b/>
          <w:szCs w:val="20"/>
          <w:lang w:val="sl-SI"/>
        </w:rPr>
        <w:t>SPREMENJENIH PRILOG I IN II K</w:t>
      </w:r>
    </w:p>
    <w:p w:rsidR="003B36B8" w:rsidRPr="00DA73E2" w:rsidRDefault="003B36B8" w:rsidP="003B36B8">
      <w:pPr>
        <w:ind w:left="360"/>
        <w:jc w:val="center"/>
        <w:rPr>
          <w:rFonts w:cs="Arial"/>
          <w:b/>
          <w:szCs w:val="20"/>
          <w:lang w:val="sl-SI"/>
        </w:rPr>
      </w:pPr>
      <w:r w:rsidRPr="00DA73E2">
        <w:rPr>
          <w:rFonts w:cs="Arial"/>
          <w:b/>
          <w:szCs w:val="20"/>
          <w:lang w:val="sl-SI"/>
        </w:rPr>
        <w:t>POGODBI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w:t>
      </w:r>
    </w:p>
    <w:p w:rsidR="005043E4" w:rsidRPr="005043E4" w:rsidRDefault="005043E4"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1. člen</w:t>
      </w:r>
    </w:p>
    <w:p w:rsidR="00493C15" w:rsidRPr="004816B9" w:rsidRDefault="00493C15" w:rsidP="00493C15">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rsidR="00772514" w:rsidRPr="00DA73E2" w:rsidRDefault="00772514" w:rsidP="00772514">
      <w:pPr>
        <w:jc w:val="both"/>
        <w:rPr>
          <w:rFonts w:cs="Arial"/>
          <w:szCs w:val="20"/>
          <w:lang w:val="sl-SI"/>
        </w:rPr>
      </w:pPr>
      <w:r w:rsidRPr="00DA73E2">
        <w:rPr>
          <w:rFonts w:cs="Arial"/>
          <w:szCs w:val="20"/>
          <w:lang w:val="sl-SI"/>
        </w:rPr>
        <w:t>Ratificirata se</w:t>
      </w:r>
      <w:r w:rsidRPr="00DA73E2">
        <w:rPr>
          <w:rFonts w:cs="Arial"/>
          <w:color w:val="000000"/>
          <w:szCs w:val="20"/>
          <w:lang w:val="sl-SI" w:eastAsia="sl-SI"/>
        </w:rPr>
        <w:t xml:space="preserve"> spremenjeni </w:t>
      </w:r>
      <w:r w:rsidRPr="00DA73E2">
        <w:rPr>
          <w:rFonts w:cs="Arial"/>
          <w:szCs w:val="20"/>
          <w:lang w:val="sl-SI"/>
        </w:rPr>
        <w:t xml:space="preserve">Priloga I in Priloga II k Pogodbi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ki ju je sprejel Svet guvernerjev Evropskega mehanizma za stabilnost </w:t>
      </w:r>
      <w:r w:rsidRPr="00793183">
        <w:rPr>
          <w:rFonts w:cs="Arial"/>
          <w:szCs w:val="20"/>
          <w:lang w:val="sl-SI"/>
        </w:rPr>
        <w:t>v Bruslju dne 4. decembra 2019</w:t>
      </w:r>
      <w:r w:rsidRPr="00DA73E2">
        <w:rPr>
          <w:rFonts w:cs="Arial"/>
          <w:szCs w:val="20"/>
          <w:lang w:val="sl-SI"/>
        </w:rPr>
        <w:t>.</w:t>
      </w:r>
    </w:p>
    <w:p w:rsidR="00772514" w:rsidRPr="00DA73E2" w:rsidRDefault="00772514" w:rsidP="00772514">
      <w:pPr>
        <w:jc w:val="both"/>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2. člen</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772514" w:rsidP="00493C15">
      <w:pPr>
        <w:jc w:val="both"/>
        <w:rPr>
          <w:rFonts w:cs="Arial"/>
          <w:szCs w:val="20"/>
          <w:lang w:val="sl-SI"/>
        </w:rPr>
      </w:pPr>
      <w:r w:rsidRPr="00DA73E2">
        <w:rPr>
          <w:rFonts w:cs="Arial"/>
          <w:szCs w:val="20"/>
          <w:lang w:val="sl-SI"/>
        </w:rPr>
        <w:t xml:space="preserve">Besedilo spremenjene Priloge I in Priloge II </w:t>
      </w:r>
      <w:r w:rsidR="00493C15" w:rsidRPr="004816B9">
        <w:rPr>
          <w:rFonts w:cs="Arial"/>
          <w:szCs w:val="20"/>
          <w:lang w:val="sl-SI"/>
        </w:rPr>
        <w:t xml:space="preserve">se v izvirniku v </w:t>
      </w:r>
      <w:r w:rsidR="00493C15">
        <w:rPr>
          <w:rFonts w:cs="Arial"/>
          <w:szCs w:val="20"/>
          <w:lang w:val="sl-SI"/>
        </w:rPr>
        <w:t>angleškem</w:t>
      </w:r>
      <w:r w:rsidR="00493C15" w:rsidRPr="004816B9">
        <w:rPr>
          <w:rFonts w:cs="Arial"/>
          <w:szCs w:val="20"/>
          <w:lang w:val="sl-SI"/>
        </w:rPr>
        <w:t xml:space="preserve"> jeziku </w:t>
      </w:r>
      <w:r w:rsidR="00493C15">
        <w:rPr>
          <w:rFonts w:cs="Arial"/>
          <w:szCs w:val="20"/>
          <w:lang w:val="sl-SI"/>
        </w:rPr>
        <w:t xml:space="preserve">in prevodu v slovenskem jeziku </w:t>
      </w:r>
      <w:r w:rsidR="00493C15" w:rsidRPr="004816B9">
        <w:rPr>
          <w:rFonts w:cs="Arial"/>
          <w:szCs w:val="20"/>
          <w:lang w:val="sl-SI"/>
        </w:rPr>
        <w:t>glasi:</w:t>
      </w:r>
    </w:p>
    <w:p w:rsidR="00493C15" w:rsidRDefault="00493C15" w:rsidP="00493C15">
      <w:pPr>
        <w:pStyle w:val="NoSpacing"/>
        <w:rPr>
          <w:rFonts w:ascii="Arial" w:hAnsi="Arial" w:cs="Arial"/>
          <w:sz w:val="20"/>
          <w:szCs w:val="20"/>
        </w:rPr>
      </w:pPr>
    </w:p>
    <w:p w:rsidR="00493C15" w:rsidRDefault="00493C15" w:rsidP="00493C15">
      <w:pPr>
        <w:pStyle w:val="NoSpacing"/>
        <w:rPr>
          <w:rFonts w:ascii="Arial" w:hAnsi="Arial" w:cs="Arial"/>
          <w:sz w:val="20"/>
          <w:szCs w:val="20"/>
        </w:rPr>
      </w:pPr>
    </w:p>
    <w:p w:rsidR="00493C15" w:rsidRDefault="00493C15" w:rsidP="00493C15">
      <w:pPr>
        <w:spacing w:after="200" w:line="276" w:lineRule="auto"/>
        <w:rPr>
          <w:rFonts w:eastAsiaTheme="minorHAnsi" w:cs="Arial"/>
          <w:szCs w:val="20"/>
          <w:lang w:val="sl-SI"/>
        </w:rPr>
      </w:pPr>
      <w:r>
        <w:rPr>
          <w:rFonts w:cs="Arial"/>
          <w:szCs w:val="20"/>
        </w:rPr>
        <w:br w:type="page"/>
      </w:r>
    </w:p>
    <w:p w:rsidR="00652456" w:rsidRDefault="00652456" w:rsidP="00652456">
      <w:pPr>
        <w:pStyle w:val="BodyText"/>
        <w:spacing w:after="0" w:line="276" w:lineRule="auto"/>
        <w:jc w:val="both"/>
        <w:rPr>
          <w:rFonts w:cs="Arial"/>
          <w:szCs w:val="20"/>
        </w:rPr>
      </w:pPr>
    </w:p>
    <w:p w:rsidR="00772514" w:rsidRPr="008A74BF" w:rsidRDefault="00772514" w:rsidP="00772514">
      <w:pPr>
        <w:widowControl w:val="0"/>
        <w:spacing w:line="360" w:lineRule="auto"/>
        <w:jc w:val="right"/>
        <w:outlineLvl w:val="0"/>
        <w:rPr>
          <w:b/>
          <w:szCs w:val="20"/>
          <w:u w:val="single"/>
          <w:lang w:eastAsia="fr-BE"/>
        </w:rPr>
      </w:pPr>
      <w:r w:rsidRPr="008A74BF">
        <w:rPr>
          <w:b/>
          <w:szCs w:val="20"/>
          <w:u w:val="single"/>
          <w:lang w:eastAsia="fr-BE"/>
        </w:rPr>
        <w:t>ANNEX I</w:t>
      </w:r>
    </w:p>
    <w:p w:rsidR="00772514" w:rsidRPr="008A74BF" w:rsidRDefault="00772514" w:rsidP="00772514">
      <w:pPr>
        <w:widowControl w:val="0"/>
        <w:spacing w:line="360" w:lineRule="auto"/>
        <w:rPr>
          <w:szCs w:val="20"/>
          <w:lang w:eastAsia="fr-BE"/>
        </w:rPr>
      </w:pPr>
      <w:r w:rsidRPr="008A74BF">
        <w:rPr>
          <w:szCs w:val="20"/>
          <w:lang w:eastAsia="fr-BE"/>
        </w:rPr>
        <w:t>Effective as of [1 January 20</w:t>
      </w:r>
      <w:r>
        <w:rPr>
          <w:szCs w:val="20"/>
          <w:lang w:eastAsia="fr-BE"/>
        </w:rPr>
        <w:t>20</w:t>
      </w:r>
      <w:r w:rsidRPr="008A74BF">
        <w:rPr>
          <w:szCs w:val="20"/>
          <w:lang w:eastAsia="fr-BE"/>
        </w:rPr>
        <w:t xml:space="preserve">], upon the end of the temporary correction applicable to </w:t>
      </w:r>
      <w:r>
        <w:rPr>
          <w:szCs w:val="20"/>
          <w:lang w:eastAsia="fr-BE"/>
        </w:rPr>
        <w:t>Malta</w:t>
      </w:r>
      <w:r w:rsidRPr="008A74BF">
        <w:rPr>
          <w:szCs w:val="20"/>
          <w:lang w:eastAsia="fr-BE"/>
        </w:rPr>
        <w:t>.</w:t>
      </w:r>
    </w:p>
    <w:p w:rsidR="00772514" w:rsidRDefault="00772514" w:rsidP="00772514">
      <w:pPr>
        <w:widowControl w:val="0"/>
        <w:spacing w:line="360" w:lineRule="auto"/>
        <w:jc w:val="center"/>
        <w:outlineLvl w:val="0"/>
        <w:rPr>
          <w:szCs w:val="20"/>
          <w:lang w:eastAsia="fr-BE"/>
        </w:rPr>
      </w:pPr>
    </w:p>
    <w:p w:rsidR="00772514" w:rsidRPr="008A74BF" w:rsidRDefault="00772514" w:rsidP="00772514">
      <w:pPr>
        <w:widowControl w:val="0"/>
        <w:spacing w:line="360" w:lineRule="auto"/>
        <w:jc w:val="center"/>
        <w:outlineLvl w:val="0"/>
        <w:rPr>
          <w:szCs w:val="20"/>
          <w:lang w:eastAsia="fr-BE"/>
        </w:rPr>
      </w:pPr>
      <w:r w:rsidRPr="008A74BF">
        <w:rPr>
          <w:szCs w:val="20"/>
          <w:lang w:eastAsia="fr-BE"/>
        </w:rPr>
        <w:t>Contribution Key of the ESM</w:t>
      </w:r>
    </w:p>
    <w:p w:rsidR="00772514" w:rsidRPr="008A74BF" w:rsidRDefault="00772514" w:rsidP="00772514">
      <w:pPr>
        <w:widowControl w:val="0"/>
        <w:spacing w:line="360" w:lineRule="auto"/>
        <w:rPr>
          <w:szCs w:val="20"/>
          <w:lang w:eastAsia="fr-BE"/>
        </w:rPr>
      </w:pPr>
    </w:p>
    <w:tbl>
      <w:tblPr>
        <w:tblW w:w="0" w:type="auto"/>
        <w:tblInd w:w="1428" w:type="dxa"/>
        <w:tblLook w:val="0000" w:firstRow="0" w:lastRow="0" w:firstColumn="0" w:lastColumn="0" w:noHBand="0" w:noVBand="0"/>
      </w:tblPr>
      <w:tblGrid>
        <w:gridCol w:w="3836"/>
        <w:gridCol w:w="2884"/>
      </w:tblGrid>
      <w:tr w:rsidR="00772514" w:rsidRPr="008A74BF" w:rsidTr="00DB43D9">
        <w:tc>
          <w:tcPr>
            <w:tcW w:w="3836" w:type="dxa"/>
            <w:shd w:val="clear" w:color="auto" w:fill="auto"/>
          </w:tcPr>
          <w:p w:rsidR="00772514" w:rsidRPr="008A74BF" w:rsidRDefault="00772514" w:rsidP="00DB43D9">
            <w:pPr>
              <w:widowControl w:val="0"/>
              <w:spacing w:line="360" w:lineRule="auto"/>
              <w:jc w:val="center"/>
              <w:rPr>
                <w:b/>
                <w:bCs/>
                <w:i/>
                <w:iCs/>
                <w:lang w:eastAsia="fr-BE"/>
              </w:rPr>
            </w:pPr>
            <w:r w:rsidRPr="008A74BF">
              <w:rPr>
                <w:b/>
                <w:bCs/>
                <w:i/>
                <w:iCs/>
                <w:lang w:eastAsia="fr-BE"/>
              </w:rPr>
              <w:t>ESM Member</w:t>
            </w:r>
          </w:p>
        </w:tc>
        <w:tc>
          <w:tcPr>
            <w:tcW w:w="2884" w:type="dxa"/>
            <w:shd w:val="clear" w:color="auto" w:fill="auto"/>
            <w:vAlign w:val="center"/>
          </w:tcPr>
          <w:p w:rsidR="00772514" w:rsidRPr="008A74BF" w:rsidRDefault="00772514" w:rsidP="00DB43D9">
            <w:pPr>
              <w:widowControl w:val="0"/>
              <w:spacing w:line="360" w:lineRule="auto"/>
              <w:jc w:val="center"/>
              <w:rPr>
                <w:b/>
                <w:bCs/>
                <w:i/>
                <w:iCs/>
                <w:lang w:eastAsia="fr-BE"/>
              </w:rPr>
            </w:pPr>
            <w:r w:rsidRPr="008A74BF">
              <w:rPr>
                <w:b/>
                <w:bCs/>
                <w:i/>
                <w:iCs/>
                <w:lang w:eastAsia="fr-BE"/>
              </w:rPr>
              <w:t>ESM key (%)</w:t>
            </w:r>
          </w:p>
          <w:p w:rsidR="00772514" w:rsidRPr="008A74BF" w:rsidRDefault="00772514" w:rsidP="00DB43D9">
            <w:pPr>
              <w:widowControl w:val="0"/>
              <w:spacing w:line="360" w:lineRule="auto"/>
              <w:jc w:val="center"/>
              <w:rPr>
                <w:b/>
                <w:bCs/>
                <w:i/>
                <w:iCs/>
                <w:lang w:eastAsia="fr-BE"/>
              </w:rPr>
            </w:pP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Kingdom of Belgium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lang w:eastAsia="fr-BE"/>
              </w:rPr>
            </w:pPr>
            <w:r w:rsidRPr="00F44618">
              <w:rPr>
                <w:i/>
              </w:rPr>
              <w:t>3.4513</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Federal Republic of Germany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lang w:eastAsia="fr-BE"/>
              </w:rPr>
            </w:pPr>
            <w:r w:rsidRPr="00F44618">
              <w:rPr>
                <w:i/>
              </w:rPr>
              <w:t>26.9449</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Republic of Estonia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lang w:eastAsia="fr-BE"/>
              </w:rPr>
            </w:pPr>
            <w:r w:rsidRPr="00F44618">
              <w:rPr>
                <w:i/>
              </w:rPr>
              <w:t>0.1847</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Ireland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lang w:eastAsia="fr-BE"/>
              </w:rPr>
            </w:pPr>
            <w:r w:rsidRPr="00F44618">
              <w:rPr>
                <w:i/>
              </w:rPr>
              <w:t>1.5804</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Hellenic Republic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lang w:eastAsia="fr-BE"/>
              </w:rPr>
            </w:pPr>
            <w:r w:rsidRPr="00F44618">
              <w:rPr>
                <w:i/>
              </w:rPr>
              <w:t>2.7957</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Kingdom of Spain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11.8153</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French Republic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20.2346</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Italian Republic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17.7807</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Republic of Cyprus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0.1948</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Republic of Latvia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0.2746</w:t>
            </w:r>
          </w:p>
        </w:tc>
      </w:tr>
      <w:tr w:rsidR="00772514" w:rsidRPr="008A74BF" w:rsidTr="00DB43D9">
        <w:tc>
          <w:tcPr>
            <w:tcW w:w="3836" w:type="dxa"/>
            <w:shd w:val="clear" w:color="auto" w:fill="auto"/>
            <w:noWrap/>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Lithuania</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0.4063</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Grand Duchy of Luxembourg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0.2486</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Malta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0.0899</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Kingdom of the Netherlands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5.6746</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Republic of Austria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2.7627</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Portuguese Republic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2.4906</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Republic of Slovenia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0.4678</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Slovak Republic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0.8184</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lang w:eastAsia="fr-BE"/>
              </w:rPr>
            </w:pPr>
            <w:r w:rsidRPr="008A74BF">
              <w:rPr>
                <w:i/>
                <w:iCs/>
                <w:lang w:eastAsia="fr-BE"/>
              </w:rPr>
              <w:t xml:space="preserve">Republic of Finland </w:t>
            </w:r>
          </w:p>
        </w:tc>
        <w:tc>
          <w:tcPr>
            <w:tcW w:w="2884" w:type="dxa"/>
            <w:shd w:val="clear" w:color="auto" w:fill="auto"/>
            <w:noWrap/>
          </w:tcPr>
          <w:p w:rsidR="00772514" w:rsidRPr="00F44618" w:rsidRDefault="00772514" w:rsidP="00DB43D9">
            <w:pPr>
              <w:widowControl w:val="0"/>
              <w:tabs>
                <w:tab w:val="decimal" w:pos="1096"/>
              </w:tabs>
              <w:spacing w:line="360" w:lineRule="auto"/>
              <w:jc w:val="both"/>
              <w:rPr>
                <w:i/>
                <w:iCs/>
                <w:lang w:eastAsia="fr-BE"/>
              </w:rPr>
            </w:pPr>
            <w:r w:rsidRPr="00F44618">
              <w:rPr>
                <w:i/>
              </w:rPr>
              <w:t>1.7841</w:t>
            </w:r>
          </w:p>
        </w:tc>
      </w:tr>
      <w:tr w:rsidR="00772514" w:rsidRPr="008A74BF" w:rsidTr="00DB43D9">
        <w:tc>
          <w:tcPr>
            <w:tcW w:w="3836" w:type="dxa"/>
            <w:shd w:val="clear" w:color="auto" w:fill="auto"/>
            <w:noWrap/>
          </w:tcPr>
          <w:p w:rsidR="00772514" w:rsidRPr="008A74BF" w:rsidRDefault="00772514" w:rsidP="00DB43D9">
            <w:pPr>
              <w:widowControl w:val="0"/>
              <w:spacing w:line="360" w:lineRule="auto"/>
              <w:rPr>
                <w:b/>
                <w:bCs/>
                <w:i/>
                <w:iCs/>
                <w:lang w:eastAsia="fr-BE"/>
              </w:rPr>
            </w:pPr>
            <w:r w:rsidRPr="008A74BF">
              <w:rPr>
                <w:b/>
                <w:bCs/>
                <w:i/>
                <w:iCs/>
                <w:lang w:eastAsia="fr-BE"/>
              </w:rPr>
              <w:t>Total</w:t>
            </w:r>
          </w:p>
        </w:tc>
        <w:tc>
          <w:tcPr>
            <w:tcW w:w="2884" w:type="dxa"/>
            <w:shd w:val="clear" w:color="auto" w:fill="auto"/>
            <w:noWrap/>
            <w:vAlign w:val="center"/>
          </w:tcPr>
          <w:p w:rsidR="00772514" w:rsidRPr="008A74BF" w:rsidRDefault="00772514" w:rsidP="00DB43D9">
            <w:pPr>
              <w:widowControl w:val="0"/>
              <w:tabs>
                <w:tab w:val="decimal" w:pos="1096"/>
              </w:tabs>
              <w:spacing w:line="360" w:lineRule="auto"/>
              <w:jc w:val="both"/>
              <w:rPr>
                <w:b/>
                <w:bCs/>
                <w:i/>
                <w:iCs/>
                <w:lang w:eastAsia="fr-BE"/>
              </w:rPr>
            </w:pPr>
            <w:r w:rsidRPr="008A74BF">
              <w:rPr>
                <w:b/>
                <w:bCs/>
                <w:i/>
                <w:iCs/>
                <w:lang w:eastAsia="fr-BE"/>
              </w:rPr>
              <w:t>100.0</w:t>
            </w:r>
          </w:p>
        </w:tc>
      </w:tr>
    </w:tbl>
    <w:p w:rsidR="00772514" w:rsidRPr="008A74BF" w:rsidRDefault="00772514" w:rsidP="00772514">
      <w:pPr>
        <w:widowControl w:val="0"/>
        <w:spacing w:line="360" w:lineRule="auto"/>
        <w:rPr>
          <w:lang w:eastAsia="fr-BE"/>
        </w:rPr>
      </w:pPr>
    </w:p>
    <w:p w:rsidR="00772514" w:rsidRDefault="00772514" w:rsidP="00772514">
      <w:pPr>
        <w:widowControl w:val="0"/>
        <w:spacing w:line="360" w:lineRule="auto"/>
        <w:ind w:left="1134"/>
        <w:jc w:val="center"/>
        <w:rPr>
          <w:lang w:eastAsia="fr-BE"/>
        </w:rPr>
      </w:pPr>
      <w:r w:rsidRPr="008A74BF">
        <w:rPr>
          <w:lang w:eastAsia="fr-BE"/>
        </w:rPr>
        <w:t>The above figures are rounded to four decimals.</w:t>
      </w:r>
    </w:p>
    <w:p w:rsidR="00772514" w:rsidRDefault="00772514" w:rsidP="00772514">
      <w:pPr>
        <w:spacing w:after="160" w:line="259" w:lineRule="auto"/>
        <w:rPr>
          <w:lang w:eastAsia="fr-BE"/>
        </w:rPr>
      </w:pPr>
      <w:r>
        <w:rPr>
          <w:lang w:eastAsia="fr-BE"/>
        </w:rPr>
        <w:br w:type="page"/>
      </w:r>
    </w:p>
    <w:p w:rsidR="00772514" w:rsidRPr="008A74BF" w:rsidRDefault="00772514" w:rsidP="00772514">
      <w:pPr>
        <w:widowControl w:val="0"/>
        <w:spacing w:line="360" w:lineRule="auto"/>
        <w:jc w:val="right"/>
        <w:outlineLvl w:val="0"/>
        <w:rPr>
          <w:b/>
          <w:szCs w:val="20"/>
          <w:u w:val="single"/>
          <w:lang w:eastAsia="fr-BE"/>
        </w:rPr>
      </w:pPr>
      <w:r w:rsidRPr="008A74BF">
        <w:rPr>
          <w:b/>
          <w:szCs w:val="20"/>
          <w:u w:val="single"/>
          <w:lang w:eastAsia="fr-BE"/>
        </w:rPr>
        <w:lastRenderedPageBreak/>
        <w:t>ANNEX II</w:t>
      </w:r>
    </w:p>
    <w:p w:rsidR="00772514" w:rsidRPr="008A74BF" w:rsidRDefault="00772514" w:rsidP="00772514">
      <w:pPr>
        <w:widowControl w:val="0"/>
        <w:spacing w:line="360" w:lineRule="auto"/>
        <w:rPr>
          <w:szCs w:val="20"/>
          <w:lang w:eastAsia="fr-BE"/>
        </w:rPr>
      </w:pPr>
      <w:r w:rsidRPr="008A74BF">
        <w:rPr>
          <w:szCs w:val="20"/>
          <w:lang w:eastAsia="fr-BE"/>
        </w:rPr>
        <w:t>Effective as of [1 January 20</w:t>
      </w:r>
      <w:r>
        <w:rPr>
          <w:szCs w:val="20"/>
          <w:lang w:eastAsia="fr-BE"/>
        </w:rPr>
        <w:t>20</w:t>
      </w:r>
      <w:r w:rsidRPr="008A74BF">
        <w:rPr>
          <w:szCs w:val="20"/>
          <w:lang w:eastAsia="fr-BE"/>
        </w:rPr>
        <w:t xml:space="preserve">], upon the end of the temporary correction applicable to </w:t>
      </w:r>
      <w:r>
        <w:rPr>
          <w:szCs w:val="20"/>
          <w:lang w:eastAsia="fr-BE"/>
        </w:rPr>
        <w:t>Malta</w:t>
      </w:r>
      <w:r w:rsidRPr="008A74BF">
        <w:rPr>
          <w:szCs w:val="20"/>
          <w:lang w:eastAsia="fr-BE"/>
        </w:rPr>
        <w:t>.</w:t>
      </w:r>
    </w:p>
    <w:p w:rsidR="00772514" w:rsidRPr="008A74BF" w:rsidRDefault="00772514" w:rsidP="00772514">
      <w:pPr>
        <w:widowControl w:val="0"/>
        <w:spacing w:line="360" w:lineRule="auto"/>
        <w:rPr>
          <w:szCs w:val="20"/>
          <w:lang w:eastAsia="fr-BE"/>
        </w:rPr>
      </w:pPr>
    </w:p>
    <w:p w:rsidR="00772514" w:rsidRPr="008A74BF" w:rsidRDefault="00772514" w:rsidP="00772514">
      <w:pPr>
        <w:widowControl w:val="0"/>
        <w:spacing w:line="360" w:lineRule="auto"/>
        <w:jc w:val="center"/>
        <w:outlineLvl w:val="0"/>
        <w:rPr>
          <w:szCs w:val="20"/>
          <w:lang w:eastAsia="fr-BE"/>
        </w:rPr>
      </w:pPr>
      <w:r w:rsidRPr="008A74BF">
        <w:rPr>
          <w:szCs w:val="20"/>
          <w:lang w:eastAsia="fr-BE"/>
        </w:rPr>
        <w:t xml:space="preserve">Subscriptions to the </w:t>
      </w:r>
      <w:proofErr w:type="spellStart"/>
      <w:r w:rsidRPr="008A74BF">
        <w:rPr>
          <w:szCs w:val="20"/>
          <w:lang w:eastAsia="fr-BE"/>
        </w:rPr>
        <w:t>authorised</w:t>
      </w:r>
      <w:proofErr w:type="spellEnd"/>
      <w:r w:rsidRPr="008A74BF">
        <w:rPr>
          <w:szCs w:val="20"/>
          <w:lang w:eastAsia="fr-BE"/>
        </w:rPr>
        <w:t xml:space="preserve"> capital stock</w:t>
      </w:r>
    </w:p>
    <w:p w:rsidR="00772514" w:rsidRPr="008A74BF" w:rsidRDefault="00772514" w:rsidP="00772514">
      <w:pPr>
        <w:widowControl w:val="0"/>
        <w:spacing w:line="360" w:lineRule="auto"/>
        <w:rPr>
          <w:szCs w:val="20"/>
          <w:lang w:eastAsia="fr-BE"/>
        </w:rPr>
      </w:pPr>
    </w:p>
    <w:tbl>
      <w:tblPr>
        <w:tblW w:w="0" w:type="auto"/>
        <w:tblLook w:val="01E0" w:firstRow="1" w:lastRow="1" w:firstColumn="1" w:lastColumn="1" w:noHBand="0" w:noVBand="0"/>
      </w:tblPr>
      <w:tblGrid>
        <w:gridCol w:w="3111"/>
        <w:gridCol w:w="2601"/>
        <w:gridCol w:w="2651"/>
      </w:tblGrid>
      <w:tr w:rsidR="00772514" w:rsidRPr="008A74BF" w:rsidTr="00DB43D9">
        <w:tc>
          <w:tcPr>
            <w:tcW w:w="3111" w:type="dxa"/>
            <w:shd w:val="clear" w:color="auto" w:fill="auto"/>
          </w:tcPr>
          <w:p w:rsidR="00772514" w:rsidRPr="008A74BF" w:rsidRDefault="00772514" w:rsidP="00DB43D9">
            <w:pPr>
              <w:widowControl w:val="0"/>
              <w:spacing w:line="360" w:lineRule="auto"/>
              <w:jc w:val="center"/>
              <w:rPr>
                <w:b/>
                <w:bCs/>
                <w:i/>
                <w:iCs/>
                <w:lang w:eastAsia="fr-BE"/>
              </w:rPr>
            </w:pPr>
            <w:r w:rsidRPr="008A74BF">
              <w:rPr>
                <w:b/>
                <w:bCs/>
                <w:i/>
                <w:iCs/>
                <w:lang w:eastAsia="fr-BE"/>
              </w:rPr>
              <w:t>ESM Member</w:t>
            </w:r>
          </w:p>
          <w:p w:rsidR="00772514" w:rsidRPr="008A74BF" w:rsidRDefault="00772514" w:rsidP="00DB43D9">
            <w:pPr>
              <w:widowControl w:val="0"/>
              <w:spacing w:line="360" w:lineRule="auto"/>
              <w:jc w:val="center"/>
              <w:rPr>
                <w:b/>
                <w:bCs/>
                <w:i/>
                <w:iCs/>
                <w:lang w:eastAsia="fr-BE"/>
              </w:rPr>
            </w:pPr>
          </w:p>
        </w:tc>
        <w:tc>
          <w:tcPr>
            <w:tcW w:w="2601" w:type="dxa"/>
            <w:shd w:val="clear" w:color="auto" w:fill="auto"/>
          </w:tcPr>
          <w:p w:rsidR="00772514" w:rsidRPr="008A74BF" w:rsidRDefault="00772514" w:rsidP="00DB43D9">
            <w:pPr>
              <w:widowControl w:val="0"/>
              <w:spacing w:line="360" w:lineRule="auto"/>
              <w:jc w:val="center"/>
              <w:rPr>
                <w:b/>
                <w:bCs/>
                <w:i/>
                <w:iCs/>
                <w:lang w:eastAsia="fr-BE"/>
              </w:rPr>
            </w:pPr>
            <w:r w:rsidRPr="008A74BF">
              <w:rPr>
                <w:b/>
                <w:bCs/>
                <w:i/>
                <w:iCs/>
                <w:lang w:eastAsia="fr-BE"/>
              </w:rPr>
              <w:t>Number of shares</w:t>
            </w:r>
          </w:p>
          <w:p w:rsidR="00772514" w:rsidRPr="008A74BF" w:rsidRDefault="00772514" w:rsidP="00DB43D9">
            <w:pPr>
              <w:widowControl w:val="0"/>
              <w:spacing w:line="360" w:lineRule="auto"/>
              <w:jc w:val="center"/>
              <w:rPr>
                <w:b/>
                <w:bCs/>
                <w:i/>
                <w:iCs/>
                <w:lang w:eastAsia="fr-BE"/>
              </w:rPr>
            </w:pPr>
          </w:p>
        </w:tc>
        <w:tc>
          <w:tcPr>
            <w:tcW w:w="2651" w:type="dxa"/>
            <w:shd w:val="clear" w:color="auto" w:fill="auto"/>
          </w:tcPr>
          <w:p w:rsidR="00772514" w:rsidRPr="008A74BF" w:rsidRDefault="00772514" w:rsidP="00DB43D9">
            <w:pPr>
              <w:widowControl w:val="0"/>
              <w:spacing w:line="360" w:lineRule="auto"/>
              <w:jc w:val="center"/>
              <w:rPr>
                <w:b/>
                <w:bCs/>
                <w:i/>
                <w:iCs/>
                <w:lang w:eastAsia="fr-BE"/>
              </w:rPr>
            </w:pPr>
            <w:r w:rsidRPr="008A74BF">
              <w:rPr>
                <w:b/>
                <w:bCs/>
                <w:i/>
                <w:iCs/>
                <w:lang w:eastAsia="fr-BE"/>
              </w:rPr>
              <w:t>Capital subscription (EUR)</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Kingdom of Belgium</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243,244</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24,324,400,000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Federal Republic of Germany</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1,899,071</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189,907,100,000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Estonia</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13,020</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1,302,000,000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Ireland</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111,383</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11,138,300,000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Hellenic Republic</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197,044</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19,704,400,000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Kingdom of Spain</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832,743</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83,274,300,000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French Republic</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1,426,131</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142,613,100,000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Italian Republic</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1,253,184</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125,318,400,000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Cyprus</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13,729</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1,372,900,000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Latvia</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19,353</w:t>
            </w:r>
          </w:p>
        </w:tc>
        <w:tc>
          <w:tcPr>
            <w:tcW w:w="2651" w:type="dxa"/>
            <w:shd w:val="clear" w:color="auto" w:fill="auto"/>
          </w:tcPr>
          <w:p w:rsidR="00772514" w:rsidRPr="008A74BF" w:rsidRDefault="00772514" w:rsidP="00DB43D9">
            <w:pPr>
              <w:widowControl w:val="0"/>
              <w:tabs>
                <w:tab w:val="left" w:pos="216"/>
                <w:tab w:val="center" w:pos="1311"/>
              </w:tabs>
              <w:autoSpaceDE w:val="0"/>
              <w:autoSpaceDN w:val="0"/>
              <w:adjustRightInd w:val="0"/>
              <w:spacing w:line="360" w:lineRule="auto"/>
              <w:jc w:val="center"/>
              <w:rPr>
                <w:color w:val="000000"/>
                <w:lang w:eastAsia="fr-BE"/>
              </w:rPr>
            </w:pPr>
            <w:r w:rsidRPr="00425797">
              <w:t>1,935,300,000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Lithuania</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28,634</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2,863,400,000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Grand Duchy of Luxembourg</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17,519</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1,751,900,000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Malta</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6,338</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633,800,000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Kingdom of the Netherlands</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399,945</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39,994,500,000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Austria</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194,718</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19,471,800,000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Portuguese Republic</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175,534</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17,553,400,000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Slovenia</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32,973</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3,297,300,000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Slovak Republic</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57,680</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5,768,000,000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i/>
                <w:szCs w:val="20"/>
                <w:lang w:eastAsia="fr-BE"/>
              </w:rPr>
            </w:pPr>
            <w:r w:rsidRPr="008A74BF">
              <w:rPr>
                <w:i/>
                <w:szCs w:val="20"/>
                <w:lang w:eastAsia="fr-BE"/>
              </w:rPr>
              <w:t>Republic of Finland</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i/>
                <w:color w:val="000000"/>
                <w:lang w:eastAsia="fr-BE"/>
              </w:rPr>
            </w:pPr>
            <w:r w:rsidRPr="00517F29">
              <w:t>125,744</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color w:val="000000"/>
                <w:lang w:eastAsia="fr-BE"/>
              </w:rPr>
            </w:pPr>
            <w:r w:rsidRPr="00425797">
              <w:t>12,574,400,000</w:t>
            </w:r>
          </w:p>
        </w:tc>
      </w:tr>
      <w:tr w:rsidR="00772514" w:rsidRPr="008A74BF" w:rsidTr="00DB43D9">
        <w:tc>
          <w:tcPr>
            <w:tcW w:w="3111" w:type="dxa"/>
          </w:tcPr>
          <w:p w:rsidR="00772514" w:rsidRPr="008A74BF" w:rsidRDefault="00772514" w:rsidP="00DB43D9">
            <w:pPr>
              <w:widowControl w:val="0"/>
              <w:autoSpaceDE w:val="0"/>
              <w:autoSpaceDN w:val="0"/>
              <w:adjustRightInd w:val="0"/>
              <w:spacing w:line="360" w:lineRule="auto"/>
              <w:rPr>
                <w:b/>
                <w:i/>
                <w:szCs w:val="20"/>
                <w:lang w:eastAsia="fr-BE"/>
              </w:rPr>
            </w:pPr>
            <w:r w:rsidRPr="008A74BF">
              <w:rPr>
                <w:b/>
                <w:i/>
                <w:szCs w:val="20"/>
                <w:lang w:eastAsia="fr-BE"/>
              </w:rPr>
              <w:t>Total</w:t>
            </w:r>
          </w:p>
        </w:tc>
        <w:tc>
          <w:tcPr>
            <w:tcW w:w="2601" w:type="dxa"/>
            <w:shd w:val="clear" w:color="auto" w:fill="auto"/>
          </w:tcPr>
          <w:p w:rsidR="00772514" w:rsidRPr="008A74BF" w:rsidRDefault="00772514" w:rsidP="00DB43D9">
            <w:pPr>
              <w:widowControl w:val="0"/>
              <w:autoSpaceDE w:val="0"/>
              <w:autoSpaceDN w:val="0"/>
              <w:adjustRightInd w:val="0"/>
              <w:spacing w:line="360" w:lineRule="auto"/>
              <w:jc w:val="center"/>
              <w:rPr>
                <w:b/>
                <w:i/>
                <w:color w:val="000000"/>
                <w:lang w:eastAsia="fr-BE"/>
              </w:rPr>
            </w:pPr>
            <w:r w:rsidRPr="008A74BF">
              <w:rPr>
                <w:b/>
                <w:i/>
                <w:color w:val="000000"/>
                <w:lang w:eastAsia="fr-BE"/>
              </w:rPr>
              <w:t>7 047 987</w:t>
            </w:r>
          </w:p>
        </w:tc>
        <w:tc>
          <w:tcPr>
            <w:tcW w:w="2651" w:type="dxa"/>
            <w:shd w:val="clear" w:color="auto" w:fill="auto"/>
          </w:tcPr>
          <w:p w:rsidR="00772514" w:rsidRPr="008A74BF" w:rsidRDefault="00772514" w:rsidP="00DB43D9">
            <w:pPr>
              <w:widowControl w:val="0"/>
              <w:autoSpaceDE w:val="0"/>
              <w:autoSpaceDN w:val="0"/>
              <w:adjustRightInd w:val="0"/>
              <w:spacing w:line="360" w:lineRule="auto"/>
              <w:jc w:val="center"/>
              <w:rPr>
                <w:b/>
                <w:color w:val="000000"/>
                <w:lang w:eastAsia="fr-BE"/>
              </w:rPr>
            </w:pPr>
            <w:r w:rsidRPr="008A74BF">
              <w:rPr>
                <w:b/>
                <w:color w:val="000000"/>
                <w:lang w:eastAsia="fr-BE"/>
              </w:rPr>
              <w:t>704 798 700 000</w:t>
            </w:r>
          </w:p>
        </w:tc>
      </w:tr>
    </w:tbl>
    <w:p w:rsidR="00772514" w:rsidRPr="00DA73E2" w:rsidRDefault="00772514" w:rsidP="00772514">
      <w:pPr>
        <w:rPr>
          <w:rFonts w:cs="Arial"/>
          <w:b/>
          <w:szCs w:val="20"/>
          <w:u w:val="single"/>
        </w:rPr>
      </w:pPr>
    </w:p>
    <w:p w:rsidR="00772514" w:rsidRPr="00DA73E2" w:rsidRDefault="00772514" w:rsidP="00FC3B4F">
      <w:pPr>
        <w:spacing w:line="240" w:lineRule="auto"/>
        <w:rPr>
          <w:rFonts w:cs="Arial"/>
          <w:szCs w:val="20"/>
          <w:lang w:val="en-GB"/>
        </w:rPr>
      </w:pPr>
      <w:r w:rsidRPr="00DA73E2">
        <w:rPr>
          <w:rFonts w:cs="Arial"/>
          <w:szCs w:val="20"/>
          <w:lang w:val="en-GB"/>
        </w:rPr>
        <w:br w:type="page"/>
      </w:r>
    </w:p>
    <w:p w:rsidR="00772514" w:rsidRPr="00DA73E2" w:rsidRDefault="00772514" w:rsidP="00772514">
      <w:pPr>
        <w:widowControl w:val="0"/>
        <w:spacing w:line="360" w:lineRule="auto"/>
        <w:jc w:val="right"/>
        <w:outlineLvl w:val="0"/>
        <w:rPr>
          <w:rFonts w:cs="Arial"/>
          <w:b/>
          <w:szCs w:val="20"/>
          <w:u w:val="single"/>
          <w:lang w:eastAsia="fr-BE"/>
        </w:rPr>
      </w:pPr>
      <w:r w:rsidRPr="00DA73E2">
        <w:rPr>
          <w:rFonts w:cs="Arial"/>
          <w:b/>
          <w:szCs w:val="20"/>
          <w:u w:val="single"/>
          <w:lang w:eastAsia="fr-BE"/>
        </w:rPr>
        <w:lastRenderedPageBreak/>
        <w:t>PRILOGA I</w:t>
      </w:r>
    </w:p>
    <w:p w:rsidR="00772514" w:rsidRPr="00DA73E2" w:rsidRDefault="00772514" w:rsidP="00772514">
      <w:pPr>
        <w:widowControl w:val="0"/>
        <w:spacing w:line="360" w:lineRule="auto"/>
        <w:rPr>
          <w:rFonts w:cs="Arial"/>
          <w:szCs w:val="20"/>
          <w:lang w:val="sl-SI" w:eastAsia="fr-BE"/>
        </w:rPr>
      </w:pPr>
      <w:r w:rsidRPr="00735864">
        <w:rPr>
          <w:rFonts w:cs="Arial"/>
          <w:szCs w:val="20"/>
          <w:lang w:val="sl-SI" w:eastAsia="fr-BE"/>
        </w:rPr>
        <w:t xml:space="preserve">Velja od [1. januarja 2020], </w:t>
      </w:r>
      <w:r w:rsidRPr="008E490D">
        <w:rPr>
          <w:rFonts w:cs="Arial"/>
          <w:szCs w:val="20"/>
          <w:lang w:val="sl-SI" w:eastAsia="fr-BE"/>
        </w:rPr>
        <w:t>ko preneha veljati začasni popravek za Malto</w:t>
      </w:r>
      <w:r w:rsidRPr="00735864">
        <w:rPr>
          <w:rFonts w:cs="Arial"/>
          <w:szCs w:val="20"/>
          <w:lang w:val="sl-SI" w:eastAsia="fr-BE"/>
        </w:rPr>
        <w:t>.</w:t>
      </w:r>
    </w:p>
    <w:p w:rsidR="00772514" w:rsidRPr="00DA73E2" w:rsidRDefault="00772514" w:rsidP="00772514">
      <w:pPr>
        <w:widowControl w:val="0"/>
        <w:spacing w:line="360" w:lineRule="auto"/>
        <w:jc w:val="center"/>
        <w:outlineLvl w:val="0"/>
        <w:rPr>
          <w:rFonts w:cs="Arial"/>
          <w:szCs w:val="20"/>
          <w:lang w:val="sl-SI" w:eastAsia="fr-BE"/>
        </w:rPr>
      </w:pPr>
    </w:p>
    <w:p w:rsidR="00772514" w:rsidRPr="005835A6" w:rsidRDefault="00772514" w:rsidP="00772514">
      <w:pPr>
        <w:widowControl w:val="0"/>
        <w:spacing w:line="360" w:lineRule="auto"/>
        <w:jc w:val="center"/>
        <w:outlineLvl w:val="0"/>
        <w:rPr>
          <w:rFonts w:ascii="Times New Roman" w:hAnsi="Times New Roman"/>
          <w:sz w:val="24"/>
          <w:szCs w:val="20"/>
          <w:lang w:val="en-GB" w:eastAsia="en-GB"/>
        </w:rPr>
      </w:pPr>
      <w:r w:rsidRPr="005835A6">
        <w:rPr>
          <w:rFonts w:ascii="Times New Roman" w:hAnsi="Times New Roman"/>
          <w:sz w:val="24"/>
          <w:szCs w:val="20"/>
          <w:lang w:val="sl" w:eastAsia="en-GB"/>
        </w:rPr>
        <w:t>Razdelitveni ključ EMS</w:t>
      </w:r>
    </w:p>
    <w:p w:rsidR="00772514" w:rsidRPr="005835A6" w:rsidRDefault="00772514" w:rsidP="00772514">
      <w:pPr>
        <w:widowControl w:val="0"/>
        <w:spacing w:line="360" w:lineRule="auto"/>
        <w:rPr>
          <w:rFonts w:ascii="Times New Roman" w:hAnsi="Times New Roman"/>
          <w:sz w:val="24"/>
          <w:szCs w:val="20"/>
          <w:lang w:val="en-GB" w:eastAsia="en-GB"/>
        </w:rPr>
      </w:pPr>
    </w:p>
    <w:tbl>
      <w:tblPr>
        <w:tblW w:w="0" w:type="auto"/>
        <w:tblInd w:w="1428" w:type="dxa"/>
        <w:tblLook w:val="0000" w:firstRow="0" w:lastRow="0" w:firstColumn="0" w:lastColumn="0" w:noHBand="0" w:noVBand="0"/>
      </w:tblPr>
      <w:tblGrid>
        <w:gridCol w:w="3836"/>
        <w:gridCol w:w="2884"/>
      </w:tblGrid>
      <w:tr w:rsidR="00772514" w:rsidRPr="005835A6" w:rsidTr="00DB43D9">
        <w:tc>
          <w:tcPr>
            <w:tcW w:w="3836" w:type="dxa"/>
            <w:shd w:val="clear" w:color="auto" w:fill="auto"/>
          </w:tcPr>
          <w:p w:rsidR="00772514" w:rsidRPr="005835A6" w:rsidRDefault="00772514" w:rsidP="00DB43D9">
            <w:pPr>
              <w:widowControl w:val="0"/>
              <w:spacing w:line="360" w:lineRule="auto"/>
              <w:jc w:val="center"/>
              <w:rPr>
                <w:rFonts w:ascii="Times New Roman" w:hAnsi="Times New Roman"/>
                <w:b/>
                <w:bCs/>
                <w:i/>
                <w:iCs/>
                <w:sz w:val="24"/>
                <w:lang w:val="en-GB" w:eastAsia="en-GB"/>
              </w:rPr>
            </w:pPr>
            <w:r w:rsidRPr="005835A6">
              <w:rPr>
                <w:rFonts w:ascii="Times New Roman" w:hAnsi="Times New Roman"/>
                <w:b/>
                <w:bCs/>
                <w:i/>
                <w:iCs/>
                <w:sz w:val="24"/>
                <w:lang w:val="sl" w:eastAsia="en-GB"/>
              </w:rPr>
              <w:t>Članica EMS</w:t>
            </w:r>
          </w:p>
        </w:tc>
        <w:tc>
          <w:tcPr>
            <w:tcW w:w="2884" w:type="dxa"/>
            <w:shd w:val="clear" w:color="auto" w:fill="auto"/>
            <w:vAlign w:val="center"/>
          </w:tcPr>
          <w:p w:rsidR="00772514" w:rsidRPr="005835A6" w:rsidRDefault="00772514" w:rsidP="00DB43D9">
            <w:pPr>
              <w:widowControl w:val="0"/>
              <w:spacing w:line="360" w:lineRule="auto"/>
              <w:jc w:val="center"/>
              <w:rPr>
                <w:rFonts w:ascii="Times New Roman" w:hAnsi="Times New Roman"/>
                <w:b/>
                <w:bCs/>
                <w:i/>
                <w:iCs/>
                <w:sz w:val="24"/>
                <w:lang w:val="en-GB" w:eastAsia="en-GB"/>
              </w:rPr>
            </w:pPr>
            <w:r w:rsidRPr="005835A6">
              <w:rPr>
                <w:rFonts w:ascii="Times New Roman" w:hAnsi="Times New Roman"/>
                <w:b/>
                <w:bCs/>
                <w:i/>
                <w:iCs/>
                <w:sz w:val="24"/>
                <w:lang w:val="sl" w:eastAsia="en-GB"/>
              </w:rPr>
              <w:t>Ključ EMS (%)</w:t>
            </w:r>
          </w:p>
          <w:p w:rsidR="00772514" w:rsidRPr="005835A6" w:rsidRDefault="00772514" w:rsidP="00DB43D9">
            <w:pPr>
              <w:widowControl w:val="0"/>
              <w:spacing w:line="360" w:lineRule="auto"/>
              <w:jc w:val="center"/>
              <w:rPr>
                <w:rFonts w:ascii="Times New Roman" w:hAnsi="Times New Roman"/>
                <w:b/>
                <w:bCs/>
                <w:i/>
                <w:iCs/>
                <w:sz w:val="24"/>
                <w:lang w:val="en-GB" w:eastAsia="en-GB"/>
              </w:rPr>
            </w:pP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Kraljevina Belgija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sz w:val="24"/>
                <w:lang w:val="en-GB" w:eastAsia="en-GB"/>
              </w:rPr>
            </w:pPr>
            <w:r w:rsidRPr="005835A6">
              <w:rPr>
                <w:rFonts w:ascii="Times New Roman" w:hAnsi="Times New Roman"/>
                <w:i/>
                <w:iCs/>
                <w:sz w:val="24"/>
                <w:lang w:val="sl" w:eastAsia="en-GB"/>
              </w:rPr>
              <w:t>3,4513</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Zvezna republika Nemčija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sz w:val="24"/>
                <w:lang w:val="en-GB" w:eastAsia="en-GB"/>
              </w:rPr>
            </w:pPr>
            <w:r w:rsidRPr="005835A6">
              <w:rPr>
                <w:rFonts w:ascii="Times New Roman" w:hAnsi="Times New Roman"/>
                <w:i/>
                <w:iCs/>
                <w:sz w:val="24"/>
                <w:lang w:val="sl" w:eastAsia="en-GB"/>
              </w:rPr>
              <w:t>26,9449</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Republika Estonija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sz w:val="24"/>
                <w:lang w:val="en-GB" w:eastAsia="en-GB"/>
              </w:rPr>
            </w:pPr>
            <w:r w:rsidRPr="005835A6">
              <w:rPr>
                <w:rFonts w:ascii="Times New Roman" w:hAnsi="Times New Roman"/>
                <w:i/>
                <w:iCs/>
                <w:sz w:val="24"/>
                <w:lang w:val="sl" w:eastAsia="en-GB"/>
              </w:rPr>
              <w:t>0,1847</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Irska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sz w:val="24"/>
                <w:lang w:val="en-GB" w:eastAsia="en-GB"/>
              </w:rPr>
            </w:pPr>
            <w:r w:rsidRPr="005835A6">
              <w:rPr>
                <w:rFonts w:ascii="Times New Roman" w:hAnsi="Times New Roman"/>
                <w:i/>
                <w:iCs/>
                <w:sz w:val="24"/>
                <w:lang w:val="sl" w:eastAsia="en-GB"/>
              </w:rPr>
              <w:t>1,5804</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Helenska republika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sz w:val="24"/>
                <w:lang w:val="en-GB" w:eastAsia="en-GB"/>
              </w:rPr>
            </w:pPr>
            <w:r w:rsidRPr="005835A6">
              <w:rPr>
                <w:rFonts w:ascii="Times New Roman" w:hAnsi="Times New Roman"/>
                <w:i/>
                <w:iCs/>
                <w:sz w:val="24"/>
                <w:lang w:val="sl" w:eastAsia="en-GB"/>
              </w:rPr>
              <w:t>2,7957</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Kraljevina Španija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11,8153</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Francoska Republika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20,2346</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Italijanska Republika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17,7807</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Republika Ciper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0,1948</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Republika Latvija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0,2746</w:t>
            </w:r>
          </w:p>
        </w:tc>
      </w:tr>
      <w:tr w:rsidR="00772514" w:rsidRPr="005835A6" w:rsidTr="00DB43D9">
        <w:tc>
          <w:tcPr>
            <w:tcW w:w="3836" w:type="dxa"/>
            <w:shd w:val="clear" w:color="auto" w:fill="auto"/>
            <w:noWrap/>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Litva</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0,4063</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Veliko vojvodstvo Luksemburg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0,2486</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Malta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0,0899</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Kraljevina Nizozemska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5,6746</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Republika Avstrija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2,7627</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Portugalska republika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2,4906</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Republika Slovenija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0,4678</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Slovaška republika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0,8184</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sz w:val="24"/>
                <w:lang w:val="en-GB" w:eastAsia="en-GB"/>
              </w:rPr>
            </w:pPr>
            <w:r w:rsidRPr="005835A6">
              <w:rPr>
                <w:rFonts w:ascii="Times New Roman" w:hAnsi="Times New Roman"/>
                <w:i/>
                <w:iCs/>
                <w:sz w:val="24"/>
                <w:lang w:val="sl" w:eastAsia="en-GB"/>
              </w:rPr>
              <w:t xml:space="preserve">Republika Finska </w:t>
            </w:r>
          </w:p>
        </w:tc>
        <w:tc>
          <w:tcPr>
            <w:tcW w:w="2884" w:type="dxa"/>
            <w:shd w:val="clear" w:color="auto" w:fill="auto"/>
            <w:noWrap/>
          </w:tcPr>
          <w:p w:rsidR="00772514" w:rsidRPr="005835A6" w:rsidRDefault="00772514" w:rsidP="00DB43D9">
            <w:pPr>
              <w:widowControl w:val="0"/>
              <w:tabs>
                <w:tab w:val="decimal" w:pos="1096"/>
              </w:tabs>
              <w:spacing w:line="360" w:lineRule="auto"/>
              <w:jc w:val="both"/>
              <w:rPr>
                <w:rFonts w:ascii="Times New Roman" w:hAnsi="Times New Roman"/>
                <w:i/>
                <w:iCs/>
                <w:sz w:val="24"/>
                <w:lang w:val="en-GB" w:eastAsia="en-GB"/>
              </w:rPr>
            </w:pPr>
            <w:r w:rsidRPr="005835A6">
              <w:rPr>
                <w:rFonts w:ascii="Times New Roman" w:hAnsi="Times New Roman"/>
                <w:i/>
                <w:iCs/>
                <w:sz w:val="24"/>
                <w:lang w:val="sl" w:eastAsia="en-GB"/>
              </w:rPr>
              <w:t>1,7841</w:t>
            </w:r>
          </w:p>
        </w:tc>
      </w:tr>
      <w:tr w:rsidR="00772514" w:rsidRPr="005835A6" w:rsidTr="00DB43D9">
        <w:tc>
          <w:tcPr>
            <w:tcW w:w="3836" w:type="dxa"/>
            <w:shd w:val="clear" w:color="auto" w:fill="auto"/>
            <w:noWrap/>
          </w:tcPr>
          <w:p w:rsidR="00772514" w:rsidRPr="005835A6" w:rsidRDefault="00772514" w:rsidP="00DB43D9">
            <w:pPr>
              <w:widowControl w:val="0"/>
              <w:spacing w:line="360" w:lineRule="auto"/>
              <w:rPr>
                <w:rFonts w:ascii="Times New Roman" w:hAnsi="Times New Roman"/>
                <w:b/>
                <w:bCs/>
                <w:i/>
                <w:iCs/>
                <w:sz w:val="24"/>
                <w:lang w:val="en-GB" w:eastAsia="en-GB"/>
              </w:rPr>
            </w:pPr>
            <w:r w:rsidRPr="005835A6">
              <w:rPr>
                <w:rFonts w:ascii="Times New Roman" w:hAnsi="Times New Roman"/>
                <w:b/>
                <w:bCs/>
                <w:i/>
                <w:iCs/>
                <w:sz w:val="24"/>
                <w:lang w:val="sl" w:eastAsia="en-GB"/>
              </w:rPr>
              <w:t>Skupno</w:t>
            </w:r>
          </w:p>
        </w:tc>
        <w:tc>
          <w:tcPr>
            <w:tcW w:w="2884" w:type="dxa"/>
            <w:shd w:val="clear" w:color="auto" w:fill="auto"/>
            <w:noWrap/>
            <w:vAlign w:val="center"/>
          </w:tcPr>
          <w:p w:rsidR="00772514" w:rsidRPr="005835A6" w:rsidRDefault="00772514" w:rsidP="00DB43D9">
            <w:pPr>
              <w:widowControl w:val="0"/>
              <w:tabs>
                <w:tab w:val="decimal" w:pos="1096"/>
              </w:tabs>
              <w:spacing w:line="360" w:lineRule="auto"/>
              <w:jc w:val="both"/>
              <w:rPr>
                <w:rFonts w:ascii="Times New Roman" w:hAnsi="Times New Roman"/>
                <w:b/>
                <w:bCs/>
                <w:i/>
                <w:iCs/>
                <w:sz w:val="24"/>
                <w:lang w:val="en-GB" w:eastAsia="en-GB"/>
              </w:rPr>
            </w:pPr>
            <w:r w:rsidRPr="005835A6">
              <w:rPr>
                <w:rFonts w:ascii="Times New Roman" w:hAnsi="Times New Roman"/>
                <w:b/>
                <w:bCs/>
                <w:i/>
                <w:iCs/>
                <w:sz w:val="24"/>
                <w:lang w:val="sl" w:eastAsia="en-GB"/>
              </w:rPr>
              <w:t>100,0</w:t>
            </w:r>
          </w:p>
        </w:tc>
      </w:tr>
    </w:tbl>
    <w:p w:rsidR="00772514" w:rsidRPr="005835A6" w:rsidRDefault="00772514" w:rsidP="00772514">
      <w:pPr>
        <w:widowControl w:val="0"/>
        <w:spacing w:line="360" w:lineRule="auto"/>
        <w:rPr>
          <w:rFonts w:ascii="Times New Roman" w:hAnsi="Times New Roman"/>
          <w:sz w:val="24"/>
          <w:lang w:val="en-GB" w:eastAsia="en-GB"/>
        </w:rPr>
      </w:pPr>
    </w:p>
    <w:p w:rsidR="00772514" w:rsidRPr="005835A6" w:rsidRDefault="00772514" w:rsidP="00772514">
      <w:pPr>
        <w:widowControl w:val="0"/>
        <w:spacing w:line="360" w:lineRule="auto"/>
        <w:ind w:left="1134"/>
        <w:jc w:val="center"/>
        <w:rPr>
          <w:rFonts w:ascii="Times New Roman" w:hAnsi="Times New Roman"/>
          <w:sz w:val="24"/>
          <w:lang w:val="en-GB" w:eastAsia="en-GB"/>
        </w:rPr>
      </w:pPr>
      <w:r w:rsidRPr="005835A6">
        <w:rPr>
          <w:rFonts w:ascii="Times New Roman" w:hAnsi="Times New Roman"/>
          <w:sz w:val="24"/>
          <w:lang w:val="sl" w:eastAsia="en-GB"/>
        </w:rPr>
        <w:t>Zgornja števila so zaokrožena na štiri decimalke.</w:t>
      </w:r>
    </w:p>
    <w:p w:rsidR="00772514" w:rsidRPr="00DA73E2" w:rsidRDefault="00772514" w:rsidP="00772514">
      <w:pPr>
        <w:widowControl w:val="0"/>
        <w:spacing w:line="360" w:lineRule="auto"/>
        <w:ind w:left="1134"/>
        <w:jc w:val="center"/>
        <w:rPr>
          <w:rFonts w:cs="Arial"/>
          <w:szCs w:val="20"/>
          <w:lang w:val="sl-SI" w:eastAsia="fr-BE"/>
        </w:rPr>
      </w:pPr>
    </w:p>
    <w:p w:rsidR="00772514" w:rsidRPr="00DA73E2" w:rsidRDefault="00772514" w:rsidP="00FC3B4F">
      <w:pPr>
        <w:spacing w:line="240" w:lineRule="auto"/>
        <w:rPr>
          <w:rFonts w:cs="Arial"/>
          <w:szCs w:val="20"/>
          <w:lang w:val="sl-SI" w:eastAsia="fr-BE"/>
        </w:rPr>
      </w:pPr>
      <w:r w:rsidRPr="00DA73E2">
        <w:rPr>
          <w:rFonts w:cs="Arial"/>
          <w:szCs w:val="20"/>
          <w:lang w:val="sl-SI" w:eastAsia="fr-BE"/>
        </w:rPr>
        <w:br w:type="page"/>
      </w:r>
    </w:p>
    <w:p w:rsidR="00772514" w:rsidRPr="00DA73E2" w:rsidRDefault="00772514" w:rsidP="00772514">
      <w:pPr>
        <w:spacing w:after="160" w:line="259" w:lineRule="auto"/>
        <w:jc w:val="right"/>
        <w:rPr>
          <w:rFonts w:cs="Arial"/>
          <w:b/>
          <w:szCs w:val="20"/>
          <w:u w:val="single"/>
          <w:lang w:val="sl-SI" w:eastAsia="fr-BE"/>
        </w:rPr>
      </w:pPr>
      <w:r w:rsidRPr="00DA73E2">
        <w:rPr>
          <w:rFonts w:cs="Arial"/>
          <w:b/>
          <w:szCs w:val="20"/>
          <w:u w:val="single"/>
          <w:lang w:val="sl-SI" w:eastAsia="fr-BE"/>
        </w:rPr>
        <w:lastRenderedPageBreak/>
        <w:t>PRILOGA II</w:t>
      </w:r>
    </w:p>
    <w:p w:rsidR="00772514" w:rsidRPr="005835A6" w:rsidRDefault="00772514" w:rsidP="00772514">
      <w:pPr>
        <w:widowControl w:val="0"/>
        <w:spacing w:line="360" w:lineRule="auto"/>
        <w:rPr>
          <w:rFonts w:ascii="Times New Roman" w:hAnsi="Times New Roman"/>
          <w:sz w:val="24"/>
          <w:szCs w:val="20"/>
          <w:lang w:val="en-GB" w:eastAsia="en-GB"/>
        </w:rPr>
      </w:pPr>
      <w:r w:rsidRPr="005835A6">
        <w:rPr>
          <w:rFonts w:ascii="Times New Roman" w:hAnsi="Times New Roman"/>
          <w:sz w:val="24"/>
          <w:szCs w:val="20"/>
          <w:lang w:val="sl" w:eastAsia="en-GB"/>
        </w:rPr>
        <w:t>Velja od [1. januarja 2020], ko preneha veljati začasni popravek za Malto.</w:t>
      </w:r>
    </w:p>
    <w:p w:rsidR="00772514" w:rsidRPr="005835A6" w:rsidRDefault="00772514" w:rsidP="00772514">
      <w:pPr>
        <w:widowControl w:val="0"/>
        <w:spacing w:line="360" w:lineRule="auto"/>
        <w:rPr>
          <w:rFonts w:ascii="Times New Roman" w:hAnsi="Times New Roman"/>
          <w:sz w:val="24"/>
          <w:szCs w:val="20"/>
          <w:lang w:val="en-GB" w:eastAsia="en-GB"/>
        </w:rPr>
      </w:pPr>
    </w:p>
    <w:p w:rsidR="00772514" w:rsidRPr="005835A6" w:rsidRDefault="00772514" w:rsidP="00772514">
      <w:pPr>
        <w:widowControl w:val="0"/>
        <w:spacing w:line="360" w:lineRule="auto"/>
        <w:jc w:val="center"/>
        <w:outlineLvl w:val="0"/>
        <w:rPr>
          <w:rFonts w:ascii="Times New Roman" w:hAnsi="Times New Roman"/>
          <w:sz w:val="24"/>
          <w:szCs w:val="20"/>
          <w:lang w:val="en-GB" w:eastAsia="en-GB"/>
        </w:rPr>
      </w:pPr>
      <w:r w:rsidRPr="005835A6">
        <w:rPr>
          <w:rFonts w:ascii="Times New Roman" w:hAnsi="Times New Roman"/>
          <w:sz w:val="24"/>
          <w:szCs w:val="20"/>
          <w:lang w:val="sl" w:eastAsia="en-GB"/>
        </w:rPr>
        <w:t>Vpisi odobrenega delniškega kapitala</w:t>
      </w:r>
    </w:p>
    <w:p w:rsidR="00772514" w:rsidRPr="005835A6" w:rsidRDefault="00772514" w:rsidP="00772514">
      <w:pPr>
        <w:widowControl w:val="0"/>
        <w:spacing w:line="360" w:lineRule="auto"/>
        <w:rPr>
          <w:rFonts w:ascii="Times New Roman" w:hAnsi="Times New Roman"/>
          <w:sz w:val="24"/>
          <w:szCs w:val="20"/>
          <w:lang w:val="en-GB" w:eastAsia="en-GB"/>
        </w:rPr>
      </w:pPr>
    </w:p>
    <w:tbl>
      <w:tblPr>
        <w:tblW w:w="0" w:type="auto"/>
        <w:tblLook w:val="01E0" w:firstRow="1" w:lastRow="1" w:firstColumn="1" w:lastColumn="1" w:noHBand="0" w:noVBand="0"/>
      </w:tblPr>
      <w:tblGrid>
        <w:gridCol w:w="3111"/>
        <w:gridCol w:w="2601"/>
        <w:gridCol w:w="2651"/>
      </w:tblGrid>
      <w:tr w:rsidR="00772514" w:rsidRPr="005835A6" w:rsidTr="00DB43D9">
        <w:tc>
          <w:tcPr>
            <w:tcW w:w="3111" w:type="dxa"/>
            <w:shd w:val="clear" w:color="auto" w:fill="auto"/>
          </w:tcPr>
          <w:p w:rsidR="00772514" w:rsidRPr="005835A6" w:rsidRDefault="00772514" w:rsidP="00DB43D9">
            <w:pPr>
              <w:widowControl w:val="0"/>
              <w:spacing w:line="360" w:lineRule="auto"/>
              <w:jc w:val="center"/>
              <w:rPr>
                <w:rFonts w:ascii="Times New Roman" w:hAnsi="Times New Roman"/>
                <w:b/>
                <w:bCs/>
                <w:i/>
                <w:iCs/>
                <w:sz w:val="24"/>
                <w:lang w:val="en-GB" w:eastAsia="en-GB"/>
              </w:rPr>
            </w:pPr>
            <w:r w:rsidRPr="005835A6">
              <w:rPr>
                <w:rFonts w:ascii="Times New Roman" w:hAnsi="Times New Roman"/>
                <w:b/>
                <w:bCs/>
                <w:i/>
                <w:iCs/>
                <w:sz w:val="24"/>
                <w:lang w:val="sl" w:eastAsia="en-GB"/>
              </w:rPr>
              <w:t>Članica EMS</w:t>
            </w:r>
          </w:p>
          <w:p w:rsidR="00772514" w:rsidRPr="005835A6" w:rsidRDefault="00772514" w:rsidP="00DB43D9">
            <w:pPr>
              <w:widowControl w:val="0"/>
              <w:spacing w:line="360" w:lineRule="auto"/>
              <w:jc w:val="center"/>
              <w:rPr>
                <w:rFonts w:ascii="Times New Roman" w:hAnsi="Times New Roman"/>
                <w:b/>
                <w:bCs/>
                <w:i/>
                <w:iCs/>
                <w:sz w:val="24"/>
                <w:lang w:val="en-GB" w:eastAsia="en-GB"/>
              </w:rPr>
            </w:pPr>
          </w:p>
        </w:tc>
        <w:tc>
          <w:tcPr>
            <w:tcW w:w="2601" w:type="dxa"/>
            <w:shd w:val="clear" w:color="auto" w:fill="auto"/>
          </w:tcPr>
          <w:p w:rsidR="00772514" w:rsidRPr="005835A6" w:rsidRDefault="00772514" w:rsidP="00DB43D9">
            <w:pPr>
              <w:widowControl w:val="0"/>
              <w:spacing w:line="360" w:lineRule="auto"/>
              <w:jc w:val="center"/>
              <w:rPr>
                <w:rFonts w:ascii="Times New Roman" w:hAnsi="Times New Roman"/>
                <w:b/>
                <w:bCs/>
                <w:i/>
                <w:iCs/>
                <w:sz w:val="24"/>
                <w:lang w:val="en-GB" w:eastAsia="en-GB"/>
              </w:rPr>
            </w:pPr>
            <w:r w:rsidRPr="005835A6">
              <w:rPr>
                <w:rFonts w:ascii="Times New Roman" w:hAnsi="Times New Roman"/>
                <w:b/>
                <w:bCs/>
                <w:i/>
                <w:iCs/>
                <w:sz w:val="24"/>
                <w:lang w:val="sl" w:eastAsia="en-GB"/>
              </w:rPr>
              <w:t>Število delnic</w:t>
            </w:r>
          </w:p>
          <w:p w:rsidR="00772514" w:rsidRPr="005835A6" w:rsidRDefault="00772514" w:rsidP="00DB43D9">
            <w:pPr>
              <w:widowControl w:val="0"/>
              <w:spacing w:line="360" w:lineRule="auto"/>
              <w:jc w:val="center"/>
              <w:rPr>
                <w:rFonts w:ascii="Times New Roman" w:hAnsi="Times New Roman"/>
                <w:b/>
                <w:bCs/>
                <w:i/>
                <w:iCs/>
                <w:sz w:val="24"/>
                <w:lang w:val="en-GB" w:eastAsia="en-GB"/>
              </w:rPr>
            </w:pPr>
          </w:p>
        </w:tc>
        <w:tc>
          <w:tcPr>
            <w:tcW w:w="2651" w:type="dxa"/>
            <w:shd w:val="clear" w:color="auto" w:fill="auto"/>
          </w:tcPr>
          <w:p w:rsidR="00772514" w:rsidRPr="005835A6" w:rsidRDefault="00772514" w:rsidP="00DB43D9">
            <w:pPr>
              <w:widowControl w:val="0"/>
              <w:spacing w:line="360" w:lineRule="auto"/>
              <w:jc w:val="center"/>
              <w:rPr>
                <w:rFonts w:ascii="Times New Roman" w:hAnsi="Times New Roman"/>
                <w:b/>
                <w:bCs/>
                <w:i/>
                <w:iCs/>
                <w:sz w:val="24"/>
                <w:lang w:val="en-GB" w:eastAsia="en-GB"/>
              </w:rPr>
            </w:pPr>
            <w:r w:rsidRPr="005835A6">
              <w:rPr>
                <w:rFonts w:ascii="Times New Roman" w:hAnsi="Times New Roman"/>
                <w:b/>
                <w:bCs/>
                <w:i/>
                <w:iCs/>
                <w:sz w:val="24"/>
                <w:lang w:val="sl" w:eastAsia="en-GB"/>
              </w:rPr>
              <w:t>Vpisan kapital (EUR)</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Kraljevina Belgija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243 244</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24 324 400 000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Zvezna republika Nemčija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1 899 071</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189 907 100 000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Estonija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13 020</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1 302 000 000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Irska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111 383</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11 138 300 000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Helenska republika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197 044</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19 704 400 000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Kraljevina Španija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832 743</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83 274 300 000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Francoska Republika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1 426 131</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142 613 100 000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Italijanska Republika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1 253 184</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125 318 400 000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Ciper</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13 729</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1 372 900 000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Latvija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19 353</w:t>
            </w:r>
          </w:p>
        </w:tc>
        <w:tc>
          <w:tcPr>
            <w:tcW w:w="2651" w:type="dxa"/>
            <w:shd w:val="clear" w:color="auto" w:fill="auto"/>
          </w:tcPr>
          <w:p w:rsidR="00772514" w:rsidRPr="005835A6" w:rsidRDefault="00772514" w:rsidP="00DB43D9">
            <w:pPr>
              <w:widowControl w:val="0"/>
              <w:tabs>
                <w:tab w:val="left" w:pos="216"/>
                <w:tab w:val="center" w:pos="1311"/>
              </w:tabs>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1 935 300 000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Litva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28 634</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2 863 400 000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Veliko vojvodstvo Luksemburg</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17 519</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1 751 900 000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Malta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6 338</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633 800 000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Kraljevina Nizozemska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399 945</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39 994 500 000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Avstrija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194 718</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19 471 800 000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Portugalska republika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175 534</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17 553 400 000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Slovenija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32 973</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3 297 300 000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Slovaška republika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57 680</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5 768 000 000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i/>
                <w:sz w:val="24"/>
                <w:szCs w:val="20"/>
                <w:lang w:val="en-GB" w:eastAsia="en-GB"/>
              </w:rPr>
            </w:pPr>
            <w:r w:rsidRPr="005835A6">
              <w:rPr>
                <w:rFonts w:ascii="Times New Roman" w:hAnsi="Times New Roman"/>
                <w:i/>
                <w:iCs/>
                <w:sz w:val="24"/>
                <w:szCs w:val="20"/>
                <w:lang w:val="sl" w:eastAsia="en-GB"/>
              </w:rPr>
              <w:t>Republika Finska</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i/>
                <w:color w:val="000000"/>
                <w:sz w:val="24"/>
                <w:lang w:val="en-GB" w:eastAsia="en-GB"/>
              </w:rPr>
            </w:pPr>
            <w:r w:rsidRPr="005835A6">
              <w:rPr>
                <w:rFonts w:ascii="Times New Roman" w:hAnsi="Times New Roman"/>
                <w:sz w:val="24"/>
                <w:lang w:val="sl" w:eastAsia="en-GB"/>
              </w:rPr>
              <w:t>125 744</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color w:val="000000"/>
                <w:sz w:val="24"/>
                <w:lang w:val="en-GB" w:eastAsia="en-GB"/>
              </w:rPr>
            </w:pPr>
            <w:r w:rsidRPr="005835A6">
              <w:rPr>
                <w:rFonts w:ascii="Times New Roman" w:hAnsi="Times New Roman"/>
                <w:sz w:val="24"/>
                <w:lang w:val="sl" w:eastAsia="en-GB"/>
              </w:rPr>
              <w:t>12 574 400 000</w:t>
            </w:r>
          </w:p>
        </w:tc>
      </w:tr>
      <w:tr w:rsidR="00772514" w:rsidRPr="005835A6" w:rsidTr="00DB43D9">
        <w:tc>
          <w:tcPr>
            <w:tcW w:w="3111" w:type="dxa"/>
          </w:tcPr>
          <w:p w:rsidR="00772514" w:rsidRPr="005835A6" w:rsidRDefault="00772514" w:rsidP="00DB43D9">
            <w:pPr>
              <w:widowControl w:val="0"/>
              <w:autoSpaceDE w:val="0"/>
              <w:autoSpaceDN w:val="0"/>
              <w:adjustRightInd w:val="0"/>
              <w:spacing w:line="360" w:lineRule="auto"/>
              <w:rPr>
                <w:rFonts w:ascii="Times New Roman" w:hAnsi="Times New Roman"/>
                <w:b/>
                <w:i/>
                <w:sz w:val="24"/>
                <w:szCs w:val="20"/>
                <w:lang w:val="en-GB" w:eastAsia="en-GB"/>
              </w:rPr>
            </w:pPr>
            <w:r w:rsidRPr="005835A6">
              <w:rPr>
                <w:rFonts w:ascii="Times New Roman" w:hAnsi="Times New Roman"/>
                <w:b/>
                <w:bCs/>
                <w:i/>
                <w:iCs/>
                <w:sz w:val="24"/>
                <w:szCs w:val="20"/>
                <w:lang w:val="sl" w:eastAsia="en-GB"/>
              </w:rPr>
              <w:t>Skupno</w:t>
            </w:r>
          </w:p>
        </w:tc>
        <w:tc>
          <w:tcPr>
            <w:tcW w:w="260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b/>
                <w:i/>
                <w:color w:val="000000"/>
                <w:sz w:val="24"/>
                <w:lang w:val="en-GB" w:eastAsia="en-GB"/>
              </w:rPr>
            </w:pPr>
            <w:r w:rsidRPr="005835A6">
              <w:rPr>
                <w:rFonts w:ascii="Times New Roman" w:hAnsi="Times New Roman"/>
                <w:b/>
                <w:bCs/>
                <w:i/>
                <w:iCs/>
                <w:color w:val="000000"/>
                <w:sz w:val="24"/>
                <w:lang w:val="sl" w:eastAsia="en-GB"/>
              </w:rPr>
              <w:t>7 047 987</w:t>
            </w:r>
          </w:p>
        </w:tc>
        <w:tc>
          <w:tcPr>
            <w:tcW w:w="2651" w:type="dxa"/>
            <w:shd w:val="clear" w:color="auto" w:fill="auto"/>
          </w:tcPr>
          <w:p w:rsidR="00772514" w:rsidRPr="005835A6" w:rsidRDefault="00772514" w:rsidP="00DB43D9">
            <w:pPr>
              <w:widowControl w:val="0"/>
              <w:autoSpaceDE w:val="0"/>
              <w:autoSpaceDN w:val="0"/>
              <w:adjustRightInd w:val="0"/>
              <w:spacing w:line="360" w:lineRule="auto"/>
              <w:jc w:val="center"/>
              <w:rPr>
                <w:rFonts w:ascii="Times New Roman" w:hAnsi="Times New Roman"/>
                <w:b/>
                <w:color w:val="000000"/>
                <w:sz w:val="24"/>
                <w:lang w:val="en-GB" w:eastAsia="en-GB"/>
              </w:rPr>
            </w:pPr>
            <w:r w:rsidRPr="005835A6">
              <w:rPr>
                <w:rFonts w:ascii="Times New Roman" w:hAnsi="Times New Roman"/>
                <w:b/>
                <w:bCs/>
                <w:color w:val="000000"/>
                <w:sz w:val="24"/>
                <w:lang w:val="sl" w:eastAsia="en-GB"/>
              </w:rPr>
              <w:t>704 798 700 000</w:t>
            </w:r>
          </w:p>
        </w:tc>
      </w:tr>
    </w:tbl>
    <w:p w:rsidR="00772514" w:rsidRPr="00DA73E2" w:rsidRDefault="00772514" w:rsidP="00772514">
      <w:pPr>
        <w:rPr>
          <w:rFonts w:cs="Arial"/>
          <w:b/>
          <w:szCs w:val="20"/>
          <w:u w:val="single"/>
          <w:lang w:val="sl-SI"/>
        </w:rPr>
      </w:pPr>
    </w:p>
    <w:p w:rsidR="00B208AB" w:rsidRDefault="00772514" w:rsidP="00FC3B4F">
      <w:pPr>
        <w:jc w:val="center"/>
        <w:rPr>
          <w:rFonts w:cs="Arial"/>
          <w:szCs w:val="20"/>
          <w:lang w:val="sl-SI"/>
        </w:rPr>
      </w:pPr>
      <w:r w:rsidRPr="00DA73E2">
        <w:rPr>
          <w:rFonts w:cs="Arial"/>
          <w:b/>
          <w:szCs w:val="20"/>
          <w:u w:val="single"/>
          <w:lang w:val="sl-SI"/>
        </w:rPr>
        <w:br w:type="page"/>
      </w:r>
    </w:p>
    <w:p w:rsidR="00B208AB" w:rsidRDefault="00B208AB" w:rsidP="00B208AB">
      <w:pPr>
        <w:jc w:val="center"/>
        <w:rPr>
          <w:rFonts w:cs="Arial"/>
          <w:szCs w:val="20"/>
          <w:lang w:val="sl-SI"/>
        </w:rPr>
      </w:pPr>
    </w:p>
    <w:p w:rsidR="00B208AB" w:rsidRPr="004816B9" w:rsidRDefault="00B208AB" w:rsidP="00B208AB">
      <w:pPr>
        <w:jc w:val="cente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 xml:space="preserve">3. člen </w:t>
      </w:r>
    </w:p>
    <w:p w:rsidR="00B208AB" w:rsidRPr="004816B9" w:rsidRDefault="00B208AB" w:rsidP="00B208AB">
      <w:pPr>
        <w:jc w:val="center"/>
        <w:rPr>
          <w:rFonts w:cs="Arial"/>
          <w:szCs w:val="20"/>
          <w:lang w:val="sl-SI"/>
        </w:rPr>
      </w:pPr>
    </w:p>
    <w:p w:rsidR="00B208AB" w:rsidRPr="004816B9" w:rsidRDefault="00B208AB" w:rsidP="00B208AB">
      <w:pPr>
        <w:pStyle w:val="PlainText"/>
        <w:jc w:val="both"/>
        <w:outlineLvl w:val="0"/>
        <w:rPr>
          <w:rFonts w:ascii="Arial" w:hAnsi="Arial" w:cs="Arial"/>
        </w:rPr>
      </w:pPr>
      <w:r w:rsidRPr="004816B9">
        <w:rPr>
          <w:rFonts w:ascii="Arial" w:hAnsi="Arial" w:cs="Arial"/>
          <w:bCs/>
        </w:rPr>
        <w:t xml:space="preserve">Za izvajanje </w:t>
      </w:r>
      <w:r w:rsidR="00772514">
        <w:rPr>
          <w:rFonts w:ascii="Arial" w:hAnsi="Arial" w:cs="Arial"/>
          <w:bCs/>
          <w:lang w:val="sl-SI"/>
        </w:rPr>
        <w:t xml:space="preserve">spremenjenih </w:t>
      </w:r>
      <w:r w:rsidR="00772514">
        <w:rPr>
          <w:rFonts w:ascii="Arial" w:hAnsi="Arial" w:cs="Arial"/>
          <w:bCs/>
        </w:rPr>
        <w:t>Prilog</w:t>
      </w:r>
      <w:r w:rsidR="00772514">
        <w:rPr>
          <w:rFonts w:ascii="Arial" w:hAnsi="Arial" w:cs="Arial"/>
          <w:bCs/>
          <w:lang w:val="sl-SI"/>
        </w:rPr>
        <w:t xml:space="preserve"> I in II </w:t>
      </w:r>
      <w:r w:rsidRPr="004816B9">
        <w:rPr>
          <w:rFonts w:ascii="Arial" w:hAnsi="Arial" w:cs="Arial"/>
          <w:bCs/>
        </w:rPr>
        <w:t xml:space="preserve">skrbi ministrstvo, pristojno za </w:t>
      </w:r>
      <w:r w:rsidR="00772514">
        <w:rPr>
          <w:rFonts w:ascii="Arial" w:hAnsi="Arial" w:cs="Arial"/>
          <w:bCs/>
          <w:lang w:val="sl-SI"/>
        </w:rPr>
        <w:t>finance</w:t>
      </w:r>
      <w:r w:rsidRPr="004816B9">
        <w:rPr>
          <w:rFonts w:ascii="Arial" w:hAnsi="Arial" w:cs="Arial"/>
        </w:rPr>
        <w:t>.</w:t>
      </w: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4. člen</w:t>
      </w:r>
    </w:p>
    <w:p w:rsidR="00B208AB" w:rsidRPr="004816B9" w:rsidRDefault="00B208AB" w:rsidP="00B208AB">
      <w:pPr>
        <w:jc w:val="both"/>
        <w:rPr>
          <w:rFonts w:cs="Arial"/>
          <w:szCs w:val="20"/>
          <w:lang w:val="sl-SI"/>
        </w:rPr>
      </w:pPr>
    </w:p>
    <w:p w:rsidR="00B208AB" w:rsidRPr="004816B9" w:rsidRDefault="00B208AB" w:rsidP="00B208AB">
      <w:pPr>
        <w:jc w:val="both"/>
        <w:rPr>
          <w:rFonts w:cs="Arial"/>
          <w:szCs w:val="20"/>
          <w:lang w:val="sl-SI"/>
        </w:rPr>
      </w:pPr>
      <w:r w:rsidRPr="004816B9">
        <w:rPr>
          <w:rFonts w:cs="Arial"/>
          <w:szCs w:val="20"/>
          <w:lang w:val="sl-SI"/>
        </w:rPr>
        <w:t xml:space="preserve">Ta </w:t>
      </w:r>
      <w:r>
        <w:rPr>
          <w:rFonts w:cs="Arial"/>
          <w:szCs w:val="20"/>
          <w:lang w:val="sl-SI"/>
        </w:rPr>
        <w:t>uredba</w:t>
      </w:r>
      <w:r w:rsidRPr="004816B9">
        <w:rPr>
          <w:rFonts w:cs="Arial"/>
          <w:szCs w:val="20"/>
          <w:lang w:val="sl-SI"/>
        </w:rPr>
        <w:t xml:space="preserve"> začne veljati naslednji dan po objavi v Ura</w:t>
      </w:r>
      <w:r w:rsidR="00AF2AF4">
        <w:rPr>
          <w:rFonts w:cs="Arial"/>
          <w:szCs w:val="20"/>
          <w:lang w:val="sl-SI"/>
        </w:rPr>
        <w:t xml:space="preserve">dnem listu Republike Slovenije – </w:t>
      </w:r>
      <w:r w:rsidRPr="004816B9">
        <w:rPr>
          <w:rFonts w:cs="Arial"/>
          <w:szCs w:val="20"/>
          <w:lang w:val="sl-SI"/>
        </w:rPr>
        <w:t>Mednarodne pogodbe.</w:t>
      </w:r>
    </w:p>
    <w:p w:rsidR="00B208AB" w:rsidRPr="004816B9" w:rsidRDefault="00B208AB" w:rsidP="00B208AB">
      <w:pPr>
        <w:jc w:val="both"/>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r w:rsidRPr="004816B9">
        <w:rPr>
          <w:rFonts w:cs="Arial"/>
          <w:szCs w:val="20"/>
          <w:lang w:val="sl-SI"/>
        </w:rPr>
        <w:t xml:space="preserve">Št. </w:t>
      </w:r>
    </w:p>
    <w:p w:rsidR="00B208AB" w:rsidRPr="004816B9" w:rsidRDefault="00B208AB" w:rsidP="00B208AB">
      <w:pPr>
        <w:rPr>
          <w:rFonts w:cs="Arial"/>
          <w:szCs w:val="20"/>
          <w:lang w:val="sl-SI"/>
        </w:rPr>
      </w:pPr>
      <w:r w:rsidRPr="004816B9">
        <w:rPr>
          <w:rFonts w:cs="Arial"/>
          <w:szCs w:val="20"/>
          <w:lang w:val="sl-SI"/>
        </w:rPr>
        <w:t>Ljubljana, dne</w:t>
      </w:r>
    </w:p>
    <w:p w:rsidR="00B208AB" w:rsidRPr="004816B9" w:rsidRDefault="00B208AB" w:rsidP="00B208AB">
      <w:pPr>
        <w:rPr>
          <w:rFonts w:cs="Arial"/>
          <w:szCs w:val="20"/>
          <w:lang w:val="sl-SI"/>
        </w:rPr>
      </w:pPr>
    </w:p>
    <w:p w:rsidR="00B208AB" w:rsidRDefault="00772514" w:rsidP="00B208AB">
      <w:pPr>
        <w:rPr>
          <w:rFonts w:cs="Arial"/>
          <w:szCs w:val="20"/>
          <w:lang w:val="sl-SI"/>
        </w:rPr>
      </w:pPr>
      <w:r>
        <w:rPr>
          <w:rFonts w:cs="Arial"/>
          <w:szCs w:val="20"/>
          <w:lang w:val="sl-SI"/>
        </w:rPr>
        <w:t>EVA 2020-1811-</w:t>
      </w:r>
      <w:r w:rsidR="00FC3B4F">
        <w:rPr>
          <w:rFonts w:ascii="Helv" w:hAnsi="Helv" w:cs="Helv"/>
          <w:color w:val="000000"/>
          <w:szCs w:val="20"/>
          <w:lang w:val="sl-SI" w:eastAsia="sl-SI"/>
        </w:rPr>
        <w:t>0017</w:t>
      </w:r>
    </w:p>
    <w:p w:rsidR="00B208AB" w:rsidRDefault="00B208AB" w:rsidP="00B208AB">
      <w:pPr>
        <w:rPr>
          <w:rFonts w:cs="Arial"/>
          <w:szCs w:val="20"/>
          <w:lang w:val="sl-SI"/>
        </w:rPr>
      </w:pPr>
    </w:p>
    <w:p w:rsidR="00B208AB" w:rsidRDefault="00B208AB" w:rsidP="00B208AB">
      <w:pPr>
        <w:rPr>
          <w:rFonts w:cs="Arial"/>
          <w:szCs w:val="20"/>
          <w:lang w:val="sl-SI"/>
        </w:rPr>
      </w:pPr>
    </w:p>
    <w:p w:rsidR="00B208AB" w:rsidRPr="004816B9" w:rsidRDefault="00B208AB" w:rsidP="00B208AB">
      <w:pPr>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PREDSEDNIK VLADE</w:t>
      </w:r>
    </w:p>
    <w:p w:rsidR="00B208AB" w:rsidRPr="004816B9" w:rsidRDefault="00B208AB" w:rsidP="00B208AB">
      <w:pPr>
        <w:rPr>
          <w:rFonts w:cs="Arial"/>
          <w:szCs w:val="20"/>
          <w:lang w:val="sl-SI"/>
        </w:rPr>
      </w:pPr>
    </w:p>
    <w:p w:rsidR="00EB3117" w:rsidRDefault="00EB3117" w:rsidP="00493C15">
      <w:pPr>
        <w:spacing w:after="200" w:line="276" w:lineRule="auto"/>
        <w:rPr>
          <w:rFonts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pPr>
        <w:spacing w:line="240" w:lineRule="auto"/>
        <w:rPr>
          <w:rFonts w:eastAsiaTheme="minorHAnsi" w:cs="Arial"/>
          <w:szCs w:val="20"/>
          <w:lang w:val="sl-SI"/>
        </w:rPr>
      </w:pPr>
      <w:r>
        <w:rPr>
          <w:rFonts w:eastAsiaTheme="minorHAnsi" w:cs="Arial"/>
          <w:szCs w:val="20"/>
          <w:lang w:val="sl-SI"/>
        </w:rPr>
        <w:br w:type="page"/>
      </w:r>
    </w:p>
    <w:p w:rsidR="00493C15" w:rsidRDefault="00493C15" w:rsidP="00493C15">
      <w:pPr>
        <w:tabs>
          <w:tab w:val="left" w:pos="5812"/>
        </w:tabs>
        <w:spacing w:line="276" w:lineRule="auto"/>
        <w:jc w:val="center"/>
        <w:rPr>
          <w:b/>
          <w:bCs/>
          <w:lang w:val="sl-SI"/>
        </w:rPr>
      </w:pPr>
      <w:r w:rsidRPr="00E07BF1">
        <w:rPr>
          <w:b/>
          <w:bCs/>
          <w:lang w:val="sl-SI"/>
        </w:rPr>
        <w:lastRenderedPageBreak/>
        <w:t>OBRAZLOŽITEV</w:t>
      </w:r>
    </w:p>
    <w:p w:rsidR="00772514" w:rsidRDefault="00772514" w:rsidP="00493C15">
      <w:pPr>
        <w:tabs>
          <w:tab w:val="left" w:pos="5812"/>
        </w:tabs>
        <w:spacing w:line="276" w:lineRule="auto"/>
        <w:jc w:val="center"/>
        <w:rPr>
          <w:b/>
          <w:bCs/>
          <w:lang w:val="sl-SI"/>
        </w:rPr>
      </w:pPr>
    </w:p>
    <w:p w:rsidR="00772514" w:rsidRPr="00E07BF1" w:rsidRDefault="00772514" w:rsidP="00493C15">
      <w:pPr>
        <w:tabs>
          <w:tab w:val="left" w:pos="5812"/>
        </w:tabs>
        <w:spacing w:line="276" w:lineRule="auto"/>
        <w:jc w:val="center"/>
        <w:rPr>
          <w:b/>
          <w:bCs/>
          <w:lang w:val="sl-SI"/>
        </w:rPr>
      </w:pPr>
    </w:p>
    <w:p w:rsidR="00772514" w:rsidRDefault="00772514" w:rsidP="00772514">
      <w:pPr>
        <w:jc w:val="both"/>
        <w:rPr>
          <w:rFonts w:cs="Arial"/>
          <w:szCs w:val="20"/>
          <w:lang w:val="sl-SI"/>
        </w:rPr>
      </w:pPr>
      <w:r w:rsidRPr="000F3FC2">
        <w:rPr>
          <w:rFonts w:cs="Arial"/>
          <w:szCs w:val="20"/>
          <w:lang w:val="sl-SI"/>
        </w:rPr>
        <w:t>Državni zbor Republike Slovenije je 19. aprila 2012 sprejel Zakon o ratifikaciji Pogodbe o ustanovitvi Evropskega mehanizma za stabilnost med Kraljevino Belgijo, Zvezno republiko Nemčijo, Republiko Estonijo, Irsko, Helensko republiko, Kraljevino Španijo, Francosko republiko, Italijansko republiko, Republiko Ciper, Velikim vojvodstvom Luksemburg, Malto, Kraljevino Nizozemsko, Republiko Avstrijo, Portugalsko republiko, Republiko Slovenijo, Slovaško Republiko in Republiko Finsko (Uradni list Republike Slovenije – Mednarodne pogodbe, št. 4/12 in 3/13; v nadaljevanju  MPUEMS</w:t>
      </w:r>
      <w:r w:rsidRPr="0042700F">
        <w:rPr>
          <w:rFonts w:cs="Arial"/>
          <w:szCs w:val="20"/>
          <w:lang w:val="sl-SI"/>
        </w:rPr>
        <w:t>, pogodba). Zaradi</w:t>
      </w:r>
      <w:r w:rsidRPr="000F3FC2">
        <w:rPr>
          <w:rFonts w:cs="Arial"/>
          <w:szCs w:val="20"/>
          <w:lang w:val="sl-SI"/>
        </w:rPr>
        <w:t xml:space="preserve"> pristopov </w:t>
      </w:r>
      <w:r>
        <w:rPr>
          <w:rFonts w:cs="Arial"/>
          <w:szCs w:val="20"/>
          <w:lang w:val="sl-SI"/>
        </w:rPr>
        <w:t xml:space="preserve">Litve in Latvije je bila </w:t>
      </w:r>
      <w:r w:rsidRPr="000F3FC2">
        <w:rPr>
          <w:rFonts w:cs="Arial"/>
          <w:szCs w:val="20"/>
          <w:lang w:val="sl-SI"/>
        </w:rPr>
        <w:t>pogodba skupaj s prilogami v letih 2013 in 2015 prilagojena, prilagoditve pa je Republika Slovenija ratificirala z zakonoma, ki ju je sprejel Državni zbor Republike Slovenije (Uradni list Republike Slovenije – Mednarodne pogodbe, št. 17/13 in 5/15). V začetku leta 2019 je Državni zbor ratificiral sprememb</w:t>
      </w:r>
      <w:r>
        <w:rPr>
          <w:rFonts w:cs="Arial"/>
          <w:szCs w:val="20"/>
          <w:lang w:val="sl-SI"/>
        </w:rPr>
        <w:t>i</w:t>
      </w:r>
      <w:r w:rsidRPr="000F3FC2">
        <w:rPr>
          <w:rFonts w:cs="Arial"/>
          <w:szCs w:val="20"/>
          <w:lang w:val="sl-SI"/>
        </w:rPr>
        <w:t xml:space="preserve"> prilog </w:t>
      </w:r>
      <w:r>
        <w:rPr>
          <w:rFonts w:cs="Arial"/>
          <w:szCs w:val="20"/>
          <w:lang w:val="sl-SI"/>
        </w:rPr>
        <w:t>I in II pogodbe,</w:t>
      </w:r>
      <w:r w:rsidRPr="000F3FC2">
        <w:rPr>
          <w:rFonts w:cs="Arial"/>
          <w:szCs w:val="20"/>
          <w:lang w:val="sl-SI"/>
        </w:rPr>
        <w:t xml:space="preserve"> </w:t>
      </w:r>
      <w:r>
        <w:rPr>
          <w:rFonts w:cs="Arial"/>
          <w:szCs w:val="20"/>
          <w:lang w:val="sl-SI"/>
        </w:rPr>
        <w:t>ki</w:t>
      </w:r>
      <w:r w:rsidRPr="000F3FC2">
        <w:rPr>
          <w:rFonts w:cs="Arial"/>
          <w:szCs w:val="20"/>
          <w:lang w:val="sl-SI"/>
        </w:rPr>
        <w:t xml:space="preserve"> </w:t>
      </w:r>
      <w:r>
        <w:rPr>
          <w:rFonts w:cs="Arial"/>
          <w:szCs w:val="20"/>
          <w:lang w:val="sl-SI"/>
        </w:rPr>
        <w:t>sta</w:t>
      </w:r>
      <w:r w:rsidRPr="000F3FC2">
        <w:rPr>
          <w:rFonts w:cs="Arial"/>
          <w:szCs w:val="20"/>
          <w:lang w:val="sl-SI"/>
        </w:rPr>
        <w:t xml:space="preserve"> bil</w:t>
      </w:r>
      <w:r>
        <w:rPr>
          <w:rFonts w:cs="Arial"/>
          <w:szCs w:val="20"/>
          <w:lang w:val="sl-SI"/>
        </w:rPr>
        <w:t>i</w:t>
      </w:r>
      <w:r w:rsidRPr="000F3FC2">
        <w:rPr>
          <w:rFonts w:cs="Arial"/>
          <w:szCs w:val="20"/>
          <w:lang w:val="sl-SI"/>
        </w:rPr>
        <w:t xml:space="preserve"> potrebn</w:t>
      </w:r>
      <w:r>
        <w:rPr>
          <w:rFonts w:cs="Arial"/>
          <w:szCs w:val="20"/>
          <w:lang w:val="sl-SI"/>
        </w:rPr>
        <w:t>i</w:t>
      </w:r>
      <w:r w:rsidRPr="000F3FC2">
        <w:rPr>
          <w:rFonts w:cs="Arial"/>
          <w:szCs w:val="20"/>
          <w:lang w:val="sl-SI"/>
        </w:rPr>
        <w:t xml:space="preserve"> zaradi prenehanja začasnega prehodnega obdobja za Republiko Slovenijo (Uradni list Republike Slovenije – Mednarodne pogodbe, št. 2/19).</w:t>
      </w:r>
      <w:r>
        <w:rPr>
          <w:rFonts w:cs="Arial"/>
          <w:szCs w:val="20"/>
          <w:lang w:val="sl-SI"/>
        </w:rPr>
        <w:t xml:space="preserve"> </w:t>
      </w:r>
    </w:p>
    <w:p w:rsidR="00772514" w:rsidRDefault="00772514" w:rsidP="00772514">
      <w:pPr>
        <w:jc w:val="both"/>
        <w:rPr>
          <w:rFonts w:cs="Arial"/>
          <w:szCs w:val="20"/>
          <w:lang w:val="sl-SI"/>
        </w:rPr>
      </w:pPr>
    </w:p>
    <w:p w:rsidR="00772514" w:rsidRPr="000F3FC2" w:rsidRDefault="00772514" w:rsidP="00772514">
      <w:pPr>
        <w:jc w:val="both"/>
        <w:rPr>
          <w:rFonts w:cs="Arial"/>
          <w:szCs w:val="20"/>
          <w:lang w:val="sl-SI"/>
        </w:rPr>
      </w:pPr>
      <w:r w:rsidRPr="000F3FC2">
        <w:rPr>
          <w:rFonts w:cs="Arial"/>
          <w:szCs w:val="20"/>
          <w:lang w:val="sl-SI"/>
        </w:rPr>
        <w:t xml:space="preserve">V letu 2019 je bil </w:t>
      </w:r>
      <w:r>
        <w:rPr>
          <w:rFonts w:cs="Arial"/>
          <w:szCs w:val="20"/>
          <w:lang w:val="sl-SI"/>
        </w:rPr>
        <w:t xml:space="preserve">predmetni </w:t>
      </w:r>
      <w:r w:rsidRPr="000F3FC2">
        <w:rPr>
          <w:rFonts w:cs="Arial"/>
          <w:szCs w:val="20"/>
          <w:lang w:val="sl-SI"/>
        </w:rPr>
        <w:t>zakon o ratifikaciji dopolnjen tako</w:t>
      </w:r>
      <w:r>
        <w:rPr>
          <w:rFonts w:cs="Arial"/>
          <w:szCs w:val="20"/>
          <w:lang w:val="sl-SI"/>
        </w:rPr>
        <w:t>,</w:t>
      </w:r>
      <w:r w:rsidRPr="000F3FC2">
        <w:rPr>
          <w:rFonts w:cs="Arial"/>
          <w:szCs w:val="20"/>
          <w:lang w:val="sl-SI"/>
        </w:rPr>
        <w:t xml:space="preserve"> da Vladi Republike Slovenije </w:t>
      </w:r>
      <w:r>
        <w:rPr>
          <w:rFonts w:cs="Arial"/>
          <w:szCs w:val="20"/>
          <w:lang w:val="sl-SI"/>
        </w:rPr>
        <w:t>nalaga</w:t>
      </w:r>
      <w:r w:rsidRPr="000F3FC2">
        <w:rPr>
          <w:rFonts w:cs="Arial"/>
          <w:szCs w:val="20"/>
          <w:lang w:val="sl-SI"/>
        </w:rPr>
        <w:t xml:space="preserve"> ratifikacijo sprememb prilog</w:t>
      </w:r>
      <w:r>
        <w:rPr>
          <w:rFonts w:cs="Arial"/>
          <w:szCs w:val="20"/>
          <w:lang w:val="sl-SI"/>
        </w:rPr>
        <w:t xml:space="preserve"> </w:t>
      </w:r>
      <w:r w:rsidRPr="00002E6D">
        <w:rPr>
          <w:rFonts w:cs="Arial"/>
          <w:szCs w:val="20"/>
          <w:lang w:val="sl-SI"/>
        </w:rPr>
        <w:t>I in II</w:t>
      </w:r>
      <w:r w:rsidRPr="000F3FC2">
        <w:rPr>
          <w:rFonts w:cs="Arial"/>
          <w:szCs w:val="20"/>
          <w:lang w:val="sl-SI"/>
        </w:rPr>
        <w:t xml:space="preserve"> k </w:t>
      </w:r>
      <w:r w:rsidRPr="00320EE6">
        <w:rPr>
          <w:rFonts w:cs="Arial"/>
          <w:szCs w:val="20"/>
          <w:lang w:val="sl-SI"/>
        </w:rPr>
        <w:t xml:space="preserve">pogodbi, ki </w:t>
      </w:r>
      <w:r w:rsidRPr="00690351">
        <w:rPr>
          <w:rFonts w:cs="Arial"/>
          <w:szCs w:val="20"/>
          <w:lang w:val="sl-SI"/>
        </w:rPr>
        <w:t>so posledica odločitve Sveta guvernerjev v skladu s členom 11(6) in v zvezi s členom 11(3)(b) ali v zvezi s členom 11(4) pogodbe (</w:t>
      </w:r>
      <w:r>
        <w:rPr>
          <w:rFonts w:cs="Arial"/>
          <w:szCs w:val="20"/>
          <w:lang w:val="sl-SI"/>
        </w:rPr>
        <w:t xml:space="preserve">2.b člen </w:t>
      </w:r>
      <w:r w:rsidRPr="00690351">
        <w:rPr>
          <w:rFonts w:cs="Arial"/>
          <w:szCs w:val="20"/>
          <w:lang w:val="sl-SI"/>
        </w:rPr>
        <w:t>Zakona o ratifikaciji Pogodbe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w:t>
      </w:r>
      <w:r>
        <w:rPr>
          <w:rFonts w:cs="Arial"/>
          <w:szCs w:val="20"/>
          <w:lang w:val="sl-SI"/>
        </w:rPr>
        <w:t xml:space="preserve">, </w:t>
      </w:r>
      <w:r w:rsidRPr="00690351">
        <w:rPr>
          <w:rFonts w:cs="Arial"/>
          <w:szCs w:val="20"/>
          <w:lang w:val="sl-SI"/>
        </w:rPr>
        <w:t>Uradni list Republike Slovenije – Mednarodne pogodbe, št. 38/2019).</w:t>
      </w:r>
    </w:p>
    <w:p w:rsidR="00772514" w:rsidRPr="000F3FC2" w:rsidRDefault="00772514" w:rsidP="00772514">
      <w:pPr>
        <w:jc w:val="both"/>
        <w:rPr>
          <w:rFonts w:cs="Arial"/>
          <w:szCs w:val="20"/>
          <w:lang w:val="sl-SI"/>
        </w:rPr>
      </w:pPr>
    </w:p>
    <w:p w:rsidR="00772514" w:rsidRDefault="00772514" w:rsidP="00772514">
      <w:pPr>
        <w:jc w:val="both"/>
        <w:rPr>
          <w:rFonts w:cs="Arial"/>
          <w:szCs w:val="20"/>
          <w:lang w:val="sl-SI"/>
        </w:rPr>
      </w:pPr>
      <w:r w:rsidRPr="000F3FC2">
        <w:rPr>
          <w:rFonts w:cs="Arial"/>
          <w:szCs w:val="20"/>
          <w:lang w:val="sl-SI"/>
        </w:rPr>
        <w:t xml:space="preserve">Svet guvernerjev </w:t>
      </w:r>
      <w:r w:rsidRPr="00690351">
        <w:rPr>
          <w:rFonts w:cs="Arial"/>
          <w:szCs w:val="20"/>
          <w:lang w:val="sl-SI"/>
        </w:rPr>
        <w:t xml:space="preserve">Evropskega mehanizma za stabilnost </w:t>
      </w:r>
      <w:r>
        <w:rPr>
          <w:rFonts w:cs="Arial"/>
          <w:szCs w:val="20"/>
          <w:lang w:val="sl-SI"/>
        </w:rPr>
        <w:t xml:space="preserve">(v nadaljevanju </w:t>
      </w:r>
      <w:r w:rsidRPr="000F3FC2">
        <w:rPr>
          <w:rFonts w:cs="Arial"/>
          <w:szCs w:val="20"/>
          <w:lang w:val="sl-SI"/>
        </w:rPr>
        <w:t>EMS</w:t>
      </w:r>
      <w:r>
        <w:rPr>
          <w:rFonts w:cs="Arial"/>
          <w:szCs w:val="20"/>
          <w:lang w:val="sl-SI"/>
        </w:rPr>
        <w:t>)</w:t>
      </w:r>
      <w:r w:rsidRPr="000F3FC2">
        <w:rPr>
          <w:rFonts w:cs="Arial"/>
          <w:szCs w:val="20"/>
          <w:lang w:val="sl-SI"/>
        </w:rPr>
        <w:t xml:space="preserve"> </w:t>
      </w:r>
      <w:r>
        <w:rPr>
          <w:rFonts w:cs="Arial"/>
          <w:szCs w:val="20"/>
          <w:lang w:val="sl-SI"/>
        </w:rPr>
        <w:t>je</w:t>
      </w:r>
      <w:r w:rsidRPr="000F3FC2">
        <w:rPr>
          <w:rFonts w:cs="Arial"/>
          <w:szCs w:val="20"/>
          <w:lang w:val="sl-SI"/>
        </w:rPr>
        <w:t xml:space="preserve"> na zasedanju 4. decembra 2019</w:t>
      </w:r>
      <w:r>
        <w:rPr>
          <w:rFonts w:cs="Arial"/>
          <w:szCs w:val="20"/>
          <w:lang w:val="sl-SI"/>
        </w:rPr>
        <w:t xml:space="preserve"> v Bruslju</w:t>
      </w:r>
      <w:r w:rsidRPr="000F3FC2">
        <w:rPr>
          <w:rFonts w:cs="Arial"/>
          <w:szCs w:val="20"/>
          <w:lang w:val="sl-SI"/>
        </w:rPr>
        <w:t xml:space="preserve"> obravnaval predlog spremembe prilog I in II k pogodbi</w:t>
      </w:r>
      <w:r>
        <w:rPr>
          <w:rFonts w:cs="Arial"/>
          <w:szCs w:val="20"/>
          <w:lang w:val="sl-SI"/>
        </w:rPr>
        <w:t>,</w:t>
      </w:r>
      <w:r w:rsidRPr="000F3FC2">
        <w:rPr>
          <w:rFonts w:cs="Arial"/>
          <w:szCs w:val="20"/>
          <w:lang w:val="sl-SI"/>
        </w:rPr>
        <w:t xml:space="preserve"> zaradi poteka začasne prilagoditve ključa za vplačilo kapitala s strani Malte. </w:t>
      </w:r>
    </w:p>
    <w:p w:rsidR="00772514" w:rsidRDefault="00772514" w:rsidP="00772514">
      <w:pPr>
        <w:jc w:val="both"/>
        <w:rPr>
          <w:rFonts w:cs="Arial"/>
          <w:szCs w:val="20"/>
          <w:lang w:val="sl-SI"/>
        </w:rPr>
      </w:pPr>
    </w:p>
    <w:p w:rsidR="00772514" w:rsidRDefault="00772514" w:rsidP="00772514">
      <w:pPr>
        <w:jc w:val="both"/>
        <w:rPr>
          <w:rFonts w:cs="Arial"/>
          <w:szCs w:val="20"/>
          <w:lang w:val="sl-SI"/>
        </w:rPr>
      </w:pPr>
      <w:r w:rsidRPr="007676FD">
        <w:rPr>
          <w:rFonts w:cs="Arial"/>
          <w:szCs w:val="20"/>
          <w:lang w:val="sl-SI"/>
        </w:rPr>
        <w:t>Razdelitveni ključ za vpis odobrenega delniškega kapitala Evropskega mehanizma za stabilnost je opredeljen v prvem odstavku 11. člena pogodbe in temelji na ključu, po katerem nacionalne centralne banke držav članic EMS vpisujejo kapital ECB v skladu s členom 29 Protokola (št. 4) o statutu Evropskega sistema centralnih bank in Evropske centralne banke, ki je priložen Pogodbi o Evropski uniji in Pogodbi o delovanju Evropske unije.</w:t>
      </w:r>
    </w:p>
    <w:p w:rsidR="00772514" w:rsidRDefault="00772514" w:rsidP="00772514">
      <w:pPr>
        <w:jc w:val="both"/>
        <w:rPr>
          <w:rFonts w:cs="Arial"/>
          <w:szCs w:val="20"/>
          <w:lang w:val="sl-SI"/>
        </w:rPr>
      </w:pPr>
    </w:p>
    <w:p w:rsidR="00772514" w:rsidRDefault="00772514" w:rsidP="00772514">
      <w:pPr>
        <w:jc w:val="both"/>
        <w:rPr>
          <w:rFonts w:cs="Arial"/>
          <w:szCs w:val="20"/>
          <w:lang w:val="sl-SI"/>
        </w:rPr>
      </w:pPr>
      <w:r w:rsidRPr="007676FD">
        <w:rPr>
          <w:rFonts w:cs="Arial"/>
          <w:szCs w:val="20"/>
          <w:lang w:val="sl-SI"/>
        </w:rPr>
        <w:t xml:space="preserve">Začetni razdelitveni ključ, ki je določen v Prilogi I k pogodbi, upošteva začasni popravek razdelitvenega ključa za tiste nove države članice EMS, katerih bruto domači proizvod (BDP) na prebivalca po tržnih cenah v eurih v letu neposredno pred pristopom k EMS znaša manj kot 75 % povprečnega BDP na prebivalca v EU po tržnih cenah (člen 42 pogodbe). V skladu s členom 11(3)(b) začasni popravek za vsako zadevno državo članico velja le za obdobje 12 let po sprejetju eura. V skladu </w:t>
      </w:r>
      <w:r>
        <w:rPr>
          <w:rFonts w:cs="Arial"/>
          <w:szCs w:val="20"/>
          <w:lang w:val="sl-SI"/>
        </w:rPr>
        <w:t>z omenjenim členom</w:t>
      </w:r>
      <w:r w:rsidRPr="007676FD">
        <w:rPr>
          <w:rFonts w:cs="Arial"/>
          <w:szCs w:val="20"/>
          <w:lang w:val="sl-SI"/>
        </w:rPr>
        <w:t xml:space="preserve"> se ob koncu vsakega obdobja začasnega popravka prilagodi razdelitveni ključ za </w:t>
      </w:r>
      <w:r w:rsidRPr="007C55E2">
        <w:rPr>
          <w:rFonts w:cs="Arial"/>
          <w:szCs w:val="20"/>
          <w:lang w:val="sl-SI"/>
        </w:rPr>
        <w:t>vp</w:t>
      </w:r>
      <w:r>
        <w:rPr>
          <w:rFonts w:cs="Arial"/>
          <w:szCs w:val="20"/>
          <w:lang w:val="sl-SI"/>
        </w:rPr>
        <w:t>is</w:t>
      </w:r>
      <w:r w:rsidRPr="007676FD">
        <w:rPr>
          <w:rFonts w:cs="Arial"/>
          <w:szCs w:val="20"/>
          <w:lang w:val="sl-SI"/>
        </w:rPr>
        <w:t xml:space="preserve"> kapitala.</w:t>
      </w:r>
      <w:r w:rsidRPr="00F466EA">
        <w:t xml:space="preserve"> </w:t>
      </w:r>
      <w:r>
        <w:rPr>
          <w:rFonts w:cs="Arial"/>
          <w:szCs w:val="20"/>
          <w:lang w:val="sl-SI"/>
        </w:rPr>
        <w:t>To poteka</w:t>
      </w:r>
      <w:r w:rsidRPr="00F466EA">
        <w:rPr>
          <w:rFonts w:cs="Arial"/>
          <w:szCs w:val="20"/>
          <w:lang w:val="sl-SI"/>
        </w:rPr>
        <w:t xml:space="preserve"> na podlagi obstoječega ključa ali na podlagi posodobljenega ključa ECB, skladno s členom 11(4) ustanovne pogodbe EMS. Na podlagi pretekle prakse se v ta namen uporablja obstoječi ključ.</w:t>
      </w:r>
    </w:p>
    <w:p w:rsidR="00772514" w:rsidRDefault="00772514" w:rsidP="00772514">
      <w:pPr>
        <w:jc w:val="both"/>
        <w:rPr>
          <w:rFonts w:cs="Arial"/>
          <w:szCs w:val="20"/>
          <w:lang w:val="sl-SI"/>
        </w:rPr>
      </w:pPr>
    </w:p>
    <w:p w:rsidR="00772514" w:rsidRDefault="00772514" w:rsidP="00772514">
      <w:pPr>
        <w:jc w:val="both"/>
        <w:rPr>
          <w:rFonts w:cs="Arial"/>
          <w:szCs w:val="20"/>
          <w:lang w:val="sl-SI"/>
        </w:rPr>
      </w:pPr>
      <w:r w:rsidRPr="00245BA0">
        <w:rPr>
          <w:rFonts w:cs="Arial"/>
          <w:szCs w:val="20"/>
          <w:lang w:val="sl-SI"/>
        </w:rPr>
        <w:t xml:space="preserve">V primeru Malte je začasna prilagoditev potekla 1. januarja 2020, ko je izteklo 12 let od </w:t>
      </w:r>
      <w:r>
        <w:rPr>
          <w:rFonts w:cs="Arial"/>
          <w:szCs w:val="20"/>
          <w:lang w:val="sl-SI"/>
        </w:rPr>
        <w:t xml:space="preserve">tedaj, ko je </w:t>
      </w:r>
      <w:r w:rsidRPr="00245BA0">
        <w:rPr>
          <w:rFonts w:cs="Arial"/>
          <w:szCs w:val="20"/>
          <w:lang w:val="sl-SI"/>
        </w:rPr>
        <w:t>prevze</w:t>
      </w:r>
      <w:r>
        <w:rPr>
          <w:rFonts w:cs="Arial"/>
          <w:szCs w:val="20"/>
          <w:lang w:val="sl-SI"/>
        </w:rPr>
        <w:t>l</w:t>
      </w:r>
      <w:r w:rsidRPr="00245BA0">
        <w:rPr>
          <w:rFonts w:cs="Arial"/>
          <w:szCs w:val="20"/>
          <w:lang w:val="sl-SI"/>
        </w:rPr>
        <w:t>a eur</w:t>
      </w:r>
      <w:r>
        <w:rPr>
          <w:rFonts w:cs="Arial"/>
          <w:szCs w:val="20"/>
          <w:lang w:val="sl-SI"/>
        </w:rPr>
        <w:t>o</w:t>
      </w:r>
      <w:r w:rsidRPr="000F3FC2">
        <w:rPr>
          <w:rFonts w:cs="Arial"/>
          <w:szCs w:val="20"/>
          <w:lang w:val="sl-SI"/>
        </w:rPr>
        <w:t xml:space="preserve">. Na podlagi člena 11(6) v zvezi s členom 11(3)(b) ustanovne pogodbe EMS je Svet guvernerjev </w:t>
      </w:r>
      <w:r>
        <w:rPr>
          <w:rFonts w:cs="Arial"/>
          <w:szCs w:val="20"/>
          <w:lang w:val="sl-SI"/>
        </w:rPr>
        <w:t>zato</w:t>
      </w:r>
      <w:r w:rsidRPr="007676FD">
        <w:rPr>
          <w:rFonts w:cs="Arial"/>
          <w:szCs w:val="20"/>
          <w:lang w:val="sl-SI"/>
        </w:rPr>
        <w:t xml:space="preserve"> 4. decembra 2019 v Bruslju sprejel sklep o spremembi Prilog I in II k pogodbi kot posledic</w:t>
      </w:r>
      <w:r>
        <w:rPr>
          <w:rFonts w:cs="Arial"/>
          <w:szCs w:val="20"/>
          <w:lang w:val="sl-SI"/>
        </w:rPr>
        <w:t>a</w:t>
      </w:r>
      <w:r w:rsidRPr="007676FD">
        <w:rPr>
          <w:rFonts w:cs="Arial"/>
          <w:szCs w:val="20"/>
          <w:lang w:val="sl-SI"/>
        </w:rPr>
        <w:t xml:space="preserve"> prenehanja začasnega popravka razdelitvenega ključa za </w:t>
      </w:r>
      <w:r>
        <w:rPr>
          <w:rFonts w:cs="Arial"/>
          <w:szCs w:val="20"/>
          <w:lang w:val="sl-SI"/>
        </w:rPr>
        <w:t>Malto</w:t>
      </w:r>
      <w:r w:rsidRPr="007676FD">
        <w:rPr>
          <w:rFonts w:cs="Arial"/>
          <w:szCs w:val="20"/>
          <w:lang w:val="sl-SI"/>
        </w:rPr>
        <w:t>.</w:t>
      </w:r>
    </w:p>
    <w:p w:rsidR="00772514" w:rsidRPr="000F3FC2" w:rsidRDefault="00772514" w:rsidP="00772514">
      <w:pPr>
        <w:jc w:val="both"/>
        <w:rPr>
          <w:rFonts w:cs="Arial"/>
          <w:szCs w:val="20"/>
          <w:lang w:val="sl-SI"/>
        </w:rPr>
      </w:pPr>
    </w:p>
    <w:p w:rsidR="00772514" w:rsidRDefault="00772514" w:rsidP="00772514">
      <w:pPr>
        <w:jc w:val="both"/>
        <w:rPr>
          <w:rFonts w:cs="Arial"/>
          <w:szCs w:val="20"/>
          <w:lang w:val="sl-SI"/>
        </w:rPr>
      </w:pPr>
      <w:r w:rsidRPr="00A508B6">
        <w:rPr>
          <w:rFonts w:cs="Arial"/>
          <w:szCs w:val="20"/>
          <w:lang w:val="sl-SI"/>
        </w:rPr>
        <w:t>Na podlagi tega Sklepa</w:t>
      </w:r>
      <w:r w:rsidRPr="000F3FC2">
        <w:rPr>
          <w:rFonts w:cs="Arial"/>
          <w:szCs w:val="20"/>
          <w:lang w:val="sl-SI"/>
        </w:rPr>
        <w:t xml:space="preserve"> Malta vpi</w:t>
      </w:r>
      <w:r>
        <w:rPr>
          <w:rFonts w:cs="Arial"/>
          <w:szCs w:val="20"/>
          <w:lang w:val="sl-SI"/>
        </w:rPr>
        <w:t>še</w:t>
      </w:r>
      <w:r w:rsidRPr="000F3FC2">
        <w:rPr>
          <w:rFonts w:cs="Arial"/>
          <w:szCs w:val="20"/>
          <w:lang w:val="sl-SI"/>
        </w:rPr>
        <w:t xml:space="preserve"> </w:t>
      </w:r>
      <w:r>
        <w:rPr>
          <w:rFonts w:cs="Arial"/>
          <w:szCs w:val="20"/>
          <w:lang w:val="sl-SI"/>
        </w:rPr>
        <w:t xml:space="preserve">določen </w:t>
      </w:r>
      <w:r w:rsidRPr="000F3FC2">
        <w:rPr>
          <w:rFonts w:cs="Arial"/>
          <w:szCs w:val="20"/>
          <w:lang w:val="sl-SI"/>
        </w:rPr>
        <w:t>avtorizirani kapital (ta obsega vplačani kapital in kapital na vpoklic),</w:t>
      </w:r>
      <w:r>
        <w:rPr>
          <w:rFonts w:cs="Arial"/>
          <w:szCs w:val="20"/>
          <w:lang w:val="sl-SI"/>
        </w:rPr>
        <w:t xml:space="preserve"> ki </w:t>
      </w:r>
      <w:r w:rsidRPr="00D9541D">
        <w:rPr>
          <w:rFonts w:cs="Arial"/>
          <w:szCs w:val="20"/>
          <w:lang w:val="sl-SI"/>
        </w:rPr>
        <w:t xml:space="preserve">se prerazporedi </w:t>
      </w:r>
      <w:r>
        <w:rPr>
          <w:rFonts w:cs="Arial"/>
          <w:szCs w:val="20"/>
          <w:lang w:val="sl-SI"/>
        </w:rPr>
        <w:t xml:space="preserve">od </w:t>
      </w:r>
      <w:r w:rsidRPr="00D9541D">
        <w:rPr>
          <w:rFonts w:cs="Arial"/>
          <w:szCs w:val="20"/>
          <w:lang w:val="sl-SI"/>
        </w:rPr>
        <w:t>drugi</w:t>
      </w:r>
      <w:r>
        <w:rPr>
          <w:rFonts w:cs="Arial"/>
          <w:szCs w:val="20"/>
          <w:lang w:val="sl-SI"/>
        </w:rPr>
        <w:t>h</w:t>
      </w:r>
      <w:r w:rsidRPr="00D9541D">
        <w:rPr>
          <w:rFonts w:cs="Arial"/>
          <w:szCs w:val="20"/>
          <w:lang w:val="sl-SI"/>
        </w:rPr>
        <w:t xml:space="preserve"> držav članic,</w:t>
      </w:r>
      <w:r w:rsidRPr="00D9541D">
        <w:t xml:space="preserve"> </w:t>
      </w:r>
      <w:r w:rsidRPr="00D9541D">
        <w:rPr>
          <w:rFonts w:cs="Arial"/>
          <w:szCs w:val="20"/>
          <w:lang w:val="sl-SI"/>
        </w:rPr>
        <w:t xml:space="preserve">ki niso upravičene do začasne </w:t>
      </w:r>
      <w:r w:rsidRPr="00D9541D">
        <w:rPr>
          <w:rFonts w:cs="Arial"/>
          <w:szCs w:val="20"/>
          <w:lang w:val="sl-SI"/>
        </w:rPr>
        <w:lastRenderedPageBreak/>
        <w:t xml:space="preserve">spremembe ključa, </w:t>
      </w:r>
      <w:r>
        <w:rPr>
          <w:rFonts w:cs="Arial"/>
          <w:szCs w:val="20"/>
          <w:lang w:val="sl-SI"/>
        </w:rPr>
        <w:t xml:space="preserve">od njih pa v zameno </w:t>
      </w:r>
      <w:r w:rsidRPr="00D9541D">
        <w:rPr>
          <w:rFonts w:cs="Arial"/>
          <w:szCs w:val="20"/>
          <w:lang w:val="sl-SI"/>
        </w:rPr>
        <w:t xml:space="preserve">v zameno </w:t>
      </w:r>
      <w:r>
        <w:rPr>
          <w:rFonts w:cs="Arial"/>
          <w:szCs w:val="20"/>
          <w:lang w:val="sl-SI"/>
        </w:rPr>
        <w:t>prejme</w:t>
      </w:r>
      <w:r w:rsidRPr="00D9541D">
        <w:rPr>
          <w:rFonts w:cs="Arial"/>
          <w:szCs w:val="20"/>
          <w:lang w:val="sl-SI"/>
        </w:rPr>
        <w:t xml:space="preserve"> sorazmerno število delnic.</w:t>
      </w:r>
      <w:r w:rsidRPr="000F3FC2">
        <w:rPr>
          <w:rFonts w:cs="Arial"/>
          <w:szCs w:val="20"/>
          <w:lang w:val="sl-SI"/>
        </w:rPr>
        <w:t xml:space="preserve"> Finančno ovrednoteno to pomeni, da</w:t>
      </w:r>
      <w:r>
        <w:rPr>
          <w:rFonts w:cs="Arial"/>
          <w:szCs w:val="20"/>
          <w:lang w:val="sl-SI"/>
        </w:rPr>
        <w:t xml:space="preserve"> se</w:t>
      </w:r>
      <w:r w:rsidRPr="000F3FC2">
        <w:rPr>
          <w:rFonts w:cs="Arial"/>
          <w:szCs w:val="20"/>
          <w:lang w:val="sl-SI"/>
        </w:rPr>
        <w:t xml:space="preserve"> vpisani kapital</w:t>
      </w:r>
      <w:r>
        <w:rPr>
          <w:rFonts w:cs="Arial"/>
          <w:szCs w:val="20"/>
          <w:lang w:val="sl-SI"/>
        </w:rPr>
        <w:t xml:space="preserve"> Malte</w:t>
      </w:r>
      <w:r w:rsidRPr="000F3FC2">
        <w:rPr>
          <w:rFonts w:cs="Arial"/>
          <w:szCs w:val="20"/>
          <w:lang w:val="sl-SI"/>
        </w:rPr>
        <w:t xml:space="preserve"> poveča za 122</w:t>
      </w:r>
      <w:r>
        <w:rPr>
          <w:rFonts w:cs="Arial"/>
          <w:szCs w:val="20"/>
          <w:lang w:val="sl-SI"/>
        </w:rPr>
        <w:t>,</w:t>
      </w:r>
      <w:r w:rsidRPr="000F3FC2">
        <w:rPr>
          <w:rFonts w:cs="Arial"/>
          <w:szCs w:val="20"/>
          <w:lang w:val="sl-SI"/>
        </w:rPr>
        <w:t>1 mili</w:t>
      </w:r>
      <w:r>
        <w:rPr>
          <w:rFonts w:cs="Arial"/>
          <w:szCs w:val="20"/>
          <w:lang w:val="sl-SI"/>
        </w:rPr>
        <w:t xml:space="preserve">jonov EUR, od česar Malta </w:t>
      </w:r>
      <w:r w:rsidRPr="005C199B">
        <w:rPr>
          <w:rFonts w:cs="Arial"/>
          <w:szCs w:val="20"/>
          <w:lang w:val="sl-SI"/>
        </w:rPr>
        <w:t>vplača 13</w:t>
      </w:r>
      <w:r>
        <w:rPr>
          <w:rFonts w:cs="Arial"/>
          <w:szCs w:val="20"/>
          <w:lang w:val="sl-SI"/>
        </w:rPr>
        <w:t>,</w:t>
      </w:r>
      <w:r w:rsidRPr="005C199B">
        <w:rPr>
          <w:rFonts w:cs="Arial"/>
          <w:szCs w:val="20"/>
          <w:lang w:val="sl-SI"/>
        </w:rPr>
        <w:t>96</w:t>
      </w:r>
      <w:r w:rsidRPr="000F3FC2">
        <w:rPr>
          <w:rFonts w:cs="Arial"/>
          <w:szCs w:val="20"/>
          <w:lang w:val="sl-SI"/>
        </w:rPr>
        <w:t xml:space="preserve"> milijonov EUR</w:t>
      </w:r>
      <w:r>
        <w:rPr>
          <w:rFonts w:cs="Arial"/>
          <w:szCs w:val="20"/>
          <w:lang w:val="sl-SI"/>
        </w:rPr>
        <w:t>, razliko pa predstavlja kapital na vpoklic</w:t>
      </w:r>
      <w:r w:rsidRPr="000F3FC2">
        <w:rPr>
          <w:rFonts w:cs="Arial"/>
          <w:szCs w:val="20"/>
          <w:lang w:val="sl-SI"/>
        </w:rPr>
        <w:t xml:space="preserve">. </w:t>
      </w:r>
      <w:r>
        <w:rPr>
          <w:rFonts w:cs="Arial"/>
          <w:szCs w:val="20"/>
          <w:lang w:val="sl-SI"/>
        </w:rPr>
        <w:t>Posledično se sorazmerno zmanjša vpisani kapital vseh ostalih držav članic EMS. Zaradi povečanja kapitala na vpoklic Malte se kapital na vpoklic ostalim državam članicam sorazmerno zmanjša. Prav tako se za znesek povečanega v</w:t>
      </w:r>
      <w:r w:rsidRPr="007C55E2">
        <w:rPr>
          <w:rFonts w:cs="Arial"/>
          <w:szCs w:val="20"/>
          <w:lang w:val="sl-SI"/>
        </w:rPr>
        <w:t>plačan</w:t>
      </w:r>
      <w:r w:rsidRPr="000E7446">
        <w:rPr>
          <w:rFonts w:cs="Arial"/>
          <w:szCs w:val="20"/>
          <w:lang w:val="sl-SI"/>
        </w:rPr>
        <w:t>ega</w:t>
      </w:r>
      <w:r w:rsidRPr="000F3FC2">
        <w:rPr>
          <w:rFonts w:cs="Arial"/>
          <w:szCs w:val="20"/>
          <w:lang w:val="sl-SI"/>
        </w:rPr>
        <w:t xml:space="preserve"> </w:t>
      </w:r>
      <w:r>
        <w:rPr>
          <w:rFonts w:cs="Arial"/>
          <w:szCs w:val="20"/>
          <w:lang w:val="sl-SI"/>
        </w:rPr>
        <w:t xml:space="preserve">kapitala Malte, vsem ostalim državam članicam EMS sorazmerno zmanjša vplačani kapital, ki ga EMS razdeli/vrne </w:t>
      </w:r>
      <w:r w:rsidRPr="000F3FC2">
        <w:rPr>
          <w:rFonts w:cs="Arial"/>
          <w:szCs w:val="20"/>
          <w:lang w:val="sl-SI"/>
        </w:rPr>
        <w:t>drugim državam članicam</w:t>
      </w:r>
      <w:r>
        <w:rPr>
          <w:rFonts w:cs="Arial"/>
          <w:szCs w:val="20"/>
          <w:lang w:val="sl-SI"/>
        </w:rPr>
        <w:t xml:space="preserve">. Na tej podlagi se Republiki Sloveniji kapital na vpoklic zmanjša za </w:t>
      </w:r>
      <w:r w:rsidRPr="00DE5716">
        <w:rPr>
          <w:rFonts w:cs="Arial"/>
          <w:szCs w:val="20"/>
          <w:lang w:val="sl-SI"/>
        </w:rPr>
        <w:t>350</w:t>
      </w:r>
      <w:r>
        <w:rPr>
          <w:rFonts w:cs="Arial"/>
          <w:szCs w:val="20"/>
          <w:lang w:val="sl-SI"/>
        </w:rPr>
        <w:t>.</w:t>
      </w:r>
      <w:r w:rsidRPr="00DE5716">
        <w:rPr>
          <w:rFonts w:cs="Arial"/>
          <w:szCs w:val="20"/>
          <w:lang w:val="sl-SI"/>
        </w:rPr>
        <w:t>010</w:t>
      </w:r>
      <w:r>
        <w:rPr>
          <w:rFonts w:cs="Arial"/>
          <w:szCs w:val="20"/>
          <w:lang w:val="sl-SI"/>
        </w:rPr>
        <w:t>,00 EUR</w:t>
      </w:r>
      <w:r w:rsidRPr="00DE5716">
        <w:rPr>
          <w:rFonts w:cs="Arial"/>
          <w:szCs w:val="20"/>
          <w:lang w:val="sl-SI"/>
        </w:rPr>
        <w:t xml:space="preserve"> (na 2</w:t>
      </w:r>
      <w:r>
        <w:rPr>
          <w:rFonts w:cs="Arial"/>
          <w:szCs w:val="20"/>
          <w:lang w:val="sl-SI"/>
        </w:rPr>
        <w:t>.</w:t>
      </w:r>
      <w:r w:rsidRPr="00DE5716">
        <w:rPr>
          <w:rFonts w:cs="Arial"/>
          <w:szCs w:val="20"/>
          <w:lang w:val="sl-SI"/>
        </w:rPr>
        <w:t>920</w:t>
      </w:r>
      <w:r>
        <w:rPr>
          <w:rFonts w:cs="Arial"/>
          <w:szCs w:val="20"/>
          <w:lang w:val="sl-SI"/>
        </w:rPr>
        <w:t>.</w:t>
      </w:r>
      <w:r w:rsidRPr="00DE5716">
        <w:rPr>
          <w:rFonts w:cs="Arial"/>
          <w:szCs w:val="20"/>
          <w:lang w:val="sl-SI"/>
        </w:rPr>
        <w:t>470</w:t>
      </w:r>
      <w:r>
        <w:rPr>
          <w:rFonts w:cs="Arial"/>
          <w:szCs w:val="20"/>
          <w:lang w:val="sl-SI"/>
        </w:rPr>
        <w:t>.</w:t>
      </w:r>
      <w:r w:rsidRPr="00DE5716">
        <w:rPr>
          <w:rFonts w:cs="Arial"/>
          <w:szCs w:val="20"/>
          <w:lang w:val="sl-SI"/>
        </w:rPr>
        <w:t>000</w:t>
      </w:r>
      <w:r>
        <w:rPr>
          <w:rFonts w:cs="Arial"/>
          <w:szCs w:val="20"/>
          <w:lang w:val="sl-SI"/>
        </w:rPr>
        <w:t xml:space="preserve">,00 EUR), </w:t>
      </w:r>
      <w:r w:rsidRPr="001E3647">
        <w:rPr>
          <w:rFonts w:cs="Arial"/>
          <w:szCs w:val="20"/>
          <w:lang w:val="sl-SI"/>
        </w:rPr>
        <w:t xml:space="preserve">vplačani </w:t>
      </w:r>
      <w:r>
        <w:rPr>
          <w:rFonts w:cs="Arial"/>
          <w:szCs w:val="20"/>
          <w:lang w:val="sl-SI"/>
        </w:rPr>
        <w:t>kapital pa zmanjša</w:t>
      </w:r>
      <w:r w:rsidRPr="001E3647">
        <w:rPr>
          <w:rFonts w:cs="Arial"/>
          <w:szCs w:val="20"/>
          <w:lang w:val="sl-SI"/>
        </w:rPr>
        <w:t xml:space="preserve"> za 49.990</w:t>
      </w:r>
      <w:r>
        <w:rPr>
          <w:rFonts w:cs="Arial"/>
          <w:szCs w:val="20"/>
          <w:lang w:val="sl-SI"/>
        </w:rPr>
        <w:t>,00</w:t>
      </w:r>
      <w:r w:rsidRPr="001E3647">
        <w:rPr>
          <w:rFonts w:cs="Arial"/>
          <w:szCs w:val="20"/>
          <w:lang w:val="sl-SI"/>
        </w:rPr>
        <w:t xml:space="preserve"> EUR (na 376</w:t>
      </w:r>
      <w:r>
        <w:rPr>
          <w:rFonts w:cs="Arial"/>
          <w:szCs w:val="20"/>
          <w:lang w:val="sl-SI"/>
        </w:rPr>
        <w:t>.</w:t>
      </w:r>
      <w:r w:rsidRPr="001E3647">
        <w:rPr>
          <w:rFonts w:cs="Arial"/>
          <w:szCs w:val="20"/>
          <w:lang w:val="sl-SI"/>
        </w:rPr>
        <w:t>830</w:t>
      </w:r>
      <w:r>
        <w:rPr>
          <w:rFonts w:cs="Arial"/>
          <w:szCs w:val="20"/>
          <w:lang w:val="sl-SI"/>
        </w:rPr>
        <w:t>.</w:t>
      </w:r>
      <w:r w:rsidRPr="001E3647">
        <w:rPr>
          <w:rFonts w:cs="Arial"/>
          <w:szCs w:val="20"/>
          <w:lang w:val="sl-SI"/>
        </w:rPr>
        <w:t>000</w:t>
      </w:r>
      <w:r>
        <w:rPr>
          <w:rFonts w:cs="Arial"/>
          <w:szCs w:val="20"/>
          <w:lang w:val="sl-SI"/>
        </w:rPr>
        <w:t>,</w:t>
      </w:r>
    </w:p>
    <w:p w:rsidR="00772514" w:rsidRPr="000F3FC2" w:rsidRDefault="00772514" w:rsidP="00772514">
      <w:pPr>
        <w:jc w:val="both"/>
        <w:rPr>
          <w:rFonts w:cs="Arial"/>
          <w:szCs w:val="20"/>
          <w:lang w:val="sl-SI"/>
        </w:rPr>
      </w:pPr>
      <w:r>
        <w:rPr>
          <w:rFonts w:cs="Arial"/>
          <w:szCs w:val="20"/>
          <w:lang w:val="sl-SI"/>
        </w:rPr>
        <w:t>00</w:t>
      </w:r>
      <w:r w:rsidRPr="001E3647">
        <w:rPr>
          <w:rFonts w:cs="Arial"/>
          <w:szCs w:val="20"/>
          <w:lang w:val="sl-SI"/>
        </w:rPr>
        <w:t xml:space="preserve"> EUR)</w:t>
      </w:r>
      <w:r>
        <w:rPr>
          <w:rFonts w:cs="Arial"/>
          <w:szCs w:val="20"/>
          <w:lang w:val="sl-SI"/>
        </w:rPr>
        <w:t>. Zmanjšanje vplačanega kapitala Republika Slovenija dobi vrnjenega v proračun. V</w:t>
      </w:r>
      <w:r w:rsidRPr="00C05371">
        <w:rPr>
          <w:rFonts w:cs="Arial"/>
          <w:szCs w:val="20"/>
          <w:lang w:val="sl-SI"/>
        </w:rPr>
        <w:t>pisani kapital Republike Slovenije</w:t>
      </w:r>
      <w:r>
        <w:rPr>
          <w:rFonts w:cs="Arial"/>
          <w:szCs w:val="20"/>
          <w:lang w:val="sl-SI"/>
        </w:rPr>
        <w:t xml:space="preserve"> v EMS</w:t>
      </w:r>
      <w:r w:rsidRPr="00C05371">
        <w:rPr>
          <w:rFonts w:cs="Arial"/>
          <w:szCs w:val="20"/>
          <w:lang w:val="sl-SI"/>
        </w:rPr>
        <w:t xml:space="preserve"> </w:t>
      </w:r>
      <w:r>
        <w:rPr>
          <w:rFonts w:cs="Arial"/>
          <w:szCs w:val="20"/>
          <w:lang w:val="sl-SI"/>
        </w:rPr>
        <w:t>se tako z</w:t>
      </w:r>
      <w:r>
        <w:rPr>
          <w:szCs w:val="20"/>
          <w:lang w:val="sl-SI"/>
        </w:rPr>
        <w:t xml:space="preserve">aradi prenehanja začasno zmanjšanega kapitalskega ključa Malte v EMS </w:t>
      </w:r>
      <w:r w:rsidRPr="00C05371">
        <w:rPr>
          <w:rFonts w:cs="Arial"/>
          <w:szCs w:val="20"/>
          <w:lang w:val="sl-SI"/>
        </w:rPr>
        <w:t>zmanjša za 400.0</w:t>
      </w:r>
      <w:r>
        <w:rPr>
          <w:rFonts w:cs="Arial"/>
          <w:szCs w:val="20"/>
          <w:lang w:val="sl-SI"/>
        </w:rPr>
        <w:t>00,00 EUR (na 3.297.300.000,00 EUR), posledično pa tudi njen</w:t>
      </w:r>
      <w:r w:rsidRPr="00C05371">
        <w:rPr>
          <w:rFonts w:cs="Arial"/>
          <w:szCs w:val="20"/>
          <w:lang w:val="sl-SI"/>
        </w:rPr>
        <w:t xml:space="preserve"> prispevni ključ</w:t>
      </w:r>
      <w:r>
        <w:rPr>
          <w:rFonts w:cs="Arial"/>
          <w:szCs w:val="20"/>
          <w:lang w:val="sl-SI"/>
        </w:rPr>
        <w:t xml:space="preserve">, ki se </w:t>
      </w:r>
      <w:r w:rsidRPr="00C05371">
        <w:rPr>
          <w:rFonts w:cs="Arial"/>
          <w:szCs w:val="20"/>
          <w:lang w:val="sl-SI"/>
        </w:rPr>
        <w:t xml:space="preserve">iz 0,4679 </w:t>
      </w:r>
      <w:r>
        <w:rPr>
          <w:rFonts w:cs="Arial"/>
          <w:szCs w:val="20"/>
          <w:lang w:val="sl-SI"/>
        </w:rPr>
        <w:t xml:space="preserve">zmanjša </w:t>
      </w:r>
      <w:r w:rsidRPr="00C05371">
        <w:rPr>
          <w:rFonts w:cs="Arial"/>
          <w:szCs w:val="20"/>
          <w:lang w:val="sl-SI"/>
        </w:rPr>
        <w:t xml:space="preserve">na 0,4678. </w:t>
      </w:r>
    </w:p>
    <w:p w:rsidR="00772514" w:rsidRPr="000F3FC2" w:rsidRDefault="00772514" w:rsidP="00772514">
      <w:pPr>
        <w:jc w:val="both"/>
        <w:rPr>
          <w:rFonts w:cs="Arial"/>
          <w:szCs w:val="20"/>
          <w:lang w:val="sl-SI"/>
        </w:rPr>
      </w:pPr>
    </w:p>
    <w:p w:rsidR="00772514" w:rsidRDefault="00772514" w:rsidP="00772514">
      <w:pPr>
        <w:jc w:val="both"/>
        <w:rPr>
          <w:rFonts w:cs="Arial"/>
          <w:szCs w:val="20"/>
          <w:lang w:val="sl-SI"/>
        </w:rPr>
      </w:pPr>
      <w:r w:rsidRPr="000F3FC2">
        <w:rPr>
          <w:rFonts w:cs="Arial"/>
          <w:szCs w:val="20"/>
          <w:lang w:val="sl-SI"/>
        </w:rPr>
        <w:t xml:space="preserve">Skladno z zgoraj </w:t>
      </w:r>
      <w:r>
        <w:rPr>
          <w:rFonts w:cs="Arial"/>
          <w:szCs w:val="20"/>
          <w:lang w:val="sl-SI"/>
        </w:rPr>
        <w:t>navedenim</w:t>
      </w:r>
      <w:r w:rsidRPr="000F3FC2">
        <w:rPr>
          <w:rFonts w:cs="Arial"/>
          <w:szCs w:val="20"/>
          <w:lang w:val="sl-SI"/>
        </w:rPr>
        <w:t xml:space="preserve"> se predlaga, da Vlada RS </w:t>
      </w:r>
      <w:r>
        <w:rPr>
          <w:rFonts w:cs="Arial"/>
          <w:szCs w:val="20"/>
          <w:lang w:val="sl-SI"/>
        </w:rPr>
        <w:t>ratificira</w:t>
      </w:r>
      <w:r w:rsidRPr="000F3FC2">
        <w:rPr>
          <w:rFonts w:cs="Arial"/>
          <w:szCs w:val="20"/>
          <w:lang w:val="sl-SI"/>
        </w:rPr>
        <w:t xml:space="preserve"> spremembe aneksa I in II k Pogodbi o ustanovitvi Evropskega mehanizma za stabilnost, ki so posledica prenehanja začasnega popravka kapitalskega ključa za Malto</w:t>
      </w:r>
      <w:r>
        <w:rPr>
          <w:rFonts w:cs="Arial"/>
          <w:szCs w:val="20"/>
          <w:lang w:val="sl-SI"/>
        </w:rPr>
        <w:t xml:space="preserve">, in so konkretizacija prevzetih mednarodno-pravnih obveznosti, izhajajočih iz </w:t>
      </w:r>
      <w:r w:rsidRPr="0037643F">
        <w:rPr>
          <w:rFonts w:cs="Arial"/>
          <w:szCs w:val="20"/>
          <w:lang w:val="sl-SI"/>
        </w:rPr>
        <w:t>MPUEMS</w:t>
      </w:r>
      <w:r w:rsidRPr="000F3FC2">
        <w:rPr>
          <w:rFonts w:cs="Arial"/>
          <w:szCs w:val="20"/>
          <w:lang w:val="sl-SI"/>
        </w:rPr>
        <w:t>.</w:t>
      </w:r>
    </w:p>
    <w:p w:rsidR="00772514" w:rsidRDefault="00772514" w:rsidP="00772514">
      <w:pPr>
        <w:jc w:val="both"/>
        <w:rPr>
          <w:rFonts w:cs="Arial"/>
          <w:szCs w:val="20"/>
          <w:lang w:val="sl-SI"/>
        </w:rPr>
      </w:pPr>
    </w:p>
    <w:p w:rsidR="00772514" w:rsidRPr="00DA73E2" w:rsidRDefault="00772514" w:rsidP="00772514">
      <w:pPr>
        <w:jc w:val="both"/>
        <w:rPr>
          <w:rFonts w:cs="Arial"/>
          <w:szCs w:val="20"/>
          <w:lang w:val="sl-SI"/>
        </w:rPr>
      </w:pPr>
      <w:r>
        <w:rPr>
          <w:rFonts w:cs="Arial"/>
          <w:szCs w:val="20"/>
          <w:lang w:val="sl-SI"/>
        </w:rPr>
        <w:t>Iz Sklepa sveta guvernerjev izhaja, da u</w:t>
      </w:r>
      <w:r w:rsidRPr="00BF5C63">
        <w:rPr>
          <w:rFonts w:cs="Arial"/>
          <w:szCs w:val="20"/>
          <w:lang w:val="sl-SI"/>
        </w:rPr>
        <w:t xml:space="preserve">veljavitev spremenjenih </w:t>
      </w:r>
      <w:r w:rsidRPr="00E75446">
        <w:rPr>
          <w:rFonts w:cs="Arial"/>
          <w:szCs w:val="20"/>
          <w:lang w:val="sl-SI"/>
        </w:rPr>
        <w:t>Prilog I in II k pogodbi prične učinkovati z dnem, ko je zaključen prenos vpisanega kapitala ali 1. januarja</w:t>
      </w:r>
      <w:r>
        <w:rPr>
          <w:rFonts w:cs="Arial"/>
          <w:szCs w:val="20"/>
          <w:lang w:val="sl-SI"/>
        </w:rPr>
        <w:t xml:space="preserve"> 2020</w:t>
      </w:r>
      <w:r w:rsidRPr="00E75446">
        <w:rPr>
          <w:rFonts w:cs="Arial"/>
          <w:szCs w:val="20"/>
          <w:lang w:val="sl-SI"/>
        </w:rPr>
        <w:t>, kar je kasneje.</w:t>
      </w:r>
      <w:r w:rsidRPr="00DA73E2">
        <w:rPr>
          <w:rFonts w:cs="Arial"/>
          <w:szCs w:val="20"/>
          <w:lang w:val="sl-SI"/>
        </w:rPr>
        <w:t xml:space="preserve"> </w:t>
      </w:r>
    </w:p>
    <w:p w:rsidR="00493C15" w:rsidRPr="00CE1863" w:rsidRDefault="00493C15" w:rsidP="00493C15">
      <w:pPr>
        <w:tabs>
          <w:tab w:val="left" w:pos="5812"/>
        </w:tabs>
        <w:spacing w:line="276" w:lineRule="auto"/>
        <w:jc w:val="both"/>
        <w:rPr>
          <w:lang w:val="sl-SI"/>
        </w:rPr>
      </w:pPr>
    </w:p>
    <w:p w:rsidR="00772514" w:rsidRPr="00DA73E2" w:rsidRDefault="00772514" w:rsidP="00772514">
      <w:pPr>
        <w:spacing w:line="276" w:lineRule="auto"/>
        <w:rPr>
          <w:rFonts w:cs="Arial"/>
          <w:szCs w:val="20"/>
          <w:lang w:val="sl-SI"/>
        </w:rPr>
      </w:pPr>
      <w:r w:rsidRPr="00DA73E2">
        <w:rPr>
          <w:rFonts w:cs="Arial"/>
          <w:szCs w:val="20"/>
          <w:lang w:val="sl-SI"/>
        </w:rPr>
        <w:t xml:space="preserve">Za izvajanje </w:t>
      </w:r>
      <w:r>
        <w:rPr>
          <w:rFonts w:cs="Arial"/>
          <w:szCs w:val="20"/>
          <w:lang w:val="sl-SI"/>
        </w:rPr>
        <w:t>spremenjenih</w:t>
      </w:r>
      <w:r w:rsidRPr="00DA73E2">
        <w:rPr>
          <w:rFonts w:cs="Arial"/>
          <w:szCs w:val="20"/>
          <w:lang w:val="sl-SI"/>
        </w:rPr>
        <w:t xml:space="preserve"> Prilog I in II </w:t>
      </w:r>
      <w:r>
        <w:rPr>
          <w:rFonts w:cs="Arial"/>
          <w:szCs w:val="20"/>
          <w:lang w:val="sl-SI"/>
        </w:rPr>
        <w:t>skrbi</w:t>
      </w:r>
      <w:r w:rsidRPr="00DA73E2">
        <w:rPr>
          <w:rFonts w:cs="Arial"/>
          <w:szCs w:val="20"/>
          <w:lang w:val="sl-SI"/>
        </w:rPr>
        <w:t xml:space="preserve"> ministrstvo, pristojno za finance.</w:t>
      </w:r>
    </w:p>
    <w:p w:rsidR="00493C15" w:rsidRDefault="00493C15" w:rsidP="00CF3AD5">
      <w:pPr>
        <w:spacing w:line="276" w:lineRule="auto"/>
        <w:jc w:val="both"/>
        <w:rPr>
          <w:lang w:val="sl-SI"/>
        </w:rPr>
      </w:pPr>
    </w:p>
    <w:p w:rsidR="00493C15" w:rsidRDefault="003814A8" w:rsidP="00CF3AD5">
      <w:pPr>
        <w:spacing w:line="276" w:lineRule="auto"/>
        <w:jc w:val="both"/>
        <w:rPr>
          <w:lang w:val="sl-SI"/>
        </w:rPr>
      </w:pPr>
      <w:r>
        <w:rPr>
          <w:lang w:val="sl-SI"/>
        </w:rPr>
        <w:t>Spremenjeni p</w:t>
      </w:r>
      <w:r w:rsidR="00772514">
        <w:rPr>
          <w:lang w:val="sl-SI"/>
        </w:rPr>
        <w:t>rilogi</w:t>
      </w:r>
      <w:r w:rsidR="00493C15">
        <w:rPr>
          <w:lang w:val="sl-SI"/>
        </w:rPr>
        <w:t xml:space="preserve"> na podlagi </w:t>
      </w:r>
      <w:r w:rsidR="005043E4">
        <w:rPr>
          <w:lang w:val="sl-SI"/>
        </w:rPr>
        <w:t>prve</w:t>
      </w:r>
      <w:r w:rsidR="00493C15">
        <w:rPr>
          <w:lang w:val="sl-SI"/>
        </w:rPr>
        <w:t xml:space="preserve"> alineje 75. člena Zakona o zunanjih zadevah ratificira Vlada Republike Slovenije z uredbo.</w:t>
      </w:r>
    </w:p>
    <w:p w:rsidR="00493C15" w:rsidRDefault="00493C15" w:rsidP="00CF3AD5">
      <w:pPr>
        <w:spacing w:line="276" w:lineRule="auto"/>
        <w:ind w:right="-46"/>
        <w:rPr>
          <w:rFonts w:cs="Arial"/>
          <w:szCs w:val="20"/>
          <w:lang w:val="sl-SI"/>
        </w:rPr>
      </w:pPr>
    </w:p>
    <w:p w:rsidR="00493C15" w:rsidRPr="00CE1863" w:rsidRDefault="00772514" w:rsidP="00CF3AD5">
      <w:pPr>
        <w:spacing w:line="276" w:lineRule="auto"/>
        <w:ind w:right="-46"/>
        <w:rPr>
          <w:rFonts w:cs="Arial"/>
          <w:szCs w:val="20"/>
          <w:lang w:val="sl-SI"/>
        </w:rPr>
      </w:pPr>
      <w:r>
        <w:rPr>
          <w:rFonts w:cs="Arial"/>
          <w:szCs w:val="20"/>
          <w:lang w:val="sl-SI"/>
        </w:rPr>
        <w:t>Spremenjeni prilogi</w:t>
      </w:r>
      <w:r w:rsidR="00493C15" w:rsidRPr="00CE1863">
        <w:rPr>
          <w:rFonts w:cs="Arial"/>
          <w:szCs w:val="20"/>
          <w:lang w:val="sl-SI"/>
        </w:rPr>
        <w:t xml:space="preserve"> ne zahteva izdaje novih ali spremembe veljavnih predpisov.</w:t>
      </w:r>
    </w:p>
    <w:p w:rsidR="00493C15" w:rsidRPr="00CE1863" w:rsidRDefault="00493C15" w:rsidP="00CF3AD5">
      <w:pPr>
        <w:spacing w:line="276" w:lineRule="auto"/>
        <w:ind w:left="426" w:right="-46" w:hanging="426"/>
        <w:rPr>
          <w:rFonts w:cs="Arial"/>
          <w:szCs w:val="20"/>
          <w:lang w:val="sl-SI"/>
        </w:rPr>
      </w:pPr>
    </w:p>
    <w:p w:rsidR="00493C15" w:rsidRPr="00CE1863" w:rsidRDefault="00772514" w:rsidP="00CF3AD5">
      <w:pPr>
        <w:spacing w:line="276" w:lineRule="auto"/>
        <w:ind w:left="426" w:right="-46" w:hanging="426"/>
        <w:rPr>
          <w:rFonts w:cs="Arial"/>
          <w:szCs w:val="20"/>
          <w:lang w:val="sl-SI"/>
        </w:rPr>
      </w:pPr>
      <w:r>
        <w:rPr>
          <w:rFonts w:cs="Arial"/>
          <w:szCs w:val="20"/>
          <w:lang w:val="sl-SI"/>
        </w:rPr>
        <w:t>Spremenjeni prilogi</w:t>
      </w:r>
      <w:r w:rsidR="00493C15" w:rsidRPr="00CE1863">
        <w:rPr>
          <w:rFonts w:cs="Arial"/>
          <w:szCs w:val="20"/>
          <w:lang w:val="sl-SI"/>
        </w:rPr>
        <w:t xml:space="preserve"> ni</w:t>
      </w:r>
      <w:r>
        <w:rPr>
          <w:rFonts w:cs="Arial"/>
          <w:szCs w:val="20"/>
          <w:lang w:val="sl-SI"/>
        </w:rPr>
        <w:t>sta</w:t>
      </w:r>
      <w:r w:rsidR="00493C15" w:rsidRPr="00CE1863">
        <w:rPr>
          <w:rFonts w:cs="Arial"/>
          <w:szCs w:val="20"/>
          <w:lang w:val="sl-SI"/>
        </w:rPr>
        <w:t xml:space="preserve"> predmet usklajevanja s pravnim redom Evropske unije.</w:t>
      </w:r>
    </w:p>
    <w:p w:rsidR="00493C15" w:rsidRPr="002935D6" w:rsidRDefault="00493C15" w:rsidP="00CF3AD5">
      <w:pPr>
        <w:pStyle w:val="NoSpacing"/>
        <w:spacing w:line="276" w:lineRule="auto"/>
        <w:rPr>
          <w:rFonts w:ascii="Arial" w:hAnsi="Arial" w:cs="Arial"/>
          <w:sz w:val="20"/>
          <w:szCs w:val="20"/>
        </w:rPr>
      </w:pPr>
    </w:p>
    <w:p w:rsidR="00CE2F65" w:rsidRDefault="00CE2F65" w:rsidP="00371AD9">
      <w:pPr>
        <w:rPr>
          <w:lang w:val="sl-SI"/>
        </w:rPr>
      </w:pPr>
    </w:p>
    <w:sectPr w:rsidR="00CE2F65" w:rsidSect="003867D6">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1E" w:rsidRDefault="005C3D1E">
      <w:r>
        <w:separator/>
      </w:r>
    </w:p>
  </w:endnote>
  <w:endnote w:type="continuationSeparator" w:id="0">
    <w:p w:rsidR="005C3D1E" w:rsidRDefault="005C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1E" w:rsidRDefault="005C3D1E">
      <w:r>
        <w:separator/>
      </w:r>
    </w:p>
  </w:footnote>
  <w:footnote w:type="continuationSeparator" w:id="0">
    <w:p w:rsidR="005C3D1E" w:rsidRDefault="005C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1E" w:rsidRPr="00110CBD" w:rsidRDefault="005C3D1E"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C3D1E" w:rsidRPr="008F3500">
      <w:trPr>
        <w:cantSplit/>
        <w:trHeight w:hRule="exact" w:val="847"/>
      </w:trPr>
      <w:tc>
        <w:tcPr>
          <w:tcW w:w="567" w:type="dxa"/>
        </w:tcPr>
        <w:p w:rsidR="005C3D1E" w:rsidRPr="008F3500" w:rsidRDefault="005C3D1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CF5F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5C3D1E" w:rsidRPr="008F3500" w:rsidRDefault="005C3D1E"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5C3D1E" w:rsidRPr="008F3500" w:rsidRDefault="005C3D1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5C3D1E" w:rsidRPr="008F3500" w:rsidRDefault="005C3D1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5C3D1E" w:rsidRPr="008F3500" w:rsidRDefault="005C3D1E"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C3D1E" w:rsidRPr="008F3500" w:rsidRDefault="005C3D1E"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8054C3"/>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938AE"/>
    <w:multiLevelType w:val="multilevel"/>
    <w:tmpl w:val="8F32F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7"/>
  </w:num>
  <w:num w:numId="4">
    <w:abstractNumId w:val="2"/>
  </w:num>
  <w:num w:numId="5">
    <w:abstractNumId w:val="7"/>
  </w:num>
  <w:num w:numId="6">
    <w:abstractNumId w:val="8"/>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21"/>
  </w:num>
  <w:num w:numId="12">
    <w:abstractNumId w:val="15"/>
  </w:num>
  <w:num w:numId="13">
    <w:abstractNumId w:val="5"/>
  </w:num>
  <w:num w:numId="14">
    <w:abstractNumId w:val="23"/>
  </w:num>
  <w:num w:numId="15">
    <w:abstractNumId w:val="9"/>
  </w:num>
  <w:num w:numId="16">
    <w:abstractNumId w:val="3"/>
  </w:num>
  <w:num w:numId="17">
    <w:abstractNumId w:val="20"/>
  </w:num>
  <w:num w:numId="18">
    <w:abstractNumId w:val="6"/>
  </w:num>
  <w:num w:numId="19">
    <w:abstractNumId w:val="24"/>
  </w:num>
  <w:num w:numId="20">
    <w:abstractNumId w:val="22"/>
  </w:num>
  <w:num w:numId="21">
    <w:abstractNumId w:val="27"/>
  </w:num>
  <w:num w:numId="22">
    <w:abstractNumId w:val="30"/>
  </w:num>
  <w:num w:numId="23">
    <w:abstractNumId w:val="16"/>
  </w:num>
  <w:num w:numId="24">
    <w:abstractNumId w:val="11"/>
  </w:num>
  <w:num w:numId="25">
    <w:abstractNumId w:val="19"/>
  </w:num>
  <w:num w:numId="26">
    <w:abstractNumId w:val="26"/>
  </w:num>
  <w:num w:numId="27">
    <w:abstractNumId w:val="10"/>
  </w:num>
  <w:num w:numId="28">
    <w:abstractNumId w:val="28"/>
  </w:num>
  <w:num w:numId="29">
    <w:abstractNumId w:val="0"/>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15"/>
    <w:rsid w:val="00020B93"/>
    <w:rsid w:val="00023A88"/>
    <w:rsid w:val="0003753F"/>
    <w:rsid w:val="00054E71"/>
    <w:rsid w:val="000A7238"/>
    <w:rsid w:val="000D4AB0"/>
    <w:rsid w:val="00101022"/>
    <w:rsid w:val="001357B2"/>
    <w:rsid w:val="0017478F"/>
    <w:rsid w:val="00180A4E"/>
    <w:rsid w:val="0019464B"/>
    <w:rsid w:val="001F7BDF"/>
    <w:rsid w:val="00202A77"/>
    <w:rsid w:val="00226842"/>
    <w:rsid w:val="00253A9E"/>
    <w:rsid w:val="00271CE5"/>
    <w:rsid w:val="00282020"/>
    <w:rsid w:val="00297CB5"/>
    <w:rsid w:val="002A2B69"/>
    <w:rsid w:val="002F1547"/>
    <w:rsid w:val="0035454B"/>
    <w:rsid w:val="003636BF"/>
    <w:rsid w:val="00371442"/>
    <w:rsid w:val="00371AD9"/>
    <w:rsid w:val="003814A8"/>
    <w:rsid w:val="00382EAC"/>
    <w:rsid w:val="003845B4"/>
    <w:rsid w:val="003867D6"/>
    <w:rsid w:val="00387B1A"/>
    <w:rsid w:val="0039007E"/>
    <w:rsid w:val="003B12C4"/>
    <w:rsid w:val="003B36B8"/>
    <w:rsid w:val="003B39A7"/>
    <w:rsid w:val="003C5EE5"/>
    <w:rsid w:val="003E1C74"/>
    <w:rsid w:val="003E2A3B"/>
    <w:rsid w:val="0040286D"/>
    <w:rsid w:val="004101BC"/>
    <w:rsid w:val="00417075"/>
    <w:rsid w:val="00437EC4"/>
    <w:rsid w:val="004657EE"/>
    <w:rsid w:val="0048483F"/>
    <w:rsid w:val="00493C15"/>
    <w:rsid w:val="00500548"/>
    <w:rsid w:val="00500EDE"/>
    <w:rsid w:val="00501604"/>
    <w:rsid w:val="005043E4"/>
    <w:rsid w:val="00526246"/>
    <w:rsid w:val="00564340"/>
    <w:rsid w:val="00566636"/>
    <w:rsid w:val="00567106"/>
    <w:rsid w:val="005B5AD5"/>
    <w:rsid w:val="005C3D1E"/>
    <w:rsid w:val="005D4391"/>
    <w:rsid w:val="005E1D3C"/>
    <w:rsid w:val="006015C6"/>
    <w:rsid w:val="00610991"/>
    <w:rsid w:val="00625AE6"/>
    <w:rsid w:val="00632253"/>
    <w:rsid w:val="0063335B"/>
    <w:rsid w:val="00640DA2"/>
    <w:rsid w:val="00642714"/>
    <w:rsid w:val="006455CE"/>
    <w:rsid w:val="00652456"/>
    <w:rsid w:val="00655841"/>
    <w:rsid w:val="006661CF"/>
    <w:rsid w:val="006A5494"/>
    <w:rsid w:val="006B234E"/>
    <w:rsid w:val="007125BA"/>
    <w:rsid w:val="00723C31"/>
    <w:rsid w:val="00723C44"/>
    <w:rsid w:val="00733017"/>
    <w:rsid w:val="00766191"/>
    <w:rsid w:val="00772514"/>
    <w:rsid w:val="00783310"/>
    <w:rsid w:val="00785ED4"/>
    <w:rsid w:val="007908F6"/>
    <w:rsid w:val="007A4A6D"/>
    <w:rsid w:val="007C16D7"/>
    <w:rsid w:val="007D1BCF"/>
    <w:rsid w:val="007D4501"/>
    <w:rsid w:val="007D75CF"/>
    <w:rsid w:val="007E0440"/>
    <w:rsid w:val="007E6DC5"/>
    <w:rsid w:val="008337E5"/>
    <w:rsid w:val="008360FE"/>
    <w:rsid w:val="008601A1"/>
    <w:rsid w:val="0086141F"/>
    <w:rsid w:val="0088043C"/>
    <w:rsid w:val="00884889"/>
    <w:rsid w:val="008906C9"/>
    <w:rsid w:val="008A4FE3"/>
    <w:rsid w:val="008C5738"/>
    <w:rsid w:val="008D04F0"/>
    <w:rsid w:val="008F3500"/>
    <w:rsid w:val="00924E3C"/>
    <w:rsid w:val="00944647"/>
    <w:rsid w:val="009612BB"/>
    <w:rsid w:val="009756DE"/>
    <w:rsid w:val="00980CBD"/>
    <w:rsid w:val="00990861"/>
    <w:rsid w:val="009C740A"/>
    <w:rsid w:val="009F2605"/>
    <w:rsid w:val="00A014A9"/>
    <w:rsid w:val="00A125C5"/>
    <w:rsid w:val="00A2451C"/>
    <w:rsid w:val="00A35932"/>
    <w:rsid w:val="00A63CE6"/>
    <w:rsid w:val="00A65EE7"/>
    <w:rsid w:val="00A70133"/>
    <w:rsid w:val="00A770A6"/>
    <w:rsid w:val="00A813B1"/>
    <w:rsid w:val="00A821AE"/>
    <w:rsid w:val="00AB36C4"/>
    <w:rsid w:val="00AC32B2"/>
    <w:rsid w:val="00AF2AF4"/>
    <w:rsid w:val="00B17141"/>
    <w:rsid w:val="00B208AB"/>
    <w:rsid w:val="00B24B60"/>
    <w:rsid w:val="00B31575"/>
    <w:rsid w:val="00B52351"/>
    <w:rsid w:val="00B541F9"/>
    <w:rsid w:val="00B80B1D"/>
    <w:rsid w:val="00B8547D"/>
    <w:rsid w:val="00B876EB"/>
    <w:rsid w:val="00BA595A"/>
    <w:rsid w:val="00BE1017"/>
    <w:rsid w:val="00BE6BA2"/>
    <w:rsid w:val="00BF1D92"/>
    <w:rsid w:val="00BF609A"/>
    <w:rsid w:val="00C250D5"/>
    <w:rsid w:val="00C35666"/>
    <w:rsid w:val="00C92898"/>
    <w:rsid w:val="00CA4340"/>
    <w:rsid w:val="00CE1C41"/>
    <w:rsid w:val="00CE2F65"/>
    <w:rsid w:val="00CE5238"/>
    <w:rsid w:val="00CE7514"/>
    <w:rsid w:val="00CF3AD5"/>
    <w:rsid w:val="00D04A03"/>
    <w:rsid w:val="00D14841"/>
    <w:rsid w:val="00D173C7"/>
    <w:rsid w:val="00D17B79"/>
    <w:rsid w:val="00D2064F"/>
    <w:rsid w:val="00D2194D"/>
    <w:rsid w:val="00D248DE"/>
    <w:rsid w:val="00D44F46"/>
    <w:rsid w:val="00D462DB"/>
    <w:rsid w:val="00D60743"/>
    <w:rsid w:val="00D8542D"/>
    <w:rsid w:val="00D90E3D"/>
    <w:rsid w:val="00D95C3D"/>
    <w:rsid w:val="00DB43D9"/>
    <w:rsid w:val="00DC6A71"/>
    <w:rsid w:val="00DD12A8"/>
    <w:rsid w:val="00DE7E80"/>
    <w:rsid w:val="00E0357D"/>
    <w:rsid w:val="00E30B34"/>
    <w:rsid w:val="00E561F7"/>
    <w:rsid w:val="00E8333A"/>
    <w:rsid w:val="00EA49E2"/>
    <w:rsid w:val="00EA7BD6"/>
    <w:rsid w:val="00EB3117"/>
    <w:rsid w:val="00ED1C3E"/>
    <w:rsid w:val="00EE3D91"/>
    <w:rsid w:val="00F07084"/>
    <w:rsid w:val="00F16834"/>
    <w:rsid w:val="00F240BB"/>
    <w:rsid w:val="00F53E41"/>
    <w:rsid w:val="00F57FED"/>
    <w:rsid w:val="00F6580B"/>
    <w:rsid w:val="00F93478"/>
    <w:rsid w:val="00FC3B4F"/>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1816B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493C15"/>
    <w:rPr>
      <w:rFonts w:ascii="Calibri" w:eastAsia="Calibri" w:hAnsi="Calibri"/>
      <w:sz w:val="22"/>
      <w:szCs w:val="22"/>
      <w:lang w:eastAsia="en-US"/>
    </w:rPr>
  </w:style>
  <w:style w:type="paragraph" w:styleId="BodyText">
    <w:name w:val="Body Text"/>
    <w:basedOn w:val="Normal"/>
    <w:link w:val="BodyTextChar"/>
    <w:rsid w:val="00493C15"/>
    <w:pPr>
      <w:spacing w:after="120"/>
    </w:pPr>
  </w:style>
  <w:style w:type="character" w:customStyle="1" w:styleId="BodyTextChar">
    <w:name w:val="Body Text Char"/>
    <w:basedOn w:val="DefaultParagraphFont"/>
    <w:link w:val="BodyText"/>
    <w:rsid w:val="00493C15"/>
    <w:rPr>
      <w:rFonts w:ascii="Arial" w:hAnsi="Arial"/>
      <w:szCs w:val="24"/>
      <w:lang w:val="en-US" w:eastAsia="en-US"/>
    </w:rPr>
  </w:style>
  <w:style w:type="character" w:customStyle="1" w:styleId="Bodytext3">
    <w:name w:val="Body text (3)_"/>
    <w:basedOn w:val="DefaultParagraphFont"/>
    <w:link w:val="Bodytext31"/>
    <w:uiPriority w:val="99"/>
    <w:locked/>
    <w:rsid w:val="00493C15"/>
    <w:rPr>
      <w:rFonts w:ascii="Arial" w:hAnsi="Arial" w:cs="Arial"/>
      <w:b/>
      <w:bCs/>
      <w:shd w:val="clear" w:color="auto" w:fill="FFFFFF"/>
      <w:lang w:val="de-DE" w:eastAsia="de-DE"/>
    </w:rPr>
  </w:style>
  <w:style w:type="character" w:customStyle="1" w:styleId="Bodytext30">
    <w:name w:val="Body text (3)"/>
    <w:basedOn w:val="Bodytext3"/>
    <w:uiPriority w:val="99"/>
    <w:rsid w:val="00493C15"/>
    <w:rPr>
      <w:rFonts w:ascii="Arial" w:hAnsi="Arial" w:cs="Arial"/>
      <w:b/>
      <w:bCs/>
      <w:u w:val="single"/>
      <w:shd w:val="clear" w:color="auto" w:fill="FFFFFF"/>
      <w:lang w:val="de-DE" w:eastAsia="de-DE"/>
    </w:rPr>
  </w:style>
  <w:style w:type="character" w:customStyle="1" w:styleId="Bodytext2">
    <w:name w:val="Body text (2)_"/>
    <w:basedOn w:val="DefaultParagraphFont"/>
    <w:link w:val="Bodytext21"/>
    <w:uiPriority w:val="99"/>
    <w:locked/>
    <w:rsid w:val="00493C15"/>
    <w:rPr>
      <w:rFonts w:ascii="Arial" w:hAnsi="Arial" w:cs="Arial"/>
      <w:shd w:val="clear" w:color="auto" w:fill="FFFFFF"/>
    </w:rPr>
  </w:style>
  <w:style w:type="character" w:customStyle="1" w:styleId="Bodytext2Italic">
    <w:name w:val="Body text (2) + Italic"/>
    <w:basedOn w:val="Bodytext2"/>
    <w:uiPriority w:val="99"/>
    <w:rsid w:val="00493C15"/>
    <w:rPr>
      <w:rFonts w:ascii="Arial" w:hAnsi="Arial" w:cs="Arial"/>
      <w:i/>
      <w:iCs/>
      <w:shd w:val="clear" w:color="auto" w:fill="FFFFFF"/>
    </w:rPr>
  </w:style>
  <w:style w:type="paragraph" w:customStyle="1" w:styleId="Bodytext31">
    <w:name w:val="Body text (3)1"/>
    <w:basedOn w:val="Normal"/>
    <w:link w:val="Bodytext3"/>
    <w:uiPriority w:val="99"/>
    <w:rsid w:val="00493C15"/>
    <w:pPr>
      <w:widowControl w:val="0"/>
      <w:shd w:val="clear" w:color="auto" w:fill="FFFFFF"/>
      <w:spacing w:after="360" w:line="240" w:lineRule="atLeast"/>
      <w:jc w:val="center"/>
    </w:pPr>
    <w:rPr>
      <w:rFonts w:cs="Arial"/>
      <w:b/>
      <w:bCs/>
      <w:szCs w:val="20"/>
      <w:lang w:val="de-DE" w:eastAsia="de-DE"/>
    </w:rPr>
  </w:style>
  <w:style w:type="paragraph" w:customStyle="1" w:styleId="Bodytext21">
    <w:name w:val="Body text (2)1"/>
    <w:basedOn w:val="Normal"/>
    <w:link w:val="Bodytext2"/>
    <w:uiPriority w:val="99"/>
    <w:rsid w:val="00493C15"/>
    <w:pPr>
      <w:widowControl w:val="0"/>
      <w:shd w:val="clear" w:color="auto" w:fill="FFFFFF"/>
      <w:spacing w:before="360" w:after="240" w:line="298" w:lineRule="exact"/>
      <w:ind w:hanging="400"/>
      <w:jc w:val="both"/>
    </w:pPr>
    <w:rPr>
      <w:rFonts w:cs="Arial"/>
      <w:szCs w:val="20"/>
      <w:lang w:val="sl-SI" w:eastAsia="sl-SI"/>
    </w:rPr>
  </w:style>
  <w:style w:type="paragraph" w:styleId="PlainText">
    <w:name w:val="Plain Text"/>
    <w:basedOn w:val="Normal"/>
    <w:link w:val="PlainTextChar"/>
    <w:rsid w:val="00B208AB"/>
    <w:pPr>
      <w:spacing w:line="240" w:lineRule="auto"/>
    </w:pPr>
    <w:rPr>
      <w:rFonts w:ascii="Courier New" w:hAnsi="Courier New"/>
      <w:szCs w:val="20"/>
      <w:lang w:val="x-none"/>
    </w:rPr>
  </w:style>
  <w:style w:type="character" w:customStyle="1" w:styleId="PlainTextChar">
    <w:name w:val="Plain Text Char"/>
    <w:basedOn w:val="DefaultParagraphFont"/>
    <w:link w:val="PlainText"/>
    <w:rsid w:val="00B208AB"/>
    <w:rPr>
      <w:rFonts w:ascii="Courier New" w:hAnsi="Courier New"/>
      <w:lang w:val="x-none" w:eastAsia="en-US"/>
    </w:rPr>
  </w:style>
  <w:style w:type="paragraph" w:customStyle="1" w:styleId="ZnakZnak1">
    <w:name w:val="Znak Znak1"/>
    <w:basedOn w:val="Normal"/>
    <w:rsid w:val="00723C44"/>
    <w:pPr>
      <w:spacing w:after="160" w:line="240" w:lineRule="exact"/>
    </w:pPr>
    <w:rPr>
      <w:rFonts w:ascii="Tahoma" w:hAnsi="Tahoma" w:cs="Tahoma"/>
      <w:color w:val="222222"/>
      <w:szCs w:val="20"/>
    </w:rPr>
  </w:style>
  <w:style w:type="paragraph" w:customStyle="1" w:styleId="CG-SingleSp05">
    <w:name w:val="CG-Single Sp 0.5"/>
    <w:aliases w:val="s2"/>
    <w:basedOn w:val="Normal"/>
    <w:rsid w:val="00772514"/>
    <w:pPr>
      <w:spacing w:after="240" w:line="264" w:lineRule="auto"/>
      <w:ind w:firstLine="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12</Pages>
  <Words>2520</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18135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2020-06-16T10:42:00Z</dcterms:created>
  <dcterms:modified xsi:type="dcterms:W3CDTF">2020-07-15T09:27:00Z</dcterms:modified>
</cp:coreProperties>
</file>