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1C6B1" w14:textId="77777777" w:rsidR="003B301D" w:rsidRDefault="003B301D" w:rsidP="002267BF">
      <w:pPr>
        <w:spacing w:line="260" w:lineRule="exact"/>
        <w:outlineLvl w:val="0"/>
        <w:rPr>
          <w:rFonts w:cs="Arial"/>
          <w:b/>
          <w:lang w:eastAsia="sl-SI"/>
        </w:rPr>
      </w:pPr>
      <w:r>
        <w:rPr>
          <w:rFonts w:cs="Arial"/>
          <w:b/>
          <w:lang w:eastAsia="sl-SI"/>
        </w:rPr>
        <w:t xml:space="preserve">PRILOGA 1   </w:t>
      </w:r>
    </w:p>
    <w:p w14:paraId="7AE06F68" w14:textId="77777777" w:rsidR="003B301D" w:rsidRDefault="003B301D" w:rsidP="002267BF">
      <w:pPr>
        <w:spacing w:line="260" w:lineRule="exact"/>
        <w:outlineLvl w:val="0"/>
        <w:rPr>
          <w:rFonts w:cs="Arial"/>
          <w:lang w:eastAsia="sl-SI"/>
        </w:rPr>
      </w:pPr>
    </w:p>
    <w:p w14:paraId="0F1ED368" w14:textId="77777777" w:rsidR="003B301D" w:rsidRDefault="003B301D" w:rsidP="002267BF">
      <w:pPr>
        <w:spacing w:line="260" w:lineRule="exact"/>
        <w:rPr>
          <w:rFonts w:cs="Arial"/>
          <w:lang w:eastAsia="sl-SI"/>
        </w:rPr>
      </w:pPr>
    </w:p>
    <w:p w14:paraId="2CA1028A" w14:textId="77777777" w:rsidR="003B301D" w:rsidRDefault="003B301D" w:rsidP="002267BF">
      <w:pPr>
        <w:spacing w:line="260" w:lineRule="exact"/>
        <w:rPr>
          <w:rFonts w:cs="Arial"/>
          <w:b/>
          <w:lang w:eastAsia="sl-SI"/>
        </w:rPr>
      </w:pPr>
      <w:r>
        <w:rPr>
          <w:rFonts w:cs="Arial"/>
          <w:b/>
          <w:lang w:eastAsia="sl-SI"/>
        </w:rPr>
        <w:t>1.</w:t>
      </w:r>
      <w:r>
        <w:rPr>
          <w:rFonts w:cs="Arial"/>
          <w:b/>
          <w:lang w:eastAsia="sl-SI"/>
        </w:rPr>
        <w:tab/>
        <w:t>Pravila za določanje referenčne cene električne energije</w:t>
      </w:r>
    </w:p>
    <w:p w14:paraId="37EB4618" w14:textId="77777777" w:rsidR="003B301D" w:rsidRDefault="003B301D" w:rsidP="002267BF">
      <w:pPr>
        <w:spacing w:line="260" w:lineRule="exact"/>
        <w:rPr>
          <w:rFonts w:cs="Arial"/>
          <w:lang w:eastAsia="sl-SI"/>
        </w:rPr>
      </w:pPr>
    </w:p>
    <w:p w14:paraId="57ECD804" w14:textId="77777777" w:rsidR="003B301D" w:rsidRDefault="003B301D" w:rsidP="002267BF">
      <w:pPr>
        <w:spacing w:line="260" w:lineRule="exact"/>
        <w:jc w:val="both"/>
        <w:rPr>
          <w:rFonts w:cs="Arial"/>
          <w:lang w:eastAsia="sl-SI"/>
        </w:rPr>
      </w:pPr>
      <w:r>
        <w:rPr>
          <w:rFonts w:cs="Arial"/>
          <w:lang w:eastAsia="sl-SI"/>
        </w:rPr>
        <w:t>Referenčna cena električne energije se določi na podlagi cenovnega modela, ki upošteva cene izvedenih finančnih instrumentov na madžarski borzi HUDEX (Hungarian Derivative Energy Exchange) za prihodnje leto.</w:t>
      </w:r>
    </w:p>
    <w:p w14:paraId="3427EE5E" w14:textId="77777777" w:rsidR="003B301D" w:rsidRDefault="003B301D" w:rsidP="002267BF">
      <w:pPr>
        <w:spacing w:line="260" w:lineRule="exact"/>
        <w:jc w:val="both"/>
        <w:rPr>
          <w:rFonts w:cs="Arial"/>
          <w:lang w:eastAsia="sl-SI"/>
        </w:rPr>
      </w:pPr>
    </w:p>
    <w:p w14:paraId="7AF0489D" w14:textId="77777777" w:rsidR="003B301D" w:rsidRDefault="003B301D" w:rsidP="002267BF">
      <w:pPr>
        <w:spacing w:line="260" w:lineRule="exact"/>
        <w:jc w:val="both"/>
        <w:rPr>
          <w:rFonts w:cs="Arial"/>
          <w:lang w:eastAsia="sl-SI"/>
        </w:rPr>
      </w:pPr>
      <w:r>
        <w:rPr>
          <w:rFonts w:cs="Arial"/>
          <w:lang w:eastAsia="sl-SI"/>
        </w:rPr>
        <w:t xml:space="preserve">Referenčna cena električne energije se izračuna po naslednjem cenovnem modelu: </w:t>
      </w:r>
    </w:p>
    <w:p w14:paraId="6F1E9F46" w14:textId="77777777" w:rsidR="003B301D" w:rsidRDefault="003B301D" w:rsidP="002267BF">
      <w:pPr>
        <w:spacing w:line="260" w:lineRule="exact"/>
        <w:jc w:val="both"/>
        <w:rPr>
          <w:rFonts w:cs="Arial"/>
          <w:lang w:eastAsia="sl-SI"/>
        </w:rPr>
      </w:pPr>
    </w:p>
    <w:p w14:paraId="04D14488" w14:textId="77777777" w:rsidR="003B301D" w:rsidRDefault="003B301D" w:rsidP="002267BF">
      <w:pPr>
        <w:spacing w:line="260" w:lineRule="exact"/>
        <w:rPr>
          <w:rFonts w:cs="Arial"/>
          <w:b/>
          <w:i/>
          <w:lang w:eastAsia="sl-SI"/>
        </w:rPr>
      </w:pPr>
      <w:r>
        <w:rPr>
          <w:rFonts w:cs="Arial"/>
          <w:b/>
          <w:i/>
          <w:lang w:eastAsia="sl-SI"/>
        </w:rPr>
        <w:t>C(El</w:t>
      </w:r>
      <w:r>
        <w:rPr>
          <w:rFonts w:cs="Arial"/>
          <w:b/>
          <w:i/>
          <w:vertAlign w:val="subscript"/>
          <w:lang w:eastAsia="sl-SI"/>
        </w:rPr>
        <w:t>Ref</w:t>
      </w:r>
      <w:r>
        <w:rPr>
          <w:rFonts w:cs="Arial"/>
          <w:b/>
          <w:i/>
          <w:lang w:eastAsia="sl-SI"/>
        </w:rPr>
        <w:t>) = BL YR + 1</w:t>
      </w:r>
    </w:p>
    <w:p w14:paraId="6B3ED1DF" w14:textId="77777777" w:rsidR="003B301D" w:rsidRDefault="003B301D" w:rsidP="002267BF">
      <w:pPr>
        <w:spacing w:line="260" w:lineRule="exact"/>
        <w:jc w:val="both"/>
        <w:rPr>
          <w:rFonts w:cs="Arial"/>
          <w:lang w:eastAsia="sl-SI"/>
        </w:rPr>
      </w:pPr>
    </w:p>
    <w:p w14:paraId="600EC359" w14:textId="297F103F" w:rsidR="003B301D" w:rsidRDefault="002267BF" w:rsidP="002267BF">
      <w:pPr>
        <w:spacing w:line="260" w:lineRule="exact"/>
        <w:jc w:val="both"/>
        <w:rPr>
          <w:rFonts w:cs="Arial"/>
          <w:lang w:eastAsia="sl-SI"/>
        </w:rPr>
      </w:pPr>
      <w:r>
        <w:rPr>
          <w:rFonts w:cs="Arial"/>
          <w:lang w:eastAsia="sl-SI"/>
        </w:rPr>
        <w:t xml:space="preserve">V zgornjem modelu je: </w:t>
      </w:r>
    </w:p>
    <w:p w14:paraId="31691017" w14:textId="0EF432F8" w:rsidR="003B301D" w:rsidRDefault="003B301D" w:rsidP="00070DB4">
      <w:pPr>
        <w:numPr>
          <w:ilvl w:val="0"/>
          <w:numId w:val="1"/>
        </w:numPr>
        <w:spacing w:line="260" w:lineRule="exact"/>
        <w:ind w:hanging="720"/>
        <w:jc w:val="both"/>
        <w:rPr>
          <w:rFonts w:cs="Arial"/>
          <w:lang w:eastAsia="sl-SI"/>
        </w:rPr>
      </w:pPr>
      <w:r>
        <w:rPr>
          <w:rFonts w:cs="Arial"/>
          <w:lang w:eastAsia="sl-SI"/>
        </w:rPr>
        <w:t>C(El</w:t>
      </w:r>
      <w:r>
        <w:rPr>
          <w:rFonts w:cs="Arial"/>
          <w:vertAlign w:val="subscript"/>
          <w:lang w:eastAsia="sl-SI"/>
        </w:rPr>
        <w:t>Ref</w:t>
      </w:r>
      <w:r w:rsidR="0081574C">
        <w:rPr>
          <w:rFonts w:cs="Arial"/>
          <w:lang w:eastAsia="sl-SI"/>
        </w:rPr>
        <w:t>)</w:t>
      </w:r>
      <w:r w:rsidR="0081574C">
        <w:rPr>
          <w:rFonts w:cs="Arial"/>
          <w:lang w:eastAsia="sl-SI"/>
        </w:rPr>
        <w:tab/>
      </w:r>
      <w:r>
        <w:rPr>
          <w:rFonts w:cs="Arial"/>
          <w:lang w:eastAsia="sl-SI"/>
        </w:rPr>
        <w:t xml:space="preserve">referenčna cena električne energije v EUR/MWh, </w:t>
      </w:r>
    </w:p>
    <w:p w14:paraId="2425E369" w14:textId="24E5B0EA" w:rsidR="003B301D" w:rsidRPr="0081574C" w:rsidRDefault="003B301D" w:rsidP="0081574C">
      <w:pPr>
        <w:numPr>
          <w:ilvl w:val="0"/>
          <w:numId w:val="1"/>
        </w:numPr>
        <w:spacing w:line="260" w:lineRule="exact"/>
        <w:ind w:hanging="720"/>
        <w:jc w:val="both"/>
        <w:rPr>
          <w:rFonts w:cs="Arial"/>
          <w:lang w:eastAsia="sl-SI"/>
        </w:rPr>
      </w:pPr>
      <w:r>
        <w:rPr>
          <w:rFonts w:cs="Arial"/>
          <w:lang w:eastAsia="sl-SI"/>
        </w:rPr>
        <w:t xml:space="preserve">BL YR + </w:t>
      </w:r>
      <w:r w:rsidRPr="0081574C">
        <w:rPr>
          <w:rFonts w:cs="Arial"/>
          <w:lang w:eastAsia="sl-SI"/>
        </w:rPr>
        <w:t>1cena</w:t>
      </w:r>
      <w:r>
        <w:rPr>
          <w:rFonts w:cs="Arial"/>
          <w:lang w:eastAsia="sl-SI"/>
        </w:rPr>
        <w:t xml:space="preserve"> produkta »HUDEX Hungarian Financial Power Base Load </w:t>
      </w:r>
      <w:r w:rsidRPr="0081574C">
        <w:rPr>
          <w:rFonts w:cs="Arial"/>
          <w:lang w:eastAsia="sl-SI"/>
        </w:rPr>
        <w:t xml:space="preserve">Product« na borzi HUDEX za prihodnje leto v EUR/MWh. </w:t>
      </w:r>
    </w:p>
    <w:p w14:paraId="5C920796" w14:textId="77777777" w:rsidR="003B301D" w:rsidRDefault="003B301D" w:rsidP="00070DB4">
      <w:pPr>
        <w:spacing w:line="260" w:lineRule="exact"/>
        <w:ind w:left="708"/>
        <w:jc w:val="both"/>
        <w:rPr>
          <w:rFonts w:cs="Arial"/>
          <w:lang w:eastAsia="sl-SI"/>
        </w:rPr>
      </w:pPr>
    </w:p>
    <w:p w14:paraId="6939FA87" w14:textId="189F1EFE" w:rsidR="003B301D" w:rsidRDefault="003B301D" w:rsidP="002267BF">
      <w:pPr>
        <w:spacing w:line="260" w:lineRule="exact"/>
        <w:jc w:val="both"/>
        <w:rPr>
          <w:rFonts w:cs="Arial"/>
          <w:lang w:eastAsia="sl-SI"/>
        </w:rPr>
      </w:pPr>
      <w:r>
        <w:rPr>
          <w:rFonts w:cs="Arial"/>
          <w:lang w:eastAsia="sl-SI"/>
        </w:rPr>
        <w:t xml:space="preserve">Pri določitvi BL YR + 1 se uporabi povprečje doseženih zaključnih trgovalnih cen produkta za </w:t>
      </w:r>
      <w:r w:rsidR="002267BF">
        <w:rPr>
          <w:rFonts w:cs="Arial"/>
          <w:lang w:eastAsia="sl-SI"/>
        </w:rPr>
        <w:br/>
      </w:r>
      <w:r>
        <w:rPr>
          <w:rFonts w:cs="Arial"/>
          <w:lang w:eastAsia="sl-SI"/>
        </w:rPr>
        <w:t>40 trgovalnih dni pred 25. oktobrom tekočega leta. Vrednost se zaokroži na dve decimalni mesti.</w:t>
      </w:r>
    </w:p>
    <w:p w14:paraId="704D029A" w14:textId="77777777" w:rsidR="003B301D" w:rsidRDefault="003B301D" w:rsidP="002267BF">
      <w:pPr>
        <w:spacing w:line="260" w:lineRule="exact"/>
        <w:jc w:val="both"/>
        <w:rPr>
          <w:rFonts w:cs="Arial"/>
          <w:lang w:eastAsia="sl-SI"/>
        </w:rPr>
      </w:pPr>
    </w:p>
    <w:p w14:paraId="5569CDEC" w14:textId="77777777" w:rsidR="003B301D" w:rsidRDefault="003B301D" w:rsidP="002267BF">
      <w:pPr>
        <w:spacing w:line="260" w:lineRule="exact"/>
        <w:jc w:val="both"/>
        <w:rPr>
          <w:rFonts w:cs="Arial"/>
          <w:lang w:eastAsia="sl-SI"/>
        </w:rPr>
      </w:pPr>
    </w:p>
    <w:p w14:paraId="570DB9DD" w14:textId="77777777" w:rsidR="003B301D" w:rsidRDefault="003B301D" w:rsidP="002267BF">
      <w:pPr>
        <w:spacing w:line="260" w:lineRule="exact"/>
        <w:rPr>
          <w:rFonts w:cs="Arial"/>
          <w:b/>
          <w:lang w:eastAsia="sl-SI"/>
        </w:rPr>
      </w:pPr>
      <w:r>
        <w:rPr>
          <w:rFonts w:cs="Arial"/>
          <w:b/>
          <w:lang w:eastAsia="sl-SI"/>
        </w:rPr>
        <w:t>2.</w:t>
      </w:r>
      <w:r>
        <w:rPr>
          <w:rFonts w:cs="Arial"/>
          <w:b/>
          <w:lang w:eastAsia="sl-SI"/>
        </w:rPr>
        <w:tab/>
        <w:t>Pravila za določanje referenčne cene zemeljskega plina</w:t>
      </w:r>
    </w:p>
    <w:p w14:paraId="44A0390A" w14:textId="77777777" w:rsidR="003B301D" w:rsidRDefault="003B301D" w:rsidP="002267BF">
      <w:pPr>
        <w:spacing w:line="260" w:lineRule="exact"/>
        <w:rPr>
          <w:rFonts w:cs="Arial"/>
          <w:lang w:eastAsia="sl-SI"/>
        </w:rPr>
      </w:pPr>
    </w:p>
    <w:p w14:paraId="51B901BC" w14:textId="77777777" w:rsidR="003B301D" w:rsidRDefault="003B301D" w:rsidP="002267BF">
      <w:pPr>
        <w:spacing w:line="260" w:lineRule="exact"/>
        <w:jc w:val="both"/>
        <w:rPr>
          <w:rFonts w:cs="Arial"/>
          <w:lang w:eastAsia="sl-SI"/>
        </w:rPr>
      </w:pPr>
      <w:r>
        <w:rPr>
          <w:rFonts w:cs="Arial"/>
          <w:lang w:eastAsia="sl-SI"/>
        </w:rPr>
        <w:t>Referenčna cena zemeljskega plina se v napovedi določi na podlagi cenovnega modela, ki upošteva cene kvartalnih tržnih produktov na plinskem vozlišču CEGH na Dunaju za prihodnje leto ter izstopno in vstopno ceno zakupa prenosnih zmogljivosti na meji med Republiko Slovenijo in Republiko Avstrijo za prihodnje leto.</w:t>
      </w:r>
    </w:p>
    <w:p w14:paraId="41845F9D" w14:textId="77777777" w:rsidR="003B301D" w:rsidRDefault="003B301D" w:rsidP="002267BF">
      <w:pPr>
        <w:spacing w:line="260" w:lineRule="exact"/>
        <w:jc w:val="both"/>
        <w:rPr>
          <w:rFonts w:cs="Arial"/>
          <w:lang w:eastAsia="sl-SI"/>
        </w:rPr>
      </w:pPr>
    </w:p>
    <w:p w14:paraId="0E54ED78" w14:textId="77777777" w:rsidR="003B301D" w:rsidRDefault="003B301D" w:rsidP="002267BF">
      <w:pPr>
        <w:spacing w:line="260" w:lineRule="exact"/>
        <w:jc w:val="both"/>
        <w:rPr>
          <w:rFonts w:cs="Arial"/>
          <w:lang w:eastAsia="sl-SI"/>
        </w:rPr>
      </w:pPr>
      <w:r>
        <w:rPr>
          <w:rFonts w:cs="Arial"/>
          <w:lang w:eastAsia="sl-SI"/>
        </w:rPr>
        <w:t xml:space="preserve">Referenčna cena zemeljskega plina se izračuna po naslednjem cenovnem modelu: </w:t>
      </w:r>
    </w:p>
    <w:p w14:paraId="6B26C97E" w14:textId="77777777" w:rsidR="003B301D" w:rsidRDefault="003B301D" w:rsidP="002267BF">
      <w:pPr>
        <w:spacing w:line="260" w:lineRule="exact"/>
        <w:jc w:val="both"/>
        <w:rPr>
          <w:rFonts w:cs="Arial"/>
          <w:lang w:eastAsia="sl-SI"/>
        </w:rPr>
      </w:pPr>
    </w:p>
    <w:p w14:paraId="4A0CC9C1" w14:textId="77777777" w:rsidR="003B301D" w:rsidRDefault="003B301D" w:rsidP="002267BF">
      <w:pPr>
        <w:spacing w:line="260" w:lineRule="exact"/>
        <w:rPr>
          <w:rFonts w:cs="Arial"/>
          <w:b/>
          <w:i/>
          <w:lang w:eastAsia="sl-SI"/>
        </w:rPr>
      </w:pPr>
      <w:r>
        <w:rPr>
          <w:rFonts w:cs="Arial"/>
          <w:b/>
          <w:i/>
          <w:lang w:eastAsia="sl-SI"/>
        </w:rPr>
        <w:t>C(ZP</w:t>
      </w:r>
      <w:r>
        <w:rPr>
          <w:rFonts w:cs="Arial"/>
          <w:b/>
          <w:i/>
          <w:vertAlign w:val="subscript"/>
          <w:lang w:eastAsia="sl-SI"/>
        </w:rPr>
        <w:t>Ref</w:t>
      </w:r>
      <w:r>
        <w:rPr>
          <w:rFonts w:cs="Arial"/>
          <w:b/>
          <w:i/>
          <w:lang w:eastAsia="sl-SI"/>
        </w:rPr>
        <w:t>) = Q1 * 0,51 + Q2 * 0,09 + Q3 * 0,02 + Q4 * 0,38 + CExA + CEnSLO</w:t>
      </w:r>
    </w:p>
    <w:p w14:paraId="37C007AD" w14:textId="77777777" w:rsidR="003B301D" w:rsidRDefault="003B301D" w:rsidP="002267BF">
      <w:pPr>
        <w:spacing w:line="260" w:lineRule="exact"/>
        <w:jc w:val="both"/>
        <w:rPr>
          <w:rFonts w:cs="Arial"/>
          <w:lang w:eastAsia="sl-SI"/>
        </w:rPr>
      </w:pPr>
    </w:p>
    <w:p w14:paraId="7C4FAD17" w14:textId="2B74A5B4" w:rsidR="003B301D" w:rsidRDefault="003B301D" w:rsidP="002267BF">
      <w:pPr>
        <w:spacing w:line="260" w:lineRule="exact"/>
        <w:jc w:val="both"/>
        <w:rPr>
          <w:rFonts w:cs="Arial"/>
          <w:lang w:eastAsia="sl-SI"/>
        </w:rPr>
      </w:pPr>
      <w:r>
        <w:rPr>
          <w:rFonts w:cs="Arial"/>
          <w:lang w:eastAsia="sl-SI"/>
        </w:rPr>
        <w:t>V zgornjem modelu je:</w:t>
      </w:r>
    </w:p>
    <w:p w14:paraId="616C3D67" w14:textId="31C65619" w:rsidR="003B301D" w:rsidRPr="002267BF" w:rsidRDefault="003B301D" w:rsidP="0081574C">
      <w:pPr>
        <w:numPr>
          <w:ilvl w:val="0"/>
          <w:numId w:val="2"/>
        </w:numPr>
        <w:spacing w:line="260" w:lineRule="exact"/>
        <w:ind w:left="709" w:hanging="709"/>
        <w:jc w:val="both"/>
        <w:rPr>
          <w:rFonts w:cs="Arial"/>
          <w:lang w:eastAsia="sl-SI"/>
        </w:rPr>
      </w:pPr>
      <w:r>
        <w:rPr>
          <w:rFonts w:cs="Arial"/>
          <w:lang w:eastAsia="sl-SI"/>
        </w:rPr>
        <w:t>C(ZP</w:t>
      </w:r>
      <w:r>
        <w:rPr>
          <w:rFonts w:cs="Arial"/>
          <w:vertAlign w:val="subscript"/>
          <w:lang w:eastAsia="sl-SI"/>
        </w:rPr>
        <w:t>Ref</w:t>
      </w:r>
      <w:r>
        <w:rPr>
          <w:rFonts w:cs="Arial"/>
          <w:lang w:eastAsia="sl-SI"/>
        </w:rPr>
        <w:t>) referenčna cena zemeljskega plina v EUR/MWh (zaokrožena na 2 decimalni mesti),</w:t>
      </w:r>
    </w:p>
    <w:p w14:paraId="11C4F951" w14:textId="121A6ECD" w:rsidR="003B301D" w:rsidRPr="002267BF" w:rsidRDefault="0081574C" w:rsidP="002267BF">
      <w:pPr>
        <w:numPr>
          <w:ilvl w:val="0"/>
          <w:numId w:val="3"/>
        </w:numPr>
        <w:spacing w:line="260" w:lineRule="exact"/>
        <w:ind w:left="709" w:hanging="709"/>
        <w:jc w:val="both"/>
        <w:rPr>
          <w:rFonts w:cs="Arial"/>
          <w:lang w:eastAsia="sl-SI"/>
        </w:rPr>
      </w:pPr>
      <w:r>
        <w:rPr>
          <w:rFonts w:cs="Arial"/>
          <w:lang w:eastAsia="sl-SI"/>
        </w:rPr>
        <w:t xml:space="preserve">Q1, Q2, Q3 in Q4 </w:t>
      </w:r>
      <w:r w:rsidR="003B301D">
        <w:rPr>
          <w:rFonts w:cs="Arial"/>
          <w:lang w:eastAsia="sl-SI"/>
        </w:rPr>
        <w:t>cene kvartalnih produktov »EEX CEGH« na borzi CEGH za trg AT Austria za prihodnje leto v EUR/MWh,</w:t>
      </w:r>
    </w:p>
    <w:p w14:paraId="47E060D3" w14:textId="5BD666EC" w:rsidR="003B301D" w:rsidRPr="002267BF" w:rsidRDefault="00070DB4" w:rsidP="002267BF">
      <w:pPr>
        <w:numPr>
          <w:ilvl w:val="0"/>
          <w:numId w:val="3"/>
        </w:numPr>
        <w:spacing w:line="260" w:lineRule="exact"/>
        <w:ind w:left="709" w:hanging="709"/>
        <w:jc w:val="both"/>
        <w:rPr>
          <w:rFonts w:cs="Arial"/>
          <w:lang w:eastAsia="sl-SI"/>
        </w:rPr>
      </w:pPr>
      <w:r>
        <w:rPr>
          <w:rFonts w:cs="Arial"/>
          <w:lang w:eastAsia="sl-SI"/>
        </w:rPr>
        <w:t>CExA</w:t>
      </w:r>
      <w:r>
        <w:rPr>
          <w:rFonts w:cs="Arial"/>
          <w:lang w:eastAsia="sl-SI"/>
        </w:rPr>
        <w:tab/>
      </w:r>
      <w:r w:rsidR="003B301D">
        <w:rPr>
          <w:rFonts w:cs="Arial"/>
          <w:lang w:eastAsia="sl-SI"/>
        </w:rPr>
        <w:t>izstopna tarifna postavka za MMRP Murfeld za prihodnje leto v EUR/MWh (zaokrožena na 4 decimalna mesta),</w:t>
      </w:r>
    </w:p>
    <w:p w14:paraId="05EF5DAA" w14:textId="3B840E46" w:rsidR="003B301D" w:rsidRDefault="0081574C" w:rsidP="002267BF">
      <w:pPr>
        <w:pStyle w:val="Odstavekseznama"/>
        <w:numPr>
          <w:ilvl w:val="0"/>
          <w:numId w:val="4"/>
        </w:numPr>
        <w:spacing w:after="0" w:line="260" w:lineRule="exact"/>
        <w:ind w:hanging="709"/>
        <w:rPr>
          <w:rFonts w:cs="Arial"/>
          <w:lang w:eastAsia="sl-SI"/>
        </w:rPr>
      </w:pPr>
      <w:r>
        <w:rPr>
          <w:rFonts w:cs="Arial"/>
          <w:lang w:eastAsia="sl-SI"/>
        </w:rPr>
        <w:t xml:space="preserve">CEnSLO </w:t>
      </w:r>
      <w:r w:rsidR="003B301D">
        <w:rPr>
          <w:rFonts w:cs="Arial"/>
          <w:lang w:eastAsia="sl-SI"/>
        </w:rPr>
        <w:t>vstopni strošek za MMRP Ceršak za prihodnje leto v EUR/MWh (zaokrožen na 4 decimalna mesta), ki se izračuna po enačbi:</w:t>
      </w:r>
    </w:p>
    <w:p w14:paraId="4AE90285" w14:textId="77777777" w:rsidR="003B301D" w:rsidRDefault="003B301D" w:rsidP="002267BF">
      <w:pPr>
        <w:spacing w:line="260" w:lineRule="exact"/>
        <w:ind w:left="1758" w:hanging="709"/>
        <w:jc w:val="both"/>
        <w:rPr>
          <w:rFonts w:cs="Arial"/>
          <w:lang w:eastAsia="sl-SI"/>
        </w:rPr>
      </w:pPr>
    </w:p>
    <w:p w14:paraId="68129842" w14:textId="77777777" w:rsidR="003B301D" w:rsidRPr="00114419" w:rsidRDefault="003B301D" w:rsidP="002267BF">
      <w:pPr>
        <w:spacing w:line="260" w:lineRule="exact"/>
        <w:ind w:left="3516" w:hanging="1758"/>
        <w:jc w:val="both"/>
        <w:rPr>
          <w:rFonts w:cs="Arial"/>
          <w:lang w:eastAsia="sl-SI"/>
        </w:rPr>
      </w:pPr>
      <w:r w:rsidRPr="00114419">
        <w:rPr>
          <w:rFonts w:cs="Arial"/>
          <w:lang w:eastAsia="sl-SI"/>
        </w:rPr>
        <w:t>CEnSLO = VTP * 0,04364</w:t>
      </w:r>
    </w:p>
    <w:p w14:paraId="2C68040E" w14:textId="77777777" w:rsidR="003B301D" w:rsidRPr="00114419" w:rsidRDefault="003B301D" w:rsidP="002267BF">
      <w:pPr>
        <w:spacing w:line="260" w:lineRule="exact"/>
        <w:ind w:left="1758"/>
        <w:jc w:val="both"/>
        <w:rPr>
          <w:rFonts w:cs="Arial"/>
          <w:lang w:eastAsia="sl-SI"/>
        </w:rPr>
      </w:pPr>
      <w:r w:rsidRPr="00114419">
        <w:rPr>
          <w:rFonts w:cs="Arial"/>
          <w:lang w:eastAsia="sl-SI"/>
        </w:rPr>
        <w:br/>
        <w:t>kjer je:</w:t>
      </w:r>
    </w:p>
    <w:p w14:paraId="2D704C07" w14:textId="4AD203A7" w:rsidR="003B301D" w:rsidRPr="00114419" w:rsidRDefault="003B301D" w:rsidP="002267BF">
      <w:pPr>
        <w:spacing w:line="260" w:lineRule="exact"/>
        <w:ind w:left="4242" w:hanging="1410"/>
        <w:jc w:val="both"/>
        <w:rPr>
          <w:rFonts w:cs="Arial"/>
          <w:lang w:eastAsia="sl-SI"/>
        </w:rPr>
      </w:pPr>
      <w:r w:rsidRPr="00114419">
        <w:rPr>
          <w:rFonts w:cs="Arial"/>
          <w:lang w:eastAsia="sl-SI"/>
        </w:rPr>
        <w:t>VTP</w:t>
      </w:r>
      <w:r w:rsidRPr="00114419">
        <w:rPr>
          <w:rFonts w:cs="Arial"/>
          <w:lang w:eastAsia="sl-SI"/>
        </w:rPr>
        <w:tab/>
        <w:t>vstopna tarifna postavka (v cent/kWh/dan, objavlja Plinovodi d.</w:t>
      </w:r>
      <w:r w:rsidR="002267BF">
        <w:rPr>
          <w:rFonts w:cs="Arial"/>
          <w:lang w:eastAsia="sl-SI"/>
        </w:rPr>
        <w:t> </w:t>
      </w:r>
      <w:r w:rsidRPr="00114419">
        <w:rPr>
          <w:rFonts w:cs="Arial"/>
          <w:lang w:eastAsia="sl-SI"/>
        </w:rPr>
        <w:t>o.</w:t>
      </w:r>
      <w:r w:rsidR="002267BF">
        <w:rPr>
          <w:rFonts w:cs="Arial"/>
          <w:lang w:eastAsia="sl-SI"/>
        </w:rPr>
        <w:t> </w:t>
      </w:r>
      <w:r w:rsidRPr="00114419">
        <w:rPr>
          <w:rFonts w:cs="Arial"/>
          <w:lang w:eastAsia="sl-SI"/>
        </w:rPr>
        <w:t>o.),</w:t>
      </w:r>
    </w:p>
    <w:p w14:paraId="48217233" w14:textId="77777777" w:rsidR="003B301D" w:rsidRDefault="003B301D" w:rsidP="002267BF">
      <w:pPr>
        <w:spacing w:line="260" w:lineRule="exact"/>
        <w:ind w:left="4242" w:hanging="1410"/>
        <w:jc w:val="both"/>
        <w:rPr>
          <w:rFonts w:cs="Arial"/>
          <w:lang w:eastAsia="sl-SI"/>
        </w:rPr>
      </w:pPr>
      <w:r w:rsidRPr="00114419">
        <w:rPr>
          <w:rFonts w:cs="Arial"/>
          <w:lang w:eastAsia="sl-SI"/>
        </w:rPr>
        <w:t>0,04364</w:t>
      </w:r>
      <w:r w:rsidRPr="00114419">
        <w:rPr>
          <w:rFonts w:cs="Arial"/>
          <w:lang w:eastAsia="sl-SI"/>
        </w:rPr>
        <w:tab/>
        <w:t xml:space="preserve">faktor (v 1/dan), ki upošteva 5.500 letnih obratovalnih ur ter pretvorbo merskih enot iz </w:t>
      </w:r>
      <w:r w:rsidRPr="00114419">
        <w:rPr>
          <w:rFonts w:cs="Arial"/>
          <w:lang w:eastAsia="sl-SI"/>
        </w:rPr>
        <w:lastRenderedPageBreak/>
        <w:t>centov v evre ter iz kWh v MWh (24/5500 * 1000/100).</w:t>
      </w:r>
    </w:p>
    <w:p w14:paraId="4626D735" w14:textId="77777777" w:rsidR="003B301D" w:rsidRDefault="003B301D" w:rsidP="002267BF">
      <w:pPr>
        <w:spacing w:line="260" w:lineRule="exact"/>
        <w:ind w:left="4242" w:hanging="1410"/>
        <w:jc w:val="both"/>
        <w:rPr>
          <w:rFonts w:cs="Arial"/>
          <w:lang w:eastAsia="sl-SI"/>
        </w:rPr>
      </w:pPr>
    </w:p>
    <w:p w14:paraId="5B1AED6F" w14:textId="77777777" w:rsidR="003B301D" w:rsidRDefault="003B301D" w:rsidP="002267BF">
      <w:pPr>
        <w:spacing w:line="260" w:lineRule="exact"/>
        <w:jc w:val="both"/>
        <w:rPr>
          <w:rFonts w:cs="Arial"/>
          <w:lang w:eastAsia="sl-SI"/>
        </w:rPr>
      </w:pPr>
      <w:r>
        <w:rPr>
          <w:rFonts w:cs="Arial"/>
          <w:lang w:eastAsia="sl-SI"/>
        </w:rPr>
        <w:t>Pri določitvi cen kvartalnih produktov se uporabi povprečje razpoložljivih doseženih zaključnih trgovalnih cen produktov za 20 trgovalnih dni pred 25. oktobrom tekočega leta (povprečja zaokroži na 4 decimalna mesta).</w:t>
      </w:r>
    </w:p>
    <w:p w14:paraId="3313ABB8" w14:textId="77777777" w:rsidR="003B301D" w:rsidRDefault="003B301D" w:rsidP="002267BF">
      <w:pPr>
        <w:spacing w:line="260" w:lineRule="exact"/>
        <w:jc w:val="both"/>
        <w:rPr>
          <w:rFonts w:cs="Arial"/>
          <w:lang w:eastAsia="sl-SI"/>
        </w:rPr>
      </w:pPr>
    </w:p>
    <w:p w14:paraId="14AF7701" w14:textId="77777777" w:rsidR="003B301D" w:rsidRDefault="003B301D" w:rsidP="002267BF">
      <w:pPr>
        <w:spacing w:line="260" w:lineRule="exact"/>
        <w:jc w:val="both"/>
        <w:rPr>
          <w:rFonts w:cs="Arial"/>
          <w:lang w:eastAsia="sl-SI"/>
        </w:rPr>
      </w:pPr>
      <w:r>
        <w:rPr>
          <w:rFonts w:cs="Arial"/>
          <w:lang w:eastAsia="sl-SI"/>
        </w:rPr>
        <w:t>Za izračun indeksa cene zemeljskega plina za tekoče leto se referenčno ceno zemeljskega plina za leto 2016 (0,1914 EUR/Sm</w:t>
      </w:r>
      <w:r w:rsidRPr="000B1881">
        <w:rPr>
          <w:rFonts w:cs="Arial"/>
          <w:vertAlign w:val="superscript"/>
          <w:lang w:eastAsia="sl-SI"/>
        </w:rPr>
        <w:t>3</w:t>
      </w:r>
      <w:r>
        <w:rPr>
          <w:rFonts w:cs="Arial"/>
          <w:lang w:eastAsia="sl-SI"/>
        </w:rPr>
        <w:t>) nadomesti s preračunano vrednostjo 17,77 EUR/MWh z upoštevanjem zgornje kurilnosti zemeljskega plina, ki znaša 10,769 kWh/Sm</w:t>
      </w:r>
      <w:r w:rsidRPr="000B1881">
        <w:rPr>
          <w:rFonts w:cs="Arial"/>
          <w:vertAlign w:val="superscript"/>
          <w:lang w:eastAsia="sl-SI"/>
        </w:rPr>
        <w:t>3</w:t>
      </w:r>
      <w:r>
        <w:rPr>
          <w:rFonts w:cs="Arial"/>
          <w:lang w:eastAsia="sl-SI"/>
        </w:rPr>
        <w:t>.</w:t>
      </w:r>
    </w:p>
    <w:p w14:paraId="2A752DF1" w14:textId="77777777" w:rsidR="003B301D" w:rsidRDefault="003B301D" w:rsidP="002267BF">
      <w:pPr>
        <w:spacing w:line="260" w:lineRule="exact"/>
        <w:jc w:val="both"/>
        <w:rPr>
          <w:rFonts w:cs="Arial"/>
          <w:lang w:eastAsia="sl-SI"/>
        </w:rPr>
      </w:pPr>
    </w:p>
    <w:p w14:paraId="6C704273" w14:textId="77777777" w:rsidR="003B301D" w:rsidRDefault="003B301D" w:rsidP="002267BF">
      <w:pPr>
        <w:spacing w:line="260" w:lineRule="exact"/>
        <w:jc w:val="both"/>
        <w:rPr>
          <w:rFonts w:cs="Arial"/>
          <w:lang w:eastAsia="sl-SI"/>
        </w:rPr>
      </w:pPr>
    </w:p>
    <w:p w14:paraId="29B2360E" w14:textId="77777777" w:rsidR="003B301D" w:rsidRDefault="003B301D" w:rsidP="002267BF">
      <w:pPr>
        <w:spacing w:line="260" w:lineRule="exact"/>
        <w:jc w:val="both"/>
        <w:rPr>
          <w:rFonts w:cs="Arial"/>
          <w:b/>
          <w:lang w:eastAsia="sl-SI"/>
        </w:rPr>
      </w:pPr>
      <w:r>
        <w:rPr>
          <w:rFonts w:cs="Arial"/>
          <w:b/>
          <w:lang w:eastAsia="sl-SI"/>
        </w:rPr>
        <w:t>3.</w:t>
      </w:r>
      <w:r>
        <w:rPr>
          <w:rFonts w:cs="Arial"/>
          <w:b/>
          <w:lang w:eastAsia="sl-SI"/>
        </w:rPr>
        <w:tab/>
        <w:t>Pravila za določanje referenčne cene substrata koruzne silaže</w:t>
      </w:r>
    </w:p>
    <w:p w14:paraId="34D08FBA" w14:textId="77777777" w:rsidR="003B301D" w:rsidRDefault="003B301D" w:rsidP="002267BF">
      <w:pPr>
        <w:spacing w:line="260" w:lineRule="exact"/>
        <w:jc w:val="both"/>
        <w:rPr>
          <w:rFonts w:cs="Arial"/>
          <w:lang w:eastAsia="sl-SI"/>
        </w:rPr>
      </w:pPr>
    </w:p>
    <w:p w14:paraId="4026A7D7" w14:textId="77777777" w:rsidR="003B301D" w:rsidRDefault="003B301D" w:rsidP="002267BF">
      <w:pPr>
        <w:spacing w:line="260" w:lineRule="exact"/>
        <w:jc w:val="both"/>
        <w:rPr>
          <w:rFonts w:cs="Arial"/>
          <w:lang w:eastAsia="sl-SI"/>
        </w:rPr>
      </w:pPr>
      <w:r>
        <w:rPr>
          <w:rFonts w:cs="Arial"/>
          <w:lang w:eastAsia="sl-SI"/>
        </w:rPr>
        <w:t xml:space="preserve">Referenčna cena substrata koruzne silaže za prihodnje leto se v napovedi določi na podlagi naslednjega cenovnega modela: </w:t>
      </w:r>
    </w:p>
    <w:p w14:paraId="2601B1B5" w14:textId="77777777" w:rsidR="003B301D" w:rsidRDefault="003B301D" w:rsidP="002267BF">
      <w:pPr>
        <w:spacing w:line="260" w:lineRule="exact"/>
        <w:jc w:val="both"/>
        <w:rPr>
          <w:rFonts w:cs="Arial"/>
          <w:lang w:eastAsia="sl-SI"/>
        </w:rPr>
      </w:pPr>
    </w:p>
    <w:p w14:paraId="2A0B34FD" w14:textId="77777777" w:rsidR="003B301D" w:rsidRDefault="003B301D" w:rsidP="002267BF">
      <w:pPr>
        <w:spacing w:line="260" w:lineRule="exact"/>
        <w:rPr>
          <w:rFonts w:cs="Arial"/>
          <w:b/>
          <w:i/>
          <w:lang w:eastAsia="sl-SI"/>
        </w:rPr>
      </w:pPr>
      <w:r>
        <w:rPr>
          <w:rFonts w:cs="Arial"/>
          <w:b/>
          <w:i/>
          <w:lang w:eastAsia="sl-SI"/>
        </w:rPr>
        <w:t>CS = SPKS * 0,7</w:t>
      </w:r>
    </w:p>
    <w:p w14:paraId="0AFC8549" w14:textId="77777777" w:rsidR="003B301D" w:rsidRDefault="003B301D" w:rsidP="002267BF">
      <w:pPr>
        <w:spacing w:line="260" w:lineRule="exact"/>
        <w:jc w:val="both"/>
        <w:rPr>
          <w:rFonts w:cs="Arial"/>
          <w:lang w:eastAsia="sl-SI"/>
        </w:rPr>
      </w:pPr>
    </w:p>
    <w:p w14:paraId="3FC6BCEB" w14:textId="75E2FE66" w:rsidR="003B301D" w:rsidRDefault="002267BF" w:rsidP="002267BF">
      <w:pPr>
        <w:spacing w:line="260" w:lineRule="exact"/>
        <w:jc w:val="both"/>
        <w:rPr>
          <w:rFonts w:cs="Arial"/>
          <w:lang w:eastAsia="sl-SI"/>
        </w:rPr>
      </w:pPr>
      <w:r>
        <w:rPr>
          <w:rFonts w:cs="Arial"/>
          <w:lang w:eastAsia="sl-SI"/>
        </w:rPr>
        <w:t>V zgornjem modelu je:</w:t>
      </w:r>
    </w:p>
    <w:p w14:paraId="266D0A3D" w14:textId="1AC8F9D9" w:rsidR="00070DB4" w:rsidRPr="00070DB4" w:rsidRDefault="00C43580" w:rsidP="00070DB4">
      <w:pPr>
        <w:numPr>
          <w:ilvl w:val="0"/>
          <w:numId w:val="5"/>
        </w:numPr>
        <w:spacing w:line="260" w:lineRule="exact"/>
        <w:ind w:hanging="720"/>
        <w:jc w:val="both"/>
        <w:rPr>
          <w:rFonts w:cs="Arial"/>
          <w:lang w:eastAsia="sl-SI"/>
        </w:rPr>
      </w:pPr>
      <w:r>
        <w:rPr>
          <w:rFonts w:cs="Arial"/>
          <w:lang w:eastAsia="sl-SI"/>
        </w:rPr>
        <w:t>CS</w:t>
      </w:r>
      <w:r>
        <w:rPr>
          <w:rFonts w:cs="Arial"/>
          <w:lang w:eastAsia="sl-SI"/>
        </w:rPr>
        <w:tab/>
      </w:r>
      <w:r w:rsidR="003B301D">
        <w:rPr>
          <w:rFonts w:cs="Arial"/>
          <w:lang w:eastAsia="sl-SI"/>
        </w:rPr>
        <w:t>referenčna tržna cena substrata koruzne silaže v EUR/t,</w:t>
      </w:r>
    </w:p>
    <w:p w14:paraId="413408CB" w14:textId="45E75212" w:rsidR="003B301D" w:rsidRPr="00C43580" w:rsidRDefault="003B301D" w:rsidP="00C43580">
      <w:pPr>
        <w:numPr>
          <w:ilvl w:val="0"/>
          <w:numId w:val="5"/>
        </w:numPr>
        <w:spacing w:line="260" w:lineRule="exact"/>
        <w:ind w:hanging="720"/>
        <w:jc w:val="both"/>
        <w:rPr>
          <w:rFonts w:cs="Arial"/>
          <w:lang w:eastAsia="sl-SI"/>
        </w:rPr>
      </w:pPr>
      <w:r w:rsidRPr="00C43580">
        <w:rPr>
          <w:rFonts w:cs="Arial"/>
          <w:lang w:eastAsia="sl-SI"/>
        </w:rPr>
        <w:t>S</w:t>
      </w:r>
      <w:r w:rsidR="00C43580" w:rsidRPr="00C43580">
        <w:rPr>
          <w:rFonts w:cs="Arial"/>
          <w:lang w:eastAsia="sl-SI"/>
        </w:rPr>
        <w:t>PKS</w:t>
      </w:r>
      <w:r w:rsidR="00C43580" w:rsidRPr="00C43580">
        <w:rPr>
          <w:rFonts w:cs="Arial"/>
          <w:lang w:eastAsia="sl-SI"/>
        </w:rPr>
        <w:tab/>
      </w:r>
      <w:r w:rsidRPr="00C43580">
        <w:rPr>
          <w:rFonts w:cs="Arial"/>
          <w:lang w:eastAsia="sl-SI"/>
        </w:rPr>
        <w:t>strošek pridelave silažne koruze, zmanjšan za subvencije v EUR/t za preteklo leto, ki je objavljen v mesecu oktobru tekočega leta v Zbirniku rastlinskih kalkulacij na Kmetijskem inštitutu Slovenije</w:t>
      </w:r>
      <w:r>
        <w:rPr>
          <w:rStyle w:val="Sprotnaopomba-sklic"/>
          <w:rFonts w:cs="Arial"/>
          <w:lang w:eastAsia="sl-SI"/>
        </w:rPr>
        <w:footnoteReference w:id="1"/>
      </w:r>
      <w:r w:rsidR="00D422CA">
        <w:rPr>
          <w:rFonts w:cs="Arial"/>
          <w:lang w:eastAsia="sl-SI"/>
        </w:rPr>
        <w:t>.</w:t>
      </w:r>
    </w:p>
    <w:p w14:paraId="044222F3" w14:textId="77777777" w:rsidR="003B301D" w:rsidRDefault="003B301D" w:rsidP="002267BF">
      <w:pPr>
        <w:spacing w:line="260" w:lineRule="exact"/>
        <w:jc w:val="both"/>
        <w:rPr>
          <w:rFonts w:cs="Arial"/>
          <w:lang w:eastAsia="sl-SI"/>
        </w:rPr>
      </w:pPr>
    </w:p>
    <w:p w14:paraId="78437786" w14:textId="77777777" w:rsidR="003B301D" w:rsidRDefault="003B301D" w:rsidP="002267BF">
      <w:pPr>
        <w:spacing w:line="260" w:lineRule="exact"/>
        <w:jc w:val="both"/>
        <w:rPr>
          <w:rFonts w:cs="Arial"/>
          <w:lang w:eastAsia="sl-SI"/>
        </w:rPr>
      </w:pPr>
    </w:p>
    <w:p w14:paraId="4F4D592C" w14:textId="77777777" w:rsidR="003B301D" w:rsidRDefault="003B301D" w:rsidP="002267BF">
      <w:pPr>
        <w:spacing w:line="260" w:lineRule="exact"/>
        <w:jc w:val="both"/>
        <w:rPr>
          <w:rFonts w:cs="Arial"/>
          <w:b/>
          <w:lang w:eastAsia="sl-SI"/>
        </w:rPr>
      </w:pPr>
      <w:r>
        <w:rPr>
          <w:rFonts w:cs="Arial"/>
          <w:b/>
          <w:lang w:eastAsia="sl-SI"/>
        </w:rPr>
        <w:t xml:space="preserve">4. </w:t>
      </w:r>
      <w:r>
        <w:rPr>
          <w:rFonts w:cs="Arial"/>
          <w:b/>
          <w:lang w:eastAsia="sl-SI"/>
        </w:rPr>
        <w:tab/>
        <w:t xml:space="preserve">Pravila za določanje referenčne cene lesne biomase </w:t>
      </w:r>
    </w:p>
    <w:p w14:paraId="6562D2CF" w14:textId="77777777" w:rsidR="003B301D" w:rsidRDefault="003B301D" w:rsidP="002267BF">
      <w:pPr>
        <w:spacing w:line="260" w:lineRule="exact"/>
        <w:jc w:val="both"/>
        <w:rPr>
          <w:rFonts w:cs="Arial"/>
          <w:lang w:eastAsia="sl-SI"/>
        </w:rPr>
      </w:pPr>
    </w:p>
    <w:p w14:paraId="1B3E49A2" w14:textId="77777777" w:rsidR="003B301D" w:rsidRDefault="003B301D" w:rsidP="002267BF">
      <w:pPr>
        <w:spacing w:line="260" w:lineRule="exact"/>
        <w:jc w:val="both"/>
        <w:rPr>
          <w:rFonts w:cs="Arial"/>
          <w:lang w:eastAsia="sl-SI"/>
        </w:rPr>
      </w:pPr>
      <w:r>
        <w:rPr>
          <w:rFonts w:cs="Arial"/>
          <w:lang w:eastAsia="sl-SI"/>
        </w:rPr>
        <w:t xml:space="preserve">Referenčna cena lesne biomase za prihodnje leto se v napovedi določa na podlagi naslednjega cenovnega modela: </w:t>
      </w:r>
    </w:p>
    <w:p w14:paraId="3F9B9E0C" w14:textId="77777777" w:rsidR="003B301D" w:rsidRDefault="003B301D" w:rsidP="002267BF">
      <w:pPr>
        <w:spacing w:line="260" w:lineRule="exact"/>
        <w:jc w:val="both"/>
        <w:rPr>
          <w:rFonts w:cs="Arial"/>
          <w:lang w:eastAsia="sl-SI"/>
        </w:rPr>
      </w:pPr>
      <w:bookmarkStart w:id="0" w:name="_GoBack"/>
      <w:bookmarkEnd w:id="0"/>
    </w:p>
    <w:p w14:paraId="500B162A" w14:textId="77777777" w:rsidR="003B301D" w:rsidRDefault="003B301D" w:rsidP="002267BF">
      <w:pPr>
        <w:spacing w:line="260" w:lineRule="exact"/>
        <w:rPr>
          <w:rFonts w:cs="Arial"/>
          <w:b/>
          <w:i/>
          <w:lang w:eastAsia="sl-SI"/>
        </w:rPr>
      </w:pPr>
      <w:r>
        <w:rPr>
          <w:rFonts w:cs="Arial"/>
          <w:b/>
          <w:i/>
          <w:lang w:eastAsia="sl-SI"/>
        </w:rPr>
        <w:t xml:space="preserve">RCLB = KVILB / KKILB </w:t>
      </w:r>
    </w:p>
    <w:p w14:paraId="545E20FF" w14:textId="77777777" w:rsidR="003B301D" w:rsidRDefault="003B301D" w:rsidP="002267BF">
      <w:pPr>
        <w:spacing w:line="260" w:lineRule="exact"/>
        <w:jc w:val="both"/>
        <w:rPr>
          <w:rFonts w:cs="Arial"/>
          <w:lang w:eastAsia="sl-SI"/>
        </w:rPr>
      </w:pPr>
    </w:p>
    <w:p w14:paraId="3E437672" w14:textId="67317694" w:rsidR="00F32AD5" w:rsidRDefault="00F32AD5" w:rsidP="002267BF">
      <w:pPr>
        <w:spacing w:line="260" w:lineRule="exact"/>
        <w:jc w:val="both"/>
        <w:rPr>
          <w:rFonts w:cs="Arial"/>
          <w:lang w:eastAsia="sl-SI"/>
        </w:rPr>
      </w:pPr>
      <w:r>
        <w:rPr>
          <w:rFonts w:cs="Arial"/>
          <w:lang w:eastAsia="sl-SI"/>
        </w:rPr>
        <w:t>V zgornjem modelu je:</w:t>
      </w:r>
    </w:p>
    <w:p w14:paraId="6F9EE980" w14:textId="17D824B6" w:rsidR="00F32AD5" w:rsidRDefault="00F32AD5" w:rsidP="007D6CA8">
      <w:pPr>
        <w:pStyle w:val="Odstavekseznama"/>
        <w:numPr>
          <w:ilvl w:val="0"/>
          <w:numId w:val="9"/>
        </w:numPr>
        <w:spacing w:line="260" w:lineRule="exact"/>
        <w:ind w:hanging="720"/>
        <w:rPr>
          <w:rFonts w:cs="Arial"/>
          <w:lang w:val="sl-SI" w:eastAsia="sl-SI"/>
        </w:rPr>
      </w:pPr>
      <w:r>
        <w:rPr>
          <w:rFonts w:cs="Arial"/>
          <w:lang w:val="sl-SI" w:eastAsia="sl-SI"/>
        </w:rPr>
        <w:t>RCLB</w:t>
      </w:r>
      <w:r>
        <w:rPr>
          <w:rFonts w:cs="Arial"/>
          <w:lang w:val="sl-SI" w:eastAsia="sl-SI"/>
        </w:rPr>
        <w:tab/>
      </w:r>
      <w:r w:rsidRPr="00F32AD5">
        <w:rPr>
          <w:rFonts w:cs="Arial"/>
          <w:lang w:val="sl-SI" w:eastAsia="sl-SI"/>
        </w:rPr>
        <w:t>referenčna cena lesne biomase v EUR/t,</w:t>
      </w:r>
    </w:p>
    <w:p w14:paraId="5A051B4E" w14:textId="21BBA4F7" w:rsidR="00F32AD5" w:rsidRPr="00F32AD5" w:rsidRDefault="00F32AD5" w:rsidP="007D6CA8">
      <w:pPr>
        <w:pStyle w:val="Odstavekseznama"/>
        <w:numPr>
          <w:ilvl w:val="0"/>
          <w:numId w:val="9"/>
        </w:numPr>
        <w:spacing w:line="260" w:lineRule="exact"/>
        <w:ind w:hanging="720"/>
        <w:rPr>
          <w:rFonts w:cs="Arial"/>
          <w:lang w:val="sl-SI" w:eastAsia="sl-SI"/>
        </w:rPr>
      </w:pPr>
      <w:r>
        <w:rPr>
          <w:rFonts w:cs="Arial"/>
          <w:lang w:eastAsia="sl-SI"/>
        </w:rPr>
        <w:t>KVILB</w:t>
      </w:r>
      <w:r>
        <w:rPr>
          <w:rFonts w:cs="Arial"/>
          <w:lang w:eastAsia="sl-SI"/>
        </w:rPr>
        <w:tab/>
      </w:r>
      <w:r w:rsidRPr="00F32AD5">
        <w:rPr>
          <w:rFonts w:cs="Arial"/>
          <w:lang w:eastAsia="sl-SI"/>
        </w:rPr>
        <w:t>kumulativna vrednost izvoza iverja, sekancev in podobnega lesa iglavcev, zadnji razpoložljivi podatki 12 preteklih mesecev v EUR,</w:t>
      </w:r>
    </w:p>
    <w:p w14:paraId="36B46701" w14:textId="72CB0B5D" w:rsidR="00F32AD5" w:rsidRPr="00F32AD5" w:rsidRDefault="00F32AD5" w:rsidP="007D6CA8">
      <w:pPr>
        <w:pStyle w:val="Odstavekseznama"/>
        <w:numPr>
          <w:ilvl w:val="0"/>
          <w:numId w:val="9"/>
        </w:numPr>
        <w:spacing w:line="260" w:lineRule="exact"/>
        <w:ind w:hanging="720"/>
        <w:rPr>
          <w:rFonts w:cs="Arial"/>
          <w:lang w:val="sl-SI" w:eastAsia="sl-SI"/>
        </w:rPr>
      </w:pPr>
      <w:r>
        <w:rPr>
          <w:rFonts w:cs="Arial"/>
          <w:lang w:val="sl-SI" w:eastAsia="sl-SI"/>
        </w:rPr>
        <w:t xml:space="preserve">KKILB  </w:t>
      </w:r>
      <w:r w:rsidRPr="00F32AD5">
        <w:rPr>
          <w:rFonts w:cs="Arial"/>
          <w:lang w:val="sl-SI" w:eastAsia="sl-SI"/>
        </w:rPr>
        <w:t>kumulativne količine izvoza iverja, sekancev in podobnega lesa iglavcev, zadnji razpoložljivi podatki 12 preteklih mesecev v t.</w:t>
      </w:r>
    </w:p>
    <w:p w14:paraId="68D4CF48" w14:textId="77777777" w:rsidR="00F32AD5" w:rsidRDefault="00F32AD5" w:rsidP="002267BF">
      <w:pPr>
        <w:spacing w:line="260" w:lineRule="exact"/>
        <w:jc w:val="both"/>
        <w:rPr>
          <w:rFonts w:cs="Arial"/>
          <w:lang w:eastAsia="sl-SI"/>
        </w:rPr>
      </w:pPr>
    </w:p>
    <w:p w14:paraId="4720EF6C" w14:textId="77777777" w:rsidR="00F32AD5" w:rsidRDefault="00F32AD5" w:rsidP="002267BF">
      <w:pPr>
        <w:spacing w:line="260" w:lineRule="exact"/>
        <w:jc w:val="both"/>
        <w:rPr>
          <w:rFonts w:cs="Arial"/>
          <w:lang w:eastAsia="sl-SI"/>
        </w:rPr>
      </w:pPr>
    </w:p>
    <w:p w14:paraId="558DDC26" w14:textId="77777777" w:rsidR="00F32AD5" w:rsidRDefault="00F32AD5" w:rsidP="002267BF">
      <w:pPr>
        <w:spacing w:line="260" w:lineRule="exact"/>
        <w:jc w:val="both"/>
        <w:rPr>
          <w:rFonts w:cs="Arial"/>
          <w:lang w:eastAsia="sl-SI"/>
        </w:rPr>
      </w:pPr>
    </w:p>
    <w:p w14:paraId="2F3873B8" w14:textId="77777777" w:rsidR="003B301D" w:rsidRDefault="003B301D" w:rsidP="002267BF">
      <w:pPr>
        <w:spacing w:line="260" w:lineRule="exact"/>
        <w:jc w:val="both"/>
      </w:pPr>
      <w:r>
        <w:rPr>
          <w:rFonts w:cs="Arial"/>
          <w:lang w:eastAsia="sl-SI"/>
        </w:rPr>
        <w:t xml:space="preserve">Podatke, ki so potrebni za izdelavo napovedi, Agenciji za energijo posreduje Statistični urad Republike Slovenije. </w:t>
      </w:r>
    </w:p>
    <w:p w14:paraId="23BC38EE" w14:textId="77777777" w:rsidR="003B301D" w:rsidRDefault="003B301D" w:rsidP="002267BF">
      <w:pPr>
        <w:spacing w:line="260" w:lineRule="exact"/>
        <w:jc w:val="both"/>
        <w:outlineLvl w:val="0"/>
        <w:rPr>
          <w:rFonts w:cs="Arial"/>
          <w:lang w:eastAsia="ar-SA"/>
        </w:rPr>
      </w:pPr>
    </w:p>
    <w:p w14:paraId="06E0C932" w14:textId="77777777" w:rsidR="003B301D" w:rsidRDefault="003B301D" w:rsidP="002267BF">
      <w:pPr>
        <w:spacing w:line="260" w:lineRule="exact"/>
        <w:outlineLvl w:val="0"/>
        <w:rPr>
          <w:rFonts w:cs="Arial"/>
          <w:lang w:eastAsia="ar-SA"/>
        </w:rPr>
      </w:pPr>
    </w:p>
    <w:p w14:paraId="7893489F" w14:textId="77777777" w:rsidR="003B301D" w:rsidRPr="00005470" w:rsidRDefault="003B301D" w:rsidP="002267BF">
      <w:pPr>
        <w:spacing w:line="260" w:lineRule="exact"/>
        <w:outlineLvl w:val="0"/>
        <w:rPr>
          <w:rFonts w:cs="Arial"/>
          <w:lang w:eastAsia="ar-SA"/>
        </w:rPr>
      </w:pPr>
    </w:p>
    <w:p w14:paraId="4555E436" w14:textId="77777777" w:rsidR="003B301D" w:rsidRPr="006403AC" w:rsidRDefault="003B301D" w:rsidP="002267BF">
      <w:pPr>
        <w:spacing w:line="260" w:lineRule="exact"/>
        <w:jc w:val="both"/>
        <w:rPr>
          <w:rFonts w:cs="Arial"/>
          <w:lang w:eastAsia="sl-SI"/>
        </w:rPr>
      </w:pPr>
    </w:p>
    <w:sectPr w:rsidR="003B301D" w:rsidRPr="006403AC" w:rsidSect="003A37D2">
      <w:headerReference w:type="default" r:id="rId7"/>
      <w:footerReference w:type="default" r:id="rId8"/>
      <w:headerReference w:type="first" r:id="rId9"/>
      <w:pgSz w:w="11900" w:h="16840" w:code="9"/>
      <w:pgMar w:top="992"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AB3AD" w14:textId="77777777" w:rsidR="003B301D" w:rsidRDefault="003B301D" w:rsidP="003B301D">
      <w:pPr>
        <w:spacing w:line="240" w:lineRule="auto"/>
      </w:pPr>
      <w:r>
        <w:separator/>
      </w:r>
    </w:p>
  </w:endnote>
  <w:endnote w:type="continuationSeparator" w:id="0">
    <w:p w14:paraId="13E65177" w14:textId="77777777" w:rsidR="003B301D" w:rsidRDefault="003B301D" w:rsidP="003B3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2D9E" w14:textId="77777777" w:rsidR="001264DF" w:rsidRDefault="007D6CA8">
    <w:pPr>
      <w:pStyle w:val="Noga"/>
      <w:jc w:val="right"/>
    </w:pPr>
    <w:r>
      <w:fldChar w:fldCharType="begin"/>
    </w:r>
    <w:r>
      <w:instrText xml:space="preserve"> PAGE   \*</w:instrText>
    </w:r>
    <w:r>
      <w:instrText xml:space="preserve"> MERGEFORMAT </w:instrText>
    </w:r>
    <w:r>
      <w:fldChar w:fldCharType="separate"/>
    </w:r>
    <w:r>
      <w:rPr>
        <w:noProof/>
      </w:rPr>
      <w:t>2</w:t>
    </w:r>
    <w:r>
      <w:rPr>
        <w:noProof/>
      </w:rPr>
      <w:fldChar w:fldCharType="end"/>
    </w:r>
  </w:p>
  <w:p w14:paraId="6928D2E6" w14:textId="77777777" w:rsidR="001264DF" w:rsidRDefault="007D6CA8">
    <w:pPr>
      <w:pStyle w:val="Noga"/>
    </w:pPr>
  </w:p>
  <w:p w14:paraId="5E2FACDA" w14:textId="77777777" w:rsidR="001264DF" w:rsidRDefault="007D6C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D48C9" w14:textId="77777777" w:rsidR="003B301D" w:rsidRDefault="003B301D" w:rsidP="003B301D">
      <w:pPr>
        <w:spacing w:line="240" w:lineRule="auto"/>
      </w:pPr>
      <w:r>
        <w:separator/>
      </w:r>
    </w:p>
  </w:footnote>
  <w:footnote w:type="continuationSeparator" w:id="0">
    <w:p w14:paraId="7129B000" w14:textId="77777777" w:rsidR="003B301D" w:rsidRDefault="003B301D" w:rsidP="003B301D">
      <w:pPr>
        <w:spacing w:line="240" w:lineRule="auto"/>
      </w:pPr>
      <w:r>
        <w:continuationSeparator/>
      </w:r>
    </w:p>
  </w:footnote>
  <w:footnote w:id="1">
    <w:p w14:paraId="34861243" w14:textId="77777777" w:rsidR="003B301D" w:rsidRDefault="003B301D" w:rsidP="003B301D">
      <w:pPr>
        <w:pStyle w:val="Sprotnaopomba-besedilo"/>
        <w:rPr>
          <w:sz w:val="16"/>
          <w:szCs w:val="16"/>
        </w:rPr>
      </w:pPr>
      <w:r>
        <w:rPr>
          <w:rStyle w:val="Sprotnaopomba-sklic"/>
        </w:rPr>
        <w:footnoteRef/>
      </w:r>
      <w:r>
        <w:t xml:space="preserve"> </w:t>
      </w:r>
      <w:r>
        <w:rPr>
          <w:sz w:val="16"/>
          <w:szCs w:val="16"/>
        </w:rPr>
        <w:t>http://www.kis.si/Standardni_nabor.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052A" w14:textId="77777777" w:rsidR="001264DF" w:rsidRPr="00110CBD" w:rsidRDefault="007D6CA8" w:rsidP="00E0566E">
    <w:pPr>
      <w:pStyle w:val="Glava"/>
      <w:spacing w:line="240" w:lineRule="exact"/>
      <w:rPr>
        <w:rFonts w:ascii="Republika" w:hAnsi="Republika"/>
        <w:sz w:val="16"/>
      </w:rPr>
    </w:pPr>
  </w:p>
  <w:p w14:paraId="0DD2DEB9" w14:textId="77777777" w:rsidR="001264DF" w:rsidRDefault="007D6C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547C3" w14:textId="50806951" w:rsidR="001264DF" w:rsidRPr="004432AA" w:rsidRDefault="007D6CA8" w:rsidP="002267BF">
    <w:pPr>
      <w:tabs>
        <w:tab w:val="left" w:pos="5112"/>
      </w:tabs>
      <w:spacing w:before="120" w:line="240" w:lineRule="exact"/>
      <w:rPr>
        <w:rFonts w:cs="Arial"/>
        <w:sz w:val="16"/>
      </w:rPr>
    </w:pPr>
  </w:p>
  <w:p w14:paraId="535EE8B1" w14:textId="77777777" w:rsidR="001264DF" w:rsidRPr="008F3500" w:rsidRDefault="007D6CA8" w:rsidP="00BD37CB">
    <w:pPr>
      <w:pStyle w:val="Glava"/>
      <w:tabs>
        <w:tab w:val="left" w:pos="5112"/>
      </w:tabs>
      <w:spacing w:line="240" w:lineRule="exact"/>
      <w:rPr>
        <w:rFonts w:cs="Arial"/>
        <w:sz w:val="16"/>
      </w:rPr>
    </w:pPr>
  </w:p>
  <w:p w14:paraId="7B11BADE" w14:textId="77777777" w:rsidR="001264DF" w:rsidRDefault="007D6CA8" w:rsidP="00E0566E">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50A1"/>
    <w:multiLevelType w:val="hybridMultilevel"/>
    <w:tmpl w:val="0FF68D52"/>
    <w:lvl w:ilvl="0" w:tplc="18CCA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2541BC"/>
    <w:multiLevelType w:val="hybridMultilevel"/>
    <w:tmpl w:val="1A5ECD58"/>
    <w:lvl w:ilvl="0" w:tplc="18CCAA2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9D9248D"/>
    <w:multiLevelType w:val="hybridMultilevel"/>
    <w:tmpl w:val="E6AE6862"/>
    <w:lvl w:ilvl="0" w:tplc="18CCAA2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E2D009B"/>
    <w:multiLevelType w:val="hybridMultilevel"/>
    <w:tmpl w:val="BB7C3104"/>
    <w:lvl w:ilvl="0" w:tplc="18CCAA2C">
      <w:start w:val="1"/>
      <w:numFmt w:val="bullet"/>
      <w:lvlText w:val=""/>
      <w:lvlJc w:val="left"/>
      <w:pPr>
        <w:ind w:left="2845" w:hanging="360"/>
      </w:pPr>
      <w:rPr>
        <w:rFonts w:ascii="Symbol" w:hAnsi="Symbol" w:hint="default"/>
      </w:rPr>
    </w:lvl>
    <w:lvl w:ilvl="1" w:tplc="04240003">
      <w:start w:val="1"/>
      <w:numFmt w:val="bullet"/>
      <w:lvlText w:val="o"/>
      <w:lvlJc w:val="left"/>
      <w:pPr>
        <w:ind w:left="3565" w:hanging="360"/>
      </w:pPr>
      <w:rPr>
        <w:rFonts w:ascii="Courier New" w:hAnsi="Courier New" w:cs="Courier New" w:hint="default"/>
      </w:rPr>
    </w:lvl>
    <w:lvl w:ilvl="2" w:tplc="04240005" w:tentative="1">
      <w:start w:val="1"/>
      <w:numFmt w:val="bullet"/>
      <w:lvlText w:val=""/>
      <w:lvlJc w:val="left"/>
      <w:pPr>
        <w:ind w:left="4285" w:hanging="360"/>
      </w:pPr>
      <w:rPr>
        <w:rFonts w:ascii="Wingdings" w:hAnsi="Wingdings" w:hint="default"/>
      </w:rPr>
    </w:lvl>
    <w:lvl w:ilvl="3" w:tplc="04240001" w:tentative="1">
      <w:start w:val="1"/>
      <w:numFmt w:val="bullet"/>
      <w:lvlText w:val=""/>
      <w:lvlJc w:val="left"/>
      <w:pPr>
        <w:ind w:left="5005" w:hanging="360"/>
      </w:pPr>
      <w:rPr>
        <w:rFonts w:ascii="Symbol" w:hAnsi="Symbol" w:hint="default"/>
      </w:rPr>
    </w:lvl>
    <w:lvl w:ilvl="4" w:tplc="04240003" w:tentative="1">
      <w:start w:val="1"/>
      <w:numFmt w:val="bullet"/>
      <w:lvlText w:val="o"/>
      <w:lvlJc w:val="left"/>
      <w:pPr>
        <w:ind w:left="5725" w:hanging="360"/>
      </w:pPr>
      <w:rPr>
        <w:rFonts w:ascii="Courier New" w:hAnsi="Courier New" w:cs="Courier New" w:hint="default"/>
      </w:rPr>
    </w:lvl>
    <w:lvl w:ilvl="5" w:tplc="04240005" w:tentative="1">
      <w:start w:val="1"/>
      <w:numFmt w:val="bullet"/>
      <w:lvlText w:val=""/>
      <w:lvlJc w:val="left"/>
      <w:pPr>
        <w:ind w:left="6445" w:hanging="360"/>
      </w:pPr>
      <w:rPr>
        <w:rFonts w:ascii="Wingdings" w:hAnsi="Wingdings" w:hint="default"/>
      </w:rPr>
    </w:lvl>
    <w:lvl w:ilvl="6" w:tplc="04240001" w:tentative="1">
      <w:start w:val="1"/>
      <w:numFmt w:val="bullet"/>
      <w:lvlText w:val=""/>
      <w:lvlJc w:val="left"/>
      <w:pPr>
        <w:ind w:left="7165" w:hanging="360"/>
      </w:pPr>
      <w:rPr>
        <w:rFonts w:ascii="Symbol" w:hAnsi="Symbol" w:hint="default"/>
      </w:rPr>
    </w:lvl>
    <w:lvl w:ilvl="7" w:tplc="04240003" w:tentative="1">
      <w:start w:val="1"/>
      <w:numFmt w:val="bullet"/>
      <w:lvlText w:val="o"/>
      <w:lvlJc w:val="left"/>
      <w:pPr>
        <w:ind w:left="7885" w:hanging="360"/>
      </w:pPr>
      <w:rPr>
        <w:rFonts w:ascii="Courier New" w:hAnsi="Courier New" w:cs="Courier New" w:hint="default"/>
      </w:rPr>
    </w:lvl>
    <w:lvl w:ilvl="8" w:tplc="04240005" w:tentative="1">
      <w:start w:val="1"/>
      <w:numFmt w:val="bullet"/>
      <w:lvlText w:val=""/>
      <w:lvlJc w:val="left"/>
      <w:pPr>
        <w:ind w:left="8605" w:hanging="360"/>
      </w:pPr>
      <w:rPr>
        <w:rFonts w:ascii="Wingdings" w:hAnsi="Wingdings" w:hint="default"/>
      </w:rPr>
    </w:lvl>
  </w:abstractNum>
  <w:abstractNum w:abstractNumId="4" w15:restartNumberingAfterBreak="0">
    <w:nsid w:val="54EA5BB9"/>
    <w:multiLevelType w:val="hybridMultilevel"/>
    <w:tmpl w:val="12B03132"/>
    <w:lvl w:ilvl="0" w:tplc="18CCA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5B36D25"/>
    <w:multiLevelType w:val="hybridMultilevel"/>
    <w:tmpl w:val="09C8A40E"/>
    <w:lvl w:ilvl="0" w:tplc="18CCAA2C">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6" w15:restartNumberingAfterBreak="0">
    <w:nsid w:val="69994D57"/>
    <w:multiLevelType w:val="hybridMultilevel"/>
    <w:tmpl w:val="6D721AAE"/>
    <w:lvl w:ilvl="0" w:tplc="18CCAA2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D8609CC"/>
    <w:multiLevelType w:val="hybridMultilevel"/>
    <w:tmpl w:val="81E6F1CE"/>
    <w:lvl w:ilvl="0" w:tplc="673CF56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1D"/>
    <w:rsid w:val="00070DB4"/>
    <w:rsid w:val="000B1881"/>
    <w:rsid w:val="00142389"/>
    <w:rsid w:val="00193A20"/>
    <w:rsid w:val="002267BF"/>
    <w:rsid w:val="002E6D53"/>
    <w:rsid w:val="003B301D"/>
    <w:rsid w:val="00677BFE"/>
    <w:rsid w:val="00784EC0"/>
    <w:rsid w:val="007D6CA8"/>
    <w:rsid w:val="0081574C"/>
    <w:rsid w:val="00C43580"/>
    <w:rsid w:val="00D17CA9"/>
    <w:rsid w:val="00D422CA"/>
    <w:rsid w:val="00F32A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A161C"/>
  <w15:chartTrackingRefBased/>
  <w15:docId w15:val="{FFE4799E-9B35-456D-B1B3-0F389F66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301D"/>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3B301D"/>
    <w:pPr>
      <w:tabs>
        <w:tab w:val="center" w:pos="4536"/>
        <w:tab w:val="right" w:pos="9072"/>
      </w:tabs>
    </w:pPr>
  </w:style>
  <w:style w:type="character" w:customStyle="1" w:styleId="NogaZnak">
    <w:name w:val="Noga Znak"/>
    <w:basedOn w:val="Privzetapisavaodstavka"/>
    <w:link w:val="Noga"/>
    <w:uiPriority w:val="99"/>
    <w:rsid w:val="003B301D"/>
    <w:rPr>
      <w:rFonts w:ascii="Arial" w:eastAsia="Times New Roman" w:hAnsi="Arial" w:cs="Times New Roman"/>
      <w:sz w:val="20"/>
      <w:szCs w:val="24"/>
    </w:rPr>
  </w:style>
  <w:style w:type="paragraph" w:styleId="Glava">
    <w:name w:val="header"/>
    <w:basedOn w:val="Navaden"/>
    <w:link w:val="GlavaZnak"/>
    <w:rsid w:val="003B301D"/>
    <w:pPr>
      <w:tabs>
        <w:tab w:val="center" w:pos="4320"/>
        <w:tab w:val="right" w:pos="8640"/>
      </w:tabs>
    </w:pPr>
  </w:style>
  <w:style w:type="character" w:customStyle="1" w:styleId="GlavaZnak">
    <w:name w:val="Glava Znak"/>
    <w:basedOn w:val="Privzetapisavaodstavka"/>
    <w:link w:val="Glava"/>
    <w:rsid w:val="003B301D"/>
    <w:rPr>
      <w:rFonts w:ascii="Arial" w:eastAsia="Times New Roman" w:hAnsi="Arial" w:cs="Times New Roman"/>
      <w:sz w:val="20"/>
      <w:szCs w:val="24"/>
    </w:rPr>
  </w:style>
  <w:style w:type="paragraph" w:styleId="Odstavekseznama">
    <w:name w:val="List Paragraph"/>
    <w:basedOn w:val="Navaden"/>
    <w:link w:val="OdstavekseznamaZnak"/>
    <w:uiPriority w:val="34"/>
    <w:qFormat/>
    <w:rsid w:val="003B301D"/>
    <w:pPr>
      <w:spacing w:after="120" w:line="264" w:lineRule="auto"/>
      <w:ind w:left="720"/>
      <w:contextualSpacing/>
      <w:jc w:val="both"/>
    </w:pPr>
    <w:rPr>
      <w:rFonts w:eastAsia="SimHei"/>
      <w:szCs w:val="20"/>
      <w:lang w:val="x-none" w:eastAsia="ja-JP"/>
    </w:rPr>
  </w:style>
  <w:style w:type="character" w:customStyle="1" w:styleId="OdstavekseznamaZnak">
    <w:name w:val="Odstavek seznama Znak"/>
    <w:link w:val="Odstavekseznama"/>
    <w:uiPriority w:val="34"/>
    <w:rsid w:val="003B301D"/>
    <w:rPr>
      <w:rFonts w:ascii="Arial" w:eastAsia="SimHei" w:hAnsi="Arial" w:cs="Times New Roman"/>
      <w:sz w:val="20"/>
      <w:szCs w:val="20"/>
      <w:lang w:val="x-none" w:eastAsia="ja-JP"/>
    </w:rPr>
  </w:style>
  <w:style w:type="character" w:styleId="Pripombasklic">
    <w:name w:val="annotation reference"/>
    <w:uiPriority w:val="99"/>
    <w:semiHidden/>
    <w:unhideWhenUsed/>
    <w:rsid w:val="003B301D"/>
    <w:rPr>
      <w:sz w:val="16"/>
      <w:szCs w:val="16"/>
    </w:rPr>
  </w:style>
  <w:style w:type="paragraph" w:styleId="Pripombabesedilo">
    <w:name w:val="annotation text"/>
    <w:basedOn w:val="Navaden"/>
    <w:link w:val="PripombabesediloZnak1"/>
    <w:uiPriority w:val="99"/>
    <w:unhideWhenUsed/>
    <w:rsid w:val="003B301D"/>
    <w:pPr>
      <w:spacing w:line="240" w:lineRule="auto"/>
    </w:pPr>
    <w:rPr>
      <w:szCs w:val="20"/>
    </w:rPr>
  </w:style>
  <w:style w:type="character" w:customStyle="1" w:styleId="PripombabesediloZnak">
    <w:name w:val="Pripomba – besedilo Znak"/>
    <w:basedOn w:val="Privzetapisavaodstavka"/>
    <w:uiPriority w:val="99"/>
    <w:semiHidden/>
    <w:rsid w:val="003B301D"/>
    <w:rPr>
      <w:rFonts w:ascii="Arial" w:eastAsia="Times New Roman" w:hAnsi="Arial" w:cs="Times New Roman"/>
      <w:sz w:val="20"/>
      <w:szCs w:val="20"/>
    </w:rPr>
  </w:style>
  <w:style w:type="character" w:customStyle="1" w:styleId="PripombabesediloZnak1">
    <w:name w:val="Pripomba – besedilo Znak1"/>
    <w:link w:val="Pripombabesedilo"/>
    <w:uiPriority w:val="99"/>
    <w:rsid w:val="003B301D"/>
    <w:rPr>
      <w:rFonts w:ascii="Arial" w:eastAsia="Times New Roman" w:hAnsi="Arial" w:cs="Times New Roman"/>
      <w:sz w:val="20"/>
      <w:szCs w:val="20"/>
    </w:rPr>
  </w:style>
  <w:style w:type="paragraph" w:styleId="Sprotnaopomba-besedilo">
    <w:name w:val="footnote text"/>
    <w:basedOn w:val="Navaden"/>
    <w:link w:val="Sprotnaopomba-besediloZnak"/>
    <w:uiPriority w:val="99"/>
    <w:rsid w:val="003B301D"/>
    <w:rPr>
      <w:szCs w:val="20"/>
    </w:rPr>
  </w:style>
  <w:style w:type="character" w:customStyle="1" w:styleId="Sprotnaopomba-besediloZnak">
    <w:name w:val="Sprotna opomba - besedilo Znak"/>
    <w:basedOn w:val="Privzetapisavaodstavka"/>
    <w:link w:val="Sprotnaopomba-besedilo"/>
    <w:uiPriority w:val="99"/>
    <w:rsid w:val="003B301D"/>
    <w:rPr>
      <w:rFonts w:ascii="Arial" w:eastAsia="Times New Roman" w:hAnsi="Arial" w:cs="Times New Roman"/>
      <w:sz w:val="20"/>
      <w:szCs w:val="20"/>
    </w:rPr>
  </w:style>
  <w:style w:type="character" w:styleId="Sprotnaopomba-sklic">
    <w:name w:val="footnote reference"/>
    <w:rsid w:val="003B301D"/>
    <w:rPr>
      <w:vertAlign w:val="superscript"/>
    </w:rPr>
  </w:style>
  <w:style w:type="paragraph" w:styleId="Besedilooblaka">
    <w:name w:val="Balloon Text"/>
    <w:basedOn w:val="Navaden"/>
    <w:link w:val="BesedilooblakaZnak"/>
    <w:uiPriority w:val="99"/>
    <w:semiHidden/>
    <w:unhideWhenUsed/>
    <w:rsid w:val="003B301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30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544</Words>
  <Characters>3104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Andreja Rajh</cp:lastModifiedBy>
  <cp:revision>12</cp:revision>
  <dcterms:created xsi:type="dcterms:W3CDTF">2021-12-07T09:16:00Z</dcterms:created>
  <dcterms:modified xsi:type="dcterms:W3CDTF">2021-12-07T09:38:00Z</dcterms:modified>
</cp:coreProperties>
</file>