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2C" w:rsidRPr="003916B8" w:rsidRDefault="00485F2C" w:rsidP="00AB4DAE">
      <w:pPr>
        <w:shd w:val="clear" w:color="auto" w:fill="FFFFFF" w:themeFill="background1"/>
        <w:tabs>
          <w:tab w:val="left" w:pos="7545"/>
        </w:tabs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B6CA3">
        <w:rPr>
          <w:sz w:val="24"/>
          <w:szCs w:val="24"/>
        </w:rPr>
        <w:t xml:space="preserve">Številka: </w:t>
      </w:r>
      <w:r w:rsidR="003916B8">
        <w:rPr>
          <w:rFonts w:cstheme="minorHAnsi"/>
          <w:sz w:val="24"/>
          <w:szCs w:val="24"/>
        </w:rPr>
        <w:t>1.7.1-074-653-4/2020</w:t>
      </w:r>
      <w:r w:rsidR="00AB4DAE">
        <w:rPr>
          <w:rFonts w:cstheme="minorHAnsi"/>
          <w:sz w:val="24"/>
          <w:szCs w:val="24"/>
        </w:rPr>
        <w:tab/>
      </w:r>
      <w:r w:rsidR="00AB4DAE" w:rsidRPr="00AB4DAE">
        <w:rPr>
          <w:rFonts w:cstheme="minorHAnsi"/>
          <w:b/>
          <w:sz w:val="24"/>
          <w:szCs w:val="24"/>
        </w:rPr>
        <w:t>ČISTOPIS</w:t>
      </w:r>
    </w:p>
    <w:p w:rsidR="00485F2C" w:rsidRPr="00FB6CA3" w:rsidRDefault="00485F2C" w:rsidP="00485F2C">
      <w:pPr>
        <w:pStyle w:val="Brezrazmikov"/>
        <w:rPr>
          <w:sz w:val="24"/>
          <w:szCs w:val="24"/>
        </w:rPr>
      </w:pPr>
      <w:r w:rsidRPr="00FB6CA3">
        <w:rPr>
          <w:sz w:val="24"/>
          <w:szCs w:val="24"/>
        </w:rPr>
        <w:t>Datum</w:t>
      </w:r>
      <w:r w:rsidRPr="00267AAC">
        <w:rPr>
          <w:sz w:val="24"/>
          <w:szCs w:val="24"/>
        </w:rPr>
        <w:t xml:space="preserve">: </w:t>
      </w:r>
      <w:r w:rsidR="00267AAC" w:rsidRPr="00267AAC">
        <w:rPr>
          <w:sz w:val="24"/>
          <w:szCs w:val="24"/>
        </w:rPr>
        <w:t>1</w:t>
      </w:r>
      <w:r w:rsidR="00FE4A1A" w:rsidRPr="00267AAC">
        <w:rPr>
          <w:sz w:val="24"/>
          <w:szCs w:val="24"/>
        </w:rPr>
        <w:t>.</w:t>
      </w:r>
      <w:r w:rsidR="00AB4DAE" w:rsidRPr="00267AAC">
        <w:rPr>
          <w:sz w:val="24"/>
          <w:szCs w:val="24"/>
        </w:rPr>
        <w:t xml:space="preserve"> </w:t>
      </w:r>
      <w:r w:rsidR="001C4B1E" w:rsidRPr="00267AAC">
        <w:rPr>
          <w:sz w:val="24"/>
          <w:szCs w:val="24"/>
        </w:rPr>
        <w:t>7</w:t>
      </w:r>
      <w:r w:rsidR="00FE4A1A" w:rsidRPr="00267AAC">
        <w:rPr>
          <w:sz w:val="24"/>
          <w:szCs w:val="24"/>
        </w:rPr>
        <w:t>.</w:t>
      </w:r>
      <w:r w:rsidR="003916B8" w:rsidRPr="00267AAC">
        <w:rPr>
          <w:sz w:val="24"/>
          <w:szCs w:val="24"/>
        </w:rPr>
        <w:t xml:space="preserve"> </w:t>
      </w:r>
      <w:r w:rsidR="00EA792D" w:rsidRPr="00267AAC">
        <w:rPr>
          <w:sz w:val="24"/>
          <w:szCs w:val="24"/>
        </w:rPr>
        <w:t>202</w:t>
      </w:r>
      <w:r w:rsidR="00AB4DAE" w:rsidRPr="00267AAC">
        <w:rPr>
          <w:sz w:val="24"/>
          <w:szCs w:val="24"/>
        </w:rPr>
        <w:t>1</w:t>
      </w:r>
    </w:p>
    <w:p w:rsidR="00485F2C" w:rsidRDefault="00485F2C" w:rsidP="00485F2C">
      <w:pPr>
        <w:rPr>
          <w:sz w:val="24"/>
          <w:szCs w:val="24"/>
        </w:rPr>
      </w:pPr>
    </w:p>
    <w:p w:rsidR="00184FC0" w:rsidRDefault="00184FC0" w:rsidP="00184F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Slovenija</w:t>
      </w:r>
    </w:p>
    <w:p w:rsidR="00184FC0" w:rsidRDefault="00184FC0" w:rsidP="00184F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Ministrstvo za kmetijstvo, gozdarstvo in prehrano</w:t>
      </w:r>
    </w:p>
    <w:p w:rsidR="00184FC0" w:rsidRDefault="00184FC0" w:rsidP="00184F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Dunajska c. 22, 1000 Ljubljana </w:t>
      </w:r>
    </w:p>
    <w:p w:rsidR="00184FC0" w:rsidRDefault="00184FC0" w:rsidP="00485F2C">
      <w:pPr>
        <w:rPr>
          <w:sz w:val="24"/>
          <w:szCs w:val="24"/>
        </w:rPr>
      </w:pPr>
    </w:p>
    <w:p w:rsidR="00485F2C" w:rsidRPr="00485F2C" w:rsidRDefault="00485F2C" w:rsidP="00485F2C">
      <w:pPr>
        <w:pStyle w:val="Brezrazmikov"/>
        <w:jc w:val="center"/>
        <w:rPr>
          <w:b/>
          <w:sz w:val="32"/>
          <w:szCs w:val="32"/>
        </w:rPr>
      </w:pPr>
      <w:r w:rsidRPr="00485F2C">
        <w:rPr>
          <w:b/>
          <w:sz w:val="32"/>
          <w:szCs w:val="32"/>
        </w:rPr>
        <w:t>LETNI NAČRT RAZPOLAGANJA Z DRŽAVNIMI GOZDOVI</w:t>
      </w:r>
    </w:p>
    <w:p w:rsidR="00485F2C" w:rsidRPr="00485F2C" w:rsidRDefault="00485F2C" w:rsidP="00485F2C">
      <w:pPr>
        <w:pStyle w:val="Brezrazmikov"/>
        <w:jc w:val="center"/>
        <w:rPr>
          <w:b/>
          <w:sz w:val="32"/>
          <w:szCs w:val="32"/>
        </w:rPr>
      </w:pPr>
      <w:r w:rsidRPr="00485F2C">
        <w:rPr>
          <w:b/>
          <w:sz w:val="32"/>
          <w:szCs w:val="32"/>
        </w:rPr>
        <w:t>ZA LETO 202</w:t>
      </w:r>
      <w:r w:rsidR="003916B8">
        <w:rPr>
          <w:b/>
          <w:sz w:val="32"/>
          <w:szCs w:val="32"/>
        </w:rPr>
        <w:t>1</w:t>
      </w:r>
    </w:p>
    <w:p w:rsidR="00485F2C" w:rsidRDefault="00485F2C" w:rsidP="00485F2C">
      <w:pPr>
        <w:jc w:val="both"/>
        <w:rPr>
          <w:b/>
          <w:sz w:val="24"/>
          <w:szCs w:val="24"/>
        </w:rPr>
      </w:pPr>
    </w:p>
    <w:p w:rsidR="00485F2C" w:rsidRDefault="00485F2C" w:rsidP="00485F2C">
      <w:pPr>
        <w:jc w:val="both"/>
        <w:rPr>
          <w:sz w:val="24"/>
          <w:szCs w:val="24"/>
        </w:rPr>
      </w:pPr>
      <w:r w:rsidRPr="00D85275">
        <w:rPr>
          <w:b/>
          <w:sz w:val="24"/>
          <w:szCs w:val="24"/>
        </w:rPr>
        <w:t>Pravn</w:t>
      </w:r>
      <w:r>
        <w:rPr>
          <w:b/>
          <w:sz w:val="24"/>
          <w:szCs w:val="24"/>
        </w:rPr>
        <w:t>e</w:t>
      </w:r>
      <w:r w:rsidRPr="00D85275">
        <w:rPr>
          <w:b/>
          <w:sz w:val="24"/>
          <w:szCs w:val="24"/>
        </w:rPr>
        <w:t xml:space="preserve"> podlag</w:t>
      </w:r>
      <w:r>
        <w:rPr>
          <w:b/>
          <w:sz w:val="24"/>
          <w:szCs w:val="24"/>
        </w:rPr>
        <w:t>e</w:t>
      </w:r>
      <w:r w:rsidRPr="00D85275">
        <w:rPr>
          <w:b/>
          <w:sz w:val="24"/>
          <w:szCs w:val="24"/>
        </w:rPr>
        <w:t>:</w:t>
      </w:r>
      <w:r w:rsidRPr="006115E1">
        <w:rPr>
          <w:sz w:val="24"/>
          <w:szCs w:val="24"/>
        </w:rPr>
        <w:t xml:space="preserve"> </w:t>
      </w:r>
    </w:p>
    <w:p w:rsidR="00485F2C" w:rsidRPr="000259E2" w:rsidRDefault="00485F2C" w:rsidP="00485F2C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0259E2">
        <w:rPr>
          <w:sz w:val="24"/>
          <w:szCs w:val="24"/>
        </w:rPr>
        <w:t>22. člen Zakona o gospodarjenju z gozdovi v lasti Republike Slovenije (Uradni list RS, št. 9/16; ZGGLRS);</w:t>
      </w:r>
    </w:p>
    <w:p w:rsidR="00485F2C" w:rsidRPr="000259E2" w:rsidRDefault="00485F2C" w:rsidP="00485F2C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0259E2">
        <w:rPr>
          <w:sz w:val="24"/>
          <w:szCs w:val="24"/>
        </w:rPr>
        <w:t>14. člen Pogodbe o razpolaganju z gozdovi v lasti Republike Slovenije in pridobivanju gozdov št. 2330-16-000114 z dne 29. 6. 2016, sklenjene med Vlado RS in družbo SiDG d.o.o., dodatek št. 1 k tej pogodbi z dne 29. 3. 2017 ter dodatek št. 2 z dne 6. 3. 2019.</w:t>
      </w:r>
    </w:p>
    <w:p w:rsidR="00485F2C" w:rsidRDefault="00485F2C" w:rsidP="00485F2C">
      <w:pPr>
        <w:jc w:val="both"/>
        <w:rPr>
          <w:b/>
          <w:sz w:val="24"/>
          <w:szCs w:val="24"/>
        </w:rPr>
      </w:pPr>
    </w:p>
    <w:p w:rsidR="00485F2C" w:rsidRPr="00764E34" w:rsidRDefault="00485F2C" w:rsidP="00485F2C">
      <w:pPr>
        <w:rPr>
          <w:b/>
          <w:sz w:val="28"/>
          <w:szCs w:val="28"/>
        </w:rPr>
      </w:pPr>
      <w:r w:rsidRPr="009D0E7D">
        <w:rPr>
          <w:b/>
          <w:sz w:val="28"/>
          <w:szCs w:val="28"/>
        </w:rPr>
        <w:t>UVODNO</w:t>
      </w:r>
    </w:p>
    <w:p w:rsidR="00485F2C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>Družba Slovenski državni gozdovi, d.o.o.</w:t>
      </w:r>
      <w:r w:rsidR="00EA792D">
        <w:rPr>
          <w:sz w:val="24"/>
          <w:szCs w:val="24"/>
        </w:rPr>
        <w:t xml:space="preserve"> (v </w:t>
      </w:r>
      <w:r w:rsidR="00C2074E">
        <w:rPr>
          <w:sz w:val="24"/>
          <w:szCs w:val="24"/>
        </w:rPr>
        <w:t>nadaljnjem besedilu</w:t>
      </w:r>
      <w:r w:rsidR="00EA792D">
        <w:rPr>
          <w:sz w:val="24"/>
          <w:szCs w:val="24"/>
        </w:rPr>
        <w:t>: SiDG)</w:t>
      </w:r>
      <w:r>
        <w:rPr>
          <w:sz w:val="24"/>
          <w:szCs w:val="24"/>
        </w:rPr>
        <w:t xml:space="preserve">, na podlagi prvega odstavka 19. člena </w:t>
      </w:r>
      <w:r w:rsidRPr="0020460D">
        <w:rPr>
          <w:sz w:val="24"/>
          <w:szCs w:val="24"/>
        </w:rPr>
        <w:t>Zakona o gospodarjenju z gozdovi v lasti R</w:t>
      </w:r>
      <w:r>
        <w:rPr>
          <w:sz w:val="24"/>
          <w:szCs w:val="24"/>
        </w:rPr>
        <w:t xml:space="preserve">epublike Slovenije </w:t>
      </w:r>
      <w:r w:rsidR="006A6C63">
        <w:rPr>
          <w:sz w:val="24"/>
          <w:szCs w:val="24"/>
        </w:rPr>
        <w:t xml:space="preserve">(v nadaljnjem besedilu: ZGGLRS) </w:t>
      </w:r>
      <w:r>
        <w:rPr>
          <w:sz w:val="24"/>
          <w:szCs w:val="24"/>
        </w:rPr>
        <w:t xml:space="preserve">v imenu </w:t>
      </w:r>
      <w:r w:rsidR="002D03D2">
        <w:rPr>
          <w:sz w:val="24"/>
          <w:szCs w:val="24"/>
        </w:rPr>
        <w:t>in</w:t>
      </w:r>
      <w:r>
        <w:rPr>
          <w:sz w:val="24"/>
          <w:szCs w:val="24"/>
        </w:rPr>
        <w:t xml:space="preserve"> za račun Republike Slovenije razpolaga z gozdnimi zemljišči v njeni lasti. </w:t>
      </w:r>
      <w:r w:rsidR="00C606AC">
        <w:rPr>
          <w:sz w:val="24"/>
          <w:szCs w:val="24"/>
        </w:rPr>
        <w:t>Osnovni</w:t>
      </w:r>
      <w:r>
        <w:rPr>
          <w:sz w:val="24"/>
          <w:szCs w:val="24"/>
        </w:rPr>
        <w:t xml:space="preserve"> pogoj odsvojitv</w:t>
      </w:r>
      <w:r w:rsidR="003916B8">
        <w:rPr>
          <w:sz w:val="24"/>
          <w:szCs w:val="24"/>
        </w:rPr>
        <w:t>e</w:t>
      </w:r>
      <w:r>
        <w:rPr>
          <w:sz w:val="24"/>
          <w:szCs w:val="24"/>
        </w:rPr>
        <w:t xml:space="preserve"> državnih gozdov kot </w:t>
      </w:r>
      <w:r w:rsidR="002D03D2">
        <w:rPr>
          <w:sz w:val="24"/>
          <w:szCs w:val="24"/>
        </w:rPr>
        <w:t>vrste državnega premoženja na področju nepremičnin</w:t>
      </w:r>
      <w:r>
        <w:rPr>
          <w:sz w:val="24"/>
          <w:szCs w:val="24"/>
        </w:rPr>
        <w:t xml:space="preserve"> je uvrstitev vseh </w:t>
      </w:r>
      <w:r w:rsidR="003916B8">
        <w:rPr>
          <w:sz w:val="24"/>
          <w:szCs w:val="24"/>
        </w:rPr>
        <w:t>razpolagalnih</w:t>
      </w:r>
      <w:r>
        <w:rPr>
          <w:sz w:val="24"/>
          <w:szCs w:val="24"/>
        </w:rPr>
        <w:t xml:space="preserve"> pravnih poslov v letni načrt razpolaganja</w:t>
      </w:r>
      <w:r w:rsidR="006A6C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6C63" w:rsidRDefault="006A6C63" w:rsidP="006A6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prvem odstavku 22. člena ZGGLRS je določeno, da se prodaja in menjava državnih gozdov ter neodplačni prenos lastninske pravice državnih gozdov na občino lahko izvede, če </w:t>
      </w:r>
      <w:r w:rsidR="00BF317B">
        <w:rPr>
          <w:sz w:val="24"/>
          <w:szCs w:val="24"/>
        </w:rPr>
        <w:t>so zemljišča, ki po dejanski rabi predstavljajo gozd in z njimi upravlja družba,</w:t>
      </w:r>
      <w:r>
        <w:rPr>
          <w:sz w:val="24"/>
          <w:szCs w:val="24"/>
        </w:rPr>
        <w:t xml:space="preserve"> vključen</w:t>
      </w:r>
      <w:r w:rsidR="00BF317B">
        <w:rPr>
          <w:sz w:val="24"/>
          <w:szCs w:val="24"/>
        </w:rPr>
        <w:t>a</w:t>
      </w:r>
      <w:r>
        <w:rPr>
          <w:sz w:val="24"/>
          <w:szCs w:val="24"/>
        </w:rPr>
        <w:t xml:space="preserve"> v letni načrt razpolaganja z državnimi gozdovi, ki ga na predlog družbe SiDG sprejme vlada najpozneje do 31. januarja za tekoče leto; predlog načrta pa družba pošlje v sprejem vladi najpozneje do 30. novembra </w:t>
      </w:r>
      <w:r w:rsidR="002D03D2">
        <w:rPr>
          <w:sz w:val="24"/>
          <w:szCs w:val="24"/>
        </w:rPr>
        <w:t xml:space="preserve">tekočega leta </w:t>
      </w:r>
      <w:r>
        <w:rPr>
          <w:sz w:val="24"/>
          <w:szCs w:val="24"/>
        </w:rPr>
        <w:t>za prihodnje leto.</w:t>
      </w:r>
    </w:p>
    <w:p w:rsidR="006A6C63" w:rsidRDefault="006A6C63" w:rsidP="006A6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skladu z zakonom je torej obvezno, da se v </w:t>
      </w:r>
      <w:r w:rsidR="00C606AC">
        <w:rPr>
          <w:sz w:val="24"/>
          <w:szCs w:val="24"/>
        </w:rPr>
        <w:t>letni</w:t>
      </w:r>
      <w:r>
        <w:rPr>
          <w:sz w:val="24"/>
          <w:szCs w:val="24"/>
        </w:rPr>
        <w:t xml:space="preserve"> načrt razpolaganja </w:t>
      </w:r>
      <w:r w:rsidR="00C606AC">
        <w:rPr>
          <w:sz w:val="24"/>
          <w:szCs w:val="24"/>
        </w:rPr>
        <w:t xml:space="preserve">uvrstijo naslednje </w:t>
      </w:r>
      <w:r w:rsidR="00C35377">
        <w:rPr>
          <w:sz w:val="24"/>
          <w:szCs w:val="24"/>
        </w:rPr>
        <w:t xml:space="preserve">vrste </w:t>
      </w:r>
      <w:r w:rsidR="00C606AC">
        <w:rPr>
          <w:sz w:val="24"/>
          <w:szCs w:val="24"/>
        </w:rPr>
        <w:t>pravni</w:t>
      </w:r>
      <w:r w:rsidR="00C35377">
        <w:rPr>
          <w:sz w:val="24"/>
          <w:szCs w:val="24"/>
        </w:rPr>
        <w:t>h poslov</w:t>
      </w:r>
      <w:r w:rsidR="00C606AC">
        <w:rPr>
          <w:sz w:val="24"/>
          <w:szCs w:val="24"/>
        </w:rPr>
        <w:t>:</w:t>
      </w:r>
    </w:p>
    <w:p w:rsidR="006A6C63" w:rsidRDefault="006A6C63" w:rsidP="006A6C6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prodaje gozdnih zemljišč,</w:t>
      </w:r>
    </w:p>
    <w:p w:rsidR="006A6C63" w:rsidRDefault="006A6C63" w:rsidP="006A6C6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menjave gozdnih zemljišč ter</w:t>
      </w:r>
    </w:p>
    <w:p w:rsidR="006A6C63" w:rsidRDefault="006A6C63" w:rsidP="006A6C6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neodplačni prenosi </w:t>
      </w:r>
      <w:r w:rsidR="00BF317B">
        <w:rPr>
          <w:sz w:val="24"/>
          <w:szCs w:val="24"/>
        </w:rPr>
        <w:t>gozdnih zemljišč</w:t>
      </w:r>
      <w:r>
        <w:rPr>
          <w:sz w:val="24"/>
          <w:szCs w:val="24"/>
        </w:rPr>
        <w:t>, ki se jim namenska raba spremeni v stavbno zemljišče,</w:t>
      </w:r>
      <w:r w:rsidR="00BF317B">
        <w:rPr>
          <w:sz w:val="24"/>
          <w:szCs w:val="24"/>
        </w:rPr>
        <w:t xml:space="preserve"> na občine (pod pogoji 24. člena ZGGLRS)</w:t>
      </w:r>
      <w:r w:rsidR="00C35377">
        <w:rPr>
          <w:sz w:val="24"/>
          <w:szCs w:val="24"/>
        </w:rPr>
        <w:t>.</w:t>
      </w:r>
    </w:p>
    <w:p w:rsidR="006A6C63" w:rsidRDefault="00C35377" w:rsidP="006A6C63">
      <w:pPr>
        <w:jc w:val="both"/>
        <w:rPr>
          <w:sz w:val="24"/>
          <w:szCs w:val="24"/>
        </w:rPr>
      </w:pPr>
      <w:r>
        <w:rPr>
          <w:sz w:val="24"/>
          <w:szCs w:val="24"/>
        </w:rPr>
        <w:t>Konkretni pravni posli se lahko po predpisanem postopku z odločitvami pristojne komisije za razpolaganje z gozdovi v državni lasti in izpolnitvi vseh drugih pogojev razpolaganja (zlasti obvezni cenitvi na podlagi 21. člena ZGGLRS) torej izvedejo oz. realizirajo šele po njihovi potrditvi v letnem načrtu.</w:t>
      </w:r>
    </w:p>
    <w:p w:rsidR="006A6C63" w:rsidRDefault="006A6C63" w:rsidP="006A6C63">
      <w:pPr>
        <w:jc w:val="both"/>
        <w:rPr>
          <w:sz w:val="24"/>
          <w:szCs w:val="24"/>
        </w:rPr>
      </w:pPr>
      <w:r>
        <w:rPr>
          <w:sz w:val="24"/>
          <w:szCs w:val="24"/>
        </w:rPr>
        <w:t>Obvezno vsebino letnega načrta razpolaganja določa drugi odstavek 22. člena ZGGLRS, v skladu s katerim načrt vsebuje naslednje podatke:</w:t>
      </w:r>
    </w:p>
    <w:p w:rsidR="006A6C63" w:rsidRDefault="006A6C63" w:rsidP="006A6C63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nepremičnini (katastrska občina, parcelna številka, bonitetne točke, dejanska raba),</w:t>
      </w:r>
    </w:p>
    <w:p w:rsidR="006A6C63" w:rsidRDefault="006A6C63" w:rsidP="006A6C63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vrednost zemljišča, določena na podlagi izvedenih primerljivih pravnih poslov,</w:t>
      </w:r>
    </w:p>
    <w:p w:rsidR="006A6C63" w:rsidRDefault="006A6C63" w:rsidP="006A6C63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navedbo o načinu prodaje ali menjave oziroma navedbo o tem, da gre za neodplačni prenos lastninske pravice na občino, vključno z navedbo prostorskega akta, ki določa javni interes.</w:t>
      </w:r>
    </w:p>
    <w:p w:rsidR="00FB7913" w:rsidRPr="003916B8" w:rsidRDefault="00EB29E8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>Pri posameznih vrstah pravnih poslov v preglednicah dodajamo še številne druge podatke, ki so pomembni za sprejemanje odločitev o uvrstitvi predlaganih poslov v Letni načrt razpolaganja z državnimi gozdovi za leto 202</w:t>
      </w:r>
      <w:r w:rsidR="003916B8">
        <w:rPr>
          <w:sz w:val="24"/>
          <w:szCs w:val="24"/>
        </w:rPr>
        <w:t>1</w:t>
      </w:r>
      <w:r w:rsidR="00BF317B">
        <w:rPr>
          <w:sz w:val="24"/>
          <w:szCs w:val="24"/>
        </w:rPr>
        <w:t xml:space="preserve"> </w:t>
      </w:r>
      <w:r w:rsidR="00BF317B" w:rsidRPr="00BF317B">
        <w:rPr>
          <w:b/>
          <w:bCs/>
          <w:sz w:val="24"/>
          <w:szCs w:val="24"/>
        </w:rPr>
        <w:t>(v nadaljevanju: LNR 202</w:t>
      </w:r>
      <w:r w:rsidR="003916B8">
        <w:rPr>
          <w:b/>
          <w:bCs/>
          <w:sz w:val="24"/>
          <w:szCs w:val="24"/>
        </w:rPr>
        <w:t>1</w:t>
      </w:r>
      <w:r w:rsidR="00BF317B" w:rsidRPr="00BF317B">
        <w:rPr>
          <w:b/>
          <w:bCs/>
          <w:sz w:val="24"/>
          <w:szCs w:val="24"/>
        </w:rPr>
        <w:t>)</w:t>
      </w:r>
      <w:r w:rsidR="003916B8">
        <w:rPr>
          <w:b/>
          <w:bCs/>
          <w:sz w:val="24"/>
          <w:szCs w:val="24"/>
        </w:rPr>
        <w:t xml:space="preserve">, </w:t>
      </w:r>
      <w:r w:rsidR="003916B8">
        <w:rPr>
          <w:sz w:val="24"/>
          <w:szCs w:val="24"/>
        </w:rPr>
        <w:t>k vsakemu predlaganemu poslu pa prilagamo še besedilno obrazložitev ter drugo potrebno dokumentacijo (potrdila o namenski rabi zemljišč, grafični prikaz zemljišč).</w:t>
      </w:r>
    </w:p>
    <w:p w:rsidR="00485F2C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nadaljevanju so predstavljeni razpolagalni </w:t>
      </w:r>
      <w:r w:rsidR="00A04AEA">
        <w:rPr>
          <w:sz w:val="24"/>
          <w:szCs w:val="24"/>
        </w:rPr>
        <w:t xml:space="preserve">(odsvojitveni) </w:t>
      </w:r>
      <w:r>
        <w:rPr>
          <w:sz w:val="24"/>
          <w:szCs w:val="24"/>
        </w:rPr>
        <w:t>pravni posli po posameznih programih razpolaganja</w:t>
      </w:r>
      <w:r w:rsidR="002144C8">
        <w:rPr>
          <w:sz w:val="24"/>
          <w:szCs w:val="24"/>
        </w:rPr>
        <w:t>, ki so bili predhodno usklajeni s pristojnimi ministrstvi (MKGP, MOP).</w:t>
      </w:r>
    </w:p>
    <w:p w:rsidR="00485F2C" w:rsidRDefault="00485F2C" w:rsidP="00485F2C">
      <w:pPr>
        <w:jc w:val="both"/>
        <w:rPr>
          <w:b/>
          <w:sz w:val="28"/>
          <w:szCs w:val="28"/>
        </w:rPr>
      </w:pPr>
    </w:p>
    <w:p w:rsidR="00485F2C" w:rsidRPr="00964418" w:rsidRDefault="00485F2C" w:rsidP="0048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E53F7">
        <w:rPr>
          <w:b/>
          <w:sz w:val="28"/>
          <w:szCs w:val="28"/>
        </w:rPr>
        <w:t xml:space="preserve"> PRODAJ</w:t>
      </w:r>
      <w:r w:rsidR="00A33F30">
        <w:rPr>
          <w:b/>
          <w:sz w:val="28"/>
          <w:szCs w:val="28"/>
        </w:rPr>
        <w:t>E</w:t>
      </w:r>
      <w:r w:rsidRPr="005E53F7">
        <w:rPr>
          <w:b/>
          <w:sz w:val="28"/>
          <w:szCs w:val="28"/>
        </w:rPr>
        <w:t xml:space="preserve"> GOZDNIH ZEMLJIŠČ</w:t>
      </w:r>
    </w:p>
    <w:p w:rsidR="006A6C63" w:rsidRPr="00BF317B" w:rsidRDefault="00485F2C" w:rsidP="00BF317B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Število predvidenih prodaj </w:t>
      </w:r>
      <w:r w:rsidR="00BF317B">
        <w:rPr>
          <w:b/>
          <w:sz w:val="24"/>
          <w:szCs w:val="24"/>
        </w:rPr>
        <w:t xml:space="preserve">v </w:t>
      </w:r>
      <w:r>
        <w:rPr>
          <w:b/>
          <w:sz w:val="24"/>
          <w:szCs w:val="24"/>
        </w:rPr>
        <w:t xml:space="preserve"> LNR </w:t>
      </w:r>
      <w:r w:rsidR="00EA792D">
        <w:rPr>
          <w:b/>
          <w:sz w:val="24"/>
          <w:szCs w:val="24"/>
        </w:rPr>
        <w:t>202</w:t>
      </w:r>
      <w:r w:rsidR="00C606AC">
        <w:rPr>
          <w:b/>
          <w:sz w:val="24"/>
          <w:szCs w:val="24"/>
        </w:rPr>
        <w:t>1</w:t>
      </w:r>
    </w:p>
    <w:p w:rsidR="00485F2C" w:rsidRPr="006D4C6E" w:rsidRDefault="00485F2C" w:rsidP="00485F2C">
      <w:pPr>
        <w:jc w:val="both"/>
        <w:rPr>
          <w:sz w:val="24"/>
          <w:szCs w:val="24"/>
        </w:rPr>
      </w:pPr>
      <w:r w:rsidRPr="00AD1C1F">
        <w:rPr>
          <w:sz w:val="24"/>
          <w:szCs w:val="24"/>
        </w:rPr>
        <w:t xml:space="preserve">V spodnjih tabelah sumarno prikazujemo predvideno število prodaj po različnih upoštevanih kategorijah </w:t>
      </w:r>
      <w:r w:rsidR="00055D20">
        <w:rPr>
          <w:sz w:val="24"/>
          <w:szCs w:val="24"/>
        </w:rPr>
        <w:t xml:space="preserve">– </w:t>
      </w:r>
      <w:r w:rsidR="00055D20" w:rsidRPr="00055D20">
        <w:rPr>
          <w:b/>
          <w:bCs/>
          <w:sz w:val="24"/>
          <w:szCs w:val="24"/>
        </w:rPr>
        <w:t>programih</w:t>
      </w:r>
      <w:r w:rsidR="00055D20">
        <w:rPr>
          <w:sz w:val="24"/>
          <w:szCs w:val="24"/>
        </w:rPr>
        <w:t xml:space="preserve"> </w:t>
      </w:r>
      <w:r w:rsidRPr="00AD1C1F">
        <w:rPr>
          <w:sz w:val="24"/>
          <w:szCs w:val="24"/>
        </w:rPr>
        <w:t xml:space="preserve">(izključno lastništvo RS - solastnina; izključno gozdna zemljišča </w:t>
      </w:r>
      <w:r w:rsidR="00055D20">
        <w:rPr>
          <w:sz w:val="24"/>
          <w:szCs w:val="24"/>
        </w:rPr>
        <w:t xml:space="preserve">v upravljanju SiDG </w:t>
      </w:r>
      <w:r w:rsidRPr="00AD1C1F">
        <w:rPr>
          <w:sz w:val="24"/>
          <w:szCs w:val="24"/>
        </w:rPr>
        <w:t>– zemljišča mešane dejanske rabe</w:t>
      </w:r>
      <w:r w:rsidR="00055D20">
        <w:rPr>
          <w:sz w:val="24"/>
          <w:szCs w:val="24"/>
        </w:rPr>
        <w:t>, kjer se prodaja izvede v sodelovanju s SKZG RS</w:t>
      </w:r>
      <w:r w:rsidRPr="00AD1C1F">
        <w:rPr>
          <w:sz w:val="24"/>
          <w:szCs w:val="24"/>
        </w:rPr>
        <w:t>; zemljišča na zavarovanih območjih v skladu s 85. in 85.a členom ZON).</w:t>
      </w:r>
    </w:p>
    <w:p w:rsidR="009E191F" w:rsidRDefault="00485F2C" w:rsidP="00485F2C">
      <w:pPr>
        <w:rPr>
          <w:b/>
          <w:sz w:val="28"/>
          <w:szCs w:val="28"/>
          <w:u w:val="single"/>
        </w:rPr>
      </w:pPr>
      <w:r w:rsidRPr="00F44847">
        <w:rPr>
          <w:b/>
          <w:sz w:val="28"/>
          <w:szCs w:val="28"/>
          <w:u w:val="single"/>
        </w:rPr>
        <w:t>Program prodaje - izključna lastnina RS</w:t>
      </w:r>
    </w:p>
    <w:p w:rsidR="00746DC6" w:rsidRPr="0017562C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BF317B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SiDG – delež RS do celote (1/1</w:t>
      </w:r>
      <w:r w:rsidR="009333C1">
        <w:rPr>
          <w:sz w:val="24"/>
          <w:szCs w:val="24"/>
        </w:rPr>
        <w:t xml:space="preserve"> – izključna lastnina)</w:t>
      </w:r>
      <w:r>
        <w:rPr>
          <w:sz w:val="24"/>
          <w:szCs w:val="24"/>
        </w:rPr>
        <w:t xml:space="preserve"> </w:t>
      </w:r>
      <w:r w:rsidR="00D70CD9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prodaje SiDG – delež RS do celote (1/1)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485F2C" w:rsidRPr="00B5140B" w:rsidTr="00750412">
        <w:tc>
          <w:tcPr>
            <w:tcW w:w="5685" w:type="dxa"/>
            <w:shd w:val="clear" w:color="auto" w:fill="FFFFFF" w:themeFill="background1"/>
          </w:tcPr>
          <w:p w:rsidR="00485F2C" w:rsidRPr="00C606D3" w:rsidRDefault="00485F2C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Skupno število </w:t>
            </w:r>
            <w:r w:rsidR="00AD17A6">
              <w:rPr>
                <w:sz w:val="24"/>
                <w:szCs w:val="24"/>
              </w:rPr>
              <w:t>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485F2C" w:rsidRPr="00950680" w:rsidRDefault="00950680" w:rsidP="0095068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B4DAE">
              <w:rPr>
                <w:rFonts w:ascii="Calibri" w:hAnsi="Calibri" w:cs="Calibri"/>
              </w:rPr>
              <w:t>7</w:t>
            </w:r>
          </w:p>
        </w:tc>
      </w:tr>
      <w:tr w:rsidR="00485F2C" w:rsidRPr="00B5140B" w:rsidTr="00750412">
        <w:tc>
          <w:tcPr>
            <w:tcW w:w="5685" w:type="dxa"/>
            <w:shd w:val="clear" w:color="auto" w:fill="FFFFFF" w:themeFill="background1"/>
          </w:tcPr>
          <w:p w:rsidR="00485F2C" w:rsidRPr="00C606D3" w:rsidRDefault="00485F2C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485F2C" w:rsidRPr="00C606D3" w:rsidRDefault="00AB4DAE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485F2C" w:rsidRPr="00B5140B" w:rsidTr="00750412">
        <w:tc>
          <w:tcPr>
            <w:tcW w:w="5685" w:type="dxa"/>
            <w:shd w:val="clear" w:color="auto" w:fill="FFFFFF" w:themeFill="background1"/>
          </w:tcPr>
          <w:p w:rsidR="00485F2C" w:rsidRDefault="00485F2C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485F2C" w:rsidRPr="00411840" w:rsidRDefault="00AB4DAE" w:rsidP="009506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30,82</w:t>
            </w:r>
            <w:r w:rsidR="00950680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5F2C" w:rsidRPr="00411840">
              <w:rPr>
                <w:sz w:val="24"/>
                <w:szCs w:val="24"/>
              </w:rPr>
              <w:t>ha</w:t>
            </w:r>
          </w:p>
        </w:tc>
      </w:tr>
      <w:tr w:rsidR="00485F2C" w:rsidRPr="00B5140B" w:rsidTr="00750412">
        <w:tc>
          <w:tcPr>
            <w:tcW w:w="5685" w:type="dxa"/>
            <w:shd w:val="clear" w:color="auto" w:fill="FFFFFF" w:themeFill="background1"/>
          </w:tcPr>
          <w:p w:rsidR="00485F2C" w:rsidRDefault="00AD17A6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485F2C" w:rsidRPr="00411840" w:rsidRDefault="00AB4DAE" w:rsidP="009506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248.249,77</w:t>
            </w:r>
            <w:r w:rsidR="00950680" w:rsidRPr="00411840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485F2C" w:rsidRPr="00B5140B" w:rsidTr="00750412">
        <w:tc>
          <w:tcPr>
            <w:tcW w:w="5685" w:type="dxa"/>
            <w:shd w:val="clear" w:color="auto" w:fill="FFFFFF" w:themeFill="background1"/>
          </w:tcPr>
          <w:p w:rsidR="00485F2C" w:rsidRDefault="00485F2C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</w:t>
            </w:r>
            <w:r w:rsidR="00AD17A6">
              <w:rPr>
                <w:sz w:val="24"/>
                <w:szCs w:val="24"/>
              </w:rPr>
              <w:t xml:space="preserve"> gozdov</w:t>
            </w:r>
            <w:r>
              <w:rPr>
                <w:sz w:val="24"/>
                <w:szCs w:val="24"/>
              </w:rPr>
              <w:t xml:space="preserve">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485F2C" w:rsidRPr="00411840" w:rsidRDefault="00AB4DAE" w:rsidP="009506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3.225.610,40</w:t>
            </w:r>
            <w:r w:rsidR="00950680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5F2C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Default="00485F2C" w:rsidP="00485F2C">
      <w:pPr>
        <w:pStyle w:val="Odstavekseznama"/>
      </w:pPr>
    </w:p>
    <w:p w:rsidR="00485F2C" w:rsidRPr="006D4C6E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9333C1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(SiDG – SKZG RS) – delež RS do celote (1/1</w:t>
      </w:r>
      <w:r w:rsidR="009333C1">
        <w:rPr>
          <w:sz w:val="24"/>
          <w:szCs w:val="24"/>
        </w:rPr>
        <w:t xml:space="preserve"> – izključna lastnina</w:t>
      </w:r>
      <w:r>
        <w:rPr>
          <w:sz w:val="24"/>
          <w:szCs w:val="24"/>
        </w:rPr>
        <w:t xml:space="preserve">) </w:t>
      </w:r>
      <w:r w:rsidR="009333C1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prodaje (SiDG – SKZG RS) – </w:t>
            </w:r>
            <w:r w:rsidRPr="0093052A">
              <w:rPr>
                <w:b/>
                <w:sz w:val="20"/>
                <w:szCs w:val="20"/>
              </w:rPr>
              <w:t>delež RS do celote (1/1)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91306F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91306F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91306F" w:rsidP="009130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27,42 </w:t>
            </w:r>
            <w:r w:rsidR="003F6E40" w:rsidRPr="004118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91306F" w:rsidP="009130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>161.888,34 €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91306F" w:rsidP="009130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1.122.154,33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Default="00485F2C" w:rsidP="00485F2C">
      <w:pPr>
        <w:pStyle w:val="Odstavekseznama"/>
      </w:pPr>
    </w:p>
    <w:p w:rsidR="00485F2C" w:rsidRPr="005D6185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BD619D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(SKZG RS – SiDG) – delež RS do celote (1/1</w:t>
      </w:r>
      <w:r w:rsidR="00BD619D">
        <w:rPr>
          <w:sz w:val="24"/>
          <w:szCs w:val="24"/>
        </w:rPr>
        <w:t xml:space="preserve"> – izključna lastnina</w:t>
      </w:r>
      <w:r>
        <w:rPr>
          <w:sz w:val="24"/>
          <w:szCs w:val="24"/>
        </w:rPr>
        <w:t xml:space="preserve">) </w:t>
      </w:r>
      <w:r w:rsidR="00BD619D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prodaje (SKZG RS – SiDG) – </w:t>
            </w:r>
            <w:r w:rsidRPr="00F473D1">
              <w:rPr>
                <w:b/>
                <w:sz w:val="20"/>
                <w:szCs w:val="20"/>
              </w:rPr>
              <w:t>delež RS do celote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F473D1">
              <w:rPr>
                <w:b/>
                <w:sz w:val="20"/>
                <w:szCs w:val="20"/>
              </w:rPr>
              <w:t>1/1)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1,20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22.433,25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182.592,91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Default="00485F2C" w:rsidP="00485F2C">
      <w:pPr>
        <w:pStyle w:val="Odstavekseznama"/>
      </w:pPr>
    </w:p>
    <w:p w:rsidR="00746DC6" w:rsidRDefault="00746DC6" w:rsidP="00485F2C">
      <w:pPr>
        <w:jc w:val="both"/>
        <w:rPr>
          <w:sz w:val="24"/>
          <w:szCs w:val="24"/>
        </w:rPr>
      </w:pPr>
    </w:p>
    <w:p w:rsidR="00746DC6" w:rsidRDefault="00746DC6" w:rsidP="00485F2C">
      <w:pPr>
        <w:jc w:val="both"/>
        <w:rPr>
          <w:sz w:val="24"/>
          <w:szCs w:val="24"/>
        </w:rPr>
      </w:pPr>
    </w:p>
    <w:p w:rsidR="00485F2C" w:rsidRPr="006D4C6E" w:rsidRDefault="00485F2C" w:rsidP="00485F2C">
      <w:pPr>
        <w:jc w:val="both"/>
        <w:rPr>
          <w:sz w:val="24"/>
          <w:szCs w:val="24"/>
        </w:rPr>
      </w:pPr>
      <w:r w:rsidRPr="006D4C6E">
        <w:rPr>
          <w:sz w:val="24"/>
          <w:szCs w:val="24"/>
        </w:rPr>
        <w:t xml:space="preserve">V Programu prodaje – izključna lastnina </w:t>
      </w:r>
      <w:r w:rsidR="00B079EC">
        <w:rPr>
          <w:sz w:val="24"/>
          <w:szCs w:val="24"/>
        </w:rPr>
        <w:t xml:space="preserve">(1/1) </w:t>
      </w:r>
      <w:r w:rsidRPr="006D4C6E">
        <w:rPr>
          <w:sz w:val="24"/>
          <w:szCs w:val="24"/>
        </w:rPr>
        <w:t xml:space="preserve">je </w:t>
      </w:r>
      <w:r w:rsidR="00B079EC">
        <w:rPr>
          <w:sz w:val="24"/>
          <w:szCs w:val="24"/>
        </w:rPr>
        <w:t>z</w:t>
      </w:r>
      <w:r w:rsidRPr="006D4C6E">
        <w:rPr>
          <w:sz w:val="24"/>
          <w:szCs w:val="24"/>
        </w:rPr>
        <w:t xml:space="preserve"> LNR </w:t>
      </w:r>
      <w:r w:rsidR="00B079EC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 w:rsidRPr="006D4C6E">
        <w:rPr>
          <w:sz w:val="24"/>
          <w:szCs w:val="24"/>
        </w:rPr>
        <w:t xml:space="preserve"> skupaj predvideno: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F473D1" w:rsidTr="0003466D">
        <w:tc>
          <w:tcPr>
            <w:tcW w:w="5685" w:type="dxa"/>
            <w:shd w:val="clear" w:color="auto" w:fill="000000" w:themeFill="text1"/>
          </w:tcPr>
          <w:p w:rsidR="00485F2C" w:rsidRPr="0003466D" w:rsidRDefault="00485F2C" w:rsidP="00750412">
            <w:pPr>
              <w:pStyle w:val="Brezrazmikov"/>
              <w:rPr>
                <w:b/>
                <w:color w:val="FFFFFF" w:themeColor="background1"/>
                <w:sz w:val="24"/>
                <w:szCs w:val="24"/>
              </w:rPr>
            </w:pPr>
            <w:r w:rsidRPr="0003466D">
              <w:rPr>
                <w:b/>
                <w:sz w:val="24"/>
                <w:szCs w:val="24"/>
                <w:highlight w:val="black"/>
              </w:rPr>
              <w:t>SKUPNO: Program prodaje – izključna lastnina RS</w:t>
            </w:r>
          </w:p>
        </w:tc>
        <w:tc>
          <w:tcPr>
            <w:tcW w:w="1770" w:type="dxa"/>
            <w:shd w:val="clear" w:color="auto" w:fill="000000" w:themeFill="text1"/>
          </w:tcPr>
          <w:p w:rsidR="00485F2C" w:rsidRPr="009107C1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93052A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93052A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F6E40" w:rsidRPr="0093052A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93052A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3F6E40" w:rsidRPr="0093052A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93052A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59,44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sz w:val="24"/>
                <w:szCs w:val="24"/>
              </w:rPr>
              <w:t>ha</w:t>
            </w:r>
          </w:p>
        </w:tc>
      </w:tr>
      <w:tr w:rsidR="003F6E40" w:rsidRPr="0093052A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93052A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432.571,36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3F6E40" w:rsidRPr="0093052A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93052A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FF728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4.530.357,64</w:t>
            </w:r>
            <w:r w:rsidR="00FF728D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Default="00485F2C" w:rsidP="00B551E5">
      <w:pPr>
        <w:spacing w:after="0"/>
        <w:rPr>
          <w:b/>
          <w:sz w:val="28"/>
          <w:szCs w:val="28"/>
          <w:u w:val="single"/>
        </w:rPr>
      </w:pPr>
    </w:p>
    <w:p w:rsidR="00485F2C" w:rsidRDefault="00485F2C" w:rsidP="00485F2C">
      <w:pPr>
        <w:rPr>
          <w:b/>
          <w:sz w:val="28"/>
          <w:szCs w:val="28"/>
          <w:u w:val="single"/>
        </w:rPr>
      </w:pPr>
      <w:r w:rsidRPr="00F44847">
        <w:rPr>
          <w:b/>
          <w:sz w:val="28"/>
          <w:szCs w:val="28"/>
          <w:u w:val="single"/>
        </w:rPr>
        <w:t>Program prodaje - solastnina RS</w:t>
      </w:r>
    </w:p>
    <w:p w:rsidR="00485F2C" w:rsidRPr="006D4C6E" w:rsidRDefault="00485F2C" w:rsidP="00485F2C">
      <w:pPr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AE3447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SiDG - solastnina </w:t>
      </w:r>
      <w:r w:rsidR="00AE3447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prodaje SiDG – solastnina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17562C" w:rsidTr="003F6E40">
        <w:tc>
          <w:tcPr>
            <w:tcW w:w="5685" w:type="dxa"/>
          </w:tcPr>
          <w:p w:rsidR="003F6E40" w:rsidRPr="00C606D3" w:rsidRDefault="003F6E40" w:rsidP="000B611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</w:tcPr>
          <w:p w:rsidR="003F6E40" w:rsidRPr="00411840" w:rsidRDefault="00174A5E" w:rsidP="000B6117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>13</w:t>
            </w:r>
          </w:p>
        </w:tc>
      </w:tr>
      <w:tr w:rsidR="003F6E40" w:rsidRPr="00C606D3" w:rsidTr="003F6E40">
        <w:tc>
          <w:tcPr>
            <w:tcW w:w="5685" w:type="dxa"/>
          </w:tcPr>
          <w:p w:rsidR="003F6E40" w:rsidRPr="00C606D3" w:rsidRDefault="003F6E40" w:rsidP="000B611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</w:tcPr>
          <w:p w:rsidR="003F6E40" w:rsidRPr="00411840" w:rsidRDefault="00174A5E" w:rsidP="000B6117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>22</w:t>
            </w:r>
          </w:p>
        </w:tc>
      </w:tr>
      <w:tr w:rsidR="003F6E40" w:rsidTr="003F6E40">
        <w:tc>
          <w:tcPr>
            <w:tcW w:w="5685" w:type="dxa"/>
          </w:tcPr>
          <w:p w:rsidR="003F6E40" w:rsidRDefault="003F6E40" w:rsidP="000B611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</w:tcPr>
          <w:p w:rsidR="003F6E40" w:rsidRPr="00411840" w:rsidRDefault="00411840" w:rsidP="000B6117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 xml:space="preserve">4,17 </w:t>
            </w:r>
            <w:r w:rsidR="003F6E40" w:rsidRPr="00411840">
              <w:rPr>
                <w:sz w:val="24"/>
                <w:szCs w:val="24"/>
              </w:rPr>
              <w:t>ha</w:t>
            </w:r>
          </w:p>
        </w:tc>
      </w:tr>
      <w:tr w:rsidR="003F6E40" w:rsidTr="003F6E40">
        <w:tc>
          <w:tcPr>
            <w:tcW w:w="5685" w:type="dxa"/>
          </w:tcPr>
          <w:p w:rsidR="003F6E40" w:rsidRDefault="003F6E40" w:rsidP="000B611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>16.611,69 €</w:t>
            </w:r>
          </w:p>
        </w:tc>
      </w:tr>
      <w:tr w:rsidR="003F6E40" w:rsidTr="003F6E40">
        <w:tc>
          <w:tcPr>
            <w:tcW w:w="5685" w:type="dxa"/>
          </w:tcPr>
          <w:p w:rsidR="003F6E40" w:rsidRDefault="003F6E40" w:rsidP="000B611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29.203,07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3F6E40" w:rsidRPr="00B551E5" w:rsidRDefault="003F6E40" w:rsidP="00B551E5">
      <w:pPr>
        <w:spacing w:after="120"/>
        <w:jc w:val="both"/>
        <w:rPr>
          <w:sz w:val="16"/>
          <w:szCs w:val="16"/>
        </w:rPr>
      </w:pPr>
    </w:p>
    <w:p w:rsidR="00485F2C" w:rsidRPr="006D4C6E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E16E58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 w:rsidR="00E16E58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v Program prodaje (SiDG – SKZG RS) – solastnina </w:t>
      </w:r>
      <w:r w:rsidR="00E16E58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prodaje (SiDG – SKZG RS) – </w:t>
            </w:r>
            <w:r w:rsidRPr="005172F7">
              <w:rPr>
                <w:b/>
                <w:sz w:val="24"/>
                <w:szCs w:val="24"/>
              </w:rPr>
              <w:t>solastnina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3F6E40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>5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3F6E40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>12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3F6E40">
            <w:pPr>
              <w:pStyle w:val="Brezrazmikov"/>
              <w:rPr>
                <w:sz w:val="24"/>
                <w:szCs w:val="24"/>
              </w:rPr>
            </w:pPr>
            <w:r w:rsidRPr="00411840">
              <w:rPr>
                <w:sz w:val="24"/>
                <w:szCs w:val="24"/>
              </w:rPr>
              <w:t xml:space="preserve">2,01 </w:t>
            </w:r>
            <w:r w:rsidR="003F6E40" w:rsidRPr="004118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>33.043,48 €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843.570,20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Pr="00B551E5" w:rsidRDefault="00485F2C" w:rsidP="00B551E5">
      <w:pPr>
        <w:pStyle w:val="Odstavekseznama"/>
        <w:spacing w:after="120"/>
        <w:rPr>
          <w:sz w:val="16"/>
          <w:szCs w:val="16"/>
        </w:rPr>
      </w:pPr>
    </w:p>
    <w:p w:rsidR="00485F2C" w:rsidRPr="006D4C6E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E16E58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(SKZG RS – SiDG) – solastnina </w:t>
      </w:r>
      <w:r w:rsidR="00E16E58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prodaje (SKZG RS – SiDG) – </w:t>
            </w:r>
            <w:r w:rsidRPr="005172F7">
              <w:rPr>
                <w:b/>
                <w:sz w:val="24"/>
                <w:szCs w:val="24"/>
              </w:rPr>
              <w:t>solastnina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Default="00411840" w:rsidP="00C2263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2263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C2263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3.715,10</w:t>
            </w:r>
            <w:r w:rsidR="00411840" w:rsidRPr="00411840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C22630" w:rsidP="003F6E40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13.368,00</w:t>
            </w:r>
            <w:r w:rsidR="00411840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Pr="006D4C6E" w:rsidRDefault="00485F2C" w:rsidP="00485F2C">
      <w:pPr>
        <w:jc w:val="both"/>
        <w:rPr>
          <w:sz w:val="24"/>
          <w:szCs w:val="24"/>
        </w:rPr>
      </w:pPr>
      <w:r w:rsidRPr="006D4C6E">
        <w:rPr>
          <w:sz w:val="24"/>
          <w:szCs w:val="24"/>
        </w:rPr>
        <w:t xml:space="preserve">V Programu prodaje – </w:t>
      </w:r>
      <w:r>
        <w:rPr>
          <w:sz w:val="24"/>
          <w:szCs w:val="24"/>
        </w:rPr>
        <w:t>solastnina</w:t>
      </w:r>
      <w:r w:rsidRPr="006D4C6E">
        <w:rPr>
          <w:sz w:val="24"/>
          <w:szCs w:val="24"/>
        </w:rPr>
        <w:t xml:space="preserve"> je </w:t>
      </w:r>
      <w:r w:rsidR="00A84789">
        <w:rPr>
          <w:sz w:val="24"/>
          <w:szCs w:val="24"/>
        </w:rPr>
        <w:t>v</w:t>
      </w:r>
      <w:r w:rsidRPr="006D4C6E">
        <w:rPr>
          <w:sz w:val="24"/>
          <w:szCs w:val="24"/>
        </w:rPr>
        <w:t xml:space="preserve"> LNR 20</w:t>
      </w:r>
      <w:r w:rsidR="00A84789">
        <w:rPr>
          <w:sz w:val="24"/>
          <w:szCs w:val="24"/>
        </w:rPr>
        <w:t>2</w:t>
      </w:r>
      <w:r w:rsidR="009E191F">
        <w:rPr>
          <w:sz w:val="24"/>
          <w:szCs w:val="24"/>
        </w:rPr>
        <w:t>1</w:t>
      </w:r>
      <w:r w:rsidR="00A84789">
        <w:rPr>
          <w:sz w:val="24"/>
          <w:szCs w:val="24"/>
        </w:rPr>
        <w:t xml:space="preserve"> tako</w:t>
      </w:r>
      <w:r w:rsidRPr="006D4C6E">
        <w:rPr>
          <w:sz w:val="24"/>
          <w:szCs w:val="24"/>
        </w:rPr>
        <w:t xml:space="preserve"> skupaj predvideno: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03466D" w:rsidRPr="0003466D" w:rsidTr="0003466D">
        <w:tc>
          <w:tcPr>
            <w:tcW w:w="5685" w:type="dxa"/>
            <w:shd w:val="clear" w:color="auto" w:fill="000000" w:themeFill="text1"/>
          </w:tcPr>
          <w:p w:rsidR="00485F2C" w:rsidRPr="0003466D" w:rsidRDefault="00485F2C" w:rsidP="00750412">
            <w:pPr>
              <w:pStyle w:val="Brezrazmikov"/>
              <w:rPr>
                <w:b/>
                <w:color w:val="FFFFFF" w:themeColor="background1"/>
                <w:sz w:val="24"/>
                <w:szCs w:val="24"/>
              </w:rPr>
            </w:pPr>
            <w:r w:rsidRPr="0003466D">
              <w:rPr>
                <w:b/>
                <w:color w:val="FFFFFF" w:themeColor="background1"/>
                <w:sz w:val="24"/>
                <w:szCs w:val="24"/>
                <w:highlight w:val="black"/>
              </w:rPr>
              <w:t>SKUPNO: Program prodaje – solastnina</w:t>
            </w:r>
          </w:p>
        </w:tc>
        <w:tc>
          <w:tcPr>
            <w:tcW w:w="1770" w:type="dxa"/>
            <w:shd w:val="clear" w:color="auto" w:fill="000000" w:themeFill="text1"/>
          </w:tcPr>
          <w:p w:rsidR="00485F2C" w:rsidRPr="0003466D" w:rsidRDefault="00485F2C" w:rsidP="00750412">
            <w:pPr>
              <w:pStyle w:val="Brezrazmikov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Default="00411840" w:rsidP="00C2263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22630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53.370,27</w:t>
            </w:r>
            <w:r w:rsidR="00411840" w:rsidRPr="00411840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411840" w:rsidRDefault="00C2263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886.141,27</w:t>
            </w:r>
            <w:r w:rsidR="00411840" w:rsidRPr="004118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746DC6" w:rsidRDefault="00746DC6" w:rsidP="00485F2C">
      <w:pPr>
        <w:rPr>
          <w:b/>
          <w:sz w:val="28"/>
          <w:szCs w:val="28"/>
          <w:u w:val="single"/>
        </w:rPr>
      </w:pPr>
    </w:p>
    <w:p w:rsidR="00485F2C" w:rsidRDefault="00485F2C" w:rsidP="00485F2C">
      <w:pPr>
        <w:rPr>
          <w:sz w:val="28"/>
          <w:szCs w:val="28"/>
          <w:u w:val="single"/>
        </w:rPr>
      </w:pPr>
      <w:r w:rsidRPr="00F44847">
        <w:rPr>
          <w:b/>
          <w:sz w:val="28"/>
          <w:szCs w:val="28"/>
          <w:u w:val="single"/>
        </w:rPr>
        <w:t xml:space="preserve">Program prodaje </w:t>
      </w:r>
      <w:r>
        <w:rPr>
          <w:b/>
          <w:sz w:val="28"/>
          <w:szCs w:val="28"/>
          <w:u w:val="single"/>
        </w:rPr>
        <w:t xml:space="preserve">zemljišč </w:t>
      </w:r>
      <w:r w:rsidRPr="00F44847">
        <w:rPr>
          <w:b/>
          <w:sz w:val="28"/>
          <w:szCs w:val="28"/>
          <w:u w:val="single"/>
        </w:rPr>
        <w:t>na območjih zavarovanih naravnih parkov in naravnih vrednot (85. in 85.a čl. ZON</w:t>
      </w:r>
      <w:r w:rsidRPr="00F44847">
        <w:rPr>
          <w:sz w:val="28"/>
          <w:szCs w:val="28"/>
          <w:u w:val="single"/>
        </w:rPr>
        <w:t>)</w:t>
      </w:r>
    </w:p>
    <w:p w:rsidR="00485F2C" w:rsidRPr="006D4C6E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>V LN</w:t>
      </w:r>
      <w:r w:rsidR="00A84789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A84789">
        <w:rPr>
          <w:sz w:val="24"/>
          <w:szCs w:val="24"/>
        </w:rPr>
        <w:t>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(SiDG) na območjih zavarovanih naravnih parkov in naravnih vrednot (85. in 85.a čl. ZON) </w:t>
      </w:r>
      <w:r w:rsidR="00A84789">
        <w:rPr>
          <w:sz w:val="24"/>
          <w:szCs w:val="24"/>
        </w:rPr>
        <w:t>uvrstijo</w:t>
      </w:r>
      <w:r>
        <w:rPr>
          <w:sz w:val="24"/>
          <w:szCs w:val="24"/>
        </w:rPr>
        <w:t xml:space="preserve">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B5140B" w:rsidTr="00750412">
        <w:tc>
          <w:tcPr>
            <w:tcW w:w="5685" w:type="dxa"/>
            <w:shd w:val="clear" w:color="auto" w:fill="D9D9D9" w:themeFill="background1" w:themeFillShade="D9"/>
          </w:tcPr>
          <w:p w:rsidR="00485F2C" w:rsidRPr="005C28F3" w:rsidRDefault="00485F2C" w:rsidP="00750412">
            <w:r w:rsidRPr="005C28F3">
              <w:rPr>
                <w:b/>
              </w:rPr>
              <w:t xml:space="preserve">Program prodaje </w:t>
            </w:r>
            <w:r>
              <w:rPr>
                <w:b/>
              </w:rPr>
              <w:t>(</w:t>
            </w:r>
            <w:r w:rsidRPr="005C28F3">
              <w:rPr>
                <w:b/>
              </w:rPr>
              <w:t>SiDG</w:t>
            </w:r>
            <w:r>
              <w:rPr>
                <w:b/>
              </w:rPr>
              <w:t>)</w:t>
            </w:r>
            <w:r w:rsidRPr="005C28F3">
              <w:rPr>
                <w:b/>
              </w:rPr>
              <w:t xml:space="preserve"> na območjih zavarovanih naravnih parkov in naravnih vrednot (85. in 85.a čl. ZON</w:t>
            </w:r>
            <w:r w:rsidRPr="005C28F3">
              <w:t>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485F2C" w:rsidRPr="00B5140B" w:rsidRDefault="00485F2C" w:rsidP="00750412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6,34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>34.743,58 €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149.147,70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746DC6" w:rsidRDefault="00746DC6" w:rsidP="00A84789">
      <w:pPr>
        <w:jc w:val="both"/>
        <w:rPr>
          <w:sz w:val="24"/>
          <w:szCs w:val="24"/>
        </w:rPr>
      </w:pPr>
    </w:p>
    <w:p w:rsidR="00A84789" w:rsidRPr="006D4C6E" w:rsidRDefault="00A84789" w:rsidP="00A84789">
      <w:pPr>
        <w:jc w:val="both"/>
        <w:rPr>
          <w:sz w:val="24"/>
          <w:szCs w:val="24"/>
        </w:rPr>
      </w:pPr>
      <w:r>
        <w:rPr>
          <w:sz w:val="24"/>
          <w:szCs w:val="24"/>
        </w:rPr>
        <w:t>V LNR 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(SiDG – SKZG RS) na območjih zavarovanih naravnih parkov in naravnih vrednot (85. in 85.a čl. ZON) uvrstijo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A84789" w:rsidRPr="00B5140B" w:rsidTr="009005D1">
        <w:tc>
          <w:tcPr>
            <w:tcW w:w="5685" w:type="dxa"/>
            <w:shd w:val="clear" w:color="auto" w:fill="D9D9D9" w:themeFill="background1" w:themeFillShade="D9"/>
          </w:tcPr>
          <w:p w:rsidR="00A84789" w:rsidRPr="005C28F3" w:rsidRDefault="00A84789" w:rsidP="009005D1">
            <w:r w:rsidRPr="005C28F3">
              <w:rPr>
                <w:b/>
              </w:rPr>
              <w:t xml:space="preserve">Program prodaje </w:t>
            </w:r>
            <w:r>
              <w:rPr>
                <w:b/>
              </w:rPr>
              <w:t>(</w:t>
            </w:r>
            <w:r w:rsidRPr="005C28F3">
              <w:rPr>
                <w:b/>
              </w:rPr>
              <w:t>SiDG</w:t>
            </w:r>
            <w:r w:rsidR="00F87EE5">
              <w:rPr>
                <w:b/>
              </w:rPr>
              <w:t xml:space="preserve"> – SKZG RS</w:t>
            </w:r>
            <w:r>
              <w:rPr>
                <w:b/>
              </w:rPr>
              <w:t>)</w:t>
            </w:r>
            <w:r w:rsidRPr="005C28F3">
              <w:rPr>
                <w:b/>
              </w:rPr>
              <w:t xml:space="preserve"> na območjih zavarovanih naravnih parkov in naravnih vrednot (85. in 85.a čl. ZON</w:t>
            </w:r>
            <w:r w:rsidRPr="005C28F3">
              <w:t>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A84789" w:rsidRPr="00B5140B" w:rsidRDefault="00A84789" w:rsidP="009005D1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Default="004118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3,69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>58.895,97 €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411840" w:rsidRDefault="00411840" w:rsidP="0041184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1840">
              <w:rPr>
                <w:rFonts w:ascii="Calibri" w:hAnsi="Calibri" w:cs="Calibri"/>
                <w:sz w:val="24"/>
                <w:szCs w:val="24"/>
              </w:rPr>
              <w:t xml:space="preserve">2.559.428,85 </w:t>
            </w:r>
            <w:r w:rsidR="003F6E40" w:rsidRPr="00411840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A84789" w:rsidRDefault="00A84789" w:rsidP="00485F2C"/>
    <w:p w:rsidR="00A84789" w:rsidRPr="006D4C6E" w:rsidRDefault="00A84789" w:rsidP="00A84789">
      <w:pPr>
        <w:jc w:val="both"/>
        <w:rPr>
          <w:sz w:val="24"/>
          <w:szCs w:val="24"/>
        </w:rPr>
      </w:pPr>
      <w:r>
        <w:rPr>
          <w:sz w:val="24"/>
          <w:szCs w:val="24"/>
        </w:rPr>
        <w:t>V LNR 202</w:t>
      </w:r>
      <w:r w:rsidR="009E191F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prodaje (</w:t>
      </w:r>
      <w:r w:rsidR="00F87EE5">
        <w:rPr>
          <w:sz w:val="24"/>
          <w:szCs w:val="24"/>
        </w:rPr>
        <w:t xml:space="preserve">SKZG RS - </w:t>
      </w:r>
      <w:r>
        <w:rPr>
          <w:sz w:val="24"/>
          <w:szCs w:val="24"/>
        </w:rPr>
        <w:t>SiDG) na območjih zavarovanih naravnih parkov in naravnih vrednot (85. in 85.a čl. ZON) uvrstijo posli z naslednjimi zbirnimi podatki: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A84789" w:rsidRPr="00B5140B" w:rsidTr="009005D1">
        <w:tc>
          <w:tcPr>
            <w:tcW w:w="5685" w:type="dxa"/>
            <w:shd w:val="clear" w:color="auto" w:fill="D9D9D9" w:themeFill="background1" w:themeFillShade="D9"/>
          </w:tcPr>
          <w:p w:rsidR="00A84789" w:rsidRPr="005C28F3" w:rsidRDefault="00A84789" w:rsidP="009005D1">
            <w:r w:rsidRPr="005C28F3">
              <w:rPr>
                <w:b/>
              </w:rPr>
              <w:t xml:space="preserve">Program prodaje </w:t>
            </w:r>
            <w:r>
              <w:rPr>
                <w:b/>
              </w:rPr>
              <w:t>(</w:t>
            </w:r>
            <w:r w:rsidR="00F87EE5">
              <w:rPr>
                <w:b/>
              </w:rPr>
              <w:t xml:space="preserve">SKZG RS - </w:t>
            </w:r>
            <w:r w:rsidRPr="005C28F3">
              <w:rPr>
                <w:b/>
              </w:rPr>
              <w:t>SiDG</w:t>
            </w:r>
            <w:r>
              <w:rPr>
                <w:b/>
              </w:rPr>
              <w:t>)</w:t>
            </w:r>
            <w:r w:rsidRPr="005C28F3">
              <w:rPr>
                <w:b/>
              </w:rPr>
              <w:t xml:space="preserve"> na območjih zavarovanih naravnih parkov in naravnih vrednot (85. in 85.a čl. ZON</w:t>
            </w:r>
            <w:r w:rsidRPr="005C28F3">
              <w:t>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:rsidR="00A84789" w:rsidRPr="00B5140B" w:rsidRDefault="00A84789" w:rsidP="009005D1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  <w:r w:rsidR="00A35F66">
              <w:rPr>
                <w:sz w:val="24"/>
                <w:szCs w:val="24"/>
              </w:rPr>
              <w:t xml:space="preserve">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A35F66" w:rsidRDefault="00C22630" w:rsidP="00A35F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593,96</w:t>
            </w:r>
            <w:r w:rsidR="00A35F66" w:rsidRPr="00A35F66">
              <w:rPr>
                <w:rFonts w:ascii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3F6E40" w:rsidRPr="00B5140B" w:rsidTr="009005D1">
        <w:tc>
          <w:tcPr>
            <w:tcW w:w="5685" w:type="dxa"/>
            <w:shd w:val="clear" w:color="auto" w:fill="FFFFFF" w:themeFill="background1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FFFFF" w:themeFill="background1"/>
          </w:tcPr>
          <w:p w:rsidR="003F6E40" w:rsidRPr="00A35F66" w:rsidRDefault="00C22630" w:rsidP="00A35F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1.014,50</w:t>
            </w:r>
            <w:r w:rsidR="00A35F66" w:rsidRPr="00A35F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A35F66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A84789" w:rsidRDefault="00A84789" w:rsidP="00485F2C"/>
    <w:p w:rsidR="00A84789" w:rsidRPr="00F87EE5" w:rsidRDefault="00F87EE5" w:rsidP="00F87EE5">
      <w:pPr>
        <w:jc w:val="both"/>
        <w:rPr>
          <w:sz w:val="24"/>
          <w:szCs w:val="24"/>
        </w:rPr>
      </w:pPr>
      <w:r w:rsidRPr="006D4C6E">
        <w:rPr>
          <w:sz w:val="24"/>
          <w:szCs w:val="24"/>
        </w:rPr>
        <w:t xml:space="preserve">V Programu prodaje – </w:t>
      </w:r>
      <w:r>
        <w:rPr>
          <w:sz w:val="24"/>
          <w:szCs w:val="24"/>
        </w:rPr>
        <w:t xml:space="preserve">območja zavarovanih naravnih parkov in naravnih vrednot (85. in 85.a čl. ZON) </w:t>
      </w:r>
      <w:r w:rsidRPr="006D4C6E">
        <w:rPr>
          <w:sz w:val="24"/>
          <w:szCs w:val="24"/>
        </w:rPr>
        <w:t xml:space="preserve">je </w:t>
      </w:r>
      <w:r>
        <w:rPr>
          <w:sz w:val="24"/>
          <w:szCs w:val="24"/>
        </w:rPr>
        <w:t>v</w:t>
      </w:r>
      <w:r w:rsidRPr="006D4C6E">
        <w:rPr>
          <w:sz w:val="24"/>
          <w:szCs w:val="24"/>
        </w:rPr>
        <w:t xml:space="preserve"> LNR 20</w:t>
      </w:r>
      <w:r>
        <w:rPr>
          <w:sz w:val="24"/>
          <w:szCs w:val="24"/>
        </w:rPr>
        <w:t>2</w:t>
      </w:r>
      <w:r w:rsidR="000A240B">
        <w:rPr>
          <w:sz w:val="24"/>
          <w:szCs w:val="24"/>
        </w:rPr>
        <w:t>1</w:t>
      </w:r>
      <w:r>
        <w:rPr>
          <w:sz w:val="24"/>
          <w:szCs w:val="24"/>
        </w:rPr>
        <w:t xml:space="preserve"> tako</w:t>
      </w:r>
      <w:r w:rsidRPr="006D4C6E">
        <w:rPr>
          <w:sz w:val="24"/>
          <w:szCs w:val="24"/>
        </w:rPr>
        <w:t xml:space="preserve"> skupaj predvideno: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485F2C" w:rsidRPr="00F473D1" w:rsidTr="00D75526">
        <w:tc>
          <w:tcPr>
            <w:tcW w:w="5685" w:type="dxa"/>
            <w:shd w:val="clear" w:color="auto" w:fill="000000" w:themeFill="text1"/>
          </w:tcPr>
          <w:p w:rsidR="00485F2C" w:rsidRPr="00C35985" w:rsidRDefault="00485F2C" w:rsidP="00750412">
            <w:pPr>
              <w:pStyle w:val="Brezrazmikov"/>
              <w:rPr>
                <w:b/>
                <w:color w:val="FFFFFF" w:themeColor="background1"/>
                <w:sz w:val="24"/>
                <w:szCs w:val="24"/>
              </w:rPr>
            </w:pPr>
            <w:r w:rsidRPr="00C35985">
              <w:rPr>
                <w:b/>
                <w:color w:val="FFFFFF" w:themeColor="background1"/>
                <w:sz w:val="24"/>
                <w:szCs w:val="24"/>
              </w:rPr>
              <w:t>SKUPNO:</w:t>
            </w:r>
            <w:r w:rsidRPr="00C35985">
              <w:rPr>
                <w:b/>
                <w:color w:val="FFFFFF" w:themeColor="background1"/>
              </w:rPr>
              <w:t xml:space="preserve"> Program prodaje na območjih zavarovanih naravnih parkov in naravnih vrednot (85. in 85.a čl. ZON</w:t>
            </w:r>
            <w:r w:rsidRPr="00C35985">
              <w:rPr>
                <w:color w:val="FFFFFF" w:themeColor="background1"/>
              </w:rPr>
              <w:t>)</w:t>
            </w:r>
          </w:p>
        </w:tc>
        <w:tc>
          <w:tcPr>
            <w:tcW w:w="1770" w:type="dxa"/>
            <w:shd w:val="clear" w:color="auto" w:fill="000000" w:themeFill="text1"/>
          </w:tcPr>
          <w:p w:rsidR="00485F2C" w:rsidRPr="00C35985" w:rsidRDefault="00485F2C" w:rsidP="00750412">
            <w:pPr>
              <w:pStyle w:val="Brezrazmikov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Pr="00C606D3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C606D3" w:rsidRDefault="00C2263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Default="00A35F66" w:rsidP="00C2263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226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="003F6E40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A35F66" w:rsidRDefault="00A35F66" w:rsidP="00C2263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35F66">
              <w:rPr>
                <w:rFonts w:ascii="Calibri" w:hAnsi="Calibri" w:cs="Calibri"/>
                <w:sz w:val="24"/>
                <w:szCs w:val="24"/>
              </w:rPr>
              <w:t>9</w:t>
            </w:r>
            <w:r w:rsidR="00C22630">
              <w:rPr>
                <w:rFonts w:ascii="Calibri" w:hAnsi="Calibri" w:cs="Calibri"/>
                <w:sz w:val="24"/>
                <w:szCs w:val="24"/>
              </w:rPr>
              <w:t>4.233,51</w:t>
            </w:r>
            <w:r w:rsidRPr="00A35F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A35F66">
              <w:rPr>
                <w:sz w:val="24"/>
                <w:szCs w:val="24"/>
              </w:rPr>
              <w:t>ha</w:t>
            </w:r>
          </w:p>
        </w:tc>
      </w:tr>
      <w:tr w:rsidR="003F6E40" w:rsidRPr="00B5140B" w:rsidTr="00750412">
        <w:tc>
          <w:tcPr>
            <w:tcW w:w="5685" w:type="dxa"/>
            <w:shd w:val="clear" w:color="auto" w:fill="F2F2F2" w:themeFill="background1" w:themeFillShade="F2"/>
          </w:tcPr>
          <w:p w:rsidR="003F6E40" w:rsidRDefault="003F6E40" w:rsidP="003F6E4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3F6E40" w:rsidRPr="00A35F66" w:rsidRDefault="00C22630" w:rsidP="00A35F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2.709.591,05</w:t>
            </w:r>
            <w:r w:rsidR="00A35F66" w:rsidRPr="00A35F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6E40" w:rsidRPr="00A35F66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85F2C" w:rsidRDefault="00485F2C" w:rsidP="00485F2C"/>
    <w:p w:rsidR="00F00876" w:rsidRDefault="00F00876" w:rsidP="00485F2C"/>
    <w:p w:rsidR="00F00876" w:rsidRDefault="00485F2C" w:rsidP="00485F2C">
      <w:pPr>
        <w:jc w:val="both"/>
        <w:rPr>
          <w:b/>
          <w:bCs/>
          <w:sz w:val="24"/>
          <w:szCs w:val="24"/>
        </w:rPr>
      </w:pPr>
      <w:r w:rsidRPr="00F87EE5">
        <w:rPr>
          <w:b/>
          <w:bCs/>
          <w:sz w:val="24"/>
          <w:szCs w:val="24"/>
        </w:rPr>
        <w:t xml:space="preserve">Skupne vrednosti vseh programov prodaje v LNR </w:t>
      </w:r>
      <w:r w:rsidR="00F87EE5">
        <w:rPr>
          <w:b/>
          <w:bCs/>
          <w:sz w:val="24"/>
          <w:szCs w:val="24"/>
        </w:rPr>
        <w:t>202</w:t>
      </w:r>
      <w:r w:rsidR="000A240B">
        <w:rPr>
          <w:b/>
          <w:bCs/>
          <w:sz w:val="24"/>
          <w:szCs w:val="24"/>
        </w:rPr>
        <w:t>1</w:t>
      </w:r>
      <w:r w:rsidRPr="00F87EE5">
        <w:rPr>
          <w:b/>
          <w:bCs/>
          <w:sz w:val="24"/>
          <w:szCs w:val="24"/>
        </w:rPr>
        <w:t xml:space="preserve"> so naslednje:</w:t>
      </w:r>
    </w:p>
    <w:p w:rsidR="00485F2C" w:rsidRPr="00F00876" w:rsidRDefault="00F00876" w:rsidP="00F00876">
      <w:pPr>
        <w:jc w:val="both"/>
        <w:rPr>
          <w:b/>
          <w:bCs/>
          <w:color w:val="FFFFFF" w:themeColor="background1"/>
          <w:sz w:val="28"/>
          <w:szCs w:val="28"/>
        </w:rPr>
      </w:pPr>
      <w:r w:rsidRPr="00F00876">
        <w:rPr>
          <w:b/>
          <w:bCs/>
          <w:color w:val="FFFFFF" w:themeColor="background1"/>
          <w:sz w:val="28"/>
          <w:szCs w:val="28"/>
          <w:highlight w:val="black"/>
        </w:rPr>
        <w:t>PRODAJA ZEMLJIŠČ – skupne vrednosti vseh programov</w:t>
      </w:r>
    </w:p>
    <w:tbl>
      <w:tblPr>
        <w:tblStyle w:val="Tabelamrea"/>
        <w:tblW w:w="7455" w:type="dxa"/>
        <w:tblLook w:val="04A0" w:firstRow="1" w:lastRow="0" w:firstColumn="1" w:lastColumn="0" w:noHBand="0" w:noVBand="1"/>
      </w:tblPr>
      <w:tblGrid>
        <w:gridCol w:w="5685"/>
        <w:gridCol w:w="1770"/>
      </w:tblGrid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Pr="00C606D3" w:rsidRDefault="0018143E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pravnih poslov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Pr="00C606D3" w:rsidRDefault="0018143E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zemljišč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Default="0018143E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površina gozda za prodajo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76,37</w:t>
            </w:r>
            <w:r w:rsidR="00A35F66" w:rsidRPr="00DA149B">
              <w:rPr>
                <w:sz w:val="24"/>
                <w:szCs w:val="24"/>
              </w:rPr>
              <w:t xml:space="preserve"> </w:t>
            </w:r>
            <w:r w:rsidR="0018143E" w:rsidRPr="00DA149B">
              <w:rPr>
                <w:sz w:val="24"/>
                <w:szCs w:val="24"/>
              </w:rPr>
              <w:t>ha</w:t>
            </w:r>
          </w:p>
        </w:tc>
      </w:tr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Default="0018143E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(cene po GURS)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DA149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580.175,14</w:t>
            </w:r>
            <w:r w:rsidR="00DA149B" w:rsidRPr="00DA14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Default="0018143E" w:rsidP="0018143E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vrednost gozdov (predlagana cena)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DA149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8.126.089,96</w:t>
            </w:r>
            <w:r w:rsidR="00DA149B" w:rsidRPr="00DA14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8143E" w:rsidRPr="00DA149B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9383D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09383D" w:rsidRDefault="0018143E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Skupna površina zemljišč za prodajo </w:t>
            </w:r>
            <w:r w:rsidRPr="0018143E">
              <w:t>(vse dejanske rabe)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750412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86,31</w:t>
            </w:r>
            <w:r w:rsidR="00DA149B" w:rsidRPr="00DA149B">
              <w:rPr>
                <w:rFonts w:cstheme="minorHAnsi"/>
                <w:sz w:val="24"/>
                <w:szCs w:val="24"/>
              </w:rPr>
              <w:t xml:space="preserve"> </w:t>
            </w:r>
            <w:r w:rsidR="0018143E" w:rsidRPr="00DA149B">
              <w:rPr>
                <w:rFonts w:cstheme="minorHAnsi"/>
                <w:sz w:val="24"/>
                <w:szCs w:val="24"/>
              </w:rPr>
              <w:t>ha</w:t>
            </w:r>
          </w:p>
        </w:tc>
      </w:tr>
      <w:tr w:rsidR="0018143E" w:rsidRPr="00B5140B" w:rsidTr="00F87EE5">
        <w:tc>
          <w:tcPr>
            <w:tcW w:w="5685" w:type="dxa"/>
            <w:shd w:val="clear" w:color="auto" w:fill="F2F2F2" w:themeFill="background1" w:themeFillShade="F2"/>
          </w:tcPr>
          <w:p w:rsidR="0018143E" w:rsidRDefault="0018143E" w:rsidP="0075041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Skupna vrednost zemljišč za prodajo </w:t>
            </w:r>
            <w:r w:rsidRPr="0018143E">
              <w:t>(vse dejanske rabe)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:rsidR="0018143E" w:rsidRPr="00DA149B" w:rsidRDefault="00C22630" w:rsidP="00DA149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9.344.588,94</w:t>
            </w:r>
            <w:r w:rsidR="00DA149B" w:rsidRPr="00DA14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8143E" w:rsidRPr="00DA149B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844008" w:rsidRDefault="00844008" w:rsidP="00485F2C">
      <w:pPr>
        <w:jc w:val="both"/>
        <w:rPr>
          <w:sz w:val="24"/>
          <w:szCs w:val="24"/>
        </w:rPr>
      </w:pPr>
    </w:p>
    <w:p w:rsidR="00485F2C" w:rsidRPr="00184FC0" w:rsidRDefault="00F0661A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0661A">
        <w:rPr>
          <w:b/>
          <w:bCs/>
          <w:sz w:val="24"/>
          <w:szCs w:val="24"/>
        </w:rPr>
        <w:t xml:space="preserve"> LNR 202</w:t>
      </w:r>
      <w:r w:rsidR="0018143E">
        <w:rPr>
          <w:b/>
          <w:bCs/>
          <w:sz w:val="24"/>
          <w:szCs w:val="24"/>
        </w:rPr>
        <w:t>1</w:t>
      </w:r>
      <w:r w:rsidR="00485F2C">
        <w:rPr>
          <w:sz w:val="24"/>
          <w:szCs w:val="24"/>
        </w:rPr>
        <w:t xml:space="preserve"> se tako načrtuje skupno </w:t>
      </w:r>
      <w:r w:rsidR="00844008">
        <w:rPr>
          <w:b/>
          <w:sz w:val="24"/>
          <w:szCs w:val="24"/>
        </w:rPr>
        <w:t>1</w:t>
      </w:r>
      <w:r w:rsidR="0056315E">
        <w:rPr>
          <w:b/>
          <w:sz w:val="24"/>
          <w:szCs w:val="24"/>
        </w:rPr>
        <w:t>50</w:t>
      </w:r>
      <w:r w:rsidR="00485F2C" w:rsidRPr="00B02995">
        <w:rPr>
          <w:b/>
          <w:sz w:val="24"/>
          <w:szCs w:val="24"/>
        </w:rPr>
        <w:t xml:space="preserve"> prodajni</w:t>
      </w:r>
      <w:r w:rsidR="00485F2C">
        <w:rPr>
          <w:b/>
          <w:sz w:val="24"/>
          <w:szCs w:val="24"/>
        </w:rPr>
        <w:t>h</w:t>
      </w:r>
      <w:r w:rsidR="00485F2C" w:rsidRPr="00B02995">
        <w:rPr>
          <w:b/>
          <w:sz w:val="24"/>
          <w:szCs w:val="24"/>
        </w:rPr>
        <w:t xml:space="preserve"> </w:t>
      </w:r>
      <w:r w:rsidR="00485F2C">
        <w:rPr>
          <w:b/>
          <w:sz w:val="24"/>
          <w:szCs w:val="24"/>
        </w:rPr>
        <w:t>poslov (pogodb)</w:t>
      </w:r>
      <w:r w:rsidR="00485F2C" w:rsidRPr="00B02995">
        <w:rPr>
          <w:b/>
          <w:sz w:val="24"/>
          <w:szCs w:val="24"/>
        </w:rPr>
        <w:t>,</w:t>
      </w:r>
      <w:r w:rsidR="00485F2C">
        <w:rPr>
          <w:sz w:val="24"/>
          <w:szCs w:val="24"/>
        </w:rPr>
        <w:t xml:space="preserve"> na podlagi katerih je za odsvojitev predvidenih </w:t>
      </w:r>
      <w:r w:rsidR="0056315E" w:rsidRPr="0056315E">
        <w:rPr>
          <w:b/>
          <w:sz w:val="24"/>
          <w:szCs w:val="24"/>
        </w:rPr>
        <w:t>86,31</w:t>
      </w:r>
      <w:r w:rsidR="00485F2C" w:rsidRPr="00B02995">
        <w:rPr>
          <w:b/>
          <w:sz w:val="24"/>
          <w:szCs w:val="24"/>
        </w:rPr>
        <w:t xml:space="preserve"> ha</w:t>
      </w:r>
      <w:r>
        <w:rPr>
          <w:b/>
          <w:sz w:val="24"/>
          <w:szCs w:val="24"/>
        </w:rPr>
        <w:t xml:space="preserve"> skupne površine zemljišč</w:t>
      </w:r>
      <w:r w:rsidR="00485F2C">
        <w:rPr>
          <w:sz w:val="24"/>
          <w:szCs w:val="24"/>
        </w:rPr>
        <w:t xml:space="preserve"> (skupaj </w:t>
      </w:r>
      <w:r w:rsidR="00AB4DAE">
        <w:rPr>
          <w:b/>
          <w:sz w:val="24"/>
          <w:szCs w:val="24"/>
        </w:rPr>
        <w:t>2</w:t>
      </w:r>
      <w:r w:rsidR="0056315E">
        <w:rPr>
          <w:b/>
          <w:sz w:val="24"/>
          <w:szCs w:val="24"/>
        </w:rPr>
        <w:t>6</w:t>
      </w:r>
      <w:r w:rsidR="00AB4DAE">
        <w:rPr>
          <w:b/>
          <w:sz w:val="24"/>
          <w:szCs w:val="24"/>
        </w:rPr>
        <w:t>0</w:t>
      </w:r>
      <w:r w:rsidR="00485F2C" w:rsidRPr="003539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zemljiških parcel</w:t>
      </w:r>
      <w:r w:rsidR="00485F2C">
        <w:rPr>
          <w:sz w:val="24"/>
          <w:szCs w:val="24"/>
        </w:rPr>
        <w:t>) v lasti Republike Slovenije</w:t>
      </w:r>
      <w:r w:rsidR="00B5348E">
        <w:rPr>
          <w:sz w:val="24"/>
          <w:szCs w:val="24"/>
        </w:rPr>
        <w:t>, s</w:t>
      </w:r>
      <w:r w:rsidR="00485F2C">
        <w:rPr>
          <w:sz w:val="24"/>
          <w:szCs w:val="24"/>
        </w:rPr>
        <w:t xml:space="preserve"> </w:t>
      </w:r>
      <w:r w:rsidR="00485F2C" w:rsidRPr="00353911">
        <w:rPr>
          <w:b/>
          <w:sz w:val="24"/>
          <w:szCs w:val="24"/>
        </w:rPr>
        <w:t>skupno vrednost</w:t>
      </w:r>
      <w:r w:rsidR="00B5348E">
        <w:rPr>
          <w:b/>
          <w:sz w:val="24"/>
          <w:szCs w:val="24"/>
        </w:rPr>
        <w:t>jo</w:t>
      </w:r>
      <w:r w:rsidR="00485F2C">
        <w:rPr>
          <w:sz w:val="24"/>
          <w:szCs w:val="24"/>
        </w:rPr>
        <w:t xml:space="preserve"> vseh odsvojenih zemljišč v višini </w:t>
      </w:r>
      <w:r w:rsidR="0056315E" w:rsidRPr="0056315E">
        <w:rPr>
          <w:b/>
          <w:sz w:val="24"/>
          <w:szCs w:val="24"/>
        </w:rPr>
        <w:t>9.344.588,94</w:t>
      </w:r>
      <w:r w:rsidR="00844008" w:rsidRPr="00DA14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5F2C" w:rsidRPr="00353911">
        <w:rPr>
          <w:rFonts w:cstheme="minorHAnsi"/>
          <w:b/>
          <w:sz w:val="24"/>
          <w:szCs w:val="24"/>
        </w:rPr>
        <w:t>€.</w:t>
      </w:r>
    </w:p>
    <w:p w:rsidR="00485F2C" w:rsidRPr="003C35FA" w:rsidRDefault="00485F2C" w:rsidP="00485F2C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>Priloge:</w:t>
      </w:r>
    </w:p>
    <w:p w:rsidR="00485F2C" w:rsidRPr="003C35FA" w:rsidRDefault="00485F2C" w:rsidP="00485F2C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podrobna opredelitev </w:t>
      </w:r>
      <w:r w:rsidR="00F0661A">
        <w:rPr>
          <w:b/>
          <w:sz w:val="20"/>
          <w:szCs w:val="20"/>
        </w:rPr>
        <w:t>zemljišč</w:t>
      </w:r>
      <w:r w:rsidRPr="003C35FA">
        <w:rPr>
          <w:b/>
          <w:sz w:val="20"/>
          <w:szCs w:val="20"/>
        </w:rPr>
        <w:t xml:space="preserve"> po </w:t>
      </w:r>
      <w:r w:rsidR="00F0661A">
        <w:rPr>
          <w:b/>
          <w:sz w:val="20"/>
          <w:szCs w:val="20"/>
        </w:rPr>
        <w:t xml:space="preserve">posameznih poslih prodaje </w:t>
      </w:r>
      <w:r w:rsidRPr="003C35FA">
        <w:rPr>
          <w:b/>
          <w:sz w:val="20"/>
          <w:szCs w:val="20"/>
        </w:rPr>
        <w:t xml:space="preserve">v Excelovih </w:t>
      </w:r>
      <w:r>
        <w:rPr>
          <w:b/>
          <w:sz w:val="20"/>
          <w:szCs w:val="20"/>
        </w:rPr>
        <w:t>preglednicah</w:t>
      </w:r>
      <w:r w:rsidRPr="003C35FA">
        <w:rPr>
          <w:b/>
          <w:sz w:val="20"/>
          <w:szCs w:val="20"/>
        </w:rPr>
        <w:t>,</w:t>
      </w:r>
    </w:p>
    <w:p w:rsidR="00485F2C" w:rsidRDefault="00485F2C" w:rsidP="00485F2C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tekstualne in grafične priloge k vsakemu posameznemu </w:t>
      </w:r>
      <w:r w:rsidR="00F0661A">
        <w:rPr>
          <w:b/>
          <w:sz w:val="20"/>
          <w:szCs w:val="20"/>
        </w:rPr>
        <w:t>pravnemu poslu</w:t>
      </w:r>
      <w:r w:rsidR="00D7134F">
        <w:rPr>
          <w:b/>
          <w:sz w:val="20"/>
          <w:szCs w:val="20"/>
        </w:rPr>
        <w:t xml:space="preserve"> razpolaganja</w:t>
      </w:r>
      <w:r w:rsidRPr="003C35FA">
        <w:rPr>
          <w:b/>
          <w:sz w:val="20"/>
          <w:szCs w:val="20"/>
        </w:rPr>
        <w:t>.</w:t>
      </w:r>
    </w:p>
    <w:p w:rsidR="009107C1" w:rsidRPr="00964418" w:rsidRDefault="009107C1" w:rsidP="009107C1">
      <w:pPr>
        <w:pStyle w:val="Odstavekseznama"/>
        <w:spacing w:after="160" w:line="259" w:lineRule="auto"/>
        <w:jc w:val="both"/>
        <w:rPr>
          <w:b/>
          <w:sz w:val="20"/>
          <w:szCs w:val="20"/>
        </w:rPr>
      </w:pPr>
    </w:p>
    <w:p w:rsidR="00FE4A1A" w:rsidRDefault="00FE4A1A" w:rsidP="00485F2C">
      <w:pPr>
        <w:jc w:val="both"/>
        <w:rPr>
          <w:b/>
          <w:sz w:val="28"/>
          <w:szCs w:val="28"/>
        </w:rPr>
      </w:pPr>
    </w:p>
    <w:p w:rsidR="00485F2C" w:rsidRPr="005E53F7" w:rsidRDefault="00485F2C" w:rsidP="0048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E5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MENJAV</w:t>
      </w:r>
      <w:r w:rsidR="00A33F30">
        <w:rPr>
          <w:b/>
          <w:sz w:val="28"/>
          <w:szCs w:val="28"/>
        </w:rPr>
        <w:t>E</w:t>
      </w:r>
      <w:r w:rsidRPr="005E53F7">
        <w:rPr>
          <w:b/>
          <w:sz w:val="28"/>
          <w:szCs w:val="28"/>
        </w:rPr>
        <w:t xml:space="preserve"> GOZDNIH ZEMLJIŠČ</w:t>
      </w:r>
      <w:r>
        <w:rPr>
          <w:b/>
          <w:sz w:val="28"/>
          <w:szCs w:val="28"/>
        </w:rPr>
        <w:t xml:space="preserve"> </w:t>
      </w:r>
    </w:p>
    <w:p w:rsidR="00485F2C" w:rsidRPr="000A240B" w:rsidRDefault="00485F2C" w:rsidP="000A2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417333">
        <w:rPr>
          <w:sz w:val="24"/>
          <w:szCs w:val="24"/>
        </w:rPr>
        <w:t>202</w:t>
      </w:r>
      <w:r w:rsidR="000A240B">
        <w:rPr>
          <w:sz w:val="24"/>
          <w:szCs w:val="24"/>
        </w:rPr>
        <w:t>1</w:t>
      </w:r>
      <w:r>
        <w:rPr>
          <w:sz w:val="24"/>
          <w:szCs w:val="24"/>
        </w:rPr>
        <w:t xml:space="preserve"> se </w:t>
      </w:r>
      <w:r w:rsidR="00417333">
        <w:rPr>
          <w:sz w:val="24"/>
          <w:szCs w:val="24"/>
        </w:rPr>
        <w:t>v</w:t>
      </w:r>
      <w:r>
        <w:rPr>
          <w:sz w:val="24"/>
          <w:szCs w:val="24"/>
        </w:rPr>
        <w:t xml:space="preserve"> Program menjave </w:t>
      </w:r>
      <w:r w:rsidR="00417333">
        <w:rPr>
          <w:sz w:val="24"/>
          <w:szCs w:val="24"/>
        </w:rPr>
        <w:t>uvrsti</w:t>
      </w:r>
      <w:r w:rsidR="00FE4A1A">
        <w:rPr>
          <w:sz w:val="24"/>
          <w:szCs w:val="24"/>
        </w:rPr>
        <w:t xml:space="preserve"> </w:t>
      </w:r>
      <w:r w:rsidR="0009215A" w:rsidRPr="00FE4A1A">
        <w:rPr>
          <w:b/>
          <w:bCs/>
          <w:sz w:val="24"/>
          <w:szCs w:val="24"/>
        </w:rPr>
        <w:t>1</w:t>
      </w:r>
      <w:r w:rsidR="00D07ADB">
        <w:rPr>
          <w:b/>
          <w:bCs/>
          <w:sz w:val="24"/>
          <w:szCs w:val="24"/>
        </w:rPr>
        <w:t>7</w:t>
      </w:r>
      <w:r w:rsidRPr="00FE4A1A">
        <w:rPr>
          <w:b/>
          <w:bCs/>
          <w:sz w:val="24"/>
          <w:szCs w:val="24"/>
        </w:rPr>
        <w:t xml:space="preserve"> </w:t>
      </w:r>
      <w:r w:rsidR="00FE4A1A">
        <w:rPr>
          <w:b/>
          <w:bCs/>
          <w:sz w:val="24"/>
          <w:szCs w:val="24"/>
        </w:rPr>
        <w:t xml:space="preserve">pravnih </w:t>
      </w:r>
      <w:r w:rsidR="00417333" w:rsidRPr="00FE4A1A">
        <w:rPr>
          <w:b/>
          <w:bCs/>
          <w:sz w:val="24"/>
          <w:szCs w:val="24"/>
        </w:rPr>
        <w:t>poslov</w:t>
      </w:r>
      <w:r w:rsidR="0041733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naslednjimi zbirnimi podatki: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621"/>
      </w:tblGrid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Št. poslov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Št. zemljišč, ki se odtujujejo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50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Št. zemljišč, ki se pridobivajo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45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Skupna površina zemljišč, ki se odtujujejo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51,75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Skupna površina zemljišč, ki se pridobivajo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59,03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površina gozda, ki se odtujuje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47,82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površina gozda, ki se pridobiva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>56,58</w:t>
            </w:r>
            <w:r w:rsidR="000F46B7">
              <w:rPr>
                <w:rFonts w:ascii="Calibri" w:eastAsia="Times New Roman" w:hAnsi="Calibri" w:cs="Calibri"/>
                <w:bCs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Skupna vrednost zemljišč, ki se odtujujejo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202.574,84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vrednost zemljišč, ki se pridobivajo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174.581,51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vrednost gozda, ki se odtujuje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183.600,58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485F2C" w:rsidRPr="00DE0839" w:rsidTr="000F46B7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vrednost gozda, ki se pridobiva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41733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163.463,03</w:t>
            </w:r>
            <w:r w:rsidR="000F46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</w:tbl>
    <w:p w:rsidR="00485F2C" w:rsidRDefault="00485F2C" w:rsidP="00485F2C"/>
    <w:p w:rsidR="00FE4A1A" w:rsidRPr="003C35FA" w:rsidRDefault="00FE4A1A" w:rsidP="00FE4A1A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>Priloge:</w:t>
      </w:r>
    </w:p>
    <w:p w:rsidR="00FE4A1A" w:rsidRPr="003C35FA" w:rsidRDefault="00FE4A1A" w:rsidP="00FE4A1A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podrobna opredelitev </w:t>
      </w:r>
      <w:r>
        <w:rPr>
          <w:b/>
          <w:sz w:val="20"/>
          <w:szCs w:val="20"/>
        </w:rPr>
        <w:t>zemljišč</w:t>
      </w:r>
      <w:r w:rsidRPr="003C35FA">
        <w:rPr>
          <w:b/>
          <w:sz w:val="20"/>
          <w:szCs w:val="20"/>
        </w:rPr>
        <w:t xml:space="preserve"> po </w:t>
      </w:r>
      <w:r>
        <w:rPr>
          <w:b/>
          <w:sz w:val="20"/>
          <w:szCs w:val="20"/>
        </w:rPr>
        <w:t xml:space="preserve">posameznih poslih prodaje </w:t>
      </w:r>
      <w:r w:rsidRPr="003C35FA">
        <w:rPr>
          <w:b/>
          <w:sz w:val="20"/>
          <w:szCs w:val="20"/>
        </w:rPr>
        <w:t xml:space="preserve">v Excelovih </w:t>
      </w:r>
      <w:r>
        <w:rPr>
          <w:b/>
          <w:sz w:val="20"/>
          <w:szCs w:val="20"/>
        </w:rPr>
        <w:t>preglednicah</w:t>
      </w:r>
      <w:r w:rsidRPr="003C35FA">
        <w:rPr>
          <w:b/>
          <w:sz w:val="20"/>
          <w:szCs w:val="20"/>
        </w:rPr>
        <w:t>,</w:t>
      </w:r>
    </w:p>
    <w:p w:rsidR="00FE4A1A" w:rsidRDefault="00FE4A1A" w:rsidP="00FE4A1A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tekstualne in grafične priloge k vsakemu posameznemu </w:t>
      </w:r>
      <w:r>
        <w:rPr>
          <w:b/>
          <w:sz w:val="20"/>
          <w:szCs w:val="20"/>
        </w:rPr>
        <w:t>pravnemu poslu razpolaganja</w:t>
      </w:r>
      <w:r w:rsidRPr="003C35FA">
        <w:rPr>
          <w:b/>
          <w:sz w:val="20"/>
          <w:szCs w:val="20"/>
        </w:rPr>
        <w:t>.</w:t>
      </w:r>
    </w:p>
    <w:p w:rsidR="00FE4A1A" w:rsidRDefault="00FE4A1A" w:rsidP="00485F2C"/>
    <w:p w:rsidR="00485F2C" w:rsidRDefault="00485F2C" w:rsidP="00485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NEODPLAČNI PRENOS</w:t>
      </w:r>
      <w:r w:rsidR="007915A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GOZDNIH ZEMLJIŠČ NA OBČIN</w:t>
      </w:r>
      <w:r w:rsidR="00063A5B">
        <w:rPr>
          <w:b/>
          <w:sz w:val="28"/>
          <w:szCs w:val="28"/>
        </w:rPr>
        <w:t>E</w:t>
      </w:r>
    </w:p>
    <w:p w:rsidR="000A240B" w:rsidRPr="00DE0839" w:rsidRDefault="00485F2C" w:rsidP="00485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LNR </w:t>
      </w:r>
      <w:r w:rsidR="007915A2">
        <w:rPr>
          <w:sz w:val="24"/>
          <w:szCs w:val="24"/>
        </w:rPr>
        <w:t>202</w:t>
      </w:r>
      <w:r w:rsidR="000A240B">
        <w:rPr>
          <w:sz w:val="24"/>
          <w:szCs w:val="24"/>
        </w:rPr>
        <w:t>1</w:t>
      </w:r>
      <w:r>
        <w:rPr>
          <w:sz w:val="24"/>
          <w:szCs w:val="24"/>
        </w:rPr>
        <w:t xml:space="preserve"> se v Program </w:t>
      </w:r>
      <w:r w:rsidRPr="002E581C">
        <w:rPr>
          <w:sz w:val="24"/>
          <w:szCs w:val="24"/>
        </w:rPr>
        <w:t xml:space="preserve">neodplačnih prenosov </w:t>
      </w:r>
      <w:r w:rsidR="007915A2">
        <w:rPr>
          <w:sz w:val="24"/>
          <w:szCs w:val="24"/>
        </w:rPr>
        <w:t xml:space="preserve">zemljišč </w:t>
      </w:r>
      <w:r w:rsidRPr="002E581C">
        <w:rPr>
          <w:sz w:val="24"/>
          <w:szCs w:val="24"/>
        </w:rPr>
        <w:t>na občine po 24.</w:t>
      </w:r>
      <w:r>
        <w:rPr>
          <w:sz w:val="24"/>
          <w:szCs w:val="24"/>
        </w:rPr>
        <w:t xml:space="preserve"> </w:t>
      </w:r>
      <w:r w:rsidRPr="002E581C">
        <w:rPr>
          <w:sz w:val="24"/>
          <w:szCs w:val="24"/>
        </w:rPr>
        <w:t>členu ZGGLRS</w:t>
      </w:r>
      <w:r>
        <w:rPr>
          <w:sz w:val="24"/>
          <w:szCs w:val="24"/>
        </w:rPr>
        <w:t xml:space="preserve"> </w:t>
      </w:r>
      <w:r w:rsidR="007915A2">
        <w:rPr>
          <w:sz w:val="24"/>
          <w:szCs w:val="24"/>
        </w:rPr>
        <w:t>uvrsti</w:t>
      </w:r>
      <w:r w:rsidR="0009215A">
        <w:rPr>
          <w:sz w:val="24"/>
          <w:szCs w:val="24"/>
        </w:rPr>
        <w:t xml:space="preserve"> </w:t>
      </w:r>
      <w:r w:rsidR="00D07ADB" w:rsidRPr="00D07ADB">
        <w:rPr>
          <w:b/>
          <w:sz w:val="24"/>
          <w:szCs w:val="24"/>
        </w:rPr>
        <w:t>9</w:t>
      </w:r>
      <w:r w:rsidRPr="00D07ADB">
        <w:rPr>
          <w:b/>
          <w:bCs/>
          <w:sz w:val="24"/>
          <w:szCs w:val="24"/>
        </w:rPr>
        <w:t xml:space="preserve"> </w:t>
      </w:r>
      <w:r w:rsidR="00FE4A1A">
        <w:rPr>
          <w:b/>
          <w:bCs/>
          <w:sz w:val="24"/>
          <w:szCs w:val="24"/>
        </w:rPr>
        <w:t xml:space="preserve">pravnih </w:t>
      </w:r>
      <w:r w:rsidRPr="00FE4A1A">
        <w:rPr>
          <w:b/>
          <w:bCs/>
          <w:sz w:val="24"/>
          <w:szCs w:val="24"/>
        </w:rPr>
        <w:t>posl</w:t>
      </w:r>
      <w:r w:rsidR="0009215A" w:rsidRPr="00FE4A1A">
        <w:rPr>
          <w:b/>
          <w:bCs/>
          <w:sz w:val="24"/>
          <w:szCs w:val="24"/>
        </w:rPr>
        <w:t>ov</w:t>
      </w:r>
      <w:r w:rsidR="007915A2">
        <w:rPr>
          <w:sz w:val="24"/>
          <w:szCs w:val="24"/>
        </w:rPr>
        <w:t xml:space="preserve"> </w:t>
      </w:r>
      <w:r>
        <w:rPr>
          <w:sz w:val="24"/>
          <w:szCs w:val="24"/>
        </w:rPr>
        <w:t>z naslednjimi zbirnimi podatki: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79"/>
      </w:tblGrid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Št. poslov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9D24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Št.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zemljišč za prenos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330C32" w:rsidP="00C226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4</w:t>
            </w:r>
            <w:r w:rsidR="00C2263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površina zemljišč </w:t>
            </w:r>
            <w:r w:rsidR="00010AD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za prenos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9D24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55,86</w:t>
            </w:r>
            <w:r w:rsidR="00FE4A1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EC4081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Skupna površina gozda</w:t>
            </w:r>
            <w:r w:rsidR="00485F2C" w:rsidRPr="00DE0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010AD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za prenos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9D24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34,26</w:t>
            </w:r>
            <w:r w:rsidR="00FE4A1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ha</w:t>
            </w:r>
          </w:p>
        </w:tc>
      </w:tr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485F2C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Skupna vrednost zemljišč </w:t>
            </w:r>
            <w:r w:rsidR="00EC40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za prenos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9D24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238.503,10</w:t>
            </w:r>
            <w:r w:rsidR="00FE4A1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485F2C" w:rsidRPr="00DE0839" w:rsidTr="00FE4A1A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2C" w:rsidRPr="00DE0839" w:rsidRDefault="00EC4081" w:rsidP="00750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Skupna vrednost gozda za prenos</w:t>
            </w:r>
            <w:r w:rsidR="00485F2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2C" w:rsidRPr="00DE0839" w:rsidRDefault="00C22630" w:rsidP="009D24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>98.392,76</w:t>
            </w:r>
            <w:r w:rsidR="00FE4A1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l-SI"/>
              </w:rPr>
              <w:t xml:space="preserve"> €</w:t>
            </w:r>
          </w:p>
        </w:tc>
      </w:tr>
    </w:tbl>
    <w:p w:rsidR="00485F2C" w:rsidRDefault="00485F2C" w:rsidP="00485F2C"/>
    <w:p w:rsidR="00485F2C" w:rsidRPr="003C35FA" w:rsidRDefault="00485F2C" w:rsidP="00485F2C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>Priloge:</w:t>
      </w:r>
    </w:p>
    <w:p w:rsidR="00485F2C" w:rsidRPr="003C35FA" w:rsidRDefault="00485F2C" w:rsidP="00485F2C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podrobna opredelitev nepremičnin po predlaganih poslih v Excelovih </w:t>
      </w:r>
      <w:r>
        <w:rPr>
          <w:b/>
          <w:sz w:val="20"/>
          <w:szCs w:val="20"/>
        </w:rPr>
        <w:t>preglednicah</w:t>
      </w:r>
      <w:r w:rsidRPr="003C35FA">
        <w:rPr>
          <w:b/>
          <w:sz w:val="20"/>
          <w:szCs w:val="20"/>
        </w:rPr>
        <w:t>,</w:t>
      </w:r>
    </w:p>
    <w:p w:rsidR="00485F2C" w:rsidRPr="003C35FA" w:rsidRDefault="00485F2C" w:rsidP="00485F2C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b/>
          <w:sz w:val="20"/>
          <w:szCs w:val="20"/>
        </w:rPr>
      </w:pPr>
      <w:r w:rsidRPr="003C35FA">
        <w:rPr>
          <w:b/>
          <w:sz w:val="20"/>
          <w:szCs w:val="20"/>
        </w:rPr>
        <w:t xml:space="preserve">tekstualne in grafične priloge k vsakemu posameznemu </w:t>
      </w:r>
      <w:r w:rsidR="00D7134F">
        <w:rPr>
          <w:b/>
          <w:sz w:val="20"/>
          <w:szCs w:val="20"/>
        </w:rPr>
        <w:t>pravnemu poslu</w:t>
      </w:r>
      <w:r w:rsidRPr="003C35FA">
        <w:rPr>
          <w:b/>
          <w:sz w:val="20"/>
          <w:szCs w:val="20"/>
        </w:rPr>
        <w:t xml:space="preserve"> razpolaganj</w:t>
      </w:r>
      <w:r w:rsidR="00D7134F">
        <w:rPr>
          <w:b/>
          <w:sz w:val="20"/>
          <w:szCs w:val="20"/>
        </w:rPr>
        <w:t>a</w:t>
      </w:r>
      <w:r w:rsidRPr="003C35FA">
        <w:rPr>
          <w:b/>
          <w:sz w:val="20"/>
          <w:szCs w:val="20"/>
        </w:rPr>
        <w:t>.</w:t>
      </w:r>
    </w:p>
    <w:p w:rsidR="00485F2C" w:rsidRDefault="00485F2C" w:rsidP="00485F2C"/>
    <w:p w:rsidR="00485F2C" w:rsidRDefault="00485F2C" w:rsidP="00485F2C">
      <w:pPr>
        <w:pStyle w:val="Brezrazmikov"/>
        <w:rPr>
          <w:b/>
          <w:sz w:val="24"/>
          <w:szCs w:val="24"/>
        </w:rPr>
      </w:pPr>
    </w:p>
    <w:p w:rsidR="00485F2C" w:rsidRPr="006B0192" w:rsidRDefault="00485F2C" w:rsidP="00485F2C">
      <w:pPr>
        <w:pStyle w:val="Brezrazmikov"/>
        <w:rPr>
          <w:b/>
          <w:sz w:val="28"/>
          <w:szCs w:val="28"/>
        </w:rPr>
      </w:pPr>
      <w:r w:rsidRPr="006B0192">
        <w:rPr>
          <w:b/>
          <w:sz w:val="28"/>
          <w:szCs w:val="28"/>
        </w:rPr>
        <w:t>Slovenski državni gozdovi, d.</w:t>
      </w:r>
      <w:r w:rsidR="00C22630">
        <w:rPr>
          <w:b/>
          <w:sz w:val="28"/>
          <w:szCs w:val="28"/>
        </w:rPr>
        <w:t xml:space="preserve"> </w:t>
      </w:r>
      <w:r w:rsidRPr="006B0192">
        <w:rPr>
          <w:b/>
          <w:sz w:val="28"/>
          <w:szCs w:val="28"/>
        </w:rPr>
        <w:t>o.</w:t>
      </w:r>
      <w:r w:rsidR="00C22630">
        <w:rPr>
          <w:b/>
          <w:sz w:val="28"/>
          <w:szCs w:val="28"/>
        </w:rPr>
        <w:t xml:space="preserve"> </w:t>
      </w:r>
      <w:r w:rsidRPr="006B0192">
        <w:rPr>
          <w:b/>
          <w:sz w:val="28"/>
          <w:szCs w:val="28"/>
        </w:rPr>
        <w:t>o.</w:t>
      </w:r>
    </w:p>
    <w:p w:rsidR="006B0192" w:rsidRDefault="006B0192" w:rsidP="006B0192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22630" w:rsidRDefault="00C22630" w:rsidP="00C22630">
      <w:pPr>
        <w:pStyle w:val="Brezrazmikov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mag. Robert TOMAZIN</w:t>
      </w:r>
    </w:p>
    <w:p w:rsidR="00C22630" w:rsidRDefault="00C22630" w:rsidP="00C22630">
      <w:pPr>
        <w:pStyle w:val="Brezrazmikov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glavni direktor</w:t>
      </w:r>
    </w:p>
    <w:p w:rsidR="00C22630" w:rsidRDefault="00C22630" w:rsidP="00C22630">
      <w:pPr>
        <w:spacing w:after="0" w:line="240" w:lineRule="auto"/>
        <w:rPr>
          <w:rFonts w:cstheme="minorHAnsi"/>
        </w:rPr>
      </w:pPr>
    </w:p>
    <w:p w:rsidR="00C22630" w:rsidRDefault="00C22630" w:rsidP="00C22630">
      <w:pPr>
        <w:pStyle w:val="Brezrazmikov"/>
      </w:pPr>
    </w:p>
    <w:p w:rsidR="00C22630" w:rsidRDefault="00C22630" w:rsidP="00C22630">
      <w:pPr>
        <w:pStyle w:val="Brezrazmikov"/>
        <w:ind w:left="1416" w:firstLine="708"/>
      </w:pPr>
    </w:p>
    <w:p w:rsidR="00C22630" w:rsidRDefault="00C22630" w:rsidP="00C22630">
      <w:pPr>
        <w:pStyle w:val="Brezrazmikov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Andrej JANŠA</w:t>
      </w:r>
    </w:p>
    <w:p w:rsidR="00C22630" w:rsidRDefault="00C22630" w:rsidP="00C22630">
      <w:pPr>
        <w:pStyle w:val="Brezrazmikov"/>
        <w:ind w:left="5664" w:firstLine="708"/>
        <w:rPr>
          <w:i/>
          <w:iCs/>
        </w:rPr>
      </w:pPr>
      <w:r>
        <w:rPr>
          <w:rFonts w:ascii="Arial" w:hAnsi="Arial" w:cs="Arial"/>
          <w:i/>
          <w:iCs/>
        </w:rPr>
        <w:t>finančni direktor</w:t>
      </w:r>
    </w:p>
    <w:p w:rsidR="00C22630" w:rsidRDefault="00C22630" w:rsidP="00C22630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C22630" w:rsidRDefault="00C22630" w:rsidP="00C22630"/>
    <w:p w:rsidR="00812DF9" w:rsidRDefault="00812DF9" w:rsidP="00C22630">
      <w:pPr>
        <w:shd w:val="clear" w:color="auto" w:fill="FFFFFF" w:themeFill="background1"/>
        <w:spacing w:after="0" w:line="240" w:lineRule="auto"/>
        <w:jc w:val="both"/>
      </w:pPr>
    </w:p>
    <w:sectPr w:rsidR="00812DF9" w:rsidSect="00166928">
      <w:headerReference w:type="default" r:id="rId7"/>
      <w:footerReference w:type="default" r:id="rId8"/>
      <w:pgSz w:w="11906" w:h="16838"/>
      <w:pgMar w:top="2803" w:right="991" w:bottom="212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59" w:rsidRDefault="00462459">
      <w:pPr>
        <w:spacing w:after="0" w:line="240" w:lineRule="auto"/>
      </w:pPr>
      <w:r>
        <w:separator/>
      </w:r>
    </w:p>
  </w:endnote>
  <w:endnote w:type="continuationSeparator" w:id="0">
    <w:p w:rsidR="00462459" w:rsidRDefault="0046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75725"/>
      <w:docPartObj>
        <w:docPartGallery w:val="Page Numbers (Bottom of Page)"/>
        <w:docPartUnique/>
      </w:docPartObj>
    </w:sdtPr>
    <w:sdtEndPr/>
    <w:sdtContent>
      <w:p w:rsidR="003E56CE" w:rsidRDefault="003A62BB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2" name="Diagram poteka: nadomestni proc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0629" w:rsidRDefault="00086F7A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DE7BD7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A62BB" w:rsidRPr="003A62BB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 poteka: nadomestni proc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" filled="f" stroked="f">
                  <v:textbox>
                    <w:txbxContent>
                      <w:p w:rsidR="00860629" w:rsidRDefault="00086F7A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DE7BD7">
                          <w:instrText>PAGE    \* MERGEFORMAT</w:instrText>
                        </w:r>
                        <w:r>
                          <w:fldChar w:fldCharType="separate"/>
                        </w:r>
                        <w:r w:rsidR="003A62BB" w:rsidRPr="003A62BB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59" w:rsidRDefault="00462459">
      <w:pPr>
        <w:spacing w:after="0" w:line="240" w:lineRule="auto"/>
      </w:pPr>
      <w:r>
        <w:separator/>
      </w:r>
    </w:p>
  </w:footnote>
  <w:footnote w:type="continuationSeparator" w:id="0">
    <w:p w:rsidR="00462459" w:rsidRDefault="0046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CE" w:rsidRDefault="00DE7BD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-894845</wp:posOffset>
          </wp:positionH>
          <wp:positionV relativeFrom="paragraph">
            <wp:posOffset>-449580</wp:posOffset>
          </wp:positionV>
          <wp:extent cx="7550410" cy="1333500"/>
          <wp:effectExtent l="19050" t="0" r="0" b="0"/>
          <wp:wrapNone/>
          <wp:docPr id="4" name="Slika 2" descr="C:\Users\zigabrodnik\AppData\Local\Microsoft\Windows\INetCache\Content.Outlook\15I3D1G0\SiGD-dopisni list-2016-07-19-glav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gabrodnik\AppData\Local\Microsoft\Windows\INetCache\Content.Outlook\15I3D1G0\SiGD-dopisni list-2016-07-19-glava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41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DBB"/>
    <w:multiLevelType w:val="hybridMultilevel"/>
    <w:tmpl w:val="DE90E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44D0"/>
    <w:multiLevelType w:val="hybridMultilevel"/>
    <w:tmpl w:val="CB761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687"/>
    <w:multiLevelType w:val="hybridMultilevel"/>
    <w:tmpl w:val="42D455B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0E3E"/>
    <w:multiLevelType w:val="hybridMultilevel"/>
    <w:tmpl w:val="26B0ADB6"/>
    <w:lvl w:ilvl="0" w:tplc="3572CB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8C7"/>
    <w:multiLevelType w:val="hybridMultilevel"/>
    <w:tmpl w:val="8A0691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C"/>
    <w:rsid w:val="00010ADE"/>
    <w:rsid w:val="0003466D"/>
    <w:rsid w:val="00055D20"/>
    <w:rsid w:val="00060CA0"/>
    <w:rsid w:val="00063A5B"/>
    <w:rsid w:val="00086F7A"/>
    <w:rsid w:val="0009215A"/>
    <w:rsid w:val="0009383D"/>
    <w:rsid w:val="000A240B"/>
    <w:rsid w:val="000F46B7"/>
    <w:rsid w:val="001136C3"/>
    <w:rsid w:val="00125AA3"/>
    <w:rsid w:val="00155A01"/>
    <w:rsid w:val="00174A5E"/>
    <w:rsid w:val="0018143E"/>
    <w:rsid w:val="0018394D"/>
    <w:rsid w:val="00184FC0"/>
    <w:rsid w:val="001C4B1E"/>
    <w:rsid w:val="00207F14"/>
    <w:rsid w:val="002144C8"/>
    <w:rsid w:val="00267AAC"/>
    <w:rsid w:val="002B188A"/>
    <w:rsid w:val="002D03D2"/>
    <w:rsid w:val="002E4BA1"/>
    <w:rsid w:val="003272A8"/>
    <w:rsid w:val="00330C32"/>
    <w:rsid w:val="003916B8"/>
    <w:rsid w:val="003A62BB"/>
    <w:rsid w:val="003E324C"/>
    <w:rsid w:val="003F6E40"/>
    <w:rsid w:val="00411840"/>
    <w:rsid w:val="00417333"/>
    <w:rsid w:val="004218C2"/>
    <w:rsid w:val="00462459"/>
    <w:rsid w:val="00485F2C"/>
    <w:rsid w:val="0056315E"/>
    <w:rsid w:val="00610613"/>
    <w:rsid w:val="00651F5F"/>
    <w:rsid w:val="0068013E"/>
    <w:rsid w:val="006A6C63"/>
    <w:rsid w:val="006B0192"/>
    <w:rsid w:val="006D14D7"/>
    <w:rsid w:val="00746DC6"/>
    <w:rsid w:val="007915A2"/>
    <w:rsid w:val="0080300F"/>
    <w:rsid w:val="0080643B"/>
    <w:rsid w:val="00812DF9"/>
    <w:rsid w:val="00830E3B"/>
    <w:rsid w:val="00844008"/>
    <w:rsid w:val="009107C1"/>
    <w:rsid w:val="0091306F"/>
    <w:rsid w:val="009333C1"/>
    <w:rsid w:val="00950680"/>
    <w:rsid w:val="00966CF0"/>
    <w:rsid w:val="009D2491"/>
    <w:rsid w:val="009E191F"/>
    <w:rsid w:val="00A04AEA"/>
    <w:rsid w:val="00A33F30"/>
    <w:rsid w:val="00A35F66"/>
    <w:rsid w:val="00A84789"/>
    <w:rsid w:val="00AB4DAE"/>
    <w:rsid w:val="00AD17A6"/>
    <w:rsid w:val="00AE3447"/>
    <w:rsid w:val="00B03028"/>
    <w:rsid w:val="00B079EC"/>
    <w:rsid w:val="00B279D3"/>
    <w:rsid w:val="00B5348E"/>
    <w:rsid w:val="00B551E5"/>
    <w:rsid w:val="00B57556"/>
    <w:rsid w:val="00BD619D"/>
    <w:rsid w:val="00BF317B"/>
    <w:rsid w:val="00C01F5B"/>
    <w:rsid w:val="00C2074E"/>
    <w:rsid w:val="00C22630"/>
    <w:rsid w:val="00C302AD"/>
    <w:rsid w:val="00C35377"/>
    <w:rsid w:val="00C35985"/>
    <w:rsid w:val="00C606AC"/>
    <w:rsid w:val="00D07ADB"/>
    <w:rsid w:val="00D3255B"/>
    <w:rsid w:val="00D45D76"/>
    <w:rsid w:val="00D604C4"/>
    <w:rsid w:val="00D70CD9"/>
    <w:rsid w:val="00D7134F"/>
    <w:rsid w:val="00D75526"/>
    <w:rsid w:val="00D914E6"/>
    <w:rsid w:val="00DA149B"/>
    <w:rsid w:val="00DC1633"/>
    <w:rsid w:val="00DE4266"/>
    <w:rsid w:val="00DE7BD7"/>
    <w:rsid w:val="00E16E58"/>
    <w:rsid w:val="00E53114"/>
    <w:rsid w:val="00E86EDA"/>
    <w:rsid w:val="00EA792D"/>
    <w:rsid w:val="00EB29E8"/>
    <w:rsid w:val="00EC4081"/>
    <w:rsid w:val="00EE1DDD"/>
    <w:rsid w:val="00F00876"/>
    <w:rsid w:val="00F0661A"/>
    <w:rsid w:val="00F87EE5"/>
    <w:rsid w:val="00FB7913"/>
    <w:rsid w:val="00FE4A1A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C93443-DF22-4540-A7CC-89765D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F2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F2C"/>
  </w:style>
  <w:style w:type="paragraph" w:styleId="Noga">
    <w:name w:val="footer"/>
    <w:basedOn w:val="Navaden"/>
    <w:link w:val="NogaZnak"/>
    <w:uiPriority w:val="99"/>
    <w:unhideWhenUsed/>
    <w:rsid w:val="0048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F2C"/>
  </w:style>
  <w:style w:type="paragraph" w:styleId="Odstavekseznama">
    <w:name w:val="List Paragraph"/>
    <w:basedOn w:val="Navaden"/>
    <w:uiPriority w:val="34"/>
    <w:qFormat/>
    <w:rsid w:val="00485F2C"/>
    <w:pPr>
      <w:ind w:left="720"/>
      <w:contextualSpacing/>
    </w:pPr>
  </w:style>
  <w:style w:type="paragraph" w:styleId="Brezrazmikov">
    <w:name w:val="No Spacing"/>
    <w:uiPriority w:val="1"/>
    <w:qFormat/>
    <w:rsid w:val="00485F2C"/>
    <w:pPr>
      <w:spacing w:after="0" w:line="240" w:lineRule="auto"/>
    </w:pPr>
    <w:rPr>
      <w:noProof/>
    </w:rPr>
  </w:style>
  <w:style w:type="table" w:styleId="Tabelamrea">
    <w:name w:val="Table Grid"/>
    <w:basedOn w:val="Navadnatabela"/>
    <w:uiPriority w:val="39"/>
    <w:rsid w:val="0048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Marinč</dc:creator>
  <cp:lastModifiedBy>Andreja Rajh</cp:lastModifiedBy>
  <cp:revision>2</cp:revision>
  <cp:lastPrinted>2020-12-14T12:25:00Z</cp:lastPrinted>
  <dcterms:created xsi:type="dcterms:W3CDTF">2021-09-07T13:13:00Z</dcterms:created>
  <dcterms:modified xsi:type="dcterms:W3CDTF">2021-09-07T13:13:00Z</dcterms:modified>
</cp:coreProperties>
</file>