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0D9" w:rsidRPr="006076CA" w:rsidRDefault="00913F8F">
      <w:pPr>
        <w:rPr>
          <w:sz w:val="20"/>
          <w:szCs w:val="20"/>
        </w:rPr>
      </w:pPr>
      <w:bookmarkStart w:id="0" w:name="_GoBack"/>
      <w:bookmarkEnd w:id="0"/>
      <w:r w:rsidRPr="006076CA">
        <w:rPr>
          <w:sz w:val="20"/>
          <w:szCs w:val="20"/>
        </w:rPr>
        <w:t>GLAVA POLICIJE</w:t>
      </w:r>
    </w:p>
    <w:p w:rsidR="00913F8F" w:rsidRPr="006076CA" w:rsidRDefault="00913F8F">
      <w:pPr>
        <w:rPr>
          <w:sz w:val="20"/>
          <w:szCs w:val="20"/>
        </w:rPr>
      </w:pPr>
      <w:r w:rsidRPr="006076CA">
        <w:rPr>
          <w:sz w:val="20"/>
          <w:szCs w:val="20"/>
        </w:rPr>
        <w:t>Policijska enota …………………..</w:t>
      </w:r>
    </w:p>
    <w:p w:rsidR="00913F8F" w:rsidRPr="006076CA" w:rsidRDefault="00913F8F">
      <w:pPr>
        <w:rPr>
          <w:sz w:val="20"/>
          <w:szCs w:val="20"/>
        </w:rPr>
      </w:pPr>
    </w:p>
    <w:p w:rsidR="00913F8F" w:rsidRPr="006076CA" w:rsidRDefault="00913F8F">
      <w:pPr>
        <w:rPr>
          <w:sz w:val="20"/>
          <w:szCs w:val="20"/>
        </w:rPr>
      </w:pPr>
    </w:p>
    <w:p w:rsidR="00913F8F" w:rsidRPr="006076CA" w:rsidRDefault="00913F8F">
      <w:pPr>
        <w:rPr>
          <w:sz w:val="20"/>
          <w:szCs w:val="20"/>
        </w:rPr>
      </w:pPr>
      <w:r w:rsidRPr="006076CA">
        <w:rPr>
          <w:sz w:val="20"/>
          <w:szCs w:val="20"/>
        </w:rPr>
        <w:t>Številka………………………..</w:t>
      </w:r>
    </w:p>
    <w:p w:rsidR="00913F8F" w:rsidRPr="006076CA" w:rsidRDefault="00913F8F">
      <w:pPr>
        <w:rPr>
          <w:sz w:val="20"/>
          <w:szCs w:val="20"/>
        </w:rPr>
      </w:pPr>
      <w:r w:rsidRPr="006076CA">
        <w:rPr>
          <w:sz w:val="20"/>
          <w:szCs w:val="20"/>
        </w:rPr>
        <w:t>Datum…………………………</w:t>
      </w:r>
    </w:p>
    <w:p w:rsidR="00913F8F" w:rsidRPr="006076CA" w:rsidRDefault="00913F8F">
      <w:pPr>
        <w:rPr>
          <w:sz w:val="20"/>
          <w:szCs w:val="20"/>
        </w:rPr>
      </w:pPr>
    </w:p>
    <w:p w:rsidR="00913F8F" w:rsidRPr="006076CA" w:rsidRDefault="00913F8F" w:rsidP="00EA251F">
      <w:pPr>
        <w:jc w:val="center"/>
        <w:rPr>
          <w:sz w:val="20"/>
          <w:szCs w:val="20"/>
        </w:rPr>
      </w:pPr>
      <w:r w:rsidRPr="006076CA">
        <w:rPr>
          <w:sz w:val="20"/>
          <w:szCs w:val="20"/>
        </w:rPr>
        <w:t xml:space="preserve">V skladu z določili </w:t>
      </w:r>
      <w:r w:rsidR="00D120AC" w:rsidRPr="006076CA">
        <w:rPr>
          <w:sz w:val="20"/>
          <w:szCs w:val="20"/>
        </w:rPr>
        <w:t>64.</w:t>
      </w:r>
      <w:r w:rsidRPr="006076CA">
        <w:rPr>
          <w:sz w:val="20"/>
          <w:szCs w:val="20"/>
        </w:rPr>
        <w:t xml:space="preserve"> člena Zakona o tujcih (Uradni list XXX) se </w:t>
      </w:r>
      <w:r w:rsidR="00E53A27">
        <w:rPr>
          <w:sz w:val="20"/>
          <w:szCs w:val="20"/>
        </w:rPr>
        <w:t xml:space="preserve">zaradi nezakonitega prebivanja </w:t>
      </w:r>
      <w:r w:rsidRPr="006076CA">
        <w:rPr>
          <w:sz w:val="20"/>
          <w:szCs w:val="20"/>
        </w:rPr>
        <w:t>izda</w:t>
      </w:r>
    </w:p>
    <w:p w:rsidR="00913F8F" w:rsidRPr="006076CA" w:rsidRDefault="00913F8F" w:rsidP="00EA251F">
      <w:pPr>
        <w:jc w:val="center"/>
        <w:rPr>
          <w:sz w:val="20"/>
          <w:szCs w:val="20"/>
        </w:rPr>
      </w:pPr>
      <w:r w:rsidRPr="006076CA">
        <w:rPr>
          <w:sz w:val="20"/>
          <w:szCs w:val="20"/>
        </w:rPr>
        <w:t>ODLOČBA O VRNITVI</w:t>
      </w:r>
    </w:p>
    <w:p w:rsidR="00EA251F" w:rsidRPr="006076CA" w:rsidRDefault="00EA251F" w:rsidP="00913F8F">
      <w:pPr>
        <w:rPr>
          <w:sz w:val="20"/>
          <w:szCs w:val="20"/>
        </w:rPr>
      </w:pPr>
    </w:p>
    <w:p w:rsidR="00EA251F" w:rsidRPr="006076CA" w:rsidRDefault="00710A7F" w:rsidP="00E84CDC">
      <w:pPr>
        <w:pStyle w:val="Odstavekseznama"/>
        <w:numPr>
          <w:ilvl w:val="0"/>
          <w:numId w:val="1"/>
        </w:numPr>
        <w:ind w:left="0" w:firstLine="0"/>
        <w:rPr>
          <w:sz w:val="20"/>
          <w:szCs w:val="20"/>
        </w:rPr>
      </w:pPr>
      <w:r w:rsidRPr="006076CA">
        <w:rPr>
          <w:sz w:val="20"/>
          <w:szCs w:val="20"/>
        </w:rPr>
        <w:t>Tujec</w:t>
      </w:r>
    </w:p>
    <w:tbl>
      <w:tblPr>
        <w:tblStyle w:val="Tabelamrea"/>
        <w:tblW w:w="0" w:type="auto"/>
        <w:tblLook w:val="04A0" w:firstRow="1" w:lastRow="0" w:firstColumn="1" w:lastColumn="0" w:noHBand="0" w:noVBand="1"/>
      </w:tblPr>
      <w:tblGrid>
        <w:gridCol w:w="1696"/>
        <w:gridCol w:w="1134"/>
        <w:gridCol w:w="425"/>
        <w:gridCol w:w="1135"/>
        <w:gridCol w:w="425"/>
      </w:tblGrid>
      <w:tr w:rsidR="00913F8F" w:rsidRPr="006076CA" w:rsidTr="00EA251F">
        <w:tc>
          <w:tcPr>
            <w:tcW w:w="1696" w:type="dxa"/>
          </w:tcPr>
          <w:p w:rsidR="00913F8F" w:rsidRPr="006076CA" w:rsidRDefault="00913F8F" w:rsidP="00913F8F">
            <w:pPr>
              <w:rPr>
                <w:sz w:val="20"/>
                <w:szCs w:val="20"/>
              </w:rPr>
            </w:pPr>
            <w:r w:rsidRPr="006076CA">
              <w:rPr>
                <w:sz w:val="20"/>
                <w:szCs w:val="20"/>
              </w:rPr>
              <w:t>Ime</w:t>
            </w:r>
          </w:p>
        </w:tc>
        <w:tc>
          <w:tcPr>
            <w:tcW w:w="3119" w:type="dxa"/>
            <w:gridSpan w:val="4"/>
          </w:tcPr>
          <w:p w:rsidR="00913F8F" w:rsidRPr="006076CA" w:rsidRDefault="00913F8F" w:rsidP="00913F8F">
            <w:pPr>
              <w:rPr>
                <w:sz w:val="20"/>
                <w:szCs w:val="20"/>
              </w:rPr>
            </w:pPr>
          </w:p>
        </w:tc>
      </w:tr>
      <w:tr w:rsidR="00913F8F" w:rsidRPr="006076CA" w:rsidTr="00EA251F">
        <w:tc>
          <w:tcPr>
            <w:tcW w:w="1696" w:type="dxa"/>
          </w:tcPr>
          <w:p w:rsidR="00913F8F" w:rsidRPr="006076CA" w:rsidRDefault="00913F8F" w:rsidP="00913F8F">
            <w:pPr>
              <w:rPr>
                <w:sz w:val="20"/>
                <w:szCs w:val="20"/>
              </w:rPr>
            </w:pPr>
            <w:r w:rsidRPr="006076CA">
              <w:rPr>
                <w:sz w:val="20"/>
                <w:szCs w:val="20"/>
              </w:rPr>
              <w:t>Priimek</w:t>
            </w:r>
          </w:p>
        </w:tc>
        <w:tc>
          <w:tcPr>
            <w:tcW w:w="3119" w:type="dxa"/>
            <w:gridSpan w:val="4"/>
          </w:tcPr>
          <w:p w:rsidR="00913F8F" w:rsidRPr="006076CA" w:rsidRDefault="00913F8F" w:rsidP="00913F8F">
            <w:pPr>
              <w:rPr>
                <w:sz w:val="20"/>
                <w:szCs w:val="20"/>
              </w:rPr>
            </w:pPr>
          </w:p>
        </w:tc>
      </w:tr>
      <w:tr w:rsidR="00913F8F" w:rsidRPr="006076CA" w:rsidTr="00EA251F">
        <w:tc>
          <w:tcPr>
            <w:tcW w:w="1696" w:type="dxa"/>
          </w:tcPr>
          <w:p w:rsidR="00913F8F" w:rsidRPr="006076CA" w:rsidRDefault="00913F8F" w:rsidP="00913F8F">
            <w:pPr>
              <w:rPr>
                <w:sz w:val="20"/>
                <w:szCs w:val="20"/>
              </w:rPr>
            </w:pPr>
            <w:r w:rsidRPr="006076CA">
              <w:rPr>
                <w:sz w:val="20"/>
                <w:szCs w:val="20"/>
              </w:rPr>
              <w:t>Datum rojstva</w:t>
            </w:r>
          </w:p>
        </w:tc>
        <w:tc>
          <w:tcPr>
            <w:tcW w:w="3119" w:type="dxa"/>
            <w:gridSpan w:val="4"/>
          </w:tcPr>
          <w:p w:rsidR="00913F8F" w:rsidRPr="006076CA" w:rsidRDefault="00913F8F" w:rsidP="00913F8F">
            <w:pPr>
              <w:rPr>
                <w:sz w:val="20"/>
                <w:szCs w:val="20"/>
              </w:rPr>
            </w:pPr>
          </w:p>
        </w:tc>
      </w:tr>
      <w:tr w:rsidR="00913F8F" w:rsidRPr="006076CA" w:rsidTr="00EA251F">
        <w:tc>
          <w:tcPr>
            <w:tcW w:w="1696" w:type="dxa"/>
          </w:tcPr>
          <w:p w:rsidR="00913F8F" w:rsidRPr="006076CA" w:rsidRDefault="00913F8F" w:rsidP="00913F8F">
            <w:pPr>
              <w:rPr>
                <w:sz w:val="20"/>
                <w:szCs w:val="20"/>
              </w:rPr>
            </w:pPr>
            <w:r w:rsidRPr="006076CA">
              <w:rPr>
                <w:sz w:val="20"/>
                <w:szCs w:val="20"/>
              </w:rPr>
              <w:t>Državljanstvo</w:t>
            </w:r>
          </w:p>
        </w:tc>
        <w:tc>
          <w:tcPr>
            <w:tcW w:w="3119" w:type="dxa"/>
            <w:gridSpan w:val="4"/>
          </w:tcPr>
          <w:p w:rsidR="00913F8F" w:rsidRPr="006076CA" w:rsidRDefault="00913F8F" w:rsidP="00913F8F">
            <w:pPr>
              <w:rPr>
                <w:sz w:val="20"/>
                <w:szCs w:val="20"/>
              </w:rPr>
            </w:pPr>
          </w:p>
        </w:tc>
      </w:tr>
      <w:tr w:rsidR="00293D57" w:rsidRPr="006076CA" w:rsidTr="00293D57">
        <w:tc>
          <w:tcPr>
            <w:tcW w:w="1696" w:type="dxa"/>
          </w:tcPr>
          <w:p w:rsidR="00293D57" w:rsidRPr="006076CA" w:rsidRDefault="00293D57" w:rsidP="00913F8F">
            <w:pPr>
              <w:rPr>
                <w:sz w:val="20"/>
                <w:szCs w:val="20"/>
              </w:rPr>
            </w:pPr>
            <w:r w:rsidRPr="006076CA">
              <w:rPr>
                <w:sz w:val="20"/>
                <w:szCs w:val="20"/>
              </w:rPr>
              <w:t>Spol</w:t>
            </w:r>
          </w:p>
        </w:tc>
        <w:tc>
          <w:tcPr>
            <w:tcW w:w="1134" w:type="dxa"/>
          </w:tcPr>
          <w:p w:rsidR="00293D57" w:rsidRPr="006076CA" w:rsidRDefault="00293D57" w:rsidP="00293D57">
            <w:pPr>
              <w:rPr>
                <w:sz w:val="20"/>
                <w:szCs w:val="20"/>
              </w:rPr>
            </w:pPr>
            <w:r w:rsidRPr="006076CA">
              <w:rPr>
                <w:sz w:val="20"/>
                <w:szCs w:val="20"/>
              </w:rPr>
              <w:t xml:space="preserve"> </w:t>
            </w:r>
          </w:p>
        </w:tc>
        <w:tc>
          <w:tcPr>
            <w:tcW w:w="425" w:type="dxa"/>
          </w:tcPr>
          <w:p w:rsidR="00293D57" w:rsidRPr="006076CA" w:rsidRDefault="00293D57" w:rsidP="00913F8F">
            <w:pPr>
              <w:rPr>
                <w:sz w:val="20"/>
                <w:szCs w:val="20"/>
              </w:rPr>
            </w:pPr>
            <w:r w:rsidRPr="006076CA">
              <w:rPr>
                <w:sz w:val="20"/>
                <w:szCs w:val="20"/>
              </w:rPr>
              <w:t>M</w:t>
            </w:r>
          </w:p>
        </w:tc>
        <w:tc>
          <w:tcPr>
            <w:tcW w:w="1135" w:type="dxa"/>
          </w:tcPr>
          <w:p w:rsidR="00293D57" w:rsidRPr="006076CA" w:rsidRDefault="00293D57" w:rsidP="00913F8F">
            <w:pPr>
              <w:rPr>
                <w:sz w:val="20"/>
                <w:szCs w:val="20"/>
              </w:rPr>
            </w:pPr>
          </w:p>
        </w:tc>
        <w:tc>
          <w:tcPr>
            <w:tcW w:w="425" w:type="dxa"/>
          </w:tcPr>
          <w:p w:rsidR="00293D57" w:rsidRPr="006076CA" w:rsidRDefault="00293D57" w:rsidP="00913F8F">
            <w:pPr>
              <w:rPr>
                <w:sz w:val="20"/>
                <w:szCs w:val="20"/>
              </w:rPr>
            </w:pPr>
            <w:r w:rsidRPr="006076CA">
              <w:rPr>
                <w:sz w:val="20"/>
                <w:szCs w:val="20"/>
              </w:rPr>
              <w:t>Ž</w:t>
            </w:r>
          </w:p>
        </w:tc>
      </w:tr>
    </w:tbl>
    <w:p w:rsidR="00913F8F" w:rsidRPr="006076CA" w:rsidRDefault="00913F8F" w:rsidP="00913F8F">
      <w:pPr>
        <w:rPr>
          <w:sz w:val="20"/>
          <w:szCs w:val="20"/>
        </w:rPr>
      </w:pPr>
    </w:p>
    <w:p w:rsidR="00913F8F" w:rsidRPr="006076CA" w:rsidRDefault="00EA251F" w:rsidP="00E84CDC">
      <w:pPr>
        <w:pStyle w:val="Odstavekseznama"/>
        <w:numPr>
          <w:ilvl w:val="0"/>
          <w:numId w:val="1"/>
        </w:numPr>
        <w:ind w:left="0" w:firstLine="0"/>
        <w:rPr>
          <w:sz w:val="20"/>
          <w:szCs w:val="20"/>
        </w:rPr>
      </w:pPr>
      <w:r w:rsidRPr="006076CA">
        <w:rPr>
          <w:sz w:val="20"/>
          <w:szCs w:val="20"/>
        </w:rPr>
        <w:t>Izrek</w:t>
      </w:r>
    </w:p>
    <w:p w:rsidR="00EA251F" w:rsidRPr="006076CA" w:rsidRDefault="00EA251F" w:rsidP="00EA251F">
      <w:pPr>
        <w:pStyle w:val="Odstavekseznama"/>
        <w:rPr>
          <w:sz w:val="20"/>
          <w:szCs w:val="20"/>
        </w:rPr>
      </w:pPr>
    </w:p>
    <w:tbl>
      <w:tblPr>
        <w:tblStyle w:val="Tabelamrea"/>
        <w:tblW w:w="0" w:type="auto"/>
        <w:tblInd w:w="-5" w:type="dxa"/>
        <w:tblLook w:val="04A0" w:firstRow="1" w:lastRow="0" w:firstColumn="1" w:lastColumn="0" w:noHBand="0" w:noVBand="1"/>
      </w:tblPr>
      <w:tblGrid>
        <w:gridCol w:w="451"/>
        <w:gridCol w:w="7891"/>
      </w:tblGrid>
      <w:tr w:rsidR="00157260" w:rsidRPr="006076CA" w:rsidTr="00E84CDC">
        <w:trPr>
          <w:gridAfter w:val="1"/>
          <w:wAfter w:w="7891" w:type="dxa"/>
          <w:trHeight w:val="356"/>
        </w:trPr>
        <w:tc>
          <w:tcPr>
            <w:tcW w:w="451" w:type="dxa"/>
          </w:tcPr>
          <w:p w:rsidR="00157260" w:rsidRPr="006076CA" w:rsidRDefault="00157260" w:rsidP="00EA251F">
            <w:pPr>
              <w:pStyle w:val="Odstavekseznama"/>
              <w:ind w:left="0"/>
              <w:rPr>
                <w:sz w:val="20"/>
                <w:szCs w:val="20"/>
              </w:rPr>
            </w:pPr>
          </w:p>
        </w:tc>
      </w:tr>
      <w:tr w:rsidR="00157260" w:rsidRPr="006076CA" w:rsidTr="00E84CDC">
        <w:tc>
          <w:tcPr>
            <w:tcW w:w="8342" w:type="dxa"/>
            <w:gridSpan w:val="2"/>
          </w:tcPr>
          <w:p w:rsidR="00157260" w:rsidRPr="006076CA" w:rsidRDefault="00157260" w:rsidP="00157260">
            <w:pPr>
              <w:pStyle w:val="Odstavekseznama"/>
              <w:ind w:left="0"/>
              <w:rPr>
                <w:sz w:val="20"/>
                <w:szCs w:val="20"/>
              </w:rPr>
            </w:pPr>
            <w:r w:rsidRPr="006076CA">
              <w:rPr>
                <w:sz w:val="20"/>
                <w:szCs w:val="20"/>
              </w:rPr>
              <w:t xml:space="preserve">Tujcu se določi rok za prostovoljni odhod: </w:t>
            </w:r>
          </w:p>
        </w:tc>
      </w:tr>
      <w:tr w:rsidR="00157260" w:rsidRPr="006076CA" w:rsidTr="00E84CDC">
        <w:tc>
          <w:tcPr>
            <w:tcW w:w="451" w:type="dxa"/>
          </w:tcPr>
          <w:p w:rsidR="00157260" w:rsidRPr="006076CA" w:rsidRDefault="00157260" w:rsidP="00157260">
            <w:pPr>
              <w:pStyle w:val="Odstavekseznama"/>
              <w:ind w:left="0"/>
              <w:rPr>
                <w:sz w:val="20"/>
                <w:szCs w:val="20"/>
              </w:rPr>
            </w:pPr>
            <w:r w:rsidRPr="006076CA">
              <w:rPr>
                <w:sz w:val="20"/>
                <w:szCs w:val="20"/>
              </w:rPr>
              <w:t xml:space="preserve">                       </w:t>
            </w:r>
          </w:p>
        </w:tc>
        <w:tc>
          <w:tcPr>
            <w:tcW w:w="7891" w:type="dxa"/>
          </w:tcPr>
          <w:p w:rsidR="00157260" w:rsidRPr="006076CA" w:rsidRDefault="00157260" w:rsidP="003A0B8F">
            <w:pPr>
              <w:pStyle w:val="Odstavekseznama"/>
              <w:ind w:left="0"/>
              <w:rPr>
                <w:sz w:val="20"/>
                <w:szCs w:val="20"/>
              </w:rPr>
            </w:pPr>
            <w:r w:rsidRPr="006076CA">
              <w:rPr>
                <w:sz w:val="20"/>
                <w:szCs w:val="20"/>
              </w:rPr>
              <w:t>10-dnevni rok za prostovoljni odhod</w:t>
            </w:r>
            <w:r w:rsidR="003A0B8F" w:rsidRPr="006076CA">
              <w:rPr>
                <w:sz w:val="20"/>
                <w:szCs w:val="20"/>
              </w:rPr>
              <w:t>.</w:t>
            </w:r>
            <w:r w:rsidRPr="006076CA">
              <w:rPr>
                <w:sz w:val="20"/>
                <w:szCs w:val="20"/>
              </w:rPr>
              <w:t xml:space="preserve"> </w:t>
            </w:r>
          </w:p>
        </w:tc>
      </w:tr>
      <w:tr w:rsidR="00157260" w:rsidRPr="006076CA" w:rsidTr="00E84CDC">
        <w:tc>
          <w:tcPr>
            <w:tcW w:w="451" w:type="dxa"/>
          </w:tcPr>
          <w:p w:rsidR="00157260" w:rsidRPr="006076CA" w:rsidRDefault="00157260" w:rsidP="00157260">
            <w:pPr>
              <w:pStyle w:val="Odstavekseznama"/>
              <w:ind w:left="0"/>
              <w:rPr>
                <w:sz w:val="20"/>
                <w:szCs w:val="20"/>
              </w:rPr>
            </w:pPr>
          </w:p>
        </w:tc>
        <w:tc>
          <w:tcPr>
            <w:tcW w:w="7891" w:type="dxa"/>
          </w:tcPr>
          <w:p w:rsidR="00157260" w:rsidRPr="006076CA" w:rsidRDefault="00157260" w:rsidP="003A0B8F">
            <w:pPr>
              <w:pStyle w:val="Odstavekseznama"/>
              <w:ind w:left="0"/>
              <w:rPr>
                <w:sz w:val="20"/>
                <w:szCs w:val="20"/>
              </w:rPr>
            </w:pPr>
            <w:r w:rsidRPr="006076CA">
              <w:rPr>
                <w:sz w:val="20"/>
                <w:szCs w:val="20"/>
              </w:rPr>
              <w:t>30-d</w:t>
            </w:r>
            <w:r w:rsidR="003A0B8F" w:rsidRPr="006076CA">
              <w:rPr>
                <w:sz w:val="20"/>
                <w:szCs w:val="20"/>
              </w:rPr>
              <w:t>nevni rok za prostovoljni odhod.</w:t>
            </w:r>
          </w:p>
        </w:tc>
      </w:tr>
      <w:tr w:rsidR="00157260" w:rsidRPr="006076CA" w:rsidTr="00E84CDC">
        <w:tc>
          <w:tcPr>
            <w:tcW w:w="8342" w:type="dxa"/>
            <w:gridSpan w:val="2"/>
          </w:tcPr>
          <w:p w:rsidR="00157260" w:rsidRPr="006076CA" w:rsidRDefault="00157260" w:rsidP="00157260">
            <w:pPr>
              <w:pStyle w:val="Odstavekseznama"/>
              <w:ind w:left="0"/>
              <w:rPr>
                <w:sz w:val="20"/>
                <w:szCs w:val="20"/>
              </w:rPr>
            </w:pPr>
            <w:r w:rsidRPr="006076CA">
              <w:rPr>
                <w:sz w:val="20"/>
                <w:szCs w:val="20"/>
              </w:rPr>
              <w:t xml:space="preserve">V določenem roku za prostovoljni odhod mora tujec zapustiti </w:t>
            </w:r>
            <w:r w:rsidR="00D120AC" w:rsidRPr="006076CA">
              <w:rPr>
                <w:sz w:val="20"/>
                <w:szCs w:val="20"/>
              </w:rPr>
              <w:t>Republiko Slovenijo, območje držav članic Evropske unije in območje držav, pogodbenic Konvencije o izvajanju schengenskega sporazuma z dne 14. junija 1985</w:t>
            </w:r>
            <w:r w:rsidR="008E4AF8" w:rsidRPr="006076CA">
              <w:rPr>
                <w:sz w:val="20"/>
                <w:szCs w:val="20"/>
              </w:rPr>
              <w:t>.</w:t>
            </w:r>
            <w:r w:rsidR="00B021D4" w:rsidRPr="006076CA">
              <w:rPr>
                <w:sz w:val="20"/>
                <w:szCs w:val="20"/>
              </w:rPr>
              <w:t xml:space="preserve"> </w:t>
            </w:r>
          </w:p>
        </w:tc>
      </w:tr>
      <w:tr w:rsidR="00157260" w:rsidRPr="006076CA" w:rsidTr="00E84CDC">
        <w:tc>
          <w:tcPr>
            <w:tcW w:w="8342" w:type="dxa"/>
            <w:gridSpan w:val="2"/>
          </w:tcPr>
          <w:p w:rsidR="00157260" w:rsidRPr="006076CA" w:rsidRDefault="00157260" w:rsidP="003A0B8F">
            <w:pPr>
              <w:pStyle w:val="Odstavekseznama"/>
              <w:ind w:left="0"/>
              <w:rPr>
                <w:sz w:val="20"/>
                <w:szCs w:val="20"/>
              </w:rPr>
            </w:pPr>
            <w:r w:rsidRPr="006076CA">
              <w:rPr>
                <w:sz w:val="20"/>
                <w:szCs w:val="20"/>
              </w:rPr>
              <w:t xml:space="preserve">Tujcu se določi prepoved vstopa za obdobje </w:t>
            </w:r>
            <w:r w:rsidRPr="006076CA">
              <w:rPr>
                <w:b/>
                <w:sz w:val="20"/>
                <w:szCs w:val="20"/>
              </w:rPr>
              <w:t>enega</w:t>
            </w:r>
            <w:r w:rsidRPr="006076CA">
              <w:rPr>
                <w:sz w:val="20"/>
                <w:szCs w:val="20"/>
              </w:rPr>
              <w:t xml:space="preserve"> leta, ki pa se ne izvrši, če tujec zapusti </w:t>
            </w:r>
            <w:r w:rsidR="00D120AC" w:rsidRPr="006076CA">
              <w:rPr>
                <w:sz w:val="20"/>
                <w:szCs w:val="20"/>
              </w:rPr>
              <w:t xml:space="preserve">Republiko Slovenijo, območje držav članic Evropske unije in območje držav, pogodbenic Konvencije o izvajanju schengenskega sporazuma z dne 14. junija 1985 </w:t>
            </w:r>
            <w:r w:rsidRPr="006076CA">
              <w:rPr>
                <w:sz w:val="20"/>
                <w:szCs w:val="20"/>
              </w:rPr>
              <w:t>v roku za prostovoljni odhod.</w:t>
            </w:r>
            <w:r w:rsidR="00D120AC" w:rsidRPr="006076CA">
              <w:rPr>
                <w:sz w:val="20"/>
                <w:szCs w:val="20"/>
              </w:rPr>
              <w:t xml:space="preserve"> </w:t>
            </w:r>
          </w:p>
        </w:tc>
      </w:tr>
      <w:tr w:rsidR="00D120AC" w:rsidRPr="006076CA" w:rsidTr="00E84CDC">
        <w:tc>
          <w:tcPr>
            <w:tcW w:w="8342" w:type="dxa"/>
            <w:gridSpan w:val="2"/>
          </w:tcPr>
          <w:p w:rsidR="00D120AC" w:rsidRPr="006076CA" w:rsidRDefault="00D120AC" w:rsidP="003A0B8F">
            <w:pPr>
              <w:pStyle w:val="Odstavekseznama"/>
              <w:ind w:left="0"/>
              <w:rPr>
                <w:sz w:val="20"/>
                <w:szCs w:val="20"/>
              </w:rPr>
            </w:pPr>
            <w:r w:rsidRPr="006076CA">
              <w:rPr>
                <w:sz w:val="20"/>
                <w:szCs w:val="20"/>
              </w:rPr>
              <w:t>Tujca se odstrani iz Republike Slovenije, območj</w:t>
            </w:r>
            <w:r w:rsidR="003A0B8F" w:rsidRPr="006076CA">
              <w:rPr>
                <w:sz w:val="20"/>
                <w:szCs w:val="20"/>
              </w:rPr>
              <w:t>a</w:t>
            </w:r>
            <w:r w:rsidRPr="006076CA">
              <w:rPr>
                <w:sz w:val="20"/>
                <w:szCs w:val="20"/>
              </w:rPr>
              <w:t xml:space="preserve"> držav članic Evropske unije in območj</w:t>
            </w:r>
            <w:r w:rsidR="003A0B8F" w:rsidRPr="006076CA">
              <w:rPr>
                <w:sz w:val="20"/>
                <w:szCs w:val="20"/>
              </w:rPr>
              <w:t>a</w:t>
            </w:r>
            <w:r w:rsidRPr="006076CA">
              <w:rPr>
                <w:sz w:val="20"/>
                <w:szCs w:val="20"/>
              </w:rPr>
              <w:t xml:space="preserve"> držav, pogodbenic Konvencije o izvajanju schengenskega </w:t>
            </w:r>
            <w:r w:rsidR="003A0B8F" w:rsidRPr="006076CA">
              <w:rPr>
                <w:sz w:val="20"/>
                <w:szCs w:val="20"/>
              </w:rPr>
              <w:t>sporazuma z dne 14. junija 1985,</w:t>
            </w:r>
            <w:r w:rsidRPr="006076CA">
              <w:rPr>
                <w:sz w:val="20"/>
                <w:szCs w:val="20"/>
              </w:rPr>
              <w:t xml:space="preserve"> če ne upošteva </w:t>
            </w:r>
            <w:r w:rsidR="008E4AF8" w:rsidRPr="006076CA">
              <w:rPr>
                <w:sz w:val="20"/>
                <w:szCs w:val="20"/>
              </w:rPr>
              <w:t>roka za prostovoljni odhod.</w:t>
            </w:r>
          </w:p>
        </w:tc>
      </w:tr>
      <w:tr w:rsidR="00790A23" w:rsidRPr="006076CA" w:rsidTr="003D1396">
        <w:tc>
          <w:tcPr>
            <w:tcW w:w="8342" w:type="dxa"/>
            <w:gridSpan w:val="2"/>
            <w:shd w:val="clear" w:color="auto" w:fill="auto"/>
          </w:tcPr>
          <w:p w:rsidR="00790A23" w:rsidRPr="006076CA" w:rsidRDefault="00790A23" w:rsidP="00C04F66">
            <w:pPr>
              <w:pStyle w:val="Odstavekseznama"/>
              <w:ind w:left="0"/>
              <w:rPr>
                <w:sz w:val="20"/>
                <w:szCs w:val="20"/>
              </w:rPr>
            </w:pPr>
            <w:r w:rsidRPr="006076CA">
              <w:rPr>
                <w:sz w:val="20"/>
                <w:szCs w:val="20"/>
              </w:rPr>
              <w:t>Stroški v postopku</w:t>
            </w:r>
            <w:r>
              <w:rPr>
                <w:sz w:val="20"/>
                <w:szCs w:val="20"/>
              </w:rPr>
              <w:t xml:space="preserve"> niso nastali.</w:t>
            </w:r>
          </w:p>
        </w:tc>
      </w:tr>
    </w:tbl>
    <w:p w:rsidR="00710A7F" w:rsidRPr="006076CA" w:rsidRDefault="00710A7F" w:rsidP="00710A7F">
      <w:pPr>
        <w:pStyle w:val="Odstavekseznama"/>
        <w:rPr>
          <w:sz w:val="20"/>
          <w:szCs w:val="20"/>
        </w:rPr>
      </w:pPr>
    </w:p>
    <w:p w:rsidR="00157260" w:rsidRPr="006076CA" w:rsidRDefault="00157260" w:rsidP="00710A7F">
      <w:pPr>
        <w:pStyle w:val="Odstavekseznama"/>
        <w:rPr>
          <w:sz w:val="20"/>
          <w:szCs w:val="20"/>
        </w:rPr>
      </w:pPr>
    </w:p>
    <w:tbl>
      <w:tblPr>
        <w:tblStyle w:val="Tabelamrea"/>
        <w:tblW w:w="0" w:type="auto"/>
        <w:tblInd w:w="-5" w:type="dxa"/>
        <w:tblLook w:val="04A0" w:firstRow="1" w:lastRow="0" w:firstColumn="1" w:lastColumn="0" w:noHBand="0" w:noVBand="1"/>
      </w:tblPr>
      <w:tblGrid>
        <w:gridCol w:w="520"/>
        <w:gridCol w:w="7822"/>
      </w:tblGrid>
      <w:tr w:rsidR="00157260" w:rsidRPr="006076CA" w:rsidTr="00E84CDC">
        <w:trPr>
          <w:gridAfter w:val="1"/>
          <w:wAfter w:w="7822" w:type="dxa"/>
          <w:trHeight w:val="374"/>
        </w:trPr>
        <w:tc>
          <w:tcPr>
            <w:tcW w:w="520" w:type="dxa"/>
          </w:tcPr>
          <w:p w:rsidR="00157260" w:rsidRPr="006076CA" w:rsidRDefault="00157260" w:rsidP="00710A7F">
            <w:pPr>
              <w:pStyle w:val="Odstavekseznama"/>
              <w:ind w:left="0"/>
              <w:rPr>
                <w:sz w:val="20"/>
                <w:szCs w:val="20"/>
              </w:rPr>
            </w:pPr>
          </w:p>
        </w:tc>
      </w:tr>
      <w:tr w:rsidR="00157260" w:rsidRPr="006076CA" w:rsidTr="00E84CDC">
        <w:tc>
          <w:tcPr>
            <w:tcW w:w="8342" w:type="dxa"/>
            <w:gridSpan w:val="2"/>
          </w:tcPr>
          <w:p w:rsidR="00157260" w:rsidRPr="006076CA" w:rsidRDefault="00157260" w:rsidP="003A0B8F">
            <w:pPr>
              <w:pStyle w:val="Odstavekseznama"/>
              <w:ind w:left="0"/>
              <w:rPr>
                <w:sz w:val="20"/>
                <w:szCs w:val="20"/>
              </w:rPr>
            </w:pPr>
            <w:r w:rsidRPr="006076CA">
              <w:rPr>
                <w:sz w:val="20"/>
                <w:szCs w:val="20"/>
              </w:rPr>
              <w:t xml:space="preserve">Tujcu se ne določi rok za </w:t>
            </w:r>
            <w:r w:rsidR="003A0B8F" w:rsidRPr="006076CA">
              <w:rPr>
                <w:sz w:val="20"/>
                <w:szCs w:val="20"/>
              </w:rPr>
              <w:t>prostovoljni odhod.</w:t>
            </w:r>
          </w:p>
        </w:tc>
      </w:tr>
      <w:tr w:rsidR="00157260" w:rsidRPr="006076CA" w:rsidTr="00E84CDC">
        <w:tc>
          <w:tcPr>
            <w:tcW w:w="8342" w:type="dxa"/>
            <w:gridSpan w:val="2"/>
          </w:tcPr>
          <w:p w:rsidR="00157260" w:rsidRPr="006076CA" w:rsidRDefault="003A0B8F" w:rsidP="003A0B8F">
            <w:pPr>
              <w:pStyle w:val="Odstavekseznama"/>
              <w:ind w:left="0"/>
              <w:rPr>
                <w:sz w:val="20"/>
                <w:szCs w:val="20"/>
              </w:rPr>
            </w:pPr>
            <w:r w:rsidRPr="006076CA">
              <w:rPr>
                <w:sz w:val="20"/>
                <w:szCs w:val="20"/>
              </w:rPr>
              <w:t>Tujca se odstrani iz Republike Slovenije, območja držav članic Evropske unije in območja držav, pogodbenic Konvencije o izvajanju schengenskega sporazuma z dne 14. junija 1985.</w:t>
            </w:r>
          </w:p>
        </w:tc>
      </w:tr>
      <w:tr w:rsidR="00157260" w:rsidRPr="006076CA" w:rsidTr="00E84CDC">
        <w:tc>
          <w:tcPr>
            <w:tcW w:w="8342" w:type="dxa"/>
            <w:gridSpan w:val="2"/>
          </w:tcPr>
          <w:p w:rsidR="00157260" w:rsidRPr="006076CA" w:rsidRDefault="00157260" w:rsidP="00157260">
            <w:pPr>
              <w:pStyle w:val="Odstavekseznama"/>
              <w:ind w:left="0"/>
              <w:rPr>
                <w:sz w:val="20"/>
                <w:szCs w:val="20"/>
              </w:rPr>
            </w:pPr>
            <w:r w:rsidRPr="006076CA">
              <w:rPr>
                <w:sz w:val="20"/>
                <w:szCs w:val="20"/>
              </w:rPr>
              <w:t>Tujcu se določi prepoved vstopa</w:t>
            </w:r>
            <w:r w:rsidR="00E84CDC" w:rsidRPr="006076CA">
              <w:rPr>
                <w:sz w:val="20"/>
                <w:szCs w:val="20"/>
              </w:rPr>
              <w:t>, in sicer:</w:t>
            </w:r>
          </w:p>
        </w:tc>
      </w:tr>
      <w:tr w:rsidR="00E84CDC" w:rsidRPr="006076CA" w:rsidTr="00E84CDC">
        <w:tc>
          <w:tcPr>
            <w:tcW w:w="520" w:type="dxa"/>
          </w:tcPr>
          <w:p w:rsidR="00E84CDC" w:rsidRPr="006076CA" w:rsidRDefault="00E84CDC" w:rsidP="00157260">
            <w:pPr>
              <w:pStyle w:val="Odstavekseznama"/>
              <w:ind w:left="0"/>
              <w:rPr>
                <w:sz w:val="20"/>
                <w:szCs w:val="20"/>
              </w:rPr>
            </w:pPr>
          </w:p>
        </w:tc>
        <w:tc>
          <w:tcPr>
            <w:tcW w:w="7822" w:type="dxa"/>
          </w:tcPr>
          <w:p w:rsidR="00E84CDC" w:rsidRPr="006076CA" w:rsidRDefault="003A0B8F" w:rsidP="003A0B8F">
            <w:pPr>
              <w:pStyle w:val="Odstavekseznama"/>
              <w:ind w:left="0"/>
              <w:rPr>
                <w:sz w:val="20"/>
                <w:szCs w:val="20"/>
              </w:rPr>
            </w:pPr>
            <w:r w:rsidRPr="006076CA">
              <w:rPr>
                <w:sz w:val="20"/>
                <w:szCs w:val="20"/>
              </w:rPr>
              <w:t xml:space="preserve">za obdobje </w:t>
            </w:r>
            <w:r w:rsidRPr="006076CA">
              <w:rPr>
                <w:b/>
                <w:sz w:val="20"/>
                <w:szCs w:val="20"/>
              </w:rPr>
              <w:t>dveh</w:t>
            </w:r>
            <w:r w:rsidRPr="006076CA">
              <w:rPr>
                <w:sz w:val="20"/>
                <w:szCs w:val="20"/>
              </w:rPr>
              <w:t xml:space="preserve"> let.</w:t>
            </w:r>
          </w:p>
        </w:tc>
      </w:tr>
      <w:tr w:rsidR="00E84CDC" w:rsidRPr="006076CA" w:rsidTr="00E84CDC">
        <w:tc>
          <w:tcPr>
            <w:tcW w:w="520" w:type="dxa"/>
          </w:tcPr>
          <w:p w:rsidR="00E84CDC" w:rsidRPr="006076CA" w:rsidRDefault="00E84CDC" w:rsidP="00157260">
            <w:pPr>
              <w:pStyle w:val="Odstavekseznama"/>
              <w:ind w:left="0"/>
              <w:rPr>
                <w:sz w:val="20"/>
                <w:szCs w:val="20"/>
              </w:rPr>
            </w:pPr>
          </w:p>
        </w:tc>
        <w:tc>
          <w:tcPr>
            <w:tcW w:w="7822" w:type="dxa"/>
          </w:tcPr>
          <w:p w:rsidR="00E84CDC" w:rsidRPr="006076CA" w:rsidRDefault="003A0B8F" w:rsidP="003A0B8F">
            <w:pPr>
              <w:pStyle w:val="Odstavekseznama"/>
              <w:ind w:left="0"/>
              <w:rPr>
                <w:sz w:val="20"/>
                <w:szCs w:val="20"/>
              </w:rPr>
            </w:pPr>
            <w:r w:rsidRPr="006076CA">
              <w:rPr>
                <w:sz w:val="20"/>
                <w:szCs w:val="20"/>
              </w:rPr>
              <w:t>z</w:t>
            </w:r>
            <w:r w:rsidR="00E84CDC" w:rsidRPr="006076CA">
              <w:rPr>
                <w:sz w:val="20"/>
                <w:szCs w:val="20"/>
              </w:rPr>
              <w:t xml:space="preserve">a obdobje </w:t>
            </w:r>
            <w:r w:rsidR="00E84CDC" w:rsidRPr="006076CA">
              <w:rPr>
                <w:b/>
                <w:sz w:val="20"/>
                <w:szCs w:val="20"/>
              </w:rPr>
              <w:t>treh</w:t>
            </w:r>
            <w:r w:rsidR="00E84CDC" w:rsidRPr="006076CA">
              <w:rPr>
                <w:sz w:val="20"/>
                <w:szCs w:val="20"/>
              </w:rPr>
              <w:t xml:space="preserve"> let</w:t>
            </w:r>
            <w:r w:rsidRPr="006076CA">
              <w:rPr>
                <w:sz w:val="20"/>
                <w:szCs w:val="20"/>
              </w:rPr>
              <w:t>.</w:t>
            </w:r>
            <w:r w:rsidR="00E84CDC" w:rsidRPr="006076CA">
              <w:rPr>
                <w:sz w:val="20"/>
                <w:szCs w:val="20"/>
              </w:rPr>
              <w:t xml:space="preserve"> </w:t>
            </w:r>
          </w:p>
        </w:tc>
      </w:tr>
      <w:tr w:rsidR="00E84CDC" w:rsidRPr="006076CA" w:rsidTr="00E84CDC">
        <w:tc>
          <w:tcPr>
            <w:tcW w:w="520" w:type="dxa"/>
          </w:tcPr>
          <w:p w:rsidR="00E84CDC" w:rsidRPr="006076CA" w:rsidRDefault="00E84CDC" w:rsidP="00157260">
            <w:pPr>
              <w:pStyle w:val="Odstavekseznama"/>
              <w:ind w:left="0"/>
              <w:rPr>
                <w:sz w:val="20"/>
                <w:szCs w:val="20"/>
              </w:rPr>
            </w:pPr>
          </w:p>
        </w:tc>
        <w:tc>
          <w:tcPr>
            <w:tcW w:w="7822" w:type="dxa"/>
          </w:tcPr>
          <w:p w:rsidR="00E84CDC" w:rsidRPr="006076CA" w:rsidRDefault="003A0B8F" w:rsidP="003A0B8F">
            <w:pPr>
              <w:pStyle w:val="Odstavekseznama"/>
              <w:ind w:left="0"/>
              <w:rPr>
                <w:sz w:val="20"/>
                <w:szCs w:val="20"/>
              </w:rPr>
            </w:pPr>
            <w:r w:rsidRPr="006076CA">
              <w:rPr>
                <w:sz w:val="20"/>
                <w:szCs w:val="20"/>
              </w:rPr>
              <w:t>z</w:t>
            </w:r>
            <w:r w:rsidR="00E84CDC" w:rsidRPr="006076CA">
              <w:rPr>
                <w:sz w:val="20"/>
                <w:szCs w:val="20"/>
              </w:rPr>
              <w:t xml:space="preserve">a obdobje </w:t>
            </w:r>
            <w:r w:rsidR="00E84CDC" w:rsidRPr="006076CA">
              <w:rPr>
                <w:b/>
                <w:sz w:val="20"/>
                <w:szCs w:val="20"/>
              </w:rPr>
              <w:t>petih</w:t>
            </w:r>
            <w:r w:rsidR="00E84CDC" w:rsidRPr="006076CA">
              <w:rPr>
                <w:sz w:val="20"/>
                <w:szCs w:val="20"/>
              </w:rPr>
              <w:t xml:space="preserve"> let</w:t>
            </w:r>
            <w:r w:rsidRPr="006076CA">
              <w:rPr>
                <w:sz w:val="20"/>
                <w:szCs w:val="20"/>
              </w:rPr>
              <w:t>.</w:t>
            </w:r>
          </w:p>
        </w:tc>
      </w:tr>
      <w:tr w:rsidR="00790A23" w:rsidRPr="006076CA" w:rsidTr="00A971B0">
        <w:tc>
          <w:tcPr>
            <w:tcW w:w="8342" w:type="dxa"/>
            <w:gridSpan w:val="2"/>
          </w:tcPr>
          <w:p w:rsidR="00790A23" w:rsidRPr="006076CA" w:rsidRDefault="00790A23" w:rsidP="00DC1D39">
            <w:pPr>
              <w:pStyle w:val="Odstavekseznama"/>
              <w:ind w:left="0"/>
              <w:rPr>
                <w:sz w:val="20"/>
                <w:szCs w:val="20"/>
              </w:rPr>
            </w:pPr>
            <w:r w:rsidRPr="006076CA">
              <w:rPr>
                <w:sz w:val="20"/>
                <w:szCs w:val="20"/>
              </w:rPr>
              <w:t>Stroški v postopku</w:t>
            </w:r>
            <w:r>
              <w:rPr>
                <w:sz w:val="20"/>
                <w:szCs w:val="20"/>
              </w:rPr>
              <w:t xml:space="preserve"> niso nastali.</w:t>
            </w:r>
          </w:p>
        </w:tc>
      </w:tr>
    </w:tbl>
    <w:p w:rsidR="006076CA" w:rsidRDefault="006076CA" w:rsidP="006076CA">
      <w:pPr>
        <w:rPr>
          <w:sz w:val="20"/>
          <w:szCs w:val="20"/>
        </w:rPr>
      </w:pPr>
    </w:p>
    <w:p w:rsidR="006076CA" w:rsidRPr="006076CA" w:rsidRDefault="006076CA" w:rsidP="006076CA">
      <w:pPr>
        <w:rPr>
          <w:sz w:val="20"/>
          <w:szCs w:val="20"/>
        </w:rPr>
      </w:pPr>
    </w:p>
    <w:p w:rsidR="00EA251F" w:rsidRPr="006076CA" w:rsidRDefault="00EA251F" w:rsidP="00EA251F">
      <w:pPr>
        <w:pStyle w:val="Odstavekseznama"/>
        <w:numPr>
          <w:ilvl w:val="0"/>
          <w:numId w:val="1"/>
        </w:numPr>
        <w:rPr>
          <w:sz w:val="20"/>
          <w:szCs w:val="20"/>
        </w:rPr>
      </w:pPr>
      <w:r w:rsidRPr="006076CA">
        <w:rPr>
          <w:sz w:val="20"/>
          <w:szCs w:val="20"/>
        </w:rPr>
        <w:lastRenderedPageBreak/>
        <w:t>Obrazložitev</w:t>
      </w:r>
    </w:p>
    <w:p w:rsidR="00EA251F" w:rsidRPr="006076CA" w:rsidRDefault="00EA251F" w:rsidP="00EA251F">
      <w:pPr>
        <w:pStyle w:val="Odstavekseznama"/>
        <w:rPr>
          <w:sz w:val="20"/>
          <w:szCs w:val="20"/>
        </w:rPr>
      </w:pPr>
    </w:p>
    <w:p w:rsidR="00EA251F" w:rsidRPr="006076CA" w:rsidRDefault="00E53A27" w:rsidP="00BC2066">
      <w:pPr>
        <w:pStyle w:val="Odstavekseznama"/>
        <w:numPr>
          <w:ilvl w:val="0"/>
          <w:numId w:val="3"/>
        </w:numPr>
        <w:rPr>
          <w:sz w:val="20"/>
          <w:szCs w:val="20"/>
        </w:rPr>
      </w:pPr>
      <w:r>
        <w:rPr>
          <w:sz w:val="20"/>
          <w:szCs w:val="20"/>
        </w:rPr>
        <w:t xml:space="preserve">Na podlagi določil 60. člena Zakona o tujcih je bilo ugotovljeno, da tujec </w:t>
      </w:r>
      <w:r w:rsidR="00EA251F" w:rsidRPr="006076CA">
        <w:rPr>
          <w:sz w:val="20"/>
          <w:szCs w:val="20"/>
        </w:rPr>
        <w:t>nezakonito prebiva v Republiki Sloveniji, ker:</w:t>
      </w:r>
    </w:p>
    <w:tbl>
      <w:tblPr>
        <w:tblStyle w:val="Tabelamrea"/>
        <w:tblW w:w="9067" w:type="dxa"/>
        <w:tblLook w:val="04A0" w:firstRow="1" w:lastRow="0" w:firstColumn="1" w:lastColumn="0" w:noHBand="0" w:noVBand="1"/>
      </w:tblPr>
      <w:tblGrid>
        <w:gridCol w:w="421"/>
        <w:gridCol w:w="8646"/>
      </w:tblGrid>
      <w:tr w:rsidR="00EA251F" w:rsidRPr="006076CA" w:rsidTr="00E84CDC">
        <w:tc>
          <w:tcPr>
            <w:tcW w:w="421" w:type="dxa"/>
          </w:tcPr>
          <w:p w:rsidR="00EA251F" w:rsidRPr="006076CA" w:rsidRDefault="00EA251F" w:rsidP="00DC1D39">
            <w:pPr>
              <w:spacing w:line="260" w:lineRule="exact"/>
              <w:jc w:val="both"/>
              <w:rPr>
                <w:sz w:val="20"/>
                <w:szCs w:val="20"/>
              </w:rPr>
            </w:pPr>
          </w:p>
        </w:tc>
        <w:tc>
          <w:tcPr>
            <w:tcW w:w="8646" w:type="dxa"/>
          </w:tcPr>
          <w:p w:rsidR="00EA251F" w:rsidRPr="006076CA" w:rsidRDefault="00EA251F" w:rsidP="00DC1D39">
            <w:pPr>
              <w:spacing w:line="260" w:lineRule="exact"/>
              <w:jc w:val="both"/>
              <w:rPr>
                <w:sz w:val="20"/>
                <w:szCs w:val="20"/>
              </w:rPr>
            </w:pPr>
            <w:r w:rsidRPr="006076CA">
              <w:rPr>
                <w:sz w:val="20"/>
                <w:szCs w:val="20"/>
              </w:rPr>
              <w:t>je nedovoljeno vstopil</w:t>
            </w:r>
            <w:r w:rsidR="003A0B8F" w:rsidRPr="006076CA">
              <w:rPr>
                <w:sz w:val="20"/>
                <w:szCs w:val="20"/>
              </w:rPr>
              <w:t>.</w:t>
            </w:r>
          </w:p>
        </w:tc>
      </w:tr>
      <w:tr w:rsidR="00EA251F" w:rsidRPr="006076CA" w:rsidTr="00E84CDC">
        <w:tc>
          <w:tcPr>
            <w:tcW w:w="421" w:type="dxa"/>
          </w:tcPr>
          <w:p w:rsidR="00EA251F" w:rsidRPr="006076CA" w:rsidRDefault="00EA251F" w:rsidP="00DC1D39">
            <w:pPr>
              <w:spacing w:line="260" w:lineRule="exact"/>
              <w:jc w:val="both"/>
              <w:rPr>
                <w:sz w:val="20"/>
                <w:szCs w:val="20"/>
              </w:rPr>
            </w:pPr>
          </w:p>
        </w:tc>
        <w:tc>
          <w:tcPr>
            <w:tcW w:w="8646" w:type="dxa"/>
          </w:tcPr>
          <w:p w:rsidR="00EA251F" w:rsidRPr="006076CA" w:rsidRDefault="00EA251F" w:rsidP="00DC1D39">
            <w:pPr>
              <w:spacing w:line="260" w:lineRule="exact"/>
              <w:jc w:val="both"/>
              <w:rPr>
                <w:sz w:val="20"/>
                <w:szCs w:val="20"/>
              </w:rPr>
            </w:pPr>
            <w:r w:rsidRPr="006076CA">
              <w:rPr>
                <w:sz w:val="20"/>
                <w:szCs w:val="20"/>
              </w:rPr>
              <w:t>nima vizuma ali je vizum prenehal</w:t>
            </w:r>
            <w:r w:rsidR="003A0B8F" w:rsidRPr="006076CA">
              <w:rPr>
                <w:sz w:val="20"/>
                <w:szCs w:val="20"/>
              </w:rPr>
              <w:t>.</w:t>
            </w:r>
          </w:p>
        </w:tc>
      </w:tr>
      <w:tr w:rsidR="00EA251F" w:rsidRPr="006076CA" w:rsidTr="00E84CDC">
        <w:tc>
          <w:tcPr>
            <w:tcW w:w="421" w:type="dxa"/>
          </w:tcPr>
          <w:p w:rsidR="00EA251F" w:rsidRPr="006076CA" w:rsidRDefault="00EA251F" w:rsidP="00DC1D39">
            <w:pPr>
              <w:spacing w:line="260" w:lineRule="exact"/>
              <w:jc w:val="both"/>
              <w:rPr>
                <w:sz w:val="20"/>
                <w:szCs w:val="20"/>
              </w:rPr>
            </w:pPr>
          </w:p>
        </w:tc>
        <w:tc>
          <w:tcPr>
            <w:tcW w:w="8646" w:type="dxa"/>
          </w:tcPr>
          <w:p w:rsidR="00EA251F" w:rsidRPr="006076CA" w:rsidRDefault="00EA251F" w:rsidP="00DC1D39">
            <w:pPr>
              <w:spacing w:line="260" w:lineRule="exact"/>
              <w:jc w:val="both"/>
              <w:rPr>
                <w:sz w:val="20"/>
                <w:szCs w:val="20"/>
              </w:rPr>
            </w:pPr>
            <w:r w:rsidRPr="006076CA">
              <w:rPr>
                <w:sz w:val="20"/>
                <w:szCs w:val="20"/>
              </w:rPr>
              <w:t>nima dovoljenja za prebivanje v Republiki Sloveniji ali je dovoljenje  prenehalo</w:t>
            </w:r>
            <w:r w:rsidR="003A0B8F" w:rsidRPr="006076CA">
              <w:rPr>
                <w:sz w:val="20"/>
                <w:szCs w:val="20"/>
              </w:rPr>
              <w:t>.</w:t>
            </w:r>
          </w:p>
        </w:tc>
      </w:tr>
      <w:tr w:rsidR="00EA251F" w:rsidRPr="006076CA" w:rsidTr="00E84CDC">
        <w:tc>
          <w:tcPr>
            <w:tcW w:w="421" w:type="dxa"/>
          </w:tcPr>
          <w:p w:rsidR="00EA251F" w:rsidRPr="006076CA" w:rsidRDefault="00EA251F" w:rsidP="00DC1D39">
            <w:pPr>
              <w:spacing w:line="260" w:lineRule="exact"/>
              <w:jc w:val="both"/>
              <w:rPr>
                <w:sz w:val="20"/>
                <w:szCs w:val="20"/>
              </w:rPr>
            </w:pPr>
          </w:p>
        </w:tc>
        <w:tc>
          <w:tcPr>
            <w:tcW w:w="8646" w:type="dxa"/>
          </w:tcPr>
          <w:p w:rsidR="00EA251F" w:rsidRPr="006076CA" w:rsidRDefault="00EA251F" w:rsidP="00DC1D39">
            <w:pPr>
              <w:spacing w:line="260" w:lineRule="exact"/>
              <w:jc w:val="both"/>
              <w:rPr>
                <w:sz w:val="20"/>
                <w:szCs w:val="20"/>
              </w:rPr>
            </w:pPr>
            <w:r w:rsidRPr="006076CA">
              <w:rPr>
                <w:sz w:val="20"/>
                <w:szCs w:val="20"/>
              </w:rPr>
              <w:t>nima veljavne potne listine ali je le ta prenehala veljati</w:t>
            </w:r>
            <w:r w:rsidR="003A0B8F" w:rsidRPr="006076CA">
              <w:rPr>
                <w:sz w:val="20"/>
                <w:szCs w:val="20"/>
              </w:rPr>
              <w:t>.</w:t>
            </w:r>
          </w:p>
        </w:tc>
      </w:tr>
      <w:tr w:rsidR="00EA251F" w:rsidRPr="006076CA" w:rsidTr="00E84CDC">
        <w:tc>
          <w:tcPr>
            <w:tcW w:w="421" w:type="dxa"/>
          </w:tcPr>
          <w:p w:rsidR="00EA251F" w:rsidRPr="006076CA" w:rsidRDefault="00EA251F" w:rsidP="00DC1D39">
            <w:pPr>
              <w:spacing w:line="260" w:lineRule="exact"/>
              <w:jc w:val="both"/>
              <w:rPr>
                <w:sz w:val="20"/>
                <w:szCs w:val="20"/>
              </w:rPr>
            </w:pPr>
          </w:p>
        </w:tc>
        <w:tc>
          <w:tcPr>
            <w:tcW w:w="8646" w:type="dxa"/>
          </w:tcPr>
          <w:p w:rsidR="00EA251F" w:rsidRPr="006076CA" w:rsidRDefault="00EA251F" w:rsidP="00DC1D39">
            <w:pPr>
              <w:spacing w:line="260" w:lineRule="exact"/>
              <w:jc w:val="both"/>
              <w:rPr>
                <w:sz w:val="20"/>
                <w:szCs w:val="20"/>
              </w:rPr>
            </w:pPr>
            <w:r w:rsidRPr="006076CA">
              <w:rPr>
                <w:sz w:val="20"/>
                <w:szCs w:val="20"/>
              </w:rPr>
              <w:t>mu je potekel čas, ko je na podlagi zakona ali mednarodne pogodbe lahko v Republiki Sloveniji oziroma ne zapusti države ali območja držav pogodbenic Konvencije o izvajanju schengenskega sporazuma z dne 14. junija 1985 v roku, za katerega mu je prebivanje d</w:t>
            </w:r>
            <w:r w:rsidR="003A0B8F" w:rsidRPr="006076CA">
              <w:rPr>
                <w:sz w:val="20"/>
                <w:szCs w:val="20"/>
              </w:rPr>
              <w:t>ovoljeno.</w:t>
            </w:r>
          </w:p>
        </w:tc>
      </w:tr>
      <w:tr w:rsidR="00EA251F" w:rsidRPr="006076CA" w:rsidTr="00E84CDC">
        <w:tc>
          <w:tcPr>
            <w:tcW w:w="421" w:type="dxa"/>
          </w:tcPr>
          <w:p w:rsidR="00EA251F" w:rsidRPr="006076CA" w:rsidRDefault="00EA251F" w:rsidP="00DC1D39">
            <w:pPr>
              <w:pStyle w:val="Odstavekseznama"/>
              <w:ind w:left="0"/>
              <w:rPr>
                <w:sz w:val="20"/>
                <w:szCs w:val="20"/>
              </w:rPr>
            </w:pPr>
          </w:p>
        </w:tc>
        <w:tc>
          <w:tcPr>
            <w:tcW w:w="8646" w:type="dxa"/>
          </w:tcPr>
          <w:p w:rsidR="00EA251F" w:rsidRPr="006076CA" w:rsidRDefault="00EA251F" w:rsidP="00DC1D39">
            <w:pPr>
              <w:pStyle w:val="Odstavekseznama"/>
              <w:ind w:left="0"/>
              <w:rPr>
                <w:sz w:val="20"/>
                <w:szCs w:val="20"/>
              </w:rPr>
            </w:pPr>
            <w:r w:rsidRPr="006076CA">
              <w:rPr>
                <w:sz w:val="20"/>
                <w:szCs w:val="20"/>
              </w:rPr>
              <w:t>prebiva v Republiki Sloveniji v nasprotju z vstopnim naslovom</w:t>
            </w:r>
            <w:r w:rsidR="003A0B8F" w:rsidRPr="006076CA">
              <w:rPr>
                <w:sz w:val="20"/>
                <w:szCs w:val="20"/>
              </w:rPr>
              <w:t>.</w:t>
            </w:r>
          </w:p>
        </w:tc>
      </w:tr>
      <w:tr w:rsidR="00293D57" w:rsidRPr="006076CA" w:rsidTr="00DC1D39">
        <w:tc>
          <w:tcPr>
            <w:tcW w:w="9067" w:type="dxa"/>
            <w:gridSpan w:val="2"/>
          </w:tcPr>
          <w:p w:rsidR="00293D57" w:rsidRPr="006076CA" w:rsidRDefault="00293D57" w:rsidP="00293D57">
            <w:pPr>
              <w:pStyle w:val="Odstavekseznama"/>
              <w:ind w:left="0"/>
              <w:rPr>
                <w:sz w:val="20"/>
                <w:szCs w:val="20"/>
              </w:rPr>
            </w:pPr>
          </w:p>
          <w:p w:rsidR="00293D57" w:rsidRPr="006076CA" w:rsidRDefault="00293D57" w:rsidP="00293D57">
            <w:pPr>
              <w:pStyle w:val="Odstavekseznama"/>
              <w:ind w:left="0"/>
              <w:rPr>
                <w:sz w:val="20"/>
                <w:szCs w:val="20"/>
              </w:rPr>
            </w:pPr>
            <w:r w:rsidRPr="006076CA">
              <w:rPr>
                <w:sz w:val="20"/>
                <w:szCs w:val="20"/>
              </w:rPr>
              <w:t xml:space="preserve">Obrazložitev </w:t>
            </w:r>
          </w:p>
          <w:p w:rsidR="00293D57" w:rsidRPr="006076CA" w:rsidRDefault="00293D57" w:rsidP="00DC1D39">
            <w:pPr>
              <w:pStyle w:val="Odstavekseznama"/>
              <w:ind w:left="0"/>
              <w:rPr>
                <w:sz w:val="20"/>
                <w:szCs w:val="20"/>
              </w:rPr>
            </w:pPr>
          </w:p>
          <w:p w:rsidR="00293D57" w:rsidRPr="006076CA" w:rsidRDefault="00293D57" w:rsidP="00DC1D39">
            <w:pPr>
              <w:pStyle w:val="Odstavekseznama"/>
              <w:ind w:left="0"/>
              <w:rPr>
                <w:sz w:val="20"/>
                <w:szCs w:val="20"/>
              </w:rPr>
            </w:pPr>
          </w:p>
          <w:p w:rsidR="00293D57" w:rsidRPr="006076CA" w:rsidRDefault="00293D57" w:rsidP="00DC1D39">
            <w:pPr>
              <w:pStyle w:val="Odstavekseznama"/>
              <w:ind w:left="0"/>
              <w:rPr>
                <w:sz w:val="20"/>
                <w:szCs w:val="20"/>
              </w:rPr>
            </w:pPr>
          </w:p>
          <w:p w:rsidR="00293D57" w:rsidRPr="006076CA" w:rsidRDefault="00293D57" w:rsidP="00DC1D39">
            <w:pPr>
              <w:pStyle w:val="Odstavekseznama"/>
              <w:ind w:left="0"/>
              <w:rPr>
                <w:sz w:val="20"/>
                <w:szCs w:val="20"/>
              </w:rPr>
            </w:pPr>
          </w:p>
          <w:p w:rsidR="00293D57" w:rsidRPr="006076CA" w:rsidRDefault="00293D57" w:rsidP="00DC1D39">
            <w:pPr>
              <w:pStyle w:val="Odstavekseznama"/>
              <w:ind w:left="0"/>
              <w:rPr>
                <w:sz w:val="20"/>
                <w:szCs w:val="20"/>
              </w:rPr>
            </w:pPr>
          </w:p>
          <w:p w:rsidR="00293D57" w:rsidRPr="006076CA" w:rsidRDefault="00293D57" w:rsidP="00DC1D39">
            <w:pPr>
              <w:pStyle w:val="Odstavekseznama"/>
              <w:ind w:left="0"/>
              <w:rPr>
                <w:sz w:val="20"/>
                <w:szCs w:val="20"/>
              </w:rPr>
            </w:pPr>
          </w:p>
          <w:p w:rsidR="00293D57" w:rsidRPr="006076CA" w:rsidRDefault="00293D57" w:rsidP="00DC1D39">
            <w:pPr>
              <w:pStyle w:val="Odstavekseznama"/>
              <w:ind w:left="0"/>
              <w:rPr>
                <w:sz w:val="20"/>
                <w:szCs w:val="20"/>
              </w:rPr>
            </w:pPr>
          </w:p>
          <w:p w:rsidR="00293D57" w:rsidRPr="006076CA" w:rsidRDefault="00293D57" w:rsidP="00DC1D39">
            <w:pPr>
              <w:pStyle w:val="Odstavekseznama"/>
              <w:ind w:left="0"/>
              <w:rPr>
                <w:sz w:val="20"/>
                <w:szCs w:val="20"/>
              </w:rPr>
            </w:pPr>
          </w:p>
          <w:p w:rsidR="00293D57" w:rsidRPr="006076CA" w:rsidRDefault="00293D57" w:rsidP="00DC1D39">
            <w:pPr>
              <w:pStyle w:val="Odstavekseznama"/>
              <w:ind w:left="0"/>
              <w:rPr>
                <w:sz w:val="20"/>
                <w:szCs w:val="20"/>
              </w:rPr>
            </w:pPr>
          </w:p>
          <w:p w:rsidR="00293D57" w:rsidRPr="006076CA" w:rsidRDefault="00293D57" w:rsidP="00DC1D39">
            <w:pPr>
              <w:pStyle w:val="Odstavekseznama"/>
              <w:ind w:left="0"/>
              <w:rPr>
                <w:sz w:val="20"/>
                <w:szCs w:val="20"/>
              </w:rPr>
            </w:pPr>
          </w:p>
        </w:tc>
      </w:tr>
    </w:tbl>
    <w:p w:rsidR="00EA251F" w:rsidRPr="006076CA" w:rsidRDefault="00EA251F" w:rsidP="00EA251F">
      <w:pPr>
        <w:pStyle w:val="Odstavekseznama"/>
        <w:ind w:left="0"/>
        <w:rPr>
          <w:sz w:val="20"/>
          <w:szCs w:val="20"/>
        </w:rPr>
      </w:pPr>
    </w:p>
    <w:p w:rsidR="00CD7DCF" w:rsidRPr="006076CA" w:rsidRDefault="00CD7DCF" w:rsidP="00CD7DCF">
      <w:pPr>
        <w:pStyle w:val="Odstavekseznama"/>
        <w:numPr>
          <w:ilvl w:val="0"/>
          <w:numId w:val="3"/>
        </w:numPr>
        <w:rPr>
          <w:sz w:val="20"/>
          <w:szCs w:val="20"/>
        </w:rPr>
      </w:pPr>
      <w:r w:rsidRPr="006076CA">
        <w:rPr>
          <w:sz w:val="20"/>
          <w:szCs w:val="20"/>
        </w:rPr>
        <w:t>Tujec ____ je  ____ ni v postopku izdaje odločbe podal svojo izjavo:</w:t>
      </w:r>
    </w:p>
    <w:tbl>
      <w:tblPr>
        <w:tblStyle w:val="Tabelamrea"/>
        <w:tblW w:w="0" w:type="auto"/>
        <w:tblLook w:val="04A0" w:firstRow="1" w:lastRow="0" w:firstColumn="1" w:lastColumn="0" w:noHBand="0" w:noVBand="1"/>
      </w:tblPr>
      <w:tblGrid>
        <w:gridCol w:w="9062"/>
      </w:tblGrid>
      <w:tr w:rsidR="00CD7DCF" w:rsidRPr="006076CA" w:rsidTr="00CD7DCF">
        <w:tc>
          <w:tcPr>
            <w:tcW w:w="9062" w:type="dxa"/>
          </w:tcPr>
          <w:p w:rsidR="00CD7DCF" w:rsidRPr="006076CA" w:rsidRDefault="00CD7DCF" w:rsidP="00CD7DCF">
            <w:pPr>
              <w:rPr>
                <w:sz w:val="20"/>
                <w:szCs w:val="20"/>
              </w:rPr>
            </w:pPr>
          </w:p>
          <w:p w:rsidR="00CD7DCF" w:rsidRPr="006076CA" w:rsidRDefault="00CD7DCF" w:rsidP="00CD7DCF">
            <w:pPr>
              <w:rPr>
                <w:sz w:val="20"/>
                <w:szCs w:val="20"/>
              </w:rPr>
            </w:pPr>
            <w:r w:rsidRPr="006076CA">
              <w:rPr>
                <w:sz w:val="20"/>
                <w:szCs w:val="20"/>
              </w:rPr>
              <w:t>Vsebina</w:t>
            </w:r>
          </w:p>
          <w:p w:rsidR="00CD7DCF" w:rsidRPr="006076CA" w:rsidRDefault="00CD7DCF" w:rsidP="00CD7DCF">
            <w:pPr>
              <w:rPr>
                <w:sz w:val="20"/>
                <w:szCs w:val="20"/>
              </w:rPr>
            </w:pPr>
          </w:p>
          <w:p w:rsidR="00CD7DCF" w:rsidRPr="006076CA" w:rsidRDefault="00CD7DCF" w:rsidP="00CD7DCF">
            <w:pPr>
              <w:rPr>
                <w:sz w:val="20"/>
                <w:szCs w:val="20"/>
              </w:rPr>
            </w:pPr>
          </w:p>
          <w:p w:rsidR="00CD7DCF" w:rsidRPr="006076CA" w:rsidRDefault="00CD7DCF" w:rsidP="00CD7DCF">
            <w:pPr>
              <w:rPr>
                <w:sz w:val="20"/>
                <w:szCs w:val="20"/>
              </w:rPr>
            </w:pPr>
          </w:p>
          <w:p w:rsidR="00CD7DCF" w:rsidRPr="006076CA" w:rsidRDefault="00CD7DCF" w:rsidP="00CD7DCF">
            <w:pPr>
              <w:rPr>
                <w:sz w:val="20"/>
                <w:szCs w:val="20"/>
              </w:rPr>
            </w:pPr>
          </w:p>
          <w:p w:rsidR="00CD7DCF" w:rsidRPr="006076CA" w:rsidRDefault="00CD7DCF" w:rsidP="00CD7DCF">
            <w:pPr>
              <w:rPr>
                <w:sz w:val="20"/>
                <w:szCs w:val="20"/>
              </w:rPr>
            </w:pPr>
          </w:p>
          <w:p w:rsidR="00CD7DCF" w:rsidRPr="006076CA" w:rsidRDefault="00CD7DCF" w:rsidP="00CD7DCF">
            <w:pPr>
              <w:rPr>
                <w:sz w:val="20"/>
                <w:szCs w:val="20"/>
              </w:rPr>
            </w:pPr>
          </w:p>
          <w:p w:rsidR="00CD7DCF" w:rsidRPr="006076CA" w:rsidRDefault="00CD7DCF" w:rsidP="00CD7DCF">
            <w:pPr>
              <w:rPr>
                <w:sz w:val="20"/>
                <w:szCs w:val="20"/>
              </w:rPr>
            </w:pPr>
          </w:p>
          <w:p w:rsidR="00CD7DCF" w:rsidRPr="006076CA" w:rsidRDefault="00CD7DCF" w:rsidP="00CD7DCF">
            <w:pPr>
              <w:rPr>
                <w:sz w:val="20"/>
                <w:szCs w:val="20"/>
              </w:rPr>
            </w:pPr>
          </w:p>
          <w:p w:rsidR="00CD7DCF" w:rsidRPr="006076CA" w:rsidRDefault="00CD7DCF" w:rsidP="00CD7DCF">
            <w:pPr>
              <w:rPr>
                <w:sz w:val="20"/>
                <w:szCs w:val="20"/>
              </w:rPr>
            </w:pPr>
          </w:p>
        </w:tc>
      </w:tr>
    </w:tbl>
    <w:p w:rsidR="00CD7DCF" w:rsidRPr="006076CA" w:rsidRDefault="00CD7DCF" w:rsidP="00CD7DCF">
      <w:pPr>
        <w:rPr>
          <w:sz w:val="20"/>
          <w:szCs w:val="20"/>
        </w:rPr>
      </w:pPr>
    </w:p>
    <w:p w:rsidR="00B06990" w:rsidRDefault="00B06990" w:rsidP="000F1366">
      <w:pPr>
        <w:pStyle w:val="Odstavekseznama"/>
        <w:numPr>
          <w:ilvl w:val="0"/>
          <w:numId w:val="3"/>
        </w:numPr>
        <w:rPr>
          <w:sz w:val="20"/>
          <w:szCs w:val="20"/>
        </w:rPr>
      </w:pPr>
      <w:r>
        <w:rPr>
          <w:sz w:val="20"/>
          <w:szCs w:val="20"/>
        </w:rPr>
        <w:t>V</w:t>
      </w:r>
      <w:r w:rsidR="001209C0" w:rsidRPr="00B06990">
        <w:rPr>
          <w:sz w:val="20"/>
          <w:szCs w:val="20"/>
        </w:rPr>
        <w:t xml:space="preserve"> skladu </w:t>
      </w:r>
      <w:r w:rsidRPr="00B06990">
        <w:rPr>
          <w:sz w:val="20"/>
          <w:szCs w:val="20"/>
        </w:rPr>
        <w:t xml:space="preserve">z 66. členom Zakona o tujcih </w:t>
      </w:r>
      <w:r>
        <w:rPr>
          <w:sz w:val="20"/>
          <w:szCs w:val="20"/>
        </w:rPr>
        <w:t>se tujcu:</w:t>
      </w:r>
    </w:p>
    <w:p w:rsidR="001209C0" w:rsidRPr="00B06990" w:rsidRDefault="001209C0" w:rsidP="00B06990">
      <w:pPr>
        <w:pStyle w:val="Odstavekseznama"/>
        <w:rPr>
          <w:sz w:val="20"/>
          <w:szCs w:val="20"/>
        </w:rPr>
      </w:pPr>
      <w:r w:rsidRPr="00B06990">
        <w:rPr>
          <w:sz w:val="20"/>
          <w:szCs w:val="20"/>
        </w:rPr>
        <w:t xml:space="preserve"> </w:t>
      </w:r>
    </w:p>
    <w:tbl>
      <w:tblPr>
        <w:tblStyle w:val="Tabelamrea"/>
        <w:tblW w:w="0" w:type="auto"/>
        <w:tblInd w:w="-5" w:type="dxa"/>
        <w:tblLook w:val="04A0" w:firstRow="1" w:lastRow="0" w:firstColumn="1" w:lastColumn="0" w:noHBand="0" w:noVBand="1"/>
      </w:tblPr>
      <w:tblGrid>
        <w:gridCol w:w="567"/>
        <w:gridCol w:w="8500"/>
      </w:tblGrid>
      <w:tr w:rsidR="009A491F" w:rsidRPr="006076CA" w:rsidTr="009A491F">
        <w:trPr>
          <w:gridAfter w:val="1"/>
          <w:wAfter w:w="8500" w:type="dxa"/>
        </w:trPr>
        <w:tc>
          <w:tcPr>
            <w:tcW w:w="567" w:type="dxa"/>
          </w:tcPr>
          <w:p w:rsidR="009A491F" w:rsidRPr="006076CA" w:rsidRDefault="009A491F" w:rsidP="009A491F">
            <w:pPr>
              <w:pStyle w:val="Odstavekseznama"/>
              <w:ind w:left="0"/>
              <w:rPr>
                <w:sz w:val="20"/>
                <w:szCs w:val="20"/>
              </w:rPr>
            </w:pPr>
          </w:p>
          <w:p w:rsidR="009A491F" w:rsidRPr="006076CA" w:rsidRDefault="009A491F" w:rsidP="009A491F">
            <w:pPr>
              <w:pStyle w:val="Odstavekseznama"/>
              <w:ind w:left="0"/>
              <w:rPr>
                <w:sz w:val="20"/>
                <w:szCs w:val="20"/>
              </w:rPr>
            </w:pPr>
          </w:p>
        </w:tc>
      </w:tr>
      <w:tr w:rsidR="00B06990" w:rsidRPr="006076CA" w:rsidTr="00072F47">
        <w:tc>
          <w:tcPr>
            <w:tcW w:w="9067" w:type="dxa"/>
            <w:gridSpan w:val="2"/>
          </w:tcPr>
          <w:p w:rsidR="00B06990" w:rsidRPr="006076CA" w:rsidRDefault="00B06990" w:rsidP="009A491F">
            <w:pPr>
              <w:pStyle w:val="Odstavekseznama"/>
              <w:ind w:left="0"/>
              <w:rPr>
                <w:sz w:val="20"/>
                <w:szCs w:val="20"/>
              </w:rPr>
            </w:pPr>
            <w:r>
              <w:rPr>
                <w:sz w:val="20"/>
                <w:szCs w:val="20"/>
              </w:rPr>
              <w:t xml:space="preserve">določi </w:t>
            </w:r>
            <w:r w:rsidRPr="006076CA">
              <w:rPr>
                <w:sz w:val="20"/>
                <w:szCs w:val="20"/>
              </w:rPr>
              <w:t>10-dnevni rok za prostovoljni odhod (čl. 66/1 ZTuj-2).</w:t>
            </w:r>
          </w:p>
        </w:tc>
      </w:tr>
      <w:tr w:rsidR="009A491F" w:rsidRPr="006076CA" w:rsidTr="009A491F">
        <w:tc>
          <w:tcPr>
            <w:tcW w:w="9067" w:type="dxa"/>
            <w:gridSpan w:val="2"/>
          </w:tcPr>
          <w:p w:rsidR="00B06990" w:rsidRPr="006076CA" w:rsidRDefault="001209C0" w:rsidP="00B06990">
            <w:pPr>
              <w:jc w:val="both"/>
              <w:rPr>
                <w:sz w:val="20"/>
                <w:szCs w:val="20"/>
              </w:rPr>
            </w:pPr>
            <w:r w:rsidRPr="001209C0">
              <w:rPr>
                <w:sz w:val="20"/>
                <w:szCs w:val="20"/>
              </w:rPr>
              <w:t>V skladu z drugim odstavkom 66. člena Zakona o tujcih, tujec ni zaprosil za 30-dnevni rok za prostovoljni odhod, ravno tako pa mu omenjen rok ni bil postavljen po uradni dolžnosti, saj v postopku izdaje odločbe o vrnitvi niso bili predstavljeni oziroma identificirani razlogi, ki bi utemeljevali določitev 30-dnevnega roka za prostovoljni odhod</w:t>
            </w:r>
            <w:r w:rsidR="00B06990">
              <w:rPr>
                <w:sz w:val="20"/>
                <w:szCs w:val="20"/>
              </w:rPr>
              <w:t>.</w:t>
            </w:r>
          </w:p>
        </w:tc>
      </w:tr>
      <w:tr w:rsidR="00B06990" w:rsidRPr="006076CA" w:rsidTr="009A491F">
        <w:tc>
          <w:tcPr>
            <w:tcW w:w="9067" w:type="dxa"/>
            <w:gridSpan w:val="2"/>
          </w:tcPr>
          <w:p w:rsidR="00B06990" w:rsidRDefault="00B06990" w:rsidP="00B06990">
            <w:pPr>
              <w:jc w:val="both"/>
              <w:rPr>
                <w:sz w:val="20"/>
                <w:szCs w:val="20"/>
              </w:rPr>
            </w:pPr>
            <w:r>
              <w:rPr>
                <w:sz w:val="20"/>
                <w:szCs w:val="20"/>
              </w:rPr>
              <w:t>Obrazložitev (v primeru, da tujcu ni bil odobren 30-dnevni rok)</w:t>
            </w:r>
          </w:p>
          <w:p w:rsidR="00B06990" w:rsidRDefault="00B06990" w:rsidP="00B06990">
            <w:pPr>
              <w:jc w:val="both"/>
              <w:rPr>
                <w:sz w:val="20"/>
                <w:szCs w:val="20"/>
              </w:rPr>
            </w:pPr>
          </w:p>
          <w:p w:rsidR="00B06990" w:rsidRDefault="00B06990" w:rsidP="00B06990">
            <w:pPr>
              <w:jc w:val="both"/>
              <w:rPr>
                <w:sz w:val="20"/>
                <w:szCs w:val="20"/>
              </w:rPr>
            </w:pPr>
          </w:p>
          <w:p w:rsidR="00B06990" w:rsidRDefault="00B06990" w:rsidP="00B06990">
            <w:pPr>
              <w:jc w:val="both"/>
              <w:rPr>
                <w:sz w:val="20"/>
                <w:szCs w:val="20"/>
              </w:rPr>
            </w:pPr>
          </w:p>
          <w:p w:rsidR="00B06990" w:rsidRDefault="00B06990" w:rsidP="00B06990">
            <w:pPr>
              <w:jc w:val="both"/>
              <w:rPr>
                <w:sz w:val="20"/>
                <w:szCs w:val="20"/>
              </w:rPr>
            </w:pPr>
          </w:p>
          <w:p w:rsidR="00B06990" w:rsidRDefault="00B06990" w:rsidP="00B06990">
            <w:pPr>
              <w:jc w:val="both"/>
              <w:rPr>
                <w:sz w:val="20"/>
                <w:szCs w:val="20"/>
              </w:rPr>
            </w:pPr>
          </w:p>
          <w:p w:rsidR="00B06990" w:rsidRPr="001209C0" w:rsidRDefault="00B06990" w:rsidP="00B06990">
            <w:pPr>
              <w:jc w:val="both"/>
              <w:rPr>
                <w:sz w:val="20"/>
                <w:szCs w:val="20"/>
              </w:rPr>
            </w:pPr>
          </w:p>
        </w:tc>
      </w:tr>
    </w:tbl>
    <w:p w:rsidR="001209C0" w:rsidRDefault="001209C0" w:rsidP="00C459E8">
      <w:pPr>
        <w:jc w:val="both"/>
        <w:rPr>
          <w:sz w:val="20"/>
          <w:szCs w:val="20"/>
        </w:rPr>
      </w:pPr>
    </w:p>
    <w:tbl>
      <w:tblPr>
        <w:tblStyle w:val="Tabelamrea"/>
        <w:tblW w:w="0" w:type="auto"/>
        <w:tblInd w:w="-5" w:type="dxa"/>
        <w:tblLook w:val="04A0" w:firstRow="1" w:lastRow="0" w:firstColumn="1" w:lastColumn="0" w:noHBand="0" w:noVBand="1"/>
      </w:tblPr>
      <w:tblGrid>
        <w:gridCol w:w="567"/>
        <w:gridCol w:w="8500"/>
      </w:tblGrid>
      <w:tr w:rsidR="001209C0" w:rsidRPr="006076CA" w:rsidTr="007618FE">
        <w:trPr>
          <w:gridAfter w:val="1"/>
          <w:wAfter w:w="8500" w:type="dxa"/>
        </w:trPr>
        <w:tc>
          <w:tcPr>
            <w:tcW w:w="567" w:type="dxa"/>
          </w:tcPr>
          <w:p w:rsidR="001209C0" w:rsidRPr="006076CA" w:rsidRDefault="001209C0" w:rsidP="007618FE">
            <w:pPr>
              <w:pStyle w:val="Odstavekseznama"/>
              <w:ind w:left="0"/>
              <w:rPr>
                <w:sz w:val="20"/>
                <w:szCs w:val="20"/>
              </w:rPr>
            </w:pPr>
          </w:p>
          <w:p w:rsidR="001209C0" w:rsidRPr="006076CA" w:rsidRDefault="001209C0" w:rsidP="007618FE">
            <w:pPr>
              <w:pStyle w:val="Odstavekseznama"/>
              <w:ind w:left="0"/>
              <w:rPr>
                <w:sz w:val="20"/>
                <w:szCs w:val="20"/>
              </w:rPr>
            </w:pPr>
          </w:p>
        </w:tc>
      </w:tr>
      <w:tr w:rsidR="00B06990" w:rsidRPr="006076CA" w:rsidTr="008C2E43">
        <w:tc>
          <w:tcPr>
            <w:tcW w:w="9067" w:type="dxa"/>
            <w:gridSpan w:val="2"/>
          </w:tcPr>
          <w:p w:rsidR="00B06990" w:rsidRPr="006076CA" w:rsidRDefault="00B06990" w:rsidP="007618FE">
            <w:pPr>
              <w:pStyle w:val="Odstavekseznama"/>
              <w:ind w:left="0"/>
              <w:rPr>
                <w:sz w:val="20"/>
                <w:szCs w:val="20"/>
              </w:rPr>
            </w:pPr>
            <w:r>
              <w:rPr>
                <w:sz w:val="20"/>
                <w:szCs w:val="20"/>
              </w:rPr>
              <w:t xml:space="preserve">določi </w:t>
            </w:r>
            <w:r w:rsidRPr="006076CA">
              <w:rPr>
                <w:sz w:val="20"/>
                <w:szCs w:val="20"/>
              </w:rPr>
              <w:t>30-dnevni rok za prostovoljni odhod (čl. 66/2 ZTuj-2).</w:t>
            </w:r>
          </w:p>
        </w:tc>
      </w:tr>
      <w:tr w:rsidR="001209C0" w:rsidRPr="006076CA" w:rsidTr="007618FE">
        <w:tc>
          <w:tcPr>
            <w:tcW w:w="9067" w:type="dxa"/>
            <w:gridSpan w:val="2"/>
          </w:tcPr>
          <w:p w:rsidR="001209C0" w:rsidRPr="006076CA" w:rsidRDefault="001209C0" w:rsidP="007618FE">
            <w:pPr>
              <w:pStyle w:val="Odstavekseznama"/>
              <w:ind w:left="0"/>
              <w:rPr>
                <w:sz w:val="20"/>
                <w:szCs w:val="20"/>
              </w:rPr>
            </w:pPr>
          </w:p>
          <w:p w:rsidR="001209C0" w:rsidRPr="006076CA" w:rsidRDefault="001209C0" w:rsidP="007618FE">
            <w:pPr>
              <w:pStyle w:val="Odstavekseznama"/>
              <w:ind w:left="0"/>
              <w:rPr>
                <w:sz w:val="20"/>
                <w:szCs w:val="20"/>
              </w:rPr>
            </w:pPr>
            <w:r w:rsidRPr="006076CA">
              <w:rPr>
                <w:sz w:val="20"/>
                <w:szCs w:val="20"/>
              </w:rPr>
              <w:t>Obrazložitev</w:t>
            </w:r>
          </w:p>
          <w:p w:rsidR="001209C0" w:rsidRPr="006076CA" w:rsidRDefault="001209C0" w:rsidP="007618FE">
            <w:pPr>
              <w:pStyle w:val="Odstavekseznama"/>
              <w:ind w:left="0"/>
              <w:rPr>
                <w:sz w:val="20"/>
                <w:szCs w:val="20"/>
              </w:rPr>
            </w:pPr>
          </w:p>
          <w:p w:rsidR="001209C0" w:rsidRPr="006076CA" w:rsidRDefault="001209C0" w:rsidP="007618FE">
            <w:pPr>
              <w:pStyle w:val="Odstavekseznama"/>
              <w:ind w:left="0"/>
              <w:rPr>
                <w:sz w:val="20"/>
                <w:szCs w:val="20"/>
              </w:rPr>
            </w:pPr>
          </w:p>
          <w:p w:rsidR="001209C0" w:rsidRPr="006076CA" w:rsidRDefault="001209C0" w:rsidP="007618FE">
            <w:pPr>
              <w:pStyle w:val="Odstavekseznama"/>
              <w:ind w:left="0"/>
              <w:rPr>
                <w:sz w:val="20"/>
                <w:szCs w:val="20"/>
              </w:rPr>
            </w:pPr>
          </w:p>
          <w:p w:rsidR="001209C0" w:rsidRPr="006076CA" w:rsidRDefault="001209C0" w:rsidP="007618FE">
            <w:pPr>
              <w:pStyle w:val="Odstavekseznama"/>
              <w:ind w:left="0"/>
              <w:rPr>
                <w:sz w:val="20"/>
                <w:szCs w:val="20"/>
              </w:rPr>
            </w:pPr>
          </w:p>
          <w:p w:rsidR="001209C0" w:rsidRPr="006076CA" w:rsidRDefault="001209C0" w:rsidP="007618FE">
            <w:pPr>
              <w:pStyle w:val="Odstavekseznama"/>
              <w:ind w:left="0"/>
              <w:rPr>
                <w:sz w:val="20"/>
                <w:szCs w:val="20"/>
              </w:rPr>
            </w:pPr>
          </w:p>
          <w:p w:rsidR="001209C0" w:rsidRPr="006076CA" w:rsidRDefault="001209C0" w:rsidP="007618FE">
            <w:pPr>
              <w:pStyle w:val="Odstavekseznama"/>
              <w:ind w:left="0"/>
              <w:rPr>
                <w:sz w:val="20"/>
                <w:szCs w:val="20"/>
              </w:rPr>
            </w:pPr>
          </w:p>
          <w:p w:rsidR="001209C0" w:rsidRPr="006076CA" w:rsidRDefault="001209C0" w:rsidP="007618FE">
            <w:pPr>
              <w:pStyle w:val="Odstavekseznama"/>
              <w:ind w:left="0"/>
              <w:rPr>
                <w:sz w:val="20"/>
                <w:szCs w:val="20"/>
              </w:rPr>
            </w:pPr>
          </w:p>
          <w:p w:rsidR="001209C0" w:rsidRPr="006076CA" w:rsidRDefault="001209C0" w:rsidP="007618FE">
            <w:pPr>
              <w:pStyle w:val="Odstavekseznama"/>
              <w:ind w:left="0"/>
              <w:rPr>
                <w:sz w:val="20"/>
                <w:szCs w:val="20"/>
              </w:rPr>
            </w:pPr>
          </w:p>
          <w:p w:rsidR="001209C0" w:rsidRPr="006076CA" w:rsidRDefault="001209C0" w:rsidP="007618FE">
            <w:pPr>
              <w:pStyle w:val="Odstavekseznama"/>
              <w:ind w:left="0"/>
              <w:rPr>
                <w:sz w:val="20"/>
                <w:szCs w:val="20"/>
              </w:rPr>
            </w:pPr>
          </w:p>
        </w:tc>
      </w:tr>
    </w:tbl>
    <w:p w:rsidR="001209C0" w:rsidRDefault="001209C0" w:rsidP="00C459E8">
      <w:pPr>
        <w:jc w:val="both"/>
        <w:rPr>
          <w:sz w:val="20"/>
          <w:szCs w:val="20"/>
        </w:rPr>
      </w:pPr>
    </w:p>
    <w:p w:rsidR="00C459E8" w:rsidRPr="006076CA" w:rsidRDefault="00C459E8" w:rsidP="00C459E8">
      <w:pPr>
        <w:jc w:val="both"/>
        <w:rPr>
          <w:sz w:val="20"/>
          <w:szCs w:val="20"/>
        </w:rPr>
      </w:pPr>
      <w:r w:rsidRPr="006076CA">
        <w:rPr>
          <w:sz w:val="20"/>
          <w:szCs w:val="20"/>
        </w:rPr>
        <w:t>Če obstajajo okoliščine, navedene v četrtem odstavku 66. člena Zakona o tujcih, zaradi katerih se tujec ne more prostovoljno vrniti v roku, določenem za prostovoljni odhod, lahko pri policijski postaji, ki je izdala to odločbo, pred potekom roka za prostovoljni odhod, vloži prošnjo za podaljšanje roka za prostovoljni odhod. Policijska postaja  lahko rok za prostovoljni odhod z odločbo podaljša za čas trajanja okoliščin, zaradi katerih je določitev daljšega roka za prostovoljni odhod tujca upravičena.</w:t>
      </w:r>
    </w:p>
    <w:p w:rsidR="00C459E8" w:rsidRPr="006076CA" w:rsidRDefault="00B021D4" w:rsidP="00C459E8">
      <w:pPr>
        <w:rPr>
          <w:sz w:val="20"/>
          <w:szCs w:val="20"/>
        </w:rPr>
      </w:pPr>
      <w:r w:rsidRPr="006076CA">
        <w:rPr>
          <w:sz w:val="20"/>
          <w:szCs w:val="20"/>
        </w:rPr>
        <w:t>Rok za prostovoljni odhod začne teči z dnem, ko je odločba o vrnitvi pravnomočna.</w:t>
      </w:r>
    </w:p>
    <w:p w:rsidR="00B021D4" w:rsidRPr="006076CA" w:rsidRDefault="00B021D4" w:rsidP="00B021D4">
      <w:pPr>
        <w:jc w:val="both"/>
        <w:rPr>
          <w:sz w:val="20"/>
          <w:szCs w:val="20"/>
        </w:rPr>
      </w:pPr>
      <w:r w:rsidRPr="006076CA">
        <w:rPr>
          <w:sz w:val="20"/>
          <w:szCs w:val="20"/>
        </w:rPr>
        <w:t>Tujec mora zapustiti Republiko Slovenije, območje držav članic Evropske unije in območje držav, pogodbenic Konvencije o izvajanju schengenskega sporazuma z dne 14. junija 1985 v roku za prostovoljni odhod, sicer se:</w:t>
      </w:r>
    </w:p>
    <w:p w:rsidR="00B021D4" w:rsidRPr="006076CA" w:rsidRDefault="00B021D4" w:rsidP="00B021D4">
      <w:pPr>
        <w:pStyle w:val="Odstavekseznama"/>
        <w:numPr>
          <w:ilvl w:val="0"/>
          <w:numId w:val="4"/>
        </w:numPr>
        <w:jc w:val="both"/>
        <w:rPr>
          <w:sz w:val="20"/>
          <w:szCs w:val="20"/>
        </w:rPr>
      </w:pPr>
      <w:r w:rsidRPr="006076CA">
        <w:rPr>
          <w:sz w:val="20"/>
          <w:szCs w:val="20"/>
        </w:rPr>
        <w:t>ga odstrani</w:t>
      </w:r>
      <w:r w:rsidR="00E53A27">
        <w:rPr>
          <w:sz w:val="20"/>
          <w:szCs w:val="20"/>
        </w:rPr>
        <w:t xml:space="preserve"> (69. člen ZTuj-2)</w:t>
      </w:r>
      <w:r w:rsidRPr="006076CA">
        <w:rPr>
          <w:sz w:val="20"/>
          <w:szCs w:val="20"/>
        </w:rPr>
        <w:t>,</w:t>
      </w:r>
    </w:p>
    <w:p w:rsidR="00B021D4" w:rsidRPr="006076CA" w:rsidRDefault="00B021D4" w:rsidP="00B021D4">
      <w:pPr>
        <w:pStyle w:val="Odstavekseznama"/>
        <w:numPr>
          <w:ilvl w:val="0"/>
          <w:numId w:val="4"/>
        </w:numPr>
        <w:jc w:val="both"/>
        <w:rPr>
          <w:sz w:val="20"/>
          <w:szCs w:val="20"/>
        </w:rPr>
      </w:pPr>
      <w:r w:rsidRPr="006076CA">
        <w:rPr>
          <w:sz w:val="20"/>
          <w:szCs w:val="20"/>
        </w:rPr>
        <w:t>mu prepove vstop v Republiko Slovenije, območje držav članic Evropske unije in območje držav, pogodbenic Konvencije o izvajanju schengenskega sporazuma z dne 14. junija 1985 za obdobje enega leta</w:t>
      </w:r>
      <w:r w:rsidR="00E53A27">
        <w:rPr>
          <w:sz w:val="20"/>
          <w:szCs w:val="20"/>
        </w:rPr>
        <w:t xml:space="preserve"> (prva alinea prvega odstavka 67. člena ZTuj-2)</w:t>
      </w:r>
      <w:r w:rsidRPr="006076CA">
        <w:rPr>
          <w:sz w:val="20"/>
          <w:szCs w:val="20"/>
        </w:rPr>
        <w:t>,</w:t>
      </w:r>
    </w:p>
    <w:p w:rsidR="00B021D4" w:rsidRPr="006076CA" w:rsidRDefault="00B021D4" w:rsidP="00DC1D39">
      <w:pPr>
        <w:pStyle w:val="Odstavekseznama"/>
        <w:numPr>
          <w:ilvl w:val="0"/>
          <w:numId w:val="4"/>
        </w:numPr>
        <w:jc w:val="both"/>
        <w:rPr>
          <w:sz w:val="20"/>
          <w:szCs w:val="20"/>
        </w:rPr>
      </w:pPr>
      <w:r w:rsidRPr="006076CA">
        <w:rPr>
          <w:sz w:val="20"/>
          <w:szCs w:val="20"/>
        </w:rPr>
        <w:t xml:space="preserve">mu </w:t>
      </w:r>
      <w:r w:rsidR="00CD7DCF" w:rsidRPr="006076CA">
        <w:rPr>
          <w:sz w:val="20"/>
          <w:szCs w:val="20"/>
        </w:rPr>
        <w:t>za obdobje</w:t>
      </w:r>
      <w:r w:rsidRPr="006076CA">
        <w:rPr>
          <w:sz w:val="20"/>
          <w:szCs w:val="20"/>
        </w:rPr>
        <w:t xml:space="preserve"> treh let zavrne izdaja vizuma in dovoljenja za prebivanje</w:t>
      </w:r>
      <w:r w:rsidR="00E53A27">
        <w:rPr>
          <w:sz w:val="20"/>
          <w:szCs w:val="20"/>
        </w:rPr>
        <w:t xml:space="preserve"> (šesti odstavek 67. člena ZTuj-2)</w:t>
      </w:r>
      <w:r w:rsidRPr="006076CA">
        <w:rPr>
          <w:sz w:val="20"/>
          <w:szCs w:val="20"/>
        </w:rPr>
        <w:t>,</w:t>
      </w:r>
    </w:p>
    <w:p w:rsidR="00B021D4" w:rsidRPr="006076CA" w:rsidRDefault="00B021D4" w:rsidP="00DC1D39">
      <w:pPr>
        <w:pStyle w:val="Odstavekseznama"/>
        <w:numPr>
          <w:ilvl w:val="0"/>
          <w:numId w:val="4"/>
        </w:numPr>
        <w:jc w:val="both"/>
        <w:rPr>
          <w:sz w:val="20"/>
          <w:szCs w:val="20"/>
        </w:rPr>
      </w:pPr>
      <w:r w:rsidRPr="006076CA">
        <w:rPr>
          <w:sz w:val="20"/>
          <w:szCs w:val="20"/>
        </w:rPr>
        <w:t>mu izreče globa v višini 1.200 evrov</w:t>
      </w:r>
      <w:r w:rsidR="00E53A27">
        <w:rPr>
          <w:sz w:val="20"/>
          <w:szCs w:val="20"/>
        </w:rPr>
        <w:t xml:space="preserve"> (druga točka četrtega odstavka 145. člena ZTuj-2)</w:t>
      </w:r>
      <w:r w:rsidRPr="006076CA">
        <w:rPr>
          <w:sz w:val="20"/>
          <w:szCs w:val="20"/>
        </w:rPr>
        <w:t xml:space="preserve">. </w:t>
      </w:r>
    </w:p>
    <w:p w:rsidR="009A491F" w:rsidRPr="006076CA" w:rsidRDefault="009A491F" w:rsidP="009A491F">
      <w:pPr>
        <w:pStyle w:val="Odstavekseznama"/>
        <w:rPr>
          <w:sz w:val="20"/>
          <w:szCs w:val="20"/>
        </w:rPr>
      </w:pPr>
    </w:p>
    <w:p w:rsidR="00B021D4" w:rsidRPr="006076CA" w:rsidRDefault="00B021D4" w:rsidP="009A491F">
      <w:pPr>
        <w:pStyle w:val="Odstavekseznama"/>
        <w:rPr>
          <w:sz w:val="20"/>
          <w:szCs w:val="20"/>
        </w:rPr>
      </w:pPr>
    </w:p>
    <w:tbl>
      <w:tblPr>
        <w:tblStyle w:val="Tabelamrea"/>
        <w:tblW w:w="0" w:type="auto"/>
        <w:tblInd w:w="-5" w:type="dxa"/>
        <w:tblLook w:val="04A0" w:firstRow="1" w:lastRow="0" w:firstColumn="1" w:lastColumn="0" w:noHBand="0" w:noVBand="1"/>
      </w:tblPr>
      <w:tblGrid>
        <w:gridCol w:w="567"/>
        <w:gridCol w:w="567"/>
        <w:gridCol w:w="7933"/>
      </w:tblGrid>
      <w:tr w:rsidR="00410463" w:rsidRPr="006076CA" w:rsidTr="00DC1D39">
        <w:trPr>
          <w:gridAfter w:val="2"/>
          <w:wAfter w:w="8500" w:type="dxa"/>
        </w:trPr>
        <w:tc>
          <w:tcPr>
            <w:tcW w:w="567" w:type="dxa"/>
          </w:tcPr>
          <w:p w:rsidR="00410463" w:rsidRPr="006076CA" w:rsidRDefault="00410463" w:rsidP="00DC1D39">
            <w:pPr>
              <w:pStyle w:val="Odstavekseznama"/>
              <w:ind w:left="0"/>
              <w:rPr>
                <w:sz w:val="20"/>
                <w:szCs w:val="20"/>
              </w:rPr>
            </w:pPr>
          </w:p>
          <w:p w:rsidR="00410463" w:rsidRPr="006076CA" w:rsidRDefault="00410463" w:rsidP="00DC1D39">
            <w:pPr>
              <w:pStyle w:val="Odstavekseznama"/>
              <w:ind w:left="0"/>
              <w:rPr>
                <w:sz w:val="20"/>
                <w:szCs w:val="20"/>
              </w:rPr>
            </w:pPr>
          </w:p>
        </w:tc>
      </w:tr>
      <w:tr w:rsidR="00410463" w:rsidRPr="006076CA" w:rsidTr="00DC1D39">
        <w:tc>
          <w:tcPr>
            <w:tcW w:w="9067" w:type="dxa"/>
            <w:gridSpan w:val="3"/>
          </w:tcPr>
          <w:p w:rsidR="00410463" w:rsidRPr="006076CA" w:rsidRDefault="0021307C" w:rsidP="00B06990">
            <w:pPr>
              <w:pStyle w:val="Odstavekseznama"/>
              <w:ind w:left="0"/>
              <w:rPr>
                <w:sz w:val="20"/>
                <w:szCs w:val="20"/>
              </w:rPr>
            </w:pPr>
            <w:r>
              <w:rPr>
                <w:sz w:val="20"/>
                <w:szCs w:val="20"/>
              </w:rPr>
              <w:t xml:space="preserve">ni </w:t>
            </w:r>
            <w:r w:rsidR="00410463" w:rsidRPr="006076CA">
              <w:rPr>
                <w:sz w:val="20"/>
                <w:szCs w:val="20"/>
              </w:rPr>
              <w:t>določi</w:t>
            </w:r>
            <w:r>
              <w:rPr>
                <w:sz w:val="20"/>
                <w:szCs w:val="20"/>
              </w:rPr>
              <w:t>l</w:t>
            </w:r>
            <w:r w:rsidR="00410463" w:rsidRPr="006076CA">
              <w:rPr>
                <w:sz w:val="20"/>
                <w:szCs w:val="20"/>
              </w:rPr>
              <w:t xml:space="preserve"> rok za prostovoljni odhod</w:t>
            </w:r>
            <w:r w:rsidR="00B06990">
              <w:rPr>
                <w:sz w:val="20"/>
                <w:szCs w:val="20"/>
              </w:rPr>
              <w:t xml:space="preserve"> </w:t>
            </w:r>
            <w:r w:rsidR="00B06990" w:rsidRPr="006076CA">
              <w:rPr>
                <w:sz w:val="20"/>
                <w:szCs w:val="20"/>
              </w:rPr>
              <w:t>(čl. 66/</w:t>
            </w:r>
            <w:r w:rsidR="00B06990">
              <w:rPr>
                <w:sz w:val="20"/>
                <w:szCs w:val="20"/>
              </w:rPr>
              <w:t>6</w:t>
            </w:r>
            <w:r w:rsidR="00B06990" w:rsidRPr="006076CA">
              <w:rPr>
                <w:sz w:val="20"/>
                <w:szCs w:val="20"/>
              </w:rPr>
              <w:t xml:space="preserve"> ZTuj-2)</w:t>
            </w:r>
            <w:r w:rsidR="00410463" w:rsidRPr="006076CA">
              <w:rPr>
                <w:sz w:val="20"/>
                <w:szCs w:val="20"/>
              </w:rPr>
              <w:t>, ker</w:t>
            </w:r>
            <w:r w:rsidR="00B06990">
              <w:rPr>
                <w:sz w:val="20"/>
                <w:szCs w:val="20"/>
              </w:rPr>
              <w:t>:</w:t>
            </w:r>
          </w:p>
        </w:tc>
      </w:tr>
      <w:tr w:rsidR="00410463" w:rsidRPr="006076CA" w:rsidTr="00DC1D39">
        <w:tc>
          <w:tcPr>
            <w:tcW w:w="567" w:type="dxa"/>
          </w:tcPr>
          <w:p w:rsidR="00410463" w:rsidRPr="006076CA" w:rsidRDefault="00410463" w:rsidP="00DC1D39">
            <w:pPr>
              <w:pStyle w:val="Odstavekseznama"/>
              <w:ind w:left="0"/>
              <w:rPr>
                <w:sz w:val="20"/>
                <w:szCs w:val="20"/>
              </w:rPr>
            </w:pPr>
          </w:p>
        </w:tc>
        <w:tc>
          <w:tcPr>
            <w:tcW w:w="8500" w:type="dxa"/>
            <w:gridSpan w:val="2"/>
          </w:tcPr>
          <w:p w:rsidR="00410463" w:rsidRPr="006076CA" w:rsidRDefault="00CD7DCF" w:rsidP="00DC1D39">
            <w:pPr>
              <w:pStyle w:val="Odstavekseznama"/>
              <w:ind w:left="0"/>
              <w:rPr>
                <w:sz w:val="20"/>
                <w:szCs w:val="20"/>
              </w:rPr>
            </w:pPr>
            <w:r w:rsidRPr="006076CA">
              <w:rPr>
                <w:sz w:val="20"/>
                <w:szCs w:val="20"/>
              </w:rPr>
              <w:t>njegovo bivanje pomeni nevarnost za javni red, javno varnost ali varnost države.</w:t>
            </w:r>
          </w:p>
        </w:tc>
      </w:tr>
      <w:tr w:rsidR="00CD7DCF" w:rsidRPr="006076CA" w:rsidTr="00DC1D39">
        <w:tc>
          <w:tcPr>
            <w:tcW w:w="567" w:type="dxa"/>
            <w:vMerge w:val="restart"/>
          </w:tcPr>
          <w:p w:rsidR="00CD7DCF" w:rsidRPr="006076CA" w:rsidRDefault="00CD7DCF" w:rsidP="00DC1D39">
            <w:pPr>
              <w:pStyle w:val="Odstavekseznama"/>
              <w:ind w:left="0"/>
              <w:rPr>
                <w:sz w:val="20"/>
                <w:szCs w:val="20"/>
              </w:rPr>
            </w:pPr>
          </w:p>
        </w:tc>
        <w:tc>
          <w:tcPr>
            <w:tcW w:w="8500" w:type="dxa"/>
            <w:gridSpan w:val="2"/>
          </w:tcPr>
          <w:p w:rsidR="00CD7DCF" w:rsidRPr="006076CA" w:rsidRDefault="00CD7DCF" w:rsidP="00DC1D39">
            <w:pPr>
              <w:pStyle w:val="Odstavekseznama"/>
              <w:ind w:left="0"/>
              <w:rPr>
                <w:sz w:val="20"/>
                <w:szCs w:val="20"/>
              </w:rPr>
            </w:pPr>
            <w:r w:rsidRPr="006076CA">
              <w:rPr>
                <w:sz w:val="20"/>
                <w:szCs w:val="20"/>
              </w:rPr>
              <w:t>obstaja nevarnost pobega</w:t>
            </w:r>
            <w:r w:rsidR="00B06990">
              <w:rPr>
                <w:sz w:val="20"/>
                <w:szCs w:val="20"/>
              </w:rPr>
              <w:t xml:space="preserve"> (čl. 68. ZTuj-2)</w:t>
            </w:r>
            <w:r w:rsidRPr="006076CA">
              <w:rPr>
                <w:sz w:val="20"/>
                <w:szCs w:val="20"/>
              </w:rPr>
              <w:t>, in sicer:</w:t>
            </w:r>
          </w:p>
        </w:tc>
      </w:tr>
      <w:tr w:rsidR="00CD7DCF" w:rsidRPr="006076CA" w:rsidTr="00CD7DCF">
        <w:tc>
          <w:tcPr>
            <w:tcW w:w="567" w:type="dxa"/>
            <w:vMerge/>
          </w:tcPr>
          <w:p w:rsidR="00CD7DCF" w:rsidRPr="006076CA" w:rsidRDefault="00CD7DCF" w:rsidP="00DC1D39">
            <w:pPr>
              <w:pStyle w:val="Odstavekseznama"/>
              <w:ind w:left="0"/>
              <w:rPr>
                <w:sz w:val="20"/>
                <w:szCs w:val="20"/>
              </w:rPr>
            </w:pPr>
          </w:p>
        </w:tc>
        <w:tc>
          <w:tcPr>
            <w:tcW w:w="567" w:type="dxa"/>
          </w:tcPr>
          <w:p w:rsidR="00CD7DCF" w:rsidRPr="006076CA" w:rsidRDefault="00CD7DCF" w:rsidP="00DC1D39">
            <w:pPr>
              <w:pStyle w:val="Odstavekseznama"/>
              <w:ind w:left="0"/>
              <w:rPr>
                <w:sz w:val="20"/>
                <w:szCs w:val="20"/>
              </w:rPr>
            </w:pPr>
          </w:p>
        </w:tc>
        <w:tc>
          <w:tcPr>
            <w:tcW w:w="7933" w:type="dxa"/>
          </w:tcPr>
          <w:p w:rsidR="00CD7DCF" w:rsidRPr="006076CA" w:rsidRDefault="00CD7DCF" w:rsidP="00DC1D39">
            <w:pPr>
              <w:pStyle w:val="Odstavekseznama"/>
              <w:ind w:left="0"/>
              <w:rPr>
                <w:sz w:val="20"/>
                <w:szCs w:val="20"/>
              </w:rPr>
            </w:pPr>
            <w:r w:rsidRPr="006076CA">
              <w:rPr>
                <w:sz w:val="20"/>
                <w:szCs w:val="20"/>
              </w:rPr>
              <w:t>navajanje lažnih podatkov oziroma nesodelovanje v postopku, kot tudi zavrnitev odvzema biometričnih podatkov;</w:t>
            </w:r>
          </w:p>
        </w:tc>
      </w:tr>
      <w:tr w:rsidR="00CD7DCF" w:rsidRPr="006076CA" w:rsidTr="00CD7DCF">
        <w:tc>
          <w:tcPr>
            <w:tcW w:w="567" w:type="dxa"/>
            <w:vMerge/>
          </w:tcPr>
          <w:p w:rsidR="00CD7DCF" w:rsidRPr="006076CA" w:rsidRDefault="00CD7DCF" w:rsidP="00DC1D39">
            <w:pPr>
              <w:pStyle w:val="Odstavekseznama"/>
              <w:ind w:left="0"/>
              <w:rPr>
                <w:sz w:val="20"/>
                <w:szCs w:val="20"/>
              </w:rPr>
            </w:pPr>
          </w:p>
        </w:tc>
        <w:tc>
          <w:tcPr>
            <w:tcW w:w="567" w:type="dxa"/>
          </w:tcPr>
          <w:p w:rsidR="00CD7DCF" w:rsidRPr="006076CA" w:rsidRDefault="00CD7DCF" w:rsidP="00DC1D39">
            <w:pPr>
              <w:pStyle w:val="Odstavekseznama"/>
              <w:ind w:left="0"/>
              <w:rPr>
                <w:sz w:val="20"/>
                <w:szCs w:val="20"/>
              </w:rPr>
            </w:pPr>
          </w:p>
        </w:tc>
        <w:tc>
          <w:tcPr>
            <w:tcW w:w="7933" w:type="dxa"/>
          </w:tcPr>
          <w:p w:rsidR="00CD7DCF" w:rsidRPr="006076CA" w:rsidRDefault="00CD7DCF" w:rsidP="00DC1D39">
            <w:pPr>
              <w:pStyle w:val="Odstavekseznama"/>
              <w:ind w:left="0"/>
              <w:rPr>
                <w:sz w:val="20"/>
                <w:szCs w:val="20"/>
              </w:rPr>
            </w:pPr>
            <w:r w:rsidRPr="006076CA">
              <w:rPr>
                <w:sz w:val="20"/>
                <w:szCs w:val="20"/>
              </w:rPr>
              <w:t>uporaba lažnih ali ponarejenih osebnih dokumentov, kot tudi uničenje ali kakršna koli drugačna odstranitev obstoječih dokumentov;</w:t>
            </w:r>
          </w:p>
        </w:tc>
      </w:tr>
      <w:tr w:rsidR="00CD7DCF" w:rsidRPr="006076CA" w:rsidTr="00CD7DCF">
        <w:tc>
          <w:tcPr>
            <w:tcW w:w="567" w:type="dxa"/>
            <w:vMerge/>
          </w:tcPr>
          <w:p w:rsidR="00CD7DCF" w:rsidRPr="006076CA" w:rsidRDefault="00CD7DCF" w:rsidP="00DC1D39">
            <w:pPr>
              <w:pStyle w:val="Odstavekseznama"/>
              <w:ind w:left="0"/>
              <w:rPr>
                <w:sz w:val="20"/>
                <w:szCs w:val="20"/>
              </w:rPr>
            </w:pPr>
          </w:p>
        </w:tc>
        <w:tc>
          <w:tcPr>
            <w:tcW w:w="567" w:type="dxa"/>
          </w:tcPr>
          <w:p w:rsidR="00CD7DCF" w:rsidRPr="006076CA" w:rsidRDefault="00CD7DCF" w:rsidP="00DC1D39">
            <w:pPr>
              <w:pStyle w:val="Odstavekseznama"/>
              <w:ind w:left="0"/>
              <w:rPr>
                <w:sz w:val="20"/>
                <w:szCs w:val="20"/>
              </w:rPr>
            </w:pPr>
          </w:p>
        </w:tc>
        <w:tc>
          <w:tcPr>
            <w:tcW w:w="7933" w:type="dxa"/>
          </w:tcPr>
          <w:p w:rsidR="00CD7DCF" w:rsidRPr="006076CA" w:rsidRDefault="00CD7DCF" w:rsidP="00DC1D39">
            <w:pPr>
              <w:pStyle w:val="Odstavekseznama"/>
              <w:ind w:left="0"/>
              <w:rPr>
                <w:sz w:val="20"/>
                <w:szCs w:val="20"/>
              </w:rPr>
            </w:pPr>
            <w:r w:rsidRPr="006076CA">
              <w:rPr>
                <w:sz w:val="20"/>
                <w:szCs w:val="20"/>
              </w:rPr>
              <w:t>vstop v Republiko Slovenijo v času veljavne prepovedi vstopa;</w:t>
            </w:r>
          </w:p>
        </w:tc>
      </w:tr>
      <w:tr w:rsidR="00CD7DCF" w:rsidRPr="006076CA" w:rsidTr="00CD7DCF">
        <w:tc>
          <w:tcPr>
            <w:tcW w:w="567" w:type="dxa"/>
            <w:vMerge/>
          </w:tcPr>
          <w:p w:rsidR="00CD7DCF" w:rsidRPr="006076CA" w:rsidRDefault="00CD7DCF" w:rsidP="00DC1D39">
            <w:pPr>
              <w:pStyle w:val="Odstavekseznama"/>
              <w:ind w:left="0"/>
              <w:rPr>
                <w:sz w:val="20"/>
                <w:szCs w:val="20"/>
              </w:rPr>
            </w:pPr>
          </w:p>
        </w:tc>
        <w:tc>
          <w:tcPr>
            <w:tcW w:w="567" w:type="dxa"/>
          </w:tcPr>
          <w:p w:rsidR="00CD7DCF" w:rsidRPr="006076CA" w:rsidRDefault="00CD7DCF" w:rsidP="00DC1D39">
            <w:pPr>
              <w:pStyle w:val="Odstavekseznama"/>
              <w:ind w:left="0"/>
              <w:rPr>
                <w:sz w:val="20"/>
                <w:szCs w:val="20"/>
              </w:rPr>
            </w:pPr>
          </w:p>
        </w:tc>
        <w:tc>
          <w:tcPr>
            <w:tcW w:w="7933" w:type="dxa"/>
          </w:tcPr>
          <w:p w:rsidR="00CD7DCF" w:rsidRPr="006076CA" w:rsidRDefault="00CD7DCF" w:rsidP="00DC1D39">
            <w:pPr>
              <w:pStyle w:val="Odstavekseznama"/>
              <w:ind w:left="0"/>
              <w:rPr>
                <w:sz w:val="20"/>
                <w:szCs w:val="20"/>
              </w:rPr>
            </w:pPr>
            <w:r w:rsidRPr="006076CA">
              <w:rPr>
                <w:sz w:val="20"/>
                <w:szCs w:val="20"/>
              </w:rPr>
              <w:t>v zadnjih treh letih pravnomočno izrečena sankcija za prekršek zaradi nezakonitega prebivanja;</w:t>
            </w:r>
          </w:p>
        </w:tc>
      </w:tr>
      <w:tr w:rsidR="00CD7DCF" w:rsidRPr="006076CA" w:rsidTr="00CD7DCF">
        <w:tc>
          <w:tcPr>
            <w:tcW w:w="567" w:type="dxa"/>
            <w:vMerge/>
          </w:tcPr>
          <w:p w:rsidR="00CD7DCF" w:rsidRPr="006076CA" w:rsidRDefault="00CD7DCF" w:rsidP="00DC1D39">
            <w:pPr>
              <w:pStyle w:val="Odstavekseznama"/>
              <w:ind w:left="0"/>
              <w:rPr>
                <w:sz w:val="20"/>
                <w:szCs w:val="20"/>
              </w:rPr>
            </w:pPr>
          </w:p>
        </w:tc>
        <w:tc>
          <w:tcPr>
            <w:tcW w:w="567" w:type="dxa"/>
          </w:tcPr>
          <w:p w:rsidR="00CD7DCF" w:rsidRPr="006076CA" w:rsidRDefault="00CD7DCF" w:rsidP="00DC1D39">
            <w:pPr>
              <w:pStyle w:val="Odstavekseznama"/>
              <w:ind w:left="0"/>
              <w:rPr>
                <w:sz w:val="20"/>
                <w:szCs w:val="20"/>
              </w:rPr>
            </w:pPr>
          </w:p>
        </w:tc>
        <w:tc>
          <w:tcPr>
            <w:tcW w:w="7933" w:type="dxa"/>
          </w:tcPr>
          <w:p w:rsidR="00CD7DCF" w:rsidRPr="006076CA" w:rsidRDefault="00CD7DCF" w:rsidP="00DC1D39">
            <w:pPr>
              <w:pStyle w:val="Odstavekseznama"/>
              <w:ind w:left="0"/>
              <w:rPr>
                <w:sz w:val="20"/>
                <w:szCs w:val="20"/>
              </w:rPr>
            </w:pPr>
            <w:r w:rsidRPr="006076CA">
              <w:rPr>
                <w:sz w:val="20"/>
                <w:szCs w:val="20"/>
              </w:rPr>
              <w:t>jasno izražena namera o nespoštovanju odločbe o vrnitvi;</w:t>
            </w:r>
          </w:p>
        </w:tc>
      </w:tr>
      <w:tr w:rsidR="00CD7DCF" w:rsidRPr="006076CA" w:rsidTr="00CD7DCF">
        <w:tc>
          <w:tcPr>
            <w:tcW w:w="567" w:type="dxa"/>
            <w:vMerge/>
          </w:tcPr>
          <w:p w:rsidR="00CD7DCF" w:rsidRPr="006076CA" w:rsidRDefault="00CD7DCF" w:rsidP="00DC1D39">
            <w:pPr>
              <w:pStyle w:val="Odstavekseznama"/>
              <w:ind w:left="0"/>
              <w:rPr>
                <w:sz w:val="20"/>
                <w:szCs w:val="20"/>
              </w:rPr>
            </w:pPr>
          </w:p>
        </w:tc>
        <w:tc>
          <w:tcPr>
            <w:tcW w:w="567" w:type="dxa"/>
          </w:tcPr>
          <w:p w:rsidR="00CD7DCF" w:rsidRPr="006076CA" w:rsidRDefault="00CD7DCF" w:rsidP="00DC1D39">
            <w:pPr>
              <w:pStyle w:val="Odstavekseznama"/>
              <w:ind w:left="0"/>
              <w:rPr>
                <w:sz w:val="20"/>
                <w:szCs w:val="20"/>
              </w:rPr>
            </w:pPr>
          </w:p>
        </w:tc>
        <w:tc>
          <w:tcPr>
            <w:tcW w:w="7933" w:type="dxa"/>
          </w:tcPr>
          <w:p w:rsidR="00CD7DCF" w:rsidRPr="006076CA" w:rsidRDefault="00CD7DCF" w:rsidP="00DC1D39">
            <w:pPr>
              <w:pStyle w:val="Odstavekseznama"/>
              <w:ind w:left="0"/>
              <w:rPr>
                <w:sz w:val="20"/>
                <w:szCs w:val="20"/>
              </w:rPr>
            </w:pPr>
            <w:r w:rsidRPr="006076CA">
              <w:rPr>
                <w:sz w:val="20"/>
                <w:szCs w:val="20"/>
              </w:rPr>
              <w:t>dejstvo, da je bil tujec v zadnjih dveh letih v Republiki Sloveniji pravnomočno obsojen za kaznivo dejanje, za katero se storilec preganja po uradni dolžnosti;</w:t>
            </w:r>
          </w:p>
        </w:tc>
      </w:tr>
      <w:tr w:rsidR="00CD7DCF" w:rsidRPr="006076CA" w:rsidTr="00CD7DCF">
        <w:tc>
          <w:tcPr>
            <w:tcW w:w="567" w:type="dxa"/>
            <w:vMerge/>
          </w:tcPr>
          <w:p w:rsidR="00CD7DCF" w:rsidRPr="006076CA" w:rsidRDefault="00CD7DCF" w:rsidP="00DC1D39">
            <w:pPr>
              <w:pStyle w:val="Odstavekseznama"/>
              <w:ind w:left="0"/>
              <w:rPr>
                <w:sz w:val="20"/>
                <w:szCs w:val="20"/>
              </w:rPr>
            </w:pPr>
          </w:p>
        </w:tc>
        <w:tc>
          <w:tcPr>
            <w:tcW w:w="567" w:type="dxa"/>
          </w:tcPr>
          <w:p w:rsidR="00CD7DCF" w:rsidRPr="006076CA" w:rsidRDefault="00CD7DCF" w:rsidP="00DC1D39">
            <w:pPr>
              <w:pStyle w:val="Odstavekseznama"/>
              <w:ind w:left="0"/>
              <w:rPr>
                <w:sz w:val="20"/>
                <w:szCs w:val="20"/>
              </w:rPr>
            </w:pPr>
          </w:p>
        </w:tc>
        <w:tc>
          <w:tcPr>
            <w:tcW w:w="7933" w:type="dxa"/>
          </w:tcPr>
          <w:p w:rsidR="00CD7DCF" w:rsidRPr="006076CA" w:rsidRDefault="00CD7DCF" w:rsidP="00DC1D39">
            <w:pPr>
              <w:pStyle w:val="Odstavekseznama"/>
              <w:ind w:left="0"/>
              <w:rPr>
                <w:sz w:val="20"/>
                <w:szCs w:val="20"/>
              </w:rPr>
            </w:pPr>
            <w:r w:rsidRPr="006076CA">
              <w:rPr>
                <w:sz w:val="20"/>
                <w:szCs w:val="20"/>
              </w:rPr>
              <w:t>dejstvo, da je bila tujcu v zadnjih dveh letih v Republiki Sloveniji najmanj trikrat izrečena sankcija za prekrške po predpisih zoper javni red, ali za prekrške po predpisih, ki urejajo državno mejo in tujce, orožje ter prepovedane droge.</w:t>
            </w:r>
          </w:p>
        </w:tc>
      </w:tr>
      <w:tr w:rsidR="00410463" w:rsidRPr="006076CA" w:rsidTr="00DC1D39">
        <w:tc>
          <w:tcPr>
            <w:tcW w:w="9067" w:type="dxa"/>
            <w:gridSpan w:val="3"/>
          </w:tcPr>
          <w:p w:rsidR="00410463" w:rsidRPr="006076CA" w:rsidRDefault="00410463" w:rsidP="00DC1D39">
            <w:pPr>
              <w:pStyle w:val="Odstavekseznama"/>
              <w:ind w:left="0"/>
              <w:rPr>
                <w:sz w:val="20"/>
                <w:szCs w:val="20"/>
              </w:rPr>
            </w:pPr>
          </w:p>
          <w:p w:rsidR="00410463" w:rsidRPr="006076CA" w:rsidRDefault="00410463" w:rsidP="00DC1D39">
            <w:pPr>
              <w:pStyle w:val="Odstavekseznama"/>
              <w:ind w:left="0"/>
              <w:rPr>
                <w:sz w:val="20"/>
                <w:szCs w:val="20"/>
              </w:rPr>
            </w:pPr>
            <w:r w:rsidRPr="006076CA">
              <w:rPr>
                <w:sz w:val="20"/>
                <w:szCs w:val="20"/>
              </w:rPr>
              <w:t>Obrazložitev</w:t>
            </w:r>
          </w:p>
          <w:p w:rsidR="00410463" w:rsidRPr="006076CA" w:rsidRDefault="00410463" w:rsidP="00DC1D39">
            <w:pPr>
              <w:pStyle w:val="Odstavekseznama"/>
              <w:ind w:left="0"/>
              <w:rPr>
                <w:sz w:val="20"/>
                <w:szCs w:val="20"/>
              </w:rPr>
            </w:pPr>
          </w:p>
          <w:p w:rsidR="00410463" w:rsidRPr="006076CA" w:rsidRDefault="00410463" w:rsidP="00DC1D39">
            <w:pPr>
              <w:pStyle w:val="Odstavekseznama"/>
              <w:ind w:left="0"/>
              <w:rPr>
                <w:sz w:val="20"/>
                <w:szCs w:val="20"/>
              </w:rPr>
            </w:pPr>
          </w:p>
          <w:p w:rsidR="00410463" w:rsidRPr="006076CA" w:rsidRDefault="00410463" w:rsidP="00DC1D39">
            <w:pPr>
              <w:pStyle w:val="Odstavekseznama"/>
              <w:ind w:left="0"/>
              <w:rPr>
                <w:sz w:val="20"/>
                <w:szCs w:val="20"/>
              </w:rPr>
            </w:pPr>
          </w:p>
          <w:p w:rsidR="00410463" w:rsidRPr="006076CA" w:rsidRDefault="00410463" w:rsidP="00DC1D39">
            <w:pPr>
              <w:pStyle w:val="Odstavekseznama"/>
              <w:ind w:left="0"/>
              <w:rPr>
                <w:sz w:val="20"/>
                <w:szCs w:val="20"/>
              </w:rPr>
            </w:pPr>
          </w:p>
          <w:p w:rsidR="00410463" w:rsidRPr="006076CA" w:rsidRDefault="00410463" w:rsidP="00DC1D39">
            <w:pPr>
              <w:pStyle w:val="Odstavekseznama"/>
              <w:ind w:left="0"/>
              <w:rPr>
                <w:sz w:val="20"/>
                <w:szCs w:val="20"/>
              </w:rPr>
            </w:pPr>
          </w:p>
          <w:p w:rsidR="00410463" w:rsidRPr="006076CA" w:rsidRDefault="00410463" w:rsidP="00DC1D39">
            <w:pPr>
              <w:pStyle w:val="Odstavekseznama"/>
              <w:ind w:left="0"/>
              <w:rPr>
                <w:sz w:val="20"/>
                <w:szCs w:val="20"/>
              </w:rPr>
            </w:pPr>
          </w:p>
          <w:p w:rsidR="00410463" w:rsidRPr="006076CA" w:rsidRDefault="00CD7DCF" w:rsidP="00CD7DCF">
            <w:pPr>
              <w:pStyle w:val="Odstavekseznama"/>
              <w:tabs>
                <w:tab w:val="left" w:pos="6792"/>
              </w:tabs>
              <w:ind w:left="0"/>
              <w:rPr>
                <w:sz w:val="20"/>
                <w:szCs w:val="20"/>
              </w:rPr>
            </w:pPr>
            <w:r w:rsidRPr="006076CA">
              <w:rPr>
                <w:sz w:val="20"/>
                <w:szCs w:val="20"/>
              </w:rPr>
              <w:tab/>
            </w:r>
          </w:p>
          <w:p w:rsidR="00CD7DCF" w:rsidRPr="006076CA" w:rsidRDefault="00CD7DCF" w:rsidP="00CD7DCF">
            <w:pPr>
              <w:pStyle w:val="Odstavekseznama"/>
              <w:tabs>
                <w:tab w:val="left" w:pos="6792"/>
              </w:tabs>
              <w:ind w:left="0"/>
              <w:rPr>
                <w:sz w:val="20"/>
                <w:szCs w:val="20"/>
              </w:rPr>
            </w:pPr>
          </w:p>
          <w:p w:rsidR="00410463" w:rsidRPr="006076CA" w:rsidRDefault="00410463" w:rsidP="00DC1D39">
            <w:pPr>
              <w:pStyle w:val="Odstavekseznama"/>
              <w:ind w:left="0"/>
              <w:rPr>
                <w:sz w:val="20"/>
                <w:szCs w:val="20"/>
              </w:rPr>
            </w:pPr>
          </w:p>
          <w:p w:rsidR="00CD7DCF" w:rsidRPr="006076CA" w:rsidRDefault="00CD7DCF" w:rsidP="00DC1D39">
            <w:pPr>
              <w:pStyle w:val="Odstavekseznama"/>
              <w:ind w:left="0"/>
              <w:rPr>
                <w:sz w:val="20"/>
                <w:szCs w:val="20"/>
              </w:rPr>
            </w:pPr>
          </w:p>
          <w:p w:rsidR="00410463" w:rsidRPr="006076CA" w:rsidRDefault="00410463" w:rsidP="00DC1D39">
            <w:pPr>
              <w:pStyle w:val="Odstavekseznama"/>
              <w:ind w:left="0"/>
              <w:rPr>
                <w:sz w:val="20"/>
                <w:szCs w:val="20"/>
              </w:rPr>
            </w:pPr>
          </w:p>
        </w:tc>
      </w:tr>
    </w:tbl>
    <w:p w:rsidR="00410463" w:rsidRPr="006076CA" w:rsidRDefault="00410463" w:rsidP="009A491F">
      <w:pPr>
        <w:pStyle w:val="Odstavekseznama"/>
        <w:rPr>
          <w:sz w:val="20"/>
          <w:szCs w:val="20"/>
        </w:rPr>
      </w:pPr>
    </w:p>
    <w:p w:rsidR="00BC2066" w:rsidRPr="006076CA" w:rsidRDefault="00CD7DCF">
      <w:pPr>
        <w:pStyle w:val="Odstavekseznama"/>
        <w:ind w:left="0"/>
        <w:rPr>
          <w:sz w:val="20"/>
          <w:szCs w:val="20"/>
        </w:rPr>
      </w:pPr>
      <w:r w:rsidRPr="006076CA">
        <w:rPr>
          <w:sz w:val="20"/>
          <w:szCs w:val="20"/>
        </w:rPr>
        <w:t>V skladu s prvim odstavkom 67. člena Zakona o tujcih in razlogih navedenih v točki 3.c te odločbe se je tujcu določil</w:t>
      </w:r>
      <w:r w:rsidR="006076CA">
        <w:rPr>
          <w:sz w:val="20"/>
          <w:szCs w:val="20"/>
        </w:rPr>
        <w:t>a</w:t>
      </w:r>
      <w:r w:rsidRPr="006076CA">
        <w:rPr>
          <w:sz w:val="20"/>
          <w:szCs w:val="20"/>
        </w:rPr>
        <w:t xml:space="preserve"> tudi prepoved vstopa, kot izhaja iz izreka te odločbe.  </w:t>
      </w:r>
    </w:p>
    <w:p w:rsidR="00BC2066" w:rsidRPr="006076CA" w:rsidRDefault="00BC2066">
      <w:pPr>
        <w:pStyle w:val="Odstavekseznama"/>
        <w:ind w:left="0"/>
        <w:rPr>
          <w:sz w:val="20"/>
          <w:szCs w:val="20"/>
        </w:rPr>
      </w:pPr>
    </w:p>
    <w:p w:rsidR="00293D57" w:rsidRPr="006076CA" w:rsidRDefault="00CD7DCF">
      <w:pPr>
        <w:pStyle w:val="Odstavekseznama"/>
        <w:ind w:left="0"/>
        <w:rPr>
          <w:sz w:val="20"/>
          <w:szCs w:val="20"/>
        </w:rPr>
      </w:pPr>
      <w:r w:rsidRPr="006076CA">
        <w:rPr>
          <w:sz w:val="20"/>
          <w:szCs w:val="20"/>
        </w:rPr>
        <w:t>Čas, v katerem je tujcu prepovedan vstop, začne teči z dnem izvršitve te odločbe.</w:t>
      </w:r>
    </w:p>
    <w:p w:rsidR="00CD7DCF" w:rsidRPr="006076CA" w:rsidRDefault="00CD7DCF">
      <w:pPr>
        <w:pStyle w:val="Odstavekseznama"/>
        <w:ind w:left="0"/>
        <w:rPr>
          <w:sz w:val="20"/>
          <w:szCs w:val="20"/>
        </w:rPr>
      </w:pPr>
    </w:p>
    <w:p w:rsidR="00293D57" w:rsidRPr="006076CA" w:rsidRDefault="00CD7DCF" w:rsidP="006076CA">
      <w:pPr>
        <w:pStyle w:val="Odstavekseznama"/>
        <w:ind w:left="0"/>
        <w:jc w:val="both"/>
        <w:rPr>
          <w:sz w:val="20"/>
          <w:szCs w:val="20"/>
        </w:rPr>
      </w:pPr>
      <w:r w:rsidRPr="006076CA">
        <w:rPr>
          <w:sz w:val="20"/>
          <w:szCs w:val="20"/>
        </w:rPr>
        <w:t xml:space="preserve">Iz razlogov </w:t>
      </w:r>
      <w:r w:rsidR="006076CA">
        <w:rPr>
          <w:sz w:val="20"/>
          <w:szCs w:val="20"/>
        </w:rPr>
        <w:t xml:space="preserve">navedenih v tretjem odstavku 66. člena Zakona o tujcih, </w:t>
      </w:r>
      <w:r w:rsidRPr="006076CA">
        <w:rPr>
          <w:sz w:val="20"/>
          <w:szCs w:val="20"/>
        </w:rPr>
        <w:t>lahko organ, ki je izdal to odločbo, prepoved vstopa, določeno s to odločbo, po uradni dolžnosti ali na prošnjo tujca prekliče, skrajša ali začasno odloži.</w:t>
      </w:r>
    </w:p>
    <w:p w:rsidR="004D4CAF" w:rsidRDefault="004D4CAF" w:rsidP="00CE0FF9">
      <w:pPr>
        <w:jc w:val="both"/>
        <w:rPr>
          <w:sz w:val="20"/>
          <w:szCs w:val="20"/>
        </w:rPr>
      </w:pPr>
      <w:r w:rsidRPr="006076CA">
        <w:rPr>
          <w:sz w:val="20"/>
          <w:szCs w:val="20"/>
        </w:rPr>
        <w:t>Tujec, ki mu je izdana odločba o vrnitvi, ima pravico do brezplačnega pravnega svetovanja</w:t>
      </w:r>
      <w:r w:rsidR="00CD7DCF" w:rsidRPr="006076CA">
        <w:rPr>
          <w:sz w:val="20"/>
          <w:szCs w:val="20"/>
        </w:rPr>
        <w:t>.</w:t>
      </w:r>
    </w:p>
    <w:p w:rsidR="006076CA" w:rsidRDefault="001B1626" w:rsidP="00CE0FF9">
      <w:pPr>
        <w:jc w:val="both"/>
        <w:rPr>
          <w:sz w:val="20"/>
          <w:szCs w:val="20"/>
        </w:rPr>
      </w:pPr>
      <w:r>
        <w:rPr>
          <w:sz w:val="20"/>
          <w:szCs w:val="20"/>
        </w:rPr>
        <w:t xml:space="preserve">Na zahtevo tujca, se mu </w:t>
      </w:r>
      <w:r w:rsidR="00CE0FF9">
        <w:rPr>
          <w:sz w:val="20"/>
          <w:szCs w:val="20"/>
        </w:rPr>
        <w:t xml:space="preserve">poleg zagotovljenega prevoda izreka in pouka o pravnem sredstvu te odločbe, </w:t>
      </w:r>
      <w:r w:rsidRPr="00A60195">
        <w:rPr>
          <w:sz w:val="20"/>
          <w:szCs w:val="20"/>
        </w:rPr>
        <w:t>odločb</w:t>
      </w:r>
      <w:r>
        <w:rPr>
          <w:sz w:val="20"/>
          <w:szCs w:val="20"/>
        </w:rPr>
        <w:t>a oziroma njeni posamezni deli</w:t>
      </w:r>
      <w:r w:rsidRPr="00A60195">
        <w:rPr>
          <w:sz w:val="20"/>
          <w:szCs w:val="20"/>
        </w:rPr>
        <w:t xml:space="preserve"> pisno ali ustno prevede</w:t>
      </w:r>
      <w:r>
        <w:rPr>
          <w:sz w:val="20"/>
          <w:szCs w:val="20"/>
        </w:rPr>
        <w:t>jo</w:t>
      </w:r>
      <w:r w:rsidRPr="00A60195">
        <w:rPr>
          <w:sz w:val="20"/>
          <w:szCs w:val="20"/>
        </w:rPr>
        <w:t xml:space="preserve"> v jezik, ki ga razume</w:t>
      </w:r>
      <w:r>
        <w:rPr>
          <w:sz w:val="20"/>
          <w:szCs w:val="20"/>
        </w:rPr>
        <w:t>.</w:t>
      </w:r>
    </w:p>
    <w:p w:rsidR="00CE0FF9" w:rsidRDefault="00CE0FF9" w:rsidP="00CE0FF9">
      <w:pPr>
        <w:jc w:val="both"/>
        <w:rPr>
          <w:sz w:val="20"/>
          <w:szCs w:val="20"/>
        </w:rPr>
      </w:pPr>
      <w:r>
        <w:rPr>
          <w:sz w:val="20"/>
          <w:szCs w:val="20"/>
        </w:rPr>
        <w:t xml:space="preserve">Tujec lahko zaprosi za pomoč pri vračanju organizacijo, ki izvaja </w:t>
      </w:r>
      <w:r w:rsidRPr="00CE0FF9">
        <w:rPr>
          <w:sz w:val="20"/>
          <w:szCs w:val="20"/>
        </w:rPr>
        <w:t>Program prostovoljnega vračanja in reintegracije</w:t>
      </w:r>
      <w:r>
        <w:rPr>
          <w:sz w:val="20"/>
          <w:szCs w:val="20"/>
        </w:rPr>
        <w:t>.</w:t>
      </w:r>
    </w:p>
    <w:p w:rsidR="00FF4689" w:rsidRDefault="00FF4689" w:rsidP="00CE0FF9">
      <w:pPr>
        <w:jc w:val="both"/>
        <w:rPr>
          <w:sz w:val="20"/>
          <w:szCs w:val="20"/>
        </w:rPr>
      </w:pPr>
    </w:p>
    <w:p w:rsidR="004D4CAF" w:rsidRPr="006076CA" w:rsidRDefault="004D4CAF" w:rsidP="004D4CAF">
      <w:pPr>
        <w:pStyle w:val="Odstavekseznama"/>
        <w:numPr>
          <w:ilvl w:val="0"/>
          <w:numId w:val="1"/>
        </w:numPr>
        <w:rPr>
          <w:sz w:val="20"/>
          <w:szCs w:val="20"/>
        </w:rPr>
      </w:pPr>
      <w:r w:rsidRPr="006076CA">
        <w:rPr>
          <w:sz w:val="20"/>
          <w:szCs w:val="20"/>
        </w:rPr>
        <w:t>Pouk o pravnem sredstvu</w:t>
      </w:r>
    </w:p>
    <w:p w:rsidR="004D4CAF" w:rsidRPr="006076CA" w:rsidRDefault="004D4CAF" w:rsidP="004D4CAF">
      <w:pPr>
        <w:spacing w:after="0" w:line="260" w:lineRule="exact"/>
        <w:jc w:val="both"/>
        <w:rPr>
          <w:sz w:val="20"/>
          <w:szCs w:val="20"/>
        </w:rPr>
      </w:pPr>
      <w:r w:rsidRPr="006076CA">
        <w:rPr>
          <w:sz w:val="20"/>
          <w:szCs w:val="20"/>
        </w:rPr>
        <w:t xml:space="preserve">Zoper to odločbo je dovoljena pritožba </w:t>
      </w:r>
      <w:r w:rsidR="00F72869" w:rsidRPr="006076CA">
        <w:rPr>
          <w:sz w:val="20"/>
          <w:szCs w:val="20"/>
        </w:rPr>
        <w:t>na Ministrstvo za notranje zadeve, Štefanova ulica 2, Ljubljana. Pritožba se v roku petih dni od vročitve odločbe vloži na policijski postaji, ki je izdala odločbo, in sicer pisno, ustno na zapisnik ali pa se na njen naslov</w:t>
      </w:r>
      <w:r w:rsidR="00C40EA9" w:rsidRPr="006076CA">
        <w:rPr>
          <w:sz w:val="20"/>
          <w:szCs w:val="20"/>
        </w:rPr>
        <w:t xml:space="preserve"> pošlje priporočeno po pošti. </w:t>
      </w:r>
      <w:r w:rsidRPr="006076CA">
        <w:rPr>
          <w:sz w:val="20"/>
          <w:szCs w:val="20"/>
        </w:rPr>
        <w:t>Za vložitev pritožbe se taksa ne plača.</w:t>
      </w:r>
    </w:p>
    <w:p w:rsidR="00C40EA9" w:rsidRPr="006076CA" w:rsidRDefault="00C40EA9" w:rsidP="004D4CAF">
      <w:pPr>
        <w:spacing w:after="0" w:line="260" w:lineRule="exact"/>
        <w:jc w:val="both"/>
        <w:rPr>
          <w:sz w:val="20"/>
          <w:szCs w:val="20"/>
        </w:rPr>
      </w:pPr>
    </w:p>
    <w:p w:rsidR="00C40EA9" w:rsidRPr="006076CA" w:rsidRDefault="00C40EA9" w:rsidP="004D4CAF">
      <w:pPr>
        <w:spacing w:after="0" w:line="260" w:lineRule="exact"/>
        <w:jc w:val="both"/>
        <w:rPr>
          <w:sz w:val="20"/>
          <w:szCs w:val="20"/>
        </w:rPr>
      </w:pPr>
      <w:r w:rsidRPr="006076CA">
        <w:rPr>
          <w:sz w:val="20"/>
          <w:szCs w:val="20"/>
        </w:rPr>
        <w:tab/>
      </w:r>
      <w:r w:rsidRPr="006076CA">
        <w:rPr>
          <w:sz w:val="20"/>
          <w:szCs w:val="20"/>
        </w:rPr>
        <w:tab/>
      </w:r>
    </w:p>
    <w:p w:rsidR="00C40EA9" w:rsidRPr="006076CA" w:rsidRDefault="00C40EA9" w:rsidP="004D4CAF">
      <w:pPr>
        <w:spacing w:after="0" w:line="260" w:lineRule="exact"/>
        <w:jc w:val="both"/>
        <w:rPr>
          <w:sz w:val="20"/>
          <w:szCs w:val="20"/>
        </w:rPr>
      </w:pPr>
      <w:r w:rsidRPr="006076CA">
        <w:rPr>
          <w:sz w:val="20"/>
          <w:szCs w:val="20"/>
        </w:rPr>
        <w:tab/>
      </w:r>
      <w:r w:rsidRPr="006076CA">
        <w:rPr>
          <w:sz w:val="20"/>
          <w:szCs w:val="20"/>
        </w:rPr>
        <w:tab/>
      </w:r>
      <w:r w:rsidRPr="006076CA">
        <w:rPr>
          <w:sz w:val="20"/>
          <w:szCs w:val="20"/>
        </w:rPr>
        <w:tab/>
      </w:r>
      <w:r w:rsidRPr="006076CA">
        <w:rPr>
          <w:sz w:val="20"/>
          <w:szCs w:val="20"/>
        </w:rPr>
        <w:tab/>
      </w:r>
      <w:r w:rsidRPr="006076CA">
        <w:rPr>
          <w:sz w:val="20"/>
          <w:szCs w:val="20"/>
        </w:rPr>
        <w:tab/>
      </w:r>
      <w:r w:rsidRPr="006076CA">
        <w:rPr>
          <w:sz w:val="20"/>
          <w:szCs w:val="20"/>
        </w:rPr>
        <w:tab/>
      </w:r>
      <w:r w:rsidRPr="006076CA">
        <w:rPr>
          <w:sz w:val="20"/>
          <w:szCs w:val="20"/>
        </w:rPr>
        <w:tab/>
      </w:r>
      <w:r w:rsidRPr="006076CA">
        <w:rPr>
          <w:sz w:val="20"/>
          <w:szCs w:val="20"/>
        </w:rPr>
        <w:tab/>
      </w:r>
      <w:r w:rsidRPr="006076CA">
        <w:rPr>
          <w:sz w:val="20"/>
          <w:szCs w:val="20"/>
        </w:rPr>
        <w:tab/>
      </w:r>
    </w:p>
    <w:p w:rsidR="00C40EA9" w:rsidRPr="006076CA" w:rsidRDefault="00C40EA9" w:rsidP="00C40EA9">
      <w:pPr>
        <w:spacing w:after="0" w:line="260" w:lineRule="exact"/>
        <w:jc w:val="center"/>
        <w:rPr>
          <w:sz w:val="20"/>
          <w:szCs w:val="20"/>
        </w:rPr>
      </w:pPr>
      <w:r w:rsidRPr="006076CA">
        <w:rPr>
          <w:sz w:val="20"/>
          <w:szCs w:val="20"/>
        </w:rPr>
        <w:t>žig</w:t>
      </w:r>
    </w:p>
    <w:p w:rsidR="00C40EA9" w:rsidRPr="006076CA" w:rsidRDefault="00C40EA9" w:rsidP="00C40EA9">
      <w:pPr>
        <w:spacing w:after="0" w:line="260" w:lineRule="exact"/>
        <w:jc w:val="right"/>
        <w:rPr>
          <w:sz w:val="20"/>
          <w:szCs w:val="20"/>
        </w:rPr>
      </w:pPr>
      <w:r w:rsidRPr="006076CA">
        <w:rPr>
          <w:sz w:val="20"/>
          <w:szCs w:val="20"/>
        </w:rPr>
        <w:t>Podpis uradne osebe</w:t>
      </w:r>
    </w:p>
    <w:p w:rsidR="00C40EA9" w:rsidRPr="006076CA" w:rsidRDefault="00C40EA9" w:rsidP="00C40EA9">
      <w:pPr>
        <w:spacing w:after="0" w:line="260" w:lineRule="exact"/>
        <w:jc w:val="right"/>
        <w:rPr>
          <w:sz w:val="20"/>
          <w:szCs w:val="20"/>
        </w:rPr>
      </w:pPr>
      <w:r w:rsidRPr="006076CA">
        <w:rPr>
          <w:sz w:val="20"/>
          <w:szCs w:val="20"/>
        </w:rPr>
        <w:t>----------------------------</w:t>
      </w:r>
    </w:p>
    <w:p w:rsidR="004D4CAF" w:rsidRPr="006076CA" w:rsidRDefault="004D4CAF" w:rsidP="004D4CAF">
      <w:pPr>
        <w:spacing w:after="0" w:line="260" w:lineRule="exact"/>
        <w:jc w:val="both"/>
        <w:rPr>
          <w:sz w:val="20"/>
          <w:szCs w:val="20"/>
        </w:rPr>
      </w:pPr>
    </w:p>
    <w:p w:rsidR="004D4CAF" w:rsidRPr="006076CA" w:rsidRDefault="004D4CAF" w:rsidP="00293D57">
      <w:pPr>
        <w:pStyle w:val="Odstavekseznama"/>
        <w:ind w:left="0"/>
        <w:rPr>
          <w:sz w:val="20"/>
          <w:szCs w:val="20"/>
        </w:rPr>
      </w:pPr>
    </w:p>
    <w:p w:rsidR="00C40EA9" w:rsidRPr="006076CA" w:rsidRDefault="00C40EA9" w:rsidP="00293D57">
      <w:pPr>
        <w:pStyle w:val="Odstavekseznama"/>
        <w:ind w:left="0"/>
        <w:rPr>
          <w:sz w:val="20"/>
          <w:szCs w:val="20"/>
        </w:rPr>
      </w:pPr>
    </w:p>
    <w:p w:rsidR="00C40EA9" w:rsidRPr="006076CA" w:rsidRDefault="00C40EA9" w:rsidP="00293D57">
      <w:pPr>
        <w:pStyle w:val="Odstavekseznama"/>
        <w:ind w:left="0"/>
        <w:rPr>
          <w:sz w:val="20"/>
          <w:szCs w:val="20"/>
        </w:rPr>
      </w:pPr>
    </w:p>
    <w:p w:rsidR="00C40EA9" w:rsidRPr="006076CA" w:rsidRDefault="00C40EA9" w:rsidP="00293D57">
      <w:pPr>
        <w:pStyle w:val="Odstavekseznama"/>
        <w:ind w:left="0"/>
        <w:rPr>
          <w:sz w:val="20"/>
          <w:szCs w:val="20"/>
        </w:rPr>
      </w:pPr>
      <w:r w:rsidRPr="006076CA">
        <w:rPr>
          <w:sz w:val="20"/>
          <w:szCs w:val="20"/>
        </w:rPr>
        <w:t>Prevodi izreka in pouka o pravnem sredstvu:</w:t>
      </w:r>
    </w:p>
    <w:p w:rsidR="00C40EA9" w:rsidRPr="006076CA" w:rsidRDefault="00C40EA9" w:rsidP="00C40EA9">
      <w:pPr>
        <w:pStyle w:val="Odstavekseznama"/>
        <w:numPr>
          <w:ilvl w:val="0"/>
          <w:numId w:val="2"/>
        </w:numPr>
        <w:rPr>
          <w:sz w:val="20"/>
          <w:szCs w:val="20"/>
        </w:rPr>
      </w:pPr>
      <w:r w:rsidRPr="006076CA">
        <w:rPr>
          <w:sz w:val="20"/>
          <w:szCs w:val="20"/>
        </w:rPr>
        <w:t>Albanščina</w:t>
      </w:r>
    </w:p>
    <w:p w:rsidR="00C40EA9" w:rsidRPr="006076CA" w:rsidRDefault="00C40EA9" w:rsidP="00C40EA9">
      <w:pPr>
        <w:pStyle w:val="Odstavekseznama"/>
        <w:numPr>
          <w:ilvl w:val="0"/>
          <w:numId w:val="2"/>
        </w:numPr>
        <w:rPr>
          <w:sz w:val="20"/>
          <w:szCs w:val="20"/>
        </w:rPr>
      </w:pPr>
      <w:r w:rsidRPr="006076CA">
        <w:rPr>
          <w:sz w:val="20"/>
          <w:szCs w:val="20"/>
        </w:rPr>
        <w:t>Angleščina</w:t>
      </w:r>
    </w:p>
    <w:p w:rsidR="00C40EA9" w:rsidRPr="006076CA" w:rsidRDefault="00C40EA9" w:rsidP="00C40EA9">
      <w:pPr>
        <w:pStyle w:val="Odstavekseznama"/>
        <w:numPr>
          <w:ilvl w:val="0"/>
          <w:numId w:val="2"/>
        </w:numPr>
        <w:rPr>
          <w:sz w:val="20"/>
          <w:szCs w:val="20"/>
        </w:rPr>
      </w:pPr>
      <w:r w:rsidRPr="006076CA">
        <w:rPr>
          <w:sz w:val="20"/>
          <w:szCs w:val="20"/>
        </w:rPr>
        <w:t>Arabščina</w:t>
      </w:r>
    </w:p>
    <w:p w:rsidR="00C40EA9" w:rsidRPr="006076CA" w:rsidRDefault="00C40EA9" w:rsidP="00C40EA9">
      <w:pPr>
        <w:pStyle w:val="Odstavekseznama"/>
        <w:numPr>
          <w:ilvl w:val="0"/>
          <w:numId w:val="2"/>
        </w:numPr>
        <w:rPr>
          <w:sz w:val="20"/>
          <w:szCs w:val="20"/>
        </w:rPr>
      </w:pPr>
      <w:r w:rsidRPr="006076CA">
        <w:rPr>
          <w:sz w:val="20"/>
          <w:szCs w:val="20"/>
        </w:rPr>
        <w:t>Bosanščina</w:t>
      </w:r>
    </w:p>
    <w:p w:rsidR="00C40EA9" w:rsidRPr="006076CA" w:rsidRDefault="00C40EA9" w:rsidP="00C40EA9">
      <w:pPr>
        <w:pStyle w:val="Odstavekseznama"/>
        <w:numPr>
          <w:ilvl w:val="0"/>
          <w:numId w:val="2"/>
        </w:numPr>
        <w:rPr>
          <w:sz w:val="20"/>
          <w:szCs w:val="20"/>
        </w:rPr>
      </w:pPr>
      <w:r w:rsidRPr="006076CA">
        <w:rPr>
          <w:sz w:val="20"/>
          <w:szCs w:val="20"/>
        </w:rPr>
        <w:t>Makedonščina</w:t>
      </w:r>
    </w:p>
    <w:p w:rsidR="00C40EA9" w:rsidRPr="006076CA" w:rsidRDefault="00C40EA9" w:rsidP="00C40EA9">
      <w:pPr>
        <w:pStyle w:val="Odstavekseznama"/>
        <w:numPr>
          <w:ilvl w:val="0"/>
          <w:numId w:val="2"/>
        </w:numPr>
        <w:rPr>
          <w:sz w:val="20"/>
          <w:szCs w:val="20"/>
        </w:rPr>
      </w:pPr>
      <w:r w:rsidRPr="006076CA">
        <w:rPr>
          <w:sz w:val="20"/>
          <w:szCs w:val="20"/>
        </w:rPr>
        <w:t>Ruščina</w:t>
      </w:r>
    </w:p>
    <w:p w:rsidR="00C40EA9" w:rsidRPr="006076CA" w:rsidRDefault="00C40EA9" w:rsidP="00C40EA9">
      <w:pPr>
        <w:pStyle w:val="Odstavekseznama"/>
        <w:numPr>
          <w:ilvl w:val="0"/>
          <w:numId w:val="2"/>
        </w:numPr>
        <w:rPr>
          <w:sz w:val="20"/>
          <w:szCs w:val="20"/>
        </w:rPr>
      </w:pPr>
      <w:r w:rsidRPr="006076CA">
        <w:rPr>
          <w:sz w:val="20"/>
          <w:szCs w:val="20"/>
        </w:rPr>
        <w:t>Srbščina</w:t>
      </w:r>
    </w:p>
    <w:p w:rsidR="00C40EA9" w:rsidRDefault="00C40EA9" w:rsidP="00C40EA9">
      <w:pPr>
        <w:pStyle w:val="Odstavekseznama"/>
        <w:numPr>
          <w:ilvl w:val="0"/>
          <w:numId w:val="2"/>
        </w:numPr>
        <w:rPr>
          <w:sz w:val="20"/>
          <w:szCs w:val="20"/>
        </w:rPr>
      </w:pPr>
      <w:r w:rsidRPr="006076CA">
        <w:rPr>
          <w:sz w:val="20"/>
          <w:szCs w:val="20"/>
        </w:rPr>
        <w:t>Turščina</w:t>
      </w:r>
    </w:p>
    <w:p w:rsidR="00B06990" w:rsidRDefault="00B06990" w:rsidP="00B06990">
      <w:pPr>
        <w:pStyle w:val="Odstavekseznama"/>
        <w:rPr>
          <w:sz w:val="20"/>
          <w:szCs w:val="20"/>
        </w:rPr>
      </w:pPr>
    </w:p>
    <w:p w:rsidR="00790A23" w:rsidRPr="00790A23" w:rsidRDefault="00790A23" w:rsidP="00790A23">
      <w:pPr>
        <w:rPr>
          <w:sz w:val="20"/>
          <w:szCs w:val="20"/>
        </w:rPr>
      </w:pPr>
      <w:r>
        <w:rPr>
          <w:sz w:val="20"/>
          <w:szCs w:val="20"/>
        </w:rPr>
        <w:t>Opomba:</w:t>
      </w:r>
      <w:r w:rsidR="00B06990">
        <w:rPr>
          <w:sz w:val="20"/>
          <w:szCs w:val="20"/>
        </w:rPr>
        <w:t xml:space="preserve">  </w:t>
      </w:r>
      <w:r>
        <w:rPr>
          <w:sz w:val="20"/>
          <w:szCs w:val="20"/>
        </w:rPr>
        <w:t>Odvečna vsebina obrazca v izreku in obrazložitvi se briše glede na izrek odločbe.</w:t>
      </w:r>
    </w:p>
    <w:sectPr w:rsidR="00790A23" w:rsidRPr="00790A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3F8" w:rsidRDefault="005503F8" w:rsidP="000F7992">
      <w:pPr>
        <w:spacing w:after="0" w:line="240" w:lineRule="auto"/>
      </w:pPr>
      <w:r>
        <w:separator/>
      </w:r>
    </w:p>
  </w:endnote>
  <w:endnote w:type="continuationSeparator" w:id="0">
    <w:p w:rsidR="005503F8" w:rsidRDefault="005503F8" w:rsidP="000F7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BPIGJ+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3F8" w:rsidRDefault="005503F8" w:rsidP="000F7992">
      <w:pPr>
        <w:spacing w:after="0" w:line="240" w:lineRule="auto"/>
      </w:pPr>
      <w:r>
        <w:separator/>
      </w:r>
    </w:p>
  </w:footnote>
  <w:footnote w:type="continuationSeparator" w:id="0">
    <w:p w:rsidR="005503F8" w:rsidRDefault="005503F8" w:rsidP="000F79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713A"/>
    <w:multiLevelType w:val="hybridMultilevel"/>
    <w:tmpl w:val="9126D3A2"/>
    <w:lvl w:ilvl="0" w:tplc="24260C6A">
      <w:start w:val="4"/>
      <w:numFmt w:val="bullet"/>
      <w:lvlText w:val="-"/>
      <w:lvlJc w:val="left"/>
      <w:pPr>
        <w:ind w:left="720" w:hanging="360"/>
      </w:pPr>
      <w:rPr>
        <w:rFonts w:ascii="Arial" w:eastAsiaTheme="minorHAnsi" w:hAnsi="Arial" w:cs="Arial"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570185E"/>
    <w:multiLevelType w:val="hybridMultilevel"/>
    <w:tmpl w:val="6A0817A6"/>
    <w:lvl w:ilvl="0" w:tplc="A5869E90">
      <w:start w:val="1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B2D3ADE"/>
    <w:multiLevelType w:val="hybridMultilevel"/>
    <w:tmpl w:val="CB504C48"/>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F7D63CF"/>
    <w:multiLevelType w:val="hybridMultilevel"/>
    <w:tmpl w:val="B9EC08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9EF0038"/>
    <w:multiLevelType w:val="hybridMultilevel"/>
    <w:tmpl w:val="CB504C48"/>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F3646BC"/>
    <w:multiLevelType w:val="hybridMultilevel"/>
    <w:tmpl w:val="CB504C48"/>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7FB1064D"/>
    <w:multiLevelType w:val="hybridMultilevel"/>
    <w:tmpl w:val="CB504C48"/>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F8F"/>
    <w:rsid w:val="00037967"/>
    <w:rsid w:val="00062E28"/>
    <w:rsid w:val="000F7992"/>
    <w:rsid w:val="001209C0"/>
    <w:rsid w:val="00157260"/>
    <w:rsid w:val="00196876"/>
    <w:rsid w:val="001B1626"/>
    <w:rsid w:val="001B69C1"/>
    <w:rsid w:val="0021307C"/>
    <w:rsid w:val="00293D57"/>
    <w:rsid w:val="003A0B8F"/>
    <w:rsid w:val="00410463"/>
    <w:rsid w:val="004D4CAF"/>
    <w:rsid w:val="0053379A"/>
    <w:rsid w:val="005503F8"/>
    <w:rsid w:val="006076CA"/>
    <w:rsid w:val="00710A7F"/>
    <w:rsid w:val="00790A23"/>
    <w:rsid w:val="008E4AF8"/>
    <w:rsid w:val="00913F8F"/>
    <w:rsid w:val="00957CDF"/>
    <w:rsid w:val="00994159"/>
    <w:rsid w:val="009A491F"/>
    <w:rsid w:val="00AB7698"/>
    <w:rsid w:val="00B021D4"/>
    <w:rsid w:val="00B06990"/>
    <w:rsid w:val="00BC2066"/>
    <w:rsid w:val="00C04F66"/>
    <w:rsid w:val="00C40EA9"/>
    <w:rsid w:val="00C459E8"/>
    <w:rsid w:val="00CD7DCF"/>
    <w:rsid w:val="00CE0FF9"/>
    <w:rsid w:val="00D120AC"/>
    <w:rsid w:val="00DC1D39"/>
    <w:rsid w:val="00DE00D9"/>
    <w:rsid w:val="00E53A27"/>
    <w:rsid w:val="00E84CDC"/>
    <w:rsid w:val="00EA251F"/>
    <w:rsid w:val="00F36F7C"/>
    <w:rsid w:val="00F72869"/>
    <w:rsid w:val="00FF468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81C82E-C416-498A-8C67-04D52A3F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913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EA251F"/>
    <w:pPr>
      <w:ind w:left="720"/>
      <w:contextualSpacing/>
    </w:pPr>
  </w:style>
  <w:style w:type="paragraph" w:styleId="Besedilooblaka">
    <w:name w:val="Balloon Text"/>
    <w:basedOn w:val="Navaden"/>
    <w:link w:val="BesedilooblakaZnak"/>
    <w:uiPriority w:val="99"/>
    <w:semiHidden/>
    <w:rsid w:val="00EA251F"/>
    <w:pPr>
      <w:spacing w:after="0" w:line="260" w:lineRule="exact"/>
    </w:pPr>
    <w:rPr>
      <w:rFonts w:ascii="Tahoma" w:eastAsia="Calibri" w:hAnsi="Tahoma" w:cs="Tahoma"/>
      <w:sz w:val="16"/>
      <w:szCs w:val="16"/>
    </w:rPr>
  </w:style>
  <w:style w:type="character" w:customStyle="1" w:styleId="BesedilooblakaZnak">
    <w:name w:val="Besedilo oblačka Znak"/>
    <w:basedOn w:val="Privzetapisavaodstavka"/>
    <w:link w:val="Besedilooblaka"/>
    <w:uiPriority w:val="99"/>
    <w:semiHidden/>
    <w:rsid w:val="00EA251F"/>
    <w:rPr>
      <w:rFonts w:ascii="Tahoma" w:eastAsia="Calibri" w:hAnsi="Tahoma" w:cs="Tahoma"/>
      <w:sz w:val="16"/>
      <w:szCs w:val="16"/>
    </w:rPr>
  </w:style>
  <w:style w:type="character" w:styleId="Pripombasklic">
    <w:name w:val="annotation reference"/>
    <w:basedOn w:val="Privzetapisavaodstavka"/>
    <w:uiPriority w:val="99"/>
    <w:semiHidden/>
    <w:unhideWhenUsed/>
    <w:rsid w:val="00C04F66"/>
    <w:rPr>
      <w:sz w:val="16"/>
      <w:szCs w:val="16"/>
    </w:rPr>
  </w:style>
  <w:style w:type="paragraph" w:styleId="Pripombabesedilo">
    <w:name w:val="annotation text"/>
    <w:basedOn w:val="Navaden"/>
    <w:link w:val="PripombabesediloZnak"/>
    <w:uiPriority w:val="99"/>
    <w:semiHidden/>
    <w:unhideWhenUsed/>
    <w:rsid w:val="00C04F66"/>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C04F66"/>
    <w:rPr>
      <w:sz w:val="20"/>
      <w:szCs w:val="20"/>
    </w:rPr>
  </w:style>
  <w:style w:type="paragraph" w:styleId="Zadevapripombe">
    <w:name w:val="annotation subject"/>
    <w:basedOn w:val="Pripombabesedilo"/>
    <w:next w:val="Pripombabesedilo"/>
    <w:link w:val="ZadevapripombeZnak"/>
    <w:uiPriority w:val="99"/>
    <w:semiHidden/>
    <w:unhideWhenUsed/>
    <w:rsid w:val="00C04F66"/>
    <w:rPr>
      <w:b/>
      <w:bCs/>
    </w:rPr>
  </w:style>
  <w:style w:type="character" w:customStyle="1" w:styleId="ZadevapripombeZnak">
    <w:name w:val="Zadeva pripombe Znak"/>
    <w:basedOn w:val="PripombabesediloZnak"/>
    <w:link w:val="Zadevapripombe"/>
    <w:uiPriority w:val="99"/>
    <w:semiHidden/>
    <w:rsid w:val="00C04F66"/>
    <w:rPr>
      <w:b/>
      <w:bCs/>
      <w:sz w:val="20"/>
      <w:szCs w:val="20"/>
    </w:rPr>
  </w:style>
  <w:style w:type="paragraph" w:customStyle="1" w:styleId="Default">
    <w:name w:val="Default"/>
    <w:rsid w:val="00C459E8"/>
    <w:pPr>
      <w:autoSpaceDE w:val="0"/>
      <w:autoSpaceDN w:val="0"/>
      <w:adjustRightInd w:val="0"/>
      <w:spacing w:after="0" w:line="240" w:lineRule="auto"/>
    </w:pPr>
    <w:rPr>
      <w:rFonts w:ascii="LBPIGJ+ArialMT" w:hAnsi="LBPIGJ+ArialMT" w:cs="LBPIGJ+ArialMT"/>
      <w:color w:val="000000"/>
      <w:sz w:val="24"/>
      <w:szCs w:val="24"/>
    </w:rPr>
  </w:style>
  <w:style w:type="paragraph" w:styleId="Glava">
    <w:name w:val="header"/>
    <w:basedOn w:val="Navaden"/>
    <w:link w:val="GlavaZnak"/>
    <w:uiPriority w:val="99"/>
    <w:unhideWhenUsed/>
    <w:rsid w:val="000F7992"/>
    <w:pPr>
      <w:tabs>
        <w:tab w:val="center" w:pos="4536"/>
        <w:tab w:val="right" w:pos="9072"/>
      </w:tabs>
      <w:spacing w:after="0" w:line="240" w:lineRule="auto"/>
    </w:pPr>
  </w:style>
  <w:style w:type="character" w:customStyle="1" w:styleId="GlavaZnak">
    <w:name w:val="Glava Znak"/>
    <w:basedOn w:val="Privzetapisavaodstavka"/>
    <w:link w:val="Glava"/>
    <w:uiPriority w:val="99"/>
    <w:rsid w:val="000F7992"/>
  </w:style>
  <w:style w:type="paragraph" w:styleId="Noga">
    <w:name w:val="footer"/>
    <w:basedOn w:val="Navaden"/>
    <w:link w:val="NogaZnak"/>
    <w:uiPriority w:val="99"/>
    <w:unhideWhenUsed/>
    <w:rsid w:val="000F7992"/>
    <w:pPr>
      <w:tabs>
        <w:tab w:val="center" w:pos="4536"/>
        <w:tab w:val="right" w:pos="9072"/>
      </w:tabs>
      <w:spacing w:after="0" w:line="240" w:lineRule="auto"/>
    </w:pPr>
  </w:style>
  <w:style w:type="character" w:customStyle="1" w:styleId="NogaZnak">
    <w:name w:val="Noga Znak"/>
    <w:basedOn w:val="Privzetapisavaodstavka"/>
    <w:link w:val="Noga"/>
    <w:uiPriority w:val="99"/>
    <w:rsid w:val="000F7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1027</Words>
  <Characters>5857</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POLICIJA</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PAVČEK Tomaž</dc:creator>
  <cp:keywords/>
  <dc:description/>
  <cp:lastModifiedBy>Škedelj, Tjaša</cp:lastModifiedBy>
  <cp:revision>2</cp:revision>
  <cp:lastPrinted>2019-10-28T12:05:00Z</cp:lastPrinted>
  <dcterms:created xsi:type="dcterms:W3CDTF">2019-11-06T12:10:00Z</dcterms:created>
  <dcterms:modified xsi:type="dcterms:W3CDTF">2019-11-06T12:10:00Z</dcterms:modified>
</cp:coreProperties>
</file>