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1BBC2" w14:textId="7FBEEF74" w:rsidR="00117FCD" w:rsidRPr="008F04A1" w:rsidRDefault="007B0513" w:rsidP="00117FCD">
      <w:pPr>
        <w:pStyle w:val="Header"/>
        <w:tabs>
          <w:tab w:val="clear" w:pos="4320"/>
          <w:tab w:val="clear" w:pos="8640"/>
          <w:tab w:val="left" w:pos="5112"/>
        </w:tabs>
        <w:spacing w:before="120" w:line="240" w:lineRule="exact"/>
        <w:rPr>
          <w:rFonts w:cs="Arial"/>
          <w:sz w:val="16"/>
        </w:rPr>
      </w:pPr>
      <w:bookmarkStart w:id="0" w:name="_GoBack"/>
      <w:bookmarkEnd w:id="0"/>
      <w:r>
        <w:rPr>
          <w:noProof/>
          <w:lang w:eastAsia="sl-SI"/>
        </w:rPr>
        <w:drawing>
          <wp:anchor distT="0" distB="0" distL="114300" distR="114300" simplePos="0" relativeHeight="251656704" behindDoc="0" locked="0" layoutInCell="1" allowOverlap="1" wp14:anchorId="17714DDB" wp14:editId="20B5F684">
            <wp:simplePos x="0" y="0"/>
            <wp:positionH relativeFrom="page">
              <wp:posOffset>0</wp:posOffset>
            </wp:positionH>
            <wp:positionV relativeFrom="page">
              <wp:posOffset>0</wp:posOffset>
            </wp:positionV>
            <wp:extent cx="3370580" cy="758190"/>
            <wp:effectExtent l="0" t="0" r="0" b="0"/>
            <wp:wrapSquare wrapText="bothSides"/>
            <wp:docPr id="3" name="Picture 5"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4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0580" cy="758190"/>
                    </a:xfrm>
                    <a:prstGeom prst="rect">
                      <a:avLst/>
                    </a:prstGeom>
                    <a:noFill/>
                  </pic:spPr>
                </pic:pic>
              </a:graphicData>
            </a:graphic>
            <wp14:sizeRelH relativeFrom="page">
              <wp14:pctWidth>0</wp14:pctWidth>
            </wp14:sizeRelH>
            <wp14:sizeRelV relativeFrom="page">
              <wp14:pctHeight>0</wp14:pctHeight>
            </wp14:sizeRelV>
          </wp:anchor>
        </w:drawing>
      </w:r>
      <w:r w:rsidR="00117FCD" w:rsidRPr="008F04A1">
        <w:rPr>
          <w:rFonts w:cs="Arial"/>
          <w:sz w:val="16"/>
        </w:rPr>
        <w:tab/>
      </w:r>
    </w:p>
    <w:p w14:paraId="09CCC4FE" w14:textId="77777777" w:rsidR="009A1339" w:rsidRPr="00AC78FB" w:rsidRDefault="003D1E7C" w:rsidP="009A1339">
      <w:pPr>
        <w:pStyle w:val="Odstavekseznama1"/>
        <w:spacing w:line="260" w:lineRule="exact"/>
        <w:rPr>
          <w:rFonts w:ascii="Arial" w:hAnsi="Arial" w:cs="Arial"/>
          <w:sz w:val="16"/>
          <w:szCs w:val="16"/>
        </w:rPr>
      </w:pP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t>T: 01 369 63 00</w:t>
      </w:r>
    </w:p>
    <w:p w14:paraId="0FADEAA4" w14:textId="77777777" w:rsidR="00F6027F" w:rsidRPr="00AC78FB" w:rsidRDefault="003D1E7C" w:rsidP="009A1339">
      <w:pPr>
        <w:pStyle w:val="Odstavekseznama1"/>
        <w:spacing w:line="260" w:lineRule="exact"/>
        <w:rPr>
          <w:rFonts w:ascii="Arial" w:hAnsi="Arial" w:cs="Arial"/>
          <w:sz w:val="16"/>
          <w:szCs w:val="16"/>
        </w:rPr>
      </w:pP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r>
      <w:r w:rsidRPr="00AC78FB">
        <w:rPr>
          <w:rFonts w:ascii="Arial" w:hAnsi="Arial" w:cs="Arial"/>
          <w:sz w:val="16"/>
          <w:szCs w:val="16"/>
        </w:rPr>
        <w:tab/>
        <w:t>F: 01 369 66 59</w:t>
      </w:r>
    </w:p>
    <w:p w14:paraId="1E0F490E" w14:textId="77777777" w:rsidR="009A1339" w:rsidRPr="00AC78FB" w:rsidRDefault="009A1339" w:rsidP="00117FCD">
      <w:pPr>
        <w:pStyle w:val="Odstavekseznama1"/>
        <w:spacing w:line="260" w:lineRule="exact"/>
        <w:ind w:left="0"/>
        <w:rPr>
          <w:rFonts w:ascii="Arial" w:hAnsi="Arial" w:cs="Arial"/>
          <w:sz w:val="16"/>
          <w:szCs w:val="16"/>
        </w:rPr>
      </w:pPr>
      <w:r w:rsidRPr="00AC78FB">
        <w:rPr>
          <w:rFonts w:ascii="Arial" w:hAnsi="Arial" w:cs="Arial"/>
          <w:sz w:val="16"/>
          <w:szCs w:val="16"/>
        </w:rPr>
        <w:t>Župančičeva 3, p.</w:t>
      </w:r>
      <w:r w:rsidR="00C33C78">
        <w:rPr>
          <w:rFonts w:ascii="Arial" w:hAnsi="Arial" w:cs="Arial"/>
          <w:sz w:val="16"/>
          <w:szCs w:val="16"/>
        </w:rPr>
        <w:t xml:space="preserve"> </w:t>
      </w:r>
      <w:r w:rsidRPr="00AC78FB">
        <w:rPr>
          <w:rFonts w:ascii="Arial" w:hAnsi="Arial" w:cs="Arial"/>
          <w:sz w:val="16"/>
          <w:szCs w:val="16"/>
        </w:rPr>
        <w:t>p.</w:t>
      </w:r>
      <w:r w:rsidR="00C33C78">
        <w:rPr>
          <w:rFonts w:ascii="Arial" w:hAnsi="Arial" w:cs="Arial"/>
          <w:sz w:val="16"/>
          <w:szCs w:val="16"/>
        </w:rPr>
        <w:t xml:space="preserve"> </w:t>
      </w:r>
      <w:r w:rsidRPr="00AC78FB">
        <w:rPr>
          <w:rFonts w:ascii="Arial" w:hAnsi="Arial" w:cs="Arial"/>
          <w:sz w:val="16"/>
          <w:szCs w:val="16"/>
        </w:rPr>
        <w:t>644a, 1001 Ljubljana</w:t>
      </w:r>
      <w:r w:rsidRPr="00AC78FB">
        <w:rPr>
          <w:rFonts w:ascii="Arial" w:hAnsi="Arial" w:cs="Arial"/>
          <w:b/>
          <w:sz w:val="20"/>
          <w:szCs w:val="20"/>
        </w:rPr>
        <w:tab/>
      </w:r>
      <w:r w:rsidR="00F6027F" w:rsidRPr="00AC78FB">
        <w:rPr>
          <w:rFonts w:ascii="Arial" w:hAnsi="Arial" w:cs="Arial"/>
          <w:b/>
          <w:sz w:val="20"/>
          <w:szCs w:val="20"/>
        </w:rPr>
        <w:tab/>
      </w:r>
      <w:r w:rsidR="00F6027F" w:rsidRPr="00AC78FB">
        <w:rPr>
          <w:rFonts w:ascii="Arial" w:hAnsi="Arial" w:cs="Arial"/>
          <w:b/>
          <w:sz w:val="20"/>
          <w:szCs w:val="20"/>
        </w:rPr>
        <w:tab/>
      </w:r>
      <w:r w:rsidR="00F6027F" w:rsidRPr="00AC78FB">
        <w:rPr>
          <w:rFonts w:ascii="Arial" w:hAnsi="Arial" w:cs="Arial"/>
          <w:b/>
          <w:sz w:val="20"/>
          <w:szCs w:val="20"/>
        </w:rPr>
        <w:tab/>
      </w:r>
      <w:r w:rsidRPr="00AC78FB">
        <w:rPr>
          <w:rFonts w:ascii="Arial" w:hAnsi="Arial" w:cs="Arial"/>
          <w:sz w:val="16"/>
          <w:szCs w:val="16"/>
        </w:rPr>
        <w:t>E: gp.mf@gov.si</w:t>
      </w:r>
    </w:p>
    <w:p w14:paraId="4B726FC2" w14:textId="77777777" w:rsidR="009A1339" w:rsidRPr="00AC78FB" w:rsidRDefault="00F6027F" w:rsidP="009A1339">
      <w:pPr>
        <w:pStyle w:val="Odstavekseznama1"/>
        <w:spacing w:line="260" w:lineRule="exact"/>
        <w:rPr>
          <w:rFonts w:ascii="Arial" w:hAnsi="Arial" w:cs="Arial"/>
          <w:sz w:val="16"/>
          <w:szCs w:val="16"/>
        </w:rPr>
      </w:pP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Pr="00AC78FB">
        <w:rPr>
          <w:rFonts w:ascii="Arial" w:hAnsi="Arial" w:cs="Arial"/>
          <w:b/>
          <w:sz w:val="20"/>
          <w:szCs w:val="20"/>
        </w:rPr>
        <w:tab/>
      </w:r>
      <w:r w:rsidR="009A1339" w:rsidRPr="00AC78FB">
        <w:rPr>
          <w:rFonts w:ascii="Arial" w:hAnsi="Arial" w:cs="Arial"/>
          <w:b/>
          <w:sz w:val="20"/>
          <w:szCs w:val="20"/>
        </w:rPr>
        <w:tab/>
      </w:r>
      <w:r w:rsidR="009A1339" w:rsidRPr="00AC78FB">
        <w:rPr>
          <w:rFonts w:ascii="Arial" w:hAnsi="Arial" w:cs="Arial"/>
          <w:sz w:val="16"/>
          <w:szCs w:val="16"/>
        </w:rPr>
        <w:t>www.mf.gov.si</w:t>
      </w:r>
    </w:p>
    <w:p w14:paraId="00363EDF" w14:textId="77777777" w:rsidR="009A1339" w:rsidRDefault="009A1339" w:rsidP="0068465E">
      <w:pPr>
        <w:pStyle w:val="Odstavekseznama1"/>
        <w:spacing w:line="260" w:lineRule="exact"/>
        <w:ind w:left="0"/>
        <w:rPr>
          <w:rFonts w:ascii="Arial" w:hAnsi="Arial" w:cs="Arial"/>
          <w:b/>
          <w:sz w:val="20"/>
          <w:szCs w:val="20"/>
        </w:rPr>
      </w:pPr>
    </w:p>
    <w:p w14:paraId="3C1698E0" w14:textId="77777777" w:rsidR="00D439DD" w:rsidRDefault="00D439DD" w:rsidP="0068465E">
      <w:pPr>
        <w:pStyle w:val="Odstavekseznama1"/>
        <w:spacing w:line="260" w:lineRule="exact"/>
        <w:ind w:left="0"/>
        <w:rPr>
          <w:rFonts w:ascii="Arial" w:hAnsi="Arial" w:cs="Arial"/>
          <w:b/>
          <w:sz w:val="20"/>
          <w:szCs w:val="20"/>
        </w:rPr>
      </w:pPr>
    </w:p>
    <w:p w14:paraId="49F39521" w14:textId="77777777" w:rsidR="005553CB" w:rsidRPr="00AC78FB" w:rsidRDefault="005553CB" w:rsidP="005553CB">
      <w:pPr>
        <w:pStyle w:val="Odstavekseznama1"/>
        <w:spacing w:line="260" w:lineRule="exact"/>
        <w:ind w:left="0"/>
        <w:rPr>
          <w:rFonts w:ascii="Arial" w:hAnsi="Arial" w:cs="Arial"/>
          <w:b/>
          <w:sz w:val="20"/>
          <w:szCs w:val="20"/>
        </w:rPr>
      </w:pPr>
      <w:r w:rsidRPr="00AC78FB">
        <w:rPr>
          <w:rFonts w:ascii="Arial" w:hAnsi="Arial" w:cs="Arial"/>
          <w:b/>
          <w:sz w:val="20"/>
          <w:szCs w:val="20"/>
        </w:rPr>
        <w:t>PRILOGA 1 (spremni dopis – 1. del):</w:t>
      </w:r>
    </w:p>
    <w:p w14:paraId="20ACED5B" w14:textId="77777777" w:rsidR="005553CB" w:rsidRPr="00AC78FB" w:rsidRDefault="005553CB" w:rsidP="005553CB">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553CB" w:rsidRPr="00AC78FB" w14:paraId="028BE891" w14:textId="77777777" w:rsidTr="00BA21C7">
        <w:trPr>
          <w:gridAfter w:val="2"/>
          <w:wAfter w:w="3067" w:type="dxa"/>
        </w:trPr>
        <w:tc>
          <w:tcPr>
            <w:tcW w:w="6096" w:type="dxa"/>
            <w:gridSpan w:val="2"/>
            <w:tcBorders>
              <w:top w:val="nil"/>
              <w:left w:val="nil"/>
              <w:bottom w:val="single" w:sz="4" w:space="0" w:color="auto"/>
              <w:right w:val="nil"/>
            </w:tcBorders>
          </w:tcPr>
          <w:p w14:paraId="251A71C9" w14:textId="77777777" w:rsidR="005553CB" w:rsidRPr="00AC78FB" w:rsidRDefault="005553CB" w:rsidP="00CA689C">
            <w:pPr>
              <w:pStyle w:val="Neotevilenodstavek"/>
              <w:spacing w:before="0" w:after="0" w:line="260" w:lineRule="exact"/>
              <w:jc w:val="left"/>
              <w:rPr>
                <w:sz w:val="20"/>
                <w:szCs w:val="20"/>
              </w:rPr>
            </w:pPr>
          </w:p>
        </w:tc>
      </w:tr>
      <w:tr w:rsidR="005553CB" w:rsidRPr="00AC78FB" w14:paraId="73B0D75C" w14:textId="77777777" w:rsidTr="00BA21C7">
        <w:trPr>
          <w:gridAfter w:val="2"/>
          <w:wAfter w:w="3067" w:type="dxa"/>
        </w:trPr>
        <w:tc>
          <w:tcPr>
            <w:tcW w:w="6096" w:type="dxa"/>
            <w:gridSpan w:val="2"/>
            <w:tcBorders>
              <w:top w:val="single" w:sz="4" w:space="0" w:color="auto"/>
              <w:left w:val="single" w:sz="4" w:space="0" w:color="auto"/>
              <w:bottom w:val="single" w:sz="4" w:space="0" w:color="auto"/>
              <w:right w:val="single" w:sz="4" w:space="0" w:color="auto"/>
            </w:tcBorders>
          </w:tcPr>
          <w:p w14:paraId="4C65AD29" w14:textId="48B5AC40" w:rsidR="005553CB" w:rsidRPr="00AC78FB" w:rsidRDefault="005553CB" w:rsidP="00DE42A4">
            <w:pPr>
              <w:pStyle w:val="Neotevilenodstavek"/>
              <w:spacing w:before="0" w:after="0" w:line="260" w:lineRule="exact"/>
              <w:jc w:val="left"/>
              <w:rPr>
                <w:sz w:val="20"/>
                <w:szCs w:val="20"/>
              </w:rPr>
            </w:pPr>
            <w:r w:rsidRPr="00AC78FB">
              <w:rPr>
                <w:sz w:val="20"/>
                <w:szCs w:val="20"/>
              </w:rPr>
              <w:t xml:space="preserve">Številka: </w:t>
            </w:r>
            <w:r w:rsidR="00506E44" w:rsidRPr="00506E44">
              <w:rPr>
                <w:iCs/>
                <w:sz w:val="20"/>
                <w:szCs w:val="20"/>
              </w:rPr>
              <w:t>429-221/2020</w:t>
            </w:r>
            <w:r w:rsidR="00506E44">
              <w:rPr>
                <w:iCs/>
                <w:sz w:val="20"/>
                <w:szCs w:val="20"/>
              </w:rPr>
              <w:t>/</w:t>
            </w:r>
          </w:p>
        </w:tc>
      </w:tr>
      <w:tr w:rsidR="005553CB" w:rsidRPr="00AC78FB" w14:paraId="384A2254" w14:textId="77777777" w:rsidTr="00BA21C7">
        <w:trPr>
          <w:gridAfter w:val="2"/>
          <w:wAfter w:w="3067" w:type="dxa"/>
        </w:trPr>
        <w:tc>
          <w:tcPr>
            <w:tcW w:w="6096" w:type="dxa"/>
            <w:gridSpan w:val="2"/>
            <w:tcBorders>
              <w:top w:val="single" w:sz="4" w:space="0" w:color="auto"/>
            </w:tcBorders>
          </w:tcPr>
          <w:p w14:paraId="6242D09E" w14:textId="65EF52DD" w:rsidR="005553CB" w:rsidRPr="008F04A1" w:rsidRDefault="00DD4B0C" w:rsidP="00364634">
            <w:pPr>
              <w:pStyle w:val="Neotevilenodstavek"/>
              <w:spacing w:before="0" w:after="0" w:line="260" w:lineRule="exact"/>
              <w:jc w:val="left"/>
              <w:rPr>
                <w:sz w:val="20"/>
                <w:szCs w:val="20"/>
              </w:rPr>
            </w:pPr>
            <w:r>
              <w:rPr>
                <w:sz w:val="20"/>
                <w:szCs w:val="20"/>
              </w:rPr>
              <w:t xml:space="preserve">Ljubljana, </w:t>
            </w:r>
            <w:r w:rsidR="00772AEB">
              <w:rPr>
                <w:sz w:val="20"/>
                <w:szCs w:val="20"/>
              </w:rPr>
              <w:t>1</w:t>
            </w:r>
            <w:r w:rsidR="00364634">
              <w:rPr>
                <w:sz w:val="20"/>
                <w:szCs w:val="20"/>
              </w:rPr>
              <w:t>7</w:t>
            </w:r>
            <w:r w:rsidRPr="002133B6">
              <w:rPr>
                <w:sz w:val="20"/>
                <w:szCs w:val="20"/>
              </w:rPr>
              <w:t xml:space="preserve">. </w:t>
            </w:r>
            <w:r w:rsidR="002133B6" w:rsidRPr="002133B6">
              <w:rPr>
                <w:sz w:val="20"/>
                <w:szCs w:val="20"/>
              </w:rPr>
              <w:t>9</w:t>
            </w:r>
            <w:r w:rsidRPr="002133B6">
              <w:rPr>
                <w:sz w:val="20"/>
                <w:szCs w:val="20"/>
              </w:rPr>
              <w:t>. 20</w:t>
            </w:r>
            <w:r w:rsidR="00E4026D" w:rsidRPr="002133B6">
              <w:rPr>
                <w:sz w:val="20"/>
                <w:szCs w:val="20"/>
              </w:rPr>
              <w:t>20</w:t>
            </w:r>
            <w:r w:rsidR="005553CB" w:rsidRPr="00AC78FB">
              <w:rPr>
                <w:sz w:val="20"/>
                <w:szCs w:val="20"/>
              </w:rPr>
              <w:t xml:space="preserve"> </w:t>
            </w:r>
          </w:p>
        </w:tc>
      </w:tr>
      <w:tr w:rsidR="005553CB" w:rsidRPr="00AC78FB" w14:paraId="03610C97" w14:textId="77777777" w:rsidTr="00CA689C">
        <w:trPr>
          <w:gridAfter w:val="2"/>
          <w:wAfter w:w="3067" w:type="dxa"/>
        </w:trPr>
        <w:tc>
          <w:tcPr>
            <w:tcW w:w="6096" w:type="dxa"/>
            <w:gridSpan w:val="2"/>
          </w:tcPr>
          <w:p w14:paraId="0F13BDB2" w14:textId="77777777" w:rsidR="005553CB" w:rsidRPr="00AC78FB" w:rsidRDefault="00F809AF" w:rsidP="00CA689C">
            <w:pPr>
              <w:pStyle w:val="Neotevilenodstavek"/>
              <w:spacing w:before="0" w:after="0" w:line="260" w:lineRule="exact"/>
              <w:jc w:val="left"/>
              <w:rPr>
                <w:sz w:val="20"/>
                <w:szCs w:val="20"/>
              </w:rPr>
            </w:pPr>
            <w:r w:rsidRPr="00AC78FB">
              <w:rPr>
                <w:sz w:val="20"/>
                <w:szCs w:val="20"/>
              </w:rPr>
              <w:t>/</w:t>
            </w:r>
          </w:p>
        </w:tc>
      </w:tr>
      <w:tr w:rsidR="005553CB" w:rsidRPr="00AC78FB" w14:paraId="1DC5A0C6" w14:textId="77777777" w:rsidTr="00CA689C">
        <w:trPr>
          <w:gridAfter w:val="2"/>
          <w:wAfter w:w="3067" w:type="dxa"/>
        </w:trPr>
        <w:tc>
          <w:tcPr>
            <w:tcW w:w="6096" w:type="dxa"/>
            <w:gridSpan w:val="2"/>
          </w:tcPr>
          <w:p w14:paraId="3D2CB5CD" w14:textId="77777777" w:rsidR="005553CB" w:rsidRPr="00AC78FB" w:rsidRDefault="005553CB" w:rsidP="00CA689C">
            <w:pPr>
              <w:rPr>
                <w:rFonts w:cs="Arial"/>
                <w:szCs w:val="20"/>
              </w:rPr>
            </w:pPr>
          </w:p>
          <w:p w14:paraId="7747551B" w14:textId="77777777" w:rsidR="005553CB" w:rsidRPr="00AC78FB" w:rsidRDefault="005553CB" w:rsidP="00CA689C">
            <w:pPr>
              <w:rPr>
                <w:rFonts w:ascii="Arial" w:hAnsi="Arial" w:cs="Arial"/>
                <w:sz w:val="20"/>
                <w:szCs w:val="20"/>
              </w:rPr>
            </w:pPr>
            <w:r w:rsidRPr="00AC78FB">
              <w:rPr>
                <w:rFonts w:ascii="Arial" w:hAnsi="Arial" w:cs="Arial"/>
                <w:sz w:val="20"/>
                <w:szCs w:val="20"/>
              </w:rPr>
              <w:t>GENERALNI SEKRETARIAT VLADE REPUBLIKE SLOVENIJE</w:t>
            </w:r>
          </w:p>
          <w:p w14:paraId="0698F2A2" w14:textId="77777777" w:rsidR="005553CB" w:rsidRPr="008F04A1" w:rsidRDefault="00364634" w:rsidP="00CA689C">
            <w:pPr>
              <w:rPr>
                <w:rFonts w:ascii="Arial" w:hAnsi="Arial" w:cs="Arial"/>
                <w:sz w:val="20"/>
                <w:szCs w:val="20"/>
              </w:rPr>
            </w:pPr>
            <w:hyperlink r:id="rId14" w:history="1">
              <w:r w:rsidR="005553CB" w:rsidRPr="00AC78FB">
                <w:rPr>
                  <w:rStyle w:val="Hyperlink"/>
                  <w:rFonts w:ascii="Arial" w:hAnsi="Arial" w:cs="Arial"/>
                  <w:color w:val="auto"/>
                  <w:sz w:val="20"/>
                  <w:szCs w:val="20"/>
                </w:rPr>
                <w:t>Gp.gs@gov.si</w:t>
              </w:r>
            </w:hyperlink>
          </w:p>
          <w:p w14:paraId="34A0F437" w14:textId="77777777" w:rsidR="005553CB" w:rsidRPr="008F04A1" w:rsidRDefault="005553CB" w:rsidP="00CA689C">
            <w:pPr>
              <w:rPr>
                <w:rFonts w:cs="Arial"/>
                <w:szCs w:val="20"/>
              </w:rPr>
            </w:pPr>
          </w:p>
        </w:tc>
      </w:tr>
      <w:tr w:rsidR="005553CB" w:rsidRPr="00AC78FB" w14:paraId="6C21BC3A" w14:textId="77777777" w:rsidTr="00CA689C">
        <w:tc>
          <w:tcPr>
            <w:tcW w:w="9163" w:type="dxa"/>
            <w:gridSpan w:val="4"/>
          </w:tcPr>
          <w:p w14:paraId="41B587A6" w14:textId="5F48E7BB" w:rsidR="005553CB" w:rsidRPr="00AC78FB" w:rsidRDefault="005553CB" w:rsidP="00E4026D">
            <w:pPr>
              <w:pStyle w:val="Naslovpredpisa"/>
              <w:spacing w:before="0" w:after="0" w:line="260" w:lineRule="exact"/>
              <w:jc w:val="left"/>
              <w:rPr>
                <w:sz w:val="20"/>
                <w:szCs w:val="20"/>
              </w:rPr>
            </w:pPr>
            <w:r w:rsidRPr="00AC78FB">
              <w:rPr>
                <w:sz w:val="20"/>
                <w:szCs w:val="20"/>
              </w:rPr>
              <w:t xml:space="preserve">ZADEVA: </w:t>
            </w:r>
            <w:r w:rsidR="005E5247" w:rsidRPr="00AC78FB">
              <w:rPr>
                <w:sz w:val="20"/>
                <w:szCs w:val="20"/>
              </w:rPr>
              <w:t xml:space="preserve">Poročilo o </w:t>
            </w:r>
            <w:r w:rsidR="00E4026D">
              <w:rPr>
                <w:sz w:val="20"/>
                <w:szCs w:val="20"/>
              </w:rPr>
              <w:t>davčnih izdatkih v letu 2018</w:t>
            </w:r>
            <w:r w:rsidR="005E5247" w:rsidRPr="00AC78FB">
              <w:rPr>
                <w:sz w:val="20"/>
                <w:szCs w:val="20"/>
              </w:rPr>
              <w:t xml:space="preserve"> – predlog za obravnavo na Vladi R</w:t>
            </w:r>
            <w:r w:rsidR="0019717B">
              <w:rPr>
                <w:sz w:val="20"/>
                <w:szCs w:val="20"/>
              </w:rPr>
              <w:t xml:space="preserve">epublike </w:t>
            </w:r>
            <w:r w:rsidR="005E5247" w:rsidRPr="00AC78FB">
              <w:rPr>
                <w:sz w:val="20"/>
                <w:szCs w:val="20"/>
              </w:rPr>
              <w:t>S</w:t>
            </w:r>
            <w:r w:rsidR="0019717B">
              <w:rPr>
                <w:sz w:val="20"/>
                <w:szCs w:val="20"/>
              </w:rPr>
              <w:t>lovenije</w:t>
            </w:r>
          </w:p>
        </w:tc>
      </w:tr>
      <w:tr w:rsidR="005553CB" w:rsidRPr="00AC78FB" w14:paraId="37C46F03" w14:textId="77777777" w:rsidTr="00CA689C">
        <w:tc>
          <w:tcPr>
            <w:tcW w:w="9163" w:type="dxa"/>
            <w:gridSpan w:val="4"/>
          </w:tcPr>
          <w:p w14:paraId="653EDD80" w14:textId="77777777" w:rsidR="005553CB" w:rsidRPr="00AC78FB" w:rsidRDefault="005553CB" w:rsidP="00CA689C">
            <w:pPr>
              <w:pStyle w:val="Poglavje"/>
              <w:spacing w:before="0" w:after="0" w:line="260" w:lineRule="exact"/>
              <w:jc w:val="left"/>
              <w:rPr>
                <w:sz w:val="20"/>
                <w:szCs w:val="20"/>
              </w:rPr>
            </w:pPr>
            <w:r w:rsidRPr="00AC78FB">
              <w:rPr>
                <w:sz w:val="20"/>
                <w:szCs w:val="20"/>
              </w:rPr>
              <w:t>1. Predlog sklepov vlade:</w:t>
            </w:r>
          </w:p>
        </w:tc>
      </w:tr>
      <w:tr w:rsidR="005553CB" w:rsidRPr="00AC78FB" w14:paraId="1C5D70F1" w14:textId="77777777" w:rsidTr="00CA689C">
        <w:tc>
          <w:tcPr>
            <w:tcW w:w="9163" w:type="dxa"/>
            <w:gridSpan w:val="4"/>
          </w:tcPr>
          <w:p w14:paraId="05E39511" w14:textId="00824B0C" w:rsidR="005E5247" w:rsidRDefault="005E5247" w:rsidP="00645E63">
            <w:pPr>
              <w:pStyle w:val="Neotevilenodstavek"/>
              <w:spacing w:after="0" w:line="260" w:lineRule="exact"/>
              <w:rPr>
                <w:iCs/>
                <w:sz w:val="20"/>
                <w:szCs w:val="20"/>
              </w:rPr>
            </w:pPr>
            <w:r w:rsidRPr="00AC78FB">
              <w:rPr>
                <w:iCs/>
                <w:sz w:val="20"/>
                <w:szCs w:val="20"/>
              </w:rPr>
              <w:t xml:space="preserve">Na podlagi </w:t>
            </w:r>
            <w:r w:rsidR="00E4026D">
              <w:rPr>
                <w:iCs/>
                <w:sz w:val="20"/>
                <w:szCs w:val="20"/>
              </w:rPr>
              <w:t>drugega</w:t>
            </w:r>
            <w:r w:rsidR="00EB0B6F" w:rsidRPr="00AC78FB">
              <w:rPr>
                <w:iCs/>
                <w:sz w:val="20"/>
                <w:szCs w:val="20"/>
              </w:rPr>
              <w:t xml:space="preserve"> odstavka 64.a člena Zakona o javnih financah (Uradni list RS, št. 11/11 – uradno prečiščeno besedilo, 14/13 – popr., 101/13, 55/15 – ZFisP</w:t>
            </w:r>
            <w:r w:rsidR="009521A5">
              <w:rPr>
                <w:iCs/>
                <w:sz w:val="20"/>
                <w:szCs w:val="20"/>
              </w:rPr>
              <w:t>,</w:t>
            </w:r>
            <w:r w:rsidR="00EB0B6F" w:rsidRPr="00AC78FB">
              <w:rPr>
                <w:iCs/>
                <w:sz w:val="20"/>
                <w:szCs w:val="20"/>
              </w:rPr>
              <w:t xml:space="preserve"> 96/15 – ZIPRS1617</w:t>
            </w:r>
            <w:r w:rsidR="009521A5">
              <w:rPr>
                <w:iCs/>
                <w:sz w:val="20"/>
                <w:szCs w:val="20"/>
              </w:rPr>
              <w:t xml:space="preserve"> in</w:t>
            </w:r>
            <w:r w:rsidR="00EB0B6F" w:rsidRPr="00AC78FB">
              <w:rPr>
                <w:iCs/>
                <w:sz w:val="20"/>
                <w:szCs w:val="20"/>
              </w:rPr>
              <w:t xml:space="preserve"> 13/18) </w:t>
            </w:r>
            <w:r w:rsidRPr="00AC78FB">
              <w:rPr>
                <w:iCs/>
                <w:sz w:val="20"/>
                <w:szCs w:val="20"/>
              </w:rPr>
              <w:t>je Vlada Republike Slovenije na ... redni seji ... sprejela:</w:t>
            </w:r>
          </w:p>
          <w:p w14:paraId="06DA71E4" w14:textId="77777777" w:rsidR="00645E63" w:rsidRDefault="00645E63" w:rsidP="00645E63">
            <w:pPr>
              <w:pStyle w:val="Neotevilenodstavek"/>
              <w:spacing w:after="0" w:line="260" w:lineRule="exact"/>
              <w:rPr>
                <w:iCs/>
                <w:sz w:val="20"/>
                <w:szCs w:val="20"/>
              </w:rPr>
            </w:pPr>
          </w:p>
          <w:p w14:paraId="054FDA99" w14:textId="77777777" w:rsidR="0084057A" w:rsidRDefault="0084057A" w:rsidP="0084057A">
            <w:pPr>
              <w:pStyle w:val="Neotevilenodstavek"/>
              <w:spacing w:after="0" w:line="260" w:lineRule="exact"/>
              <w:jc w:val="center"/>
              <w:rPr>
                <w:iCs/>
                <w:sz w:val="20"/>
                <w:szCs w:val="20"/>
              </w:rPr>
            </w:pPr>
            <w:r>
              <w:rPr>
                <w:iCs/>
                <w:sz w:val="20"/>
                <w:szCs w:val="20"/>
              </w:rPr>
              <w:t>SKLEP</w:t>
            </w:r>
          </w:p>
          <w:p w14:paraId="6381DDD8" w14:textId="77777777" w:rsidR="0084057A" w:rsidRPr="00AC78FB" w:rsidRDefault="0084057A" w:rsidP="00645E63">
            <w:pPr>
              <w:pStyle w:val="Neotevilenodstavek"/>
              <w:spacing w:after="0" w:line="260" w:lineRule="exact"/>
              <w:rPr>
                <w:iCs/>
                <w:sz w:val="20"/>
                <w:szCs w:val="20"/>
              </w:rPr>
            </w:pPr>
          </w:p>
          <w:p w14:paraId="0828A580" w14:textId="77777777" w:rsidR="005E5247" w:rsidRPr="00AC78FB" w:rsidRDefault="005E5247" w:rsidP="00486265">
            <w:pPr>
              <w:pStyle w:val="Neotevilenodstavek"/>
              <w:spacing w:after="0" w:line="260" w:lineRule="exact"/>
              <w:rPr>
                <w:iCs/>
                <w:sz w:val="20"/>
                <w:szCs w:val="20"/>
              </w:rPr>
            </w:pPr>
            <w:r w:rsidRPr="00AC78FB">
              <w:rPr>
                <w:iCs/>
                <w:sz w:val="20"/>
                <w:szCs w:val="20"/>
              </w:rPr>
              <w:t>Vlada Republike Slovenije se</w:t>
            </w:r>
            <w:r w:rsidR="005A1401">
              <w:rPr>
                <w:iCs/>
                <w:sz w:val="20"/>
                <w:szCs w:val="20"/>
              </w:rPr>
              <w:t xml:space="preserve"> je</w:t>
            </w:r>
            <w:r w:rsidRPr="00AC78FB">
              <w:rPr>
                <w:iCs/>
                <w:sz w:val="20"/>
                <w:szCs w:val="20"/>
              </w:rPr>
              <w:t xml:space="preserve"> seznani</w:t>
            </w:r>
            <w:r w:rsidR="005A1401">
              <w:rPr>
                <w:iCs/>
                <w:sz w:val="20"/>
                <w:szCs w:val="20"/>
              </w:rPr>
              <w:t>la</w:t>
            </w:r>
            <w:r w:rsidRPr="00AC78FB">
              <w:rPr>
                <w:iCs/>
                <w:sz w:val="20"/>
                <w:szCs w:val="20"/>
              </w:rPr>
              <w:t xml:space="preserve"> s</w:t>
            </w:r>
            <w:r w:rsidR="005A1401">
              <w:rPr>
                <w:iCs/>
                <w:sz w:val="20"/>
                <w:szCs w:val="20"/>
              </w:rPr>
              <w:t xml:space="preserve"> Poročilom o</w:t>
            </w:r>
            <w:r w:rsidRPr="00AC78FB">
              <w:rPr>
                <w:iCs/>
                <w:sz w:val="20"/>
                <w:szCs w:val="20"/>
              </w:rPr>
              <w:t xml:space="preserve"> </w:t>
            </w:r>
            <w:r w:rsidR="00E4026D">
              <w:rPr>
                <w:iCs/>
                <w:sz w:val="20"/>
                <w:szCs w:val="20"/>
              </w:rPr>
              <w:t>davčnih izdatkih v letu 2018</w:t>
            </w:r>
            <w:r w:rsidRPr="00AC78FB">
              <w:rPr>
                <w:iCs/>
                <w:sz w:val="20"/>
                <w:szCs w:val="20"/>
              </w:rPr>
              <w:t xml:space="preserve"> in ga </w:t>
            </w:r>
            <w:r w:rsidR="000772C3">
              <w:rPr>
                <w:iCs/>
                <w:sz w:val="20"/>
                <w:szCs w:val="20"/>
              </w:rPr>
              <w:t>pošlje</w:t>
            </w:r>
            <w:r w:rsidR="000772C3" w:rsidRPr="00AC78FB">
              <w:rPr>
                <w:iCs/>
                <w:sz w:val="20"/>
                <w:szCs w:val="20"/>
              </w:rPr>
              <w:t xml:space="preserve"> </w:t>
            </w:r>
            <w:r w:rsidRPr="00AC78FB">
              <w:rPr>
                <w:iCs/>
                <w:sz w:val="20"/>
                <w:szCs w:val="20"/>
              </w:rPr>
              <w:t>Državnemu zboru Republike Slovenije</w:t>
            </w:r>
            <w:r w:rsidR="000772C3">
              <w:rPr>
                <w:iCs/>
                <w:sz w:val="20"/>
                <w:szCs w:val="20"/>
              </w:rPr>
              <w:t>.</w:t>
            </w:r>
          </w:p>
          <w:p w14:paraId="1A61E6E9" w14:textId="77777777" w:rsidR="005E5247" w:rsidRPr="00AC78FB" w:rsidRDefault="005E5247" w:rsidP="00486265">
            <w:pPr>
              <w:pStyle w:val="Neotevilenodstavek"/>
              <w:spacing w:after="0" w:line="260" w:lineRule="exact"/>
              <w:ind w:left="720"/>
              <w:rPr>
                <w:iCs/>
                <w:sz w:val="20"/>
                <w:szCs w:val="20"/>
              </w:rPr>
            </w:pPr>
            <w:r w:rsidRPr="00AC78FB">
              <w:rPr>
                <w:iCs/>
                <w:sz w:val="20"/>
                <w:szCs w:val="20"/>
              </w:rPr>
              <w:t xml:space="preserve">                                                                                        </w:t>
            </w:r>
          </w:p>
          <w:p w14:paraId="38E43018" w14:textId="4C240D7E" w:rsidR="006C32F8" w:rsidRPr="008F04A1" w:rsidRDefault="005E5247" w:rsidP="006C32F8">
            <w:pPr>
              <w:pStyle w:val="Neotevilenodstavek"/>
              <w:spacing w:after="0" w:line="260" w:lineRule="exact"/>
              <w:ind w:left="720"/>
              <w:jc w:val="center"/>
              <w:rPr>
                <w:iCs/>
                <w:sz w:val="20"/>
                <w:szCs w:val="20"/>
              </w:rPr>
            </w:pPr>
            <w:r w:rsidRPr="008F04A1">
              <w:rPr>
                <w:iCs/>
                <w:sz w:val="20"/>
                <w:szCs w:val="20"/>
              </w:rPr>
              <w:t xml:space="preserve">                                                       </w:t>
            </w:r>
            <w:r w:rsidR="0019717B">
              <w:rPr>
                <w:iCs/>
                <w:sz w:val="20"/>
                <w:szCs w:val="20"/>
              </w:rPr>
              <w:t>D</w:t>
            </w:r>
            <w:r w:rsidR="00F630CA" w:rsidRPr="00F630CA">
              <w:rPr>
                <w:sz w:val="20"/>
                <w:szCs w:val="20"/>
              </w:rPr>
              <w:t>r. Božo Predalič</w:t>
            </w:r>
          </w:p>
          <w:p w14:paraId="2515CC15" w14:textId="6F9BB30E" w:rsidR="005E5247" w:rsidRPr="008F04A1" w:rsidRDefault="006C32F8" w:rsidP="008D1062">
            <w:pPr>
              <w:pStyle w:val="Neotevilenodstavek"/>
              <w:spacing w:after="0" w:line="260" w:lineRule="exact"/>
              <w:ind w:left="720"/>
              <w:jc w:val="center"/>
              <w:rPr>
                <w:iCs/>
                <w:sz w:val="20"/>
                <w:szCs w:val="20"/>
              </w:rPr>
            </w:pPr>
            <w:r w:rsidRPr="008F04A1">
              <w:rPr>
                <w:iCs/>
                <w:sz w:val="20"/>
                <w:szCs w:val="20"/>
              </w:rPr>
              <w:t xml:space="preserve">                                                   </w:t>
            </w:r>
            <w:r w:rsidR="000772C3">
              <w:rPr>
                <w:iCs/>
                <w:sz w:val="20"/>
                <w:szCs w:val="20"/>
              </w:rPr>
              <w:t>g</w:t>
            </w:r>
            <w:r w:rsidRPr="008F04A1">
              <w:rPr>
                <w:iCs/>
                <w:sz w:val="20"/>
                <w:szCs w:val="20"/>
              </w:rPr>
              <w:t>eneraln</w:t>
            </w:r>
            <w:r w:rsidR="000A15CE" w:rsidRPr="008F04A1">
              <w:rPr>
                <w:iCs/>
                <w:sz w:val="20"/>
                <w:szCs w:val="20"/>
              </w:rPr>
              <w:t>i</w:t>
            </w:r>
            <w:r w:rsidRPr="008F04A1">
              <w:rPr>
                <w:iCs/>
                <w:sz w:val="20"/>
                <w:szCs w:val="20"/>
              </w:rPr>
              <w:t xml:space="preserve"> sekretar </w:t>
            </w:r>
            <w:r w:rsidR="005E5247" w:rsidRPr="00AC78FB">
              <w:rPr>
                <w:iCs/>
                <w:sz w:val="20"/>
                <w:szCs w:val="20"/>
              </w:rPr>
              <w:t xml:space="preserve">                                                      </w:t>
            </w:r>
          </w:p>
          <w:p w14:paraId="5043006B" w14:textId="77777777" w:rsidR="005E5247" w:rsidRPr="008F04A1" w:rsidRDefault="005E5247" w:rsidP="005E5247">
            <w:pPr>
              <w:pStyle w:val="Neotevilenodstavek"/>
              <w:spacing w:after="0" w:line="260" w:lineRule="exact"/>
              <w:rPr>
                <w:iCs/>
                <w:sz w:val="20"/>
                <w:szCs w:val="20"/>
              </w:rPr>
            </w:pPr>
            <w:r w:rsidRPr="008F04A1">
              <w:rPr>
                <w:iCs/>
                <w:sz w:val="20"/>
                <w:szCs w:val="20"/>
              </w:rPr>
              <w:t>Priloga:</w:t>
            </w:r>
          </w:p>
          <w:p w14:paraId="3573EAF4" w14:textId="433121F0" w:rsidR="005E5247" w:rsidRPr="00AC78FB" w:rsidRDefault="005E5247" w:rsidP="007246D4">
            <w:pPr>
              <w:pStyle w:val="Neotevilenodstavek"/>
              <w:numPr>
                <w:ilvl w:val="0"/>
                <w:numId w:val="13"/>
              </w:numPr>
              <w:spacing w:after="0" w:line="260" w:lineRule="exact"/>
              <w:rPr>
                <w:iCs/>
                <w:sz w:val="20"/>
                <w:szCs w:val="20"/>
              </w:rPr>
            </w:pPr>
            <w:r w:rsidRPr="00AC78FB">
              <w:rPr>
                <w:iCs/>
                <w:sz w:val="20"/>
                <w:szCs w:val="20"/>
              </w:rPr>
              <w:t xml:space="preserve">Poročilo o </w:t>
            </w:r>
            <w:r w:rsidR="00E4026D">
              <w:rPr>
                <w:iCs/>
                <w:sz w:val="20"/>
                <w:szCs w:val="20"/>
              </w:rPr>
              <w:t>davčnih izdatkih v letu 2018</w:t>
            </w:r>
          </w:p>
          <w:p w14:paraId="3B096390" w14:textId="77777777" w:rsidR="005E5247" w:rsidRPr="00AC78FB" w:rsidRDefault="005E5247" w:rsidP="005E5247">
            <w:pPr>
              <w:pStyle w:val="Neotevilenodstavek"/>
              <w:spacing w:after="0" w:line="260" w:lineRule="exact"/>
              <w:rPr>
                <w:iCs/>
                <w:sz w:val="20"/>
                <w:szCs w:val="20"/>
              </w:rPr>
            </w:pPr>
            <w:r w:rsidRPr="00AC78FB">
              <w:rPr>
                <w:iCs/>
                <w:sz w:val="20"/>
                <w:szCs w:val="20"/>
              </w:rPr>
              <w:t>Prejmejo:</w:t>
            </w:r>
          </w:p>
          <w:p w14:paraId="723D6BBE" w14:textId="77777777" w:rsidR="00D64B77" w:rsidRPr="00AC78FB" w:rsidRDefault="00D64B77" w:rsidP="002D05BC">
            <w:pPr>
              <w:pStyle w:val="Neotevilenodstavek"/>
              <w:numPr>
                <w:ilvl w:val="0"/>
                <w:numId w:val="14"/>
              </w:numPr>
              <w:spacing w:after="0" w:line="260" w:lineRule="exact"/>
              <w:ind w:left="675" w:hanging="357"/>
              <w:rPr>
                <w:iCs/>
                <w:sz w:val="20"/>
                <w:szCs w:val="20"/>
              </w:rPr>
            </w:pPr>
            <w:r w:rsidRPr="00AC78FB">
              <w:rPr>
                <w:iCs/>
                <w:sz w:val="20"/>
                <w:szCs w:val="20"/>
              </w:rPr>
              <w:t>Državni zbor Republike Slovenije</w:t>
            </w:r>
            <w:r w:rsidR="00C33C78">
              <w:rPr>
                <w:iCs/>
                <w:sz w:val="20"/>
                <w:szCs w:val="20"/>
              </w:rPr>
              <w:t>,</w:t>
            </w:r>
            <w:r w:rsidR="005E5247" w:rsidRPr="00AC78FB">
              <w:rPr>
                <w:iCs/>
                <w:sz w:val="20"/>
                <w:szCs w:val="20"/>
              </w:rPr>
              <w:tab/>
            </w:r>
          </w:p>
          <w:p w14:paraId="395B4F76" w14:textId="77777777" w:rsidR="005E5247" w:rsidRPr="00AC78FB" w:rsidRDefault="005E5247" w:rsidP="002D05BC">
            <w:pPr>
              <w:pStyle w:val="Neotevilenodstavek"/>
              <w:numPr>
                <w:ilvl w:val="0"/>
                <w:numId w:val="14"/>
              </w:numPr>
              <w:spacing w:after="0" w:line="260" w:lineRule="exact"/>
              <w:ind w:left="675" w:hanging="357"/>
              <w:rPr>
                <w:iCs/>
                <w:sz w:val="20"/>
                <w:szCs w:val="20"/>
              </w:rPr>
            </w:pPr>
            <w:r w:rsidRPr="00AC78FB">
              <w:rPr>
                <w:iCs/>
                <w:sz w:val="20"/>
                <w:szCs w:val="20"/>
              </w:rPr>
              <w:t>Generalni sekretariat Vlade Republike Slovenije,</w:t>
            </w:r>
          </w:p>
          <w:p w14:paraId="7F042A05" w14:textId="77777777" w:rsidR="00A41358" w:rsidRDefault="005E5247" w:rsidP="00A41358">
            <w:pPr>
              <w:pStyle w:val="Neotevilenodstavek"/>
              <w:numPr>
                <w:ilvl w:val="0"/>
                <w:numId w:val="14"/>
              </w:numPr>
              <w:spacing w:after="0" w:line="260" w:lineRule="exact"/>
              <w:ind w:left="675" w:hanging="357"/>
              <w:rPr>
                <w:iCs/>
                <w:sz w:val="20"/>
                <w:szCs w:val="20"/>
              </w:rPr>
            </w:pPr>
            <w:r w:rsidRPr="00AC78FB">
              <w:rPr>
                <w:iCs/>
                <w:sz w:val="20"/>
                <w:szCs w:val="20"/>
              </w:rPr>
              <w:tab/>
              <w:t>Ministrstvo za finance,</w:t>
            </w:r>
          </w:p>
          <w:p w14:paraId="5DCCFEF2" w14:textId="19DF9912" w:rsidR="005553CB" w:rsidRPr="00AC78FB" w:rsidRDefault="005E5247" w:rsidP="00A41358">
            <w:pPr>
              <w:pStyle w:val="Neotevilenodstavek"/>
              <w:numPr>
                <w:ilvl w:val="0"/>
                <w:numId w:val="14"/>
              </w:numPr>
              <w:spacing w:after="0" w:line="260" w:lineRule="exact"/>
              <w:ind w:left="675" w:hanging="357"/>
              <w:rPr>
                <w:iCs/>
                <w:sz w:val="20"/>
                <w:szCs w:val="20"/>
              </w:rPr>
            </w:pPr>
            <w:r w:rsidRPr="00AC78FB">
              <w:rPr>
                <w:iCs/>
                <w:sz w:val="20"/>
                <w:szCs w:val="20"/>
              </w:rPr>
              <w:tab/>
              <w:t xml:space="preserve">Služba Vlade </w:t>
            </w:r>
            <w:r w:rsidR="00C33C78">
              <w:rPr>
                <w:iCs/>
                <w:sz w:val="20"/>
                <w:szCs w:val="20"/>
              </w:rPr>
              <w:t>R</w:t>
            </w:r>
            <w:r w:rsidR="0019717B">
              <w:rPr>
                <w:iCs/>
                <w:sz w:val="20"/>
                <w:szCs w:val="20"/>
              </w:rPr>
              <w:t xml:space="preserve">epublike </w:t>
            </w:r>
            <w:r w:rsidR="00C33C78">
              <w:rPr>
                <w:iCs/>
                <w:sz w:val="20"/>
                <w:szCs w:val="20"/>
              </w:rPr>
              <w:t>S</w:t>
            </w:r>
            <w:r w:rsidR="0019717B">
              <w:rPr>
                <w:iCs/>
                <w:sz w:val="20"/>
                <w:szCs w:val="20"/>
              </w:rPr>
              <w:t>lovenije</w:t>
            </w:r>
            <w:r w:rsidR="00C33C78">
              <w:rPr>
                <w:iCs/>
                <w:sz w:val="20"/>
                <w:szCs w:val="20"/>
              </w:rPr>
              <w:t xml:space="preserve"> </w:t>
            </w:r>
            <w:r w:rsidRPr="00AC78FB">
              <w:rPr>
                <w:iCs/>
                <w:sz w:val="20"/>
                <w:szCs w:val="20"/>
              </w:rPr>
              <w:t>za zakonodajo.</w:t>
            </w:r>
          </w:p>
        </w:tc>
      </w:tr>
      <w:tr w:rsidR="005553CB" w:rsidRPr="00AC78FB" w14:paraId="1035292B" w14:textId="77777777" w:rsidTr="00CA689C">
        <w:tc>
          <w:tcPr>
            <w:tcW w:w="9163" w:type="dxa"/>
            <w:gridSpan w:val="4"/>
          </w:tcPr>
          <w:p w14:paraId="47C29E06" w14:textId="77777777" w:rsidR="005553CB" w:rsidRPr="00AC78FB" w:rsidRDefault="005553CB" w:rsidP="00CA689C">
            <w:pPr>
              <w:pStyle w:val="Neotevilenodstavek"/>
              <w:spacing w:before="0" w:after="0" w:line="260" w:lineRule="exact"/>
              <w:rPr>
                <w:b/>
                <w:iCs/>
                <w:sz w:val="20"/>
                <w:szCs w:val="20"/>
              </w:rPr>
            </w:pPr>
            <w:r w:rsidRPr="00AC78FB">
              <w:rPr>
                <w:b/>
                <w:sz w:val="20"/>
                <w:szCs w:val="20"/>
              </w:rPr>
              <w:t>2. Predlog za obravnavo predloga zakona po nujnem ali skrajšanem postopku v državnem zboru z obrazložitvijo razlogov:</w:t>
            </w:r>
          </w:p>
        </w:tc>
      </w:tr>
      <w:tr w:rsidR="005553CB" w:rsidRPr="00AC78FB" w14:paraId="5AE97735" w14:textId="77777777" w:rsidTr="00CA689C">
        <w:tc>
          <w:tcPr>
            <w:tcW w:w="9163" w:type="dxa"/>
            <w:gridSpan w:val="4"/>
          </w:tcPr>
          <w:p w14:paraId="62791A0E" w14:textId="77777777" w:rsidR="005553CB" w:rsidRPr="00AC78FB" w:rsidRDefault="005553CB" w:rsidP="00CA689C">
            <w:pPr>
              <w:pStyle w:val="Neotevilenodstavek"/>
              <w:spacing w:before="0" w:after="0" w:line="260" w:lineRule="exact"/>
              <w:rPr>
                <w:iCs/>
                <w:sz w:val="20"/>
                <w:szCs w:val="20"/>
              </w:rPr>
            </w:pPr>
            <w:r w:rsidRPr="00AC78FB">
              <w:rPr>
                <w:iCs/>
                <w:sz w:val="20"/>
                <w:szCs w:val="20"/>
              </w:rPr>
              <w:t>(Navedite razloge, razen za predlog zakona o ratifikaciji mednarodne pogodbe, ki se obravnava po nujnem postopku – 169. člen Poslovnika državnega zbora.)</w:t>
            </w:r>
          </w:p>
        </w:tc>
      </w:tr>
      <w:tr w:rsidR="005553CB" w:rsidRPr="00AC78FB" w14:paraId="0F87B148" w14:textId="77777777" w:rsidTr="00CA689C">
        <w:tc>
          <w:tcPr>
            <w:tcW w:w="9163" w:type="dxa"/>
            <w:gridSpan w:val="4"/>
          </w:tcPr>
          <w:p w14:paraId="498F0A37" w14:textId="77777777" w:rsidR="005553CB" w:rsidRPr="00AC78FB" w:rsidRDefault="005553CB" w:rsidP="00CA689C">
            <w:pPr>
              <w:pStyle w:val="Neotevilenodstavek"/>
              <w:spacing w:before="0" w:after="0" w:line="260" w:lineRule="exact"/>
              <w:rPr>
                <w:b/>
                <w:iCs/>
                <w:sz w:val="20"/>
                <w:szCs w:val="20"/>
              </w:rPr>
            </w:pPr>
            <w:r w:rsidRPr="00AC78FB">
              <w:rPr>
                <w:b/>
                <w:sz w:val="20"/>
                <w:szCs w:val="20"/>
              </w:rPr>
              <w:t>3.a Osebe, odgovorne za strokovno pripravo in usklajenost gradiva:</w:t>
            </w:r>
          </w:p>
        </w:tc>
      </w:tr>
      <w:tr w:rsidR="005553CB" w:rsidRPr="00AC78FB" w14:paraId="5DE85538" w14:textId="77777777" w:rsidTr="00CA689C">
        <w:tc>
          <w:tcPr>
            <w:tcW w:w="9163" w:type="dxa"/>
            <w:gridSpan w:val="4"/>
          </w:tcPr>
          <w:p w14:paraId="63A8CDB4" w14:textId="5F838270" w:rsidR="005553CB" w:rsidRPr="00AC78FB" w:rsidRDefault="005553CB" w:rsidP="00CA689C">
            <w:pPr>
              <w:pStyle w:val="Neotevilenodstavek"/>
              <w:spacing w:before="0" w:after="0" w:line="260" w:lineRule="exact"/>
              <w:rPr>
                <w:iCs/>
                <w:sz w:val="20"/>
                <w:szCs w:val="20"/>
              </w:rPr>
            </w:pPr>
          </w:p>
        </w:tc>
      </w:tr>
      <w:tr w:rsidR="005553CB" w:rsidRPr="00AC78FB" w14:paraId="49869914" w14:textId="77777777" w:rsidTr="00CA689C">
        <w:tc>
          <w:tcPr>
            <w:tcW w:w="9163" w:type="dxa"/>
            <w:gridSpan w:val="4"/>
          </w:tcPr>
          <w:p w14:paraId="351A3596" w14:textId="77777777" w:rsidR="005553CB" w:rsidRPr="00AC78FB" w:rsidRDefault="005553CB" w:rsidP="00CA689C">
            <w:pPr>
              <w:pStyle w:val="Neotevilenodstavek"/>
              <w:spacing w:before="0" w:after="0" w:line="260" w:lineRule="exact"/>
              <w:rPr>
                <w:b/>
                <w:iCs/>
                <w:sz w:val="20"/>
                <w:szCs w:val="20"/>
              </w:rPr>
            </w:pPr>
            <w:r w:rsidRPr="00AC78FB">
              <w:rPr>
                <w:b/>
                <w:iCs/>
                <w:sz w:val="20"/>
                <w:szCs w:val="20"/>
              </w:rPr>
              <w:t xml:space="preserve">3.b Zunanji strokovnjaki, ki so </w:t>
            </w:r>
            <w:r w:rsidRPr="00AC78FB">
              <w:rPr>
                <w:b/>
                <w:sz w:val="20"/>
                <w:szCs w:val="20"/>
              </w:rPr>
              <w:t>sodelovali pri pripravi dela ali celotnega gradiva:</w:t>
            </w:r>
          </w:p>
        </w:tc>
      </w:tr>
      <w:tr w:rsidR="005553CB" w:rsidRPr="00AC78FB" w14:paraId="09EB3C26" w14:textId="77777777" w:rsidTr="00CA689C">
        <w:tc>
          <w:tcPr>
            <w:tcW w:w="9163" w:type="dxa"/>
            <w:gridSpan w:val="4"/>
          </w:tcPr>
          <w:p w14:paraId="4BAB6916" w14:textId="77777777" w:rsidR="005553CB" w:rsidRPr="00AC78FB" w:rsidRDefault="005553CB" w:rsidP="00CA689C">
            <w:pPr>
              <w:pStyle w:val="Neotevilenodstavek"/>
              <w:spacing w:before="0" w:after="0" w:line="260" w:lineRule="exact"/>
              <w:rPr>
                <w:iCs/>
                <w:sz w:val="20"/>
                <w:szCs w:val="20"/>
              </w:rPr>
            </w:pPr>
          </w:p>
        </w:tc>
      </w:tr>
      <w:tr w:rsidR="005553CB" w:rsidRPr="00AC78FB" w14:paraId="65D37C8A" w14:textId="77777777" w:rsidTr="00CA689C">
        <w:tc>
          <w:tcPr>
            <w:tcW w:w="9163" w:type="dxa"/>
            <w:gridSpan w:val="4"/>
          </w:tcPr>
          <w:p w14:paraId="206F3867" w14:textId="77777777" w:rsidR="005553CB" w:rsidRPr="00AC78FB" w:rsidRDefault="005553CB" w:rsidP="00CA689C">
            <w:pPr>
              <w:pStyle w:val="Neotevilenodstavek"/>
              <w:spacing w:before="0" w:after="0" w:line="260" w:lineRule="exact"/>
              <w:rPr>
                <w:b/>
                <w:iCs/>
                <w:sz w:val="20"/>
                <w:szCs w:val="20"/>
              </w:rPr>
            </w:pPr>
            <w:r w:rsidRPr="00AC78FB">
              <w:rPr>
                <w:b/>
                <w:sz w:val="20"/>
                <w:szCs w:val="20"/>
              </w:rPr>
              <w:t>4. Predstavniki vlade, ki bodo sodelovali pri delu državnega zbora:</w:t>
            </w:r>
          </w:p>
        </w:tc>
      </w:tr>
      <w:tr w:rsidR="005553CB" w:rsidRPr="00AC78FB" w14:paraId="77E8A11A" w14:textId="77777777" w:rsidTr="00CA689C">
        <w:tc>
          <w:tcPr>
            <w:tcW w:w="9163" w:type="dxa"/>
            <w:gridSpan w:val="4"/>
          </w:tcPr>
          <w:p w14:paraId="7D5DB204" w14:textId="5FEE8DA6" w:rsidR="005553CB" w:rsidRPr="00AC78FB" w:rsidRDefault="008737B4" w:rsidP="007246D4">
            <w:pPr>
              <w:pStyle w:val="Neotevilenodstavek"/>
              <w:numPr>
                <w:ilvl w:val="0"/>
                <w:numId w:val="12"/>
              </w:numPr>
              <w:spacing w:before="0" w:after="0" w:line="260" w:lineRule="exact"/>
              <w:rPr>
                <w:iCs/>
                <w:sz w:val="20"/>
                <w:szCs w:val="20"/>
              </w:rPr>
            </w:pPr>
            <w:r>
              <w:rPr>
                <w:iCs/>
                <w:sz w:val="20"/>
                <w:szCs w:val="20"/>
              </w:rPr>
              <w:t>mag</w:t>
            </w:r>
            <w:r w:rsidR="009F32C0" w:rsidRPr="00AC78FB">
              <w:rPr>
                <w:iCs/>
                <w:sz w:val="20"/>
                <w:szCs w:val="20"/>
              </w:rPr>
              <w:t xml:space="preserve">. Andrej </w:t>
            </w:r>
            <w:r>
              <w:rPr>
                <w:iCs/>
                <w:sz w:val="20"/>
                <w:szCs w:val="20"/>
              </w:rPr>
              <w:t>Šir</w:t>
            </w:r>
            <w:r w:rsidR="009F32C0" w:rsidRPr="00AC78FB">
              <w:rPr>
                <w:iCs/>
                <w:sz w:val="20"/>
                <w:szCs w:val="20"/>
              </w:rPr>
              <w:t>celj</w:t>
            </w:r>
            <w:r w:rsidR="00030A61" w:rsidRPr="00AC78FB">
              <w:rPr>
                <w:iCs/>
                <w:sz w:val="20"/>
                <w:szCs w:val="20"/>
              </w:rPr>
              <w:t>, minist</w:t>
            </w:r>
            <w:r w:rsidR="009F32C0" w:rsidRPr="00AC78FB">
              <w:rPr>
                <w:iCs/>
                <w:sz w:val="20"/>
                <w:szCs w:val="20"/>
              </w:rPr>
              <w:t>er</w:t>
            </w:r>
            <w:r w:rsidR="00030A61" w:rsidRPr="00AC78FB">
              <w:rPr>
                <w:iCs/>
                <w:sz w:val="20"/>
                <w:szCs w:val="20"/>
              </w:rPr>
              <w:t xml:space="preserve"> za finance</w:t>
            </w:r>
            <w:r w:rsidR="0019717B">
              <w:rPr>
                <w:iCs/>
                <w:sz w:val="20"/>
                <w:szCs w:val="20"/>
              </w:rPr>
              <w:t>,</w:t>
            </w:r>
          </w:p>
          <w:p w14:paraId="0E833546" w14:textId="34920692" w:rsidR="00030A61" w:rsidRPr="00AC78FB" w:rsidRDefault="008737B4" w:rsidP="007246D4">
            <w:pPr>
              <w:pStyle w:val="Neotevilenodstavek"/>
              <w:numPr>
                <w:ilvl w:val="0"/>
                <w:numId w:val="12"/>
              </w:numPr>
              <w:spacing w:before="0" w:after="0" w:line="260" w:lineRule="exact"/>
              <w:rPr>
                <w:iCs/>
                <w:sz w:val="20"/>
                <w:szCs w:val="20"/>
              </w:rPr>
            </w:pPr>
            <w:r>
              <w:rPr>
                <w:bCs/>
                <w:iCs/>
                <w:sz w:val="20"/>
                <w:szCs w:val="20"/>
              </w:rPr>
              <w:t>Polona F</w:t>
            </w:r>
            <w:r w:rsidR="00B32A68">
              <w:rPr>
                <w:bCs/>
                <w:iCs/>
                <w:sz w:val="20"/>
                <w:szCs w:val="20"/>
              </w:rPr>
              <w:t>l</w:t>
            </w:r>
            <w:r>
              <w:rPr>
                <w:bCs/>
                <w:iCs/>
                <w:sz w:val="20"/>
                <w:szCs w:val="20"/>
              </w:rPr>
              <w:t>erin</w:t>
            </w:r>
            <w:r w:rsidR="00030A61" w:rsidRPr="00AC78FB">
              <w:rPr>
                <w:iCs/>
                <w:sz w:val="20"/>
                <w:szCs w:val="20"/>
              </w:rPr>
              <w:t>, državn</w:t>
            </w:r>
            <w:r w:rsidR="009F32C0" w:rsidRPr="00AC78FB">
              <w:rPr>
                <w:iCs/>
                <w:sz w:val="20"/>
                <w:szCs w:val="20"/>
              </w:rPr>
              <w:t>a</w:t>
            </w:r>
            <w:r w:rsidR="00030A61" w:rsidRPr="00AC78FB">
              <w:rPr>
                <w:iCs/>
                <w:sz w:val="20"/>
                <w:szCs w:val="20"/>
              </w:rPr>
              <w:t xml:space="preserve"> sekretar</w:t>
            </w:r>
            <w:r w:rsidR="009F32C0" w:rsidRPr="00AC78FB">
              <w:rPr>
                <w:iCs/>
                <w:sz w:val="20"/>
                <w:szCs w:val="20"/>
              </w:rPr>
              <w:t>ka</w:t>
            </w:r>
            <w:r w:rsidR="0019717B">
              <w:rPr>
                <w:iCs/>
                <w:sz w:val="20"/>
                <w:szCs w:val="20"/>
              </w:rPr>
              <w:t>,</w:t>
            </w:r>
          </w:p>
          <w:p w14:paraId="5A9F6E9B" w14:textId="6112EA00" w:rsidR="00030A61" w:rsidRPr="00AC78FB" w:rsidRDefault="002F2236" w:rsidP="007246D4">
            <w:pPr>
              <w:pStyle w:val="Neotevilenodstavek"/>
              <w:numPr>
                <w:ilvl w:val="0"/>
                <w:numId w:val="12"/>
              </w:numPr>
              <w:spacing w:before="0" w:after="0" w:line="260" w:lineRule="exact"/>
              <w:rPr>
                <w:iCs/>
                <w:sz w:val="20"/>
                <w:szCs w:val="20"/>
              </w:rPr>
            </w:pPr>
            <w:r w:rsidRPr="00AC78FB">
              <w:rPr>
                <w:iCs/>
                <w:sz w:val="20"/>
                <w:szCs w:val="20"/>
              </w:rPr>
              <w:t xml:space="preserve">mag. </w:t>
            </w:r>
            <w:r w:rsidR="008737B4">
              <w:rPr>
                <w:iCs/>
                <w:sz w:val="20"/>
                <w:szCs w:val="20"/>
              </w:rPr>
              <w:t>Kristina Šteblaj</w:t>
            </w:r>
            <w:r w:rsidR="00030A61" w:rsidRPr="00AC78FB">
              <w:rPr>
                <w:iCs/>
                <w:sz w:val="20"/>
                <w:szCs w:val="20"/>
              </w:rPr>
              <w:t>, državna sekretarka</w:t>
            </w:r>
            <w:r w:rsidR="0019717B">
              <w:rPr>
                <w:iCs/>
                <w:sz w:val="20"/>
                <w:szCs w:val="20"/>
              </w:rPr>
              <w:t>,</w:t>
            </w:r>
          </w:p>
          <w:p w14:paraId="316328A5" w14:textId="35AB10BB" w:rsidR="00030A61" w:rsidRDefault="00FE079C" w:rsidP="00A57E85">
            <w:pPr>
              <w:pStyle w:val="Neotevilenodstavek"/>
              <w:numPr>
                <w:ilvl w:val="0"/>
                <w:numId w:val="12"/>
              </w:numPr>
              <w:spacing w:before="0" w:after="0" w:line="260" w:lineRule="exact"/>
              <w:rPr>
                <w:iCs/>
                <w:sz w:val="20"/>
                <w:szCs w:val="20"/>
              </w:rPr>
            </w:pPr>
            <w:r w:rsidRPr="00AC78FB">
              <w:rPr>
                <w:bCs/>
                <w:iCs/>
                <w:sz w:val="20"/>
                <w:szCs w:val="20"/>
              </w:rPr>
              <w:t xml:space="preserve">mag. </w:t>
            </w:r>
            <w:r w:rsidR="008737B4">
              <w:rPr>
                <w:bCs/>
                <w:iCs/>
                <w:sz w:val="20"/>
                <w:szCs w:val="20"/>
              </w:rPr>
              <w:t>Peter Ješovnik</w:t>
            </w:r>
            <w:r w:rsidR="000A15CE" w:rsidRPr="00AC78FB">
              <w:rPr>
                <w:iCs/>
                <w:sz w:val="20"/>
                <w:szCs w:val="20"/>
              </w:rPr>
              <w:t xml:space="preserve">, </w:t>
            </w:r>
            <w:r w:rsidR="00030A61" w:rsidRPr="00AC78FB">
              <w:rPr>
                <w:iCs/>
                <w:sz w:val="20"/>
                <w:szCs w:val="20"/>
              </w:rPr>
              <w:t>državni sekretar</w:t>
            </w:r>
            <w:r w:rsidR="009561CB">
              <w:rPr>
                <w:iCs/>
                <w:sz w:val="20"/>
                <w:szCs w:val="20"/>
              </w:rPr>
              <w:t>,</w:t>
            </w:r>
          </w:p>
          <w:p w14:paraId="5D61EC35" w14:textId="3067430A" w:rsidR="00030A61" w:rsidRPr="00AC78FB" w:rsidRDefault="00E4026D" w:rsidP="007246D4">
            <w:pPr>
              <w:pStyle w:val="Neotevilenodstavek"/>
              <w:numPr>
                <w:ilvl w:val="0"/>
                <w:numId w:val="12"/>
              </w:numPr>
              <w:spacing w:before="0" w:after="0" w:line="260" w:lineRule="exact"/>
              <w:rPr>
                <w:iCs/>
                <w:sz w:val="20"/>
                <w:szCs w:val="20"/>
              </w:rPr>
            </w:pPr>
            <w:r>
              <w:rPr>
                <w:iCs/>
                <w:sz w:val="20"/>
                <w:szCs w:val="20"/>
              </w:rPr>
              <w:t xml:space="preserve">mag. </w:t>
            </w:r>
            <w:r w:rsidR="008737B4">
              <w:rPr>
                <w:iCs/>
                <w:sz w:val="20"/>
                <w:szCs w:val="20"/>
              </w:rPr>
              <w:t>Tina Humar</w:t>
            </w:r>
            <w:r>
              <w:rPr>
                <w:iCs/>
                <w:sz w:val="20"/>
                <w:szCs w:val="20"/>
              </w:rPr>
              <w:t xml:space="preserve">, </w:t>
            </w:r>
            <w:r w:rsidR="008737B4">
              <w:rPr>
                <w:iCs/>
                <w:sz w:val="20"/>
                <w:szCs w:val="20"/>
              </w:rPr>
              <w:t>v.</w:t>
            </w:r>
            <w:r w:rsidR="0019717B">
              <w:rPr>
                <w:iCs/>
                <w:sz w:val="20"/>
                <w:szCs w:val="20"/>
              </w:rPr>
              <w:t xml:space="preserve"> </w:t>
            </w:r>
            <w:r w:rsidR="008737B4">
              <w:rPr>
                <w:iCs/>
                <w:sz w:val="20"/>
                <w:szCs w:val="20"/>
              </w:rPr>
              <w:t xml:space="preserve">d. </w:t>
            </w:r>
            <w:r>
              <w:rPr>
                <w:iCs/>
                <w:sz w:val="20"/>
                <w:szCs w:val="20"/>
              </w:rPr>
              <w:t>generaln</w:t>
            </w:r>
            <w:r w:rsidR="008737B4">
              <w:rPr>
                <w:iCs/>
                <w:sz w:val="20"/>
                <w:szCs w:val="20"/>
              </w:rPr>
              <w:t>e</w:t>
            </w:r>
            <w:r>
              <w:rPr>
                <w:iCs/>
                <w:sz w:val="20"/>
                <w:szCs w:val="20"/>
              </w:rPr>
              <w:t xml:space="preserve"> direktoric</w:t>
            </w:r>
            <w:r w:rsidR="008737B4">
              <w:rPr>
                <w:iCs/>
                <w:sz w:val="20"/>
                <w:szCs w:val="20"/>
              </w:rPr>
              <w:t>e</w:t>
            </w:r>
            <w:r>
              <w:rPr>
                <w:iCs/>
                <w:sz w:val="20"/>
                <w:szCs w:val="20"/>
              </w:rPr>
              <w:t xml:space="preserve"> Direktorata za sistem davčnih, carinskih in drugih javnih prihodkov</w:t>
            </w:r>
            <w:r w:rsidR="0019717B">
              <w:rPr>
                <w:iCs/>
                <w:sz w:val="20"/>
                <w:szCs w:val="20"/>
              </w:rPr>
              <w:t>,</w:t>
            </w:r>
          </w:p>
          <w:p w14:paraId="10AFA0DF" w14:textId="77777777" w:rsidR="00030A61" w:rsidRPr="00E4026D" w:rsidRDefault="00E4026D" w:rsidP="003359BD">
            <w:pPr>
              <w:pStyle w:val="Neotevilenodstavek"/>
              <w:numPr>
                <w:ilvl w:val="0"/>
                <w:numId w:val="12"/>
              </w:numPr>
              <w:spacing w:before="0" w:after="0" w:line="260" w:lineRule="exact"/>
              <w:rPr>
                <w:b/>
                <w:sz w:val="20"/>
                <w:szCs w:val="20"/>
              </w:rPr>
            </w:pPr>
            <w:r>
              <w:rPr>
                <w:iCs/>
                <w:sz w:val="20"/>
                <w:szCs w:val="20"/>
              </w:rPr>
              <w:t>Meta Šinkovec, vodja Sektorja za analize in koordinacijo davčne politike,</w:t>
            </w:r>
          </w:p>
          <w:p w14:paraId="4C28ACA4" w14:textId="048393EE" w:rsidR="00E4026D" w:rsidRPr="00012435" w:rsidRDefault="00E4026D" w:rsidP="003359BD">
            <w:pPr>
              <w:pStyle w:val="Neotevilenodstavek"/>
              <w:numPr>
                <w:ilvl w:val="0"/>
                <w:numId w:val="12"/>
              </w:numPr>
              <w:spacing w:before="0" w:after="0" w:line="260" w:lineRule="exact"/>
              <w:rPr>
                <w:b/>
                <w:sz w:val="20"/>
                <w:szCs w:val="20"/>
              </w:rPr>
            </w:pPr>
            <w:r>
              <w:rPr>
                <w:iCs/>
                <w:sz w:val="20"/>
                <w:szCs w:val="20"/>
              </w:rPr>
              <w:t>mag. Marko Potočnik, podsekretar</w:t>
            </w:r>
            <w:r w:rsidR="0019717B">
              <w:rPr>
                <w:iCs/>
                <w:sz w:val="20"/>
                <w:szCs w:val="20"/>
              </w:rPr>
              <w:t>,</w:t>
            </w:r>
          </w:p>
          <w:p w14:paraId="3CBB48E7" w14:textId="46CEB4E7" w:rsidR="000935D8" w:rsidRPr="00AC78FB" w:rsidRDefault="000935D8" w:rsidP="003359BD">
            <w:pPr>
              <w:pStyle w:val="Neotevilenodstavek"/>
              <w:numPr>
                <w:ilvl w:val="0"/>
                <w:numId w:val="12"/>
              </w:numPr>
              <w:spacing w:before="0" w:after="0" w:line="260" w:lineRule="exact"/>
              <w:rPr>
                <w:b/>
                <w:sz w:val="20"/>
                <w:szCs w:val="20"/>
              </w:rPr>
            </w:pPr>
            <w:r>
              <w:rPr>
                <w:iCs/>
                <w:sz w:val="20"/>
                <w:szCs w:val="20"/>
              </w:rPr>
              <w:t>Boris Gramc, podsekretar</w:t>
            </w:r>
            <w:r w:rsidR="0019717B">
              <w:rPr>
                <w:iCs/>
                <w:sz w:val="20"/>
                <w:szCs w:val="20"/>
              </w:rPr>
              <w:t>.</w:t>
            </w:r>
          </w:p>
        </w:tc>
      </w:tr>
      <w:tr w:rsidR="005553CB" w:rsidRPr="00AC78FB" w14:paraId="761DA839" w14:textId="77777777" w:rsidTr="00CA689C">
        <w:tc>
          <w:tcPr>
            <w:tcW w:w="9163" w:type="dxa"/>
            <w:gridSpan w:val="4"/>
          </w:tcPr>
          <w:p w14:paraId="327964D2" w14:textId="77777777" w:rsidR="005553CB" w:rsidRPr="00AC78FB" w:rsidRDefault="005553CB" w:rsidP="00CA689C">
            <w:pPr>
              <w:pStyle w:val="Oddelek"/>
              <w:numPr>
                <w:ilvl w:val="0"/>
                <w:numId w:val="0"/>
              </w:numPr>
              <w:spacing w:before="0" w:after="0" w:line="260" w:lineRule="exact"/>
              <w:jc w:val="left"/>
              <w:rPr>
                <w:sz w:val="20"/>
                <w:szCs w:val="20"/>
              </w:rPr>
            </w:pPr>
            <w:r w:rsidRPr="00AC78FB">
              <w:rPr>
                <w:sz w:val="20"/>
                <w:szCs w:val="20"/>
              </w:rPr>
              <w:t>5. Kratek povzetek gradiva:</w:t>
            </w:r>
          </w:p>
        </w:tc>
      </w:tr>
      <w:tr w:rsidR="005553CB" w:rsidRPr="00AC78FB" w14:paraId="7F27789F" w14:textId="77777777" w:rsidTr="00190B7C">
        <w:trPr>
          <w:trHeight w:val="551"/>
        </w:trPr>
        <w:tc>
          <w:tcPr>
            <w:tcW w:w="9163" w:type="dxa"/>
            <w:gridSpan w:val="4"/>
          </w:tcPr>
          <w:p w14:paraId="7768A0C8" w14:textId="41570D27" w:rsidR="00423215" w:rsidRPr="00423215" w:rsidRDefault="00423215" w:rsidP="00423215">
            <w:pPr>
              <w:pStyle w:val="CommentText"/>
              <w:rPr>
                <w:rFonts w:ascii="Arial" w:hAnsi="Arial" w:cs="Arial"/>
              </w:rPr>
            </w:pPr>
            <w:r w:rsidRPr="00423215">
              <w:rPr>
                <w:rFonts w:ascii="Arial" w:hAnsi="Arial" w:cs="Arial"/>
              </w:rPr>
              <w:t>Prvo poročilo o davčnih izdatkih, predloženo na podlagi drugega odstavka 64.a člena Zakona o javnih financah (Uradni list RS, št. 11/11 – uradno prečiščeno besedilo, 14/13 – popr., 101/13, 55/15 – ZFisP, 96/15 – ZIPRS1617 in 13/18), vključuje ocene zmanjšanja davčnih prihod</w:t>
            </w:r>
            <w:r>
              <w:rPr>
                <w:rFonts w:ascii="Arial" w:hAnsi="Arial" w:cs="Arial"/>
              </w:rPr>
              <w:t xml:space="preserve">kov na ravni različnih davkov. </w:t>
            </w:r>
            <w:r w:rsidRPr="00423215">
              <w:rPr>
                <w:rFonts w:ascii="Arial" w:hAnsi="Arial" w:cs="Arial"/>
              </w:rPr>
              <w:t>Poročilo vsebuje pr</w:t>
            </w:r>
            <w:r w:rsidR="0019717B">
              <w:rPr>
                <w:rFonts w:ascii="Arial" w:hAnsi="Arial" w:cs="Arial"/>
              </w:rPr>
              <w:t>ikaz</w:t>
            </w:r>
            <w:r w:rsidRPr="00423215">
              <w:rPr>
                <w:rFonts w:ascii="Arial" w:hAnsi="Arial" w:cs="Arial"/>
              </w:rPr>
              <w:t xml:space="preserve"> davčnih izdatkov po posameznih vrstah davkov skupaj z oceno vpliva na javnofinančne prihodke. Pomembno je seveda redno, analitično in objektivno spremljati vse vrste davčnih izdatkov in s tem vplivati na upravičenost določenih davčnih izdatkov. </w:t>
            </w:r>
            <w:r w:rsidR="0019717B">
              <w:rPr>
                <w:rFonts w:ascii="Arial" w:hAnsi="Arial" w:cs="Arial"/>
              </w:rPr>
              <w:t>Pogosto</w:t>
            </w:r>
            <w:r w:rsidRPr="00423215">
              <w:rPr>
                <w:rFonts w:ascii="Arial" w:hAnsi="Arial" w:cs="Arial"/>
              </w:rPr>
              <w:t xml:space="preserve"> se namreč pokaže, da so davčni izdatki le nadomestilo za neposredna plačila iz proračuna, kar zma</w:t>
            </w:r>
            <w:r>
              <w:rPr>
                <w:rFonts w:ascii="Arial" w:hAnsi="Arial" w:cs="Arial"/>
              </w:rPr>
              <w:t xml:space="preserve">njšuje </w:t>
            </w:r>
            <w:r w:rsidR="006F5258">
              <w:rPr>
                <w:rFonts w:ascii="Arial" w:hAnsi="Arial" w:cs="Arial"/>
              </w:rPr>
              <w:t>javnofinančno</w:t>
            </w:r>
            <w:r>
              <w:rPr>
                <w:rFonts w:ascii="Arial" w:hAnsi="Arial" w:cs="Arial"/>
              </w:rPr>
              <w:t xml:space="preserve"> preglednost. </w:t>
            </w:r>
            <w:r w:rsidRPr="00423215">
              <w:rPr>
                <w:rFonts w:ascii="Arial" w:hAnsi="Arial" w:cs="Arial"/>
              </w:rPr>
              <w:t>Glavne ugotovitve poročila so:</w:t>
            </w:r>
          </w:p>
          <w:p w14:paraId="03ED2168" w14:textId="41D54CE4" w:rsidR="00423215" w:rsidRPr="00423215" w:rsidRDefault="00423215" w:rsidP="00AC13E9">
            <w:pPr>
              <w:pStyle w:val="CommentText"/>
              <w:numPr>
                <w:ilvl w:val="0"/>
                <w:numId w:val="65"/>
              </w:numPr>
              <w:rPr>
                <w:rFonts w:ascii="Arial" w:hAnsi="Arial" w:cs="Arial"/>
              </w:rPr>
            </w:pPr>
            <w:r w:rsidRPr="00423215">
              <w:rPr>
                <w:rFonts w:ascii="Arial" w:hAnsi="Arial" w:cs="Arial"/>
              </w:rPr>
              <w:t>Obseg neposredno dodeljenih spodbud v obliki oprostitev in vračil davkov se v zadnjih treh letih povečuje, v letu 2018 se je znesek davčnih izdatkov povečal za 14 % glede na leto 2016.</w:t>
            </w:r>
          </w:p>
          <w:p w14:paraId="3B2732ED" w14:textId="0DBD98B0" w:rsidR="00423215" w:rsidRPr="00423215" w:rsidRDefault="00AC13E9" w:rsidP="00AC13E9">
            <w:pPr>
              <w:pStyle w:val="CommentText"/>
              <w:numPr>
                <w:ilvl w:val="0"/>
                <w:numId w:val="65"/>
              </w:numPr>
              <w:rPr>
                <w:rFonts w:ascii="Arial" w:hAnsi="Arial" w:cs="Arial"/>
              </w:rPr>
            </w:pPr>
            <w:r w:rsidRPr="00AC13E9">
              <w:rPr>
                <w:rFonts w:ascii="Arial" w:hAnsi="Arial" w:cs="Arial"/>
              </w:rPr>
              <w:t xml:space="preserve">Davčni izdatki predstavljajo v obdobju od leta 2016 do 2018 v povprečju 4,9 % BDP. V letu 2018 so znašali skoraj kot 2,3 </w:t>
            </w:r>
            <w:r w:rsidR="00BE46E3">
              <w:rPr>
                <w:rFonts w:ascii="Arial" w:hAnsi="Arial" w:cs="Arial"/>
              </w:rPr>
              <w:t>mrd</w:t>
            </w:r>
            <w:r w:rsidRPr="00AC13E9">
              <w:rPr>
                <w:rFonts w:ascii="Arial" w:hAnsi="Arial" w:cs="Arial"/>
              </w:rPr>
              <w:t xml:space="preserve"> e</w:t>
            </w:r>
            <w:r w:rsidR="009561CB">
              <w:rPr>
                <w:rFonts w:ascii="Arial" w:hAnsi="Arial" w:cs="Arial"/>
              </w:rPr>
              <w:t>v</w:t>
            </w:r>
            <w:r w:rsidRPr="00AC13E9">
              <w:rPr>
                <w:rFonts w:ascii="Arial" w:hAnsi="Arial" w:cs="Arial"/>
              </w:rPr>
              <w:t>rov.</w:t>
            </w:r>
          </w:p>
          <w:p w14:paraId="69D98503" w14:textId="3CBEBA76" w:rsidR="00423215" w:rsidRPr="00423215" w:rsidRDefault="00423215" w:rsidP="00AC13E9">
            <w:pPr>
              <w:pStyle w:val="CommentText"/>
              <w:numPr>
                <w:ilvl w:val="0"/>
                <w:numId w:val="65"/>
              </w:numPr>
              <w:rPr>
                <w:rFonts w:ascii="Arial" w:hAnsi="Arial" w:cs="Arial"/>
              </w:rPr>
            </w:pPr>
            <w:r w:rsidRPr="00423215">
              <w:rPr>
                <w:rFonts w:ascii="Arial" w:hAnsi="Arial" w:cs="Arial"/>
              </w:rPr>
              <w:t>Največji izpad javnofinančnih prihodkov v obliki davčnih izdatkov predstavljajo nižja stopnja pri davku na dodano vrednost (DDV) ter olajšave in oprostitve pri dohodnini, skupaj 3,9 % BDP v letu 2018.</w:t>
            </w:r>
          </w:p>
          <w:p w14:paraId="58D0B8E7" w14:textId="7F3113AA" w:rsidR="00423215" w:rsidRPr="00423215" w:rsidRDefault="00423215" w:rsidP="00AC13E9">
            <w:pPr>
              <w:pStyle w:val="CommentText"/>
              <w:numPr>
                <w:ilvl w:val="0"/>
                <w:numId w:val="65"/>
              </w:numPr>
              <w:rPr>
                <w:rFonts w:ascii="Arial" w:hAnsi="Arial" w:cs="Arial"/>
              </w:rPr>
            </w:pPr>
            <w:r w:rsidRPr="00423215">
              <w:rPr>
                <w:rFonts w:ascii="Arial" w:hAnsi="Arial" w:cs="Arial"/>
              </w:rPr>
              <w:t>Največjo skupino davčnega izdatka pri DDV predstavlja nižja stopnja za hrano in pijačo, ki pomeni 337 mio e</w:t>
            </w:r>
            <w:r w:rsidR="009561CB">
              <w:rPr>
                <w:rFonts w:ascii="Arial" w:hAnsi="Arial" w:cs="Arial"/>
              </w:rPr>
              <w:t>v</w:t>
            </w:r>
            <w:r w:rsidRPr="00423215">
              <w:rPr>
                <w:rFonts w:ascii="Arial" w:hAnsi="Arial" w:cs="Arial"/>
              </w:rPr>
              <w:t>rov izgubljenih javnofinančnih prihodkov.</w:t>
            </w:r>
          </w:p>
          <w:p w14:paraId="436016EC" w14:textId="4937444C" w:rsidR="00423215" w:rsidRDefault="00423215" w:rsidP="00AC13E9">
            <w:pPr>
              <w:pStyle w:val="CommentText"/>
              <w:numPr>
                <w:ilvl w:val="0"/>
                <w:numId w:val="65"/>
              </w:numPr>
              <w:rPr>
                <w:rFonts w:ascii="Arial" w:hAnsi="Arial" w:cs="Arial"/>
              </w:rPr>
            </w:pPr>
            <w:r w:rsidRPr="00423215">
              <w:rPr>
                <w:rFonts w:ascii="Arial" w:hAnsi="Arial" w:cs="Arial"/>
              </w:rPr>
              <w:t xml:space="preserve">Pri dohodnini največja davčna izdatka (dodatna splošna olajšava in olajšava za vzdrževane družinske člane) skupaj znižata javnofinančne prihodke za </w:t>
            </w:r>
            <w:r w:rsidR="00385992">
              <w:rPr>
                <w:rFonts w:ascii="Arial" w:hAnsi="Arial" w:cs="Arial"/>
              </w:rPr>
              <w:t>5</w:t>
            </w:r>
            <w:r w:rsidRPr="00423215">
              <w:rPr>
                <w:rFonts w:ascii="Arial" w:hAnsi="Arial" w:cs="Arial"/>
              </w:rPr>
              <w:t>7</w:t>
            </w:r>
            <w:r w:rsidR="00385992">
              <w:rPr>
                <w:rFonts w:ascii="Arial" w:hAnsi="Arial" w:cs="Arial"/>
              </w:rPr>
              <w:t>4</w:t>
            </w:r>
            <w:r w:rsidRPr="00423215">
              <w:rPr>
                <w:rFonts w:ascii="Arial" w:hAnsi="Arial" w:cs="Arial"/>
              </w:rPr>
              <w:t xml:space="preserve"> mio e</w:t>
            </w:r>
            <w:r w:rsidR="009561CB">
              <w:rPr>
                <w:rFonts w:ascii="Arial" w:hAnsi="Arial" w:cs="Arial"/>
              </w:rPr>
              <w:t>v</w:t>
            </w:r>
            <w:r w:rsidRPr="00423215">
              <w:rPr>
                <w:rFonts w:ascii="Arial" w:hAnsi="Arial" w:cs="Arial"/>
              </w:rPr>
              <w:t>rov.</w:t>
            </w:r>
          </w:p>
          <w:p w14:paraId="241CC7BE" w14:textId="4C4A1AB4" w:rsidR="00423215" w:rsidRPr="00AC78FB" w:rsidRDefault="00423215" w:rsidP="005A1401">
            <w:pPr>
              <w:pStyle w:val="CommentText"/>
              <w:rPr>
                <w:rFonts w:ascii="Arial" w:hAnsi="Arial" w:cs="Arial"/>
              </w:rPr>
            </w:pPr>
          </w:p>
        </w:tc>
      </w:tr>
      <w:tr w:rsidR="005553CB" w:rsidRPr="00AC78FB" w14:paraId="6DAB14CE" w14:textId="77777777" w:rsidTr="00CA689C">
        <w:tc>
          <w:tcPr>
            <w:tcW w:w="9163" w:type="dxa"/>
            <w:gridSpan w:val="4"/>
          </w:tcPr>
          <w:p w14:paraId="284B593C" w14:textId="77777777" w:rsidR="005553CB" w:rsidRPr="00AC78FB" w:rsidRDefault="005553CB" w:rsidP="00CA689C">
            <w:pPr>
              <w:pStyle w:val="Oddelek"/>
              <w:numPr>
                <w:ilvl w:val="0"/>
                <w:numId w:val="0"/>
              </w:numPr>
              <w:spacing w:before="0" w:after="0" w:line="260" w:lineRule="exact"/>
              <w:jc w:val="left"/>
              <w:rPr>
                <w:sz w:val="20"/>
                <w:szCs w:val="20"/>
              </w:rPr>
            </w:pPr>
            <w:r w:rsidRPr="00AC78FB">
              <w:rPr>
                <w:sz w:val="20"/>
                <w:szCs w:val="20"/>
              </w:rPr>
              <w:t>6. Presoja posledic za:</w:t>
            </w:r>
          </w:p>
        </w:tc>
      </w:tr>
      <w:tr w:rsidR="005553CB" w:rsidRPr="00AC78FB" w14:paraId="7A1DCD6E" w14:textId="77777777" w:rsidTr="00CA689C">
        <w:tc>
          <w:tcPr>
            <w:tcW w:w="1448" w:type="dxa"/>
          </w:tcPr>
          <w:p w14:paraId="574A2403"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a)</w:t>
            </w:r>
          </w:p>
        </w:tc>
        <w:tc>
          <w:tcPr>
            <w:tcW w:w="5444" w:type="dxa"/>
            <w:gridSpan w:val="2"/>
          </w:tcPr>
          <w:p w14:paraId="5254669F" w14:textId="77777777" w:rsidR="005553CB" w:rsidRPr="00AC78FB" w:rsidRDefault="005553CB" w:rsidP="00CA689C">
            <w:pPr>
              <w:pStyle w:val="Neotevilenodstavek"/>
              <w:spacing w:before="0" w:after="0" w:line="260" w:lineRule="exact"/>
              <w:rPr>
                <w:sz w:val="20"/>
                <w:szCs w:val="20"/>
              </w:rPr>
            </w:pPr>
            <w:r w:rsidRPr="00AC78FB">
              <w:rPr>
                <w:sz w:val="20"/>
                <w:szCs w:val="20"/>
              </w:rPr>
              <w:t>javnofinančna sredstva nad 40.000 EUR v tekočem in naslednjih treh letih</w:t>
            </w:r>
          </w:p>
        </w:tc>
        <w:tc>
          <w:tcPr>
            <w:tcW w:w="2271" w:type="dxa"/>
            <w:vAlign w:val="center"/>
          </w:tcPr>
          <w:p w14:paraId="0AF1D24F"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52A0EB3A" w14:textId="77777777" w:rsidTr="00CA689C">
        <w:tc>
          <w:tcPr>
            <w:tcW w:w="1448" w:type="dxa"/>
          </w:tcPr>
          <w:p w14:paraId="645EDFA8"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b)</w:t>
            </w:r>
          </w:p>
        </w:tc>
        <w:tc>
          <w:tcPr>
            <w:tcW w:w="5444" w:type="dxa"/>
            <w:gridSpan w:val="2"/>
          </w:tcPr>
          <w:p w14:paraId="26B7230C" w14:textId="77777777" w:rsidR="005553CB" w:rsidRPr="00AC78FB" w:rsidRDefault="005553CB" w:rsidP="00CA689C">
            <w:pPr>
              <w:pStyle w:val="Neotevilenodstavek"/>
              <w:spacing w:before="0" w:after="0" w:line="260" w:lineRule="exact"/>
              <w:rPr>
                <w:iCs/>
                <w:sz w:val="20"/>
                <w:szCs w:val="20"/>
              </w:rPr>
            </w:pPr>
            <w:r w:rsidRPr="00AC78FB">
              <w:rPr>
                <w:bCs/>
                <w:sz w:val="20"/>
                <w:szCs w:val="20"/>
              </w:rPr>
              <w:t>usklajenost slovenskega pravnega reda s pravnim redom Evropske unije</w:t>
            </w:r>
          </w:p>
        </w:tc>
        <w:tc>
          <w:tcPr>
            <w:tcW w:w="2271" w:type="dxa"/>
            <w:vAlign w:val="center"/>
          </w:tcPr>
          <w:p w14:paraId="5AC8563B"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0BCF79ED" w14:textId="77777777" w:rsidTr="00CA689C">
        <w:tc>
          <w:tcPr>
            <w:tcW w:w="1448" w:type="dxa"/>
          </w:tcPr>
          <w:p w14:paraId="026CE917"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c)</w:t>
            </w:r>
          </w:p>
        </w:tc>
        <w:tc>
          <w:tcPr>
            <w:tcW w:w="5444" w:type="dxa"/>
            <w:gridSpan w:val="2"/>
          </w:tcPr>
          <w:p w14:paraId="2736C2BE" w14:textId="77777777" w:rsidR="005553CB" w:rsidRPr="00AC78FB" w:rsidRDefault="005553CB" w:rsidP="00CA689C">
            <w:pPr>
              <w:pStyle w:val="Neotevilenodstavek"/>
              <w:spacing w:before="0" w:after="0" w:line="260" w:lineRule="exact"/>
              <w:rPr>
                <w:iCs/>
                <w:sz w:val="20"/>
                <w:szCs w:val="20"/>
              </w:rPr>
            </w:pPr>
            <w:r w:rsidRPr="00AC78FB">
              <w:rPr>
                <w:sz w:val="20"/>
                <w:szCs w:val="20"/>
              </w:rPr>
              <w:t>administrativne posledice</w:t>
            </w:r>
          </w:p>
        </w:tc>
        <w:tc>
          <w:tcPr>
            <w:tcW w:w="2271" w:type="dxa"/>
            <w:vAlign w:val="center"/>
          </w:tcPr>
          <w:p w14:paraId="7AD9AD04" w14:textId="77777777" w:rsidR="005553CB" w:rsidRPr="00AC78FB" w:rsidRDefault="005553CB" w:rsidP="00CA689C">
            <w:pPr>
              <w:pStyle w:val="Neotevilenodstavek"/>
              <w:spacing w:before="0" w:after="0" w:line="260" w:lineRule="exact"/>
              <w:jc w:val="center"/>
              <w:rPr>
                <w:sz w:val="20"/>
                <w:szCs w:val="20"/>
              </w:rPr>
            </w:pPr>
            <w:r w:rsidRPr="00AC78FB">
              <w:rPr>
                <w:sz w:val="20"/>
                <w:szCs w:val="20"/>
              </w:rPr>
              <w:t>DA</w:t>
            </w:r>
            <w:r w:rsidRPr="00AC78FB">
              <w:rPr>
                <w:b/>
                <w:sz w:val="20"/>
                <w:szCs w:val="20"/>
              </w:rPr>
              <w:t>/NE</w:t>
            </w:r>
          </w:p>
        </w:tc>
      </w:tr>
      <w:tr w:rsidR="005553CB" w:rsidRPr="00AC78FB" w14:paraId="27C41CA6" w14:textId="77777777" w:rsidTr="00CA689C">
        <w:tc>
          <w:tcPr>
            <w:tcW w:w="1448" w:type="dxa"/>
          </w:tcPr>
          <w:p w14:paraId="31853C29"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č)</w:t>
            </w:r>
          </w:p>
        </w:tc>
        <w:tc>
          <w:tcPr>
            <w:tcW w:w="5444" w:type="dxa"/>
            <w:gridSpan w:val="2"/>
          </w:tcPr>
          <w:p w14:paraId="5F61BA2C" w14:textId="77777777" w:rsidR="005553CB" w:rsidRPr="00AC78FB" w:rsidRDefault="005553CB" w:rsidP="00CA689C">
            <w:pPr>
              <w:pStyle w:val="Neotevilenodstavek"/>
              <w:spacing w:before="0" w:after="0" w:line="260" w:lineRule="exact"/>
              <w:rPr>
                <w:bCs/>
                <w:sz w:val="20"/>
                <w:szCs w:val="20"/>
              </w:rPr>
            </w:pPr>
            <w:r w:rsidRPr="00AC78FB">
              <w:rPr>
                <w:sz w:val="20"/>
                <w:szCs w:val="20"/>
              </w:rPr>
              <w:t>gospodarstvo, zlasti</w:t>
            </w:r>
            <w:r w:rsidRPr="00AC78FB">
              <w:rPr>
                <w:bCs/>
                <w:sz w:val="20"/>
                <w:szCs w:val="20"/>
              </w:rPr>
              <w:t xml:space="preserve"> mala in srednja podjetja ter konkurenčnost podjetij</w:t>
            </w:r>
          </w:p>
        </w:tc>
        <w:tc>
          <w:tcPr>
            <w:tcW w:w="2271" w:type="dxa"/>
            <w:vAlign w:val="center"/>
          </w:tcPr>
          <w:p w14:paraId="43301C8D"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53DAB28B" w14:textId="77777777" w:rsidTr="00CA689C">
        <w:tc>
          <w:tcPr>
            <w:tcW w:w="1448" w:type="dxa"/>
          </w:tcPr>
          <w:p w14:paraId="298BD476"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d)</w:t>
            </w:r>
          </w:p>
        </w:tc>
        <w:tc>
          <w:tcPr>
            <w:tcW w:w="5444" w:type="dxa"/>
            <w:gridSpan w:val="2"/>
          </w:tcPr>
          <w:p w14:paraId="746289A2" w14:textId="77777777" w:rsidR="005553CB" w:rsidRPr="00AC78FB" w:rsidRDefault="005553CB" w:rsidP="00CA689C">
            <w:pPr>
              <w:pStyle w:val="Neotevilenodstavek"/>
              <w:spacing w:before="0" w:after="0" w:line="260" w:lineRule="exact"/>
              <w:rPr>
                <w:bCs/>
                <w:sz w:val="20"/>
                <w:szCs w:val="20"/>
              </w:rPr>
            </w:pPr>
            <w:r w:rsidRPr="00AC78FB">
              <w:rPr>
                <w:bCs/>
                <w:sz w:val="20"/>
                <w:szCs w:val="20"/>
              </w:rPr>
              <w:t>okolje, vključno s prostorskimi in varstvenimi vidiki</w:t>
            </w:r>
          </w:p>
        </w:tc>
        <w:tc>
          <w:tcPr>
            <w:tcW w:w="2271" w:type="dxa"/>
            <w:vAlign w:val="center"/>
          </w:tcPr>
          <w:p w14:paraId="0346F2BB"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008DE365" w14:textId="77777777" w:rsidTr="00CA689C">
        <w:tc>
          <w:tcPr>
            <w:tcW w:w="1448" w:type="dxa"/>
          </w:tcPr>
          <w:p w14:paraId="08006AB3"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e)</w:t>
            </w:r>
          </w:p>
        </w:tc>
        <w:tc>
          <w:tcPr>
            <w:tcW w:w="5444" w:type="dxa"/>
            <w:gridSpan w:val="2"/>
          </w:tcPr>
          <w:p w14:paraId="130A043C" w14:textId="77777777" w:rsidR="005553CB" w:rsidRPr="00AC78FB" w:rsidRDefault="005553CB" w:rsidP="00CA689C">
            <w:pPr>
              <w:pStyle w:val="Neotevilenodstavek"/>
              <w:spacing w:before="0" w:after="0" w:line="260" w:lineRule="exact"/>
              <w:rPr>
                <w:bCs/>
                <w:sz w:val="20"/>
                <w:szCs w:val="20"/>
              </w:rPr>
            </w:pPr>
            <w:r w:rsidRPr="00AC78FB">
              <w:rPr>
                <w:bCs/>
                <w:sz w:val="20"/>
                <w:szCs w:val="20"/>
              </w:rPr>
              <w:t>socialno področje</w:t>
            </w:r>
          </w:p>
        </w:tc>
        <w:tc>
          <w:tcPr>
            <w:tcW w:w="2271" w:type="dxa"/>
            <w:vAlign w:val="center"/>
          </w:tcPr>
          <w:p w14:paraId="025135E9"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612884D2" w14:textId="77777777" w:rsidTr="00CA689C">
        <w:tc>
          <w:tcPr>
            <w:tcW w:w="1448" w:type="dxa"/>
            <w:tcBorders>
              <w:bottom w:val="single" w:sz="4" w:space="0" w:color="auto"/>
            </w:tcBorders>
          </w:tcPr>
          <w:p w14:paraId="5E595290" w14:textId="77777777" w:rsidR="005553CB" w:rsidRPr="00AC78FB" w:rsidRDefault="005553CB" w:rsidP="00CA689C">
            <w:pPr>
              <w:pStyle w:val="Neotevilenodstavek"/>
              <w:spacing w:before="0" w:after="0" w:line="260" w:lineRule="exact"/>
              <w:ind w:left="360"/>
              <w:rPr>
                <w:iCs/>
                <w:sz w:val="20"/>
                <w:szCs w:val="20"/>
              </w:rPr>
            </w:pPr>
            <w:r w:rsidRPr="00AC78FB">
              <w:rPr>
                <w:iCs/>
                <w:sz w:val="20"/>
                <w:szCs w:val="20"/>
              </w:rPr>
              <w:t>f)</w:t>
            </w:r>
          </w:p>
        </w:tc>
        <w:tc>
          <w:tcPr>
            <w:tcW w:w="5444" w:type="dxa"/>
            <w:gridSpan w:val="2"/>
            <w:tcBorders>
              <w:bottom w:val="single" w:sz="4" w:space="0" w:color="auto"/>
            </w:tcBorders>
          </w:tcPr>
          <w:p w14:paraId="23C149FB" w14:textId="77777777" w:rsidR="005553CB" w:rsidRPr="00AC78FB" w:rsidRDefault="005553CB" w:rsidP="00CA689C">
            <w:pPr>
              <w:pStyle w:val="Neotevilenodstavek"/>
              <w:spacing w:before="0" w:after="0" w:line="260" w:lineRule="exact"/>
              <w:rPr>
                <w:bCs/>
                <w:sz w:val="20"/>
                <w:szCs w:val="20"/>
              </w:rPr>
            </w:pPr>
            <w:r w:rsidRPr="00AC78FB">
              <w:rPr>
                <w:bCs/>
                <w:sz w:val="20"/>
                <w:szCs w:val="20"/>
              </w:rPr>
              <w:t>dokumente razvojnega načrtovanja:</w:t>
            </w:r>
          </w:p>
          <w:p w14:paraId="493FE997" w14:textId="77777777"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nacionalne dokumente razvojnega načrtovanja</w:t>
            </w:r>
          </w:p>
          <w:p w14:paraId="33F123AB" w14:textId="77777777"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razvojne politike na ravni programov po strukturi razvojne klasifikacije programskega proračuna</w:t>
            </w:r>
          </w:p>
          <w:p w14:paraId="44F21A7B" w14:textId="77777777" w:rsidR="005553CB" w:rsidRPr="00AC78FB" w:rsidRDefault="005553CB" w:rsidP="007246D4">
            <w:pPr>
              <w:pStyle w:val="Neotevilenodstavek"/>
              <w:numPr>
                <w:ilvl w:val="0"/>
                <w:numId w:val="8"/>
              </w:numPr>
              <w:spacing w:before="0" w:after="0" w:line="260" w:lineRule="exact"/>
              <w:rPr>
                <w:bCs/>
                <w:sz w:val="20"/>
                <w:szCs w:val="20"/>
              </w:rPr>
            </w:pPr>
            <w:r w:rsidRPr="00AC78FB">
              <w:rPr>
                <w:bCs/>
                <w:sz w:val="20"/>
                <w:szCs w:val="20"/>
              </w:rPr>
              <w:t>razvojne dokumente Evropske unije in mednarodnih organizacij</w:t>
            </w:r>
          </w:p>
        </w:tc>
        <w:tc>
          <w:tcPr>
            <w:tcW w:w="2271" w:type="dxa"/>
            <w:tcBorders>
              <w:bottom w:val="single" w:sz="4" w:space="0" w:color="auto"/>
            </w:tcBorders>
            <w:vAlign w:val="center"/>
          </w:tcPr>
          <w:p w14:paraId="16EEC5D7" w14:textId="77777777" w:rsidR="005553CB" w:rsidRPr="00AC78FB" w:rsidRDefault="005553CB" w:rsidP="00CA689C">
            <w:pPr>
              <w:pStyle w:val="Neotevilenodstavek"/>
              <w:spacing w:before="0" w:after="0" w:line="260" w:lineRule="exact"/>
              <w:jc w:val="center"/>
              <w:rPr>
                <w:iCs/>
                <w:sz w:val="20"/>
                <w:szCs w:val="20"/>
              </w:rPr>
            </w:pPr>
            <w:r w:rsidRPr="00AC78FB">
              <w:rPr>
                <w:sz w:val="20"/>
                <w:szCs w:val="20"/>
              </w:rPr>
              <w:t>DA/</w:t>
            </w:r>
            <w:r w:rsidRPr="00AC78FB">
              <w:rPr>
                <w:b/>
                <w:sz w:val="20"/>
                <w:szCs w:val="20"/>
              </w:rPr>
              <w:t>NE</w:t>
            </w:r>
          </w:p>
        </w:tc>
      </w:tr>
      <w:tr w:rsidR="005553CB" w:rsidRPr="00AC78FB" w14:paraId="72E588D0" w14:textId="77777777" w:rsidTr="00CA689C">
        <w:tc>
          <w:tcPr>
            <w:tcW w:w="9163" w:type="dxa"/>
            <w:gridSpan w:val="4"/>
            <w:tcBorders>
              <w:top w:val="single" w:sz="4" w:space="0" w:color="auto"/>
              <w:left w:val="single" w:sz="4" w:space="0" w:color="auto"/>
              <w:bottom w:val="single" w:sz="4" w:space="0" w:color="auto"/>
              <w:right w:val="single" w:sz="4" w:space="0" w:color="auto"/>
            </w:tcBorders>
          </w:tcPr>
          <w:p w14:paraId="6A7C6393" w14:textId="77777777" w:rsidR="005553CB" w:rsidRPr="00AC78FB" w:rsidRDefault="005553CB" w:rsidP="00CA689C">
            <w:pPr>
              <w:pStyle w:val="Oddelek"/>
              <w:widowControl w:val="0"/>
              <w:numPr>
                <w:ilvl w:val="0"/>
                <w:numId w:val="0"/>
              </w:numPr>
              <w:spacing w:before="0" w:after="0" w:line="260" w:lineRule="exact"/>
              <w:jc w:val="left"/>
              <w:rPr>
                <w:sz w:val="20"/>
                <w:szCs w:val="20"/>
              </w:rPr>
            </w:pPr>
            <w:r w:rsidRPr="00AC78FB">
              <w:rPr>
                <w:sz w:val="20"/>
                <w:szCs w:val="20"/>
              </w:rPr>
              <w:t>7.a Predstavitev ocene finančnih posledic nad 40.000 EUR:</w:t>
            </w:r>
          </w:p>
          <w:p w14:paraId="4104DED6" w14:textId="77777777" w:rsidR="005553CB" w:rsidRPr="00AC78FB" w:rsidRDefault="005553CB" w:rsidP="00CA689C">
            <w:pPr>
              <w:pStyle w:val="Oddelek"/>
              <w:widowControl w:val="0"/>
              <w:numPr>
                <w:ilvl w:val="0"/>
                <w:numId w:val="0"/>
              </w:numPr>
              <w:spacing w:before="0" w:after="0" w:line="260" w:lineRule="exact"/>
              <w:jc w:val="left"/>
              <w:rPr>
                <w:b w:val="0"/>
                <w:sz w:val="20"/>
                <w:szCs w:val="20"/>
              </w:rPr>
            </w:pPr>
            <w:r w:rsidRPr="00AC78FB">
              <w:rPr>
                <w:b w:val="0"/>
                <w:sz w:val="20"/>
                <w:szCs w:val="20"/>
              </w:rPr>
              <w:t>(Samo če izberete DA pod točko 6.a.)</w:t>
            </w:r>
          </w:p>
        </w:tc>
      </w:tr>
    </w:tbl>
    <w:p w14:paraId="6ABE81EE" w14:textId="77777777" w:rsidR="005553CB" w:rsidRPr="00AC78FB" w:rsidRDefault="005553CB" w:rsidP="005553CB">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553CB" w:rsidRPr="0023704E" w14:paraId="6656B3A8" w14:textId="77777777" w:rsidTr="00CA689C">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98B76BB" w14:textId="77777777" w:rsidR="005553CB" w:rsidRPr="0023704E" w:rsidRDefault="005553CB" w:rsidP="00CA689C">
            <w:pPr>
              <w:pStyle w:val="Heading1"/>
              <w:keepNext w:val="0"/>
              <w:pageBreakBefore/>
              <w:widowControl w:val="0"/>
              <w:tabs>
                <w:tab w:val="left" w:pos="2340"/>
              </w:tabs>
              <w:spacing w:before="0" w:after="0"/>
              <w:ind w:left="142" w:hanging="142"/>
              <w:rPr>
                <w:color w:val="auto"/>
                <w:sz w:val="20"/>
                <w:szCs w:val="20"/>
              </w:rPr>
            </w:pPr>
            <w:r w:rsidRPr="0023704E">
              <w:rPr>
                <w:color w:val="auto"/>
                <w:sz w:val="20"/>
                <w:szCs w:val="20"/>
              </w:rPr>
              <w:lastRenderedPageBreak/>
              <w:t>I. Ocena finančnih posledic, ki niso načrtovane v sprejetem proračunu</w:t>
            </w:r>
          </w:p>
        </w:tc>
      </w:tr>
      <w:tr w:rsidR="005553CB" w:rsidRPr="0023704E" w14:paraId="1C691BBB" w14:textId="77777777" w:rsidTr="00CA689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371810" w14:textId="77777777" w:rsidR="005553CB" w:rsidRPr="0023704E" w:rsidRDefault="005553CB" w:rsidP="00CA689C">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A2E419"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F155519"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6E5488"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3ADC4F0"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t + 3</w:t>
            </w:r>
          </w:p>
        </w:tc>
      </w:tr>
      <w:tr w:rsidR="005553CB" w:rsidRPr="0023704E" w14:paraId="245CA4BB" w14:textId="77777777"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59A808" w14:textId="77777777"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00645EBA" w:rsidRPr="0023704E">
              <w:rPr>
                <w:rFonts w:ascii="Arial" w:hAnsi="Arial" w:cs="Arial"/>
                <w:bCs/>
                <w:sz w:val="20"/>
                <w:szCs w:val="20"/>
              </w:rPr>
              <w:t>) prihodkov državnega proračuna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8FFF3E"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03FBA2D"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D62338"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D11F123"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60445169" w14:textId="77777777"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286BAF" w14:textId="77777777"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w:t>
            </w:r>
            <w:r w:rsidR="00645EBA" w:rsidRPr="0023704E">
              <w:rPr>
                <w:rFonts w:ascii="Arial" w:hAnsi="Arial" w:cs="Arial"/>
                <w:bCs/>
                <w:sz w:val="20"/>
                <w:szCs w:val="20"/>
              </w:rPr>
              <w:t xml:space="preserve"> prihodkov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B7D291"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15F524"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66A5892"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8D4A180"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29E192B4" w14:textId="77777777"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7F425E7" w14:textId="77777777"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odhodkov drža</w:t>
            </w:r>
            <w:r w:rsidR="00645EBA" w:rsidRPr="0023704E">
              <w:rPr>
                <w:rFonts w:ascii="Arial" w:hAnsi="Arial" w:cs="Arial"/>
                <w:bCs/>
                <w:sz w:val="20"/>
                <w:szCs w:val="20"/>
              </w:rPr>
              <w:t>vnega proračuna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C5ED2F4" w14:textId="77777777" w:rsidR="005553CB" w:rsidRPr="0023704E" w:rsidRDefault="005553CB" w:rsidP="00CA689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CFB1C8" w14:textId="77777777" w:rsidR="005553CB" w:rsidRPr="0023704E" w:rsidRDefault="005553CB" w:rsidP="00CA689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E42903" w14:textId="77777777" w:rsidR="005553CB" w:rsidRPr="0023704E" w:rsidRDefault="005553CB" w:rsidP="00CA689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062C63" w14:textId="77777777" w:rsidR="005553CB" w:rsidRPr="0023704E" w:rsidRDefault="005553CB" w:rsidP="00CA689C">
            <w:pPr>
              <w:widowControl w:val="0"/>
              <w:jc w:val="center"/>
              <w:rPr>
                <w:rFonts w:ascii="Arial" w:hAnsi="Arial" w:cs="Arial"/>
                <w:sz w:val="20"/>
                <w:szCs w:val="20"/>
              </w:rPr>
            </w:pPr>
          </w:p>
        </w:tc>
      </w:tr>
      <w:tr w:rsidR="005553CB" w:rsidRPr="0023704E" w14:paraId="7852BB9E" w14:textId="77777777" w:rsidTr="00CA689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DC5DAD5" w14:textId="77777777"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68F63F" w14:textId="77777777" w:rsidR="005553CB" w:rsidRPr="0023704E" w:rsidRDefault="005553CB" w:rsidP="00CA689C">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BB92B2" w14:textId="77777777" w:rsidR="005553CB" w:rsidRPr="0023704E" w:rsidRDefault="005553CB" w:rsidP="00CA689C">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1F79F44" w14:textId="77777777" w:rsidR="005553CB" w:rsidRPr="0023704E" w:rsidRDefault="005553CB" w:rsidP="00CA689C">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3A5BD0F" w14:textId="77777777" w:rsidR="005553CB" w:rsidRPr="0023704E" w:rsidRDefault="005553CB" w:rsidP="00CA689C">
            <w:pPr>
              <w:widowControl w:val="0"/>
              <w:jc w:val="center"/>
              <w:rPr>
                <w:rFonts w:ascii="Arial" w:hAnsi="Arial" w:cs="Arial"/>
                <w:sz w:val="20"/>
                <w:szCs w:val="20"/>
              </w:rPr>
            </w:pPr>
          </w:p>
        </w:tc>
      </w:tr>
      <w:tr w:rsidR="005553CB" w:rsidRPr="0023704E" w14:paraId="4EA02B18" w14:textId="77777777" w:rsidTr="00CA689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8F48E11" w14:textId="77777777" w:rsidR="005553CB" w:rsidRPr="0023704E" w:rsidRDefault="005553CB" w:rsidP="00CA689C">
            <w:pPr>
              <w:widowControl w:val="0"/>
              <w:rPr>
                <w:rFonts w:ascii="Arial" w:hAnsi="Arial" w:cs="Arial"/>
                <w:bCs/>
                <w:sz w:val="20"/>
                <w:szCs w:val="20"/>
              </w:rPr>
            </w:pPr>
            <w:r w:rsidRPr="0023704E">
              <w:rPr>
                <w:rFonts w:ascii="Arial" w:hAnsi="Arial" w:cs="Arial"/>
                <w:bCs/>
                <w:sz w:val="20"/>
                <w:szCs w:val="20"/>
              </w:rPr>
              <w:t>Predvideno povečanje (+) ali zmanjšanje (</w:t>
            </w:r>
            <w:r w:rsidRPr="0023704E">
              <w:rPr>
                <w:rFonts w:ascii="Arial" w:hAnsi="Arial" w:cs="Arial"/>
                <w:b/>
                <w:sz w:val="20"/>
                <w:szCs w:val="20"/>
              </w:rPr>
              <w:t>–</w:t>
            </w:r>
            <w:r w:rsidRPr="0023704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FAEAC7"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D0DD4DF" w14:textId="77777777" w:rsidR="005553CB" w:rsidRPr="0023704E" w:rsidRDefault="005553CB" w:rsidP="00CA689C">
            <w:pPr>
              <w:pStyle w:val="Heading1"/>
              <w:keepNext w:val="0"/>
              <w:widowControl w:val="0"/>
              <w:tabs>
                <w:tab w:val="left" w:pos="360"/>
              </w:tabs>
              <w:spacing w:before="0" w:after="0"/>
              <w:jc w:val="center"/>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6AC3D2A"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B3390B" w14:textId="77777777" w:rsidR="005553CB" w:rsidRPr="0023704E" w:rsidRDefault="005553CB" w:rsidP="00CA689C">
            <w:pPr>
              <w:pStyle w:val="Heading1"/>
              <w:keepNext w:val="0"/>
              <w:widowControl w:val="0"/>
              <w:tabs>
                <w:tab w:val="left" w:pos="360"/>
              </w:tabs>
              <w:spacing w:before="0" w:after="0"/>
              <w:jc w:val="center"/>
              <w:rPr>
                <w:b w:val="0"/>
                <w:color w:val="auto"/>
                <w:sz w:val="20"/>
                <w:szCs w:val="20"/>
              </w:rPr>
            </w:pPr>
          </w:p>
        </w:tc>
      </w:tr>
      <w:tr w:rsidR="005553CB" w:rsidRPr="0023704E" w14:paraId="7288411C" w14:textId="77777777" w:rsidTr="00CA689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A21839" w14:textId="77777777" w:rsidR="005553CB" w:rsidRPr="0023704E" w:rsidRDefault="005553CB" w:rsidP="00CA689C">
            <w:pPr>
              <w:pStyle w:val="Heading1"/>
              <w:keepNext w:val="0"/>
              <w:widowControl w:val="0"/>
              <w:tabs>
                <w:tab w:val="left" w:pos="2340"/>
              </w:tabs>
              <w:spacing w:before="0" w:after="0"/>
              <w:ind w:left="142" w:hanging="142"/>
              <w:rPr>
                <w:color w:val="auto"/>
                <w:sz w:val="20"/>
                <w:szCs w:val="20"/>
              </w:rPr>
            </w:pPr>
            <w:r w:rsidRPr="0023704E">
              <w:rPr>
                <w:color w:val="auto"/>
                <w:sz w:val="20"/>
                <w:szCs w:val="20"/>
              </w:rPr>
              <w:t>II. Finančne posledice za državni proračun</w:t>
            </w:r>
          </w:p>
        </w:tc>
      </w:tr>
      <w:tr w:rsidR="005553CB" w:rsidRPr="0023704E" w14:paraId="7E770D62" w14:textId="77777777" w:rsidTr="00CA689C">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036B97E" w14:textId="77777777" w:rsidR="005553CB" w:rsidRPr="0023704E" w:rsidRDefault="005553CB" w:rsidP="00CA689C">
            <w:pPr>
              <w:pStyle w:val="Heading1"/>
              <w:keepNext w:val="0"/>
              <w:widowControl w:val="0"/>
              <w:tabs>
                <w:tab w:val="left" w:pos="2340"/>
              </w:tabs>
              <w:spacing w:before="0" w:after="0"/>
              <w:ind w:left="142" w:hanging="142"/>
              <w:rPr>
                <w:color w:val="auto"/>
                <w:sz w:val="20"/>
                <w:szCs w:val="20"/>
              </w:rPr>
            </w:pPr>
            <w:r w:rsidRPr="0023704E">
              <w:rPr>
                <w:color w:val="auto"/>
                <w:sz w:val="20"/>
                <w:szCs w:val="20"/>
              </w:rPr>
              <w:t>II.a Pravice porabe za izvedbo predlaganih rešitev so zagotovljene:</w:t>
            </w:r>
          </w:p>
        </w:tc>
      </w:tr>
      <w:tr w:rsidR="005553CB" w:rsidRPr="0023704E" w14:paraId="113540F3" w14:textId="77777777" w:rsidTr="00CA689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849571F"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A0171A"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A32E4A"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33B1D0"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53945BD"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 + 1</w:t>
            </w:r>
          </w:p>
        </w:tc>
      </w:tr>
      <w:tr w:rsidR="005553CB" w:rsidRPr="0023704E" w14:paraId="2D3890DA" w14:textId="77777777" w:rsidTr="00CA689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3096339"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305D58"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79D86E"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70B72C"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2FEA34"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4EE1CD80" w14:textId="77777777"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E19CB5E"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9BBC9F"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7A01A1E"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16E292"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CFE9D34"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6E0A6605" w14:textId="77777777" w:rsidTr="00CA689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79579D9" w14:textId="77777777"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704536" w14:textId="77777777" w:rsidR="005553CB" w:rsidRPr="0023704E" w:rsidRDefault="005553CB" w:rsidP="00CA689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A1BF81F" w14:textId="77777777"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25F073FB" w14:textId="77777777" w:rsidTr="00CA689C">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F8C6D4" w14:textId="77777777" w:rsidR="005553CB" w:rsidRPr="0023704E" w:rsidRDefault="005553CB" w:rsidP="00CA689C">
            <w:pPr>
              <w:pStyle w:val="Heading1"/>
              <w:keepNext w:val="0"/>
              <w:widowControl w:val="0"/>
              <w:tabs>
                <w:tab w:val="left" w:pos="2340"/>
              </w:tabs>
              <w:spacing w:before="0" w:after="0"/>
              <w:rPr>
                <w:color w:val="auto"/>
                <w:sz w:val="20"/>
                <w:szCs w:val="20"/>
              </w:rPr>
            </w:pPr>
            <w:r w:rsidRPr="0023704E">
              <w:rPr>
                <w:color w:val="auto"/>
                <w:sz w:val="20"/>
                <w:szCs w:val="20"/>
              </w:rPr>
              <w:t>II.b Manjkajoče pravice porabe bodo zagotovljene s prerazporeditvijo:</w:t>
            </w:r>
          </w:p>
        </w:tc>
      </w:tr>
      <w:tr w:rsidR="005553CB" w:rsidRPr="0023704E" w14:paraId="65A0865A" w14:textId="77777777" w:rsidTr="00CA689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49E2A2B"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C48020"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741090"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AC1BFC"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BA6AD1" w14:textId="77777777" w:rsidR="005553CB" w:rsidRPr="0023704E" w:rsidRDefault="005553CB" w:rsidP="00CA689C">
            <w:pPr>
              <w:widowControl w:val="0"/>
              <w:jc w:val="center"/>
              <w:rPr>
                <w:rFonts w:ascii="Arial" w:hAnsi="Arial" w:cs="Arial"/>
                <w:sz w:val="20"/>
                <w:szCs w:val="20"/>
              </w:rPr>
            </w:pPr>
            <w:r w:rsidRPr="0023704E">
              <w:rPr>
                <w:rFonts w:ascii="Arial" w:hAnsi="Arial" w:cs="Arial"/>
                <w:sz w:val="20"/>
                <w:szCs w:val="20"/>
              </w:rPr>
              <w:t xml:space="preserve">Znesek za t + 1 </w:t>
            </w:r>
          </w:p>
        </w:tc>
      </w:tr>
      <w:tr w:rsidR="005553CB" w:rsidRPr="0023704E" w14:paraId="37E74F03" w14:textId="77777777"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A4F0DE6"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5D51D47"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D0F5C5"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A7183A0"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D34AC0"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5A75B7BB" w14:textId="77777777" w:rsidTr="00CA689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CF06D3"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445933D"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2E42AE"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C0FDE8"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7D967F4"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10DE17A1" w14:textId="77777777" w:rsidTr="00CA689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11674B2" w14:textId="77777777"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87C2DC" w14:textId="77777777" w:rsidR="005553CB" w:rsidRPr="0023704E" w:rsidRDefault="005553CB" w:rsidP="00CA689C">
            <w:pPr>
              <w:pStyle w:val="Heading1"/>
              <w:keepNext w:val="0"/>
              <w:widowControl w:val="0"/>
              <w:tabs>
                <w:tab w:val="left" w:pos="360"/>
              </w:tabs>
              <w:spacing w:before="0" w:after="0"/>
              <w:rPr>
                <w:color w:val="auto"/>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4B1E81" w14:textId="77777777"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4C81D3F0" w14:textId="77777777" w:rsidTr="00CA689C">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3D2A05" w14:textId="77777777" w:rsidR="005553CB" w:rsidRPr="0023704E" w:rsidRDefault="005553CB" w:rsidP="00CA689C">
            <w:pPr>
              <w:pStyle w:val="Heading1"/>
              <w:keepNext w:val="0"/>
              <w:widowControl w:val="0"/>
              <w:tabs>
                <w:tab w:val="left" w:pos="2340"/>
              </w:tabs>
              <w:spacing w:before="0" w:after="0"/>
              <w:rPr>
                <w:color w:val="auto"/>
                <w:sz w:val="20"/>
                <w:szCs w:val="20"/>
              </w:rPr>
            </w:pPr>
            <w:r w:rsidRPr="0023704E">
              <w:rPr>
                <w:color w:val="auto"/>
                <w:sz w:val="20"/>
                <w:szCs w:val="20"/>
              </w:rPr>
              <w:t>II.c Načrtovana nadomestitev zmanjšanih prihodkov in povečanih odhodkov proračuna:</w:t>
            </w:r>
          </w:p>
        </w:tc>
      </w:tr>
      <w:tr w:rsidR="005553CB" w:rsidRPr="0023704E" w14:paraId="340293D9" w14:textId="77777777" w:rsidTr="00CA689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AC7B06" w14:textId="77777777"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F8710B" w14:textId="77777777"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1580FF" w14:textId="77777777" w:rsidR="005553CB" w:rsidRPr="0023704E" w:rsidRDefault="005553CB" w:rsidP="00CA689C">
            <w:pPr>
              <w:widowControl w:val="0"/>
              <w:ind w:left="-122" w:right="-112"/>
              <w:jc w:val="center"/>
              <w:rPr>
                <w:rFonts w:ascii="Arial" w:hAnsi="Arial" w:cs="Arial"/>
                <w:sz w:val="20"/>
                <w:szCs w:val="20"/>
              </w:rPr>
            </w:pPr>
            <w:r w:rsidRPr="0023704E">
              <w:rPr>
                <w:rFonts w:ascii="Arial" w:hAnsi="Arial" w:cs="Arial"/>
                <w:sz w:val="20"/>
                <w:szCs w:val="20"/>
              </w:rPr>
              <w:t>Znesek za t + 1</w:t>
            </w:r>
          </w:p>
        </w:tc>
      </w:tr>
      <w:tr w:rsidR="005553CB" w:rsidRPr="0023704E" w14:paraId="051333E8" w14:textId="77777777"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EEC42C"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FE8ABBF"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11771C"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164CF60E" w14:textId="77777777"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CBB10BD"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7E0B1C"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17D12F4"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2B970EDE" w14:textId="77777777"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18841A4"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4B0028"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51AE42" w14:textId="77777777" w:rsidR="005553CB" w:rsidRPr="0023704E" w:rsidRDefault="005553CB" w:rsidP="00CA689C">
            <w:pPr>
              <w:pStyle w:val="Heading1"/>
              <w:keepNext w:val="0"/>
              <w:widowControl w:val="0"/>
              <w:tabs>
                <w:tab w:val="left" w:pos="360"/>
              </w:tabs>
              <w:spacing w:before="0" w:after="0"/>
              <w:rPr>
                <w:b w:val="0"/>
                <w:bCs/>
                <w:color w:val="auto"/>
                <w:sz w:val="20"/>
                <w:szCs w:val="20"/>
              </w:rPr>
            </w:pPr>
          </w:p>
        </w:tc>
      </w:tr>
      <w:tr w:rsidR="005553CB" w:rsidRPr="0023704E" w14:paraId="3DEAA5FD" w14:textId="77777777" w:rsidTr="00CA689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2232FD" w14:textId="77777777" w:rsidR="005553CB" w:rsidRPr="0023704E" w:rsidRDefault="005553CB" w:rsidP="00CA689C">
            <w:pPr>
              <w:pStyle w:val="Heading1"/>
              <w:keepNext w:val="0"/>
              <w:widowControl w:val="0"/>
              <w:tabs>
                <w:tab w:val="left" w:pos="360"/>
              </w:tabs>
              <w:spacing w:before="0" w:after="0"/>
              <w:rPr>
                <w:color w:val="auto"/>
                <w:sz w:val="20"/>
                <w:szCs w:val="20"/>
              </w:rPr>
            </w:pPr>
            <w:r w:rsidRPr="0023704E">
              <w:rPr>
                <w:color w:val="auto"/>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0AF3AC" w14:textId="77777777" w:rsidR="005553CB" w:rsidRPr="0023704E" w:rsidRDefault="005553CB" w:rsidP="00CA689C">
            <w:pPr>
              <w:pStyle w:val="Heading1"/>
              <w:keepNext w:val="0"/>
              <w:widowControl w:val="0"/>
              <w:tabs>
                <w:tab w:val="left" w:pos="360"/>
              </w:tabs>
              <w:spacing w:before="0" w:after="0"/>
              <w:rPr>
                <w:color w:val="auto"/>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332C635" w14:textId="77777777" w:rsidR="005553CB" w:rsidRPr="0023704E" w:rsidRDefault="005553CB" w:rsidP="00CA689C">
            <w:pPr>
              <w:pStyle w:val="Heading1"/>
              <w:keepNext w:val="0"/>
              <w:widowControl w:val="0"/>
              <w:tabs>
                <w:tab w:val="left" w:pos="360"/>
              </w:tabs>
              <w:spacing w:before="0" w:after="0"/>
              <w:rPr>
                <w:color w:val="auto"/>
                <w:sz w:val="20"/>
                <w:szCs w:val="20"/>
              </w:rPr>
            </w:pPr>
          </w:p>
        </w:tc>
      </w:tr>
      <w:tr w:rsidR="005553CB" w:rsidRPr="0023704E" w14:paraId="5B9EB709"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DEEA05E" w14:textId="77777777" w:rsidR="005553CB" w:rsidRPr="0023704E" w:rsidRDefault="005553CB" w:rsidP="00CA689C">
            <w:pPr>
              <w:widowControl w:val="0"/>
              <w:rPr>
                <w:rFonts w:ascii="Arial" w:hAnsi="Arial" w:cs="Arial"/>
                <w:b/>
                <w:sz w:val="20"/>
                <w:szCs w:val="20"/>
              </w:rPr>
            </w:pPr>
            <w:r w:rsidRPr="0023704E">
              <w:rPr>
                <w:rFonts w:ascii="Arial" w:hAnsi="Arial" w:cs="Arial"/>
                <w:b/>
                <w:sz w:val="20"/>
                <w:szCs w:val="20"/>
              </w:rPr>
              <w:lastRenderedPageBreak/>
              <w:t>OBRAZLOŽITEV:</w:t>
            </w:r>
          </w:p>
          <w:p w14:paraId="768B1E98" w14:textId="77777777" w:rsidR="005553CB" w:rsidRPr="0023704E" w:rsidRDefault="005553CB" w:rsidP="007246D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3704E">
              <w:rPr>
                <w:rFonts w:ascii="Arial" w:hAnsi="Arial" w:cs="Arial"/>
                <w:b/>
                <w:sz w:val="20"/>
                <w:szCs w:val="20"/>
                <w:lang w:eastAsia="sl-SI"/>
              </w:rPr>
              <w:t>Ocena finančnih posledic, ki niso načrtovane v sprejetem proračunu</w:t>
            </w:r>
          </w:p>
          <w:p w14:paraId="5221B583" w14:textId="77777777" w:rsidR="00317BB4" w:rsidRPr="0023704E" w:rsidRDefault="00317BB4" w:rsidP="00317BB4">
            <w:pPr>
              <w:widowControl w:val="0"/>
              <w:suppressAutoHyphens/>
              <w:spacing w:after="0" w:line="260" w:lineRule="exact"/>
              <w:ind w:left="284"/>
              <w:jc w:val="both"/>
              <w:rPr>
                <w:rFonts w:ascii="Arial" w:hAnsi="Arial" w:cs="Arial"/>
                <w:b/>
                <w:sz w:val="20"/>
                <w:szCs w:val="20"/>
                <w:lang w:eastAsia="sl-SI"/>
              </w:rPr>
            </w:pPr>
          </w:p>
          <w:p w14:paraId="723D4C03" w14:textId="77777777" w:rsidR="005553CB" w:rsidRPr="0023704E" w:rsidRDefault="005553CB" w:rsidP="007246D4">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3704E">
              <w:rPr>
                <w:rFonts w:ascii="Arial" w:hAnsi="Arial" w:cs="Arial"/>
                <w:b/>
                <w:sz w:val="20"/>
                <w:szCs w:val="20"/>
                <w:lang w:eastAsia="sl-SI"/>
              </w:rPr>
              <w:t>Finančne posledice za državni proračun</w:t>
            </w:r>
          </w:p>
          <w:p w14:paraId="3499FEBC" w14:textId="77777777" w:rsidR="00317BB4" w:rsidRPr="0023704E" w:rsidRDefault="005553CB" w:rsidP="00317BB4">
            <w:pPr>
              <w:widowControl w:val="0"/>
              <w:suppressAutoHyphens/>
              <w:ind w:left="720"/>
              <w:jc w:val="both"/>
              <w:rPr>
                <w:rFonts w:ascii="Arial" w:hAnsi="Arial" w:cs="Arial"/>
                <w:b/>
                <w:sz w:val="20"/>
                <w:szCs w:val="20"/>
                <w:lang w:eastAsia="sl-SI"/>
              </w:rPr>
            </w:pPr>
            <w:r w:rsidRPr="0023704E">
              <w:rPr>
                <w:rFonts w:ascii="Arial" w:hAnsi="Arial" w:cs="Arial"/>
                <w:b/>
                <w:sz w:val="20"/>
                <w:szCs w:val="20"/>
                <w:lang w:eastAsia="sl-SI"/>
              </w:rPr>
              <w:t>II.a Pravice porabe za izvedbo predlaganih rešitev so zagotovljene:</w:t>
            </w:r>
          </w:p>
          <w:p w14:paraId="12CE3EA7" w14:textId="77777777" w:rsidR="005553CB" w:rsidRPr="0023704E" w:rsidRDefault="005553CB" w:rsidP="00317BB4">
            <w:pPr>
              <w:widowControl w:val="0"/>
              <w:suppressAutoHyphens/>
              <w:ind w:left="720"/>
              <w:jc w:val="both"/>
              <w:rPr>
                <w:rFonts w:ascii="Arial" w:hAnsi="Arial" w:cs="Arial"/>
                <w:b/>
                <w:sz w:val="20"/>
                <w:szCs w:val="20"/>
                <w:lang w:eastAsia="sl-SI"/>
              </w:rPr>
            </w:pPr>
            <w:r w:rsidRPr="0023704E">
              <w:rPr>
                <w:rFonts w:ascii="Arial" w:hAnsi="Arial" w:cs="Arial"/>
                <w:b/>
                <w:sz w:val="20"/>
                <w:szCs w:val="20"/>
                <w:lang w:eastAsia="sl-SI"/>
              </w:rPr>
              <w:t>II.b Manjkajoče pravice porabe bodo zagotovljene s prerazporeditvijo:</w:t>
            </w:r>
          </w:p>
          <w:p w14:paraId="0D4643AB" w14:textId="77777777" w:rsidR="005553CB" w:rsidRPr="0023704E" w:rsidRDefault="005553CB" w:rsidP="00317BB4">
            <w:pPr>
              <w:widowControl w:val="0"/>
              <w:suppressAutoHyphens/>
              <w:ind w:left="714"/>
              <w:jc w:val="both"/>
              <w:rPr>
                <w:sz w:val="20"/>
                <w:szCs w:val="20"/>
              </w:rPr>
            </w:pPr>
            <w:r w:rsidRPr="0023704E">
              <w:rPr>
                <w:rFonts w:ascii="Arial" w:hAnsi="Arial" w:cs="Arial"/>
                <w:b/>
                <w:sz w:val="20"/>
                <w:szCs w:val="20"/>
                <w:lang w:eastAsia="sl-SI"/>
              </w:rPr>
              <w:t>II.c Načrtovana nadomestitev zmanjšanih prihodkov in povečanih odhodkov proračuna:</w:t>
            </w:r>
          </w:p>
        </w:tc>
      </w:tr>
      <w:tr w:rsidR="005553CB" w:rsidRPr="0023704E" w14:paraId="01251A54"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72E0ABC8" w14:textId="77777777" w:rsidR="00754E5C" w:rsidRPr="0023704E" w:rsidRDefault="005553CB" w:rsidP="00754E5C">
            <w:pPr>
              <w:rPr>
                <w:rFonts w:ascii="Arial" w:hAnsi="Arial" w:cs="Arial"/>
                <w:b/>
                <w:sz w:val="20"/>
                <w:szCs w:val="20"/>
              </w:rPr>
            </w:pPr>
            <w:r w:rsidRPr="0023704E">
              <w:rPr>
                <w:rFonts w:ascii="Arial" w:hAnsi="Arial" w:cs="Arial"/>
                <w:b/>
                <w:sz w:val="20"/>
                <w:szCs w:val="20"/>
              </w:rPr>
              <w:t>7.b Predstavitev ocene fin</w:t>
            </w:r>
            <w:r w:rsidR="00317BB4" w:rsidRPr="0023704E">
              <w:rPr>
                <w:rFonts w:ascii="Arial" w:hAnsi="Arial" w:cs="Arial"/>
                <w:b/>
                <w:sz w:val="20"/>
                <w:szCs w:val="20"/>
              </w:rPr>
              <w:t>ančnih posledic pod 40.000 EUR:</w:t>
            </w:r>
          </w:p>
          <w:p w14:paraId="302B1DDB" w14:textId="77777777" w:rsidR="005553CB" w:rsidRPr="0023704E" w:rsidRDefault="005553CB" w:rsidP="00754E5C">
            <w:pPr>
              <w:rPr>
                <w:rFonts w:ascii="Arial" w:hAnsi="Arial" w:cs="Arial"/>
                <w:b/>
                <w:sz w:val="20"/>
                <w:szCs w:val="20"/>
              </w:rPr>
            </w:pPr>
            <w:r w:rsidRPr="0023704E">
              <w:rPr>
                <w:rFonts w:ascii="Arial" w:hAnsi="Arial" w:cs="Arial"/>
                <w:b/>
                <w:sz w:val="20"/>
                <w:szCs w:val="20"/>
              </w:rPr>
              <w:t>Kratka obrazložitev</w:t>
            </w:r>
          </w:p>
        </w:tc>
      </w:tr>
      <w:tr w:rsidR="005553CB" w:rsidRPr="0023704E" w14:paraId="621C0D02"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76FABBC" w14:textId="77777777" w:rsidR="005553CB" w:rsidRPr="0023704E" w:rsidRDefault="005553CB" w:rsidP="00CA689C">
            <w:pPr>
              <w:rPr>
                <w:rFonts w:cs="Arial"/>
                <w:b/>
                <w:szCs w:val="20"/>
              </w:rPr>
            </w:pPr>
            <w:r w:rsidRPr="0023704E">
              <w:rPr>
                <w:rFonts w:cs="Arial"/>
                <w:b/>
                <w:szCs w:val="20"/>
              </w:rPr>
              <w:t>8. Predstavitev sodelovanja z združenji občin:</w:t>
            </w:r>
          </w:p>
        </w:tc>
      </w:tr>
      <w:tr w:rsidR="005553CB" w:rsidRPr="0023704E" w14:paraId="013B9B4C"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92BF687"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Vsebina predloženega gradiva (predpisa) vpliva na:</w:t>
            </w:r>
          </w:p>
          <w:p w14:paraId="569D97AC" w14:textId="77777777"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pristojnosti občin,</w:t>
            </w:r>
          </w:p>
          <w:p w14:paraId="76D07A45" w14:textId="77777777"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delovanje občin,</w:t>
            </w:r>
          </w:p>
          <w:p w14:paraId="36EFB2A3" w14:textId="77777777" w:rsidR="005553CB" w:rsidRPr="0023704E" w:rsidRDefault="005553CB" w:rsidP="007246D4">
            <w:pPr>
              <w:pStyle w:val="Neotevilenodstavek"/>
              <w:widowControl w:val="0"/>
              <w:numPr>
                <w:ilvl w:val="1"/>
                <w:numId w:val="9"/>
              </w:numPr>
              <w:spacing w:before="0" w:after="0" w:line="260" w:lineRule="exact"/>
              <w:rPr>
                <w:iCs/>
                <w:sz w:val="20"/>
                <w:szCs w:val="20"/>
              </w:rPr>
            </w:pPr>
            <w:r w:rsidRPr="0023704E">
              <w:rPr>
                <w:iCs/>
                <w:sz w:val="20"/>
                <w:szCs w:val="20"/>
              </w:rPr>
              <w:t>financiranje občin.</w:t>
            </w:r>
          </w:p>
          <w:p w14:paraId="24A4DD93" w14:textId="77777777" w:rsidR="005553CB" w:rsidRPr="0023704E" w:rsidRDefault="005553CB" w:rsidP="00CA689C">
            <w:pPr>
              <w:pStyle w:val="Neotevilenodstavek"/>
              <w:widowControl w:val="0"/>
              <w:spacing w:before="0" w:after="0" w:line="260" w:lineRule="exact"/>
              <w:ind w:left="1440"/>
              <w:rPr>
                <w:iCs/>
                <w:sz w:val="20"/>
                <w:szCs w:val="20"/>
              </w:rPr>
            </w:pPr>
          </w:p>
        </w:tc>
        <w:tc>
          <w:tcPr>
            <w:tcW w:w="2431" w:type="dxa"/>
            <w:gridSpan w:val="2"/>
          </w:tcPr>
          <w:p w14:paraId="63D51961" w14:textId="77777777" w:rsidR="005553CB" w:rsidRPr="0023704E" w:rsidRDefault="005553CB" w:rsidP="00CA689C">
            <w:pPr>
              <w:pStyle w:val="Neotevilenodstavek"/>
              <w:widowControl w:val="0"/>
              <w:spacing w:before="0" w:after="0" w:line="260" w:lineRule="exact"/>
              <w:jc w:val="center"/>
              <w:rPr>
                <w:sz w:val="20"/>
                <w:szCs w:val="20"/>
              </w:rPr>
            </w:pPr>
            <w:r w:rsidRPr="0023704E">
              <w:rPr>
                <w:sz w:val="20"/>
                <w:szCs w:val="20"/>
              </w:rPr>
              <w:t>DA/</w:t>
            </w:r>
            <w:r w:rsidRPr="0023704E">
              <w:rPr>
                <w:b/>
                <w:sz w:val="20"/>
                <w:szCs w:val="20"/>
              </w:rPr>
              <w:t>NE</w:t>
            </w:r>
          </w:p>
        </w:tc>
      </w:tr>
      <w:tr w:rsidR="00AC78FB" w:rsidRPr="0023704E" w14:paraId="17A2C2CE"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C16C27"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Gradivo (pre</w:t>
            </w:r>
            <w:r w:rsidR="002647BD" w:rsidRPr="0023704E">
              <w:rPr>
                <w:iCs/>
                <w:sz w:val="20"/>
                <w:szCs w:val="20"/>
              </w:rPr>
              <w:t>dpis) je bilo poslano v mnenje:</w:t>
            </w:r>
          </w:p>
          <w:p w14:paraId="255F0131" w14:textId="77777777"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Skupnosti občin Slovenije SOS: DA/NE</w:t>
            </w:r>
          </w:p>
          <w:p w14:paraId="48BD7EC1" w14:textId="77777777"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Združenju občin Slovenije ZOS: DA/NE</w:t>
            </w:r>
          </w:p>
          <w:p w14:paraId="28B496AB" w14:textId="77777777"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Združenju mestnih občin Slovenije ZMOS: DA/NE</w:t>
            </w:r>
          </w:p>
          <w:p w14:paraId="3304EED2" w14:textId="77777777" w:rsidR="005553CB" w:rsidRPr="0023704E" w:rsidRDefault="005553CB" w:rsidP="00CA689C">
            <w:pPr>
              <w:pStyle w:val="Neotevilenodstavek"/>
              <w:widowControl w:val="0"/>
              <w:spacing w:before="0" w:after="0" w:line="260" w:lineRule="exact"/>
              <w:rPr>
                <w:iCs/>
                <w:sz w:val="20"/>
                <w:szCs w:val="20"/>
              </w:rPr>
            </w:pPr>
          </w:p>
          <w:p w14:paraId="5F4AB9D1"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Predlogi in pripombe združenj so bili upoštevani:</w:t>
            </w:r>
          </w:p>
          <w:p w14:paraId="50C7645C"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 celoti,</w:t>
            </w:r>
          </w:p>
          <w:p w14:paraId="0C620AAC"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večinoma,</w:t>
            </w:r>
          </w:p>
          <w:p w14:paraId="28401585"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delno,</w:t>
            </w:r>
          </w:p>
          <w:p w14:paraId="3D864929"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niso bili upoštevani.</w:t>
            </w:r>
          </w:p>
          <w:p w14:paraId="63B18C6C" w14:textId="77777777" w:rsidR="005553CB" w:rsidRPr="0023704E" w:rsidRDefault="005553CB" w:rsidP="00CA689C">
            <w:pPr>
              <w:pStyle w:val="Neotevilenodstavek"/>
              <w:widowControl w:val="0"/>
              <w:spacing w:before="0" w:after="0" w:line="260" w:lineRule="exact"/>
              <w:ind w:left="360"/>
              <w:rPr>
                <w:iCs/>
                <w:sz w:val="20"/>
                <w:szCs w:val="20"/>
              </w:rPr>
            </w:pPr>
          </w:p>
          <w:p w14:paraId="2D6505F8" w14:textId="77777777" w:rsidR="005553CB" w:rsidRPr="0023704E" w:rsidRDefault="005553CB" w:rsidP="00FC0B45">
            <w:pPr>
              <w:pStyle w:val="Neotevilenodstavek"/>
              <w:widowControl w:val="0"/>
              <w:spacing w:before="0" w:after="0" w:line="260" w:lineRule="exact"/>
              <w:rPr>
                <w:iCs/>
                <w:sz w:val="20"/>
                <w:szCs w:val="20"/>
              </w:rPr>
            </w:pPr>
            <w:r w:rsidRPr="0023704E">
              <w:rPr>
                <w:iCs/>
                <w:sz w:val="20"/>
                <w:szCs w:val="20"/>
              </w:rPr>
              <w:t>Bistveni predlogi in pripombe, ki niso bili upoštevani.</w:t>
            </w:r>
          </w:p>
        </w:tc>
      </w:tr>
      <w:tr w:rsidR="005553CB" w:rsidRPr="0023704E" w14:paraId="66A315FC"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A1805CB" w14:textId="77777777" w:rsidR="005553CB" w:rsidRPr="0023704E" w:rsidRDefault="005553CB" w:rsidP="00CA689C">
            <w:pPr>
              <w:pStyle w:val="Neotevilenodstavek"/>
              <w:widowControl w:val="0"/>
              <w:spacing w:before="0" w:after="0" w:line="260" w:lineRule="exact"/>
              <w:jc w:val="left"/>
              <w:rPr>
                <w:b/>
                <w:sz w:val="20"/>
                <w:szCs w:val="20"/>
              </w:rPr>
            </w:pPr>
            <w:r w:rsidRPr="0023704E">
              <w:rPr>
                <w:b/>
                <w:sz w:val="20"/>
                <w:szCs w:val="20"/>
              </w:rPr>
              <w:t>9. Predstavitev sodelovanja javnosti:</w:t>
            </w:r>
          </w:p>
        </w:tc>
      </w:tr>
      <w:tr w:rsidR="005553CB" w:rsidRPr="0023704E" w14:paraId="4C415AE8"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98F4B34" w14:textId="77777777" w:rsidR="005553CB" w:rsidRPr="0023704E" w:rsidRDefault="005553CB" w:rsidP="00CA689C">
            <w:pPr>
              <w:pStyle w:val="Neotevilenodstavek"/>
              <w:widowControl w:val="0"/>
              <w:spacing w:before="0" w:after="0" w:line="260" w:lineRule="exact"/>
              <w:rPr>
                <w:sz w:val="20"/>
                <w:szCs w:val="20"/>
              </w:rPr>
            </w:pPr>
            <w:r w:rsidRPr="0023704E">
              <w:rPr>
                <w:iCs/>
                <w:sz w:val="20"/>
                <w:szCs w:val="20"/>
              </w:rPr>
              <w:t>Gradivo je bilo predhodno objavljeno na spletni strani predlagatelja:</w:t>
            </w:r>
          </w:p>
        </w:tc>
        <w:tc>
          <w:tcPr>
            <w:tcW w:w="2431" w:type="dxa"/>
            <w:gridSpan w:val="2"/>
          </w:tcPr>
          <w:p w14:paraId="2944B786" w14:textId="77777777" w:rsidR="005553CB" w:rsidRPr="0023704E" w:rsidRDefault="005553CB" w:rsidP="00CA689C">
            <w:pPr>
              <w:pStyle w:val="Neotevilenodstavek"/>
              <w:widowControl w:val="0"/>
              <w:spacing w:before="0" w:after="0" w:line="260" w:lineRule="exact"/>
              <w:jc w:val="center"/>
              <w:rPr>
                <w:iCs/>
                <w:sz w:val="20"/>
                <w:szCs w:val="20"/>
              </w:rPr>
            </w:pPr>
            <w:r w:rsidRPr="0023704E">
              <w:rPr>
                <w:sz w:val="20"/>
                <w:szCs w:val="20"/>
              </w:rPr>
              <w:t>DA/</w:t>
            </w:r>
            <w:r w:rsidRPr="0023704E">
              <w:rPr>
                <w:b/>
                <w:sz w:val="20"/>
                <w:szCs w:val="20"/>
              </w:rPr>
              <w:t>NE</w:t>
            </w:r>
          </w:p>
        </w:tc>
      </w:tr>
      <w:tr w:rsidR="005553CB" w:rsidRPr="0023704E" w14:paraId="53AFEE9F"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2495E36" w14:textId="77777777" w:rsidR="005553CB" w:rsidRPr="0023704E" w:rsidRDefault="005553CB" w:rsidP="00E4026D">
            <w:pPr>
              <w:pStyle w:val="Neotevilenodstavek"/>
              <w:widowControl w:val="0"/>
              <w:spacing w:before="0" w:after="0" w:line="260" w:lineRule="exact"/>
              <w:rPr>
                <w:iCs/>
                <w:sz w:val="20"/>
                <w:szCs w:val="20"/>
              </w:rPr>
            </w:pPr>
            <w:r w:rsidRPr="0023704E">
              <w:rPr>
                <w:i/>
                <w:iCs/>
                <w:sz w:val="20"/>
                <w:szCs w:val="20"/>
              </w:rPr>
              <w:t>Če je odgovor NE, navedite, zakaj ni bilo objavljeno</w:t>
            </w:r>
            <w:r w:rsidR="008615DD" w:rsidRPr="0023704E">
              <w:rPr>
                <w:i/>
                <w:iCs/>
                <w:sz w:val="20"/>
                <w:szCs w:val="20"/>
              </w:rPr>
              <w:t>:</w:t>
            </w:r>
            <w:r w:rsidR="00317BB4" w:rsidRPr="0023704E">
              <w:rPr>
                <w:iCs/>
                <w:sz w:val="20"/>
              </w:rPr>
              <w:t xml:space="preserve"> Gre za poročilo Vlade RS o </w:t>
            </w:r>
            <w:r w:rsidR="00E4026D" w:rsidRPr="0023704E">
              <w:rPr>
                <w:iCs/>
                <w:sz w:val="20"/>
              </w:rPr>
              <w:t>davčnih izdatkih,</w:t>
            </w:r>
            <w:r w:rsidR="00317BB4" w:rsidRPr="0023704E">
              <w:rPr>
                <w:iCs/>
                <w:sz w:val="20"/>
              </w:rPr>
              <w:t xml:space="preserve"> ki ga mora le-ta posredovati Državnemu zboru RS, in ne za predlog predpisa Vlade RS, zato sodelovanje javnosti ni potrebno.</w:t>
            </w:r>
          </w:p>
        </w:tc>
      </w:tr>
      <w:tr w:rsidR="005553CB" w:rsidRPr="0023704E" w14:paraId="7B732732"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F621BAA"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(Če je odgovor DA, navedite:</w:t>
            </w:r>
          </w:p>
          <w:p w14:paraId="11CC0155"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Datum objave: ………</w:t>
            </w:r>
          </w:p>
          <w:p w14:paraId="5A5BD2AC" w14:textId="77777777" w:rsidR="005553CB" w:rsidRPr="0023704E" w:rsidRDefault="00504C17" w:rsidP="00CA689C">
            <w:pPr>
              <w:pStyle w:val="Neotevilenodstavek"/>
              <w:widowControl w:val="0"/>
              <w:spacing w:before="0" w:after="0" w:line="260" w:lineRule="exact"/>
              <w:rPr>
                <w:iCs/>
                <w:sz w:val="20"/>
                <w:szCs w:val="20"/>
              </w:rPr>
            </w:pPr>
            <w:r w:rsidRPr="0023704E">
              <w:rPr>
                <w:iCs/>
                <w:sz w:val="20"/>
                <w:szCs w:val="20"/>
              </w:rPr>
              <w:t>V razpravo so bili vključeni:</w:t>
            </w:r>
          </w:p>
          <w:p w14:paraId="0FAE048D" w14:textId="77777777" w:rsidR="005553CB" w:rsidRPr="0023704E" w:rsidRDefault="00504C17" w:rsidP="007246D4">
            <w:pPr>
              <w:pStyle w:val="Neotevilenodstavek"/>
              <w:widowControl w:val="0"/>
              <w:numPr>
                <w:ilvl w:val="0"/>
                <w:numId w:val="10"/>
              </w:numPr>
              <w:spacing w:before="0" w:after="0" w:line="260" w:lineRule="exact"/>
              <w:rPr>
                <w:iCs/>
                <w:sz w:val="20"/>
                <w:szCs w:val="20"/>
              </w:rPr>
            </w:pPr>
            <w:r w:rsidRPr="0023704E">
              <w:rPr>
                <w:iCs/>
                <w:sz w:val="20"/>
                <w:szCs w:val="20"/>
              </w:rPr>
              <w:t>nevladne organizacije,</w:t>
            </w:r>
          </w:p>
          <w:p w14:paraId="21F15690" w14:textId="77777777"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predstavniki zainteresirane javnosti,</w:t>
            </w:r>
          </w:p>
          <w:p w14:paraId="429294C6" w14:textId="77777777" w:rsidR="005553CB" w:rsidRPr="0023704E" w:rsidRDefault="005553CB" w:rsidP="007246D4">
            <w:pPr>
              <w:pStyle w:val="Neotevilenodstavek"/>
              <w:widowControl w:val="0"/>
              <w:numPr>
                <w:ilvl w:val="0"/>
                <w:numId w:val="10"/>
              </w:numPr>
              <w:spacing w:before="0" w:after="0" w:line="260" w:lineRule="exact"/>
              <w:rPr>
                <w:iCs/>
                <w:sz w:val="20"/>
                <w:szCs w:val="20"/>
              </w:rPr>
            </w:pPr>
            <w:r w:rsidRPr="0023704E">
              <w:rPr>
                <w:iCs/>
                <w:sz w:val="20"/>
                <w:szCs w:val="20"/>
              </w:rPr>
              <w:t>predstavniki strokovne javnosti.</w:t>
            </w:r>
          </w:p>
          <w:p w14:paraId="0C624E31" w14:textId="77777777" w:rsidR="00FC0B45" w:rsidRPr="0023704E" w:rsidRDefault="00FC0B45" w:rsidP="00CA689C">
            <w:pPr>
              <w:pStyle w:val="Neotevilenodstavek"/>
              <w:widowControl w:val="0"/>
              <w:spacing w:before="0" w:after="0" w:line="260" w:lineRule="exact"/>
              <w:rPr>
                <w:iCs/>
                <w:sz w:val="20"/>
                <w:szCs w:val="20"/>
              </w:rPr>
            </w:pPr>
          </w:p>
          <w:p w14:paraId="325E749C"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 xml:space="preserve">Mnenja, predlogi in pripombe z navedbo predlagateljev </w:t>
            </w:r>
            <w:r w:rsidRPr="0023704E">
              <w:rPr>
                <w:sz w:val="20"/>
                <w:szCs w:val="20"/>
              </w:rPr>
              <w:t>(imen in priimkov fizičnih oseb, ki niso poslovni subjekti, ne navajajte</w:t>
            </w:r>
            <w:r w:rsidRPr="0023704E">
              <w:rPr>
                <w:iCs/>
                <w:sz w:val="20"/>
                <w:szCs w:val="20"/>
              </w:rPr>
              <w:t>):</w:t>
            </w:r>
          </w:p>
          <w:p w14:paraId="6CAC5119" w14:textId="77777777" w:rsidR="005553CB" w:rsidRPr="0023704E" w:rsidRDefault="005553CB" w:rsidP="00CA689C">
            <w:pPr>
              <w:pStyle w:val="Neotevilenodstavek"/>
              <w:widowControl w:val="0"/>
              <w:spacing w:before="0" w:after="0" w:line="260" w:lineRule="exact"/>
              <w:rPr>
                <w:iCs/>
                <w:sz w:val="20"/>
                <w:szCs w:val="20"/>
              </w:rPr>
            </w:pPr>
          </w:p>
          <w:p w14:paraId="29B0106A"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Upoštevani so bili:</w:t>
            </w:r>
          </w:p>
          <w:p w14:paraId="62726E60"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 celoti,</w:t>
            </w:r>
          </w:p>
          <w:p w14:paraId="5B0137BC"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večinoma,</w:t>
            </w:r>
          </w:p>
          <w:p w14:paraId="58C3FF7C"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lastRenderedPageBreak/>
              <w:t>delno,</w:t>
            </w:r>
          </w:p>
          <w:p w14:paraId="722D303B" w14:textId="77777777" w:rsidR="005553CB" w:rsidRPr="0023704E" w:rsidRDefault="005553CB" w:rsidP="007246D4">
            <w:pPr>
              <w:pStyle w:val="Neotevilenodstavek"/>
              <w:widowControl w:val="0"/>
              <w:numPr>
                <w:ilvl w:val="0"/>
                <w:numId w:val="11"/>
              </w:numPr>
              <w:spacing w:before="0" w:after="0" w:line="260" w:lineRule="exact"/>
              <w:rPr>
                <w:iCs/>
                <w:sz w:val="20"/>
                <w:szCs w:val="20"/>
              </w:rPr>
            </w:pPr>
            <w:r w:rsidRPr="0023704E">
              <w:rPr>
                <w:iCs/>
                <w:sz w:val="20"/>
                <w:szCs w:val="20"/>
              </w:rPr>
              <w:t>niso bili upoštevani.</w:t>
            </w:r>
          </w:p>
          <w:p w14:paraId="4AA02EC2" w14:textId="77777777" w:rsidR="005553CB" w:rsidRPr="0023704E" w:rsidRDefault="005553CB" w:rsidP="00CA689C">
            <w:pPr>
              <w:pStyle w:val="Neotevilenodstavek"/>
              <w:widowControl w:val="0"/>
              <w:spacing w:before="0" w:after="0" w:line="260" w:lineRule="exact"/>
              <w:rPr>
                <w:iCs/>
                <w:sz w:val="20"/>
                <w:szCs w:val="20"/>
              </w:rPr>
            </w:pPr>
          </w:p>
          <w:p w14:paraId="7E2EB4E5"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Bistvena mnenja, predlogi in pripombe, ki niso bili upoštevani, ter razlogi za neupoštevanje:</w:t>
            </w:r>
          </w:p>
          <w:p w14:paraId="60DEAF06" w14:textId="77777777" w:rsidR="005553CB" w:rsidRPr="0023704E" w:rsidRDefault="005553CB" w:rsidP="00CA689C">
            <w:pPr>
              <w:pStyle w:val="Neotevilenodstavek"/>
              <w:widowControl w:val="0"/>
              <w:spacing w:before="0" w:after="0" w:line="260" w:lineRule="exact"/>
              <w:rPr>
                <w:iCs/>
                <w:sz w:val="20"/>
                <w:szCs w:val="20"/>
              </w:rPr>
            </w:pPr>
          </w:p>
          <w:p w14:paraId="59ED6081"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Poročilo je bilo dano ……………..</w:t>
            </w:r>
          </w:p>
          <w:p w14:paraId="029C2137" w14:textId="77777777" w:rsidR="005553CB" w:rsidRPr="0023704E" w:rsidRDefault="005553CB" w:rsidP="00CA689C">
            <w:pPr>
              <w:pStyle w:val="Neotevilenodstavek"/>
              <w:widowControl w:val="0"/>
              <w:spacing w:before="0" w:after="0" w:line="260" w:lineRule="exact"/>
              <w:rPr>
                <w:iCs/>
                <w:sz w:val="20"/>
                <w:szCs w:val="20"/>
              </w:rPr>
            </w:pPr>
          </w:p>
          <w:p w14:paraId="3AB2E11F" w14:textId="77777777" w:rsidR="005553CB" w:rsidRPr="0023704E" w:rsidRDefault="005553CB" w:rsidP="00CA689C">
            <w:pPr>
              <w:pStyle w:val="Neotevilenodstavek"/>
              <w:widowControl w:val="0"/>
              <w:spacing w:before="0" w:after="0" w:line="260" w:lineRule="exact"/>
              <w:rPr>
                <w:iCs/>
                <w:sz w:val="20"/>
                <w:szCs w:val="20"/>
              </w:rPr>
            </w:pPr>
            <w:r w:rsidRPr="0023704E">
              <w:rPr>
                <w:iCs/>
                <w:sz w:val="20"/>
                <w:szCs w:val="20"/>
              </w:rPr>
              <w:t>Javnost je bila vključena v pripravo gradiva v skladu z Zakonom o …, kar j</w:t>
            </w:r>
            <w:r w:rsidR="00F47266" w:rsidRPr="0023704E">
              <w:rPr>
                <w:iCs/>
                <w:sz w:val="20"/>
                <w:szCs w:val="20"/>
              </w:rPr>
              <w:t>e navedeno v predlogu predpisa.</w:t>
            </w:r>
          </w:p>
        </w:tc>
      </w:tr>
      <w:tr w:rsidR="005553CB" w:rsidRPr="0023704E" w14:paraId="2E1B0BB6"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BB39E35" w14:textId="77777777" w:rsidR="005553CB" w:rsidRPr="0023704E" w:rsidRDefault="005553CB" w:rsidP="00CA689C">
            <w:pPr>
              <w:pStyle w:val="Neotevilenodstavek"/>
              <w:widowControl w:val="0"/>
              <w:spacing w:before="0" w:after="0" w:line="260" w:lineRule="exact"/>
              <w:jc w:val="left"/>
              <w:rPr>
                <w:sz w:val="20"/>
                <w:szCs w:val="20"/>
              </w:rPr>
            </w:pPr>
            <w:r w:rsidRPr="0023704E">
              <w:rPr>
                <w:b/>
                <w:sz w:val="20"/>
                <w:szCs w:val="20"/>
              </w:rPr>
              <w:lastRenderedPageBreak/>
              <w:t>10. Pri pripravi gradiva so bile upoštevane zahteve iz Resolucije o normativni dejavnosti:</w:t>
            </w:r>
          </w:p>
        </w:tc>
        <w:tc>
          <w:tcPr>
            <w:tcW w:w="2431" w:type="dxa"/>
            <w:gridSpan w:val="2"/>
            <w:vAlign w:val="center"/>
          </w:tcPr>
          <w:p w14:paraId="04C9003E" w14:textId="77777777" w:rsidR="005553CB" w:rsidRPr="0023704E" w:rsidRDefault="005553CB" w:rsidP="00CA689C">
            <w:pPr>
              <w:pStyle w:val="Neotevilenodstavek"/>
              <w:widowControl w:val="0"/>
              <w:spacing w:before="0" w:after="0" w:line="260" w:lineRule="exact"/>
              <w:jc w:val="center"/>
              <w:rPr>
                <w:iCs/>
                <w:sz w:val="20"/>
                <w:szCs w:val="20"/>
              </w:rPr>
            </w:pPr>
            <w:r w:rsidRPr="0023704E">
              <w:rPr>
                <w:b/>
                <w:sz w:val="20"/>
                <w:szCs w:val="20"/>
              </w:rPr>
              <w:t>DA/</w:t>
            </w:r>
            <w:r w:rsidRPr="0023704E">
              <w:rPr>
                <w:sz w:val="20"/>
                <w:szCs w:val="20"/>
              </w:rPr>
              <w:t>NE</w:t>
            </w:r>
          </w:p>
        </w:tc>
      </w:tr>
      <w:tr w:rsidR="005553CB" w:rsidRPr="0023704E" w14:paraId="08B186B6"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E9D2001" w14:textId="77777777" w:rsidR="005553CB" w:rsidRPr="0023704E" w:rsidRDefault="005553CB" w:rsidP="00CA689C">
            <w:pPr>
              <w:pStyle w:val="Neotevilenodstavek"/>
              <w:widowControl w:val="0"/>
              <w:spacing w:before="0" w:after="0" w:line="260" w:lineRule="exact"/>
              <w:jc w:val="left"/>
              <w:rPr>
                <w:b/>
                <w:sz w:val="20"/>
                <w:szCs w:val="20"/>
              </w:rPr>
            </w:pPr>
            <w:r w:rsidRPr="0023704E">
              <w:rPr>
                <w:b/>
                <w:sz w:val="20"/>
                <w:szCs w:val="20"/>
              </w:rPr>
              <w:t>11. Gradivo je uvrščeno v delovni program vlade:</w:t>
            </w:r>
          </w:p>
        </w:tc>
        <w:tc>
          <w:tcPr>
            <w:tcW w:w="2431" w:type="dxa"/>
            <w:gridSpan w:val="2"/>
            <w:vAlign w:val="center"/>
          </w:tcPr>
          <w:p w14:paraId="4CE1ACDD" w14:textId="77777777" w:rsidR="005553CB" w:rsidRPr="0023704E" w:rsidRDefault="005553CB" w:rsidP="00CA689C">
            <w:pPr>
              <w:pStyle w:val="Neotevilenodstavek"/>
              <w:widowControl w:val="0"/>
              <w:spacing w:before="0" w:after="0" w:line="260" w:lineRule="exact"/>
              <w:jc w:val="center"/>
              <w:rPr>
                <w:sz w:val="20"/>
                <w:szCs w:val="20"/>
              </w:rPr>
            </w:pPr>
            <w:r w:rsidRPr="0023704E">
              <w:rPr>
                <w:sz w:val="20"/>
                <w:szCs w:val="20"/>
              </w:rPr>
              <w:t>DA/</w:t>
            </w:r>
            <w:r w:rsidRPr="0023704E">
              <w:rPr>
                <w:b/>
                <w:sz w:val="20"/>
                <w:szCs w:val="20"/>
              </w:rPr>
              <w:t>NE</w:t>
            </w:r>
          </w:p>
        </w:tc>
      </w:tr>
      <w:tr w:rsidR="005553CB" w:rsidRPr="0023704E" w14:paraId="1EBDA056" w14:textId="77777777" w:rsidTr="00CA68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D89A13A" w14:textId="77777777" w:rsidR="005553CB" w:rsidRPr="0023704E" w:rsidRDefault="005553CB" w:rsidP="00CA689C">
            <w:pPr>
              <w:pStyle w:val="Poglavje"/>
              <w:widowControl w:val="0"/>
              <w:spacing w:before="0" w:after="0" w:line="260" w:lineRule="exact"/>
              <w:ind w:left="3400"/>
              <w:jc w:val="left"/>
              <w:rPr>
                <w:sz w:val="20"/>
                <w:szCs w:val="20"/>
              </w:rPr>
            </w:pPr>
          </w:p>
          <w:p w14:paraId="47A93815" w14:textId="6F6116A9" w:rsidR="00B7678C" w:rsidRDefault="009B6EDA" w:rsidP="009B6EDA">
            <w:pPr>
              <w:pStyle w:val="Neotevilenodstavek"/>
              <w:spacing w:after="0" w:line="260" w:lineRule="exact"/>
              <w:ind w:left="720"/>
              <w:jc w:val="center"/>
              <w:rPr>
                <w:iCs/>
                <w:sz w:val="20"/>
                <w:szCs w:val="20"/>
              </w:rPr>
            </w:pPr>
            <w:r w:rsidRPr="0023704E">
              <w:rPr>
                <w:iCs/>
                <w:sz w:val="20"/>
                <w:szCs w:val="20"/>
              </w:rPr>
              <w:t xml:space="preserve">                                                       </w:t>
            </w:r>
            <w:r w:rsidR="00364634" w:rsidRPr="00364634">
              <w:rPr>
                <w:iCs/>
                <w:sz w:val="20"/>
                <w:szCs w:val="20"/>
              </w:rPr>
              <w:t>mag. Andrej Šircelj</w:t>
            </w:r>
          </w:p>
          <w:p w14:paraId="43FAEEE2" w14:textId="73276AD4" w:rsidR="009B6EDA" w:rsidRPr="0023704E" w:rsidRDefault="00B7678C" w:rsidP="009B6EDA">
            <w:pPr>
              <w:pStyle w:val="Neotevilenodstavek"/>
              <w:spacing w:after="0" w:line="260" w:lineRule="exact"/>
              <w:ind w:left="720"/>
              <w:jc w:val="center"/>
              <w:rPr>
                <w:iCs/>
                <w:sz w:val="20"/>
                <w:szCs w:val="20"/>
              </w:rPr>
            </w:pPr>
            <w:r>
              <w:rPr>
                <w:iCs/>
                <w:sz w:val="20"/>
                <w:szCs w:val="20"/>
              </w:rPr>
              <w:t xml:space="preserve">                                                      </w:t>
            </w:r>
            <w:r w:rsidR="00364634">
              <w:rPr>
                <w:iCs/>
                <w:sz w:val="20"/>
                <w:szCs w:val="20"/>
              </w:rPr>
              <w:t>minister</w:t>
            </w:r>
          </w:p>
          <w:p w14:paraId="0CAB3284" w14:textId="57188514" w:rsidR="005553CB" w:rsidRPr="0023704E" w:rsidRDefault="009B6EDA" w:rsidP="00B7678C">
            <w:pPr>
              <w:pStyle w:val="Neotevilenodstavek"/>
              <w:spacing w:after="0" w:line="260" w:lineRule="exact"/>
              <w:ind w:left="720"/>
              <w:jc w:val="center"/>
              <w:rPr>
                <w:iCs/>
                <w:sz w:val="20"/>
                <w:szCs w:val="20"/>
              </w:rPr>
            </w:pPr>
            <w:r w:rsidRPr="0023704E">
              <w:rPr>
                <w:iCs/>
                <w:sz w:val="20"/>
                <w:szCs w:val="20"/>
              </w:rPr>
              <w:t xml:space="preserve">                                                </w:t>
            </w:r>
          </w:p>
        </w:tc>
      </w:tr>
    </w:tbl>
    <w:p w14:paraId="6BBCC76D" w14:textId="77777777" w:rsidR="005553CB" w:rsidRPr="00AC78FB" w:rsidRDefault="005553CB" w:rsidP="005553CB">
      <w:pPr>
        <w:keepLines/>
        <w:framePr w:w="9962" w:wrap="auto" w:hAnchor="text" w:x="1300"/>
        <w:rPr>
          <w:rFonts w:cs="Arial"/>
          <w:szCs w:val="20"/>
        </w:rPr>
        <w:sectPr w:rsidR="005553CB" w:rsidRPr="00AC78FB" w:rsidSect="00CA689C">
          <w:footerReference w:type="default" r:id="rId15"/>
          <w:headerReference w:type="first" r:id="rId16"/>
          <w:pgSz w:w="11906" w:h="16838"/>
          <w:pgMar w:top="1418" w:right="1418" w:bottom="1418" w:left="1418" w:header="708" w:footer="708" w:gutter="0"/>
          <w:cols w:space="708"/>
          <w:docGrid w:linePitch="360"/>
        </w:sectPr>
      </w:pPr>
    </w:p>
    <w:p w14:paraId="443B85AD" w14:textId="77777777" w:rsidR="005553CB" w:rsidRPr="008F04A1" w:rsidRDefault="005553CB" w:rsidP="005553CB">
      <w:pPr>
        <w:pStyle w:val="Naslovpredpisa"/>
        <w:spacing w:before="0" w:after="0" w:line="260" w:lineRule="exact"/>
        <w:jc w:val="both"/>
        <w:rPr>
          <w:sz w:val="20"/>
          <w:szCs w:val="20"/>
        </w:rPr>
      </w:pPr>
      <w:r w:rsidRPr="00AC78FB">
        <w:rPr>
          <w:sz w:val="20"/>
          <w:szCs w:val="20"/>
        </w:rPr>
        <w:lastRenderedPageBreak/>
        <w:t>PRILOGA 3 (jedro gradiva):</w:t>
      </w:r>
    </w:p>
    <w:tbl>
      <w:tblPr>
        <w:tblW w:w="0" w:type="auto"/>
        <w:tblLook w:val="04A0" w:firstRow="1" w:lastRow="0" w:firstColumn="1" w:lastColumn="0" w:noHBand="0" w:noVBand="1"/>
      </w:tblPr>
      <w:tblGrid>
        <w:gridCol w:w="9213"/>
      </w:tblGrid>
      <w:tr w:rsidR="0074333D" w:rsidRPr="004931BE" w14:paraId="2A4B8818" w14:textId="77777777" w:rsidTr="007246D4">
        <w:tc>
          <w:tcPr>
            <w:tcW w:w="9213" w:type="dxa"/>
          </w:tcPr>
          <w:p w14:paraId="3A841909" w14:textId="77777777" w:rsidR="00745166" w:rsidRPr="00012435" w:rsidRDefault="00745166" w:rsidP="00913AAB">
            <w:pPr>
              <w:pStyle w:val="Alineazaodstavkom"/>
              <w:numPr>
                <w:ilvl w:val="0"/>
                <w:numId w:val="0"/>
              </w:numPr>
              <w:spacing w:line="260" w:lineRule="exact"/>
              <w:ind w:left="709"/>
              <w:jc w:val="center"/>
              <w:rPr>
                <w:b/>
                <w:bCs/>
                <w:iCs/>
                <w:sz w:val="28"/>
                <w:szCs w:val="28"/>
                <w:lang w:eastAsia="en-US"/>
              </w:rPr>
            </w:pPr>
          </w:p>
          <w:p w14:paraId="78C14A47" w14:textId="545A0595" w:rsidR="0074333D" w:rsidRPr="00012435" w:rsidRDefault="0074333D" w:rsidP="00E4026D">
            <w:pPr>
              <w:pStyle w:val="Alineazaodstavkom"/>
              <w:numPr>
                <w:ilvl w:val="0"/>
                <w:numId w:val="0"/>
              </w:numPr>
              <w:spacing w:line="260" w:lineRule="exact"/>
              <w:ind w:left="709"/>
              <w:jc w:val="center"/>
              <w:rPr>
                <w:b/>
                <w:bCs/>
                <w:iCs/>
                <w:sz w:val="28"/>
                <w:szCs w:val="28"/>
                <w:lang w:eastAsia="en-US"/>
              </w:rPr>
            </w:pPr>
            <w:r w:rsidRPr="00012435">
              <w:rPr>
                <w:b/>
                <w:bCs/>
                <w:iCs/>
                <w:sz w:val="28"/>
                <w:szCs w:val="28"/>
                <w:lang w:eastAsia="en-US"/>
              </w:rPr>
              <w:t>PORO</w:t>
            </w:r>
            <w:r w:rsidR="004931BE">
              <w:rPr>
                <w:b/>
                <w:bCs/>
                <w:iCs/>
                <w:sz w:val="28"/>
                <w:szCs w:val="28"/>
                <w:lang w:eastAsia="en-US"/>
              </w:rPr>
              <w:t>Č</w:t>
            </w:r>
            <w:r w:rsidRPr="00012435">
              <w:rPr>
                <w:b/>
                <w:bCs/>
                <w:iCs/>
                <w:sz w:val="28"/>
                <w:szCs w:val="28"/>
                <w:lang w:eastAsia="en-US"/>
              </w:rPr>
              <w:t xml:space="preserve">ILO O </w:t>
            </w:r>
            <w:r w:rsidR="00E4026D" w:rsidRPr="00012435">
              <w:rPr>
                <w:b/>
                <w:bCs/>
                <w:iCs/>
                <w:sz w:val="28"/>
                <w:szCs w:val="28"/>
                <w:lang w:eastAsia="en-US"/>
              </w:rPr>
              <w:t>DAVČNIH IZDATKIH V LETU 2018</w:t>
            </w:r>
          </w:p>
        </w:tc>
      </w:tr>
    </w:tbl>
    <w:p w14:paraId="2EB0D5C4" w14:textId="77777777" w:rsidR="0074333D" w:rsidRPr="00012435" w:rsidRDefault="0074333D" w:rsidP="0074333D">
      <w:pPr>
        <w:pStyle w:val="Neotevilenodstavek"/>
        <w:spacing w:before="0" w:after="0" w:line="260" w:lineRule="exact"/>
        <w:rPr>
          <w:b/>
          <w:bCs/>
          <w:iCs/>
          <w:sz w:val="28"/>
          <w:szCs w:val="28"/>
          <w:lang w:eastAsia="en-US"/>
        </w:rPr>
      </w:pPr>
    </w:p>
    <w:p w14:paraId="2AE658A2" w14:textId="7539AFA7" w:rsidR="004931BE" w:rsidRPr="00012435" w:rsidRDefault="004931BE" w:rsidP="00012435">
      <w:pPr>
        <w:pStyle w:val="Heading2"/>
        <w:spacing w:before="0" w:after="0"/>
        <w:rPr>
          <w:rFonts w:ascii="Arial" w:hAnsi="Arial" w:cs="Arial"/>
        </w:rPr>
      </w:pPr>
      <w:r w:rsidRPr="00012435">
        <w:rPr>
          <w:rFonts w:ascii="Arial" w:hAnsi="Arial" w:cs="Arial"/>
        </w:rPr>
        <w:t>POVZETEK</w:t>
      </w:r>
    </w:p>
    <w:p w14:paraId="5A224126" w14:textId="77777777" w:rsidR="00CF509A" w:rsidRDefault="00CF509A">
      <w:pPr>
        <w:spacing w:after="0" w:line="260" w:lineRule="atLeast"/>
        <w:rPr>
          <w:sz w:val="20"/>
          <w:szCs w:val="20"/>
        </w:rPr>
      </w:pPr>
    </w:p>
    <w:p w14:paraId="6F2A2B6A" w14:textId="56BEBE83" w:rsidR="0023704E" w:rsidRDefault="0023704E" w:rsidP="006E03D8">
      <w:pPr>
        <w:spacing w:after="0" w:line="260" w:lineRule="atLeast"/>
        <w:jc w:val="both"/>
        <w:rPr>
          <w:sz w:val="20"/>
          <w:szCs w:val="20"/>
        </w:rPr>
      </w:pPr>
      <w:r>
        <w:rPr>
          <w:rFonts w:ascii="Arial" w:hAnsi="Arial" w:cs="Arial"/>
          <w:sz w:val="20"/>
          <w:szCs w:val="20"/>
        </w:rPr>
        <w:t>Prvo poročilo o davčnih izdatkih</w:t>
      </w:r>
      <w:r w:rsidR="00CD66B3">
        <w:rPr>
          <w:rFonts w:ascii="Arial" w:hAnsi="Arial" w:cs="Arial"/>
          <w:sz w:val="20"/>
          <w:szCs w:val="20"/>
        </w:rPr>
        <w:t>,</w:t>
      </w:r>
      <w:r>
        <w:rPr>
          <w:rFonts w:ascii="Arial" w:hAnsi="Arial" w:cs="Arial"/>
          <w:sz w:val="20"/>
          <w:szCs w:val="20"/>
        </w:rPr>
        <w:t xml:space="preserve"> predloženo na podlagi drugega</w:t>
      </w:r>
      <w:r w:rsidRPr="0023704E">
        <w:rPr>
          <w:rFonts w:ascii="Arial" w:hAnsi="Arial" w:cs="Arial"/>
          <w:sz w:val="20"/>
          <w:szCs w:val="20"/>
        </w:rPr>
        <w:t xml:space="preserve"> odstav</w:t>
      </w:r>
      <w:r>
        <w:rPr>
          <w:rFonts w:ascii="Arial" w:hAnsi="Arial" w:cs="Arial"/>
          <w:sz w:val="20"/>
          <w:szCs w:val="20"/>
        </w:rPr>
        <w:t>ka</w:t>
      </w:r>
      <w:r w:rsidRPr="0023704E">
        <w:rPr>
          <w:rFonts w:ascii="Arial" w:hAnsi="Arial" w:cs="Arial"/>
          <w:sz w:val="20"/>
          <w:szCs w:val="20"/>
        </w:rPr>
        <w:t xml:space="preserve"> 64.a člena Zakona o javnih financah (Uradni list RS, št. 11/11 – uradno prečiščeno besedilo, 14/13 – popr., 101/13, 55/15 – ZFisP, 96/15 – ZIPRS1617 in 13/18)</w:t>
      </w:r>
      <w:r w:rsidR="00CD66B3">
        <w:rPr>
          <w:rFonts w:ascii="Arial" w:hAnsi="Arial" w:cs="Arial"/>
          <w:sz w:val="20"/>
          <w:szCs w:val="20"/>
        </w:rPr>
        <w:t>,</w:t>
      </w:r>
      <w:r>
        <w:rPr>
          <w:rFonts w:ascii="Arial" w:hAnsi="Arial" w:cs="Arial"/>
          <w:sz w:val="20"/>
          <w:szCs w:val="20"/>
        </w:rPr>
        <w:t xml:space="preserve"> vključuje ocene zmanjšanja davčnih prihodkov na ravni različnih davkov. </w:t>
      </w:r>
    </w:p>
    <w:p w14:paraId="3FD06ED4" w14:textId="77777777" w:rsidR="0023704E" w:rsidRDefault="0023704E" w:rsidP="006E03D8">
      <w:pPr>
        <w:spacing w:after="0" w:line="260" w:lineRule="atLeast"/>
        <w:jc w:val="both"/>
        <w:rPr>
          <w:sz w:val="20"/>
          <w:szCs w:val="20"/>
        </w:rPr>
      </w:pPr>
    </w:p>
    <w:p w14:paraId="3A389574" w14:textId="07051AF8" w:rsidR="00F54EBA" w:rsidRDefault="00F54EBA" w:rsidP="0023704E">
      <w:pPr>
        <w:spacing w:line="240" w:lineRule="auto"/>
        <w:jc w:val="both"/>
        <w:rPr>
          <w:rFonts w:ascii="Arial" w:hAnsi="Arial" w:cs="Arial"/>
          <w:sz w:val="20"/>
          <w:szCs w:val="20"/>
        </w:rPr>
      </w:pPr>
      <w:r>
        <w:rPr>
          <w:rFonts w:ascii="Arial" w:hAnsi="Arial" w:cs="Arial"/>
          <w:sz w:val="20"/>
          <w:szCs w:val="20"/>
        </w:rPr>
        <w:t>P</w:t>
      </w:r>
      <w:r w:rsidR="0023704E">
        <w:rPr>
          <w:rFonts w:ascii="Arial" w:hAnsi="Arial" w:cs="Arial"/>
          <w:sz w:val="20"/>
          <w:szCs w:val="20"/>
        </w:rPr>
        <w:t xml:space="preserve">oročilo je pomembno z vidika </w:t>
      </w:r>
      <w:r w:rsidR="00390A2A">
        <w:rPr>
          <w:rFonts w:ascii="Arial" w:hAnsi="Arial" w:cs="Arial"/>
          <w:sz w:val="20"/>
          <w:szCs w:val="20"/>
        </w:rPr>
        <w:t>preglednosti</w:t>
      </w:r>
      <w:r w:rsidR="0023704E">
        <w:rPr>
          <w:rFonts w:ascii="Arial" w:hAnsi="Arial" w:cs="Arial"/>
          <w:sz w:val="20"/>
          <w:szCs w:val="20"/>
        </w:rPr>
        <w:t xml:space="preserve"> izvajanja primerne davčne politike. </w:t>
      </w:r>
      <w:r w:rsidR="00D50C16">
        <w:rPr>
          <w:rFonts w:ascii="Arial" w:hAnsi="Arial" w:cs="Arial"/>
          <w:sz w:val="20"/>
          <w:szCs w:val="20"/>
        </w:rPr>
        <w:t>Z</w:t>
      </w:r>
      <w:r w:rsidR="0023704E">
        <w:rPr>
          <w:rFonts w:ascii="Arial" w:hAnsi="Arial" w:cs="Arial"/>
          <w:sz w:val="20"/>
          <w:szCs w:val="20"/>
        </w:rPr>
        <w:t xml:space="preserve">avedati se moramo, da </w:t>
      </w:r>
      <w:r w:rsidR="0023704E" w:rsidRPr="006E03D8">
        <w:rPr>
          <w:rFonts w:ascii="Arial" w:hAnsi="Arial" w:cs="Arial"/>
          <w:sz w:val="20"/>
          <w:szCs w:val="20"/>
        </w:rPr>
        <w:t xml:space="preserve">davčni </w:t>
      </w:r>
      <w:r w:rsidR="0023704E">
        <w:rPr>
          <w:rFonts w:ascii="Arial" w:hAnsi="Arial" w:cs="Arial"/>
          <w:sz w:val="20"/>
          <w:szCs w:val="20"/>
        </w:rPr>
        <w:t>izdatki</w:t>
      </w:r>
      <w:r w:rsidR="0023704E" w:rsidRPr="006E03D8">
        <w:rPr>
          <w:rFonts w:ascii="Arial" w:hAnsi="Arial" w:cs="Arial"/>
          <w:sz w:val="20"/>
          <w:szCs w:val="20"/>
        </w:rPr>
        <w:t xml:space="preserve"> niso najbolj želeni instrument, saj lahko bistveno zmanjšujejo učinkovitost, </w:t>
      </w:r>
      <w:r w:rsidR="00390A2A">
        <w:rPr>
          <w:rFonts w:ascii="Arial" w:hAnsi="Arial" w:cs="Arial"/>
          <w:sz w:val="20"/>
          <w:szCs w:val="20"/>
        </w:rPr>
        <w:t>preglednost</w:t>
      </w:r>
      <w:r w:rsidR="0023704E" w:rsidRPr="006E03D8">
        <w:rPr>
          <w:rFonts w:ascii="Arial" w:hAnsi="Arial" w:cs="Arial"/>
          <w:sz w:val="20"/>
          <w:szCs w:val="20"/>
        </w:rPr>
        <w:t xml:space="preserve">, uspešnost, poštenost in enostavnost davčnega sistema, kar ogroža predvsem </w:t>
      </w:r>
      <w:r w:rsidR="006F5258">
        <w:rPr>
          <w:rFonts w:ascii="Arial" w:hAnsi="Arial" w:cs="Arial"/>
          <w:sz w:val="20"/>
          <w:szCs w:val="20"/>
        </w:rPr>
        <w:t>javnofinanč</w:t>
      </w:r>
      <w:r w:rsidR="0023704E" w:rsidRPr="006E03D8">
        <w:rPr>
          <w:rFonts w:ascii="Arial" w:hAnsi="Arial" w:cs="Arial"/>
          <w:sz w:val="20"/>
          <w:szCs w:val="20"/>
        </w:rPr>
        <w:t>no vzdržnost</w:t>
      </w:r>
      <w:r w:rsidR="00D50C16">
        <w:rPr>
          <w:rFonts w:ascii="Arial" w:hAnsi="Arial" w:cs="Arial"/>
          <w:sz w:val="20"/>
          <w:szCs w:val="20"/>
        </w:rPr>
        <w:t xml:space="preserve"> ter sprejemanje davčnega sistema kot pravičnega</w:t>
      </w:r>
      <w:r w:rsidR="0023704E" w:rsidRPr="006E03D8">
        <w:rPr>
          <w:rFonts w:ascii="Arial" w:hAnsi="Arial" w:cs="Arial"/>
          <w:sz w:val="20"/>
          <w:szCs w:val="20"/>
        </w:rPr>
        <w:t>.</w:t>
      </w:r>
      <w:r w:rsidR="001F2F83" w:rsidRPr="006E03D8" w:rsidDel="001F2F83">
        <w:rPr>
          <w:rFonts w:ascii="Arial" w:hAnsi="Arial" w:cs="Arial"/>
          <w:sz w:val="20"/>
          <w:szCs w:val="20"/>
        </w:rPr>
        <w:t xml:space="preserve"> </w:t>
      </w:r>
    </w:p>
    <w:p w14:paraId="27CA6633" w14:textId="7B859997" w:rsidR="0023704E" w:rsidRDefault="00F54EBA" w:rsidP="00AC13E9">
      <w:pPr>
        <w:spacing w:line="240" w:lineRule="auto"/>
        <w:jc w:val="both"/>
        <w:rPr>
          <w:szCs w:val="20"/>
        </w:rPr>
      </w:pPr>
      <w:r w:rsidRPr="00C9182E">
        <w:rPr>
          <w:rFonts w:ascii="Arial" w:hAnsi="Arial" w:cs="Arial"/>
          <w:sz w:val="20"/>
          <w:szCs w:val="20"/>
        </w:rPr>
        <w:t>Poročilo vsebuje</w:t>
      </w:r>
      <w:r w:rsidRPr="006E03D8">
        <w:rPr>
          <w:rFonts w:ascii="Arial" w:hAnsi="Arial" w:cs="Arial"/>
          <w:sz w:val="20"/>
          <w:szCs w:val="20"/>
        </w:rPr>
        <w:t xml:space="preserve"> pr</w:t>
      </w:r>
      <w:r w:rsidR="00390A2A">
        <w:rPr>
          <w:rFonts w:ascii="Arial" w:hAnsi="Arial" w:cs="Arial"/>
          <w:sz w:val="20"/>
          <w:szCs w:val="20"/>
        </w:rPr>
        <w:t>ikaz</w:t>
      </w:r>
      <w:r w:rsidRPr="006E03D8">
        <w:rPr>
          <w:rFonts w:ascii="Arial" w:hAnsi="Arial" w:cs="Arial"/>
          <w:sz w:val="20"/>
          <w:szCs w:val="20"/>
        </w:rPr>
        <w:t xml:space="preserve"> davčnih izdatkov po posameznih vrstah davkov, skupaj z oceno vpliva na javnofinančne prihodke.</w:t>
      </w:r>
      <w:r w:rsidR="00C9182E">
        <w:rPr>
          <w:rFonts w:ascii="Arial" w:hAnsi="Arial" w:cs="Arial"/>
          <w:sz w:val="20"/>
          <w:szCs w:val="20"/>
        </w:rPr>
        <w:t xml:space="preserve"> Pomembno je seveda redno, analitično in </w:t>
      </w:r>
      <w:r w:rsidR="0023704E" w:rsidRPr="006E03D8">
        <w:rPr>
          <w:rFonts w:ascii="Arial" w:hAnsi="Arial" w:cs="Arial"/>
          <w:sz w:val="20"/>
          <w:szCs w:val="20"/>
        </w:rPr>
        <w:t xml:space="preserve">objektivno spremljati vse vrste davčnih </w:t>
      </w:r>
      <w:r w:rsidR="00C9182E">
        <w:rPr>
          <w:rFonts w:ascii="Arial" w:hAnsi="Arial" w:cs="Arial"/>
          <w:sz w:val="20"/>
          <w:szCs w:val="20"/>
        </w:rPr>
        <w:t xml:space="preserve">izdatkov in s tem vplivati na </w:t>
      </w:r>
      <w:r w:rsidR="0023704E" w:rsidRPr="006E03D8">
        <w:rPr>
          <w:rFonts w:ascii="Arial" w:hAnsi="Arial" w:cs="Arial"/>
          <w:sz w:val="20"/>
          <w:szCs w:val="20"/>
        </w:rPr>
        <w:t xml:space="preserve">upravičenost določenih davčnih </w:t>
      </w:r>
      <w:r w:rsidR="00C9182E">
        <w:rPr>
          <w:rFonts w:ascii="Arial" w:hAnsi="Arial" w:cs="Arial"/>
          <w:sz w:val="20"/>
          <w:szCs w:val="20"/>
        </w:rPr>
        <w:t xml:space="preserve">izdatkov. </w:t>
      </w:r>
      <w:r w:rsidR="00390A2A">
        <w:rPr>
          <w:rFonts w:ascii="Arial" w:hAnsi="Arial" w:cs="Arial"/>
          <w:sz w:val="20"/>
          <w:szCs w:val="20"/>
        </w:rPr>
        <w:t>Pogosto</w:t>
      </w:r>
      <w:r w:rsidR="0023704E" w:rsidRPr="006E03D8">
        <w:rPr>
          <w:rFonts w:ascii="Arial" w:hAnsi="Arial" w:cs="Arial"/>
          <w:sz w:val="20"/>
          <w:szCs w:val="20"/>
        </w:rPr>
        <w:t xml:space="preserve"> se namreč pokaže, da so davčni </w:t>
      </w:r>
      <w:r w:rsidR="00C9182E">
        <w:rPr>
          <w:rFonts w:ascii="Arial" w:hAnsi="Arial" w:cs="Arial"/>
          <w:sz w:val="20"/>
          <w:szCs w:val="20"/>
        </w:rPr>
        <w:t>izdatki</w:t>
      </w:r>
      <w:r w:rsidR="0023704E" w:rsidRPr="006E03D8">
        <w:rPr>
          <w:rFonts w:ascii="Arial" w:hAnsi="Arial" w:cs="Arial"/>
          <w:sz w:val="20"/>
          <w:szCs w:val="20"/>
        </w:rPr>
        <w:t xml:space="preserve"> le nadomestilo za neposredna plačila iz proračuna, kar zmanjšuje </w:t>
      </w:r>
      <w:r w:rsidR="006F5258">
        <w:rPr>
          <w:rFonts w:ascii="Arial" w:hAnsi="Arial" w:cs="Arial"/>
          <w:sz w:val="20"/>
          <w:szCs w:val="20"/>
        </w:rPr>
        <w:t>javnofinanč</w:t>
      </w:r>
      <w:r w:rsidR="0023704E" w:rsidRPr="006E03D8">
        <w:rPr>
          <w:rFonts w:ascii="Arial" w:hAnsi="Arial" w:cs="Arial"/>
          <w:sz w:val="20"/>
          <w:szCs w:val="20"/>
        </w:rPr>
        <w:t>no preglednost.</w:t>
      </w:r>
      <w:r w:rsidR="0023704E">
        <w:rPr>
          <w:szCs w:val="20"/>
        </w:rPr>
        <w:t xml:space="preserve">   </w:t>
      </w:r>
    </w:p>
    <w:p w14:paraId="1C437012" w14:textId="5605ADE9" w:rsidR="001F2F83" w:rsidRPr="00E4026D" w:rsidRDefault="001F2F83" w:rsidP="00AC13E9">
      <w:pPr>
        <w:spacing w:after="0" w:line="260" w:lineRule="atLeast"/>
        <w:jc w:val="both"/>
        <w:rPr>
          <w:rFonts w:ascii="Arial" w:hAnsi="Arial" w:cs="Arial"/>
          <w:sz w:val="20"/>
          <w:szCs w:val="20"/>
        </w:rPr>
      </w:pPr>
      <w:r>
        <w:rPr>
          <w:rFonts w:ascii="Arial" w:hAnsi="Arial" w:cs="Arial"/>
          <w:sz w:val="20"/>
          <w:szCs w:val="20"/>
        </w:rPr>
        <w:t>Izraz davčni izdatki uporabljamo za r</w:t>
      </w:r>
      <w:r w:rsidRPr="00E4026D">
        <w:rPr>
          <w:rFonts w:ascii="Arial" w:hAnsi="Arial" w:cs="Arial"/>
          <w:sz w:val="20"/>
          <w:szCs w:val="20"/>
        </w:rPr>
        <w:t>azličn</w:t>
      </w:r>
      <w:r>
        <w:rPr>
          <w:rFonts w:ascii="Arial" w:hAnsi="Arial" w:cs="Arial"/>
          <w:sz w:val="20"/>
          <w:szCs w:val="20"/>
        </w:rPr>
        <w:t>e</w:t>
      </w:r>
      <w:r w:rsidRPr="00E4026D">
        <w:rPr>
          <w:rFonts w:ascii="Arial" w:hAnsi="Arial" w:cs="Arial"/>
          <w:sz w:val="20"/>
          <w:szCs w:val="20"/>
        </w:rPr>
        <w:t xml:space="preserve"> </w:t>
      </w:r>
      <w:r>
        <w:rPr>
          <w:rFonts w:ascii="Arial" w:hAnsi="Arial" w:cs="Arial"/>
          <w:sz w:val="20"/>
          <w:szCs w:val="20"/>
        </w:rPr>
        <w:t xml:space="preserve">vrste </w:t>
      </w:r>
      <w:r w:rsidRPr="00E4026D">
        <w:rPr>
          <w:rFonts w:ascii="Arial" w:hAnsi="Arial" w:cs="Arial"/>
          <w:sz w:val="20"/>
          <w:szCs w:val="20"/>
        </w:rPr>
        <w:t>davčni</w:t>
      </w:r>
      <w:r>
        <w:rPr>
          <w:rFonts w:ascii="Arial" w:hAnsi="Arial" w:cs="Arial"/>
          <w:sz w:val="20"/>
          <w:szCs w:val="20"/>
        </w:rPr>
        <w:t>h</w:t>
      </w:r>
      <w:r w:rsidRPr="00E4026D">
        <w:rPr>
          <w:rFonts w:ascii="Arial" w:hAnsi="Arial" w:cs="Arial"/>
          <w:sz w:val="20"/>
          <w:szCs w:val="20"/>
        </w:rPr>
        <w:t xml:space="preserve"> </w:t>
      </w:r>
      <w:r w:rsidRPr="00AC13E9">
        <w:rPr>
          <w:rFonts w:ascii="Arial" w:hAnsi="Arial" w:cs="Arial"/>
          <w:sz w:val="20"/>
          <w:szCs w:val="20"/>
        </w:rPr>
        <w:t>spodbud</w:t>
      </w:r>
      <w:r w:rsidR="000E6368" w:rsidRPr="00AC13E9">
        <w:rPr>
          <w:rFonts w:ascii="Arial" w:hAnsi="Arial" w:cs="Arial"/>
          <w:sz w:val="20"/>
          <w:szCs w:val="20"/>
        </w:rPr>
        <w:t xml:space="preserve"> in</w:t>
      </w:r>
      <w:r w:rsidR="000E6368">
        <w:rPr>
          <w:rFonts w:ascii="Arial" w:hAnsi="Arial" w:cs="Arial"/>
          <w:sz w:val="20"/>
          <w:szCs w:val="20"/>
        </w:rPr>
        <w:t xml:space="preserve"> so</w:t>
      </w:r>
      <w:r w:rsidRPr="00E4026D">
        <w:rPr>
          <w:rFonts w:ascii="Arial" w:hAnsi="Arial" w:cs="Arial"/>
          <w:sz w:val="20"/>
          <w:szCs w:val="20"/>
        </w:rPr>
        <w:t xml:space="preserve"> opredeljen</w:t>
      </w:r>
      <w:r w:rsidR="000E6368">
        <w:rPr>
          <w:rFonts w:ascii="Arial" w:hAnsi="Arial" w:cs="Arial"/>
          <w:sz w:val="20"/>
          <w:szCs w:val="20"/>
        </w:rPr>
        <w:t>i</w:t>
      </w:r>
      <w:r w:rsidRPr="00E4026D">
        <w:rPr>
          <w:rFonts w:ascii="Arial" w:hAnsi="Arial" w:cs="Arial"/>
          <w:sz w:val="20"/>
          <w:szCs w:val="20"/>
        </w:rPr>
        <w:t xml:space="preserve"> kot izguba dav</w:t>
      </w:r>
      <w:r>
        <w:rPr>
          <w:rFonts w:ascii="Arial" w:hAnsi="Arial" w:cs="Arial"/>
          <w:sz w:val="20"/>
          <w:szCs w:val="20"/>
        </w:rPr>
        <w:t>k</w:t>
      </w:r>
      <w:r w:rsidRPr="00E4026D">
        <w:rPr>
          <w:rFonts w:ascii="Arial" w:hAnsi="Arial" w:cs="Arial"/>
          <w:sz w:val="20"/>
          <w:szCs w:val="20"/>
        </w:rPr>
        <w:t>a v celotnih javnofinančnih prihodkih, do kate</w:t>
      </w:r>
      <w:r>
        <w:rPr>
          <w:rFonts w:ascii="Arial" w:hAnsi="Arial" w:cs="Arial"/>
          <w:sz w:val="20"/>
          <w:szCs w:val="20"/>
        </w:rPr>
        <w:t>re</w:t>
      </w:r>
      <w:r w:rsidRPr="00E4026D">
        <w:rPr>
          <w:rFonts w:ascii="Arial" w:hAnsi="Arial" w:cs="Arial"/>
          <w:sz w:val="20"/>
          <w:szCs w:val="20"/>
        </w:rPr>
        <w:t xml:space="preserve"> pride zaradi zmanjšanja zakonsko predpisane davčne obveznosti.</w:t>
      </w:r>
    </w:p>
    <w:p w14:paraId="2EB29907" w14:textId="77777777" w:rsidR="001F2F83" w:rsidRDefault="001F2F83" w:rsidP="006E03D8">
      <w:pPr>
        <w:spacing w:after="0" w:line="260" w:lineRule="atLeast"/>
        <w:jc w:val="both"/>
        <w:rPr>
          <w:rFonts w:ascii="Arial" w:hAnsi="Arial" w:cs="Arial"/>
          <w:sz w:val="20"/>
          <w:szCs w:val="20"/>
        </w:rPr>
      </w:pPr>
    </w:p>
    <w:p w14:paraId="1415D275" w14:textId="685785AF" w:rsidR="00416657" w:rsidRPr="006E03D8" w:rsidRDefault="00D50C16" w:rsidP="00416657">
      <w:pPr>
        <w:autoSpaceDE w:val="0"/>
        <w:autoSpaceDN w:val="0"/>
        <w:adjustRightInd w:val="0"/>
        <w:spacing w:after="0" w:line="260" w:lineRule="atLeast"/>
        <w:jc w:val="both"/>
        <w:rPr>
          <w:rFonts w:ascii="Arial" w:hAnsi="Arial" w:cs="Arial"/>
          <w:sz w:val="20"/>
          <w:szCs w:val="20"/>
        </w:rPr>
      </w:pPr>
      <w:r>
        <w:rPr>
          <w:rFonts w:ascii="Arial" w:hAnsi="Arial" w:cs="Arial"/>
          <w:sz w:val="20"/>
          <w:szCs w:val="20"/>
        </w:rPr>
        <w:t>Glavne ugotovitve poročila so</w:t>
      </w:r>
      <w:r w:rsidR="00416657" w:rsidRPr="006E03D8">
        <w:rPr>
          <w:rFonts w:ascii="Arial" w:hAnsi="Arial" w:cs="Arial"/>
          <w:sz w:val="20"/>
          <w:szCs w:val="20"/>
        </w:rPr>
        <w:t>:</w:t>
      </w:r>
    </w:p>
    <w:p w14:paraId="31530804" w14:textId="69DE3A9E" w:rsidR="0055275E" w:rsidRDefault="006000FE">
      <w:pPr>
        <w:pStyle w:val="ListParagraph"/>
        <w:numPr>
          <w:ilvl w:val="0"/>
          <w:numId w:val="51"/>
        </w:numPr>
        <w:spacing w:line="260" w:lineRule="atLeast"/>
        <w:contextualSpacing/>
        <w:jc w:val="both"/>
        <w:rPr>
          <w:rFonts w:ascii="Arial" w:hAnsi="Arial" w:cs="Arial"/>
          <w:sz w:val="20"/>
          <w:szCs w:val="20"/>
        </w:rPr>
      </w:pPr>
      <w:r>
        <w:rPr>
          <w:rFonts w:ascii="Arial" w:hAnsi="Arial" w:cs="Arial"/>
          <w:sz w:val="20"/>
          <w:szCs w:val="20"/>
        </w:rPr>
        <w:t>O</w:t>
      </w:r>
      <w:r w:rsidR="00416657" w:rsidRPr="00012435">
        <w:rPr>
          <w:rFonts w:ascii="Arial" w:hAnsi="Arial" w:cs="Arial"/>
          <w:sz w:val="20"/>
          <w:szCs w:val="20"/>
        </w:rPr>
        <w:t xml:space="preserve">bseg neposredno dodeljenih spodbud v obliki oprostitev in vračil davkov </w:t>
      </w:r>
      <w:r w:rsidR="00CD66B3" w:rsidRPr="00D051C0">
        <w:rPr>
          <w:rFonts w:ascii="Arial" w:hAnsi="Arial" w:cs="Arial"/>
          <w:sz w:val="20"/>
          <w:szCs w:val="20"/>
        </w:rPr>
        <w:t>se</w:t>
      </w:r>
      <w:r w:rsidR="00CD66B3" w:rsidRPr="00CD66B3">
        <w:rPr>
          <w:rFonts w:ascii="Arial" w:hAnsi="Arial" w:cs="Arial"/>
          <w:sz w:val="20"/>
          <w:szCs w:val="20"/>
        </w:rPr>
        <w:t xml:space="preserve"> </w:t>
      </w:r>
      <w:r w:rsidR="00416657" w:rsidRPr="00012435">
        <w:rPr>
          <w:rFonts w:ascii="Arial" w:hAnsi="Arial" w:cs="Arial"/>
          <w:sz w:val="20"/>
          <w:szCs w:val="20"/>
        </w:rPr>
        <w:t>v zadnjih treh letih povečuje, v letu 201</w:t>
      </w:r>
      <w:r w:rsidR="0055275E" w:rsidRPr="0055275E">
        <w:rPr>
          <w:rFonts w:ascii="Arial" w:hAnsi="Arial" w:cs="Arial"/>
          <w:sz w:val="20"/>
          <w:szCs w:val="20"/>
        </w:rPr>
        <w:t>8</w:t>
      </w:r>
      <w:r w:rsidR="00416657" w:rsidRPr="00012435">
        <w:rPr>
          <w:rFonts w:ascii="Arial" w:hAnsi="Arial" w:cs="Arial"/>
          <w:sz w:val="20"/>
          <w:szCs w:val="20"/>
        </w:rPr>
        <w:t xml:space="preserve"> se</w:t>
      </w:r>
      <w:r w:rsidR="0055275E" w:rsidRPr="0055275E">
        <w:rPr>
          <w:rFonts w:ascii="Arial" w:hAnsi="Arial" w:cs="Arial"/>
          <w:sz w:val="20"/>
          <w:szCs w:val="20"/>
        </w:rPr>
        <w:t xml:space="preserve"> je znesek</w:t>
      </w:r>
      <w:r w:rsidR="00416657" w:rsidRPr="00012435">
        <w:rPr>
          <w:rFonts w:ascii="Arial" w:hAnsi="Arial" w:cs="Arial"/>
          <w:sz w:val="20"/>
          <w:szCs w:val="20"/>
        </w:rPr>
        <w:t xml:space="preserve"> davčni</w:t>
      </w:r>
      <w:r w:rsidR="0055275E" w:rsidRPr="0055275E">
        <w:rPr>
          <w:rFonts w:ascii="Arial" w:hAnsi="Arial" w:cs="Arial"/>
          <w:sz w:val="20"/>
          <w:szCs w:val="20"/>
        </w:rPr>
        <w:t>h</w:t>
      </w:r>
      <w:r w:rsidR="00416657" w:rsidRPr="00012435">
        <w:rPr>
          <w:rFonts w:ascii="Arial" w:hAnsi="Arial" w:cs="Arial"/>
          <w:sz w:val="20"/>
          <w:szCs w:val="20"/>
        </w:rPr>
        <w:t xml:space="preserve"> </w:t>
      </w:r>
      <w:r w:rsidR="000935D8" w:rsidRPr="0055275E">
        <w:rPr>
          <w:rFonts w:ascii="Arial" w:hAnsi="Arial" w:cs="Arial"/>
          <w:sz w:val="20"/>
          <w:szCs w:val="20"/>
        </w:rPr>
        <w:t>izdatk</w:t>
      </w:r>
      <w:r w:rsidR="0055275E" w:rsidRPr="0055275E">
        <w:rPr>
          <w:rFonts w:ascii="Arial" w:hAnsi="Arial" w:cs="Arial"/>
          <w:sz w:val="20"/>
          <w:szCs w:val="20"/>
        </w:rPr>
        <w:t>ov</w:t>
      </w:r>
      <w:r w:rsidR="000935D8" w:rsidRPr="00012435">
        <w:rPr>
          <w:rFonts w:ascii="Arial" w:hAnsi="Arial" w:cs="Arial"/>
          <w:sz w:val="20"/>
          <w:szCs w:val="20"/>
        </w:rPr>
        <w:t xml:space="preserve"> </w:t>
      </w:r>
      <w:r w:rsidR="00416657" w:rsidRPr="00012435">
        <w:rPr>
          <w:rFonts w:ascii="Arial" w:hAnsi="Arial" w:cs="Arial"/>
          <w:sz w:val="20"/>
          <w:szCs w:val="20"/>
        </w:rPr>
        <w:t>povečal za 1</w:t>
      </w:r>
      <w:r w:rsidR="00281839" w:rsidRPr="00012435">
        <w:rPr>
          <w:rFonts w:ascii="Arial" w:hAnsi="Arial" w:cs="Arial"/>
          <w:sz w:val="20"/>
          <w:szCs w:val="20"/>
        </w:rPr>
        <w:t>4</w:t>
      </w:r>
      <w:r w:rsidR="00416657" w:rsidRPr="00012435">
        <w:rPr>
          <w:rFonts w:ascii="Arial" w:hAnsi="Arial" w:cs="Arial"/>
          <w:sz w:val="20"/>
          <w:szCs w:val="20"/>
        </w:rPr>
        <w:t xml:space="preserve"> % glede na leto 201</w:t>
      </w:r>
      <w:r w:rsidR="0055275E" w:rsidRPr="0055275E">
        <w:rPr>
          <w:rFonts w:ascii="Arial" w:hAnsi="Arial" w:cs="Arial"/>
          <w:sz w:val="20"/>
          <w:szCs w:val="20"/>
        </w:rPr>
        <w:t>6</w:t>
      </w:r>
      <w:r w:rsidR="00CD66B3">
        <w:rPr>
          <w:rFonts w:ascii="Arial" w:hAnsi="Arial" w:cs="Arial"/>
          <w:sz w:val="20"/>
          <w:szCs w:val="20"/>
        </w:rPr>
        <w:t>.</w:t>
      </w:r>
    </w:p>
    <w:p w14:paraId="03FB9EC1" w14:textId="7E7610A0" w:rsidR="00416657" w:rsidRPr="00012435" w:rsidRDefault="006000FE">
      <w:pPr>
        <w:pStyle w:val="ListParagraph"/>
        <w:numPr>
          <w:ilvl w:val="0"/>
          <w:numId w:val="51"/>
        </w:numPr>
        <w:spacing w:line="260" w:lineRule="atLeast"/>
        <w:contextualSpacing/>
        <w:jc w:val="both"/>
        <w:rPr>
          <w:rFonts w:ascii="Arial" w:hAnsi="Arial" w:cs="Arial"/>
          <w:sz w:val="20"/>
          <w:szCs w:val="20"/>
        </w:rPr>
      </w:pPr>
      <w:r>
        <w:rPr>
          <w:rFonts w:ascii="Arial" w:hAnsi="Arial" w:cs="Arial"/>
          <w:sz w:val="20"/>
          <w:szCs w:val="20"/>
        </w:rPr>
        <w:t>D</w:t>
      </w:r>
      <w:r w:rsidR="00416657" w:rsidRPr="00012435">
        <w:rPr>
          <w:rFonts w:ascii="Arial" w:hAnsi="Arial" w:cs="Arial"/>
          <w:sz w:val="20"/>
          <w:szCs w:val="20"/>
        </w:rPr>
        <w:t xml:space="preserve">avčni </w:t>
      </w:r>
      <w:r w:rsidR="000935D8" w:rsidRPr="0055275E">
        <w:rPr>
          <w:rFonts w:ascii="Arial" w:hAnsi="Arial" w:cs="Arial"/>
          <w:sz w:val="20"/>
          <w:szCs w:val="20"/>
        </w:rPr>
        <w:t>izdatki</w:t>
      </w:r>
      <w:r w:rsidR="000935D8" w:rsidRPr="00012435">
        <w:rPr>
          <w:rFonts w:ascii="Arial" w:hAnsi="Arial" w:cs="Arial"/>
          <w:sz w:val="20"/>
          <w:szCs w:val="20"/>
        </w:rPr>
        <w:t xml:space="preserve"> </w:t>
      </w:r>
      <w:r w:rsidR="00416657" w:rsidRPr="00012435">
        <w:rPr>
          <w:rFonts w:ascii="Arial" w:hAnsi="Arial" w:cs="Arial"/>
          <w:sz w:val="20"/>
          <w:szCs w:val="20"/>
        </w:rPr>
        <w:t>predstavljajo v obdobju od leta 201</w:t>
      </w:r>
      <w:r w:rsidR="0055275E">
        <w:rPr>
          <w:rFonts w:ascii="Arial" w:hAnsi="Arial" w:cs="Arial"/>
          <w:sz w:val="20"/>
          <w:szCs w:val="20"/>
        </w:rPr>
        <w:t>6</w:t>
      </w:r>
      <w:r w:rsidR="00416657" w:rsidRPr="00012435">
        <w:rPr>
          <w:rFonts w:ascii="Arial" w:hAnsi="Arial" w:cs="Arial"/>
          <w:sz w:val="20"/>
          <w:szCs w:val="20"/>
        </w:rPr>
        <w:t xml:space="preserve"> do 201</w:t>
      </w:r>
      <w:r w:rsidR="0055275E">
        <w:rPr>
          <w:rFonts w:ascii="Arial" w:hAnsi="Arial" w:cs="Arial"/>
          <w:sz w:val="20"/>
          <w:szCs w:val="20"/>
        </w:rPr>
        <w:t>8</w:t>
      </w:r>
      <w:r w:rsidR="00416657" w:rsidRPr="00012435">
        <w:rPr>
          <w:rFonts w:ascii="Arial" w:hAnsi="Arial" w:cs="Arial"/>
          <w:sz w:val="20"/>
          <w:szCs w:val="20"/>
        </w:rPr>
        <w:t xml:space="preserve"> v povprečju </w:t>
      </w:r>
      <w:r w:rsidR="00A55C5C">
        <w:rPr>
          <w:rFonts w:ascii="Arial" w:hAnsi="Arial" w:cs="Arial"/>
          <w:sz w:val="20"/>
          <w:szCs w:val="20"/>
        </w:rPr>
        <w:t>4,9</w:t>
      </w:r>
      <w:r w:rsidR="00416657" w:rsidRPr="00012435">
        <w:rPr>
          <w:rFonts w:ascii="Arial" w:hAnsi="Arial" w:cs="Arial"/>
          <w:sz w:val="20"/>
          <w:szCs w:val="20"/>
        </w:rPr>
        <w:t xml:space="preserve"> % BDP</w:t>
      </w:r>
      <w:r>
        <w:rPr>
          <w:rFonts w:ascii="Arial" w:hAnsi="Arial" w:cs="Arial"/>
          <w:sz w:val="20"/>
          <w:szCs w:val="20"/>
        </w:rPr>
        <w:t>. V letu 2018 so znašali</w:t>
      </w:r>
      <w:r w:rsidR="00281839">
        <w:rPr>
          <w:rFonts w:ascii="Arial" w:hAnsi="Arial" w:cs="Arial"/>
          <w:sz w:val="20"/>
          <w:szCs w:val="20"/>
        </w:rPr>
        <w:t xml:space="preserve"> </w:t>
      </w:r>
      <w:r w:rsidR="00A55C5C">
        <w:rPr>
          <w:rFonts w:ascii="Arial" w:hAnsi="Arial" w:cs="Arial"/>
          <w:sz w:val="20"/>
          <w:szCs w:val="20"/>
        </w:rPr>
        <w:t>skoraj</w:t>
      </w:r>
      <w:r w:rsidR="00281839">
        <w:rPr>
          <w:rFonts w:ascii="Arial" w:hAnsi="Arial" w:cs="Arial"/>
          <w:sz w:val="20"/>
          <w:szCs w:val="20"/>
        </w:rPr>
        <w:t xml:space="preserve"> </w:t>
      </w:r>
      <w:r>
        <w:rPr>
          <w:rFonts w:ascii="Arial" w:hAnsi="Arial" w:cs="Arial"/>
          <w:sz w:val="20"/>
          <w:szCs w:val="20"/>
        </w:rPr>
        <w:t xml:space="preserve">2,3 </w:t>
      </w:r>
      <w:r w:rsidR="00BE46E3">
        <w:rPr>
          <w:rFonts w:ascii="Arial" w:hAnsi="Arial" w:cs="Arial"/>
          <w:sz w:val="20"/>
          <w:szCs w:val="20"/>
        </w:rPr>
        <w:t>mrd</w:t>
      </w:r>
      <w:r>
        <w:rPr>
          <w:rFonts w:ascii="Arial" w:hAnsi="Arial" w:cs="Arial"/>
          <w:sz w:val="20"/>
          <w:szCs w:val="20"/>
        </w:rPr>
        <w:t xml:space="preserve"> evrov</w:t>
      </w:r>
      <w:r w:rsidR="00CD66B3">
        <w:rPr>
          <w:rFonts w:ascii="Arial" w:hAnsi="Arial" w:cs="Arial"/>
          <w:sz w:val="20"/>
          <w:szCs w:val="20"/>
        </w:rPr>
        <w:t>.</w:t>
      </w:r>
    </w:p>
    <w:p w14:paraId="6705F1F5" w14:textId="180FECB8" w:rsidR="00416657" w:rsidRDefault="006000FE" w:rsidP="00416657">
      <w:pPr>
        <w:pStyle w:val="ListParagraph"/>
        <w:numPr>
          <w:ilvl w:val="0"/>
          <w:numId w:val="51"/>
        </w:numPr>
        <w:spacing w:line="260" w:lineRule="atLeast"/>
        <w:contextualSpacing/>
        <w:jc w:val="both"/>
        <w:rPr>
          <w:rFonts w:ascii="Arial" w:hAnsi="Arial" w:cs="Arial"/>
          <w:sz w:val="20"/>
          <w:szCs w:val="20"/>
        </w:rPr>
      </w:pPr>
      <w:r>
        <w:rPr>
          <w:rFonts w:ascii="Arial" w:hAnsi="Arial" w:cs="Arial"/>
          <w:sz w:val="20"/>
          <w:szCs w:val="20"/>
        </w:rPr>
        <w:t>N</w:t>
      </w:r>
      <w:r w:rsidR="00416657" w:rsidRPr="00012435">
        <w:rPr>
          <w:rFonts w:ascii="Arial" w:hAnsi="Arial" w:cs="Arial"/>
          <w:sz w:val="20"/>
          <w:szCs w:val="20"/>
        </w:rPr>
        <w:t xml:space="preserve">ajvečji izpad javnofinančnih prihodkov v obliki davčnih </w:t>
      </w:r>
      <w:r w:rsidR="000935D8">
        <w:rPr>
          <w:rFonts w:ascii="Arial" w:hAnsi="Arial" w:cs="Arial"/>
          <w:sz w:val="20"/>
          <w:szCs w:val="20"/>
        </w:rPr>
        <w:t>izdatkov</w:t>
      </w:r>
      <w:r w:rsidR="000935D8" w:rsidRPr="00012435">
        <w:rPr>
          <w:rFonts w:ascii="Arial" w:hAnsi="Arial" w:cs="Arial"/>
          <w:sz w:val="20"/>
          <w:szCs w:val="20"/>
        </w:rPr>
        <w:t xml:space="preserve"> </w:t>
      </w:r>
      <w:r>
        <w:rPr>
          <w:rFonts w:ascii="Arial" w:hAnsi="Arial" w:cs="Arial"/>
          <w:sz w:val="20"/>
          <w:szCs w:val="20"/>
        </w:rPr>
        <w:t>predstavljajo niž</w:t>
      </w:r>
      <w:r w:rsidR="004A6FBD">
        <w:rPr>
          <w:rFonts w:ascii="Arial" w:hAnsi="Arial" w:cs="Arial"/>
          <w:sz w:val="20"/>
          <w:szCs w:val="20"/>
        </w:rPr>
        <w:t>ja</w:t>
      </w:r>
      <w:r>
        <w:rPr>
          <w:rFonts w:ascii="Arial" w:hAnsi="Arial" w:cs="Arial"/>
          <w:sz w:val="20"/>
          <w:szCs w:val="20"/>
        </w:rPr>
        <w:t xml:space="preserve"> stopnj</w:t>
      </w:r>
      <w:r w:rsidR="004A6FBD">
        <w:rPr>
          <w:rFonts w:ascii="Arial" w:hAnsi="Arial" w:cs="Arial"/>
          <w:sz w:val="20"/>
          <w:szCs w:val="20"/>
        </w:rPr>
        <w:t>a</w:t>
      </w:r>
      <w:r>
        <w:rPr>
          <w:rFonts w:ascii="Arial" w:hAnsi="Arial" w:cs="Arial"/>
          <w:sz w:val="20"/>
          <w:szCs w:val="20"/>
        </w:rPr>
        <w:t xml:space="preserve"> pri</w:t>
      </w:r>
      <w:r w:rsidR="00416657" w:rsidRPr="00012435">
        <w:rPr>
          <w:rFonts w:ascii="Arial" w:hAnsi="Arial" w:cs="Arial"/>
          <w:sz w:val="20"/>
          <w:szCs w:val="20"/>
        </w:rPr>
        <w:t xml:space="preserve"> davk</w:t>
      </w:r>
      <w:r>
        <w:rPr>
          <w:rFonts w:ascii="Arial" w:hAnsi="Arial" w:cs="Arial"/>
          <w:sz w:val="20"/>
          <w:szCs w:val="20"/>
        </w:rPr>
        <w:t>u</w:t>
      </w:r>
      <w:r w:rsidR="00416657" w:rsidRPr="00012435">
        <w:rPr>
          <w:rFonts w:ascii="Arial" w:hAnsi="Arial" w:cs="Arial"/>
          <w:sz w:val="20"/>
          <w:szCs w:val="20"/>
        </w:rPr>
        <w:t xml:space="preserve"> na dodano vrednost </w:t>
      </w:r>
      <w:r w:rsidR="004A6FBD">
        <w:rPr>
          <w:rFonts w:ascii="Arial" w:hAnsi="Arial" w:cs="Arial"/>
          <w:sz w:val="20"/>
          <w:szCs w:val="20"/>
        </w:rPr>
        <w:t xml:space="preserve">(DDV) </w:t>
      </w:r>
      <w:r w:rsidR="00416657" w:rsidRPr="00012435">
        <w:rPr>
          <w:rFonts w:ascii="Arial" w:hAnsi="Arial" w:cs="Arial"/>
          <w:sz w:val="20"/>
          <w:szCs w:val="20"/>
        </w:rPr>
        <w:t>ter</w:t>
      </w:r>
      <w:r>
        <w:rPr>
          <w:rFonts w:ascii="Arial" w:hAnsi="Arial" w:cs="Arial"/>
          <w:sz w:val="20"/>
          <w:szCs w:val="20"/>
        </w:rPr>
        <w:t xml:space="preserve"> olajšave in oprostitve pri</w:t>
      </w:r>
      <w:r w:rsidR="00416657" w:rsidRPr="00012435">
        <w:rPr>
          <w:rFonts w:ascii="Arial" w:hAnsi="Arial" w:cs="Arial"/>
          <w:sz w:val="20"/>
          <w:szCs w:val="20"/>
        </w:rPr>
        <w:t xml:space="preserve"> dohodnin</w:t>
      </w:r>
      <w:r>
        <w:rPr>
          <w:rFonts w:ascii="Arial" w:hAnsi="Arial" w:cs="Arial"/>
          <w:sz w:val="20"/>
          <w:szCs w:val="20"/>
        </w:rPr>
        <w:t>i</w:t>
      </w:r>
      <w:r w:rsidR="00416657" w:rsidRPr="00012435">
        <w:rPr>
          <w:rFonts w:ascii="Arial" w:hAnsi="Arial" w:cs="Arial"/>
          <w:sz w:val="20"/>
          <w:szCs w:val="20"/>
        </w:rPr>
        <w:t xml:space="preserve">, skupaj </w:t>
      </w:r>
      <w:r w:rsidR="00281839">
        <w:rPr>
          <w:rFonts w:ascii="Arial" w:hAnsi="Arial" w:cs="Arial"/>
          <w:sz w:val="20"/>
          <w:szCs w:val="20"/>
        </w:rPr>
        <w:t>3,9</w:t>
      </w:r>
      <w:r w:rsidR="00416657" w:rsidRPr="00012435">
        <w:rPr>
          <w:rFonts w:ascii="Arial" w:hAnsi="Arial" w:cs="Arial"/>
          <w:sz w:val="20"/>
          <w:szCs w:val="20"/>
        </w:rPr>
        <w:t xml:space="preserve"> % BDP v letu 201</w:t>
      </w:r>
      <w:r w:rsidR="0055275E">
        <w:rPr>
          <w:rFonts w:ascii="Arial" w:hAnsi="Arial" w:cs="Arial"/>
          <w:sz w:val="20"/>
          <w:szCs w:val="20"/>
        </w:rPr>
        <w:t>8</w:t>
      </w:r>
      <w:r>
        <w:rPr>
          <w:rFonts w:ascii="Arial" w:hAnsi="Arial" w:cs="Arial"/>
          <w:sz w:val="20"/>
          <w:szCs w:val="20"/>
        </w:rPr>
        <w:t>.</w:t>
      </w:r>
    </w:p>
    <w:p w14:paraId="257F8825" w14:textId="32BC27DF" w:rsidR="006000FE" w:rsidRDefault="006000FE" w:rsidP="006000FE">
      <w:pPr>
        <w:pStyle w:val="ListParagraph"/>
        <w:numPr>
          <w:ilvl w:val="0"/>
          <w:numId w:val="51"/>
        </w:numPr>
        <w:spacing w:line="260" w:lineRule="atLeast"/>
        <w:contextualSpacing/>
        <w:jc w:val="both"/>
        <w:rPr>
          <w:rFonts w:ascii="Arial" w:hAnsi="Arial" w:cs="Arial"/>
          <w:sz w:val="20"/>
          <w:szCs w:val="20"/>
        </w:rPr>
      </w:pPr>
      <w:r w:rsidRPr="006000FE">
        <w:rPr>
          <w:rFonts w:ascii="Arial" w:hAnsi="Arial" w:cs="Arial"/>
          <w:sz w:val="20"/>
          <w:szCs w:val="20"/>
        </w:rPr>
        <w:t>Največj</w:t>
      </w:r>
      <w:r>
        <w:rPr>
          <w:rFonts w:ascii="Arial" w:hAnsi="Arial" w:cs="Arial"/>
          <w:sz w:val="20"/>
          <w:szCs w:val="20"/>
        </w:rPr>
        <w:t>o skupino</w:t>
      </w:r>
      <w:r w:rsidRPr="006000FE">
        <w:rPr>
          <w:rFonts w:ascii="Arial" w:hAnsi="Arial" w:cs="Arial"/>
          <w:sz w:val="20"/>
          <w:szCs w:val="20"/>
        </w:rPr>
        <w:t xml:space="preserve"> davčn</w:t>
      </w:r>
      <w:r>
        <w:rPr>
          <w:rFonts w:ascii="Arial" w:hAnsi="Arial" w:cs="Arial"/>
          <w:sz w:val="20"/>
          <w:szCs w:val="20"/>
        </w:rPr>
        <w:t>ega</w:t>
      </w:r>
      <w:r w:rsidRPr="006000FE">
        <w:rPr>
          <w:rFonts w:ascii="Arial" w:hAnsi="Arial" w:cs="Arial"/>
          <w:sz w:val="20"/>
          <w:szCs w:val="20"/>
        </w:rPr>
        <w:t xml:space="preserve"> izdatk</w:t>
      </w:r>
      <w:r>
        <w:rPr>
          <w:rFonts w:ascii="Arial" w:hAnsi="Arial" w:cs="Arial"/>
          <w:sz w:val="20"/>
          <w:szCs w:val="20"/>
        </w:rPr>
        <w:t>a pri DDV predstavlja</w:t>
      </w:r>
      <w:r w:rsidRPr="006000FE">
        <w:rPr>
          <w:rFonts w:ascii="Arial" w:hAnsi="Arial" w:cs="Arial"/>
          <w:sz w:val="20"/>
          <w:szCs w:val="20"/>
        </w:rPr>
        <w:t xml:space="preserve"> nižj</w:t>
      </w:r>
      <w:r>
        <w:rPr>
          <w:rFonts w:ascii="Arial" w:hAnsi="Arial" w:cs="Arial"/>
          <w:sz w:val="20"/>
          <w:szCs w:val="20"/>
        </w:rPr>
        <w:t>a</w:t>
      </w:r>
      <w:r w:rsidRPr="006000FE">
        <w:rPr>
          <w:rFonts w:ascii="Arial" w:hAnsi="Arial" w:cs="Arial"/>
          <w:sz w:val="20"/>
          <w:szCs w:val="20"/>
        </w:rPr>
        <w:t xml:space="preserve"> stopnj</w:t>
      </w:r>
      <w:r>
        <w:rPr>
          <w:rFonts w:ascii="Arial" w:hAnsi="Arial" w:cs="Arial"/>
          <w:sz w:val="20"/>
          <w:szCs w:val="20"/>
        </w:rPr>
        <w:t>a</w:t>
      </w:r>
      <w:r w:rsidRPr="006000FE">
        <w:rPr>
          <w:rFonts w:ascii="Arial" w:hAnsi="Arial" w:cs="Arial"/>
          <w:sz w:val="20"/>
          <w:szCs w:val="20"/>
        </w:rPr>
        <w:t xml:space="preserve"> </w:t>
      </w:r>
      <w:r>
        <w:rPr>
          <w:rFonts w:ascii="Arial" w:hAnsi="Arial" w:cs="Arial"/>
          <w:sz w:val="20"/>
          <w:szCs w:val="20"/>
        </w:rPr>
        <w:t>za</w:t>
      </w:r>
      <w:r w:rsidRPr="006000FE">
        <w:rPr>
          <w:rFonts w:ascii="Arial" w:hAnsi="Arial" w:cs="Arial"/>
          <w:sz w:val="20"/>
          <w:szCs w:val="20"/>
        </w:rPr>
        <w:t xml:space="preserve"> hran</w:t>
      </w:r>
      <w:r w:rsidR="00CD66B3">
        <w:rPr>
          <w:rFonts w:ascii="Arial" w:hAnsi="Arial" w:cs="Arial"/>
          <w:sz w:val="20"/>
          <w:szCs w:val="20"/>
        </w:rPr>
        <w:t>o</w:t>
      </w:r>
      <w:r w:rsidRPr="006000FE">
        <w:rPr>
          <w:rFonts w:ascii="Arial" w:hAnsi="Arial" w:cs="Arial"/>
          <w:sz w:val="20"/>
          <w:szCs w:val="20"/>
        </w:rPr>
        <w:t xml:space="preserve"> in pijač</w:t>
      </w:r>
      <w:r>
        <w:rPr>
          <w:rFonts w:ascii="Arial" w:hAnsi="Arial" w:cs="Arial"/>
          <w:sz w:val="20"/>
          <w:szCs w:val="20"/>
        </w:rPr>
        <w:t>o, ki pomeni</w:t>
      </w:r>
      <w:r w:rsidRPr="006000FE">
        <w:rPr>
          <w:rFonts w:ascii="Arial" w:hAnsi="Arial" w:cs="Arial"/>
          <w:sz w:val="20"/>
          <w:szCs w:val="20"/>
        </w:rPr>
        <w:t xml:space="preserve"> 337 mio evrov</w:t>
      </w:r>
      <w:r>
        <w:rPr>
          <w:rFonts w:ascii="Arial" w:hAnsi="Arial" w:cs="Arial"/>
          <w:sz w:val="20"/>
          <w:szCs w:val="20"/>
        </w:rPr>
        <w:t xml:space="preserve"> izgubljenih javnofinančnih prihodkov.</w:t>
      </w:r>
    </w:p>
    <w:p w14:paraId="73382311" w14:textId="0F0485F8" w:rsidR="006000FE" w:rsidRPr="0035733A" w:rsidRDefault="006000FE" w:rsidP="006000FE">
      <w:pPr>
        <w:pStyle w:val="ListParagraph"/>
        <w:numPr>
          <w:ilvl w:val="0"/>
          <w:numId w:val="51"/>
        </w:numPr>
        <w:spacing w:line="260" w:lineRule="atLeast"/>
        <w:contextualSpacing/>
        <w:jc w:val="both"/>
        <w:rPr>
          <w:rFonts w:ascii="Arial" w:hAnsi="Arial" w:cs="Arial"/>
          <w:sz w:val="20"/>
          <w:szCs w:val="20"/>
        </w:rPr>
      </w:pPr>
      <w:r>
        <w:rPr>
          <w:rFonts w:ascii="Arial" w:hAnsi="Arial" w:cs="Arial"/>
          <w:sz w:val="20"/>
          <w:szCs w:val="20"/>
        </w:rPr>
        <w:t xml:space="preserve">Pri dohodnini največja davčna izdatka (dodatna splošna olajšava in olajšava za vzdrževane </w:t>
      </w:r>
      <w:r w:rsidR="00350125">
        <w:rPr>
          <w:rFonts w:ascii="Arial" w:hAnsi="Arial" w:cs="Arial"/>
          <w:sz w:val="20"/>
          <w:szCs w:val="20"/>
        </w:rPr>
        <w:t>otroke</w:t>
      </w:r>
      <w:r w:rsidR="00CD66B3">
        <w:rPr>
          <w:rFonts w:ascii="Arial" w:hAnsi="Arial" w:cs="Arial"/>
          <w:sz w:val="20"/>
          <w:szCs w:val="20"/>
        </w:rPr>
        <w:t>)</w:t>
      </w:r>
      <w:r>
        <w:rPr>
          <w:rFonts w:ascii="Arial" w:hAnsi="Arial" w:cs="Arial"/>
          <w:sz w:val="20"/>
          <w:szCs w:val="20"/>
        </w:rPr>
        <w:t xml:space="preserve"> skupaj znižata javnofinančne prihodke za </w:t>
      </w:r>
      <w:r w:rsidR="00350125">
        <w:rPr>
          <w:rFonts w:ascii="Arial" w:hAnsi="Arial" w:cs="Arial"/>
          <w:sz w:val="20"/>
          <w:szCs w:val="20"/>
        </w:rPr>
        <w:t>5</w:t>
      </w:r>
      <w:r>
        <w:rPr>
          <w:rFonts w:ascii="Arial" w:hAnsi="Arial" w:cs="Arial"/>
          <w:sz w:val="20"/>
          <w:szCs w:val="20"/>
        </w:rPr>
        <w:t>7</w:t>
      </w:r>
      <w:r w:rsidR="00350125">
        <w:rPr>
          <w:rFonts w:ascii="Arial" w:hAnsi="Arial" w:cs="Arial"/>
          <w:sz w:val="20"/>
          <w:szCs w:val="20"/>
        </w:rPr>
        <w:t>4</w:t>
      </w:r>
      <w:r>
        <w:rPr>
          <w:rFonts w:ascii="Arial" w:hAnsi="Arial" w:cs="Arial"/>
          <w:sz w:val="20"/>
          <w:szCs w:val="20"/>
        </w:rPr>
        <w:t xml:space="preserve"> mio evrov.</w:t>
      </w:r>
    </w:p>
    <w:p w14:paraId="1BC9E195" w14:textId="5A821E61" w:rsidR="0023704E" w:rsidRDefault="001466F2" w:rsidP="00012435">
      <w:pPr>
        <w:spacing w:after="0" w:line="260" w:lineRule="atLeast"/>
        <w:jc w:val="both"/>
        <w:rPr>
          <w:sz w:val="20"/>
          <w:szCs w:val="20"/>
        </w:rPr>
      </w:pPr>
      <w:r w:rsidRPr="00012435">
        <w:rPr>
          <w:rFonts w:ascii="Arial" w:hAnsi="Arial" w:cs="Arial"/>
          <w:sz w:val="20"/>
          <w:szCs w:val="20"/>
        </w:rPr>
        <w:t xml:space="preserve">  </w:t>
      </w:r>
    </w:p>
    <w:p w14:paraId="2ADFDC6F" w14:textId="77777777" w:rsidR="00C9182E" w:rsidRPr="00012435" w:rsidRDefault="001466F2" w:rsidP="00012435">
      <w:pPr>
        <w:pBdr>
          <w:top w:val="single" w:sz="4" w:space="9" w:color="auto"/>
          <w:left w:val="single" w:sz="4" w:space="4" w:color="auto"/>
          <w:bottom w:val="single" w:sz="4" w:space="1" w:color="auto"/>
          <w:right w:val="single" w:sz="4" w:space="4" w:color="auto"/>
        </w:pBdr>
        <w:spacing w:after="0" w:line="260" w:lineRule="atLeast"/>
        <w:jc w:val="both"/>
        <w:rPr>
          <w:i/>
          <w:sz w:val="20"/>
          <w:szCs w:val="20"/>
          <w:u w:val="single"/>
        </w:rPr>
      </w:pPr>
      <w:r w:rsidRPr="00012435">
        <w:rPr>
          <w:rFonts w:ascii="Arial" w:hAnsi="Arial" w:cs="Arial"/>
          <w:i/>
          <w:sz w:val="20"/>
          <w:szCs w:val="20"/>
          <w:u w:val="single"/>
        </w:rPr>
        <w:t>Opozorilo</w:t>
      </w:r>
      <w:r w:rsidR="00C9182E" w:rsidRPr="00012435">
        <w:rPr>
          <w:rFonts w:ascii="Arial" w:hAnsi="Arial" w:cs="Arial"/>
          <w:i/>
          <w:sz w:val="20"/>
          <w:szCs w:val="20"/>
          <w:u w:val="single"/>
        </w:rPr>
        <w:t>:</w:t>
      </w:r>
    </w:p>
    <w:p w14:paraId="691856DA" w14:textId="77777777" w:rsidR="001466F2" w:rsidRDefault="00C9182E" w:rsidP="00012435">
      <w:pPr>
        <w:pBdr>
          <w:top w:val="single" w:sz="4" w:space="9" w:color="auto"/>
          <w:left w:val="single" w:sz="4" w:space="4" w:color="auto"/>
          <w:bottom w:val="single" w:sz="4" w:space="1" w:color="auto"/>
          <w:right w:val="single" w:sz="4" w:space="4" w:color="auto"/>
        </w:pBdr>
        <w:spacing w:after="0" w:line="260" w:lineRule="atLeast"/>
        <w:jc w:val="both"/>
        <w:rPr>
          <w:i/>
          <w:sz w:val="20"/>
          <w:szCs w:val="20"/>
        </w:rPr>
      </w:pPr>
      <w:r w:rsidRPr="00012435">
        <w:rPr>
          <w:rFonts w:ascii="Arial" w:hAnsi="Arial" w:cs="Arial"/>
          <w:i/>
          <w:sz w:val="20"/>
          <w:szCs w:val="20"/>
        </w:rPr>
        <w:t>Opisi davčnih izdatkov v tem poročilu so namenjeni splošnemu razumevanju delovanja vsakega od davčnih ukrepov</w:t>
      </w:r>
      <w:r w:rsidR="001466F2">
        <w:rPr>
          <w:rFonts w:ascii="Arial" w:hAnsi="Arial" w:cs="Arial"/>
          <w:i/>
          <w:sz w:val="20"/>
          <w:szCs w:val="20"/>
        </w:rPr>
        <w:t xml:space="preserve"> in torej ne nadomeščajo splošne zakonodaje ali predpisov</w:t>
      </w:r>
      <w:r w:rsidRPr="00012435">
        <w:rPr>
          <w:rFonts w:ascii="Arial" w:hAnsi="Arial" w:cs="Arial"/>
          <w:i/>
          <w:sz w:val="20"/>
          <w:szCs w:val="20"/>
        </w:rPr>
        <w:t xml:space="preserve">. </w:t>
      </w:r>
    </w:p>
    <w:p w14:paraId="65C8E2CD" w14:textId="4BF4D078" w:rsidR="001466F2" w:rsidRDefault="001466F2" w:rsidP="00012435">
      <w:pPr>
        <w:pBdr>
          <w:top w:val="single" w:sz="4" w:space="9" w:color="auto"/>
          <w:left w:val="single" w:sz="4" w:space="4" w:color="auto"/>
          <w:bottom w:val="single" w:sz="4" w:space="1" w:color="auto"/>
          <w:right w:val="single" w:sz="4" w:space="4" w:color="auto"/>
        </w:pBdr>
        <w:spacing w:after="0" w:line="260" w:lineRule="atLeast"/>
        <w:jc w:val="both"/>
        <w:rPr>
          <w:i/>
          <w:sz w:val="20"/>
          <w:szCs w:val="20"/>
        </w:rPr>
      </w:pPr>
      <w:r w:rsidRPr="001466F2">
        <w:rPr>
          <w:rFonts w:ascii="Arial" w:hAnsi="Arial" w:cs="Arial"/>
          <w:i/>
          <w:sz w:val="20"/>
          <w:szCs w:val="20"/>
        </w:rPr>
        <w:t xml:space="preserve">Ocene, ki smo jih pripravili, so narejene na obračunskih podatkih </w:t>
      </w:r>
      <w:r w:rsidR="00390A2A">
        <w:rPr>
          <w:rFonts w:ascii="Arial" w:hAnsi="Arial" w:cs="Arial"/>
          <w:i/>
          <w:sz w:val="20"/>
          <w:szCs w:val="20"/>
        </w:rPr>
        <w:t>oziroma</w:t>
      </w:r>
      <w:r w:rsidRPr="001466F2">
        <w:rPr>
          <w:rFonts w:ascii="Arial" w:hAnsi="Arial" w:cs="Arial"/>
          <w:i/>
          <w:sz w:val="20"/>
          <w:szCs w:val="20"/>
        </w:rPr>
        <w:t xml:space="preserve"> podatkih o vračilih posameznih davkov za posamezno leto ob upoštevanju metode izgube prihodka. </w:t>
      </w:r>
      <w:r w:rsidR="00C9182E" w:rsidRPr="00012435">
        <w:rPr>
          <w:rFonts w:ascii="Arial" w:hAnsi="Arial" w:cs="Arial"/>
          <w:i/>
          <w:sz w:val="20"/>
          <w:szCs w:val="20"/>
        </w:rPr>
        <w:t>Pri tem opozarjamo, da skupna ocena izgube prihodkov ob ukinitvi vseh davčnih izdatkov n</w:t>
      </w:r>
      <w:r w:rsidR="00390A2A">
        <w:rPr>
          <w:rFonts w:ascii="Arial" w:hAnsi="Arial" w:cs="Arial"/>
          <w:i/>
          <w:sz w:val="20"/>
          <w:szCs w:val="20"/>
        </w:rPr>
        <w:t>i</w:t>
      </w:r>
      <w:r w:rsidR="00C9182E" w:rsidRPr="00012435">
        <w:rPr>
          <w:rFonts w:ascii="Arial" w:hAnsi="Arial" w:cs="Arial"/>
          <w:i/>
          <w:sz w:val="20"/>
          <w:szCs w:val="20"/>
        </w:rPr>
        <w:t xml:space="preserve"> seštevek ukinitve </w:t>
      </w:r>
      <w:r w:rsidR="004A6FBD">
        <w:rPr>
          <w:rFonts w:ascii="Arial" w:hAnsi="Arial" w:cs="Arial"/>
          <w:i/>
          <w:sz w:val="20"/>
          <w:szCs w:val="20"/>
        </w:rPr>
        <w:t xml:space="preserve">posameznega </w:t>
      </w:r>
      <w:r w:rsidR="00C9182E" w:rsidRPr="00012435">
        <w:rPr>
          <w:rFonts w:ascii="Arial" w:hAnsi="Arial" w:cs="Arial"/>
          <w:i/>
          <w:sz w:val="20"/>
          <w:szCs w:val="20"/>
        </w:rPr>
        <w:t>davčnega izdatka, saj je treb</w:t>
      </w:r>
      <w:r w:rsidR="00390A2A">
        <w:rPr>
          <w:rFonts w:ascii="Arial" w:hAnsi="Arial" w:cs="Arial"/>
          <w:i/>
          <w:sz w:val="20"/>
          <w:szCs w:val="20"/>
        </w:rPr>
        <w:t>a</w:t>
      </w:r>
      <w:r w:rsidR="00C9182E" w:rsidRPr="00012435">
        <w:rPr>
          <w:rFonts w:ascii="Arial" w:hAnsi="Arial" w:cs="Arial"/>
          <w:i/>
          <w:sz w:val="20"/>
          <w:szCs w:val="20"/>
        </w:rPr>
        <w:t xml:space="preserve"> pri tem upoštevati tudi spremembo v obnašanju zavezancev. </w:t>
      </w:r>
    </w:p>
    <w:p w14:paraId="66B1CB1B" w14:textId="77777777" w:rsidR="00C9182E" w:rsidRPr="00012435" w:rsidRDefault="00C9182E" w:rsidP="00012435">
      <w:pPr>
        <w:pBdr>
          <w:top w:val="single" w:sz="4" w:space="9" w:color="auto"/>
          <w:left w:val="single" w:sz="4" w:space="4" w:color="auto"/>
          <w:bottom w:val="single" w:sz="4" w:space="1" w:color="auto"/>
          <w:right w:val="single" w:sz="4" w:space="4" w:color="auto"/>
        </w:pBdr>
        <w:spacing w:after="0" w:line="260" w:lineRule="atLeast"/>
        <w:jc w:val="both"/>
        <w:rPr>
          <w:i/>
          <w:sz w:val="20"/>
          <w:szCs w:val="20"/>
        </w:rPr>
      </w:pPr>
      <w:r w:rsidRPr="00012435">
        <w:rPr>
          <w:rFonts w:ascii="Arial" w:hAnsi="Arial" w:cs="Arial"/>
          <w:i/>
          <w:sz w:val="20"/>
          <w:szCs w:val="20"/>
        </w:rPr>
        <w:t xml:space="preserve"> </w:t>
      </w:r>
    </w:p>
    <w:p w14:paraId="5A3DC78B" w14:textId="77777777" w:rsidR="004931BE" w:rsidRDefault="004931BE" w:rsidP="00012435">
      <w:pPr>
        <w:pStyle w:val="Heading2"/>
        <w:spacing w:before="0" w:after="0"/>
        <w:rPr>
          <w:rFonts w:ascii="Arial" w:hAnsi="Arial" w:cs="Arial"/>
        </w:rPr>
      </w:pPr>
    </w:p>
    <w:p w14:paraId="1CBCA14A" w14:textId="77777777" w:rsidR="0066096A" w:rsidRDefault="0066096A">
      <w:pPr>
        <w:spacing w:after="0" w:line="240" w:lineRule="auto"/>
        <w:rPr>
          <w:rFonts w:ascii="Arial" w:eastAsia="Times New Roman" w:hAnsi="Arial" w:cs="Arial"/>
          <w:b/>
          <w:bCs/>
          <w:i/>
          <w:iCs/>
          <w:sz w:val="28"/>
          <w:szCs w:val="28"/>
        </w:rPr>
      </w:pPr>
      <w:r>
        <w:rPr>
          <w:rFonts w:ascii="Arial" w:hAnsi="Arial" w:cs="Arial"/>
        </w:rPr>
        <w:br w:type="page"/>
      </w:r>
    </w:p>
    <w:p w14:paraId="4DC9B595" w14:textId="1D81EF0E" w:rsidR="00E4026D" w:rsidRPr="00012435" w:rsidRDefault="00E4026D" w:rsidP="00012435">
      <w:pPr>
        <w:pStyle w:val="Heading2"/>
        <w:spacing w:before="0" w:after="0"/>
        <w:rPr>
          <w:rFonts w:ascii="Arial" w:hAnsi="Arial" w:cs="Arial"/>
        </w:rPr>
      </w:pPr>
      <w:r w:rsidRPr="00012435">
        <w:rPr>
          <w:rFonts w:ascii="Arial" w:hAnsi="Arial" w:cs="Arial"/>
        </w:rPr>
        <w:lastRenderedPageBreak/>
        <w:t>UVOD</w:t>
      </w:r>
    </w:p>
    <w:p w14:paraId="4E47E8C0" w14:textId="77777777" w:rsidR="00E4026D" w:rsidRPr="00E4026D" w:rsidRDefault="00E4026D">
      <w:pPr>
        <w:spacing w:after="0" w:line="260" w:lineRule="atLeast"/>
        <w:jc w:val="both"/>
        <w:rPr>
          <w:rFonts w:ascii="Arial" w:hAnsi="Arial" w:cs="Arial"/>
          <w:b/>
          <w:sz w:val="20"/>
          <w:szCs w:val="20"/>
        </w:rPr>
      </w:pPr>
    </w:p>
    <w:p w14:paraId="37B8DC80" w14:textId="5EB0500C" w:rsidR="00E4026D" w:rsidRPr="00AC13E9" w:rsidRDefault="00E4026D">
      <w:pPr>
        <w:spacing w:after="0" w:line="260" w:lineRule="atLeast"/>
        <w:jc w:val="both"/>
        <w:rPr>
          <w:rFonts w:ascii="Arial" w:hAnsi="Arial" w:cs="Arial"/>
          <w:sz w:val="20"/>
          <w:szCs w:val="20"/>
        </w:rPr>
      </w:pPr>
      <w:r w:rsidRPr="00E4026D">
        <w:rPr>
          <w:rFonts w:ascii="Arial" w:hAnsi="Arial" w:cs="Arial"/>
          <w:sz w:val="20"/>
          <w:szCs w:val="20"/>
        </w:rPr>
        <w:t>Dobro zasnovan</w:t>
      </w:r>
      <w:r w:rsidR="00390A2A">
        <w:rPr>
          <w:rFonts w:ascii="Arial" w:hAnsi="Arial" w:cs="Arial"/>
          <w:sz w:val="20"/>
          <w:szCs w:val="20"/>
        </w:rPr>
        <w:t>i</w:t>
      </w:r>
      <w:r w:rsidRPr="00E4026D">
        <w:rPr>
          <w:rFonts w:ascii="Arial" w:hAnsi="Arial" w:cs="Arial"/>
          <w:sz w:val="20"/>
          <w:szCs w:val="20"/>
        </w:rPr>
        <w:t xml:space="preserve"> sistem različnih davčnih spodbud lahko bistveno pripomore k doseganju višje ravni blaginje, gospodarske rasti in učinkovitosti socialne politike. Zaradi pomembnega vpliva davčnih </w:t>
      </w:r>
      <w:r w:rsidRPr="00AC13E9">
        <w:rPr>
          <w:rFonts w:ascii="Arial" w:hAnsi="Arial" w:cs="Arial"/>
          <w:sz w:val="20"/>
          <w:szCs w:val="20"/>
        </w:rPr>
        <w:t xml:space="preserve">spodbud, pozitivnih in negativnih, na ravnanje in odločanje ekonomskih subjektov </w:t>
      </w:r>
      <w:r w:rsidR="00390A2A">
        <w:rPr>
          <w:rFonts w:ascii="Arial" w:hAnsi="Arial" w:cs="Arial"/>
          <w:sz w:val="20"/>
          <w:szCs w:val="20"/>
        </w:rPr>
        <w:t>sta</w:t>
      </w:r>
      <w:r w:rsidRPr="00AC13E9">
        <w:rPr>
          <w:rFonts w:ascii="Arial" w:hAnsi="Arial" w:cs="Arial"/>
          <w:sz w:val="20"/>
          <w:szCs w:val="20"/>
        </w:rPr>
        <w:t xml:space="preserve"> potrebn</w:t>
      </w:r>
      <w:r w:rsidR="00390A2A">
        <w:rPr>
          <w:rFonts w:ascii="Arial" w:hAnsi="Arial" w:cs="Arial"/>
          <w:sz w:val="20"/>
          <w:szCs w:val="20"/>
        </w:rPr>
        <w:t>a</w:t>
      </w:r>
      <w:r w:rsidRPr="00AC13E9">
        <w:rPr>
          <w:rFonts w:ascii="Arial" w:hAnsi="Arial" w:cs="Arial"/>
          <w:sz w:val="20"/>
          <w:szCs w:val="20"/>
        </w:rPr>
        <w:t xml:space="preserve"> njihovo nenehno spremljanje in prilagajanje. </w:t>
      </w:r>
    </w:p>
    <w:p w14:paraId="49EFF0AB" w14:textId="77777777" w:rsidR="00E4026D" w:rsidRPr="00AC13E9" w:rsidRDefault="00E4026D" w:rsidP="00E4026D">
      <w:pPr>
        <w:spacing w:after="0" w:line="260" w:lineRule="atLeast"/>
        <w:jc w:val="both"/>
        <w:rPr>
          <w:rFonts w:ascii="Arial" w:hAnsi="Arial" w:cs="Arial"/>
          <w:sz w:val="20"/>
          <w:szCs w:val="20"/>
        </w:rPr>
      </w:pPr>
    </w:p>
    <w:p w14:paraId="14F0A59E" w14:textId="06B58A4B" w:rsidR="00E4026D" w:rsidRPr="00AC13E9" w:rsidRDefault="00E4026D" w:rsidP="00E4026D">
      <w:pPr>
        <w:spacing w:after="0" w:line="260" w:lineRule="atLeast"/>
        <w:jc w:val="both"/>
        <w:rPr>
          <w:rFonts w:ascii="Arial" w:hAnsi="Arial" w:cs="Arial"/>
          <w:sz w:val="20"/>
          <w:szCs w:val="20"/>
        </w:rPr>
      </w:pPr>
      <w:r w:rsidRPr="00AC13E9">
        <w:rPr>
          <w:rFonts w:ascii="Arial" w:hAnsi="Arial" w:cs="Arial"/>
          <w:sz w:val="20"/>
          <w:szCs w:val="20"/>
        </w:rPr>
        <w:t xml:space="preserve">V Sloveniji </w:t>
      </w:r>
      <w:r w:rsidR="00390A2A">
        <w:rPr>
          <w:rFonts w:ascii="Arial" w:hAnsi="Arial" w:cs="Arial"/>
          <w:sz w:val="20"/>
          <w:szCs w:val="20"/>
        </w:rPr>
        <w:t>so</w:t>
      </w:r>
      <w:r w:rsidRPr="00AC13E9">
        <w:rPr>
          <w:rFonts w:ascii="Arial" w:hAnsi="Arial" w:cs="Arial"/>
          <w:sz w:val="20"/>
          <w:szCs w:val="20"/>
        </w:rPr>
        <w:t xml:space="preserve"> v veljavi </w:t>
      </w:r>
      <w:r w:rsidR="00390A2A">
        <w:rPr>
          <w:rFonts w:ascii="Arial" w:hAnsi="Arial" w:cs="Arial"/>
          <w:sz w:val="20"/>
          <w:szCs w:val="20"/>
        </w:rPr>
        <w:t>številne</w:t>
      </w:r>
      <w:r w:rsidRPr="00AC13E9">
        <w:rPr>
          <w:rFonts w:ascii="Arial" w:hAnsi="Arial" w:cs="Arial"/>
          <w:sz w:val="20"/>
          <w:szCs w:val="20"/>
        </w:rPr>
        <w:t xml:space="preserve"> davčn</w:t>
      </w:r>
      <w:r w:rsidR="00390A2A">
        <w:rPr>
          <w:rFonts w:ascii="Arial" w:hAnsi="Arial" w:cs="Arial"/>
          <w:sz w:val="20"/>
          <w:szCs w:val="20"/>
        </w:rPr>
        <w:t>e</w:t>
      </w:r>
      <w:r w:rsidRPr="00AC13E9">
        <w:rPr>
          <w:rFonts w:ascii="Arial" w:hAnsi="Arial" w:cs="Arial"/>
          <w:sz w:val="20"/>
          <w:szCs w:val="20"/>
        </w:rPr>
        <w:t xml:space="preserve"> spodbud</w:t>
      </w:r>
      <w:r w:rsidR="00390A2A">
        <w:rPr>
          <w:rFonts w:ascii="Arial" w:hAnsi="Arial" w:cs="Arial"/>
          <w:sz w:val="20"/>
          <w:szCs w:val="20"/>
        </w:rPr>
        <w:t>e</w:t>
      </w:r>
      <w:r w:rsidRPr="00AC13E9">
        <w:rPr>
          <w:rFonts w:ascii="Arial" w:hAnsi="Arial" w:cs="Arial"/>
          <w:sz w:val="20"/>
          <w:szCs w:val="20"/>
        </w:rPr>
        <w:t>, zlasti v obliki različnih olajšav, oprostitev, nižjih stopenj oziroma drugih odstopanj od širše opredeljene davčne osnove, ki so del davčnega sistema. To pomeni, da davčne spodbude na eni strani posameznim zavezancem znižujejo njihove davčne obveznosti, medtem ko so lahko na drugi strani eden izmed pomembnih vzrokov za zmanjšanje proračunskih prihodkov.</w:t>
      </w:r>
    </w:p>
    <w:p w14:paraId="6F0E5B8A" w14:textId="77777777" w:rsidR="00E4026D" w:rsidRPr="00AC13E9" w:rsidRDefault="00E4026D" w:rsidP="00E4026D">
      <w:pPr>
        <w:spacing w:after="0" w:line="260" w:lineRule="atLeast"/>
        <w:jc w:val="both"/>
        <w:rPr>
          <w:rFonts w:ascii="Arial" w:hAnsi="Arial" w:cs="Arial"/>
          <w:sz w:val="20"/>
          <w:szCs w:val="20"/>
        </w:rPr>
      </w:pPr>
    </w:p>
    <w:p w14:paraId="14DA9F5E" w14:textId="6D7E3D3F" w:rsidR="00E4026D" w:rsidRPr="00E4026D" w:rsidRDefault="00E4026D" w:rsidP="00E4026D">
      <w:pPr>
        <w:spacing w:after="0" w:line="260" w:lineRule="atLeast"/>
        <w:jc w:val="both"/>
        <w:rPr>
          <w:rFonts w:ascii="Arial" w:hAnsi="Arial" w:cs="Arial"/>
          <w:sz w:val="20"/>
          <w:szCs w:val="20"/>
        </w:rPr>
      </w:pPr>
      <w:r w:rsidRPr="00AC13E9">
        <w:rPr>
          <w:rFonts w:ascii="Arial" w:hAnsi="Arial" w:cs="Arial"/>
          <w:sz w:val="20"/>
          <w:szCs w:val="20"/>
        </w:rPr>
        <w:t>Različnim davčnim spodbudam</w:t>
      </w:r>
      <w:r w:rsidRPr="00E4026D">
        <w:rPr>
          <w:rFonts w:ascii="Arial" w:hAnsi="Arial" w:cs="Arial"/>
          <w:sz w:val="20"/>
          <w:szCs w:val="20"/>
        </w:rPr>
        <w:t xml:space="preserve"> zato pravimo tudi davčni </w:t>
      </w:r>
      <w:r>
        <w:rPr>
          <w:rFonts w:ascii="Arial" w:hAnsi="Arial" w:cs="Arial"/>
          <w:sz w:val="20"/>
          <w:szCs w:val="20"/>
        </w:rPr>
        <w:t>izdatki</w:t>
      </w:r>
      <w:r w:rsidRPr="00E4026D">
        <w:rPr>
          <w:rFonts w:ascii="Arial" w:hAnsi="Arial" w:cs="Arial"/>
          <w:sz w:val="20"/>
          <w:szCs w:val="20"/>
        </w:rPr>
        <w:t xml:space="preserve"> (angl. </w:t>
      </w:r>
      <w:r w:rsidRPr="00E4026D">
        <w:rPr>
          <w:rFonts w:ascii="Arial" w:hAnsi="Arial" w:cs="Arial"/>
          <w:i/>
          <w:sz w:val="20"/>
          <w:szCs w:val="20"/>
        </w:rPr>
        <w:t>tax expenditures</w:t>
      </w:r>
      <w:r w:rsidRPr="00E4026D">
        <w:rPr>
          <w:rFonts w:ascii="Arial" w:hAnsi="Arial" w:cs="Arial"/>
          <w:sz w:val="20"/>
          <w:szCs w:val="20"/>
        </w:rPr>
        <w:t xml:space="preserve">). Davčni </w:t>
      </w:r>
      <w:r>
        <w:rPr>
          <w:rFonts w:ascii="Arial" w:hAnsi="Arial" w:cs="Arial"/>
          <w:sz w:val="20"/>
          <w:szCs w:val="20"/>
        </w:rPr>
        <w:t>izdatek</w:t>
      </w:r>
      <w:r w:rsidRPr="00E4026D">
        <w:rPr>
          <w:rFonts w:ascii="Arial" w:hAnsi="Arial" w:cs="Arial"/>
          <w:sz w:val="20"/>
          <w:szCs w:val="20"/>
        </w:rPr>
        <w:t xml:space="preserve"> je opredeljen kot izguba dav</w:t>
      </w:r>
      <w:r>
        <w:rPr>
          <w:rFonts w:ascii="Arial" w:hAnsi="Arial" w:cs="Arial"/>
          <w:sz w:val="20"/>
          <w:szCs w:val="20"/>
        </w:rPr>
        <w:t>k</w:t>
      </w:r>
      <w:r w:rsidRPr="00E4026D">
        <w:rPr>
          <w:rFonts w:ascii="Arial" w:hAnsi="Arial" w:cs="Arial"/>
          <w:sz w:val="20"/>
          <w:szCs w:val="20"/>
        </w:rPr>
        <w:t>a v celotnih javnofinančnih prihodkih, do kate</w:t>
      </w:r>
      <w:r w:rsidR="00F630CA">
        <w:rPr>
          <w:rFonts w:ascii="Arial" w:hAnsi="Arial" w:cs="Arial"/>
          <w:sz w:val="20"/>
          <w:szCs w:val="20"/>
        </w:rPr>
        <w:t>re</w:t>
      </w:r>
      <w:r w:rsidRPr="00E4026D">
        <w:rPr>
          <w:rFonts w:ascii="Arial" w:hAnsi="Arial" w:cs="Arial"/>
          <w:sz w:val="20"/>
          <w:szCs w:val="20"/>
        </w:rPr>
        <w:t xml:space="preserve"> pride zaradi zmanjšanja zakonsko predpisane davčne obveznosti </w:t>
      </w:r>
      <w:r w:rsidR="007968CD">
        <w:rPr>
          <w:rFonts w:ascii="Arial" w:hAnsi="Arial" w:cs="Arial"/>
          <w:sz w:val="20"/>
          <w:szCs w:val="20"/>
        </w:rPr>
        <w:t>zaradi</w:t>
      </w:r>
      <w:r w:rsidRPr="00E4026D">
        <w:rPr>
          <w:rFonts w:ascii="Arial" w:hAnsi="Arial" w:cs="Arial"/>
          <w:sz w:val="20"/>
          <w:szCs w:val="20"/>
        </w:rPr>
        <w:t>:</w:t>
      </w:r>
    </w:p>
    <w:p w14:paraId="222091B9" w14:textId="77777777" w:rsidR="00E4026D" w:rsidRPr="00E4026D" w:rsidRDefault="00E4026D" w:rsidP="00E4026D">
      <w:pPr>
        <w:pStyle w:val="ListParagraph"/>
        <w:numPr>
          <w:ilvl w:val="0"/>
          <w:numId w:val="49"/>
        </w:numPr>
        <w:spacing w:line="260" w:lineRule="atLeast"/>
        <w:contextualSpacing/>
        <w:jc w:val="both"/>
        <w:rPr>
          <w:rFonts w:ascii="Arial" w:hAnsi="Arial" w:cs="Arial"/>
          <w:sz w:val="20"/>
          <w:szCs w:val="20"/>
        </w:rPr>
      </w:pPr>
      <w:r w:rsidRPr="00E4026D">
        <w:rPr>
          <w:rFonts w:ascii="Arial" w:hAnsi="Arial" w:cs="Arial"/>
          <w:i/>
          <w:sz w:val="20"/>
          <w:szCs w:val="20"/>
        </w:rPr>
        <w:t>davčnega izvzetja</w:t>
      </w:r>
      <w:r w:rsidRPr="00E4026D">
        <w:rPr>
          <w:rFonts w:ascii="Arial" w:hAnsi="Arial" w:cs="Arial"/>
          <w:sz w:val="20"/>
          <w:szCs w:val="20"/>
        </w:rPr>
        <w:t>: zneski, izvzeti iz davčne osnove (v obliki vračil, oprostitev);</w:t>
      </w:r>
    </w:p>
    <w:p w14:paraId="56831F00" w14:textId="77777777" w:rsidR="00E4026D" w:rsidRPr="00E4026D" w:rsidRDefault="00E4026D" w:rsidP="00E4026D">
      <w:pPr>
        <w:pStyle w:val="ListParagraph"/>
        <w:numPr>
          <w:ilvl w:val="0"/>
          <w:numId w:val="49"/>
        </w:numPr>
        <w:spacing w:line="260" w:lineRule="atLeast"/>
        <w:contextualSpacing/>
        <w:jc w:val="both"/>
        <w:rPr>
          <w:rFonts w:ascii="Arial" w:hAnsi="Arial" w:cs="Arial"/>
          <w:sz w:val="20"/>
          <w:szCs w:val="20"/>
        </w:rPr>
      </w:pPr>
      <w:r w:rsidRPr="00E4026D">
        <w:rPr>
          <w:rFonts w:ascii="Arial" w:hAnsi="Arial" w:cs="Arial"/>
          <w:i/>
          <w:sz w:val="20"/>
          <w:szCs w:val="20"/>
        </w:rPr>
        <w:t>davčnih olajšav</w:t>
      </w:r>
      <w:r w:rsidRPr="00E4026D">
        <w:rPr>
          <w:rFonts w:ascii="Arial" w:hAnsi="Arial" w:cs="Arial"/>
          <w:sz w:val="20"/>
          <w:szCs w:val="20"/>
        </w:rPr>
        <w:t>: zneski, ki se odbijejo od davčne osnove pred odmero davka;</w:t>
      </w:r>
    </w:p>
    <w:p w14:paraId="7F49370F" w14:textId="77777777" w:rsidR="00E4026D" w:rsidRPr="00E4026D" w:rsidRDefault="00E4026D" w:rsidP="00E4026D">
      <w:pPr>
        <w:pStyle w:val="ListParagraph"/>
        <w:numPr>
          <w:ilvl w:val="0"/>
          <w:numId w:val="49"/>
        </w:numPr>
        <w:spacing w:line="260" w:lineRule="atLeast"/>
        <w:contextualSpacing/>
        <w:jc w:val="both"/>
        <w:rPr>
          <w:rFonts w:ascii="Arial" w:hAnsi="Arial" w:cs="Arial"/>
          <w:sz w:val="20"/>
          <w:szCs w:val="20"/>
        </w:rPr>
      </w:pPr>
      <w:r w:rsidRPr="00E4026D">
        <w:rPr>
          <w:rFonts w:ascii="Arial" w:hAnsi="Arial" w:cs="Arial"/>
          <w:i/>
          <w:sz w:val="20"/>
          <w:szCs w:val="20"/>
        </w:rPr>
        <w:t>davčnih kreditov</w:t>
      </w:r>
      <w:r w:rsidRPr="00E4026D">
        <w:rPr>
          <w:rFonts w:ascii="Arial" w:hAnsi="Arial" w:cs="Arial"/>
          <w:sz w:val="20"/>
          <w:szCs w:val="20"/>
        </w:rPr>
        <w:t>: zneski, ki zmanjšujejo davčno obveznost;</w:t>
      </w:r>
    </w:p>
    <w:p w14:paraId="36D24884" w14:textId="77777777" w:rsidR="00E4026D" w:rsidRPr="00E4026D" w:rsidRDefault="00E4026D" w:rsidP="00E4026D">
      <w:pPr>
        <w:pStyle w:val="ListParagraph"/>
        <w:numPr>
          <w:ilvl w:val="0"/>
          <w:numId w:val="49"/>
        </w:numPr>
        <w:spacing w:line="260" w:lineRule="atLeast"/>
        <w:contextualSpacing/>
        <w:jc w:val="both"/>
        <w:rPr>
          <w:rFonts w:ascii="Arial" w:hAnsi="Arial" w:cs="Arial"/>
          <w:sz w:val="20"/>
          <w:szCs w:val="20"/>
        </w:rPr>
      </w:pPr>
      <w:r w:rsidRPr="00E4026D">
        <w:rPr>
          <w:rFonts w:ascii="Arial" w:hAnsi="Arial" w:cs="Arial"/>
          <w:i/>
          <w:sz w:val="20"/>
          <w:szCs w:val="20"/>
        </w:rPr>
        <w:t>nižje davčne stopnje</w:t>
      </w:r>
      <w:r w:rsidRPr="00E4026D">
        <w:rPr>
          <w:rFonts w:ascii="Arial" w:hAnsi="Arial" w:cs="Arial"/>
          <w:sz w:val="20"/>
          <w:szCs w:val="20"/>
        </w:rPr>
        <w:t>: znižana stopnja davka na izbrano skupino transakcij oziroma za izbrano skupino davkoplačevalcev;</w:t>
      </w:r>
    </w:p>
    <w:p w14:paraId="3C34B26A" w14:textId="77777777" w:rsidR="00E4026D" w:rsidRPr="00E4026D" w:rsidRDefault="00E4026D" w:rsidP="00E4026D">
      <w:pPr>
        <w:pStyle w:val="ListParagraph"/>
        <w:numPr>
          <w:ilvl w:val="0"/>
          <w:numId w:val="49"/>
        </w:numPr>
        <w:spacing w:line="260" w:lineRule="atLeast"/>
        <w:contextualSpacing/>
        <w:jc w:val="both"/>
        <w:rPr>
          <w:rFonts w:ascii="Arial" w:hAnsi="Arial" w:cs="Arial"/>
          <w:sz w:val="20"/>
          <w:szCs w:val="20"/>
        </w:rPr>
      </w:pPr>
      <w:r w:rsidRPr="00E4026D">
        <w:rPr>
          <w:rFonts w:ascii="Arial" w:hAnsi="Arial" w:cs="Arial"/>
          <w:i/>
          <w:sz w:val="20"/>
          <w:szCs w:val="20"/>
        </w:rPr>
        <w:t>odloga plačila davka</w:t>
      </w:r>
      <w:r w:rsidRPr="00E4026D">
        <w:rPr>
          <w:rFonts w:ascii="Arial" w:hAnsi="Arial" w:cs="Arial"/>
          <w:sz w:val="20"/>
          <w:szCs w:val="20"/>
        </w:rPr>
        <w:t>: odlog plačila davčne obveznosti.</w:t>
      </w:r>
    </w:p>
    <w:p w14:paraId="4CAD6AC4" w14:textId="77777777" w:rsidR="00E4026D" w:rsidRPr="00E4026D" w:rsidRDefault="00E4026D" w:rsidP="00E4026D">
      <w:pPr>
        <w:spacing w:after="0" w:line="260" w:lineRule="atLeast"/>
        <w:jc w:val="both"/>
        <w:rPr>
          <w:rFonts w:ascii="Arial" w:hAnsi="Arial" w:cs="Arial"/>
          <w:sz w:val="20"/>
          <w:szCs w:val="20"/>
        </w:rPr>
      </w:pPr>
    </w:p>
    <w:p w14:paraId="33E5CE60" w14:textId="481D7522" w:rsidR="00E4026D" w:rsidRPr="00E4026D" w:rsidRDefault="00E4026D" w:rsidP="00E4026D">
      <w:pPr>
        <w:spacing w:after="0" w:line="260" w:lineRule="atLeast"/>
        <w:jc w:val="both"/>
        <w:rPr>
          <w:rFonts w:ascii="Arial" w:hAnsi="Arial" w:cs="Arial"/>
          <w:sz w:val="20"/>
          <w:szCs w:val="20"/>
        </w:rPr>
      </w:pPr>
      <w:r w:rsidRPr="00E4026D">
        <w:rPr>
          <w:rFonts w:ascii="Arial" w:hAnsi="Arial" w:cs="Arial"/>
          <w:sz w:val="20"/>
          <w:szCs w:val="20"/>
        </w:rPr>
        <w:t>Čeprav je</w:t>
      </w:r>
      <w:r w:rsidR="007968CD">
        <w:rPr>
          <w:rFonts w:ascii="Arial" w:hAnsi="Arial" w:cs="Arial"/>
          <w:sz w:val="20"/>
          <w:szCs w:val="20"/>
        </w:rPr>
        <w:t xml:space="preserve"> opredelitev</w:t>
      </w:r>
      <w:r w:rsidRPr="00E4026D">
        <w:rPr>
          <w:rFonts w:ascii="Arial" w:hAnsi="Arial" w:cs="Arial"/>
          <w:sz w:val="20"/>
          <w:szCs w:val="20"/>
        </w:rPr>
        <w:t xml:space="preserve"> davčnega izdatka med državami v </w:t>
      </w:r>
      <w:r w:rsidR="007968CD">
        <w:rPr>
          <w:rFonts w:ascii="Arial" w:hAnsi="Arial" w:cs="Arial"/>
          <w:sz w:val="20"/>
          <w:szCs w:val="20"/>
        </w:rPr>
        <w:t>bistvu</w:t>
      </w:r>
      <w:r w:rsidRPr="00E4026D">
        <w:rPr>
          <w:rFonts w:ascii="Arial" w:hAnsi="Arial" w:cs="Arial"/>
          <w:sz w:val="20"/>
          <w:szCs w:val="20"/>
        </w:rPr>
        <w:t xml:space="preserve"> enaka, pa obstajajo pomembne razlike v podrobnostih, ki so povezane predvsem z različnimi metodološkimi pristopi njegovega ocenjevanja. Vsakršno ocenjevanje namreč pripelje »</w:t>
      </w:r>
      <w:r w:rsidR="007968CD">
        <w:rPr>
          <w:rFonts w:ascii="Arial" w:hAnsi="Arial" w:cs="Arial"/>
          <w:sz w:val="20"/>
          <w:szCs w:val="20"/>
        </w:rPr>
        <w:t>le</w:t>
      </w:r>
      <w:r w:rsidRPr="00E4026D">
        <w:rPr>
          <w:rFonts w:ascii="Arial" w:hAnsi="Arial" w:cs="Arial"/>
          <w:sz w:val="20"/>
          <w:szCs w:val="20"/>
        </w:rPr>
        <w:t>« do bolj ali manj natančnega približka izgube prihodkov. Najpogostejša in naj</w:t>
      </w:r>
      <w:r w:rsidR="007968CD">
        <w:rPr>
          <w:rFonts w:ascii="Arial" w:hAnsi="Arial" w:cs="Arial"/>
          <w:sz w:val="20"/>
          <w:szCs w:val="20"/>
        </w:rPr>
        <w:t>preprostejša</w:t>
      </w:r>
      <w:r w:rsidRPr="00E4026D">
        <w:rPr>
          <w:rFonts w:ascii="Arial" w:hAnsi="Arial" w:cs="Arial"/>
          <w:sz w:val="20"/>
          <w:szCs w:val="20"/>
        </w:rPr>
        <w:t xml:space="preserve"> metoda, ki jo uporablja večina držav, je </w:t>
      </w:r>
      <w:r w:rsidRPr="00E4026D">
        <w:rPr>
          <w:rFonts w:ascii="Arial" w:hAnsi="Arial" w:cs="Arial"/>
          <w:i/>
          <w:sz w:val="20"/>
          <w:szCs w:val="20"/>
        </w:rPr>
        <w:t>metoda izgube prihodkov</w:t>
      </w:r>
      <w:r w:rsidRPr="00E4026D">
        <w:rPr>
          <w:rFonts w:ascii="Arial" w:hAnsi="Arial" w:cs="Arial"/>
          <w:sz w:val="20"/>
          <w:szCs w:val="20"/>
        </w:rPr>
        <w:t xml:space="preserve">, pri kateri gre za oceno, koliko več davka bi država pobrala v primeru, da se </w:t>
      </w:r>
      <w:r>
        <w:rPr>
          <w:rFonts w:ascii="Arial" w:hAnsi="Arial" w:cs="Arial"/>
          <w:sz w:val="20"/>
          <w:szCs w:val="20"/>
        </w:rPr>
        <w:t>izdatek</w:t>
      </w:r>
      <w:r w:rsidRPr="00E4026D">
        <w:rPr>
          <w:rFonts w:ascii="Arial" w:hAnsi="Arial" w:cs="Arial"/>
          <w:sz w:val="20"/>
          <w:szCs w:val="20"/>
        </w:rPr>
        <w:t xml:space="preserve"> ukine, ob predpostavki, da ostane obnašanje ekonomskih subjektov nespremenjeno. Takšna predpostavka mogoče ni natančen odraz realnosti, vendar pa bi na drugi strani tudi ocenjen</w:t>
      </w:r>
      <w:r w:rsidR="007968CD">
        <w:rPr>
          <w:rFonts w:ascii="Arial" w:hAnsi="Arial" w:cs="Arial"/>
          <w:sz w:val="20"/>
          <w:szCs w:val="20"/>
        </w:rPr>
        <w:t>i odzivi</w:t>
      </w:r>
      <w:r w:rsidRPr="00E4026D">
        <w:rPr>
          <w:rFonts w:ascii="Arial" w:hAnsi="Arial" w:cs="Arial"/>
          <w:sz w:val="20"/>
          <w:szCs w:val="20"/>
        </w:rPr>
        <w:t xml:space="preserve"> ekonomskih subjektov temeljile le na napovedih in ocenah različnih ekonomskih modelov in ne privedejo zagotovo do bolj natančnih ocen. V vsakem primeru zato ocena davčnega </w:t>
      </w:r>
      <w:r>
        <w:rPr>
          <w:rFonts w:ascii="Arial" w:hAnsi="Arial" w:cs="Arial"/>
          <w:sz w:val="20"/>
          <w:szCs w:val="20"/>
        </w:rPr>
        <w:t>izdatka</w:t>
      </w:r>
      <w:r w:rsidRPr="00E4026D">
        <w:rPr>
          <w:rFonts w:ascii="Arial" w:hAnsi="Arial" w:cs="Arial"/>
          <w:sz w:val="20"/>
          <w:szCs w:val="20"/>
        </w:rPr>
        <w:t xml:space="preserve"> ni (nujno) enaka višini dejanskega prihodka ob ukinitvi </w:t>
      </w:r>
      <w:r>
        <w:rPr>
          <w:rFonts w:ascii="Arial" w:hAnsi="Arial" w:cs="Arial"/>
          <w:sz w:val="20"/>
          <w:szCs w:val="20"/>
        </w:rPr>
        <w:t>izdatka</w:t>
      </w:r>
      <w:r w:rsidRPr="00E4026D">
        <w:rPr>
          <w:rFonts w:ascii="Arial" w:hAnsi="Arial" w:cs="Arial"/>
          <w:sz w:val="20"/>
          <w:szCs w:val="20"/>
        </w:rPr>
        <w:t xml:space="preserve">. </w:t>
      </w:r>
      <w:r w:rsidR="000069AB">
        <w:rPr>
          <w:rFonts w:ascii="Arial" w:hAnsi="Arial" w:cs="Arial"/>
          <w:sz w:val="20"/>
          <w:szCs w:val="20"/>
        </w:rPr>
        <w:t>Uporabljena</w:t>
      </w:r>
      <w:r w:rsidR="005B42D9">
        <w:rPr>
          <w:rFonts w:ascii="Arial" w:hAnsi="Arial" w:cs="Arial"/>
          <w:sz w:val="20"/>
          <w:szCs w:val="20"/>
        </w:rPr>
        <w:t xml:space="preserve"> metodologij</w:t>
      </w:r>
      <w:r w:rsidR="000069AB">
        <w:rPr>
          <w:rFonts w:ascii="Arial" w:hAnsi="Arial" w:cs="Arial"/>
          <w:sz w:val="20"/>
          <w:szCs w:val="20"/>
        </w:rPr>
        <w:t>a</w:t>
      </w:r>
      <w:r w:rsidR="005B42D9">
        <w:rPr>
          <w:rFonts w:ascii="Arial" w:hAnsi="Arial" w:cs="Arial"/>
          <w:sz w:val="20"/>
          <w:szCs w:val="20"/>
        </w:rPr>
        <w:t xml:space="preserve"> j</w:t>
      </w:r>
      <w:r w:rsidR="000069AB">
        <w:rPr>
          <w:rFonts w:ascii="Arial" w:hAnsi="Arial" w:cs="Arial"/>
          <w:sz w:val="20"/>
          <w:szCs w:val="20"/>
        </w:rPr>
        <w:t>e v skladu s splošnim razumevanjem kako oceniti davčne izdatke</w:t>
      </w:r>
      <w:r w:rsidR="005B42D9">
        <w:rPr>
          <w:rFonts w:ascii="Arial" w:hAnsi="Arial" w:cs="Arial"/>
          <w:sz w:val="20"/>
          <w:szCs w:val="20"/>
        </w:rPr>
        <w:t xml:space="preserve"> in </w:t>
      </w:r>
      <w:r w:rsidR="000069AB">
        <w:rPr>
          <w:rFonts w:ascii="Arial" w:hAnsi="Arial" w:cs="Arial"/>
          <w:sz w:val="20"/>
          <w:szCs w:val="20"/>
        </w:rPr>
        <w:t xml:space="preserve">jo </w:t>
      </w:r>
      <w:r w:rsidR="005B42D9">
        <w:rPr>
          <w:rFonts w:ascii="Arial" w:hAnsi="Arial" w:cs="Arial"/>
          <w:sz w:val="20"/>
          <w:szCs w:val="20"/>
        </w:rPr>
        <w:t>uporablja tudi Organizacija</w:t>
      </w:r>
      <w:r w:rsidR="006415D9" w:rsidRPr="006415D9">
        <w:rPr>
          <w:rFonts w:ascii="Arial" w:hAnsi="Arial" w:cs="Arial"/>
          <w:sz w:val="20"/>
          <w:szCs w:val="20"/>
        </w:rPr>
        <w:t xml:space="preserve"> za gospodarsko sodelovanje in razvoj </w:t>
      </w:r>
      <w:r w:rsidR="005B42D9">
        <w:rPr>
          <w:rFonts w:ascii="Arial" w:hAnsi="Arial" w:cs="Arial"/>
          <w:sz w:val="20"/>
          <w:szCs w:val="20"/>
        </w:rPr>
        <w:t>(OECD).</w:t>
      </w:r>
    </w:p>
    <w:p w14:paraId="122B054E" w14:textId="77777777" w:rsidR="00E4026D" w:rsidRPr="00E4026D" w:rsidRDefault="00E4026D" w:rsidP="00E4026D">
      <w:pPr>
        <w:spacing w:after="0" w:line="260" w:lineRule="atLeast"/>
        <w:jc w:val="both"/>
        <w:rPr>
          <w:rFonts w:ascii="Arial" w:hAnsi="Arial" w:cs="Arial"/>
          <w:sz w:val="20"/>
          <w:szCs w:val="20"/>
        </w:rPr>
      </w:pPr>
    </w:p>
    <w:p w14:paraId="17773F4E" w14:textId="2D28BA32" w:rsidR="00E4026D" w:rsidRPr="00E4026D" w:rsidRDefault="00E4026D" w:rsidP="00E4026D">
      <w:pPr>
        <w:spacing w:after="0" w:line="260" w:lineRule="atLeast"/>
        <w:jc w:val="both"/>
        <w:rPr>
          <w:rFonts w:ascii="Arial" w:hAnsi="Arial" w:cs="Arial"/>
          <w:sz w:val="20"/>
          <w:szCs w:val="20"/>
        </w:rPr>
      </w:pPr>
      <w:r w:rsidRPr="00E4026D">
        <w:rPr>
          <w:rFonts w:ascii="Arial" w:hAnsi="Arial" w:cs="Arial"/>
          <w:sz w:val="20"/>
          <w:szCs w:val="20"/>
        </w:rPr>
        <w:t xml:space="preserve">Razloge za vedno več razprav o ocenjevanju in obsegu davčnih </w:t>
      </w:r>
      <w:r w:rsidR="00580C18">
        <w:rPr>
          <w:rFonts w:ascii="Arial" w:hAnsi="Arial" w:cs="Arial"/>
          <w:sz w:val="20"/>
          <w:szCs w:val="20"/>
        </w:rPr>
        <w:t>izdatkov</w:t>
      </w:r>
      <w:r w:rsidR="00580C18" w:rsidRPr="00E4026D">
        <w:rPr>
          <w:rFonts w:ascii="Arial" w:hAnsi="Arial" w:cs="Arial"/>
          <w:sz w:val="20"/>
          <w:szCs w:val="20"/>
        </w:rPr>
        <w:t xml:space="preserve"> </w:t>
      </w:r>
      <w:r w:rsidRPr="00E4026D">
        <w:rPr>
          <w:rFonts w:ascii="Arial" w:hAnsi="Arial" w:cs="Arial"/>
          <w:sz w:val="20"/>
          <w:szCs w:val="20"/>
        </w:rPr>
        <w:t xml:space="preserve">lahko iščemo predvsem po nastopih javnofinančnih kriz, v katerih </w:t>
      </w:r>
      <w:r w:rsidR="007968CD">
        <w:rPr>
          <w:rFonts w:ascii="Arial" w:hAnsi="Arial" w:cs="Arial"/>
          <w:sz w:val="20"/>
          <w:szCs w:val="20"/>
        </w:rPr>
        <w:t>je</w:t>
      </w:r>
      <w:r w:rsidRPr="00E4026D">
        <w:rPr>
          <w:rFonts w:ascii="Arial" w:hAnsi="Arial" w:cs="Arial"/>
          <w:sz w:val="20"/>
          <w:szCs w:val="20"/>
        </w:rPr>
        <w:t xml:space="preserve"> vsak</w:t>
      </w:r>
      <w:r w:rsidR="00DA2F4C">
        <w:rPr>
          <w:rFonts w:ascii="Arial" w:hAnsi="Arial" w:cs="Arial"/>
          <w:sz w:val="20"/>
          <w:szCs w:val="20"/>
        </w:rPr>
        <w:t>ih</w:t>
      </w:r>
      <w:r w:rsidRPr="00E4026D">
        <w:rPr>
          <w:rFonts w:ascii="Arial" w:hAnsi="Arial" w:cs="Arial"/>
          <w:sz w:val="20"/>
          <w:szCs w:val="20"/>
        </w:rPr>
        <w:t xml:space="preserve"> </w:t>
      </w:r>
      <w:r w:rsidR="00DA2F4C">
        <w:rPr>
          <w:rFonts w:ascii="Arial" w:hAnsi="Arial" w:cs="Arial"/>
          <w:sz w:val="20"/>
          <w:szCs w:val="20"/>
        </w:rPr>
        <w:t>nekaj</w:t>
      </w:r>
      <w:r w:rsidRPr="00E4026D">
        <w:rPr>
          <w:rFonts w:ascii="Arial" w:hAnsi="Arial" w:cs="Arial"/>
          <w:sz w:val="20"/>
          <w:szCs w:val="20"/>
        </w:rPr>
        <w:t xml:space="preserve"> let </w:t>
      </w:r>
      <w:r w:rsidR="007968CD">
        <w:rPr>
          <w:rFonts w:ascii="Arial" w:hAnsi="Arial" w:cs="Arial"/>
          <w:sz w:val="20"/>
          <w:szCs w:val="20"/>
        </w:rPr>
        <w:t>skoraj</w:t>
      </w:r>
      <w:r w:rsidRPr="00E4026D">
        <w:rPr>
          <w:rFonts w:ascii="Arial" w:hAnsi="Arial" w:cs="Arial"/>
          <w:sz w:val="20"/>
          <w:szCs w:val="20"/>
        </w:rPr>
        <w:t xml:space="preserve"> vsaka država. S povečevanjem </w:t>
      </w:r>
      <w:r w:rsidR="007968CD">
        <w:rPr>
          <w:rFonts w:ascii="Arial" w:hAnsi="Arial" w:cs="Arial"/>
          <w:sz w:val="20"/>
          <w:szCs w:val="20"/>
        </w:rPr>
        <w:t>primanjkljajev</w:t>
      </w:r>
      <w:r w:rsidRPr="00E4026D">
        <w:rPr>
          <w:rFonts w:ascii="Arial" w:hAnsi="Arial" w:cs="Arial"/>
          <w:sz w:val="20"/>
          <w:szCs w:val="20"/>
        </w:rPr>
        <w:t xml:space="preserve"> na eni strani, vedno številčnejš</w:t>
      </w:r>
      <w:r w:rsidR="007968CD">
        <w:rPr>
          <w:rFonts w:ascii="Arial" w:hAnsi="Arial" w:cs="Arial"/>
          <w:sz w:val="20"/>
          <w:szCs w:val="20"/>
        </w:rPr>
        <w:t>imi</w:t>
      </w:r>
      <w:r w:rsidRPr="00E4026D">
        <w:rPr>
          <w:rFonts w:ascii="Arial" w:hAnsi="Arial" w:cs="Arial"/>
          <w:sz w:val="20"/>
          <w:szCs w:val="20"/>
        </w:rPr>
        <w:t xml:space="preserve"> starejš</w:t>
      </w:r>
      <w:r w:rsidR="007968CD">
        <w:rPr>
          <w:rFonts w:ascii="Arial" w:hAnsi="Arial" w:cs="Arial"/>
          <w:sz w:val="20"/>
          <w:szCs w:val="20"/>
        </w:rPr>
        <w:t>imi</w:t>
      </w:r>
      <w:r w:rsidRPr="00E4026D">
        <w:rPr>
          <w:rFonts w:ascii="Arial" w:hAnsi="Arial" w:cs="Arial"/>
          <w:sz w:val="20"/>
          <w:szCs w:val="20"/>
        </w:rPr>
        <w:t xml:space="preserve"> p</w:t>
      </w:r>
      <w:r w:rsidR="007968CD">
        <w:rPr>
          <w:rFonts w:ascii="Arial" w:hAnsi="Arial" w:cs="Arial"/>
          <w:sz w:val="20"/>
          <w:szCs w:val="20"/>
        </w:rPr>
        <w:t>rebivalci</w:t>
      </w:r>
      <w:r w:rsidRPr="00E4026D">
        <w:rPr>
          <w:rFonts w:ascii="Arial" w:hAnsi="Arial" w:cs="Arial"/>
          <w:sz w:val="20"/>
          <w:szCs w:val="20"/>
        </w:rPr>
        <w:t xml:space="preserve"> na drugi strani ter z davčnimi </w:t>
      </w:r>
      <w:r w:rsidR="00580C18">
        <w:rPr>
          <w:rFonts w:ascii="Arial" w:hAnsi="Arial" w:cs="Arial"/>
          <w:sz w:val="20"/>
          <w:szCs w:val="20"/>
        </w:rPr>
        <w:t>izdatk</w:t>
      </w:r>
      <w:r w:rsidR="00580C18" w:rsidRPr="00E4026D">
        <w:rPr>
          <w:rFonts w:ascii="Arial" w:hAnsi="Arial" w:cs="Arial"/>
          <w:sz w:val="20"/>
          <w:szCs w:val="20"/>
        </w:rPr>
        <w:t>i</w:t>
      </w:r>
      <w:r w:rsidRPr="00E4026D">
        <w:rPr>
          <w:rFonts w:ascii="Arial" w:hAnsi="Arial" w:cs="Arial"/>
          <w:sz w:val="20"/>
          <w:szCs w:val="20"/>
        </w:rPr>
        <w:t xml:space="preserve">, ki so jih Slovenija in druge države uvedla v preteklosti, povečujemo </w:t>
      </w:r>
      <w:r w:rsidR="006F5258">
        <w:rPr>
          <w:rFonts w:ascii="Arial" w:hAnsi="Arial" w:cs="Arial"/>
          <w:sz w:val="20"/>
          <w:szCs w:val="20"/>
        </w:rPr>
        <w:t>javnofinanč</w:t>
      </w:r>
      <w:r w:rsidRPr="00E4026D">
        <w:rPr>
          <w:rFonts w:ascii="Arial" w:hAnsi="Arial" w:cs="Arial"/>
          <w:sz w:val="20"/>
          <w:szCs w:val="20"/>
        </w:rPr>
        <w:t xml:space="preserve">ni </w:t>
      </w:r>
      <w:r w:rsidR="007968CD">
        <w:rPr>
          <w:rFonts w:ascii="Arial" w:hAnsi="Arial" w:cs="Arial"/>
          <w:sz w:val="20"/>
          <w:szCs w:val="20"/>
        </w:rPr>
        <w:t>primanjkljaj</w:t>
      </w:r>
      <w:r w:rsidRPr="00E4026D">
        <w:rPr>
          <w:rFonts w:ascii="Arial" w:hAnsi="Arial" w:cs="Arial"/>
          <w:sz w:val="20"/>
          <w:szCs w:val="20"/>
        </w:rPr>
        <w:t xml:space="preserve"> oziroma tveganje zanj. </w:t>
      </w:r>
    </w:p>
    <w:p w14:paraId="54C44F21" w14:textId="77777777" w:rsidR="00E4026D" w:rsidRPr="00E4026D" w:rsidRDefault="00E4026D" w:rsidP="00E4026D">
      <w:pPr>
        <w:spacing w:after="0" w:line="260" w:lineRule="atLeast"/>
        <w:jc w:val="both"/>
        <w:rPr>
          <w:rFonts w:ascii="Arial" w:hAnsi="Arial" w:cs="Arial"/>
          <w:sz w:val="20"/>
          <w:szCs w:val="20"/>
        </w:rPr>
      </w:pPr>
    </w:p>
    <w:p w14:paraId="0A1C7CE2" w14:textId="03A7AE4B" w:rsidR="00E4026D" w:rsidRPr="00E4026D" w:rsidRDefault="00E4026D" w:rsidP="00E4026D">
      <w:pPr>
        <w:spacing w:after="0" w:line="260" w:lineRule="atLeast"/>
        <w:jc w:val="both"/>
        <w:rPr>
          <w:rFonts w:ascii="Arial" w:hAnsi="Arial" w:cs="Arial"/>
          <w:sz w:val="20"/>
          <w:szCs w:val="20"/>
        </w:rPr>
      </w:pPr>
      <w:r w:rsidRPr="00E4026D">
        <w:rPr>
          <w:rFonts w:ascii="Arial" w:hAnsi="Arial" w:cs="Arial"/>
          <w:sz w:val="20"/>
          <w:szCs w:val="20"/>
        </w:rPr>
        <w:t xml:space="preserve">Višina davčnih </w:t>
      </w:r>
      <w:r w:rsidR="00580C18">
        <w:rPr>
          <w:rFonts w:ascii="Arial" w:hAnsi="Arial" w:cs="Arial"/>
          <w:sz w:val="20"/>
          <w:szCs w:val="20"/>
        </w:rPr>
        <w:t>izdatkov</w:t>
      </w:r>
      <w:r w:rsidR="00580C18" w:rsidRPr="00E4026D">
        <w:rPr>
          <w:rFonts w:ascii="Arial" w:hAnsi="Arial" w:cs="Arial"/>
          <w:sz w:val="20"/>
          <w:szCs w:val="20"/>
        </w:rPr>
        <w:t xml:space="preserve"> </w:t>
      </w:r>
      <w:r w:rsidRPr="00E4026D">
        <w:rPr>
          <w:rFonts w:ascii="Arial" w:hAnsi="Arial" w:cs="Arial"/>
          <w:sz w:val="20"/>
          <w:szCs w:val="20"/>
        </w:rPr>
        <w:t xml:space="preserve">je praviloma zelo močno povezana z višino davčnega bremena. Kjer so davčne stopnje visoke, so visoki tudi davčni </w:t>
      </w:r>
      <w:r w:rsidR="00580C18">
        <w:rPr>
          <w:rFonts w:ascii="Arial" w:hAnsi="Arial" w:cs="Arial"/>
          <w:sz w:val="20"/>
          <w:szCs w:val="20"/>
        </w:rPr>
        <w:t>izdatki</w:t>
      </w:r>
      <w:r w:rsidRPr="00E4026D">
        <w:rPr>
          <w:rFonts w:ascii="Arial" w:hAnsi="Arial" w:cs="Arial"/>
          <w:sz w:val="20"/>
          <w:szCs w:val="20"/>
        </w:rPr>
        <w:t xml:space="preserve">. Če se poviša davčno breme (zaradi inflacije, ekonomske rasti, diskrecijske politike ipd.), se povečajo tudi davčni </w:t>
      </w:r>
      <w:r w:rsidR="00580C18">
        <w:rPr>
          <w:rFonts w:ascii="Arial" w:hAnsi="Arial" w:cs="Arial"/>
          <w:sz w:val="20"/>
          <w:szCs w:val="20"/>
        </w:rPr>
        <w:t>izdatk</w:t>
      </w:r>
      <w:r w:rsidR="00580C18" w:rsidRPr="00E4026D">
        <w:rPr>
          <w:rFonts w:ascii="Arial" w:hAnsi="Arial" w:cs="Arial"/>
          <w:sz w:val="20"/>
          <w:szCs w:val="20"/>
        </w:rPr>
        <w:t>i</w:t>
      </w:r>
      <w:r w:rsidRPr="00E4026D">
        <w:rPr>
          <w:rFonts w:ascii="Arial" w:hAnsi="Arial" w:cs="Arial"/>
          <w:sz w:val="20"/>
          <w:szCs w:val="20"/>
        </w:rPr>
        <w:t>. Visok</w:t>
      </w:r>
      <w:r w:rsidR="0055275E">
        <w:rPr>
          <w:rFonts w:ascii="Arial" w:hAnsi="Arial" w:cs="Arial"/>
          <w:sz w:val="20"/>
          <w:szCs w:val="20"/>
        </w:rPr>
        <w:t>a splošna</w:t>
      </w:r>
      <w:r w:rsidRPr="00E4026D">
        <w:rPr>
          <w:rFonts w:ascii="Arial" w:hAnsi="Arial" w:cs="Arial"/>
          <w:sz w:val="20"/>
          <w:szCs w:val="20"/>
        </w:rPr>
        <w:t xml:space="preserve"> dav</w:t>
      </w:r>
      <w:r w:rsidR="0055275E">
        <w:rPr>
          <w:rFonts w:ascii="Arial" w:hAnsi="Arial" w:cs="Arial"/>
          <w:sz w:val="20"/>
          <w:szCs w:val="20"/>
        </w:rPr>
        <w:t>čna obremenitev je</w:t>
      </w:r>
      <w:r w:rsidRPr="00E4026D">
        <w:rPr>
          <w:rFonts w:ascii="Arial" w:hAnsi="Arial" w:cs="Arial"/>
          <w:sz w:val="20"/>
          <w:szCs w:val="20"/>
        </w:rPr>
        <w:t xml:space="preserve"> tako </w:t>
      </w:r>
      <w:r w:rsidR="007968CD">
        <w:rPr>
          <w:rFonts w:ascii="Arial" w:hAnsi="Arial" w:cs="Arial"/>
          <w:sz w:val="20"/>
          <w:szCs w:val="20"/>
        </w:rPr>
        <w:t>običajno</w:t>
      </w:r>
      <w:r w:rsidRPr="00E4026D">
        <w:rPr>
          <w:rFonts w:ascii="Arial" w:hAnsi="Arial" w:cs="Arial"/>
          <w:sz w:val="20"/>
          <w:szCs w:val="20"/>
        </w:rPr>
        <w:t xml:space="preserve"> povezan</w:t>
      </w:r>
      <w:r w:rsidR="0055275E">
        <w:rPr>
          <w:rFonts w:ascii="Arial" w:hAnsi="Arial" w:cs="Arial"/>
          <w:sz w:val="20"/>
          <w:szCs w:val="20"/>
        </w:rPr>
        <w:t>a</w:t>
      </w:r>
      <w:r w:rsidRPr="00E4026D">
        <w:rPr>
          <w:rFonts w:ascii="Arial" w:hAnsi="Arial" w:cs="Arial"/>
          <w:sz w:val="20"/>
          <w:szCs w:val="20"/>
        </w:rPr>
        <w:t xml:space="preserve"> </w:t>
      </w:r>
      <w:r w:rsidR="00580C18">
        <w:rPr>
          <w:rFonts w:ascii="Arial" w:hAnsi="Arial" w:cs="Arial"/>
          <w:sz w:val="20"/>
          <w:szCs w:val="20"/>
        </w:rPr>
        <w:t>s</w:t>
      </w:r>
      <w:r w:rsidRPr="00E4026D">
        <w:rPr>
          <w:rFonts w:ascii="Arial" w:hAnsi="Arial" w:cs="Arial"/>
          <w:sz w:val="20"/>
          <w:szCs w:val="20"/>
        </w:rPr>
        <w:t xml:space="preserve"> pogosto uporabo davčnih </w:t>
      </w:r>
      <w:r w:rsidR="00580C18">
        <w:rPr>
          <w:rFonts w:ascii="Arial" w:hAnsi="Arial" w:cs="Arial"/>
          <w:sz w:val="20"/>
          <w:szCs w:val="20"/>
        </w:rPr>
        <w:t>izdatkov</w:t>
      </w:r>
      <w:r w:rsidRPr="00E4026D">
        <w:rPr>
          <w:rFonts w:ascii="Arial" w:hAnsi="Arial" w:cs="Arial"/>
          <w:sz w:val="20"/>
          <w:szCs w:val="20"/>
        </w:rPr>
        <w:t>. Če so davčna bremena visoka, so namreč davkoplačevalci bolj motivirani za iskanje in polno koriščenje olajšav</w:t>
      </w:r>
      <w:r w:rsidR="006C0055">
        <w:rPr>
          <w:rFonts w:ascii="Arial" w:hAnsi="Arial" w:cs="Arial"/>
          <w:sz w:val="20"/>
          <w:szCs w:val="20"/>
        </w:rPr>
        <w:t>, oprostitev ipd.</w:t>
      </w:r>
      <w:r w:rsidR="007968CD">
        <w:rPr>
          <w:rFonts w:ascii="Arial" w:hAnsi="Arial" w:cs="Arial"/>
          <w:sz w:val="20"/>
          <w:szCs w:val="20"/>
        </w:rPr>
        <w:t>,</w:t>
      </w:r>
      <w:r w:rsidRPr="00E4026D">
        <w:rPr>
          <w:rFonts w:ascii="Arial" w:hAnsi="Arial" w:cs="Arial"/>
          <w:sz w:val="20"/>
          <w:szCs w:val="20"/>
        </w:rPr>
        <w:t xml:space="preserve"> k</w:t>
      </w:r>
      <w:r w:rsidR="007968CD">
        <w:rPr>
          <w:rFonts w:ascii="Arial" w:hAnsi="Arial" w:cs="Arial"/>
          <w:sz w:val="20"/>
          <w:szCs w:val="20"/>
        </w:rPr>
        <w:t>akor</w:t>
      </w:r>
      <w:r w:rsidRPr="00E4026D">
        <w:rPr>
          <w:rFonts w:ascii="Arial" w:hAnsi="Arial" w:cs="Arial"/>
          <w:sz w:val="20"/>
          <w:szCs w:val="20"/>
        </w:rPr>
        <w:t xml:space="preserve"> če so nizka. Predvsem v obdobju po zadnji finančni krizi je veliko držav sprejelo davčne ukrepe, s katerimi so širili davčno osnovo (tudi z znižanjem ali odpravo določenih </w:t>
      </w:r>
      <w:r w:rsidR="00580C18">
        <w:rPr>
          <w:rFonts w:ascii="Arial" w:hAnsi="Arial" w:cs="Arial"/>
          <w:sz w:val="20"/>
          <w:szCs w:val="20"/>
        </w:rPr>
        <w:t>izdatko</w:t>
      </w:r>
      <w:r w:rsidR="00580C18" w:rsidRPr="00E4026D">
        <w:rPr>
          <w:rFonts w:ascii="Arial" w:hAnsi="Arial" w:cs="Arial"/>
          <w:sz w:val="20"/>
          <w:szCs w:val="20"/>
        </w:rPr>
        <w:t>v</w:t>
      </w:r>
      <w:r w:rsidRPr="00E4026D">
        <w:rPr>
          <w:rFonts w:ascii="Arial" w:hAnsi="Arial" w:cs="Arial"/>
          <w:sz w:val="20"/>
          <w:szCs w:val="20"/>
        </w:rPr>
        <w:t xml:space="preserve">) in </w:t>
      </w:r>
      <w:r w:rsidR="007968CD">
        <w:rPr>
          <w:rFonts w:ascii="Arial" w:hAnsi="Arial" w:cs="Arial"/>
          <w:sz w:val="20"/>
          <w:szCs w:val="20"/>
        </w:rPr>
        <w:t>tako</w:t>
      </w:r>
      <w:r w:rsidRPr="00E4026D">
        <w:rPr>
          <w:rFonts w:ascii="Arial" w:hAnsi="Arial" w:cs="Arial"/>
          <w:sz w:val="20"/>
          <w:szCs w:val="20"/>
        </w:rPr>
        <w:t xml:space="preserve"> znižali stopnjo davka.</w:t>
      </w:r>
    </w:p>
    <w:p w14:paraId="6ECD3078" w14:textId="77777777" w:rsidR="00E4026D" w:rsidRPr="00E4026D" w:rsidRDefault="00E4026D" w:rsidP="00E4026D">
      <w:pPr>
        <w:spacing w:after="0" w:line="260" w:lineRule="atLeast"/>
        <w:jc w:val="both"/>
        <w:rPr>
          <w:rFonts w:ascii="Arial" w:hAnsi="Arial" w:cs="Arial"/>
          <w:sz w:val="20"/>
          <w:szCs w:val="20"/>
        </w:rPr>
      </w:pPr>
    </w:p>
    <w:p w14:paraId="50C95D2F" w14:textId="0ACCEB70" w:rsidR="00E4026D" w:rsidRPr="00E4026D" w:rsidRDefault="00E4026D" w:rsidP="00E4026D">
      <w:pPr>
        <w:spacing w:after="0" w:line="260" w:lineRule="atLeast"/>
        <w:jc w:val="both"/>
        <w:rPr>
          <w:rFonts w:ascii="Arial" w:hAnsi="Arial" w:cs="Arial"/>
          <w:sz w:val="20"/>
          <w:szCs w:val="20"/>
        </w:rPr>
      </w:pPr>
      <w:r w:rsidRPr="00E4026D">
        <w:rPr>
          <w:rFonts w:ascii="Arial" w:hAnsi="Arial" w:cs="Arial"/>
          <w:sz w:val="20"/>
          <w:szCs w:val="20"/>
        </w:rPr>
        <w:t xml:space="preserve">Davčni </w:t>
      </w:r>
      <w:r w:rsidR="00580C18">
        <w:rPr>
          <w:rFonts w:ascii="Arial" w:hAnsi="Arial" w:cs="Arial"/>
          <w:sz w:val="20"/>
          <w:szCs w:val="20"/>
        </w:rPr>
        <w:t>izdatk</w:t>
      </w:r>
      <w:r w:rsidR="00580C18" w:rsidRPr="00E4026D">
        <w:rPr>
          <w:rFonts w:ascii="Arial" w:hAnsi="Arial" w:cs="Arial"/>
          <w:sz w:val="20"/>
          <w:szCs w:val="20"/>
        </w:rPr>
        <w:t xml:space="preserve">i </w:t>
      </w:r>
      <w:r w:rsidRPr="00E4026D">
        <w:rPr>
          <w:rFonts w:ascii="Arial" w:hAnsi="Arial" w:cs="Arial"/>
          <w:sz w:val="20"/>
          <w:szCs w:val="20"/>
        </w:rPr>
        <w:t>torej:</w:t>
      </w:r>
    </w:p>
    <w:p w14:paraId="5808BC00" w14:textId="7BBF79B7" w:rsidR="00E4026D" w:rsidRPr="00CD5597" w:rsidRDefault="00E4026D" w:rsidP="00CD5597">
      <w:pPr>
        <w:pStyle w:val="ListParagraph"/>
        <w:numPr>
          <w:ilvl w:val="0"/>
          <w:numId w:val="58"/>
        </w:numPr>
        <w:spacing w:line="260" w:lineRule="atLeast"/>
        <w:contextualSpacing/>
        <w:jc w:val="both"/>
        <w:rPr>
          <w:rFonts w:ascii="Arial" w:hAnsi="Arial" w:cs="Arial"/>
          <w:sz w:val="20"/>
          <w:szCs w:val="20"/>
        </w:rPr>
      </w:pPr>
      <w:r w:rsidRPr="00CD5597">
        <w:rPr>
          <w:rFonts w:ascii="Arial" w:hAnsi="Arial" w:cs="Arial"/>
          <w:sz w:val="20"/>
          <w:szCs w:val="20"/>
        </w:rPr>
        <w:t>prispevajo k spodbujanju določenih politik (</w:t>
      </w:r>
      <w:r w:rsidR="00544498" w:rsidRPr="00CD5597">
        <w:rPr>
          <w:rFonts w:ascii="Arial" w:hAnsi="Arial" w:cs="Arial"/>
          <w:sz w:val="20"/>
          <w:szCs w:val="20"/>
        </w:rPr>
        <w:t>na primer</w:t>
      </w:r>
      <w:r w:rsidRPr="00CD5597">
        <w:rPr>
          <w:rFonts w:ascii="Arial" w:hAnsi="Arial" w:cs="Arial"/>
          <w:sz w:val="20"/>
          <w:szCs w:val="20"/>
        </w:rPr>
        <w:t xml:space="preserve"> boj proti revščini, zmanjšanje dohodkovne neenakosti)</w:t>
      </w:r>
      <w:r w:rsidR="00F4764E" w:rsidRPr="00CD5597">
        <w:rPr>
          <w:rFonts w:ascii="Arial" w:hAnsi="Arial" w:cs="Arial"/>
          <w:sz w:val="20"/>
          <w:szCs w:val="20"/>
        </w:rPr>
        <w:t>;</w:t>
      </w:r>
    </w:p>
    <w:p w14:paraId="6221235D" w14:textId="742CB83D"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lastRenderedPageBreak/>
        <w:t>se lahko v nekem danem primeru izkažejo za najboljšo in najugodnejšo rešitev (</w:t>
      </w:r>
      <w:r w:rsidR="00544498">
        <w:rPr>
          <w:rFonts w:ascii="Arial" w:hAnsi="Arial" w:cs="Arial"/>
          <w:sz w:val="20"/>
          <w:szCs w:val="20"/>
        </w:rPr>
        <w:t>na primer</w:t>
      </w:r>
      <w:r w:rsidRPr="00E4026D">
        <w:rPr>
          <w:rFonts w:ascii="Arial" w:hAnsi="Arial" w:cs="Arial"/>
          <w:sz w:val="20"/>
          <w:szCs w:val="20"/>
        </w:rPr>
        <w:t xml:space="preserve"> znižanje obremenitve dela);</w:t>
      </w:r>
    </w:p>
    <w:p w14:paraId="2C569F0C" w14:textId="358A95A9"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t>lahko vodijo do visokih</w:t>
      </w:r>
      <w:r w:rsidR="005742DB">
        <w:rPr>
          <w:rFonts w:ascii="Arial" w:hAnsi="Arial" w:cs="Arial"/>
          <w:sz w:val="20"/>
          <w:szCs w:val="20"/>
        </w:rPr>
        <w:t xml:space="preserve"> znižanj</w:t>
      </w:r>
      <w:r w:rsidRPr="00E4026D">
        <w:rPr>
          <w:rFonts w:ascii="Arial" w:hAnsi="Arial" w:cs="Arial"/>
          <w:sz w:val="20"/>
          <w:szCs w:val="20"/>
        </w:rPr>
        <w:t xml:space="preserve"> proračunskih </w:t>
      </w:r>
      <w:r w:rsidR="005742DB">
        <w:rPr>
          <w:rFonts w:ascii="Arial" w:hAnsi="Arial" w:cs="Arial"/>
          <w:sz w:val="20"/>
          <w:szCs w:val="20"/>
        </w:rPr>
        <w:t>prihod</w:t>
      </w:r>
      <w:r w:rsidRPr="00E4026D">
        <w:rPr>
          <w:rFonts w:ascii="Arial" w:hAnsi="Arial" w:cs="Arial"/>
          <w:sz w:val="20"/>
          <w:szCs w:val="20"/>
        </w:rPr>
        <w:t>ov (določeni ciljni skupini zmanjšujejo davčno obveznost);</w:t>
      </w:r>
    </w:p>
    <w:p w14:paraId="1220574B" w14:textId="2F8596C1"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t xml:space="preserve">ni nujno, da so učinkoviti (tj. ne vodijo nujno v želene odločitve ekonomskih subjektov, </w:t>
      </w:r>
      <w:r w:rsidR="00544498">
        <w:rPr>
          <w:rFonts w:ascii="Arial" w:hAnsi="Arial" w:cs="Arial"/>
          <w:sz w:val="20"/>
          <w:szCs w:val="20"/>
        </w:rPr>
        <w:t>na primer</w:t>
      </w:r>
      <w:r w:rsidRPr="00E4026D">
        <w:rPr>
          <w:rFonts w:ascii="Arial" w:hAnsi="Arial" w:cs="Arial"/>
          <w:sz w:val="20"/>
          <w:szCs w:val="20"/>
        </w:rPr>
        <w:t xml:space="preserve"> v več dejanskih aktivnosti</w:t>
      </w:r>
      <w:r w:rsidR="00544498">
        <w:rPr>
          <w:rFonts w:ascii="Arial" w:hAnsi="Arial" w:cs="Arial"/>
          <w:sz w:val="20"/>
          <w:szCs w:val="20"/>
        </w:rPr>
        <w:t xml:space="preserve">, </w:t>
      </w:r>
      <w:r w:rsidRPr="00E4026D">
        <w:rPr>
          <w:rFonts w:ascii="Arial" w:hAnsi="Arial" w:cs="Arial"/>
          <w:sz w:val="20"/>
          <w:szCs w:val="20"/>
        </w:rPr>
        <w:t>raziskav in razvoja);</w:t>
      </w:r>
    </w:p>
    <w:p w14:paraId="7DC19A1B" w14:textId="5D30E60D"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t>zaradi ož</w:t>
      </w:r>
      <w:r w:rsidR="00544498">
        <w:rPr>
          <w:rFonts w:ascii="Arial" w:hAnsi="Arial" w:cs="Arial"/>
          <w:sz w:val="20"/>
          <w:szCs w:val="20"/>
        </w:rPr>
        <w:t>e</w:t>
      </w:r>
      <w:r w:rsidRPr="00E4026D">
        <w:rPr>
          <w:rFonts w:ascii="Arial" w:hAnsi="Arial" w:cs="Arial"/>
          <w:sz w:val="20"/>
          <w:szCs w:val="20"/>
        </w:rPr>
        <w:t>nja davčne osnove pogosto vodijo do višjih davčnih stopenj, ki bremenijo vse subjekte;</w:t>
      </w:r>
    </w:p>
    <w:p w14:paraId="0741F10D" w14:textId="602E28E9"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t>spodbujajo neželeno vedenje gospodarskih subjektov (</w:t>
      </w:r>
      <w:r w:rsidR="00544498">
        <w:rPr>
          <w:rFonts w:ascii="Arial" w:hAnsi="Arial" w:cs="Arial"/>
          <w:sz w:val="20"/>
          <w:szCs w:val="20"/>
        </w:rPr>
        <w:t>na primer</w:t>
      </w:r>
      <w:r w:rsidRPr="00E4026D">
        <w:rPr>
          <w:rFonts w:ascii="Arial" w:hAnsi="Arial" w:cs="Arial"/>
          <w:sz w:val="20"/>
          <w:szCs w:val="20"/>
        </w:rPr>
        <w:t xml:space="preserve"> davčno izogibanje), izkrivljajo delovanje enotnega trga in zmanjšujejo</w:t>
      </w:r>
      <w:r w:rsidR="00544498">
        <w:rPr>
          <w:rFonts w:ascii="Arial" w:hAnsi="Arial" w:cs="Arial"/>
          <w:sz w:val="20"/>
          <w:szCs w:val="20"/>
        </w:rPr>
        <w:t xml:space="preserve"> preglednost</w:t>
      </w:r>
      <w:r w:rsidRPr="00E4026D">
        <w:rPr>
          <w:rFonts w:ascii="Arial" w:hAnsi="Arial" w:cs="Arial"/>
          <w:sz w:val="20"/>
          <w:szCs w:val="20"/>
        </w:rPr>
        <w:t>;</w:t>
      </w:r>
    </w:p>
    <w:p w14:paraId="07C9414A" w14:textId="76B75158" w:rsidR="00E4026D" w:rsidRPr="00E4026D" w:rsidRDefault="00E4026D" w:rsidP="00E4026D">
      <w:pPr>
        <w:pStyle w:val="ListParagraph"/>
        <w:numPr>
          <w:ilvl w:val="0"/>
          <w:numId w:val="58"/>
        </w:numPr>
        <w:spacing w:line="260" w:lineRule="atLeast"/>
        <w:contextualSpacing/>
        <w:jc w:val="both"/>
        <w:rPr>
          <w:rFonts w:ascii="Arial" w:hAnsi="Arial" w:cs="Arial"/>
          <w:sz w:val="20"/>
          <w:szCs w:val="20"/>
        </w:rPr>
      </w:pPr>
      <w:r w:rsidRPr="00E4026D">
        <w:rPr>
          <w:rFonts w:ascii="Arial" w:hAnsi="Arial" w:cs="Arial"/>
          <w:sz w:val="20"/>
          <w:szCs w:val="20"/>
        </w:rPr>
        <w:t>lahko s</w:t>
      </w:r>
      <w:r w:rsidR="00544498">
        <w:rPr>
          <w:rFonts w:ascii="Arial" w:hAnsi="Arial" w:cs="Arial"/>
          <w:sz w:val="20"/>
          <w:szCs w:val="20"/>
        </w:rPr>
        <w:t>o</w:t>
      </w:r>
      <w:r w:rsidRPr="00E4026D">
        <w:rPr>
          <w:rFonts w:ascii="Arial" w:hAnsi="Arial" w:cs="Arial"/>
          <w:sz w:val="20"/>
          <w:szCs w:val="20"/>
        </w:rPr>
        <w:t xml:space="preserve"> tudi enostaven vir dodatnih javnofinančnih prihodkov, če se ukine</w:t>
      </w:r>
      <w:r w:rsidR="00544498">
        <w:rPr>
          <w:rFonts w:ascii="Arial" w:hAnsi="Arial" w:cs="Arial"/>
          <w:sz w:val="20"/>
          <w:szCs w:val="20"/>
        </w:rPr>
        <w:t>jo</w:t>
      </w:r>
      <w:r w:rsidRPr="00E4026D">
        <w:rPr>
          <w:rFonts w:ascii="Arial" w:hAnsi="Arial" w:cs="Arial"/>
          <w:sz w:val="20"/>
          <w:szCs w:val="20"/>
        </w:rPr>
        <w:t xml:space="preserve"> </w:t>
      </w:r>
      <w:r w:rsidR="00544498">
        <w:rPr>
          <w:rFonts w:ascii="Arial" w:hAnsi="Arial" w:cs="Arial"/>
          <w:sz w:val="20"/>
          <w:szCs w:val="20"/>
        </w:rPr>
        <w:t>ob</w:t>
      </w:r>
      <w:r w:rsidRPr="00E4026D">
        <w:rPr>
          <w:rFonts w:ascii="Arial" w:hAnsi="Arial" w:cs="Arial"/>
          <w:sz w:val="20"/>
          <w:szCs w:val="20"/>
        </w:rPr>
        <w:t xml:space="preserve"> primernem </w:t>
      </w:r>
      <w:r w:rsidR="00544498">
        <w:rPr>
          <w:rFonts w:ascii="Arial" w:hAnsi="Arial" w:cs="Arial"/>
          <w:sz w:val="20"/>
          <w:szCs w:val="20"/>
        </w:rPr>
        <w:t>času</w:t>
      </w:r>
      <w:r w:rsidRPr="00E4026D">
        <w:rPr>
          <w:rFonts w:ascii="Arial" w:hAnsi="Arial" w:cs="Arial"/>
          <w:sz w:val="20"/>
          <w:szCs w:val="20"/>
        </w:rPr>
        <w:t>.</w:t>
      </w:r>
    </w:p>
    <w:p w14:paraId="4EDA64E3" w14:textId="77777777" w:rsidR="00E4026D" w:rsidRPr="00E4026D" w:rsidRDefault="00E4026D" w:rsidP="00E4026D">
      <w:pPr>
        <w:spacing w:after="0" w:line="260" w:lineRule="atLeast"/>
        <w:jc w:val="both"/>
        <w:rPr>
          <w:rFonts w:ascii="Arial" w:hAnsi="Arial" w:cs="Arial"/>
          <w:sz w:val="20"/>
          <w:szCs w:val="20"/>
        </w:rPr>
      </w:pPr>
    </w:p>
    <w:p w14:paraId="2B5D2A5D" w14:textId="71CE80C2" w:rsidR="00E4026D" w:rsidRPr="00E4026D" w:rsidRDefault="00E4026D" w:rsidP="00E4026D">
      <w:pPr>
        <w:spacing w:after="0" w:line="260" w:lineRule="atLeast"/>
        <w:jc w:val="both"/>
        <w:rPr>
          <w:rFonts w:ascii="Arial" w:hAnsi="Arial" w:cs="Arial"/>
          <w:sz w:val="20"/>
          <w:szCs w:val="20"/>
        </w:rPr>
      </w:pPr>
      <w:r w:rsidRPr="00E4026D">
        <w:rPr>
          <w:rFonts w:ascii="Arial" w:hAnsi="Arial" w:cs="Arial"/>
          <w:sz w:val="20"/>
          <w:szCs w:val="20"/>
        </w:rPr>
        <w:t xml:space="preserve">Razlogi za široko uporabo davčnih </w:t>
      </w:r>
      <w:r w:rsidR="00F4764E">
        <w:rPr>
          <w:rFonts w:ascii="Arial" w:hAnsi="Arial" w:cs="Arial"/>
          <w:sz w:val="20"/>
          <w:szCs w:val="20"/>
        </w:rPr>
        <w:t>izdatkov</w:t>
      </w:r>
      <w:r w:rsidR="00F4764E" w:rsidRPr="00E4026D">
        <w:rPr>
          <w:rFonts w:ascii="Arial" w:hAnsi="Arial" w:cs="Arial"/>
          <w:sz w:val="20"/>
          <w:szCs w:val="20"/>
        </w:rPr>
        <w:t xml:space="preserve"> </w:t>
      </w:r>
      <w:r w:rsidRPr="00E4026D">
        <w:rPr>
          <w:rFonts w:ascii="Arial" w:hAnsi="Arial" w:cs="Arial"/>
          <w:sz w:val="20"/>
          <w:szCs w:val="20"/>
        </w:rPr>
        <w:t>s</w:t>
      </w:r>
      <w:r w:rsidR="00544498">
        <w:rPr>
          <w:rFonts w:ascii="Arial" w:hAnsi="Arial" w:cs="Arial"/>
          <w:sz w:val="20"/>
          <w:szCs w:val="20"/>
        </w:rPr>
        <w:t>o</w:t>
      </w:r>
      <w:r w:rsidRPr="00E4026D">
        <w:rPr>
          <w:rFonts w:ascii="Arial" w:hAnsi="Arial" w:cs="Arial"/>
          <w:sz w:val="20"/>
          <w:szCs w:val="20"/>
        </w:rPr>
        <w:t xml:space="preserve"> največkrat v želji posameznih proračunskih uporabnikov (</w:t>
      </w:r>
      <w:r w:rsidR="00544498">
        <w:rPr>
          <w:rFonts w:ascii="Arial" w:hAnsi="Arial" w:cs="Arial"/>
          <w:sz w:val="20"/>
          <w:szCs w:val="20"/>
        </w:rPr>
        <w:t>na primer</w:t>
      </w:r>
      <w:r w:rsidRPr="00E4026D">
        <w:rPr>
          <w:rFonts w:ascii="Arial" w:hAnsi="Arial" w:cs="Arial"/>
          <w:sz w:val="20"/>
          <w:szCs w:val="20"/>
        </w:rPr>
        <w:t xml:space="preserve"> ministrstev), da svoje politike uresničujejo na način, ki ne bremeni njihovih proračunskih postavk neposredno, ampak znižuje</w:t>
      </w:r>
      <w:r w:rsidR="00F4764E">
        <w:rPr>
          <w:rFonts w:ascii="Arial" w:hAnsi="Arial" w:cs="Arial"/>
          <w:sz w:val="20"/>
          <w:szCs w:val="20"/>
        </w:rPr>
        <w:t>jo</w:t>
      </w:r>
      <w:r w:rsidRPr="00E4026D">
        <w:rPr>
          <w:rFonts w:ascii="Arial" w:hAnsi="Arial" w:cs="Arial"/>
          <w:sz w:val="20"/>
          <w:szCs w:val="20"/>
        </w:rPr>
        <w:t xml:space="preserve"> davčne prihodke. S tem breme prenesejo na vse proračunske uporabnike</w:t>
      </w:r>
      <w:r w:rsidR="0084523A">
        <w:rPr>
          <w:rFonts w:ascii="Arial" w:hAnsi="Arial" w:cs="Arial"/>
          <w:sz w:val="20"/>
          <w:szCs w:val="20"/>
        </w:rPr>
        <w:t>,</w:t>
      </w:r>
      <w:r w:rsidRPr="00E4026D">
        <w:rPr>
          <w:rFonts w:ascii="Arial" w:hAnsi="Arial" w:cs="Arial"/>
          <w:sz w:val="20"/>
          <w:szCs w:val="20"/>
        </w:rPr>
        <w:t xml:space="preserve"> </w:t>
      </w:r>
      <w:r w:rsidR="00762B92">
        <w:rPr>
          <w:rFonts w:ascii="Arial" w:hAnsi="Arial" w:cs="Arial"/>
          <w:sz w:val="20"/>
          <w:szCs w:val="20"/>
        </w:rPr>
        <w:t>ne</w:t>
      </w:r>
      <w:r w:rsidR="00762B92" w:rsidRPr="00E4026D">
        <w:rPr>
          <w:rFonts w:ascii="Arial" w:hAnsi="Arial" w:cs="Arial"/>
          <w:sz w:val="20"/>
          <w:szCs w:val="20"/>
        </w:rPr>
        <w:t xml:space="preserve"> </w:t>
      </w:r>
      <w:r w:rsidRPr="00E4026D">
        <w:rPr>
          <w:rFonts w:ascii="Arial" w:hAnsi="Arial" w:cs="Arial"/>
          <w:sz w:val="20"/>
          <w:szCs w:val="20"/>
        </w:rPr>
        <w:t xml:space="preserve">da bi ti lahko sodelovali </w:t>
      </w:r>
      <w:r w:rsidR="0084523A">
        <w:rPr>
          <w:rFonts w:ascii="Arial" w:hAnsi="Arial" w:cs="Arial"/>
          <w:sz w:val="20"/>
          <w:szCs w:val="20"/>
        </w:rPr>
        <w:t>pri</w:t>
      </w:r>
      <w:r w:rsidRPr="00E4026D">
        <w:rPr>
          <w:rFonts w:ascii="Arial" w:hAnsi="Arial" w:cs="Arial"/>
          <w:sz w:val="20"/>
          <w:szCs w:val="20"/>
        </w:rPr>
        <w:t xml:space="preserve"> odločanj</w:t>
      </w:r>
      <w:r w:rsidR="0084523A">
        <w:rPr>
          <w:rFonts w:ascii="Arial" w:hAnsi="Arial" w:cs="Arial"/>
          <w:sz w:val="20"/>
          <w:szCs w:val="20"/>
        </w:rPr>
        <w:t>u</w:t>
      </w:r>
      <w:r w:rsidRPr="00E4026D">
        <w:rPr>
          <w:rFonts w:ascii="Arial" w:hAnsi="Arial" w:cs="Arial"/>
          <w:sz w:val="20"/>
          <w:szCs w:val="20"/>
        </w:rPr>
        <w:t xml:space="preserve"> o prioritetah proračuna. Davčni </w:t>
      </w:r>
      <w:r w:rsidR="00F4764E">
        <w:rPr>
          <w:rFonts w:ascii="Arial" w:hAnsi="Arial" w:cs="Arial"/>
          <w:sz w:val="20"/>
          <w:szCs w:val="20"/>
        </w:rPr>
        <w:t>izdatk</w:t>
      </w:r>
      <w:r w:rsidR="00F4764E" w:rsidRPr="00E4026D">
        <w:rPr>
          <w:rFonts w:ascii="Arial" w:hAnsi="Arial" w:cs="Arial"/>
          <w:sz w:val="20"/>
          <w:szCs w:val="20"/>
        </w:rPr>
        <w:t xml:space="preserve">i </w:t>
      </w:r>
      <w:r w:rsidRPr="00E4026D">
        <w:rPr>
          <w:rFonts w:ascii="Arial" w:hAnsi="Arial" w:cs="Arial"/>
          <w:sz w:val="20"/>
          <w:szCs w:val="20"/>
        </w:rPr>
        <w:t>nastanejo namreč</w:t>
      </w:r>
      <w:r w:rsidR="0084523A">
        <w:rPr>
          <w:rFonts w:ascii="Arial" w:hAnsi="Arial" w:cs="Arial"/>
          <w:sz w:val="20"/>
          <w:szCs w:val="20"/>
        </w:rPr>
        <w:t>,</w:t>
      </w:r>
      <w:r w:rsidRPr="00E4026D">
        <w:rPr>
          <w:rFonts w:ascii="Arial" w:hAnsi="Arial" w:cs="Arial"/>
          <w:sz w:val="20"/>
          <w:szCs w:val="20"/>
        </w:rPr>
        <w:t xml:space="preserve"> preden se začne proces priprave proračuna, saj so </w:t>
      </w:r>
      <w:r w:rsidR="0084523A">
        <w:rPr>
          <w:rFonts w:ascii="Arial" w:hAnsi="Arial" w:cs="Arial"/>
          <w:sz w:val="20"/>
          <w:szCs w:val="20"/>
        </w:rPr>
        <w:t>posredno</w:t>
      </w:r>
      <w:r w:rsidRPr="00E4026D">
        <w:rPr>
          <w:rFonts w:ascii="Arial" w:hAnsi="Arial" w:cs="Arial"/>
          <w:sz w:val="20"/>
          <w:szCs w:val="20"/>
        </w:rPr>
        <w:t xml:space="preserve"> zajeti v (nižjih) prihodkih proračuna.</w:t>
      </w:r>
    </w:p>
    <w:p w14:paraId="3A7858B1" w14:textId="77777777" w:rsidR="00E4026D" w:rsidRPr="00012435" w:rsidRDefault="00E4026D" w:rsidP="00012435">
      <w:pPr>
        <w:spacing w:after="0" w:line="240" w:lineRule="auto"/>
        <w:jc w:val="both"/>
        <w:rPr>
          <w:rFonts w:ascii="Arial" w:hAnsi="Arial" w:cs="Arial"/>
          <w:sz w:val="20"/>
          <w:szCs w:val="20"/>
        </w:rPr>
      </w:pPr>
    </w:p>
    <w:p w14:paraId="35EF5153" w14:textId="1C9EE4F7" w:rsidR="00E4026D" w:rsidRPr="00012435" w:rsidRDefault="001466F2" w:rsidP="00012435">
      <w:pPr>
        <w:pStyle w:val="Heading2"/>
        <w:spacing w:before="0" w:after="0"/>
        <w:rPr>
          <w:rFonts w:ascii="Arial" w:hAnsi="Arial" w:cs="Arial"/>
          <w:lang w:eastAsia="sl-SI"/>
        </w:rPr>
      </w:pPr>
      <w:r w:rsidRPr="00012435">
        <w:rPr>
          <w:rFonts w:ascii="Arial" w:hAnsi="Arial" w:cs="Arial"/>
          <w:lang w:eastAsia="sl-SI"/>
        </w:rPr>
        <w:t>1</w:t>
      </w:r>
      <w:r w:rsidR="00E4026D" w:rsidRPr="00012435">
        <w:rPr>
          <w:rFonts w:ascii="Arial" w:hAnsi="Arial" w:cs="Arial"/>
          <w:lang w:eastAsia="sl-SI"/>
        </w:rPr>
        <w:t xml:space="preserve">. ANALIZA DAVČNIH </w:t>
      </w:r>
      <w:r w:rsidRPr="00012435">
        <w:rPr>
          <w:rFonts w:ascii="Arial" w:hAnsi="Arial" w:cs="Arial"/>
          <w:lang w:eastAsia="sl-SI"/>
        </w:rPr>
        <w:t xml:space="preserve">IZDATKOV </w:t>
      </w:r>
      <w:r w:rsidR="00E4026D" w:rsidRPr="00012435">
        <w:rPr>
          <w:rFonts w:ascii="Arial" w:hAnsi="Arial" w:cs="Arial"/>
          <w:lang w:eastAsia="sl-SI"/>
        </w:rPr>
        <w:t>V SLOVENIJI</w:t>
      </w:r>
    </w:p>
    <w:p w14:paraId="390FB186" w14:textId="77777777" w:rsidR="00E4026D" w:rsidRPr="004931BE" w:rsidRDefault="00E4026D">
      <w:pPr>
        <w:pStyle w:val="NoSpacing"/>
        <w:spacing w:line="260" w:lineRule="atLeast"/>
        <w:rPr>
          <w:rFonts w:ascii="Arial" w:eastAsia="Times New Roman" w:hAnsi="Arial" w:cs="Arial"/>
          <w:b/>
          <w:sz w:val="20"/>
          <w:szCs w:val="20"/>
          <w:lang w:eastAsia="sl-SI"/>
        </w:rPr>
      </w:pPr>
    </w:p>
    <w:p w14:paraId="2A1A2963" w14:textId="2AB7BD25" w:rsidR="00E4026D" w:rsidRPr="006E03D8" w:rsidRDefault="009B0B27">
      <w:pPr>
        <w:spacing w:after="0" w:line="260" w:lineRule="atLeast"/>
        <w:jc w:val="both"/>
        <w:rPr>
          <w:rFonts w:ascii="Arial" w:hAnsi="Arial" w:cs="Arial"/>
          <w:sz w:val="20"/>
          <w:szCs w:val="20"/>
        </w:rPr>
      </w:pPr>
      <w:r>
        <w:rPr>
          <w:rFonts w:ascii="Arial" w:hAnsi="Arial" w:cs="Arial"/>
          <w:sz w:val="20"/>
          <w:szCs w:val="20"/>
        </w:rPr>
        <w:t>Najprej</w:t>
      </w:r>
      <w:r w:rsidR="00E4026D" w:rsidRPr="006E03D8">
        <w:rPr>
          <w:rFonts w:ascii="Arial" w:hAnsi="Arial" w:cs="Arial"/>
          <w:sz w:val="20"/>
          <w:szCs w:val="20"/>
        </w:rPr>
        <w:t xml:space="preserve"> poudarjamo, da je končni znesek izgube prihodka ocenjen kot skupni seštevek davčnih </w:t>
      </w:r>
      <w:r w:rsidR="001466F2">
        <w:rPr>
          <w:rFonts w:ascii="Arial" w:hAnsi="Arial" w:cs="Arial"/>
          <w:sz w:val="20"/>
          <w:szCs w:val="20"/>
        </w:rPr>
        <w:t>izdatkov</w:t>
      </w:r>
      <w:r w:rsidR="001466F2" w:rsidRPr="006E03D8">
        <w:rPr>
          <w:rFonts w:ascii="Arial" w:hAnsi="Arial" w:cs="Arial"/>
          <w:sz w:val="20"/>
          <w:szCs w:val="20"/>
        </w:rPr>
        <w:t xml:space="preserve"> </w:t>
      </w:r>
      <w:r>
        <w:rPr>
          <w:rFonts w:ascii="Arial" w:hAnsi="Arial" w:cs="Arial"/>
          <w:sz w:val="20"/>
          <w:szCs w:val="20"/>
        </w:rPr>
        <w:t>v okviru</w:t>
      </w:r>
      <w:r w:rsidR="00E4026D" w:rsidRPr="006E03D8">
        <w:rPr>
          <w:rFonts w:ascii="Arial" w:hAnsi="Arial" w:cs="Arial"/>
          <w:sz w:val="20"/>
          <w:szCs w:val="20"/>
        </w:rPr>
        <w:t xml:space="preserve"> posamezne vrste davka.</w:t>
      </w:r>
      <w:r w:rsidR="00EC590E">
        <w:rPr>
          <w:rFonts w:ascii="Arial" w:hAnsi="Arial" w:cs="Arial"/>
          <w:sz w:val="20"/>
          <w:szCs w:val="20"/>
        </w:rPr>
        <w:t xml:space="preserve"> Analizirali smo po prihodkih štiri največje vrste davkov in z njimi povezane davčne izdatke</w:t>
      </w:r>
      <w:r w:rsidR="005742DB">
        <w:rPr>
          <w:rFonts w:ascii="Arial" w:hAnsi="Arial" w:cs="Arial"/>
          <w:sz w:val="20"/>
          <w:szCs w:val="20"/>
        </w:rPr>
        <w:t>.</w:t>
      </w:r>
      <w:r w:rsidR="00E4026D" w:rsidRPr="006E03D8">
        <w:rPr>
          <w:rFonts w:ascii="Arial" w:hAnsi="Arial" w:cs="Arial"/>
          <w:sz w:val="20"/>
          <w:szCs w:val="20"/>
        </w:rPr>
        <w:t xml:space="preserve"> Pri tem </w:t>
      </w:r>
      <w:r>
        <w:rPr>
          <w:rFonts w:ascii="Arial" w:hAnsi="Arial" w:cs="Arial"/>
          <w:sz w:val="20"/>
          <w:szCs w:val="20"/>
        </w:rPr>
        <w:t>znova</w:t>
      </w:r>
      <w:r w:rsidR="00177B12">
        <w:rPr>
          <w:rFonts w:ascii="Arial" w:hAnsi="Arial" w:cs="Arial"/>
          <w:sz w:val="20"/>
          <w:szCs w:val="20"/>
        </w:rPr>
        <w:t xml:space="preserve"> </w:t>
      </w:r>
      <w:r w:rsidR="00E4026D" w:rsidRPr="006E03D8">
        <w:rPr>
          <w:rFonts w:ascii="Arial" w:hAnsi="Arial" w:cs="Arial"/>
          <w:sz w:val="20"/>
          <w:szCs w:val="20"/>
        </w:rPr>
        <w:t>opominjamo, da skupna izguba prihodka pri posameznem davku ne p</w:t>
      </w:r>
      <w:r>
        <w:rPr>
          <w:rFonts w:ascii="Arial" w:hAnsi="Arial" w:cs="Arial"/>
          <w:sz w:val="20"/>
          <w:szCs w:val="20"/>
        </w:rPr>
        <w:t>omeni</w:t>
      </w:r>
      <w:r w:rsidR="00E4026D" w:rsidRPr="006E03D8">
        <w:rPr>
          <w:rFonts w:ascii="Arial" w:hAnsi="Arial" w:cs="Arial"/>
          <w:sz w:val="20"/>
          <w:szCs w:val="20"/>
        </w:rPr>
        <w:t xml:space="preserve"> skupne ocene izgube ob predpostavki, da se </w:t>
      </w:r>
      <w:r w:rsidR="00F83A7D" w:rsidRPr="006E03D8">
        <w:rPr>
          <w:rFonts w:ascii="Arial" w:hAnsi="Arial" w:cs="Arial"/>
          <w:sz w:val="20"/>
          <w:szCs w:val="20"/>
        </w:rPr>
        <w:t xml:space="preserve">hkrati </w:t>
      </w:r>
      <w:r w:rsidR="00E4026D" w:rsidRPr="006E03D8">
        <w:rPr>
          <w:rFonts w:ascii="Arial" w:hAnsi="Arial" w:cs="Arial"/>
          <w:sz w:val="20"/>
          <w:szCs w:val="20"/>
        </w:rPr>
        <w:t xml:space="preserve">ukinejo vsi davčni </w:t>
      </w:r>
      <w:r w:rsidR="001466F2">
        <w:rPr>
          <w:rFonts w:ascii="Arial" w:hAnsi="Arial" w:cs="Arial"/>
          <w:sz w:val="20"/>
          <w:szCs w:val="20"/>
        </w:rPr>
        <w:t>izdatk</w:t>
      </w:r>
      <w:r w:rsidR="001466F2" w:rsidRPr="006E03D8">
        <w:rPr>
          <w:rFonts w:ascii="Arial" w:hAnsi="Arial" w:cs="Arial"/>
          <w:sz w:val="20"/>
          <w:szCs w:val="20"/>
        </w:rPr>
        <w:t>i</w:t>
      </w:r>
      <w:r w:rsidR="005742DB">
        <w:rPr>
          <w:rFonts w:ascii="Arial" w:hAnsi="Arial" w:cs="Arial"/>
          <w:sz w:val="20"/>
          <w:szCs w:val="20"/>
        </w:rPr>
        <w:t>.</w:t>
      </w:r>
      <w:r w:rsidR="00E4026D" w:rsidRPr="006E03D8">
        <w:rPr>
          <w:rFonts w:ascii="Arial" w:hAnsi="Arial" w:cs="Arial"/>
          <w:sz w:val="20"/>
          <w:szCs w:val="20"/>
        </w:rPr>
        <w:t xml:space="preserve"> </w:t>
      </w:r>
      <w:r w:rsidR="005742DB">
        <w:rPr>
          <w:rFonts w:ascii="Arial" w:hAnsi="Arial" w:cs="Arial"/>
          <w:sz w:val="20"/>
          <w:szCs w:val="20"/>
        </w:rPr>
        <w:t>Prav tako ocena izgube prihodkov po</w:t>
      </w:r>
      <w:r w:rsidR="00E4026D" w:rsidRPr="006E03D8">
        <w:rPr>
          <w:rFonts w:ascii="Arial" w:hAnsi="Arial" w:cs="Arial"/>
          <w:sz w:val="20"/>
          <w:szCs w:val="20"/>
        </w:rPr>
        <w:t xml:space="preserve"> posamezni</w:t>
      </w:r>
      <w:r w:rsidR="005742DB">
        <w:rPr>
          <w:rFonts w:ascii="Arial" w:hAnsi="Arial" w:cs="Arial"/>
          <w:sz w:val="20"/>
          <w:szCs w:val="20"/>
        </w:rPr>
        <w:t>h</w:t>
      </w:r>
      <w:r w:rsidR="00E4026D" w:rsidRPr="006E03D8">
        <w:rPr>
          <w:rFonts w:ascii="Arial" w:hAnsi="Arial" w:cs="Arial"/>
          <w:sz w:val="20"/>
          <w:szCs w:val="20"/>
        </w:rPr>
        <w:t xml:space="preserve"> </w:t>
      </w:r>
      <w:r w:rsidR="001466F2">
        <w:rPr>
          <w:rFonts w:ascii="Arial" w:hAnsi="Arial" w:cs="Arial"/>
          <w:sz w:val="20"/>
          <w:szCs w:val="20"/>
        </w:rPr>
        <w:t>izdatk</w:t>
      </w:r>
      <w:r w:rsidR="00E4026D" w:rsidRPr="006E03D8">
        <w:rPr>
          <w:rFonts w:ascii="Arial" w:hAnsi="Arial" w:cs="Arial"/>
          <w:sz w:val="20"/>
          <w:szCs w:val="20"/>
        </w:rPr>
        <w:t>i</w:t>
      </w:r>
      <w:r w:rsidR="00177B12">
        <w:rPr>
          <w:rFonts w:ascii="Arial" w:hAnsi="Arial" w:cs="Arial"/>
          <w:sz w:val="20"/>
          <w:szCs w:val="20"/>
        </w:rPr>
        <w:t>h</w:t>
      </w:r>
      <w:r w:rsidR="005742DB">
        <w:rPr>
          <w:rFonts w:ascii="Arial" w:hAnsi="Arial" w:cs="Arial"/>
          <w:sz w:val="20"/>
          <w:szCs w:val="20"/>
        </w:rPr>
        <w:t xml:space="preserve"> nujno ne pomeni</w:t>
      </w:r>
      <w:r w:rsidR="00177B12">
        <w:rPr>
          <w:rFonts w:ascii="Arial" w:hAnsi="Arial" w:cs="Arial"/>
          <w:sz w:val="20"/>
          <w:szCs w:val="20"/>
        </w:rPr>
        <w:t>,</w:t>
      </w:r>
      <w:r w:rsidR="005742DB">
        <w:rPr>
          <w:rFonts w:ascii="Arial" w:hAnsi="Arial" w:cs="Arial"/>
          <w:sz w:val="20"/>
          <w:szCs w:val="20"/>
        </w:rPr>
        <w:t xml:space="preserve"> da bi njihova ukinitev pomenila takšen znesek dodatnih prihodkov</w:t>
      </w:r>
      <w:r w:rsidR="00E4026D" w:rsidRPr="006E03D8">
        <w:rPr>
          <w:rFonts w:ascii="Arial" w:hAnsi="Arial" w:cs="Arial"/>
          <w:sz w:val="20"/>
          <w:szCs w:val="20"/>
        </w:rPr>
        <w:t>, saj je treb</w:t>
      </w:r>
      <w:r>
        <w:rPr>
          <w:rFonts w:ascii="Arial" w:hAnsi="Arial" w:cs="Arial"/>
          <w:sz w:val="20"/>
          <w:szCs w:val="20"/>
        </w:rPr>
        <w:t>a</w:t>
      </w:r>
      <w:r w:rsidR="00E4026D" w:rsidRPr="006E03D8">
        <w:rPr>
          <w:rFonts w:ascii="Arial" w:hAnsi="Arial" w:cs="Arial"/>
          <w:sz w:val="20"/>
          <w:szCs w:val="20"/>
        </w:rPr>
        <w:t xml:space="preserve"> pri tem upoštevati tudi spremembo v obnašanju zavezancev. </w:t>
      </w:r>
    </w:p>
    <w:p w14:paraId="48B28E49" w14:textId="77777777" w:rsidR="00E4026D" w:rsidRPr="006E03D8" w:rsidRDefault="00E4026D" w:rsidP="006E03D8">
      <w:pPr>
        <w:spacing w:after="0" w:line="260" w:lineRule="atLeast"/>
        <w:jc w:val="both"/>
        <w:rPr>
          <w:rFonts w:ascii="Arial" w:hAnsi="Arial" w:cs="Arial"/>
          <w:sz w:val="20"/>
          <w:szCs w:val="20"/>
        </w:rPr>
      </w:pPr>
    </w:p>
    <w:p w14:paraId="6F400BFD" w14:textId="6414A8DB" w:rsidR="006A4795" w:rsidRDefault="009B0B27" w:rsidP="000E6368">
      <w:pPr>
        <w:spacing w:after="0" w:line="260" w:lineRule="atLeast"/>
        <w:jc w:val="both"/>
        <w:rPr>
          <w:rFonts w:ascii="Arial" w:hAnsi="Arial" w:cs="Arial"/>
          <w:sz w:val="20"/>
          <w:szCs w:val="20"/>
        </w:rPr>
      </w:pPr>
      <w:r>
        <w:rPr>
          <w:rFonts w:ascii="Arial" w:hAnsi="Arial" w:cs="Arial"/>
          <w:sz w:val="20"/>
          <w:szCs w:val="20"/>
        </w:rPr>
        <w:t>Preglednica</w:t>
      </w:r>
      <w:r w:rsidR="00E4026D" w:rsidRPr="006E03D8">
        <w:rPr>
          <w:rFonts w:ascii="Arial" w:hAnsi="Arial" w:cs="Arial"/>
          <w:sz w:val="20"/>
          <w:szCs w:val="20"/>
        </w:rPr>
        <w:t xml:space="preserve"> </w:t>
      </w:r>
      <w:r w:rsidR="001466F2">
        <w:rPr>
          <w:rFonts w:ascii="Arial" w:hAnsi="Arial" w:cs="Arial"/>
          <w:sz w:val="20"/>
          <w:szCs w:val="20"/>
        </w:rPr>
        <w:t>1</w:t>
      </w:r>
      <w:r w:rsidR="00E4026D" w:rsidRPr="006E03D8">
        <w:rPr>
          <w:rFonts w:ascii="Arial" w:hAnsi="Arial" w:cs="Arial"/>
          <w:sz w:val="20"/>
          <w:szCs w:val="20"/>
        </w:rPr>
        <w:t xml:space="preserve">: Prihodki po posameznih </w:t>
      </w:r>
      <w:r w:rsidR="00EC590E">
        <w:rPr>
          <w:rFonts w:ascii="Arial" w:hAnsi="Arial" w:cs="Arial"/>
          <w:sz w:val="20"/>
          <w:szCs w:val="20"/>
        </w:rPr>
        <w:t xml:space="preserve">glavnih </w:t>
      </w:r>
      <w:r w:rsidR="00E4026D" w:rsidRPr="006E03D8">
        <w:rPr>
          <w:rFonts w:ascii="Arial" w:hAnsi="Arial" w:cs="Arial"/>
          <w:sz w:val="20"/>
          <w:szCs w:val="20"/>
        </w:rPr>
        <w:t xml:space="preserve">vrstah davkov v obdobju od leta 2016 do 2018, </w:t>
      </w:r>
      <w:r w:rsidR="00177B12">
        <w:rPr>
          <w:rFonts w:ascii="Arial" w:hAnsi="Arial" w:cs="Arial"/>
          <w:sz w:val="20"/>
          <w:szCs w:val="20"/>
        </w:rPr>
        <w:t xml:space="preserve">zneski </w:t>
      </w:r>
      <w:r w:rsidR="00E4026D" w:rsidRPr="006E03D8">
        <w:rPr>
          <w:rFonts w:ascii="Arial" w:hAnsi="Arial" w:cs="Arial"/>
          <w:sz w:val="20"/>
          <w:szCs w:val="20"/>
        </w:rPr>
        <w:t>v mio evr</w:t>
      </w:r>
      <w:r w:rsidR="00054792">
        <w:rPr>
          <w:rFonts w:ascii="Arial" w:hAnsi="Arial" w:cs="Arial"/>
          <w:sz w:val="20"/>
          <w:szCs w:val="20"/>
        </w:rPr>
        <w:t>ov</w:t>
      </w:r>
      <w:r w:rsidR="00E4026D" w:rsidRPr="006E03D8">
        <w:rPr>
          <w:rFonts w:ascii="Arial" w:hAnsi="Arial" w:cs="Arial"/>
          <w:sz w:val="20"/>
          <w:szCs w:val="20"/>
        </w:rPr>
        <w:t xml:space="preserve"> in kot % BDP </w:t>
      </w:r>
      <w:r w:rsidR="00E4026D" w:rsidRPr="00012435">
        <w:rPr>
          <w:rFonts w:ascii="Arial" w:hAnsi="Arial" w:cs="Arial"/>
          <w:sz w:val="20"/>
          <w:szCs w:val="20"/>
        </w:rPr>
        <w:tab/>
      </w:r>
    </w:p>
    <w:p w14:paraId="24FE392E" w14:textId="77777777" w:rsidR="006A4795" w:rsidRDefault="006A4795" w:rsidP="006E03D8">
      <w:pPr>
        <w:spacing w:after="0" w:line="260" w:lineRule="atLeast"/>
        <w:rPr>
          <w:rFonts w:ascii="Arial" w:hAnsi="Arial" w:cs="Arial"/>
          <w:sz w:val="20"/>
          <w:szCs w:val="20"/>
        </w:rPr>
      </w:pPr>
    </w:p>
    <w:tbl>
      <w:tblPr>
        <w:tblW w:w="9032" w:type="dxa"/>
        <w:tblCellMar>
          <w:left w:w="70" w:type="dxa"/>
          <w:right w:w="70" w:type="dxa"/>
        </w:tblCellMar>
        <w:tblLook w:val="04A0" w:firstRow="1" w:lastRow="0" w:firstColumn="1" w:lastColumn="0" w:noHBand="0" w:noVBand="1"/>
      </w:tblPr>
      <w:tblGrid>
        <w:gridCol w:w="3410"/>
        <w:gridCol w:w="937"/>
        <w:gridCol w:w="937"/>
        <w:gridCol w:w="937"/>
        <w:gridCol w:w="937"/>
        <w:gridCol w:w="937"/>
        <w:gridCol w:w="937"/>
      </w:tblGrid>
      <w:tr w:rsidR="006A4795" w:rsidRPr="005742DB" w14:paraId="79CF2FE4" w14:textId="77777777" w:rsidTr="000E6368">
        <w:trPr>
          <w:trHeight w:val="318"/>
        </w:trPr>
        <w:tc>
          <w:tcPr>
            <w:tcW w:w="3410" w:type="dxa"/>
            <w:tcBorders>
              <w:top w:val="nil"/>
              <w:left w:val="nil"/>
              <w:bottom w:val="nil"/>
              <w:right w:val="single" w:sz="8" w:space="0" w:color="auto"/>
            </w:tcBorders>
            <w:shd w:val="clear" w:color="auto" w:fill="auto"/>
            <w:noWrap/>
            <w:vAlign w:val="bottom"/>
            <w:hideMark/>
          </w:tcPr>
          <w:p w14:paraId="13ABCF02" w14:textId="77777777" w:rsidR="006A4795" w:rsidRPr="00012435" w:rsidRDefault="006A4795" w:rsidP="006A4795">
            <w:pPr>
              <w:spacing w:after="0" w:line="240" w:lineRule="auto"/>
              <w:rPr>
                <w:rFonts w:eastAsia="Times New Roman" w:cs="Arial"/>
                <w:color w:val="000000"/>
                <w:sz w:val="18"/>
                <w:szCs w:val="18"/>
                <w:lang w:eastAsia="sl-SI"/>
              </w:rPr>
            </w:pPr>
            <w:r w:rsidRPr="00012435">
              <w:rPr>
                <w:rFonts w:eastAsia="Times New Roman" w:cs="Arial"/>
                <w:color w:val="000000"/>
                <w:sz w:val="18"/>
                <w:szCs w:val="18"/>
                <w:lang w:eastAsia="sl-SI"/>
              </w:rPr>
              <w:t> </w:t>
            </w:r>
          </w:p>
        </w:tc>
        <w:tc>
          <w:tcPr>
            <w:tcW w:w="1874"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41313AB2"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2016</w:t>
            </w:r>
          </w:p>
        </w:tc>
        <w:tc>
          <w:tcPr>
            <w:tcW w:w="1874"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18A596A2"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2017</w:t>
            </w:r>
          </w:p>
        </w:tc>
        <w:tc>
          <w:tcPr>
            <w:tcW w:w="1874" w:type="dxa"/>
            <w:gridSpan w:val="2"/>
            <w:tcBorders>
              <w:top w:val="single" w:sz="8" w:space="0" w:color="auto"/>
              <w:left w:val="nil"/>
              <w:bottom w:val="single" w:sz="8" w:space="0" w:color="auto"/>
              <w:right w:val="single" w:sz="8" w:space="0" w:color="000000"/>
            </w:tcBorders>
            <w:shd w:val="clear" w:color="000000" w:fill="EBF1DE"/>
            <w:noWrap/>
            <w:vAlign w:val="center"/>
            <w:hideMark/>
          </w:tcPr>
          <w:p w14:paraId="239081C5"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2018</w:t>
            </w:r>
          </w:p>
        </w:tc>
      </w:tr>
      <w:tr w:rsidR="006A4795" w:rsidRPr="005742DB" w14:paraId="12FA59E7" w14:textId="77777777" w:rsidTr="000E6368">
        <w:trPr>
          <w:trHeight w:val="303"/>
        </w:trPr>
        <w:tc>
          <w:tcPr>
            <w:tcW w:w="3410" w:type="dxa"/>
            <w:tcBorders>
              <w:top w:val="nil"/>
              <w:left w:val="nil"/>
              <w:bottom w:val="single" w:sz="8" w:space="0" w:color="auto"/>
              <w:right w:val="single" w:sz="8" w:space="0" w:color="auto"/>
            </w:tcBorders>
            <w:shd w:val="clear" w:color="auto" w:fill="auto"/>
            <w:noWrap/>
            <w:vAlign w:val="center"/>
            <w:hideMark/>
          </w:tcPr>
          <w:p w14:paraId="1C6D290E" w14:textId="77777777" w:rsidR="006A4795" w:rsidRPr="00012435" w:rsidRDefault="006A4795" w:rsidP="006A4795">
            <w:pPr>
              <w:spacing w:after="0" w:line="240" w:lineRule="auto"/>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w:t>
            </w:r>
          </w:p>
        </w:tc>
        <w:tc>
          <w:tcPr>
            <w:tcW w:w="937" w:type="dxa"/>
            <w:tcBorders>
              <w:top w:val="nil"/>
              <w:left w:val="nil"/>
              <w:bottom w:val="single" w:sz="8" w:space="0" w:color="auto"/>
              <w:right w:val="single" w:sz="8" w:space="0" w:color="auto"/>
            </w:tcBorders>
            <w:shd w:val="clear" w:color="000000" w:fill="EBF1DE"/>
            <w:vAlign w:val="center"/>
            <w:hideMark/>
          </w:tcPr>
          <w:p w14:paraId="22CCAEDE"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Prihodki</w:t>
            </w:r>
          </w:p>
        </w:tc>
        <w:tc>
          <w:tcPr>
            <w:tcW w:w="937" w:type="dxa"/>
            <w:tcBorders>
              <w:top w:val="nil"/>
              <w:left w:val="nil"/>
              <w:bottom w:val="single" w:sz="8" w:space="0" w:color="auto"/>
              <w:right w:val="single" w:sz="8" w:space="0" w:color="auto"/>
            </w:tcBorders>
            <w:shd w:val="clear" w:color="000000" w:fill="EBF1DE"/>
            <w:vAlign w:val="center"/>
            <w:hideMark/>
          </w:tcPr>
          <w:p w14:paraId="215D37A4"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BDP</w:t>
            </w:r>
          </w:p>
        </w:tc>
        <w:tc>
          <w:tcPr>
            <w:tcW w:w="937" w:type="dxa"/>
            <w:tcBorders>
              <w:top w:val="nil"/>
              <w:left w:val="nil"/>
              <w:bottom w:val="single" w:sz="8" w:space="0" w:color="auto"/>
              <w:right w:val="single" w:sz="8" w:space="0" w:color="auto"/>
            </w:tcBorders>
            <w:shd w:val="clear" w:color="000000" w:fill="EBF1DE"/>
            <w:vAlign w:val="center"/>
            <w:hideMark/>
          </w:tcPr>
          <w:p w14:paraId="102C62E0"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Prihodki</w:t>
            </w:r>
          </w:p>
        </w:tc>
        <w:tc>
          <w:tcPr>
            <w:tcW w:w="937" w:type="dxa"/>
            <w:tcBorders>
              <w:top w:val="nil"/>
              <w:left w:val="nil"/>
              <w:bottom w:val="single" w:sz="8" w:space="0" w:color="auto"/>
              <w:right w:val="single" w:sz="8" w:space="0" w:color="auto"/>
            </w:tcBorders>
            <w:shd w:val="clear" w:color="000000" w:fill="EBF1DE"/>
            <w:vAlign w:val="center"/>
            <w:hideMark/>
          </w:tcPr>
          <w:p w14:paraId="11D9EC1E"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BDP</w:t>
            </w:r>
          </w:p>
        </w:tc>
        <w:tc>
          <w:tcPr>
            <w:tcW w:w="937" w:type="dxa"/>
            <w:tcBorders>
              <w:top w:val="nil"/>
              <w:left w:val="nil"/>
              <w:bottom w:val="single" w:sz="8" w:space="0" w:color="auto"/>
              <w:right w:val="single" w:sz="8" w:space="0" w:color="auto"/>
            </w:tcBorders>
            <w:shd w:val="clear" w:color="000000" w:fill="EBF1DE"/>
            <w:vAlign w:val="center"/>
            <w:hideMark/>
          </w:tcPr>
          <w:p w14:paraId="7043EBF9"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Prihodki</w:t>
            </w:r>
          </w:p>
        </w:tc>
        <w:tc>
          <w:tcPr>
            <w:tcW w:w="937" w:type="dxa"/>
            <w:tcBorders>
              <w:top w:val="nil"/>
              <w:left w:val="nil"/>
              <w:bottom w:val="single" w:sz="8" w:space="0" w:color="auto"/>
              <w:right w:val="single" w:sz="8" w:space="0" w:color="auto"/>
            </w:tcBorders>
            <w:shd w:val="clear" w:color="000000" w:fill="EBF1DE"/>
            <w:vAlign w:val="center"/>
            <w:hideMark/>
          </w:tcPr>
          <w:p w14:paraId="78C0AEAF" w14:textId="77777777" w:rsidR="006A4795" w:rsidRPr="00012435" w:rsidRDefault="006A4795" w:rsidP="006A4795">
            <w:pPr>
              <w:spacing w:after="0" w:line="240" w:lineRule="auto"/>
              <w:jc w:val="center"/>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BDP</w:t>
            </w:r>
          </w:p>
        </w:tc>
      </w:tr>
      <w:tr w:rsidR="006A4795" w:rsidRPr="005742DB" w14:paraId="22238889"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FFC000"/>
            <w:noWrap/>
            <w:vAlign w:val="center"/>
            <w:hideMark/>
          </w:tcPr>
          <w:p w14:paraId="29579CCE" w14:textId="77777777" w:rsidR="006A4795" w:rsidRPr="00012435" w:rsidRDefault="006A4795" w:rsidP="006A4795">
            <w:pPr>
              <w:spacing w:after="0" w:line="240" w:lineRule="auto"/>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DAVČNI PRIHODKI</w:t>
            </w:r>
          </w:p>
        </w:tc>
        <w:tc>
          <w:tcPr>
            <w:tcW w:w="937" w:type="dxa"/>
            <w:tcBorders>
              <w:top w:val="nil"/>
              <w:left w:val="nil"/>
              <w:bottom w:val="single" w:sz="8" w:space="0" w:color="auto"/>
              <w:right w:val="single" w:sz="8" w:space="0" w:color="auto"/>
            </w:tcBorders>
            <w:shd w:val="clear" w:color="000000" w:fill="FFC000"/>
            <w:noWrap/>
            <w:vAlign w:val="center"/>
            <w:hideMark/>
          </w:tcPr>
          <w:p w14:paraId="212752EB" w14:textId="77777777"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14.240</w:t>
            </w:r>
          </w:p>
        </w:tc>
        <w:tc>
          <w:tcPr>
            <w:tcW w:w="937" w:type="dxa"/>
            <w:tcBorders>
              <w:top w:val="nil"/>
              <w:left w:val="nil"/>
              <w:bottom w:val="single" w:sz="8" w:space="0" w:color="auto"/>
              <w:right w:val="single" w:sz="8" w:space="0" w:color="auto"/>
            </w:tcBorders>
            <w:shd w:val="clear" w:color="000000" w:fill="FFC000"/>
            <w:noWrap/>
            <w:vAlign w:val="center"/>
            <w:hideMark/>
          </w:tcPr>
          <w:p w14:paraId="7CA4D12B" w14:textId="5CE5C2C2"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35,3</w:t>
            </w:r>
            <w:r w:rsidR="009B0B27">
              <w:rPr>
                <w:rFonts w:ascii="Arial" w:eastAsia="Times New Roman" w:hAnsi="Arial" w:cs="Arial"/>
                <w:b/>
                <w:bCs/>
                <w:color w:val="000000"/>
                <w:sz w:val="18"/>
                <w:szCs w:val="18"/>
                <w:lang w:eastAsia="sl-SI"/>
              </w:rPr>
              <w:t xml:space="preserve"> </w:t>
            </w:r>
            <w:r w:rsidRPr="00012435">
              <w:rPr>
                <w:rFonts w:ascii="Arial" w:eastAsia="Times New Roman" w:hAnsi="Arial" w:cs="Arial"/>
                <w:b/>
                <w:bCs/>
                <w:color w:val="000000"/>
                <w:sz w:val="18"/>
                <w:szCs w:val="18"/>
                <w:lang w:eastAsia="sl-SI"/>
              </w:rPr>
              <w:t>%</w:t>
            </w:r>
          </w:p>
        </w:tc>
        <w:tc>
          <w:tcPr>
            <w:tcW w:w="937" w:type="dxa"/>
            <w:tcBorders>
              <w:top w:val="nil"/>
              <w:left w:val="nil"/>
              <w:bottom w:val="single" w:sz="8" w:space="0" w:color="auto"/>
              <w:right w:val="single" w:sz="8" w:space="0" w:color="auto"/>
            </w:tcBorders>
            <w:shd w:val="clear" w:color="000000" w:fill="FFC000"/>
            <w:noWrap/>
            <w:vAlign w:val="center"/>
            <w:hideMark/>
          </w:tcPr>
          <w:p w14:paraId="59F9499E" w14:textId="77777777"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15.162</w:t>
            </w:r>
          </w:p>
        </w:tc>
        <w:tc>
          <w:tcPr>
            <w:tcW w:w="937" w:type="dxa"/>
            <w:tcBorders>
              <w:top w:val="nil"/>
              <w:left w:val="nil"/>
              <w:bottom w:val="single" w:sz="8" w:space="0" w:color="auto"/>
              <w:right w:val="single" w:sz="8" w:space="0" w:color="auto"/>
            </w:tcBorders>
            <w:shd w:val="clear" w:color="000000" w:fill="FFC000"/>
            <w:noWrap/>
            <w:vAlign w:val="center"/>
            <w:hideMark/>
          </w:tcPr>
          <w:p w14:paraId="4B8A1AEC" w14:textId="756D8184"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35,27</w:t>
            </w:r>
            <w:r w:rsidR="009B0B27">
              <w:rPr>
                <w:rFonts w:ascii="Arial" w:eastAsia="Times New Roman" w:hAnsi="Arial" w:cs="Arial"/>
                <w:b/>
                <w:bCs/>
                <w:color w:val="000000"/>
                <w:sz w:val="18"/>
                <w:szCs w:val="18"/>
                <w:lang w:eastAsia="sl-SI"/>
              </w:rPr>
              <w:t xml:space="preserve"> </w:t>
            </w:r>
            <w:r w:rsidRPr="00012435">
              <w:rPr>
                <w:rFonts w:ascii="Arial" w:eastAsia="Times New Roman" w:hAnsi="Arial" w:cs="Arial"/>
                <w:b/>
                <w:bCs/>
                <w:color w:val="000000"/>
                <w:sz w:val="18"/>
                <w:szCs w:val="18"/>
                <w:lang w:eastAsia="sl-SI"/>
              </w:rPr>
              <w:t>%</w:t>
            </w:r>
          </w:p>
        </w:tc>
        <w:tc>
          <w:tcPr>
            <w:tcW w:w="937" w:type="dxa"/>
            <w:tcBorders>
              <w:top w:val="nil"/>
              <w:left w:val="nil"/>
              <w:bottom w:val="single" w:sz="8" w:space="0" w:color="auto"/>
              <w:right w:val="single" w:sz="8" w:space="0" w:color="auto"/>
            </w:tcBorders>
            <w:shd w:val="clear" w:color="000000" w:fill="FFC000"/>
            <w:noWrap/>
            <w:vAlign w:val="center"/>
            <w:hideMark/>
          </w:tcPr>
          <w:p w14:paraId="0C37B87D" w14:textId="77777777"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16.225</w:t>
            </w:r>
          </w:p>
        </w:tc>
        <w:tc>
          <w:tcPr>
            <w:tcW w:w="937" w:type="dxa"/>
            <w:tcBorders>
              <w:top w:val="nil"/>
              <w:left w:val="nil"/>
              <w:bottom w:val="single" w:sz="8" w:space="0" w:color="auto"/>
              <w:right w:val="single" w:sz="8" w:space="0" w:color="auto"/>
            </w:tcBorders>
            <w:shd w:val="clear" w:color="000000" w:fill="FFC000"/>
            <w:noWrap/>
            <w:vAlign w:val="center"/>
            <w:hideMark/>
          </w:tcPr>
          <w:p w14:paraId="50AD4456" w14:textId="050E8B29" w:rsidR="006A4795" w:rsidRPr="00012435" w:rsidRDefault="006A4795" w:rsidP="006A4795">
            <w:pPr>
              <w:spacing w:after="0" w:line="240" w:lineRule="auto"/>
              <w:jc w:val="right"/>
              <w:rPr>
                <w:rFonts w:ascii="Arial" w:eastAsia="Times New Roman" w:hAnsi="Arial" w:cs="Arial"/>
                <w:b/>
                <w:bCs/>
                <w:color w:val="000000"/>
                <w:sz w:val="18"/>
                <w:szCs w:val="18"/>
                <w:lang w:eastAsia="sl-SI"/>
              </w:rPr>
            </w:pPr>
            <w:r w:rsidRPr="00012435">
              <w:rPr>
                <w:rFonts w:ascii="Arial" w:eastAsia="Times New Roman" w:hAnsi="Arial" w:cs="Arial"/>
                <w:b/>
                <w:bCs/>
                <w:color w:val="000000"/>
                <w:sz w:val="18"/>
                <w:szCs w:val="18"/>
                <w:lang w:eastAsia="sl-SI"/>
              </w:rPr>
              <w:t>35,5</w:t>
            </w:r>
            <w:r w:rsidR="009B0B27">
              <w:rPr>
                <w:rFonts w:ascii="Arial" w:eastAsia="Times New Roman" w:hAnsi="Arial" w:cs="Arial"/>
                <w:b/>
                <w:bCs/>
                <w:color w:val="000000"/>
                <w:sz w:val="18"/>
                <w:szCs w:val="18"/>
                <w:lang w:eastAsia="sl-SI"/>
              </w:rPr>
              <w:t xml:space="preserve"> </w:t>
            </w:r>
            <w:r w:rsidRPr="00012435">
              <w:rPr>
                <w:rFonts w:ascii="Arial" w:eastAsia="Times New Roman" w:hAnsi="Arial" w:cs="Arial"/>
                <w:b/>
                <w:bCs/>
                <w:color w:val="000000"/>
                <w:sz w:val="18"/>
                <w:szCs w:val="18"/>
                <w:lang w:eastAsia="sl-SI"/>
              </w:rPr>
              <w:t>%</w:t>
            </w:r>
          </w:p>
        </w:tc>
      </w:tr>
      <w:tr w:rsidR="006A4795" w:rsidRPr="005742DB" w14:paraId="74585D90"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DAEEF3"/>
            <w:noWrap/>
            <w:vAlign w:val="center"/>
            <w:hideMark/>
          </w:tcPr>
          <w:p w14:paraId="4839BBD2" w14:textId="77777777" w:rsidR="006A4795" w:rsidRPr="00012435" w:rsidRDefault="006A4795" w:rsidP="006A4795">
            <w:pPr>
              <w:spacing w:after="0" w:line="240" w:lineRule="auto"/>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xml:space="preserve">Dohodnina </w:t>
            </w:r>
          </w:p>
        </w:tc>
        <w:tc>
          <w:tcPr>
            <w:tcW w:w="937" w:type="dxa"/>
            <w:tcBorders>
              <w:top w:val="nil"/>
              <w:left w:val="nil"/>
              <w:bottom w:val="single" w:sz="8" w:space="0" w:color="auto"/>
              <w:right w:val="single" w:sz="8" w:space="0" w:color="auto"/>
            </w:tcBorders>
            <w:shd w:val="clear" w:color="auto" w:fill="auto"/>
            <w:noWrap/>
            <w:vAlign w:val="center"/>
            <w:hideMark/>
          </w:tcPr>
          <w:p w14:paraId="69E74F23"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1.904</w:t>
            </w:r>
          </w:p>
        </w:tc>
        <w:tc>
          <w:tcPr>
            <w:tcW w:w="937" w:type="dxa"/>
            <w:tcBorders>
              <w:top w:val="nil"/>
              <w:left w:val="nil"/>
              <w:bottom w:val="single" w:sz="8" w:space="0" w:color="auto"/>
              <w:right w:val="single" w:sz="8" w:space="0" w:color="auto"/>
            </w:tcBorders>
            <w:shd w:val="clear" w:color="auto" w:fill="auto"/>
            <w:noWrap/>
            <w:vAlign w:val="center"/>
            <w:hideMark/>
          </w:tcPr>
          <w:p w14:paraId="69D3E879" w14:textId="02890086"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4,7</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018A6658"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1.938</w:t>
            </w:r>
          </w:p>
        </w:tc>
        <w:tc>
          <w:tcPr>
            <w:tcW w:w="937" w:type="dxa"/>
            <w:tcBorders>
              <w:top w:val="nil"/>
              <w:left w:val="nil"/>
              <w:bottom w:val="single" w:sz="8" w:space="0" w:color="auto"/>
              <w:right w:val="single" w:sz="8" w:space="0" w:color="auto"/>
            </w:tcBorders>
            <w:shd w:val="clear" w:color="auto" w:fill="auto"/>
            <w:noWrap/>
            <w:vAlign w:val="center"/>
            <w:hideMark/>
          </w:tcPr>
          <w:p w14:paraId="3584DF2A" w14:textId="22B84F51"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4,51</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457213A4"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2.111</w:t>
            </w:r>
          </w:p>
        </w:tc>
        <w:tc>
          <w:tcPr>
            <w:tcW w:w="937" w:type="dxa"/>
            <w:tcBorders>
              <w:top w:val="nil"/>
              <w:left w:val="nil"/>
              <w:bottom w:val="single" w:sz="8" w:space="0" w:color="auto"/>
              <w:right w:val="single" w:sz="8" w:space="0" w:color="auto"/>
            </w:tcBorders>
            <w:shd w:val="clear" w:color="auto" w:fill="auto"/>
            <w:noWrap/>
            <w:vAlign w:val="center"/>
            <w:hideMark/>
          </w:tcPr>
          <w:p w14:paraId="44686786" w14:textId="3496E6BC"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4,6</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r>
      <w:tr w:rsidR="006A4795" w:rsidRPr="005742DB" w14:paraId="39A56EF3"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DAEEF3"/>
            <w:noWrap/>
            <w:vAlign w:val="center"/>
            <w:hideMark/>
          </w:tcPr>
          <w:p w14:paraId="7D0A4E00" w14:textId="77777777" w:rsidR="006A4795" w:rsidRPr="00012435" w:rsidRDefault="006A4795" w:rsidP="006A4795">
            <w:pPr>
              <w:spacing w:after="0" w:line="240" w:lineRule="auto"/>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Davek od dohodkov pravnih oseb</w:t>
            </w:r>
          </w:p>
        </w:tc>
        <w:tc>
          <w:tcPr>
            <w:tcW w:w="937" w:type="dxa"/>
            <w:tcBorders>
              <w:top w:val="nil"/>
              <w:left w:val="nil"/>
              <w:bottom w:val="single" w:sz="8" w:space="0" w:color="auto"/>
              <w:right w:val="single" w:sz="8" w:space="0" w:color="auto"/>
            </w:tcBorders>
            <w:shd w:val="clear" w:color="auto" w:fill="auto"/>
            <w:noWrap/>
            <w:vAlign w:val="center"/>
            <w:hideMark/>
          </w:tcPr>
          <w:p w14:paraId="0F5F5D66"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610</w:t>
            </w:r>
          </w:p>
        </w:tc>
        <w:tc>
          <w:tcPr>
            <w:tcW w:w="937" w:type="dxa"/>
            <w:tcBorders>
              <w:top w:val="nil"/>
              <w:left w:val="nil"/>
              <w:bottom w:val="single" w:sz="8" w:space="0" w:color="auto"/>
              <w:right w:val="single" w:sz="8" w:space="0" w:color="auto"/>
            </w:tcBorders>
            <w:shd w:val="clear" w:color="auto" w:fill="auto"/>
            <w:noWrap/>
            <w:vAlign w:val="center"/>
            <w:hideMark/>
          </w:tcPr>
          <w:p w14:paraId="588ECE39" w14:textId="19FD4E15"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1,5</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798A3513"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752</w:t>
            </w:r>
          </w:p>
        </w:tc>
        <w:tc>
          <w:tcPr>
            <w:tcW w:w="937" w:type="dxa"/>
            <w:tcBorders>
              <w:top w:val="nil"/>
              <w:left w:val="nil"/>
              <w:bottom w:val="single" w:sz="8" w:space="0" w:color="auto"/>
              <w:right w:val="single" w:sz="8" w:space="0" w:color="auto"/>
            </w:tcBorders>
            <w:shd w:val="clear" w:color="auto" w:fill="auto"/>
            <w:noWrap/>
            <w:vAlign w:val="center"/>
            <w:hideMark/>
          </w:tcPr>
          <w:p w14:paraId="462307F9" w14:textId="13C78A81"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1,75</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48F5AEDA"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869</w:t>
            </w:r>
          </w:p>
        </w:tc>
        <w:tc>
          <w:tcPr>
            <w:tcW w:w="937" w:type="dxa"/>
            <w:tcBorders>
              <w:top w:val="nil"/>
              <w:left w:val="nil"/>
              <w:bottom w:val="single" w:sz="8" w:space="0" w:color="auto"/>
              <w:right w:val="single" w:sz="8" w:space="0" w:color="auto"/>
            </w:tcBorders>
            <w:shd w:val="clear" w:color="auto" w:fill="auto"/>
            <w:noWrap/>
            <w:vAlign w:val="center"/>
            <w:hideMark/>
          </w:tcPr>
          <w:p w14:paraId="1441C168" w14:textId="1C1E903E"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1,9</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r>
      <w:tr w:rsidR="006A4795" w:rsidRPr="005742DB" w14:paraId="5261E47B"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DAEEF3"/>
            <w:noWrap/>
            <w:vAlign w:val="center"/>
            <w:hideMark/>
          </w:tcPr>
          <w:p w14:paraId="1A9E34A6" w14:textId="77777777" w:rsidR="006A4795" w:rsidRPr="00012435" w:rsidRDefault="006A4795" w:rsidP="006A4795">
            <w:pPr>
              <w:spacing w:after="0" w:line="240" w:lineRule="auto"/>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Trošarine</w:t>
            </w:r>
          </w:p>
        </w:tc>
        <w:tc>
          <w:tcPr>
            <w:tcW w:w="937" w:type="dxa"/>
            <w:tcBorders>
              <w:top w:val="nil"/>
              <w:left w:val="nil"/>
              <w:bottom w:val="single" w:sz="8" w:space="0" w:color="auto"/>
              <w:right w:val="single" w:sz="8" w:space="0" w:color="auto"/>
            </w:tcBorders>
            <w:shd w:val="clear" w:color="auto" w:fill="auto"/>
            <w:noWrap/>
            <w:vAlign w:val="center"/>
            <w:hideMark/>
          </w:tcPr>
          <w:p w14:paraId="42568C03"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1.640</w:t>
            </w:r>
          </w:p>
        </w:tc>
        <w:tc>
          <w:tcPr>
            <w:tcW w:w="937" w:type="dxa"/>
            <w:tcBorders>
              <w:top w:val="nil"/>
              <w:left w:val="nil"/>
              <w:bottom w:val="single" w:sz="8" w:space="0" w:color="auto"/>
              <w:right w:val="single" w:sz="8" w:space="0" w:color="auto"/>
            </w:tcBorders>
            <w:shd w:val="clear" w:color="auto" w:fill="auto"/>
            <w:noWrap/>
            <w:vAlign w:val="center"/>
            <w:hideMark/>
          </w:tcPr>
          <w:p w14:paraId="0D46226A" w14:textId="25A93939"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4,1</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56A2EF62"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1.672</w:t>
            </w:r>
          </w:p>
        </w:tc>
        <w:tc>
          <w:tcPr>
            <w:tcW w:w="937" w:type="dxa"/>
            <w:tcBorders>
              <w:top w:val="nil"/>
              <w:left w:val="nil"/>
              <w:bottom w:val="single" w:sz="8" w:space="0" w:color="auto"/>
              <w:right w:val="single" w:sz="8" w:space="0" w:color="auto"/>
            </w:tcBorders>
            <w:shd w:val="clear" w:color="auto" w:fill="auto"/>
            <w:noWrap/>
            <w:vAlign w:val="center"/>
            <w:hideMark/>
          </w:tcPr>
          <w:p w14:paraId="43C66941" w14:textId="6919338E"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3,89</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2DC0B69C"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1.637</w:t>
            </w:r>
          </w:p>
        </w:tc>
        <w:tc>
          <w:tcPr>
            <w:tcW w:w="937" w:type="dxa"/>
            <w:tcBorders>
              <w:top w:val="nil"/>
              <w:left w:val="nil"/>
              <w:bottom w:val="single" w:sz="8" w:space="0" w:color="auto"/>
              <w:right w:val="single" w:sz="8" w:space="0" w:color="auto"/>
            </w:tcBorders>
            <w:shd w:val="clear" w:color="auto" w:fill="auto"/>
            <w:noWrap/>
            <w:vAlign w:val="center"/>
            <w:hideMark/>
          </w:tcPr>
          <w:p w14:paraId="552A49E6" w14:textId="5B905B1C"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3,6</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r>
      <w:tr w:rsidR="006A4795" w:rsidRPr="005742DB" w14:paraId="72CD93EF"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DAEEF3"/>
            <w:noWrap/>
            <w:vAlign w:val="center"/>
            <w:hideMark/>
          </w:tcPr>
          <w:p w14:paraId="10871A0E" w14:textId="77777777" w:rsidR="006A4795" w:rsidRPr="00012435" w:rsidRDefault="006A4795" w:rsidP="006A4795">
            <w:pPr>
              <w:spacing w:after="0" w:line="240" w:lineRule="auto"/>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Davek na dodano vrednost</w:t>
            </w:r>
          </w:p>
        </w:tc>
        <w:tc>
          <w:tcPr>
            <w:tcW w:w="937" w:type="dxa"/>
            <w:tcBorders>
              <w:top w:val="nil"/>
              <w:left w:val="nil"/>
              <w:bottom w:val="single" w:sz="8" w:space="0" w:color="auto"/>
              <w:right w:val="single" w:sz="8" w:space="0" w:color="auto"/>
            </w:tcBorders>
            <w:shd w:val="clear" w:color="auto" w:fill="auto"/>
            <w:noWrap/>
            <w:vAlign w:val="center"/>
            <w:hideMark/>
          </w:tcPr>
          <w:p w14:paraId="29FF369F"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3.272</w:t>
            </w:r>
          </w:p>
        </w:tc>
        <w:tc>
          <w:tcPr>
            <w:tcW w:w="937" w:type="dxa"/>
            <w:tcBorders>
              <w:top w:val="nil"/>
              <w:left w:val="nil"/>
              <w:bottom w:val="single" w:sz="8" w:space="0" w:color="auto"/>
              <w:right w:val="single" w:sz="8" w:space="0" w:color="auto"/>
            </w:tcBorders>
            <w:shd w:val="clear" w:color="auto" w:fill="auto"/>
            <w:noWrap/>
            <w:vAlign w:val="center"/>
            <w:hideMark/>
          </w:tcPr>
          <w:p w14:paraId="3EDF39B1" w14:textId="6804FF05"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8,1</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14B52387"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3.504</w:t>
            </w:r>
          </w:p>
        </w:tc>
        <w:tc>
          <w:tcPr>
            <w:tcW w:w="937" w:type="dxa"/>
            <w:tcBorders>
              <w:top w:val="nil"/>
              <w:left w:val="nil"/>
              <w:bottom w:val="single" w:sz="8" w:space="0" w:color="auto"/>
              <w:right w:val="single" w:sz="8" w:space="0" w:color="auto"/>
            </w:tcBorders>
            <w:shd w:val="clear" w:color="auto" w:fill="auto"/>
            <w:noWrap/>
            <w:vAlign w:val="center"/>
            <w:hideMark/>
          </w:tcPr>
          <w:p w14:paraId="0420BEEC" w14:textId="06DBAD60"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8,15</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c>
          <w:tcPr>
            <w:tcW w:w="937" w:type="dxa"/>
            <w:tcBorders>
              <w:top w:val="nil"/>
              <w:left w:val="nil"/>
              <w:bottom w:val="single" w:sz="8" w:space="0" w:color="auto"/>
              <w:right w:val="single" w:sz="8" w:space="0" w:color="auto"/>
            </w:tcBorders>
            <w:shd w:val="clear" w:color="auto" w:fill="auto"/>
            <w:noWrap/>
            <w:vAlign w:val="center"/>
            <w:hideMark/>
          </w:tcPr>
          <w:p w14:paraId="77492525" w14:textId="77777777"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3.757</w:t>
            </w:r>
          </w:p>
        </w:tc>
        <w:tc>
          <w:tcPr>
            <w:tcW w:w="937" w:type="dxa"/>
            <w:tcBorders>
              <w:top w:val="nil"/>
              <w:left w:val="nil"/>
              <w:bottom w:val="single" w:sz="8" w:space="0" w:color="auto"/>
              <w:right w:val="single" w:sz="8" w:space="0" w:color="auto"/>
            </w:tcBorders>
            <w:shd w:val="clear" w:color="auto" w:fill="auto"/>
            <w:noWrap/>
            <w:vAlign w:val="center"/>
            <w:hideMark/>
          </w:tcPr>
          <w:p w14:paraId="4C22EC3C" w14:textId="4C04310A" w:rsidR="006A4795" w:rsidRPr="00012435" w:rsidRDefault="006A4795" w:rsidP="006A4795">
            <w:pPr>
              <w:spacing w:after="0" w:line="240" w:lineRule="auto"/>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8,2</w:t>
            </w:r>
            <w:r w:rsidR="009B0B27">
              <w:rPr>
                <w:rFonts w:ascii="Arial" w:eastAsia="Times New Roman" w:hAnsi="Arial" w:cs="Arial"/>
                <w:color w:val="000000"/>
                <w:sz w:val="18"/>
                <w:szCs w:val="18"/>
                <w:lang w:eastAsia="sl-SI"/>
              </w:rPr>
              <w:t xml:space="preserve"> </w:t>
            </w:r>
            <w:r w:rsidRPr="00012435">
              <w:rPr>
                <w:rFonts w:ascii="Arial" w:eastAsia="Times New Roman" w:hAnsi="Arial" w:cs="Arial"/>
                <w:color w:val="000000"/>
                <w:sz w:val="18"/>
                <w:szCs w:val="18"/>
                <w:lang w:eastAsia="sl-SI"/>
              </w:rPr>
              <w:t>%</w:t>
            </w:r>
          </w:p>
        </w:tc>
      </w:tr>
      <w:tr w:rsidR="006A4795" w:rsidRPr="005742DB" w14:paraId="072013ED" w14:textId="77777777" w:rsidTr="000E6368">
        <w:trPr>
          <w:trHeight w:val="303"/>
        </w:trPr>
        <w:tc>
          <w:tcPr>
            <w:tcW w:w="3410" w:type="dxa"/>
            <w:tcBorders>
              <w:top w:val="nil"/>
              <w:left w:val="single" w:sz="8" w:space="0" w:color="auto"/>
              <w:bottom w:val="single" w:sz="8" w:space="0" w:color="auto"/>
              <w:right w:val="single" w:sz="8" w:space="0" w:color="auto"/>
            </w:tcBorders>
            <w:shd w:val="clear" w:color="000000" w:fill="D8E4BC"/>
            <w:noWrap/>
            <w:vAlign w:val="center"/>
            <w:hideMark/>
          </w:tcPr>
          <w:p w14:paraId="526D172E" w14:textId="77777777" w:rsidR="006A4795" w:rsidRPr="00012435" w:rsidRDefault="006A4795" w:rsidP="006A4795">
            <w:pPr>
              <w:spacing w:after="0" w:line="240" w:lineRule="auto"/>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Bruto domači proizvod</w:t>
            </w:r>
          </w:p>
        </w:tc>
        <w:tc>
          <w:tcPr>
            <w:tcW w:w="937" w:type="dxa"/>
            <w:tcBorders>
              <w:top w:val="nil"/>
              <w:left w:val="nil"/>
              <w:bottom w:val="single" w:sz="8" w:space="0" w:color="auto"/>
              <w:right w:val="single" w:sz="8" w:space="0" w:color="auto"/>
            </w:tcBorders>
            <w:shd w:val="clear" w:color="000000" w:fill="D8E4BC"/>
            <w:noWrap/>
            <w:vAlign w:val="center"/>
            <w:hideMark/>
          </w:tcPr>
          <w:p w14:paraId="3E1F27A3"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40.367</w:t>
            </w:r>
          </w:p>
        </w:tc>
        <w:tc>
          <w:tcPr>
            <w:tcW w:w="937" w:type="dxa"/>
            <w:tcBorders>
              <w:top w:val="nil"/>
              <w:left w:val="nil"/>
              <w:bottom w:val="single" w:sz="8" w:space="0" w:color="auto"/>
              <w:right w:val="single" w:sz="8" w:space="0" w:color="auto"/>
            </w:tcBorders>
            <w:shd w:val="clear" w:color="000000" w:fill="D8E4BC"/>
            <w:noWrap/>
            <w:vAlign w:val="center"/>
            <w:hideMark/>
          </w:tcPr>
          <w:p w14:paraId="4C406F95"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 </w:t>
            </w:r>
          </w:p>
        </w:tc>
        <w:tc>
          <w:tcPr>
            <w:tcW w:w="937" w:type="dxa"/>
            <w:tcBorders>
              <w:top w:val="nil"/>
              <w:left w:val="nil"/>
              <w:bottom w:val="single" w:sz="8" w:space="0" w:color="auto"/>
              <w:right w:val="single" w:sz="8" w:space="0" w:color="auto"/>
            </w:tcBorders>
            <w:shd w:val="clear" w:color="000000" w:fill="D8E4BC"/>
            <w:noWrap/>
            <w:vAlign w:val="center"/>
            <w:hideMark/>
          </w:tcPr>
          <w:p w14:paraId="5F057906"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42.987</w:t>
            </w:r>
          </w:p>
        </w:tc>
        <w:tc>
          <w:tcPr>
            <w:tcW w:w="937" w:type="dxa"/>
            <w:tcBorders>
              <w:top w:val="nil"/>
              <w:left w:val="nil"/>
              <w:bottom w:val="single" w:sz="8" w:space="0" w:color="auto"/>
              <w:right w:val="single" w:sz="8" w:space="0" w:color="auto"/>
            </w:tcBorders>
            <w:shd w:val="clear" w:color="000000" w:fill="D8E4BC"/>
            <w:noWrap/>
            <w:vAlign w:val="center"/>
            <w:hideMark/>
          </w:tcPr>
          <w:p w14:paraId="7000C979"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 </w:t>
            </w:r>
          </w:p>
        </w:tc>
        <w:tc>
          <w:tcPr>
            <w:tcW w:w="937" w:type="dxa"/>
            <w:tcBorders>
              <w:top w:val="nil"/>
              <w:left w:val="nil"/>
              <w:bottom w:val="single" w:sz="8" w:space="0" w:color="auto"/>
              <w:right w:val="single" w:sz="8" w:space="0" w:color="auto"/>
            </w:tcBorders>
            <w:shd w:val="clear" w:color="000000" w:fill="D8E4BC"/>
            <w:noWrap/>
            <w:vAlign w:val="center"/>
            <w:hideMark/>
          </w:tcPr>
          <w:p w14:paraId="693E0F2E"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45.755</w:t>
            </w:r>
          </w:p>
        </w:tc>
        <w:tc>
          <w:tcPr>
            <w:tcW w:w="937" w:type="dxa"/>
            <w:tcBorders>
              <w:top w:val="nil"/>
              <w:left w:val="nil"/>
              <w:bottom w:val="single" w:sz="8" w:space="0" w:color="auto"/>
              <w:right w:val="single" w:sz="8" w:space="0" w:color="auto"/>
            </w:tcBorders>
            <w:shd w:val="clear" w:color="000000" w:fill="D8E4BC"/>
            <w:noWrap/>
            <w:vAlign w:val="center"/>
            <w:hideMark/>
          </w:tcPr>
          <w:p w14:paraId="0CD94B07" w14:textId="77777777" w:rsidR="006A4795" w:rsidRPr="00012435" w:rsidRDefault="006A4795" w:rsidP="006A4795">
            <w:pPr>
              <w:spacing w:after="0" w:line="240" w:lineRule="auto"/>
              <w:jc w:val="right"/>
              <w:rPr>
                <w:rFonts w:ascii="Arial" w:eastAsia="Times New Roman" w:hAnsi="Arial" w:cs="Arial"/>
                <w:b/>
                <w:bCs/>
                <w:i/>
                <w:iCs/>
                <w:color w:val="000000"/>
                <w:sz w:val="18"/>
                <w:szCs w:val="18"/>
                <w:lang w:eastAsia="sl-SI"/>
              </w:rPr>
            </w:pPr>
            <w:r w:rsidRPr="00012435">
              <w:rPr>
                <w:rFonts w:ascii="Arial" w:eastAsia="Times New Roman" w:hAnsi="Arial" w:cs="Arial"/>
                <w:b/>
                <w:bCs/>
                <w:i/>
                <w:iCs/>
                <w:color w:val="000000"/>
                <w:sz w:val="18"/>
                <w:szCs w:val="18"/>
                <w:lang w:eastAsia="sl-SI"/>
              </w:rPr>
              <w:t> </w:t>
            </w:r>
          </w:p>
        </w:tc>
      </w:tr>
    </w:tbl>
    <w:p w14:paraId="75EEF081" w14:textId="7D47D3DA" w:rsidR="00E4026D" w:rsidRPr="006E03D8" w:rsidRDefault="00E4026D" w:rsidP="006E03D8">
      <w:pPr>
        <w:spacing w:after="0" w:line="260" w:lineRule="atLeast"/>
        <w:jc w:val="both"/>
        <w:rPr>
          <w:rFonts w:ascii="Arial" w:hAnsi="Arial" w:cs="Arial"/>
          <w:i/>
          <w:color w:val="000000"/>
          <w:sz w:val="18"/>
          <w:szCs w:val="18"/>
          <w:lang w:eastAsia="sl-SI"/>
        </w:rPr>
      </w:pPr>
      <w:r w:rsidRPr="006E03D8">
        <w:rPr>
          <w:rFonts w:ascii="Arial" w:hAnsi="Arial" w:cs="Arial"/>
          <w:i/>
          <w:color w:val="000000"/>
          <w:sz w:val="18"/>
          <w:szCs w:val="18"/>
          <w:lang w:eastAsia="sl-SI"/>
        </w:rPr>
        <w:t xml:space="preserve">Vir: </w:t>
      </w:r>
      <w:r w:rsidR="006C349C">
        <w:rPr>
          <w:rFonts w:ascii="Arial" w:hAnsi="Arial" w:cs="Arial"/>
          <w:i/>
          <w:color w:val="000000"/>
          <w:sz w:val="18"/>
          <w:szCs w:val="18"/>
          <w:lang w:eastAsia="sl-SI"/>
        </w:rPr>
        <w:t xml:space="preserve">Statistični urad Republike Slovenije (v nadaljevanju: </w:t>
      </w:r>
      <w:r w:rsidRPr="006E03D8">
        <w:rPr>
          <w:rFonts w:ascii="Arial" w:hAnsi="Arial" w:cs="Arial"/>
          <w:i/>
          <w:color w:val="000000"/>
          <w:sz w:val="18"/>
          <w:szCs w:val="18"/>
          <w:lang w:eastAsia="sl-SI"/>
        </w:rPr>
        <w:t>SURS</w:t>
      </w:r>
      <w:r w:rsidR="006C349C">
        <w:rPr>
          <w:rFonts w:ascii="Arial" w:hAnsi="Arial" w:cs="Arial"/>
          <w:i/>
          <w:color w:val="000000"/>
          <w:sz w:val="18"/>
          <w:szCs w:val="18"/>
          <w:lang w:eastAsia="sl-SI"/>
        </w:rPr>
        <w:t>)</w:t>
      </w:r>
      <w:r w:rsidRPr="006E03D8">
        <w:rPr>
          <w:rFonts w:ascii="Arial" w:hAnsi="Arial" w:cs="Arial"/>
          <w:i/>
          <w:color w:val="000000"/>
          <w:sz w:val="18"/>
          <w:szCs w:val="18"/>
          <w:lang w:eastAsia="sl-SI"/>
        </w:rPr>
        <w:t xml:space="preserve">, razen za </w:t>
      </w:r>
      <w:r w:rsidR="009B0B27">
        <w:rPr>
          <w:rFonts w:ascii="Arial" w:hAnsi="Arial" w:cs="Arial"/>
          <w:i/>
          <w:color w:val="000000"/>
          <w:sz w:val="18"/>
          <w:szCs w:val="18"/>
          <w:lang w:eastAsia="sl-SI"/>
        </w:rPr>
        <w:t>d</w:t>
      </w:r>
      <w:r w:rsidRPr="006E03D8">
        <w:rPr>
          <w:rFonts w:ascii="Arial" w:hAnsi="Arial" w:cs="Arial"/>
          <w:i/>
          <w:color w:val="000000"/>
          <w:sz w:val="18"/>
          <w:szCs w:val="18"/>
          <w:lang w:eastAsia="sl-SI"/>
        </w:rPr>
        <w:t>avek od dohodkov pravnih oseb, kjer so vir davčni obračuni</w:t>
      </w:r>
      <w:r w:rsidR="009B0B27">
        <w:rPr>
          <w:rFonts w:ascii="Arial" w:hAnsi="Arial" w:cs="Arial"/>
          <w:i/>
          <w:color w:val="000000"/>
          <w:sz w:val="18"/>
          <w:szCs w:val="18"/>
          <w:lang w:eastAsia="sl-SI"/>
        </w:rPr>
        <w:t>.</w:t>
      </w:r>
    </w:p>
    <w:p w14:paraId="5DE9C981" w14:textId="77777777" w:rsidR="00E4026D" w:rsidRPr="006E03D8" w:rsidRDefault="00E4026D" w:rsidP="006E03D8">
      <w:pPr>
        <w:spacing w:after="0" w:line="260" w:lineRule="atLeast"/>
        <w:jc w:val="both"/>
        <w:rPr>
          <w:rFonts w:ascii="Arial" w:hAnsi="Arial" w:cs="Arial"/>
          <w:sz w:val="20"/>
          <w:szCs w:val="20"/>
        </w:rPr>
      </w:pPr>
    </w:p>
    <w:p w14:paraId="17775722" w14:textId="77777777" w:rsidR="0066096A" w:rsidRDefault="0066096A">
      <w:pPr>
        <w:spacing w:after="0" w:line="240" w:lineRule="auto"/>
        <w:rPr>
          <w:rFonts w:ascii="Arial" w:hAnsi="Arial" w:cs="Arial"/>
          <w:sz w:val="20"/>
          <w:szCs w:val="20"/>
        </w:rPr>
      </w:pPr>
      <w:r>
        <w:rPr>
          <w:rFonts w:ascii="Arial" w:hAnsi="Arial" w:cs="Arial"/>
          <w:sz w:val="20"/>
          <w:szCs w:val="20"/>
        </w:rPr>
        <w:br w:type="page"/>
      </w:r>
    </w:p>
    <w:p w14:paraId="6CE452B8" w14:textId="31BCAC68" w:rsidR="00E4026D" w:rsidRDefault="009B0B27" w:rsidP="006E03D8">
      <w:pPr>
        <w:spacing w:after="0" w:line="260" w:lineRule="atLeast"/>
        <w:jc w:val="both"/>
        <w:rPr>
          <w:rFonts w:ascii="Arial" w:hAnsi="Arial" w:cs="Arial"/>
          <w:sz w:val="20"/>
          <w:szCs w:val="20"/>
        </w:rPr>
      </w:pPr>
      <w:r>
        <w:rPr>
          <w:rFonts w:ascii="Arial" w:hAnsi="Arial" w:cs="Arial"/>
          <w:sz w:val="20"/>
          <w:szCs w:val="20"/>
        </w:rPr>
        <w:lastRenderedPageBreak/>
        <w:t>Preglednica</w:t>
      </w:r>
      <w:r w:rsidR="00E4026D" w:rsidRPr="006E03D8">
        <w:rPr>
          <w:rFonts w:ascii="Arial" w:hAnsi="Arial" w:cs="Arial"/>
          <w:sz w:val="20"/>
          <w:szCs w:val="20"/>
        </w:rPr>
        <w:t xml:space="preserve"> </w:t>
      </w:r>
      <w:r w:rsidR="001466F2">
        <w:rPr>
          <w:rFonts w:ascii="Arial" w:hAnsi="Arial" w:cs="Arial"/>
          <w:sz w:val="20"/>
          <w:szCs w:val="20"/>
        </w:rPr>
        <w:t>2</w:t>
      </w:r>
      <w:r w:rsidR="00E4026D" w:rsidRPr="006E03D8">
        <w:rPr>
          <w:rFonts w:ascii="Arial" w:hAnsi="Arial" w:cs="Arial"/>
          <w:sz w:val="20"/>
          <w:szCs w:val="20"/>
        </w:rPr>
        <w:t xml:space="preserve">: Davčni </w:t>
      </w:r>
      <w:r w:rsidR="001466F2">
        <w:rPr>
          <w:rFonts w:ascii="Arial" w:hAnsi="Arial" w:cs="Arial"/>
          <w:sz w:val="20"/>
          <w:szCs w:val="20"/>
        </w:rPr>
        <w:t>izdatki</w:t>
      </w:r>
      <w:r w:rsidR="001466F2" w:rsidRPr="006E03D8">
        <w:rPr>
          <w:rFonts w:ascii="Arial" w:hAnsi="Arial" w:cs="Arial"/>
          <w:sz w:val="20"/>
          <w:szCs w:val="20"/>
        </w:rPr>
        <w:t xml:space="preserve"> </w:t>
      </w:r>
      <w:r w:rsidR="00E4026D" w:rsidRPr="006E03D8">
        <w:rPr>
          <w:rFonts w:ascii="Arial" w:hAnsi="Arial" w:cs="Arial"/>
          <w:sz w:val="20"/>
          <w:szCs w:val="20"/>
        </w:rPr>
        <w:t>v obdobju od leta 2016 do 2018 po posameznih</w:t>
      </w:r>
      <w:r w:rsidR="00EC590E">
        <w:rPr>
          <w:rFonts w:ascii="Arial" w:hAnsi="Arial" w:cs="Arial"/>
          <w:sz w:val="20"/>
          <w:szCs w:val="20"/>
        </w:rPr>
        <w:t xml:space="preserve"> glavnih</w:t>
      </w:r>
      <w:r w:rsidR="00E4026D" w:rsidRPr="006E03D8">
        <w:rPr>
          <w:rFonts w:ascii="Arial" w:hAnsi="Arial" w:cs="Arial"/>
          <w:sz w:val="20"/>
          <w:szCs w:val="20"/>
        </w:rPr>
        <w:t xml:space="preserve"> vrstah davkov, zneski v mio evr</w:t>
      </w:r>
      <w:r w:rsidR="00054792">
        <w:rPr>
          <w:rFonts w:ascii="Arial" w:hAnsi="Arial" w:cs="Arial"/>
          <w:sz w:val="20"/>
          <w:szCs w:val="20"/>
        </w:rPr>
        <w:t>ov</w:t>
      </w:r>
      <w:r w:rsidR="00E4026D" w:rsidRPr="006E03D8">
        <w:rPr>
          <w:rFonts w:ascii="Arial" w:hAnsi="Arial" w:cs="Arial"/>
          <w:sz w:val="20"/>
          <w:szCs w:val="20"/>
        </w:rPr>
        <w:t xml:space="preserve"> </w:t>
      </w:r>
      <w:r w:rsidR="00177B12" w:rsidRPr="006E03D8">
        <w:rPr>
          <w:rFonts w:ascii="Arial" w:hAnsi="Arial" w:cs="Arial"/>
          <w:sz w:val="20"/>
          <w:szCs w:val="20"/>
        </w:rPr>
        <w:t>in kot % BDP</w:t>
      </w:r>
    </w:p>
    <w:p w14:paraId="3A0210B8" w14:textId="700580DE" w:rsidR="00A55C5C" w:rsidRDefault="00A55C5C" w:rsidP="006E03D8">
      <w:pPr>
        <w:spacing w:after="0" w:line="260" w:lineRule="atLeast"/>
        <w:jc w:val="both"/>
        <w:rPr>
          <w:rFonts w:ascii="Arial" w:hAnsi="Arial" w:cs="Arial"/>
          <w:sz w:val="20"/>
          <w:szCs w:val="20"/>
        </w:rPr>
      </w:pPr>
    </w:p>
    <w:tbl>
      <w:tblPr>
        <w:tblW w:w="9360" w:type="dxa"/>
        <w:tblInd w:w="80" w:type="dxa"/>
        <w:tblCellMar>
          <w:left w:w="70" w:type="dxa"/>
          <w:right w:w="70" w:type="dxa"/>
        </w:tblCellMar>
        <w:tblLook w:val="04A0" w:firstRow="1" w:lastRow="0" w:firstColumn="1" w:lastColumn="0" w:noHBand="0" w:noVBand="1"/>
      </w:tblPr>
      <w:tblGrid>
        <w:gridCol w:w="2880"/>
        <w:gridCol w:w="720"/>
        <w:gridCol w:w="720"/>
        <w:gridCol w:w="720"/>
        <w:gridCol w:w="720"/>
        <w:gridCol w:w="720"/>
        <w:gridCol w:w="720"/>
        <w:gridCol w:w="720"/>
        <w:gridCol w:w="720"/>
        <w:gridCol w:w="720"/>
      </w:tblGrid>
      <w:tr w:rsidR="00A55C5C" w:rsidRPr="00A55C5C" w14:paraId="43F0E7B8" w14:textId="77777777" w:rsidTr="00A55C5C">
        <w:trPr>
          <w:trHeight w:val="300"/>
        </w:trPr>
        <w:tc>
          <w:tcPr>
            <w:tcW w:w="2880" w:type="dxa"/>
            <w:vMerge w:val="restart"/>
            <w:tcBorders>
              <w:top w:val="single" w:sz="8" w:space="0" w:color="auto"/>
              <w:left w:val="single" w:sz="8" w:space="0" w:color="auto"/>
              <w:bottom w:val="single" w:sz="8" w:space="0" w:color="000000"/>
              <w:right w:val="single" w:sz="8" w:space="0" w:color="auto"/>
            </w:tcBorders>
            <w:shd w:val="clear" w:color="000000" w:fill="FBD4B4"/>
            <w:vAlign w:val="center"/>
            <w:hideMark/>
          </w:tcPr>
          <w:p w14:paraId="249A6A87"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VRSTA DAVKA</w:t>
            </w:r>
          </w:p>
        </w:tc>
        <w:tc>
          <w:tcPr>
            <w:tcW w:w="2160" w:type="dxa"/>
            <w:gridSpan w:val="3"/>
            <w:tcBorders>
              <w:top w:val="single" w:sz="8" w:space="0" w:color="auto"/>
              <w:left w:val="nil"/>
              <w:bottom w:val="single" w:sz="8" w:space="0" w:color="auto"/>
              <w:right w:val="single" w:sz="8" w:space="0" w:color="000000"/>
            </w:tcBorders>
            <w:shd w:val="clear" w:color="000000" w:fill="6699FF"/>
            <w:vAlign w:val="center"/>
            <w:hideMark/>
          </w:tcPr>
          <w:p w14:paraId="52F57850" w14:textId="3CD204BC"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 xml:space="preserve">Znesek davčnih izdatkov </w:t>
            </w:r>
            <w:r w:rsidR="009B0B27">
              <w:rPr>
                <w:rFonts w:ascii="Arial" w:eastAsia="Times New Roman" w:hAnsi="Arial" w:cs="Arial"/>
                <w:b/>
                <w:bCs/>
                <w:color w:val="000000"/>
                <w:sz w:val="18"/>
                <w:szCs w:val="18"/>
                <w:lang w:eastAsia="sl-SI"/>
              </w:rPr>
              <w:t>–</w:t>
            </w:r>
            <w:r w:rsidRPr="00A55C5C">
              <w:rPr>
                <w:rFonts w:ascii="Arial" w:eastAsia="Times New Roman" w:hAnsi="Arial" w:cs="Arial"/>
                <w:b/>
                <w:bCs/>
                <w:color w:val="000000"/>
                <w:sz w:val="18"/>
                <w:szCs w:val="18"/>
                <w:lang w:eastAsia="sl-SI"/>
              </w:rPr>
              <w:t xml:space="preserve"> skupaj</w:t>
            </w:r>
          </w:p>
        </w:tc>
        <w:tc>
          <w:tcPr>
            <w:tcW w:w="2160" w:type="dxa"/>
            <w:gridSpan w:val="3"/>
            <w:tcBorders>
              <w:top w:val="single" w:sz="8" w:space="0" w:color="auto"/>
              <w:left w:val="nil"/>
              <w:bottom w:val="single" w:sz="8" w:space="0" w:color="auto"/>
              <w:right w:val="single" w:sz="8" w:space="0" w:color="000000"/>
            </w:tcBorders>
            <w:shd w:val="clear" w:color="000000" w:fill="E4DFEC"/>
            <w:vAlign w:val="center"/>
            <w:hideMark/>
          </w:tcPr>
          <w:p w14:paraId="2E15798B"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 xml:space="preserve">Davčni izdatek v celotnih davčnih prihodkih </w:t>
            </w:r>
          </w:p>
        </w:tc>
        <w:tc>
          <w:tcPr>
            <w:tcW w:w="2160" w:type="dxa"/>
            <w:gridSpan w:val="3"/>
            <w:tcBorders>
              <w:top w:val="single" w:sz="8" w:space="0" w:color="auto"/>
              <w:left w:val="nil"/>
              <w:bottom w:val="single" w:sz="8" w:space="0" w:color="auto"/>
              <w:right w:val="single" w:sz="8" w:space="0" w:color="000000"/>
            </w:tcBorders>
            <w:shd w:val="clear" w:color="000000" w:fill="E6B8B7"/>
            <w:vAlign w:val="center"/>
            <w:hideMark/>
          </w:tcPr>
          <w:p w14:paraId="08E4933B"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Davčni izdatki kot % BDP</w:t>
            </w:r>
          </w:p>
        </w:tc>
      </w:tr>
      <w:tr w:rsidR="00A55C5C" w:rsidRPr="00A55C5C" w14:paraId="53851208" w14:textId="77777777" w:rsidTr="00A55C5C">
        <w:trPr>
          <w:trHeight w:val="300"/>
        </w:trPr>
        <w:tc>
          <w:tcPr>
            <w:tcW w:w="2880" w:type="dxa"/>
            <w:vMerge/>
            <w:tcBorders>
              <w:top w:val="single" w:sz="8" w:space="0" w:color="auto"/>
              <w:left w:val="single" w:sz="8" w:space="0" w:color="auto"/>
              <w:bottom w:val="single" w:sz="8" w:space="0" w:color="000000"/>
              <w:right w:val="single" w:sz="8" w:space="0" w:color="auto"/>
            </w:tcBorders>
            <w:vAlign w:val="center"/>
            <w:hideMark/>
          </w:tcPr>
          <w:p w14:paraId="0BF65AE8" w14:textId="77777777" w:rsidR="00A55C5C" w:rsidRPr="00A55C5C" w:rsidRDefault="00A55C5C" w:rsidP="00A55C5C">
            <w:pPr>
              <w:spacing w:after="0" w:line="240" w:lineRule="auto"/>
              <w:rPr>
                <w:rFonts w:ascii="Arial" w:eastAsia="Times New Roman" w:hAnsi="Arial" w:cs="Arial"/>
                <w:b/>
                <w:bCs/>
                <w:color w:val="000000"/>
                <w:sz w:val="18"/>
                <w:szCs w:val="18"/>
                <w:lang w:eastAsia="sl-SI"/>
              </w:rPr>
            </w:pPr>
          </w:p>
        </w:tc>
        <w:tc>
          <w:tcPr>
            <w:tcW w:w="720" w:type="dxa"/>
            <w:tcBorders>
              <w:top w:val="nil"/>
              <w:left w:val="nil"/>
              <w:bottom w:val="single" w:sz="8" w:space="0" w:color="auto"/>
              <w:right w:val="single" w:sz="8" w:space="0" w:color="auto"/>
            </w:tcBorders>
            <w:shd w:val="clear" w:color="000000" w:fill="6699FF"/>
            <w:vAlign w:val="center"/>
            <w:hideMark/>
          </w:tcPr>
          <w:p w14:paraId="050A40B0"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2016</w:t>
            </w:r>
          </w:p>
        </w:tc>
        <w:tc>
          <w:tcPr>
            <w:tcW w:w="720" w:type="dxa"/>
            <w:tcBorders>
              <w:top w:val="nil"/>
              <w:left w:val="nil"/>
              <w:bottom w:val="single" w:sz="8" w:space="0" w:color="auto"/>
              <w:right w:val="single" w:sz="8" w:space="0" w:color="auto"/>
            </w:tcBorders>
            <w:shd w:val="clear" w:color="000000" w:fill="6699FF"/>
            <w:noWrap/>
            <w:vAlign w:val="center"/>
            <w:hideMark/>
          </w:tcPr>
          <w:p w14:paraId="75606192"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2017</w:t>
            </w:r>
          </w:p>
        </w:tc>
        <w:tc>
          <w:tcPr>
            <w:tcW w:w="720" w:type="dxa"/>
            <w:tcBorders>
              <w:top w:val="nil"/>
              <w:left w:val="nil"/>
              <w:bottom w:val="single" w:sz="8" w:space="0" w:color="auto"/>
              <w:right w:val="single" w:sz="8" w:space="0" w:color="auto"/>
            </w:tcBorders>
            <w:shd w:val="clear" w:color="000000" w:fill="6699FF"/>
            <w:noWrap/>
            <w:vAlign w:val="center"/>
            <w:hideMark/>
          </w:tcPr>
          <w:p w14:paraId="0D8C22BE"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2018</w:t>
            </w:r>
          </w:p>
        </w:tc>
        <w:tc>
          <w:tcPr>
            <w:tcW w:w="720" w:type="dxa"/>
            <w:tcBorders>
              <w:top w:val="nil"/>
              <w:left w:val="nil"/>
              <w:bottom w:val="single" w:sz="8" w:space="0" w:color="auto"/>
              <w:right w:val="single" w:sz="8" w:space="0" w:color="auto"/>
            </w:tcBorders>
            <w:shd w:val="clear" w:color="000000" w:fill="E4DFEC"/>
            <w:noWrap/>
            <w:vAlign w:val="center"/>
            <w:hideMark/>
          </w:tcPr>
          <w:p w14:paraId="541D7A82"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2016</w:t>
            </w:r>
          </w:p>
        </w:tc>
        <w:tc>
          <w:tcPr>
            <w:tcW w:w="720" w:type="dxa"/>
            <w:tcBorders>
              <w:top w:val="nil"/>
              <w:left w:val="nil"/>
              <w:bottom w:val="single" w:sz="8" w:space="0" w:color="auto"/>
              <w:right w:val="single" w:sz="8" w:space="0" w:color="auto"/>
            </w:tcBorders>
            <w:shd w:val="clear" w:color="000000" w:fill="E4DFEC"/>
            <w:noWrap/>
            <w:vAlign w:val="center"/>
            <w:hideMark/>
          </w:tcPr>
          <w:p w14:paraId="09F1C2DE"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2017</w:t>
            </w:r>
          </w:p>
        </w:tc>
        <w:tc>
          <w:tcPr>
            <w:tcW w:w="720" w:type="dxa"/>
            <w:tcBorders>
              <w:top w:val="nil"/>
              <w:left w:val="nil"/>
              <w:bottom w:val="single" w:sz="8" w:space="0" w:color="auto"/>
              <w:right w:val="single" w:sz="8" w:space="0" w:color="auto"/>
            </w:tcBorders>
            <w:shd w:val="clear" w:color="000000" w:fill="E4DFEC"/>
            <w:noWrap/>
            <w:vAlign w:val="center"/>
            <w:hideMark/>
          </w:tcPr>
          <w:p w14:paraId="1ACD78DF"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2018</w:t>
            </w:r>
          </w:p>
        </w:tc>
        <w:tc>
          <w:tcPr>
            <w:tcW w:w="720" w:type="dxa"/>
            <w:tcBorders>
              <w:top w:val="nil"/>
              <w:left w:val="nil"/>
              <w:bottom w:val="single" w:sz="8" w:space="0" w:color="auto"/>
              <w:right w:val="single" w:sz="8" w:space="0" w:color="auto"/>
            </w:tcBorders>
            <w:shd w:val="clear" w:color="000000" w:fill="E6B8B7"/>
            <w:noWrap/>
            <w:vAlign w:val="center"/>
            <w:hideMark/>
          </w:tcPr>
          <w:p w14:paraId="57A2BBA8"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2016</w:t>
            </w:r>
          </w:p>
        </w:tc>
        <w:tc>
          <w:tcPr>
            <w:tcW w:w="720" w:type="dxa"/>
            <w:tcBorders>
              <w:top w:val="nil"/>
              <w:left w:val="nil"/>
              <w:bottom w:val="single" w:sz="8" w:space="0" w:color="auto"/>
              <w:right w:val="single" w:sz="8" w:space="0" w:color="auto"/>
            </w:tcBorders>
            <w:shd w:val="clear" w:color="000000" w:fill="E6B8B7"/>
            <w:noWrap/>
            <w:vAlign w:val="center"/>
            <w:hideMark/>
          </w:tcPr>
          <w:p w14:paraId="19060229"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2017</w:t>
            </w:r>
          </w:p>
        </w:tc>
        <w:tc>
          <w:tcPr>
            <w:tcW w:w="720" w:type="dxa"/>
            <w:tcBorders>
              <w:top w:val="nil"/>
              <w:left w:val="nil"/>
              <w:bottom w:val="single" w:sz="8" w:space="0" w:color="auto"/>
              <w:right w:val="single" w:sz="8" w:space="0" w:color="auto"/>
            </w:tcBorders>
            <w:shd w:val="clear" w:color="000000" w:fill="E6B8B7"/>
            <w:noWrap/>
            <w:vAlign w:val="center"/>
            <w:hideMark/>
          </w:tcPr>
          <w:p w14:paraId="168DA87A" w14:textId="77777777" w:rsidR="00A55C5C" w:rsidRPr="00A55C5C" w:rsidRDefault="00A55C5C" w:rsidP="00A55C5C">
            <w:pPr>
              <w:spacing w:after="0" w:line="240" w:lineRule="auto"/>
              <w:jc w:val="center"/>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2018</w:t>
            </w:r>
          </w:p>
        </w:tc>
      </w:tr>
      <w:tr w:rsidR="00A55C5C" w:rsidRPr="00A55C5C" w14:paraId="7FAA757B" w14:textId="77777777" w:rsidTr="00A55C5C">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3311A236" w14:textId="77777777" w:rsidR="00A55C5C" w:rsidRPr="00A55C5C" w:rsidRDefault="00A55C5C" w:rsidP="00A55C5C">
            <w:pPr>
              <w:spacing w:after="0" w:line="240" w:lineRule="auto"/>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Dohodnina</w:t>
            </w:r>
          </w:p>
        </w:tc>
        <w:tc>
          <w:tcPr>
            <w:tcW w:w="720" w:type="dxa"/>
            <w:tcBorders>
              <w:top w:val="nil"/>
              <w:left w:val="nil"/>
              <w:bottom w:val="single" w:sz="8" w:space="0" w:color="auto"/>
              <w:right w:val="single" w:sz="8" w:space="0" w:color="auto"/>
            </w:tcBorders>
            <w:shd w:val="clear" w:color="auto" w:fill="auto"/>
            <w:vAlign w:val="center"/>
            <w:hideMark/>
          </w:tcPr>
          <w:p w14:paraId="4688BB46"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828</w:t>
            </w:r>
          </w:p>
        </w:tc>
        <w:tc>
          <w:tcPr>
            <w:tcW w:w="720" w:type="dxa"/>
            <w:tcBorders>
              <w:top w:val="nil"/>
              <w:left w:val="nil"/>
              <w:bottom w:val="single" w:sz="8" w:space="0" w:color="auto"/>
              <w:right w:val="single" w:sz="8" w:space="0" w:color="auto"/>
            </w:tcBorders>
            <w:shd w:val="clear" w:color="auto" w:fill="auto"/>
            <w:vAlign w:val="center"/>
            <w:hideMark/>
          </w:tcPr>
          <w:p w14:paraId="0685351D"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847</w:t>
            </w:r>
          </w:p>
        </w:tc>
        <w:tc>
          <w:tcPr>
            <w:tcW w:w="720" w:type="dxa"/>
            <w:tcBorders>
              <w:top w:val="nil"/>
              <w:left w:val="nil"/>
              <w:bottom w:val="single" w:sz="8" w:space="0" w:color="auto"/>
              <w:right w:val="single" w:sz="8" w:space="0" w:color="auto"/>
            </w:tcBorders>
            <w:shd w:val="clear" w:color="auto" w:fill="auto"/>
            <w:vAlign w:val="center"/>
            <w:hideMark/>
          </w:tcPr>
          <w:p w14:paraId="3F53545B"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932</w:t>
            </w:r>
          </w:p>
        </w:tc>
        <w:tc>
          <w:tcPr>
            <w:tcW w:w="720" w:type="dxa"/>
            <w:tcBorders>
              <w:top w:val="nil"/>
              <w:left w:val="nil"/>
              <w:bottom w:val="single" w:sz="8" w:space="0" w:color="auto"/>
              <w:right w:val="single" w:sz="8" w:space="0" w:color="auto"/>
            </w:tcBorders>
            <w:shd w:val="clear" w:color="auto" w:fill="auto"/>
            <w:noWrap/>
            <w:vAlign w:val="center"/>
            <w:hideMark/>
          </w:tcPr>
          <w:p w14:paraId="7AD7F116" w14:textId="1D23E7A2"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5,8</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4948C484" w14:textId="00F720EA"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5,6</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7A7C89C" w14:textId="26E29A33"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5,7</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4AC7B52E" w14:textId="2931F973"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2,05</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6A7E7B80" w14:textId="0B319E72"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1,97</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1154DCE2" w14:textId="57210E48"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2,04</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r>
      <w:tr w:rsidR="00A55C5C" w:rsidRPr="00A55C5C" w14:paraId="700ED0C6" w14:textId="77777777" w:rsidTr="00A55C5C">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4969F668" w14:textId="77777777" w:rsidR="00A55C5C" w:rsidRPr="00A55C5C" w:rsidRDefault="00A55C5C" w:rsidP="00A55C5C">
            <w:pPr>
              <w:spacing w:after="0" w:line="240" w:lineRule="auto"/>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Davek od dohodka iz dejavnosti</w:t>
            </w:r>
          </w:p>
        </w:tc>
        <w:tc>
          <w:tcPr>
            <w:tcW w:w="720" w:type="dxa"/>
            <w:tcBorders>
              <w:top w:val="nil"/>
              <w:left w:val="nil"/>
              <w:bottom w:val="single" w:sz="8" w:space="0" w:color="auto"/>
              <w:right w:val="single" w:sz="8" w:space="0" w:color="auto"/>
            </w:tcBorders>
            <w:shd w:val="clear" w:color="auto" w:fill="auto"/>
            <w:vAlign w:val="center"/>
            <w:hideMark/>
          </w:tcPr>
          <w:p w14:paraId="011EBE0A"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25</w:t>
            </w:r>
          </w:p>
        </w:tc>
        <w:tc>
          <w:tcPr>
            <w:tcW w:w="720" w:type="dxa"/>
            <w:tcBorders>
              <w:top w:val="nil"/>
              <w:left w:val="nil"/>
              <w:bottom w:val="single" w:sz="8" w:space="0" w:color="auto"/>
              <w:right w:val="single" w:sz="8" w:space="0" w:color="auto"/>
            </w:tcBorders>
            <w:shd w:val="clear" w:color="auto" w:fill="auto"/>
            <w:vAlign w:val="center"/>
            <w:hideMark/>
          </w:tcPr>
          <w:p w14:paraId="136D3956"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26</w:t>
            </w:r>
          </w:p>
        </w:tc>
        <w:tc>
          <w:tcPr>
            <w:tcW w:w="720" w:type="dxa"/>
            <w:tcBorders>
              <w:top w:val="nil"/>
              <w:left w:val="nil"/>
              <w:bottom w:val="single" w:sz="8" w:space="0" w:color="auto"/>
              <w:right w:val="single" w:sz="8" w:space="0" w:color="auto"/>
            </w:tcBorders>
            <w:shd w:val="clear" w:color="auto" w:fill="auto"/>
            <w:vAlign w:val="center"/>
            <w:hideMark/>
          </w:tcPr>
          <w:p w14:paraId="603D5875"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27</w:t>
            </w:r>
          </w:p>
        </w:tc>
        <w:tc>
          <w:tcPr>
            <w:tcW w:w="720" w:type="dxa"/>
            <w:tcBorders>
              <w:top w:val="nil"/>
              <w:left w:val="nil"/>
              <w:bottom w:val="single" w:sz="8" w:space="0" w:color="auto"/>
              <w:right w:val="single" w:sz="8" w:space="0" w:color="auto"/>
            </w:tcBorders>
            <w:shd w:val="clear" w:color="auto" w:fill="auto"/>
            <w:noWrap/>
            <w:vAlign w:val="center"/>
            <w:hideMark/>
          </w:tcPr>
          <w:p w14:paraId="2C775908" w14:textId="057A0148"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799F65DD" w14:textId="23B66FE0"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7313C6F1" w14:textId="5E426CC5"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58C40EE6" w14:textId="7D3B831F"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0,06</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747C776D" w14:textId="099838EF"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0,06</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65FE83AF" w14:textId="2A2DD39F"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0,06</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r>
      <w:tr w:rsidR="00A55C5C" w:rsidRPr="00A55C5C" w14:paraId="69F62309" w14:textId="77777777" w:rsidTr="00A55C5C">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036C33F8" w14:textId="77777777" w:rsidR="00A55C5C" w:rsidRPr="00A55C5C" w:rsidRDefault="00A55C5C" w:rsidP="00A55C5C">
            <w:pPr>
              <w:spacing w:after="0" w:line="240" w:lineRule="auto"/>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Davek od dohodkov pravnih oseb</w:t>
            </w:r>
          </w:p>
        </w:tc>
        <w:tc>
          <w:tcPr>
            <w:tcW w:w="720" w:type="dxa"/>
            <w:tcBorders>
              <w:top w:val="nil"/>
              <w:left w:val="nil"/>
              <w:bottom w:val="single" w:sz="8" w:space="0" w:color="auto"/>
              <w:right w:val="single" w:sz="8" w:space="0" w:color="auto"/>
            </w:tcBorders>
            <w:shd w:val="clear" w:color="auto" w:fill="auto"/>
            <w:vAlign w:val="center"/>
            <w:hideMark/>
          </w:tcPr>
          <w:p w14:paraId="69126445"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273</w:t>
            </w:r>
          </w:p>
        </w:tc>
        <w:tc>
          <w:tcPr>
            <w:tcW w:w="720" w:type="dxa"/>
            <w:tcBorders>
              <w:top w:val="nil"/>
              <w:left w:val="nil"/>
              <w:bottom w:val="single" w:sz="8" w:space="0" w:color="auto"/>
              <w:right w:val="single" w:sz="8" w:space="0" w:color="auto"/>
            </w:tcBorders>
            <w:shd w:val="clear" w:color="auto" w:fill="auto"/>
            <w:vAlign w:val="center"/>
            <w:hideMark/>
          </w:tcPr>
          <w:p w14:paraId="019D873B"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335</w:t>
            </w:r>
          </w:p>
        </w:tc>
        <w:tc>
          <w:tcPr>
            <w:tcW w:w="720" w:type="dxa"/>
            <w:tcBorders>
              <w:top w:val="nil"/>
              <w:left w:val="nil"/>
              <w:bottom w:val="single" w:sz="8" w:space="0" w:color="auto"/>
              <w:right w:val="single" w:sz="8" w:space="0" w:color="auto"/>
            </w:tcBorders>
            <w:shd w:val="clear" w:color="auto" w:fill="auto"/>
            <w:vAlign w:val="center"/>
            <w:hideMark/>
          </w:tcPr>
          <w:p w14:paraId="1359A5F2"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362</w:t>
            </w:r>
          </w:p>
        </w:tc>
        <w:tc>
          <w:tcPr>
            <w:tcW w:w="720" w:type="dxa"/>
            <w:tcBorders>
              <w:top w:val="nil"/>
              <w:left w:val="nil"/>
              <w:bottom w:val="single" w:sz="8" w:space="0" w:color="auto"/>
              <w:right w:val="single" w:sz="8" w:space="0" w:color="auto"/>
            </w:tcBorders>
            <w:shd w:val="clear" w:color="auto" w:fill="auto"/>
            <w:noWrap/>
            <w:vAlign w:val="center"/>
            <w:hideMark/>
          </w:tcPr>
          <w:p w14:paraId="714001A4" w14:textId="348FC8F3"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1,9</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3F8BD5EB" w14:textId="28EEA710"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729A78CD" w14:textId="35539E0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2,2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2B1947E9" w14:textId="6F222E00"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0,68</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3E87DCE" w14:textId="2FCCE12C"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0,78</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92EF83E" w14:textId="3B1C5114"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0,79</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r>
      <w:tr w:rsidR="00A55C5C" w:rsidRPr="00A55C5C" w14:paraId="1E9E92C5" w14:textId="77777777" w:rsidTr="00A55C5C">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22AAF92C" w14:textId="77777777" w:rsidR="00A55C5C" w:rsidRPr="00A55C5C" w:rsidRDefault="00A55C5C" w:rsidP="00A55C5C">
            <w:pPr>
              <w:spacing w:after="0" w:line="240" w:lineRule="auto"/>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Trošarine</w:t>
            </w:r>
          </w:p>
        </w:tc>
        <w:tc>
          <w:tcPr>
            <w:tcW w:w="720" w:type="dxa"/>
            <w:tcBorders>
              <w:top w:val="nil"/>
              <w:left w:val="nil"/>
              <w:bottom w:val="single" w:sz="8" w:space="0" w:color="auto"/>
              <w:right w:val="single" w:sz="8" w:space="0" w:color="auto"/>
            </w:tcBorders>
            <w:shd w:val="clear" w:color="auto" w:fill="auto"/>
            <w:vAlign w:val="center"/>
            <w:hideMark/>
          </w:tcPr>
          <w:p w14:paraId="1425CBDA"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106</w:t>
            </w:r>
          </w:p>
        </w:tc>
        <w:tc>
          <w:tcPr>
            <w:tcW w:w="720" w:type="dxa"/>
            <w:tcBorders>
              <w:top w:val="nil"/>
              <w:left w:val="nil"/>
              <w:bottom w:val="single" w:sz="8" w:space="0" w:color="auto"/>
              <w:right w:val="single" w:sz="8" w:space="0" w:color="auto"/>
            </w:tcBorders>
            <w:shd w:val="clear" w:color="auto" w:fill="auto"/>
            <w:vAlign w:val="center"/>
            <w:hideMark/>
          </w:tcPr>
          <w:p w14:paraId="090A2CE3"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113</w:t>
            </w:r>
          </w:p>
        </w:tc>
        <w:tc>
          <w:tcPr>
            <w:tcW w:w="720" w:type="dxa"/>
            <w:tcBorders>
              <w:top w:val="nil"/>
              <w:left w:val="nil"/>
              <w:bottom w:val="single" w:sz="8" w:space="0" w:color="auto"/>
              <w:right w:val="single" w:sz="8" w:space="0" w:color="auto"/>
            </w:tcBorders>
            <w:shd w:val="clear" w:color="auto" w:fill="auto"/>
            <w:vAlign w:val="center"/>
            <w:hideMark/>
          </w:tcPr>
          <w:p w14:paraId="6668A6E7"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97</w:t>
            </w:r>
          </w:p>
        </w:tc>
        <w:tc>
          <w:tcPr>
            <w:tcW w:w="720" w:type="dxa"/>
            <w:tcBorders>
              <w:top w:val="nil"/>
              <w:left w:val="nil"/>
              <w:bottom w:val="single" w:sz="8" w:space="0" w:color="auto"/>
              <w:right w:val="single" w:sz="8" w:space="0" w:color="auto"/>
            </w:tcBorders>
            <w:shd w:val="clear" w:color="auto" w:fill="auto"/>
            <w:noWrap/>
            <w:vAlign w:val="center"/>
            <w:hideMark/>
          </w:tcPr>
          <w:p w14:paraId="57D7CCB9" w14:textId="0B1CE90C"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0,7</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CD5C920" w14:textId="668BE91D"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0,7</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0918408" w14:textId="63E251ED"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0,6</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6982CB3F" w14:textId="0D4BAC04"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0,26</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59BC0D66" w14:textId="61E71F3D"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0,26</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1E5ADB5F" w14:textId="485F4FB2"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0,21</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r>
      <w:tr w:rsidR="00A55C5C" w:rsidRPr="00A55C5C" w14:paraId="264800AE" w14:textId="77777777" w:rsidTr="00A55C5C">
        <w:trPr>
          <w:trHeight w:val="300"/>
        </w:trPr>
        <w:tc>
          <w:tcPr>
            <w:tcW w:w="2880" w:type="dxa"/>
            <w:tcBorders>
              <w:top w:val="nil"/>
              <w:left w:val="single" w:sz="8" w:space="0" w:color="auto"/>
              <w:bottom w:val="single" w:sz="8" w:space="0" w:color="auto"/>
              <w:right w:val="single" w:sz="8" w:space="0" w:color="auto"/>
            </w:tcBorders>
            <w:shd w:val="clear" w:color="auto" w:fill="auto"/>
            <w:vAlign w:val="center"/>
            <w:hideMark/>
          </w:tcPr>
          <w:p w14:paraId="44715F71" w14:textId="77777777" w:rsidR="00A55C5C" w:rsidRPr="00A55C5C" w:rsidRDefault="00A55C5C" w:rsidP="00A55C5C">
            <w:pPr>
              <w:spacing w:after="0" w:line="240" w:lineRule="auto"/>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Davek na dodano vrednost</w:t>
            </w:r>
          </w:p>
        </w:tc>
        <w:tc>
          <w:tcPr>
            <w:tcW w:w="720" w:type="dxa"/>
            <w:tcBorders>
              <w:top w:val="nil"/>
              <w:left w:val="nil"/>
              <w:bottom w:val="single" w:sz="8" w:space="0" w:color="auto"/>
              <w:right w:val="single" w:sz="8" w:space="0" w:color="auto"/>
            </w:tcBorders>
            <w:shd w:val="clear" w:color="auto" w:fill="auto"/>
            <w:vAlign w:val="center"/>
            <w:hideMark/>
          </w:tcPr>
          <w:p w14:paraId="4C673DA7"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747</w:t>
            </w:r>
          </w:p>
        </w:tc>
        <w:tc>
          <w:tcPr>
            <w:tcW w:w="720" w:type="dxa"/>
            <w:tcBorders>
              <w:top w:val="nil"/>
              <w:left w:val="nil"/>
              <w:bottom w:val="single" w:sz="8" w:space="0" w:color="auto"/>
              <w:right w:val="single" w:sz="8" w:space="0" w:color="auto"/>
            </w:tcBorders>
            <w:shd w:val="clear" w:color="auto" w:fill="auto"/>
            <w:vAlign w:val="center"/>
            <w:hideMark/>
          </w:tcPr>
          <w:p w14:paraId="2FB51413"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764</w:t>
            </w:r>
          </w:p>
        </w:tc>
        <w:tc>
          <w:tcPr>
            <w:tcW w:w="720" w:type="dxa"/>
            <w:tcBorders>
              <w:top w:val="nil"/>
              <w:left w:val="nil"/>
              <w:bottom w:val="single" w:sz="8" w:space="0" w:color="auto"/>
              <w:right w:val="single" w:sz="8" w:space="0" w:color="auto"/>
            </w:tcBorders>
            <w:shd w:val="clear" w:color="auto" w:fill="auto"/>
            <w:vAlign w:val="center"/>
            <w:hideMark/>
          </w:tcPr>
          <w:p w14:paraId="50CFDFAA" w14:textId="77777777"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839</w:t>
            </w:r>
          </w:p>
        </w:tc>
        <w:tc>
          <w:tcPr>
            <w:tcW w:w="720" w:type="dxa"/>
            <w:tcBorders>
              <w:top w:val="nil"/>
              <w:left w:val="nil"/>
              <w:bottom w:val="single" w:sz="8" w:space="0" w:color="auto"/>
              <w:right w:val="single" w:sz="8" w:space="0" w:color="auto"/>
            </w:tcBorders>
            <w:shd w:val="clear" w:color="auto" w:fill="auto"/>
            <w:noWrap/>
            <w:vAlign w:val="center"/>
            <w:hideMark/>
          </w:tcPr>
          <w:p w14:paraId="51C45087" w14:textId="6F2531DF"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735227BA" w14:textId="207AECFE"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5,0</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31CAFEDC" w14:textId="7C6DD3B3"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5,2</w:t>
            </w:r>
            <w:r w:rsidR="009B0B27">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53A0142A" w14:textId="2B12CC3A"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1,85</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3F326BB8" w14:textId="7AA64139"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1,78</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c>
          <w:tcPr>
            <w:tcW w:w="720" w:type="dxa"/>
            <w:tcBorders>
              <w:top w:val="nil"/>
              <w:left w:val="nil"/>
              <w:bottom w:val="single" w:sz="8" w:space="0" w:color="auto"/>
              <w:right w:val="single" w:sz="8" w:space="0" w:color="auto"/>
            </w:tcBorders>
            <w:shd w:val="clear" w:color="auto" w:fill="auto"/>
            <w:noWrap/>
            <w:vAlign w:val="center"/>
            <w:hideMark/>
          </w:tcPr>
          <w:p w14:paraId="0C5B513B" w14:textId="0B813AEE" w:rsidR="00A55C5C" w:rsidRPr="00A55C5C" w:rsidRDefault="00A55C5C" w:rsidP="00A55C5C">
            <w:pPr>
              <w:spacing w:after="0" w:line="240" w:lineRule="auto"/>
              <w:jc w:val="right"/>
              <w:rPr>
                <w:rFonts w:ascii="Arial" w:eastAsia="Times New Roman" w:hAnsi="Arial" w:cs="Arial"/>
                <w:color w:val="000000"/>
                <w:sz w:val="18"/>
                <w:szCs w:val="18"/>
                <w:lang w:eastAsia="sl-SI"/>
              </w:rPr>
            </w:pPr>
            <w:r w:rsidRPr="00A55C5C">
              <w:rPr>
                <w:rFonts w:ascii="Arial" w:eastAsia="Times New Roman" w:hAnsi="Arial" w:cs="Arial"/>
                <w:color w:val="000000"/>
                <w:sz w:val="18"/>
                <w:szCs w:val="18"/>
                <w:lang w:eastAsia="sl-SI"/>
              </w:rPr>
              <w:t>1,83</w:t>
            </w:r>
            <w:r w:rsidR="00912E66">
              <w:rPr>
                <w:rFonts w:ascii="Arial" w:eastAsia="Times New Roman" w:hAnsi="Arial" w:cs="Arial"/>
                <w:color w:val="000000"/>
                <w:sz w:val="18"/>
                <w:szCs w:val="18"/>
                <w:lang w:eastAsia="sl-SI"/>
              </w:rPr>
              <w:t xml:space="preserve"> </w:t>
            </w:r>
            <w:r w:rsidRPr="00A55C5C">
              <w:rPr>
                <w:rFonts w:ascii="Arial" w:eastAsia="Times New Roman" w:hAnsi="Arial" w:cs="Arial"/>
                <w:color w:val="000000"/>
                <w:sz w:val="18"/>
                <w:szCs w:val="18"/>
                <w:lang w:eastAsia="sl-SI"/>
              </w:rPr>
              <w:t>%</w:t>
            </w:r>
          </w:p>
        </w:tc>
      </w:tr>
      <w:tr w:rsidR="00A55C5C" w:rsidRPr="00A55C5C" w14:paraId="521E7A12" w14:textId="77777777" w:rsidTr="00A55C5C">
        <w:trPr>
          <w:trHeight w:val="315"/>
        </w:trPr>
        <w:tc>
          <w:tcPr>
            <w:tcW w:w="2880" w:type="dxa"/>
            <w:tcBorders>
              <w:top w:val="double" w:sz="6" w:space="0" w:color="auto"/>
              <w:left w:val="single" w:sz="8" w:space="0" w:color="auto"/>
              <w:bottom w:val="single" w:sz="8" w:space="0" w:color="auto"/>
              <w:right w:val="single" w:sz="8" w:space="0" w:color="auto"/>
            </w:tcBorders>
            <w:shd w:val="clear" w:color="000000" w:fill="FFC000"/>
            <w:vAlign w:val="center"/>
            <w:hideMark/>
          </w:tcPr>
          <w:p w14:paraId="334EC830" w14:textId="77777777" w:rsidR="00A55C5C" w:rsidRPr="00A55C5C" w:rsidRDefault="00A55C5C" w:rsidP="00A55C5C">
            <w:pPr>
              <w:spacing w:after="0" w:line="240" w:lineRule="auto"/>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SKUPAJ</w:t>
            </w:r>
          </w:p>
        </w:tc>
        <w:tc>
          <w:tcPr>
            <w:tcW w:w="720" w:type="dxa"/>
            <w:tcBorders>
              <w:top w:val="double" w:sz="6" w:space="0" w:color="auto"/>
              <w:left w:val="nil"/>
              <w:bottom w:val="single" w:sz="8" w:space="0" w:color="auto"/>
              <w:right w:val="single" w:sz="8" w:space="0" w:color="auto"/>
            </w:tcBorders>
            <w:shd w:val="clear" w:color="000000" w:fill="FFC000"/>
            <w:vAlign w:val="center"/>
            <w:hideMark/>
          </w:tcPr>
          <w:p w14:paraId="70629D05" w14:textId="77777777"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1.979</w:t>
            </w:r>
          </w:p>
        </w:tc>
        <w:tc>
          <w:tcPr>
            <w:tcW w:w="720" w:type="dxa"/>
            <w:tcBorders>
              <w:top w:val="double" w:sz="6" w:space="0" w:color="auto"/>
              <w:left w:val="nil"/>
              <w:bottom w:val="single" w:sz="8" w:space="0" w:color="auto"/>
              <w:right w:val="single" w:sz="8" w:space="0" w:color="auto"/>
            </w:tcBorders>
            <w:shd w:val="clear" w:color="000000" w:fill="FFC000"/>
            <w:vAlign w:val="center"/>
            <w:hideMark/>
          </w:tcPr>
          <w:p w14:paraId="122EC2E1" w14:textId="77777777"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2.084</w:t>
            </w:r>
          </w:p>
        </w:tc>
        <w:tc>
          <w:tcPr>
            <w:tcW w:w="720" w:type="dxa"/>
            <w:tcBorders>
              <w:top w:val="double" w:sz="6" w:space="0" w:color="auto"/>
              <w:left w:val="nil"/>
              <w:bottom w:val="single" w:sz="8" w:space="0" w:color="auto"/>
              <w:right w:val="single" w:sz="8" w:space="0" w:color="auto"/>
            </w:tcBorders>
            <w:shd w:val="clear" w:color="000000" w:fill="FFC000"/>
            <w:vAlign w:val="center"/>
            <w:hideMark/>
          </w:tcPr>
          <w:p w14:paraId="26F6E12B" w14:textId="77777777"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2.257</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682907A2" w14:textId="09872407"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13,9</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0916C9F7" w14:textId="207DE4A8"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13,7</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4A4EC2BA" w14:textId="18B9B8C8"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13,9</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4A9123AD" w14:textId="349D16F9"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4,90</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3D126FFA" w14:textId="6137CC14"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4,85</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c>
          <w:tcPr>
            <w:tcW w:w="720" w:type="dxa"/>
            <w:tcBorders>
              <w:top w:val="double" w:sz="6" w:space="0" w:color="auto"/>
              <w:left w:val="nil"/>
              <w:bottom w:val="single" w:sz="8" w:space="0" w:color="auto"/>
              <w:right w:val="single" w:sz="8" w:space="0" w:color="auto"/>
            </w:tcBorders>
            <w:shd w:val="clear" w:color="000000" w:fill="FFC000"/>
            <w:noWrap/>
            <w:vAlign w:val="center"/>
            <w:hideMark/>
          </w:tcPr>
          <w:p w14:paraId="075E9248" w14:textId="77BE7913" w:rsidR="00A55C5C" w:rsidRPr="00A55C5C" w:rsidRDefault="00A55C5C" w:rsidP="00A55C5C">
            <w:pPr>
              <w:spacing w:after="0" w:line="240" w:lineRule="auto"/>
              <w:jc w:val="right"/>
              <w:rPr>
                <w:rFonts w:ascii="Arial" w:eastAsia="Times New Roman" w:hAnsi="Arial" w:cs="Arial"/>
                <w:b/>
                <w:bCs/>
                <w:color w:val="000000"/>
                <w:sz w:val="18"/>
                <w:szCs w:val="18"/>
                <w:lang w:eastAsia="sl-SI"/>
              </w:rPr>
            </w:pPr>
            <w:r w:rsidRPr="00A55C5C">
              <w:rPr>
                <w:rFonts w:ascii="Arial" w:eastAsia="Times New Roman" w:hAnsi="Arial" w:cs="Arial"/>
                <w:b/>
                <w:bCs/>
                <w:color w:val="000000"/>
                <w:sz w:val="18"/>
                <w:szCs w:val="18"/>
                <w:lang w:eastAsia="sl-SI"/>
              </w:rPr>
              <w:t>4,93</w:t>
            </w:r>
            <w:r w:rsidR="00912E66">
              <w:rPr>
                <w:rFonts w:ascii="Arial" w:eastAsia="Times New Roman" w:hAnsi="Arial" w:cs="Arial"/>
                <w:b/>
                <w:bCs/>
                <w:color w:val="000000"/>
                <w:sz w:val="18"/>
                <w:szCs w:val="18"/>
                <w:lang w:eastAsia="sl-SI"/>
              </w:rPr>
              <w:t xml:space="preserve"> </w:t>
            </w:r>
            <w:r w:rsidRPr="00A55C5C">
              <w:rPr>
                <w:rFonts w:ascii="Arial" w:eastAsia="Times New Roman" w:hAnsi="Arial" w:cs="Arial"/>
                <w:b/>
                <w:bCs/>
                <w:color w:val="000000"/>
                <w:sz w:val="18"/>
                <w:szCs w:val="18"/>
                <w:lang w:eastAsia="sl-SI"/>
              </w:rPr>
              <w:t>%</w:t>
            </w:r>
          </w:p>
        </w:tc>
      </w:tr>
    </w:tbl>
    <w:p w14:paraId="534920B7" w14:textId="3A08A9D8" w:rsidR="00E4026D" w:rsidRPr="00012435" w:rsidRDefault="00E4026D" w:rsidP="00E4026D">
      <w:pPr>
        <w:spacing w:line="240" w:lineRule="auto"/>
        <w:jc w:val="both"/>
        <w:rPr>
          <w:rFonts w:ascii="Arial" w:hAnsi="Arial" w:cs="Arial"/>
          <w:i/>
          <w:sz w:val="18"/>
          <w:szCs w:val="18"/>
        </w:rPr>
      </w:pPr>
      <w:r w:rsidRPr="00012435">
        <w:rPr>
          <w:rFonts w:ascii="Arial" w:hAnsi="Arial" w:cs="Arial"/>
          <w:i/>
          <w:sz w:val="18"/>
          <w:szCs w:val="18"/>
        </w:rPr>
        <w:t>Vir: Lastni preračuni MF</w:t>
      </w:r>
      <w:r w:rsidR="00177B12">
        <w:rPr>
          <w:rFonts w:ascii="Arial" w:hAnsi="Arial" w:cs="Arial"/>
          <w:i/>
          <w:sz w:val="18"/>
          <w:szCs w:val="18"/>
        </w:rPr>
        <w:t>,</w:t>
      </w:r>
      <w:r w:rsidRPr="00012435">
        <w:rPr>
          <w:rFonts w:ascii="Arial" w:hAnsi="Arial" w:cs="Arial"/>
          <w:i/>
          <w:sz w:val="18"/>
          <w:szCs w:val="18"/>
        </w:rPr>
        <w:t xml:space="preserve"> podatki FURS iz obračunov </w:t>
      </w:r>
      <w:r w:rsidR="00390A2A">
        <w:rPr>
          <w:rFonts w:ascii="Arial" w:hAnsi="Arial" w:cs="Arial"/>
          <w:i/>
          <w:sz w:val="18"/>
          <w:szCs w:val="18"/>
        </w:rPr>
        <w:t>oziroma</w:t>
      </w:r>
      <w:r w:rsidRPr="00012435">
        <w:rPr>
          <w:rFonts w:ascii="Arial" w:hAnsi="Arial" w:cs="Arial"/>
          <w:i/>
          <w:sz w:val="18"/>
          <w:szCs w:val="18"/>
        </w:rPr>
        <w:t xml:space="preserve"> odmer posameznega davka</w:t>
      </w:r>
      <w:r w:rsidR="00912E66">
        <w:rPr>
          <w:rFonts w:ascii="Arial" w:hAnsi="Arial" w:cs="Arial"/>
          <w:i/>
          <w:sz w:val="18"/>
          <w:szCs w:val="18"/>
        </w:rPr>
        <w:t>.</w:t>
      </w:r>
    </w:p>
    <w:p w14:paraId="3470863B" w14:textId="77777777" w:rsidR="00E4026D" w:rsidRDefault="00E4026D" w:rsidP="00012435">
      <w:pPr>
        <w:spacing w:after="0" w:line="240" w:lineRule="auto"/>
        <w:jc w:val="both"/>
        <w:rPr>
          <w:szCs w:val="20"/>
        </w:rPr>
      </w:pPr>
    </w:p>
    <w:p w14:paraId="24BFB3B5" w14:textId="4CA95ABF" w:rsidR="004931BE" w:rsidRDefault="00E4026D" w:rsidP="000E6368">
      <w:pPr>
        <w:spacing w:after="0"/>
        <w:jc w:val="both"/>
        <w:rPr>
          <w:rFonts w:ascii="Arial" w:hAnsi="Arial" w:cs="Arial"/>
          <w:sz w:val="20"/>
          <w:szCs w:val="20"/>
        </w:rPr>
      </w:pPr>
      <w:r w:rsidRPr="00012435">
        <w:rPr>
          <w:rFonts w:ascii="Arial" w:hAnsi="Arial" w:cs="Arial"/>
          <w:sz w:val="20"/>
          <w:szCs w:val="20"/>
        </w:rPr>
        <w:t xml:space="preserve">V nadaljevanju so podrobneje analizirani davčni </w:t>
      </w:r>
      <w:r w:rsidR="001466F2" w:rsidRPr="00012435">
        <w:rPr>
          <w:rFonts w:ascii="Arial" w:hAnsi="Arial" w:cs="Arial"/>
          <w:sz w:val="20"/>
          <w:szCs w:val="20"/>
        </w:rPr>
        <w:t xml:space="preserve">izdatki </w:t>
      </w:r>
      <w:r w:rsidRPr="00012435">
        <w:rPr>
          <w:rFonts w:ascii="Arial" w:hAnsi="Arial" w:cs="Arial"/>
          <w:sz w:val="20"/>
          <w:szCs w:val="20"/>
        </w:rPr>
        <w:t xml:space="preserve">po posameznih </w:t>
      </w:r>
      <w:r w:rsidR="00EC590E" w:rsidRPr="00012435">
        <w:rPr>
          <w:rFonts w:ascii="Arial" w:hAnsi="Arial" w:cs="Arial"/>
          <w:sz w:val="20"/>
          <w:szCs w:val="20"/>
        </w:rPr>
        <w:t xml:space="preserve">glavnih </w:t>
      </w:r>
      <w:r w:rsidRPr="00012435">
        <w:rPr>
          <w:rFonts w:ascii="Arial" w:hAnsi="Arial" w:cs="Arial"/>
          <w:sz w:val="20"/>
          <w:szCs w:val="20"/>
        </w:rPr>
        <w:t xml:space="preserve">vrstah davkov na podlagi podatkov davčnih obračunov </w:t>
      </w:r>
      <w:r w:rsidR="00912E66">
        <w:rPr>
          <w:rFonts w:ascii="Arial" w:hAnsi="Arial" w:cs="Arial"/>
          <w:sz w:val="20"/>
          <w:szCs w:val="20"/>
        </w:rPr>
        <w:t>in</w:t>
      </w:r>
      <w:r w:rsidRPr="00012435">
        <w:rPr>
          <w:rFonts w:ascii="Arial" w:hAnsi="Arial" w:cs="Arial"/>
          <w:sz w:val="20"/>
          <w:szCs w:val="20"/>
        </w:rPr>
        <w:t xml:space="preserve"> odmer Finančne uprave R</w:t>
      </w:r>
      <w:r w:rsidR="00912E66">
        <w:rPr>
          <w:rFonts w:ascii="Arial" w:hAnsi="Arial" w:cs="Arial"/>
          <w:sz w:val="20"/>
          <w:szCs w:val="20"/>
        </w:rPr>
        <w:t xml:space="preserve">epublike </w:t>
      </w:r>
      <w:r w:rsidRPr="00012435">
        <w:rPr>
          <w:rFonts w:ascii="Arial" w:hAnsi="Arial" w:cs="Arial"/>
          <w:sz w:val="20"/>
          <w:szCs w:val="20"/>
        </w:rPr>
        <w:t>S</w:t>
      </w:r>
      <w:r w:rsidR="00912E66">
        <w:rPr>
          <w:rFonts w:ascii="Arial" w:hAnsi="Arial" w:cs="Arial"/>
          <w:sz w:val="20"/>
          <w:szCs w:val="20"/>
        </w:rPr>
        <w:t>lovenije</w:t>
      </w:r>
      <w:r w:rsidRPr="00012435">
        <w:rPr>
          <w:rFonts w:ascii="Arial" w:hAnsi="Arial" w:cs="Arial"/>
          <w:sz w:val="20"/>
          <w:szCs w:val="20"/>
        </w:rPr>
        <w:t xml:space="preserve"> (FURS) </w:t>
      </w:r>
      <w:r w:rsidR="00091D42" w:rsidRPr="00091D42">
        <w:rPr>
          <w:rFonts w:ascii="Arial" w:hAnsi="Arial" w:cs="Arial"/>
          <w:sz w:val="20"/>
          <w:szCs w:val="20"/>
        </w:rPr>
        <w:t xml:space="preserve">za </w:t>
      </w:r>
      <w:r w:rsidR="00177B12">
        <w:rPr>
          <w:rFonts w:ascii="Arial" w:hAnsi="Arial" w:cs="Arial"/>
          <w:sz w:val="20"/>
          <w:szCs w:val="20"/>
        </w:rPr>
        <w:t xml:space="preserve">obdobje od leta 2016 do </w:t>
      </w:r>
      <w:r w:rsidR="00091D42" w:rsidRPr="00091D42">
        <w:rPr>
          <w:rFonts w:ascii="Arial" w:hAnsi="Arial" w:cs="Arial"/>
          <w:sz w:val="20"/>
          <w:szCs w:val="20"/>
        </w:rPr>
        <w:t>2018.</w:t>
      </w:r>
    </w:p>
    <w:p w14:paraId="1BDA256C" w14:textId="760D5CAF" w:rsidR="00091D42" w:rsidRPr="004931BE" w:rsidRDefault="00091D42" w:rsidP="00012435">
      <w:pPr>
        <w:spacing w:after="0"/>
        <w:rPr>
          <w:rFonts w:ascii="Arial" w:hAnsi="Arial" w:cs="Arial"/>
          <w:sz w:val="20"/>
          <w:szCs w:val="20"/>
        </w:rPr>
      </w:pPr>
    </w:p>
    <w:p w14:paraId="6B368193" w14:textId="7423E698" w:rsidR="00E4026D" w:rsidRPr="00012435" w:rsidRDefault="0095746F" w:rsidP="00012435">
      <w:pPr>
        <w:pStyle w:val="Heading3"/>
        <w:spacing w:before="0" w:after="0"/>
        <w:rPr>
          <w:rFonts w:ascii="Arial" w:hAnsi="Arial" w:cs="Arial"/>
        </w:rPr>
      </w:pPr>
      <w:r w:rsidRPr="00012435">
        <w:rPr>
          <w:rFonts w:ascii="Arial" w:hAnsi="Arial" w:cs="Arial"/>
        </w:rPr>
        <w:t>1</w:t>
      </w:r>
      <w:r w:rsidR="00E4026D" w:rsidRPr="00012435">
        <w:rPr>
          <w:rFonts w:ascii="Arial" w:hAnsi="Arial" w:cs="Arial"/>
        </w:rPr>
        <w:t>.</w:t>
      </w:r>
      <w:r w:rsidR="00281839" w:rsidRPr="00012435">
        <w:rPr>
          <w:rFonts w:ascii="Arial" w:hAnsi="Arial" w:cs="Arial"/>
        </w:rPr>
        <w:t>1</w:t>
      </w:r>
      <w:r w:rsidR="00E4026D" w:rsidRPr="00012435">
        <w:rPr>
          <w:rFonts w:ascii="Arial" w:hAnsi="Arial" w:cs="Arial"/>
        </w:rPr>
        <w:t xml:space="preserve"> Dohodnina</w:t>
      </w:r>
    </w:p>
    <w:p w14:paraId="2515D027" w14:textId="77777777" w:rsidR="00E4026D" w:rsidRPr="00012435" w:rsidRDefault="00E4026D" w:rsidP="00012435">
      <w:pPr>
        <w:spacing w:after="0" w:line="260" w:lineRule="atLeast"/>
        <w:jc w:val="both"/>
        <w:rPr>
          <w:rFonts w:ascii="Arial" w:hAnsi="Arial" w:cs="Arial"/>
          <w:b/>
          <w:sz w:val="20"/>
          <w:szCs w:val="20"/>
        </w:rPr>
      </w:pPr>
    </w:p>
    <w:p w14:paraId="50DF2370" w14:textId="77777777" w:rsidR="00E4026D" w:rsidRPr="00012435" w:rsidRDefault="00E4026D" w:rsidP="00012435">
      <w:pPr>
        <w:spacing w:after="0" w:line="260" w:lineRule="atLeast"/>
        <w:jc w:val="both"/>
        <w:rPr>
          <w:rFonts w:ascii="Arial" w:hAnsi="Arial" w:cs="Arial"/>
          <w:sz w:val="20"/>
          <w:szCs w:val="20"/>
        </w:rPr>
      </w:pPr>
      <w:r w:rsidRPr="00012435">
        <w:rPr>
          <w:rFonts w:ascii="Arial" w:hAnsi="Arial" w:cs="Arial"/>
          <w:sz w:val="20"/>
          <w:szCs w:val="20"/>
        </w:rPr>
        <w:t>Sistem obdavčitve dohodkov fizičnih oseb je določen z Zakonom o dohodnini (Uradni list RS, št. 13/11 – uradno prečiščeno besedilo, 9/12 – odl. US, 24/12, 30/12, 40/12 – ZUJF, 75/12, 94/12, 52/13 – odl. US, 96/13, 29/14 – odl. US, 50/14, 85/14-ZUJF-B, 23/15, 55/15, 102/15-ZUJF-E, 63/16, 69/17, 21/19, 28/19 in 66/19); v nadaljnjem besedilu: ZDoh-2).</w:t>
      </w:r>
    </w:p>
    <w:p w14:paraId="1B5F4D2A" w14:textId="77777777" w:rsidR="00E4026D" w:rsidRPr="00012435" w:rsidRDefault="00E4026D" w:rsidP="00012435">
      <w:pPr>
        <w:spacing w:after="0" w:line="260" w:lineRule="atLeast"/>
        <w:jc w:val="both"/>
        <w:rPr>
          <w:rFonts w:ascii="Arial" w:hAnsi="Arial" w:cs="Arial"/>
          <w:sz w:val="20"/>
          <w:szCs w:val="20"/>
        </w:rPr>
      </w:pPr>
    </w:p>
    <w:p w14:paraId="3220170E" w14:textId="4A2888C5" w:rsidR="00E4026D" w:rsidRPr="00012435" w:rsidRDefault="00E4026D" w:rsidP="00012435">
      <w:pPr>
        <w:autoSpaceDE w:val="0"/>
        <w:autoSpaceDN w:val="0"/>
        <w:adjustRightInd w:val="0"/>
        <w:spacing w:after="0" w:line="260" w:lineRule="atLeast"/>
        <w:jc w:val="both"/>
        <w:rPr>
          <w:rFonts w:ascii="Arial" w:hAnsi="Arial" w:cs="Arial"/>
          <w:sz w:val="20"/>
          <w:szCs w:val="20"/>
        </w:rPr>
      </w:pPr>
      <w:r w:rsidRPr="00012435">
        <w:rPr>
          <w:rFonts w:ascii="Arial" w:hAnsi="Arial" w:cs="Arial"/>
          <w:sz w:val="20"/>
          <w:szCs w:val="20"/>
        </w:rPr>
        <w:t xml:space="preserve">Zavezanec za dohodnino je fizična oseba ne glede na starost, ki prejme </w:t>
      </w:r>
      <w:r w:rsidR="00177B12">
        <w:rPr>
          <w:rFonts w:ascii="Arial" w:hAnsi="Arial" w:cs="Arial"/>
          <w:sz w:val="20"/>
          <w:szCs w:val="20"/>
        </w:rPr>
        <w:t xml:space="preserve">obdavčene </w:t>
      </w:r>
      <w:r w:rsidRPr="00012435">
        <w:rPr>
          <w:rFonts w:ascii="Arial" w:hAnsi="Arial" w:cs="Arial"/>
          <w:sz w:val="20"/>
          <w:szCs w:val="20"/>
        </w:rPr>
        <w:t>dohodke</w:t>
      </w:r>
      <w:r w:rsidR="00CE4E92">
        <w:rPr>
          <w:rFonts w:ascii="Arial" w:hAnsi="Arial" w:cs="Arial"/>
          <w:sz w:val="20"/>
          <w:szCs w:val="20"/>
        </w:rPr>
        <w:t>,</w:t>
      </w:r>
      <w:r w:rsidRPr="00012435">
        <w:rPr>
          <w:rFonts w:ascii="Arial" w:hAnsi="Arial" w:cs="Arial"/>
          <w:sz w:val="20"/>
          <w:szCs w:val="20"/>
        </w:rPr>
        <w:t xml:space="preserve"> dosežene v posameznem letu. V skladu z zakonom se lahko zavezancu priznajo naslednje olajšave:</w:t>
      </w:r>
    </w:p>
    <w:p w14:paraId="142142EA" w14:textId="77777777" w:rsidR="00E4026D" w:rsidRPr="00012435" w:rsidRDefault="00E4026D" w:rsidP="0095746F">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splošna olajšava;</w:t>
      </w:r>
    </w:p>
    <w:p w14:paraId="5B10C1C7" w14:textId="77777777" w:rsidR="00E4026D" w:rsidRPr="00012435" w:rsidRDefault="00E4026D" w:rsidP="00616D10">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dodatna splošna olajšava za zavezance do določene višine skupnih dohodkov;</w:t>
      </w:r>
    </w:p>
    <w:p w14:paraId="2CE6E708" w14:textId="31AD0DA6" w:rsidR="00E4026D" w:rsidRPr="00012435" w:rsidRDefault="00E4026D" w:rsidP="009B3443">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za invalida s 100</w:t>
      </w:r>
      <w:r w:rsidR="004D5A54">
        <w:rPr>
          <w:rFonts w:ascii="Arial" w:hAnsi="Arial" w:cs="Arial"/>
          <w:sz w:val="20"/>
          <w:szCs w:val="20"/>
        </w:rPr>
        <w:t>-odstotno</w:t>
      </w:r>
      <w:r w:rsidRPr="00012435">
        <w:rPr>
          <w:rFonts w:ascii="Arial" w:hAnsi="Arial" w:cs="Arial"/>
          <w:sz w:val="20"/>
          <w:szCs w:val="20"/>
        </w:rPr>
        <w:t xml:space="preserve"> telesno okvaro;</w:t>
      </w:r>
    </w:p>
    <w:p w14:paraId="3139DB6C" w14:textId="77777777" w:rsidR="00E4026D" w:rsidRPr="00012435" w:rsidRDefault="00E4026D" w:rsidP="0043200E">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študentska olajšava, namenjena rezidentu, ki se izobražuje in ima status dijaka ali študenta;</w:t>
      </w:r>
    </w:p>
    <w:p w14:paraId="13A39CF2" w14:textId="77777777" w:rsidR="00E4026D" w:rsidRPr="00012435" w:rsidRDefault="00E4026D" w:rsidP="00E670A6">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za vzdrževanega otroka;</w:t>
      </w:r>
    </w:p>
    <w:p w14:paraId="5D9ADDAF" w14:textId="517812F7" w:rsidR="00E4026D" w:rsidRDefault="00E4026D" w:rsidP="000E1307">
      <w:pPr>
        <w:pStyle w:val="ListParagraph"/>
        <w:numPr>
          <w:ilvl w:val="0"/>
          <w:numId w:val="60"/>
        </w:numPr>
        <w:spacing w:line="260" w:lineRule="atLeast"/>
        <w:jc w:val="both"/>
        <w:rPr>
          <w:rFonts w:ascii="Arial" w:hAnsi="Arial" w:cs="Arial"/>
          <w:sz w:val="20"/>
          <w:szCs w:val="20"/>
        </w:rPr>
      </w:pPr>
      <w:r w:rsidRPr="00012435">
        <w:rPr>
          <w:rFonts w:ascii="Arial" w:hAnsi="Arial" w:cs="Arial"/>
          <w:sz w:val="20"/>
          <w:szCs w:val="20"/>
        </w:rPr>
        <w:t>za vsakega drugega vzdrževanega družinskega člana (</w:t>
      </w:r>
      <w:r w:rsidR="00CE4E92">
        <w:rPr>
          <w:rFonts w:ascii="Arial" w:hAnsi="Arial" w:cs="Arial"/>
          <w:sz w:val="20"/>
          <w:szCs w:val="20"/>
        </w:rPr>
        <w:t>kakor so</w:t>
      </w:r>
      <w:r w:rsidRPr="00012435">
        <w:rPr>
          <w:rFonts w:ascii="Arial" w:hAnsi="Arial" w:cs="Arial"/>
          <w:sz w:val="20"/>
          <w:szCs w:val="20"/>
        </w:rPr>
        <w:t xml:space="preserve"> zakonec, posvojenec, vnuk itd.);</w:t>
      </w:r>
    </w:p>
    <w:p w14:paraId="6A421DFC" w14:textId="77777777" w:rsidR="00F630CA" w:rsidRPr="005F7F16" w:rsidRDefault="00F630CA" w:rsidP="00F630CA">
      <w:pPr>
        <w:pStyle w:val="ListParagraph"/>
        <w:numPr>
          <w:ilvl w:val="0"/>
          <w:numId w:val="60"/>
        </w:numPr>
        <w:spacing w:line="260" w:lineRule="atLeast"/>
        <w:jc w:val="both"/>
        <w:rPr>
          <w:rFonts w:ascii="Arial" w:hAnsi="Arial" w:cs="Arial"/>
          <w:sz w:val="20"/>
          <w:szCs w:val="20"/>
        </w:rPr>
      </w:pPr>
      <w:r w:rsidRPr="005F7F16">
        <w:rPr>
          <w:rFonts w:ascii="Arial" w:hAnsi="Arial" w:cs="Arial"/>
          <w:sz w:val="20"/>
          <w:szCs w:val="20"/>
        </w:rPr>
        <w:t>za otroka, ki potrebuje posebno nego in varstvo;</w:t>
      </w:r>
    </w:p>
    <w:p w14:paraId="19376927" w14:textId="05FC2FA4" w:rsidR="00E4026D" w:rsidRPr="00012435" w:rsidRDefault="00E4026D" w:rsidP="00CE280F">
      <w:pPr>
        <w:pStyle w:val="ListParagraph"/>
        <w:numPr>
          <w:ilvl w:val="0"/>
          <w:numId w:val="55"/>
        </w:numPr>
        <w:spacing w:line="260" w:lineRule="atLeast"/>
        <w:jc w:val="both"/>
        <w:rPr>
          <w:rFonts w:ascii="Arial" w:hAnsi="Arial" w:cs="Arial"/>
          <w:sz w:val="20"/>
          <w:szCs w:val="20"/>
        </w:rPr>
      </w:pPr>
      <w:r w:rsidRPr="00012435">
        <w:rPr>
          <w:rFonts w:ascii="Arial" w:hAnsi="Arial" w:cs="Arial"/>
          <w:sz w:val="20"/>
          <w:szCs w:val="20"/>
        </w:rPr>
        <w:t>za prostovoljno dodatno pokojninsko zavarovanje</w:t>
      </w:r>
      <w:r w:rsidR="00BC2EE6">
        <w:rPr>
          <w:rFonts w:ascii="Arial" w:hAnsi="Arial" w:cs="Arial"/>
          <w:sz w:val="20"/>
          <w:szCs w:val="20"/>
        </w:rPr>
        <w:t>.</w:t>
      </w:r>
    </w:p>
    <w:p w14:paraId="415EAF83" w14:textId="246219AB" w:rsidR="00E4026D" w:rsidRDefault="00E4026D" w:rsidP="00012435">
      <w:pPr>
        <w:pStyle w:val="ListParagraph"/>
        <w:spacing w:line="260" w:lineRule="atLeast"/>
        <w:ind w:left="0"/>
        <w:jc w:val="both"/>
        <w:rPr>
          <w:rFonts w:ascii="Arial" w:hAnsi="Arial" w:cs="Arial"/>
          <w:sz w:val="20"/>
          <w:szCs w:val="20"/>
        </w:rPr>
      </w:pPr>
    </w:p>
    <w:p w14:paraId="627F6D3E" w14:textId="6CDB5744" w:rsidR="007A2CB8" w:rsidRDefault="007A2CB8" w:rsidP="00012435">
      <w:pPr>
        <w:pStyle w:val="ListParagraph"/>
        <w:spacing w:line="260" w:lineRule="atLeast"/>
        <w:ind w:left="0"/>
        <w:jc w:val="both"/>
        <w:rPr>
          <w:rFonts w:ascii="Arial" w:hAnsi="Arial" w:cs="Arial"/>
          <w:sz w:val="20"/>
          <w:szCs w:val="20"/>
        </w:rPr>
      </w:pPr>
      <w:r>
        <w:rPr>
          <w:rFonts w:ascii="Arial" w:hAnsi="Arial" w:cs="Arial"/>
          <w:sz w:val="20"/>
          <w:szCs w:val="20"/>
        </w:rPr>
        <w:t>Splošne olajšave ne štejemo med davčne izdatke, ker gre za olajšavo, ki j</w:t>
      </w:r>
      <w:r w:rsidR="00C01C07">
        <w:rPr>
          <w:rFonts w:ascii="Arial" w:hAnsi="Arial" w:cs="Arial"/>
          <w:sz w:val="20"/>
          <w:szCs w:val="20"/>
        </w:rPr>
        <w:t>o</w:t>
      </w:r>
      <w:r>
        <w:rPr>
          <w:rFonts w:ascii="Arial" w:hAnsi="Arial" w:cs="Arial"/>
          <w:sz w:val="20"/>
          <w:szCs w:val="20"/>
        </w:rPr>
        <w:t xml:space="preserve"> </w:t>
      </w:r>
      <w:r w:rsidR="00C01C07">
        <w:rPr>
          <w:rFonts w:ascii="Arial" w:hAnsi="Arial" w:cs="Arial"/>
          <w:sz w:val="20"/>
          <w:szCs w:val="20"/>
        </w:rPr>
        <w:t>običajno</w:t>
      </w:r>
      <w:r>
        <w:rPr>
          <w:rFonts w:ascii="Arial" w:hAnsi="Arial" w:cs="Arial"/>
          <w:sz w:val="20"/>
          <w:szCs w:val="20"/>
        </w:rPr>
        <w:t xml:space="preserve"> uveljavijo vsi zavezanci in zato ne povzr</w:t>
      </w:r>
      <w:r w:rsidR="00AC13E9">
        <w:rPr>
          <w:rFonts w:ascii="Arial" w:hAnsi="Arial" w:cs="Arial"/>
          <w:sz w:val="20"/>
          <w:szCs w:val="20"/>
        </w:rPr>
        <w:t xml:space="preserve">oča razlikovanja med zavezanci. </w:t>
      </w:r>
    </w:p>
    <w:p w14:paraId="31A9D140" w14:textId="77777777" w:rsidR="007A2CB8" w:rsidRPr="00012435" w:rsidRDefault="007A2CB8" w:rsidP="00012435">
      <w:pPr>
        <w:pStyle w:val="ListParagraph"/>
        <w:spacing w:line="260" w:lineRule="atLeast"/>
        <w:ind w:left="0"/>
        <w:jc w:val="both"/>
        <w:rPr>
          <w:rFonts w:ascii="Arial" w:hAnsi="Arial" w:cs="Arial"/>
          <w:sz w:val="20"/>
          <w:szCs w:val="20"/>
        </w:rPr>
      </w:pPr>
    </w:p>
    <w:p w14:paraId="68801C37" w14:textId="2C1D3D64" w:rsidR="00E4026D" w:rsidRPr="00012435" w:rsidRDefault="00E4026D" w:rsidP="00012435">
      <w:pPr>
        <w:pStyle w:val="ListParagraph"/>
        <w:spacing w:line="260" w:lineRule="atLeast"/>
        <w:ind w:left="0"/>
        <w:jc w:val="both"/>
        <w:rPr>
          <w:rFonts w:ascii="Arial" w:hAnsi="Arial" w:cs="Arial"/>
          <w:sz w:val="20"/>
          <w:szCs w:val="20"/>
        </w:rPr>
      </w:pPr>
      <w:r w:rsidRPr="00012435">
        <w:rPr>
          <w:rFonts w:ascii="Arial" w:hAnsi="Arial" w:cs="Arial"/>
          <w:sz w:val="20"/>
          <w:szCs w:val="20"/>
        </w:rPr>
        <w:t xml:space="preserve">Kot pomembni davčni </w:t>
      </w:r>
      <w:r w:rsidR="0095746F">
        <w:rPr>
          <w:rFonts w:ascii="Arial" w:hAnsi="Arial" w:cs="Arial"/>
          <w:sz w:val="20"/>
          <w:szCs w:val="20"/>
        </w:rPr>
        <w:t>izdatk</w:t>
      </w:r>
      <w:r w:rsidR="0095746F" w:rsidRPr="00012435">
        <w:rPr>
          <w:rFonts w:ascii="Arial" w:hAnsi="Arial" w:cs="Arial"/>
          <w:sz w:val="20"/>
          <w:szCs w:val="20"/>
        </w:rPr>
        <w:t xml:space="preserve">i </w:t>
      </w:r>
      <w:r w:rsidRPr="00012435">
        <w:rPr>
          <w:rFonts w:ascii="Arial" w:hAnsi="Arial" w:cs="Arial"/>
          <w:sz w:val="20"/>
          <w:szCs w:val="20"/>
        </w:rPr>
        <w:t>so poleg davčnih olajšav tudi različne oprostitve, k</w:t>
      </w:r>
      <w:r w:rsidR="00C01C07">
        <w:rPr>
          <w:rFonts w:ascii="Arial" w:hAnsi="Arial" w:cs="Arial"/>
          <w:sz w:val="20"/>
          <w:szCs w:val="20"/>
        </w:rPr>
        <w:t>akor</w:t>
      </w:r>
      <w:r w:rsidRPr="00012435">
        <w:rPr>
          <w:rFonts w:ascii="Arial" w:hAnsi="Arial" w:cs="Arial"/>
          <w:sz w:val="20"/>
          <w:szCs w:val="20"/>
        </w:rPr>
        <w:t xml:space="preserve"> so</w:t>
      </w:r>
      <w:r w:rsidR="00C01C07">
        <w:rPr>
          <w:rFonts w:ascii="Arial" w:hAnsi="Arial" w:cs="Arial"/>
          <w:sz w:val="20"/>
          <w:szCs w:val="20"/>
        </w:rPr>
        <w:t xml:space="preserve"> na primer</w:t>
      </w:r>
      <w:r w:rsidRPr="00012435">
        <w:rPr>
          <w:rFonts w:ascii="Arial" w:hAnsi="Arial" w:cs="Arial"/>
          <w:sz w:val="20"/>
          <w:szCs w:val="20"/>
        </w:rPr>
        <w:t xml:space="preserve"> oprostitev plačila dohodnine od obresti</w:t>
      </w:r>
      <w:r w:rsidRPr="00012435">
        <w:rPr>
          <w:rFonts w:ascii="Arial" w:hAnsi="Arial" w:cs="Arial"/>
          <w:sz w:val="20"/>
          <w:szCs w:val="20"/>
          <w:lang w:val="x-none"/>
        </w:rPr>
        <w:t xml:space="preserve"> na denarne depozite pri bankah in hranilnicah </w:t>
      </w:r>
      <w:r w:rsidRPr="00012435">
        <w:rPr>
          <w:rFonts w:ascii="Arial" w:hAnsi="Arial" w:cs="Arial"/>
          <w:sz w:val="20"/>
          <w:szCs w:val="20"/>
        </w:rPr>
        <w:t xml:space="preserve">do 1.000 </w:t>
      </w:r>
      <w:r w:rsidR="0095746F">
        <w:rPr>
          <w:rFonts w:ascii="Arial" w:hAnsi="Arial" w:cs="Arial"/>
          <w:sz w:val="20"/>
          <w:szCs w:val="20"/>
        </w:rPr>
        <w:t>evrov</w:t>
      </w:r>
      <w:r w:rsidRPr="00012435">
        <w:rPr>
          <w:rFonts w:ascii="Arial" w:hAnsi="Arial" w:cs="Arial"/>
          <w:sz w:val="20"/>
          <w:szCs w:val="20"/>
        </w:rPr>
        <w:t>, oproščeni dohodki v skladu z Zdoh-2, od 20. do 34. člena, oproščeni dohodki v zvezi z opravljanje</w:t>
      </w:r>
      <w:r w:rsidR="0095746F">
        <w:rPr>
          <w:rFonts w:ascii="Arial" w:hAnsi="Arial" w:cs="Arial"/>
          <w:sz w:val="20"/>
          <w:szCs w:val="20"/>
        </w:rPr>
        <w:t>m</w:t>
      </w:r>
      <w:r w:rsidRPr="00012435">
        <w:rPr>
          <w:rFonts w:ascii="Arial" w:hAnsi="Arial" w:cs="Arial"/>
          <w:sz w:val="20"/>
          <w:szCs w:val="20"/>
        </w:rPr>
        <w:t xml:space="preserve"> osnovne kmetijske in osnovne gozdarske dejavnosti do višine 200 evrov itd.</w:t>
      </w:r>
    </w:p>
    <w:p w14:paraId="15C74BD7" w14:textId="77777777" w:rsidR="00E4026D" w:rsidRDefault="00E4026D" w:rsidP="00012435">
      <w:pPr>
        <w:pStyle w:val="ListParagraph"/>
        <w:spacing w:line="260" w:lineRule="atLeast"/>
        <w:ind w:left="0"/>
        <w:jc w:val="both"/>
        <w:rPr>
          <w:rFonts w:ascii="Arial" w:hAnsi="Arial" w:cs="Arial"/>
          <w:sz w:val="20"/>
          <w:szCs w:val="20"/>
        </w:rPr>
      </w:pPr>
    </w:p>
    <w:p w14:paraId="15931653" w14:textId="77777777" w:rsidR="0066096A" w:rsidRDefault="0066096A">
      <w:pPr>
        <w:spacing w:after="0" w:line="240" w:lineRule="auto"/>
        <w:rPr>
          <w:rFonts w:ascii="Arial" w:eastAsia="Times New Roman" w:hAnsi="Arial" w:cs="Arial"/>
          <w:sz w:val="20"/>
          <w:szCs w:val="20"/>
          <w:lang w:eastAsia="sl-SI"/>
        </w:rPr>
      </w:pPr>
      <w:r>
        <w:rPr>
          <w:rFonts w:ascii="Arial" w:hAnsi="Arial" w:cs="Arial"/>
          <w:sz w:val="20"/>
          <w:szCs w:val="20"/>
        </w:rPr>
        <w:br w:type="page"/>
      </w:r>
    </w:p>
    <w:p w14:paraId="19B53320" w14:textId="176E39D8" w:rsidR="0095746F" w:rsidRDefault="009B0B27" w:rsidP="00012435">
      <w:pPr>
        <w:pStyle w:val="ListParagraph"/>
        <w:spacing w:line="260" w:lineRule="atLeast"/>
        <w:ind w:left="0"/>
        <w:jc w:val="both"/>
        <w:rPr>
          <w:rFonts w:ascii="Arial" w:hAnsi="Arial" w:cs="Arial"/>
          <w:sz w:val="20"/>
          <w:szCs w:val="20"/>
        </w:rPr>
      </w:pPr>
      <w:r>
        <w:rPr>
          <w:rFonts w:ascii="Arial" w:hAnsi="Arial" w:cs="Arial"/>
          <w:sz w:val="20"/>
          <w:szCs w:val="20"/>
        </w:rPr>
        <w:lastRenderedPageBreak/>
        <w:t>Preglednica</w:t>
      </w:r>
      <w:r w:rsidR="0095746F">
        <w:rPr>
          <w:rFonts w:ascii="Arial" w:hAnsi="Arial" w:cs="Arial"/>
          <w:sz w:val="20"/>
          <w:szCs w:val="20"/>
        </w:rPr>
        <w:t xml:space="preserve"> </w:t>
      </w:r>
      <w:r w:rsidR="00091D42">
        <w:rPr>
          <w:rFonts w:ascii="Arial" w:hAnsi="Arial" w:cs="Arial"/>
          <w:sz w:val="20"/>
          <w:szCs w:val="20"/>
        </w:rPr>
        <w:t>3</w:t>
      </w:r>
      <w:r w:rsidR="0095746F">
        <w:rPr>
          <w:rFonts w:ascii="Arial" w:hAnsi="Arial" w:cs="Arial"/>
          <w:sz w:val="20"/>
          <w:szCs w:val="20"/>
        </w:rPr>
        <w:t>: Osnovni podatki iz odmere dohodnine v letih 2016</w:t>
      </w:r>
      <w:r w:rsidR="00C01C07">
        <w:rPr>
          <w:rFonts w:ascii="Arial" w:hAnsi="Arial" w:cs="Arial"/>
          <w:sz w:val="20"/>
          <w:szCs w:val="20"/>
        </w:rPr>
        <w:t>–</w:t>
      </w:r>
      <w:r w:rsidR="0095746F">
        <w:rPr>
          <w:rFonts w:ascii="Arial" w:hAnsi="Arial" w:cs="Arial"/>
          <w:sz w:val="20"/>
          <w:szCs w:val="20"/>
        </w:rPr>
        <w:t>2018, zneski v mio evr</w:t>
      </w:r>
      <w:r w:rsidR="00054792">
        <w:rPr>
          <w:rFonts w:ascii="Arial" w:hAnsi="Arial" w:cs="Arial"/>
          <w:sz w:val="20"/>
          <w:szCs w:val="20"/>
        </w:rPr>
        <w:t>ov</w:t>
      </w:r>
    </w:p>
    <w:p w14:paraId="0F092467" w14:textId="77777777" w:rsidR="0095746F" w:rsidRDefault="0095746F" w:rsidP="00012435">
      <w:pPr>
        <w:pStyle w:val="ListParagraph"/>
        <w:spacing w:line="260" w:lineRule="atLeast"/>
        <w:ind w:left="0"/>
        <w:jc w:val="both"/>
        <w:rPr>
          <w:rFonts w:ascii="Arial" w:hAnsi="Arial" w:cs="Arial"/>
          <w:sz w:val="20"/>
          <w:szCs w:val="20"/>
        </w:rPr>
      </w:pPr>
    </w:p>
    <w:tbl>
      <w:tblPr>
        <w:tblW w:w="8072" w:type="dxa"/>
        <w:tblCellMar>
          <w:left w:w="70" w:type="dxa"/>
          <w:right w:w="70" w:type="dxa"/>
        </w:tblCellMar>
        <w:tblLook w:val="04A0" w:firstRow="1" w:lastRow="0" w:firstColumn="1" w:lastColumn="0" w:noHBand="0" w:noVBand="1"/>
      </w:tblPr>
      <w:tblGrid>
        <w:gridCol w:w="4061"/>
        <w:gridCol w:w="1337"/>
        <w:gridCol w:w="1337"/>
        <w:gridCol w:w="1337"/>
      </w:tblGrid>
      <w:tr w:rsidR="00B00B73" w:rsidRPr="00063369" w14:paraId="3F2F9009" w14:textId="77777777" w:rsidTr="000E6368">
        <w:trPr>
          <w:trHeight w:val="307"/>
        </w:trPr>
        <w:tc>
          <w:tcPr>
            <w:tcW w:w="4061" w:type="dxa"/>
            <w:tcBorders>
              <w:top w:val="nil"/>
              <w:left w:val="nil"/>
              <w:bottom w:val="single" w:sz="8" w:space="0" w:color="auto"/>
              <w:right w:val="single" w:sz="8" w:space="0" w:color="auto"/>
            </w:tcBorders>
            <w:shd w:val="clear" w:color="auto" w:fill="auto"/>
            <w:noWrap/>
            <w:vAlign w:val="bottom"/>
            <w:hideMark/>
          </w:tcPr>
          <w:p w14:paraId="0EE8B604"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 </w:t>
            </w:r>
          </w:p>
        </w:tc>
        <w:tc>
          <w:tcPr>
            <w:tcW w:w="1337" w:type="dxa"/>
            <w:tcBorders>
              <w:top w:val="single" w:sz="8" w:space="0" w:color="auto"/>
              <w:left w:val="nil"/>
              <w:bottom w:val="single" w:sz="4" w:space="0" w:color="auto"/>
              <w:right w:val="nil"/>
            </w:tcBorders>
            <w:shd w:val="clear" w:color="000000" w:fill="FCD5B4"/>
            <w:noWrap/>
            <w:vAlign w:val="bottom"/>
            <w:hideMark/>
          </w:tcPr>
          <w:p w14:paraId="109B7007" w14:textId="77777777" w:rsidR="00B00B73" w:rsidRPr="000E6368" w:rsidRDefault="00B00B73" w:rsidP="00B00B73">
            <w:pPr>
              <w:spacing w:after="0" w:line="240" w:lineRule="auto"/>
              <w:jc w:val="center"/>
              <w:rPr>
                <w:rFonts w:ascii="Arial" w:eastAsia="Times New Roman" w:hAnsi="Arial" w:cs="Arial"/>
                <w:b/>
                <w:bCs/>
                <w:sz w:val="20"/>
                <w:szCs w:val="20"/>
                <w:lang w:eastAsia="sl-SI"/>
              </w:rPr>
            </w:pPr>
            <w:r w:rsidRPr="000E6368">
              <w:rPr>
                <w:rFonts w:ascii="Arial" w:eastAsia="Times New Roman" w:hAnsi="Arial" w:cs="Arial"/>
                <w:b/>
                <w:bCs/>
                <w:sz w:val="20"/>
                <w:szCs w:val="20"/>
                <w:lang w:eastAsia="sl-SI"/>
              </w:rPr>
              <w:t>2016</w:t>
            </w:r>
          </w:p>
        </w:tc>
        <w:tc>
          <w:tcPr>
            <w:tcW w:w="1337" w:type="dxa"/>
            <w:tcBorders>
              <w:top w:val="single" w:sz="8" w:space="0" w:color="auto"/>
              <w:left w:val="single" w:sz="4" w:space="0" w:color="auto"/>
              <w:bottom w:val="single" w:sz="4" w:space="0" w:color="auto"/>
              <w:right w:val="nil"/>
            </w:tcBorders>
            <w:shd w:val="clear" w:color="000000" w:fill="FCD5B4"/>
            <w:noWrap/>
            <w:vAlign w:val="bottom"/>
            <w:hideMark/>
          </w:tcPr>
          <w:p w14:paraId="36257557" w14:textId="77777777" w:rsidR="00B00B73" w:rsidRPr="000E6368" w:rsidRDefault="00B00B73" w:rsidP="00B00B73">
            <w:pPr>
              <w:spacing w:after="0" w:line="240" w:lineRule="auto"/>
              <w:jc w:val="center"/>
              <w:rPr>
                <w:rFonts w:ascii="Arial" w:eastAsia="Times New Roman" w:hAnsi="Arial" w:cs="Arial"/>
                <w:b/>
                <w:bCs/>
                <w:sz w:val="20"/>
                <w:szCs w:val="20"/>
                <w:lang w:eastAsia="sl-SI"/>
              </w:rPr>
            </w:pPr>
            <w:r w:rsidRPr="000E6368">
              <w:rPr>
                <w:rFonts w:ascii="Arial" w:eastAsia="Times New Roman" w:hAnsi="Arial" w:cs="Arial"/>
                <w:b/>
                <w:bCs/>
                <w:sz w:val="20"/>
                <w:szCs w:val="20"/>
                <w:lang w:eastAsia="sl-SI"/>
              </w:rPr>
              <w:t>2017</w:t>
            </w:r>
          </w:p>
        </w:tc>
        <w:tc>
          <w:tcPr>
            <w:tcW w:w="1337" w:type="dxa"/>
            <w:tcBorders>
              <w:top w:val="single" w:sz="8" w:space="0" w:color="auto"/>
              <w:left w:val="single" w:sz="4" w:space="0" w:color="auto"/>
              <w:bottom w:val="single" w:sz="4" w:space="0" w:color="auto"/>
              <w:right w:val="single" w:sz="8" w:space="0" w:color="auto"/>
            </w:tcBorders>
            <w:shd w:val="clear" w:color="000000" w:fill="FCD5B4"/>
            <w:noWrap/>
            <w:vAlign w:val="bottom"/>
            <w:hideMark/>
          </w:tcPr>
          <w:p w14:paraId="5613584E" w14:textId="77777777" w:rsidR="00B00B73" w:rsidRPr="000E6368" w:rsidRDefault="00B00B73" w:rsidP="00B00B73">
            <w:pPr>
              <w:spacing w:after="0" w:line="240" w:lineRule="auto"/>
              <w:jc w:val="center"/>
              <w:rPr>
                <w:rFonts w:ascii="Arial" w:eastAsia="Times New Roman" w:hAnsi="Arial" w:cs="Arial"/>
                <w:b/>
                <w:bCs/>
                <w:sz w:val="20"/>
                <w:szCs w:val="20"/>
                <w:lang w:eastAsia="sl-SI"/>
              </w:rPr>
            </w:pPr>
            <w:r w:rsidRPr="000E6368">
              <w:rPr>
                <w:rFonts w:ascii="Arial" w:eastAsia="Times New Roman" w:hAnsi="Arial" w:cs="Arial"/>
                <w:b/>
                <w:bCs/>
                <w:sz w:val="20"/>
                <w:szCs w:val="20"/>
                <w:lang w:eastAsia="sl-SI"/>
              </w:rPr>
              <w:t>2018</w:t>
            </w:r>
          </w:p>
        </w:tc>
      </w:tr>
      <w:tr w:rsidR="00B00B73" w:rsidRPr="00063369" w14:paraId="796CDE5A"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1EB59219"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Število zavezancev</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36B280FB"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1.522.245</w:t>
            </w:r>
          </w:p>
        </w:tc>
        <w:tc>
          <w:tcPr>
            <w:tcW w:w="1337" w:type="dxa"/>
            <w:tcBorders>
              <w:top w:val="nil"/>
              <w:left w:val="nil"/>
              <w:bottom w:val="single" w:sz="4" w:space="0" w:color="auto"/>
              <w:right w:val="single" w:sz="4" w:space="0" w:color="auto"/>
            </w:tcBorders>
            <w:shd w:val="clear" w:color="auto" w:fill="auto"/>
            <w:noWrap/>
            <w:vAlign w:val="bottom"/>
            <w:hideMark/>
          </w:tcPr>
          <w:p w14:paraId="790AE3FD"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1.538.121</w:t>
            </w:r>
          </w:p>
        </w:tc>
        <w:tc>
          <w:tcPr>
            <w:tcW w:w="1337" w:type="dxa"/>
            <w:tcBorders>
              <w:top w:val="nil"/>
              <w:left w:val="nil"/>
              <w:bottom w:val="single" w:sz="4" w:space="0" w:color="auto"/>
              <w:right w:val="single" w:sz="8" w:space="0" w:color="auto"/>
            </w:tcBorders>
            <w:shd w:val="clear" w:color="auto" w:fill="auto"/>
            <w:noWrap/>
            <w:vAlign w:val="bottom"/>
            <w:hideMark/>
          </w:tcPr>
          <w:p w14:paraId="31D953B4"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1.554.531</w:t>
            </w:r>
          </w:p>
        </w:tc>
      </w:tr>
      <w:tr w:rsidR="00B00B73" w:rsidRPr="00063369" w14:paraId="301C58D6"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609B2B37"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Dohodek</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3BD5B506"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20.469</w:t>
            </w:r>
          </w:p>
        </w:tc>
        <w:tc>
          <w:tcPr>
            <w:tcW w:w="1337" w:type="dxa"/>
            <w:tcBorders>
              <w:top w:val="nil"/>
              <w:left w:val="nil"/>
              <w:bottom w:val="single" w:sz="4" w:space="0" w:color="auto"/>
              <w:right w:val="single" w:sz="4" w:space="0" w:color="auto"/>
            </w:tcBorders>
            <w:shd w:val="clear" w:color="auto" w:fill="auto"/>
            <w:noWrap/>
            <w:vAlign w:val="bottom"/>
            <w:hideMark/>
          </w:tcPr>
          <w:p w14:paraId="108E6B11"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21.147</w:t>
            </w:r>
          </w:p>
        </w:tc>
        <w:tc>
          <w:tcPr>
            <w:tcW w:w="1337" w:type="dxa"/>
            <w:tcBorders>
              <w:top w:val="nil"/>
              <w:left w:val="nil"/>
              <w:bottom w:val="single" w:sz="4" w:space="0" w:color="auto"/>
              <w:right w:val="single" w:sz="8" w:space="0" w:color="auto"/>
            </w:tcBorders>
            <w:shd w:val="clear" w:color="auto" w:fill="auto"/>
            <w:noWrap/>
            <w:vAlign w:val="bottom"/>
            <w:hideMark/>
          </w:tcPr>
          <w:p w14:paraId="42AE3462"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22.349</w:t>
            </w:r>
          </w:p>
        </w:tc>
      </w:tr>
      <w:tr w:rsidR="00B00B73" w:rsidRPr="00063369" w14:paraId="1603434C"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4A88DD49"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Davčna osnova</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7F9E27A9"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9.572</w:t>
            </w:r>
          </w:p>
        </w:tc>
        <w:tc>
          <w:tcPr>
            <w:tcW w:w="1337" w:type="dxa"/>
            <w:tcBorders>
              <w:top w:val="nil"/>
              <w:left w:val="nil"/>
              <w:bottom w:val="single" w:sz="4" w:space="0" w:color="auto"/>
              <w:right w:val="single" w:sz="4" w:space="0" w:color="auto"/>
            </w:tcBorders>
            <w:shd w:val="clear" w:color="auto" w:fill="auto"/>
            <w:noWrap/>
            <w:vAlign w:val="bottom"/>
            <w:hideMark/>
          </w:tcPr>
          <w:p w14:paraId="71647F0B"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10.060</w:t>
            </w:r>
          </w:p>
        </w:tc>
        <w:tc>
          <w:tcPr>
            <w:tcW w:w="1337" w:type="dxa"/>
            <w:tcBorders>
              <w:top w:val="nil"/>
              <w:left w:val="nil"/>
              <w:bottom w:val="single" w:sz="4" w:space="0" w:color="auto"/>
              <w:right w:val="single" w:sz="8" w:space="0" w:color="auto"/>
            </w:tcBorders>
            <w:shd w:val="clear" w:color="auto" w:fill="auto"/>
            <w:noWrap/>
            <w:vAlign w:val="bottom"/>
            <w:hideMark/>
          </w:tcPr>
          <w:p w14:paraId="376AC48E"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10.880</w:t>
            </w:r>
          </w:p>
        </w:tc>
      </w:tr>
      <w:tr w:rsidR="00B00B73" w:rsidRPr="00063369" w14:paraId="7D98D78D"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16396792"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Dohodnina</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3346FEEB"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1.904</w:t>
            </w:r>
          </w:p>
        </w:tc>
        <w:tc>
          <w:tcPr>
            <w:tcW w:w="1337" w:type="dxa"/>
            <w:tcBorders>
              <w:top w:val="nil"/>
              <w:left w:val="nil"/>
              <w:bottom w:val="single" w:sz="4" w:space="0" w:color="auto"/>
              <w:right w:val="single" w:sz="4" w:space="0" w:color="auto"/>
            </w:tcBorders>
            <w:shd w:val="clear" w:color="auto" w:fill="auto"/>
            <w:noWrap/>
            <w:vAlign w:val="bottom"/>
            <w:hideMark/>
          </w:tcPr>
          <w:p w14:paraId="45AE3DA9"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1.938</w:t>
            </w:r>
          </w:p>
        </w:tc>
        <w:tc>
          <w:tcPr>
            <w:tcW w:w="1337" w:type="dxa"/>
            <w:tcBorders>
              <w:top w:val="nil"/>
              <w:left w:val="nil"/>
              <w:bottom w:val="single" w:sz="4" w:space="0" w:color="auto"/>
              <w:right w:val="single" w:sz="8" w:space="0" w:color="auto"/>
            </w:tcBorders>
            <w:shd w:val="clear" w:color="auto" w:fill="auto"/>
            <w:noWrap/>
            <w:vAlign w:val="bottom"/>
            <w:hideMark/>
          </w:tcPr>
          <w:p w14:paraId="48805064"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2.111</w:t>
            </w:r>
          </w:p>
        </w:tc>
      </w:tr>
      <w:tr w:rsidR="00B00B73" w:rsidRPr="00063369" w14:paraId="14D8624E"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6B924A82" w14:textId="0D0A063E" w:rsidR="00B00B73" w:rsidRPr="000E6368" w:rsidRDefault="00B00B73" w:rsidP="00063369">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Dohodek na zavezanca (</w:t>
            </w:r>
            <w:r w:rsidR="00063369">
              <w:rPr>
                <w:rFonts w:ascii="Arial" w:eastAsia="Times New Roman" w:hAnsi="Arial" w:cs="Arial"/>
                <w:sz w:val="20"/>
                <w:szCs w:val="20"/>
                <w:lang w:eastAsia="sl-SI"/>
              </w:rPr>
              <w:t>evro</w:t>
            </w:r>
            <w:r w:rsidRPr="000E6368">
              <w:rPr>
                <w:rFonts w:ascii="Arial" w:eastAsia="Times New Roman" w:hAnsi="Arial" w:cs="Arial"/>
                <w:sz w:val="20"/>
                <w:szCs w:val="20"/>
                <w:lang w:eastAsia="sl-SI"/>
              </w:rPr>
              <w:t>/zav.)</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66415B07"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13.446</w:t>
            </w:r>
          </w:p>
        </w:tc>
        <w:tc>
          <w:tcPr>
            <w:tcW w:w="1337" w:type="dxa"/>
            <w:tcBorders>
              <w:top w:val="nil"/>
              <w:left w:val="nil"/>
              <w:bottom w:val="single" w:sz="4" w:space="0" w:color="auto"/>
              <w:right w:val="single" w:sz="4" w:space="0" w:color="auto"/>
            </w:tcBorders>
            <w:shd w:val="clear" w:color="auto" w:fill="auto"/>
            <w:noWrap/>
            <w:vAlign w:val="bottom"/>
            <w:hideMark/>
          </w:tcPr>
          <w:p w14:paraId="744E1AD8"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13.749</w:t>
            </w:r>
          </w:p>
        </w:tc>
        <w:tc>
          <w:tcPr>
            <w:tcW w:w="1337" w:type="dxa"/>
            <w:tcBorders>
              <w:top w:val="nil"/>
              <w:left w:val="nil"/>
              <w:bottom w:val="single" w:sz="4" w:space="0" w:color="auto"/>
              <w:right w:val="single" w:sz="8" w:space="0" w:color="auto"/>
            </w:tcBorders>
            <w:shd w:val="clear" w:color="auto" w:fill="auto"/>
            <w:noWrap/>
            <w:vAlign w:val="bottom"/>
            <w:hideMark/>
          </w:tcPr>
          <w:p w14:paraId="7368C19C"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14.377</w:t>
            </w:r>
          </w:p>
        </w:tc>
      </w:tr>
      <w:tr w:rsidR="00B00B73" w:rsidRPr="00063369" w14:paraId="0819A72F" w14:textId="77777777" w:rsidTr="000E6368">
        <w:trPr>
          <w:trHeight w:val="277"/>
        </w:trPr>
        <w:tc>
          <w:tcPr>
            <w:tcW w:w="4061" w:type="dxa"/>
            <w:tcBorders>
              <w:top w:val="nil"/>
              <w:left w:val="single" w:sz="8" w:space="0" w:color="auto"/>
              <w:bottom w:val="single" w:sz="4" w:space="0" w:color="auto"/>
              <w:right w:val="single" w:sz="8" w:space="0" w:color="auto"/>
            </w:tcBorders>
            <w:shd w:val="clear" w:color="000000" w:fill="92D050"/>
            <w:noWrap/>
            <w:vAlign w:val="bottom"/>
            <w:hideMark/>
          </w:tcPr>
          <w:p w14:paraId="4C3FFBB7" w14:textId="6EA93C1C" w:rsidR="00B00B73" w:rsidRPr="000E6368" w:rsidRDefault="00B00B73" w:rsidP="00063369">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Dohodnina na zavezanca (</w:t>
            </w:r>
            <w:r w:rsidR="00063369">
              <w:rPr>
                <w:rFonts w:ascii="Arial" w:eastAsia="Times New Roman" w:hAnsi="Arial" w:cs="Arial"/>
                <w:sz w:val="20"/>
                <w:szCs w:val="20"/>
                <w:lang w:eastAsia="sl-SI"/>
              </w:rPr>
              <w:t>evro</w:t>
            </w:r>
            <w:r w:rsidRPr="000E6368">
              <w:rPr>
                <w:rFonts w:ascii="Arial" w:eastAsia="Times New Roman" w:hAnsi="Arial" w:cs="Arial"/>
                <w:sz w:val="20"/>
                <w:szCs w:val="20"/>
                <w:lang w:eastAsia="sl-SI"/>
              </w:rPr>
              <w:t>/zav.)</w:t>
            </w:r>
          </w:p>
        </w:tc>
        <w:tc>
          <w:tcPr>
            <w:tcW w:w="1337" w:type="dxa"/>
            <w:tcBorders>
              <w:top w:val="nil"/>
              <w:left w:val="single" w:sz="4" w:space="0" w:color="auto"/>
              <w:bottom w:val="single" w:sz="4" w:space="0" w:color="auto"/>
              <w:right w:val="single" w:sz="4" w:space="0" w:color="auto"/>
            </w:tcBorders>
            <w:shd w:val="clear" w:color="auto" w:fill="auto"/>
            <w:noWrap/>
            <w:vAlign w:val="bottom"/>
            <w:hideMark/>
          </w:tcPr>
          <w:p w14:paraId="4DA869DB"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1.251</w:t>
            </w:r>
          </w:p>
        </w:tc>
        <w:tc>
          <w:tcPr>
            <w:tcW w:w="1337" w:type="dxa"/>
            <w:tcBorders>
              <w:top w:val="nil"/>
              <w:left w:val="nil"/>
              <w:bottom w:val="single" w:sz="4" w:space="0" w:color="auto"/>
              <w:right w:val="single" w:sz="4" w:space="0" w:color="auto"/>
            </w:tcBorders>
            <w:shd w:val="clear" w:color="auto" w:fill="auto"/>
            <w:noWrap/>
            <w:vAlign w:val="bottom"/>
            <w:hideMark/>
          </w:tcPr>
          <w:p w14:paraId="50F1D03F"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1.260</w:t>
            </w:r>
          </w:p>
        </w:tc>
        <w:tc>
          <w:tcPr>
            <w:tcW w:w="1337" w:type="dxa"/>
            <w:tcBorders>
              <w:top w:val="nil"/>
              <w:left w:val="nil"/>
              <w:bottom w:val="single" w:sz="4" w:space="0" w:color="auto"/>
              <w:right w:val="single" w:sz="8" w:space="0" w:color="auto"/>
            </w:tcBorders>
            <w:shd w:val="clear" w:color="auto" w:fill="auto"/>
            <w:noWrap/>
            <w:vAlign w:val="bottom"/>
            <w:hideMark/>
          </w:tcPr>
          <w:p w14:paraId="67CEEAFC" w14:textId="77777777"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1.358</w:t>
            </w:r>
          </w:p>
        </w:tc>
      </w:tr>
      <w:tr w:rsidR="00B00B73" w:rsidRPr="00063369" w14:paraId="0FF665EE" w14:textId="77777777" w:rsidTr="000E6368">
        <w:trPr>
          <w:trHeight w:val="292"/>
        </w:trPr>
        <w:tc>
          <w:tcPr>
            <w:tcW w:w="4061" w:type="dxa"/>
            <w:tcBorders>
              <w:top w:val="nil"/>
              <w:left w:val="single" w:sz="8" w:space="0" w:color="auto"/>
              <w:bottom w:val="single" w:sz="8" w:space="0" w:color="auto"/>
              <w:right w:val="single" w:sz="8" w:space="0" w:color="auto"/>
            </w:tcBorders>
            <w:shd w:val="clear" w:color="000000" w:fill="92D050"/>
            <w:noWrap/>
            <w:vAlign w:val="bottom"/>
            <w:hideMark/>
          </w:tcPr>
          <w:p w14:paraId="5B2F5D2F" w14:textId="77777777" w:rsidR="00B00B73" w:rsidRPr="000E6368" w:rsidRDefault="00B00B73" w:rsidP="00B00B73">
            <w:pPr>
              <w:spacing w:after="0" w:line="240" w:lineRule="auto"/>
              <w:rPr>
                <w:rFonts w:ascii="Arial" w:eastAsia="Times New Roman" w:hAnsi="Arial" w:cs="Arial"/>
                <w:sz w:val="20"/>
                <w:szCs w:val="20"/>
                <w:lang w:eastAsia="sl-SI"/>
              </w:rPr>
            </w:pPr>
            <w:r w:rsidRPr="000E6368">
              <w:rPr>
                <w:rFonts w:ascii="Arial" w:eastAsia="Times New Roman" w:hAnsi="Arial" w:cs="Arial"/>
                <w:sz w:val="20"/>
                <w:szCs w:val="20"/>
                <w:lang w:eastAsia="sl-SI"/>
              </w:rPr>
              <w:t>Povprečna dohodninska stopnja</w:t>
            </w:r>
          </w:p>
        </w:tc>
        <w:tc>
          <w:tcPr>
            <w:tcW w:w="1337" w:type="dxa"/>
            <w:tcBorders>
              <w:top w:val="nil"/>
              <w:left w:val="single" w:sz="4" w:space="0" w:color="auto"/>
              <w:bottom w:val="single" w:sz="8" w:space="0" w:color="auto"/>
              <w:right w:val="single" w:sz="4" w:space="0" w:color="auto"/>
            </w:tcBorders>
            <w:shd w:val="clear" w:color="auto" w:fill="auto"/>
            <w:noWrap/>
            <w:vAlign w:val="bottom"/>
            <w:hideMark/>
          </w:tcPr>
          <w:p w14:paraId="4316CD3C" w14:textId="56D93122"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19,9</w:t>
            </w:r>
            <w:r w:rsidR="00C01C07">
              <w:rPr>
                <w:rFonts w:ascii="Arial" w:eastAsia="Times New Roman" w:hAnsi="Arial" w:cs="Arial"/>
                <w:sz w:val="20"/>
                <w:szCs w:val="20"/>
                <w:lang w:eastAsia="sl-SI"/>
              </w:rPr>
              <w:t xml:space="preserve"> </w:t>
            </w:r>
            <w:r w:rsidRPr="000E6368">
              <w:rPr>
                <w:rFonts w:ascii="Arial" w:eastAsia="Times New Roman" w:hAnsi="Arial" w:cs="Arial"/>
                <w:sz w:val="20"/>
                <w:szCs w:val="20"/>
                <w:lang w:eastAsia="sl-SI"/>
              </w:rPr>
              <w:t>%</w:t>
            </w:r>
          </w:p>
        </w:tc>
        <w:tc>
          <w:tcPr>
            <w:tcW w:w="1337" w:type="dxa"/>
            <w:tcBorders>
              <w:top w:val="nil"/>
              <w:left w:val="nil"/>
              <w:bottom w:val="single" w:sz="8" w:space="0" w:color="auto"/>
              <w:right w:val="single" w:sz="4" w:space="0" w:color="auto"/>
            </w:tcBorders>
            <w:shd w:val="clear" w:color="auto" w:fill="auto"/>
            <w:noWrap/>
            <w:vAlign w:val="bottom"/>
            <w:hideMark/>
          </w:tcPr>
          <w:p w14:paraId="5CCC459F" w14:textId="653EBD64"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19,3</w:t>
            </w:r>
            <w:r w:rsidR="00C01C07">
              <w:rPr>
                <w:rFonts w:ascii="Arial" w:eastAsia="Times New Roman" w:hAnsi="Arial" w:cs="Arial"/>
                <w:sz w:val="20"/>
                <w:szCs w:val="20"/>
                <w:lang w:eastAsia="sl-SI"/>
              </w:rPr>
              <w:t xml:space="preserve"> </w:t>
            </w:r>
            <w:r w:rsidRPr="000E6368">
              <w:rPr>
                <w:rFonts w:ascii="Arial" w:eastAsia="Times New Roman" w:hAnsi="Arial" w:cs="Arial"/>
                <w:sz w:val="20"/>
                <w:szCs w:val="20"/>
                <w:lang w:eastAsia="sl-SI"/>
              </w:rPr>
              <w:t>%</w:t>
            </w:r>
          </w:p>
        </w:tc>
        <w:tc>
          <w:tcPr>
            <w:tcW w:w="1337" w:type="dxa"/>
            <w:tcBorders>
              <w:top w:val="nil"/>
              <w:left w:val="nil"/>
              <w:bottom w:val="single" w:sz="8" w:space="0" w:color="auto"/>
              <w:right w:val="single" w:sz="8" w:space="0" w:color="auto"/>
            </w:tcBorders>
            <w:shd w:val="clear" w:color="auto" w:fill="auto"/>
            <w:noWrap/>
            <w:vAlign w:val="bottom"/>
            <w:hideMark/>
          </w:tcPr>
          <w:p w14:paraId="2397C1E6" w14:textId="32F48F94" w:rsidR="00B00B73" w:rsidRPr="000E6368" w:rsidRDefault="00B00B73" w:rsidP="00B00B73">
            <w:pPr>
              <w:spacing w:after="0" w:line="240" w:lineRule="auto"/>
              <w:jc w:val="right"/>
              <w:rPr>
                <w:rFonts w:ascii="Arial" w:eastAsia="Times New Roman" w:hAnsi="Arial" w:cs="Arial"/>
                <w:sz w:val="20"/>
                <w:szCs w:val="20"/>
                <w:lang w:eastAsia="sl-SI"/>
              </w:rPr>
            </w:pPr>
            <w:r w:rsidRPr="000E6368">
              <w:rPr>
                <w:rFonts w:ascii="Arial" w:eastAsia="Times New Roman" w:hAnsi="Arial" w:cs="Arial"/>
                <w:sz w:val="20"/>
                <w:szCs w:val="20"/>
                <w:lang w:eastAsia="sl-SI"/>
              </w:rPr>
              <w:t>19,4</w:t>
            </w:r>
            <w:r w:rsidR="00C01C07">
              <w:rPr>
                <w:rFonts w:ascii="Arial" w:eastAsia="Times New Roman" w:hAnsi="Arial" w:cs="Arial"/>
                <w:sz w:val="20"/>
                <w:szCs w:val="20"/>
                <w:lang w:eastAsia="sl-SI"/>
              </w:rPr>
              <w:t xml:space="preserve"> </w:t>
            </w:r>
            <w:r w:rsidRPr="000E6368">
              <w:rPr>
                <w:rFonts w:ascii="Arial" w:eastAsia="Times New Roman" w:hAnsi="Arial" w:cs="Arial"/>
                <w:sz w:val="20"/>
                <w:szCs w:val="20"/>
                <w:lang w:eastAsia="sl-SI"/>
              </w:rPr>
              <w:t>%</w:t>
            </w:r>
          </w:p>
        </w:tc>
      </w:tr>
    </w:tbl>
    <w:p w14:paraId="6CC62FA0" w14:textId="58C34920" w:rsidR="0095746F" w:rsidRPr="00012435" w:rsidRDefault="0095746F" w:rsidP="00012435">
      <w:pPr>
        <w:pStyle w:val="ListParagraph"/>
        <w:spacing w:line="260" w:lineRule="atLeast"/>
        <w:ind w:left="0"/>
        <w:jc w:val="both"/>
        <w:rPr>
          <w:rFonts w:ascii="Arial" w:hAnsi="Arial" w:cs="Arial"/>
          <w:i/>
          <w:sz w:val="18"/>
          <w:szCs w:val="18"/>
        </w:rPr>
      </w:pPr>
      <w:r w:rsidRPr="00012435">
        <w:rPr>
          <w:rFonts w:ascii="Arial" w:hAnsi="Arial" w:cs="Arial"/>
          <w:i/>
          <w:sz w:val="18"/>
          <w:szCs w:val="18"/>
        </w:rPr>
        <w:t>Vir: Odmera dohodnine za leta 2016-2018, FURS, lastni preračuni MF</w:t>
      </w:r>
      <w:r w:rsidR="00C01C07">
        <w:rPr>
          <w:rFonts w:ascii="Arial" w:hAnsi="Arial" w:cs="Arial"/>
          <w:i/>
          <w:sz w:val="18"/>
          <w:szCs w:val="18"/>
        </w:rPr>
        <w:t>.</w:t>
      </w:r>
    </w:p>
    <w:p w14:paraId="0A1DED69" w14:textId="77777777" w:rsidR="0095746F" w:rsidRPr="00012435" w:rsidRDefault="0095746F" w:rsidP="00012435">
      <w:pPr>
        <w:pStyle w:val="ListParagraph"/>
        <w:spacing w:line="260" w:lineRule="atLeast"/>
        <w:ind w:left="0"/>
        <w:jc w:val="both"/>
        <w:rPr>
          <w:rFonts w:ascii="Arial" w:hAnsi="Arial" w:cs="Arial"/>
          <w:sz w:val="20"/>
          <w:szCs w:val="20"/>
        </w:rPr>
      </w:pPr>
    </w:p>
    <w:p w14:paraId="0BC6B247" w14:textId="4DA47B9D" w:rsidR="0095746F" w:rsidRPr="00CF6AE9" w:rsidRDefault="00E4026D" w:rsidP="00012435">
      <w:pPr>
        <w:pStyle w:val="BodyText2"/>
        <w:spacing w:after="0" w:line="260" w:lineRule="atLeast"/>
        <w:jc w:val="both"/>
        <w:rPr>
          <w:rFonts w:cs="Arial"/>
          <w:szCs w:val="20"/>
        </w:rPr>
      </w:pPr>
      <w:r w:rsidRPr="00012435">
        <w:rPr>
          <w:rFonts w:cs="Arial"/>
          <w:szCs w:val="20"/>
          <w:lang w:val="sl-SI"/>
        </w:rPr>
        <w:t>V letu 201</w:t>
      </w:r>
      <w:r w:rsidR="00790E13" w:rsidRPr="00012435">
        <w:rPr>
          <w:rFonts w:cs="Arial"/>
          <w:szCs w:val="20"/>
          <w:lang w:val="sl-SI"/>
        </w:rPr>
        <w:t>8</w:t>
      </w:r>
      <w:r w:rsidRPr="00012435">
        <w:rPr>
          <w:rFonts w:cs="Arial"/>
          <w:szCs w:val="20"/>
          <w:lang w:val="sl-SI"/>
        </w:rPr>
        <w:t xml:space="preserve"> je imelo v skladu z Zakonom o dohodnini obdavčljive dohodke 1.5</w:t>
      </w:r>
      <w:r w:rsidR="00790E13" w:rsidRPr="00012435">
        <w:rPr>
          <w:rFonts w:cs="Arial"/>
          <w:szCs w:val="20"/>
          <w:lang w:val="sl-SI"/>
        </w:rPr>
        <w:t>54</w:t>
      </w:r>
      <w:r w:rsidRPr="00012435">
        <w:rPr>
          <w:rFonts w:cs="Arial"/>
          <w:szCs w:val="20"/>
          <w:lang w:val="sl-SI"/>
        </w:rPr>
        <w:t>.5</w:t>
      </w:r>
      <w:r w:rsidR="00790E13" w:rsidRPr="00012435">
        <w:rPr>
          <w:rFonts w:cs="Arial"/>
          <w:szCs w:val="20"/>
          <w:lang w:val="sl-SI"/>
        </w:rPr>
        <w:t>31</w:t>
      </w:r>
      <w:r w:rsidRPr="00012435">
        <w:rPr>
          <w:rFonts w:cs="Arial"/>
          <w:szCs w:val="20"/>
          <w:lang w:val="sl-SI"/>
        </w:rPr>
        <w:t xml:space="preserve"> davčnih zavezancev, ki so tudi prejeli odločbo o odmeri dohodnine. V primerjavi z odmero dohodnine za leto 201</w:t>
      </w:r>
      <w:r w:rsidR="00790E13" w:rsidRPr="00012435">
        <w:rPr>
          <w:rFonts w:cs="Arial"/>
          <w:szCs w:val="20"/>
          <w:lang w:val="sl-SI"/>
        </w:rPr>
        <w:t>7</w:t>
      </w:r>
      <w:r w:rsidRPr="00012435">
        <w:rPr>
          <w:rFonts w:cs="Arial"/>
          <w:szCs w:val="20"/>
          <w:lang w:val="sl-SI"/>
        </w:rPr>
        <w:t xml:space="preserve"> se je število zavezancev povečalo za </w:t>
      </w:r>
      <w:r w:rsidR="00790E13" w:rsidRPr="00012435">
        <w:rPr>
          <w:rFonts w:cs="Arial"/>
          <w:szCs w:val="20"/>
          <w:lang w:val="sl-SI"/>
        </w:rPr>
        <w:t>1</w:t>
      </w:r>
      <w:r w:rsidRPr="00012435">
        <w:rPr>
          <w:rFonts w:cs="Arial"/>
          <w:szCs w:val="20"/>
          <w:lang w:val="sl-SI"/>
        </w:rPr>
        <w:t xml:space="preserve"> %, odmerjena dohodnina pa je bila v letu 201</w:t>
      </w:r>
      <w:r w:rsidR="00790E13" w:rsidRPr="00012435">
        <w:rPr>
          <w:rFonts w:cs="Arial"/>
          <w:szCs w:val="20"/>
          <w:lang w:val="sl-SI"/>
        </w:rPr>
        <w:t>8</w:t>
      </w:r>
      <w:r w:rsidRPr="00012435">
        <w:rPr>
          <w:rFonts w:cs="Arial"/>
          <w:szCs w:val="20"/>
          <w:lang w:val="sl-SI"/>
        </w:rPr>
        <w:t xml:space="preserve"> višja za</w:t>
      </w:r>
      <w:r w:rsidR="008F3434">
        <w:rPr>
          <w:rFonts w:cs="Arial"/>
          <w:szCs w:val="20"/>
          <w:lang w:val="sl-SI"/>
        </w:rPr>
        <w:t xml:space="preserve"> 173 mio evrov </w:t>
      </w:r>
      <w:r w:rsidR="00390A2A">
        <w:rPr>
          <w:rFonts w:cs="Arial"/>
          <w:szCs w:val="20"/>
          <w:lang w:val="sl-SI"/>
        </w:rPr>
        <w:t>oziroma</w:t>
      </w:r>
      <w:r w:rsidRPr="00012435">
        <w:rPr>
          <w:rFonts w:cs="Arial"/>
          <w:szCs w:val="20"/>
          <w:lang w:val="sl-SI"/>
        </w:rPr>
        <w:t xml:space="preserve"> </w:t>
      </w:r>
      <w:r w:rsidR="00790E13" w:rsidRPr="00012435">
        <w:rPr>
          <w:rFonts w:cs="Arial"/>
          <w:szCs w:val="20"/>
          <w:lang w:val="sl-SI"/>
        </w:rPr>
        <w:t>9</w:t>
      </w:r>
      <w:r w:rsidR="008F3434">
        <w:rPr>
          <w:rFonts w:cs="Arial"/>
          <w:szCs w:val="20"/>
          <w:lang w:val="sl-SI"/>
        </w:rPr>
        <w:t>,</w:t>
      </w:r>
      <w:r w:rsidR="00BC0123">
        <w:rPr>
          <w:rFonts w:cs="Arial"/>
          <w:szCs w:val="20"/>
          <w:lang w:val="sl-SI"/>
        </w:rPr>
        <w:t>7</w:t>
      </w:r>
      <w:r w:rsidR="008F3434">
        <w:rPr>
          <w:rFonts w:cs="Arial"/>
          <w:szCs w:val="20"/>
          <w:lang w:val="sl-SI"/>
        </w:rPr>
        <w:t> </w:t>
      </w:r>
      <w:r w:rsidRPr="00012435">
        <w:rPr>
          <w:rFonts w:cs="Arial"/>
          <w:szCs w:val="20"/>
          <w:lang w:val="sl-SI"/>
        </w:rPr>
        <w:t xml:space="preserve">%. </w:t>
      </w:r>
    </w:p>
    <w:p w14:paraId="2DE5E1EA" w14:textId="12490A8F" w:rsidR="008F3434" w:rsidRDefault="008F3434" w:rsidP="00012435">
      <w:pPr>
        <w:pStyle w:val="BodyText2"/>
        <w:spacing w:after="0" w:line="260" w:lineRule="atLeast"/>
        <w:jc w:val="both"/>
      </w:pPr>
    </w:p>
    <w:p w14:paraId="60B211C0" w14:textId="1B7A43A3" w:rsidR="00E4026D" w:rsidRPr="00012435" w:rsidRDefault="00790E13" w:rsidP="00012435">
      <w:pPr>
        <w:pStyle w:val="BodyText2"/>
        <w:spacing w:after="0" w:line="260" w:lineRule="atLeast"/>
        <w:jc w:val="both"/>
        <w:rPr>
          <w:rFonts w:cs="Arial"/>
          <w:szCs w:val="20"/>
        </w:rPr>
      </w:pPr>
      <w:r w:rsidRPr="00790E13">
        <w:rPr>
          <w:rFonts w:cs="Arial"/>
          <w:szCs w:val="20"/>
          <w:lang w:val="sl-SI"/>
        </w:rPr>
        <w:t>Povprečna davčna stopnja, izražena z razmerjem med dohodnino in davčno osnovo, je v letu 2018 znašala 19,4 % in se je glede na leto 2017 zvišala za 0,1</w:t>
      </w:r>
      <w:r w:rsidR="00C01C07">
        <w:rPr>
          <w:rFonts w:cs="Arial"/>
          <w:szCs w:val="20"/>
          <w:lang w:val="sl-SI"/>
        </w:rPr>
        <w:t>-</w:t>
      </w:r>
      <w:r w:rsidRPr="00790E13">
        <w:rPr>
          <w:rFonts w:cs="Arial"/>
          <w:szCs w:val="20"/>
          <w:lang w:val="sl-SI"/>
        </w:rPr>
        <w:t>odstotne točke.</w:t>
      </w:r>
    </w:p>
    <w:p w14:paraId="2A5FE94A" w14:textId="77777777" w:rsidR="00E4026D" w:rsidRPr="00012435" w:rsidRDefault="00E4026D" w:rsidP="00012435">
      <w:pPr>
        <w:pStyle w:val="ListParagraph"/>
        <w:spacing w:line="260" w:lineRule="atLeast"/>
        <w:ind w:left="0"/>
        <w:jc w:val="both"/>
        <w:rPr>
          <w:rFonts w:ascii="Arial" w:hAnsi="Arial" w:cs="Arial"/>
          <w:sz w:val="20"/>
          <w:szCs w:val="20"/>
        </w:rPr>
      </w:pPr>
    </w:p>
    <w:p w14:paraId="3C857CFF" w14:textId="02D26434" w:rsidR="00E4026D" w:rsidRPr="00012435" w:rsidRDefault="009B0B27" w:rsidP="00012435">
      <w:pPr>
        <w:spacing w:after="0" w:line="260" w:lineRule="atLeast"/>
        <w:jc w:val="both"/>
        <w:rPr>
          <w:rFonts w:ascii="Arial" w:hAnsi="Arial" w:cs="Arial"/>
          <w:sz w:val="20"/>
          <w:szCs w:val="20"/>
        </w:rPr>
      </w:pPr>
      <w:r>
        <w:rPr>
          <w:rFonts w:ascii="Arial" w:hAnsi="Arial" w:cs="Arial"/>
          <w:sz w:val="20"/>
          <w:szCs w:val="20"/>
        </w:rPr>
        <w:t>Preglednica</w:t>
      </w:r>
      <w:r w:rsidR="00E4026D" w:rsidRPr="00012435">
        <w:rPr>
          <w:rFonts w:ascii="Arial" w:hAnsi="Arial" w:cs="Arial"/>
          <w:sz w:val="20"/>
          <w:szCs w:val="20"/>
        </w:rPr>
        <w:t xml:space="preserve"> </w:t>
      </w:r>
      <w:r w:rsidR="00091D42">
        <w:rPr>
          <w:rFonts w:ascii="Arial" w:hAnsi="Arial" w:cs="Arial"/>
          <w:sz w:val="20"/>
          <w:szCs w:val="20"/>
        </w:rPr>
        <w:t>4</w:t>
      </w:r>
      <w:r w:rsidR="00E4026D" w:rsidRPr="00012435">
        <w:rPr>
          <w:rFonts w:ascii="Arial" w:hAnsi="Arial" w:cs="Arial"/>
          <w:sz w:val="20"/>
          <w:szCs w:val="20"/>
        </w:rPr>
        <w:t>: Učinek</w:t>
      </w:r>
      <w:r w:rsidR="0095746F">
        <w:rPr>
          <w:rFonts w:ascii="Arial" w:hAnsi="Arial" w:cs="Arial"/>
          <w:sz w:val="20"/>
          <w:szCs w:val="20"/>
        </w:rPr>
        <w:t xml:space="preserve"> posameznih</w:t>
      </w:r>
      <w:r w:rsidR="00E4026D" w:rsidRPr="00012435">
        <w:rPr>
          <w:rFonts w:ascii="Arial" w:hAnsi="Arial" w:cs="Arial"/>
          <w:sz w:val="20"/>
          <w:szCs w:val="20"/>
        </w:rPr>
        <w:t xml:space="preserve"> davčnih </w:t>
      </w:r>
      <w:r w:rsidR="0095746F">
        <w:rPr>
          <w:rFonts w:ascii="Arial" w:hAnsi="Arial" w:cs="Arial"/>
          <w:sz w:val="20"/>
          <w:szCs w:val="20"/>
        </w:rPr>
        <w:t>izdatkov</w:t>
      </w:r>
      <w:r w:rsidR="0095746F" w:rsidRPr="00012435">
        <w:rPr>
          <w:rFonts w:ascii="Arial" w:hAnsi="Arial" w:cs="Arial"/>
          <w:sz w:val="20"/>
          <w:szCs w:val="20"/>
        </w:rPr>
        <w:t xml:space="preserve"> </w:t>
      </w:r>
      <w:r w:rsidR="00E4026D" w:rsidRPr="00012435">
        <w:rPr>
          <w:rFonts w:ascii="Arial" w:hAnsi="Arial" w:cs="Arial"/>
          <w:sz w:val="20"/>
          <w:szCs w:val="20"/>
        </w:rPr>
        <w:t>pri odmeri dohodnine v let</w:t>
      </w:r>
      <w:r w:rsidR="0095746F">
        <w:rPr>
          <w:rFonts w:ascii="Arial" w:hAnsi="Arial" w:cs="Arial"/>
          <w:sz w:val="20"/>
          <w:szCs w:val="20"/>
        </w:rPr>
        <w:t>ih</w:t>
      </w:r>
      <w:r w:rsidR="005742DB">
        <w:rPr>
          <w:rFonts w:ascii="Arial" w:hAnsi="Arial" w:cs="Arial"/>
          <w:sz w:val="20"/>
          <w:szCs w:val="20"/>
        </w:rPr>
        <w:t xml:space="preserve"> od</w:t>
      </w:r>
      <w:r w:rsidR="00E4026D" w:rsidRPr="00012435">
        <w:rPr>
          <w:rFonts w:ascii="Arial" w:hAnsi="Arial" w:cs="Arial"/>
          <w:sz w:val="20"/>
          <w:szCs w:val="20"/>
        </w:rPr>
        <w:t xml:space="preserve"> 201</w:t>
      </w:r>
      <w:r w:rsidR="0095746F">
        <w:rPr>
          <w:rFonts w:ascii="Arial" w:hAnsi="Arial" w:cs="Arial"/>
          <w:sz w:val="20"/>
          <w:szCs w:val="20"/>
        </w:rPr>
        <w:t xml:space="preserve">6 </w:t>
      </w:r>
      <w:r w:rsidR="005742DB">
        <w:rPr>
          <w:rFonts w:ascii="Arial" w:hAnsi="Arial" w:cs="Arial"/>
          <w:sz w:val="20"/>
          <w:szCs w:val="20"/>
        </w:rPr>
        <w:t>do</w:t>
      </w:r>
      <w:r w:rsidR="0095746F">
        <w:rPr>
          <w:rFonts w:ascii="Arial" w:hAnsi="Arial" w:cs="Arial"/>
          <w:sz w:val="20"/>
          <w:szCs w:val="20"/>
        </w:rPr>
        <w:t xml:space="preserve"> 2018, v mio evr</w:t>
      </w:r>
      <w:r w:rsidR="00054792">
        <w:rPr>
          <w:rFonts w:ascii="Arial" w:hAnsi="Arial" w:cs="Arial"/>
          <w:sz w:val="20"/>
          <w:szCs w:val="20"/>
        </w:rPr>
        <w:t>ov</w:t>
      </w:r>
    </w:p>
    <w:p w14:paraId="6819168E" w14:textId="6557C584" w:rsidR="00E4026D" w:rsidRPr="00012435" w:rsidRDefault="00E4026D" w:rsidP="00AC13E9">
      <w:pPr>
        <w:spacing w:after="0"/>
        <w:ind w:left="6373"/>
        <w:jc w:val="both"/>
        <w:rPr>
          <w:color w:val="7F7F7F"/>
          <w:sz w:val="18"/>
          <w:szCs w:val="18"/>
        </w:rPr>
      </w:pPr>
    </w:p>
    <w:tbl>
      <w:tblPr>
        <w:tblW w:w="9468" w:type="dxa"/>
        <w:tblInd w:w="-5" w:type="dxa"/>
        <w:tblLayout w:type="fixed"/>
        <w:tblCellMar>
          <w:left w:w="70" w:type="dxa"/>
          <w:right w:w="70" w:type="dxa"/>
        </w:tblCellMar>
        <w:tblLook w:val="04A0" w:firstRow="1" w:lastRow="0" w:firstColumn="1" w:lastColumn="0" w:noHBand="0" w:noVBand="1"/>
      </w:tblPr>
      <w:tblGrid>
        <w:gridCol w:w="4100"/>
        <w:gridCol w:w="863"/>
        <w:gridCol w:w="863"/>
        <w:gridCol w:w="863"/>
        <w:gridCol w:w="926"/>
        <w:gridCol w:w="926"/>
        <w:gridCol w:w="927"/>
      </w:tblGrid>
      <w:tr w:rsidR="00A76571" w:rsidRPr="00F609E3" w14:paraId="2FA51682" w14:textId="77777777" w:rsidTr="00AC13E9">
        <w:trPr>
          <w:trHeight w:val="285"/>
        </w:trPr>
        <w:tc>
          <w:tcPr>
            <w:tcW w:w="4100" w:type="dxa"/>
            <w:tcBorders>
              <w:top w:val="single" w:sz="4" w:space="0" w:color="auto"/>
              <w:left w:val="single" w:sz="4" w:space="0" w:color="auto"/>
              <w:bottom w:val="nil"/>
              <w:right w:val="single" w:sz="4" w:space="0" w:color="auto"/>
            </w:tcBorders>
            <w:shd w:val="clear" w:color="000000" w:fill="FFFFFF"/>
            <w:noWrap/>
            <w:vAlign w:val="center"/>
            <w:hideMark/>
          </w:tcPr>
          <w:p w14:paraId="69E72679" w14:textId="77777777" w:rsidR="00A76571" w:rsidRPr="00591316" w:rsidRDefault="00A76571" w:rsidP="00617C3E">
            <w:pPr>
              <w:spacing w:after="0" w:line="240" w:lineRule="auto"/>
              <w:rPr>
                <w:rFonts w:ascii="Arial" w:eastAsia="Times New Roman" w:hAnsi="Arial" w:cs="Arial"/>
                <w:sz w:val="20"/>
                <w:szCs w:val="20"/>
                <w:lang w:eastAsia="sl-SI"/>
              </w:rPr>
            </w:pPr>
            <w:r w:rsidRPr="00591316">
              <w:rPr>
                <w:rFonts w:ascii="Arial" w:eastAsia="Times New Roman" w:hAnsi="Arial" w:cs="Arial"/>
                <w:sz w:val="20"/>
                <w:szCs w:val="20"/>
                <w:lang w:eastAsia="sl-SI"/>
              </w:rPr>
              <w:t> </w:t>
            </w:r>
          </w:p>
        </w:tc>
        <w:tc>
          <w:tcPr>
            <w:tcW w:w="2589" w:type="dxa"/>
            <w:gridSpan w:val="3"/>
            <w:tcBorders>
              <w:top w:val="single" w:sz="4" w:space="0" w:color="auto"/>
              <w:left w:val="nil"/>
              <w:bottom w:val="single" w:sz="4" w:space="0" w:color="auto"/>
              <w:right w:val="single" w:sz="4" w:space="0" w:color="auto"/>
            </w:tcBorders>
            <w:shd w:val="clear" w:color="DCE6F1" w:fill="92D050"/>
            <w:noWrap/>
            <w:vAlign w:val="center"/>
            <w:hideMark/>
          </w:tcPr>
          <w:p w14:paraId="63BBD88E" w14:textId="4B62614F" w:rsidR="00A76571" w:rsidRPr="00591316" w:rsidRDefault="00F609E3" w:rsidP="00617C3E">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Š</w:t>
            </w:r>
            <w:r w:rsidR="00A76571" w:rsidRPr="00591316">
              <w:rPr>
                <w:rFonts w:ascii="Arial" w:eastAsia="Times New Roman" w:hAnsi="Arial" w:cs="Arial"/>
                <w:b/>
                <w:bCs/>
                <w:color w:val="000000"/>
                <w:sz w:val="20"/>
                <w:szCs w:val="20"/>
                <w:lang w:eastAsia="sl-SI"/>
              </w:rPr>
              <w:t>tevilo zavezancev</w:t>
            </w:r>
          </w:p>
        </w:tc>
        <w:tc>
          <w:tcPr>
            <w:tcW w:w="2779" w:type="dxa"/>
            <w:gridSpan w:val="3"/>
            <w:tcBorders>
              <w:top w:val="single" w:sz="4" w:space="0" w:color="auto"/>
              <w:left w:val="nil"/>
              <w:bottom w:val="single" w:sz="4" w:space="0" w:color="auto"/>
              <w:right w:val="single" w:sz="4" w:space="0" w:color="auto"/>
            </w:tcBorders>
            <w:shd w:val="clear" w:color="DCE6F1" w:fill="92D050"/>
            <w:noWrap/>
            <w:vAlign w:val="center"/>
            <w:hideMark/>
          </w:tcPr>
          <w:p w14:paraId="386FAF4E" w14:textId="199D181F" w:rsidR="00A76571" w:rsidRPr="00591316" w:rsidRDefault="00F609E3" w:rsidP="00617C3E">
            <w:pPr>
              <w:spacing w:after="0" w:line="240" w:lineRule="auto"/>
              <w:jc w:val="center"/>
              <w:rPr>
                <w:rFonts w:ascii="Arial" w:eastAsia="Times New Roman" w:hAnsi="Arial" w:cs="Arial"/>
                <w:b/>
                <w:bCs/>
                <w:color w:val="000000"/>
                <w:sz w:val="20"/>
                <w:szCs w:val="20"/>
                <w:lang w:eastAsia="sl-SI"/>
              </w:rPr>
            </w:pPr>
            <w:r>
              <w:rPr>
                <w:rFonts w:ascii="Arial" w:eastAsia="Times New Roman" w:hAnsi="Arial" w:cs="Arial"/>
                <w:b/>
                <w:bCs/>
                <w:color w:val="000000"/>
                <w:sz w:val="20"/>
                <w:szCs w:val="20"/>
                <w:lang w:eastAsia="sl-SI"/>
              </w:rPr>
              <w:t>Z</w:t>
            </w:r>
            <w:r w:rsidR="00A76571" w:rsidRPr="00591316">
              <w:rPr>
                <w:rFonts w:ascii="Arial" w:eastAsia="Times New Roman" w:hAnsi="Arial" w:cs="Arial"/>
                <w:b/>
                <w:bCs/>
                <w:color w:val="000000"/>
                <w:sz w:val="20"/>
                <w:szCs w:val="20"/>
                <w:lang w:eastAsia="sl-SI"/>
              </w:rPr>
              <w:t>nesek davčnega izdatka</w:t>
            </w:r>
          </w:p>
        </w:tc>
      </w:tr>
      <w:tr w:rsidR="00A76571" w:rsidRPr="00F609E3" w14:paraId="5B7A0916" w14:textId="77777777" w:rsidTr="00AC13E9">
        <w:trPr>
          <w:trHeight w:val="285"/>
        </w:trPr>
        <w:tc>
          <w:tcPr>
            <w:tcW w:w="4100" w:type="dxa"/>
            <w:tcBorders>
              <w:top w:val="nil"/>
              <w:left w:val="single" w:sz="4" w:space="0" w:color="auto"/>
              <w:bottom w:val="single" w:sz="4" w:space="0" w:color="auto"/>
              <w:right w:val="single" w:sz="4" w:space="0" w:color="auto"/>
            </w:tcBorders>
            <w:shd w:val="clear" w:color="000000" w:fill="FFFFFF"/>
            <w:noWrap/>
            <w:vAlign w:val="center"/>
            <w:hideMark/>
          </w:tcPr>
          <w:p w14:paraId="6B5D4487" w14:textId="77777777" w:rsidR="00A76571" w:rsidRPr="00591316" w:rsidRDefault="00A76571" w:rsidP="00617C3E">
            <w:pPr>
              <w:spacing w:after="0" w:line="240" w:lineRule="auto"/>
              <w:rPr>
                <w:rFonts w:ascii="Arial" w:eastAsia="Times New Roman" w:hAnsi="Arial" w:cs="Arial"/>
                <w:sz w:val="20"/>
                <w:szCs w:val="20"/>
                <w:lang w:eastAsia="sl-SI"/>
              </w:rPr>
            </w:pPr>
            <w:r w:rsidRPr="00591316">
              <w:rPr>
                <w:rFonts w:ascii="Arial" w:eastAsia="Times New Roman" w:hAnsi="Arial" w:cs="Arial"/>
                <w:sz w:val="20"/>
                <w:szCs w:val="20"/>
                <w:lang w:eastAsia="sl-SI"/>
              </w:rPr>
              <w:t> </w:t>
            </w:r>
          </w:p>
        </w:tc>
        <w:tc>
          <w:tcPr>
            <w:tcW w:w="863" w:type="dxa"/>
            <w:tcBorders>
              <w:top w:val="nil"/>
              <w:left w:val="nil"/>
              <w:bottom w:val="single" w:sz="4" w:space="0" w:color="auto"/>
              <w:right w:val="single" w:sz="4" w:space="0" w:color="auto"/>
            </w:tcBorders>
            <w:shd w:val="clear" w:color="DCE6F1" w:fill="92D050"/>
            <w:noWrap/>
            <w:vAlign w:val="bottom"/>
            <w:hideMark/>
          </w:tcPr>
          <w:p w14:paraId="741ADDEF"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2016</w:t>
            </w:r>
          </w:p>
        </w:tc>
        <w:tc>
          <w:tcPr>
            <w:tcW w:w="863" w:type="dxa"/>
            <w:tcBorders>
              <w:top w:val="nil"/>
              <w:left w:val="nil"/>
              <w:bottom w:val="single" w:sz="4" w:space="0" w:color="auto"/>
              <w:right w:val="single" w:sz="4" w:space="0" w:color="auto"/>
            </w:tcBorders>
            <w:shd w:val="clear" w:color="DCE6F1" w:fill="92D050"/>
            <w:noWrap/>
            <w:vAlign w:val="center"/>
            <w:hideMark/>
          </w:tcPr>
          <w:p w14:paraId="45C1136F"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2017</w:t>
            </w:r>
          </w:p>
        </w:tc>
        <w:tc>
          <w:tcPr>
            <w:tcW w:w="863" w:type="dxa"/>
            <w:tcBorders>
              <w:top w:val="nil"/>
              <w:left w:val="nil"/>
              <w:bottom w:val="single" w:sz="4" w:space="0" w:color="auto"/>
              <w:right w:val="single" w:sz="4" w:space="0" w:color="auto"/>
            </w:tcBorders>
            <w:shd w:val="clear" w:color="DCE6F1" w:fill="92D050"/>
            <w:noWrap/>
            <w:vAlign w:val="center"/>
            <w:hideMark/>
          </w:tcPr>
          <w:p w14:paraId="1B135BAC"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2018</w:t>
            </w:r>
          </w:p>
        </w:tc>
        <w:tc>
          <w:tcPr>
            <w:tcW w:w="926" w:type="dxa"/>
            <w:tcBorders>
              <w:top w:val="nil"/>
              <w:left w:val="nil"/>
              <w:bottom w:val="single" w:sz="4" w:space="0" w:color="auto"/>
              <w:right w:val="single" w:sz="4" w:space="0" w:color="auto"/>
            </w:tcBorders>
            <w:shd w:val="clear" w:color="DCE6F1" w:fill="92D050"/>
            <w:noWrap/>
            <w:vAlign w:val="center"/>
            <w:hideMark/>
          </w:tcPr>
          <w:p w14:paraId="50B0A0DD"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2016</w:t>
            </w:r>
          </w:p>
        </w:tc>
        <w:tc>
          <w:tcPr>
            <w:tcW w:w="926" w:type="dxa"/>
            <w:tcBorders>
              <w:top w:val="nil"/>
              <w:left w:val="nil"/>
              <w:bottom w:val="single" w:sz="4" w:space="0" w:color="auto"/>
              <w:right w:val="single" w:sz="4" w:space="0" w:color="auto"/>
            </w:tcBorders>
            <w:shd w:val="clear" w:color="DCE6F1" w:fill="92D050"/>
            <w:noWrap/>
            <w:vAlign w:val="center"/>
            <w:hideMark/>
          </w:tcPr>
          <w:p w14:paraId="23180DC9"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2017</w:t>
            </w:r>
          </w:p>
        </w:tc>
        <w:tc>
          <w:tcPr>
            <w:tcW w:w="927" w:type="dxa"/>
            <w:tcBorders>
              <w:top w:val="nil"/>
              <w:left w:val="nil"/>
              <w:bottom w:val="single" w:sz="4" w:space="0" w:color="auto"/>
              <w:right w:val="single" w:sz="4" w:space="0" w:color="auto"/>
            </w:tcBorders>
            <w:shd w:val="clear" w:color="DCE6F1" w:fill="92D050"/>
            <w:noWrap/>
            <w:vAlign w:val="center"/>
            <w:hideMark/>
          </w:tcPr>
          <w:p w14:paraId="6CD5A724" w14:textId="77777777" w:rsidR="00A76571" w:rsidRPr="00591316" w:rsidRDefault="00A76571" w:rsidP="00012435">
            <w:pPr>
              <w:spacing w:after="0" w:line="240" w:lineRule="auto"/>
              <w:jc w:val="center"/>
              <w:rPr>
                <w:rFonts w:ascii="Arial" w:eastAsia="Times New Roman" w:hAnsi="Arial" w:cs="Arial"/>
                <w:b/>
                <w:bCs/>
                <w:color w:val="000000"/>
                <w:sz w:val="20"/>
                <w:szCs w:val="20"/>
                <w:lang w:eastAsia="sl-SI"/>
              </w:rPr>
            </w:pPr>
            <w:r w:rsidRPr="00591316">
              <w:rPr>
                <w:rFonts w:ascii="Arial" w:eastAsia="Times New Roman" w:hAnsi="Arial" w:cs="Arial"/>
                <w:b/>
                <w:bCs/>
                <w:color w:val="000000"/>
                <w:sz w:val="20"/>
                <w:szCs w:val="20"/>
                <w:lang w:eastAsia="sl-SI"/>
              </w:rPr>
              <w:t>2018</w:t>
            </w:r>
          </w:p>
        </w:tc>
      </w:tr>
      <w:tr w:rsidR="00A76571" w:rsidRPr="00F609E3" w14:paraId="1786EF6D" w14:textId="77777777" w:rsidTr="00AC13E9">
        <w:trPr>
          <w:trHeight w:val="285"/>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73BB7851" w14:textId="77777777" w:rsidR="00A76571" w:rsidRPr="00591316" w:rsidRDefault="00A76571" w:rsidP="00617C3E">
            <w:pPr>
              <w:spacing w:after="0" w:line="240" w:lineRule="auto"/>
              <w:rPr>
                <w:rFonts w:ascii="Arial" w:eastAsia="Times New Roman" w:hAnsi="Arial" w:cs="Arial"/>
                <w:sz w:val="20"/>
                <w:szCs w:val="20"/>
                <w:lang w:eastAsia="sl-SI"/>
              </w:rPr>
            </w:pPr>
            <w:r w:rsidRPr="00591316">
              <w:rPr>
                <w:rFonts w:ascii="Arial" w:eastAsia="Times New Roman" w:hAnsi="Arial" w:cs="Arial"/>
                <w:sz w:val="20"/>
                <w:szCs w:val="20"/>
                <w:lang w:eastAsia="sl-SI"/>
              </w:rPr>
              <w:t>Dodatna splošna olajšava</w:t>
            </w:r>
          </w:p>
        </w:tc>
        <w:tc>
          <w:tcPr>
            <w:tcW w:w="863" w:type="dxa"/>
            <w:tcBorders>
              <w:top w:val="nil"/>
              <w:left w:val="nil"/>
              <w:bottom w:val="single" w:sz="4" w:space="0" w:color="auto"/>
              <w:right w:val="single" w:sz="4" w:space="0" w:color="auto"/>
            </w:tcBorders>
            <w:shd w:val="clear" w:color="000000" w:fill="FFFFFF"/>
            <w:noWrap/>
            <w:vAlign w:val="center"/>
            <w:hideMark/>
          </w:tcPr>
          <w:p w14:paraId="7A03A7C5" w14:textId="77777777" w:rsidR="00A76571" w:rsidRPr="00591316" w:rsidRDefault="00A76571" w:rsidP="00617C3E">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828.393</w:t>
            </w:r>
          </w:p>
        </w:tc>
        <w:tc>
          <w:tcPr>
            <w:tcW w:w="863" w:type="dxa"/>
            <w:tcBorders>
              <w:top w:val="nil"/>
              <w:left w:val="nil"/>
              <w:bottom w:val="single" w:sz="4" w:space="0" w:color="auto"/>
              <w:right w:val="single" w:sz="4" w:space="0" w:color="auto"/>
            </w:tcBorders>
            <w:shd w:val="clear" w:color="000000" w:fill="FFFFFF"/>
            <w:noWrap/>
            <w:vAlign w:val="center"/>
            <w:hideMark/>
          </w:tcPr>
          <w:p w14:paraId="79482394" w14:textId="77777777" w:rsidR="00A76571" w:rsidRPr="00591316" w:rsidRDefault="00A76571" w:rsidP="00617C3E">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812.458</w:t>
            </w:r>
          </w:p>
        </w:tc>
        <w:tc>
          <w:tcPr>
            <w:tcW w:w="863" w:type="dxa"/>
            <w:tcBorders>
              <w:top w:val="nil"/>
              <w:left w:val="nil"/>
              <w:bottom w:val="single" w:sz="4" w:space="0" w:color="auto"/>
              <w:right w:val="single" w:sz="4" w:space="0" w:color="auto"/>
            </w:tcBorders>
            <w:shd w:val="clear" w:color="000000" w:fill="FFFFFF"/>
            <w:noWrap/>
            <w:vAlign w:val="center"/>
            <w:hideMark/>
          </w:tcPr>
          <w:p w14:paraId="5F89DE13" w14:textId="77777777" w:rsidR="00A76571" w:rsidRPr="00591316" w:rsidRDefault="00A76571" w:rsidP="00617C3E">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823.433</w:t>
            </w:r>
          </w:p>
        </w:tc>
        <w:tc>
          <w:tcPr>
            <w:tcW w:w="926" w:type="dxa"/>
            <w:tcBorders>
              <w:top w:val="nil"/>
              <w:left w:val="nil"/>
              <w:bottom w:val="single" w:sz="4" w:space="0" w:color="auto"/>
              <w:right w:val="single" w:sz="4" w:space="0" w:color="auto"/>
            </w:tcBorders>
            <w:shd w:val="clear" w:color="auto" w:fill="auto"/>
            <w:noWrap/>
            <w:vAlign w:val="center"/>
            <w:hideMark/>
          </w:tcPr>
          <w:p w14:paraId="47195BBD" w14:textId="77777777" w:rsidR="00A76571" w:rsidRPr="00591316" w:rsidRDefault="00A76571">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282,5</w:t>
            </w:r>
          </w:p>
        </w:tc>
        <w:tc>
          <w:tcPr>
            <w:tcW w:w="926" w:type="dxa"/>
            <w:tcBorders>
              <w:top w:val="nil"/>
              <w:left w:val="nil"/>
              <w:bottom w:val="single" w:sz="4" w:space="0" w:color="auto"/>
              <w:right w:val="single" w:sz="4" w:space="0" w:color="auto"/>
            </w:tcBorders>
            <w:shd w:val="clear" w:color="auto" w:fill="auto"/>
            <w:noWrap/>
            <w:vAlign w:val="center"/>
            <w:hideMark/>
          </w:tcPr>
          <w:p w14:paraId="32E13D86" w14:textId="77777777" w:rsidR="00A76571" w:rsidRPr="00591316" w:rsidRDefault="00A76571">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287,2</w:t>
            </w:r>
          </w:p>
        </w:tc>
        <w:tc>
          <w:tcPr>
            <w:tcW w:w="927" w:type="dxa"/>
            <w:tcBorders>
              <w:top w:val="nil"/>
              <w:left w:val="nil"/>
              <w:bottom w:val="single" w:sz="4" w:space="0" w:color="auto"/>
              <w:right w:val="single" w:sz="4" w:space="0" w:color="auto"/>
            </w:tcBorders>
            <w:shd w:val="clear" w:color="auto" w:fill="auto"/>
            <w:noWrap/>
            <w:vAlign w:val="center"/>
            <w:hideMark/>
          </w:tcPr>
          <w:p w14:paraId="06020BAF" w14:textId="77777777" w:rsidR="00A76571" w:rsidRPr="00591316" w:rsidRDefault="00A76571">
            <w:pPr>
              <w:spacing w:after="0" w:line="240" w:lineRule="auto"/>
              <w:jc w:val="right"/>
              <w:rPr>
                <w:rFonts w:ascii="Arial" w:eastAsia="Times New Roman" w:hAnsi="Arial" w:cs="Arial"/>
                <w:sz w:val="20"/>
                <w:szCs w:val="20"/>
                <w:lang w:eastAsia="sl-SI"/>
              </w:rPr>
            </w:pPr>
            <w:r w:rsidRPr="00591316">
              <w:rPr>
                <w:rFonts w:ascii="Arial" w:eastAsia="Times New Roman" w:hAnsi="Arial" w:cs="Arial"/>
                <w:sz w:val="20"/>
                <w:szCs w:val="20"/>
                <w:lang w:eastAsia="sl-SI"/>
              </w:rPr>
              <w:t>304,0</w:t>
            </w:r>
          </w:p>
        </w:tc>
      </w:tr>
      <w:tr w:rsidR="009074C5" w:rsidRPr="00F609E3" w14:paraId="7CE99580" w14:textId="77777777" w:rsidTr="00AC13E9">
        <w:trPr>
          <w:trHeight w:val="285"/>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2E9BDA94" w14:textId="247A2023" w:rsidR="009074C5" w:rsidRPr="00591316" w:rsidRDefault="009074C5" w:rsidP="009074C5">
            <w:pPr>
              <w:spacing w:after="0" w:line="240" w:lineRule="auto"/>
              <w:rPr>
                <w:rFonts w:ascii="Arial" w:eastAsia="Times New Roman" w:hAnsi="Arial" w:cs="Arial"/>
                <w:sz w:val="20"/>
                <w:szCs w:val="20"/>
                <w:lang w:eastAsia="sl-SI"/>
              </w:rPr>
            </w:pPr>
            <w:r w:rsidRPr="009074C5">
              <w:rPr>
                <w:rFonts w:ascii="Arial" w:eastAsia="Times New Roman" w:hAnsi="Arial" w:cs="Arial"/>
                <w:sz w:val="20"/>
                <w:szCs w:val="20"/>
                <w:lang w:eastAsia="sl-SI"/>
              </w:rPr>
              <w:t>Olajšava za vzdrževane otroke</w:t>
            </w:r>
          </w:p>
        </w:tc>
        <w:tc>
          <w:tcPr>
            <w:tcW w:w="863" w:type="dxa"/>
            <w:tcBorders>
              <w:top w:val="nil"/>
              <w:left w:val="nil"/>
              <w:bottom w:val="single" w:sz="4" w:space="0" w:color="auto"/>
              <w:right w:val="single" w:sz="4" w:space="0" w:color="auto"/>
            </w:tcBorders>
            <w:shd w:val="clear" w:color="000000" w:fill="FFFFFF"/>
            <w:noWrap/>
            <w:vAlign w:val="center"/>
            <w:hideMark/>
          </w:tcPr>
          <w:p w14:paraId="2C1D192A" w14:textId="7C2FACDD" w:rsidR="009074C5" w:rsidRPr="00591316"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332.244</w:t>
            </w:r>
          </w:p>
        </w:tc>
        <w:tc>
          <w:tcPr>
            <w:tcW w:w="863" w:type="dxa"/>
            <w:tcBorders>
              <w:top w:val="nil"/>
              <w:left w:val="nil"/>
              <w:bottom w:val="single" w:sz="4" w:space="0" w:color="auto"/>
              <w:right w:val="single" w:sz="4" w:space="0" w:color="auto"/>
            </w:tcBorders>
            <w:shd w:val="clear" w:color="000000" w:fill="FFFFFF"/>
            <w:noWrap/>
            <w:vAlign w:val="center"/>
            <w:hideMark/>
          </w:tcPr>
          <w:p w14:paraId="735B18FA" w14:textId="4C07856F" w:rsidR="009074C5" w:rsidRPr="00591316"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329.633</w:t>
            </w:r>
          </w:p>
        </w:tc>
        <w:tc>
          <w:tcPr>
            <w:tcW w:w="863" w:type="dxa"/>
            <w:tcBorders>
              <w:top w:val="nil"/>
              <w:left w:val="nil"/>
              <w:bottom w:val="single" w:sz="4" w:space="0" w:color="auto"/>
              <w:right w:val="single" w:sz="4" w:space="0" w:color="auto"/>
            </w:tcBorders>
            <w:shd w:val="clear" w:color="000000" w:fill="FFFFFF"/>
            <w:noWrap/>
            <w:vAlign w:val="center"/>
            <w:hideMark/>
          </w:tcPr>
          <w:p w14:paraId="08DA1BEB" w14:textId="5796C392" w:rsidR="009074C5" w:rsidRPr="00591316"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331.966</w:t>
            </w:r>
          </w:p>
        </w:tc>
        <w:tc>
          <w:tcPr>
            <w:tcW w:w="926" w:type="dxa"/>
            <w:tcBorders>
              <w:top w:val="nil"/>
              <w:left w:val="nil"/>
              <w:bottom w:val="single" w:sz="4" w:space="0" w:color="auto"/>
              <w:right w:val="single" w:sz="4" w:space="0" w:color="auto"/>
            </w:tcBorders>
            <w:shd w:val="clear" w:color="auto" w:fill="auto"/>
            <w:noWrap/>
            <w:vAlign w:val="center"/>
            <w:hideMark/>
          </w:tcPr>
          <w:p w14:paraId="326DCBD5" w14:textId="4DD9A67C" w:rsidR="009074C5" w:rsidRPr="00591316"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271,0</w:t>
            </w:r>
          </w:p>
        </w:tc>
        <w:tc>
          <w:tcPr>
            <w:tcW w:w="926" w:type="dxa"/>
            <w:tcBorders>
              <w:top w:val="nil"/>
              <w:left w:val="nil"/>
              <w:bottom w:val="single" w:sz="4" w:space="0" w:color="auto"/>
              <w:right w:val="single" w:sz="4" w:space="0" w:color="auto"/>
            </w:tcBorders>
            <w:shd w:val="clear" w:color="auto" w:fill="auto"/>
            <w:noWrap/>
            <w:vAlign w:val="center"/>
            <w:hideMark/>
          </w:tcPr>
          <w:p w14:paraId="39316C77" w14:textId="31D4B2D9" w:rsidR="009074C5" w:rsidRPr="00591316"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261,1</w:t>
            </w:r>
          </w:p>
        </w:tc>
        <w:tc>
          <w:tcPr>
            <w:tcW w:w="927" w:type="dxa"/>
            <w:tcBorders>
              <w:top w:val="nil"/>
              <w:left w:val="nil"/>
              <w:bottom w:val="single" w:sz="4" w:space="0" w:color="auto"/>
              <w:right w:val="single" w:sz="4" w:space="0" w:color="auto"/>
            </w:tcBorders>
            <w:shd w:val="clear" w:color="auto" w:fill="auto"/>
            <w:noWrap/>
            <w:vAlign w:val="center"/>
            <w:hideMark/>
          </w:tcPr>
          <w:p w14:paraId="381AF303" w14:textId="28D204C2"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270,1</w:t>
            </w:r>
          </w:p>
        </w:tc>
      </w:tr>
      <w:tr w:rsidR="00A76571" w:rsidRPr="00F609E3" w14:paraId="5977C59F"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2819406B" w14:textId="1E295886" w:rsidR="00A76571" w:rsidRPr="00483F88" w:rsidRDefault="00F609E3" w:rsidP="00F609E3">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O</w:t>
            </w:r>
            <w:r w:rsidR="00A76571" w:rsidRPr="00483F88">
              <w:rPr>
                <w:rFonts w:ascii="Arial" w:eastAsia="Times New Roman" w:hAnsi="Arial" w:cs="Arial"/>
                <w:sz w:val="20"/>
                <w:szCs w:val="20"/>
                <w:lang w:eastAsia="sl-SI"/>
              </w:rPr>
              <w:t>proščeni dohodki (od 20.</w:t>
            </w:r>
            <w:r w:rsidR="00054792">
              <w:rPr>
                <w:rFonts w:ascii="Arial" w:eastAsia="Times New Roman" w:hAnsi="Arial" w:cs="Arial"/>
                <w:sz w:val="20"/>
                <w:szCs w:val="20"/>
                <w:lang w:eastAsia="sl-SI"/>
              </w:rPr>
              <w:t xml:space="preserve"> </w:t>
            </w:r>
            <w:r w:rsidR="00A76571" w:rsidRPr="00483F88">
              <w:rPr>
                <w:rFonts w:ascii="Arial" w:eastAsia="Times New Roman" w:hAnsi="Arial" w:cs="Arial"/>
                <w:sz w:val="20"/>
                <w:szCs w:val="20"/>
                <w:lang w:eastAsia="sl-SI"/>
              </w:rPr>
              <w:t>do 34.</w:t>
            </w:r>
            <w:r w:rsidR="00054792">
              <w:rPr>
                <w:rFonts w:ascii="Arial" w:eastAsia="Times New Roman" w:hAnsi="Arial" w:cs="Arial"/>
                <w:sz w:val="20"/>
                <w:szCs w:val="20"/>
                <w:lang w:eastAsia="sl-SI"/>
              </w:rPr>
              <w:t xml:space="preserve"> </w:t>
            </w:r>
            <w:r w:rsidR="00A76571" w:rsidRPr="00483F88">
              <w:rPr>
                <w:rFonts w:ascii="Arial" w:eastAsia="Times New Roman" w:hAnsi="Arial" w:cs="Arial"/>
                <w:sz w:val="20"/>
                <w:szCs w:val="20"/>
                <w:lang w:eastAsia="sl-SI"/>
              </w:rPr>
              <w:t>člena Z</w:t>
            </w:r>
            <w:r>
              <w:rPr>
                <w:rFonts w:ascii="Arial" w:eastAsia="Times New Roman" w:hAnsi="Arial" w:cs="Arial"/>
                <w:sz w:val="20"/>
                <w:szCs w:val="20"/>
                <w:lang w:eastAsia="sl-SI"/>
              </w:rPr>
              <w:t>D</w:t>
            </w:r>
            <w:r w:rsidR="00A76571" w:rsidRPr="00483F88">
              <w:rPr>
                <w:rFonts w:ascii="Arial" w:eastAsia="Times New Roman" w:hAnsi="Arial" w:cs="Arial"/>
                <w:sz w:val="20"/>
                <w:szCs w:val="20"/>
                <w:lang w:eastAsia="sl-SI"/>
              </w:rPr>
              <w:t>oh-2)</w:t>
            </w:r>
          </w:p>
        </w:tc>
        <w:tc>
          <w:tcPr>
            <w:tcW w:w="863" w:type="dxa"/>
            <w:tcBorders>
              <w:top w:val="nil"/>
              <w:left w:val="nil"/>
              <w:bottom w:val="single" w:sz="4" w:space="0" w:color="auto"/>
              <w:right w:val="single" w:sz="4" w:space="0" w:color="auto"/>
            </w:tcBorders>
            <w:shd w:val="clear" w:color="000000" w:fill="FFFFFF"/>
            <w:noWrap/>
            <w:vAlign w:val="center"/>
            <w:hideMark/>
          </w:tcPr>
          <w:p w14:paraId="6BC91884"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601.627</w:t>
            </w:r>
          </w:p>
        </w:tc>
        <w:tc>
          <w:tcPr>
            <w:tcW w:w="863" w:type="dxa"/>
            <w:tcBorders>
              <w:top w:val="nil"/>
              <w:left w:val="nil"/>
              <w:bottom w:val="single" w:sz="4" w:space="0" w:color="auto"/>
              <w:right w:val="single" w:sz="4" w:space="0" w:color="auto"/>
            </w:tcBorders>
            <w:shd w:val="clear" w:color="000000" w:fill="FFFFFF"/>
            <w:noWrap/>
            <w:vAlign w:val="center"/>
            <w:hideMark/>
          </w:tcPr>
          <w:p w14:paraId="1CBE8361"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537.929</w:t>
            </w:r>
          </w:p>
        </w:tc>
        <w:tc>
          <w:tcPr>
            <w:tcW w:w="863" w:type="dxa"/>
            <w:tcBorders>
              <w:top w:val="nil"/>
              <w:left w:val="nil"/>
              <w:bottom w:val="single" w:sz="4" w:space="0" w:color="auto"/>
              <w:right w:val="single" w:sz="4" w:space="0" w:color="auto"/>
            </w:tcBorders>
            <w:shd w:val="clear" w:color="000000" w:fill="FFFFFF"/>
            <w:noWrap/>
            <w:vAlign w:val="center"/>
            <w:hideMark/>
          </w:tcPr>
          <w:p w14:paraId="53C2EACB"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645.355</w:t>
            </w:r>
          </w:p>
        </w:tc>
        <w:tc>
          <w:tcPr>
            <w:tcW w:w="926" w:type="dxa"/>
            <w:tcBorders>
              <w:top w:val="nil"/>
              <w:left w:val="nil"/>
              <w:bottom w:val="single" w:sz="4" w:space="0" w:color="auto"/>
              <w:right w:val="single" w:sz="4" w:space="0" w:color="auto"/>
            </w:tcBorders>
            <w:shd w:val="clear" w:color="auto" w:fill="auto"/>
            <w:noWrap/>
            <w:vAlign w:val="center"/>
            <w:hideMark/>
          </w:tcPr>
          <w:p w14:paraId="77B63D5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167,0</w:t>
            </w:r>
          </w:p>
        </w:tc>
        <w:tc>
          <w:tcPr>
            <w:tcW w:w="926" w:type="dxa"/>
            <w:tcBorders>
              <w:top w:val="nil"/>
              <w:left w:val="nil"/>
              <w:bottom w:val="single" w:sz="4" w:space="0" w:color="auto"/>
              <w:right w:val="single" w:sz="4" w:space="0" w:color="auto"/>
            </w:tcBorders>
            <w:shd w:val="clear" w:color="auto" w:fill="auto"/>
            <w:noWrap/>
            <w:vAlign w:val="center"/>
            <w:hideMark/>
          </w:tcPr>
          <w:p w14:paraId="255B48E2"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151,4</w:t>
            </w:r>
          </w:p>
        </w:tc>
        <w:tc>
          <w:tcPr>
            <w:tcW w:w="927" w:type="dxa"/>
            <w:tcBorders>
              <w:top w:val="nil"/>
              <w:left w:val="nil"/>
              <w:bottom w:val="single" w:sz="4" w:space="0" w:color="auto"/>
              <w:right w:val="single" w:sz="4" w:space="0" w:color="auto"/>
            </w:tcBorders>
            <w:shd w:val="clear" w:color="auto" w:fill="auto"/>
            <w:noWrap/>
            <w:vAlign w:val="center"/>
            <w:hideMark/>
          </w:tcPr>
          <w:p w14:paraId="3A07D4B4"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186,5</w:t>
            </w:r>
          </w:p>
        </w:tc>
      </w:tr>
      <w:tr w:rsidR="00A76571" w:rsidRPr="00F609E3" w14:paraId="6B3F0D0A"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62E5427F" w14:textId="6FA4CD60" w:rsidR="00A76571" w:rsidRPr="00483F88" w:rsidRDefault="00A76571" w:rsidP="00617C3E">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 xml:space="preserve">Oprostitev dohodnine </w:t>
            </w:r>
            <w:r w:rsidR="00F609E3">
              <w:rPr>
                <w:rFonts w:ascii="Arial" w:eastAsia="Times New Roman" w:hAnsi="Arial" w:cs="Arial"/>
                <w:sz w:val="20"/>
                <w:szCs w:val="20"/>
                <w:lang w:eastAsia="sl-SI"/>
              </w:rPr>
              <w:t xml:space="preserve">od </w:t>
            </w:r>
            <w:r w:rsidRPr="00483F88">
              <w:rPr>
                <w:rFonts w:ascii="Arial" w:eastAsia="Times New Roman" w:hAnsi="Arial" w:cs="Arial"/>
                <w:sz w:val="20"/>
                <w:szCs w:val="20"/>
                <w:lang w:eastAsia="sl-SI"/>
              </w:rPr>
              <w:t>izplačila dela plače</w:t>
            </w:r>
            <w:r w:rsidR="00054792">
              <w:rPr>
                <w:rFonts w:ascii="Arial" w:eastAsia="Times New Roman" w:hAnsi="Arial" w:cs="Arial"/>
                <w:sz w:val="20"/>
                <w:szCs w:val="20"/>
                <w:lang w:eastAsia="sl-SI"/>
              </w:rPr>
              <w:t xml:space="preserve"> zaradi</w:t>
            </w:r>
            <w:r w:rsidRPr="00483F88">
              <w:rPr>
                <w:rFonts w:ascii="Arial" w:eastAsia="Times New Roman" w:hAnsi="Arial" w:cs="Arial"/>
                <w:sz w:val="20"/>
                <w:szCs w:val="20"/>
                <w:lang w:eastAsia="sl-SI"/>
              </w:rPr>
              <w:t xml:space="preserve"> poslovne uspešnosti</w:t>
            </w:r>
          </w:p>
        </w:tc>
        <w:tc>
          <w:tcPr>
            <w:tcW w:w="863" w:type="dxa"/>
            <w:tcBorders>
              <w:top w:val="nil"/>
              <w:left w:val="nil"/>
              <w:bottom w:val="single" w:sz="4" w:space="0" w:color="auto"/>
              <w:right w:val="single" w:sz="4" w:space="0" w:color="auto"/>
            </w:tcBorders>
            <w:shd w:val="clear" w:color="000000" w:fill="FFFFFF"/>
            <w:noWrap/>
            <w:vAlign w:val="center"/>
            <w:hideMark/>
          </w:tcPr>
          <w:p w14:paraId="1034E4E5"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 </w:t>
            </w:r>
          </w:p>
        </w:tc>
        <w:tc>
          <w:tcPr>
            <w:tcW w:w="863" w:type="dxa"/>
            <w:tcBorders>
              <w:top w:val="nil"/>
              <w:left w:val="nil"/>
              <w:bottom w:val="single" w:sz="4" w:space="0" w:color="auto"/>
              <w:right w:val="single" w:sz="4" w:space="0" w:color="auto"/>
            </w:tcBorders>
            <w:shd w:val="clear" w:color="000000" w:fill="FFFFFF"/>
            <w:noWrap/>
            <w:vAlign w:val="center"/>
            <w:hideMark/>
          </w:tcPr>
          <w:p w14:paraId="583DE81A"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278.138</w:t>
            </w:r>
          </w:p>
        </w:tc>
        <w:tc>
          <w:tcPr>
            <w:tcW w:w="863" w:type="dxa"/>
            <w:tcBorders>
              <w:top w:val="nil"/>
              <w:left w:val="nil"/>
              <w:bottom w:val="single" w:sz="4" w:space="0" w:color="auto"/>
              <w:right w:val="single" w:sz="4" w:space="0" w:color="auto"/>
            </w:tcBorders>
            <w:shd w:val="clear" w:color="000000" w:fill="FFFFFF"/>
            <w:noWrap/>
            <w:vAlign w:val="center"/>
            <w:hideMark/>
          </w:tcPr>
          <w:p w14:paraId="59FE0F27"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314.067</w:t>
            </w:r>
          </w:p>
        </w:tc>
        <w:tc>
          <w:tcPr>
            <w:tcW w:w="926" w:type="dxa"/>
            <w:tcBorders>
              <w:top w:val="nil"/>
              <w:left w:val="nil"/>
              <w:bottom w:val="single" w:sz="4" w:space="0" w:color="auto"/>
              <w:right w:val="single" w:sz="4" w:space="0" w:color="auto"/>
            </w:tcBorders>
            <w:shd w:val="clear" w:color="auto" w:fill="auto"/>
            <w:noWrap/>
            <w:vAlign w:val="center"/>
            <w:hideMark/>
          </w:tcPr>
          <w:p w14:paraId="02981F9E" w14:textId="77777777" w:rsidR="00A76571" w:rsidRPr="00483F88" w:rsidRDefault="00A76571" w:rsidP="00012435">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 </w:t>
            </w:r>
          </w:p>
        </w:tc>
        <w:tc>
          <w:tcPr>
            <w:tcW w:w="926" w:type="dxa"/>
            <w:tcBorders>
              <w:top w:val="nil"/>
              <w:left w:val="nil"/>
              <w:bottom w:val="single" w:sz="4" w:space="0" w:color="auto"/>
              <w:right w:val="single" w:sz="4" w:space="0" w:color="auto"/>
            </w:tcBorders>
            <w:shd w:val="clear" w:color="auto" w:fill="auto"/>
            <w:noWrap/>
            <w:vAlign w:val="center"/>
            <w:hideMark/>
          </w:tcPr>
          <w:p w14:paraId="210198B6"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35,0</w:t>
            </w:r>
          </w:p>
        </w:tc>
        <w:tc>
          <w:tcPr>
            <w:tcW w:w="927" w:type="dxa"/>
            <w:tcBorders>
              <w:top w:val="nil"/>
              <w:left w:val="nil"/>
              <w:bottom w:val="single" w:sz="4" w:space="0" w:color="auto"/>
              <w:right w:val="single" w:sz="4" w:space="0" w:color="auto"/>
            </w:tcBorders>
            <w:shd w:val="clear" w:color="auto" w:fill="auto"/>
            <w:noWrap/>
            <w:vAlign w:val="center"/>
            <w:hideMark/>
          </w:tcPr>
          <w:p w14:paraId="554C4D5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47,6</w:t>
            </w:r>
          </w:p>
        </w:tc>
      </w:tr>
      <w:tr w:rsidR="00A76571" w:rsidRPr="00F609E3" w14:paraId="06F1AAF3"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6CE4390F" w14:textId="535B3587" w:rsidR="00A76571" w:rsidRPr="00483F88" w:rsidRDefault="00A76571" w:rsidP="00617C3E">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 xml:space="preserve">Oprostitev dohodnine od prodaje nepremičnine </w:t>
            </w:r>
            <w:r w:rsidR="00054792">
              <w:rPr>
                <w:rFonts w:ascii="Arial" w:eastAsia="Times New Roman" w:hAnsi="Arial" w:cs="Arial"/>
                <w:sz w:val="20"/>
                <w:szCs w:val="20"/>
                <w:lang w:eastAsia="sl-SI"/>
              </w:rPr>
              <w:t>–</w:t>
            </w:r>
            <w:r w:rsidRPr="00483F88">
              <w:rPr>
                <w:rFonts w:ascii="Arial" w:eastAsia="Times New Roman" w:hAnsi="Arial" w:cs="Arial"/>
                <w:sz w:val="20"/>
                <w:szCs w:val="20"/>
                <w:lang w:eastAsia="sl-SI"/>
              </w:rPr>
              <w:t xml:space="preserve"> bivanje vsaj 3 leta</w:t>
            </w:r>
          </w:p>
        </w:tc>
        <w:tc>
          <w:tcPr>
            <w:tcW w:w="863" w:type="dxa"/>
            <w:tcBorders>
              <w:top w:val="nil"/>
              <w:left w:val="nil"/>
              <w:bottom w:val="single" w:sz="4" w:space="0" w:color="auto"/>
              <w:right w:val="single" w:sz="4" w:space="0" w:color="auto"/>
            </w:tcBorders>
            <w:shd w:val="clear" w:color="000000" w:fill="FFFFFF"/>
            <w:noWrap/>
            <w:vAlign w:val="center"/>
            <w:hideMark/>
          </w:tcPr>
          <w:p w14:paraId="0A6DDB2E"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1.820</w:t>
            </w:r>
          </w:p>
        </w:tc>
        <w:tc>
          <w:tcPr>
            <w:tcW w:w="863" w:type="dxa"/>
            <w:tcBorders>
              <w:top w:val="nil"/>
              <w:left w:val="nil"/>
              <w:bottom w:val="single" w:sz="4" w:space="0" w:color="auto"/>
              <w:right w:val="single" w:sz="4" w:space="0" w:color="auto"/>
            </w:tcBorders>
            <w:shd w:val="clear" w:color="000000" w:fill="FFFFFF"/>
            <w:noWrap/>
            <w:vAlign w:val="center"/>
            <w:hideMark/>
          </w:tcPr>
          <w:p w14:paraId="337E2863"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2.264</w:t>
            </w:r>
          </w:p>
        </w:tc>
        <w:tc>
          <w:tcPr>
            <w:tcW w:w="863" w:type="dxa"/>
            <w:tcBorders>
              <w:top w:val="nil"/>
              <w:left w:val="nil"/>
              <w:bottom w:val="single" w:sz="4" w:space="0" w:color="auto"/>
              <w:right w:val="single" w:sz="4" w:space="0" w:color="auto"/>
            </w:tcBorders>
            <w:shd w:val="clear" w:color="000000" w:fill="FFFFFF"/>
            <w:noWrap/>
            <w:vAlign w:val="center"/>
            <w:hideMark/>
          </w:tcPr>
          <w:p w14:paraId="09E02C0B"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2.603</w:t>
            </w:r>
          </w:p>
        </w:tc>
        <w:tc>
          <w:tcPr>
            <w:tcW w:w="926" w:type="dxa"/>
            <w:tcBorders>
              <w:top w:val="nil"/>
              <w:left w:val="nil"/>
              <w:bottom w:val="single" w:sz="4" w:space="0" w:color="auto"/>
              <w:right w:val="single" w:sz="4" w:space="0" w:color="auto"/>
            </w:tcBorders>
            <w:shd w:val="clear" w:color="auto" w:fill="auto"/>
            <w:noWrap/>
            <w:vAlign w:val="center"/>
            <w:hideMark/>
          </w:tcPr>
          <w:p w14:paraId="78065FCF"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16,5</w:t>
            </w:r>
          </w:p>
        </w:tc>
        <w:tc>
          <w:tcPr>
            <w:tcW w:w="926" w:type="dxa"/>
            <w:tcBorders>
              <w:top w:val="nil"/>
              <w:left w:val="nil"/>
              <w:bottom w:val="single" w:sz="4" w:space="0" w:color="auto"/>
              <w:right w:val="single" w:sz="4" w:space="0" w:color="auto"/>
            </w:tcBorders>
            <w:shd w:val="clear" w:color="auto" w:fill="auto"/>
            <w:noWrap/>
            <w:vAlign w:val="center"/>
            <w:hideMark/>
          </w:tcPr>
          <w:p w14:paraId="279682C9"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22,4</w:t>
            </w:r>
          </w:p>
        </w:tc>
        <w:tc>
          <w:tcPr>
            <w:tcW w:w="927" w:type="dxa"/>
            <w:tcBorders>
              <w:top w:val="nil"/>
              <w:left w:val="nil"/>
              <w:bottom w:val="single" w:sz="4" w:space="0" w:color="auto"/>
              <w:right w:val="single" w:sz="4" w:space="0" w:color="auto"/>
            </w:tcBorders>
            <w:shd w:val="clear" w:color="auto" w:fill="auto"/>
            <w:noWrap/>
            <w:vAlign w:val="center"/>
            <w:hideMark/>
          </w:tcPr>
          <w:p w14:paraId="542412CA"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28,2</w:t>
            </w:r>
          </w:p>
        </w:tc>
      </w:tr>
      <w:tr w:rsidR="00A76571" w:rsidRPr="00F609E3" w14:paraId="1E3A4CD7" w14:textId="77777777" w:rsidTr="00AC13E9">
        <w:trPr>
          <w:trHeight w:val="337"/>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0037DE69" w14:textId="77777777" w:rsidR="00A76571" w:rsidRPr="00483F88" w:rsidRDefault="00A76571" w:rsidP="00617C3E">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Posebna osebna olajšava za študente</w:t>
            </w:r>
          </w:p>
        </w:tc>
        <w:tc>
          <w:tcPr>
            <w:tcW w:w="863" w:type="dxa"/>
            <w:tcBorders>
              <w:top w:val="nil"/>
              <w:left w:val="nil"/>
              <w:bottom w:val="single" w:sz="4" w:space="0" w:color="auto"/>
              <w:right w:val="single" w:sz="4" w:space="0" w:color="auto"/>
            </w:tcBorders>
            <w:shd w:val="clear" w:color="000000" w:fill="FFFFFF"/>
            <w:noWrap/>
            <w:vAlign w:val="center"/>
            <w:hideMark/>
          </w:tcPr>
          <w:p w14:paraId="7A5C031C"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95.165</w:t>
            </w:r>
          </w:p>
        </w:tc>
        <w:tc>
          <w:tcPr>
            <w:tcW w:w="863" w:type="dxa"/>
            <w:tcBorders>
              <w:top w:val="nil"/>
              <w:left w:val="nil"/>
              <w:bottom w:val="single" w:sz="4" w:space="0" w:color="auto"/>
              <w:right w:val="single" w:sz="4" w:space="0" w:color="auto"/>
            </w:tcBorders>
            <w:shd w:val="clear" w:color="000000" w:fill="FFFFFF"/>
            <w:noWrap/>
            <w:vAlign w:val="center"/>
            <w:hideMark/>
          </w:tcPr>
          <w:p w14:paraId="36F04661"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97.102</w:t>
            </w:r>
          </w:p>
        </w:tc>
        <w:tc>
          <w:tcPr>
            <w:tcW w:w="863" w:type="dxa"/>
            <w:tcBorders>
              <w:top w:val="nil"/>
              <w:left w:val="nil"/>
              <w:bottom w:val="single" w:sz="4" w:space="0" w:color="auto"/>
              <w:right w:val="single" w:sz="4" w:space="0" w:color="auto"/>
            </w:tcBorders>
            <w:shd w:val="clear" w:color="000000" w:fill="FFFFFF"/>
            <w:noWrap/>
            <w:vAlign w:val="center"/>
            <w:hideMark/>
          </w:tcPr>
          <w:p w14:paraId="3AC8CD2F"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97.029</w:t>
            </w:r>
          </w:p>
        </w:tc>
        <w:tc>
          <w:tcPr>
            <w:tcW w:w="926" w:type="dxa"/>
            <w:tcBorders>
              <w:top w:val="nil"/>
              <w:left w:val="nil"/>
              <w:bottom w:val="single" w:sz="4" w:space="0" w:color="auto"/>
              <w:right w:val="single" w:sz="4" w:space="0" w:color="auto"/>
            </w:tcBorders>
            <w:shd w:val="clear" w:color="auto" w:fill="auto"/>
            <w:noWrap/>
            <w:vAlign w:val="center"/>
            <w:hideMark/>
          </w:tcPr>
          <w:p w14:paraId="447444AA"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20,5</w:t>
            </w:r>
          </w:p>
        </w:tc>
        <w:tc>
          <w:tcPr>
            <w:tcW w:w="926" w:type="dxa"/>
            <w:tcBorders>
              <w:top w:val="nil"/>
              <w:left w:val="nil"/>
              <w:bottom w:val="single" w:sz="4" w:space="0" w:color="auto"/>
              <w:right w:val="single" w:sz="4" w:space="0" w:color="auto"/>
            </w:tcBorders>
            <w:shd w:val="clear" w:color="auto" w:fill="auto"/>
            <w:noWrap/>
            <w:vAlign w:val="center"/>
            <w:hideMark/>
          </w:tcPr>
          <w:p w14:paraId="3B7AF743"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21,5</w:t>
            </w:r>
          </w:p>
        </w:tc>
        <w:tc>
          <w:tcPr>
            <w:tcW w:w="927" w:type="dxa"/>
            <w:tcBorders>
              <w:top w:val="nil"/>
              <w:left w:val="nil"/>
              <w:bottom w:val="single" w:sz="4" w:space="0" w:color="auto"/>
              <w:right w:val="single" w:sz="4" w:space="0" w:color="auto"/>
            </w:tcBorders>
            <w:shd w:val="clear" w:color="auto" w:fill="auto"/>
            <w:noWrap/>
            <w:vAlign w:val="center"/>
            <w:hideMark/>
          </w:tcPr>
          <w:p w14:paraId="776CA672"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25,0</w:t>
            </w:r>
          </w:p>
        </w:tc>
      </w:tr>
      <w:tr w:rsidR="009074C5" w:rsidRPr="00F609E3" w14:paraId="535C6ABF" w14:textId="77777777" w:rsidTr="00AC13E9">
        <w:trPr>
          <w:trHeight w:val="342"/>
        </w:trPr>
        <w:tc>
          <w:tcPr>
            <w:tcW w:w="4100" w:type="dxa"/>
            <w:tcBorders>
              <w:top w:val="nil"/>
              <w:left w:val="single" w:sz="4" w:space="0" w:color="auto"/>
              <w:bottom w:val="single" w:sz="4" w:space="0" w:color="auto"/>
              <w:right w:val="single" w:sz="4" w:space="0" w:color="auto"/>
            </w:tcBorders>
            <w:shd w:val="clear" w:color="000000" w:fill="CCFFFF"/>
            <w:vAlign w:val="center"/>
          </w:tcPr>
          <w:p w14:paraId="63A2F597" w14:textId="4B21AF14" w:rsidR="009074C5" w:rsidRPr="00483F88" w:rsidRDefault="009074C5" w:rsidP="009074C5">
            <w:pPr>
              <w:spacing w:after="0" w:line="240" w:lineRule="auto"/>
              <w:rPr>
                <w:rFonts w:ascii="Arial" w:eastAsia="Times New Roman" w:hAnsi="Arial" w:cs="Arial"/>
                <w:sz w:val="20"/>
                <w:szCs w:val="20"/>
                <w:lang w:eastAsia="sl-SI"/>
              </w:rPr>
            </w:pPr>
            <w:r w:rsidRPr="00AC13E9">
              <w:rPr>
                <w:rFonts w:ascii="Arial" w:eastAsia="Times New Roman" w:hAnsi="Arial" w:cs="Arial"/>
                <w:sz w:val="20"/>
                <w:szCs w:val="20"/>
                <w:lang w:eastAsia="sl-SI"/>
              </w:rPr>
              <w:t xml:space="preserve">Olajšava za vzdrževane družinske člane </w:t>
            </w:r>
          </w:p>
        </w:tc>
        <w:tc>
          <w:tcPr>
            <w:tcW w:w="863" w:type="dxa"/>
            <w:tcBorders>
              <w:top w:val="nil"/>
              <w:left w:val="nil"/>
              <w:bottom w:val="single" w:sz="4" w:space="0" w:color="auto"/>
              <w:right w:val="single" w:sz="4" w:space="0" w:color="auto"/>
            </w:tcBorders>
            <w:shd w:val="clear" w:color="000000" w:fill="FFFFFF"/>
            <w:noWrap/>
            <w:vAlign w:val="center"/>
          </w:tcPr>
          <w:p w14:paraId="7DB47B64" w14:textId="664665F5"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58.673</w:t>
            </w:r>
          </w:p>
        </w:tc>
        <w:tc>
          <w:tcPr>
            <w:tcW w:w="863" w:type="dxa"/>
            <w:tcBorders>
              <w:top w:val="nil"/>
              <w:left w:val="nil"/>
              <w:bottom w:val="single" w:sz="4" w:space="0" w:color="auto"/>
              <w:right w:val="single" w:sz="4" w:space="0" w:color="auto"/>
            </w:tcBorders>
            <w:shd w:val="clear" w:color="000000" w:fill="FFFFFF"/>
            <w:noWrap/>
            <w:vAlign w:val="center"/>
          </w:tcPr>
          <w:p w14:paraId="0FEEADDB" w14:textId="35C26416"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53.982</w:t>
            </w:r>
          </w:p>
        </w:tc>
        <w:tc>
          <w:tcPr>
            <w:tcW w:w="863" w:type="dxa"/>
            <w:tcBorders>
              <w:top w:val="nil"/>
              <w:left w:val="nil"/>
              <w:bottom w:val="single" w:sz="4" w:space="0" w:color="auto"/>
              <w:right w:val="single" w:sz="4" w:space="0" w:color="auto"/>
            </w:tcBorders>
            <w:shd w:val="clear" w:color="000000" w:fill="FFFFFF"/>
            <w:noWrap/>
            <w:vAlign w:val="center"/>
          </w:tcPr>
          <w:p w14:paraId="52906E38" w14:textId="7D867209"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51.980</w:t>
            </w:r>
          </w:p>
        </w:tc>
        <w:tc>
          <w:tcPr>
            <w:tcW w:w="926" w:type="dxa"/>
            <w:tcBorders>
              <w:top w:val="nil"/>
              <w:left w:val="nil"/>
              <w:bottom w:val="single" w:sz="4" w:space="0" w:color="auto"/>
              <w:right w:val="single" w:sz="4" w:space="0" w:color="auto"/>
            </w:tcBorders>
            <w:shd w:val="clear" w:color="auto" w:fill="auto"/>
            <w:noWrap/>
            <w:vAlign w:val="center"/>
          </w:tcPr>
          <w:p w14:paraId="09E13503" w14:textId="29D1BF81"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22,8</w:t>
            </w:r>
          </w:p>
        </w:tc>
        <w:tc>
          <w:tcPr>
            <w:tcW w:w="926" w:type="dxa"/>
            <w:tcBorders>
              <w:top w:val="nil"/>
              <w:left w:val="nil"/>
              <w:bottom w:val="single" w:sz="4" w:space="0" w:color="auto"/>
              <w:right w:val="single" w:sz="4" w:space="0" w:color="auto"/>
            </w:tcBorders>
            <w:shd w:val="clear" w:color="auto" w:fill="auto"/>
            <w:noWrap/>
            <w:vAlign w:val="center"/>
          </w:tcPr>
          <w:p w14:paraId="1FBB5F53" w14:textId="6EAC71A1"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21,3</w:t>
            </w:r>
          </w:p>
        </w:tc>
        <w:tc>
          <w:tcPr>
            <w:tcW w:w="927" w:type="dxa"/>
            <w:tcBorders>
              <w:top w:val="nil"/>
              <w:left w:val="nil"/>
              <w:bottom w:val="single" w:sz="4" w:space="0" w:color="auto"/>
              <w:right w:val="single" w:sz="4" w:space="0" w:color="auto"/>
            </w:tcBorders>
            <w:shd w:val="clear" w:color="auto" w:fill="auto"/>
            <w:noWrap/>
            <w:vAlign w:val="center"/>
          </w:tcPr>
          <w:p w14:paraId="7244C592" w14:textId="68902F69"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21,8</w:t>
            </w:r>
          </w:p>
        </w:tc>
      </w:tr>
      <w:tr w:rsidR="00A76571" w:rsidRPr="00F609E3" w14:paraId="58EFFD78"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3DA29D76" w14:textId="35A7A29B" w:rsidR="00A76571" w:rsidRPr="00483F88" w:rsidRDefault="00A76571" w:rsidP="00350DB8">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Zniž</w:t>
            </w:r>
            <w:r w:rsidR="00350DB8">
              <w:rPr>
                <w:rFonts w:ascii="Arial" w:eastAsia="Times New Roman" w:hAnsi="Arial" w:cs="Arial"/>
                <w:sz w:val="20"/>
                <w:szCs w:val="20"/>
                <w:lang w:eastAsia="sl-SI"/>
              </w:rPr>
              <w:t>ev</w:t>
            </w:r>
            <w:r w:rsidRPr="00483F88">
              <w:rPr>
                <w:rFonts w:ascii="Arial" w:eastAsia="Times New Roman" w:hAnsi="Arial" w:cs="Arial"/>
                <w:sz w:val="20"/>
                <w:szCs w:val="20"/>
                <w:lang w:eastAsia="sl-SI"/>
              </w:rPr>
              <w:t>anje stopnje dohodnine od kap</w:t>
            </w:r>
            <w:r w:rsidR="00F609E3">
              <w:rPr>
                <w:rFonts w:ascii="Arial" w:eastAsia="Times New Roman" w:hAnsi="Arial" w:cs="Arial"/>
                <w:sz w:val="20"/>
                <w:szCs w:val="20"/>
                <w:lang w:eastAsia="sl-SI"/>
              </w:rPr>
              <w:t>italskih</w:t>
            </w:r>
            <w:r w:rsidRPr="00483F88">
              <w:rPr>
                <w:rFonts w:ascii="Arial" w:eastAsia="Times New Roman" w:hAnsi="Arial" w:cs="Arial"/>
                <w:sz w:val="20"/>
                <w:szCs w:val="20"/>
                <w:lang w:eastAsia="sl-SI"/>
              </w:rPr>
              <w:t xml:space="preserve"> dobičkov </w:t>
            </w:r>
            <w:r w:rsidR="00350DB8">
              <w:rPr>
                <w:rFonts w:ascii="Arial" w:eastAsia="Times New Roman" w:hAnsi="Arial" w:cs="Arial"/>
                <w:sz w:val="20"/>
                <w:szCs w:val="20"/>
                <w:lang w:eastAsia="sl-SI"/>
              </w:rPr>
              <w:t>glede na dobo imetništva</w:t>
            </w:r>
          </w:p>
        </w:tc>
        <w:tc>
          <w:tcPr>
            <w:tcW w:w="863" w:type="dxa"/>
            <w:tcBorders>
              <w:top w:val="nil"/>
              <w:left w:val="nil"/>
              <w:bottom w:val="single" w:sz="4" w:space="0" w:color="auto"/>
              <w:right w:val="single" w:sz="4" w:space="0" w:color="auto"/>
            </w:tcBorders>
            <w:shd w:val="clear" w:color="000000" w:fill="FFFFFF"/>
            <w:noWrap/>
            <w:vAlign w:val="center"/>
            <w:hideMark/>
          </w:tcPr>
          <w:p w14:paraId="227F8B0A"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7.864</w:t>
            </w:r>
          </w:p>
        </w:tc>
        <w:tc>
          <w:tcPr>
            <w:tcW w:w="863" w:type="dxa"/>
            <w:tcBorders>
              <w:top w:val="nil"/>
              <w:left w:val="nil"/>
              <w:bottom w:val="single" w:sz="4" w:space="0" w:color="auto"/>
              <w:right w:val="single" w:sz="4" w:space="0" w:color="auto"/>
            </w:tcBorders>
            <w:shd w:val="clear" w:color="000000" w:fill="FFFFFF"/>
            <w:noWrap/>
            <w:vAlign w:val="center"/>
            <w:hideMark/>
          </w:tcPr>
          <w:p w14:paraId="1205C9F0"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6.583</w:t>
            </w:r>
          </w:p>
        </w:tc>
        <w:tc>
          <w:tcPr>
            <w:tcW w:w="863" w:type="dxa"/>
            <w:tcBorders>
              <w:top w:val="nil"/>
              <w:left w:val="nil"/>
              <w:bottom w:val="single" w:sz="4" w:space="0" w:color="auto"/>
              <w:right w:val="single" w:sz="4" w:space="0" w:color="auto"/>
            </w:tcBorders>
            <w:shd w:val="clear" w:color="000000" w:fill="FFFFFF"/>
            <w:noWrap/>
            <w:vAlign w:val="center"/>
            <w:hideMark/>
          </w:tcPr>
          <w:p w14:paraId="0320C4B9"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6.540</w:t>
            </w:r>
          </w:p>
        </w:tc>
        <w:tc>
          <w:tcPr>
            <w:tcW w:w="926" w:type="dxa"/>
            <w:tcBorders>
              <w:top w:val="nil"/>
              <w:left w:val="nil"/>
              <w:bottom w:val="single" w:sz="4" w:space="0" w:color="auto"/>
              <w:right w:val="single" w:sz="4" w:space="0" w:color="auto"/>
            </w:tcBorders>
            <w:shd w:val="clear" w:color="auto" w:fill="auto"/>
            <w:noWrap/>
            <w:vAlign w:val="center"/>
            <w:hideMark/>
          </w:tcPr>
          <w:p w14:paraId="1B279A17"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14,2</w:t>
            </w:r>
          </w:p>
        </w:tc>
        <w:tc>
          <w:tcPr>
            <w:tcW w:w="926" w:type="dxa"/>
            <w:tcBorders>
              <w:top w:val="nil"/>
              <w:left w:val="nil"/>
              <w:bottom w:val="single" w:sz="4" w:space="0" w:color="auto"/>
              <w:right w:val="single" w:sz="4" w:space="0" w:color="auto"/>
            </w:tcBorders>
            <w:shd w:val="clear" w:color="auto" w:fill="auto"/>
            <w:noWrap/>
            <w:vAlign w:val="center"/>
            <w:hideMark/>
          </w:tcPr>
          <w:p w14:paraId="594F36A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15,8</w:t>
            </w:r>
          </w:p>
        </w:tc>
        <w:tc>
          <w:tcPr>
            <w:tcW w:w="927" w:type="dxa"/>
            <w:tcBorders>
              <w:top w:val="nil"/>
              <w:left w:val="nil"/>
              <w:bottom w:val="single" w:sz="4" w:space="0" w:color="auto"/>
              <w:right w:val="single" w:sz="4" w:space="0" w:color="auto"/>
            </w:tcBorders>
            <w:shd w:val="clear" w:color="auto" w:fill="auto"/>
            <w:noWrap/>
            <w:vAlign w:val="center"/>
            <w:hideMark/>
          </w:tcPr>
          <w:p w14:paraId="4EEF99E6"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14,0</w:t>
            </w:r>
          </w:p>
        </w:tc>
      </w:tr>
      <w:tr w:rsidR="009074C5" w:rsidRPr="00F609E3" w14:paraId="2C274F77"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tcPr>
          <w:p w14:paraId="0BF39EEC" w14:textId="45122A37" w:rsidR="009074C5" w:rsidRPr="00483F88" w:rsidRDefault="009074C5" w:rsidP="009074C5">
            <w:pPr>
              <w:spacing w:after="0" w:line="240" w:lineRule="auto"/>
              <w:rPr>
                <w:rFonts w:ascii="Arial" w:eastAsia="Times New Roman" w:hAnsi="Arial" w:cs="Arial"/>
                <w:sz w:val="20"/>
                <w:szCs w:val="20"/>
                <w:lang w:eastAsia="sl-SI"/>
              </w:rPr>
            </w:pPr>
            <w:r w:rsidRPr="00AC13E9">
              <w:rPr>
                <w:rFonts w:ascii="Arial" w:eastAsia="Times New Roman" w:hAnsi="Arial" w:cs="Arial"/>
                <w:sz w:val="20"/>
                <w:szCs w:val="20"/>
                <w:lang w:eastAsia="sl-SI"/>
              </w:rPr>
              <w:t>Olajšava za vzdrževane otroke, ki potrebujejo posebno nego in varstvo</w:t>
            </w:r>
          </w:p>
        </w:tc>
        <w:tc>
          <w:tcPr>
            <w:tcW w:w="863" w:type="dxa"/>
            <w:tcBorders>
              <w:top w:val="nil"/>
              <w:left w:val="nil"/>
              <w:bottom w:val="single" w:sz="4" w:space="0" w:color="auto"/>
              <w:right w:val="single" w:sz="4" w:space="0" w:color="auto"/>
            </w:tcBorders>
            <w:shd w:val="clear" w:color="000000" w:fill="FFFFFF"/>
            <w:noWrap/>
            <w:vAlign w:val="center"/>
          </w:tcPr>
          <w:p w14:paraId="1C2472B8" w14:textId="64EA5BC4"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7.385</w:t>
            </w:r>
          </w:p>
        </w:tc>
        <w:tc>
          <w:tcPr>
            <w:tcW w:w="863" w:type="dxa"/>
            <w:tcBorders>
              <w:top w:val="nil"/>
              <w:left w:val="nil"/>
              <w:bottom w:val="single" w:sz="4" w:space="0" w:color="auto"/>
              <w:right w:val="single" w:sz="4" w:space="0" w:color="auto"/>
            </w:tcBorders>
            <w:shd w:val="clear" w:color="000000" w:fill="FFFFFF"/>
            <w:noWrap/>
            <w:vAlign w:val="center"/>
          </w:tcPr>
          <w:p w14:paraId="3D51AC0D" w14:textId="0DCF5B9A"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7.728</w:t>
            </w:r>
          </w:p>
        </w:tc>
        <w:tc>
          <w:tcPr>
            <w:tcW w:w="863" w:type="dxa"/>
            <w:tcBorders>
              <w:top w:val="nil"/>
              <w:left w:val="nil"/>
              <w:bottom w:val="single" w:sz="4" w:space="0" w:color="auto"/>
              <w:right w:val="single" w:sz="4" w:space="0" w:color="auto"/>
            </w:tcBorders>
            <w:shd w:val="clear" w:color="000000" w:fill="FFFFFF"/>
            <w:noWrap/>
            <w:vAlign w:val="center"/>
          </w:tcPr>
          <w:p w14:paraId="014232D6" w14:textId="66F9DDE9"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8.157</w:t>
            </w:r>
          </w:p>
        </w:tc>
        <w:tc>
          <w:tcPr>
            <w:tcW w:w="926" w:type="dxa"/>
            <w:tcBorders>
              <w:top w:val="nil"/>
              <w:left w:val="nil"/>
              <w:bottom w:val="single" w:sz="4" w:space="0" w:color="auto"/>
              <w:right w:val="single" w:sz="4" w:space="0" w:color="auto"/>
            </w:tcBorders>
            <w:shd w:val="clear" w:color="auto" w:fill="auto"/>
            <w:noWrap/>
            <w:vAlign w:val="center"/>
          </w:tcPr>
          <w:p w14:paraId="63A4F37D" w14:textId="1AC331FA"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10,4</w:t>
            </w:r>
          </w:p>
        </w:tc>
        <w:tc>
          <w:tcPr>
            <w:tcW w:w="926" w:type="dxa"/>
            <w:tcBorders>
              <w:top w:val="nil"/>
              <w:left w:val="nil"/>
              <w:bottom w:val="single" w:sz="4" w:space="0" w:color="auto"/>
              <w:right w:val="single" w:sz="4" w:space="0" w:color="auto"/>
            </w:tcBorders>
            <w:shd w:val="clear" w:color="auto" w:fill="auto"/>
            <w:noWrap/>
            <w:vAlign w:val="center"/>
          </w:tcPr>
          <w:p w14:paraId="4A1DE1A5" w14:textId="4D6100BD"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10,6</w:t>
            </w:r>
          </w:p>
        </w:tc>
        <w:tc>
          <w:tcPr>
            <w:tcW w:w="927" w:type="dxa"/>
            <w:tcBorders>
              <w:top w:val="nil"/>
              <w:left w:val="nil"/>
              <w:bottom w:val="single" w:sz="4" w:space="0" w:color="auto"/>
              <w:right w:val="single" w:sz="4" w:space="0" w:color="auto"/>
            </w:tcBorders>
            <w:shd w:val="clear" w:color="auto" w:fill="auto"/>
            <w:noWrap/>
            <w:vAlign w:val="center"/>
          </w:tcPr>
          <w:p w14:paraId="77665712" w14:textId="1D661FFD" w:rsidR="009074C5" w:rsidRPr="00483F88" w:rsidRDefault="009074C5" w:rsidP="009074C5">
            <w:pPr>
              <w:spacing w:after="0" w:line="240" w:lineRule="auto"/>
              <w:jc w:val="right"/>
              <w:rPr>
                <w:rFonts w:ascii="Arial" w:eastAsia="Times New Roman" w:hAnsi="Arial" w:cs="Arial"/>
                <w:sz w:val="20"/>
                <w:szCs w:val="20"/>
                <w:lang w:eastAsia="sl-SI"/>
              </w:rPr>
            </w:pPr>
            <w:r w:rsidRPr="00AC13E9">
              <w:rPr>
                <w:rFonts w:ascii="Arial" w:eastAsia="Times New Roman" w:hAnsi="Arial" w:cs="Arial"/>
                <w:sz w:val="20"/>
                <w:szCs w:val="20"/>
                <w:lang w:eastAsia="sl-SI"/>
              </w:rPr>
              <w:t>11,5</w:t>
            </w:r>
          </w:p>
        </w:tc>
      </w:tr>
      <w:tr w:rsidR="00A76571" w:rsidRPr="00F609E3" w14:paraId="6B315BAC"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09DBDA89" w14:textId="77777777" w:rsidR="00A76571" w:rsidRPr="00483F88" w:rsidRDefault="00A76571" w:rsidP="00617C3E">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Olajšava za prostovoljno dodatno pokojninsko zavarovanje</w:t>
            </w:r>
          </w:p>
        </w:tc>
        <w:tc>
          <w:tcPr>
            <w:tcW w:w="863" w:type="dxa"/>
            <w:tcBorders>
              <w:top w:val="nil"/>
              <w:left w:val="nil"/>
              <w:bottom w:val="single" w:sz="4" w:space="0" w:color="auto"/>
              <w:right w:val="single" w:sz="4" w:space="0" w:color="auto"/>
            </w:tcBorders>
            <w:shd w:val="clear" w:color="000000" w:fill="FFFFFF"/>
            <w:noWrap/>
            <w:vAlign w:val="center"/>
            <w:hideMark/>
          </w:tcPr>
          <w:p w14:paraId="525B6980"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54.249</w:t>
            </w:r>
          </w:p>
        </w:tc>
        <w:tc>
          <w:tcPr>
            <w:tcW w:w="863" w:type="dxa"/>
            <w:tcBorders>
              <w:top w:val="nil"/>
              <w:left w:val="nil"/>
              <w:bottom w:val="single" w:sz="4" w:space="0" w:color="auto"/>
              <w:right w:val="single" w:sz="4" w:space="0" w:color="auto"/>
            </w:tcBorders>
            <w:shd w:val="clear" w:color="000000" w:fill="FFFFFF"/>
            <w:noWrap/>
            <w:vAlign w:val="center"/>
            <w:hideMark/>
          </w:tcPr>
          <w:p w14:paraId="17EB2207"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55.939</w:t>
            </w:r>
          </w:p>
        </w:tc>
        <w:tc>
          <w:tcPr>
            <w:tcW w:w="863" w:type="dxa"/>
            <w:tcBorders>
              <w:top w:val="nil"/>
              <w:left w:val="nil"/>
              <w:bottom w:val="single" w:sz="4" w:space="0" w:color="auto"/>
              <w:right w:val="single" w:sz="4" w:space="0" w:color="auto"/>
            </w:tcBorders>
            <w:shd w:val="clear" w:color="000000" w:fill="FFFFFF"/>
            <w:noWrap/>
            <w:vAlign w:val="center"/>
            <w:hideMark/>
          </w:tcPr>
          <w:p w14:paraId="328527CF"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57.445</w:t>
            </w:r>
          </w:p>
        </w:tc>
        <w:tc>
          <w:tcPr>
            <w:tcW w:w="926" w:type="dxa"/>
            <w:tcBorders>
              <w:top w:val="nil"/>
              <w:left w:val="nil"/>
              <w:bottom w:val="single" w:sz="4" w:space="0" w:color="auto"/>
              <w:right w:val="single" w:sz="4" w:space="0" w:color="auto"/>
            </w:tcBorders>
            <w:shd w:val="clear" w:color="auto" w:fill="auto"/>
            <w:noWrap/>
            <w:vAlign w:val="center"/>
            <w:hideMark/>
          </w:tcPr>
          <w:p w14:paraId="3954EBB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7,2</w:t>
            </w:r>
          </w:p>
        </w:tc>
        <w:tc>
          <w:tcPr>
            <w:tcW w:w="926" w:type="dxa"/>
            <w:tcBorders>
              <w:top w:val="nil"/>
              <w:left w:val="nil"/>
              <w:bottom w:val="single" w:sz="4" w:space="0" w:color="auto"/>
              <w:right w:val="single" w:sz="4" w:space="0" w:color="auto"/>
            </w:tcBorders>
            <w:shd w:val="clear" w:color="auto" w:fill="auto"/>
            <w:noWrap/>
            <w:vAlign w:val="center"/>
            <w:hideMark/>
          </w:tcPr>
          <w:p w14:paraId="09E2C7AF"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7,1</w:t>
            </w:r>
          </w:p>
        </w:tc>
        <w:tc>
          <w:tcPr>
            <w:tcW w:w="927" w:type="dxa"/>
            <w:tcBorders>
              <w:top w:val="nil"/>
              <w:left w:val="nil"/>
              <w:bottom w:val="single" w:sz="4" w:space="0" w:color="auto"/>
              <w:right w:val="single" w:sz="4" w:space="0" w:color="auto"/>
            </w:tcBorders>
            <w:shd w:val="clear" w:color="auto" w:fill="auto"/>
            <w:noWrap/>
            <w:vAlign w:val="center"/>
            <w:hideMark/>
          </w:tcPr>
          <w:p w14:paraId="5C134B0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7,7</w:t>
            </w:r>
          </w:p>
        </w:tc>
      </w:tr>
      <w:tr w:rsidR="00A76571" w:rsidRPr="00F609E3" w14:paraId="4A7CDF7B" w14:textId="77777777" w:rsidTr="00AC13E9">
        <w:trPr>
          <w:trHeight w:val="51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5F96CE6B" w14:textId="7B808BB9" w:rsidR="00A76571" w:rsidRPr="00483F88" w:rsidRDefault="00A76571" w:rsidP="00350DB8">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Zniž</w:t>
            </w:r>
            <w:r w:rsidR="00350DB8">
              <w:rPr>
                <w:rFonts w:ascii="Arial" w:eastAsia="Times New Roman" w:hAnsi="Arial" w:cs="Arial"/>
                <w:sz w:val="20"/>
                <w:szCs w:val="20"/>
                <w:lang w:eastAsia="sl-SI"/>
              </w:rPr>
              <w:t>ev</w:t>
            </w:r>
            <w:r w:rsidRPr="00483F88">
              <w:rPr>
                <w:rFonts w:ascii="Arial" w:eastAsia="Times New Roman" w:hAnsi="Arial" w:cs="Arial"/>
                <w:sz w:val="20"/>
                <w:szCs w:val="20"/>
                <w:lang w:eastAsia="sl-SI"/>
              </w:rPr>
              <w:t xml:space="preserve">anje stopnje dohodnine od dobička od prodaje nepremičnin </w:t>
            </w:r>
            <w:r w:rsidR="00350DB8">
              <w:rPr>
                <w:rFonts w:ascii="Arial" w:eastAsia="Times New Roman" w:hAnsi="Arial" w:cs="Arial"/>
                <w:sz w:val="20"/>
                <w:szCs w:val="20"/>
                <w:lang w:eastAsia="sl-SI"/>
              </w:rPr>
              <w:t>glede na dobo imetništva</w:t>
            </w:r>
          </w:p>
        </w:tc>
        <w:tc>
          <w:tcPr>
            <w:tcW w:w="863" w:type="dxa"/>
            <w:tcBorders>
              <w:top w:val="nil"/>
              <w:left w:val="nil"/>
              <w:bottom w:val="single" w:sz="4" w:space="0" w:color="auto"/>
              <w:right w:val="single" w:sz="4" w:space="0" w:color="auto"/>
            </w:tcBorders>
            <w:shd w:val="clear" w:color="000000" w:fill="FFFFFF"/>
            <w:noWrap/>
            <w:vAlign w:val="center"/>
            <w:hideMark/>
          </w:tcPr>
          <w:p w14:paraId="3779BF4E"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3.556</w:t>
            </w:r>
          </w:p>
        </w:tc>
        <w:tc>
          <w:tcPr>
            <w:tcW w:w="863" w:type="dxa"/>
            <w:tcBorders>
              <w:top w:val="nil"/>
              <w:left w:val="nil"/>
              <w:bottom w:val="single" w:sz="4" w:space="0" w:color="auto"/>
              <w:right w:val="single" w:sz="4" w:space="0" w:color="auto"/>
            </w:tcBorders>
            <w:shd w:val="clear" w:color="000000" w:fill="FFFFFF"/>
            <w:noWrap/>
            <w:vAlign w:val="center"/>
            <w:hideMark/>
          </w:tcPr>
          <w:p w14:paraId="54ACE468"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3.742</w:t>
            </w:r>
          </w:p>
        </w:tc>
        <w:tc>
          <w:tcPr>
            <w:tcW w:w="863" w:type="dxa"/>
            <w:tcBorders>
              <w:top w:val="nil"/>
              <w:left w:val="nil"/>
              <w:bottom w:val="single" w:sz="4" w:space="0" w:color="auto"/>
              <w:right w:val="single" w:sz="4" w:space="0" w:color="auto"/>
            </w:tcBorders>
            <w:shd w:val="clear" w:color="000000" w:fill="FFFFFF"/>
            <w:noWrap/>
            <w:vAlign w:val="center"/>
            <w:hideMark/>
          </w:tcPr>
          <w:p w14:paraId="07C35828"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4.432</w:t>
            </w:r>
          </w:p>
        </w:tc>
        <w:tc>
          <w:tcPr>
            <w:tcW w:w="926" w:type="dxa"/>
            <w:tcBorders>
              <w:top w:val="nil"/>
              <w:left w:val="nil"/>
              <w:bottom w:val="single" w:sz="4" w:space="0" w:color="auto"/>
              <w:right w:val="single" w:sz="4" w:space="0" w:color="auto"/>
            </w:tcBorders>
            <w:shd w:val="clear" w:color="auto" w:fill="auto"/>
            <w:noWrap/>
            <w:vAlign w:val="center"/>
            <w:hideMark/>
          </w:tcPr>
          <w:p w14:paraId="6C1998FF"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3,7</w:t>
            </w:r>
          </w:p>
        </w:tc>
        <w:tc>
          <w:tcPr>
            <w:tcW w:w="926" w:type="dxa"/>
            <w:tcBorders>
              <w:top w:val="nil"/>
              <w:left w:val="nil"/>
              <w:bottom w:val="single" w:sz="4" w:space="0" w:color="auto"/>
              <w:right w:val="single" w:sz="4" w:space="0" w:color="auto"/>
            </w:tcBorders>
            <w:shd w:val="clear" w:color="auto" w:fill="auto"/>
            <w:noWrap/>
            <w:vAlign w:val="center"/>
            <w:hideMark/>
          </w:tcPr>
          <w:p w14:paraId="2D0F5DC2"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4,9</w:t>
            </w:r>
          </w:p>
        </w:tc>
        <w:tc>
          <w:tcPr>
            <w:tcW w:w="927" w:type="dxa"/>
            <w:tcBorders>
              <w:top w:val="nil"/>
              <w:left w:val="nil"/>
              <w:bottom w:val="single" w:sz="4" w:space="0" w:color="auto"/>
              <w:right w:val="single" w:sz="4" w:space="0" w:color="auto"/>
            </w:tcBorders>
            <w:shd w:val="clear" w:color="auto" w:fill="auto"/>
            <w:noWrap/>
            <w:vAlign w:val="center"/>
            <w:hideMark/>
          </w:tcPr>
          <w:p w14:paraId="418C9D57"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6,1</w:t>
            </w:r>
          </w:p>
        </w:tc>
      </w:tr>
      <w:tr w:rsidR="00A76571" w:rsidRPr="00F609E3" w14:paraId="38F65D2C" w14:textId="77777777" w:rsidTr="00AC13E9">
        <w:trPr>
          <w:trHeight w:val="285"/>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33965976" w14:textId="7FBABD37" w:rsidR="00A76571" w:rsidRPr="00483F88" w:rsidRDefault="00350DB8" w:rsidP="00350DB8">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Oprostitve plačila dohodnine od</w:t>
            </w:r>
            <w:r w:rsidR="00A76571" w:rsidRPr="00483F88">
              <w:rPr>
                <w:rFonts w:ascii="Arial" w:eastAsia="Times New Roman" w:hAnsi="Arial" w:cs="Arial"/>
                <w:sz w:val="20"/>
                <w:szCs w:val="20"/>
                <w:lang w:eastAsia="sl-SI"/>
              </w:rPr>
              <w:t xml:space="preserve"> obresti</w:t>
            </w:r>
            <w:r>
              <w:rPr>
                <w:rFonts w:ascii="Arial" w:eastAsia="Times New Roman" w:hAnsi="Arial" w:cs="Arial"/>
                <w:sz w:val="20"/>
                <w:szCs w:val="20"/>
                <w:lang w:eastAsia="sl-SI"/>
              </w:rPr>
              <w:t xml:space="preserve"> na denarne depozite</w:t>
            </w:r>
            <w:r w:rsidR="00A76571" w:rsidRPr="00483F88">
              <w:rPr>
                <w:rFonts w:ascii="Arial" w:eastAsia="Times New Roman" w:hAnsi="Arial" w:cs="Arial"/>
                <w:sz w:val="20"/>
                <w:szCs w:val="20"/>
                <w:lang w:eastAsia="sl-SI"/>
              </w:rPr>
              <w:t xml:space="preserve"> do 1.000 evrov</w:t>
            </w:r>
          </w:p>
        </w:tc>
        <w:tc>
          <w:tcPr>
            <w:tcW w:w="863" w:type="dxa"/>
            <w:tcBorders>
              <w:top w:val="nil"/>
              <w:left w:val="nil"/>
              <w:bottom w:val="single" w:sz="4" w:space="0" w:color="auto"/>
              <w:right w:val="single" w:sz="4" w:space="0" w:color="auto"/>
            </w:tcBorders>
            <w:shd w:val="clear" w:color="000000" w:fill="FFFFFF"/>
            <w:noWrap/>
            <w:vAlign w:val="center"/>
            <w:hideMark/>
          </w:tcPr>
          <w:p w14:paraId="29F2CD4C" w14:textId="53D8181A"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56</w:t>
            </w:r>
            <w:r w:rsidR="00376196" w:rsidRPr="00483F88">
              <w:rPr>
                <w:rFonts w:ascii="Arial" w:eastAsia="Times New Roman" w:hAnsi="Arial" w:cs="Arial"/>
                <w:sz w:val="20"/>
                <w:szCs w:val="20"/>
                <w:lang w:eastAsia="sl-SI"/>
              </w:rPr>
              <w:t>1</w:t>
            </w:r>
            <w:r w:rsidRPr="00483F88">
              <w:rPr>
                <w:rFonts w:ascii="Arial" w:eastAsia="Times New Roman" w:hAnsi="Arial" w:cs="Arial"/>
                <w:sz w:val="20"/>
                <w:szCs w:val="20"/>
                <w:lang w:eastAsia="sl-SI"/>
              </w:rPr>
              <w:t>.</w:t>
            </w:r>
            <w:r w:rsidR="00376196" w:rsidRPr="00483F88">
              <w:rPr>
                <w:rFonts w:ascii="Arial" w:eastAsia="Times New Roman" w:hAnsi="Arial" w:cs="Arial"/>
                <w:sz w:val="20"/>
                <w:szCs w:val="20"/>
                <w:lang w:eastAsia="sl-SI"/>
              </w:rPr>
              <w:t>952</w:t>
            </w:r>
          </w:p>
        </w:tc>
        <w:tc>
          <w:tcPr>
            <w:tcW w:w="863" w:type="dxa"/>
            <w:tcBorders>
              <w:top w:val="nil"/>
              <w:left w:val="nil"/>
              <w:bottom w:val="single" w:sz="4" w:space="0" w:color="auto"/>
              <w:right w:val="single" w:sz="4" w:space="0" w:color="auto"/>
            </w:tcBorders>
            <w:shd w:val="clear" w:color="000000" w:fill="FFFFFF"/>
            <w:noWrap/>
            <w:vAlign w:val="center"/>
            <w:hideMark/>
          </w:tcPr>
          <w:p w14:paraId="62BAB6BF" w14:textId="57CCD860" w:rsidR="00A76571" w:rsidRPr="00483F88" w:rsidRDefault="00376196"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512.086</w:t>
            </w:r>
          </w:p>
        </w:tc>
        <w:tc>
          <w:tcPr>
            <w:tcW w:w="863" w:type="dxa"/>
            <w:tcBorders>
              <w:top w:val="nil"/>
              <w:left w:val="nil"/>
              <w:bottom w:val="single" w:sz="4" w:space="0" w:color="auto"/>
              <w:right w:val="single" w:sz="4" w:space="0" w:color="auto"/>
            </w:tcBorders>
            <w:shd w:val="clear" w:color="000000" w:fill="FFFFFF"/>
            <w:noWrap/>
            <w:vAlign w:val="center"/>
            <w:hideMark/>
          </w:tcPr>
          <w:p w14:paraId="3001AAEF" w14:textId="4D11B0B7" w:rsidR="00A76571" w:rsidRPr="00483F88" w:rsidRDefault="00376196"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478.733</w:t>
            </w:r>
          </w:p>
        </w:tc>
        <w:tc>
          <w:tcPr>
            <w:tcW w:w="926" w:type="dxa"/>
            <w:tcBorders>
              <w:top w:val="nil"/>
              <w:left w:val="nil"/>
              <w:bottom w:val="single" w:sz="4" w:space="0" w:color="auto"/>
              <w:right w:val="single" w:sz="4" w:space="0" w:color="auto"/>
            </w:tcBorders>
            <w:shd w:val="clear" w:color="auto" w:fill="auto"/>
            <w:noWrap/>
            <w:vAlign w:val="center"/>
            <w:hideMark/>
          </w:tcPr>
          <w:p w14:paraId="4B075BBB"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8,4</w:t>
            </w:r>
          </w:p>
        </w:tc>
        <w:tc>
          <w:tcPr>
            <w:tcW w:w="926" w:type="dxa"/>
            <w:tcBorders>
              <w:top w:val="nil"/>
              <w:left w:val="nil"/>
              <w:bottom w:val="single" w:sz="4" w:space="0" w:color="auto"/>
              <w:right w:val="single" w:sz="4" w:space="0" w:color="auto"/>
            </w:tcBorders>
            <w:shd w:val="clear" w:color="auto" w:fill="auto"/>
            <w:noWrap/>
            <w:vAlign w:val="center"/>
            <w:hideMark/>
          </w:tcPr>
          <w:p w14:paraId="7456E4A8"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5,4</w:t>
            </w:r>
          </w:p>
        </w:tc>
        <w:tc>
          <w:tcPr>
            <w:tcW w:w="927" w:type="dxa"/>
            <w:tcBorders>
              <w:top w:val="nil"/>
              <w:left w:val="nil"/>
              <w:bottom w:val="single" w:sz="4" w:space="0" w:color="auto"/>
              <w:right w:val="single" w:sz="4" w:space="0" w:color="auto"/>
            </w:tcBorders>
            <w:shd w:val="clear" w:color="auto" w:fill="auto"/>
            <w:noWrap/>
            <w:vAlign w:val="center"/>
            <w:hideMark/>
          </w:tcPr>
          <w:p w14:paraId="448EE510" w14:textId="1B0712F2" w:rsidR="00A76571" w:rsidRPr="00483F88" w:rsidRDefault="00376196">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5</w:t>
            </w:r>
            <w:r w:rsidR="00A76571" w:rsidRPr="00483F88">
              <w:rPr>
                <w:rFonts w:ascii="Arial" w:eastAsia="Times New Roman" w:hAnsi="Arial" w:cs="Arial"/>
                <w:sz w:val="20"/>
                <w:szCs w:val="20"/>
                <w:lang w:eastAsia="sl-SI"/>
              </w:rPr>
              <w:t>,</w:t>
            </w:r>
            <w:r w:rsidRPr="00483F88">
              <w:rPr>
                <w:rFonts w:ascii="Arial" w:eastAsia="Times New Roman" w:hAnsi="Arial" w:cs="Arial"/>
                <w:sz w:val="20"/>
                <w:szCs w:val="20"/>
                <w:lang w:eastAsia="sl-SI"/>
              </w:rPr>
              <w:t>3</w:t>
            </w:r>
          </w:p>
        </w:tc>
      </w:tr>
      <w:tr w:rsidR="00A76571" w:rsidRPr="00F609E3" w14:paraId="54CA2204" w14:textId="77777777" w:rsidTr="00AC13E9">
        <w:trPr>
          <w:trHeight w:val="523"/>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5E6129F7" w14:textId="43286D47" w:rsidR="00A76571" w:rsidRPr="00483F88" w:rsidRDefault="00A76571" w:rsidP="00350DB8">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Oproščeni skupni dohodek iz osnovne kmetijske in osnovne gozd</w:t>
            </w:r>
            <w:r w:rsidR="00350DB8">
              <w:rPr>
                <w:rFonts w:ascii="Arial" w:eastAsia="Times New Roman" w:hAnsi="Arial" w:cs="Arial"/>
                <w:sz w:val="20"/>
                <w:szCs w:val="20"/>
                <w:lang w:eastAsia="sl-SI"/>
              </w:rPr>
              <w:t>arske</w:t>
            </w:r>
            <w:r w:rsidRPr="00483F88">
              <w:rPr>
                <w:rFonts w:ascii="Arial" w:eastAsia="Times New Roman" w:hAnsi="Arial" w:cs="Arial"/>
                <w:sz w:val="20"/>
                <w:szCs w:val="20"/>
                <w:lang w:eastAsia="sl-SI"/>
              </w:rPr>
              <w:t xml:space="preserve"> dejavn</w:t>
            </w:r>
            <w:r w:rsidR="00F609E3">
              <w:rPr>
                <w:rFonts w:ascii="Arial" w:eastAsia="Times New Roman" w:hAnsi="Arial" w:cs="Arial"/>
                <w:sz w:val="20"/>
                <w:szCs w:val="20"/>
                <w:lang w:eastAsia="sl-SI"/>
              </w:rPr>
              <w:t>osti</w:t>
            </w:r>
            <w:r w:rsidRPr="00483F88">
              <w:rPr>
                <w:rFonts w:ascii="Arial" w:eastAsia="Times New Roman" w:hAnsi="Arial" w:cs="Arial"/>
                <w:sz w:val="20"/>
                <w:szCs w:val="20"/>
                <w:lang w:eastAsia="sl-SI"/>
              </w:rPr>
              <w:t xml:space="preserve"> do 200 evrov</w:t>
            </w:r>
          </w:p>
        </w:tc>
        <w:tc>
          <w:tcPr>
            <w:tcW w:w="863" w:type="dxa"/>
            <w:tcBorders>
              <w:top w:val="nil"/>
              <w:left w:val="nil"/>
              <w:bottom w:val="single" w:sz="4" w:space="0" w:color="auto"/>
              <w:right w:val="single" w:sz="4" w:space="0" w:color="auto"/>
            </w:tcBorders>
            <w:shd w:val="clear" w:color="000000" w:fill="FFFFFF"/>
            <w:noWrap/>
            <w:vAlign w:val="center"/>
            <w:hideMark/>
          </w:tcPr>
          <w:p w14:paraId="5093BF6C"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411.526</w:t>
            </w:r>
          </w:p>
        </w:tc>
        <w:tc>
          <w:tcPr>
            <w:tcW w:w="863" w:type="dxa"/>
            <w:tcBorders>
              <w:top w:val="nil"/>
              <w:left w:val="nil"/>
              <w:bottom w:val="single" w:sz="4" w:space="0" w:color="auto"/>
              <w:right w:val="single" w:sz="4" w:space="0" w:color="auto"/>
            </w:tcBorders>
            <w:shd w:val="clear" w:color="000000" w:fill="FFFFFF"/>
            <w:noWrap/>
            <w:vAlign w:val="center"/>
            <w:hideMark/>
          </w:tcPr>
          <w:p w14:paraId="4F237224"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443.350</w:t>
            </w:r>
          </w:p>
        </w:tc>
        <w:tc>
          <w:tcPr>
            <w:tcW w:w="863" w:type="dxa"/>
            <w:tcBorders>
              <w:top w:val="nil"/>
              <w:left w:val="nil"/>
              <w:bottom w:val="single" w:sz="4" w:space="0" w:color="auto"/>
              <w:right w:val="single" w:sz="4" w:space="0" w:color="auto"/>
            </w:tcBorders>
            <w:shd w:val="clear" w:color="000000" w:fill="FFFFFF"/>
            <w:noWrap/>
            <w:vAlign w:val="center"/>
            <w:hideMark/>
          </w:tcPr>
          <w:p w14:paraId="1DDEBC1A"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429.238</w:t>
            </w:r>
          </w:p>
        </w:tc>
        <w:tc>
          <w:tcPr>
            <w:tcW w:w="926" w:type="dxa"/>
            <w:tcBorders>
              <w:top w:val="nil"/>
              <w:left w:val="nil"/>
              <w:bottom w:val="single" w:sz="4" w:space="0" w:color="auto"/>
              <w:right w:val="single" w:sz="4" w:space="0" w:color="auto"/>
            </w:tcBorders>
            <w:shd w:val="clear" w:color="auto" w:fill="auto"/>
            <w:noWrap/>
            <w:vAlign w:val="center"/>
            <w:hideMark/>
          </w:tcPr>
          <w:p w14:paraId="04E2EFF0"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1,5</w:t>
            </w:r>
          </w:p>
        </w:tc>
        <w:tc>
          <w:tcPr>
            <w:tcW w:w="926" w:type="dxa"/>
            <w:tcBorders>
              <w:top w:val="nil"/>
              <w:left w:val="nil"/>
              <w:bottom w:val="single" w:sz="4" w:space="0" w:color="auto"/>
              <w:right w:val="single" w:sz="4" w:space="0" w:color="auto"/>
            </w:tcBorders>
            <w:shd w:val="clear" w:color="auto" w:fill="auto"/>
            <w:noWrap/>
            <w:vAlign w:val="center"/>
            <w:hideMark/>
          </w:tcPr>
          <w:p w14:paraId="111B9066"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1,6</w:t>
            </w:r>
          </w:p>
        </w:tc>
        <w:tc>
          <w:tcPr>
            <w:tcW w:w="927" w:type="dxa"/>
            <w:tcBorders>
              <w:top w:val="nil"/>
              <w:left w:val="nil"/>
              <w:bottom w:val="single" w:sz="4" w:space="0" w:color="auto"/>
              <w:right w:val="single" w:sz="4" w:space="0" w:color="auto"/>
            </w:tcBorders>
            <w:shd w:val="clear" w:color="auto" w:fill="auto"/>
            <w:noWrap/>
            <w:vAlign w:val="center"/>
            <w:hideMark/>
          </w:tcPr>
          <w:p w14:paraId="697F5419"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2,1</w:t>
            </w:r>
          </w:p>
        </w:tc>
      </w:tr>
      <w:tr w:rsidR="00A76571" w:rsidRPr="00F609E3" w14:paraId="64471F19" w14:textId="77777777" w:rsidTr="00AC13E9">
        <w:trPr>
          <w:trHeight w:val="300"/>
        </w:trPr>
        <w:tc>
          <w:tcPr>
            <w:tcW w:w="4100" w:type="dxa"/>
            <w:tcBorders>
              <w:top w:val="nil"/>
              <w:left w:val="single" w:sz="4" w:space="0" w:color="auto"/>
              <w:bottom w:val="single" w:sz="4" w:space="0" w:color="auto"/>
              <w:right w:val="single" w:sz="4" w:space="0" w:color="auto"/>
            </w:tcBorders>
            <w:shd w:val="clear" w:color="000000" w:fill="CCFFFF"/>
            <w:vAlign w:val="center"/>
            <w:hideMark/>
          </w:tcPr>
          <w:p w14:paraId="6987D29C" w14:textId="580C2647" w:rsidR="00A76571" w:rsidRPr="00483F88" w:rsidRDefault="00A76571" w:rsidP="00617C3E">
            <w:pPr>
              <w:spacing w:after="0" w:line="240" w:lineRule="auto"/>
              <w:rPr>
                <w:rFonts w:ascii="Arial" w:eastAsia="Times New Roman" w:hAnsi="Arial" w:cs="Arial"/>
                <w:sz w:val="20"/>
                <w:szCs w:val="20"/>
                <w:lang w:eastAsia="sl-SI"/>
              </w:rPr>
            </w:pPr>
            <w:r w:rsidRPr="00483F88">
              <w:rPr>
                <w:rFonts w:ascii="Arial" w:eastAsia="Times New Roman" w:hAnsi="Arial" w:cs="Arial"/>
                <w:sz w:val="20"/>
                <w:szCs w:val="20"/>
                <w:lang w:eastAsia="sl-SI"/>
              </w:rPr>
              <w:t>Olajšava za invalida s 100</w:t>
            </w:r>
            <w:r w:rsidR="004D5A54">
              <w:rPr>
                <w:rFonts w:ascii="Arial" w:eastAsia="Times New Roman" w:hAnsi="Arial" w:cs="Arial"/>
                <w:sz w:val="20"/>
                <w:szCs w:val="20"/>
                <w:lang w:eastAsia="sl-SI"/>
              </w:rPr>
              <w:t>-odstotno</w:t>
            </w:r>
            <w:r w:rsidRPr="00483F88">
              <w:rPr>
                <w:rFonts w:ascii="Arial" w:eastAsia="Times New Roman" w:hAnsi="Arial" w:cs="Arial"/>
                <w:sz w:val="20"/>
                <w:szCs w:val="20"/>
                <w:lang w:eastAsia="sl-SI"/>
              </w:rPr>
              <w:t xml:space="preserve"> telesno okvaro</w:t>
            </w:r>
          </w:p>
        </w:tc>
        <w:tc>
          <w:tcPr>
            <w:tcW w:w="863" w:type="dxa"/>
            <w:tcBorders>
              <w:top w:val="nil"/>
              <w:left w:val="nil"/>
              <w:bottom w:val="single" w:sz="4" w:space="0" w:color="auto"/>
              <w:right w:val="single" w:sz="4" w:space="0" w:color="auto"/>
            </w:tcBorders>
            <w:shd w:val="clear" w:color="000000" w:fill="FFFFFF"/>
            <w:noWrap/>
            <w:vAlign w:val="center"/>
            <w:hideMark/>
          </w:tcPr>
          <w:p w14:paraId="1AA79EBD"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4.073</w:t>
            </w:r>
          </w:p>
        </w:tc>
        <w:tc>
          <w:tcPr>
            <w:tcW w:w="863" w:type="dxa"/>
            <w:tcBorders>
              <w:top w:val="nil"/>
              <w:left w:val="nil"/>
              <w:bottom w:val="single" w:sz="4" w:space="0" w:color="auto"/>
              <w:right w:val="single" w:sz="4" w:space="0" w:color="auto"/>
            </w:tcBorders>
            <w:shd w:val="clear" w:color="000000" w:fill="FFFFFF"/>
            <w:noWrap/>
            <w:vAlign w:val="center"/>
            <w:hideMark/>
          </w:tcPr>
          <w:p w14:paraId="2B817A00"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3.920</w:t>
            </w:r>
          </w:p>
        </w:tc>
        <w:tc>
          <w:tcPr>
            <w:tcW w:w="863" w:type="dxa"/>
            <w:tcBorders>
              <w:top w:val="nil"/>
              <w:left w:val="nil"/>
              <w:bottom w:val="single" w:sz="4" w:space="0" w:color="auto"/>
              <w:right w:val="single" w:sz="4" w:space="0" w:color="auto"/>
            </w:tcBorders>
            <w:shd w:val="clear" w:color="000000" w:fill="FFFFFF"/>
            <w:noWrap/>
            <w:vAlign w:val="center"/>
            <w:hideMark/>
          </w:tcPr>
          <w:p w14:paraId="21321477" w14:textId="77777777" w:rsidR="00A76571" w:rsidRPr="00483F88" w:rsidRDefault="00A76571" w:rsidP="00617C3E">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3.774</w:t>
            </w:r>
          </w:p>
        </w:tc>
        <w:tc>
          <w:tcPr>
            <w:tcW w:w="926" w:type="dxa"/>
            <w:tcBorders>
              <w:top w:val="nil"/>
              <w:left w:val="nil"/>
              <w:bottom w:val="single" w:sz="4" w:space="0" w:color="auto"/>
              <w:right w:val="single" w:sz="4" w:space="0" w:color="auto"/>
            </w:tcBorders>
            <w:shd w:val="clear" w:color="auto" w:fill="auto"/>
            <w:noWrap/>
            <w:vAlign w:val="center"/>
            <w:hideMark/>
          </w:tcPr>
          <w:p w14:paraId="1947D121"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1,9</w:t>
            </w:r>
          </w:p>
        </w:tc>
        <w:tc>
          <w:tcPr>
            <w:tcW w:w="926" w:type="dxa"/>
            <w:tcBorders>
              <w:top w:val="nil"/>
              <w:left w:val="nil"/>
              <w:bottom w:val="single" w:sz="4" w:space="0" w:color="auto"/>
              <w:right w:val="single" w:sz="4" w:space="0" w:color="auto"/>
            </w:tcBorders>
            <w:shd w:val="clear" w:color="auto" w:fill="auto"/>
            <w:noWrap/>
            <w:vAlign w:val="center"/>
            <w:hideMark/>
          </w:tcPr>
          <w:p w14:paraId="732EA5CB"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1,9</w:t>
            </w:r>
          </w:p>
        </w:tc>
        <w:tc>
          <w:tcPr>
            <w:tcW w:w="927" w:type="dxa"/>
            <w:tcBorders>
              <w:top w:val="nil"/>
              <w:left w:val="nil"/>
              <w:bottom w:val="single" w:sz="4" w:space="0" w:color="auto"/>
              <w:right w:val="single" w:sz="4" w:space="0" w:color="auto"/>
            </w:tcBorders>
            <w:shd w:val="clear" w:color="auto" w:fill="auto"/>
            <w:noWrap/>
            <w:vAlign w:val="center"/>
            <w:hideMark/>
          </w:tcPr>
          <w:p w14:paraId="5F9B4F89" w14:textId="77777777" w:rsidR="00A76571" w:rsidRPr="00483F88" w:rsidRDefault="00A76571">
            <w:pPr>
              <w:spacing w:after="0" w:line="240" w:lineRule="auto"/>
              <w:jc w:val="right"/>
              <w:rPr>
                <w:rFonts w:ascii="Arial" w:eastAsia="Times New Roman" w:hAnsi="Arial" w:cs="Arial"/>
                <w:sz w:val="20"/>
                <w:szCs w:val="20"/>
                <w:lang w:eastAsia="sl-SI"/>
              </w:rPr>
            </w:pPr>
            <w:r w:rsidRPr="00483F88">
              <w:rPr>
                <w:rFonts w:ascii="Arial" w:eastAsia="Times New Roman" w:hAnsi="Arial" w:cs="Arial"/>
                <w:sz w:val="20"/>
                <w:szCs w:val="20"/>
                <w:lang w:eastAsia="sl-SI"/>
              </w:rPr>
              <w:t>2,0</w:t>
            </w:r>
          </w:p>
        </w:tc>
      </w:tr>
      <w:tr w:rsidR="00A76571" w:rsidRPr="00F609E3" w14:paraId="5C78566E" w14:textId="77777777" w:rsidTr="00591316">
        <w:trPr>
          <w:trHeight w:val="300"/>
        </w:trPr>
        <w:tc>
          <w:tcPr>
            <w:tcW w:w="4100"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1780E43E" w14:textId="77777777" w:rsidR="00A76571" w:rsidRPr="00483F88" w:rsidRDefault="00A76571" w:rsidP="00617C3E">
            <w:pPr>
              <w:spacing w:after="0" w:line="240" w:lineRule="auto"/>
              <w:rPr>
                <w:rFonts w:ascii="Arial" w:eastAsia="Times New Roman" w:hAnsi="Arial" w:cs="Arial"/>
                <w:b/>
                <w:bCs/>
                <w:sz w:val="20"/>
                <w:szCs w:val="20"/>
                <w:lang w:eastAsia="sl-SI"/>
              </w:rPr>
            </w:pPr>
            <w:r w:rsidRPr="00483F88">
              <w:rPr>
                <w:rFonts w:ascii="Arial" w:eastAsia="Times New Roman" w:hAnsi="Arial" w:cs="Arial"/>
                <w:b/>
                <w:bCs/>
                <w:sz w:val="20"/>
                <w:szCs w:val="20"/>
                <w:lang w:eastAsia="sl-SI"/>
              </w:rPr>
              <w:t>SKUPAJ</w:t>
            </w:r>
          </w:p>
        </w:tc>
        <w:tc>
          <w:tcPr>
            <w:tcW w:w="863" w:type="dxa"/>
            <w:tcBorders>
              <w:top w:val="double" w:sz="6" w:space="0" w:color="auto"/>
              <w:left w:val="nil"/>
              <w:bottom w:val="single" w:sz="4" w:space="0" w:color="auto"/>
              <w:right w:val="single" w:sz="4" w:space="0" w:color="auto"/>
            </w:tcBorders>
            <w:shd w:val="clear" w:color="000000" w:fill="FFC000"/>
            <w:noWrap/>
            <w:vAlign w:val="center"/>
            <w:hideMark/>
          </w:tcPr>
          <w:p w14:paraId="46C0D00D" w14:textId="77777777" w:rsidR="00A76571" w:rsidRPr="00483F88" w:rsidRDefault="00A76571" w:rsidP="00617C3E">
            <w:pPr>
              <w:spacing w:after="0" w:line="240" w:lineRule="auto"/>
              <w:jc w:val="right"/>
              <w:rPr>
                <w:rFonts w:ascii="Arial" w:eastAsia="Times New Roman" w:hAnsi="Arial" w:cs="Arial"/>
                <w:b/>
                <w:bCs/>
                <w:sz w:val="20"/>
                <w:szCs w:val="20"/>
                <w:lang w:eastAsia="sl-SI"/>
              </w:rPr>
            </w:pPr>
            <w:r w:rsidRPr="00483F88">
              <w:rPr>
                <w:rFonts w:ascii="Arial" w:eastAsia="Times New Roman" w:hAnsi="Arial" w:cs="Arial"/>
                <w:b/>
                <w:bCs/>
                <w:sz w:val="20"/>
                <w:szCs w:val="20"/>
                <w:lang w:eastAsia="sl-SI"/>
              </w:rPr>
              <w:t> </w:t>
            </w:r>
          </w:p>
        </w:tc>
        <w:tc>
          <w:tcPr>
            <w:tcW w:w="863" w:type="dxa"/>
            <w:tcBorders>
              <w:top w:val="double" w:sz="6" w:space="0" w:color="auto"/>
              <w:left w:val="nil"/>
              <w:bottom w:val="single" w:sz="4" w:space="0" w:color="auto"/>
              <w:right w:val="single" w:sz="4" w:space="0" w:color="auto"/>
            </w:tcBorders>
            <w:shd w:val="clear" w:color="000000" w:fill="FFC000"/>
            <w:noWrap/>
            <w:vAlign w:val="center"/>
            <w:hideMark/>
          </w:tcPr>
          <w:p w14:paraId="6DFA5F08" w14:textId="77777777" w:rsidR="00A76571" w:rsidRPr="00483F88" w:rsidRDefault="00A76571" w:rsidP="00617C3E">
            <w:pPr>
              <w:spacing w:after="0" w:line="240" w:lineRule="auto"/>
              <w:jc w:val="right"/>
              <w:rPr>
                <w:rFonts w:ascii="Arial" w:eastAsia="Times New Roman" w:hAnsi="Arial" w:cs="Arial"/>
                <w:b/>
                <w:bCs/>
                <w:sz w:val="20"/>
                <w:szCs w:val="20"/>
                <w:lang w:eastAsia="sl-SI"/>
              </w:rPr>
            </w:pPr>
            <w:r w:rsidRPr="00483F88">
              <w:rPr>
                <w:rFonts w:ascii="Arial" w:eastAsia="Times New Roman" w:hAnsi="Arial" w:cs="Arial"/>
                <w:b/>
                <w:bCs/>
                <w:sz w:val="20"/>
                <w:szCs w:val="20"/>
                <w:lang w:eastAsia="sl-SI"/>
              </w:rPr>
              <w:t> </w:t>
            </w:r>
          </w:p>
        </w:tc>
        <w:tc>
          <w:tcPr>
            <w:tcW w:w="863" w:type="dxa"/>
            <w:tcBorders>
              <w:top w:val="double" w:sz="6" w:space="0" w:color="auto"/>
              <w:left w:val="nil"/>
              <w:bottom w:val="single" w:sz="4" w:space="0" w:color="auto"/>
              <w:right w:val="single" w:sz="4" w:space="0" w:color="auto"/>
            </w:tcBorders>
            <w:shd w:val="clear" w:color="000000" w:fill="FFC000"/>
            <w:noWrap/>
            <w:vAlign w:val="center"/>
            <w:hideMark/>
          </w:tcPr>
          <w:p w14:paraId="391CADB8" w14:textId="77777777" w:rsidR="00A76571" w:rsidRPr="00483F88" w:rsidRDefault="00A76571" w:rsidP="00617C3E">
            <w:pPr>
              <w:spacing w:after="0" w:line="240" w:lineRule="auto"/>
              <w:jc w:val="right"/>
              <w:rPr>
                <w:rFonts w:ascii="Arial" w:eastAsia="Times New Roman" w:hAnsi="Arial" w:cs="Arial"/>
                <w:b/>
                <w:bCs/>
                <w:sz w:val="20"/>
                <w:szCs w:val="20"/>
                <w:lang w:eastAsia="sl-SI"/>
              </w:rPr>
            </w:pPr>
            <w:r w:rsidRPr="00483F88">
              <w:rPr>
                <w:rFonts w:ascii="Arial" w:eastAsia="Times New Roman" w:hAnsi="Arial" w:cs="Arial"/>
                <w:b/>
                <w:bCs/>
                <w:sz w:val="20"/>
                <w:szCs w:val="20"/>
                <w:lang w:eastAsia="sl-SI"/>
              </w:rPr>
              <w:t> </w:t>
            </w:r>
          </w:p>
        </w:tc>
        <w:tc>
          <w:tcPr>
            <w:tcW w:w="926" w:type="dxa"/>
            <w:tcBorders>
              <w:top w:val="double" w:sz="6" w:space="0" w:color="auto"/>
              <w:left w:val="nil"/>
              <w:bottom w:val="single" w:sz="4" w:space="0" w:color="auto"/>
              <w:right w:val="single" w:sz="4" w:space="0" w:color="auto"/>
            </w:tcBorders>
            <w:shd w:val="clear" w:color="000000" w:fill="FFC000"/>
            <w:noWrap/>
            <w:vAlign w:val="center"/>
            <w:hideMark/>
          </w:tcPr>
          <w:p w14:paraId="1C413068" w14:textId="77777777" w:rsidR="00A76571" w:rsidRPr="00483F88" w:rsidRDefault="00A76571" w:rsidP="00617C3E">
            <w:pPr>
              <w:spacing w:after="0" w:line="240" w:lineRule="auto"/>
              <w:jc w:val="right"/>
              <w:rPr>
                <w:rFonts w:ascii="Arial" w:eastAsia="Times New Roman" w:hAnsi="Arial" w:cs="Arial"/>
                <w:b/>
                <w:sz w:val="20"/>
                <w:szCs w:val="20"/>
                <w:lang w:eastAsia="sl-SI"/>
              </w:rPr>
            </w:pPr>
            <w:r w:rsidRPr="00483F88">
              <w:rPr>
                <w:rFonts w:ascii="Arial" w:eastAsia="Times New Roman" w:hAnsi="Arial" w:cs="Arial"/>
                <w:b/>
                <w:sz w:val="20"/>
                <w:szCs w:val="20"/>
                <w:lang w:eastAsia="sl-SI"/>
              </w:rPr>
              <w:t>827,6</w:t>
            </w:r>
          </w:p>
        </w:tc>
        <w:tc>
          <w:tcPr>
            <w:tcW w:w="926" w:type="dxa"/>
            <w:tcBorders>
              <w:top w:val="double" w:sz="6" w:space="0" w:color="auto"/>
              <w:left w:val="nil"/>
              <w:bottom w:val="single" w:sz="4" w:space="0" w:color="auto"/>
              <w:right w:val="single" w:sz="4" w:space="0" w:color="auto"/>
            </w:tcBorders>
            <w:shd w:val="clear" w:color="000000" w:fill="FFC000"/>
            <w:noWrap/>
            <w:vAlign w:val="center"/>
            <w:hideMark/>
          </w:tcPr>
          <w:p w14:paraId="0BEAC0FA" w14:textId="77777777" w:rsidR="00A76571" w:rsidRPr="00483F88" w:rsidRDefault="00A76571" w:rsidP="00617C3E">
            <w:pPr>
              <w:spacing w:after="0" w:line="240" w:lineRule="auto"/>
              <w:jc w:val="right"/>
              <w:rPr>
                <w:rFonts w:ascii="Arial" w:eastAsia="Times New Roman" w:hAnsi="Arial" w:cs="Arial"/>
                <w:b/>
                <w:sz w:val="20"/>
                <w:szCs w:val="20"/>
                <w:lang w:eastAsia="sl-SI"/>
              </w:rPr>
            </w:pPr>
            <w:r w:rsidRPr="00483F88">
              <w:rPr>
                <w:rFonts w:ascii="Arial" w:eastAsia="Times New Roman" w:hAnsi="Arial" w:cs="Arial"/>
                <w:b/>
                <w:sz w:val="20"/>
                <w:szCs w:val="20"/>
                <w:lang w:eastAsia="sl-SI"/>
              </w:rPr>
              <w:t>847,3</w:t>
            </w:r>
          </w:p>
        </w:tc>
        <w:tc>
          <w:tcPr>
            <w:tcW w:w="927" w:type="dxa"/>
            <w:tcBorders>
              <w:top w:val="double" w:sz="6" w:space="0" w:color="auto"/>
              <w:left w:val="nil"/>
              <w:bottom w:val="single" w:sz="4" w:space="0" w:color="auto"/>
              <w:right w:val="single" w:sz="4" w:space="0" w:color="auto"/>
            </w:tcBorders>
            <w:shd w:val="clear" w:color="000000" w:fill="FFC000"/>
            <w:noWrap/>
            <w:vAlign w:val="center"/>
            <w:hideMark/>
          </w:tcPr>
          <w:p w14:paraId="47F9FD54" w14:textId="5269EE51" w:rsidR="00A76571" w:rsidRPr="00483F88" w:rsidRDefault="00A76571">
            <w:pPr>
              <w:spacing w:after="0" w:line="240" w:lineRule="auto"/>
              <w:jc w:val="right"/>
              <w:rPr>
                <w:rFonts w:ascii="Arial" w:eastAsia="Times New Roman" w:hAnsi="Arial" w:cs="Arial"/>
                <w:b/>
                <w:sz w:val="20"/>
                <w:szCs w:val="20"/>
                <w:lang w:eastAsia="sl-SI"/>
              </w:rPr>
            </w:pPr>
            <w:r w:rsidRPr="00483F88">
              <w:rPr>
                <w:rFonts w:ascii="Arial" w:eastAsia="Times New Roman" w:hAnsi="Arial" w:cs="Arial"/>
                <w:b/>
                <w:sz w:val="20"/>
                <w:szCs w:val="20"/>
                <w:lang w:eastAsia="sl-SI"/>
              </w:rPr>
              <w:t>9</w:t>
            </w:r>
            <w:r w:rsidR="00376196" w:rsidRPr="00483F88">
              <w:rPr>
                <w:rFonts w:ascii="Arial" w:eastAsia="Times New Roman" w:hAnsi="Arial" w:cs="Arial"/>
                <w:b/>
                <w:sz w:val="20"/>
                <w:szCs w:val="20"/>
                <w:lang w:eastAsia="sl-SI"/>
              </w:rPr>
              <w:t>3</w:t>
            </w:r>
            <w:r w:rsidRPr="00483F88">
              <w:rPr>
                <w:rFonts w:ascii="Arial" w:eastAsia="Times New Roman" w:hAnsi="Arial" w:cs="Arial"/>
                <w:b/>
                <w:sz w:val="20"/>
                <w:szCs w:val="20"/>
                <w:lang w:eastAsia="sl-SI"/>
              </w:rPr>
              <w:t>2,</w:t>
            </w:r>
            <w:r w:rsidR="00376196" w:rsidRPr="00483F88">
              <w:rPr>
                <w:rFonts w:ascii="Arial" w:eastAsia="Times New Roman" w:hAnsi="Arial" w:cs="Arial"/>
                <w:b/>
                <w:sz w:val="20"/>
                <w:szCs w:val="20"/>
                <w:lang w:eastAsia="sl-SI"/>
              </w:rPr>
              <w:t>0</w:t>
            </w:r>
          </w:p>
        </w:tc>
      </w:tr>
    </w:tbl>
    <w:p w14:paraId="3FEC2E1D" w14:textId="2BFBA197" w:rsidR="00E4026D" w:rsidRPr="00483F88" w:rsidRDefault="00F457F1" w:rsidP="00E4026D">
      <w:pPr>
        <w:jc w:val="both"/>
        <w:rPr>
          <w:rFonts w:ascii="Arial" w:hAnsi="Arial" w:cs="Arial"/>
          <w:i/>
          <w:sz w:val="18"/>
          <w:szCs w:val="18"/>
        </w:rPr>
      </w:pPr>
      <w:r w:rsidRPr="00483F88">
        <w:rPr>
          <w:rFonts w:ascii="Arial" w:hAnsi="Arial" w:cs="Arial"/>
          <w:i/>
          <w:sz w:val="18"/>
          <w:szCs w:val="18"/>
        </w:rPr>
        <w:t>Vir: Odmere dohodnine za leto 2018, FURS, lastni izračuni MF</w:t>
      </w:r>
      <w:r w:rsidR="00054792">
        <w:rPr>
          <w:rFonts w:ascii="Arial" w:hAnsi="Arial" w:cs="Arial"/>
          <w:i/>
          <w:sz w:val="18"/>
          <w:szCs w:val="18"/>
        </w:rPr>
        <w:t>.</w:t>
      </w:r>
    </w:p>
    <w:p w14:paraId="62B1EC1E" w14:textId="10C39AFC" w:rsidR="00E4026D" w:rsidRPr="00012435" w:rsidRDefault="00813D59" w:rsidP="00012435">
      <w:pPr>
        <w:spacing w:after="0" w:line="260" w:lineRule="atLeast"/>
        <w:jc w:val="both"/>
        <w:rPr>
          <w:rFonts w:ascii="Arial" w:hAnsi="Arial" w:cs="Arial"/>
          <w:sz w:val="20"/>
          <w:szCs w:val="20"/>
        </w:rPr>
      </w:pPr>
      <w:r w:rsidRPr="00012435">
        <w:rPr>
          <w:rFonts w:ascii="Arial" w:hAnsi="Arial" w:cs="Arial"/>
          <w:sz w:val="20"/>
          <w:szCs w:val="20"/>
        </w:rPr>
        <w:lastRenderedPageBreak/>
        <w:t>V letu 2018 je n</w:t>
      </w:r>
      <w:r w:rsidR="00E4026D" w:rsidRPr="00012435">
        <w:rPr>
          <w:rFonts w:ascii="Arial" w:hAnsi="Arial" w:cs="Arial"/>
          <w:sz w:val="20"/>
          <w:szCs w:val="20"/>
        </w:rPr>
        <w:t xml:space="preserve">ajveč zavezancev, </w:t>
      </w:r>
      <w:r w:rsidR="00054792">
        <w:rPr>
          <w:rFonts w:ascii="Arial" w:hAnsi="Arial" w:cs="Arial"/>
          <w:sz w:val="20"/>
          <w:szCs w:val="20"/>
        </w:rPr>
        <w:t xml:space="preserve">in sicer </w:t>
      </w:r>
      <w:r w:rsidR="00F457F1" w:rsidRPr="00012435">
        <w:rPr>
          <w:rFonts w:ascii="Arial" w:hAnsi="Arial" w:cs="Arial"/>
          <w:sz w:val="20"/>
          <w:szCs w:val="20"/>
        </w:rPr>
        <w:t>823</w:t>
      </w:r>
      <w:r w:rsidR="003F661B">
        <w:rPr>
          <w:rFonts w:ascii="Arial" w:hAnsi="Arial" w:cs="Arial"/>
          <w:sz w:val="20"/>
          <w:szCs w:val="20"/>
        </w:rPr>
        <w:t>.</w:t>
      </w:r>
      <w:r w:rsidR="00F457F1" w:rsidRPr="00012435">
        <w:rPr>
          <w:rFonts w:ascii="Arial" w:hAnsi="Arial" w:cs="Arial"/>
          <w:sz w:val="20"/>
          <w:szCs w:val="20"/>
        </w:rPr>
        <w:t>433</w:t>
      </w:r>
      <w:r w:rsidR="004302CD">
        <w:rPr>
          <w:rFonts w:ascii="Arial" w:hAnsi="Arial" w:cs="Arial"/>
          <w:sz w:val="20"/>
          <w:szCs w:val="20"/>
        </w:rPr>
        <w:t>,</w:t>
      </w:r>
      <w:r w:rsidR="00E4026D" w:rsidRPr="00012435">
        <w:rPr>
          <w:rFonts w:ascii="Arial" w:hAnsi="Arial" w:cs="Arial"/>
          <w:sz w:val="20"/>
          <w:szCs w:val="20"/>
        </w:rPr>
        <w:t xml:space="preserve"> uveljavljalo </w:t>
      </w:r>
      <w:r w:rsidR="00F457F1" w:rsidRPr="00012435">
        <w:rPr>
          <w:rFonts w:ascii="Arial" w:hAnsi="Arial" w:cs="Arial"/>
          <w:sz w:val="20"/>
          <w:szCs w:val="20"/>
        </w:rPr>
        <w:t xml:space="preserve">dodatno </w:t>
      </w:r>
      <w:r w:rsidR="00E4026D" w:rsidRPr="00012435">
        <w:rPr>
          <w:rFonts w:ascii="Arial" w:hAnsi="Arial" w:cs="Arial"/>
          <w:sz w:val="20"/>
          <w:szCs w:val="20"/>
        </w:rPr>
        <w:t xml:space="preserve">splošno olajšavo, katere </w:t>
      </w:r>
      <w:r w:rsidR="00F457F1" w:rsidRPr="00012435">
        <w:rPr>
          <w:rFonts w:ascii="Arial" w:hAnsi="Arial" w:cs="Arial"/>
          <w:sz w:val="20"/>
          <w:szCs w:val="20"/>
        </w:rPr>
        <w:t xml:space="preserve">davčni izdatek </w:t>
      </w:r>
      <w:r w:rsidR="00E4026D" w:rsidRPr="00012435">
        <w:rPr>
          <w:rFonts w:ascii="Arial" w:hAnsi="Arial" w:cs="Arial"/>
          <w:sz w:val="20"/>
          <w:szCs w:val="20"/>
        </w:rPr>
        <w:t xml:space="preserve">je znašal </w:t>
      </w:r>
      <w:r w:rsidR="00A76571" w:rsidRPr="00901BB9">
        <w:rPr>
          <w:rFonts w:ascii="Arial" w:hAnsi="Arial" w:cs="Arial"/>
          <w:sz w:val="20"/>
          <w:szCs w:val="20"/>
        </w:rPr>
        <w:t>304</w:t>
      </w:r>
      <w:r w:rsidR="00A76571">
        <w:rPr>
          <w:rFonts w:ascii="Arial" w:hAnsi="Arial" w:cs="Arial"/>
          <w:sz w:val="20"/>
          <w:szCs w:val="20"/>
        </w:rPr>
        <w:t xml:space="preserve"> </w:t>
      </w:r>
      <w:r w:rsidR="00E4026D" w:rsidRPr="00012435">
        <w:rPr>
          <w:rFonts w:ascii="Arial" w:hAnsi="Arial" w:cs="Arial"/>
          <w:sz w:val="20"/>
          <w:szCs w:val="20"/>
        </w:rPr>
        <w:t xml:space="preserve">mio evrov. V okviru </w:t>
      </w:r>
      <w:r w:rsidR="00054792">
        <w:rPr>
          <w:rFonts w:ascii="Arial" w:hAnsi="Arial" w:cs="Arial"/>
          <w:sz w:val="20"/>
          <w:szCs w:val="20"/>
        </w:rPr>
        <w:t>drugih</w:t>
      </w:r>
      <w:r w:rsidRPr="00012435">
        <w:rPr>
          <w:rFonts w:ascii="Arial" w:hAnsi="Arial" w:cs="Arial"/>
          <w:sz w:val="20"/>
          <w:szCs w:val="20"/>
        </w:rPr>
        <w:t xml:space="preserve"> </w:t>
      </w:r>
      <w:r w:rsidR="00E4026D" w:rsidRPr="00012435">
        <w:rPr>
          <w:rFonts w:ascii="Arial" w:hAnsi="Arial" w:cs="Arial"/>
          <w:sz w:val="20"/>
          <w:szCs w:val="20"/>
        </w:rPr>
        <w:t xml:space="preserve">olajšav je največji delež </w:t>
      </w:r>
      <w:r w:rsidR="00054792">
        <w:rPr>
          <w:rFonts w:ascii="Arial" w:hAnsi="Arial" w:cs="Arial"/>
          <w:sz w:val="20"/>
          <w:szCs w:val="20"/>
        </w:rPr>
        <w:t>pomenila</w:t>
      </w:r>
      <w:r w:rsidR="00E4026D" w:rsidRPr="00012435">
        <w:rPr>
          <w:rFonts w:ascii="Arial" w:hAnsi="Arial" w:cs="Arial"/>
          <w:sz w:val="20"/>
          <w:szCs w:val="20"/>
        </w:rPr>
        <w:t xml:space="preserve"> olajšava za </w:t>
      </w:r>
      <w:r w:rsidRPr="00012435">
        <w:rPr>
          <w:rFonts w:ascii="Arial" w:hAnsi="Arial" w:cs="Arial"/>
          <w:sz w:val="20"/>
          <w:szCs w:val="20"/>
        </w:rPr>
        <w:t xml:space="preserve">vzdrževane </w:t>
      </w:r>
      <w:r w:rsidR="00350125">
        <w:rPr>
          <w:rFonts w:ascii="Arial" w:hAnsi="Arial" w:cs="Arial"/>
          <w:sz w:val="20"/>
          <w:szCs w:val="20"/>
        </w:rPr>
        <w:t>otroke</w:t>
      </w:r>
      <w:r w:rsidR="00E4026D" w:rsidRPr="00012435">
        <w:rPr>
          <w:rFonts w:ascii="Arial" w:hAnsi="Arial" w:cs="Arial"/>
          <w:sz w:val="20"/>
          <w:szCs w:val="20"/>
        </w:rPr>
        <w:t>,</w:t>
      </w:r>
      <w:r w:rsidRPr="00012435">
        <w:rPr>
          <w:rFonts w:ascii="Arial" w:hAnsi="Arial" w:cs="Arial"/>
          <w:sz w:val="20"/>
          <w:szCs w:val="20"/>
        </w:rPr>
        <w:t xml:space="preserve"> ki jo</w:t>
      </w:r>
      <w:r w:rsidR="00E4026D" w:rsidRPr="00012435">
        <w:rPr>
          <w:rFonts w:ascii="Arial" w:hAnsi="Arial" w:cs="Arial"/>
          <w:sz w:val="20"/>
          <w:szCs w:val="20"/>
        </w:rPr>
        <w:t xml:space="preserve"> </w:t>
      </w:r>
      <w:r w:rsidR="004302CD">
        <w:rPr>
          <w:rFonts w:ascii="Arial" w:hAnsi="Arial" w:cs="Arial"/>
          <w:sz w:val="20"/>
          <w:szCs w:val="20"/>
        </w:rPr>
        <w:t>je</w:t>
      </w:r>
      <w:r w:rsidR="00054792">
        <w:rPr>
          <w:rFonts w:ascii="Arial" w:hAnsi="Arial" w:cs="Arial"/>
          <w:sz w:val="20"/>
          <w:szCs w:val="20"/>
        </w:rPr>
        <w:t xml:space="preserve"> uveljavljalo</w:t>
      </w:r>
      <w:r w:rsidR="00E4026D" w:rsidRPr="00012435">
        <w:rPr>
          <w:rFonts w:ascii="Arial" w:hAnsi="Arial" w:cs="Arial"/>
          <w:sz w:val="20"/>
          <w:szCs w:val="20"/>
        </w:rPr>
        <w:t xml:space="preserve"> </w:t>
      </w:r>
      <w:r w:rsidRPr="00012435">
        <w:rPr>
          <w:rFonts w:ascii="Arial" w:hAnsi="Arial" w:cs="Arial"/>
          <w:sz w:val="20"/>
          <w:szCs w:val="20"/>
        </w:rPr>
        <w:t>331.966</w:t>
      </w:r>
      <w:r w:rsidR="00E4026D" w:rsidRPr="00012435">
        <w:rPr>
          <w:rFonts w:ascii="Arial" w:hAnsi="Arial" w:cs="Arial"/>
          <w:sz w:val="20"/>
          <w:szCs w:val="20"/>
        </w:rPr>
        <w:t xml:space="preserve"> zavezancev</w:t>
      </w:r>
      <w:r w:rsidR="00254ED7">
        <w:rPr>
          <w:rFonts w:ascii="Arial" w:hAnsi="Arial" w:cs="Arial"/>
          <w:sz w:val="20"/>
          <w:szCs w:val="20"/>
        </w:rPr>
        <w:t xml:space="preserve"> in</w:t>
      </w:r>
      <w:r w:rsidR="00E4026D" w:rsidRPr="00012435">
        <w:rPr>
          <w:rFonts w:ascii="Arial" w:hAnsi="Arial" w:cs="Arial"/>
          <w:sz w:val="20"/>
          <w:szCs w:val="20"/>
        </w:rPr>
        <w:t xml:space="preserve"> </w:t>
      </w:r>
      <w:r w:rsidRPr="00012435">
        <w:rPr>
          <w:rFonts w:ascii="Arial" w:hAnsi="Arial" w:cs="Arial"/>
          <w:sz w:val="20"/>
          <w:szCs w:val="20"/>
        </w:rPr>
        <w:t xml:space="preserve">je pomenila </w:t>
      </w:r>
      <w:r w:rsidR="00350125">
        <w:rPr>
          <w:rFonts w:ascii="Arial" w:hAnsi="Arial" w:cs="Arial"/>
          <w:sz w:val="20"/>
          <w:szCs w:val="20"/>
        </w:rPr>
        <w:t>270</w:t>
      </w:r>
      <w:r w:rsidR="00E4026D" w:rsidRPr="00012435">
        <w:rPr>
          <w:rFonts w:ascii="Arial" w:hAnsi="Arial" w:cs="Arial"/>
          <w:sz w:val="20"/>
          <w:szCs w:val="20"/>
        </w:rPr>
        <w:t xml:space="preserve"> mio evrov</w:t>
      </w:r>
      <w:r w:rsidRPr="00012435">
        <w:rPr>
          <w:rFonts w:ascii="Arial" w:hAnsi="Arial" w:cs="Arial"/>
          <w:sz w:val="20"/>
          <w:szCs w:val="20"/>
        </w:rPr>
        <w:t xml:space="preserve"> davčnega</w:t>
      </w:r>
      <w:r w:rsidR="00E4026D" w:rsidRPr="00012435">
        <w:rPr>
          <w:rFonts w:ascii="Arial" w:hAnsi="Arial" w:cs="Arial"/>
          <w:sz w:val="20"/>
          <w:szCs w:val="20"/>
        </w:rPr>
        <w:t xml:space="preserve"> </w:t>
      </w:r>
      <w:r w:rsidR="006A4795" w:rsidRPr="00012435">
        <w:rPr>
          <w:rFonts w:ascii="Arial" w:hAnsi="Arial" w:cs="Arial"/>
          <w:sz w:val="20"/>
          <w:szCs w:val="20"/>
        </w:rPr>
        <w:t>izdat</w:t>
      </w:r>
      <w:r w:rsidR="00E4026D" w:rsidRPr="00012435">
        <w:rPr>
          <w:rFonts w:ascii="Arial" w:hAnsi="Arial" w:cs="Arial"/>
          <w:sz w:val="20"/>
          <w:szCs w:val="20"/>
        </w:rPr>
        <w:t xml:space="preserve">ka. </w:t>
      </w:r>
      <w:r w:rsidRPr="00012435">
        <w:rPr>
          <w:rFonts w:ascii="Arial" w:hAnsi="Arial" w:cs="Arial"/>
          <w:sz w:val="20"/>
          <w:szCs w:val="20"/>
        </w:rPr>
        <w:t>Posebn</w:t>
      </w:r>
      <w:r w:rsidR="00A76571">
        <w:rPr>
          <w:rFonts w:ascii="Arial" w:hAnsi="Arial" w:cs="Arial"/>
          <w:sz w:val="20"/>
          <w:szCs w:val="20"/>
        </w:rPr>
        <w:t>a</w:t>
      </w:r>
      <w:r w:rsidRPr="00012435">
        <w:rPr>
          <w:rFonts w:ascii="Arial" w:hAnsi="Arial" w:cs="Arial"/>
          <w:sz w:val="20"/>
          <w:szCs w:val="20"/>
        </w:rPr>
        <w:t xml:space="preserve"> olajšav</w:t>
      </w:r>
      <w:r w:rsidR="00A76571">
        <w:rPr>
          <w:rFonts w:ascii="Arial" w:hAnsi="Arial" w:cs="Arial"/>
          <w:sz w:val="20"/>
          <w:szCs w:val="20"/>
        </w:rPr>
        <w:t>a</w:t>
      </w:r>
      <w:r w:rsidRPr="00012435">
        <w:rPr>
          <w:rFonts w:ascii="Arial" w:hAnsi="Arial" w:cs="Arial"/>
          <w:sz w:val="20"/>
          <w:szCs w:val="20"/>
        </w:rPr>
        <w:t xml:space="preserve"> za študente je bila priznana 97.029 zavezancev, njihova davčna obveznost pa se je </w:t>
      </w:r>
      <w:r w:rsidR="00054792">
        <w:rPr>
          <w:rFonts w:ascii="Arial" w:hAnsi="Arial" w:cs="Arial"/>
          <w:sz w:val="20"/>
          <w:szCs w:val="20"/>
        </w:rPr>
        <w:t>zaradi</w:t>
      </w:r>
      <w:r w:rsidRPr="00012435">
        <w:rPr>
          <w:rFonts w:ascii="Arial" w:hAnsi="Arial" w:cs="Arial"/>
          <w:sz w:val="20"/>
          <w:szCs w:val="20"/>
        </w:rPr>
        <w:t xml:space="preserve"> tega znižala za 25 mio evrov. </w:t>
      </w:r>
      <w:r w:rsidR="00E4026D" w:rsidRPr="00012435">
        <w:rPr>
          <w:rFonts w:ascii="Arial" w:hAnsi="Arial" w:cs="Arial"/>
          <w:sz w:val="20"/>
          <w:szCs w:val="20"/>
        </w:rPr>
        <w:t>Invalidu s 100</w:t>
      </w:r>
      <w:r w:rsidR="00BE46E3">
        <w:rPr>
          <w:rFonts w:ascii="Arial" w:hAnsi="Arial" w:cs="Arial"/>
          <w:sz w:val="20"/>
          <w:szCs w:val="20"/>
        </w:rPr>
        <w:t>-odstotno</w:t>
      </w:r>
      <w:r w:rsidR="00E4026D" w:rsidRPr="00012435">
        <w:rPr>
          <w:rFonts w:ascii="Arial" w:hAnsi="Arial" w:cs="Arial"/>
          <w:sz w:val="20"/>
          <w:szCs w:val="20"/>
        </w:rPr>
        <w:t xml:space="preserve"> telesno okvaro, </w:t>
      </w:r>
      <w:r w:rsidR="00254ED7" w:rsidRPr="00A35893">
        <w:rPr>
          <w:rFonts w:ascii="Arial" w:hAnsi="Arial" w:cs="Arial"/>
          <w:sz w:val="20"/>
          <w:szCs w:val="20"/>
        </w:rPr>
        <w:t>če mu je bila priznana pravica do tuje nege in pomoči</w:t>
      </w:r>
      <w:r w:rsidR="00254ED7">
        <w:rPr>
          <w:rFonts w:ascii="Arial" w:hAnsi="Arial" w:cs="Arial"/>
          <w:sz w:val="20"/>
          <w:szCs w:val="20"/>
        </w:rPr>
        <w:t>,</w:t>
      </w:r>
      <w:r w:rsidR="00254ED7" w:rsidRPr="00254ED7">
        <w:rPr>
          <w:rFonts w:ascii="Arial" w:hAnsi="Arial" w:cs="Arial"/>
          <w:sz w:val="20"/>
          <w:szCs w:val="20"/>
        </w:rPr>
        <w:t xml:space="preserve"> </w:t>
      </w:r>
      <w:r w:rsidR="00E4026D" w:rsidRPr="00012435">
        <w:rPr>
          <w:rFonts w:ascii="Arial" w:hAnsi="Arial" w:cs="Arial"/>
          <w:sz w:val="20"/>
          <w:szCs w:val="20"/>
        </w:rPr>
        <w:t>je</w:t>
      </w:r>
      <w:r w:rsidR="00054792">
        <w:rPr>
          <w:rFonts w:ascii="Arial" w:hAnsi="Arial" w:cs="Arial"/>
          <w:sz w:val="20"/>
          <w:szCs w:val="20"/>
        </w:rPr>
        <w:t xml:space="preserve"> bilo</w:t>
      </w:r>
      <w:r w:rsidR="00E4026D" w:rsidRPr="00012435">
        <w:rPr>
          <w:rFonts w:ascii="Arial" w:hAnsi="Arial" w:cs="Arial"/>
          <w:sz w:val="20"/>
          <w:szCs w:val="20"/>
        </w:rPr>
        <w:t xml:space="preserve"> prizna</w:t>
      </w:r>
      <w:r w:rsidR="00054792">
        <w:rPr>
          <w:rFonts w:ascii="Arial" w:hAnsi="Arial" w:cs="Arial"/>
          <w:sz w:val="20"/>
          <w:szCs w:val="20"/>
        </w:rPr>
        <w:t>no</w:t>
      </w:r>
      <w:r w:rsidR="00E4026D" w:rsidRPr="00012435">
        <w:rPr>
          <w:rFonts w:ascii="Arial" w:hAnsi="Arial" w:cs="Arial"/>
          <w:sz w:val="20"/>
          <w:szCs w:val="20"/>
        </w:rPr>
        <w:t xml:space="preserve"> zmanjšanje letne davčne osnove v višini 17.658 evrov. Olajšavo je uveljavljalo </w:t>
      </w:r>
      <w:r w:rsidRPr="00012435">
        <w:rPr>
          <w:rFonts w:ascii="Arial" w:hAnsi="Arial" w:cs="Arial"/>
          <w:sz w:val="20"/>
          <w:szCs w:val="20"/>
        </w:rPr>
        <w:t>3</w:t>
      </w:r>
      <w:r w:rsidR="00E4026D" w:rsidRPr="00012435">
        <w:rPr>
          <w:rFonts w:ascii="Arial" w:hAnsi="Arial" w:cs="Arial"/>
          <w:sz w:val="20"/>
          <w:szCs w:val="20"/>
        </w:rPr>
        <w:t>.</w:t>
      </w:r>
      <w:r w:rsidRPr="00012435">
        <w:rPr>
          <w:rFonts w:ascii="Arial" w:hAnsi="Arial" w:cs="Arial"/>
          <w:sz w:val="20"/>
          <w:szCs w:val="20"/>
        </w:rPr>
        <w:t>774</w:t>
      </w:r>
      <w:r w:rsidR="00E4026D" w:rsidRPr="00012435">
        <w:rPr>
          <w:rFonts w:ascii="Arial" w:hAnsi="Arial" w:cs="Arial"/>
          <w:sz w:val="20"/>
          <w:szCs w:val="20"/>
        </w:rPr>
        <w:t xml:space="preserve"> zavezancev, davčni </w:t>
      </w:r>
      <w:r w:rsidR="006A4795" w:rsidRPr="00012435">
        <w:rPr>
          <w:rFonts w:ascii="Arial" w:hAnsi="Arial" w:cs="Arial"/>
          <w:sz w:val="20"/>
          <w:szCs w:val="20"/>
        </w:rPr>
        <w:t>izdatek</w:t>
      </w:r>
      <w:r w:rsidR="00E4026D" w:rsidRPr="00012435">
        <w:rPr>
          <w:rFonts w:ascii="Arial" w:hAnsi="Arial" w:cs="Arial"/>
          <w:sz w:val="20"/>
          <w:szCs w:val="20"/>
        </w:rPr>
        <w:t xml:space="preserve"> te olajšave pa je znašal 2 mio evrov. </w:t>
      </w:r>
    </w:p>
    <w:p w14:paraId="5EBC3614" w14:textId="77777777" w:rsidR="00E4026D" w:rsidRPr="00012435" w:rsidRDefault="00E4026D" w:rsidP="00012435">
      <w:pPr>
        <w:spacing w:after="0" w:line="260" w:lineRule="atLeast"/>
        <w:jc w:val="both"/>
        <w:rPr>
          <w:rFonts w:ascii="Arial" w:hAnsi="Arial" w:cs="Arial"/>
          <w:color w:val="7F7F7F"/>
          <w:sz w:val="20"/>
          <w:szCs w:val="20"/>
        </w:rPr>
      </w:pPr>
    </w:p>
    <w:p w14:paraId="19166C97" w14:textId="1B9BF2EE" w:rsidR="00E4026D" w:rsidRPr="00012435" w:rsidRDefault="00E4026D" w:rsidP="00012435">
      <w:pPr>
        <w:spacing w:after="0" w:line="260" w:lineRule="atLeast"/>
        <w:jc w:val="both"/>
        <w:rPr>
          <w:rFonts w:ascii="Arial" w:hAnsi="Arial" w:cs="Arial"/>
          <w:sz w:val="20"/>
          <w:szCs w:val="20"/>
        </w:rPr>
      </w:pPr>
      <w:r w:rsidRPr="00012435">
        <w:rPr>
          <w:rFonts w:ascii="Arial" w:hAnsi="Arial" w:cs="Arial"/>
          <w:sz w:val="20"/>
          <w:szCs w:val="20"/>
        </w:rPr>
        <w:t xml:space="preserve">V skladu z </w:t>
      </w:r>
      <w:r w:rsidR="00350DB8">
        <w:rPr>
          <w:rFonts w:ascii="Arial" w:hAnsi="Arial" w:cs="Arial"/>
          <w:sz w:val="20"/>
          <w:szCs w:val="20"/>
        </w:rPr>
        <w:t>ZDoh-2</w:t>
      </w:r>
      <w:r w:rsidR="00350DB8" w:rsidRPr="00012435">
        <w:rPr>
          <w:rFonts w:ascii="Arial" w:hAnsi="Arial" w:cs="Arial"/>
          <w:sz w:val="20"/>
          <w:szCs w:val="20"/>
        </w:rPr>
        <w:t xml:space="preserve"> </w:t>
      </w:r>
      <w:r w:rsidRPr="00012435">
        <w:rPr>
          <w:rFonts w:ascii="Arial" w:hAnsi="Arial" w:cs="Arial"/>
          <w:sz w:val="20"/>
          <w:szCs w:val="20"/>
        </w:rPr>
        <w:t>so določeni dohodki oproščeni plačila dohodnine</w:t>
      </w:r>
      <w:r w:rsidR="00350DB8">
        <w:rPr>
          <w:rFonts w:ascii="Arial" w:hAnsi="Arial" w:cs="Arial"/>
          <w:sz w:val="20"/>
          <w:szCs w:val="20"/>
        </w:rPr>
        <w:t xml:space="preserve"> (določbe od 20. do 34. člena)</w:t>
      </w:r>
      <w:r w:rsidRPr="00012435">
        <w:rPr>
          <w:rFonts w:ascii="Arial" w:hAnsi="Arial" w:cs="Arial"/>
          <w:sz w:val="20"/>
          <w:szCs w:val="20"/>
        </w:rPr>
        <w:t>, k</w:t>
      </w:r>
      <w:r w:rsidR="00054792">
        <w:rPr>
          <w:rFonts w:ascii="Arial" w:hAnsi="Arial" w:cs="Arial"/>
          <w:sz w:val="20"/>
          <w:szCs w:val="20"/>
        </w:rPr>
        <w:t>akor</w:t>
      </w:r>
      <w:r w:rsidRPr="00012435">
        <w:rPr>
          <w:rFonts w:ascii="Arial" w:hAnsi="Arial" w:cs="Arial"/>
          <w:sz w:val="20"/>
          <w:szCs w:val="20"/>
        </w:rPr>
        <w:t xml:space="preserve"> so </w:t>
      </w:r>
      <w:r w:rsidR="00054792">
        <w:rPr>
          <w:rFonts w:ascii="Arial" w:hAnsi="Arial" w:cs="Arial"/>
          <w:sz w:val="20"/>
          <w:szCs w:val="20"/>
        </w:rPr>
        <w:t>na primer</w:t>
      </w:r>
      <w:r w:rsidR="00254ED7" w:rsidRPr="00012435">
        <w:rPr>
          <w:rFonts w:ascii="Arial" w:hAnsi="Arial" w:cs="Arial"/>
          <w:sz w:val="20"/>
          <w:szCs w:val="20"/>
        </w:rPr>
        <w:t xml:space="preserve"> </w:t>
      </w:r>
      <w:r w:rsidRPr="00012435">
        <w:rPr>
          <w:rFonts w:ascii="Arial" w:hAnsi="Arial" w:cs="Arial"/>
          <w:sz w:val="20"/>
          <w:szCs w:val="20"/>
        </w:rPr>
        <w:t>pomoči in subvencije, dohodki iz starševskega varstva in zavarovanja za primer brezposelnosti, dohodki iz obveznega pokojninskega, zdravstvenega in invalidskega zavarovanja, dohodki</w:t>
      </w:r>
      <w:r w:rsidR="00254ED7">
        <w:rPr>
          <w:rFonts w:ascii="Arial" w:hAnsi="Arial" w:cs="Arial"/>
          <w:sz w:val="20"/>
          <w:szCs w:val="20"/>
        </w:rPr>
        <w:t>,</w:t>
      </w:r>
      <w:r w:rsidRPr="00012435">
        <w:rPr>
          <w:rFonts w:ascii="Arial" w:hAnsi="Arial" w:cs="Arial"/>
          <w:sz w:val="20"/>
          <w:szCs w:val="20"/>
        </w:rPr>
        <w:t xml:space="preserve"> povezani z zagotavljanjem varnosti, zaščite in reševanja, dohodki</w:t>
      </w:r>
      <w:r w:rsidR="00254ED7">
        <w:rPr>
          <w:rFonts w:ascii="Arial" w:hAnsi="Arial" w:cs="Arial"/>
          <w:sz w:val="20"/>
          <w:szCs w:val="20"/>
        </w:rPr>
        <w:t>,</w:t>
      </w:r>
      <w:r w:rsidRPr="00012435">
        <w:rPr>
          <w:rFonts w:ascii="Arial" w:hAnsi="Arial" w:cs="Arial"/>
          <w:sz w:val="20"/>
          <w:szCs w:val="20"/>
        </w:rPr>
        <w:t xml:space="preserve"> povezani z izobraževanjem, dohodki nerezidentov, odškodnine, posebni dodatki</w:t>
      </w:r>
      <w:r w:rsidR="00054792">
        <w:rPr>
          <w:rFonts w:ascii="Arial" w:hAnsi="Arial" w:cs="Arial"/>
          <w:sz w:val="20"/>
          <w:szCs w:val="20"/>
        </w:rPr>
        <w:t xml:space="preserve"> ipd.</w:t>
      </w:r>
      <w:r w:rsidRPr="00012435">
        <w:rPr>
          <w:rFonts w:ascii="Arial" w:hAnsi="Arial" w:cs="Arial"/>
          <w:sz w:val="20"/>
          <w:szCs w:val="20"/>
        </w:rPr>
        <w:t xml:space="preserve"> Skupni učinek teh</w:t>
      </w:r>
      <w:r w:rsidR="00A811AD">
        <w:rPr>
          <w:rFonts w:ascii="Arial" w:hAnsi="Arial" w:cs="Arial"/>
          <w:sz w:val="20"/>
          <w:szCs w:val="20"/>
        </w:rPr>
        <w:t xml:space="preserve"> davčnih</w:t>
      </w:r>
      <w:r w:rsidRPr="00012435">
        <w:rPr>
          <w:rFonts w:ascii="Arial" w:hAnsi="Arial" w:cs="Arial"/>
          <w:sz w:val="20"/>
          <w:szCs w:val="20"/>
        </w:rPr>
        <w:t xml:space="preserve"> </w:t>
      </w:r>
      <w:r w:rsidR="00CE1525">
        <w:rPr>
          <w:rFonts w:ascii="Arial" w:hAnsi="Arial" w:cs="Arial"/>
          <w:sz w:val="20"/>
          <w:szCs w:val="20"/>
        </w:rPr>
        <w:t>izdatkov</w:t>
      </w:r>
      <w:r w:rsidR="00CE1525" w:rsidRPr="00012435">
        <w:rPr>
          <w:rFonts w:ascii="Arial" w:hAnsi="Arial" w:cs="Arial"/>
          <w:sz w:val="20"/>
          <w:szCs w:val="20"/>
        </w:rPr>
        <w:t xml:space="preserve"> </w:t>
      </w:r>
      <w:r w:rsidRPr="00012435">
        <w:rPr>
          <w:rFonts w:ascii="Arial" w:hAnsi="Arial" w:cs="Arial"/>
          <w:sz w:val="20"/>
          <w:szCs w:val="20"/>
        </w:rPr>
        <w:t>je znašal 18</w:t>
      </w:r>
      <w:r w:rsidR="00E90C22">
        <w:rPr>
          <w:rFonts w:ascii="Arial" w:hAnsi="Arial" w:cs="Arial"/>
          <w:sz w:val="20"/>
          <w:szCs w:val="20"/>
        </w:rPr>
        <w:t>6,5</w:t>
      </w:r>
      <w:r w:rsidRPr="00012435">
        <w:rPr>
          <w:rFonts w:ascii="Arial" w:hAnsi="Arial" w:cs="Arial"/>
          <w:sz w:val="20"/>
          <w:szCs w:val="20"/>
        </w:rPr>
        <w:t xml:space="preserve"> mio evrov.</w:t>
      </w:r>
    </w:p>
    <w:p w14:paraId="2C5237D7" w14:textId="77777777" w:rsidR="00E4026D" w:rsidRPr="00012435" w:rsidRDefault="00E4026D" w:rsidP="00012435">
      <w:pPr>
        <w:spacing w:after="0" w:line="260" w:lineRule="atLeast"/>
        <w:jc w:val="both"/>
        <w:rPr>
          <w:rFonts w:ascii="Arial" w:hAnsi="Arial" w:cs="Arial"/>
          <w:sz w:val="20"/>
          <w:szCs w:val="20"/>
        </w:rPr>
      </w:pPr>
    </w:p>
    <w:p w14:paraId="6934FBC9" w14:textId="13FD5E69" w:rsidR="00E4026D" w:rsidRPr="00012435" w:rsidRDefault="00E4026D" w:rsidP="00012435">
      <w:pPr>
        <w:spacing w:after="0" w:line="260" w:lineRule="atLeast"/>
        <w:jc w:val="both"/>
        <w:rPr>
          <w:rFonts w:ascii="Arial" w:hAnsi="Arial" w:cs="Arial"/>
          <w:sz w:val="20"/>
          <w:szCs w:val="20"/>
        </w:rPr>
      </w:pPr>
      <w:r w:rsidRPr="00012435">
        <w:rPr>
          <w:rFonts w:ascii="Arial" w:hAnsi="Arial" w:cs="Arial"/>
          <w:sz w:val="20"/>
          <w:szCs w:val="20"/>
        </w:rPr>
        <w:t xml:space="preserve">Ocena davčnih </w:t>
      </w:r>
      <w:r w:rsidR="00CE1525">
        <w:rPr>
          <w:rFonts w:ascii="Arial" w:hAnsi="Arial" w:cs="Arial"/>
          <w:sz w:val="20"/>
          <w:szCs w:val="20"/>
        </w:rPr>
        <w:t>izdatkov</w:t>
      </w:r>
      <w:r w:rsidRPr="00012435">
        <w:rPr>
          <w:rFonts w:ascii="Arial" w:hAnsi="Arial" w:cs="Arial"/>
          <w:sz w:val="20"/>
          <w:szCs w:val="20"/>
        </w:rPr>
        <w:t xml:space="preserve">, za katere </w:t>
      </w:r>
      <w:r w:rsidR="00483F88">
        <w:rPr>
          <w:rFonts w:ascii="Arial" w:hAnsi="Arial" w:cs="Arial"/>
          <w:sz w:val="20"/>
          <w:szCs w:val="20"/>
        </w:rPr>
        <w:t>so na voljo</w:t>
      </w:r>
      <w:r w:rsidRPr="00012435">
        <w:rPr>
          <w:rFonts w:ascii="Arial" w:hAnsi="Arial" w:cs="Arial"/>
          <w:sz w:val="20"/>
          <w:szCs w:val="20"/>
        </w:rPr>
        <w:t xml:space="preserve"> podatki in jih </w:t>
      </w:r>
      <w:r w:rsidR="00483F88">
        <w:rPr>
          <w:rFonts w:ascii="Arial" w:hAnsi="Arial" w:cs="Arial"/>
          <w:sz w:val="20"/>
          <w:szCs w:val="20"/>
        </w:rPr>
        <w:t>zato</w:t>
      </w:r>
      <w:r w:rsidRPr="00012435">
        <w:rPr>
          <w:rFonts w:ascii="Arial" w:hAnsi="Arial" w:cs="Arial"/>
          <w:sz w:val="20"/>
          <w:szCs w:val="20"/>
        </w:rPr>
        <w:t xml:space="preserve"> lahko ocenimo, je</w:t>
      </w:r>
      <w:r w:rsidR="00483F88">
        <w:rPr>
          <w:rFonts w:ascii="Arial" w:hAnsi="Arial" w:cs="Arial"/>
          <w:sz w:val="20"/>
          <w:szCs w:val="20"/>
        </w:rPr>
        <w:t xml:space="preserve"> </w:t>
      </w:r>
      <w:r w:rsidR="00483F88" w:rsidRPr="00012435">
        <w:rPr>
          <w:rFonts w:ascii="Arial" w:hAnsi="Arial" w:cs="Arial"/>
          <w:sz w:val="20"/>
          <w:szCs w:val="20"/>
        </w:rPr>
        <w:t>932 mio evrov</w:t>
      </w:r>
      <w:r w:rsidR="00483F88">
        <w:rPr>
          <w:rFonts w:ascii="Arial" w:hAnsi="Arial" w:cs="Arial"/>
          <w:sz w:val="20"/>
          <w:szCs w:val="20"/>
        </w:rPr>
        <w:t xml:space="preserve"> za leto 2018. Od tega</w:t>
      </w:r>
      <w:r w:rsidRPr="00012435">
        <w:rPr>
          <w:rFonts w:ascii="Arial" w:hAnsi="Arial" w:cs="Arial"/>
          <w:sz w:val="20"/>
          <w:szCs w:val="20"/>
        </w:rPr>
        <w:t xml:space="preserve"> </w:t>
      </w:r>
      <w:r w:rsidR="00483F88">
        <w:rPr>
          <w:rFonts w:ascii="Arial" w:hAnsi="Arial" w:cs="Arial"/>
          <w:sz w:val="20"/>
          <w:szCs w:val="20"/>
        </w:rPr>
        <w:t xml:space="preserve">642 </w:t>
      </w:r>
      <w:r w:rsidR="00483F88" w:rsidRPr="00012435">
        <w:rPr>
          <w:rFonts w:ascii="Arial" w:hAnsi="Arial" w:cs="Arial"/>
          <w:sz w:val="20"/>
          <w:szCs w:val="20"/>
        </w:rPr>
        <w:t xml:space="preserve">mio evrov </w:t>
      </w:r>
      <w:r w:rsidR="00054792">
        <w:rPr>
          <w:rFonts w:ascii="Arial" w:hAnsi="Arial" w:cs="Arial"/>
          <w:sz w:val="20"/>
          <w:szCs w:val="20"/>
        </w:rPr>
        <w:t>znaša</w:t>
      </w:r>
      <w:r w:rsidR="00483F88">
        <w:rPr>
          <w:rFonts w:ascii="Arial" w:hAnsi="Arial" w:cs="Arial"/>
          <w:sz w:val="20"/>
          <w:szCs w:val="20"/>
        </w:rPr>
        <w:t xml:space="preserve"> učinek olajšav, ki so upoštevane v letni odmeri dohodnine (brez splošne olajšave), </w:t>
      </w:r>
      <w:r w:rsidR="004B3A7C">
        <w:rPr>
          <w:rFonts w:ascii="Arial" w:hAnsi="Arial" w:cs="Arial"/>
          <w:sz w:val="20"/>
          <w:szCs w:val="20"/>
        </w:rPr>
        <w:t xml:space="preserve">učinek </w:t>
      </w:r>
      <w:r w:rsidR="00054792">
        <w:rPr>
          <w:rFonts w:ascii="Arial" w:hAnsi="Arial" w:cs="Arial"/>
          <w:sz w:val="20"/>
          <w:szCs w:val="20"/>
        </w:rPr>
        <w:t>drugih</w:t>
      </w:r>
      <w:r w:rsidRPr="00012435">
        <w:rPr>
          <w:rFonts w:ascii="Arial" w:hAnsi="Arial" w:cs="Arial"/>
          <w:sz w:val="20"/>
          <w:szCs w:val="20"/>
        </w:rPr>
        <w:t xml:space="preserve"> davčnih </w:t>
      </w:r>
      <w:r w:rsidR="00CE1525">
        <w:rPr>
          <w:rFonts w:ascii="Arial" w:hAnsi="Arial" w:cs="Arial"/>
          <w:sz w:val="20"/>
          <w:szCs w:val="20"/>
        </w:rPr>
        <w:t>izdatkov</w:t>
      </w:r>
      <w:r w:rsidR="00CE1525" w:rsidRPr="00012435">
        <w:rPr>
          <w:rFonts w:ascii="Arial" w:hAnsi="Arial" w:cs="Arial"/>
          <w:sz w:val="20"/>
          <w:szCs w:val="20"/>
        </w:rPr>
        <w:t xml:space="preserve"> </w:t>
      </w:r>
      <w:r w:rsidRPr="00012435">
        <w:rPr>
          <w:rFonts w:ascii="Arial" w:hAnsi="Arial" w:cs="Arial"/>
          <w:sz w:val="20"/>
          <w:szCs w:val="20"/>
        </w:rPr>
        <w:t xml:space="preserve">fizičnih oseb, ki niso </w:t>
      </w:r>
      <w:r w:rsidR="00483F88">
        <w:rPr>
          <w:rFonts w:ascii="Arial" w:hAnsi="Arial" w:cs="Arial"/>
          <w:sz w:val="20"/>
          <w:szCs w:val="20"/>
        </w:rPr>
        <w:t>zajeti v</w:t>
      </w:r>
      <w:r w:rsidRPr="00012435">
        <w:rPr>
          <w:rFonts w:ascii="Arial" w:hAnsi="Arial" w:cs="Arial"/>
          <w:sz w:val="20"/>
          <w:szCs w:val="20"/>
        </w:rPr>
        <w:t xml:space="preserve"> odmer</w:t>
      </w:r>
      <w:r w:rsidR="00483F88">
        <w:rPr>
          <w:rFonts w:ascii="Arial" w:hAnsi="Arial" w:cs="Arial"/>
          <w:sz w:val="20"/>
          <w:szCs w:val="20"/>
        </w:rPr>
        <w:t>i</w:t>
      </w:r>
      <w:r w:rsidRPr="00012435">
        <w:rPr>
          <w:rFonts w:ascii="Arial" w:hAnsi="Arial" w:cs="Arial"/>
          <w:sz w:val="20"/>
          <w:szCs w:val="20"/>
        </w:rPr>
        <w:t xml:space="preserve"> dohodnine</w:t>
      </w:r>
      <w:r w:rsidR="00254ED7">
        <w:rPr>
          <w:rFonts w:ascii="Arial" w:hAnsi="Arial" w:cs="Arial"/>
          <w:sz w:val="20"/>
          <w:szCs w:val="20"/>
        </w:rPr>
        <w:t>,</w:t>
      </w:r>
      <w:r w:rsidR="00A811AD">
        <w:rPr>
          <w:rFonts w:ascii="Arial" w:hAnsi="Arial" w:cs="Arial"/>
          <w:sz w:val="20"/>
          <w:szCs w:val="20"/>
        </w:rPr>
        <w:t xml:space="preserve"> </w:t>
      </w:r>
      <w:r w:rsidR="00A811AD" w:rsidRPr="00376196">
        <w:rPr>
          <w:rFonts w:ascii="Arial" w:hAnsi="Arial" w:cs="Arial"/>
          <w:sz w:val="20"/>
          <w:szCs w:val="20"/>
        </w:rPr>
        <w:t>pa</w:t>
      </w:r>
      <w:r w:rsidRPr="00012435">
        <w:rPr>
          <w:rFonts w:ascii="Arial" w:hAnsi="Arial" w:cs="Arial"/>
          <w:sz w:val="20"/>
          <w:szCs w:val="20"/>
        </w:rPr>
        <w:t xml:space="preserve"> </w:t>
      </w:r>
      <w:r w:rsidR="00483F88">
        <w:rPr>
          <w:rFonts w:ascii="Arial" w:hAnsi="Arial" w:cs="Arial"/>
          <w:sz w:val="20"/>
          <w:szCs w:val="20"/>
        </w:rPr>
        <w:t xml:space="preserve">je </w:t>
      </w:r>
      <w:r w:rsidR="00E90C22" w:rsidRPr="00376196">
        <w:rPr>
          <w:rFonts w:ascii="Arial" w:hAnsi="Arial" w:cs="Arial"/>
          <w:sz w:val="20"/>
          <w:szCs w:val="20"/>
        </w:rPr>
        <w:t>2</w:t>
      </w:r>
      <w:r w:rsidR="00376196" w:rsidRPr="00012435">
        <w:rPr>
          <w:rFonts w:ascii="Arial" w:hAnsi="Arial" w:cs="Arial"/>
          <w:sz w:val="20"/>
          <w:szCs w:val="20"/>
        </w:rPr>
        <w:t>90</w:t>
      </w:r>
      <w:r w:rsidR="00E90C22">
        <w:rPr>
          <w:rFonts w:ascii="Arial" w:hAnsi="Arial" w:cs="Arial"/>
          <w:sz w:val="20"/>
          <w:szCs w:val="20"/>
        </w:rPr>
        <w:t xml:space="preserve"> </w:t>
      </w:r>
      <w:r w:rsidRPr="00012435">
        <w:rPr>
          <w:rFonts w:ascii="Arial" w:hAnsi="Arial" w:cs="Arial"/>
          <w:sz w:val="20"/>
          <w:szCs w:val="20"/>
        </w:rPr>
        <w:t>mio evrov.</w:t>
      </w:r>
    </w:p>
    <w:p w14:paraId="589BA7EB" w14:textId="77777777" w:rsidR="00E4026D" w:rsidRPr="00012435" w:rsidRDefault="00E4026D" w:rsidP="00012435">
      <w:pPr>
        <w:spacing w:after="0" w:line="260" w:lineRule="atLeast"/>
        <w:jc w:val="both"/>
        <w:rPr>
          <w:rFonts w:ascii="Arial" w:hAnsi="Arial" w:cs="Arial"/>
          <w:sz w:val="20"/>
          <w:szCs w:val="20"/>
        </w:rPr>
      </w:pPr>
    </w:p>
    <w:p w14:paraId="6685CDE4" w14:textId="19AE9920" w:rsidR="00E4026D" w:rsidRPr="00012435" w:rsidRDefault="00CE1525" w:rsidP="00012435">
      <w:pPr>
        <w:pStyle w:val="Heading3"/>
        <w:spacing w:before="0" w:after="0"/>
        <w:rPr>
          <w:rFonts w:ascii="Arial" w:hAnsi="Arial" w:cs="Arial"/>
        </w:rPr>
      </w:pPr>
      <w:r w:rsidRPr="00012435">
        <w:rPr>
          <w:rFonts w:ascii="Arial" w:hAnsi="Arial" w:cs="Arial"/>
        </w:rPr>
        <w:t>1</w:t>
      </w:r>
      <w:r w:rsidR="00E4026D" w:rsidRPr="00012435">
        <w:rPr>
          <w:rFonts w:ascii="Arial" w:hAnsi="Arial" w:cs="Arial"/>
        </w:rPr>
        <w:t>.</w:t>
      </w:r>
      <w:r w:rsidR="00281839" w:rsidRPr="00012435">
        <w:rPr>
          <w:rFonts w:ascii="Arial" w:hAnsi="Arial" w:cs="Arial"/>
        </w:rPr>
        <w:t>2</w:t>
      </w:r>
      <w:r w:rsidR="00E4026D" w:rsidRPr="00012435">
        <w:rPr>
          <w:rFonts w:ascii="Arial" w:hAnsi="Arial" w:cs="Arial"/>
        </w:rPr>
        <w:t xml:space="preserve"> Dohodnina od dohodkov iz dejavnosti</w:t>
      </w:r>
    </w:p>
    <w:p w14:paraId="363896C5" w14:textId="77777777" w:rsidR="00E4026D" w:rsidRPr="00012435" w:rsidRDefault="00E4026D" w:rsidP="00012435">
      <w:pPr>
        <w:spacing w:after="0" w:line="260" w:lineRule="atLeast"/>
        <w:jc w:val="both"/>
        <w:rPr>
          <w:rFonts w:ascii="Arial" w:hAnsi="Arial" w:cs="Arial"/>
          <w:b/>
          <w:sz w:val="20"/>
          <w:szCs w:val="20"/>
        </w:rPr>
      </w:pPr>
    </w:p>
    <w:p w14:paraId="33FCCF78" w14:textId="75E323DA" w:rsidR="00E4026D" w:rsidRPr="00012435" w:rsidRDefault="00E4026D" w:rsidP="00012435">
      <w:pPr>
        <w:spacing w:after="0" w:line="260" w:lineRule="atLeast"/>
        <w:jc w:val="both"/>
        <w:rPr>
          <w:rFonts w:ascii="Arial" w:hAnsi="Arial" w:cs="Arial"/>
          <w:sz w:val="20"/>
          <w:szCs w:val="20"/>
        </w:rPr>
      </w:pPr>
      <w:r w:rsidRPr="00012435">
        <w:rPr>
          <w:rFonts w:ascii="Arial" w:hAnsi="Arial" w:cs="Arial"/>
          <w:sz w:val="20"/>
          <w:szCs w:val="20"/>
        </w:rPr>
        <w:t xml:space="preserve">V skladu z </w:t>
      </w:r>
      <w:r w:rsidR="00B32972">
        <w:rPr>
          <w:rFonts w:ascii="Arial" w:hAnsi="Arial" w:cs="Arial"/>
          <w:sz w:val="20"/>
          <w:szCs w:val="20"/>
        </w:rPr>
        <w:t>Z</w:t>
      </w:r>
      <w:r w:rsidR="00EA0A95">
        <w:rPr>
          <w:rFonts w:ascii="Arial" w:hAnsi="Arial" w:cs="Arial"/>
          <w:sz w:val="20"/>
          <w:szCs w:val="20"/>
        </w:rPr>
        <w:t>D</w:t>
      </w:r>
      <w:r w:rsidR="00B32972">
        <w:rPr>
          <w:rFonts w:ascii="Arial" w:hAnsi="Arial" w:cs="Arial"/>
          <w:sz w:val="20"/>
          <w:szCs w:val="20"/>
        </w:rPr>
        <w:t>oh-2</w:t>
      </w:r>
      <w:r w:rsidRPr="00012435">
        <w:rPr>
          <w:rFonts w:ascii="Arial" w:hAnsi="Arial" w:cs="Arial"/>
          <w:sz w:val="20"/>
          <w:szCs w:val="20"/>
        </w:rPr>
        <w:t xml:space="preserve"> se za dohodek iz dejavnosti šteje dohodek, dosežen z opravljanjem vsake podjetniške, kmetijske, gozdarske, poklicne ali druge neodvisne samostojne dejavnosti. Bistvena </w:t>
      </w:r>
      <w:r w:rsidR="00054792">
        <w:rPr>
          <w:rFonts w:ascii="Arial" w:hAnsi="Arial" w:cs="Arial"/>
          <w:sz w:val="20"/>
          <w:szCs w:val="20"/>
        </w:rPr>
        <w:t>dejavnika</w:t>
      </w:r>
      <w:r w:rsidRPr="00012435">
        <w:rPr>
          <w:rFonts w:ascii="Arial" w:hAnsi="Arial" w:cs="Arial"/>
          <w:sz w:val="20"/>
          <w:szCs w:val="20"/>
        </w:rPr>
        <w:t>, na katerih temelji opredelitev dohodka iz dejavnosti</w:t>
      </w:r>
      <w:r w:rsidR="004B3A7C">
        <w:rPr>
          <w:rFonts w:ascii="Arial" w:hAnsi="Arial" w:cs="Arial"/>
          <w:sz w:val="20"/>
          <w:szCs w:val="20"/>
        </w:rPr>
        <w:t>,</w:t>
      </w:r>
      <w:r w:rsidRPr="00012435">
        <w:rPr>
          <w:rFonts w:ascii="Arial" w:hAnsi="Arial" w:cs="Arial"/>
          <w:sz w:val="20"/>
          <w:szCs w:val="20"/>
        </w:rPr>
        <w:t xml:space="preserve"> sta, da se dejavnost opravlja trajno (o opravljanju dejavnosti ne moremo govoriti, </w:t>
      </w:r>
      <w:r w:rsidR="004D5A54">
        <w:rPr>
          <w:rFonts w:ascii="Arial" w:hAnsi="Arial" w:cs="Arial"/>
          <w:sz w:val="20"/>
          <w:szCs w:val="20"/>
        </w:rPr>
        <w:t>kadar</w:t>
      </w:r>
      <w:r w:rsidRPr="00012435">
        <w:rPr>
          <w:rFonts w:ascii="Arial" w:hAnsi="Arial" w:cs="Arial"/>
          <w:sz w:val="20"/>
          <w:szCs w:val="20"/>
        </w:rPr>
        <w:t xml:space="preserve"> gre za enkraten ali občasen posel) in neodvisno oziroma samostojno (zavezanci opravljajo dejavnost za svoj račun, v svojo korist, na svojo odgovornost ter za obveznosti iz opravljanje dejavnosti jamčijo z vsem svojim premoženjem).</w:t>
      </w:r>
    </w:p>
    <w:p w14:paraId="04B00883" w14:textId="77777777" w:rsidR="00E4026D" w:rsidRPr="00012435" w:rsidRDefault="00E4026D" w:rsidP="00012435">
      <w:pPr>
        <w:spacing w:after="0" w:line="260" w:lineRule="atLeast"/>
        <w:jc w:val="both"/>
        <w:rPr>
          <w:rFonts w:ascii="Arial" w:hAnsi="Arial" w:cs="Arial"/>
          <w:sz w:val="20"/>
          <w:szCs w:val="20"/>
        </w:rPr>
      </w:pPr>
    </w:p>
    <w:p w14:paraId="70433BDD" w14:textId="47E7979F" w:rsidR="00E4026D" w:rsidRPr="002921A9" w:rsidRDefault="00E4026D" w:rsidP="002921A9">
      <w:pPr>
        <w:spacing w:after="0" w:line="260" w:lineRule="atLeast"/>
        <w:jc w:val="both"/>
        <w:rPr>
          <w:rFonts w:ascii="Arial" w:hAnsi="Arial" w:cs="Arial"/>
          <w:sz w:val="20"/>
          <w:szCs w:val="20"/>
        </w:rPr>
      </w:pPr>
      <w:r w:rsidRPr="002921A9">
        <w:rPr>
          <w:rFonts w:ascii="Arial" w:hAnsi="Arial" w:cs="Arial"/>
          <w:sz w:val="20"/>
          <w:szCs w:val="20"/>
        </w:rPr>
        <w:t xml:space="preserve">Določanje davčne osnove in davčnih olajšav za fizične osebe, ki opravljajo dejavnost, je v ZDoh-2 v načelu vezano na rešitve v </w:t>
      </w:r>
      <w:r w:rsidR="00CE1525">
        <w:rPr>
          <w:rFonts w:ascii="Arial" w:hAnsi="Arial" w:cs="Arial"/>
          <w:sz w:val="20"/>
          <w:szCs w:val="20"/>
        </w:rPr>
        <w:t>Z</w:t>
      </w:r>
      <w:r w:rsidRPr="002921A9">
        <w:rPr>
          <w:rFonts w:ascii="Arial" w:hAnsi="Arial" w:cs="Arial"/>
          <w:sz w:val="20"/>
          <w:szCs w:val="20"/>
        </w:rPr>
        <w:t>akonu o davku od dohodkov pravnih oseb</w:t>
      </w:r>
      <w:r w:rsidR="00B32972">
        <w:rPr>
          <w:rFonts w:ascii="Arial" w:hAnsi="Arial" w:cs="Arial"/>
          <w:sz w:val="20"/>
          <w:szCs w:val="20"/>
        </w:rPr>
        <w:t xml:space="preserve"> </w:t>
      </w:r>
      <w:r w:rsidR="00B32972" w:rsidRPr="00901BB9">
        <w:rPr>
          <w:rFonts w:ascii="Arial" w:hAnsi="Arial" w:cs="Arial"/>
          <w:sz w:val="20"/>
          <w:szCs w:val="20"/>
        </w:rPr>
        <w:t xml:space="preserve">(Uradni list RS, št. 117/06, 56/08, 76/08, 5/09, 96/09, 110/09 – ZDavP-2B, 43/10, 59/11, 24/12, 30/12, 94/12, 81/13, 50/14, 23/15, 82/15, 68/16, 69/17, 79/18 in 66/19, v nadaljevanju: </w:t>
      </w:r>
      <w:r w:rsidR="00B32972">
        <w:rPr>
          <w:rFonts w:ascii="Arial" w:hAnsi="Arial" w:cs="Arial"/>
          <w:sz w:val="20"/>
          <w:szCs w:val="20"/>
        </w:rPr>
        <w:t>Z</w:t>
      </w:r>
      <w:r w:rsidR="00B32972" w:rsidRPr="00901BB9">
        <w:rPr>
          <w:rFonts w:ascii="Arial" w:hAnsi="Arial" w:cs="Arial"/>
          <w:sz w:val="20"/>
          <w:szCs w:val="20"/>
        </w:rPr>
        <w:t>DDPO)</w:t>
      </w:r>
      <w:r w:rsidRPr="002921A9">
        <w:rPr>
          <w:rFonts w:ascii="Arial" w:hAnsi="Arial" w:cs="Arial"/>
          <w:sz w:val="20"/>
          <w:szCs w:val="20"/>
        </w:rPr>
        <w:t>. Upoštevano je izhodišče, da je predmetna fizična oseba tudi gospodarski subjekt, ki opravlja gospodarsko dejavnost na trgu, in je z vidika enake obravnave gospodarskih subjektov primerno, da je z vidika davčne osnove in priznavanja davčnih olajšav, vezanih na dejavnost, izenačena z drugimi gospodarskimi subjekti, ki so pravne osebe, razen v segmenti</w:t>
      </w:r>
      <w:r w:rsidR="004B3A7C">
        <w:rPr>
          <w:rFonts w:ascii="Arial" w:hAnsi="Arial" w:cs="Arial"/>
          <w:sz w:val="20"/>
          <w:szCs w:val="20"/>
        </w:rPr>
        <w:t>h</w:t>
      </w:r>
      <w:r w:rsidRPr="002921A9">
        <w:rPr>
          <w:rFonts w:ascii="Arial" w:hAnsi="Arial" w:cs="Arial"/>
          <w:sz w:val="20"/>
          <w:szCs w:val="20"/>
        </w:rPr>
        <w:t>, ko to ni mogoče zaradi razlik, ki izhajajo iz statusa fizične osebe. Veljavne davčne olajšave za fizične osebe, ki opravljajo dejavnost, so tako po vsebini in velikosti izenačene z davčnimi olajšavami za pravne osebe.</w:t>
      </w:r>
    </w:p>
    <w:p w14:paraId="5E5C88EA" w14:textId="77777777" w:rsidR="00E4026D" w:rsidRPr="002921A9" w:rsidRDefault="00E4026D" w:rsidP="002921A9">
      <w:pPr>
        <w:spacing w:after="0" w:line="260" w:lineRule="atLeast"/>
        <w:jc w:val="both"/>
        <w:rPr>
          <w:rFonts w:ascii="Arial" w:hAnsi="Arial" w:cs="Arial"/>
          <w:sz w:val="20"/>
          <w:szCs w:val="20"/>
        </w:rPr>
      </w:pPr>
    </w:p>
    <w:p w14:paraId="1EFD6E20" w14:textId="77777777" w:rsidR="00E4026D" w:rsidRPr="002921A9" w:rsidRDefault="00E4026D" w:rsidP="002921A9">
      <w:pPr>
        <w:spacing w:after="0" w:line="260" w:lineRule="atLeast"/>
        <w:jc w:val="both"/>
        <w:rPr>
          <w:rFonts w:ascii="Arial" w:hAnsi="Arial" w:cs="Arial"/>
          <w:sz w:val="20"/>
          <w:szCs w:val="20"/>
        </w:rPr>
      </w:pPr>
      <w:r w:rsidRPr="002921A9">
        <w:rPr>
          <w:rFonts w:ascii="Arial" w:hAnsi="Arial" w:cs="Arial"/>
          <w:sz w:val="20"/>
          <w:szCs w:val="20"/>
        </w:rPr>
        <w:t>Tako lahko v skladu z določbami ZDoh-2 zavezanci uveljavljajo davčne olajšave, ki zavezancu zmanjšujejo davčno osnovo, in sicer lahko zavezanec zmanjša svojo davčno obveznost z uveljavljanjem olajšav:</w:t>
      </w:r>
    </w:p>
    <w:p w14:paraId="7B76716D" w14:textId="70F5134B"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investiranje</w:t>
      </w:r>
      <w:r w:rsidR="002E3C47">
        <w:rPr>
          <w:rFonts w:ascii="Arial" w:hAnsi="Arial" w:cs="Arial"/>
          <w:sz w:val="20"/>
          <w:szCs w:val="20"/>
        </w:rPr>
        <w:t>;</w:t>
      </w:r>
    </w:p>
    <w:p w14:paraId="09EA5E75" w14:textId="239ACCC0"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vlaganja v raziskave in razvoj</w:t>
      </w:r>
      <w:r w:rsidR="002E3C47">
        <w:rPr>
          <w:rFonts w:ascii="Arial" w:hAnsi="Arial" w:cs="Arial"/>
          <w:sz w:val="20"/>
          <w:szCs w:val="20"/>
        </w:rPr>
        <w:t>;</w:t>
      </w:r>
      <w:r w:rsidRPr="002921A9">
        <w:rPr>
          <w:rFonts w:ascii="Arial" w:hAnsi="Arial" w:cs="Arial"/>
          <w:sz w:val="20"/>
          <w:szCs w:val="20"/>
        </w:rPr>
        <w:t xml:space="preserve"> </w:t>
      </w:r>
    </w:p>
    <w:p w14:paraId="0E0FFAE3" w14:textId="23A2A6F6" w:rsidR="00F275E3"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zaposlovanje</w:t>
      </w:r>
      <w:r w:rsidR="002E3C47">
        <w:rPr>
          <w:rFonts w:ascii="Arial" w:hAnsi="Arial" w:cs="Arial"/>
          <w:sz w:val="20"/>
          <w:szCs w:val="20"/>
        </w:rPr>
        <w:t>;</w:t>
      </w:r>
    </w:p>
    <w:p w14:paraId="7F366BB7" w14:textId="57F12CD4" w:rsidR="00E4026D" w:rsidRPr="002921A9" w:rsidRDefault="00F275E3" w:rsidP="002921A9">
      <w:pPr>
        <w:pStyle w:val="ListParagraph"/>
        <w:numPr>
          <w:ilvl w:val="0"/>
          <w:numId w:val="55"/>
        </w:numPr>
        <w:spacing w:line="260" w:lineRule="atLeast"/>
        <w:contextualSpacing/>
        <w:jc w:val="both"/>
        <w:rPr>
          <w:rFonts w:ascii="Arial" w:hAnsi="Arial" w:cs="Arial"/>
          <w:sz w:val="20"/>
          <w:szCs w:val="20"/>
        </w:rPr>
      </w:pPr>
      <w:r>
        <w:rPr>
          <w:rFonts w:ascii="Arial" w:hAnsi="Arial" w:cs="Arial"/>
          <w:sz w:val="20"/>
          <w:szCs w:val="20"/>
        </w:rPr>
        <w:t>za zaposlovanje invalidov</w:t>
      </w:r>
      <w:r w:rsidR="002E3C47">
        <w:rPr>
          <w:rFonts w:ascii="Arial" w:hAnsi="Arial" w:cs="Arial"/>
          <w:sz w:val="20"/>
          <w:szCs w:val="20"/>
        </w:rPr>
        <w:t>;</w:t>
      </w:r>
      <w:r w:rsidR="00E4026D" w:rsidRPr="002921A9">
        <w:rPr>
          <w:rFonts w:ascii="Arial" w:hAnsi="Arial" w:cs="Arial"/>
          <w:sz w:val="20"/>
          <w:szCs w:val="20"/>
        </w:rPr>
        <w:t xml:space="preserve"> </w:t>
      </w:r>
    </w:p>
    <w:p w14:paraId="65CF5B0B" w14:textId="0DE5B96F"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zavezanca invalida</w:t>
      </w:r>
      <w:r w:rsidR="002E3C47">
        <w:rPr>
          <w:rFonts w:ascii="Arial" w:hAnsi="Arial" w:cs="Arial"/>
          <w:sz w:val="20"/>
          <w:szCs w:val="20"/>
        </w:rPr>
        <w:t>;</w:t>
      </w:r>
      <w:r w:rsidRPr="002921A9">
        <w:rPr>
          <w:rFonts w:ascii="Arial" w:hAnsi="Arial" w:cs="Arial"/>
          <w:sz w:val="20"/>
          <w:szCs w:val="20"/>
        </w:rPr>
        <w:t xml:space="preserve"> </w:t>
      </w:r>
    </w:p>
    <w:p w14:paraId="5EE48FBC" w14:textId="4CF2137F"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izvajanje praktičnega dela v strokovnem izobraževanju</w:t>
      </w:r>
      <w:r w:rsidR="002E3C47">
        <w:rPr>
          <w:rFonts w:ascii="Arial" w:hAnsi="Arial" w:cs="Arial"/>
          <w:sz w:val="20"/>
          <w:szCs w:val="20"/>
        </w:rPr>
        <w:t>;</w:t>
      </w:r>
      <w:r w:rsidRPr="002921A9">
        <w:rPr>
          <w:rFonts w:ascii="Arial" w:hAnsi="Arial" w:cs="Arial"/>
          <w:sz w:val="20"/>
          <w:szCs w:val="20"/>
        </w:rPr>
        <w:t xml:space="preserve"> </w:t>
      </w:r>
    </w:p>
    <w:p w14:paraId="30832C3F" w14:textId="4A6FE512" w:rsidR="00091251"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prostovoljno dodatno pokojninsko zavarovanje</w:t>
      </w:r>
      <w:r w:rsidR="002E3C47">
        <w:rPr>
          <w:rFonts w:ascii="Arial" w:hAnsi="Arial" w:cs="Arial"/>
          <w:sz w:val="20"/>
          <w:szCs w:val="20"/>
        </w:rPr>
        <w:t>;</w:t>
      </w:r>
    </w:p>
    <w:p w14:paraId="54EA235C" w14:textId="68F88AE7" w:rsidR="00F275E3"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donacije</w:t>
      </w:r>
      <w:r w:rsidR="00F275E3">
        <w:rPr>
          <w:rFonts w:ascii="Arial" w:hAnsi="Arial" w:cs="Arial"/>
          <w:sz w:val="20"/>
          <w:szCs w:val="20"/>
        </w:rPr>
        <w:t xml:space="preserve"> in izplačila političnim strankam</w:t>
      </w:r>
      <w:r w:rsidR="002E3C47">
        <w:rPr>
          <w:rFonts w:ascii="Arial" w:hAnsi="Arial" w:cs="Arial"/>
          <w:sz w:val="20"/>
          <w:szCs w:val="20"/>
        </w:rPr>
        <w:t>;</w:t>
      </w:r>
    </w:p>
    <w:p w14:paraId="016AF7DE" w14:textId="053483E1" w:rsidR="00E4026D" w:rsidRPr="002921A9" w:rsidRDefault="00F275E3" w:rsidP="002921A9">
      <w:pPr>
        <w:pStyle w:val="ListParagraph"/>
        <w:numPr>
          <w:ilvl w:val="0"/>
          <w:numId w:val="55"/>
        </w:numPr>
        <w:spacing w:line="260" w:lineRule="atLeast"/>
        <w:contextualSpacing/>
        <w:jc w:val="both"/>
        <w:rPr>
          <w:rFonts w:ascii="Arial" w:hAnsi="Arial" w:cs="Arial"/>
          <w:sz w:val="20"/>
          <w:szCs w:val="20"/>
        </w:rPr>
      </w:pPr>
      <w:r>
        <w:rPr>
          <w:rFonts w:ascii="Arial" w:hAnsi="Arial" w:cs="Arial"/>
          <w:sz w:val="20"/>
          <w:szCs w:val="20"/>
        </w:rPr>
        <w:t>posebna osebna olajšava za zavezanca, ki samostojno opravlja specializiran</w:t>
      </w:r>
      <w:r w:rsidR="00054792">
        <w:rPr>
          <w:rFonts w:ascii="Arial" w:hAnsi="Arial" w:cs="Arial"/>
          <w:sz w:val="20"/>
          <w:szCs w:val="20"/>
        </w:rPr>
        <w:t>i</w:t>
      </w:r>
      <w:r>
        <w:rPr>
          <w:rFonts w:ascii="Arial" w:hAnsi="Arial" w:cs="Arial"/>
          <w:sz w:val="20"/>
          <w:szCs w:val="20"/>
        </w:rPr>
        <w:t xml:space="preserve"> poklic na področju kulturne dejavnosti, novinarski poklic </w:t>
      </w:r>
      <w:r w:rsidR="00390A2A">
        <w:rPr>
          <w:rFonts w:ascii="Arial" w:hAnsi="Arial" w:cs="Arial"/>
          <w:sz w:val="20"/>
          <w:szCs w:val="20"/>
        </w:rPr>
        <w:t>oziroma</w:t>
      </w:r>
      <w:r>
        <w:rPr>
          <w:rFonts w:ascii="Arial" w:hAnsi="Arial" w:cs="Arial"/>
          <w:sz w:val="20"/>
          <w:szCs w:val="20"/>
        </w:rPr>
        <w:t xml:space="preserve"> poklic samostojnega športnika</w:t>
      </w:r>
      <w:r w:rsidR="00054792">
        <w:rPr>
          <w:rFonts w:ascii="Arial" w:hAnsi="Arial" w:cs="Arial"/>
          <w:sz w:val="20"/>
          <w:szCs w:val="20"/>
        </w:rPr>
        <w:t>,</w:t>
      </w:r>
      <w:r w:rsidR="00423215">
        <w:rPr>
          <w:rFonts w:ascii="Arial" w:hAnsi="Arial" w:cs="Arial"/>
          <w:sz w:val="20"/>
          <w:szCs w:val="20"/>
        </w:rPr>
        <w:t xml:space="preserve"> ter</w:t>
      </w:r>
      <w:r w:rsidR="00E4026D" w:rsidRPr="002921A9">
        <w:rPr>
          <w:rFonts w:ascii="Arial" w:hAnsi="Arial" w:cs="Arial"/>
          <w:sz w:val="20"/>
          <w:szCs w:val="20"/>
        </w:rPr>
        <w:t xml:space="preserve"> </w:t>
      </w:r>
    </w:p>
    <w:p w14:paraId="7FB3A795" w14:textId="33D7EA9F"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lastRenderedPageBreak/>
        <w:t xml:space="preserve"> </w:t>
      </w:r>
    </w:p>
    <w:p w14:paraId="2A30F837" w14:textId="46EBE23A" w:rsidR="00E4026D" w:rsidRPr="002921A9" w:rsidRDefault="00E4026D" w:rsidP="002921A9">
      <w:pPr>
        <w:pStyle w:val="ListParagraph"/>
        <w:numPr>
          <w:ilvl w:val="0"/>
          <w:numId w:val="55"/>
        </w:numPr>
        <w:spacing w:line="260" w:lineRule="atLeast"/>
        <w:contextualSpacing/>
        <w:jc w:val="both"/>
        <w:rPr>
          <w:rFonts w:ascii="Arial" w:hAnsi="Arial" w:cs="Arial"/>
          <w:sz w:val="20"/>
          <w:szCs w:val="20"/>
        </w:rPr>
      </w:pPr>
      <w:r w:rsidRPr="002921A9">
        <w:rPr>
          <w:rFonts w:ascii="Arial" w:hAnsi="Arial" w:cs="Arial"/>
          <w:sz w:val="20"/>
          <w:szCs w:val="20"/>
        </w:rPr>
        <w:t>za zaposlovanje in investiranje za problemska območja z visoko brezposelnostjo</w:t>
      </w:r>
      <w:r w:rsidR="00962FA9">
        <w:rPr>
          <w:rFonts w:ascii="Arial" w:hAnsi="Arial" w:cs="Arial"/>
          <w:sz w:val="20"/>
          <w:szCs w:val="20"/>
        </w:rPr>
        <w:t xml:space="preserve"> </w:t>
      </w:r>
      <w:r w:rsidR="00962FA9" w:rsidRPr="006E03D8">
        <w:rPr>
          <w:rFonts w:ascii="Arial" w:hAnsi="Arial" w:cs="Arial"/>
          <w:sz w:val="20"/>
          <w:szCs w:val="20"/>
        </w:rPr>
        <w:t>v skladu z Zakonom o razvojni podpori pomurski regiji v obdobju 2010</w:t>
      </w:r>
      <w:r w:rsidR="00054792">
        <w:rPr>
          <w:rFonts w:ascii="Arial" w:hAnsi="Arial" w:cs="Arial"/>
          <w:sz w:val="20"/>
          <w:szCs w:val="20"/>
        </w:rPr>
        <w:t>–</w:t>
      </w:r>
      <w:r w:rsidR="00962FA9" w:rsidRPr="006E03D8">
        <w:rPr>
          <w:rFonts w:ascii="Arial" w:hAnsi="Arial" w:cs="Arial"/>
          <w:sz w:val="20"/>
          <w:szCs w:val="20"/>
        </w:rPr>
        <w:t xml:space="preserve">2015 </w:t>
      </w:r>
      <w:r w:rsidR="00054792">
        <w:rPr>
          <w:rFonts w:ascii="Arial" w:hAnsi="Arial" w:cs="Arial"/>
          <w:sz w:val="20"/>
          <w:szCs w:val="20"/>
        </w:rPr>
        <w:t>(</w:t>
      </w:r>
      <w:r w:rsidR="00EA0A95">
        <w:rPr>
          <w:rFonts w:ascii="Arial" w:hAnsi="Arial" w:cs="Arial"/>
          <w:sz w:val="20"/>
          <w:szCs w:val="20"/>
        </w:rPr>
        <w:t xml:space="preserve">v nadaljevanju: </w:t>
      </w:r>
      <w:r w:rsidR="00962FA9" w:rsidRPr="006E03D8">
        <w:rPr>
          <w:rFonts w:ascii="Arial" w:hAnsi="Arial" w:cs="Arial"/>
          <w:sz w:val="20"/>
          <w:szCs w:val="20"/>
        </w:rPr>
        <w:t>ZRPPR1015</w:t>
      </w:r>
      <w:r w:rsidR="00054792">
        <w:rPr>
          <w:rFonts w:ascii="Arial" w:hAnsi="Arial" w:cs="Arial"/>
          <w:sz w:val="20"/>
          <w:szCs w:val="20"/>
        </w:rPr>
        <w:t>)</w:t>
      </w:r>
      <w:r w:rsidR="00962FA9" w:rsidRPr="006E03D8">
        <w:rPr>
          <w:rFonts w:ascii="Arial" w:hAnsi="Arial" w:cs="Arial"/>
          <w:sz w:val="20"/>
          <w:szCs w:val="20"/>
        </w:rPr>
        <w:t xml:space="preserve"> </w:t>
      </w:r>
      <w:r w:rsidR="00390A2A">
        <w:rPr>
          <w:rFonts w:ascii="Arial" w:hAnsi="Arial" w:cs="Arial"/>
          <w:sz w:val="20"/>
          <w:szCs w:val="20"/>
        </w:rPr>
        <w:t>oziroma</w:t>
      </w:r>
      <w:r w:rsidR="00962FA9" w:rsidRPr="006E03D8">
        <w:rPr>
          <w:rFonts w:ascii="Arial" w:hAnsi="Arial" w:cs="Arial"/>
          <w:sz w:val="20"/>
          <w:szCs w:val="20"/>
        </w:rPr>
        <w:t xml:space="preserve"> </w:t>
      </w:r>
      <w:r w:rsidR="00054792">
        <w:rPr>
          <w:rFonts w:ascii="Arial" w:hAnsi="Arial" w:cs="Arial"/>
          <w:sz w:val="20"/>
          <w:szCs w:val="20"/>
        </w:rPr>
        <w:t xml:space="preserve">z </w:t>
      </w:r>
      <w:r w:rsidR="00962FA9" w:rsidRPr="006E03D8">
        <w:rPr>
          <w:rFonts w:ascii="Arial" w:hAnsi="Arial" w:cs="Arial"/>
          <w:sz w:val="20"/>
          <w:szCs w:val="20"/>
        </w:rPr>
        <w:t xml:space="preserve">Zakonom o spodbujanju skladnega regionalnega razvoja </w:t>
      </w:r>
      <w:r w:rsidR="00054792">
        <w:rPr>
          <w:rFonts w:ascii="Arial" w:hAnsi="Arial" w:cs="Arial"/>
          <w:sz w:val="20"/>
          <w:szCs w:val="20"/>
        </w:rPr>
        <w:t>(</w:t>
      </w:r>
      <w:r w:rsidR="00EA0A95">
        <w:rPr>
          <w:rFonts w:ascii="Arial" w:hAnsi="Arial" w:cs="Arial"/>
          <w:sz w:val="20"/>
          <w:szCs w:val="20"/>
        </w:rPr>
        <w:t xml:space="preserve">v nadaljevanju: </w:t>
      </w:r>
      <w:r w:rsidR="00962FA9" w:rsidRPr="006E03D8">
        <w:rPr>
          <w:rFonts w:ascii="Arial" w:hAnsi="Arial" w:cs="Arial"/>
          <w:sz w:val="20"/>
          <w:szCs w:val="20"/>
        </w:rPr>
        <w:t>ZSRR-2)</w:t>
      </w:r>
      <w:r w:rsidRPr="002921A9">
        <w:rPr>
          <w:rFonts w:ascii="Arial" w:hAnsi="Arial" w:cs="Arial"/>
          <w:sz w:val="20"/>
          <w:szCs w:val="20"/>
        </w:rPr>
        <w:t>.</w:t>
      </w:r>
    </w:p>
    <w:p w14:paraId="33AF2960" w14:textId="77777777" w:rsidR="00E4026D" w:rsidRPr="002921A9" w:rsidRDefault="00E4026D" w:rsidP="002921A9">
      <w:pPr>
        <w:spacing w:after="0" w:line="260" w:lineRule="atLeast"/>
        <w:jc w:val="both"/>
        <w:rPr>
          <w:rFonts w:ascii="Arial" w:hAnsi="Arial" w:cs="Arial"/>
          <w:sz w:val="20"/>
          <w:szCs w:val="20"/>
        </w:rPr>
      </w:pPr>
    </w:p>
    <w:p w14:paraId="61D32815" w14:textId="4323B295" w:rsidR="00E4026D" w:rsidRPr="00012435" w:rsidRDefault="00423215" w:rsidP="002921A9">
      <w:pPr>
        <w:spacing w:after="0" w:line="260" w:lineRule="atLeast"/>
        <w:jc w:val="both"/>
        <w:rPr>
          <w:rFonts w:ascii="Arial" w:hAnsi="Arial" w:cs="Arial"/>
          <w:sz w:val="20"/>
          <w:szCs w:val="20"/>
        </w:rPr>
      </w:pPr>
      <w:r w:rsidRPr="006E03D8">
        <w:rPr>
          <w:rFonts w:ascii="Arial" w:hAnsi="Arial" w:cs="Arial"/>
          <w:sz w:val="20"/>
          <w:szCs w:val="20"/>
        </w:rPr>
        <w:t>Poleg n</w:t>
      </w:r>
      <w:r w:rsidR="005F5D8F">
        <w:rPr>
          <w:rFonts w:ascii="Arial" w:hAnsi="Arial" w:cs="Arial"/>
          <w:sz w:val="20"/>
          <w:szCs w:val="20"/>
        </w:rPr>
        <w:t>avedenega</w:t>
      </w:r>
      <w:r w:rsidRPr="006E03D8">
        <w:rPr>
          <w:rFonts w:ascii="Arial" w:hAnsi="Arial" w:cs="Arial"/>
          <w:sz w:val="20"/>
          <w:szCs w:val="20"/>
        </w:rPr>
        <w:t xml:space="preserve"> lahko zavezanci zmanjšujejo svojo davčno osnovo </w:t>
      </w:r>
      <w:r>
        <w:rPr>
          <w:rFonts w:ascii="Arial" w:hAnsi="Arial" w:cs="Arial"/>
          <w:sz w:val="20"/>
          <w:szCs w:val="20"/>
        </w:rPr>
        <w:t xml:space="preserve">tudi </w:t>
      </w:r>
      <w:r w:rsidRPr="006E03D8">
        <w:rPr>
          <w:rFonts w:ascii="Arial" w:hAnsi="Arial" w:cs="Arial"/>
          <w:sz w:val="20"/>
          <w:szCs w:val="20"/>
        </w:rPr>
        <w:t>zaradi pokrivanja davčne izgube, kar p</w:t>
      </w:r>
      <w:r w:rsidR="005F5D8F">
        <w:rPr>
          <w:rFonts w:ascii="Arial" w:hAnsi="Arial" w:cs="Arial"/>
          <w:sz w:val="20"/>
          <w:szCs w:val="20"/>
        </w:rPr>
        <w:t>omeni</w:t>
      </w:r>
      <w:r w:rsidRPr="006E03D8">
        <w:rPr>
          <w:rFonts w:ascii="Arial" w:hAnsi="Arial" w:cs="Arial"/>
          <w:sz w:val="20"/>
          <w:szCs w:val="20"/>
        </w:rPr>
        <w:t xml:space="preserve"> ugodnost, ki jo </w:t>
      </w:r>
      <w:r w:rsidR="005F5D8F">
        <w:rPr>
          <w:rFonts w:ascii="Arial" w:hAnsi="Arial" w:cs="Arial"/>
          <w:sz w:val="20"/>
          <w:szCs w:val="20"/>
        </w:rPr>
        <w:t>prav tako</w:t>
      </w:r>
      <w:r w:rsidRPr="006E03D8">
        <w:rPr>
          <w:rFonts w:ascii="Arial" w:hAnsi="Arial" w:cs="Arial"/>
          <w:sz w:val="20"/>
          <w:szCs w:val="20"/>
        </w:rPr>
        <w:t xml:space="preserve"> lahko štejemo za obliko davčnega </w:t>
      </w:r>
      <w:r>
        <w:rPr>
          <w:rFonts w:ascii="Arial" w:hAnsi="Arial" w:cs="Arial"/>
          <w:sz w:val="20"/>
          <w:szCs w:val="20"/>
        </w:rPr>
        <w:t>izdatka</w:t>
      </w:r>
      <w:r w:rsidRPr="006E03D8">
        <w:rPr>
          <w:rFonts w:ascii="Arial" w:hAnsi="Arial" w:cs="Arial"/>
          <w:sz w:val="20"/>
          <w:szCs w:val="20"/>
        </w:rPr>
        <w:t xml:space="preserve">. </w:t>
      </w:r>
      <w:r w:rsidR="00E4026D" w:rsidRPr="002921A9">
        <w:rPr>
          <w:rFonts w:ascii="Arial" w:hAnsi="Arial" w:cs="Arial"/>
          <w:sz w:val="20"/>
          <w:szCs w:val="20"/>
        </w:rPr>
        <w:t xml:space="preserve">Kot davčni </w:t>
      </w:r>
      <w:r w:rsidR="00CE1525">
        <w:rPr>
          <w:rFonts w:ascii="Arial" w:hAnsi="Arial" w:cs="Arial"/>
          <w:sz w:val="20"/>
          <w:szCs w:val="20"/>
        </w:rPr>
        <w:t>izdatek</w:t>
      </w:r>
      <w:r w:rsidR="00CE1525" w:rsidRPr="002921A9">
        <w:rPr>
          <w:rFonts w:ascii="Arial" w:hAnsi="Arial" w:cs="Arial"/>
          <w:sz w:val="20"/>
          <w:szCs w:val="20"/>
        </w:rPr>
        <w:t xml:space="preserve"> </w:t>
      </w:r>
      <w:r w:rsidR="00E4026D" w:rsidRPr="002921A9">
        <w:rPr>
          <w:rFonts w:ascii="Arial" w:hAnsi="Arial" w:cs="Arial"/>
          <w:sz w:val="20"/>
          <w:szCs w:val="20"/>
        </w:rPr>
        <w:t>lahko štejemo tudi ugodnost, ki omogoča zavezancem, da svojo davčno osnovo ugotavljajo na</w:t>
      </w:r>
      <w:r w:rsidR="005F5D8F">
        <w:rPr>
          <w:rFonts w:ascii="Arial" w:hAnsi="Arial" w:cs="Arial"/>
          <w:sz w:val="20"/>
          <w:szCs w:val="20"/>
        </w:rPr>
        <w:t xml:space="preserve"> podlagi</w:t>
      </w:r>
      <w:r w:rsidR="00E4026D" w:rsidRPr="002921A9">
        <w:rPr>
          <w:rFonts w:ascii="Arial" w:hAnsi="Arial" w:cs="Arial"/>
          <w:sz w:val="20"/>
          <w:szCs w:val="20"/>
        </w:rPr>
        <w:t xml:space="preserve"> dejanskih prihodkov in normiranih odhodkov (v nadaljevanju bomo to skupino zavezancev označili kot »normiranci«). To je še posebej ugodno za zavezance, ki imajo dejanske odhodke </w:t>
      </w:r>
      <w:r w:rsidR="005F5D8F">
        <w:rPr>
          <w:rFonts w:ascii="Arial" w:hAnsi="Arial" w:cs="Arial"/>
          <w:sz w:val="20"/>
          <w:szCs w:val="20"/>
        </w:rPr>
        <w:t>precej</w:t>
      </w:r>
      <w:r w:rsidR="00E4026D" w:rsidRPr="002921A9">
        <w:rPr>
          <w:rFonts w:ascii="Arial" w:hAnsi="Arial" w:cs="Arial"/>
          <w:sz w:val="20"/>
          <w:szCs w:val="20"/>
        </w:rPr>
        <w:t xml:space="preserve"> nižje od 80 % prihodkov, kar je pogosto v delovno intenzivnih panogah. Ker zavezancem za davčne namene ni treb</w:t>
      </w:r>
      <w:r w:rsidR="005F5D8F">
        <w:rPr>
          <w:rFonts w:ascii="Arial" w:hAnsi="Arial" w:cs="Arial"/>
          <w:sz w:val="20"/>
          <w:szCs w:val="20"/>
        </w:rPr>
        <w:t>a</w:t>
      </w:r>
      <w:r w:rsidR="00E4026D" w:rsidRPr="002921A9">
        <w:rPr>
          <w:rFonts w:ascii="Arial" w:hAnsi="Arial" w:cs="Arial"/>
          <w:sz w:val="20"/>
          <w:szCs w:val="20"/>
        </w:rPr>
        <w:t xml:space="preserve"> poročati o dejanskih odhodkih, ocena velikosti tega </w:t>
      </w:r>
      <w:r w:rsidR="00CE1525">
        <w:rPr>
          <w:rFonts w:ascii="Arial" w:hAnsi="Arial" w:cs="Arial"/>
          <w:sz w:val="20"/>
          <w:szCs w:val="20"/>
        </w:rPr>
        <w:t>izdatka</w:t>
      </w:r>
      <w:r w:rsidR="00CE1525" w:rsidRPr="002921A9">
        <w:rPr>
          <w:rFonts w:ascii="Arial" w:hAnsi="Arial" w:cs="Arial"/>
          <w:sz w:val="20"/>
          <w:szCs w:val="20"/>
        </w:rPr>
        <w:t xml:space="preserve"> </w:t>
      </w:r>
      <w:r w:rsidR="00E4026D" w:rsidRPr="002921A9">
        <w:rPr>
          <w:rFonts w:ascii="Arial" w:hAnsi="Arial" w:cs="Arial"/>
          <w:sz w:val="20"/>
          <w:szCs w:val="20"/>
        </w:rPr>
        <w:t xml:space="preserve">ni mogoča. </w:t>
      </w:r>
    </w:p>
    <w:p w14:paraId="5C684943" w14:textId="77777777" w:rsidR="00E4026D" w:rsidRPr="00012435" w:rsidRDefault="00E4026D" w:rsidP="00012435">
      <w:pPr>
        <w:spacing w:after="0" w:line="260" w:lineRule="atLeast"/>
        <w:jc w:val="both"/>
        <w:rPr>
          <w:rFonts w:ascii="Arial" w:hAnsi="Arial" w:cs="Arial"/>
          <w:sz w:val="20"/>
          <w:szCs w:val="20"/>
        </w:rPr>
      </w:pPr>
    </w:p>
    <w:p w14:paraId="27CF7D90" w14:textId="0F48E62E" w:rsidR="00E4026D" w:rsidRDefault="009B0B27" w:rsidP="00012435">
      <w:pPr>
        <w:pStyle w:val="NoSpacing"/>
        <w:spacing w:line="260" w:lineRule="atLeast"/>
        <w:jc w:val="both"/>
        <w:rPr>
          <w:sz w:val="20"/>
          <w:szCs w:val="20"/>
        </w:rPr>
      </w:pPr>
      <w:r>
        <w:rPr>
          <w:rFonts w:ascii="Arial" w:hAnsi="Arial" w:cs="Arial"/>
          <w:sz w:val="20"/>
          <w:szCs w:val="20"/>
        </w:rPr>
        <w:t>Preglednica</w:t>
      </w:r>
      <w:r w:rsidR="00E4026D" w:rsidRPr="00012435">
        <w:rPr>
          <w:rFonts w:ascii="Arial" w:hAnsi="Arial" w:cs="Arial"/>
          <w:sz w:val="20"/>
          <w:szCs w:val="20"/>
        </w:rPr>
        <w:t xml:space="preserve"> </w:t>
      </w:r>
      <w:r w:rsidR="00091D42">
        <w:rPr>
          <w:rFonts w:ascii="Arial" w:hAnsi="Arial" w:cs="Arial"/>
          <w:sz w:val="20"/>
          <w:szCs w:val="20"/>
        </w:rPr>
        <w:t>5</w:t>
      </w:r>
      <w:r w:rsidR="00E4026D" w:rsidRPr="00012435">
        <w:rPr>
          <w:rFonts w:ascii="Arial" w:hAnsi="Arial" w:cs="Arial"/>
          <w:sz w:val="20"/>
          <w:szCs w:val="20"/>
        </w:rPr>
        <w:t>: Osnovni obračunski podatki dohodnine od dohodka iz dejavnosti</w:t>
      </w:r>
      <w:r w:rsidR="00A474C9">
        <w:rPr>
          <w:rFonts w:ascii="Arial" w:hAnsi="Arial" w:cs="Arial"/>
          <w:sz w:val="20"/>
          <w:szCs w:val="20"/>
        </w:rPr>
        <w:t xml:space="preserve"> za leta od 2016 do 2018</w:t>
      </w:r>
      <w:r w:rsidR="00E4026D" w:rsidRPr="00012435">
        <w:rPr>
          <w:rFonts w:ascii="Arial" w:hAnsi="Arial" w:cs="Arial"/>
          <w:sz w:val="20"/>
          <w:szCs w:val="20"/>
        </w:rPr>
        <w:t>, zneski v mio evr</w:t>
      </w:r>
      <w:r w:rsidR="005F5D8F">
        <w:rPr>
          <w:rFonts w:ascii="Arial" w:hAnsi="Arial" w:cs="Arial"/>
          <w:sz w:val="20"/>
          <w:szCs w:val="20"/>
        </w:rPr>
        <w:t>ov</w:t>
      </w:r>
    </w:p>
    <w:p w14:paraId="66A90CED" w14:textId="52DD1274" w:rsidR="00617C3E" w:rsidRDefault="00617C3E" w:rsidP="00E4026D">
      <w:pPr>
        <w:pStyle w:val="NoSpacing"/>
        <w:rPr>
          <w:sz w:val="20"/>
          <w:szCs w:val="20"/>
        </w:rPr>
      </w:pPr>
    </w:p>
    <w:tbl>
      <w:tblPr>
        <w:tblW w:w="9740" w:type="dxa"/>
        <w:tblCellMar>
          <w:left w:w="70" w:type="dxa"/>
          <w:right w:w="70" w:type="dxa"/>
        </w:tblCellMar>
        <w:tblLook w:val="04A0" w:firstRow="1" w:lastRow="0" w:firstColumn="1" w:lastColumn="0" w:noHBand="0" w:noVBand="1"/>
      </w:tblPr>
      <w:tblGrid>
        <w:gridCol w:w="3500"/>
        <w:gridCol w:w="1040"/>
        <w:gridCol w:w="1040"/>
        <w:gridCol w:w="1040"/>
        <w:gridCol w:w="1040"/>
        <w:gridCol w:w="1040"/>
        <w:gridCol w:w="1040"/>
      </w:tblGrid>
      <w:tr w:rsidR="00617C3E" w:rsidRPr="00A474C9" w14:paraId="41B8B787" w14:textId="77777777" w:rsidTr="00617C3E">
        <w:trPr>
          <w:trHeight w:val="585"/>
        </w:trPr>
        <w:tc>
          <w:tcPr>
            <w:tcW w:w="3500" w:type="dxa"/>
            <w:tcBorders>
              <w:top w:val="nil"/>
              <w:left w:val="nil"/>
              <w:bottom w:val="nil"/>
              <w:right w:val="nil"/>
            </w:tcBorders>
            <w:shd w:val="clear" w:color="auto" w:fill="auto"/>
            <w:noWrap/>
            <w:vAlign w:val="bottom"/>
            <w:hideMark/>
          </w:tcPr>
          <w:p w14:paraId="44F74213" w14:textId="77777777" w:rsidR="00617C3E" w:rsidRPr="00012435" w:rsidRDefault="00617C3E" w:rsidP="00617C3E">
            <w:pPr>
              <w:spacing w:after="0" w:line="240" w:lineRule="auto"/>
              <w:rPr>
                <w:rFonts w:ascii="Times New Roman" w:eastAsia="Times New Roman" w:hAnsi="Times New Roman"/>
                <w:sz w:val="18"/>
                <w:szCs w:val="18"/>
                <w:lang w:eastAsia="sl-SI"/>
              </w:rPr>
            </w:pPr>
          </w:p>
        </w:tc>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EB296" w14:textId="7A3CD702" w:rsidR="00617C3E" w:rsidRPr="00A474C9" w:rsidRDefault="00091251" w:rsidP="00617C3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w:t>
            </w:r>
            <w:r w:rsidR="00617C3E" w:rsidRPr="00A474C9">
              <w:rPr>
                <w:rFonts w:ascii="Arial" w:eastAsia="Times New Roman" w:hAnsi="Arial" w:cs="Arial"/>
                <w:color w:val="000000"/>
                <w:sz w:val="18"/>
                <w:szCs w:val="18"/>
                <w:lang w:eastAsia="sl-SI"/>
              </w:rPr>
              <w:t>kupni znesek v mio evr</w:t>
            </w:r>
            <w:r w:rsidR="005F5D8F">
              <w:rPr>
                <w:rFonts w:ascii="Arial" w:eastAsia="Times New Roman" w:hAnsi="Arial" w:cs="Arial"/>
                <w:color w:val="000000"/>
                <w:sz w:val="18"/>
                <w:szCs w:val="18"/>
                <w:lang w:eastAsia="sl-SI"/>
              </w:rPr>
              <w:t>ov</w:t>
            </w:r>
          </w:p>
        </w:tc>
        <w:tc>
          <w:tcPr>
            <w:tcW w:w="3120" w:type="dxa"/>
            <w:gridSpan w:val="3"/>
            <w:tcBorders>
              <w:top w:val="single" w:sz="4" w:space="0" w:color="auto"/>
              <w:left w:val="nil"/>
              <w:bottom w:val="single" w:sz="4" w:space="0" w:color="auto"/>
              <w:right w:val="single" w:sz="4" w:space="0" w:color="auto"/>
            </w:tcBorders>
            <w:shd w:val="clear" w:color="auto" w:fill="auto"/>
            <w:vAlign w:val="center"/>
            <w:hideMark/>
          </w:tcPr>
          <w:p w14:paraId="3505FC9C" w14:textId="5860C169" w:rsidR="00617C3E" w:rsidRPr="00A474C9" w:rsidRDefault="00091251" w:rsidP="00617C3E">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Š</w:t>
            </w:r>
            <w:r w:rsidR="00617C3E" w:rsidRPr="00A474C9">
              <w:rPr>
                <w:rFonts w:ascii="Arial" w:eastAsia="Times New Roman" w:hAnsi="Arial" w:cs="Arial"/>
                <w:color w:val="000000"/>
                <w:sz w:val="18"/>
                <w:szCs w:val="18"/>
                <w:lang w:eastAsia="sl-SI"/>
              </w:rPr>
              <w:t>tevilo obračunov z izpolnjenim poljem</w:t>
            </w:r>
          </w:p>
        </w:tc>
      </w:tr>
      <w:tr w:rsidR="00617C3E" w:rsidRPr="00A474C9" w14:paraId="02B59D40" w14:textId="77777777" w:rsidTr="00617C3E">
        <w:trPr>
          <w:trHeight w:val="285"/>
        </w:trPr>
        <w:tc>
          <w:tcPr>
            <w:tcW w:w="35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6657B20" w14:textId="77777777" w:rsidR="00617C3E" w:rsidRPr="00A474C9" w:rsidRDefault="00617C3E" w:rsidP="00617C3E">
            <w:pPr>
              <w:spacing w:after="0" w:line="240" w:lineRule="auto"/>
              <w:jc w:val="center"/>
              <w:rPr>
                <w:rFonts w:ascii="Arial" w:eastAsia="Times New Roman" w:hAnsi="Arial" w:cs="Arial"/>
                <w:sz w:val="18"/>
                <w:szCs w:val="18"/>
                <w:lang w:eastAsia="sl-SI"/>
              </w:rPr>
            </w:pPr>
            <w:r w:rsidRPr="00A474C9">
              <w:rPr>
                <w:rFonts w:ascii="Arial" w:eastAsia="Times New Roman" w:hAnsi="Arial" w:cs="Arial"/>
                <w:sz w:val="18"/>
                <w:szCs w:val="18"/>
                <w:lang w:eastAsia="sl-SI"/>
              </w:rPr>
              <w:t>Postavka</w:t>
            </w:r>
          </w:p>
        </w:tc>
        <w:tc>
          <w:tcPr>
            <w:tcW w:w="1040" w:type="dxa"/>
            <w:tcBorders>
              <w:top w:val="nil"/>
              <w:left w:val="nil"/>
              <w:bottom w:val="single" w:sz="4" w:space="0" w:color="auto"/>
              <w:right w:val="single" w:sz="4" w:space="0" w:color="auto"/>
            </w:tcBorders>
            <w:shd w:val="clear" w:color="000000" w:fill="FFCC99"/>
            <w:vAlign w:val="center"/>
            <w:hideMark/>
          </w:tcPr>
          <w:p w14:paraId="5E316698" w14:textId="77777777" w:rsidR="00617C3E" w:rsidRPr="00A474C9" w:rsidRDefault="00617C3E" w:rsidP="00617C3E">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2016</w:t>
            </w:r>
          </w:p>
        </w:tc>
        <w:tc>
          <w:tcPr>
            <w:tcW w:w="1040" w:type="dxa"/>
            <w:tcBorders>
              <w:top w:val="nil"/>
              <w:left w:val="nil"/>
              <w:bottom w:val="single" w:sz="4" w:space="0" w:color="auto"/>
              <w:right w:val="single" w:sz="4" w:space="0" w:color="auto"/>
            </w:tcBorders>
            <w:shd w:val="clear" w:color="000000" w:fill="FFCC99"/>
            <w:vAlign w:val="center"/>
            <w:hideMark/>
          </w:tcPr>
          <w:p w14:paraId="2839CB9B" w14:textId="77777777" w:rsidR="00617C3E" w:rsidRPr="00A474C9" w:rsidRDefault="00617C3E" w:rsidP="00617C3E">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2017</w:t>
            </w:r>
          </w:p>
        </w:tc>
        <w:tc>
          <w:tcPr>
            <w:tcW w:w="1040" w:type="dxa"/>
            <w:tcBorders>
              <w:top w:val="nil"/>
              <w:left w:val="nil"/>
              <w:bottom w:val="single" w:sz="4" w:space="0" w:color="auto"/>
              <w:right w:val="single" w:sz="4" w:space="0" w:color="auto"/>
            </w:tcBorders>
            <w:shd w:val="clear" w:color="000000" w:fill="FFCC99"/>
            <w:vAlign w:val="center"/>
            <w:hideMark/>
          </w:tcPr>
          <w:p w14:paraId="4C44D2D9" w14:textId="77777777" w:rsidR="00617C3E" w:rsidRPr="00A474C9" w:rsidRDefault="00617C3E" w:rsidP="00617C3E">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2018</w:t>
            </w:r>
          </w:p>
        </w:tc>
        <w:tc>
          <w:tcPr>
            <w:tcW w:w="1040" w:type="dxa"/>
            <w:tcBorders>
              <w:top w:val="nil"/>
              <w:left w:val="nil"/>
              <w:bottom w:val="single" w:sz="4" w:space="0" w:color="auto"/>
              <w:right w:val="single" w:sz="4" w:space="0" w:color="auto"/>
            </w:tcBorders>
            <w:shd w:val="clear" w:color="000000" w:fill="FFCC99"/>
            <w:vAlign w:val="center"/>
            <w:hideMark/>
          </w:tcPr>
          <w:p w14:paraId="0759AAFF" w14:textId="77777777" w:rsidR="00617C3E" w:rsidRPr="00A474C9" w:rsidRDefault="00617C3E" w:rsidP="00617C3E">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2016</w:t>
            </w:r>
          </w:p>
        </w:tc>
        <w:tc>
          <w:tcPr>
            <w:tcW w:w="1040" w:type="dxa"/>
            <w:tcBorders>
              <w:top w:val="nil"/>
              <w:left w:val="nil"/>
              <w:bottom w:val="single" w:sz="4" w:space="0" w:color="auto"/>
              <w:right w:val="single" w:sz="4" w:space="0" w:color="auto"/>
            </w:tcBorders>
            <w:shd w:val="clear" w:color="000000" w:fill="FFCC99"/>
            <w:vAlign w:val="center"/>
            <w:hideMark/>
          </w:tcPr>
          <w:p w14:paraId="1601BC26" w14:textId="77777777" w:rsidR="00617C3E" w:rsidRPr="00A474C9" w:rsidRDefault="00617C3E" w:rsidP="00617C3E">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2017</w:t>
            </w:r>
          </w:p>
        </w:tc>
        <w:tc>
          <w:tcPr>
            <w:tcW w:w="1040" w:type="dxa"/>
            <w:tcBorders>
              <w:top w:val="nil"/>
              <w:left w:val="nil"/>
              <w:bottom w:val="single" w:sz="4" w:space="0" w:color="auto"/>
              <w:right w:val="single" w:sz="4" w:space="0" w:color="auto"/>
            </w:tcBorders>
            <w:shd w:val="clear" w:color="000000" w:fill="FFCC99"/>
            <w:vAlign w:val="center"/>
            <w:hideMark/>
          </w:tcPr>
          <w:p w14:paraId="5B9BCA88" w14:textId="77777777" w:rsidR="00617C3E" w:rsidRPr="00A474C9" w:rsidRDefault="00617C3E" w:rsidP="00617C3E">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2018</w:t>
            </w:r>
          </w:p>
        </w:tc>
      </w:tr>
      <w:tr w:rsidR="00617C3E" w:rsidRPr="00A474C9" w14:paraId="76E687FB"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0C5E4B90" w14:textId="5FD61ED5" w:rsidR="00617C3E" w:rsidRPr="00A474C9" w:rsidRDefault="00617C3E" w:rsidP="00091251">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Št. predloženih obračunov </w:t>
            </w:r>
            <w:r w:rsidR="00091251">
              <w:rPr>
                <w:rFonts w:ascii="Arial" w:eastAsia="Times New Roman" w:hAnsi="Arial" w:cs="Arial"/>
                <w:sz w:val="18"/>
                <w:szCs w:val="18"/>
                <w:lang w:eastAsia="sl-SI"/>
              </w:rPr>
              <w:t>za dohodke iz dejavnosti</w:t>
            </w:r>
          </w:p>
        </w:tc>
        <w:tc>
          <w:tcPr>
            <w:tcW w:w="1040" w:type="dxa"/>
            <w:tcBorders>
              <w:top w:val="nil"/>
              <w:left w:val="nil"/>
              <w:bottom w:val="single" w:sz="4" w:space="0" w:color="auto"/>
              <w:right w:val="single" w:sz="4" w:space="0" w:color="auto"/>
            </w:tcBorders>
            <w:shd w:val="clear" w:color="auto" w:fill="auto"/>
            <w:noWrap/>
            <w:vAlign w:val="bottom"/>
            <w:hideMark/>
          </w:tcPr>
          <w:p w14:paraId="18858658" w14:textId="77777777" w:rsidR="00617C3E" w:rsidRPr="00012435"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557F9CD3" w14:textId="77777777" w:rsidR="00617C3E" w:rsidRPr="00012435"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1BB02475" w14:textId="77777777" w:rsidR="00617C3E" w:rsidRPr="00012435"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012435">
              <w:rPr>
                <w:rFonts w:ascii="Arial" w:eastAsia="Times New Roman" w:hAnsi="Arial" w:cs="Arial"/>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center"/>
            <w:hideMark/>
          </w:tcPr>
          <w:p w14:paraId="4F73578C"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109.864</w:t>
            </w:r>
          </w:p>
        </w:tc>
        <w:tc>
          <w:tcPr>
            <w:tcW w:w="1040" w:type="dxa"/>
            <w:tcBorders>
              <w:top w:val="nil"/>
              <w:left w:val="nil"/>
              <w:bottom w:val="single" w:sz="4" w:space="0" w:color="auto"/>
              <w:right w:val="single" w:sz="4" w:space="0" w:color="auto"/>
            </w:tcBorders>
            <w:shd w:val="clear" w:color="auto" w:fill="auto"/>
            <w:noWrap/>
            <w:vAlign w:val="center"/>
            <w:hideMark/>
          </w:tcPr>
          <w:p w14:paraId="16F274CC"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113.929</w:t>
            </w:r>
          </w:p>
        </w:tc>
        <w:tc>
          <w:tcPr>
            <w:tcW w:w="1040" w:type="dxa"/>
            <w:tcBorders>
              <w:top w:val="nil"/>
              <w:left w:val="nil"/>
              <w:bottom w:val="single" w:sz="4" w:space="0" w:color="auto"/>
              <w:right w:val="single" w:sz="4" w:space="0" w:color="auto"/>
            </w:tcBorders>
            <w:shd w:val="clear" w:color="auto" w:fill="auto"/>
            <w:noWrap/>
            <w:vAlign w:val="center"/>
            <w:hideMark/>
          </w:tcPr>
          <w:p w14:paraId="6E776EE7"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119.352</w:t>
            </w:r>
          </w:p>
        </w:tc>
      </w:tr>
      <w:tr w:rsidR="00617C3E" w:rsidRPr="00A474C9" w14:paraId="5D2A15C0"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04FB8FF7" w14:textId="77777777" w:rsidR="00617C3E" w:rsidRPr="00A474C9" w:rsidRDefault="00617C3E" w:rsidP="00617C3E">
            <w:pPr>
              <w:spacing w:after="0" w:line="240" w:lineRule="auto"/>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noWrap/>
            <w:vAlign w:val="bottom"/>
            <w:hideMark/>
          </w:tcPr>
          <w:p w14:paraId="41CE99DF" w14:textId="77777777" w:rsidR="00617C3E" w:rsidRPr="00012435" w:rsidRDefault="00617C3E" w:rsidP="00617C3E">
            <w:pPr>
              <w:spacing w:after="0" w:line="240" w:lineRule="auto"/>
              <w:ind w:firstLineChars="100" w:firstLine="180"/>
              <w:jc w:val="right"/>
              <w:rPr>
                <w:rFonts w:ascii="Arial" w:eastAsia="Times New Roman" w:hAnsi="Arial" w:cs="Arial"/>
                <w:i/>
                <w:iCs/>
                <w:color w:val="000000"/>
                <w:sz w:val="18"/>
                <w:szCs w:val="18"/>
                <w:lang w:eastAsia="sl-SI"/>
              </w:rPr>
            </w:pPr>
            <w:r w:rsidRPr="00012435">
              <w:rPr>
                <w:rFonts w:ascii="Arial" w:eastAsia="Times New Roman" w:hAnsi="Arial" w:cs="Arial"/>
                <w:i/>
                <w:iCs/>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F1E11F" w14:textId="77777777" w:rsidR="00617C3E" w:rsidRPr="00012435" w:rsidRDefault="00617C3E" w:rsidP="00617C3E">
            <w:pPr>
              <w:spacing w:after="0" w:line="240" w:lineRule="auto"/>
              <w:ind w:firstLineChars="100" w:firstLine="180"/>
              <w:jc w:val="right"/>
              <w:rPr>
                <w:rFonts w:ascii="Arial" w:eastAsia="Times New Roman" w:hAnsi="Arial" w:cs="Arial"/>
                <w:i/>
                <w:iCs/>
                <w:color w:val="000000"/>
                <w:sz w:val="18"/>
                <w:szCs w:val="18"/>
                <w:lang w:eastAsia="sl-SI"/>
              </w:rPr>
            </w:pPr>
            <w:r w:rsidRPr="00012435">
              <w:rPr>
                <w:rFonts w:ascii="Arial" w:eastAsia="Times New Roman" w:hAnsi="Arial" w:cs="Arial"/>
                <w:i/>
                <w:iCs/>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562553" w14:textId="77777777" w:rsidR="00617C3E" w:rsidRPr="00012435" w:rsidRDefault="00617C3E" w:rsidP="00617C3E">
            <w:pPr>
              <w:spacing w:after="0" w:line="240" w:lineRule="auto"/>
              <w:ind w:firstLineChars="100" w:firstLine="180"/>
              <w:jc w:val="right"/>
              <w:rPr>
                <w:rFonts w:ascii="Arial" w:eastAsia="Times New Roman" w:hAnsi="Arial" w:cs="Arial"/>
                <w:i/>
                <w:iCs/>
                <w:color w:val="000000"/>
                <w:sz w:val="18"/>
                <w:szCs w:val="18"/>
                <w:lang w:eastAsia="sl-SI"/>
              </w:rPr>
            </w:pPr>
            <w:r w:rsidRPr="00012435">
              <w:rPr>
                <w:rFonts w:ascii="Arial" w:eastAsia="Times New Roman" w:hAnsi="Arial" w:cs="Arial"/>
                <w:i/>
                <w:iCs/>
                <w:color w:val="000000"/>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center"/>
            <w:hideMark/>
          </w:tcPr>
          <w:p w14:paraId="0AE2AA70"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38.387</w:t>
            </w:r>
          </w:p>
        </w:tc>
        <w:tc>
          <w:tcPr>
            <w:tcW w:w="1040" w:type="dxa"/>
            <w:tcBorders>
              <w:top w:val="nil"/>
              <w:left w:val="nil"/>
              <w:bottom w:val="single" w:sz="4" w:space="0" w:color="auto"/>
              <w:right w:val="single" w:sz="4" w:space="0" w:color="auto"/>
            </w:tcBorders>
            <w:shd w:val="clear" w:color="auto" w:fill="auto"/>
            <w:noWrap/>
            <w:vAlign w:val="center"/>
            <w:hideMark/>
          </w:tcPr>
          <w:p w14:paraId="34B13087"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46.050</w:t>
            </w:r>
          </w:p>
        </w:tc>
        <w:tc>
          <w:tcPr>
            <w:tcW w:w="1040" w:type="dxa"/>
            <w:tcBorders>
              <w:top w:val="nil"/>
              <w:left w:val="nil"/>
              <w:bottom w:val="single" w:sz="4" w:space="0" w:color="auto"/>
              <w:right w:val="single" w:sz="4" w:space="0" w:color="auto"/>
            </w:tcBorders>
            <w:shd w:val="clear" w:color="auto" w:fill="auto"/>
            <w:noWrap/>
            <w:vAlign w:val="center"/>
            <w:hideMark/>
          </w:tcPr>
          <w:p w14:paraId="0C9F7A78"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53.128</w:t>
            </w:r>
          </w:p>
        </w:tc>
      </w:tr>
      <w:tr w:rsidR="00617C3E" w:rsidRPr="00A474C9" w14:paraId="47C660F2"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32913D85"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DAVČNO PRIZNANI PRIHODKI</w:t>
            </w:r>
          </w:p>
        </w:tc>
        <w:tc>
          <w:tcPr>
            <w:tcW w:w="1040" w:type="dxa"/>
            <w:tcBorders>
              <w:top w:val="nil"/>
              <w:left w:val="nil"/>
              <w:bottom w:val="single" w:sz="4" w:space="0" w:color="auto"/>
              <w:right w:val="single" w:sz="4" w:space="0" w:color="auto"/>
            </w:tcBorders>
            <w:shd w:val="clear" w:color="auto" w:fill="auto"/>
            <w:noWrap/>
            <w:vAlign w:val="center"/>
            <w:hideMark/>
          </w:tcPr>
          <w:p w14:paraId="08F1D7D5"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6.232,6</w:t>
            </w:r>
          </w:p>
        </w:tc>
        <w:tc>
          <w:tcPr>
            <w:tcW w:w="1040" w:type="dxa"/>
            <w:tcBorders>
              <w:top w:val="nil"/>
              <w:left w:val="nil"/>
              <w:bottom w:val="single" w:sz="4" w:space="0" w:color="auto"/>
              <w:right w:val="single" w:sz="4" w:space="0" w:color="auto"/>
            </w:tcBorders>
            <w:shd w:val="clear" w:color="auto" w:fill="auto"/>
            <w:noWrap/>
            <w:vAlign w:val="center"/>
            <w:hideMark/>
          </w:tcPr>
          <w:p w14:paraId="40F1C8EA"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6.667,9</w:t>
            </w:r>
          </w:p>
        </w:tc>
        <w:tc>
          <w:tcPr>
            <w:tcW w:w="1040" w:type="dxa"/>
            <w:tcBorders>
              <w:top w:val="nil"/>
              <w:left w:val="nil"/>
              <w:bottom w:val="single" w:sz="4" w:space="0" w:color="auto"/>
              <w:right w:val="single" w:sz="4" w:space="0" w:color="auto"/>
            </w:tcBorders>
            <w:shd w:val="clear" w:color="auto" w:fill="auto"/>
            <w:noWrap/>
            <w:vAlign w:val="center"/>
            <w:hideMark/>
          </w:tcPr>
          <w:p w14:paraId="16B59E3D"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7.081,2</w:t>
            </w:r>
          </w:p>
        </w:tc>
        <w:tc>
          <w:tcPr>
            <w:tcW w:w="1040" w:type="dxa"/>
            <w:tcBorders>
              <w:top w:val="nil"/>
              <w:left w:val="nil"/>
              <w:bottom w:val="single" w:sz="4" w:space="0" w:color="auto"/>
              <w:right w:val="single" w:sz="4" w:space="0" w:color="auto"/>
            </w:tcBorders>
            <w:shd w:val="clear" w:color="auto" w:fill="auto"/>
            <w:noWrap/>
            <w:vAlign w:val="center"/>
            <w:hideMark/>
          </w:tcPr>
          <w:p w14:paraId="50844CD8"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105.275</w:t>
            </w:r>
          </w:p>
        </w:tc>
        <w:tc>
          <w:tcPr>
            <w:tcW w:w="1040" w:type="dxa"/>
            <w:tcBorders>
              <w:top w:val="nil"/>
              <w:left w:val="nil"/>
              <w:bottom w:val="single" w:sz="4" w:space="0" w:color="auto"/>
              <w:right w:val="single" w:sz="4" w:space="0" w:color="auto"/>
            </w:tcBorders>
            <w:shd w:val="clear" w:color="auto" w:fill="auto"/>
            <w:noWrap/>
            <w:vAlign w:val="center"/>
            <w:hideMark/>
          </w:tcPr>
          <w:p w14:paraId="7E84EDA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109.591</w:t>
            </w:r>
          </w:p>
        </w:tc>
        <w:tc>
          <w:tcPr>
            <w:tcW w:w="1040" w:type="dxa"/>
            <w:tcBorders>
              <w:top w:val="nil"/>
              <w:left w:val="nil"/>
              <w:bottom w:val="single" w:sz="4" w:space="0" w:color="auto"/>
              <w:right w:val="single" w:sz="4" w:space="0" w:color="auto"/>
            </w:tcBorders>
            <w:shd w:val="clear" w:color="auto" w:fill="auto"/>
            <w:noWrap/>
            <w:vAlign w:val="center"/>
            <w:hideMark/>
          </w:tcPr>
          <w:p w14:paraId="4C9D40A9"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114.574</w:t>
            </w:r>
          </w:p>
        </w:tc>
      </w:tr>
      <w:tr w:rsidR="00617C3E" w:rsidRPr="00A474C9" w14:paraId="23A53085"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081FDAE" w14:textId="77777777" w:rsidR="00617C3E" w:rsidRPr="00A474C9" w:rsidRDefault="00617C3E" w:rsidP="00617C3E">
            <w:pPr>
              <w:spacing w:after="0" w:line="240" w:lineRule="auto"/>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noWrap/>
            <w:vAlign w:val="center"/>
            <w:hideMark/>
          </w:tcPr>
          <w:p w14:paraId="35EDC6EA"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818,7</w:t>
            </w:r>
          </w:p>
        </w:tc>
        <w:tc>
          <w:tcPr>
            <w:tcW w:w="1040" w:type="dxa"/>
            <w:tcBorders>
              <w:top w:val="nil"/>
              <w:left w:val="nil"/>
              <w:bottom w:val="single" w:sz="4" w:space="0" w:color="auto"/>
              <w:right w:val="single" w:sz="4" w:space="0" w:color="auto"/>
            </w:tcBorders>
            <w:shd w:val="clear" w:color="auto" w:fill="auto"/>
            <w:noWrap/>
            <w:vAlign w:val="center"/>
            <w:hideMark/>
          </w:tcPr>
          <w:p w14:paraId="7DF4DC84"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1.086,5</w:t>
            </w:r>
          </w:p>
        </w:tc>
        <w:tc>
          <w:tcPr>
            <w:tcW w:w="1040" w:type="dxa"/>
            <w:tcBorders>
              <w:top w:val="nil"/>
              <w:left w:val="nil"/>
              <w:bottom w:val="single" w:sz="4" w:space="0" w:color="auto"/>
              <w:right w:val="single" w:sz="4" w:space="0" w:color="auto"/>
            </w:tcBorders>
            <w:shd w:val="clear" w:color="auto" w:fill="auto"/>
            <w:noWrap/>
            <w:vAlign w:val="center"/>
            <w:hideMark/>
          </w:tcPr>
          <w:p w14:paraId="35BCA82B"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1.217,3</w:t>
            </w:r>
          </w:p>
        </w:tc>
        <w:tc>
          <w:tcPr>
            <w:tcW w:w="1040" w:type="dxa"/>
            <w:tcBorders>
              <w:top w:val="nil"/>
              <w:left w:val="nil"/>
              <w:bottom w:val="single" w:sz="4" w:space="0" w:color="auto"/>
              <w:right w:val="single" w:sz="4" w:space="0" w:color="auto"/>
            </w:tcBorders>
            <w:shd w:val="clear" w:color="auto" w:fill="auto"/>
            <w:noWrap/>
            <w:vAlign w:val="center"/>
            <w:hideMark/>
          </w:tcPr>
          <w:p w14:paraId="218C48F9"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center"/>
            <w:hideMark/>
          </w:tcPr>
          <w:p w14:paraId="1DD839A6"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w:t>
            </w:r>
          </w:p>
        </w:tc>
        <w:tc>
          <w:tcPr>
            <w:tcW w:w="1040" w:type="dxa"/>
            <w:tcBorders>
              <w:top w:val="nil"/>
              <w:left w:val="nil"/>
              <w:bottom w:val="single" w:sz="4" w:space="0" w:color="auto"/>
              <w:right w:val="single" w:sz="4" w:space="0" w:color="auto"/>
            </w:tcBorders>
            <w:shd w:val="clear" w:color="auto" w:fill="auto"/>
            <w:noWrap/>
            <w:vAlign w:val="center"/>
            <w:hideMark/>
          </w:tcPr>
          <w:p w14:paraId="0B2849D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w:t>
            </w:r>
          </w:p>
        </w:tc>
      </w:tr>
      <w:tr w:rsidR="00617C3E" w:rsidRPr="00A474C9" w14:paraId="2EE436E1"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13432461"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DAVČNO PRIZNANI ODHODKI</w:t>
            </w:r>
          </w:p>
        </w:tc>
        <w:tc>
          <w:tcPr>
            <w:tcW w:w="1040" w:type="dxa"/>
            <w:tcBorders>
              <w:top w:val="nil"/>
              <w:left w:val="nil"/>
              <w:bottom w:val="single" w:sz="4" w:space="0" w:color="auto"/>
              <w:right w:val="single" w:sz="4" w:space="0" w:color="auto"/>
            </w:tcBorders>
            <w:shd w:val="clear" w:color="auto" w:fill="auto"/>
            <w:vAlign w:val="center"/>
            <w:hideMark/>
          </w:tcPr>
          <w:p w14:paraId="11D74A59"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5.620,5</w:t>
            </w:r>
          </w:p>
        </w:tc>
        <w:tc>
          <w:tcPr>
            <w:tcW w:w="1040" w:type="dxa"/>
            <w:tcBorders>
              <w:top w:val="nil"/>
              <w:left w:val="nil"/>
              <w:bottom w:val="single" w:sz="4" w:space="0" w:color="auto"/>
              <w:right w:val="single" w:sz="4" w:space="0" w:color="auto"/>
            </w:tcBorders>
            <w:shd w:val="clear" w:color="auto" w:fill="auto"/>
            <w:vAlign w:val="center"/>
            <w:hideMark/>
          </w:tcPr>
          <w:p w14:paraId="0B4BF926"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5.987,4</w:t>
            </w:r>
          </w:p>
        </w:tc>
        <w:tc>
          <w:tcPr>
            <w:tcW w:w="1040" w:type="dxa"/>
            <w:tcBorders>
              <w:top w:val="nil"/>
              <w:left w:val="nil"/>
              <w:bottom w:val="single" w:sz="4" w:space="0" w:color="auto"/>
              <w:right w:val="single" w:sz="4" w:space="0" w:color="auto"/>
            </w:tcBorders>
            <w:shd w:val="clear" w:color="auto" w:fill="auto"/>
            <w:vAlign w:val="center"/>
            <w:hideMark/>
          </w:tcPr>
          <w:p w14:paraId="7CA1DED9"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6.319,2</w:t>
            </w:r>
          </w:p>
        </w:tc>
        <w:tc>
          <w:tcPr>
            <w:tcW w:w="1040" w:type="dxa"/>
            <w:tcBorders>
              <w:top w:val="nil"/>
              <w:left w:val="nil"/>
              <w:bottom w:val="single" w:sz="4" w:space="0" w:color="auto"/>
              <w:right w:val="single" w:sz="4" w:space="0" w:color="auto"/>
            </w:tcBorders>
            <w:shd w:val="clear" w:color="auto" w:fill="auto"/>
            <w:vAlign w:val="center"/>
            <w:hideMark/>
          </w:tcPr>
          <w:p w14:paraId="68EF25F0"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107.191</w:t>
            </w:r>
          </w:p>
        </w:tc>
        <w:tc>
          <w:tcPr>
            <w:tcW w:w="1040" w:type="dxa"/>
            <w:tcBorders>
              <w:top w:val="nil"/>
              <w:left w:val="nil"/>
              <w:bottom w:val="single" w:sz="4" w:space="0" w:color="auto"/>
              <w:right w:val="single" w:sz="4" w:space="0" w:color="auto"/>
            </w:tcBorders>
            <w:shd w:val="clear" w:color="auto" w:fill="auto"/>
            <w:vAlign w:val="center"/>
            <w:hideMark/>
          </w:tcPr>
          <w:p w14:paraId="398F52D0"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111.013</w:t>
            </w:r>
          </w:p>
        </w:tc>
        <w:tc>
          <w:tcPr>
            <w:tcW w:w="1040" w:type="dxa"/>
            <w:tcBorders>
              <w:top w:val="nil"/>
              <w:left w:val="nil"/>
              <w:bottom w:val="single" w:sz="4" w:space="0" w:color="auto"/>
              <w:right w:val="single" w:sz="4" w:space="0" w:color="auto"/>
            </w:tcBorders>
            <w:shd w:val="clear" w:color="auto" w:fill="auto"/>
            <w:vAlign w:val="center"/>
            <w:hideMark/>
          </w:tcPr>
          <w:p w14:paraId="4A68BB3F"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115.933</w:t>
            </w:r>
          </w:p>
        </w:tc>
      </w:tr>
      <w:tr w:rsidR="00617C3E" w:rsidRPr="00A474C9" w14:paraId="036994D3"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041A2B29"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DAVČNA OSNOVA</w:t>
            </w:r>
          </w:p>
        </w:tc>
        <w:tc>
          <w:tcPr>
            <w:tcW w:w="1040" w:type="dxa"/>
            <w:tcBorders>
              <w:top w:val="nil"/>
              <w:left w:val="nil"/>
              <w:bottom w:val="single" w:sz="4" w:space="0" w:color="auto"/>
              <w:right w:val="single" w:sz="4" w:space="0" w:color="auto"/>
            </w:tcBorders>
            <w:shd w:val="clear" w:color="auto" w:fill="auto"/>
            <w:vAlign w:val="center"/>
            <w:hideMark/>
          </w:tcPr>
          <w:p w14:paraId="7AF67A10"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666,5</w:t>
            </w:r>
          </w:p>
        </w:tc>
        <w:tc>
          <w:tcPr>
            <w:tcW w:w="1040" w:type="dxa"/>
            <w:tcBorders>
              <w:top w:val="nil"/>
              <w:left w:val="nil"/>
              <w:bottom w:val="single" w:sz="4" w:space="0" w:color="auto"/>
              <w:right w:val="single" w:sz="4" w:space="0" w:color="auto"/>
            </w:tcBorders>
            <w:shd w:val="clear" w:color="auto" w:fill="auto"/>
            <w:vAlign w:val="center"/>
            <w:hideMark/>
          </w:tcPr>
          <w:p w14:paraId="5CB5C487"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729,7</w:t>
            </w:r>
          </w:p>
        </w:tc>
        <w:tc>
          <w:tcPr>
            <w:tcW w:w="1040" w:type="dxa"/>
            <w:tcBorders>
              <w:top w:val="nil"/>
              <w:left w:val="nil"/>
              <w:bottom w:val="single" w:sz="4" w:space="0" w:color="auto"/>
              <w:right w:val="single" w:sz="4" w:space="0" w:color="auto"/>
            </w:tcBorders>
            <w:shd w:val="clear" w:color="auto" w:fill="auto"/>
            <w:vAlign w:val="center"/>
            <w:hideMark/>
          </w:tcPr>
          <w:p w14:paraId="44414DAD"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810,1</w:t>
            </w:r>
          </w:p>
        </w:tc>
        <w:tc>
          <w:tcPr>
            <w:tcW w:w="1040" w:type="dxa"/>
            <w:tcBorders>
              <w:top w:val="nil"/>
              <w:left w:val="nil"/>
              <w:bottom w:val="single" w:sz="4" w:space="0" w:color="auto"/>
              <w:right w:val="single" w:sz="4" w:space="0" w:color="auto"/>
            </w:tcBorders>
            <w:shd w:val="clear" w:color="auto" w:fill="auto"/>
            <w:vAlign w:val="center"/>
            <w:hideMark/>
          </w:tcPr>
          <w:p w14:paraId="184DCF80"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94.166</w:t>
            </w:r>
          </w:p>
        </w:tc>
        <w:tc>
          <w:tcPr>
            <w:tcW w:w="1040" w:type="dxa"/>
            <w:tcBorders>
              <w:top w:val="nil"/>
              <w:left w:val="nil"/>
              <w:bottom w:val="single" w:sz="4" w:space="0" w:color="auto"/>
              <w:right w:val="single" w:sz="4" w:space="0" w:color="auto"/>
            </w:tcBorders>
            <w:shd w:val="clear" w:color="auto" w:fill="auto"/>
            <w:vAlign w:val="center"/>
            <w:hideMark/>
          </w:tcPr>
          <w:p w14:paraId="7C1E195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99.601</w:t>
            </w:r>
          </w:p>
        </w:tc>
        <w:tc>
          <w:tcPr>
            <w:tcW w:w="1040" w:type="dxa"/>
            <w:tcBorders>
              <w:top w:val="nil"/>
              <w:left w:val="nil"/>
              <w:bottom w:val="single" w:sz="4" w:space="0" w:color="auto"/>
              <w:right w:val="single" w:sz="4" w:space="0" w:color="auto"/>
            </w:tcBorders>
            <w:shd w:val="clear" w:color="auto" w:fill="auto"/>
            <w:vAlign w:val="center"/>
            <w:hideMark/>
          </w:tcPr>
          <w:p w14:paraId="29BE44FE"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105.338</w:t>
            </w:r>
          </w:p>
        </w:tc>
      </w:tr>
      <w:tr w:rsidR="00617C3E" w:rsidRPr="00A474C9" w14:paraId="6241AE02"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047F203F"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1C04D034"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163,8</w:t>
            </w:r>
          </w:p>
        </w:tc>
        <w:tc>
          <w:tcPr>
            <w:tcW w:w="1040" w:type="dxa"/>
            <w:tcBorders>
              <w:top w:val="nil"/>
              <w:left w:val="nil"/>
              <w:bottom w:val="single" w:sz="4" w:space="0" w:color="auto"/>
              <w:right w:val="single" w:sz="4" w:space="0" w:color="auto"/>
            </w:tcBorders>
            <w:shd w:val="clear" w:color="auto" w:fill="auto"/>
            <w:vAlign w:val="center"/>
            <w:hideMark/>
          </w:tcPr>
          <w:p w14:paraId="7FB42105"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217,3</w:t>
            </w:r>
          </w:p>
        </w:tc>
        <w:tc>
          <w:tcPr>
            <w:tcW w:w="1040" w:type="dxa"/>
            <w:tcBorders>
              <w:top w:val="nil"/>
              <w:left w:val="nil"/>
              <w:bottom w:val="single" w:sz="4" w:space="0" w:color="auto"/>
              <w:right w:val="single" w:sz="4" w:space="0" w:color="auto"/>
            </w:tcBorders>
            <w:shd w:val="clear" w:color="auto" w:fill="auto"/>
            <w:vAlign w:val="center"/>
            <w:hideMark/>
          </w:tcPr>
          <w:p w14:paraId="3C63BD9E"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271,8</w:t>
            </w:r>
          </w:p>
        </w:tc>
        <w:tc>
          <w:tcPr>
            <w:tcW w:w="1040" w:type="dxa"/>
            <w:tcBorders>
              <w:top w:val="nil"/>
              <w:left w:val="nil"/>
              <w:bottom w:val="single" w:sz="4" w:space="0" w:color="auto"/>
              <w:right w:val="single" w:sz="4" w:space="0" w:color="auto"/>
            </w:tcBorders>
            <w:shd w:val="clear" w:color="auto" w:fill="auto"/>
            <w:vAlign w:val="center"/>
            <w:hideMark/>
          </w:tcPr>
          <w:p w14:paraId="596E3987"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36.557</w:t>
            </w:r>
          </w:p>
        </w:tc>
        <w:tc>
          <w:tcPr>
            <w:tcW w:w="1040" w:type="dxa"/>
            <w:tcBorders>
              <w:top w:val="nil"/>
              <w:left w:val="nil"/>
              <w:bottom w:val="single" w:sz="4" w:space="0" w:color="auto"/>
              <w:right w:val="single" w:sz="4" w:space="0" w:color="auto"/>
            </w:tcBorders>
            <w:shd w:val="clear" w:color="auto" w:fill="auto"/>
            <w:vAlign w:val="center"/>
            <w:hideMark/>
          </w:tcPr>
          <w:p w14:paraId="74A1D5CB"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43.940</w:t>
            </w:r>
          </w:p>
        </w:tc>
        <w:tc>
          <w:tcPr>
            <w:tcW w:w="1040" w:type="dxa"/>
            <w:tcBorders>
              <w:top w:val="nil"/>
              <w:left w:val="nil"/>
              <w:bottom w:val="single" w:sz="4" w:space="0" w:color="auto"/>
              <w:right w:val="single" w:sz="4" w:space="0" w:color="auto"/>
            </w:tcBorders>
            <w:shd w:val="clear" w:color="auto" w:fill="auto"/>
            <w:vAlign w:val="center"/>
            <w:hideMark/>
          </w:tcPr>
          <w:p w14:paraId="7F93C03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50.460</w:t>
            </w:r>
          </w:p>
        </w:tc>
      </w:tr>
      <w:tr w:rsidR="00617C3E" w:rsidRPr="00A474C9" w14:paraId="5C67E31E"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0CBD6D34"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DAVČNA IZGUBA</w:t>
            </w:r>
          </w:p>
        </w:tc>
        <w:tc>
          <w:tcPr>
            <w:tcW w:w="1040" w:type="dxa"/>
            <w:tcBorders>
              <w:top w:val="nil"/>
              <w:left w:val="nil"/>
              <w:bottom w:val="single" w:sz="4" w:space="0" w:color="auto"/>
              <w:right w:val="single" w:sz="4" w:space="0" w:color="auto"/>
            </w:tcBorders>
            <w:shd w:val="clear" w:color="auto" w:fill="auto"/>
            <w:vAlign w:val="center"/>
            <w:hideMark/>
          </w:tcPr>
          <w:p w14:paraId="5A131BA3"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52,0</w:t>
            </w:r>
          </w:p>
        </w:tc>
        <w:tc>
          <w:tcPr>
            <w:tcW w:w="1040" w:type="dxa"/>
            <w:tcBorders>
              <w:top w:val="nil"/>
              <w:left w:val="nil"/>
              <w:bottom w:val="single" w:sz="4" w:space="0" w:color="auto"/>
              <w:right w:val="single" w:sz="4" w:space="0" w:color="auto"/>
            </w:tcBorders>
            <w:shd w:val="clear" w:color="auto" w:fill="auto"/>
            <w:vAlign w:val="center"/>
            <w:hideMark/>
          </w:tcPr>
          <w:p w14:paraId="2A181B73"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47,5</w:t>
            </w:r>
          </w:p>
        </w:tc>
        <w:tc>
          <w:tcPr>
            <w:tcW w:w="1040" w:type="dxa"/>
            <w:tcBorders>
              <w:top w:val="nil"/>
              <w:left w:val="nil"/>
              <w:bottom w:val="single" w:sz="4" w:space="0" w:color="auto"/>
              <w:right w:val="single" w:sz="4" w:space="0" w:color="auto"/>
            </w:tcBorders>
            <w:shd w:val="clear" w:color="auto" w:fill="auto"/>
            <w:vAlign w:val="center"/>
            <w:hideMark/>
          </w:tcPr>
          <w:p w14:paraId="79E1DF71"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46,9</w:t>
            </w:r>
          </w:p>
        </w:tc>
        <w:tc>
          <w:tcPr>
            <w:tcW w:w="1040" w:type="dxa"/>
            <w:tcBorders>
              <w:top w:val="nil"/>
              <w:left w:val="nil"/>
              <w:bottom w:val="single" w:sz="4" w:space="0" w:color="auto"/>
              <w:right w:val="single" w:sz="4" w:space="0" w:color="auto"/>
            </w:tcBorders>
            <w:shd w:val="clear" w:color="auto" w:fill="auto"/>
            <w:vAlign w:val="center"/>
            <w:hideMark/>
          </w:tcPr>
          <w:p w14:paraId="6945FBFE"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12.984</w:t>
            </w:r>
          </w:p>
        </w:tc>
        <w:tc>
          <w:tcPr>
            <w:tcW w:w="1040" w:type="dxa"/>
            <w:tcBorders>
              <w:top w:val="nil"/>
              <w:left w:val="nil"/>
              <w:bottom w:val="single" w:sz="4" w:space="0" w:color="auto"/>
              <w:right w:val="single" w:sz="4" w:space="0" w:color="auto"/>
            </w:tcBorders>
            <w:shd w:val="clear" w:color="auto" w:fill="auto"/>
            <w:vAlign w:val="center"/>
            <w:hideMark/>
          </w:tcPr>
          <w:p w14:paraId="3CE1288C"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11.464</w:t>
            </w:r>
          </w:p>
        </w:tc>
        <w:tc>
          <w:tcPr>
            <w:tcW w:w="1040" w:type="dxa"/>
            <w:tcBorders>
              <w:top w:val="nil"/>
              <w:left w:val="nil"/>
              <w:bottom w:val="single" w:sz="4" w:space="0" w:color="auto"/>
              <w:right w:val="single" w:sz="4" w:space="0" w:color="auto"/>
            </w:tcBorders>
            <w:shd w:val="clear" w:color="auto" w:fill="auto"/>
            <w:vAlign w:val="center"/>
            <w:hideMark/>
          </w:tcPr>
          <w:p w14:paraId="24DD649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10.590</w:t>
            </w:r>
          </w:p>
        </w:tc>
      </w:tr>
      <w:tr w:rsidR="00617C3E" w:rsidRPr="00A474C9" w14:paraId="2F56BDFF" w14:textId="77777777" w:rsidTr="00617C3E">
        <w:trPr>
          <w:trHeight w:val="48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1880EAF0"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Zmanjšanje davčne osnove in davčne olajšave</w:t>
            </w:r>
          </w:p>
        </w:tc>
        <w:tc>
          <w:tcPr>
            <w:tcW w:w="1040" w:type="dxa"/>
            <w:tcBorders>
              <w:top w:val="nil"/>
              <w:left w:val="nil"/>
              <w:bottom w:val="single" w:sz="4" w:space="0" w:color="auto"/>
              <w:right w:val="single" w:sz="4" w:space="0" w:color="auto"/>
            </w:tcBorders>
            <w:shd w:val="clear" w:color="auto" w:fill="auto"/>
            <w:vAlign w:val="center"/>
            <w:hideMark/>
          </w:tcPr>
          <w:p w14:paraId="24C1C864"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85,0</w:t>
            </w:r>
          </w:p>
        </w:tc>
        <w:tc>
          <w:tcPr>
            <w:tcW w:w="1040" w:type="dxa"/>
            <w:tcBorders>
              <w:top w:val="nil"/>
              <w:left w:val="nil"/>
              <w:bottom w:val="single" w:sz="4" w:space="0" w:color="auto"/>
              <w:right w:val="single" w:sz="4" w:space="0" w:color="auto"/>
            </w:tcBorders>
            <w:shd w:val="clear" w:color="auto" w:fill="auto"/>
            <w:vAlign w:val="center"/>
            <w:hideMark/>
          </w:tcPr>
          <w:p w14:paraId="39315794"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91,9</w:t>
            </w:r>
          </w:p>
        </w:tc>
        <w:tc>
          <w:tcPr>
            <w:tcW w:w="1040" w:type="dxa"/>
            <w:tcBorders>
              <w:top w:val="nil"/>
              <w:left w:val="nil"/>
              <w:bottom w:val="single" w:sz="4" w:space="0" w:color="auto"/>
              <w:right w:val="single" w:sz="4" w:space="0" w:color="auto"/>
            </w:tcBorders>
            <w:shd w:val="clear" w:color="auto" w:fill="auto"/>
            <w:vAlign w:val="center"/>
            <w:hideMark/>
          </w:tcPr>
          <w:p w14:paraId="34F9ABE6"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101,1</w:t>
            </w:r>
          </w:p>
        </w:tc>
        <w:tc>
          <w:tcPr>
            <w:tcW w:w="1040" w:type="dxa"/>
            <w:tcBorders>
              <w:top w:val="nil"/>
              <w:left w:val="nil"/>
              <w:bottom w:val="single" w:sz="4" w:space="0" w:color="auto"/>
              <w:right w:val="single" w:sz="4" w:space="0" w:color="auto"/>
            </w:tcBorders>
            <w:shd w:val="clear" w:color="auto" w:fill="auto"/>
            <w:vAlign w:val="center"/>
            <w:hideMark/>
          </w:tcPr>
          <w:p w14:paraId="694455F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17.702</w:t>
            </w:r>
          </w:p>
        </w:tc>
        <w:tc>
          <w:tcPr>
            <w:tcW w:w="1040" w:type="dxa"/>
            <w:tcBorders>
              <w:top w:val="nil"/>
              <w:left w:val="nil"/>
              <w:bottom w:val="single" w:sz="4" w:space="0" w:color="auto"/>
              <w:right w:val="single" w:sz="4" w:space="0" w:color="auto"/>
            </w:tcBorders>
            <w:shd w:val="clear" w:color="auto" w:fill="auto"/>
            <w:vAlign w:val="center"/>
            <w:hideMark/>
          </w:tcPr>
          <w:p w14:paraId="7DA1F203"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17.836</w:t>
            </w:r>
          </w:p>
        </w:tc>
        <w:tc>
          <w:tcPr>
            <w:tcW w:w="1040" w:type="dxa"/>
            <w:tcBorders>
              <w:top w:val="nil"/>
              <w:left w:val="nil"/>
              <w:bottom w:val="single" w:sz="4" w:space="0" w:color="auto"/>
              <w:right w:val="single" w:sz="4" w:space="0" w:color="auto"/>
            </w:tcBorders>
            <w:shd w:val="clear" w:color="auto" w:fill="auto"/>
            <w:vAlign w:val="center"/>
            <w:hideMark/>
          </w:tcPr>
          <w:p w14:paraId="48CE59C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18.240</w:t>
            </w:r>
          </w:p>
        </w:tc>
      </w:tr>
      <w:tr w:rsidR="00617C3E" w:rsidRPr="00A474C9" w14:paraId="36F1B3BC" w14:textId="77777777" w:rsidTr="00617C3E">
        <w:trPr>
          <w:trHeight w:val="480"/>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DC3BAE7"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OSNOVA ZA DOHODNINO (izračun dohodnine na letni ravni)</w:t>
            </w:r>
          </w:p>
        </w:tc>
        <w:tc>
          <w:tcPr>
            <w:tcW w:w="1040" w:type="dxa"/>
            <w:tcBorders>
              <w:top w:val="nil"/>
              <w:left w:val="nil"/>
              <w:bottom w:val="single" w:sz="4" w:space="0" w:color="auto"/>
              <w:right w:val="single" w:sz="4" w:space="0" w:color="auto"/>
            </w:tcBorders>
            <w:shd w:val="clear" w:color="auto" w:fill="auto"/>
            <w:vAlign w:val="center"/>
            <w:hideMark/>
          </w:tcPr>
          <w:p w14:paraId="48E5EC89"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581,5</w:t>
            </w:r>
          </w:p>
        </w:tc>
        <w:tc>
          <w:tcPr>
            <w:tcW w:w="1040" w:type="dxa"/>
            <w:tcBorders>
              <w:top w:val="nil"/>
              <w:left w:val="nil"/>
              <w:bottom w:val="single" w:sz="4" w:space="0" w:color="auto"/>
              <w:right w:val="single" w:sz="4" w:space="0" w:color="auto"/>
            </w:tcBorders>
            <w:shd w:val="clear" w:color="auto" w:fill="auto"/>
            <w:vAlign w:val="center"/>
            <w:hideMark/>
          </w:tcPr>
          <w:p w14:paraId="37B01B96"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637,9</w:t>
            </w:r>
          </w:p>
        </w:tc>
        <w:tc>
          <w:tcPr>
            <w:tcW w:w="1040" w:type="dxa"/>
            <w:tcBorders>
              <w:top w:val="nil"/>
              <w:left w:val="nil"/>
              <w:bottom w:val="single" w:sz="4" w:space="0" w:color="auto"/>
              <w:right w:val="single" w:sz="4" w:space="0" w:color="auto"/>
            </w:tcBorders>
            <w:shd w:val="clear" w:color="auto" w:fill="auto"/>
            <w:vAlign w:val="center"/>
            <w:hideMark/>
          </w:tcPr>
          <w:p w14:paraId="7A1F1ED5"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709,1</w:t>
            </w:r>
          </w:p>
        </w:tc>
        <w:tc>
          <w:tcPr>
            <w:tcW w:w="1040" w:type="dxa"/>
            <w:tcBorders>
              <w:top w:val="nil"/>
              <w:left w:val="nil"/>
              <w:bottom w:val="single" w:sz="4" w:space="0" w:color="auto"/>
              <w:right w:val="single" w:sz="4" w:space="0" w:color="auto"/>
            </w:tcBorders>
            <w:shd w:val="clear" w:color="auto" w:fill="auto"/>
            <w:vAlign w:val="center"/>
            <w:hideMark/>
          </w:tcPr>
          <w:p w14:paraId="16EECD50"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92.987</w:t>
            </w:r>
          </w:p>
        </w:tc>
        <w:tc>
          <w:tcPr>
            <w:tcW w:w="1040" w:type="dxa"/>
            <w:tcBorders>
              <w:top w:val="nil"/>
              <w:left w:val="nil"/>
              <w:bottom w:val="single" w:sz="4" w:space="0" w:color="auto"/>
              <w:right w:val="single" w:sz="4" w:space="0" w:color="auto"/>
            </w:tcBorders>
            <w:shd w:val="clear" w:color="auto" w:fill="auto"/>
            <w:vAlign w:val="center"/>
            <w:hideMark/>
          </w:tcPr>
          <w:p w14:paraId="62473A52"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98.421</w:t>
            </w:r>
          </w:p>
        </w:tc>
        <w:tc>
          <w:tcPr>
            <w:tcW w:w="1040" w:type="dxa"/>
            <w:tcBorders>
              <w:top w:val="nil"/>
              <w:left w:val="nil"/>
              <w:bottom w:val="single" w:sz="4" w:space="0" w:color="auto"/>
              <w:right w:val="single" w:sz="4" w:space="0" w:color="auto"/>
            </w:tcBorders>
            <w:shd w:val="clear" w:color="auto" w:fill="auto"/>
            <w:vAlign w:val="center"/>
            <w:hideMark/>
          </w:tcPr>
          <w:p w14:paraId="619547D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104.133</w:t>
            </w:r>
          </w:p>
        </w:tc>
      </w:tr>
      <w:tr w:rsidR="00617C3E" w:rsidRPr="00A474C9" w14:paraId="1D8576B9"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718908B6" w14:textId="77777777" w:rsidR="00617C3E" w:rsidRPr="00A474C9" w:rsidRDefault="00617C3E" w:rsidP="00617C3E">
            <w:pPr>
              <w:spacing w:after="0" w:line="240" w:lineRule="auto"/>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3120310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163,8</w:t>
            </w:r>
          </w:p>
        </w:tc>
        <w:tc>
          <w:tcPr>
            <w:tcW w:w="1040" w:type="dxa"/>
            <w:tcBorders>
              <w:top w:val="nil"/>
              <w:left w:val="nil"/>
              <w:bottom w:val="single" w:sz="4" w:space="0" w:color="auto"/>
              <w:right w:val="single" w:sz="4" w:space="0" w:color="auto"/>
            </w:tcBorders>
            <w:shd w:val="clear" w:color="auto" w:fill="auto"/>
            <w:vAlign w:val="center"/>
            <w:hideMark/>
          </w:tcPr>
          <w:p w14:paraId="3B054CE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217,3</w:t>
            </w:r>
          </w:p>
        </w:tc>
        <w:tc>
          <w:tcPr>
            <w:tcW w:w="1040" w:type="dxa"/>
            <w:tcBorders>
              <w:top w:val="nil"/>
              <w:left w:val="nil"/>
              <w:bottom w:val="single" w:sz="4" w:space="0" w:color="auto"/>
              <w:right w:val="single" w:sz="4" w:space="0" w:color="auto"/>
            </w:tcBorders>
            <w:shd w:val="clear" w:color="auto" w:fill="auto"/>
            <w:vAlign w:val="center"/>
            <w:hideMark/>
          </w:tcPr>
          <w:p w14:paraId="5563393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271,8</w:t>
            </w:r>
          </w:p>
        </w:tc>
        <w:tc>
          <w:tcPr>
            <w:tcW w:w="1040" w:type="dxa"/>
            <w:tcBorders>
              <w:top w:val="nil"/>
              <w:left w:val="nil"/>
              <w:bottom w:val="single" w:sz="4" w:space="0" w:color="auto"/>
              <w:right w:val="single" w:sz="4" w:space="0" w:color="auto"/>
            </w:tcBorders>
            <w:shd w:val="clear" w:color="auto" w:fill="auto"/>
            <w:vAlign w:val="center"/>
            <w:hideMark/>
          </w:tcPr>
          <w:p w14:paraId="5A95E464"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36.557</w:t>
            </w:r>
          </w:p>
        </w:tc>
        <w:tc>
          <w:tcPr>
            <w:tcW w:w="1040" w:type="dxa"/>
            <w:tcBorders>
              <w:top w:val="nil"/>
              <w:left w:val="nil"/>
              <w:bottom w:val="single" w:sz="4" w:space="0" w:color="auto"/>
              <w:right w:val="single" w:sz="4" w:space="0" w:color="auto"/>
            </w:tcBorders>
            <w:shd w:val="clear" w:color="auto" w:fill="auto"/>
            <w:vAlign w:val="center"/>
            <w:hideMark/>
          </w:tcPr>
          <w:p w14:paraId="4367B721"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43.940</w:t>
            </w:r>
          </w:p>
        </w:tc>
        <w:tc>
          <w:tcPr>
            <w:tcW w:w="1040" w:type="dxa"/>
            <w:tcBorders>
              <w:top w:val="nil"/>
              <w:left w:val="nil"/>
              <w:bottom w:val="single" w:sz="4" w:space="0" w:color="auto"/>
              <w:right w:val="single" w:sz="4" w:space="0" w:color="auto"/>
            </w:tcBorders>
            <w:shd w:val="clear" w:color="auto" w:fill="auto"/>
            <w:vAlign w:val="center"/>
            <w:hideMark/>
          </w:tcPr>
          <w:p w14:paraId="7CE94EEB"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50.460</w:t>
            </w:r>
          </w:p>
        </w:tc>
      </w:tr>
      <w:tr w:rsidR="00617C3E" w:rsidRPr="00A474C9" w14:paraId="43096762"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242859AC"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OSNOVA ZA AKONTACIJO DOHODNINE</w:t>
            </w:r>
          </w:p>
        </w:tc>
        <w:tc>
          <w:tcPr>
            <w:tcW w:w="1040" w:type="dxa"/>
            <w:tcBorders>
              <w:top w:val="nil"/>
              <w:left w:val="nil"/>
              <w:bottom w:val="single" w:sz="4" w:space="0" w:color="auto"/>
              <w:right w:val="single" w:sz="4" w:space="0" w:color="auto"/>
            </w:tcBorders>
            <w:shd w:val="clear" w:color="auto" w:fill="auto"/>
            <w:vAlign w:val="center"/>
            <w:hideMark/>
          </w:tcPr>
          <w:p w14:paraId="3B04D362"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212,6</w:t>
            </w:r>
          </w:p>
        </w:tc>
        <w:tc>
          <w:tcPr>
            <w:tcW w:w="1040" w:type="dxa"/>
            <w:tcBorders>
              <w:top w:val="nil"/>
              <w:left w:val="nil"/>
              <w:bottom w:val="single" w:sz="4" w:space="0" w:color="auto"/>
              <w:right w:val="single" w:sz="4" w:space="0" w:color="auto"/>
            </w:tcBorders>
            <w:shd w:val="clear" w:color="auto" w:fill="auto"/>
            <w:vAlign w:val="center"/>
            <w:hideMark/>
          </w:tcPr>
          <w:p w14:paraId="432E1D69"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219,5</w:t>
            </w:r>
          </w:p>
        </w:tc>
        <w:tc>
          <w:tcPr>
            <w:tcW w:w="1040" w:type="dxa"/>
            <w:tcBorders>
              <w:top w:val="nil"/>
              <w:left w:val="nil"/>
              <w:bottom w:val="single" w:sz="4" w:space="0" w:color="auto"/>
              <w:right w:val="single" w:sz="4" w:space="0" w:color="auto"/>
            </w:tcBorders>
            <w:shd w:val="clear" w:color="auto" w:fill="auto"/>
            <w:vAlign w:val="center"/>
            <w:hideMark/>
          </w:tcPr>
          <w:p w14:paraId="5B2B1192"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237,1</w:t>
            </w:r>
          </w:p>
        </w:tc>
        <w:tc>
          <w:tcPr>
            <w:tcW w:w="1040" w:type="dxa"/>
            <w:tcBorders>
              <w:top w:val="nil"/>
              <w:left w:val="nil"/>
              <w:bottom w:val="single" w:sz="4" w:space="0" w:color="auto"/>
              <w:right w:val="single" w:sz="4" w:space="0" w:color="auto"/>
            </w:tcBorders>
            <w:shd w:val="clear" w:color="auto" w:fill="auto"/>
            <w:vAlign w:val="center"/>
            <w:hideMark/>
          </w:tcPr>
          <w:p w14:paraId="1E4DF25F"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26.493</w:t>
            </w:r>
          </w:p>
        </w:tc>
        <w:tc>
          <w:tcPr>
            <w:tcW w:w="1040" w:type="dxa"/>
            <w:tcBorders>
              <w:top w:val="nil"/>
              <w:left w:val="nil"/>
              <w:bottom w:val="single" w:sz="4" w:space="0" w:color="auto"/>
              <w:right w:val="single" w:sz="4" w:space="0" w:color="auto"/>
            </w:tcBorders>
            <w:shd w:val="clear" w:color="auto" w:fill="auto"/>
            <w:vAlign w:val="center"/>
            <w:hideMark/>
          </w:tcPr>
          <w:p w14:paraId="2F57E24E"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25.631</w:t>
            </w:r>
          </w:p>
        </w:tc>
        <w:tc>
          <w:tcPr>
            <w:tcW w:w="1040" w:type="dxa"/>
            <w:tcBorders>
              <w:top w:val="nil"/>
              <w:left w:val="nil"/>
              <w:bottom w:val="single" w:sz="4" w:space="0" w:color="auto"/>
              <w:right w:val="single" w:sz="4" w:space="0" w:color="auto"/>
            </w:tcBorders>
            <w:shd w:val="clear" w:color="auto" w:fill="auto"/>
            <w:vAlign w:val="center"/>
            <w:hideMark/>
          </w:tcPr>
          <w:p w14:paraId="5991A23A"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26.235</w:t>
            </w:r>
          </w:p>
        </w:tc>
      </w:tr>
      <w:tr w:rsidR="00617C3E" w:rsidRPr="00A474C9" w14:paraId="62C892ED"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5ACFEC0C" w14:textId="77777777" w:rsidR="00617C3E" w:rsidRPr="00A474C9" w:rsidRDefault="00617C3E" w:rsidP="00617C3E">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DAVČNA OBVEZNOST (20-21-22)</w:t>
            </w:r>
          </w:p>
        </w:tc>
        <w:tc>
          <w:tcPr>
            <w:tcW w:w="1040" w:type="dxa"/>
            <w:tcBorders>
              <w:top w:val="nil"/>
              <w:left w:val="nil"/>
              <w:bottom w:val="single" w:sz="4" w:space="0" w:color="auto"/>
              <w:right w:val="single" w:sz="4" w:space="0" w:color="auto"/>
            </w:tcBorders>
            <w:shd w:val="clear" w:color="auto" w:fill="auto"/>
            <w:vAlign w:val="center"/>
            <w:hideMark/>
          </w:tcPr>
          <w:p w14:paraId="759F7334"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86,6</w:t>
            </w:r>
          </w:p>
        </w:tc>
        <w:tc>
          <w:tcPr>
            <w:tcW w:w="1040" w:type="dxa"/>
            <w:tcBorders>
              <w:top w:val="nil"/>
              <w:left w:val="nil"/>
              <w:bottom w:val="single" w:sz="4" w:space="0" w:color="auto"/>
              <w:right w:val="single" w:sz="4" w:space="0" w:color="auto"/>
            </w:tcBorders>
            <w:shd w:val="clear" w:color="auto" w:fill="auto"/>
            <w:vAlign w:val="center"/>
            <w:hideMark/>
          </w:tcPr>
          <w:p w14:paraId="011392D9"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97,6</w:t>
            </w:r>
          </w:p>
        </w:tc>
        <w:tc>
          <w:tcPr>
            <w:tcW w:w="1040" w:type="dxa"/>
            <w:tcBorders>
              <w:top w:val="nil"/>
              <w:left w:val="nil"/>
              <w:bottom w:val="single" w:sz="4" w:space="0" w:color="auto"/>
              <w:right w:val="single" w:sz="4" w:space="0" w:color="auto"/>
            </w:tcBorders>
            <w:shd w:val="clear" w:color="auto" w:fill="auto"/>
            <w:vAlign w:val="center"/>
            <w:hideMark/>
          </w:tcPr>
          <w:p w14:paraId="66F5332C" w14:textId="77777777" w:rsidR="00617C3E" w:rsidRPr="00A474C9" w:rsidRDefault="00617C3E" w:rsidP="00617C3E">
            <w:pPr>
              <w:spacing w:after="0" w:line="240" w:lineRule="auto"/>
              <w:ind w:firstLineChars="100" w:firstLine="180"/>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112,9</w:t>
            </w:r>
          </w:p>
        </w:tc>
        <w:tc>
          <w:tcPr>
            <w:tcW w:w="1040" w:type="dxa"/>
            <w:tcBorders>
              <w:top w:val="nil"/>
              <w:left w:val="nil"/>
              <w:bottom w:val="single" w:sz="4" w:space="0" w:color="auto"/>
              <w:right w:val="single" w:sz="4" w:space="0" w:color="auto"/>
            </w:tcBorders>
            <w:shd w:val="clear" w:color="auto" w:fill="auto"/>
            <w:vAlign w:val="center"/>
            <w:hideMark/>
          </w:tcPr>
          <w:p w14:paraId="67B8FC7E"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62.956</w:t>
            </w:r>
          </w:p>
        </w:tc>
        <w:tc>
          <w:tcPr>
            <w:tcW w:w="1040" w:type="dxa"/>
            <w:tcBorders>
              <w:top w:val="nil"/>
              <w:left w:val="nil"/>
              <w:bottom w:val="single" w:sz="4" w:space="0" w:color="auto"/>
              <w:right w:val="single" w:sz="4" w:space="0" w:color="auto"/>
            </w:tcBorders>
            <w:shd w:val="clear" w:color="auto" w:fill="auto"/>
            <w:vAlign w:val="center"/>
            <w:hideMark/>
          </w:tcPr>
          <w:p w14:paraId="3EBB6D74"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69.477</w:t>
            </w:r>
          </w:p>
        </w:tc>
        <w:tc>
          <w:tcPr>
            <w:tcW w:w="1040" w:type="dxa"/>
            <w:tcBorders>
              <w:top w:val="nil"/>
              <w:left w:val="nil"/>
              <w:bottom w:val="single" w:sz="4" w:space="0" w:color="auto"/>
              <w:right w:val="single" w:sz="4" w:space="0" w:color="auto"/>
            </w:tcBorders>
            <w:shd w:val="clear" w:color="auto" w:fill="auto"/>
            <w:vAlign w:val="center"/>
            <w:hideMark/>
          </w:tcPr>
          <w:p w14:paraId="3762C266"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76.579</w:t>
            </w:r>
          </w:p>
        </w:tc>
      </w:tr>
      <w:tr w:rsidR="00617C3E" w:rsidRPr="00A474C9" w14:paraId="70F04554" w14:textId="77777777" w:rsidTr="00617C3E">
        <w:trPr>
          <w:trHeight w:val="285"/>
        </w:trPr>
        <w:tc>
          <w:tcPr>
            <w:tcW w:w="3500" w:type="dxa"/>
            <w:tcBorders>
              <w:top w:val="nil"/>
              <w:left w:val="single" w:sz="4" w:space="0" w:color="auto"/>
              <w:bottom w:val="single" w:sz="4" w:space="0" w:color="auto"/>
              <w:right w:val="single" w:sz="4" w:space="0" w:color="auto"/>
            </w:tcBorders>
            <w:shd w:val="clear" w:color="auto" w:fill="auto"/>
            <w:vAlign w:val="center"/>
            <w:hideMark/>
          </w:tcPr>
          <w:p w14:paraId="43B98010" w14:textId="77777777" w:rsidR="00617C3E" w:rsidRPr="00A474C9" w:rsidRDefault="00617C3E" w:rsidP="00617C3E">
            <w:pPr>
              <w:spacing w:after="0" w:line="240" w:lineRule="auto"/>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 xml:space="preserve">   od tega "normiranci"</w:t>
            </w:r>
          </w:p>
        </w:tc>
        <w:tc>
          <w:tcPr>
            <w:tcW w:w="1040" w:type="dxa"/>
            <w:tcBorders>
              <w:top w:val="nil"/>
              <w:left w:val="nil"/>
              <w:bottom w:val="single" w:sz="4" w:space="0" w:color="auto"/>
              <w:right w:val="single" w:sz="4" w:space="0" w:color="auto"/>
            </w:tcBorders>
            <w:shd w:val="clear" w:color="auto" w:fill="auto"/>
            <w:vAlign w:val="center"/>
            <w:hideMark/>
          </w:tcPr>
          <w:p w14:paraId="3E72CA38"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32,7</w:t>
            </w:r>
          </w:p>
        </w:tc>
        <w:tc>
          <w:tcPr>
            <w:tcW w:w="1040" w:type="dxa"/>
            <w:tcBorders>
              <w:top w:val="nil"/>
              <w:left w:val="nil"/>
              <w:bottom w:val="single" w:sz="4" w:space="0" w:color="auto"/>
              <w:right w:val="single" w:sz="4" w:space="0" w:color="auto"/>
            </w:tcBorders>
            <w:shd w:val="clear" w:color="auto" w:fill="auto"/>
            <w:vAlign w:val="center"/>
            <w:hideMark/>
          </w:tcPr>
          <w:p w14:paraId="54C4891B"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43,4</w:t>
            </w:r>
          </w:p>
        </w:tc>
        <w:tc>
          <w:tcPr>
            <w:tcW w:w="1040" w:type="dxa"/>
            <w:tcBorders>
              <w:top w:val="nil"/>
              <w:left w:val="nil"/>
              <w:bottom w:val="single" w:sz="4" w:space="0" w:color="auto"/>
              <w:right w:val="single" w:sz="4" w:space="0" w:color="auto"/>
            </w:tcBorders>
            <w:shd w:val="clear" w:color="auto" w:fill="auto"/>
            <w:vAlign w:val="center"/>
            <w:hideMark/>
          </w:tcPr>
          <w:p w14:paraId="12CCA495"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54,3</w:t>
            </w:r>
          </w:p>
        </w:tc>
        <w:tc>
          <w:tcPr>
            <w:tcW w:w="1040" w:type="dxa"/>
            <w:tcBorders>
              <w:top w:val="nil"/>
              <w:left w:val="nil"/>
              <w:bottom w:val="nil"/>
              <w:right w:val="nil"/>
            </w:tcBorders>
            <w:shd w:val="clear" w:color="auto" w:fill="auto"/>
            <w:vAlign w:val="center"/>
            <w:hideMark/>
          </w:tcPr>
          <w:p w14:paraId="4FD29E74" w14:textId="77777777" w:rsidR="00617C3E" w:rsidRPr="00A474C9" w:rsidRDefault="00617C3E" w:rsidP="00617C3E">
            <w:pPr>
              <w:spacing w:after="0" w:line="240" w:lineRule="auto"/>
              <w:ind w:firstLineChars="100" w:firstLine="180"/>
              <w:jc w:val="right"/>
              <w:rPr>
                <w:rFonts w:ascii="Arial" w:eastAsia="Times New Roman" w:hAnsi="Arial" w:cs="Arial"/>
                <w:i/>
                <w:iCs/>
                <w:sz w:val="18"/>
                <w:szCs w:val="18"/>
                <w:lang w:eastAsia="sl-SI"/>
              </w:rPr>
            </w:pPr>
          </w:p>
        </w:tc>
        <w:tc>
          <w:tcPr>
            <w:tcW w:w="1040" w:type="dxa"/>
            <w:tcBorders>
              <w:top w:val="nil"/>
              <w:left w:val="nil"/>
              <w:bottom w:val="nil"/>
              <w:right w:val="nil"/>
            </w:tcBorders>
            <w:shd w:val="clear" w:color="auto" w:fill="auto"/>
            <w:vAlign w:val="center"/>
            <w:hideMark/>
          </w:tcPr>
          <w:p w14:paraId="5E159611"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c>
          <w:tcPr>
            <w:tcW w:w="1040" w:type="dxa"/>
            <w:tcBorders>
              <w:top w:val="nil"/>
              <w:left w:val="nil"/>
              <w:bottom w:val="nil"/>
              <w:right w:val="nil"/>
            </w:tcBorders>
            <w:shd w:val="clear" w:color="auto" w:fill="auto"/>
            <w:vAlign w:val="center"/>
            <w:hideMark/>
          </w:tcPr>
          <w:p w14:paraId="7D2AE06A"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r>
      <w:tr w:rsidR="00617C3E" w:rsidRPr="00A474C9" w14:paraId="4E9BCDCF" w14:textId="77777777" w:rsidTr="00617C3E">
        <w:trPr>
          <w:trHeight w:val="285"/>
        </w:trPr>
        <w:tc>
          <w:tcPr>
            <w:tcW w:w="3500" w:type="dxa"/>
            <w:tcBorders>
              <w:top w:val="nil"/>
              <w:left w:val="single" w:sz="4" w:space="0" w:color="auto"/>
              <w:bottom w:val="single" w:sz="4" w:space="0" w:color="auto"/>
              <w:right w:val="single" w:sz="4" w:space="0" w:color="auto"/>
            </w:tcBorders>
            <w:shd w:val="clear" w:color="000000" w:fill="C5D9F1"/>
            <w:vAlign w:val="bottom"/>
            <w:hideMark/>
          </w:tcPr>
          <w:p w14:paraId="4CA0AD69"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Efektivna davčna stopnja</w:t>
            </w:r>
          </w:p>
        </w:tc>
        <w:tc>
          <w:tcPr>
            <w:tcW w:w="1040" w:type="dxa"/>
            <w:tcBorders>
              <w:top w:val="nil"/>
              <w:left w:val="nil"/>
              <w:bottom w:val="single" w:sz="4" w:space="0" w:color="auto"/>
              <w:right w:val="single" w:sz="4" w:space="0" w:color="auto"/>
            </w:tcBorders>
            <w:shd w:val="clear" w:color="000000" w:fill="C5D9F1"/>
            <w:noWrap/>
            <w:vAlign w:val="bottom"/>
            <w:hideMark/>
          </w:tcPr>
          <w:p w14:paraId="4B2985C3" w14:textId="01CB0871"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13,0</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bottom"/>
            <w:hideMark/>
          </w:tcPr>
          <w:p w14:paraId="12FD63E8" w14:textId="650F7818"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13,4</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bottom"/>
            <w:hideMark/>
          </w:tcPr>
          <w:p w14:paraId="1DEE7B7F" w14:textId="1D7F0E89"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13,9</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nil"/>
              <w:right w:val="nil"/>
            </w:tcBorders>
            <w:shd w:val="clear" w:color="auto" w:fill="auto"/>
            <w:noWrap/>
            <w:vAlign w:val="bottom"/>
            <w:hideMark/>
          </w:tcPr>
          <w:p w14:paraId="61048429" w14:textId="77777777"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p>
        </w:tc>
        <w:tc>
          <w:tcPr>
            <w:tcW w:w="1040" w:type="dxa"/>
            <w:tcBorders>
              <w:top w:val="nil"/>
              <w:left w:val="nil"/>
              <w:bottom w:val="nil"/>
              <w:right w:val="nil"/>
            </w:tcBorders>
            <w:shd w:val="clear" w:color="auto" w:fill="auto"/>
            <w:noWrap/>
            <w:vAlign w:val="bottom"/>
            <w:hideMark/>
          </w:tcPr>
          <w:p w14:paraId="054F0E9C"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c>
          <w:tcPr>
            <w:tcW w:w="1040" w:type="dxa"/>
            <w:tcBorders>
              <w:top w:val="nil"/>
              <w:left w:val="nil"/>
              <w:bottom w:val="nil"/>
              <w:right w:val="nil"/>
            </w:tcBorders>
            <w:shd w:val="clear" w:color="auto" w:fill="auto"/>
            <w:noWrap/>
            <w:vAlign w:val="bottom"/>
            <w:hideMark/>
          </w:tcPr>
          <w:p w14:paraId="44F037DC"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r>
      <w:tr w:rsidR="00617C3E" w:rsidRPr="00A474C9" w14:paraId="74AAA461" w14:textId="77777777" w:rsidTr="00617C3E">
        <w:trPr>
          <w:trHeight w:val="480"/>
        </w:trPr>
        <w:tc>
          <w:tcPr>
            <w:tcW w:w="3500" w:type="dxa"/>
            <w:tcBorders>
              <w:top w:val="nil"/>
              <w:left w:val="single" w:sz="4" w:space="0" w:color="auto"/>
              <w:bottom w:val="single" w:sz="4" w:space="0" w:color="auto"/>
              <w:right w:val="single" w:sz="4" w:space="0" w:color="auto"/>
            </w:tcBorders>
            <w:shd w:val="clear" w:color="000000" w:fill="C5D9F1"/>
            <w:vAlign w:val="bottom"/>
            <w:hideMark/>
          </w:tcPr>
          <w:p w14:paraId="4A3364B3"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Povprečna davčna stopnja brez "normirancev"</w:t>
            </w:r>
          </w:p>
        </w:tc>
        <w:tc>
          <w:tcPr>
            <w:tcW w:w="1040" w:type="dxa"/>
            <w:tcBorders>
              <w:top w:val="nil"/>
              <w:left w:val="nil"/>
              <w:bottom w:val="single" w:sz="4" w:space="0" w:color="auto"/>
              <w:right w:val="single" w:sz="4" w:space="0" w:color="auto"/>
            </w:tcBorders>
            <w:shd w:val="clear" w:color="000000" w:fill="C5D9F1"/>
            <w:noWrap/>
            <w:vAlign w:val="center"/>
            <w:hideMark/>
          </w:tcPr>
          <w:p w14:paraId="30AB1373" w14:textId="7F02BF92"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25,4</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center"/>
            <w:hideMark/>
          </w:tcPr>
          <w:p w14:paraId="2E15F640" w14:textId="4D16CEA7"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24,7</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single" w:sz="4" w:space="0" w:color="auto"/>
              <w:right w:val="single" w:sz="4" w:space="0" w:color="auto"/>
            </w:tcBorders>
            <w:shd w:val="clear" w:color="000000" w:fill="C5D9F1"/>
            <w:noWrap/>
            <w:vAlign w:val="center"/>
            <w:hideMark/>
          </w:tcPr>
          <w:p w14:paraId="1B94B611" w14:textId="2E5D51C5"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24,7</w:t>
            </w:r>
            <w:r w:rsidR="005F5D8F">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1040" w:type="dxa"/>
            <w:tcBorders>
              <w:top w:val="nil"/>
              <w:left w:val="nil"/>
              <w:bottom w:val="nil"/>
              <w:right w:val="nil"/>
            </w:tcBorders>
            <w:shd w:val="clear" w:color="auto" w:fill="auto"/>
            <w:noWrap/>
            <w:vAlign w:val="bottom"/>
            <w:hideMark/>
          </w:tcPr>
          <w:p w14:paraId="33196239" w14:textId="77777777" w:rsidR="00617C3E" w:rsidRPr="00A474C9" w:rsidRDefault="00617C3E" w:rsidP="00617C3E">
            <w:pPr>
              <w:spacing w:after="0" w:line="240" w:lineRule="auto"/>
              <w:ind w:firstLineChars="100" w:firstLine="180"/>
              <w:jc w:val="right"/>
              <w:rPr>
                <w:rFonts w:ascii="Arial" w:eastAsia="Times New Roman" w:hAnsi="Arial" w:cs="Arial"/>
                <w:color w:val="000000"/>
                <w:sz w:val="18"/>
                <w:szCs w:val="18"/>
                <w:lang w:eastAsia="sl-SI"/>
              </w:rPr>
            </w:pPr>
          </w:p>
        </w:tc>
        <w:tc>
          <w:tcPr>
            <w:tcW w:w="1040" w:type="dxa"/>
            <w:tcBorders>
              <w:top w:val="nil"/>
              <w:left w:val="nil"/>
              <w:bottom w:val="nil"/>
              <w:right w:val="nil"/>
            </w:tcBorders>
            <w:shd w:val="clear" w:color="auto" w:fill="auto"/>
            <w:noWrap/>
            <w:vAlign w:val="bottom"/>
            <w:hideMark/>
          </w:tcPr>
          <w:p w14:paraId="6FD9F973"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c>
          <w:tcPr>
            <w:tcW w:w="1040" w:type="dxa"/>
            <w:tcBorders>
              <w:top w:val="nil"/>
              <w:left w:val="nil"/>
              <w:bottom w:val="nil"/>
              <w:right w:val="nil"/>
            </w:tcBorders>
            <w:shd w:val="clear" w:color="auto" w:fill="auto"/>
            <w:vAlign w:val="center"/>
            <w:hideMark/>
          </w:tcPr>
          <w:p w14:paraId="18439B54" w14:textId="77777777" w:rsidR="00617C3E" w:rsidRPr="00012435" w:rsidRDefault="00617C3E" w:rsidP="00617C3E">
            <w:pPr>
              <w:spacing w:after="0" w:line="240" w:lineRule="auto"/>
              <w:ind w:firstLineChars="100" w:firstLine="180"/>
              <w:jc w:val="right"/>
              <w:rPr>
                <w:rFonts w:ascii="Times New Roman" w:eastAsia="Times New Roman" w:hAnsi="Times New Roman"/>
                <w:sz w:val="18"/>
                <w:szCs w:val="18"/>
                <w:lang w:eastAsia="sl-SI"/>
              </w:rPr>
            </w:pPr>
          </w:p>
        </w:tc>
      </w:tr>
    </w:tbl>
    <w:p w14:paraId="6DD817E3" w14:textId="4895656F" w:rsidR="00E4026D" w:rsidRPr="00012435" w:rsidRDefault="00E4026D" w:rsidP="00E4026D">
      <w:pPr>
        <w:pStyle w:val="NoSpacing"/>
        <w:rPr>
          <w:rFonts w:ascii="Arial" w:hAnsi="Arial" w:cs="Arial"/>
          <w:i/>
          <w:sz w:val="18"/>
          <w:szCs w:val="18"/>
        </w:rPr>
      </w:pPr>
      <w:r w:rsidRPr="00012435">
        <w:rPr>
          <w:rFonts w:ascii="Arial" w:hAnsi="Arial" w:cs="Arial"/>
          <w:i/>
          <w:iCs/>
          <w:sz w:val="18"/>
          <w:szCs w:val="18"/>
          <w:lang w:eastAsia="sl-SI"/>
        </w:rPr>
        <w:t xml:space="preserve">Vir: Obračun akontacije dohodnine </w:t>
      </w:r>
      <w:r w:rsidR="00CE1525">
        <w:rPr>
          <w:rFonts w:ascii="Arial" w:hAnsi="Arial" w:cs="Arial"/>
          <w:i/>
          <w:iCs/>
          <w:sz w:val="18"/>
          <w:szCs w:val="18"/>
          <w:lang w:eastAsia="sl-SI"/>
        </w:rPr>
        <w:t xml:space="preserve">in dohodnine </w:t>
      </w:r>
      <w:r w:rsidRPr="00012435">
        <w:rPr>
          <w:rFonts w:ascii="Arial" w:hAnsi="Arial" w:cs="Arial"/>
          <w:i/>
          <w:iCs/>
          <w:sz w:val="18"/>
          <w:szCs w:val="18"/>
          <w:lang w:eastAsia="sl-SI"/>
        </w:rPr>
        <w:t xml:space="preserve">od dohodkov iz dejavnosti, FURS in </w:t>
      </w:r>
      <w:r w:rsidR="005F5D8F">
        <w:rPr>
          <w:rFonts w:ascii="Arial" w:hAnsi="Arial" w:cs="Arial"/>
          <w:i/>
          <w:iCs/>
          <w:sz w:val="18"/>
          <w:szCs w:val="18"/>
          <w:lang w:eastAsia="sl-SI"/>
        </w:rPr>
        <w:t>l</w:t>
      </w:r>
      <w:r w:rsidRPr="00012435">
        <w:rPr>
          <w:rFonts w:ascii="Arial" w:hAnsi="Arial" w:cs="Arial"/>
          <w:i/>
          <w:iCs/>
          <w:sz w:val="18"/>
          <w:szCs w:val="18"/>
          <w:lang w:eastAsia="sl-SI"/>
        </w:rPr>
        <w:t>astni preračuni MF</w:t>
      </w:r>
      <w:r w:rsidR="005F5D8F">
        <w:rPr>
          <w:rFonts w:ascii="Arial" w:hAnsi="Arial" w:cs="Arial"/>
          <w:i/>
          <w:iCs/>
          <w:sz w:val="18"/>
          <w:szCs w:val="18"/>
          <w:lang w:eastAsia="sl-SI"/>
        </w:rPr>
        <w:t>.</w:t>
      </w:r>
    </w:p>
    <w:p w14:paraId="161950D6" w14:textId="77777777" w:rsidR="00E4026D" w:rsidRPr="00012435" w:rsidRDefault="00E4026D" w:rsidP="00012435">
      <w:pPr>
        <w:autoSpaceDE w:val="0"/>
        <w:autoSpaceDN w:val="0"/>
        <w:adjustRightInd w:val="0"/>
        <w:spacing w:after="0" w:line="260" w:lineRule="atLeast"/>
        <w:jc w:val="both"/>
        <w:rPr>
          <w:rFonts w:ascii="Arial" w:hAnsi="Arial" w:cs="Arial"/>
          <w:color w:val="7F7F7F"/>
          <w:sz w:val="20"/>
          <w:szCs w:val="20"/>
        </w:rPr>
      </w:pPr>
    </w:p>
    <w:p w14:paraId="643ECE79" w14:textId="58FE9FEA" w:rsidR="00E4026D" w:rsidRPr="00012435" w:rsidRDefault="00E4026D" w:rsidP="00012435">
      <w:pPr>
        <w:autoSpaceDE w:val="0"/>
        <w:autoSpaceDN w:val="0"/>
        <w:adjustRightInd w:val="0"/>
        <w:spacing w:after="0" w:line="260" w:lineRule="atLeast"/>
        <w:jc w:val="both"/>
        <w:rPr>
          <w:rFonts w:ascii="Arial" w:hAnsi="Arial" w:cs="Arial"/>
          <w:sz w:val="20"/>
          <w:szCs w:val="20"/>
        </w:rPr>
      </w:pPr>
      <w:r w:rsidRPr="00012435">
        <w:rPr>
          <w:rFonts w:ascii="Arial" w:hAnsi="Arial" w:cs="Arial"/>
          <w:sz w:val="20"/>
          <w:szCs w:val="20"/>
        </w:rPr>
        <w:t xml:space="preserve">V letu 2018 so zavezanci za davek od dohodkov iz dejavnosti oddali 119.352 davčnih obračunov, od tega je bilo 53.128 obračunov »normirancev«. Pozitivno davčno osnovo je ugotovila večina </w:t>
      </w:r>
      <w:r w:rsidR="00390A2A">
        <w:rPr>
          <w:rFonts w:ascii="Arial" w:hAnsi="Arial" w:cs="Arial"/>
          <w:sz w:val="20"/>
          <w:szCs w:val="20"/>
        </w:rPr>
        <w:t>oziroma</w:t>
      </w:r>
      <w:r w:rsidRPr="00012435">
        <w:rPr>
          <w:rFonts w:ascii="Arial" w:hAnsi="Arial" w:cs="Arial"/>
          <w:sz w:val="20"/>
          <w:szCs w:val="20"/>
        </w:rPr>
        <w:t xml:space="preserve"> 105.338 zavezancev</w:t>
      </w:r>
      <w:r w:rsidR="00A942FA">
        <w:rPr>
          <w:rFonts w:ascii="Arial" w:hAnsi="Arial" w:cs="Arial"/>
          <w:sz w:val="20"/>
          <w:szCs w:val="20"/>
        </w:rPr>
        <w:t>.</w:t>
      </w:r>
      <w:r w:rsidRPr="00012435">
        <w:rPr>
          <w:rFonts w:ascii="Arial" w:hAnsi="Arial" w:cs="Arial"/>
          <w:sz w:val="20"/>
          <w:szCs w:val="20"/>
        </w:rPr>
        <w:t xml:space="preserve"> Če izločimo »normirance«, je od </w:t>
      </w:r>
      <w:r w:rsidR="00423215" w:rsidRPr="00423215">
        <w:rPr>
          <w:rFonts w:ascii="Arial" w:hAnsi="Arial" w:cs="Arial"/>
          <w:sz w:val="20"/>
          <w:szCs w:val="20"/>
        </w:rPr>
        <w:t>54.878</w:t>
      </w:r>
      <w:r w:rsidRPr="00012435">
        <w:rPr>
          <w:rFonts w:ascii="Arial" w:hAnsi="Arial" w:cs="Arial"/>
          <w:sz w:val="20"/>
          <w:szCs w:val="20"/>
        </w:rPr>
        <w:t xml:space="preserve"> zavezancev s pozitivno davčno osnovo 18.240 uveljavljalo zmanjšanje davčne osnove in davčne olajšave iz naslova opravljanja dejavnosti v višini 101 mio evrov.</w:t>
      </w:r>
    </w:p>
    <w:p w14:paraId="5883E2A7" w14:textId="77777777" w:rsidR="00E4026D" w:rsidRPr="00012435" w:rsidRDefault="00E4026D" w:rsidP="00012435">
      <w:pPr>
        <w:autoSpaceDE w:val="0"/>
        <w:autoSpaceDN w:val="0"/>
        <w:adjustRightInd w:val="0"/>
        <w:spacing w:after="0" w:line="260" w:lineRule="atLeast"/>
        <w:jc w:val="both"/>
        <w:rPr>
          <w:rFonts w:ascii="Arial" w:hAnsi="Arial" w:cs="Arial"/>
          <w:color w:val="7F7F7F"/>
          <w:sz w:val="20"/>
          <w:szCs w:val="20"/>
        </w:rPr>
      </w:pPr>
    </w:p>
    <w:p w14:paraId="66F08C97" w14:textId="77777777" w:rsidR="0066096A" w:rsidRDefault="0066096A">
      <w:pPr>
        <w:spacing w:after="0" w:line="240" w:lineRule="auto"/>
        <w:rPr>
          <w:rFonts w:ascii="Arial" w:hAnsi="Arial" w:cs="Arial"/>
          <w:sz w:val="20"/>
          <w:szCs w:val="20"/>
        </w:rPr>
      </w:pPr>
      <w:r>
        <w:rPr>
          <w:rFonts w:ascii="Arial" w:hAnsi="Arial" w:cs="Arial"/>
          <w:sz w:val="20"/>
          <w:szCs w:val="20"/>
        </w:rPr>
        <w:br w:type="page"/>
      </w:r>
    </w:p>
    <w:p w14:paraId="569B13AF" w14:textId="7FF73055" w:rsidR="00E4026D" w:rsidRPr="00012435" w:rsidRDefault="009B0B27" w:rsidP="00012435">
      <w:pPr>
        <w:pStyle w:val="NoSpacing"/>
        <w:spacing w:line="260" w:lineRule="atLeast"/>
        <w:rPr>
          <w:rFonts w:ascii="Arial" w:hAnsi="Arial" w:cs="Arial"/>
          <w:sz w:val="20"/>
          <w:szCs w:val="20"/>
        </w:rPr>
      </w:pPr>
      <w:r>
        <w:rPr>
          <w:rFonts w:ascii="Arial" w:hAnsi="Arial" w:cs="Arial"/>
          <w:sz w:val="20"/>
          <w:szCs w:val="20"/>
        </w:rPr>
        <w:lastRenderedPageBreak/>
        <w:t>Preglednica</w:t>
      </w:r>
      <w:r w:rsidR="00E4026D" w:rsidRPr="00012435">
        <w:rPr>
          <w:rFonts w:ascii="Arial" w:hAnsi="Arial" w:cs="Arial"/>
          <w:sz w:val="20"/>
          <w:szCs w:val="20"/>
        </w:rPr>
        <w:t xml:space="preserve"> </w:t>
      </w:r>
      <w:r w:rsidR="00091D42">
        <w:rPr>
          <w:rFonts w:ascii="Arial" w:hAnsi="Arial" w:cs="Arial"/>
          <w:sz w:val="20"/>
          <w:szCs w:val="20"/>
        </w:rPr>
        <w:t>6</w:t>
      </w:r>
      <w:r w:rsidR="00E4026D" w:rsidRPr="00012435">
        <w:rPr>
          <w:rFonts w:ascii="Arial" w:hAnsi="Arial" w:cs="Arial"/>
          <w:sz w:val="20"/>
          <w:szCs w:val="20"/>
        </w:rPr>
        <w:t xml:space="preserve">: Učinek posameznih vrst olajšav, ki so jih uveljavljali zavezanci, ki so opravljali dejavnost v letih </w:t>
      </w:r>
      <w:r w:rsidR="00A474C9">
        <w:rPr>
          <w:rFonts w:ascii="Arial" w:hAnsi="Arial" w:cs="Arial"/>
          <w:sz w:val="20"/>
          <w:szCs w:val="20"/>
        </w:rPr>
        <w:t xml:space="preserve">od </w:t>
      </w:r>
      <w:r w:rsidR="00E4026D" w:rsidRPr="00012435">
        <w:rPr>
          <w:rFonts w:ascii="Arial" w:hAnsi="Arial" w:cs="Arial"/>
          <w:sz w:val="20"/>
          <w:szCs w:val="20"/>
        </w:rPr>
        <w:t>2016</w:t>
      </w:r>
      <w:r w:rsidR="00616D10">
        <w:rPr>
          <w:rFonts w:ascii="Arial" w:hAnsi="Arial" w:cs="Arial"/>
          <w:sz w:val="20"/>
          <w:szCs w:val="20"/>
        </w:rPr>
        <w:t xml:space="preserve"> </w:t>
      </w:r>
      <w:r w:rsidR="00A474C9">
        <w:rPr>
          <w:rFonts w:ascii="Arial" w:hAnsi="Arial" w:cs="Arial"/>
          <w:sz w:val="20"/>
          <w:szCs w:val="20"/>
        </w:rPr>
        <w:t>do</w:t>
      </w:r>
      <w:r w:rsidR="00616D10">
        <w:rPr>
          <w:rFonts w:ascii="Arial" w:hAnsi="Arial" w:cs="Arial"/>
          <w:sz w:val="20"/>
          <w:szCs w:val="20"/>
        </w:rPr>
        <w:t xml:space="preserve"> </w:t>
      </w:r>
      <w:r w:rsidR="00E4026D" w:rsidRPr="00012435">
        <w:rPr>
          <w:rFonts w:ascii="Arial" w:hAnsi="Arial" w:cs="Arial"/>
          <w:sz w:val="20"/>
          <w:szCs w:val="20"/>
        </w:rPr>
        <w:t>2018, zneski v mio evr</w:t>
      </w:r>
      <w:r w:rsidR="000B3A85">
        <w:rPr>
          <w:rFonts w:ascii="Arial" w:hAnsi="Arial" w:cs="Arial"/>
          <w:sz w:val="20"/>
          <w:szCs w:val="20"/>
        </w:rPr>
        <w:t>ov</w:t>
      </w:r>
    </w:p>
    <w:p w14:paraId="164EF373" w14:textId="5D43FD1C" w:rsidR="00E4026D" w:rsidRDefault="00E4026D" w:rsidP="00E4026D">
      <w:pPr>
        <w:pStyle w:val="NoSpacing"/>
        <w:rPr>
          <w:sz w:val="20"/>
          <w:szCs w:val="20"/>
        </w:rPr>
      </w:pPr>
    </w:p>
    <w:tbl>
      <w:tblPr>
        <w:tblW w:w="8868" w:type="dxa"/>
        <w:tblCellMar>
          <w:left w:w="70" w:type="dxa"/>
          <w:right w:w="70" w:type="dxa"/>
        </w:tblCellMar>
        <w:tblLook w:val="04A0" w:firstRow="1" w:lastRow="0" w:firstColumn="1" w:lastColumn="0" w:noHBand="0" w:noVBand="1"/>
      </w:tblPr>
      <w:tblGrid>
        <w:gridCol w:w="4008"/>
        <w:gridCol w:w="780"/>
        <w:gridCol w:w="780"/>
        <w:gridCol w:w="780"/>
        <w:gridCol w:w="840"/>
        <w:gridCol w:w="840"/>
        <w:gridCol w:w="840"/>
      </w:tblGrid>
      <w:tr w:rsidR="00617C3E" w:rsidRPr="00A474C9" w14:paraId="4133D8D8" w14:textId="77777777" w:rsidTr="00617C3E">
        <w:trPr>
          <w:trHeight w:val="285"/>
        </w:trPr>
        <w:tc>
          <w:tcPr>
            <w:tcW w:w="4008" w:type="dxa"/>
            <w:tcBorders>
              <w:top w:val="nil"/>
              <w:left w:val="nil"/>
              <w:bottom w:val="nil"/>
              <w:right w:val="nil"/>
            </w:tcBorders>
            <w:shd w:val="clear" w:color="DCE6F1" w:fill="DCE6F1"/>
            <w:noWrap/>
            <w:vAlign w:val="bottom"/>
            <w:hideMark/>
          </w:tcPr>
          <w:p w14:paraId="0954493D" w14:textId="77777777" w:rsidR="00617C3E" w:rsidRPr="00A474C9" w:rsidRDefault="00617C3E" w:rsidP="00617C3E">
            <w:pPr>
              <w:spacing w:after="0" w:line="240" w:lineRule="auto"/>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 </w:t>
            </w:r>
          </w:p>
        </w:tc>
        <w:tc>
          <w:tcPr>
            <w:tcW w:w="2340" w:type="dxa"/>
            <w:gridSpan w:val="3"/>
            <w:tcBorders>
              <w:top w:val="single" w:sz="4" w:space="0" w:color="auto"/>
              <w:left w:val="single" w:sz="4" w:space="0" w:color="auto"/>
              <w:bottom w:val="single" w:sz="4" w:space="0" w:color="auto"/>
              <w:right w:val="single" w:sz="4" w:space="0" w:color="000000"/>
            </w:tcBorders>
            <w:shd w:val="clear" w:color="DCE6F1" w:fill="DCE6F1"/>
            <w:noWrap/>
            <w:vAlign w:val="bottom"/>
            <w:hideMark/>
          </w:tcPr>
          <w:p w14:paraId="018A658E" w14:textId="48E9507F" w:rsidR="00617C3E" w:rsidRPr="00A474C9" w:rsidRDefault="00091251" w:rsidP="00617C3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Š</w:t>
            </w:r>
            <w:r w:rsidR="00617C3E" w:rsidRPr="00A474C9">
              <w:rPr>
                <w:rFonts w:ascii="Arial" w:eastAsia="Times New Roman" w:hAnsi="Arial" w:cs="Arial"/>
                <w:b/>
                <w:bCs/>
                <w:color w:val="000000"/>
                <w:sz w:val="18"/>
                <w:szCs w:val="18"/>
                <w:lang w:eastAsia="sl-SI"/>
              </w:rPr>
              <w:t>tevilo zavezancev</w:t>
            </w:r>
          </w:p>
        </w:tc>
        <w:tc>
          <w:tcPr>
            <w:tcW w:w="2520" w:type="dxa"/>
            <w:gridSpan w:val="3"/>
            <w:tcBorders>
              <w:top w:val="single" w:sz="4" w:space="0" w:color="auto"/>
              <w:left w:val="nil"/>
              <w:bottom w:val="single" w:sz="4" w:space="0" w:color="auto"/>
              <w:right w:val="single" w:sz="4" w:space="0" w:color="000000"/>
            </w:tcBorders>
            <w:shd w:val="clear" w:color="DCE6F1" w:fill="DCE6F1"/>
            <w:noWrap/>
            <w:vAlign w:val="bottom"/>
            <w:hideMark/>
          </w:tcPr>
          <w:p w14:paraId="3566BB7F" w14:textId="0825A7C1" w:rsidR="00617C3E" w:rsidRPr="00A474C9" w:rsidRDefault="00091251" w:rsidP="00617C3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Z</w:t>
            </w:r>
            <w:r w:rsidR="00617C3E" w:rsidRPr="00A474C9">
              <w:rPr>
                <w:rFonts w:ascii="Arial" w:eastAsia="Times New Roman" w:hAnsi="Arial" w:cs="Arial"/>
                <w:b/>
                <w:bCs/>
                <w:color w:val="000000"/>
                <w:sz w:val="18"/>
                <w:szCs w:val="18"/>
                <w:lang w:eastAsia="sl-SI"/>
              </w:rPr>
              <w:t>nesek davčnega izdatka</w:t>
            </w:r>
          </w:p>
        </w:tc>
      </w:tr>
      <w:tr w:rsidR="00617C3E" w:rsidRPr="00A474C9" w14:paraId="26036875" w14:textId="77777777" w:rsidTr="00617C3E">
        <w:trPr>
          <w:trHeight w:val="285"/>
        </w:trPr>
        <w:tc>
          <w:tcPr>
            <w:tcW w:w="40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12B660" w14:textId="77777777" w:rsidR="00617C3E" w:rsidRPr="00A474C9" w:rsidRDefault="00617C3E" w:rsidP="00617C3E">
            <w:pPr>
              <w:spacing w:after="0" w:line="240" w:lineRule="auto"/>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Vrsta davčnega izdatka</w:t>
            </w:r>
          </w:p>
        </w:tc>
        <w:tc>
          <w:tcPr>
            <w:tcW w:w="780" w:type="dxa"/>
            <w:tcBorders>
              <w:top w:val="nil"/>
              <w:left w:val="nil"/>
              <w:bottom w:val="single" w:sz="4" w:space="0" w:color="auto"/>
              <w:right w:val="single" w:sz="4" w:space="0" w:color="auto"/>
            </w:tcBorders>
            <w:shd w:val="clear" w:color="DCE6F1" w:fill="DCE6F1"/>
            <w:noWrap/>
            <w:vAlign w:val="bottom"/>
            <w:hideMark/>
          </w:tcPr>
          <w:p w14:paraId="51EB6DE5"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2016</w:t>
            </w:r>
          </w:p>
        </w:tc>
        <w:tc>
          <w:tcPr>
            <w:tcW w:w="780" w:type="dxa"/>
            <w:tcBorders>
              <w:top w:val="nil"/>
              <w:left w:val="nil"/>
              <w:bottom w:val="single" w:sz="4" w:space="0" w:color="auto"/>
              <w:right w:val="single" w:sz="4" w:space="0" w:color="auto"/>
            </w:tcBorders>
            <w:shd w:val="clear" w:color="DCE6F1" w:fill="DCE6F1"/>
            <w:noWrap/>
            <w:vAlign w:val="bottom"/>
            <w:hideMark/>
          </w:tcPr>
          <w:p w14:paraId="4FE3CF1F"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2017</w:t>
            </w:r>
          </w:p>
        </w:tc>
        <w:tc>
          <w:tcPr>
            <w:tcW w:w="780" w:type="dxa"/>
            <w:tcBorders>
              <w:top w:val="nil"/>
              <w:left w:val="nil"/>
              <w:bottom w:val="single" w:sz="4" w:space="0" w:color="auto"/>
              <w:right w:val="single" w:sz="4" w:space="0" w:color="auto"/>
            </w:tcBorders>
            <w:shd w:val="clear" w:color="DCE6F1" w:fill="DCE6F1"/>
            <w:noWrap/>
            <w:vAlign w:val="bottom"/>
            <w:hideMark/>
          </w:tcPr>
          <w:p w14:paraId="718DA56F"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2018</w:t>
            </w:r>
          </w:p>
        </w:tc>
        <w:tc>
          <w:tcPr>
            <w:tcW w:w="840" w:type="dxa"/>
            <w:tcBorders>
              <w:top w:val="nil"/>
              <w:left w:val="nil"/>
              <w:bottom w:val="single" w:sz="4" w:space="0" w:color="auto"/>
              <w:right w:val="single" w:sz="4" w:space="0" w:color="auto"/>
            </w:tcBorders>
            <w:shd w:val="clear" w:color="DCE6F1" w:fill="DCE6F1"/>
            <w:noWrap/>
            <w:vAlign w:val="bottom"/>
            <w:hideMark/>
          </w:tcPr>
          <w:p w14:paraId="621096F9"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2016</w:t>
            </w:r>
          </w:p>
        </w:tc>
        <w:tc>
          <w:tcPr>
            <w:tcW w:w="840" w:type="dxa"/>
            <w:tcBorders>
              <w:top w:val="nil"/>
              <w:left w:val="nil"/>
              <w:bottom w:val="single" w:sz="4" w:space="0" w:color="auto"/>
              <w:right w:val="single" w:sz="4" w:space="0" w:color="auto"/>
            </w:tcBorders>
            <w:shd w:val="clear" w:color="DCE6F1" w:fill="DCE6F1"/>
            <w:noWrap/>
            <w:vAlign w:val="bottom"/>
            <w:hideMark/>
          </w:tcPr>
          <w:p w14:paraId="317CADD8"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2017</w:t>
            </w:r>
          </w:p>
        </w:tc>
        <w:tc>
          <w:tcPr>
            <w:tcW w:w="840" w:type="dxa"/>
            <w:tcBorders>
              <w:top w:val="nil"/>
              <w:left w:val="nil"/>
              <w:bottom w:val="single" w:sz="4" w:space="0" w:color="auto"/>
              <w:right w:val="single" w:sz="4" w:space="0" w:color="auto"/>
            </w:tcBorders>
            <w:shd w:val="clear" w:color="DCE6F1" w:fill="DCE6F1"/>
            <w:noWrap/>
            <w:vAlign w:val="bottom"/>
            <w:hideMark/>
          </w:tcPr>
          <w:p w14:paraId="1725F3B7" w14:textId="77777777" w:rsidR="00617C3E" w:rsidRPr="00A474C9" w:rsidRDefault="00617C3E" w:rsidP="00617C3E">
            <w:pPr>
              <w:spacing w:after="0" w:line="240" w:lineRule="auto"/>
              <w:jc w:val="right"/>
              <w:rPr>
                <w:rFonts w:ascii="Arial" w:eastAsia="Times New Roman" w:hAnsi="Arial" w:cs="Arial"/>
                <w:b/>
                <w:bCs/>
                <w:color w:val="000000"/>
                <w:sz w:val="18"/>
                <w:szCs w:val="18"/>
                <w:lang w:eastAsia="sl-SI"/>
              </w:rPr>
            </w:pPr>
            <w:r w:rsidRPr="00A474C9">
              <w:rPr>
                <w:rFonts w:ascii="Arial" w:eastAsia="Times New Roman" w:hAnsi="Arial" w:cs="Arial"/>
                <w:b/>
                <w:bCs/>
                <w:color w:val="000000"/>
                <w:sz w:val="18"/>
                <w:szCs w:val="18"/>
                <w:lang w:eastAsia="sl-SI"/>
              </w:rPr>
              <w:t>2018</w:t>
            </w:r>
          </w:p>
        </w:tc>
      </w:tr>
      <w:tr w:rsidR="00617C3E" w:rsidRPr="00A474C9" w14:paraId="5AE2735F" w14:textId="77777777" w:rsidTr="00617C3E">
        <w:trPr>
          <w:trHeight w:val="285"/>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6BCB1416"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investiranje po 66.a členu Zdoh-2</w:t>
            </w:r>
          </w:p>
        </w:tc>
        <w:tc>
          <w:tcPr>
            <w:tcW w:w="780" w:type="dxa"/>
            <w:tcBorders>
              <w:top w:val="nil"/>
              <w:left w:val="nil"/>
              <w:bottom w:val="single" w:sz="4" w:space="0" w:color="auto"/>
              <w:right w:val="single" w:sz="4" w:space="0" w:color="auto"/>
            </w:tcBorders>
            <w:shd w:val="clear" w:color="auto" w:fill="auto"/>
            <w:noWrap/>
            <w:vAlign w:val="center"/>
            <w:hideMark/>
          </w:tcPr>
          <w:p w14:paraId="68CE8A0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10.772</w:t>
            </w:r>
          </w:p>
        </w:tc>
        <w:tc>
          <w:tcPr>
            <w:tcW w:w="780" w:type="dxa"/>
            <w:tcBorders>
              <w:top w:val="nil"/>
              <w:left w:val="nil"/>
              <w:bottom w:val="single" w:sz="4" w:space="0" w:color="auto"/>
              <w:right w:val="single" w:sz="4" w:space="0" w:color="auto"/>
            </w:tcBorders>
            <w:shd w:val="clear" w:color="auto" w:fill="auto"/>
            <w:noWrap/>
            <w:vAlign w:val="center"/>
            <w:hideMark/>
          </w:tcPr>
          <w:p w14:paraId="5692EA8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11.056</w:t>
            </w:r>
          </w:p>
        </w:tc>
        <w:tc>
          <w:tcPr>
            <w:tcW w:w="780" w:type="dxa"/>
            <w:tcBorders>
              <w:top w:val="nil"/>
              <w:left w:val="nil"/>
              <w:bottom w:val="single" w:sz="4" w:space="0" w:color="auto"/>
              <w:right w:val="single" w:sz="4" w:space="0" w:color="auto"/>
            </w:tcBorders>
            <w:shd w:val="clear" w:color="auto" w:fill="auto"/>
            <w:noWrap/>
            <w:vAlign w:val="center"/>
            <w:hideMark/>
          </w:tcPr>
          <w:p w14:paraId="5D3BA2F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11.450</w:t>
            </w:r>
          </w:p>
        </w:tc>
        <w:tc>
          <w:tcPr>
            <w:tcW w:w="840" w:type="dxa"/>
            <w:tcBorders>
              <w:top w:val="nil"/>
              <w:left w:val="nil"/>
              <w:bottom w:val="single" w:sz="4" w:space="0" w:color="auto"/>
              <w:right w:val="single" w:sz="4" w:space="0" w:color="auto"/>
            </w:tcBorders>
            <w:shd w:val="clear" w:color="auto" w:fill="auto"/>
            <w:noWrap/>
            <w:vAlign w:val="center"/>
            <w:hideMark/>
          </w:tcPr>
          <w:p w14:paraId="53E7D5D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19,89</w:t>
            </w:r>
          </w:p>
        </w:tc>
        <w:tc>
          <w:tcPr>
            <w:tcW w:w="840" w:type="dxa"/>
            <w:tcBorders>
              <w:top w:val="nil"/>
              <w:left w:val="nil"/>
              <w:bottom w:val="single" w:sz="4" w:space="0" w:color="auto"/>
              <w:right w:val="single" w:sz="4" w:space="0" w:color="auto"/>
            </w:tcBorders>
            <w:shd w:val="clear" w:color="auto" w:fill="auto"/>
            <w:noWrap/>
            <w:vAlign w:val="center"/>
            <w:hideMark/>
          </w:tcPr>
          <w:p w14:paraId="0003797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20,41</w:t>
            </w:r>
          </w:p>
        </w:tc>
        <w:tc>
          <w:tcPr>
            <w:tcW w:w="840" w:type="dxa"/>
            <w:tcBorders>
              <w:top w:val="nil"/>
              <w:left w:val="nil"/>
              <w:bottom w:val="single" w:sz="4" w:space="0" w:color="auto"/>
              <w:right w:val="single" w:sz="4" w:space="0" w:color="auto"/>
            </w:tcBorders>
            <w:shd w:val="clear" w:color="auto" w:fill="auto"/>
            <w:noWrap/>
            <w:vAlign w:val="center"/>
            <w:hideMark/>
          </w:tcPr>
          <w:p w14:paraId="20579456"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21,14</w:t>
            </w:r>
          </w:p>
        </w:tc>
      </w:tr>
      <w:tr w:rsidR="00617C3E" w:rsidRPr="00A474C9" w14:paraId="4F8E25DD" w14:textId="77777777" w:rsidTr="00617C3E">
        <w:trPr>
          <w:trHeight w:val="285"/>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3C70D9CB"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Pokrivanje izgube</w:t>
            </w:r>
          </w:p>
        </w:tc>
        <w:tc>
          <w:tcPr>
            <w:tcW w:w="780" w:type="dxa"/>
            <w:tcBorders>
              <w:top w:val="nil"/>
              <w:left w:val="nil"/>
              <w:bottom w:val="single" w:sz="4" w:space="0" w:color="auto"/>
              <w:right w:val="single" w:sz="4" w:space="0" w:color="auto"/>
            </w:tcBorders>
            <w:shd w:val="clear" w:color="auto" w:fill="auto"/>
            <w:noWrap/>
            <w:vAlign w:val="center"/>
            <w:hideMark/>
          </w:tcPr>
          <w:p w14:paraId="50600D79"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5.071</w:t>
            </w:r>
          </w:p>
        </w:tc>
        <w:tc>
          <w:tcPr>
            <w:tcW w:w="780" w:type="dxa"/>
            <w:tcBorders>
              <w:top w:val="nil"/>
              <w:left w:val="nil"/>
              <w:bottom w:val="single" w:sz="4" w:space="0" w:color="auto"/>
              <w:right w:val="single" w:sz="4" w:space="0" w:color="auto"/>
            </w:tcBorders>
            <w:shd w:val="clear" w:color="auto" w:fill="auto"/>
            <w:noWrap/>
            <w:vAlign w:val="center"/>
            <w:hideMark/>
          </w:tcPr>
          <w:p w14:paraId="0FF1B4C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4.833</w:t>
            </w:r>
          </w:p>
        </w:tc>
        <w:tc>
          <w:tcPr>
            <w:tcW w:w="780" w:type="dxa"/>
            <w:tcBorders>
              <w:top w:val="nil"/>
              <w:left w:val="nil"/>
              <w:bottom w:val="single" w:sz="4" w:space="0" w:color="auto"/>
              <w:right w:val="single" w:sz="4" w:space="0" w:color="auto"/>
            </w:tcBorders>
            <w:shd w:val="clear" w:color="auto" w:fill="auto"/>
            <w:noWrap/>
            <w:vAlign w:val="center"/>
            <w:hideMark/>
          </w:tcPr>
          <w:p w14:paraId="46B1C7C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4.718</w:t>
            </w:r>
          </w:p>
        </w:tc>
        <w:tc>
          <w:tcPr>
            <w:tcW w:w="840" w:type="dxa"/>
            <w:tcBorders>
              <w:top w:val="nil"/>
              <w:left w:val="nil"/>
              <w:bottom w:val="single" w:sz="4" w:space="0" w:color="auto"/>
              <w:right w:val="single" w:sz="4" w:space="0" w:color="auto"/>
            </w:tcBorders>
            <w:shd w:val="clear" w:color="auto" w:fill="auto"/>
            <w:noWrap/>
            <w:vAlign w:val="center"/>
            <w:hideMark/>
          </w:tcPr>
          <w:p w14:paraId="2D4A1D0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3,31</w:t>
            </w:r>
          </w:p>
        </w:tc>
        <w:tc>
          <w:tcPr>
            <w:tcW w:w="840" w:type="dxa"/>
            <w:tcBorders>
              <w:top w:val="nil"/>
              <w:left w:val="nil"/>
              <w:bottom w:val="single" w:sz="4" w:space="0" w:color="auto"/>
              <w:right w:val="single" w:sz="4" w:space="0" w:color="auto"/>
            </w:tcBorders>
            <w:shd w:val="clear" w:color="auto" w:fill="auto"/>
            <w:noWrap/>
            <w:vAlign w:val="center"/>
            <w:hideMark/>
          </w:tcPr>
          <w:p w14:paraId="0F492396"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3,15</w:t>
            </w:r>
          </w:p>
        </w:tc>
        <w:tc>
          <w:tcPr>
            <w:tcW w:w="840" w:type="dxa"/>
            <w:tcBorders>
              <w:top w:val="nil"/>
              <w:left w:val="nil"/>
              <w:bottom w:val="single" w:sz="4" w:space="0" w:color="auto"/>
              <w:right w:val="single" w:sz="4" w:space="0" w:color="auto"/>
            </w:tcBorders>
            <w:shd w:val="clear" w:color="auto" w:fill="auto"/>
            <w:noWrap/>
            <w:vAlign w:val="center"/>
            <w:hideMark/>
          </w:tcPr>
          <w:p w14:paraId="03E6FD4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3,08</w:t>
            </w:r>
          </w:p>
        </w:tc>
      </w:tr>
      <w:tr w:rsidR="00617C3E" w:rsidRPr="00A474C9" w14:paraId="5F3EE336" w14:textId="77777777" w:rsidTr="00617C3E">
        <w:trPr>
          <w:trHeight w:val="285"/>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1B4F702C"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zaposlovanje invalidov</w:t>
            </w:r>
          </w:p>
        </w:tc>
        <w:tc>
          <w:tcPr>
            <w:tcW w:w="780" w:type="dxa"/>
            <w:tcBorders>
              <w:top w:val="nil"/>
              <w:left w:val="nil"/>
              <w:bottom w:val="single" w:sz="4" w:space="0" w:color="auto"/>
              <w:right w:val="single" w:sz="4" w:space="0" w:color="auto"/>
            </w:tcBorders>
            <w:shd w:val="clear" w:color="auto" w:fill="auto"/>
            <w:noWrap/>
            <w:vAlign w:val="center"/>
            <w:hideMark/>
          </w:tcPr>
          <w:p w14:paraId="518EF62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411</w:t>
            </w:r>
          </w:p>
        </w:tc>
        <w:tc>
          <w:tcPr>
            <w:tcW w:w="780" w:type="dxa"/>
            <w:tcBorders>
              <w:top w:val="nil"/>
              <w:left w:val="nil"/>
              <w:bottom w:val="single" w:sz="4" w:space="0" w:color="auto"/>
              <w:right w:val="single" w:sz="4" w:space="0" w:color="auto"/>
            </w:tcBorders>
            <w:shd w:val="clear" w:color="auto" w:fill="auto"/>
            <w:noWrap/>
            <w:vAlign w:val="center"/>
            <w:hideMark/>
          </w:tcPr>
          <w:p w14:paraId="748598B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484</w:t>
            </w:r>
          </w:p>
        </w:tc>
        <w:tc>
          <w:tcPr>
            <w:tcW w:w="780" w:type="dxa"/>
            <w:tcBorders>
              <w:top w:val="nil"/>
              <w:left w:val="nil"/>
              <w:bottom w:val="single" w:sz="4" w:space="0" w:color="auto"/>
              <w:right w:val="single" w:sz="4" w:space="0" w:color="auto"/>
            </w:tcBorders>
            <w:shd w:val="clear" w:color="auto" w:fill="auto"/>
            <w:noWrap/>
            <w:vAlign w:val="center"/>
            <w:hideMark/>
          </w:tcPr>
          <w:p w14:paraId="4440BC49"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508</w:t>
            </w:r>
          </w:p>
        </w:tc>
        <w:tc>
          <w:tcPr>
            <w:tcW w:w="840" w:type="dxa"/>
            <w:tcBorders>
              <w:top w:val="nil"/>
              <w:left w:val="nil"/>
              <w:bottom w:val="single" w:sz="4" w:space="0" w:color="auto"/>
              <w:right w:val="single" w:sz="4" w:space="0" w:color="auto"/>
            </w:tcBorders>
            <w:shd w:val="clear" w:color="auto" w:fill="auto"/>
            <w:noWrap/>
            <w:vAlign w:val="center"/>
            <w:hideMark/>
          </w:tcPr>
          <w:p w14:paraId="028416AA"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0,64</w:t>
            </w:r>
          </w:p>
        </w:tc>
        <w:tc>
          <w:tcPr>
            <w:tcW w:w="840" w:type="dxa"/>
            <w:tcBorders>
              <w:top w:val="nil"/>
              <w:left w:val="nil"/>
              <w:bottom w:val="single" w:sz="4" w:space="0" w:color="auto"/>
              <w:right w:val="single" w:sz="4" w:space="0" w:color="auto"/>
            </w:tcBorders>
            <w:shd w:val="clear" w:color="auto" w:fill="auto"/>
            <w:noWrap/>
            <w:vAlign w:val="center"/>
            <w:hideMark/>
          </w:tcPr>
          <w:p w14:paraId="2066189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0,75</w:t>
            </w:r>
          </w:p>
        </w:tc>
        <w:tc>
          <w:tcPr>
            <w:tcW w:w="840" w:type="dxa"/>
            <w:tcBorders>
              <w:top w:val="nil"/>
              <w:left w:val="nil"/>
              <w:bottom w:val="single" w:sz="4" w:space="0" w:color="auto"/>
              <w:right w:val="single" w:sz="4" w:space="0" w:color="auto"/>
            </w:tcBorders>
            <w:shd w:val="clear" w:color="auto" w:fill="auto"/>
            <w:noWrap/>
            <w:vAlign w:val="center"/>
            <w:hideMark/>
          </w:tcPr>
          <w:p w14:paraId="07C9AEA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0,79</w:t>
            </w:r>
          </w:p>
        </w:tc>
      </w:tr>
      <w:tr w:rsidR="00617C3E" w:rsidRPr="00A474C9" w14:paraId="47AAFBDA"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0A9F6995" w14:textId="2DB903EC"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investiranje po 6. členu</w:t>
            </w:r>
            <w:r w:rsidR="000B3A85">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ZRPPR1015 (Pomurje)</w:t>
            </w:r>
          </w:p>
        </w:tc>
        <w:tc>
          <w:tcPr>
            <w:tcW w:w="780" w:type="dxa"/>
            <w:tcBorders>
              <w:top w:val="nil"/>
              <w:left w:val="nil"/>
              <w:bottom w:val="single" w:sz="4" w:space="0" w:color="auto"/>
              <w:right w:val="single" w:sz="4" w:space="0" w:color="auto"/>
            </w:tcBorders>
            <w:shd w:val="clear" w:color="auto" w:fill="auto"/>
            <w:noWrap/>
            <w:vAlign w:val="center"/>
            <w:hideMark/>
          </w:tcPr>
          <w:p w14:paraId="20A2403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118</w:t>
            </w:r>
          </w:p>
        </w:tc>
        <w:tc>
          <w:tcPr>
            <w:tcW w:w="780" w:type="dxa"/>
            <w:tcBorders>
              <w:top w:val="nil"/>
              <w:left w:val="nil"/>
              <w:bottom w:val="single" w:sz="4" w:space="0" w:color="auto"/>
              <w:right w:val="single" w:sz="4" w:space="0" w:color="auto"/>
            </w:tcBorders>
            <w:shd w:val="clear" w:color="auto" w:fill="auto"/>
            <w:noWrap/>
            <w:vAlign w:val="center"/>
            <w:hideMark/>
          </w:tcPr>
          <w:p w14:paraId="0B87261A"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141</w:t>
            </w:r>
          </w:p>
        </w:tc>
        <w:tc>
          <w:tcPr>
            <w:tcW w:w="780" w:type="dxa"/>
            <w:tcBorders>
              <w:top w:val="nil"/>
              <w:left w:val="nil"/>
              <w:bottom w:val="single" w:sz="4" w:space="0" w:color="auto"/>
              <w:right w:val="single" w:sz="4" w:space="0" w:color="auto"/>
            </w:tcBorders>
            <w:shd w:val="clear" w:color="auto" w:fill="auto"/>
            <w:noWrap/>
            <w:vAlign w:val="center"/>
            <w:hideMark/>
          </w:tcPr>
          <w:p w14:paraId="5ACD60E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139</w:t>
            </w:r>
          </w:p>
        </w:tc>
        <w:tc>
          <w:tcPr>
            <w:tcW w:w="840" w:type="dxa"/>
            <w:tcBorders>
              <w:top w:val="nil"/>
              <w:left w:val="nil"/>
              <w:bottom w:val="single" w:sz="4" w:space="0" w:color="auto"/>
              <w:right w:val="single" w:sz="4" w:space="0" w:color="auto"/>
            </w:tcBorders>
            <w:shd w:val="clear" w:color="auto" w:fill="auto"/>
            <w:noWrap/>
            <w:vAlign w:val="center"/>
            <w:hideMark/>
          </w:tcPr>
          <w:p w14:paraId="140C47C1"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0,32</w:t>
            </w:r>
          </w:p>
        </w:tc>
        <w:tc>
          <w:tcPr>
            <w:tcW w:w="840" w:type="dxa"/>
            <w:tcBorders>
              <w:top w:val="nil"/>
              <w:left w:val="nil"/>
              <w:bottom w:val="single" w:sz="4" w:space="0" w:color="auto"/>
              <w:right w:val="single" w:sz="4" w:space="0" w:color="auto"/>
            </w:tcBorders>
            <w:shd w:val="clear" w:color="auto" w:fill="auto"/>
            <w:noWrap/>
            <w:vAlign w:val="center"/>
            <w:hideMark/>
          </w:tcPr>
          <w:p w14:paraId="362980EB"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0,38</w:t>
            </w:r>
          </w:p>
        </w:tc>
        <w:tc>
          <w:tcPr>
            <w:tcW w:w="840" w:type="dxa"/>
            <w:tcBorders>
              <w:top w:val="nil"/>
              <w:left w:val="nil"/>
              <w:bottom w:val="single" w:sz="4" w:space="0" w:color="auto"/>
              <w:right w:val="single" w:sz="4" w:space="0" w:color="auto"/>
            </w:tcBorders>
            <w:shd w:val="clear" w:color="auto" w:fill="auto"/>
            <w:noWrap/>
            <w:vAlign w:val="center"/>
            <w:hideMark/>
          </w:tcPr>
          <w:p w14:paraId="71438DF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0,37</w:t>
            </w:r>
          </w:p>
        </w:tc>
      </w:tr>
      <w:tr w:rsidR="00617C3E" w:rsidRPr="00A474C9" w14:paraId="1537C819" w14:textId="77777777" w:rsidTr="00617C3E">
        <w:trPr>
          <w:trHeight w:val="285"/>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058CA50D"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zavezanca invalida</w:t>
            </w:r>
          </w:p>
        </w:tc>
        <w:tc>
          <w:tcPr>
            <w:tcW w:w="780" w:type="dxa"/>
            <w:tcBorders>
              <w:top w:val="nil"/>
              <w:left w:val="nil"/>
              <w:bottom w:val="single" w:sz="4" w:space="0" w:color="auto"/>
              <w:right w:val="single" w:sz="4" w:space="0" w:color="auto"/>
            </w:tcBorders>
            <w:shd w:val="clear" w:color="auto" w:fill="auto"/>
            <w:noWrap/>
            <w:vAlign w:val="center"/>
            <w:hideMark/>
          </w:tcPr>
          <w:p w14:paraId="7FA4A8CE"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356</w:t>
            </w:r>
          </w:p>
        </w:tc>
        <w:tc>
          <w:tcPr>
            <w:tcW w:w="780" w:type="dxa"/>
            <w:tcBorders>
              <w:top w:val="nil"/>
              <w:left w:val="nil"/>
              <w:bottom w:val="single" w:sz="4" w:space="0" w:color="auto"/>
              <w:right w:val="single" w:sz="4" w:space="0" w:color="auto"/>
            </w:tcBorders>
            <w:shd w:val="clear" w:color="auto" w:fill="auto"/>
            <w:noWrap/>
            <w:vAlign w:val="center"/>
            <w:hideMark/>
          </w:tcPr>
          <w:p w14:paraId="6AECD2CE"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379</w:t>
            </w:r>
          </w:p>
        </w:tc>
        <w:tc>
          <w:tcPr>
            <w:tcW w:w="780" w:type="dxa"/>
            <w:tcBorders>
              <w:top w:val="nil"/>
              <w:left w:val="nil"/>
              <w:bottom w:val="single" w:sz="4" w:space="0" w:color="auto"/>
              <w:right w:val="single" w:sz="4" w:space="0" w:color="auto"/>
            </w:tcBorders>
            <w:shd w:val="clear" w:color="auto" w:fill="auto"/>
            <w:noWrap/>
            <w:vAlign w:val="center"/>
            <w:hideMark/>
          </w:tcPr>
          <w:p w14:paraId="1A601F4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449</w:t>
            </w:r>
          </w:p>
        </w:tc>
        <w:tc>
          <w:tcPr>
            <w:tcW w:w="840" w:type="dxa"/>
            <w:tcBorders>
              <w:top w:val="nil"/>
              <w:left w:val="nil"/>
              <w:bottom w:val="single" w:sz="4" w:space="0" w:color="auto"/>
              <w:right w:val="single" w:sz="4" w:space="0" w:color="auto"/>
            </w:tcBorders>
            <w:shd w:val="clear" w:color="auto" w:fill="auto"/>
            <w:noWrap/>
            <w:vAlign w:val="center"/>
            <w:hideMark/>
          </w:tcPr>
          <w:p w14:paraId="749D873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0,25</w:t>
            </w:r>
          </w:p>
        </w:tc>
        <w:tc>
          <w:tcPr>
            <w:tcW w:w="840" w:type="dxa"/>
            <w:tcBorders>
              <w:top w:val="nil"/>
              <w:left w:val="nil"/>
              <w:bottom w:val="single" w:sz="4" w:space="0" w:color="auto"/>
              <w:right w:val="single" w:sz="4" w:space="0" w:color="auto"/>
            </w:tcBorders>
            <w:shd w:val="clear" w:color="auto" w:fill="auto"/>
            <w:noWrap/>
            <w:vAlign w:val="center"/>
            <w:hideMark/>
          </w:tcPr>
          <w:p w14:paraId="5A5841CF"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0,27</w:t>
            </w:r>
          </w:p>
        </w:tc>
        <w:tc>
          <w:tcPr>
            <w:tcW w:w="840" w:type="dxa"/>
            <w:tcBorders>
              <w:top w:val="nil"/>
              <w:left w:val="nil"/>
              <w:bottom w:val="single" w:sz="4" w:space="0" w:color="auto"/>
              <w:right w:val="single" w:sz="4" w:space="0" w:color="auto"/>
            </w:tcBorders>
            <w:shd w:val="clear" w:color="auto" w:fill="auto"/>
            <w:noWrap/>
            <w:vAlign w:val="center"/>
            <w:hideMark/>
          </w:tcPr>
          <w:p w14:paraId="06E1885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0,31</w:t>
            </w:r>
          </w:p>
        </w:tc>
      </w:tr>
      <w:tr w:rsidR="00617C3E" w:rsidRPr="00A474C9" w14:paraId="013BAAE6" w14:textId="77777777" w:rsidTr="00423215">
        <w:trPr>
          <w:trHeight w:val="403"/>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180428CC" w14:textId="55F09F11"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 xml:space="preserve">Olajšava za donacije </w:t>
            </w:r>
            <w:r w:rsidR="000B3A85">
              <w:rPr>
                <w:rFonts w:ascii="Arial" w:eastAsia="Times New Roman" w:hAnsi="Arial" w:cs="Arial"/>
                <w:color w:val="000000"/>
                <w:sz w:val="18"/>
                <w:szCs w:val="18"/>
                <w:lang w:eastAsia="sl-SI"/>
              </w:rPr>
              <w:t>–</w:t>
            </w:r>
            <w:r w:rsidRPr="00A474C9">
              <w:rPr>
                <w:rFonts w:ascii="Arial" w:eastAsia="Times New Roman" w:hAnsi="Arial" w:cs="Arial"/>
                <w:color w:val="000000"/>
                <w:sz w:val="18"/>
                <w:szCs w:val="18"/>
                <w:lang w:eastAsia="sl-SI"/>
              </w:rPr>
              <w:t xml:space="preserve"> izplačila za humanitarne, invalidske, socialnovarstvene</w:t>
            </w:r>
            <w:r w:rsidR="000B3A85">
              <w:rPr>
                <w:rFonts w:ascii="Arial" w:eastAsia="Times New Roman" w:hAnsi="Arial" w:cs="Arial"/>
                <w:color w:val="000000"/>
                <w:sz w:val="18"/>
                <w:szCs w:val="18"/>
                <w:lang w:eastAsia="sl-SI"/>
              </w:rPr>
              <w:t xml:space="preserve"> in podobne</w:t>
            </w:r>
            <w:r w:rsidRPr="00A474C9">
              <w:rPr>
                <w:rFonts w:ascii="Arial" w:eastAsia="Times New Roman" w:hAnsi="Arial" w:cs="Arial"/>
                <w:color w:val="000000"/>
                <w:sz w:val="18"/>
                <w:szCs w:val="18"/>
                <w:lang w:eastAsia="sl-SI"/>
              </w:rPr>
              <w:t xml:space="preserve"> namene</w:t>
            </w:r>
          </w:p>
        </w:tc>
        <w:tc>
          <w:tcPr>
            <w:tcW w:w="780" w:type="dxa"/>
            <w:tcBorders>
              <w:top w:val="nil"/>
              <w:left w:val="nil"/>
              <w:bottom w:val="single" w:sz="4" w:space="0" w:color="auto"/>
              <w:right w:val="single" w:sz="4" w:space="0" w:color="auto"/>
            </w:tcBorders>
            <w:shd w:val="clear" w:color="auto" w:fill="auto"/>
            <w:noWrap/>
            <w:vAlign w:val="center"/>
            <w:hideMark/>
          </w:tcPr>
          <w:p w14:paraId="729DD90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4.453</w:t>
            </w:r>
          </w:p>
        </w:tc>
        <w:tc>
          <w:tcPr>
            <w:tcW w:w="780" w:type="dxa"/>
            <w:tcBorders>
              <w:top w:val="nil"/>
              <w:left w:val="nil"/>
              <w:bottom w:val="single" w:sz="4" w:space="0" w:color="auto"/>
              <w:right w:val="single" w:sz="4" w:space="0" w:color="auto"/>
            </w:tcBorders>
            <w:shd w:val="clear" w:color="auto" w:fill="auto"/>
            <w:noWrap/>
            <w:vAlign w:val="center"/>
            <w:hideMark/>
          </w:tcPr>
          <w:p w14:paraId="2C9C9161"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4.502</w:t>
            </w:r>
          </w:p>
        </w:tc>
        <w:tc>
          <w:tcPr>
            <w:tcW w:w="780" w:type="dxa"/>
            <w:tcBorders>
              <w:top w:val="nil"/>
              <w:left w:val="nil"/>
              <w:bottom w:val="single" w:sz="4" w:space="0" w:color="auto"/>
              <w:right w:val="single" w:sz="4" w:space="0" w:color="auto"/>
            </w:tcBorders>
            <w:shd w:val="clear" w:color="auto" w:fill="auto"/>
            <w:noWrap/>
            <w:vAlign w:val="center"/>
            <w:hideMark/>
          </w:tcPr>
          <w:p w14:paraId="0D81FEFF"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4.653</w:t>
            </w:r>
          </w:p>
        </w:tc>
        <w:tc>
          <w:tcPr>
            <w:tcW w:w="840" w:type="dxa"/>
            <w:tcBorders>
              <w:top w:val="nil"/>
              <w:left w:val="nil"/>
              <w:bottom w:val="single" w:sz="4" w:space="0" w:color="auto"/>
              <w:right w:val="single" w:sz="4" w:space="0" w:color="auto"/>
            </w:tcBorders>
            <w:shd w:val="clear" w:color="auto" w:fill="auto"/>
            <w:noWrap/>
            <w:vAlign w:val="center"/>
            <w:hideMark/>
          </w:tcPr>
          <w:p w14:paraId="4F203E6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0,29</w:t>
            </w:r>
          </w:p>
        </w:tc>
        <w:tc>
          <w:tcPr>
            <w:tcW w:w="840" w:type="dxa"/>
            <w:tcBorders>
              <w:top w:val="nil"/>
              <w:left w:val="nil"/>
              <w:bottom w:val="single" w:sz="4" w:space="0" w:color="auto"/>
              <w:right w:val="single" w:sz="4" w:space="0" w:color="auto"/>
            </w:tcBorders>
            <w:shd w:val="clear" w:color="auto" w:fill="auto"/>
            <w:noWrap/>
            <w:vAlign w:val="center"/>
            <w:hideMark/>
          </w:tcPr>
          <w:p w14:paraId="2307A182"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0,29</w:t>
            </w:r>
          </w:p>
        </w:tc>
        <w:tc>
          <w:tcPr>
            <w:tcW w:w="840" w:type="dxa"/>
            <w:tcBorders>
              <w:top w:val="nil"/>
              <w:left w:val="nil"/>
              <w:bottom w:val="single" w:sz="4" w:space="0" w:color="auto"/>
              <w:right w:val="single" w:sz="4" w:space="0" w:color="auto"/>
            </w:tcBorders>
            <w:shd w:val="clear" w:color="auto" w:fill="auto"/>
            <w:noWrap/>
            <w:vAlign w:val="center"/>
            <w:hideMark/>
          </w:tcPr>
          <w:p w14:paraId="76CBBDC2"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0,30</w:t>
            </w:r>
          </w:p>
        </w:tc>
      </w:tr>
      <w:tr w:rsidR="00617C3E" w:rsidRPr="00A474C9" w14:paraId="1CEBEDD8" w14:textId="77777777" w:rsidTr="00617C3E">
        <w:trPr>
          <w:trHeight w:val="285"/>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6917F0ED"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Posebna osebna olajšava</w:t>
            </w:r>
          </w:p>
        </w:tc>
        <w:tc>
          <w:tcPr>
            <w:tcW w:w="780" w:type="dxa"/>
            <w:tcBorders>
              <w:top w:val="nil"/>
              <w:left w:val="nil"/>
              <w:bottom w:val="single" w:sz="4" w:space="0" w:color="auto"/>
              <w:right w:val="single" w:sz="4" w:space="0" w:color="auto"/>
            </w:tcBorders>
            <w:shd w:val="clear" w:color="auto" w:fill="auto"/>
            <w:noWrap/>
            <w:vAlign w:val="center"/>
            <w:hideMark/>
          </w:tcPr>
          <w:p w14:paraId="568296DA"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357</w:t>
            </w:r>
          </w:p>
        </w:tc>
        <w:tc>
          <w:tcPr>
            <w:tcW w:w="780" w:type="dxa"/>
            <w:tcBorders>
              <w:top w:val="nil"/>
              <w:left w:val="nil"/>
              <w:bottom w:val="single" w:sz="4" w:space="0" w:color="auto"/>
              <w:right w:val="single" w:sz="4" w:space="0" w:color="auto"/>
            </w:tcBorders>
            <w:shd w:val="clear" w:color="auto" w:fill="auto"/>
            <w:noWrap/>
            <w:vAlign w:val="center"/>
            <w:hideMark/>
          </w:tcPr>
          <w:p w14:paraId="6AE21DEE"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361</w:t>
            </w:r>
          </w:p>
        </w:tc>
        <w:tc>
          <w:tcPr>
            <w:tcW w:w="780" w:type="dxa"/>
            <w:tcBorders>
              <w:top w:val="nil"/>
              <w:left w:val="nil"/>
              <w:bottom w:val="single" w:sz="4" w:space="0" w:color="auto"/>
              <w:right w:val="single" w:sz="4" w:space="0" w:color="auto"/>
            </w:tcBorders>
            <w:shd w:val="clear" w:color="auto" w:fill="auto"/>
            <w:noWrap/>
            <w:vAlign w:val="center"/>
            <w:hideMark/>
          </w:tcPr>
          <w:p w14:paraId="7FA3338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376</w:t>
            </w:r>
          </w:p>
        </w:tc>
        <w:tc>
          <w:tcPr>
            <w:tcW w:w="840" w:type="dxa"/>
            <w:tcBorders>
              <w:top w:val="nil"/>
              <w:left w:val="nil"/>
              <w:bottom w:val="single" w:sz="4" w:space="0" w:color="auto"/>
              <w:right w:val="single" w:sz="4" w:space="0" w:color="auto"/>
            </w:tcBorders>
            <w:shd w:val="clear" w:color="auto" w:fill="auto"/>
            <w:noWrap/>
            <w:vAlign w:val="center"/>
            <w:hideMark/>
          </w:tcPr>
          <w:p w14:paraId="32FC12C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0,20</w:t>
            </w:r>
          </w:p>
        </w:tc>
        <w:tc>
          <w:tcPr>
            <w:tcW w:w="840" w:type="dxa"/>
            <w:tcBorders>
              <w:top w:val="nil"/>
              <w:left w:val="nil"/>
              <w:bottom w:val="single" w:sz="4" w:space="0" w:color="auto"/>
              <w:right w:val="single" w:sz="4" w:space="0" w:color="auto"/>
            </w:tcBorders>
            <w:shd w:val="clear" w:color="auto" w:fill="auto"/>
            <w:noWrap/>
            <w:vAlign w:val="center"/>
            <w:hideMark/>
          </w:tcPr>
          <w:p w14:paraId="0B68AB8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0,20</w:t>
            </w:r>
          </w:p>
        </w:tc>
        <w:tc>
          <w:tcPr>
            <w:tcW w:w="840" w:type="dxa"/>
            <w:tcBorders>
              <w:top w:val="nil"/>
              <w:left w:val="nil"/>
              <w:bottom w:val="single" w:sz="4" w:space="0" w:color="auto"/>
              <w:right w:val="single" w:sz="4" w:space="0" w:color="auto"/>
            </w:tcBorders>
            <w:shd w:val="clear" w:color="auto" w:fill="auto"/>
            <w:noWrap/>
            <w:vAlign w:val="center"/>
            <w:hideMark/>
          </w:tcPr>
          <w:p w14:paraId="4988B74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0,21</w:t>
            </w:r>
          </w:p>
        </w:tc>
      </w:tr>
      <w:tr w:rsidR="00617C3E" w:rsidRPr="00A474C9" w14:paraId="1597DFA0"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22104326" w14:textId="6E498B86"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vlaganja v R</w:t>
            </w:r>
            <w:r w:rsidR="000B3A85">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&amp;</w:t>
            </w:r>
            <w:r w:rsidR="000B3A85">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R po prvem stavku prvega odstavka 61. čl</w:t>
            </w:r>
            <w:r w:rsidR="000B3A85">
              <w:rPr>
                <w:rFonts w:ascii="Arial" w:eastAsia="Times New Roman" w:hAnsi="Arial" w:cs="Arial"/>
                <w:color w:val="000000"/>
                <w:sz w:val="18"/>
                <w:szCs w:val="18"/>
                <w:lang w:eastAsia="sl-SI"/>
              </w:rPr>
              <w:t>ena</w:t>
            </w:r>
            <w:r w:rsidRPr="00A474C9">
              <w:rPr>
                <w:rFonts w:ascii="Arial" w:eastAsia="Times New Roman" w:hAnsi="Arial" w:cs="Arial"/>
                <w:color w:val="000000"/>
                <w:sz w:val="18"/>
                <w:szCs w:val="18"/>
                <w:lang w:eastAsia="sl-SI"/>
              </w:rPr>
              <w:t xml:space="preserve"> Zdoh-2</w:t>
            </w:r>
          </w:p>
        </w:tc>
        <w:tc>
          <w:tcPr>
            <w:tcW w:w="780" w:type="dxa"/>
            <w:tcBorders>
              <w:top w:val="nil"/>
              <w:left w:val="nil"/>
              <w:bottom w:val="single" w:sz="4" w:space="0" w:color="auto"/>
              <w:right w:val="single" w:sz="4" w:space="0" w:color="auto"/>
            </w:tcBorders>
            <w:shd w:val="clear" w:color="auto" w:fill="auto"/>
            <w:noWrap/>
            <w:vAlign w:val="center"/>
            <w:hideMark/>
          </w:tcPr>
          <w:p w14:paraId="64ECCDD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27</w:t>
            </w:r>
          </w:p>
        </w:tc>
        <w:tc>
          <w:tcPr>
            <w:tcW w:w="780" w:type="dxa"/>
            <w:tcBorders>
              <w:top w:val="nil"/>
              <w:left w:val="nil"/>
              <w:bottom w:val="single" w:sz="4" w:space="0" w:color="auto"/>
              <w:right w:val="single" w:sz="4" w:space="0" w:color="auto"/>
            </w:tcBorders>
            <w:shd w:val="clear" w:color="auto" w:fill="auto"/>
            <w:noWrap/>
            <w:vAlign w:val="center"/>
            <w:hideMark/>
          </w:tcPr>
          <w:p w14:paraId="6BA0899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18</w:t>
            </w:r>
          </w:p>
        </w:tc>
        <w:tc>
          <w:tcPr>
            <w:tcW w:w="780" w:type="dxa"/>
            <w:tcBorders>
              <w:top w:val="nil"/>
              <w:left w:val="nil"/>
              <w:bottom w:val="single" w:sz="4" w:space="0" w:color="auto"/>
              <w:right w:val="single" w:sz="4" w:space="0" w:color="auto"/>
            </w:tcBorders>
            <w:shd w:val="clear" w:color="auto" w:fill="auto"/>
            <w:noWrap/>
            <w:vAlign w:val="center"/>
            <w:hideMark/>
          </w:tcPr>
          <w:p w14:paraId="08CA53D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17</w:t>
            </w:r>
          </w:p>
        </w:tc>
        <w:tc>
          <w:tcPr>
            <w:tcW w:w="840" w:type="dxa"/>
            <w:tcBorders>
              <w:top w:val="nil"/>
              <w:left w:val="nil"/>
              <w:bottom w:val="single" w:sz="4" w:space="0" w:color="auto"/>
              <w:right w:val="single" w:sz="4" w:space="0" w:color="auto"/>
            </w:tcBorders>
            <w:shd w:val="clear" w:color="auto" w:fill="auto"/>
            <w:noWrap/>
            <w:vAlign w:val="center"/>
            <w:hideMark/>
          </w:tcPr>
          <w:p w14:paraId="54FE788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0,27</w:t>
            </w:r>
          </w:p>
        </w:tc>
        <w:tc>
          <w:tcPr>
            <w:tcW w:w="840" w:type="dxa"/>
            <w:tcBorders>
              <w:top w:val="nil"/>
              <w:left w:val="nil"/>
              <w:bottom w:val="single" w:sz="4" w:space="0" w:color="auto"/>
              <w:right w:val="single" w:sz="4" w:space="0" w:color="auto"/>
            </w:tcBorders>
            <w:shd w:val="clear" w:color="auto" w:fill="auto"/>
            <w:noWrap/>
            <w:vAlign w:val="center"/>
            <w:hideMark/>
          </w:tcPr>
          <w:p w14:paraId="4162B9B2"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0,18</w:t>
            </w:r>
          </w:p>
        </w:tc>
        <w:tc>
          <w:tcPr>
            <w:tcW w:w="840" w:type="dxa"/>
            <w:tcBorders>
              <w:top w:val="nil"/>
              <w:left w:val="nil"/>
              <w:bottom w:val="single" w:sz="4" w:space="0" w:color="auto"/>
              <w:right w:val="single" w:sz="4" w:space="0" w:color="auto"/>
            </w:tcBorders>
            <w:shd w:val="clear" w:color="auto" w:fill="auto"/>
            <w:noWrap/>
            <w:vAlign w:val="center"/>
            <w:hideMark/>
          </w:tcPr>
          <w:p w14:paraId="037AB5AA"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0,17</w:t>
            </w:r>
          </w:p>
        </w:tc>
      </w:tr>
      <w:tr w:rsidR="00617C3E" w:rsidRPr="00A474C9" w14:paraId="4C7FB365"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7E6ABEAF"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prostovoljno dodatno pokojninsko zavarovanje</w:t>
            </w:r>
          </w:p>
        </w:tc>
        <w:tc>
          <w:tcPr>
            <w:tcW w:w="780" w:type="dxa"/>
            <w:tcBorders>
              <w:top w:val="nil"/>
              <w:left w:val="nil"/>
              <w:bottom w:val="single" w:sz="4" w:space="0" w:color="auto"/>
              <w:right w:val="single" w:sz="4" w:space="0" w:color="auto"/>
            </w:tcBorders>
            <w:shd w:val="clear" w:color="auto" w:fill="auto"/>
            <w:noWrap/>
            <w:vAlign w:val="center"/>
            <w:hideMark/>
          </w:tcPr>
          <w:p w14:paraId="60223D4D"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231</w:t>
            </w:r>
          </w:p>
        </w:tc>
        <w:tc>
          <w:tcPr>
            <w:tcW w:w="780" w:type="dxa"/>
            <w:tcBorders>
              <w:top w:val="nil"/>
              <w:left w:val="nil"/>
              <w:bottom w:val="single" w:sz="4" w:space="0" w:color="auto"/>
              <w:right w:val="single" w:sz="4" w:space="0" w:color="auto"/>
            </w:tcBorders>
            <w:shd w:val="clear" w:color="auto" w:fill="auto"/>
            <w:noWrap/>
            <w:vAlign w:val="center"/>
            <w:hideMark/>
          </w:tcPr>
          <w:p w14:paraId="1C96AB6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241</w:t>
            </w:r>
          </w:p>
        </w:tc>
        <w:tc>
          <w:tcPr>
            <w:tcW w:w="780" w:type="dxa"/>
            <w:tcBorders>
              <w:top w:val="nil"/>
              <w:left w:val="nil"/>
              <w:bottom w:val="single" w:sz="4" w:space="0" w:color="auto"/>
              <w:right w:val="single" w:sz="4" w:space="0" w:color="auto"/>
            </w:tcBorders>
            <w:shd w:val="clear" w:color="auto" w:fill="auto"/>
            <w:noWrap/>
            <w:vAlign w:val="center"/>
            <w:hideMark/>
          </w:tcPr>
          <w:p w14:paraId="5B39A47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244</w:t>
            </w:r>
          </w:p>
        </w:tc>
        <w:tc>
          <w:tcPr>
            <w:tcW w:w="840" w:type="dxa"/>
            <w:tcBorders>
              <w:top w:val="nil"/>
              <w:left w:val="nil"/>
              <w:bottom w:val="single" w:sz="4" w:space="0" w:color="auto"/>
              <w:right w:val="single" w:sz="4" w:space="0" w:color="auto"/>
            </w:tcBorders>
            <w:shd w:val="clear" w:color="auto" w:fill="auto"/>
            <w:noWrap/>
            <w:vAlign w:val="center"/>
            <w:hideMark/>
          </w:tcPr>
          <w:p w14:paraId="4D676F9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0,08</w:t>
            </w:r>
          </w:p>
        </w:tc>
        <w:tc>
          <w:tcPr>
            <w:tcW w:w="840" w:type="dxa"/>
            <w:tcBorders>
              <w:top w:val="nil"/>
              <w:left w:val="nil"/>
              <w:bottom w:val="single" w:sz="4" w:space="0" w:color="auto"/>
              <w:right w:val="single" w:sz="4" w:space="0" w:color="auto"/>
            </w:tcBorders>
            <w:shd w:val="clear" w:color="auto" w:fill="auto"/>
            <w:noWrap/>
            <w:vAlign w:val="center"/>
            <w:hideMark/>
          </w:tcPr>
          <w:p w14:paraId="14304E6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0,09</w:t>
            </w:r>
          </w:p>
        </w:tc>
        <w:tc>
          <w:tcPr>
            <w:tcW w:w="840" w:type="dxa"/>
            <w:tcBorders>
              <w:top w:val="nil"/>
              <w:left w:val="nil"/>
              <w:bottom w:val="single" w:sz="4" w:space="0" w:color="auto"/>
              <w:right w:val="single" w:sz="4" w:space="0" w:color="auto"/>
            </w:tcBorders>
            <w:shd w:val="clear" w:color="auto" w:fill="auto"/>
            <w:noWrap/>
            <w:vAlign w:val="center"/>
            <w:hideMark/>
          </w:tcPr>
          <w:p w14:paraId="1C3C331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0,09</w:t>
            </w:r>
          </w:p>
        </w:tc>
      </w:tr>
      <w:tr w:rsidR="00617C3E" w:rsidRPr="00A474C9" w14:paraId="266BD86F"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5A120793" w14:textId="5FDE47D5"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zaposlovanje brezposelnih oseb po 61.a členu Zdoh-2</w:t>
            </w:r>
          </w:p>
        </w:tc>
        <w:tc>
          <w:tcPr>
            <w:tcW w:w="780" w:type="dxa"/>
            <w:tcBorders>
              <w:top w:val="nil"/>
              <w:left w:val="nil"/>
              <w:bottom w:val="single" w:sz="4" w:space="0" w:color="auto"/>
              <w:right w:val="single" w:sz="4" w:space="0" w:color="auto"/>
            </w:tcBorders>
            <w:shd w:val="clear" w:color="auto" w:fill="auto"/>
            <w:noWrap/>
            <w:vAlign w:val="center"/>
            <w:hideMark/>
          </w:tcPr>
          <w:p w14:paraId="00B98319"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85</w:t>
            </w:r>
          </w:p>
        </w:tc>
        <w:tc>
          <w:tcPr>
            <w:tcW w:w="780" w:type="dxa"/>
            <w:tcBorders>
              <w:top w:val="nil"/>
              <w:left w:val="nil"/>
              <w:bottom w:val="single" w:sz="4" w:space="0" w:color="auto"/>
              <w:right w:val="single" w:sz="4" w:space="0" w:color="auto"/>
            </w:tcBorders>
            <w:shd w:val="clear" w:color="auto" w:fill="auto"/>
            <w:noWrap/>
            <w:vAlign w:val="center"/>
            <w:hideMark/>
          </w:tcPr>
          <w:p w14:paraId="67E710C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72</w:t>
            </w:r>
          </w:p>
        </w:tc>
        <w:tc>
          <w:tcPr>
            <w:tcW w:w="780" w:type="dxa"/>
            <w:tcBorders>
              <w:top w:val="nil"/>
              <w:left w:val="nil"/>
              <w:bottom w:val="single" w:sz="4" w:space="0" w:color="auto"/>
              <w:right w:val="single" w:sz="4" w:space="0" w:color="auto"/>
            </w:tcBorders>
            <w:shd w:val="clear" w:color="auto" w:fill="auto"/>
            <w:noWrap/>
            <w:vAlign w:val="center"/>
            <w:hideMark/>
          </w:tcPr>
          <w:p w14:paraId="267A783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67</w:t>
            </w:r>
          </w:p>
        </w:tc>
        <w:tc>
          <w:tcPr>
            <w:tcW w:w="840" w:type="dxa"/>
            <w:tcBorders>
              <w:top w:val="nil"/>
              <w:left w:val="nil"/>
              <w:bottom w:val="single" w:sz="4" w:space="0" w:color="auto"/>
              <w:right w:val="single" w:sz="4" w:space="0" w:color="auto"/>
            </w:tcBorders>
            <w:shd w:val="clear" w:color="auto" w:fill="auto"/>
            <w:noWrap/>
            <w:vAlign w:val="center"/>
            <w:hideMark/>
          </w:tcPr>
          <w:p w14:paraId="4362621E"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0,09</w:t>
            </w:r>
          </w:p>
        </w:tc>
        <w:tc>
          <w:tcPr>
            <w:tcW w:w="840" w:type="dxa"/>
            <w:tcBorders>
              <w:top w:val="nil"/>
              <w:left w:val="nil"/>
              <w:bottom w:val="single" w:sz="4" w:space="0" w:color="auto"/>
              <w:right w:val="single" w:sz="4" w:space="0" w:color="auto"/>
            </w:tcBorders>
            <w:shd w:val="clear" w:color="auto" w:fill="auto"/>
            <w:noWrap/>
            <w:vAlign w:val="center"/>
            <w:hideMark/>
          </w:tcPr>
          <w:p w14:paraId="305B031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0,07</w:t>
            </w:r>
          </w:p>
        </w:tc>
        <w:tc>
          <w:tcPr>
            <w:tcW w:w="840" w:type="dxa"/>
            <w:tcBorders>
              <w:top w:val="nil"/>
              <w:left w:val="nil"/>
              <w:bottom w:val="single" w:sz="4" w:space="0" w:color="auto"/>
              <w:right w:val="single" w:sz="4" w:space="0" w:color="auto"/>
            </w:tcBorders>
            <w:shd w:val="clear" w:color="auto" w:fill="auto"/>
            <w:noWrap/>
            <w:vAlign w:val="center"/>
            <w:hideMark/>
          </w:tcPr>
          <w:p w14:paraId="2E91B22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0,07</w:t>
            </w:r>
          </w:p>
        </w:tc>
      </w:tr>
      <w:tr w:rsidR="00617C3E" w:rsidRPr="00A474C9" w14:paraId="234EEC91"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125AED7F"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donacije - izplačila za kulturne namene in izplačila prostovoljnim društvom...</w:t>
            </w:r>
          </w:p>
        </w:tc>
        <w:tc>
          <w:tcPr>
            <w:tcW w:w="780" w:type="dxa"/>
            <w:tcBorders>
              <w:top w:val="nil"/>
              <w:left w:val="nil"/>
              <w:bottom w:val="single" w:sz="4" w:space="0" w:color="auto"/>
              <w:right w:val="single" w:sz="4" w:space="0" w:color="auto"/>
            </w:tcBorders>
            <w:shd w:val="clear" w:color="auto" w:fill="auto"/>
            <w:noWrap/>
            <w:vAlign w:val="center"/>
            <w:hideMark/>
          </w:tcPr>
          <w:p w14:paraId="4555EC71"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787</w:t>
            </w:r>
          </w:p>
        </w:tc>
        <w:tc>
          <w:tcPr>
            <w:tcW w:w="780" w:type="dxa"/>
            <w:tcBorders>
              <w:top w:val="nil"/>
              <w:left w:val="nil"/>
              <w:bottom w:val="single" w:sz="4" w:space="0" w:color="auto"/>
              <w:right w:val="single" w:sz="4" w:space="0" w:color="auto"/>
            </w:tcBorders>
            <w:shd w:val="clear" w:color="auto" w:fill="auto"/>
            <w:noWrap/>
            <w:vAlign w:val="center"/>
            <w:hideMark/>
          </w:tcPr>
          <w:p w14:paraId="0C5C7396"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793</w:t>
            </w:r>
          </w:p>
        </w:tc>
        <w:tc>
          <w:tcPr>
            <w:tcW w:w="780" w:type="dxa"/>
            <w:tcBorders>
              <w:top w:val="nil"/>
              <w:left w:val="nil"/>
              <w:bottom w:val="single" w:sz="4" w:space="0" w:color="auto"/>
              <w:right w:val="single" w:sz="4" w:space="0" w:color="auto"/>
            </w:tcBorders>
            <w:shd w:val="clear" w:color="auto" w:fill="auto"/>
            <w:noWrap/>
            <w:vAlign w:val="center"/>
            <w:hideMark/>
          </w:tcPr>
          <w:p w14:paraId="51CAEE6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904</w:t>
            </w:r>
          </w:p>
        </w:tc>
        <w:tc>
          <w:tcPr>
            <w:tcW w:w="840" w:type="dxa"/>
            <w:tcBorders>
              <w:top w:val="nil"/>
              <w:left w:val="nil"/>
              <w:bottom w:val="single" w:sz="4" w:space="0" w:color="auto"/>
              <w:right w:val="single" w:sz="4" w:space="0" w:color="auto"/>
            </w:tcBorders>
            <w:shd w:val="clear" w:color="auto" w:fill="auto"/>
            <w:noWrap/>
            <w:vAlign w:val="center"/>
            <w:hideMark/>
          </w:tcPr>
          <w:p w14:paraId="7127AB2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0,06</w:t>
            </w:r>
          </w:p>
        </w:tc>
        <w:tc>
          <w:tcPr>
            <w:tcW w:w="840" w:type="dxa"/>
            <w:tcBorders>
              <w:top w:val="nil"/>
              <w:left w:val="nil"/>
              <w:bottom w:val="single" w:sz="4" w:space="0" w:color="auto"/>
              <w:right w:val="single" w:sz="4" w:space="0" w:color="auto"/>
            </w:tcBorders>
            <w:shd w:val="clear" w:color="auto" w:fill="auto"/>
            <w:noWrap/>
            <w:vAlign w:val="center"/>
            <w:hideMark/>
          </w:tcPr>
          <w:p w14:paraId="19DD953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0,06</w:t>
            </w:r>
          </w:p>
        </w:tc>
        <w:tc>
          <w:tcPr>
            <w:tcW w:w="840" w:type="dxa"/>
            <w:tcBorders>
              <w:top w:val="nil"/>
              <w:left w:val="nil"/>
              <w:bottom w:val="single" w:sz="4" w:space="0" w:color="auto"/>
              <w:right w:val="single" w:sz="4" w:space="0" w:color="auto"/>
            </w:tcBorders>
            <w:shd w:val="clear" w:color="auto" w:fill="auto"/>
            <w:noWrap/>
            <w:vAlign w:val="center"/>
            <w:hideMark/>
          </w:tcPr>
          <w:p w14:paraId="64B232A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0,07</w:t>
            </w:r>
          </w:p>
        </w:tc>
      </w:tr>
      <w:tr w:rsidR="00617C3E" w:rsidRPr="00A474C9" w14:paraId="7EFF443A"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25D648B9" w14:textId="004F4DD8"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zaposlovanje po 5. členu ZRPPR1015 (Pomurje)</w:t>
            </w:r>
          </w:p>
        </w:tc>
        <w:tc>
          <w:tcPr>
            <w:tcW w:w="780" w:type="dxa"/>
            <w:tcBorders>
              <w:top w:val="nil"/>
              <w:left w:val="nil"/>
              <w:bottom w:val="single" w:sz="4" w:space="0" w:color="auto"/>
              <w:right w:val="single" w:sz="4" w:space="0" w:color="auto"/>
            </w:tcBorders>
            <w:shd w:val="clear" w:color="auto" w:fill="auto"/>
            <w:noWrap/>
            <w:vAlign w:val="center"/>
            <w:hideMark/>
          </w:tcPr>
          <w:p w14:paraId="28B0B71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28</w:t>
            </w:r>
          </w:p>
        </w:tc>
        <w:tc>
          <w:tcPr>
            <w:tcW w:w="780" w:type="dxa"/>
            <w:tcBorders>
              <w:top w:val="nil"/>
              <w:left w:val="nil"/>
              <w:bottom w:val="single" w:sz="4" w:space="0" w:color="auto"/>
              <w:right w:val="single" w:sz="4" w:space="0" w:color="auto"/>
            </w:tcBorders>
            <w:shd w:val="clear" w:color="auto" w:fill="auto"/>
            <w:noWrap/>
            <w:vAlign w:val="center"/>
            <w:hideMark/>
          </w:tcPr>
          <w:p w14:paraId="1E6C33E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22</w:t>
            </w:r>
          </w:p>
        </w:tc>
        <w:tc>
          <w:tcPr>
            <w:tcW w:w="780" w:type="dxa"/>
            <w:tcBorders>
              <w:top w:val="nil"/>
              <w:left w:val="nil"/>
              <w:bottom w:val="single" w:sz="4" w:space="0" w:color="auto"/>
              <w:right w:val="single" w:sz="4" w:space="0" w:color="auto"/>
            </w:tcBorders>
            <w:shd w:val="clear" w:color="auto" w:fill="auto"/>
            <w:noWrap/>
            <w:vAlign w:val="center"/>
            <w:hideMark/>
          </w:tcPr>
          <w:p w14:paraId="380F591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35</w:t>
            </w:r>
          </w:p>
        </w:tc>
        <w:tc>
          <w:tcPr>
            <w:tcW w:w="840" w:type="dxa"/>
            <w:tcBorders>
              <w:top w:val="nil"/>
              <w:left w:val="nil"/>
              <w:bottom w:val="single" w:sz="4" w:space="0" w:color="auto"/>
              <w:right w:val="single" w:sz="4" w:space="0" w:color="auto"/>
            </w:tcBorders>
            <w:shd w:val="clear" w:color="auto" w:fill="auto"/>
            <w:noWrap/>
            <w:vAlign w:val="center"/>
            <w:hideMark/>
          </w:tcPr>
          <w:p w14:paraId="3FD9A817"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0,03</w:t>
            </w:r>
          </w:p>
        </w:tc>
        <w:tc>
          <w:tcPr>
            <w:tcW w:w="840" w:type="dxa"/>
            <w:tcBorders>
              <w:top w:val="nil"/>
              <w:left w:val="nil"/>
              <w:bottom w:val="single" w:sz="4" w:space="0" w:color="auto"/>
              <w:right w:val="single" w:sz="4" w:space="0" w:color="auto"/>
            </w:tcBorders>
            <w:shd w:val="clear" w:color="auto" w:fill="auto"/>
            <w:noWrap/>
            <w:vAlign w:val="center"/>
            <w:hideMark/>
          </w:tcPr>
          <w:p w14:paraId="1C1240F1"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0,03</w:t>
            </w:r>
          </w:p>
        </w:tc>
        <w:tc>
          <w:tcPr>
            <w:tcW w:w="840" w:type="dxa"/>
            <w:tcBorders>
              <w:top w:val="nil"/>
              <w:left w:val="nil"/>
              <w:bottom w:val="single" w:sz="4" w:space="0" w:color="auto"/>
              <w:right w:val="single" w:sz="4" w:space="0" w:color="auto"/>
            </w:tcBorders>
            <w:shd w:val="clear" w:color="auto" w:fill="auto"/>
            <w:noWrap/>
            <w:vAlign w:val="center"/>
            <w:hideMark/>
          </w:tcPr>
          <w:p w14:paraId="03521514"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0,04</w:t>
            </w:r>
          </w:p>
        </w:tc>
      </w:tr>
      <w:tr w:rsidR="00617C3E" w:rsidRPr="00A474C9" w14:paraId="41195E2F" w14:textId="77777777" w:rsidTr="00617C3E">
        <w:trPr>
          <w:trHeight w:val="48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21E96C78"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Olajšava za izvajanje praktičnega dela v strokovnem izobraževanju</w:t>
            </w:r>
          </w:p>
        </w:tc>
        <w:tc>
          <w:tcPr>
            <w:tcW w:w="780" w:type="dxa"/>
            <w:tcBorders>
              <w:top w:val="nil"/>
              <w:left w:val="nil"/>
              <w:bottom w:val="single" w:sz="4" w:space="0" w:color="auto"/>
              <w:right w:val="single" w:sz="4" w:space="0" w:color="auto"/>
            </w:tcBorders>
            <w:shd w:val="clear" w:color="auto" w:fill="auto"/>
            <w:noWrap/>
            <w:vAlign w:val="center"/>
            <w:hideMark/>
          </w:tcPr>
          <w:p w14:paraId="12F30AB1"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155</w:t>
            </w:r>
          </w:p>
        </w:tc>
        <w:tc>
          <w:tcPr>
            <w:tcW w:w="780" w:type="dxa"/>
            <w:tcBorders>
              <w:top w:val="nil"/>
              <w:left w:val="nil"/>
              <w:bottom w:val="single" w:sz="4" w:space="0" w:color="auto"/>
              <w:right w:val="single" w:sz="4" w:space="0" w:color="auto"/>
            </w:tcBorders>
            <w:shd w:val="clear" w:color="auto" w:fill="auto"/>
            <w:noWrap/>
            <w:vAlign w:val="center"/>
            <w:hideMark/>
          </w:tcPr>
          <w:p w14:paraId="10EDECA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167</w:t>
            </w:r>
          </w:p>
        </w:tc>
        <w:tc>
          <w:tcPr>
            <w:tcW w:w="780" w:type="dxa"/>
            <w:tcBorders>
              <w:top w:val="nil"/>
              <w:left w:val="nil"/>
              <w:bottom w:val="single" w:sz="4" w:space="0" w:color="auto"/>
              <w:right w:val="single" w:sz="4" w:space="0" w:color="auto"/>
            </w:tcBorders>
            <w:shd w:val="clear" w:color="auto" w:fill="auto"/>
            <w:noWrap/>
            <w:vAlign w:val="center"/>
            <w:hideMark/>
          </w:tcPr>
          <w:p w14:paraId="129BF5DF"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189</w:t>
            </w:r>
          </w:p>
        </w:tc>
        <w:tc>
          <w:tcPr>
            <w:tcW w:w="840" w:type="dxa"/>
            <w:tcBorders>
              <w:top w:val="nil"/>
              <w:left w:val="nil"/>
              <w:bottom w:val="single" w:sz="4" w:space="0" w:color="auto"/>
              <w:right w:val="single" w:sz="4" w:space="0" w:color="auto"/>
            </w:tcBorders>
            <w:shd w:val="clear" w:color="auto" w:fill="auto"/>
            <w:noWrap/>
            <w:vAlign w:val="center"/>
            <w:hideMark/>
          </w:tcPr>
          <w:p w14:paraId="04341886"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0,03</w:t>
            </w:r>
          </w:p>
        </w:tc>
        <w:tc>
          <w:tcPr>
            <w:tcW w:w="840" w:type="dxa"/>
            <w:tcBorders>
              <w:top w:val="nil"/>
              <w:left w:val="nil"/>
              <w:bottom w:val="single" w:sz="4" w:space="0" w:color="auto"/>
              <w:right w:val="single" w:sz="4" w:space="0" w:color="auto"/>
            </w:tcBorders>
            <w:shd w:val="clear" w:color="auto" w:fill="auto"/>
            <w:noWrap/>
            <w:vAlign w:val="center"/>
            <w:hideMark/>
          </w:tcPr>
          <w:p w14:paraId="5D9D7C1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0,03</w:t>
            </w:r>
          </w:p>
        </w:tc>
        <w:tc>
          <w:tcPr>
            <w:tcW w:w="840" w:type="dxa"/>
            <w:tcBorders>
              <w:top w:val="nil"/>
              <w:left w:val="nil"/>
              <w:bottom w:val="single" w:sz="4" w:space="0" w:color="auto"/>
              <w:right w:val="single" w:sz="4" w:space="0" w:color="auto"/>
            </w:tcBorders>
            <w:shd w:val="clear" w:color="auto" w:fill="auto"/>
            <w:noWrap/>
            <w:vAlign w:val="center"/>
            <w:hideMark/>
          </w:tcPr>
          <w:p w14:paraId="7DAF172F"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0,03</w:t>
            </w:r>
          </w:p>
        </w:tc>
      </w:tr>
      <w:tr w:rsidR="00617C3E" w:rsidRPr="00A474C9" w14:paraId="78DDB9D5" w14:textId="77777777" w:rsidTr="00617C3E">
        <w:trPr>
          <w:trHeight w:val="300"/>
        </w:trPr>
        <w:tc>
          <w:tcPr>
            <w:tcW w:w="4008" w:type="dxa"/>
            <w:tcBorders>
              <w:top w:val="nil"/>
              <w:left w:val="single" w:sz="4" w:space="0" w:color="auto"/>
              <w:bottom w:val="single" w:sz="4" w:space="0" w:color="auto"/>
              <w:right w:val="single" w:sz="4" w:space="0" w:color="auto"/>
            </w:tcBorders>
            <w:shd w:val="clear" w:color="auto" w:fill="auto"/>
            <w:vAlign w:val="bottom"/>
            <w:hideMark/>
          </w:tcPr>
          <w:p w14:paraId="053F1183" w14:textId="77777777" w:rsidR="00617C3E" w:rsidRPr="00A474C9" w:rsidRDefault="00617C3E" w:rsidP="00617C3E">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Izplačila političnim strankam</w:t>
            </w:r>
          </w:p>
        </w:tc>
        <w:tc>
          <w:tcPr>
            <w:tcW w:w="780" w:type="dxa"/>
            <w:tcBorders>
              <w:top w:val="nil"/>
              <w:left w:val="nil"/>
              <w:bottom w:val="single" w:sz="4" w:space="0" w:color="auto"/>
              <w:right w:val="single" w:sz="4" w:space="0" w:color="auto"/>
            </w:tcBorders>
            <w:shd w:val="clear" w:color="auto" w:fill="auto"/>
            <w:noWrap/>
            <w:vAlign w:val="center"/>
            <w:hideMark/>
          </w:tcPr>
          <w:p w14:paraId="5F8F794C"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w:t>
            </w:r>
          </w:p>
        </w:tc>
        <w:tc>
          <w:tcPr>
            <w:tcW w:w="780" w:type="dxa"/>
            <w:tcBorders>
              <w:top w:val="nil"/>
              <w:left w:val="nil"/>
              <w:bottom w:val="single" w:sz="4" w:space="0" w:color="auto"/>
              <w:right w:val="single" w:sz="4" w:space="0" w:color="auto"/>
            </w:tcBorders>
            <w:shd w:val="clear" w:color="auto" w:fill="auto"/>
            <w:noWrap/>
            <w:vAlign w:val="center"/>
            <w:hideMark/>
          </w:tcPr>
          <w:p w14:paraId="1E2D46FB"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w:t>
            </w:r>
          </w:p>
        </w:tc>
        <w:tc>
          <w:tcPr>
            <w:tcW w:w="780" w:type="dxa"/>
            <w:tcBorders>
              <w:top w:val="nil"/>
              <w:left w:val="nil"/>
              <w:bottom w:val="single" w:sz="4" w:space="0" w:color="auto"/>
              <w:right w:val="single" w:sz="4" w:space="0" w:color="auto"/>
            </w:tcBorders>
            <w:shd w:val="clear" w:color="auto" w:fill="auto"/>
            <w:noWrap/>
            <w:vAlign w:val="center"/>
            <w:hideMark/>
          </w:tcPr>
          <w:p w14:paraId="4A08D403"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w:t>
            </w:r>
          </w:p>
        </w:tc>
        <w:tc>
          <w:tcPr>
            <w:tcW w:w="840" w:type="dxa"/>
            <w:tcBorders>
              <w:top w:val="nil"/>
              <w:left w:val="nil"/>
              <w:bottom w:val="single" w:sz="4" w:space="0" w:color="auto"/>
              <w:right w:val="single" w:sz="4" w:space="0" w:color="auto"/>
            </w:tcBorders>
            <w:shd w:val="clear" w:color="auto" w:fill="auto"/>
            <w:noWrap/>
            <w:vAlign w:val="center"/>
            <w:hideMark/>
          </w:tcPr>
          <w:p w14:paraId="4FBA6635"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0,00</w:t>
            </w:r>
          </w:p>
        </w:tc>
        <w:tc>
          <w:tcPr>
            <w:tcW w:w="840" w:type="dxa"/>
            <w:tcBorders>
              <w:top w:val="nil"/>
              <w:left w:val="nil"/>
              <w:bottom w:val="single" w:sz="4" w:space="0" w:color="auto"/>
              <w:right w:val="single" w:sz="4" w:space="0" w:color="auto"/>
            </w:tcBorders>
            <w:shd w:val="clear" w:color="auto" w:fill="auto"/>
            <w:noWrap/>
            <w:vAlign w:val="center"/>
            <w:hideMark/>
          </w:tcPr>
          <w:p w14:paraId="3CEFE768"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0,00</w:t>
            </w:r>
          </w:p>
        </w:tc>
        <w:tc>
          <w:tcPr>
            <w:tcW w:w="840" w:type="dxa"/>
            <w:tcBorders>
              <w:top w:val="nil"/>
              <w:left w:val="nil"/>
              <w:bottom w:val="single" w:sz="4" w:space="0" w:color="auto"/>
              <w:right w:val="single" w:sz="4" w:space="0" w:color="auto"/>
            </w:tcBorders>
            <w:shd w:val="clear" w:color="auto" w:fill="auto"/>
            <w:noWrap/>
            <w:vAlign w:val="center"/>
            <w:hideMark/>
          </w:tcPr>
          <w:p w14:paraId="5A8D46B0" w14:textId="77777777" w:rsidR="00617C3E" w:rsidRPr="00A474C9" w:rsidRDefault="00617C3E" w:rsidP="00617C3E">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0,00</w:t>
            </w:r>
          </w:p>
        </w:tc>
      </w:tr>
      <w:tr w:rsidR="00617C3E" w:rsidRPr="00A474C9" w14:paraId="171F88EB" w14:textId="77777777" w:rsidTr="00AC13E9">
        <w:trPr>
          <w:trHeight w:val="300"/>
        </w:trPr>
        <w:tc>
          <w:tcPr>
            <w:tcW w:w="4008"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6D2F0FCB" w14:textId="77777777" w:rsidR="00617C3E" w:rsidRPr="00A474C9" w:rsidRDefault="00617C3E" w:rsidP="00617C3E">
            <w:pPr>
              <w:spacing w:after="0" w:line="240" w:lineRule="auto"/>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SKUPAJ</w:t>
            </w:r>
          </w:p>
        </w:tc>
        <w:tc>
          <w:tcPr>
            <w:tcW w:w="780" w:type="dxa"/>
            <w:tcBorders>
              <w:top w:val="double" w:sz="6" w:space="0" w:color="auto"/>
              <w:left w:val="nil"/>
              <w:bottom w:val="single" w:sz="4" w:space="0" w:color="auto"/>
              <w:right w:val="single" w:sz="4" w:space="0" w:color="auto"/>
            </w:tcBorders>
            <w:shd w:val="clear" w:color="000000" w:fill="FFC000"/>
            <w:noWrap/>
            <w:vAlign w:val="center"/>
          </w:tcPr>
          <w:p w14:paraId="417DE2D8" w14:textId="7C2B3D90" w:rsidR="00617C3E" w:rsidRPr="00A474C9" w:rsidRDefault="00617C3E" w:rsidP="00617C3E">
            <w:pPr>
              <w:spacing w:after="0" w:line="240" w:lineRule="auto"/>
              <w:jc w:val="right"/>
              <w:rPr>
                <w:rFonts w:ascii="Arial" w:eastAsia="Times New Roman" w:hAnsi="Arial" w:cs="Arial"/>
                <w:b/>
                <w:bCs/>
                <w:sz w:val="18"/>
                <w:szCs w:val="18"/>
                <w:lang w:eastAsia="sl-SI"/>
              </w:rPr>
            </w:pPr>
          </w:p>
        </w:tc>
        <w:tc>
          <w:tcPr>
            <w:tcW w:w="780" w:type="dxa"/>
            <w:tcBorders>
              <w:top w:val="double" w:sz="6" w:space="0" w:color="auto"/>
              <w:left w:val="nil"/>
              <w:bottom w:val="single" w:sz="4" w:space="0" w:color="auto"/>
              <w:right w:val="single" w:sz="4" w:space="0" w:color="auto"/>
            </w:tcBorders>
            <w:shd w:val="clear" w:color="000000" w:fill="FFC000"/>
            <w:noWrap/>
            <w:vAlign w:val="center"/>
          </w:tcPr>
          <w:p w14:paraId="15745B4D" w14:textId="21E5C4DC" w:rsidR="00617C3E" w:rsidRPr="00A474C9" w:rsidRDefault="00617C3E" w:rsidP="00617C3E">
            <w:pPr>
              <w:spacing w:after="0" w:line="240" w:lineRule="auto"/>
              <w:jc w:val="right"/>
              <w:rPr>
                <w:rFonts w:ascii="Arial" w:eastAsia="Times New Roman" w:hAnsi="Arial" w:cs="Arial"/>
                <w:b/>
                <w:bCs/>
                <w:sz w:val="18"/>
                <w:szCs w:val="18"/>
                <w:lang w:eastAsia="sl-SI"/>
              </w:rPr>
            </w:pPr>
          </w:p>
        </w:tc>
        <w:tc>
          <w:tcPr>
            <w:tcW w:w="780" w:type="dxa"/>
            <w:tcBorders>
              <w:top w:val="double" w:sz="6" w:space="0" w:color="auto"/>
              <w:left w:val="nil"/>
              <w:bottom w:val="single" w:sz="4" w:space="0" w:color="auto"/>
              <w:right w:val="single" w:sz="4" w:space="0" w:color="auto"/>
            </w:tcBorders>
            <w:shd w:val="clear" w:color="000000" w:fill="FFC000"/>
            <w:noWrap/>
            <w:vAlign w:val="center"/>
          </w:tcPr>
          <w:p w14:paraId="2BDF62DA" w14:textId="06BDF608" w:rsidR="00617C3E" w:rsidRPr="00A474C9" w:rsidRDefault="00617C3E" w:rsidP="00617C3E">
            <w:pPr>
              <w:spacing w:after="0" w:line="240" w:lineRule="auto"/>
              <w:jc w:val="right"/>
              <w:rPr>
                <w:rFonts w:ascii="Arial" w:eastAsia="Times New Roman" w:hAnsi="Arial" w:cs="Arial"/>
                <w:b/>
                <w:bCs/>
                <w:sz w:val="18"/>
                <w:szCs w:val="18"/>
                <w:lang w:eastAsia="sl-SI"/>
              </w:rPr>
            </w:pPr>
          </w:p>
        </w:tc>
        <w:tc>
          <w:tcPr>
            <w:tcW w:w="840" w:type="dxa"/>
            <w:tcBorders>
              <w:top w:val="double" w:sz="6" w:space="0" w:color="auto"/>
              <w:left w:val="nil"/>
              <w:bottom w:val="single" w:sz="4" w:space="0" w:color="auto"/>
              <w:right w:val="single" w:sz="4" w:space="0" w:color="auto"/>
            </w:tcBorders>
            <w:shd w:val="clear" w:color="000000" w:fill="FFC000"/>
            <w:noWrap/>
            <w:vAlign w:val="center"/>
            <w:hideMark/>
          </w:tcPr>
          <w:p w14:paraId="33E022C8" w14:textId="77777777" w:rsidR="00617C3E" w:rsidRPr="00A474C9" w:rsidRDefault="00617C3E" w:rsidP="00617C3E">
            <w:pPr>
              <w:spacing w:after="0" w:line="240" w:lineRule="auto"/>
              <w:jc w:val="right"/>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25,5</w:t>
            </w:r>
          </w:p>
        </w:tc>
        <w:tc>
          <w:tcPr>
            <w:tcW w:w="840" w:type="dxa"/>
            <w:tcBorders>
              <w:top w:val="double" w:sz="6" w:space="0" w:color="auto"/>
              <w:left w:val="nil"/>
              <w:bottom w:val="single" w:sz="4" w:space="0" w:color="auto"/>
              <w:right w:val="single" w:sz="4" w:space="0" w:color="auto"/>
            </w:tcBorders>
            <w:shd w:val="clear" w:color="000000" w:fill="FFC000"/>
            <w:noWrap/>
            <w:vAlign w:val="center"/>
            <w:hideMark/>
          </w:tcPr>
          <w:p w14:paraId="38A3277A" w14:textId="77777777" w:rsidR="00617C3E" w:rsidRPr="00A474C9" w:rsidRDefault="00617C3E" w:rsidP="00617C3E">
            <w:pPr>
              <w:spacing w:after="0" w:line="240" w:lineRule="auto"/>
              <w:jc w:val="right"/>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25,9</w:t>
            </w:r>
          </w:p>
        </w:tc>
        <w:tc>
          <w:tcPr>
            <w:tcW w:w="840" w:type="dxa"/>
            <w:tcBorders>
              <w:top w:val="double" w:sz="6" w:space="0" w:color="auto"/>
              <w:left w:val="nil"/>
              <w:bottom w:val="single" w:sz="4" w:space="0" w:color="auto"/>
              <w:right w:val="single" w:sz="4" w:space="0" w:color="auto"/>
            </w:tcBorders>
            <w:shd w:val="clear" w:color="000000" w:fill="FFC000"/>
            <w:noWrap/>
            <w:vAlign w:val="center"/>
            <w:hideMark/>
          </w:tcPr>
          <w:p w14:paraId="662E3E79" w14:textId="77777777" w:rsidR="00617C3E" w:rsidRPr="00A474C9" w:rsidRDefault="00617C3E" w:rsidP="00617C3E">
            <w:pPr>
              <w:spacing w:after="0" w:line="240" w:lineRule="auto"/>
              <w:jc w:val="right"/>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26,7</w:t>
            </w:r>
          </w:p>
        </w:tc>
      </w:tr>
    </w:tbl>
    <w:p w14:paraId="139686DC" w14:textId="53D09712" w:rsidR="00E4026D" w:rsidRPr="00012435" w:rsidRDefault="00E4026D" w:rsidP="00E4026D">
      <w:pPr>
        <w:pStyle w:val="NoSpacing"/>
        <w:rPr>
          <w:rFonts w:ascii="Arial" w:hAnsi="Arial" w:cs="Arial"/>
          <w:i/>
          <w:sz w:val="18"/>
          <w:szCs w:val="18"/>
        </w:rPr>
      </w:pPr>
      <w:r w:rsidRPr="00012435">
        <w:rPr>
          <w:rFonts w:ascii="Arial" w:hAnsi="Arial" w:cs="Arial"/>
          <w:i/>
          <w:iCs/>
          <w:sz w:val="18"/>
          <w:szCs w:val="18"/>
          <w:lang w:eastAsia="sl-SI"/>
        </w:rPr>
        <w:t xml:space="preserve">Vir: Obračun akontacije dohodnine od dohodkov iz dejavnosti, FURS in </w:t>
      </w:r>
      <w:r w:rsidR="000B3A85">
        <w:rPr>
          <w:rFonts w:ascii="Arial" w:hAnsi="Arial" w:cs="Arial"/>
          <w:i/>
          <w:iCs/>
          <w:sz w:val="18"/>
          <w:szCs w:val="18"/>
          <w:lang w:eastAsia="sl-SI"/>
        </w:rPr>
        <w:t>l</w:t>
      </w:r>
      <w:r w:rsidRPr="00012435">
        <w:rPr>
          <w:rFonts w:ascii="Arial" w:hAnsi="Arial" w:cs="Arial"/>
          <w:i/>
          <w:iCs/>
          <w:sz w:val="18"/>
          <w:szCs w:val="18"/>
          <w:lang w:eastAsia="sl-SI"/>
        </w:rPr>
        <w:t>astni preračuni MF</w:t>
      </w:r>
      <w:r w:rsidR="000B3A85">
        <w:rPr>
          <w:rFonts w:ascii="Arial" w:hAnsi="Arial" w:cs="Arial"/>
          <w:i/>
          <w:iCs/>
          <w:sz w:val="18"/>
          <w:szCs w:val="18"/>
          <w:lang w:eastAsia="sl-SI"/>
        </w:rPr>
        <w:t>.</w:t>
      </w:r>
    </w:p>
    <w:p w14:paraId="10C053B5" w14:textId="77777777" w:rsidR="00E4026D" w:rsidRPr="00012435" w:rsidRDefault="00E4026D" w:rsidP="00012435">
      <w:pPr>
        <w:pStyle w:val="NoSpacing"/>
        <w:spacing w:line="260" w:lineRule="atLeast"/>
        <w:rPr>
          <w:rFonts w:ascii="Arial" w:hAnsi="Arial" w:cs="Arial"/>
          <w:color w:val="7F7F7F"/>
          <w:sz w:val="20"/>
          <w:szCs w:val="20"/>
        </w:rPr>
      </w:pPr>
    </w:p>
    <w:p w14:paraId="3D57F98E" w14:textId="3A29A6A1" w:rsidR="00E4026D" w:rsidRPr="002921A9" w:rsidRDefault="00E4026D" w:rsidP="002921A9">
      <w:pPr>
        <w:spacing w:after="0" w:line="260" w:lineRule="atLeast"/>
        <w:jc w:val="both"/>
        <w:rPr>
          <w:rFonts w:ascii="Arial" w:hAnsi="Arial" w:cs="Arial"/>
          <w:sz w:val="20"/>
          <w:szCs w:val="20"/>
        </w:rPr>
      </w:pPr>
      <w:r w:rsidRPr="002921A9">
        <w:rPr>
          <w:rFonts w:ascii="Arial" w:hAnsi="Arial" w:cs="Arial"/>
          <w:sz w:val="20"/>
          <w:szCs w:val="20"/>
        </w:rPr>
        <w:t xml:space="preserve">Skupni znesek </w:t>
      </w:r>
      <w:r w:rsidR="009B3443">
        <w:rPr>
          <w:rFonts w:ascii="Arial" w:hAnsi="Arial" w:cs="Arial"/>
          <w:sz w:val="20"/>
          <w:szCs w:val="20"/>
        </w:rPr>
        <w:t>davčnih izdatkov na področju obdavčitve dohodka iz dejavnosti</w:t>
      </w:r>
      <w:r w:rsidRPr="002921A9">
        <w:rPr>
          <w:rFonts w:ascii="Arial" w:hAnsi="Arial" w:cs="Arial"/>
          <w:sz w:val="20"/>
          <w:szCs w:val="20"/>
        </w:rPr>
        <w:t xml:space="preserve"> za leto 2018 je znašal 26,7 mio evrov, kar je </w:t>
      </w:r>
      <w:r w:rsidR="00A942FA">
        <w:rPr>
          <w:rFonts w:ascii="Arial" w:hAnsi="Arial" w:cs="Arial"/>
          <w:sz w:val="20"/>
          <w:szCs w:val="20"/>
        </w:rPr>
        <w:t>dober</w:t>
      </w:r>
      <w:r w:rsidRPr="002921A9">
        <w:rPr>
          <w:rFonts w:ascii="Arial" w:hAnsi="Arial" w:cs="Arial"/>
          <w:sz w:val="20"/>
          <w:szCs w:val="20"/>
        </w:rPr>
        <w:t xml:space="preserve"> 1 mio evrov več k</w:t>
      </w:r>
      <w:r w:rsidR="000B3A85">
        <w:rPr>
          <w:rFonts w:ascii="Arial" w:hAnsi="Arial" w:cs="Arial"/>
          <w:sz w:val="20"/>
          <w:szCs w:val="20"/>
        </w:rPr>
        <w:t>akor</w:t>
      </w:r>
      <w:r w:rsidRPr="002921A9">
        <w:rPr>
          <w:rFonts w:ascii="Arial" w:hAnsi="Arial" w:cs="Arial"/>
          <w:sz w:val="20"/>
          <w:szCs w:val="20"/>
        </w:rPr>
        <w:t xml:space="preserve"> v letu 2016. Večin</w:t>
      </w:r>
      <w:r w:rsidR="00A942FA">
        <w:rPr>
          <w:rFonts w:ascii="Arial" w:hAnsi="Arial" w:cs="Arial"/>
          <w:sz w:val="20"/>
          <w:szCs w:val="20"/>
        </w:rPr>
        <w:t>a</w:t>
      </w:r>
      <w:r w:rsidRPr="002921A9">
        <w:rPr>
          <w:rFonts w:ascii="Arial" w:hAnsi="Arial" w:cs="Arial"/>
          <w:sz w:val="20"/>
          <w:szCs w:val="20"/>
        </w:rPr>
        <w:t xml:space="preserve"> </w:t>
      </w:r>
      <w:r w:rsidR="009B3443">
        <w:rPr>
          <w:rFonts w:ascii="Arial" w:hAnsi="Arial" w:cs="Arial"/>
          <w:sz w:val="20"/>
          <w:szCs w:val="20"/>
        </w:rPr>
        <w:t xml:space="preserve">skupnega </w:t>
      </w:r>
      <w:r w:rsidRPr="002921A9">
        <w:rPr>
          <w:rFonts w:ascii="Arial" w:hAnsi="Arial" w:cs="Arial"/>
          <w:sz w:val="20"/>
          <w:szCs w:val="20"/>
        </w:rPr>
        <w:t xml:space="preserve">davčnega </w:t>
      </w:r>
      <w:r w:rsidR="009B3443">
        <w:rPr>
          <w:rFonts w:ascii="Arial" w:hAnsi="Arial" w:cs="Arial"/>
          <w:sz w:val="20"/>
          <w:szCs w:val="20"/>
        </w:rPr>
        <w:t>izdatka</w:t>
      </w:r>
      <w:r w:rsidR="009B3443" w:rsidRPr="002921A9">
        <w:rPr>
          <w:rFonts w:ascii="Arial" w:hAnsi="Arial" w:cs="Arial"/>
          <w:sz w:val="20"/>
          <w:szCs w:val="20"/>
        </w:rPr>
        <w:t xml:space="preserve"> </w:t>
      </w:r>
      <w:r w:rsidRPr="002921A9">
        <w:rPr>
          <w:rFonts w:ascii="Arial" w:hAnsi="Arial" w:cs="Arial"/>
          <w:sz w:val="20"/>
          <w:szCs w:val="20"/>
        </w:rPr>
        <w:t>se nanaša na olajšavo za investiranje – 21 mio evrov v letu 2018.</w:t>
      </w:r>
    </w:p>
    <w:p w14:paraId="730D9C44" w14:textId="3655F2AC" w:rsidR="00E4026D" w:rsidRDefault="00E4026D" w:rsidP="002921A9">
      <w:pPr>
        <w:spacing w:after="0" w:line="260" w:lineRule="atLeast"/>
        <w:jc w:val="both"/>
        <w:rPr>
          <w:rFonts w:ascii="Arial" w:hAnsi="Arial" w:cs="Arial"/>
          <w:sz w:val="20"/>
          <w:szCs w:val="20"/>
        </w:rPr>
      </w:pPr>
    </w:p>
    <w:p w14:paraId="1A4B8F33" w14:textId="6425A132" w:rsidR="002921A9" w:rsidRPr="002921A9" w:rsidRDefault="00B4245B" w:rsidP="002921A9">
      <w:pPr>
        <w:spacing w:after="0" w:line="260" w:lineRule="atLeast"/>
        <w:jc w:val="both"/>
        <w:rPr>
          <w:rFonts w:ascii="Arial" w:hAnsi="Arial" w:cs="Arial"/>
          <w:sz w:val="20"/>
          <w:szCs w:val="20"/>
        </w:rPr>
      </w:pPr>
      <w:r>
        <w:rPr>
          <w:rFonts w:ascii="Arial" w:hAnsi="Arial" w:cs="Arial"/>
          <w:sz w:val="20"/>
          <w:szCs w:val="20"/>
        </w:rPr>
        <w:t>K</w:t>
      </w:r>
      <w:r w:rsidR="000B3A85">
        <w:rPr>
          <w:rFonts w:ascii="Arial" w:hAnsi="Arial" w:cs="Arial"/>
          <w:sz w:val="20"/>
          <w:szCs w:val="20"/>
        </w:rPr>
        <w:t>akor</w:t>
      </w:r>
      <w:r>
        <w:rPr>
          <w:rFonts w:ascii="Arial" w:hAnsi="Arial" w:cs="Arial"/>
          <w:sz w:val="20"/>
          <w:szCs w:val="20"/>
        </w:rPr>
        <w:t xml:space="preserve"> že zapisano, bi k davčnim </w:t>
      </w:r>
      <w:r w:rsidR="009B1F39">
        <w:rPr>
          <w:rFonts w:ascii="Arial" w:hAnsi="Arial" w:cs="Arial"/>
          <w:sz w:val="20"/>
          <w:szCs w:val="20"/>
        </w:rPr>
        <w:t>izdatkom</w:t>
      </w:r>
      <w:r>
        <w:rPr>
          <w:rFonts w:ascii="Arial" w:hAnsi="Arial" w:cs="Arial"/>
          <w:sz w:val="20"/>
          <w:szCs w:val="20"/>
        </w:rPr>
        <w:t xml:space="preserve"> lahko šteli tudi ugodnost ugotavljanja davčne osnove </w:t>
      </w:r>
      <w:r w:rsidR="000B3A85">
        <w:rPr>
          <w:rFonts w:ascii="Arial" w:hAnsi="Arial" w:cs="Arial"/>
          <w:sz w:val="20"/>
          <w:szCs w:val="20"/>
        </w:rPr>
        <w:t>na podlagi</w:t>
      </w:r>
      <w:r>
        <w:rPr>
          <w:rFonts w:ascii="Arial" w:hAnsi="Arial" w:cs="Arial"/>
          <w:sz w:val="20"/>
          <w:szCs w:val="20"/>
        </w:rPr>
        <w:t xml:space="preserve"> dejansk</w:t>
      </w:r>
      <w:r w:rsidR="000B3A85">
        <w:rPr>
          <w:rFonts w:ascii="Arial" w:hAnsi="Arial" w:cs="Arial"/>
          <w:sz w:val="20"/>
          <w:szCs w:val="20"/>
        </w:rPr>
        <w:t>ih</w:t>
      </w:r>
      <w:r>
        <w:rPr>
          <w:rFonts w:ascii="Arial" w:hAnsi="Arial" w:cs="Arial"/>
          <w:sz w:val="20"/>
          <w:szCs w:val="20"/>
        </w:rPr>
        <w:t xml:space="preserve"> prihodk</w:t>
      </w:r>
      <w:r w:rsidR="000B3A85">
        <w:rPr>
          <w:rFonts w:ascii="Arial" w:hAnsi="Arial" w:cs="Arial"/>
          <w:sz w:val="20"/>
          <w:szCs w:val="20"/>
        </w:rPr>
        <w:t>ov</w:t>
      </w:r>
      <w:r>
        <w:rPr>
          <w:rFonts w:ascii="Arial" w:hAnsi="Arial" w:cs="Arial"/>
          <w:sz w:val="20"/>
          <w:szCs w:val="20"/>
        </w:rPr>
        <w:t xml:space="preserve"> in normiran</w:t>
      </w:r>
      <w:r w:rsidR="000B3A85">
        <w:rPr>
          <w:rFonts w:ascii="Arial" w:hAnsi="Arial" w:cs="Arial"/>
          <w:sz w:val="20"/>
          <w:szCs w:val="20"/>
        </w:rPr>
        <w:t>ih</w:t>
      </w:r>
      <w:r>
        <w:rPr>
          <w:rFonts w:ascii="Arial" w:hAnsi="Arial" w:cs="Arial"/>
          <w:sz w:val="20"/>
          <w:szCs w:val="20"/>
        </w:rPr>
        <w:t xml:space="preserve"> odhodk</w:t>
      </w:r>
      <w:r w:rsidR="000B3A85">
        <w:rPr>
          <w:rFonts w:ascii="Arial" w:hAnsi="Arial" w:cs="Arial"/>
          <w:sz w:val="20"/>
          <w:szCs w:val="20"/>
        </w:rPr>
        <w:t>ov</w:t>
      </w:r>
      <w:r>
        <w:rPr>
          <w:rFonts w:ascii="Arial" w:hAnsi="Arial" w:cs="Arial"/>
          <w:sz w:val="20"/>
          <w:szCs w:val="20"/>
        </w:rPr>
        <w:t xml:space="preserve">. Učinek te ugodnosti lahko ocenimo le s pomočjo uporabe predpostavk. </w:t>
      </w:r>
      <w:r w:rsidR="002921A9" w:rsidRPr="008B55CD">
        <w:rPr>
          <w:rFonts w:ascii="Arial" w:hAnsi="Arial" w:cs="Arial"/>
          <w:sz w:val="20"/>
          <w:szCs w:val="20"/>
        </w:rPr>
        <w:t xml:space="preserve">Ti zavezanci so v letu 2018 imeli za 54 mio evrov davčne obveznosti, predstavljajo pa slabo polovico vseh zavezancev za </w:t>
      </w:r>
      <w:r w:rsidR="002921A9">
        <w:rPr>
          <w:rFonts w:ascii="Arial" w:hAnsi="Arial" w:cs="Arial"/>
          <w:sz w:val="20"/>
          <w:szCs w:val="20"/>
        </w:rPr>
        <w:t>d</w:t>
      </w:r>
      <w:r w:rsidR="002921A9" w:rsidRPr="008B55CD">
        <w:rPr>
          <w:rFonts w:ascii="Arial" w:hAnsi="Arial" w:cs="Arial"/>
          <w:sz w:val="20"/>
          <w:szCs w:val="20"/>
        </w:rPr>
        <w:t>avek od dohodka iz dejavnosti. Ob predpostavki, da ji</w:t>
      </w:r>
      <w:r w:rsidR="002921A9">
        <w:rPr>
          <w:rFonts w:ascii="Arial" w:hAnsi="Arial" w:cs="Arial"/>
          <w:sz w:val="20"/>
          <w:szCs w:val="20"/>
        </w:rPr>
        <w:t>m</w:t>
      </w:r>
      <w:r w:rsidR="002921A9" w:rsidRPr="008B55CD">
        <w:rPr>
          <w:rFonts w:ascii="Arial" w:hAnsi="Arial" w:cs="Arial"/>
          <w:sz w:val="20"/>
          <w:szCs w:val="20"/>
        </w:rPr>
        <w:t xml:space="preserve"> taka ureditev omogoča znižanje obveznosti za 1/3</w:t>
      </w:r>
      <w:r w:rsidR="008F3434">
        <w:rPr>
          <w:rStyle w:val="FootnoteReference"/>
          <w:rFonts w:ascii="Arial" w:hAnsi="Arial" w:cs="Arial"/>
          <w:sz w:val="20"/>
          <w:szCs w:val="20"/>
        </w:rPr>
        <w:footnoteReference w:id="1"/>
      </w:r>
      <w:r w:rsidR="002921A9" w:rsidRPr="008B55CD">
        <w:rPr>
          <w:rFonts w:ascii="Arial" w:hAnsi="Arial" w:cs="Arial"/>
          <w:sz w:val="20"/>
          <w:szCs w:val="20"/>
        </w:rPr>
        <w:t xml:space="preserve">, bi davčni </w:t>
      </w:r>
      <w:r w:rsidR="002921A9">
        <w:rPr>
          <w:rFonts w:ascii="Arial" w:hAnsi="Arial" w:cs="Arial"/>
          <w:sz w:val="20"/>
          <w:szCs w:val="20"/>
        </w:rPr>
        <w:t>izdatek</w:t>
      </w:r>
      <w:r w:rsidR="002921A9" w:rsidRPr="008B55CD">
        <w:rPr>
          <w:rFonts w:ascii="Arial" w:hAnsi="Arial" w:cs="Arial"/>
          <w:sz w:val="20"/>
          <w:szCs w:val="20"/>
        </w:rPr>
        <w:t xml:space="preserve"> znašal okoli 27 mio evrov, kar je približno enak znesek</w:t>
      </w:r>
      <w:r w:rsidR="000B3A85">
        <w:rPr>
          <w:rFonts w:ascii="Arial" w:hAnsi="Arial" w:cs="Arial"/>
          <w:sz w:val="20"/>
          <w:szCs w:val="20"/>
        </w:rPr>
        <w:t>,</w:t>
      </w:r>
      <w:r w:rsidR="002921A9" w:rsidRPr="008B55CD">
        <w:rPr>
          <w:rFonts w:ascii="Arial" w:hAnsi="Arial" w:cs="Arial"/>
          <w:sz w:val="20"/>
          <w:szCs w:val="20"/>
        </w:rPr>
        <w:t xml:space="preserve"> k</w:t>
      </w:r>
      <w:r w:rsidR="000B3A85">
        <w:rPr>
          <w:rFonts w:ascii="Arial" w:hAnsi="Arial" w:cs="Arial"/>
          <w:sz w:val="20"/>
          <w:szCs w:val="20"/>
        </w:rPr>
        <w:t>olikor</w:t>
      </w:r>
      <w:r w:rsidR="002921A9" w:rsidRPr="008B55CD">
        <w:rPr>
          <w:rFonts w:ascii="Arial" w:hAnsi="Arial" w:cs="Arial"/>
          <w:sz w:val="20"/>
          <w:szCs w:val="20"/>
        </w:rPr>
        <w:t xml:space="preserve"> znaša davčni </w:t>
      </w:r>
      <w:r w:rsidR="002921A9">
        <w:rPr>
          <w:rFonts w:ascii="Arial" w:hAnsi="Arial" w:cs="Arial"/>
          <w:sz w:val="20"/>
          <w:szCs w:val="20"/>
        </w:rPr>
        <w:t>izdatek</w:t>
      </w:r>
      <w:r w:rsidR="002921A9" w:rsidRPr="008B55CD">
        <w:rPr>
          <w:rFonts w:ascii="Arial" w:hAnsi="Arial" w:cs="Arial"/>
          <w:sz w:val="20"/>
          <w:szCs w:val="20"/>
        </w:rPr>
        <w:t xml:space="preserve"> zaradi uveljavljanja davčnih olajšav preostale dobre polovice zavezancev.</w:t>
      </w:r>
    </w:p>
    <w:p w14:paraId="295564EE" w14:textId="440AFB06" w:rsidR="00E4026D" w:rsidRPr="00012435" w:rsidRDefault="00E4026D" w:rsidP="00012435">
      <w:pPr>
        <w:spacing w:after="0" w:line="240" w:lineRule="auto"/>
        <w:jc w:val="both"/>
        <w:rPr>
          <w:rFonts w:ascii="Arial" w:hAnsi="Arial" w:cs="Arial"/>
          <w:szCs w:val="20"/>
          <w:u w:val="single"/>
        </w:rPr>
      </w:pPr>
    </w:p>
    <w:p w14:paraId="342645B5" w14:textId="1D494207" w:rsidR="00281839" w:rsidRPr="00012435" w:rsidRDefault="00281839" w:rsidP="00012435">
      <w:pPr>
        <w:pStyle w:val="Heading3"/>
        <w:spacing w:before="0" w:after="0"/>
        <w:rPr>
          <w:rFonts w:ascii="Arial" w:hAnsi="Arial" w:cs="Arial"/>
        </w:rPr>
      </w:pPr>
      <w:r w:rsidRPr="00012435">
        <w:rPr>
          <w:rFonts w:ascii="Arial" w:hAnsi="Arial" w:cs="Arial"/>
        </w:rPr>
        <w:t>1.3 Davek od dohodkov pravnih oseb</w:t>
      </w:r>
    </w:p>
    <w:p w14:paraId="3B4D0858" w14:textId="77777777" w:rsidR="00281839" w:rsidRPr="004931BE" w:rsidRDefault="00281839">
      <w:pPr>
        <w:spacing w:after="0" w:line="260" w:lineRule="atLeast"/>
        <w:jc w:val="both"/>
        <w:rPr>
          <w:rFonts w:ascii="Arial" w:hAnsi="Arial" w:cs="Arial"/>
          <w:b/>
          <w:sz w:val="20"/>
          <w:szCs w:val="20"/>
        </w:rPr>
      </w:pPr>
    </w:p>
    <w:p w14:paraId="1545FEC6" w14:textId="2FFDBCD6" w:rsidR="00281839" w:rsidRPr="00901BB9" w:rsidRDefault="00281839">
      <w:pPr>
        <w:spacing w:after="0" w:line="260" w:lineRule="atLeast"/>
        <w:jc w:val="both"/>
        <w:rPr>
          <w:rFonts w:ascii="Arial" w:hAnsi="Arial" w:cs="Arial"/>
          <w:sz w:val="20"/>
          <w:szCs w:val="20"/>
        </w:rPr>
      </w:pPr>
      <w:r w:rsidRPr="004931BE">
        <w:rPr>
          <w:rFonts w:ascii="Arial" w:hAnsi="Arial" w:cs="Arial"/>
          <w:sz w:val="20"/>
          <w:szCs w:val="20"/>
        </w:rPr>
        <w:t>Sistem</w:t>
      </w:r>
      <w:r w:rsidRPr="00901BB9">
        <w:rPr>
          <w:rFonts w:ascii="Arial" w:hAnsi="Arial" w:cs="Arial"/>
          <w:sz w:val="20"/>
          <w:szCs w:val="20"/>
        </w:rPr>
        <w:t xml:space="preserve"> obdavčitve z davkom od dohodkov pravnih oseb ureja </w:t>
      </w:r>
      <w:r w:rsidR="00F275E3">
        <w:rPr>
          <w:rFonts w:ascii="Arial" w:hAnsi="Arial" w:cs="Arial"/>
          <w:sz w:val="20"/>
          <w:szCs w:val="20"/>
        </w:rPr>
        <w:t>Z</w:t>
      </w:r>
      <w:r w:rsidRPr="00901BB9">
        <w:rPr>
          <w:rFonts w:ascii="Arial" w:hAnsi="Arial" w:cs="Arial"/>
          <w:sz w:val="20"/>
          <w:szCs w:val="20"/>
        </w:rPr>
        <w:t xml:space="preserve">DDPO. </w:t>
      </w:r>
      <w:r w:rsidR="00F275E3">
        <w:rPr>
          <w:rFonts w:ascii="Arial" w:hAnsi="Arial" w:cs="Arial"/>
          <w:sz w:val="20"/>
          <w:szCs w:val="20"/>
        </w:rPr>
        <w:t xml:space="preserve">Davek od dohodkov pravnih oseb (v nadaljevanju: </w:t>
      </w:r>
      <w:r w:rsidRPr="00901BB9">
        <w:rPr>
          <w:rFonts w:ascii="Arial" w:hAnsi="Arial" w:cs="Arial"/>
          <w:sz w:val="20"/>
          <w:szCs w:val="20"/>
        </w:rPr>
        <w:t>DDPO</w:t>
      </w:r>
      <w:r w:rsidR="00F275E3">
        <w:rPr>
          <w:rFonts w:ascii="Arial" w:hAnsi="Arial" w:cs="Arial"/>
          <w:sz w:val="20"/>
          <w:szCs w:val="20"/>
        </w:rPr>
        <w:t>)</w:t>
      </w:r>
      <w:r w:rsidRPr="00901BB9">
        <w:rPr>
          <w:rFonts w:ascii="Arial" w:hAnsi="Arial" w:cs="Arial"/>
          <w:sz w:val="20"/>
          <w:szCs w:val="20"/>
        </w:rPr>
        <w:t xml:space="preserve"> se uvršča med neposredne davke, zavezanci za davek so pravne osebe domačega prava (razen Republike Slovenije in samoupravnih lokalnih skupnosti), pravne osebe tujega prava ter družbe oziroma združenja oseb</w:t>
      </w:r>
      <w:r w:rsidR="00F275E3">
        <w:rPr>
          <w:rFonts w:ascii="Arial" w:hAnsi="Arial" w:cs="Arial"/>
          <w:sz w:val="20"/>
          <w:szCs w:val="20"/>
        </w:rPr>
        <w:t>,</w:t>
      </w:r>
      <w:r w:rsidRPr="00901BB9">
        <w:rPr>
          <w:rFonts w:ascii="Arial" w:hAnsi="Arial" w:cs="Arial"/>
          <w:sz w:val="20"/>
          <w:szCs w:val="20"/>
        </w:rPr>
        <w:t xml:space="preserve"> vključno z družbami civilnega prava po tujem pravu, ki nimajo pravne osebnosti in ki niso zavezanci za dohodnino.</w:t>
      </w:r>
    </w:p>
    <w:p w14:paraId="394BAD80" w14:textId="77777777" w:rsidR="00281839" w:rsidRPr="00901BB9" w:rsidRDefault="00281839" w:rsidP="00281839">
      <w:pPr>
        <w:spacing w:after="0" w:line="260" w:lineRule="atLeast"/>
        <w:jc w:val="both"/>
        <w:rPr>
          <w:rFonts w:ascii="Arial" w:hAnsi="Arial" w:cs="Arial"/>
          <w:sz w:val="20"/>
          <w:szCs w:val="20"/>
        </w:rPr>
      </w:pPr>
    </w:p>
    <w:p w14:paraId="274BCA7D" w14:textId="1139180F" w:rsidR="00281839" w:rsidRPr="006E03D8" w:rsidRDefault="00281839" w:rsidP="00281839">
      <w:pPr>
        <w:spacing w:after="0" w:line="260" w:lineRule="atLeast"/>
        <w:jc w:val="both"/>
        <w:rPr>
          <w:rFonts w:ascii="Arial" w:hAnsi="Arial" w:cs="Arial"/>
          <w:sz w:val="20"/>
          <w:szCs w:val="20"/>
        </w:rPr>
      </w:pPr>
      <w:r w:rsidRPr="006E03D8">
        <w:rPr>
          <w:rFonts w:ascii="Arial" w:hAnsi="Arial" w:cs="Arial"/>
          <w:sz w:val="20"/>
          <w:szCs w:val="20"/>
        </w:rPr>
        <w:lastRenderedPageBreak/>
        <w:t>Zmanjšanje davčne osnove za uveljavljanje davčnih olajšav, vendar največ v višini davčne osnove, je bilo v obravnavanem obdobju 2016</w:t>
      </w:r>
      <w:r w:rsidR="00B4691E">
        <w:rPr>
          <w:rFonts w:ascii="Arial" w:hAnsi="Arial" w:cs="Arial"/>
          <w:sz w:val="20"/>
          <w:szCs w:val="20"/>
        </w:rPr>
        <w:t>–</w:t>
      </w:r>
      <w:r w:rsidRPr="006E03D8">
        <w:rPr>
          <w:rFonts w:ascii="Arial" w:hAnsi="Arial" w:cs="Arial"/>
          <w:sz w:val="20"/>
          <w:szCs w:val="20"/>
        </w:rPr>
        <w:t xml:space="preserve">2018 mogoče za naslednje namene: </w:t>
      </w:r>
    </w:p>
    <w:p w14:paraId="21A3DFB9" w14:textId="5E34949F"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 xml:space="preserve">vlaganja v </w:t>
      </w:r>
      <w:r>
        <w:rPr>
          <w:rFonts w:ascii="Arial" w:hAnsi="Arial" w:cs="Arial"/>
          <w:sz w:val="20"/>
          <w:szCs w:val="20"/>
        </w:rPr>
        <w:t>raziskave in razvoj;</w:t>
      </w:r>
    </w:p>
    <w:p w14:paraId="26CA8C88" w14:textId="60A64AFC"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investiranje</w:t>
      </w:r>
      <w:r>
        <w:rPr>
          <w:rFonts w:ascii="Arial" w:hAnsi="Arial" w:cs="Arial"/>
          <w:sz w:val="20"/>
          <w:szCs w:val="20"/>
        </w:rPr>
        <w:t>;</w:t>
      </w:r>
    </w:p>
    <w:p w14:paraId="437E0C75" w14:textId="70133F04"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pripadajoči znesek dobička, ki se izplača delavcem</w:t>
      </w:r>
      <w:r w:rsidR="003928BF">
        <w:rPr>
          <w:rFonts w:ascii="Arial" w:hAnsi="Arial" w:cs="Arial"/>
          <w:sz w:val="20"/>
          <w:szCs w:val="20"/>
        </w:rPr>
        <w:t xml:space="preserve"> (v skladu z 31. členom Zakona o udeležbi delavcev pri dobičku, </w:t>
      </w:r>
      <w:r w:rsidR="00EA0A95">
        <w:rPr>
          <w:rFonts w:ascii="Arial" w:hAnsi="Arial" w:cs="Arial"/>
          <w:sz w:val="20"/>
          <w:szCs w:val="20"/>
        </w:rPr>
        <w:t xml:space="preserve">v nadaljevanju: </w:t>
      </w:r>
      <w:r w:rsidR="003928BF">
        <w:rPr>
          <w:rFonts w:ascii="Arial" w:hAnsi="Arial" w:cs="Arial"/>
          <w:sz w:val="20"/>
          <w:szCs w:val="20"/>
        </w:rPr>
        <w:t>ZUDDob)</w:t>
      </w:r>
      <w:r>
        <w:rPr>
          <w:rFonts w:ascii="Arial" w:hAnsi="Arial" w:cs="Arial"/>
          <w:sz w:val="20"/>
          <w:szCs w:val="20"/>
        </w:rPr>
        <w:t>;</w:t>
      </w:r>
    </w:p>
    <w:p w14:paraId="55B0B02E" w14:textId="32C0FEC1"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zaposlovanje invalidov</w:t>
      </w:r>
      <w:r>
        <w:rPr>
          <w:rFonts w:ascii="Arial" w:hAnsi="Arial" w:cs="Arial"/>
          <w:sz w:val="20"/>
          <w:szCs w:val="20"/>
        </w:rPr>
        <w:t>;</w:t>
      </w:r>
    </w:p>
    <w:p w14:paraId="7663C015" w14:textId="4988E11E"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izvajanje praktičnega dela v strokovnem izobraževanju</w:t>
      </w:r>
      <w:r>
        <w:rPr>
          <w:rFonts w:ascii="Arial" w:hAnsi="Arial" w:cs="Arial"/>
          <w:sz w:val="20"/>
          <w:szCs w:val="20"/>
        </w:rPr>
        <w:t>;</w:t>
      </w:r>
    </w:p>
    <w:p w14:paraId="6BCCCAA1" w14:textId="570273F5"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prostovoljno dodatno pokojninsko zavarovanje</w:t>
      </w:r>
      <w:r>
        <w:rPr>
          <w:rFonts w:ascii="Arial" w:hAnsi="Arial" w:cs="Arial"/>
          <w:sz w:val="20"/>
          <w:szCs w:val="20"/>
        </w:rPr>
        <w:t>;</w:t>
      </w:r>
    </w:p>
    <w:p w14:paraId="2A867CFF" w14:textId="173EF070"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donacije</w:t>
      </w:r>
      <w:r w:rsidR="00962FA9">
        <w:rPr>
          <w:rFonts w:ascii="Arial" w:hAnsi="Arial" w:cs="Arial"/>
          <w:sz w:val="20"/>
          <w:szCs w:val="20"/>
        </w:rPr>
        <w:t xml:space="preserve"> in izplačila političnim strankam</w:t>
      </w:r>
      <w:r>
        <w:rPr>
          <w:rFonts w:ascii="Arial" w:hAnsi="Arial" w:cs="Arial"/>
          <w:sz w:val="20"/>
          <w:szCs w:val="20"/>
        </w:rPr>
        <w:t>;</w:t>
      </w:r>
    </w:p>
    <w:p w14:paraId="04761BE1" w14:textId="578837C6"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zaposlovanje brezposelnih oseb</w:t>
      </w:r>
      <w:r>
        <w:rPr>
          <w:rFonts w:ascii="Arial" w:hAnsi="Arial" w:cs="Arial"/>
          <w:sz w:val="20"/>
          <w:szCs w:val="20"/>
        </w:rPr>
        <w:t>;</w:t>
      </w:r>
    </w:p>
    <w:p w14:paraId="42184707" w14:textId="6F3D2E7A" w:rsidR="00281839" w:rsidRPr="006E03D8" w:rsidRDefault="00281839" w:rsidP="00281839">
      <w:pPr>
        <w:numPr>
          <w:ilvl w:val="0"/>
          <w:numId w:val="62"/>
        </w:numPr>
        <w:spacing w:after="0" w:line="260" w:lineRule="atLeast"/>
        <w:jc w:val="both"/>
        <w:rPr>
          <w:rFonts w:ascii="Arial" w:hAnsi="Arial" w:cs="Arial"/>
          <w:sz w:val="20"/>
          <w:szCs w:val="20"/>
        </w:rPr>
      </w:pPr>
      <w:r w:rsidRPr="006E03D8">
        <w:rPr>
          <w:rFonts w:ascii="Arial" w:hAnsi="Arial" w:cs="Arial"/>
          <w:sz w:val="20"/>
          <w:szCs w:val="20"/>
        </w:rPr>
        <w:t xml:space="preserve">zaposlovanje in investiranje na problemskih območjih z visoko brezposelnostjo (v skladu z ZRPPR1015 </w:t>
      </w:r>
      <w:r w:rsidR="00390A2A">
        <w:rPr>
          <w:rFonts w:ascii="Arial" w:hAnsi="Arial" w:cs="Arial"/>
          <w:sz w:val="20"/>
          <w:szCs w:val="20"/>
        </w:rPr>
        <w:t>oziroma</w:t>
      </w:r>
      <w:r w:rsidRPr="006E03D8">
        <w:rPr>
          <w:rFonts w:ascii="Arial" w:hAnsi="Arial" w:cs="Arial"/>
          <w:sz w:val="20"/>
          <w:szCs w:val="20"/>
        </w:rPr>
        <w:t xml:space="preserve"> ZSRR-2).</w:t>
      </w:r>
    </w:p>
    <w:p w14:paraId="3869AB8A" w14:textId="77777777" w:rsidR="00281839" w:rsidRPr="006E03D8" w:rsidRDefault="00281839" w:rsidP="00281839">
      <w:pPr>
        <w:spacing w:after="0" w:line="260" w:lineRule="atLeast"/>
        <w:jc w:val="both"/>
        <w:rPr>
          <w:rFonts w:ascii="Arial" w:hAnsi="Arial" w:cs="Arial"/>
          <w:sz w:val="20"/>
          <w:szCs w:val="20"/>
        </w:rPr>
      </w:pPr>
    </w:p>
    <w:p w14:paraId="48E6985C" w14:textId="42FA23A7" w:rsidR="00281839" w:rsidRPr="006E03D8" w:rsidRDefault="00281839" w:rsidP="00281839">
      <w:pPr>
        <w:spacing w:after="0" w:line="260" w:lineRule="atLeast"/>
        <w:jc w:val="both"/>
        <w:rPr>
          <w:rFonts w:ascii="Arial" w:hAnsi="Arial" w:cs="Arial"/>
          <w:sz w:val="20"/>
          <w:szCs w:val="20"/>
        </w:rPr>
      </w:pPr>
      <w:r w:rsidRPr="006E03D8">
        <w:rPr>
          <w:rFonts w:ascii="Arial" w:hAnsi="Arial" w:cs="Arial"/>
          <w:sz w:val="20"/>
          <w:szCs w:val="20"/>
        </w:rPr>
        <w:t xml:space="preserve">Poleg naštetega lahko zavezanci zmanjšujejo svojo davčno osnovo </w:t>
      </w:r>
      <w:r>
        <w:rPr>
          <w:rFonts w:ascii="Arial" w:hAnsi="Arial" w:cs="Arial"/>
          <w:sz w:val="20"/>
          <w:szCs w:val="20"/>
        </w:rPr>
        <w:t xml:space="preserve">tudi </w:t>
      </w:r>
      <w:r w:rsidRPr="006E03D8">
        <w:rPr>
          <w:rFonts w:ascii="Arial" w:hAnsi="Arial" w:cs="Arial"/>
          <w:sz w:val="20"/>
          <w:szCs w:val="20"/>
        </w:rPr>
        <w:t xml:space="preserve">zaradi pokrivanja davčne izgube, kar </w:t>
      </w:r>
      <w:r w:rsidR="00960330">
        <w:rPr>
          <w:rFonts w:ascii="Arial" w:hAnsi="Arial" w:cs="Arial"/>
          <w:sz w:val="20"/>
          <w:szCs w:val="20"/>
        </w:rPr>
        <w:t>je</w:t>
      </w:r>
      <w:r w:rsidRPr="006E03D8">
        <w:rPr>
          <w:rFonts w:ascii="Arial" w:hAnsi="Arial" w:cs="Arial"/>
          <w:sz w:val="20"/>
          <w:szCs w:val="20"/>
        </w:rPr>
        <w:t xml:space="preserve"> ugodnost, ki jo tudi lahko štejemo za obliko davčnega </w:t>
      </w:r>
      <w:r>
        <w:rPr>
          <w:rFonts w:ascii="Arial" w:hAnsi="Arial" w:cs="Arial"/>
          <w:sz w:val="20"/>
          <w:szCs w:val="20"/>
        </w:rPr>
        <w:t>izdatka</w:t>
      </w:r>
      <w:r w:rsidRPr="006E03D8">
        <w:rPr>
          <w:rFonts w:ascii="Arial" w:hAnsi="Arial" w:cs="Arial"/>
          <w:sz w:val="20"/>
          <w:szCs w:val="20"/>
        </w:rPr>
        <w:t xml:space="preserve">. Med davčne </w:t>
      </w:r>
      <w:r>
        <w:rPr>
          <w:rFonts w:ascii="Arial" w:hAnsi="Arial" w:cs="Arial"/>
          <w:sz w:val="20"/>
          <w:szCs w:val="20"/>
        </w:rPr>
        <w:t>izdatke</w:t>
      </w:r>
      <w:r w:rsidRPr="006E03D8">
        <w:rPr>
          <w:rFonts w:ascii="Arial" w:hAnsi="Arial" w:cs="Arial"/>
          <w:sz w:val="20"/>
          <w:szCs w:val="20"/>
        </w:rPr>
        <w:t xml:space="preserve"> uvrš</w:t>
      </w:r>
      <w:r>
        <w:rPr>
          <w:rFonts w:ascii="Arial" w:hAnsi="Arial" w:cs="Arial"/>
          <w:sz w:val="20"/>
          <w:szCs w:val="20"/>
        </w:rPr>
        <w:t>č</w:t>
      </w:r>
      <w:r w:rsidRPr="006E03D8">
        <w:rPr>
          <w:rFonts w:ascii="Arial" w:hAnsi="Arial" w:cs="Arial"/>
          <w:sz w:val="20"/>
          <w:szCs w:val="20"/>
        </w:rPr>
        <w:t>amo tudi ugodnosti iz naslova ugotavljanja posebne davčne osnove iz sheme Zakona o davku na tonažo (Uradni list RS, št. 97/09 – uradno prečiščeno besedilo</w:t>
      </w:r>
      <w:r w:rsidR="003928BF">
        <w:rPr>
          <w:rFonts w:ascii="Arial" w:hAnsi="Arial" w:cs="Arial"/>
          <w:sz w:val="20"/>
          <w:szCs w:val="20"/>
        </w:rPr>
        <w:t>, v nadaljevanju: ZDTon</w:t>
      </w:r>
      <w:r w:rsidRPr="006E03D8">
        <w:rPr>
          <w:rFonts w:ascii="Arial" w:hAnsi="Arial" w:cs="Arial"/>
          <w:sz w:val="20"/>
          <w:szCs w:val="20"/>
        </w:rPr>
        <w:t>).</w:t>
      </w:r>
    </w:p>
    <w:p w14:paraId="516FE959" w14:textId="77777777" w:rsidR="00281839" w:rsidRPr="006E03D8" w:rsidRDefault="00281839" w:rsidP="00281839">
      <w:pPr>
        <w:spacing w:after="0" w:line="260" w:lineRule="atLeast"/>
        <w:jc w:val="both"/>
        <w:rPr>
          <w:rFonts w:ascii="Arial" w:hAnsi="Arial" w:cs="Arial"/>
          <w:b/>
          <w:sz w:val="20"/>
          <w:szCs w:val="20"/>
        </w:rPr>
      </w:pPr>
      <w:r w:rsidRPr="006E03D8">
        <w:rPr>
          <w:rFonts w:ascii="Arial" w:hAnsi="Arial" w:cs="Arial"/>
          <w:b/>
          <w:sz w:val="20"/>
          <w:szCs w:val="20"/>
        </w:rPr>
        <w:t xml:space="preserve"> </w:t>
      </w:r>
    </w:p>
    <w:p w14:paraId="4D57D2B3" w14:textId="39E42264" w:rsidR="00281839" w:rsidRPr="006E03D8" w:rsidRDefault="009B0B27" w:rsidP="00281839">
      <w:pPr>
        <w:pStyle w:val="NoSpacing"/>
        <w:spacing w:line="260" w:lineRule="atLeast"/>
        <w:jc w:val="both"/>
        <w:rPr>
          <w:rFonts w:ascii="Arial" w:hAnsi="Arial" w:cs="Arial"/>
          <w:sz w:val="20"/>
          <w:szCs w:val="20"/>
        </w:rPr>
      </w:pPr>
      <w:r>
        <w:rPr>
          <w:rFonts w:ascii="Arial" w:hAnsi="Arial" w:cs="Arial"/>
          <w:sz w:val="20"/>
          <w:szCs w:val="20"/>
        </w:rPr>
        <w:t>Preglednica</w:t>
      </w:r>
      <w:r w:rsidR="00281839" w:rsidRPr="006E03D8">
        <w:rPr>
          <w:rFonts w:ascii="Arial" w:hAnsi="Arial" w:cs="Arial"/>
          <w:sz w:val="20"/>
          <w:szCs w:val="20"/>
        </w:rPr>
        <w:t xml:space="preserve"> </w:t>
      </w:r>
      <w:r w:rsidR="00091D42">
        <w:rPr>
          <w:rFonts w:ascii="Arial" w:hAnsi="Arial" w:cs="Arial"/>
          <w:sz w:val="20"/>
          <w:szCs w:val="20"/>
        </w:rPr>
        <w:t>7</w:t>
      </w:r>
      <w:r w:rsidR="00281839" w:rsidRPr="006E03D8">
        <w:rPr>
          <w:rFonts w:ascii="Arial" w:hAnsi="Arial" w:cs="Arial"/>
          <w:sz w:val="20"/>
          <w:szCs w:val="20"/>
        </w:rPr>
        <w:t xml:space="preserve">: Obračunski podatki </w:t>
      </w:r>
      <w:r w:rsidR="003928BF">
        <w:rPr>
          <w:rFonts w:ascii="Arial" w:hAnsi="Arial" w:cs="Arial"/>
          <w:sz w:val="20"/>
          <w:szCs w:val="20"/>
        </w:rPr>
        <w:t>DDPO</w:t>
      </w:r>
      <w:r w:rsidR="00281839" w:rsidRPr="006E03D8">
        <w:rPr>
          <w:rFonts w:ascii="Arial" w:hAnsi="Arial" w:cs="Arial"/>
          <w:sz w:val="20"/>
          <w:szCs w:val="20"/>
        </w:rPr>
        <w:t xml:space="preserve"> od leta 2016 do 2018, zneski </w:t>
      </w:r>
      <w:r w:rsidR="00281839">
        <w:rPr>
          <w:rFonts w:ascii="Arial" w:hAnsi="Arial" w:cs="Arial"/>
          <w:sz w:val="20"/>
          <w:szCs w:val="20"/>
        </w:rPr>
        <w:t>v</w:t>
      </w:r>
      <w:r w:rsidR="00281839" w:rsidRPr="006E03D8">
        <w:rPr>
          <w:rFonts w:ascii="Arial" w:hAnsi="Arial" w:cs="Arial"/>
          <w:sz w:val="20"/>
          <w:szCs w:val="20"/>
        </w:rPr>
        <w:t xml:space="preserve"> mio evr</w:t>
      </w:r>
      <w:r w:rsidR="00960330">
        <w:rPr>
          <w:rFonts w:ascii="Arial" w:hAnsi="Arial" w:cs="Arial"/>
          <w:sz w:val="20"/>
          <w:szCs w:val="20"/>
        </w:rPr>
        <w:t>ov</w:t>
      </w:r>
    </w:p>
    <w:p w14:paraId="3D3AEEED" w14:textId="4F99702D" w:rsidR="00281839" w:rsidRDefault="00281839" w:rsidP="00281839">
      <w:pPr>
        <w:pStyle w:val="NoSpacing"/>
        <w:jc w:val="both"/>
        <w:rPr>
          <w:sz w:val="20"/>
          <w:szCs w:val="20"/>
        </w:rPr>
      </w:pPr>
    </w:p>
    <w:tbl>
      <w:tblPr>
        <w:tblW w:w="8800" w:type="dxa"/>
        <w:tblCellMar>
          <w:left w:w="70" w:type="dxa"/>
          <w:right w:w="70" w:type="dxa"/>
        </w:tblCellMar>
        <w:tblLook w:val="04A0" w:firstRow="1" w:lastRow="0" w:firstColumn="1" w:lastColumn="0" w:noHBand="0" w:noVBand="1"/>
      </w:tblPr>
      <w:tblGrid>
        <w:gridCol w:w="3640"/>
        <w:gridCol w:w="860"/>
        <w:gridCol w:w="860"/>
        <w:gridCol w:w="860"/>
        <w:gridCol w:w="860"/>
        <w:gridCol w:w="860"/>
        <w:gridCol w:w="860"/>
      </w:tblGrid>
      <w:tr w:rsidR="007709DB" w:rsidRPr="00A474C9" w14:paraId="3F7833C8" w14:textId="77777777" w:rsidTr="007709DB">
        <w:trPr>
          <w:trHeight w:val="570"/>
        </w:trPr>
        <w:tc>
          <w:tcPr>
            <w:tcW w:w="3640" w:type="dxa"/>
            <w:tcBorders>
              <w:top w:val="nil"/>
              <w:left w:val="nil"/>
              <w:bottom w:val="nil"/>
              <w:right w:val="nil"/>
            </w:tcBorders>
            <w:shd w:val="clear" w:color="auto" w:fill="auto"/>
            <w:noWrap/>
            <w:vAlign w:val="bottom"/>
            <w:hideMark/>
          </w:tcPr>
          <w:p w14:paraId="27EB4870" w14:textId="77777777" w:rsidR="007709DB" w:rsidRPr="00012435" w:rsidRDefault="007709DB" w:rsidP="007709DB">
            <w:pPr>
              <w:spacing w:after="0" w:line="240" w:lineRule="auto"/>
              <w:rPr>
                <w:rFonts w:ascii="Times New Roman" w:eastAsia="Times New Roman" w:hAnsi="Times New Roman"/>
                <w:sz w:val="18"/>
                <w:szCs w:val="18"/>
                <w:lang w:eastAsia="sl-SI"/>
              </w:rPr>
            </w:pP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6B8C6" w14:textId="676B2F56" w:rsidR="007709DB" w:rsidRPr="00A474C9" w:rsidRDefault="003928BF" w:rsidP="007709DB">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S</w:t>
            </w:r>
            <w:r w:rsidRPr="00A474C9">
              <w:rPr>
                <w:rFonts w:ascii="Arial" w:eastAsia="Times New Roman" w:hAnsi="Arial" w:cs="Arial"/>
                <w:color w:val="000000"/>
                <w:sz w:val="18"/>
                <w:szCs w:val="18"/>
                <w:lang w:eastAsia="sl-SI"/>
              </w:rPr>
              <w:t xml:space="preserve">kupni </w:t>
            </w:r>
            <w:r w:rsidR="007709DB" w:rsidRPr="00A474C9">
              <w:rPr>
                <w:rFonts w:ascii="Arial" w:eastAsia="Times New Roman" w:hAnsi="Arial" w:cs="Arial"/>
                <w:color w:val="000000"/>
                <w:sz w:val="18"/>
                <w:szCs w:val="18"/>
                <w:lang w:eastAsia="sl-SI"/>
              </w:rPr>
              <w:t>znesek v mio evr</w:t>
            </w:r>
            <w:r w:rsidR="00960330">
              <w:rPr>
                <w:rFonts w:ascii="Arial" w:eastAsia="Times New Roman" w:hAnsi="Arial" w:cs="Arial"/>
                <w:color w:val="000000"/>
                <w:sz w:val="18"/>
                <w:szCs w:val="18"/>
                <w:lang w:eastAsia="sl-SI"/>
              </w:rPr>
              <w:t>ov</w:t>
            </w:r>
          </w:p>
        </w:tc>
        <w:tc>
          <w:tcPr>
            <w:tcW w:w="2580" w:type="dxa"/>
            <w:gridSpan w:val="3"/>
            <w:tcBorders>
              <w:top w:val="single" w:sz="4" w:space="0" w:color="auto"/>
              <w:left w:val="nil"/>
              <w:bottom w:val="single" w:sz="4" w:space="0" w:color="auto"/>
              <w:right w:val="single" w:sz="4" w:space="0" w:color="auto"/>
            </w:tcBorders>
            <w:shd w:val="clear" w:color="auto" w:fill="auto"/>
            <w:vAlign w:val="center"/>
            <w:hideMark/>
          </w:tcPr>
          <w:p w14:paraId="1C2B2D5E" w14:textId="50FE825C" w:rsidR="007709DB" w:rsidRPr="00A474C9" w:rsidRDefault="003928BF" w:rsidP="007709DB">
            <w:pPr>
              <w:spacing w:after="0" w:line="240" w:lineRule="auto"/>
              <w:jc w:val="center"/>
              <w:rPr>
                <w:rFonts w:ascii="Arial" w:eastAsia="Times New Roman" w:hAnsi="Arial" w:cs="Arial"/>
                <w:color w:val="000000"/>
                <w:sz w:val="18"/>
                <w:szCs w:val="18"/>
                <w:lang w:eastAsia="sl-SI"/>
              </w:rPr>
            </w:pPr>
            <w:r>
              <w:rPr>
                <w:rFonts w:ascii="Arial" w:eastAsia="Times New Roman" w:hAnsi="Arial" w:cs="Arial"/>
                <w:color w:val="000000"/>
                <w:sz w:val="18"/>
                <w:szCs w:val="18"/>
                <w:lang w:eastAsia="sl-SI"/>
              </w:rPr>
              <w:t>Š</w:t>
            </w:r>
            <w:r w:rsidR="007709DB" w:rsidRPr="00A474C9">
              <w:rPr>
                <w:rFonts w:ascii="Arial" w:eastAsia="Times New Roman" w:hAnsi="Arial" w:cs="Arial"/>
                <w:color w:val="000000"/>
                <w:sz w:val="18"/>
                <w:szCs w:val="18"/>
                <w:lang w:eastAsia="sl-SI"/>
              </w:rPr>
              <w:t>tevilo obračunov z izpolnjenim poljem</w:t>
            </w:r>
          </w:p>
        </w:tc>
      </w:tr>
      <w:tr w:rsidR="007709DB" w:rsidRPr="00A474C9" w14:paraId="7137D125" w14:textId="77777777" w:rsidTr="007709DB">
        <w:trPr>
          <w:trHeight w:val="285"/>
        </w:trPr>
        <w:tc>
          <w:tcPr>
            <w:tcW w:w="36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167682F" w14:textId="77777777" w:rsidR="007709DB" w:rsidRPr="00A474C9" w:rsidRDefault="007709DB" w:rsidP="007709DB">
            <w:pPr>
              <w:spacing w:after="0" w:line="240" w:lineRule="auto"/>
              <w:jc w:val="center"/>
              <w:rPr>
                <w:rFonts w:ascii="Arial" w:eastAsia="Times New Roman" w:hAnsi="Arial" w:cs="Arial"/>
                <w:sz w:val="18"/>
                <w:szCs w:val="18"/>
                <w:lang w:eastAsia="sl-SI"/>
              </w:rPr>
            </w:pPr>
            <w:r w:rsidRPr="00A474C9">
              <w:rPr>
                <w:rFonts w:ascii="Arial" w:eastAsia="Times New Roman" w:hAnsi="Arial" w:cs="Arial"/>
                <w:sz w:val="18"/>
                <w:szCs w:val="18"/>
                <w:lang w:eastAsia="sl-SI"/>
              </w:rPr>
              <w:t>Postavka</w:t>
            </w:r>
          </w:p>
        </w:tc>
        <w:tc>
          <w:tcPr>
            <w:tcW w:w="860" w:type="dxa"/>
            <w:tcBorders>
              <w:top w:val="nil"/>
              <w:left w:val="nil"/>
              <w:bottom w:val="single" w:sz="4" w:space="0" w:color="auto"/>
              <w:right w:val="single" w:sz="4" w:space="0" w:color="auto"/>
            </w:tcBorders>
            <w:shd w:val="clear" w:color="000000" w:fill="FFCC99"/>
            <w:vAlign w:val="center"/>
            <w:hideMark/>
          </w:tcPr>
          <w:p w14:paraId="77149575" w14:textId="77777777" w:rsidR="007709DB" w:rsidRPr="00A474C9" w:rsidRDefault="007709DB" w:rsidP="007709DB">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2016</w:t>
            </w:r>
          </w:p>
        </w:tc>
        <w:tc>
          <w:tcPr>
            <w:tcW w:w="860" w:type="dxa"/>
            <w:tcBorders>
              <w:top w:val="nil"/>
              <w:left w:val="nil"/>
              <w:bottom w:val="single" w:sz="4" w:space="0" w:color="auto"/>
              <w:right w:val="single" w:sz="4" w:space="0" w:color="auto"/>
            </w:tcBorders>
            <w:shd w:val="clear" w:color="000000" w:fill="FFCC99"/>
            <w:vAlign w:val="center"/>
            <w:hideMark/>
          </w:tcPr>
          <w:p w14:paraId="6BB6A728" w14:textId="77777777" w:rsidR="007709DB" w:rsidRPr="00A474C9" w:rsidRDefault="007709DB" w:rsidP="007709DB">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2017</w:t>
            </w:r>
          </w:p>
        </w:tc>
        <w:tc>
          <w:tcPr>
            <w:tcW w:w="860" w:type="dxa"/>
            <w:tcBorders>
              <w:top w:val="nil"/>
              <w:left w:val="nil"/>
              <w:bottom w:val="single" w:sz="4" w:space="0" w:color="auto"/>
              <w:right w:val="single" w:sz="4" w:space="0" w:color="auto"/>
            </w:tcBorders>
            <w:shd w:val="clear" w:color="000000" w:fill="FFCC99"/>
            <w:vAlign w:val="center"/>
            <w:hideMark/>
          </w:tcPr>
          <w:p w14:paraId="5937A66F" w14:textId="77777777" w:rsidR="007709DB" w:rsidRPr="00A474C9" w:rsidRDefault="007709DB" w:rsidP="007709DB">
            <w:pPr>
              <w:spacing w:after="0" w:line="240" w:lineRule="auto"/>
              <w:jc w:val="center"/>
              <w:rPr>
                <w:rFonts w:ascii="Arial" w:eastAsia="Times New Roman" w:hAnsi="Arial" w:cs="Arial"/>
                <w:b/>
                <w:bCs/>
                <w:sz w:val="18"/>
                <w:szCs w:val="18"/>
                <w:lang w:eastAsia="sl-SI"/>
              </w:rPr>
            </w:pPr>
            <w:r w:rsidRPr="00A474C9">
              <w:rPr>
                <w:rFonts w:ascii="Arial" w:eastAsia="Times New Roman" w:hAnsi="Arial" w:cs="Arial"/>
                <w:b/>
                <w:bCs/>
                <w:sz w:val="18"/>
                <w:szCs w:val="18"/>
                <w:lang w:eastAsia="sl-SI"/>
              </w:rPr>
              <w:t>2018</w:t>
            </w:r>
          </w:p>
        </w:tc>
        <w:tc>
          <w:tcPr>
            <w:tcW w:w="860" w:type="dxa"/>
            <w:tcBorders>
              <w:top w:val="nil"/>
              <w:left w:val="nil"/>
              <w:bottom w:val="single" w:sz="4" w:space="0" w:color="auto"/>
              <w:right w:val="single" w:sz="4" w:space="0" w:color="auto"/>
            </w:tcBorders>
            <w:shd w:val="clear" w:color="000000" w:fill="FFCC99"/>
            <w:vAlign w:val="center"/>
            <w:hideMark/>
          </w:tcPr>
          <w:p w14:paraId="46F8E8BC" w14:textId="77777777" w:rsidR="007709DB" w:rsidRPr="00A474C9" w:rsidRDefault="007709DB" w:rsidP="007709DB">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2016</w:t>
            </w:r>
          </w:p>
        </w:tc>
        <w:tc>
          <w:tcPr>
            <w:tcW w:w="860" w:type="dxa"/>
            <w:tcBorders>
              <w:top w:val="nil"/>
              <w:left w:val="nil"/>
              <w:bottom w:val="single" w:sz="4" w:space="0" w:color="auto"/>
              <w:right w:val="single" w:sz="4" w:space="0" w:color="auto"/>
            </w:tcBorders>
            <w:shd w:val="clear" w:color="000000" w:fill="FFCC99"/>
            <w:vAlign w:val="center"/>
            <w:hideMark/>
          </w:tcPr>
          <w:p w14:paraId="56054A2A" w14:textId="77777777" w:rsidR="007709DB" w:rsidRPr="00A474C9" w:rsidRDefault="007709DB" w:rsidP="007709DB">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2017</w:t>
            </w:r>
          </w:p>
        </w:tc>
        <w:tc>
          <w:tcPr>
            <w:tcW w:w="860" w:type="dxa"/>
            <w:tcBorders>
              <w:top w:val="nil"/>
              <w:left w:val="nil"/>
              <w:bottom w:val="single" w:sz="4" w:space="0" w:color="auto"/>
              <w:right w:val="single" w:sz="4" w:space="0" w:color="auto"/>
            </w:tcBorders>
            <w:shd w:val="clear" w:color="000000" w:fill="FFCC99"/>
            <w:vAlign w:val="center"/>
            <w:hideMark/>
          </w:tcPr>
          <w:p w14:paraId="23FB0D3E" w14:textId="77777777" w:rsidR="007709DB" w:rsidRPr="00A474C9" w:rsidRDefault="007709DB" w:rsidP="007709DB">
            <w:pPr>
              <w:spacing w:after="0" w:line="240" w:lineRule="auto"/>
              <w:jc w:val="center"/>
              <w:rPr>
                <w:rFonts w:ascii="Arial" w:eastAsia="Times New Roman" w:hAnsi="Arial" w:cs="Arial"/>
                <w:b/>
                <w:bCs/>
                <w:i/>
                <w:iCs/>
                <w:sz w:val="18"/>
                <w:szCs w:val="18"/>
                <w:lang w:eastAsia="sl-SI"/>
              </w:rPr>
            </w:pPr>
            <w:r w:rsidRPr="00A474C9">
              <w:rPr>
                <w:rFonts w:ascii="Arial" w:eastAsia="Times New Roman" w:hAnsi="Arial" w:cs="Arial"/>
                <w:b/>
                <w:bCs/>
                <w:i/>
                <w:iCs/>
                <w:sz w:val="18"/>
                <w:szCs w:val="18"/>
                <w:lang w:eastAsia="sl-SI"/>
              </w:rPr>
              <w:t>2018</w:t>
            </w:r>
          </w:p>
        </w:tc>
      </w:tr>
      <w:tr w:rsidR="007709DB" w:rsidRPr="00A474C9" w14:paraId="7536E305"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055F7F8B"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Št. predloženih obračunov DDPO</w:t>
            </w:r>
          </w:p>
        </w:tc>
        <w:tc>
          <w:tcPr>
            <w:tcW w:w="860" w:type="dxa"/>
            <w:tcBorders>
              <w:top w:val="nil"/>
              <w:left w:val="nil"/>
              <w:bottom w:val="single" w:sz="4" w:space="0" w:color="auto"/>
              <w:right w:val="single" w:sz="4" w:space="0" w:color="auto"/>
            </w:tcBorders>
            <w:shd w:val="clear" w:color="auto" w:fill="auto"/>
            <w:noWrap/>
            <w:vAlign w:val="center"/>
            <w:hideMark/>
          </w:tcPr>
          <w:p w14:paraId="3BAC97CA"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w:t>
            </w:r>
          </w:p>
        </w:tc>
        <w:tc>
          <w:tcPr>
            <w:tcW w:w="860" w:type="dxa"/>
            <w:tcBorders>
              <w:top w:val="nil"/>
              <w:left w:val="nil"/>
              <w:bottom w:val="single" w:sz="4" w:space="0" w:color="auto"/>
              <w:right w:val="single" w:sz="4" w:space="0" w:color="auto"/>
            </w:tcBorders>
            <w:shd w:val="clear" w:color="auto" w:fill="auto"/>
            <w:noWrap/>
            <w:vAlign w:val="center"/>
            <w:hideMark/>
          </w:tcPr>
          <w:p w14:paraId="6748053C"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w:t>
            </w:r>
          </w:p>
        </w:tc>
        <w:tc>
          <w:tcPr>
            <w:tcW w:w="860" w:type="dxa"/>
            <w:tcBorders>
              <w:top w:val="nil"/>
              <w:left w:val="nil"/>
              <w:bottom w:val="single" w:sz="4" w:space="0" w:color="auto"/>
              <w:right w:val="single" w:sz="4" w:space="0" w:color="auto"/>
            </w:tcBorders>
            <w:shd w:val="clear" w:color="auto" w:fill="auto"/>
            <w:noWrap/>
            <w:vAlign w:val="center"/>
            <w:hideMark/>
          </w:tcPr>
          <w:p w14:paraId="50FDBB5E"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w:t>
            </w:r>
          </w:p>
        </w:tc>
        <w:tc>
          <w:tcPr>
            <w:tcW w:w="860" w:type="dxa"/>
            <w:tcBorders>
              <w:top w:val="nil"/>
              <w:left w:val="nil"/>
              <w:bottom w:val="single" w:sz="4" w:space="0" w:color="auto"/>
              <w:right w:val="single" w:sz="4" w:space="0" w:color="auto"/>
            </w:tcBorders>
            <w:shd w:val="clear" w:color="auto" w:fill="auto"/>
            <w:noWrap/>
            <w:vAlign w:val="center"/>
            <w:hideMark/>
          </w:tcPr>
          <w:p w14:paraId="3109E68E"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104.522</w:t>
            </w:r>
          </w:p>
        </w:tc>
        <w:tc>
          <w:tcPr>
            <w:tcW w:w="860" w:type="dxa"/>
            <w:tcBorders>
              <w:top w:val="nil"/>
              <w:left w:val="nil"/>
              <w:bottom w:val="single" w:sz="4" w:space="0" w:color="auto"/>
              <w:right w:val="single" w:sz="4" w:space="0" w:color="auto"/>
            </w:tcBorders>
            <w:shd w:val="clear" w:color="auto" w:fill="auto"/>
            <w:noWrap/>
            <w:vAlign w:val="center"/>
            <w:hideMark/>
          </w:tcPr>
          <w:p w14:paraId="63DEB485"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105.832</w:t>
            </w:r>
          </w:p>
        </w:tc>
        <w:tc>
          <w:tcPr>
            <w:tcW w:w="860" w:type="dxa"/>
            <w:tcBorders>
              <w:top w:val="nil"/>
              <w:left w:val="nil"/>
              <w:bottom w:val="single" w:sz="4" w:space="0" w:color="auto"/>
              <w:right w:val="single" w:sz="4" w:space="0" w:color="auto"/>
            </w:tcBorders>
            <w:shd w:val="clear" w:color="auto" w:fill="auto"/>
            <w:noWrap/>
            <w:vAlign w:val="center"/>
            <w:hideMark/>
          </w:tcPr>
          <w:p w14:paraId="71C03179"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106.126</w:t>
            </w:r>
          </w:p>
        </w:tc>
      </w:tr>
      <w:tr w:rsidR="007709DB" w:rsidRPr="00A474C9" w14:paraId="68908121"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14:paraId="55B01E97"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DAVČNO PRIZNANI PRIHODKI </w:t>
            </w:r>
          </w:p>
        </w:tc>
        <w:tc>
          <w:tcPr>
            <w:tcW w:w="860" w:type="dxa"/>
            <w:tcBorders>
              <w:top w:val="nil"/>
              <w:left w:val="nil"/>
              <w:bottom w:val="single" w:sz="4" w:space="0" w:color="auto"/>
              <w:right w:val="single" w:sz="4" w:space="0" w:color="auto"/>
            </w:tcBorders>
            <w:shd w:val="clear" w:color="auto" w:fill="auto"/>
            <w:noWrap/>
            <w:vAlign w:val="center"/>
            <w:hideMark/>
          </w:tcPr>
          <w:p w14:paraId="609276B9"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92.131</w:t>
            </w:r>
          </w:p>
        </w:tc>
        <w:tc>
          <w:tcPr>
            <w:tcW w:w="860" w:type="dxa"/>
            <w:tcBorders>
              <w:top w:val="nil"/>
              <w:left w:val="nil"/>
              <w:bottom w:val="single" w:sz="4" w:space="0" w:color="auto"/>
              <w:right w:val="single" w:sz="4" w:space="0" w:color="auto"/>
            </w:tcBorders>
            <w:shd w:val="clear" w:color="auto" w:fill="auto"/>
            <w:noWrap/>
            <w:vAlign w:val="center"/>
            <w:hideMark/>
          </w:tcPr>
          <w:p w14:paraId="6DE17850"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101.493</w:t>
            </w:r>
          </w:p>
        </w:tc>
        <w:tc>
          <w:tcPr>
            <w:tcW w:w="860" w:type="dxa"/>
            <w:tcBorders>
              <w:top w:val="nil"/>
              <w:left w:val="nil"/>
              <w:bottom w:val="single" w:sz="4" w:space="0" w:color="auto"/>
              <w:right w:val="single" w:sz="4" w:space="0" w:color="auto"/>
            </w:tcBorders>
            <w:shd w:val="clear" w:color="auto" w:fill="auto"/>
            <w:noWrap/>
            <w:vAlign w:val="center"/>
            <w:hideMark/>
          </w:tcPr>
          <w:p w14:paraId="7DD17E7C"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107.659</w:t>
            </w:r>
          </w:p>
        </w:tc>
        <w:tc>
          <w:tcPr>
            <w:tcW w:w="860" w:type="dxa"/>
            <w:tcBorders>
              <w:top w:val="nil"/>
              <w:left w:val="nil"/>
              <w:bottom w:val="single" w:sz="4" w:space="0" w:color="auto"/>
              <w:right w:val="single" w:sz="4" w:space="0" w:color="auto"/>
            </w:tcBorders>
            <w:shd w:val="clear" w:color="auto" w:fill="auto"/>
            <w:noWrap/>
            <w:vAlign w:val="center"/>
            <w:hideMark/>
          </w:tcPr>
          <w:p w14:paraId="68EE4AC3"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79.314</w:t>
            </w:r>
          </w:p>
        </w:tc>
        <w:tc>
          <w:tcPr>
            <w:tcW w:w="860" w:type="dxa"/>
            <w:tcBorders>
              <w:top w:val="nil"/>
              <w:left w:val="nil"/>
              <w:bottom w:val="single" w:sz="4" w:space="0" w:color="auto"/>
              <w:right w:val="single" w:sz="4" w:space="0" w:color="auto"/>
            </w:tcBorders>
            <w:shd w:val="clear" w:color="auto" w:fill="auto"/>
            <w:noWrap/>
            <w:vAlign w:val="center"/>
            <w:hideMark/>
          </w:tcPr>
          <w:p w14:paraId="18B71474"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80.460</w:t>
            </w:r>
          </w:p>
        </w:tc>
        <w:tc>
          <w:tcPr>
            <w:tcW w:w="860" w:type="dxa"/>
            <w:tcBorders>
              <w:top w:val="nil"/>
              <w:left w:val="nil"/>
              <w:bottom w:val="single" w:sz="4" w:space="0" w:color="auto"/>
              <w:right w:val="single" w:sz="4" w:space="0" w:color="auto"/>
            </w:tcBorders>
            <w:shd w:val="clear" w:color="auto" w:fill="auto"/>
            <w:noWrap/>
            <w:vAlign w:val="center"/>
            <w:hideMark/>
          </w:tcPr>
          <w:p w14:paraId="4298520C"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80.586</w:t>
            </w:r>
          </w:p>
        </w:tc>
      </w:tr>
      <w:tr w:rsidR="007709DB" w:rsidRPr="00A474C9" w14:paraId="265982E9"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AB6C8FA"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DAVČNO PRIZNANI ODHODKI </w:t>
            </w:r>
          </w:p>
        </w:tc>
        <w:tc>
          <w:tcPr>
            <w:tcW w:w="860" w:type="dxa"/>
            <w:tcBorders>
              <w:top w:val="nil"/>
              <w:left w:val="nil"/>
              <w:bottom w:val="single" w:sz="4" w:space="0" w:color="auto"/>
              <w:right w:val="single" w:sz="4" w:space="0" w:color="auto"/>
            </w:tcBorders>
            <w:shd w:val="clear" w:color="auto" w:fill="auto"/>
            <w:vAlign w:val="center"/>
            <w:hideMark/>
          </w:tcPr>
          <w:p w14:paraId="2148C735"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88.694</w:t>
            </w:r>
          </w:p>
        </w:tc>
        <w:tc>
          <w:tcPr>
            <w:tcW w:w="860" w:type="dxa"/>
            <w:tcBorders>
              <w:top w:val="nil"/>
              <w:left w:val="nil"/>
              <w:bottom w:val="single" w:sz="4" w:space="0" w:color="auto"/>
              <w:right w:val="single" w:sz="4" w:space="0" w:color="auto"/>
            </w:tcBorders>
            <w:shd w:val="clear" w:color="auto" w:fill="auto"/>
            <w:vAlign w:val="center"/>
            <w:hideMark/>
          </w:tcPr>
          <w:p w14:paraId="000F126D"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97.084</w:t>
            </w:r>
          </w:p>
        </w:tc>
        <w:tc>
          <w:tcPr>
            <w:tcW w:w="860" w:type="dxa"/>
            <w:tcBorders>
              <w:top w:val="nil"/>
              <w:left w:val="nil"/>
              <w:bottom w:val="single" w:sz="4" w:space="0" w:color="auto"/>
              <w:right w:val="single" w:sz="4" w:space="0" w:color="auto"/>
            </w:tcBorders>
            <w:shd w:val="clear" w:color="auto" w:fill="auto"/>
            <w:vAlign w:val="center"/>
            <w:hideMark/>
          </w:tcPr>
          <w:p w14:paraId="5D428EBA"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102.732</w:t>
            </w:r>
          </w:p>
        </w:tc>
        <w:tc>
          <w:tcPr>
            <w:tcW w:w="860" w:type="dxa"/>
            <w:tcBorders>
              <w:top w:val="nil"/>
              <w:left w:val="nil"/>
              <w:bottom w:val="single" w:sz="4" w:space="0" w:color="auto"/>
              <w:right w:val="single" w:sz="4" w:space="0" w:color="auto"/>
            </w:tcBorders>
            <w:shd w:val="clear" w:color="auto" w:fill="auto"/>
            <w:vAlign w:val="center"/>
            <w:hideMark/>
          </w:tcPr>
          <w:p w14:paraId="5D6A5913"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83.882</w:t>
            </w:r>
          </w:p>
        </w:tc>
        <w:tc>
          <w:tcPr>
            <w:tcW w:w="860" w:type="dxa"/>
            <w:tcBorders>
              <w:top w:val="nil"/>
              <w:left w:val="nil"/>
              <w:bottom w:val="single" w:sz="4" w:space="0" w:color="auto"/>
              <w:right w:val="single" w:sz="4" w:space="0" w:color="auto"/>
            </w:tcBorders>
            <w:shd w:val="clear" w:color="auto" w:fill="auto"/>
            <w:vAlign w:val="center"/>
            <w:hideMark/>
          </w:tcPr>
          <w:p w14:paraId="53E81DC5"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85.367</w:t>
            </w:r>
          </w:p>
        </w:tc>
        <w:tc>
          <w:tcPr>
            <w:tcW w:w="860" w:type="dxa"/>
            <w:tcBorders>
              <w:top w:val="nil"/>
              <w:left w:val="nil"/>
              <w:bottom w:val="single" w:sz="4" w:space="0" w:color="auto"/>
              <w:right w:val="single" w:sz="4" w:space="0" w:color="auto"/>
            </w:tcBorders>
            <w:shd w:val="clear" w:color="auto" w:fill="auto"/>
            <w:vAlign w:val="center"/>
            <w:hideMark/>
          </w:tcPr>
          <w:p w14:paraId="0ACAEFAD"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86.259</w:t>
            </w:r>
          </w:p>
        </w:tc>
      </w:tr>
      <w:tr w:rsidR="007709DB" w:rsidRPr="00A474C9" w14:paraId="75F00992"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52FFEDEC"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DAVČNA OSNOVA </w:t>
            </w:r>
          </w:p>
        </w:tc>
        <w:tc>
          <w:tcPr>
            <w:tcW w:w="860" w:type="dxa"/>
            <w:tcBorders>
              <w:top w:val="nil"/>
              <w:left w:val="nil"/>
              <w:bottom w:val="single" w:sz="4" w:space="0" w:color="auto"/>
              <w:right w:val="single" w:sz="4" w:space="0" w:color="auto"/>
            </w:tcBorders>
            <w:shd w:val="clear" w:color="auto" w:fill="auto"/>
            <w:vAlign w:val="center"/>
            <w:hideMark/>
          </w:tcPr>
          <w:p w14:paraId="3F57694D"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5.198</w:t>
            </w:r>
          </w:p>
        </w:tc>
        <w:tc>
          <w:tcPr>
            <w:tcW w:w="860" w:type="dxa"/>
            <w:tcBorders>
              <w:top w:val="nil"/>
              <w:left w:val="nil"/>
              <w:bottom w:val="single" w:sz="4" w:space="0" w:color="auto"/>
              <w:right w:val="single" w:sz="4" w:space="0" w:color="auto"/>
            </w:tcBorders>
            <w:shd w:val="clear" w:color="auto" w:fill="auto"/>
            <w:vAlign w:val="center"/>
            <w:hideMark/>
          </w:tcPr>
          <w:p w14:paraId="176F7E66"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5.730</w:t>
            </w:r>
          </w:p>
        </w:tc>
        <w:tc>
          <w:tcPr>
            <w:tcW w:w="860" w:type="dxa"/>
            <w:tcBorders>
              <w:top w:val="nil"/>
              <w:left w:val="nil"/>
              <w:bottom w:val="single" w:sz="4" w:space="0" w:color="auto"/>
              <w:right w:val="single" w:sz="4" w:space="0" w:color="auto"/>
            </w:tcBorders>
            <w:shd w:val="clear" w:color="auto" w:fill="auto"/>
            <w:vAlign w:val="center"/>
            <w:hideMark/>
          </w:tcPr>
          <w:p w14:paraId="2B50D736"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6.463</w:t>
            </w:r>
          </w:p>
        </w:tc>
        <w:tc>
          <w:tcPr>
            <w:tcW w:w="860" w:type="dxa"/>
            <w:tcBorders>
              <w:top w:val="nil"/>
              <w:left w:val="nil"/>
              <w:bottom w:val="single" w:sz="4" w:space="0" w:color="auto"/>
              <w:right w:val="single" w:sz="4" w:space="0" w:color="auto"/>
            </w:tcBorders>
            <w:shd w:val="clear" w:color="auto" w:fill="auto"/>
            <w:vAlign w:val="center"/>
            <w:hideMark/>
          </w:tcPr>
          <w:p w14:paraId="575D0962"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52.541</w:t>
            </w:r>
          </w:p>
        </w:tc>
        <w:tc>
          <w:tcPr>
            <w:tcW w:w="860" w:type="dxa"/>
            <w:tcBorders>
              <w:top w:val="nil"/>
              <w:left w:val="nil"/>
              <w:bottom w:val="single" w:sz="4" w:space="0" w:color="auto"/>
              <w:right w:val="single" w:sz="4" w:space="0" w:color="auto"/>
            </w:tcBorders>
            <w:shd w:val="clear" w:color="auto" w:fill="auto"/>
            <w:vAlign w:val="center"/>
            <w:hideMark/>
          </w:tcPr>
          <w:p w14:paraId="273DDB7B"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54.528</w:t>
            </w:r>
          </w:p>
        </w:tc>
        <w:tc>
          <w:tcPr>
            <w:tcW w:w="860" w:type="dxa"/>
            <w:tcBorders>
              <w:top w:val="nil"/>
              <w:left w:val="nil"/>
              <w:bottom w:val="single" w:sz="4" w:space="0" w:color="auto"/>
              <w:right w:val="single" w:sz="4" w:space="0" w:color="auto"/>
            </w:tcBorders>
            <w:shd w:val="clear" w:color="auto" w:fill="auto"/>
            <w:vAlign w:val="center"/>
            <w:hideMark/>
          </w:tcPr>
          <w:p w14:paraId="0B19C039"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55.699</w:t>
            </w:r>
          </w:p>
        </w:tc>
      </w:tr>
      <w:tr w:rsidR="007709DB" w:rsidRPr="00A474C9" w14:paraId="151A4507"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14AC0F17"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DAVČNA IZGUBA </w:t>
            </w:r>
          </w:p>
        </w:tc>
        <w:tc>
          <w:tcPr>
            <w:tcW w:w="860" w:type="dxa"/>
            <w:tcBorders>
              <w:top w:val="nil"/>
              <w:left w:val="nil"/>
              <w:bottom w:val="single" w:sz="4" w:space="0" w:color="auto"/>
              <w:right w:val="single" w:sz="4" w:space="0" w:color="auto"/>
            </w:tcBorders>
            <w:shd w:val="clear" w:color="auto" w:fill="auto"/>
            <w:vAlign w:val="center"/>
            <w:hideMark/>
          </w:tcPr>
          <w:p w14:paraId="27CBB24F"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1.694</w:t>
            </w:r>
          </w:p>
        </w:tc>
        <w:tc>
          <w:tcPr>
            <w:tcW w:w="860" w:type="dxa"/>
            <w:tcBorders>
              <w:top w:val="nil"/>
              <w:left w:val="nil"/>
              <w:bottom w:val="single" w:sz="4" w:space="0" w:color="auto"/>
              <w:right w:val="single" w:sz="4" w:space="0" w:color="auto"/>
            </w:tcBorders>
            <w:shd w:val="clear" w:color="auto" w:fill="auto"/>
            <w:vAlign w:val="center"/>
            <w:hideMark/>
          </w:tcPr>
          <w:p w14:paraId="4C844914"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1.283</w:t>
            </w:r>
          </w:p>
        </w:tc>
        <w:tc>
          <w:tcPr>
            <w:tcW w:w="860" w:type="dxa"/>
            <w:tcBorders>
              <w:top w:val="nil"/>
              <w:left w:val="nil"/>
              <w:bottom w:val="single" w:sz="4" w:space="0" w:color="auto"/>
              <w:right w:val="single" w:sz="4" w:space="0" w:color="auto"/>
            </w:tcBorders>
            <w:shd w:val="clear" w:color="auto" w:fill="auto"/>
            <w:vAlign w:val="center"/>
            <w:hideMark/>
          </w:tcPr>
          <w:p w14:paraId="09F46FF1"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1.396</w:t>
            </w:r>
          </w:p>
        </w:tc>
        <w:tc>
          <w:tcPr>
            <w:tcW w:w="860" w:type="dxa"/>
            <w:tcBorders>
              <w:top w:val="nil"/>
              <w:left w:val="nil"/>
              <w:bottom w:val="single" w:sz="4" w:space="0" w:color="auto"/>
              <w:right w:val="single" w:sz="4" w:space="0" w:color="auto"/>
            </w:tcBorders>
            <w:shd w:val="clear" w:color="auto" w:fill="auto"/>
            <w:vAlign w:val="center"/>
            <w:hideMark/>
          </w:tcPr>
          <w:p w14:paraId="017724B4"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29.697</w:t>
            </w:r>
          </w:p>
        </w:tc>
        <w:tc>
          <w:tcPr>
            <w:tcW w:w="860" w:type="dxa"/>
            <w:tcBorders>
              <w:top w:val="nil"/>
              <w:left w:val="nil"/>
              <w:bottom w:val="single" w:sz="4" w:space="0" w:color="auto"/>
              <w:right w:val="single" w:sz="4" w:space="0" w:color="auto"/>
            </w:tcBorders>
            <w:shd w:val="clear" w:color="auto" w:fill="auto"/>
            <w:vAlign w:val="center"/>
            <w:hideMark/>
          </w:tcPr>
          <w:p w14:paraId="52C7D10D"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29.175</w:t>
            </w:r>
          </w:p>
        </w:tc>
        <w:tc>
          <w:tcPr>
            <w:tcW w:w="860" w:type="dxa"/>
            <w:tcBorders>
              <w:top w:val="nil"/>
              <w:left w:val="nil"/>
              <w:bottom w:val="single" w:sz="4" w:space="0" w:color="auto"/>
              <w:right w:val="single" w:sz="4" w:space="0" w:color="auto"/>
            </w:tcBorders>
            <w:shd w:val="clear" w:color="auto" w:fill="auto"/>
            <w:vAlign w:val="center"/>
            <w:hideMark/>
          </w:tcPr>
          <w:p w14:paraId="56ABBA63"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28.978</w:t>
            </w:r>
          </w:p>
        </w:tc>
      </w:tr>
      <w:tr w:rsidR="007709DB" w:rsidRPr="00A474C9" w14:paraId="287A3B70" w14:textId="77777777" w:rsidTr="007709DB">
        <w:trPr>
          <w:trHeight w:val="480"/>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2BD6E7F3"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Zmanjšanje davčne osnove in davčne olajšave, vendar največ do višine davčne osnove</w:t>
            </w:r>
          </w:p>
        </w:tc>
        <w:tc>
          <w:tcPr>
            <w:tcW w:w="860" w:type="dxa"/>
            <w:tcBorders>
              <w:top w:val="nil"/>
              <w:left w:val="nil"/>
              <w:bottom w:val="single" w:sz="4" w:space="0" w:color="auto"/>
              <w:right w:val="single" w:sz="4" w:space="0" w:color="auto"/>
            </w:tcBorders>
            <w:shd w:val="clear" w:color="auto" w:fill="auto"/>
            <w:vAlign w:val="center"/>
            <w:hideMark/>
          </w:tcPr>
          <w:p w14:paraId="6E8D16E9"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1.604</w:t>
            </w:r>
          </w:p>
        </w:tc>
        <w:tc>
          <w:tcPr>
            <w:tcW w:w="860" w:type="dxa"/>
            <w:tcBorders>
              <w:top w:val="nil"/>
              <w:left w:val="nil"/>
              <w:bottom w:val="single" w:sz="4" w:space="0" w:color="auto"/>
              <w:right w:val="single" w:sz="4" w:space="0" w:color="auto"/>
            </w:tcBorders>
            <w:shd w:val="clear" w:color="auto" w:fill="auto"/>
            <w:vAlign w:val="center"/>
            <w:hideMark/>
          </w:tcPr>
          <w:p w14:paraId="35B4ED58"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1.763</w:t>
            </w:r>
          </w:p>
        </w:tc>
        <w:tc>
          <w:tcPr>
            <w:tcW w:w="860" w:type="dxa"/>
            <w:tcBorders>
              <w:top w:val="nil"/>
              <w:left w:val="nil"/>
              <w:bottom w:val="single" w:sz="4" w:space="0" w:color="auto"/>
              <w:right w:val="single" w:sz="4" w:space="0" w:color="auto"/>
            </w:tcBorders>
            <w:shd w:val="clear" w:color="auto" w:fill="auto"/>
            <w:vAlign w:val="center"/>
            <w:hideMark/>
          </w:tcPr>
          <w:p w14:paraId="790216D1"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1.906</w:t>
            </w:r>
          </w:p>
        </w:tc>
        <w:tc>
          <w:tcPr>
            <w:tcW w:w="860" w:type="dxa"/>
            <w:tcBorders>
              <w:top w:val="nil"/>
              <w:left w:val="nil"/>
              <w:bottom w:val="single" w:sz="4" w:space="0" w:color="auto"/>
              <w:right w:val="single" w:sz="4" w:space="0" w:color="auto"/>
            </w:tcBorders>
            <w:shd w:val="clear" w:color="auto" w:fill="auto"/>
            <w:vAlign w:val="center"/>
            <w:hideMark/>
          </w:tcPr>
          <w:p w14:paraId="60324590"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34.505</w:t>
            </w:r>
          </w:p>
        </w:tc>
        <w:tc>
          <w:tcPr>
            <w:tcW w:w="860" w:type="dxa"/>
            <w:tcBorders>
              <w:top w:val="nil"/>
              <w:left w:val="nil"/>
              <w:bottom w:val="single" w:sz="4" w:space="0" w:color="auto"/>
              <w:right w:val="single" w:sz="4" w:space="0" w:color="auto"/>
            </w:tcBorders>
            <w:shd w:val="clear" w:color="auto" w:fill="auto"/>
            <w:vAlign w:val="center"/>
            <w:hideMark/>
          </w:tcPr>
          <w:p w14:paraId="03A3860D"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36.399</w:t>
            </w:r>
          </w:p>
        </w:tc>
        <w:tc>
          <w:tcPr>
            <w:tcW w:w="860" w:type="dxa"/>
            <w:tcBorders>
              <w:top w:val="nil"/>
              <w:left w:val="nil"/>
              <w:bottom w:val="single" w:sz="4" w:space="0" w:color="auto"/>
              <w:right w:val="single" w:sz="4" w:space="0" w:color="auto"/>
            </w:tcBorders>
            <w:shd w:val="clear" w:color="auto" w:fill="auto"/>
            <w:vAlign w:val="center"/>
            <w:hideMark/>
          </w:tcPr>
          <w:p w14:paraId="335A40F1"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37.540</w:t>
            </w:r>
          </w:p>
        </w:tc>
      </w:tr>
      <w:tr w:rsidR="007709DB" w:rsidRPr="00A474C9" w14:paraId="4B66B64E"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74470203"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OSNOVA ZA DAVEK </w:t>
            </w:r>
          </w:p>
        </w:tc>
        <w:tc>
          <w:tcPr>
            <w:tcW w:w="860" w:type="dxa"/>
            <w:tcBorders>
              <w:top w:val="nil"/>
              <w:left w:val="nil"/>
              <w:bottom w:val="single" w:sz="4" w:space="0" w:color="auto"/>
              <w:right w:val="single" w:sz="4" w:space="0" w:color="auto"/>
            </w:tcBorders>
            <w:shd w:val="clear" w:color="auto" w:fill="auto"/>
            <w:vAlign w:val="center"/>
            <w:hideMark/>
          </w:tcPr>
          <w:p w14:paraId="6325347C"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3.593</w:t>
            </w:r>
          </w:p>
        </w:tc>
        <w:tc>
          <w:tcPr>
            <w:tcW w:w="860" w:type="dxa"/>
            <w:tcBorders>
              <w:top w:val="nil"/>
              <w:left w:val="nil"/>
              <w:bottom w:val="single" w:sz="4" w:space="0" w:color="auto"/>
              <w:right w:val="single" w:sz="4" w:space="0" w:color="auto"/>
            </w:tcBorders>
            <w:shd w:val="clear" w:color="auto" w:fill="auto"/>
            <w:vAlign w:val="center"/>
            <w:hideMark/>
          </w:tcPr>
          <w:p w14:paraId="255B5B94"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3.968</w:t>
            </w:r>
          </w:p>
        </w:tc>
        <w:tc>
          <w:tcPr>
            <w:tcW w:w="860" w:type="dxa"/>
            <w:tcBorders>
              <w:top w:val="nil"/>
              <w:left w:val="nil"/>
              <w:bottom w:val="single" w:sz="4" w:space="0" w:color="auto"/>
              <w:right w:val="single" w:sz="4" w:space="0" w:color="auto"/>
            </w:tcBorders>
            <w:shd w:val="clear" w:color="auto" w:fill="auto"/>
            <w:vAlign w:val="center"/>
            <w:hideMark/>
          </w:tcPr>
          <w:p w14:paraId="3CD51123"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4.557</w:t>
            </w:r>
          </w:p>
        </w:tc>
        <w:tc>
          <w:tcPr>
            <w:tcW w:w="860" w:type="dxa"/>
            <w:tcBorders>
              <w:top w:val="nil"/>
              <w:left w:val="nil"/>
              <w:bottom w:val="single" w:sz="4" w:space="0" w:color="auto"/>
              <w:right w:val="single" w:sz="4" w:space="0" w:color="auto"/>
            </w:tcBorders>
            <w:shd w:val="clear" w:color="auto" w:fill="auto"/>
            <w:vAlign w:val="center"/>
            <w:hideMark/>
          </w:tcPr>
          <w:p w14:paraId="54FF336C"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46.107</w:t>
            </w:r>
          </w:p>
        </w:tc>
        <w:tc>
          <w:tcPr>
            <w:tcW w:w="860" w:type="dxa"/>
            <w:tcBorders>
              <w:top w:val="nil"/>
              <w:left w:val="nil"/>
              <w:bottom w:val="single" w:sz="4" w:space="0" w:color="auto"/>
              <w:right w:val="single" w:sz="4" w:space="0" w:color="auto"/>
            </w:tcBorders>
            <w:shd w:val="clear" w:color="auto" w:fill="auto"/>
            <w:vAlign w:val="center"/>
            <w:hideMark/>
          </w:tcPr>
          <w:p w14:paraId="5D64898E"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47.694</w:t>
            </w:r>
          </w:p>
        </w:tc>
        <w:tc>
          <w:tcPr>
            <w:tcW w:w="860" w:type="dxa"/>
            <w:tcBorders>
              <w:top w:val="nil"/>
              <w:left w:val="nil"/>
              <w:bottom w:val="single" w:sz="4" w:space="0" w:color="auto"/>
              <w:right w:val="single" w:sz="4" w:space="0" w:color="auto"/>
            </w:tcBorders>
            <w:shd w:val="clear" w:color="auto" w:fill="auto"/>
            <w:vAlign w:val="center"/>
            <w:hideMark/>
          </w:tcPr>
          <w:p w14:paraId="74FDE5D3"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48.715</w:t>
            </w:r>
          </w:p>
        </w:tc>
      </w:tr>
      <w:tr w:rsidR="007709DB" w:rsidRPr="00A474C9" w14:paraId="039885F2"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3E6CA27B"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DAVEK </w:t>
            </w:r>
          </w:p>
        </w:tc>
        <w:tc>
          <w:tcPr>
            <w:tcW w:w="860" w:type="dxa"/>
            <w:tcBorders>
              <w:top w:val="nil"/>
              <w:left w:val="nil"/>
              <w:bottom w:val="single" w:sz="4" w:space="0" w:color="auto"/>
              <w:right w:val="single" w:sz="4" w:space="0" w:color="auto"/>
            </w:tcBorders>
            <w:shd w:val="clear" w:color="auto" w:fill="auto"/>
            <w:vAlign w:val="center"/>
            <w:hideMark/>
          </w:tcPr>
          <w:p w14:paraId="68A221D9"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610</w:t>
            </w:r>
          </w:p>
        </w:tc>
        <w:tc>
          <w:tcPr>
            <w:tcW w:w="860" w:type="dxa"/>
            <w:tcBorders>
              <w:top w:val="nil"/>
              <w:left w:val="nil"/>
              <w:bottom w:val="single" w:sz="4" w:space="0" w:color="auto"/>
              <w:right w:val="single" w:sz="4" w:space="0" w:color="auto"/>
            </w:tcBorders>
            <w:shd w:val="clear" w:color="auto" w:fill="auto"/>
            <w:vAlign w:val="center"/>
            <w:hideMark/>
          </w:tcPr>
          <w:p w14:paraId="2EF96184"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752</w:t>
            </w:r>
          </w:p>
        </w:tc>
        <w:tc>
          <w:tcPr>
            <w:tcW w:w="860" w:type="dxa"/>
            <w:tcBorders>
              <w:top w:val="nil"/>
              <w:left w:val="nil"/>
              <w:bottom w:val="single" w:sz="4" w:space="0" w:color="auto"/>
              <w:right w:val="single" w:sz="4" w:space="0" w:color="auto"/>
            </w:tcBorders>
            <w:shd w:val="clear" w:color="auto" w:fill="auto"/>
            <w:vAlign w:val="center"/>
            <w:hideMark/>
          </w:tcPr>
          <w:p w14:paraId="301EDD12"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865</w:t>
            </w:r>
          </w:p>
        </w:tc>
        <w:tc>
          <w:tcPr>
            <w:tcW w:w="860" w:type="dxa"/>
            <w:tcBorders>
              <w:top w:val="nil"/>
              <w:left w:val="nil"/>
              <w:bottom w:val="single" w:sz="4" w:space="0" w:color="auto"/>
              <w:right w:val="single" w:sz="4" w:space="0" w:color="auto"/>
            </w:tcBorders>
            <w:shd w:val="clear" w:color="auto" w:fill="auto"/>
            <w:vAlign w:val="center"/>
            <w:hideMark/>
          </w:tcPr>
          <w:p w14:paraId="2B13C665"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46.036</w:t>
            </w:r>
          </w:p>
        </w:tc>
        <w:tc>
          <w:tcPr>
            <w:tcW w:w="860" w:type="dxa"/>
            <w:tcBorders>
              <w:top w:val="nil"/>
              <w:left w:val="nil"/>
              <w:bottom w:val="single" w:sz="4" w:space="0" w:color="auto"/>
              <w:right w:val="single" w:sz="4" w:space="0" w:color="auto"/>
            </w:tcBorders>
            <w:shd w:val="clear" w:color="auto" w:fill="auto"/>
            <w:vAlign w:val="center"/>
            <w:hideMark/>
          </w:tcPr>
          <w:p w14:paraId="30AED5C7"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47.614</w:t>
            </w:r>
          </w:p>
        </w:tc>
        <w:tc>
          <w:tcPr>
            <w:tcW w:w="860" w:type="dxa"/>
            <w:tcBorders>
              <w:top w:val="nil"/>
              <w:left w:val="nil"/>
              <w:bottom w:val="single" w:sz="4" w:space="0" w:color="auto"/>
              <w:right w:val="single" w:sz="4" w:space="0" w:color="auto"/>
            </w:tcBorders>
            <w:shd w:val="clear" w:color="auto" w:fill="auto"/>
            <w:vAlign w:val="center"/>
            <w:hideMark/>
          </w:tcPr>
          <w:p w14:paraId="3E4BF8E7"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48.648</w:t>
            </w:r>
          </w:p>
        </w:tc>
      </w:tr>
      <w:tr w:rsidR="007709DB" w:rsidRPr="00A474C9" w14:paraId="6B3145EA" w14:textId="77777777" w:rsidTr="007709DB">
        <w:trPr>
          <w:trHeight w:val="285"/>
        </w:trPr>
        <w:tc>
          <w:tcPr>
            <w:tcW w:w="3640" w:type="dxa"/>
            <w:tcBorders>
              <w:top w:val="nil"/>
              <w:left w:val="single" w:sz="4" w:space="0" w:color="auto"/>
              <w:bottom w:val="single" w:sz="4" w:space="0" w:color="auto"/>
              <w:right w:val="single" w:sz="4" w:space="0" w:color="auto"/>
            </w:tcBorders>
            <w:shd w:val="clear" w:color="auto" w:fill="auto"/>
            <w:vAlign w:val="center"/>
            <w:hideMark/>
          </w:tcPr>
          <w:p w14:paraId="0D574818" w14:textId="77777777" w:rsidR="007709DB" w:rsidRPr="00A474C9" w:rsidRDefault="007709DB" w:rsidP="007709DB">
            <w:pPr>
              <w:spacing w:after="0" w:line="240" w:lineRule="auto"/>
              <w:rPr>
                <w:rFonts w:ascii="Arial" w:eastAsia="Times New Roman" w:hAnsi="Arial" w:cs="Arial"/>
                <w:sz w:val="18"/>
                <w:szCs w:val="18"/>
                <w:lang w:eastAsia="sl-SI"/>
              </w:rPr>
            </w:pPr>
            <w:r w:rsidRPr="00A474C9">
              <w:rPr>
                <w:rFonts w:ascii="Arial" w:eastAsia="Times New Roman" w:hAnsi="Arial" w:cs="Arial"/>
                <w:sz w:val="18"/>
                <w:szCs w:val="18"/>
                <w:lang w:eastAsia="sl-SI"/>
              </w:rPr>
              <w:t xml:space="preserve">DAVČNA OBVEZNOST </w:t>
            </w:r>
          </w:p>
        </w:tc>
        <w:tc>
          <w:tcPr>
            <w:tcW w:w="860" w:type="dxa"/>
            <w:tcBorders>
              <w:top w:val="nil"/>
              <w:left w:val="nil"/>
              <w:bottom w:val="single" w:sz="4" w:space="0" w:color="auto"/>
              <w:right w:val="single" w:sz="4" w:space="0" w:color="auto"/>
            </w:tcBorders>
            <w:shd w:val="clear" w:color="auto" w:fill="auto"/>
            <w:vAlign w:val="center"/>
            <w:hideMark/>
          </w:tcPr>
          <w:p w14:paraId="68757684"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606</w:t>
            </w:r>
          </w:p>
        </w:tc>
        <w:tc>
          <w:tcPr>
            <w:tcW w:w="860" w:type="dxa"/>
            <w:tcBorders>
              <w:top w:val="nil"/>
              <w:left w:val="nil"/>
              <w:bottom w:val="single" w:sz="4" w:space="0" w:color="auto"/>
              <w:right w:val="single" w:sz="4" w:space="0" w:color="auto"/>
            </w:tcBorders>
            <w:shd w:val="clear" w:color="auto" w:fill="auto"/>
            <w:vAlign w:val="center"/>
            <w:hideMark/>
          </w:tcPr>
          <w:p w14:paraId="7D508FD3"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749</w:t>
            </w:r>
          </w:p>
        </w:tc>
        <w:tc>
          <w:tcPr>
            <w:tcW w:w="860" w:type="dxa"/>
            <w:tcBorders>
              <w:top w:val="nil"/>
              <w:left w:val="nil"/>
              <w:bottom w:val="single" w:sz="4" w:space="0" w:color="auto"/>
              <w:right w:val="single" w:sz="4" w:space="0" w:color="auto"/>
            </w:tcBorders>
            <w:shd w:val="clear" w:color="auto" w:fill="auto"/>
            <w:vAlign w:val="center"/>
            <w:hideMark/>
          </w:tcPr>
          <w:p w14:paraId="16AA84BF" w14:textId="77777777" w:rsidR="007709DB" w:rsidRPr="00A474C9" w:rsidRDefault="007709DB" w:rsidP="007709DB">
            <w:pPr>
              <w:spacing w:after="0" w:line="240" w:lineRule="auto"/>
              <w:jc w:val="right"/>
              <w:rPr>
                <w:rFonts w:ascii="Arial" w:eastAsia="Times New Roman" w:hAnsi="Arial" w:cs="Arial"/>
                <w:sz w:val="18"/>
                <w:szCs w:val="18"/>
                <w:lang w:eastAsia="sl-SI"/>
              </w:rPr>
            </w:pPr>
            <w:r w:rsidRPr="00A474C9">
              <w:rPr>
                <w:rFonts w:ascii="Arial" w:eastAsia="Times New Roman" w:hAnsi="Arial" w:cs="Arial"/>
                <w:sz w:val="18"/>
                <w:szCs w:val="18"/>
                <w:lang w:eastAsia="sl-SI"/>
              </w:rPr>
              <w:t>863</w:t>
            </w:r>
          </w:p>
        </w:tc>
        <w:tc>
          <w:tcPr>
            <w:tcW w:w="860" w:type="dxa"/>
            <w:tcBorders>
              <w:top w:val="nil"/>
              <w:left w:val="nil"/>
              <w:bottom w:val="single" w:sz="4" w:space="0" w:color="auto"/>
              <w:right w:val="single" w:sz="4" w:space="0" w:color="auto"/>
            </w:tcBorders>
            <w:shd w:val="clear" w:color="auto" w:fill="auto"/>
            <w:vAlign w:val="center"/>
            <w:hideMark/>
          </w:tcPr>
          <w:p w14:paraId="26B346DD"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46.019</w:t>
            </w:r>
          </w:p>
        </w:tc>
        <w:tc>
          <w:tcPr>
            <w:tcW w:w="860" w:type="dxa"/>
            <w:tcBorders>
              <w:top w:val="nil"/>
              <w:left w:val="nil"/>
              <w:bottom w:val="single" w:sz="4" w:space="0" w:color="auto"/>
              <w:right w:val="single" w:sz="4" w:space="0" w:color="auto"/>
            </w:tcBorders>
            <w:shd w:val="clear" w:color="auto" w:fill="auto"/>
            <w:vAlign w:val="center"/>
            <w:hideMark/>
          </w:tcPr>
          <w:p w14:paraId="46B25DF5"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47.599</w:t>
            </w:r>
          </w:p>
        </w:tc>
        <w:tc>
          <w:tcPr>
            <w:tcW w:w="860" w:type="dxa"/>
            <w:tcBorders>
              <w:top w:val="nil"/>
              <w:left w:val="nil"/>
              <w:bottom w:val="single" w:sz="4" w:space="0" w:color="auto"/>
              <w:right w:val="single" w:sz="4" w:space="0" w:color="auto"/>
            </w:tcBorders>
            <w:shd w:val="clear" w:color="auto" w:fill="auto"/>
            <w:vAlign w:val="center"/>
            <w:hideMark/>
          </w:tcPr>
          <w:p w14:paraId="43CB5965" w14:textId="77777777" w:rsidR="007709DB" w:rsidRPr="00A474C9" w:rsidRDefault="007709DB" w:rsidP="007709DB">
            <w:pPr>
              <w:spacing w:after="0" w:line="240" w:lineRule="auto"/>
              <w:jc w:val="right"/>
              <w:rPr>
                <w:rFonts w:ascii="Arial" w:eastAsia="Times New Roman" w:hAnsi="Arial" w:cs="Arial"/>
                <w:i/>
                <w:iCs/>
                <w:sz w:val="18"/>
                <w:szCs w:val="18"/>
                <w:lang w:eastAsia="sl-SI"/>
              </w:rPr>
            </w:pPr>
            <w:r w:rsidRPr="00A474C9">
              <w:rPr>
                <w:rFonts w:ascii="Arial" w:eastAsia="Times New Roman" w:hAnsi="Arial" w:cs="Arial"/>
                <w:i/>
                <w:iCs/>
                <w:sz w:val="18"/>
                <w:szCs w:val="18"/>
                <w:lang w:eastAsia="sl-SI"/>
              </w:rPr>
              <w:t>48.631</w:t>
            </w:r>
          </w:p>
        </w:tc>
      </w:tr>
      <w:tr w:rsidR="007709DB" w:rsidRPr="00A474C9" w14:paraId="7FFA4863" w14:textId="77777777" w:rsidTr="007709DB">
        <w:trPr>
          <w:trHeight w:val="285"/>
        </w:trPr>
        <w:tc>
          <w:tcPr>
            <w:tcW w:w="3640" w:type="dxa"/>
            <w:tcBorders>
              <w:top w:val="nil"/>
              <w:left w:val="single" w:sz="4" w:space="0" w:color="auto"/>
              <w:bottom w:val="single" w:sz="4" w:space="0" w:color="auto"/>
              <w:right w:val="single" w:sz="4" w:space="0" w:color="auto"/>
            </w:tcBorders>
            <w:shd w:val="clear" w:color="000000" w:fill="F2DCDB"/>
            <w:noWrap/>
            <w:vAlign w:val="bottom"/>
            <w:hideMark/>
          </w:tcPr>
          <w:p w14:paraId="5C54141F" w14:textId="77777777" w:rsidR="007709DB" w:rsidRPr="00A474C9" w:rsidRDefault="007709DB" w:rsidP="007709DB">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Zakonsko določena stopnja davka</w:t>
            </w:r>
          </w:p>
        </w:tc>
        <w:tc>
          <w:tcPr>
            <w:tcW w:w="860" w:type="dxa"/>
            <w:tcBorders>
              <w:top w:val="nil"/>
              <w:left w:val="nil"/>
              <w:bottom w:val="single" w:sz="4" w:space="0" w:color="auto"/>
              <w:right w:val="single" w:sz="4" w:space="0" w:color="auto"/>
            </w:tcBorders>
            <w:shd w:val="clear" w:color="000000" w:fill="F2DCDB"/>
            <w:noWrap/>
            <w:vAlign w:val="bottom"/>
            <w:hideMark/>
          </w:tcPr>
          <w:p w14:paraId="2094DBAE" w14:textId="669CF209"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17</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single" w:sz="4" w:space="0" w:color="auto"/>
              <w:right w:val="single" w:sz="4" w:space="0" w:color="auto"/>
            </w:tcBorders>
            <w:shd w:val="clear" w:color="000000" w:fill="F2DCDB"/>
            <w:noWrap/>
            <w:vAlign w:val="bottom"/>
            <w:hideMark/>
          </w:tcPr>
          <w:p w14:paraId="09BC63B4" w14:textId="2DFE38FC"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19</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single" w:sz="4" w:space="0" w:color="auto"/>
              <w:right w:val="single" w:sz="4" w:space="0" w:color="auto"/>
            </w:tcBorders>
            <w:shd w:val="clear" w:color="000000" w:fill="F2DCDB"/>
            <w:noWrap/>
            <w:vAlign w:val="bottom"/>
            <w:hideMark/>
          </w:tcPr>
          <w:p w14:paraId="1B499A6E" w14:textId="0CDCDCBD"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19</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nil"/>
              <w:right w:val="nil"/>
            </w:tcBorders>
            <w:shd w:val="clear" w:color="auto" w:fill="auto"/>
            <w:noWrap/>
            <w:vAlign w:val="bottom"/>
            <w:hideMark/>
          </w:tcPr>
          <w:p w14:paraId="71B61D9D" w14:textId="77777777" w:rsidR="007709DB" w:rsidRPr="00A474C9" w:rsidRDefault="007709DB" w:rsidP="007709DB">
            <w:pPr>
              <w:spacing w:after="0" w:line="240" w:lineRule="auto"/>
              <w:jc w:val="right"/>
              <w:rPr>
                <w:rFonts w:ascii="Arial" w:eastAsia="Times New Roman" w:hAnsi="Arial" w:cs="Arial"/>
                <w:color w:val="000000"/>
                <w:sz w:val="18"/>
                <w:szCs w:val="18"/>
                <w:lang w:eastAsia="sl-SI"/>
              </w:rPr>
            </w:pPr>
          </w:p>
        </w:tc>
        <w:tc>
          <w:tcPr>
            <w:tcW w:w="860" w:type="dxa"/>
            <w:tcBorders>
              <w:top w:val="nil"/>
              <w:left w:val="nil"/>
              <w:bottom w:val="nil"/>
              <w:right w:val="nil"/>
            </w:tcBorders>
            <w:shd w:val="clear" w:color="auto" w:fill="auto"/>
            <w:noWrap/>
            <w:vAlign w:val="bottom"/>
            <w:hideMark/>
          </w:tcPr>
          <w:p w14:paraId="729AFDF4" w14:textId="77777777" w:rsidR="007709DB" w:rsidRPr="00012435" w:rsidRDefault="007709DB" w:rsidP="007709DB">
            <w:pPr>
              <w:spacing w:after="0" w:line="240" w:lineRule="auto"/>
              <w:rPr>
                <w:rFonts w:ascii="Times New Roman" w:eastAsia="Times New Roman" w:hAnsi="Times New Roman"/>
                <w:sz w:val="18"/>
                <w:szCs w:val="18"/>
                <w:lang w:eastAsia="sl-SI"/>
              </w:rPr>
            </w:pPr>
          </w:p>
        </w:tc>
        <w:tc>
          <w:tcPr>
            <w:tcW w:w="860" w:type="dxa"/>
            <w:tcBorders>
              <w:top w:val="nil"/>
              <w:left w:val="nil"/>
              <w:bottom w:val="nil"/>
              <w:right w:val="nil"/>
            </w:tcBorders>
            <w:shd w:val="clear" w:color="auto" w:fill="auto"/>
            <w:noWrap/>
            <w:vAlign w:val="bottom"/>
            <w:hideMark/>
          </w:tcPr>
          <w:p w14:paraId="3F0D6576" w14:textId="77777777" w:rsidR="007709DB" w:rsidRPr="00012435" w:rsidRDefault="007709DB" w:rsidP="007709DB">
            <w:pPr>
              <w:spacing w:after="0" w:line="240" w:lineRule="auto"/>
              <w:rPr>
                <w:rFonts w:ascii="Times New Roman" w:eastAsia="Times New Roman" w:hAnsi="Times New Roman"/>
                <w:sz w:val="18"/>
                <w:szCs w:val="18"/>
                <w:lang w:eastAsia="sl-SI"/>
              </w:rPr>
            </w:pPr>
          </w:p>
        </w:tc>
      </w:tr>
      <w:tr w:rsidR="007709DB" w:rsidRPr="00A474C9" w14:paraId="23503817" w14:textId="77777777" w:rsidTr="007709DB">
        <w:trPr>
          <w:trHeight w:val="285"/>
        </w:trPr>
        <w:tc>
          <w:tcPr>
            <w:tcW w:w="3640" w:type="dxa"/>
            <w:tcBorders>
              <w:top w:val="nil"/>
              <w:left w:val="single" w:sz="4" w:space="0" w:color="auto"/>
              <w:bottom w:val="single" w:sz="4" w:space="0" w:color="auto"/>
              <w:right w:val="single" w:sz="4" w:space="0" w:color="auto"/>
            </w:tcBorders>
            <w:shd w:val="clear" w:color="000000" w:fill="F2DCDB"/>
            <w:noWrap/>
            <w:vAlign w:val="bottom"/>
            <w:hideMark/>
          </w:tcPr>
          <w:p w14:paraId="3FB80D14" w14:textId="77777777" w:rsidR="007709DB" w:rsidRPr="00A474C9" w:rsidRDefault="007709DB" w:rsidP="007709DB">
            <w:pPr>
              <w:spacing w:after="0" w:line="240" w:lineRule="auto"/>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Efektivna davčna stopnja</w:t>
            </w:r>
          </w:p>
        </w:tc>
        <w:tc>
          <w:tcPr>
            <w:tcW w:w="860" w:type="dxa"/>
            <w:tcBorders>
              <w:top w:val="nil"/>
              <w:left w:val="nil"/>
              <w:bottom w:val="single" w:sz="4" w:space="0" w:color="auto"/>
              <w:right w:val="single" w:sz="4" w:space="0" w:color="auto"/>
            </w:tcBorders>
            <w:shd w:val="clear" w:color="000000" w:fill="F2DCDB"/>
            <w:noWrap/>
            <w:vAlign w:val="bottom"/>
            <w:hideMark/>
          </w:tcPr>
          <w:p w14:paraId="12DA8FB6" w14:textId="100CF330"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11,7</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single" w:sz="4" w:space="0" w:color="auto"/>
              <w:right w:val="single" w:sz="4" w:space="0" w:color="auto"/>
            </w:tcBorders>
            <w:shd w:val="clear" w:color="000000" w:fill="F2DCDB"/>
            <w:noWrap/>
            <w:vAlign w:val="bottom"/>
            <w:hideMark/>
          </w:tcPr>
          <w:p w14:paraId="65C7EB9E" w14:textId="5BDA3893"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13,1</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single" w:sz="4" w:space="0" w:color="auto"/>
              <w:right w:val="single" w:sz="4" w:space="0" w:color="auto"/>
            </w:tcBorders>
            <w:shd w:val="clear" w:color="000000" w:fill="F2DCDB"/>
            <w:noWrap/>
            <w:vAlign w:val="bottom"/>
            <w:hideMark/>
          </w:tcPr>
          <w:p w14:paraId="41A6F692" w14:textId="5DB94BD2" w:rsidR="007709DB" w:rsidRPr="00A474C9" w:rsidRDefault="007709DB" w:rsidP="007709DB">
            <w:pPr>
              <w:spacing w:after="0" w:line="240" w:lineRule="auto"/>
              <w:jc w:val="right"/>
              <w:rPr>
                <w:rFonts w:ascii="Arial" w:eastAsia="Times New Roman" w:hAnsi="Arial" w:cs="Arial"/>
                <w:color w:val="000000"/>
                <w:sz w:val="18"/>
                <w:szCs w:val="18"/>
                <w:lang w:eastAsia="sl-SI"/>
              </w:rPr>
            </w:pPr>
            <w:r w:rsidRPr="00A474C9">
              <w:rPr>
                <w:rFonts w:ascii="Arial" w:eastAsia="Times New Roman" w:hAnsi="Arial" w:cs="Arial"/>
                <w:color w:val="000000"/>
                <w:sz w:val="18"/>
                <w:szCs w:val="18"/>
                <w:lang w:eastAsia="sl-SI"/>
              </w:rPr>
              <w:t>13,4</w:t>
            </w:r>
            <w:r w:rsidR="00960330">
              <w:rPr>
                <w:rFonts w:ascii="Arial" w:eastAsia="Times New Roman" w:hAnsi="Arial" w:cs="Arial"/>
                <w:color w:val="000000"/>
                <w:sz w:val="18"/>
                <w:szCs w:val="18"/>
                <w:lang w:eastAsia="sl-SI"/>
              </w:rPr>
              <w:t xml:space="preserve"> </w:t>
            </w:r>
            <w:r w:rsidRPr="00A474C9">
              <w:rPr>
                <w:rFonts w:ascii="Arial" w:eastAsia="Times New Roman" w:hAnsi="Arial" w:cs="Arial"/>
                <w:color w:val="000000"/>
                <w:sz w:val="18"/>
                <w:szCs w:val="18"/>
                <w:lang w:eastAsia="sl-SI"/>
              </w:rPr>
              <w:t>%</w:t>
            </w:r>
          </w:p>
        </w:tc>
        <w:tc>
          <w:tcPr>
            <w:tcW w:w="860" w:type="dxa"/>
            <w:tcBorders>
              <w:top w:val="nil"/>
              <w:left w:val="nil"/>
              <w:bottom w:val="nil"/>
              <w:right w:val="nil"/>
            </w:tcBorders>
            <w:shd w:val="clear" w:color="auto" w:fill="auto"/>
            <w:noWrap/>
            <w:vAlign w:val="bottom"/>
            <w:hideMark/>
          </w:tcPr>
          <w:p w14:paraId="3D4E27A4" w14:textId="77777777" w:rsidR="007709DB" w:rsidRPr="00A474C9" w:rsidRDefault="007709DB" w:rsidP="007709DB">
            <w:pPr>
              <w:spacing w:after="0" w:line="240" w:lineRule="auto"/>
              <w:jc w:val="right"/>
              <w:rPr>
                <w:rFonts w:ascii="Arial" w:eastAsia="Times New Roman" w:hAnsi="Arial" w:cs="Arial"/>
                <w:color w:val="000000"/>
                <w:sz w:val="18"/>
                <w:szCs w:val="18"/>
                <w:lang w:eastAsia="sl-SI"/>
              </w:rPr>
            </w:pPr>
          </w:p>
        </w:tc>
        <w:tc>
          <w:tcPr>
            <w:tcW w:w="860" w:type="dxa"/>
            <w:tcBorders>
              <w:top w:val="nil"/>
              <w:left w:val="nil"/>
              <w:bottom w:val="nil"/>
              <w:right w:val="nil"/>
            </w:tcBorders>
            <w:shd w:val="clear" w:color="auto" w:fill="auto"/>
            <w:noWrap/>
            <w:vAlign w:val="bottom"/>
            <w:hideMark/>
          </w:tcPr>
          <w:p w14:paraId="7A5387EE" w14:textId="77777777" w:rsidR="007709DB" w:rsidRPr="00012435" w:rsidRDefault="007709DB" w:rsidP="007709DB">
            <w:pPr>
              <w:spacing w:after="0" w:line="240" w:lineRule="auto"/>
              <w:rPr>
                <w:rFonts w:ascii="Times New Roman" w:eastAsia="Times New Roman" w:hAnsi="Times New Roman"/>
                <w:sz w:val="18"/>
                <w:szCs w:val="18"/>
                <w:lang w:eastAsia="sl-SI"/>
              </w:rPr>
            </w:pPr>
          </w:p>
        </w:tc>
        <w:tc>
          <w:tcPr>
            <w:tcW w:w="860" w:type="dxa"/>
            <w:tcBorders>
              <w:top w:val="nil"/>
              <w:left w:val="nil"/>
              <w:bottom w:val="nil"/>
              <w:right w:val="nil"/>
            </w:tcBorders>
            <w:shd w:val="clear" w:color="auto" w:fill="auto"/>
            <w:noWrap/>
            <w:vAlign w:val="bottom"/>
            <w:hideMark/>
          </w:tcPr>
          <w:p w14:paraId="7192AEFE" w14:textId="77777777" w:rsidR="007709DB" w:rsidRPr="00012435" w:rsidRDefault="007709DB" w:rsidP="007709DB">
            <w:pPr>
              <w:spacing w:after="0" w:line="240" w:lineRule="auto"/>
              <w:rPr>
                <w:rFonts w:ascii="Times New Roman" w:eastAsia="Times New Roman" w:hAnsi="Times New Roman"/>
                <w:sz w:val="18"/>
                <w:szCs w:val="18"/>
                <w:lang w:eastAsia="sl-SI"/>
              </w:rPr>
            </w:pPr>
          </w:p>
        </w:tc>
      </w:tr>
    </w:tbl>
    <w:p w14:paraId="1C65B6F2" w14:textId="289EB120" w:rsidR="00281839" w:rsidRPr="00901BB9" w:rsidRDefault="00281839" w:rsidP="00281839">
      <w:pPr>
        <w:pStyle w:val="NoSpacing"/>
        <w:jc w:val="both"/>
        <w:rPr>
          <w:rFonts w:ascii="Arial" w:hAnsi="Arial" w:cs="Arial"/>
          <w:i/>
          <w:sz w:val="18"/>
          <w:szCs w:val="18"/>
        </w:rPr>
      </w:pPr>
      <w:r w:rsidRPr="00901BB9">
        <w:rPr>
          <w:rFonts w:ascii="Arial" w:hAnsi="Arial" w:cs="Arial"/>
          <w:i/>
          <w:sz w:val="18"/>
          <w:szCs w:val="18"/>
        </w:rPr>
        <w:t>Vir: Obračuni DDPO, FURS; lastni preračuni MF</w:t>
      </w:r>
      <w:r w:rsidR="00960330">
        <w:rPr>
          <w:rFonts w:ascii="Arial" w:hAnsi="Arial" w:cs="Arial"/>
          <w:i/>
          <w:sz w:val="18"/>
          <w:szCs w:val="18"/>
        </w:rPr>
        <w:t>.</w:t>
      </w:r>
    </w:p>
    <w:p w14:paraId="05281FCF" w14:textId="77777777" w:rsidR="00281839" w:rsidRDefault="00281839" w:rsidP="00281839">
      <w:pPr>
        <w:pStyle w:val="NoSpacing"/>
        <w:jc w:val="both"/>
        <w:rPr>
          <w:sz w:val="20"/>
          <w:szCs w:val="20"/>
        </w:rPr>
      </w:pPr>
    </w:p>
    <w:p w14:paraId="6F58FD05" w14:textId="18FFA77C" w:rsidR="00281839" w:rsidRPr="00901BB9" w:rsidRDefault="00281839" w:rsidP="00281839">
      <w:pPr>
        <w:pStyle w:val="NoSpacing"/>
        <w:spacing w:line="260" w:lineRule="atLeast"/>
        <w:jc w:val="both"/>
        <w:rPr>
          <w:rFonts w:ascii="Arial" w:hAnsi="Arial" w:cs="Arial"/>
          <w:sz w:val="20"/>
          <w:szCs w:val="20"/>
        </w:rPr>
      </w:pPr>
      <w:r w:rsidRPr="00901BB9">
        <w:rPr>
          <w:rFonts w:ascii="Arial" w:hAnsi="Arial" w:cs="Arial"/>
          <w:sz w:val="20"/>
          <w:szCs w:val="20"/>
        </w:rPr>
        <w:t>V letu 2018 so zavezanci za DDPO oddali 106.126 davčnih obračunov</w:t>
      </w:r>
      <w:r w:rsidR="00A21DB1">
        <w:rPr>
          <w:rFonts w:ascii="Arial" w:hAnsi="Arial" w:cs="Arial"/>
          <w:sz w:val="20"/>
          <w:szCs w:val="20"/>
        </w:rPr>
        <w:t>,</w:t>
      </w:r>
      <w:r w:rsidRPr="00901BB9">
        <w:rPr>
          <w:rFonts w:ascii="Arial" w:hAnsi="Arial" w:cs="Arial"/>
          <w:sz w:val="20"/>
          <w:szCs w:val="20"/>
        </w:rPr>
        <w:t xml:space="preserve"> v katerih je dobra polovica (55.699) pripoznala pozitivno davčno osnovo v višini 6.463 mio evrov. Izmed njih </w:t>
      </w:r>
      <w:r w:rsidR="00960330">
        <w:rPr>
          <w:rFonts w:ascii="Arial" w:hAnsi="Arial" w:cs="Arial"/>
          <w:sz w:val="20"/>
          <w:szCs w:val="20"/>
        </w:rPr>
        <w:t>sta</w:t>
      </w:r>
      <w:r w:rsidRPr="00901BB9">
        <w:rPr>
          <w:rFonts w:ascii="Arial" w:hAnsi="Arial" w:cs="Arial"/>
          <w:sz w:val="20"/>
          <w:szCs w:val="20"/>
        </w:rPr>
        <w:t xml:space="preserve"> dobr</w:t>
      </w:r>
      <w:r w:rsidR="00960330">
        <w:rPr>
          <w:rFonts w:ascii="Arial" w:hAnsi="Arial" w:cs="Arial"/>
          <w:sz w:val="20"/>
          <w:szCs w:val="20"/>
        </w:rPr>
        <w:t>i</w:t>
      </w:r>
      <w:r w:rsidRPr="00901BB9">
        <w:rPr>
          <w:rFonts w:ascii="Arial" w:hAnsi="Arial" w:cs="Arial"/>
          <w:sz w:val="20"/>
          <w:szCs w:val="20"/>
        </w:rPr>
        <w:t xml:space="preserve"> </w:t>
      </w:r>
      <w:r w:rsidR="00960330">
        <w:rPr>
          <w:rFonts w:ascii="Arial" w:hAnsi="Arial" w:cs="Arial"/>
          <w:sz w:val="20"/>
          <w:szCs w:val="20"/>
        </w:rPr>
        <w:t>dve tretjini</w:t>
      </w:r>
      <w:r w:rsidRPr="00901BB9">
        <w:rPr>
          <w:rFonts w:ascii="Arial" w:hAnsi="Arial" w:cs="Arial"/>
          <w:sz w:val="20"/>
          <w:szCs w:val="20"/>
        </w:rPr>
        <w:t xml:space="preserve"> (37.540) uveljavljal</w:t>
      </w:r>
      <w:r w:rsidR="00960330">
        <w:rPr>
          <w:rFonts w:ascii="Arial" w:hAnsi="Arial" w:cs="Arial"/>
          <w:sz w:val="20"/>
          <w:szCs w:val="20"/>
        </w:rPr>
        <w:t>i</w:t>
      </w:r>
      <w:r w:rsidRPr="00901BB9">
        <w:rPr>
          <w:rFonts w:ascii="Arial" w:hAnsi="Arial" w:cs="Arial"/>
          <w:sz w:val="20"/>
          <w:szCs w:val="20"/>
        </w:rPr>
        <w:t xml:space="preserve"> zmanjšanje davčne osnove in davčne olajšave v višini 1.906 mio evrov. To je </w:t>
      </w:r>
      <w:r w:rsidR="003928BF">
        <w:rPr>
          <w:rFonts w:ascii="Arial" w:hAnsi="Arial" w:cs="Arial"/>
          <w:sz w:val="20"/>
          <w:szCs w:val="20"/>
        </w:rPr>
        <w:t xml:space="preserve">vplivalo na znižanje </w:t>
      </w:r>
      <w:r w:rsidR="00431565">
        <w:rPr>
          <w:rFonts w:ascii="Arial" w:hAnsi="Arial" w:cs="Arial"/>
          <w:sz w:val="20"/>
          <w:szCs w:val="20"/>
        </w:rPr>
        <w:t xml:space="preserve">dejanske stopnje obdavčitve s </w:t>
      </w:r>
      <w:r w:rsidR="003928BF">
        <w:rPr>
          <w:rFonts w:ascii="Arial" w:hAnsi="Arial" w:cs="Arial"/>
          <w:sz w:val="20"/>
          <w:szCs w:val="20"/>
        </w:rPr>
        <w:t>statutarn</w:t>
      </w:r>
      <w:r w:rsidR="00431565">
        <w:rPr>
          <w:rFonts w:ascii="Arial" w:hAnsi="Arial" w:cs="Arial"/>
          <w:sz w:val="20"/>
          <w:szCs w:val="20"/>
        </w:rPr>
        <w:t>ih</w:t>
      </w:r>
      <w:r w:rsidR="003928BF">
        <w:rPr>
          <w:rFonts w:ascii="Arial" w:hAnsi="Arial" w:cs="Arial"/>
          <w:sz w:val="20"/>
          <w:szCs w:val="20"/>
        </w:rPr>
        <w:t xml:space="preserve"> 19 % na </w:t>
      </w:r>
      <w:r w:rsidR="00431565">
        <w:rPr>
          <w:rFonts w:ascii="Arial" w:hAnsi="Arial" w:cs="Arial"/>
          <w:sz w:val="20"/>
          <w:szCs w:val="20"/>
        </w:rPr>
        <w:t xml:space="preserve">efektivnih </w:t>
      </w:r>
      <w:r w:rsidR="003928BF">
        <w:rPr>
          <w:rFonts w:ascii="Arial" w:hAnsi="Arial" w:cs="Arial"/>
          <w:sz w:val="20"/>
          <w:szCs w:val="20"/>
        </w:rPr>
        <w:t>13,4 %</w:t>
      </w:r>
      <w:r w:rsidRPr="00901BB9">
        <w:rPr>
          <w:rFonts w:ascii="Arial" w:hAnsi="Arial" w:cs="Arial"/>
          <w:sz w:val="20"/>
          <w:szCs w:val="20"/>
        </w:rPr>
        <w:t>.</w:t>
      </w:r>
    </w:p>
    <w:p w14:paraId="43EFAB31" w14:textId="77777777" w:rsidR="00281839" w:rsidRPr="00901BB9" w:rsidRDefault="00281839" w:rsidP="00281839">
      <w:pPr>
        <w:spacing w:after="0" w:line="260" w:lineRule="atLeast"/>
        <w:jc w:val="both"/>
        <w:rPr>
          <w:rFonts w:ascii="Arial" w:hAnsi="Arial" w:cs="Arial"/>
          <w:sz w:val="20"/>
          <w:szCs w:val="20"/>
        </w:rPr>
      </w:pPr>
    </w:p>
    <w:p w14:paraId="4546AB40" w14:textId="77777777" w:rsidR="0066096A" w:rsidRDefault="0066096A">
      <w:pPr>
        <w:spacing w:after="0" w:line="240" w:lineRule="auto"/>
        <w:rPr>
          <w:rFonts w:ascii="Arial" w:hAnsi="Arial" w:cs="Arial"/>
          <w:sz w:val="20"/>
          <w:szCs w:val="20"/>
        </w:rPr>
      </w:pPr>
      <w:r>
        <w:rPr>
          <w:rFonts w:ascii="Arial" w:hAnsi="Arial" w:cs="Arial"/>
          <w:sz w:val="20"/>
          <w:szCs w:val="20"/>
        </w:rPr>
        <w:br w:type="page"/>
      </w:r>
    </w:p>
    <w:p w14:paraId="5C8752BD" w14:textId="26ED6959" w:rsidR="00281839" w:rsidRDefault="009B0B27" w:rsidP="00281839">
      <w:pPr>
        <w:spacing w:after="0" w:line="260" w:lineRule="atLeast"/>
        <w:jc w:val="both"/>
        <w:rPr>
          <w:rFonts w:ascii="Arial" w:hAnsi="Arial" w:cs="Arial"/>
          <w:sz w:val="20"/>
          <w:szCs w:val="20"/>
        </w:rPr>
      </w:pPr>
      <w:r>
        <w:rPr>
          <w:rFonts w:ascii="Arial" w:hAnsi="Arial" w:cs="Arial"/>
          <w:sz w:val="20"/>
          <w:szCs w:val="20"/>
        </w:rPr>
        <w:lastRenderedPageBreak/>
        <w:t>Preglednica</w:t>
      </w:r>
      <w:r w:rsidR="00281839" w:rsidRPr="00901BB9">
        <w:rPr>
          <w:rFonts w:ascii="Arial" w:hAnsi="Arial" w:cs="Arial"/>
          <w:sz w:val="20"/>
          <w:szCs w:val="20"/>
        </w:rPr>
        <w:t xml:space="preserve"> </w:t>
      </w:r>
      <w:r w:rsidR="00091D42">
        <w:rPr>
          <w:rFonts w:ascii="Arial" w:hAnsi="Arial" w:cs="Arial"/>
          <w:sz w:val="20"/>
          <w:szCs w:val="20"/>
        </w:rPr>
        <w:t>8</w:t>
      </w:r>
      <w:r w:rsidR="00281839" w:rsidRPr="00901BB9">
        <w:rPr>
          <w:rFonts w:ascii="Arial" w:hAnsi="Arial" w:cs="Arial"/>
          <w:sz w:val="20"/>
          <w:szCs w:val="20"/>
        </w:rPr>
        <w:t xml:space="preserve">: Učinek posameznih vrst olajšav in ugodnosti pri </w:t>
      </w:r>
      <w:r w:rsidR="003928BF">
        <w:rPr>
          <w:rFonts w:ascii="Arial" w:hAnsi="Arial" w:cs="Arial"/>
          <w:sz w:val="20"/>
          <w:szCs w:val="20"/>
        </w:rPr>
        <w:t>DDPO</w:t>
      </w:r>
      <w:r w:rsidR="00281839" w:rsidRPr="00901BB9">
        <w:rPr>
          <w:rFonts w:ascii="Arial" w:hAnsi="Arial" w:cs="Arial"/>
          <w:sz w:val="20"/>
          <w:szCs w:val="20"/>
        </w:rPr>
        <w:t xml:space="preserve"> v letih</w:t>
      </w:r>
      <w:r w:rsidR="00A474C9">
        <w:rPr>
          <w:rFonts w:ascii="Arial" w:hAnsi="Arial" w:cs="Arial"/>
          <w:sz w:val="20"/>
          <w:szCs w:val="20"/>
        </w:rPr>
        <w:t xml:space="preserve"> o</w:t>
      </w:r>
      <w:r w:rsidR="003928BF">
        <w:rPr>
          <w:rFonts w:ascii="Arial" w:hAnsi="Arial" w:cs="Arial"/>
          <w:sz w:val="20"/>
          <w:szCs w:val="20"/>
        </w:rPr>
        <w:t>d</w:t>
      </w:r>
      <w:r w:rsidR="00281839" w:rsidRPr="00901BB9">
        <w:rPr>
          <w:rFonts w:ascii="Arial" w:hAnsi="Arial" w:cs="Arial"/>
          <w:sz w:val="20"/>
          <w:szCs w:val="20"/>
        </w:rPr>
        <w:t xml:space="preserve"> 2016</w:t>
      </w:r>
      <w:r w:rsidR="00A474C9">
        <w:rPr>
          <w:rFonts w:ascii="Arial" w:hAnsi="Arial" w:cs="Arial"/>
          <w:sz w:val="20"/>
          <w:szCs w:val="20"/>
        </w:rPr>
        <w:t xml:space="preserve"> do </w:t>
      </w:r>
      <w:r w:rsidR="00281839" w:rsidRPr="00901BB9">
        <w:rPr>
          <w:rFonts w:ascii="Arial" w:hAnsi="Arial" w:cs="Arial"/>
          <w:sz w:val="20"/>
          <w:szCs w:val="20"/>
        </w:rPr>
        <w:t>2018, zneski v mio evr</w:t>
      </w:r>
      <w:r w:rsidR="00960330">
        <w:rPr>
          <w:rFonts w:ascii="Arial" w:hAnsi="Arial" w:cs="Arial"/>
          <w:sz w:val="20"/>
          <w:szCs w:val="20"/>
        </w:rPr>
        <w:t>ov</w:t>
      </w:r>
    </w:p>
    <w:p w14:paraId="20D92B6D" w14:textId="77777777" w:rsidR="00617C3E" w:rsidRPr="00901BB9" w:rsidRDefault="00617C3E" w:rsidP="00281839">
      <w:pPr>
        <w:spacing w:after="0" w:line="260" w:lineRule="atLeast"/>
        <w:jc w:val="both"/>
        <w:rPr>
          <w:rFonts w:ascii="Arial" w:hAnsi="Arial" w:cs="Arial"/>
          <w:sz w:val="20"/>
          <w:szCs w:val="20"/>
        </w:rPr>
      </w:pPr>
    </w:p>
    <w:tbl>
      <w:tblPr>
        <w:tblW w:w="9065" w:type="dxa"/>
        <w:tblCellMar>
          <w:left w:w="70" w:type="dxa"/>
          <w:right w:w="70" w:type="dxa"/>
        </w:tblCellMar>
        <w:tblLook w:val="04A0" w:firstRow="1" w:lastRow="0" w:firstColumn="1" w:lastColumn="0" w:noHBand="0" w:noVBand="1"/>
      </w:tblPr>
      <w:tblGrid>
        <w:gridCol w:w="3805"/>
        <w:gridCol w:w="747"/>
        <w:gridCol w:w="746"/>
        <w:gridCol w:w="746"/>
        <w:gridCol w:w="803"/>
        <w:gridCol w:w="803"/>
        <w:gridCol w:w="1415"/>
      </w:tblGrid>
      <w:tr w:rsidR="00617C3E" w:rsidRPr="00617C3E" w14:paraId="27A2B35E" w14:textId="77777777" w:rsidTr="00AC13E9">
        <w:trPr>
          <w:trHeight w:val="285"/>
        </w:trPr>
        <w:tc>
          <w:tcPr>
            <w:tcW w:w="3805" w:type="dxa"/>
            <w:tcBorders>
              <w:top w:val="nil"/>
              <w:left w:val="nil"/>
              <w:bottom w:val="nil"/>
              <w:right w:val="nil"/>
            </w:tcBorders>
            <w:shd w:val="clear" w:color="DCE6F1" w:fill="B7DEE8"/>
            <w:noWrap/>
            <w:vAlign w:val="bottom"/>
            <w:hideMark/>
          </w:tcPr>
          <w:p w14:paraId="5CA650AE" w14:textId="77777777" w:rsidR="00617C3E" w:rsidRPr="00617C3E" w:rsidRDefault="00617C3E" w:rsidP="00617C3E">
            <w:pPr>
              <w:spacing w:after="0" w:line="240" w:lineRule="auto"/>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 </w:t>
            </w:r>
          </w:p>
        </w:tc>
        <w:tc>
          <w:tcPr>
            <w:tcW w:w="2239" w:type="dxa"/>
            <w:gridSpan w:val="3"/>
            <w:tcBorders>
              <w:top w:val="single" w:sz="4" w:space="0" w:color="auto"/>
              <w:left w:val="single" w:sz="4" w:space="0" w:color="auto"/>
              <w:bottom w:val="single" w:sz="4" w:space="0" w:color="auto"/>
              <w:right w:val="single" w:sz="4" w:space="0" w:color="000000"/>
            </w:tcBorders>
            <w:shd w:val="clear" w:color="DCE6F1" w:fill="B7DEE8"/>
            <w:noWrap/>
            <w:vAlign w:val="bottom"/>
            <w:hideMark/>
          </w:tcPr>
          <w:p w14:paraId="73720A9C" w14:textId="5F0FE4A6" w:rsidR="00617C3E" w:rsidRPr="00617C3E" w:rsidRDefault="003928BF" w:rsidP="00617C3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Š</w:t>
            </w:r>
            <w:r w:rsidR="00617C3E" w:rsidRPr="00617C3E">
              <w:rPr>
                <w:rFonts w:ascii="Arial" w:eastAsia="Times New Roman" w:hAnsi="Arial" w:cs="Arial"/>
                <w:b/>
                <w:bCs/>
                <w:color w:val="000000"/>
                <w:sz w:val="18"/>
                <w:szCs w:val="18"/>
                <w:lang w:eastAsia="sl-SI"/>
              </w:rPr>
              <w:t>tevilo zavezancev</w:t>
            </w:r>
          </w:p>
        </w:tc>
        <w:tc>
          <w:tcPr>
            <w:tcW w:w="3021" w:type="dxa"/>
            <w:gridSpan w:val="3"/>
            <w:tcBorders>
              <w:top w:val="single" w:sz="4" w:space="0" w:color="auto"/>
              <w:left w:val="nil"/>
              <w:bottom w:val="single" w:sz="4" w:space="0" w:color="auto"/>
              <w:right w:val="single" w:sz="4" w:space="0" w:color="000000"/>
            </w:tcBorders>
            <w:shd w:val="clear" w:color="DCE6F1" w:fill="B7DEE8"/>
            <w:noWrap/>
            <w:vAlign w:val="bottom"/>
            <w:hideMark/>
          </w:tcPr>
          <w:p w14:paraId="790DF5FC" w14:textId="4537F8BD" w:rsidR="00617C3E" w:rsidRPr="00617C3E" w:rsidRDefault="003928BF" w:rsidP="00617C3E">
            <w:pPr>
              <w:spacing w:after="0" w:line="240" w:lineRule="auto"/>
              <w:jc w:val="center"/>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Z</w:t>
            </w:r>
            <w:r w:rsidR="00617C3E" w:rsidRPr="00617C3E">
              <w:rPr>
                <w:rFonts w:ascii="Arial" w:eastAsia="Times New Roman" w:hAnsi="Arial" w:cs="Arial"/>
                <w:b/>
                <w:bCs/>
                <w:color w:val="000000"/>
                <w:sz w:val="18"/>
                <w:szCs w:val="18"/>
                <w:lang w:eastAsia="sl-SI"/>
              </w:rPr>
              <w:t>nesek davčnega izdatka</w:t>
            </w:r>
          </w:p>
        </w:tc>
      </w:tr>
      <w:tr w:rsidR="00617C3E" w:rsidRPr="00617C3E" w14:paraId="7D5336C2" w14:textId="77777777" w:rsidTr="00AC13E9">
        <w:trPr>
          <w:trHeight w:val="285"/>
        </w:trPr>
        <w:tc>
          <w:tcPr>
            <w:tcW w:w="3805" w:type="dxa"/>
            <w:tcBorders>
              <w:top w:val="single" w:sz="4" w:space="0" w:color="auto"/>
              <w:left w:val="single" w:sz="4" w:space="0" w:color="auto"/>
              <w:bottom w:val="single" w:sz="4" w:space="0" w:color="auto"/>
              <w:right w:val="single" w:sz="4" w:space="0" w:color="auto"/>
            </w:tcBorders>
            <w:shd w:val="clear" w:color="DCE6F1" w:fill="B7DEE8"/>
            <w:noWrap/>
            <w:vAlign w:val="center"/>
            <w:hideMark/>
          </w:tcPr>
          <w:p w14:paraId="27C7E981" w14:textId="77777777" w:rsidR="00617C3E" w:rsidRPr="00617C3E" w:rsidRDefault="00617C3E">
            <w:pPr>
              <w:spacing w:after="0" w:line="240" w:lineRule="auto"/>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Vrsta davčnega izdatka</w:t>
            </w:r>
          </w:p>
        </w:tc>
        <w:tc>
          <w:tcPr>
            <w:tcW w:w="747" w:type="dxa"/>
            <w:tcBorders>
              <w:top w:val="nil"/>
              <w:left w:val="nil"/>
              <w:bottom w:val="single" w:sz="4" w:space="0" w:color="auto"/>
              <w:right w:val="single" w:sz="4" w:space="0" w:color="auto"/>
            </w:tcBorders>
            <w:shd w:val="clear" w:color="DCE6F1" w:fill="B7DEE8"/>
            <w:noWrap/>
            <w:vAlign w:val="center"/>
            <w:hideMark/>
          </w:tcPr>
          <w:p w14:paraId="3B55B0DC"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2016</w:t>
            </w:r>
          </w:p>
        </w:tc>
        <w:tc>
          <w:tcPr>
            <w:tcW w:w="746" w:type="dxa"/>
            <w:tcBorders>
              <w:top w:val="nil"/>
              <w:left w:val="nil"/>
              <w:bottom w:val="single" w:sz="4" w:space="0" w:color="auto"/>
              <w:right w:val="single" w:sz="4" w:space="0" w:color="auto"/>
            </w:tcBorders>
            <w:shd w:val="clear" w:color="DCE6F1" w:fill="B7DEE8"/>
            <w:noWrap/>
            <w:vAlign w:val="center"/>
            <w:hideMark/>
          </w:tcPr>
          <w:p w14:paraId="616ECE33"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2017</w:t>
            </w:r>
          </w:p>
        </w:tc>
        <w:tc>
          <w:tcPr>
            <w:tcW w:w="746" w:type="dxa"/>
            <w:tcBorders>
              <w:top w:val="nil"/>
              <w:left w:val="nil"/>
              <w:bottom w:val="single" w:sz="4" w:space="0" w:color="auto"/>
              <w:right w:val="single" w:sz="4" w:space="0" w:color="auto"/>
            </w:tcBorders>
            <w:shd w:val="clear" w:color="DCE6F1" w:fill="B7DEE8"/>
            <w:noWrap/>
            <w:vAlign w:val="center"/>
            <w:hideMark/>
          </w:tcPr>
          <w:p w14:paraId="72E9520A"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2018</w:t>
            </w:r>
          </w:p>
        </w:tc>
        <w:tc>
          <w:tcPr>
            <w:tcW w:w="803" w:type="dxa"/>
            <w:tcBorders>
              <w:top w:val="nil"/>
              <w:left w:val="nil"/>
              <w:bottom w:val="single" w:sz="4" w:space="0" w:color="auto"/>
              <w:right w:val="single" w:sz="4" w:space="0" w:color="auto"/>
            </w:tcBorders>
            <w:shd w:val="clear" w:color="DCE6F1" w:fill="B7DEE8"/>
            <w:noWrap/>
            <w:vAlign w:val="center"/>
            <w:hideMark/>
          </w:tcPr>
          <w:p w14:paraId="7BFD4FD3"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2016</w:t>
            </w:r>
          </w:p>
        </w:tc>
        <w:tc>
          <w:tcPr>
            <w:tcW w:w="803" w:type="dxa"/>
            <w:tcBorders>
              <w:top w:val="nil"/>
              <w:left w:val="nil"/>
              <w:bottom w:val="single" w:sz="4" w:space="0" w:color="auto"/>
              <w:right w:val="single" w:sz="4" w:space="0" w:color="auto"/>
            </w:tcBorders>
            <w:shd w:val="clear" w:color="DCE6F1" w:fill="B7DEE8"/>
            <w:noWrap/>
            <w:vAlign w:val="center"/>
            <w:hideMark/>
          </w:tcPr>
          <w:p w14:paraId="3FEC5E25"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2017</w:t>
            </w:r>
          </w:p>
        </w:tc>
        <w:tc>
          <w:tcPr>
            <w:tcW w:w="1415" w:type="dxa"/>
            <w:tcBorders>
              <w:top w:val="nil"/>
              <w:left w:val="nil"/>
              <w:bottom w:val="single" w:sz="4" w:space="0" w:color="auto"/>
              <w:right w:val="single" w:sz="4" w:space="0" w:color="auto"/>
            </w:tcBorders>
            <w:shd w:val="clear" w:color="DCE6F1" w:fill="B7DEE8"/>
            <w:noWrap/>
            <w:vAlign w:val="center"/>
            <w:hideMark/>
          </w:tcPr>
          <w:p w14:paraId="69E47B18" w14:textId="77777777" w:rsidR="00617C3E" w:rsidRPr="00617C3E" w:rsidRDefault="00617C3E" w:rsidP="00012435">
            <w:pPr>
              <w:spacing w:after="0" w:line="240" w:lineRule="auto"/>
              <w:jc w:val="center"/>
              <w:rPr>
                <w:rFonts w:ascii="Arial" w:eastAsia="Times New Roman" w:hAnsi="Arial" w:cs="Arial"/>
                <w:b/>
                <w:bCs/>
                <w:color w:val="000000"/>
                <w:sz w:val="18"/>
                <w:szCs w:val="18"/>
                <w:lang w:eastAsia="sl-SI"/>
              </w:rPr>
            </w:pPr>
            <w:r w:rsidRPr="00617C3E">
              <w:rPr>
                <w:rFonts w:ascii="Arial" w:eastAsia="Times New Roman" w:hAnsi="Arial" w:cs="Arial"/>
                <w:b/>
                <w:bCs/>
                <w:color w:val="000000"/>
                <w:sz w:val="18"/>
                <w:szCs w:val="18"/>
                <w:lang w:eastAsia="sl-SI"/>
              </w:rPr>
              <w:t>2018</w:t>
            </w:r>
          </w:p>
        </w:tc>
      </w:tr>
      <w:tr w:rsidR="00617C3E" w:rsidRPr="00617C3E" w14:paraId="11879348" w14:textId="77777777" w:rsidTr="00AC13E9">
        <w:trPr>
          <w:trHeight w:val="285"/>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C68B805"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investiranje po 55.a členu</w:t>
            </w:r>
          </w:p>
        </w:tc>
        <w:tc>
          <w:tcPr>
            <w:tcW w:w="747" w:type="dxa"/>
            <w:tcBorders>
              <w:top w:val="nil"/>
              <w:left w:val="nil"/>
              <w:bottom w:val="single" w:sz="4" w:space="0" w:color="auto"/>
              <w:right w:val="single" w:sz="4" w:space="0" w:color="auto"/>
            </w:tcBorders>
            <w:shd w:val="clear" w:color="auto" w:fill="auto"/>
            <w:noWrap/>
            <w:vAlign w:val="center"/>
            <w:hideMark/>
          </w:tcPr>
          <w:p w14:paraId="5868884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20.988</w:t>
            </w:r>
          </w:p>
        </w:tc>
        <w:tc>
          <w:tcPr>
            <w:tcW w:w="746" w:type="dxa"/>
            <w:tcBorders>
              <w:top w:val="nil"/>
              <w:left w:val="nil"/>
              <w:bottom w:val="single" w:sz="4" w:space="0" w:color="auto"/>
              <w:right w:val="single" w:sz="4" w:space="0" w:color="auto"/>
            </w:tcBorders>
            <w:shd w:val="clear" w:color="auto" w:fill="auto"/>
            <w:noWrap/>
            <w:vAlign w:val="center"/>
            <w:hideMark/>
          </w:tcPr>
          <w:p w14:paraId="3D4124B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22.451</w:t>
            </w:r>
          </w:p>
        </w:tc>
        <w:tc>
          <w:tcPr>
            <w:tcW w:w="746" w:type="dxa"/>
            <w:tcBorders>
              <w:top w:val="nil"/>
              <w:left w:val="nil"/>
              <w:bottom w:val="single" w:sz="4" w:space="0" w:color="auto"/>
              <w:right w:val="single" w:sz="4" w:space="0" w:color="auto"/>
            </w:tcBorders>
            <w:shd w:val="clear" w:color="auto" w:fill="auto"/>
            <w:noWrap/>
            <w:vAlign w:val="center"/>
            <w:hideMark/>
          </w:tcPr>
          <w:p w14:paraId="072A9CA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23.439</w:t>
            </w:r>
          </w:p>
        </w:tc>
        <w:tc>
          <w:tcPr>
            <w:tcW w:w="803" w:type="dxa"/>
            <w:tcBorders>
              <w:top w:val="nil"/>
              <w:left w:val="nil"/>
              <w:bottom w:val="single" w:sz="4" w:space="0" w:color="auto"/>
              <w:right w:val="single" w:sz="4" w:space="0" w:color="auto"/>
            </w:tcBorders>
            <w:shd w:val="clear" w:color="auto" w:fill="auto"/>
            <w:noWrap/>
            <w:vAlign w:val="center"/>
            <w:hideMark/>
          </w:tcPr>
          <w:p w14:paraId="08C7BB0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119,02</w:t>
            </w:r>
          </w:p>
        </w:tc>
        <w:tc>
          <w:tcPr>
            <w:tcW w:w="803" w:type="dxa"/>
            <w:tcBorders>
              <w:top w:val="nil"/>
              <w:left w:val="nil"/>
              <w:bottom w:val="single" w:sz="4" w:space="0" w:color="auto"/>
              <w:right w:val="single" w:sz="4" w:space="0" w:color="auto"/>
            </w:tcBorders>
            <w:shd w:val="clear" w:color="auto" w:fill="auto"/>
            <w:noWrap/>
            <w:vAlign w:val="center"/>
            <w:hideMark/>
          </w:tcPr>
          <w:p w14:paraId="715E127E"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156,13</w:t>
            </w:r>
          </w:p>
        </w:tc>
        <w:tc>
          <w:tcPr>
            <w:tcW w:w="1415" w:type="dxa"/>
            <w:tcBorders>
              <w:top w:val="nil"/>
              <w:left w:val="nil"/>
              <w:bottom w:val="single" w:sz="4" w:space="0" w:color="auto"/>
              <w:right w:val="single" w:sz="4" w:space="0" w:color="auto"/>
            </w:tcBorders>
            <w:shd w:val="clear" w:color="auto" w:fill="auto"/>
            <w:noWrap/>
            <w:vAlign w:val="center"/>
            <w:hideMark/>
          </w:tcPr>
          <w:p w14:paraId="40F852A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168,14</w:t>
            </w:r>
          </w:p>
        </w:tc>
      </w:tr>
      <w:tr w:rsidR="00617C3E" w:rsidRPr="00617C3E" w14:paraId="7E32F976" w14:textId="77777777" w:rsidTr="00AC13E9">
        <w:trPr>
          <w:trHeight w:val="285"/>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1929F6FE"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Pokrivanje izgube</w:t>
            </w:r>
          </w:p>
        </w:tc>
        <w:tc>
          <w:tcPr>
            <w:tcW w:w="747" w:type="dxa"/>
            <w:tcBorders>
              <w:top w:val="nil"/>
              <w:left w:val="nil"/>
              <w:bottom w:val="single" w:sz="4" w:space="0" w:color="auto"/>
              <w:right w:val="single" w:sz="4" w:space="0" w:color="auto"/>
            </w:tcBorders>
            <w:shd w:val="clear" w:color="auto" w:fill="auto"/>
            <w:noWrap/>
            <w:vAlign w:val="center"/>
            <w:hideMark/>
          </w:tcPr>
          <w:p w14:paraId="79F52CD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15.172</w:t>
            </w:r>
          </w:p>
        </w:tc>
        <w:tc>
          <w:tcPr>
            <w:tcW w:w="746" w:type="dxa"/>
            <w:tcBorders>
              <w:top w:val="nil"/>
              <w:left w:val="nil"/>
              <w:bottom w:val="single" w:sz="4" w:space="0" w:color="auto"/>
              <w:right w:val="single" w:sz="4" w:space="0" w:color="auto"/>
            </w:tcBorders>
            <w:shd w:val="clear" w:color="auto" w:fill="auto"/>
            <w:noWrap/>
            <w:vAlign w:val="center"/>
            <w:hideMark/>
          </w:tcPr>
          <w:p w14:paraId="4DC6014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15.987</w:t>
            </w:r>
          </w:p>
        </w:tc>
        <w:tc>
          <w:tcPr>
            <w:tcW w:w="746" w:type="dxa"/>
            <w:tcBorders>
              <w:top w:val="nil"/>
              <w:left w:val="nil"/>
              <w:bottom w:val="single" w:sz="4" w:space="0" w:color="auto"/>
              <w:right w:val="single" w:sz="4" w:space="0" w:color="auto"/>
            </w:tcBorders>
            <w:shd w:val="clear" w:color="auto" w:fill="auto"/>
            <w:noWrap/>
            <w:vAlign w:val="center"/>
            <w:hideMark/>
          </w:tcPr>
          <w:p w14:paraId="402C049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15.997</w:t>
            </w:r>
          </w:p>
        </w:tc>
        <w:tc>
          <w:tcPr>
            <w:tcW w:w="803" w:type="dxa"/>
            <w:tcBorders>
              <w:top w:val="nil"/>
              <w:left w:val="nil"/>
              <w:bottom w:val="single" w:sz="4" w:space="0" w:color="auto"/>
              <w:right w:val="single" w:sz="4" w:space="0" w:color="auto"/>
            </w:tcBorders>
            <w:shd w:val="clear" w:color="auto" w:fill="auto"/>
            <w:noWrap/>
            <w:vAlign w:val="center"/>
            <w:hideMark/>
          </w:tcPr>
          <w:p w14:paraId="73B9021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68,95</w:t>
            </w:r>
          </w:p>
        </w:tc>
        <w:tc>
          <w:tcPr>
            <w:tcW w:w="803" w:type="dxa"/>
            <w:tcBorders>
              <w:top w:val="nil"/>
              <w:left w:val="nil"/>
              <w:bottom w:val="single" w:sz="4" w:space="0" w:color="auto"/>
              <w:right w:val="single" w:sz="4" w:space="0" w:color="auto"/>
            </w:tcBorders>
            <w:shd w:val="clear" w:color="auto" w:fill="auto"/>
            <w:noWrap/>
            <w:vAlign w:val="center"/>
            <w:hideMark/>
          </w:tcPr>
          <w:p w14:paraId="1B9272D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86,26</w:t>
            </w:r>
          </w:p>
        </w:tc>
        <w:tc>
          <w:tcPr>
            <w:tcW w:w="1415" w:type="dxa"/>
            <w:tcBorders>
              <w:top w:val="nil"/>
              <w:left w:val="nil"/>
              <w:bottom w:val="single" w:sz="4" w:space="0" w:color="auto"/>
              <w:right w:val="single" w:sz="4" w:space="0" w:color="auto"/>
            </w:tcBorders>
            <w:shd w:val="clear" w:color="auto" w:fill="auto"/>
            <w:noWrap/>
            <w:vAlign w:val="center"/>
            <w:hideMark/>
          </w:tcPr>
          <w:p w14:paraId="5C4C826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99,82</w:t>
            </w:r>
          </w:p>
        </w:tc>
      </w:tr>
      <w:tr w:rsidR="00617C3E" w:rsidRPr="00617C3E" w14:paraId="4C4826D2"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4991A7C" w14:textId="6295B513"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 xml:space="preserve">Olajšava za vlaganja v R&amp;R po 1. stavku </w:t>
            </w:r>
            <w:r w:rsidR="0009189B">
              <w:rPr>
                <w:rFonts w:ascii="Arial" w:eastAsia="Times New Roman" w:hAnsi="Arial" w:cs="Arial"/>
                <w:color w:val="000000"/>
                <w:sz w:val="18"/>
                <w:szCs w:val="18"/>
                <w:lang w:eastAsia="sl-SI"/>
              </w:rPr>
              <w:t>prvega</w:t>
            </w:r>
            <w:r w:rsidRPr="00617C3E">
              <w:rPr>
                <w:rFonts w:ascii="Arial" w:eastAsia="Times New Roman" w:hAnsi="Arial" w:cs="Arial"/>
                <w:color w:val="000000"/>
                <w:sz w:val="18"/>
                <w:szCs w:val="18"/>
                <w:lang w:eastAsia="sl-SI"/>
              </w:rPr>
              <w:t xml:space="preserve"> odst</w:t>
            </w:r>
            <w:r w:rsidR="0009189B">
              <w:rPr>
                <w:rFonts w:ascii="Arial" w:eastAsia="Times New Roman" w:hAnsi="Arial" w:cs="Arial"/>
                <w:color w:val="000000"/>
                <w:sz w:val="18"/>
                <w:szCs w:val="18"/>
                <w:lang w:eastAsia="sl-SI"/>
              </w:rPr>
              <w:t>avka</w:t>
            </w:r>
            <w:r w:rsidRPr="00617C3E">
              <w:rPr>
                <w:rFonts w:ascii="Arial" w:eastAsia="Times New Roman" w:hAnsi="Arial" w:cs="Arial"/>
                <w:color w:val="000000"/>
                <w:sz w:val="18"/>
                <w:szCs w:val="18"/>
                <w:lang w:eastAsia="sl-SI"/>
              </w:rPr>
              <w:t xml:space="preserve"> 55.</w:t>
            </w:r>
            <w:r w:rsidR="00EA6ACB">
              <w:rPr>
                <w:rFonts w:ascii="Arial" w:eastAsia="Times New Roman" w:hAnsi="Arial" w:cs="Arial"/>
                <w:color w:val="000000"/>
                <w:sz w:val="18"/>
                <w:szCs w:val="18"/>
                <w:lang w:eastAsia="sl-SI"/>
              </w:rPr>
              <w:t xml:space="preserve"> </w:t>
            </w:r>
            <w:r w:rsidRPr="00617C3E">
              <w:rPr>
                <w:rFonts w:ascii="Arial" w:eastAsia="Times New Roman" w:hAnsi="Arial" w:cs="Arial"/>
                <w:color w:val="000000"/>
                <w:sz w:val="18"/>
                <w:szCs w:val="18"/>
                <w:lang w:eastAsia="sl-SI"/>
              </w:rPr>
              <w:t>člena</w:t>
            </w:r>
          </w:p>
        </w:tc>
        <w:tc>
          <w:tcPr>
            <w:tcW w:w="747" w:type="dxa"/>
            <w:tcBorders>
              <w:top w:val="nil"/>
              <w:left w:val="nil"/>
              <w:bottom w:val="single" w:sz="4" w:space="0" w:color="auto"/>
              <w:right w:val="single" w:sz="4" w:space="0" w:color="auto"/>
            </w:tcBorders>
            <w:shd w:val="clear" w:color="auto" w:fill="auto"/>
            <w:noWrap/>
            <w:vAlign w:val="center"/>
            <w:hideMark/>
          </w:tcPr>
          <w:p w14:paraId="0099A8D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630</w:t>
            </w:r>
          </w:p>
        </w:tc>
        <w:tc>
          <w:tcPr>
            <w:tcW w:w="746" w:type="dxa"/>
            <w:tcBorders>
              <w:top w:val="nil"/>
              <w:left w:val="nil"/>
              <w:bottom w:val="single" w:sz="4" w:space="0" w:color="auto"/>
              <w:right w:val="single" w:sz="4" w:space="0" w:color="auto"/>
            </w:tcBorders>
            <w:shd w:val="clear" w:color="auto" w:fill="auto"/>
            <w:noWrap/>
            <w:vAlign w:val="center"/>
            <w:hideMark/>
          </w:tcPr>
          <w:p w14:paraId="21EF16E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568</w:t>
            </w:r>
          </w:p>
        </w:tc>
        <w:tc>
          <w:tcPr>
            <w:tcW w:w="746" w:type="dxa"/>
            <w:tcBorders>
              <w:top w:val="nil"/>
              <w:left w:val="nil"/>
              <w:bottom w:val="single" w:sz="4" w:space="0" w:color="auto"/>
              <w:right w:val="single" w:sz="4" w:space="0" w:color="auto"/>
            </w:tcBorders>
            <w:shd w:val="clear" w:color="auto" w:fill="auto"/>
            <w:noWrap/>
            <w:vAlign w:val="center"/>
            <w:hideMark/>
          </w:tcPr>
          <w:p w14:paraId="6C4D4FE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567</w:t>
            </w:r>
          </w:p>
        </w:tc>
        <w:tc>
          <w:tcPr>
            <w:tcW w:w="803" w:type="dxa"/>
            <w:tcBorders>
              <w:top w:val="nil"/>
              <w:left w:val="nil"/>
              <w:bottom w:val="single" w:sz="4" w:space="0" w:color="auto"/>
              <w:right w:val="single" w:sz="4" w:space="0" w:color="auto"/>
            </w:tcBorders>
            <w:shd w:val="clear" w:color="auto" w:fill="auto"/>
            <w:noWrap/>
            <w:vAlign w:val="center"/>
            <w:hideMark/>
          </w:tcPr>
          <w:p w14:paraId="6CFEABD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45,54</w:t>
            </w:r>
          </w:p>
        </w:tc>
        <w:tc>
          <w:tcPr>
            <w:tcW w:w="803" w:type="dxa"/>
            <w:tcBorders>
              <w:top w:val="nil"/>
              <w:left w:val="nil"/>
              <w:bottom w:val="single" w:sz="4" w:space="0" w:color="auto"/>
              <w:right w:val="single" w:sz="4" w:space="0" w:color="auto"/>
            </w:tcBorders>
            <w:shd w:val="clear" w:color="auto" w:fill="auto"/>
            <w:noWrap/>
            <w:vAlign w:val="center"/>
            <w:hideMark/>
          </w:tcPr>
          <w:p w14:paraId="01143134"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45,88</w:t>
            </w:r>
          </w:p>
        </w:tc>
        <w:tc>
          <w:tcPr>
            <w:tcW w:w="1415" w:type="dxa"/>
            <w:tcBorders>
              <w:top w:val="nil"/>
              <w:left w:val="nil"/>
              <w:bottom w:val="single" w:sz="4" w:space="0" w:color="auto"/>
              <w:right w:val="single" w:sz="4" w:space="0" w:color="auto"/>
            </w:tcBorders>
            <w:shd w:val="clear" w:color="auto" w:fill="auto"/>
            <w:noWrap/>
            <w:vAlign w:val="center"/>
            <w:hideMark/>
          </w:tcPr>
          <w:p w14:paraId="7EB04B5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45,39</w:t>
            </w:r>
          </w:p>
        </w:tc>
      </w:tr>
      <w:tr w:rsidR="00617C3E" w:rsidRPr="00617C3E" w14:paraId="0FEAF7CF"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07062B39"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prostovoljno dodatno pokojninsko zavarovanje</w:t>
            </w:r>
          </w:p>
        </w:tc>
        <w:tc>
          <w:tcPr>
            <w:tcW w:w="747" w:type="dxa"/>
            <w:tcBorders>
              <w:top w:val="nil"/>
              <w:left w:val="nil"/>
              <w:bottom w:val="single" w:sz="4" w:space="0" w:color="auto"/>
              <w:right w:val="single" w:sz="4" w:space="0" w:color="auto"/>
            </w:tcBorders>
            <w:shd w:val="clear" w:color="auto" w:fill="auto"/>
            <w:noWrap/>
            <w:vAlign w:val="center"/>
            <w:hideMark/>
          </w:tcPr>
          <w:p w14:paraId="12B4D08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2.058</w:t>
            </w:r>
          </w:p>
        </w:tc>
        <w:tc>
          <w:tcPr>
            <w:tcW w:w="746" w:type="dxa"/>
            <w:tcBorders>
              <w:top w:val="nil"/>
              <w:left w:val="nil"/>
              <w:bottom w:val="single" w:sz="4" w:space="0" w:color="auto"/>
              <w:right w:val="single" w:sz="4" w:space="0" w:color="auto"/>
            </w:tcBorders>
            <w:shd w:val="clear" w:color="auto" w:fill="auto"/>
            <w:noWrap/>
            <w:vAlign w:val="center"/>
            <w:hideMark/>
          </w:tcPr>
          <w:p w14:paraId="3DB05B9A"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2.056</w:t>
            </w:r>
          </w:p>
        </w:tc>
        <w:tc>
          <w:tcPr>
            <w:tcW w:w="746" w:type="dxa"/>
            <w:tcBorders>
              <w:top w:val="nil"/>
              <w:left w:val="nil"/>
              <w:bottom w:val="single" w:sz="4" w:space="0" w:color="auto"/>
              <w:right w:val="single" w:sz="4" w:space="0" w:color="auto"/>
            </w:tcBorders>
            <w:shd w:val="clear" w:color="auto" w:fill="auto"/>
            <w:noWrap/>
            <w:vAlign w:val="center"/>
            <w:hideMark/>
          </w:tcPr>
          <w:p w14:paraId="31B70241"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2.126</w:t>
            </w:r>
          </w:p>
        </w:tc>
        <w:tc>
          <w:tcPr>
            <w:tcW w:w="803" w:type="dxa"/>
            <w:tcBorders>
              <w:top w:val="nil"/>
              <w:left w:val="nil"/>
              <w:bottom w:val="single" w:sz="4" w:space="0" w:color="auto"/>
              <w:right w:val="single" w:sz="4" w:space="0" w:color="auto"/>
            </w:tcBorders>
            <w:shd w:val="clear" w:color="auto" w:fill="auto"/>
            <w:noWrap/>
            <w:vAlign w:val="center"/>
            <w:hideMark/>
          </w:tcPr>
          <w:p w14:paraId="54DE534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16,07</w:t>
            </w:r>
          </w:p>
        </w:tc>
        <w:tc>
          <w:tcPr>
            <w:tcW w:w="803" w:type="dxa"/>
            <w:tcBorders>
              <w:top w:val="nil"/>
              <w:left w:val="nil"/>
              <w:bottom w:val="single" w:sz="4" w:space="0" w:color="auto"/>
              <w:right w:val="single" w:sz="4" w:space="0" w:color="auto"/>
            </w:tcBorders>
            <w:shd w:val="clear" w:color="auto" w:fill="auto"/>
            <w:noWrap/>
            <w:vAlign w:val="center"/>
            <w:hideMark/>
          </w:tcPr>
          <w:p w14:paraId="702C9DB5"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18,62</w:t>
            </w:r>
          </w:p>
        </w:tc>
        <w:tc>
          <w:tcPr>
            <w:tcW w:w="1415" w:type="dxa"/>
            <w:tcBorders>
              <w:top w:val="nil"/>
              <w:left w:val="nil"/>
              <w:bottom w:val="single" w:sz="4" w:space="0" w:color="auto"/>
              <w:right w:val="single" w:sz="4" w:space="0" w:color="auto"/>
            </w:tcBorders>
            <w:shd w:val="clear" w:color="auto" w:fill="auto"/>
            <w:noWrap/>
            <w:vAlign w:val="center"/>
            <w:hideMark/>
          </w:tcPr>
          <w:p w14:paraId="7AAB125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19,69</w:t>
            </w:r>
          </w:p>
        </w:tc>
      </w:tr>
      <w:tr w:rsidR="00617C3E" w:rsidRPr="00617C3E" w14:paraId="516B2773" w14:textId="77777777" w:rsidTr="00AC13E9">
        <w:trPr>
          <w:trHeight w:val="285"/>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4318B34"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zaposlovanje invalidov</w:t>
            </w:r>
          </w:p>
        </w:tc>
        <w:tc>
          <w:tcPr>
            <w:tcW w:w="747" w:type="dxa"/>
            <w:tcBorders>
              <w:top w:val="nil"/>
              <w:left w:val="nil"/>
              <w:bottom w:val="single" w:sz="4" w:space="0" w:color="auto"/>
              <w:right w:val="single" w:sz="4" w:space="0" w:color="auto"/>
            </w:tcBorders>
            <w:shd w:val="clear" w:color="auto" w:fill="auto"/>
            <w:noWrap/>
            <w:vAlign w:val="center"/>
            <w:hideMark/>
          </w:tcPr>
          <w:p w14:paraId="3BB61CE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3.158</w:t>
            </w:r>
          </w:p>
        </w:tc>
        <w:tc>
          <w:tcPr>
            <w:tcW w:w="746" w:type="dxa"/>
            <w:tcBorders>
              <w:top w:val="nil"/>
              <w:left w:val="nil"/>
              <w:bottom w:val="single" w:sz="4" w:space="0" w:color="auto"/>
              <w:right w:val="single" w:sz="4" w:space="0" w:color="auto"/>
            </w:tcBorders>
            <w:shd w:val="clear" w:color="auto" w:fill="auto"/>
            <w:noWrap/>
            <w:vAlign w:val="center"/>
            <w:hideMark/>
          </w:tcPr>
          <w:p w14:paraId="547FFA6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3.368</w:t>
            </w:r>
          </w:p>
        </w:tc>
        <w:tc>
          <w:tcPr>
            <w:tcW w:w="746" w:type="dxa"/>
            <w:tcBorders>
              <w:top w:val="nil"/>
              <w:left w:val="nil"/>
              <w:bottom w:val="single" w:sz="4" w:space="0" w:color="auto"/>
              <w:right w:val="single" w:sz="4" w:space="0" w:color="auto"/>
            </w:tcBorders>
            <w:shd w:val="clear" w:color="auto" w:fill="auto"/>
            <w:noWrap/>
            <w:vAlign w:val="center"/>
            <w:hideMark/>
          </w:tcPr>
          <w:p w14:paraId="4CB505A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3.659</w:t>
            </w:r>
          </w:p>
        </w:tc>
        <w:tc>
          <w:tcPr>
            <w:tcW w:w="803" w:type="dxa"/>
            <w:tcBorders>
              <w:top w:val="nil"/>
              <w:left w:val="nil"/>
              <w:bottom w:val="single" w:sz="4" w:space="0" w:color="auto"/>
              <w:right w:val="single" w:sz="4" w:space="0" w:color="auto"/>
            </w:tcBorders>
            <w:shd w:val="clear" w:color="auto" w:fill="auto"/>
            <w:noWrap/>
            <w:vAlign w:val="center"/>
            <w:hideMark/>
          </w:tcPr>
          <w:p w14:paraId="57A683C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14,66</w:t>
            </w:r>
          </w:p>
        </w:tc>
        <w:tc>
          <w:tcPr>
            <w:tcW w:w="803" w:type="dxa"/>
            <w:tcBorders>
              <w:top w:val="nil"/>
              <w:left w:val="nil"/>
              <w:bottom w:val="single" w:sz="4" w:space="0" w:color="auto"/>
              <w:right w:val="single" w:sz="4" w:space="0" w:color="auto"/>
            </w:tcBorders>
            <w:shd w:val="clear" w:color="auto" w:fill="auto"/>
            <w:noWrap/>
            <w:vAlign w:val="center"/>
            <w:hideMark/>
          </w:tcPr>
          <w:p w14:paraId="2A1B28CA"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17,97</w:t>
            </w:r>
          </w:p>
        </w:tc>
        <w:tc>
          <w:tcPr>
            <w:tcW w:w="1415" w:type="dxa"/>
            <w:tcBorders>
              <w:top w:val="nil"/>
              <w:left w:val="nil"/>
              <w:bottom w:val="single" w:sz="4" w:space="0" w:color="auto"/>
              <w:right w:val="single" w:sz="4" w:space="0" w:color="auto"/>
            </w:tcBorders>
            <w:shd w:val="clear" w:color="auto" w:fill="auto"/>
            <w:noWrap/>
            <w:vAlign w:val="center"/>
            <w:hideMark/>
          </w:tcPr>
          <w:p w14:paraId="6EF894A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18,81</w:t>
            </w:r>
          </w:p>
        </w:tc>
      </w:tr>
      <w:tr w:rsidR="00617C3E" w:rsidRPr="00617C3E" w14:paraId="25361774"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16D558E5" w14:textId="2C088DE2"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 xml:space="preserve">Olajšava za donacije </w:t>
            </w:r>
            <w:r w:rsidR="0009189B">
              <w:rPr>
                <w:rFonts w:ascii="Arial" w:eastAsia="Times New Roman" w:hAnsi="Arial" w:cs="Arial"/>
                <w:color w:val="000000"/>
                <w:sz w:val="18"/>
                <w:szCs w:val="18"/>
                <w:lang w:eastAsia="sl-SI"/>
              </w:rPr>
              <w:t>–</w:t>
            </w:r>
            <w:r w:rsidRPr="00617C3E">
              <w:rPr>
                <w:rFonts w:ascii="Arial" w:eastAsia="Times New Roman" w:hAnsi="Arial" w:cs="Arial"/>
                <w:color w:val="000000"/>
                <w:sz w:val="18"/>
                <w:szCs w:val="18"/>
                <w:lang w:eastAsia="sl-SI"/>
              </w:rPr>
              <w:t xml:space="preserve"> izplačila za humanitarne, invalidske, socialnovarstvene</w:t>
            </w:r>
            <w:r w:rsidR="0009189B">
              <w:rPr>
                <w:rFonts w:ascii="Arial" w:eastAsia="Times New Roman" w:hAnsi="Arial" w:cs="Arial"/>
                <w:color w:val="000000"/>
                <w:sz w:val="18"/>
                <w:szCs w:val="18"/>
                <w:lang w:eastAsia="sl-SI"/>
              </w:rPr>
              <w:t xml:space="preserve"> ipd.</w:t>
            </w:r>
            <w:r w:rsidRPr="00617C3E">
              <w:rPr>
                <w:rFonts w:ascii="Arial" w:eastAsia="Times New Roman" w:hAnsi="Arial" w:cs="Arial"/>
                <w:color w:val="000000"/>
                <w:sz w:val="18"/>
                <w:szCs w:val="18"/>
                <w:lang w:eastAsia="sl-SI"/>
              </w:rPr>
              <w:t>. namene</w:t>
            </w:r>
          </w:p>
        </w:tc>
        <w:tc>
          <w:tcPr>
            <w:tcW w:w="747" w:type="dxa"/>
            <w:tcBorders>
              <w:top w:val="nil"/>
              <w:left w:val="nil"/>
              <w:bottom w:val="single" w:sz="4" w:space="0" w:color="auto"/>
              <w:right w:val="single" w:sz="4" w:space="0" w:color="auto"/>
            </w:tcBorders>
            <w:shd w:val="clear" w:color="auto" w:fill="auto"/>
            <w:noWrap/>
            <w:vAlign w:val="center"/>
            <w:hideMark/>
          </w:tcPr>
          <w:p w14:paraId="11C0152C"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9.683</w:t>
            </w:r>
          </w:p>
        </w:tc>
        <w:tc>
          <w:tcPr>
            <w:tcW w:w="746" w:type="dxa"/>
            <w:tcBorders>
              <w:top w:val="nil"/>
              <w:left w:val="nil"/>
              <w:bottom w:val="single" w:sz="4" w:space="0" w:color="auto"/>
              <w:right w:val="single" w:sz="4" w:space="0" w:color="auto"/>
            </w:tcBorders>
            <w:shd w:val="clear" w:color="auto" w:fill="auto"/>
            <w:noWrap/>
            <w:vAlign w:val="center"/>
            <w:hideMark/>
          </w:tcPr>
          <w:p w14:paraId="10F8F382"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10.338</w:t>
            </w:r>
          </w:p>
        </w:tc>
        <w:tc>
          <w:tcPr>
            <w:tcW w:w="746" w:type="dxa"/>
            <w:tcBorders>
              <w:top w:val="nil"/>
              <w:left w:val="nil"/>
              <w:bottom w:val="single" w:sz="4" w:space="0" w:color="auto"/>
              <w:right w:val="single" w:sz="4" w:space="0" w:color="auto"/>
            </w:tcBorders>
            <w:shd w:val="clear" w:color="auto" w:fill="auto"/>
            <w:noWrap/>
            <w:vAlign w:val="center"/>
            <w:hideMark/>
          </w:tcPr>
          <w:p w14:paraId="39A27062"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10.884</w:t>
            </w:r>
          </w:p>
        </w:tc>
        <w:tc>
          <w:tcPr>
            <w:tcW w:w="803" w:type="dxa"/>
            <w:tcBorders>
              <w:top w:val="nil"/>
              <w:left w:val="nil"/>
              <w:bottom w:val="single" w:sz="4" w:space="0" w:color="auto"/>
              <w:right w:val="single" w:sz="4" w:space="0" w:color="auto"/>
            </w:tcBorders>
            <w:shd w:val="clear" w:color="auto" w:fill="auto"/>
            <w:noWrap/>
            <w:vAlign w:val="center"/>
            <w:hideMark/>
          </w:tcPr>
          <w:p w14:paraId="27BE353F"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3,58</w:t>
            </w:r>
          </w:p>
        </w:tc>
        <w:tc>
          <w:tcPr>
            <w:tcW w:w="803" w:type="dxa"/>
            <w:tcBorders>
              <w:top w:val="nil"/>
              <w:left w:val="nil"/>
              <w:bottom w:val="single" w:sz="4" w:space="0" w:color="auto"/>
              <w:right w:val="single" w:sz="4" w:space="0" w:color="auto"/>
            </w:tcBorders>
            <w:shd w:val="clear" w:color="auto" w:fill="auto"/>
            <w:noWrap/>
            <w:vAlign w:val="center"/>
            <w:hideMark/>
          </w:tcPr>
          <w:p w14:paraId="470D7CF7"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4,36</w:t>
            </w:r>
          </w:p>
        </w:tc>
        <w:tc>
          <w:tcPr>
            <w:tcW w:w="1415" w:type="dxa"/>
            <w:tcBorders>
              <w:top w:val="nil"/>
              <w:left w:val="nil"/>
              <w:bottom w:val="single" w:sz="4" w:space="0" w:color="auto"/>
              <w:right w:val="single" w:sz="4" w:space="0" w:color="auto"/>
            </w:tcBorders>
            <w:shd w:val="clear" w:color="auto" w:fill="auto"/>
            <w:noWrap/>
            <w:vAlign w:val="center"/>
            <w:hideMark/>
          </w:tcPr>
          <w:p w14:paraId="6B7FE9B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4,84</w:t>
            </w:r>
          </w:p>
        </w:tc>
      </w:tr>
      <w:tr w:rsidR="00617C3E" w:rsidRPr="00617C3E" w14:paraId="1EBFA9EB"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72E8E4A"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investiranje po 6. členu ZRPPR1015</w:t>
            </w:r>
          </w:p>
        </w:tc>
        <w:tc>
          <w:tcPr>
            <w:tcW w:w="747" w:type="dxa"/>
            <w:tcBorders>
              <w:top w:val="nil"/>
              <w:left w:val="nil"/>
              <w:bottom w:val="single" w:sz="4" w:space="0" w:color="auto"/>
              <w:right w:val="single" w:sz="4" w:space="0" w:color="auto"/>
            </w:tcBorders>
            <w:shd w:val="clear" w:color="auto" w:fill="auto"/>
            <w:noWrap/>
            <w:vAlign w:val="center"/>
            <w:hideMark/>
          </w:tcPr>
          <w:p w14:paraId="40157BDC"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198</w:t>
            </w:r>
          </w:p>
        </w:tc>
        <w:tc>
          <w:tcPr>
            <w:tcW w:w="746" w:type="dxa"/>
            <w:tcBorders>
              <w:top w:val="nil"/>
              <w:left w:val="nil"/>
              <w:bottom w:val="single" w:sz="4" w:space="0" w:color="auto"/>
              <w:right w:val="single" w:sz="4" w:space="0" w:color="auto"/>
            </w:tcBorders>
            <w:shd w:val="clear" w:color="auto" w:fill="auto"/>
            <w:noWrap/>
            <w:vAlign w:val="center"/>
            <w:hideMark/>
          </w:tcPr>
          <w:p w14:paraId="133D6BA2"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216</w:t>
            </w:r>
          </w:p>
        </w:tc>
        <w:tc>
          <w:tcPr>
            <w:tcW w:w="746" w:type="dxa"/>
            <w:tcBorders>
              <w:top w:val="nil"/>
              <w:left w:val="nil"/>
              <w:bottom w:val="single" w:sz="4" w:space="0" w:color="auto"/>
              <w:right w:val="single" w:sz="4" w:space="0" w:color="auto"/>
            </w:tcBorders>
            <w:shd w:val="clear" w:color="auto" w:fill="auto"/>
            <w:noWrap/>
            <w:vAlign w:val="center"/>
            <w:hideMark/>
          </w:tcPr>
          <w:p w14:paraId="3656EEFC"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250</w:t>
            </w:r>
          </w:p>
        </w:tc>
        <w:tc>
          <w:tcPr>
            <w:tcW w:w="803" w:type="dxa"/>
            <w:tcBorders>
              <w:top w:val="nil"/>
              <w:left w:val="nil"/>
              <w:bottom w:val="single" w:sz="4" w:space="0" w:color="auto"/>
              <w:right w:val="single" w:sz="4" w:space="0" w:color="auto"/>
            </w:tcBorders>
            <w:shd w:val="clear" w:color="auto" w:fill="auto"/>
            <w:noWrap/>
            <w:vAlign w:val="center"/>
            <w:hideMark/>
          </w:tcPr>
          <w:p w14:paraId="401AF7D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3,72</w:t>
            </w:r>
          </w:p>
        </w:tc>
        <w:tc>
          <w:tcPr>
            <w:tcW w:w="803" w:type="dxa"/>
            <w:tcBorders>
              <w:top w:val="nil"/>
              <w:left w:val="nil"/>
              <w:bottom w:val="single" w:sz="4" w:space="0" w:color="auto"/>
              <w:right w:val="single" w:sz="4" w:space="0" w:color="auto"/>
            </w:tcBorders>
            <w:shd w:val="clear" w:color="auto" w:fill="auto"/>
            <w:noWrap/>
            <w:vAlign w:val="center"/>
            <w:hideMark/>
          </w:tcPr>
          <w:p w14:paraId="65A1BE3A"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4,30</w:t>
            </w:r>
          </w:p>
        </w:tc>
        <w:tc>
          <w:tcPr>
            <w:tcW w:w="1415" w:type="dxa"/>
            <w:tcBorders>
              <w:top w:val="nil"/>
              <w:left w:val="nil"/>
              <w:bottom w:val="single" w:sz="4" w:space="0" w:color="auto"/>
              <w:right w:val="single" w:sz="4" w:space="0" w:color="auto"/>
            </w:tcBorders>
            <w:shd w:val="clear" w:color="auto" w:fill="auto"/>
            <w:noWrap/>
            <w:vAlign w:val="center"/>
            <w:hideMark/>
          </w:tcPr>
          <w:p w14:paraId="090BA4D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3,94</w:t>
            </w:r>
          </w:p>
        </w:tc>
      </w:tr>
      <w:tr w:rsidR="00617C3E" w:rsidRPr="00617C3E" w14:paraId="02F3E4FC"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39E65FBB" w14:textId="4AAE57EE"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 xml:space="preserve">Olajšava za donacije </w:t>
            </w:r>
            <w:r w:rsidR="0009189B">
              <w:rPr>
                <w:rFonts w:ascii="Arial" w:eastAsia="Times New Roman" w:hAnsi="Arial" w:cs="Arial"/>
                <w:color w:val="000000"/>
                <w:sz w:val="18"/>
                <w:szCs w:val="18"/>
                <w:lang w:eastAsia="sl-SI"/>
              </w:rPr>
              <w:t>–</w:t>
            </w:r>
            <w:r w:rsidRPr="00617C3E">
              <w:rPr>
                <w:rFonts w:ascii="Arial" w:eastAsia="Times New Roman" w:hAnsi="Arial" w:cs="Arial"/>
                <w:color w:val="000000"/>
                <w:sz w:val="18"/>
                <w:szCs w:val="18"/>
                <w:lang w:eastAsia="sl-SI"/>
              </w:rPr>
              <w:t xml:space="preserve"> izplačila za kulturne namene in izplačila prostovoljnim društvom...</w:t>
            </w:r>
          </w:p>
        </w:tc>
        <w:tc>
          <w:tcPr>
            <w:tcW w:w="747" w:type="dxa"/>
            <w:tcBorders>
              <w:top w:val="nil"/>
              <w:left w:val="nil"/>
              <w:bottom w:val="single" w:sz="4" w:space="0" w:color="auto"/>
              <w:right w:val="single" w:sz="4" w:space="0" w:color="auto"/>
            </w:tcBorders>
            <w:shd w:val="clear" w:color="auto" w:fill="auto"/>
            <w:noWrap/>
            <w:vAlign w:val="center"/>
            <w:hideMark/>
          </w:tcPr>
          <w:p w14:paraId="55F36E1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1.665</w:t>
            </w:r>
          </w:p>
        </w:tc>
        <w:tc>
          <w:tcPr>
            <w:tcW w:w="746" w:type="dxa"/>
            <w:tcBorders>
              <w:top w:val="nil"/>
              <w:left w:val="nil"/>
              <w:bottom w:val="single" w:sz="4" w:space="0" w:color="auto"/>
              <w:right w:val="single" w:sz="4" w:space="0" w:color="auto"/>
            </w:tcBorders>
            <w:shd w:val="clear" w:color="auto" w:fill="auto"/>
            <w:noWrap/>
            <w:vAlign w:val="center"/>
            <w:hideMark/>
          </w:tcPr>
          <w:p w14:paraId="76D32412"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1.815</w:t>
            </w:r>
          </w:p>
        </w:tc>
        <w:tc>
          <w:tcPr>
            <w:tcW w:w="746" w:type="dxa"/>
            <w:tcBorders>
              <w:top w:val="nil"/>
              <w:left w:val="nil"/>
              <w:bottom w:val="single" w:sz="4" w:space="0" w:color="auto"/>
              <w:right w:val="single" w:sz="4" w:space="0" w:color="auto"/>
            </w:tcBorders>
            <w:shd w:val="clear" w:color="auto" w:fill="auto"/>
            <w:noWrap/>
            <w:vAlign w:val="center"/>
            <w:hideMark/>
          </w:tcPr>
          <w:p w14:paraId="1D1BBDD4"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2.064</w:t>
            </w:r>
          </w:p>
        </w:tc>
        <w:tc>
          <w:tcPr>
            <w:tcW w:w="803" w:type="dxa"/>
            <w:tcBorders>
              <w:top w:val="nil"/>
              <w:left w:val="nil"/>
              <w:bottom w:val="single" w:sz="4" w:space="0" w:color="auto"/>
              <w:right w:val="single" w:sz="4" w:space="0" w:color="auto"/>
            </w:tcBorders>
            <w:shd w:val="clear" w:color="auto" w:fill="auto"/>
            <w:noWrap/>
            <w:vAlign w:val="center"/>
            <w:hideMark/>
          </w:tcPr>
          <w:p w14:paraId="4C4E281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0,44</w:t>
            </w:r>
          </w:p>
        </w:tc>
        <w:tc>
          <w:tcPr>
            <w:tcW w:w="803" w:type="dxa"/>
            <w:tcBorders>
              <w:top w:val="nil"/>
              <w:left w:val="nil"/>
              <w:bottom w:val="single" w:sz="4" w:space="0" w:color="auto"/>
              <w:right w:val="single" w:sz="4" w:space="0" w:color="auto"/>
            </w:tcBorders>
            <w:shd w:val="clear" w:color="auto" w:fill="auto"/>
            <w:noWrap/>
            <w:vAlign w:val="center"/>
            <w:hideMark/>
          </w:tcPr>
          <w:p w14:paraId="6D64A51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0,50</w:t>
            </w:r>
          </w:p>
        </w:tc>
        <w:tc>
          <w:tcPr>
            <w:tcW w:w="1415" w:type="dxa"/>
            <w:tcBorders>
              <w:top w:val="nil"/>
              <w:left w:val="nil"/>
              <w:bottom w:val="single" w:sz="4" w:space="0" w:color="auto"/>
              <w:right w:val="single" w:sz="4" w:space="0" w:color="auto"/>
            </w:tcBorders>
            <w:shd w:val="clear" w:color="auto" w:fill="auto"/>
            <w:noWrap/>
            <w:vAlign w:val="center"/>
            <w:hideMark/>
          </w:tcPr>
          <w:p w14:paraId="491D452F"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0,54</w:t>
            </w:r>
          </w:p>
        </w:tc>
      </w:tr>
      <w:tr w:rsidR="00617C3E" w:rsidRPr="00617C3E" w14:paraId="4C9011ED"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61A440E8"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izvajanje praktičnega dela v strokovnem izobraževanju</w:t>
            </w:r>
          </w:p>
        </w:tc>
        <w:tc>
          <w:tcPr>
            <w:tcW w:w="747" w:type="dxa"/>
            <w:tcBorders>
              <w:top w:val="nil"/>
              <w:left w:val="nil"/>
              <w:bottom w:val="single" w:sz="4" w:space="0" w:color="auto"/>
              <w:right w:val="single" w:sz="4" w:space="0" w:color="auto"/>
            </w:tcBorders>
            <w:shd w:val="clear" w:color="auto" w:fill="auto"/>
            <w:noWrap/>
            <w:vAlign w:val="center"/>
            <w:hideMark/>
          </w:tcPr>
          <w:p w14:paraId="755AE84F"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794</w:t>
            </w:r>
          </w:p>
        </w:tc>
        <w:tc>
          <w:tcPr>
            <w:tcW w:w="746" w:type="dxa"/>
            <w:tcBorders>
              <w:top w:val="nil"/>
              <w:left w:val="nil"/>
              <w:bottom w:val="single" w:sz="4" w:space="0" w:color="auto"/>
              <w:right w:val="single" w:sz="4" w:space="0" w:color="auto"/>
            </w:tcBorders>
            <w:shd w:val="clear" w:color="auto" w:fill="auto"/>
            <w:noWrap/>
            <w:vAlign w:val="center"/>
            <w:hideMark/>
          </w:tcPr>
          <w:p w14:paraId="3B8F225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882</w:t>
            </w:r>
          </w:p>
        </w:tc>
        <w:tc>
          <w:tcPr>
            <w:tcW w:w="746" w:type="dxa"/>
            <w:tcBorders>
              <w:top w:val="nil"/>
              <w:left w:val="nil"/>
              <w:bottom w:val="single" w:sz="4" w:space="0" w:color="auto"/>
              <w:right w:val="single" w:sz="4" w:space="0" w:color="auto"/>
            </w:tcBorders>
            <w:shd w:val="clear" w:color="auto" w:fill="auto"/>
            <w:noWrap/>
            <w:vAlign w:val="center"/>
            <w:hideMark/>
          </w:tcPr>
          <w:p w14:paraId="7D258FB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948</w:t>
            </w:r>
          </w:p>
        </w:tc>
        <w:tc>
          <w:tcPr>
            <w:tcW w:w="803" w:type="dxa"/>
            <w:tcBorders>
              <w:top w:val="nil"/>
              <w:left w:val="nil"/>
              <w:bottom w:val="single" w:sz="4" w:space="0" w:color="auto"/>
              <w:right w:val="single" w:sz="4" w:space="0" w:color="auto"/>
            </w:tcBorders>
            <w:shd w:val="clear" w:color="auto" w:fill="auto"/>
            <w:noWrap/>
            <w:vAlign w:val="center"/>
            <w:hideMark/>
          </w:tcPr>
          <w:p w14:paraId="25074217"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0,25</w:t>
            </w:r>
          </w:p>
        </w:tc>
        <w:tc>
          <w:tcPr>
            <w:tcW w:w="803" w:type="dxa"/>
            <w:tcBorders>
              <w:top w:val="nil"/>
              <w:left w:val="nil"/>
              <w:bottom w:val="single" w:sz="4" w:space="0" w:color="auto"/>
              <w:right w:val="single" w:sz="4" w:space="0" w:color="auto"/>
            </w:tcBorders>
            <w:shd w:val="clear" w:color="auto" w:fill="auto"/>
            <w:noWrap/>
            <w:vAlign w:val="center"/>
            <w:hideMark/>
          </w:tcPr>
          <w:p w14:paraId="227F2155"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0,31</w:t>
            </w:r>
          </w:p>
        </w:tc>
        <w:tc>
          <w:tcPr>
            <w:tcW w:w="1415" w:type="dxa"/>
            <w:tcBorders>
              <w:top w:val="nil"/>
              <w:left w:val="nil"/>
              <w:bottom w:val="single" w:sz="4" w:space="0" w:color="auto"/>
              <w:right w:val="single" w:sz="4" w:space="0" w:color="auto"/>
            </w:tcBorders>
            <w:shd w:val="clear" w:color="auto" w:fill="auto"/>
            <w:noWrap/>
            <w:vAlign w:val="center"/>
            <w:hideMark/>
          </w:tcPr>
          <w:p w14:paraId="022E7D7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0,34</w:t>
            </w:r>
          </w:p>
        </w:tc>
      </w:tr>
      <w:tr w:rsidR="00617C3E" w:rsidRPr="00617C3E" w14:paraId="6FA255A1"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E0C86D1"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zaposlovanje po 5. členu ZRPPR1015</w:t>
            </w:r>
          </w:p>
        </w:tc>
        <w:tc>
          <w:tcPr>
            <w:tcW w:w="747" w:type="dxa"/>
            <w:tcBorders>
              <w:top w:val="nil"/>
              <w:left w:val="nil"/>
              <w:bottom w:val="single" w:sz="4" w:space="0" w:color="auto"/>
              <w:right w:val="single" w:sz="4" w:space="0" w:color="auto"/>
            </w:tcBorders>
            <w:shd w:val="clear" w:color="auto" w:fill="auto"/>
            <w:noWrap/>
            <w:vAlign w:val="center"/>
            <w:hideMark/>
          </w:tcPr>
          <w:p w14:paraId="519CE8F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70</w:t>
            </w:r>
          </w:p>
        </w:tc>
        <w:tc>
          <w:tcPr>
            <w:tcW w:w="746" w:type="dxa"/>
            <w:tcBorders>
              <w:top w:val="nil"/>
              <w:left w:val="nil"/>
              <w:bottom w:val="single" w:sz="4" w:space="0" w:color="auto"/>
              <w:right w:val="single" w:sz="4" w:space="0" w:color="auto"/>
            </w:tcBorders>
            <w:shd w:val="clear" w:color="auto" w:fill="auto"/>
            <w:noWrap/>
            <w:vAlign w:val="center"/>
            <w:hideMark/>
          </w:tcPr>
          <w:p w14:paraId="0BA28BA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73</w:t>
            </w:r>
          </w:p>
        </w:tc>
        <w:tc>
          <w:tcPr>
            <w:tcW w:w="746" w:type="dxa"/>
            <w:tcBorders>
              <w:top w:val="nil"/>
              <w:left w:val="nil"/>
              <w:bottom w:val="single" w:sz="4" w:space="0" w:color="auto"/>
              <w:right w:val="single" w:sz="4" w:space="0" w:color="auto"/>
            </w:tcBorders>
            <w:shd w:val="clear" w:color="auto" w:fill="auto"/>
            <w:noWrap/>
            <w:vAlign w:val="center"/>
            <w:hideMark/>
          </w:tcPr>
          <w:p w14:paraId="75D33391"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81</w:t>
            </w:r>
          </w:p>
        </w:tc>
        <w:tc>
          <w:tcPr>
            <w:tcW w:w="803" w:type="dxa"/>
            <w:tcBorders>
              <w:top w:val="nil"/>
              <w:left w:val="nil"/>
              <w:bottom w:val="single" w:sz="4" w:space="0" w:color="auto"/>
              <w:right w:val="single" w:sz="4" w:space="0" w:color="auto"/>
            </w:tcBorders>
            <w:shd w:val="clear" w:color="auto" w:fill="auto"/>
            <w:noWrap/>
            <w:vAlign w:val="center"/>
            <w:hideMark/>
          </w:tcPr>
          <w:p w14:paraId="426E3597"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0,19</w:t>
            </w:r>
          </w:p>
        </w:tc>
        <w:tc>
          <w:tcPr>
            <w:tcW w:w="803" w:type="dxa"/>
            <w:tcBorders>
              <w:top w:val="nil"/>
              <w:left w:val="nil"/>
              <w:bottom w:val="single" w:sz="4" w:space="0" w:color="auto"/>
              <w:right w:val="single" w:sz="4" w:space="0" w:color="auto"/>
            </w:tcBorders>
            <w:shd w:val="clear" w:color="auto" w:fill="auto"/>
            <w:noWrap/>
            <w:vAlign w:val="center"/>
            <w:hideMark/>
          </w:tcPr>
          <w:p w14:paraId="190ABBB2"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0,20</w:t>
            </w:r>
          </w:p>
        </w:tc>
        <w:tc>
          <w:tcPr>
            <w:tcW w:w="1415" w:type="dxa"/>
            <w:tcBorders>
              <w:top w:val="nil"/>
              <w:left w:val="nil"/>
              <w:bottom w:val="single" w:sz="4" w:space="0" w:color="auto"/>
              <w:right w:val="single" w:sz="4" w:space="0" w:color="auto"/>
            </w:tcBorders>
            <w:shd w:val="clear" w:color="auto" w:fill="auto"/>
            <w:noWrap/>
            <w:vAlign w:val="center"/>
            <w:hideMark/>
          </w:tcPr>
          <w:p w14:paraId="4BCF6D56"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0,22</w:t>
            </w:r>
          </w:p>
        </w:tc>
      </w:tr>
      <w:tr w:rsidR="00617C3E" w:rsidRPr="00617C3E" w14:paraId="01E43CD9"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41BBF614"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zaposlovanje brezposelnih oseb po 55.b členu</w:t>
            </w:r>
          </w:p>
        </w:tc>
        <w:tc>
          <w:tcPr>
            <w:tcW w:w="747" w:type="dxa"/>
            <w:tcBorders>
              <w:top w:val="nil"/>
              <w:left w:val="nil"/>
              <w:bottom w:val="single" w:sz="4" w:space="0" w:color="auto"/>
              <w:right w:val="single" w:sz="4" w:space="0" w:color="auto"/>
            </w:tcBorders>
            <w:shd w:val="clear" w:color="auto" w:fill="auto"/>
            <w:noWrap/>
            <w:vAlign w:val="center"/>
            <w:hideMark/>
          </w:tcPr>
          <w:p w14:paraId="62DC2904"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175</w:t>
            </w:r>
          </w:p>
        </w:tc>
        <w:tc>
          <w:tcPr>
            <w:tcW w:w="746" w:type="dxa"/>
            <w:tcBorders>
              <w:top w:val="nil"/>
              <w:left w:val="nil"/>
              <w:bottom w:val="single" w:sz="4" w:space="0" w:color="auto"/>
              <w:right w:val="single" w:sz="4" w:space="0" w:color="auto"/>
            </w:tcBorders>
            <w:shd w:val="clear" w:color="auto" w:fill="auto"/>
            <w:noWrap/>
            <w:vAlign w:val="center"/>
            <w:hideMark/>
          </w:tcPr>
          <w:p w14:paraId="331E70CB"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184</w:t>
            </w:r>
          </w:p>
        </w:tc>
        <w:tc>
          <w:tcPr>
            <w:tcW w:w="746" w:type="dxa"/>
            <w:tcBorders>
              <w:top w:val="nil"/>
              <w:left w:val="nil"/>
              <w:bottom w:val="single" w:sz="4" w:space="0" w:color="auto"/>
              <w:right w:val="single" w:sz="4" w:space="0" w:color="auto"/>
            </w:tcBorders>
            <w:shd w:val="clear" w:color="auto" w:fill="auto"/>
            <w:noWrap/>
            <w:vAlign w:val="center"/>
            <w:hideMark/>
          </w:tcPr>
          <w:p w14:paraId="31D9FCA1"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196</w:t>
            </w:r>
          </w:p>
        </w:tc>
        <w:tc>
          <w:tcPr>
            <w:tcW w:w="803" w:type="dxa"/>
            <w:tcBorders>
              <w:top w:val="nil"/>
              <w:left w:val="nil"/>
              <w:bottom w:val="single" w:sz="4" w:space="0" w:color="auto"/>
              <w:right w:val="single" w:sz="4" w:space="0" w:color="auto"/>
            </w:tcBorders>
            <w:shd w:val="clear" w:color="auto" w:fill="auto"/>
            <w:noWrap/>
            <w:vAlign w:val="center"/>
            <w:hideMark/>
          </w:tcPr>
          <w:p w14:paraId="12BD810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0,15</w:t>
            </w:r>
          </w:p>
        </w:tc>
        <w:tc>
          <w:tcPr>
            <w:tcW w:w="803" w:type="dxa"/>
            <w:tcBorders>
              <w:top w:val="nil"/>
              <w:left w:val="nil"/>
              <w:bottom w:val="single" w:sz="4" w:space="0" w:color="auto"/>
              <w:right w:val="single" w:sz="4" w:space="0" w:color="auto"/>
            </w:tcBorders>
            <w:shd w:val="clear" w:color="auto" w:fill="auto"/>
            <w:noWrap/>
            <w:vAlign w:val="center"/>
            <w:hideMark/>
          </w:tcPr>
          <w:p w14:paraId="0B0AFF6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0,17</w:t>
            </w:r>
          </w:p>
        </w:tc>
        <w:tc>
          <w:tcPr>
            <w:tcW w:w="1415" w:type="dxa"/>
            <w:tcBorders>
              <w:top w:val="nil"/>
              <w:left w:val="nil"/>
              <w:bottom w:val="single" w:sz="4" w:space="0" w:color="auto"/>
              <w:right w:val="single" w:sz="4" w:space="0" w:color="auto"/>
            </w:tcBorders>
            <w:shd w:val="clear" w:color="auto" w:fill="auto"/>
            <w:noWrap/>
            <w:vAlign w:val="center"/>
            <w:hideMark/>
          </w:tcPr>
          <w:p w14:paraId="3FF3AA97"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0,18</w:t>
            </w:r>
          </w:p>
        </w:tc>
      </w:tr>
      <w:tr w:rsidR="00617C3E" w:rsidRPr="00617C3E" w14:paraId="63ACDF7B"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2BFF0A14"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Olajšava za pripadajoči znesek dobička, ki se izplača delavcem</w:t>
            </w:r>
          </w:p>
        </w:tc>
        <w:tc>
          <w:tcPr>
            <w:tcW w:w="747" w:type="dxa"/>
            <w:tcBorders>
              <w:top w:val="nil"/>
              <w:left w:val="nil"/>
              <w:bottom w:val="single" w:sz="4" w:space="0" w:color="auto"/>
              <w:right w:val="single" w:sz="4" w:space="0" w:color="auto"/>
            </w:tcBorders>
            <w:shd w:val="clear" w:color="auto" w:fill="auto"/>
            <w:noWrap/>
            <w:vAlign w:val="center"/>
            <w:hideMark/>
          </w:tcPr>
          <w:p w14:paraId="7232726A"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11</w:t>
            </w:r>
          </w:p>
        </w:tc>
        <w:tc>
          <w:tcPr>
            <w:tcW w:w="746" w:type="dxa"/>
            <w:tcBorders>
              <w:top w:val="nil"/>
              <w:left w:val="nil"/>
              <w:bottom w:val="single" w:sz="4" w:space="0" w:color="auto"/>
              <w:right w:val="single" w:sz="4" w:space="0" w:color="auto"/>
            </w:tcBorders>
            <w:shd w:val="clear" w:color="auto" w:fill="auto"/>
            <w:noWrap/>
            <w:vAlign w:val="center"/>
            <w:hideMark/>
          </w:tcPr>
          <w:p w14:paraId="145C327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9</w:t>
            </w:r>
          </w:p>
        </w:tc>
        <w:tc>
          <w:tcPr>
            <w:tcW w:w="746" w:type="dxa"/>
            <w:tcBorders>
              <w:top w:val="nil"/>
              <w:left w:val="nil"/>
              <w:bottom w:val="single" w:sz="4" w:space="0" w:color="auto"/>
              <w:right w:val="single" w:sz="4" w:space="0" w:color="auto"/>
            </w:tcBorders>
            <w:shd w:val="clear" w:color="auto" w:fill="auto"/>
            <w:noWrap/>
            <w:vAlign w:val="center"/>
            <w:hideMark/>
          </w:tcPr>
          <w:p w14:paraId="3009A121"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12</w:t>
            </w:r>
          </w:p>
        </w:tc>
        <w:tc>
          <w:tcPr>
            <w:tcW w:w="803" w:type="dxa"/>
            <w:tcBorders>
              <w:top w:val="nil"/>
              <w:left w:val="nil"/>
              <w:bottom w:val="single" w:sz="4" w:space="0" w:color="auto"/>
              <w:right w:val="single" w:sz="4" w:space="0" w:color="auto"/>
            </w:tcBorders>
            <w:shd w:val="clear" w:color="auto" w:fill="auto"/>
            <w:noWrap/>
            <w:vAlign w:val="center"/>
            <w:hideMark/>
          </w:tcPr>
          <w:p w14:paraId="7C773FE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0,09</w:t>
            </w:r>
          </w:p>
        </w:tc>
        <w:tc>
          <w:tcPr>
            <w:tcW w:w="803" w:type="dxa"/>
            <w:tcBorders>
              <w:top w:val="nil"/>
              <w:left w:val="nil"/>
              <w:bottom w:val="single" w:sz="4" w:space="0" w:color="auto"/>
              <w:right w:val="single" w:sz="4" w:space="0" w:color="auto"/>
            </w:tcBorders>
            <w:shd w:val="clear" w:color="auto" w:fill="auto"/>
            <w:noWrap/>
            <w:vAlign w:val="center"/>
            <w:hideMark/>
          </w:tcPr>
          <w:p w14:paraId="05DBAE15"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0,13</w:t>
            </w:r>
          </w:p>
        </w:tc>
        <w:tc>
          <w:tcPr>
            <w:tcW w:w="1415" w:type="dxa"/>
            <w:tcBorders>
              <w:top w:val="nil"/>
              <w:left w:val="nil"/>
              <w:bottom w:val="single" w:sz="4" w:space="0" w:color="auto"/>
              <w:right w:val="single" w:sz="4" w:space="0" w:color="auto"/>
            </w:tcBorders>
            <w:shd w:val="clear" w:color="auto" w:fill="auto"/>
            <w:noWrap/>
            <w:vAlign w:val="center"/>
            <w:hideMark/>
          </w:tcPr>
          <w:p w14:paraId="57B2066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0,14</w:t>
            </w:r>
          </w:p>
        </w:tc>
      </w:tr>
      <w:tr w:rsidR="00617C3E" w:rsidRPr="00617C3E" w14:paraId="76D82418" w14:textId="77777777" w:rsidTr="00AC13E9">
        <w:trPr>
          <w:trHeight w:val="48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7A065CC1"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Zmanjšanje davčne osnove za prejete obresti od kratk. in dolg. vr. pap. RS in občin</w:t>
            </w:r>
          </w:p>
        </w:tc>
        <w:tc>
          <w:tcPr>
            <w:tcW w:w="747" w:type="dxa"/>
            <w:tcBorders>
              <w:top w:val="nil"/>
              <w:left w:val="nil"/>
              <w:bottom w:val="single" w:sz="4" w:space="0" w:color="auto"/>
              <w:right w:val="single" w:sz="4" w:space="0" w:color="auto"/>
            </w:tcBorders>
            <w:shd w:val="clear" w:color="auto" w:fill="auto"/>
            <w:noWrap/>
            <w:vAlign w:val="center"/>
            <w:hideMark/>
          </w:tcPr>
          <w:p w14:paraId="6121479B"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42</w:t>
            </w:r>
          </w:p>
        </w:tc>
        <w:tc>
          <w:tcPr>
            <w:tcW w:w="746" w:type="dxa"/>
            <w:tcBorders>
              <w:top w:val="nil"/>
              <w:left w:val="nil"/>
              <w:bottom w:val="single" w:sz="4" w:space="0" w:color="auto"/>
              <w:right w:val="single" w:sz="4" w:space="0" w:color="auto"/>
            </w:tcBorders>
            <w:shd w:val="clear" w:color="auto" w:fill="auto"/>
            <w:noWrap/>
            <w:vAlign w:val="center"/>
            <w:hideMark/>
          </w:tcPr>
          <w:p w14:paraId="54C4E9F0"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13</w:t>
            </w:r>
          </w:p>
        </w:tc>
        <w:tc>
          <w:tcPr>
            <w:tcW w:w="746" w:type="dxa"/>
            <w:tcBorders>
              <w:top w:val="nil"/>
              <w:left w:val="nil"/>
              <w:bottom w:val="single" w:sz="4" w:space="0" w:color="auto"/>
              <w:right w:val="single" w:sz="4" w:space="0" w:color="auto"/>
            </w:tcBorders>
            <w:shd w:val="clear" w:color="auto" w:fill="auto"/>
            <w:noWrap/>
            <w:vAlign w:val="center"/>
            <w:hideMark/>
          </w:tcPr>
          <w:p w14:paraId="214F73DB"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2</w:t>
            </w:r>
          </w:p>
        </w:tc>
        <w:tc>
          <w:tcPr>
            <w:tcW w:w="803" w:type="dxa"/>
            <w:tcBorders>
              <w:top w:val="nil"/>
              <w:left w:val="nil"/>
              <w:bottom w:val="single" w:sz="4" w:space="0" w:color="auto"/>
              <w:right w:val="single" w:sz="4" w:space="0" w:color="auto"/>
            </w:tcBorders>
            <w:shd w:val="clear" w:color="auto" w:fill="auto"/>
            <w:noWrap/>
            <w:vAlign w:val="center"/>
            <w:hideMark/>
          </w:tcPr>
          <w:p w14:paraId="001C5FF8"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c>
          <w:tcPr>
            <w:tcW w:w="803" w:type="dxa"/>
            <w:tcBorders>
              <w:top w:val="nil"/>
              <w:left w:val="nil"/>
              <w:bottom w:val="single" w:sz="4" w:space="0" w:color="auto"/>
              <w:right w:val="single" w:sz="4" w:space="0" w:color="auto"/>
            </w:tcBorders>
            <w:shd w:val="clear" w:color="auto" w:fill="auto"/>
            <w:noWrap/>
            <w:vAlign w:val="center"/>
            <w:hideMark/>
          </w:tcPr>
          <w:p w14:paraId="5B9A648A"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0,06</w:t>
            </w:r>
          </w:p>
        </w:tc>
        <w:tc>
          <w:tcPr>
            <w:tcW w:w="1415" w:type="dxa"/>
            <w:tcBorders>
              <w:top w:val="nil"/>
              <w:left w:val="nil"/>
              <w:bottom w:val="single" w:sz="4" w:space="0" w:color="auto"/>
              <w:right w:val="single" w:sz="4" w:space="0" w:color="auto"/>
            </w:tcBorders>
            <w:shd w:val="clear" w:color="auto" w:fill="auto"/>
            <w:noWrap/>
            <w:vAlign w:val="center"/>
            <w:hideMark/>
          </w:tcPr>
          <w:p w14:paraId="4D0FEBDC"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r>
      <w:tr w:rsidR="00617C3E" w:rsidRPr="00617C3E" w14:paraId="683ED750" w14:textId="77777777" w:rsidTr="00AC13E9">
        <w:trPr>
          <w:trHeight w:val="285"/>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5CEDB05E"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Izplačila političnim strankam</w:t>
            </w:r>
          </w:p>
        </w:tc>
        <w:tc>
          <w:tcPr>
            <w:tcW w:w="747" w:type="dxa"/>
            <w:tcBorders>
              <w:top w:val="nil"/>
              <w:left w:val="nil"/>
              <w:bottom w:val="single" w:sz="4" w:space="0" w:color="auto"/>
              <w:right w:val="single" w:sz="4" w:space="0" w:color="auto"/>
            </w:tcBorders>
            <w:shd w:val="clear" w:color="auto" w:fill="auto"/>
            <w:noWrap/>
            <w:vAlign w:val="center"/>
            <w:hideMark/>
          </w:tcPr>
          <w:p w14:paraId="2593E589"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w:t>
            </w:r>
          </w:p>
        </w:tc>
        <w:tc>
          <w:tcPr>
            <w:tcW w:w="746" w:type="dxa"/>
            <w:tcBorders>
              <w:top w:val="nil"/>
              <w:left w:val="nil"/>
              <w:bottom w:val="single" w:sz="4" w:space="0" w:color="auto"/>
              <w:right w:val="single" w:sz="4" w:space="0" w:color="auto"/>
            </w:tcBorders>
            <w:shd w:val="clear" w:color="auto" w:fill="auto"/>
            <w:noWrap/>
            <w:vAlign w:val="center"/>
            <w:hideMark/>
          </w:tcPr>
          <w:p w14:paraId="35D97503"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w:t>
            </w:r>
          </w:p>
        </w:tc>
        <w:tc>
          <w:tcPr>
            <w:tcW w:w="746" w:type="dxa"/>
            <w:tcBorders>
              <w:top w:val="nil"/>
              <w:left w:val="nil"/>
              <w:bottom w:val="single" w:sz="4" w:space="0" w:color="auto"/>
              <w:right w:val="single" w:sz="4" w:space="0" w:color="auto"/>
            </w:tcBorders>
            <w:shd w:val="clear" w:color="auto" w:fill="auto"/>
            <w:noWrap/>
            <w:vAlign w:val="center"/>
            <w:hideMark/>
          </w:tcPr>
          <w:p w14:paraId="726ACF6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w:t>
            </w:r>
          </w:p>
        </w:tc>
        <w:tc>
          <w:tcPr>
            <w:tcW w:w="803" w:type="dxa"/>
            <w:tcBorders>
              <w:top w:val="nil"/>
              <w:left w:val="nil"/>
              <w:bottom w:val="single" w:sz="4" w:space="0" w:color="auto"/>
              <w:right w:val="single" w:sz="4" w:space="0" w:color="auto"/>
            </w:tcBorders>
            <w:shd w:val="clear" w:color="auto" w:fill="auto"/>
            <w:noWrap/>
            <w:vAlign w:val="center"/>
            <w:hideMark/>
          </w:tcPr>
          <w:p w14:paraId="06A4728D"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c>
          <w:tcPr>
            <w:tcW w:w="803" w:type="dxa"/>
            <w:tcBorders>
              <w:top w:val="nil"/>
              <w:left w:val="nil"/>
              <w:bottom w:val="single" w:sz="4" w:space="0" w:color="auto"/>
              <w:right w:val="single" w:sz="4" w:space="0" w:color="auto"/>
            </w:tcBorders>
            <w:shd w:val="clear" w:color="auto" w:fill="auto"/>
            <w:noWrap/>
            <w:vAlign w:val="center"/>
            <w:hideMark/>
          </w:tcPr>
          <w:p w14:paraId="6DCB38B4"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c>
          <w:tcPr>
            <w:tcW w:w="1415" w:type="dxa"/>
            <w:tcBorders>
              <w:top w:val="nil"/>
              <w:left w:val="nil"/>
              <w:bottom w:val="single" w:sz="4" w:space="0" w:color="auto"/>
              <w:right w:val="single" w:sz="4" w:space="0" w:color="auto"/>
            </w:tcBorders>
            <w:shd w:val="clear" w:color="auto" w:fill="auto"/>
            <w:noWrap/>
            <w:vAlign w:val="center"/>
            <w:hideMark/>
          </w:tcPr>
          <w:p w14:paraId="284B350C" w14:textId="77777777" w:rsidR="00617C3E" w:rsidRPr="00617C3E" w:rsidRDefault="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r>
      <w:tr w:rsidR="00617C3E" w:rsidRPr="00617C3E" w14:paraId="7CCD457F" w14:textId="77777777" w:rsidTr="00AC13E9">
        <w:trPr>
          <w:trHeight w:val="300"/>
        </w:trPr>
        <w:tc>
          <w:tcPr>
            <w:tcW w:w="3805" w:type="dxa"/>
            <w:tcBorders>
              <w:top w:val="nil"/>
              <w:left w:val="single" w:sz="4" w:space="0" w:color="auto"/>
              <w:bottom w:val="single" w:sz="4" w:space="0" w:color="auto"/>
              <w:right w:val="single" w:sz="4" w:space="0" w:color="auto"/>
            </w:tcBorders>
            <w:shd w:val="clear" w:color="auto" w:fill="auto"/>
            <w:vAlign w:val="center"/>
            <w:hideMark/>
          </w:tcPr>
          <w:p w14:paraId="6C872BDD" w14:textId="77777777" w:rsidR="00617C3E" w:rsidRPr="00617C3E" w:rsidRDefault="00617C3E">
            <w:pPr>
              <w:spacing w:after="0" w:line="240" w:lineRule="auto"/>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Shema davka na tonažo</w:t>
            </w:r>
          </w:p>
        </w:tc>
        <w:tc>
          <w:tcPr>
            <w:tcW w:w="747" w:type="dxa"/>
            <w:tcBorders>
              <w:top w:val="nil"/>
              <w:left w:val="nil"/>
              <w:bottom w:val="single" w:sz="4" w:space="0" w:color="auto"/>
              <w:right w:val="single" w:sz="4" w:space="0" w:color="auto"/>
            </w:tcBorders>
            <w:shd w:val="clear" w:color="auto" w:fill="auto"/>
            <w:noWrap/>
            <w:vAlign w:val="bottom"/>
            <w:hideMark/>
          </w:tcPr>
          <w:p w14:paraId="18AAB267"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w:t>
            </w:r>
          </w:p>
        </w:tc>
        <w:tc>
          <w:tcPr>
            <w:tcW w:w="746" w:type="dxa"/>
            <w:tcBorders>
              <w:top w:val="nil"/>
              <w:left w:val="nil"/>
              <w:bottom w:val="single" w:sz="4" w:space="0" w:color="auto"/>
              <w:right w:val="single" w:sz="4" w:space="0" w:color="auto"/>
            </w:tcBorders>
            <w:shd w:val="clear" w:color="auto" w:fill="auto"/>
            <w:noWrap/>
            <w:vAlign w:val="bottom"/>
            <w:hideMark/>
          </w:tcPr>
          <w:p w14:paraId="678AC94C"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w:t>
            </w:r>
          </w:p>
        </w:tc>
        <w:tc>
          <w:tcPr>
            <w:tcW w:w="746" w:type="dxa"/>
            <w:tcBorders>
              <w:top w:val="nil"/>
              <w:left w:val="nil"/>
              <w:bottom w:val="single" w:sz="4" w:space="0" w:color="auto"/>
              <w:right w:val="single" w:sz="4" w:space="0" w:color="auto"/>
            </w:tcBorders>
            <w:shd w:val="clear" w:color="auto" w:fill="auto"/>
            <w:noWrap/>
            <w:vAlign w:val="bottom"/>
            <w:hideMark/>
          </w:tcPr>
          <w:p w14:paraId="52594512"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1</w:t>
            </w:r>
          </w:p>
        </w:tc>
        <w:tc>
          <w:tcPr>
            <w:tcW w:w="803" w:type="dxa"/>
            <w:tcBorders>
              <w:top w:val="nil"/>
              <w:left w:val="nil"/>
              <w:bottom w:val="single" w:sz="4" w:space="0" w:color="auto"/>
              <w:right w:val="single" w:sz="4" w:space="0" w:color="auto"/>
            </w:tcBorders>
            <w:shd w:val="clear" w:color="auto" w:fill="auto"/>
            <w:noWrap/>
            <w:vAlign w:val="bottom"/>
            <w:hideMark/>
          </w:tcPr>
          <w:p w14:paraId="45BBA2EC"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c>
          <w:tcPr>
            <w:tcW w:w="803" w:type="dxa"/>
            <w:tcBorders>
              <w:top w:val="nil"/>
              <w:left w:val="nil"/>
              <w:bottom w:val="single" w:sz="4" w:space="0" w:color="auto"/>
              <w:right w:val="single" w:sz="4" w:space="0" w:color="auto"/>
            </w:tcBorders>
            <w:shd w:val="clear" w:color="auto" w:fill="auto"/>
            <w:noWrap/>
            <w:vAlign w:val="bottom"/>
            <w:hideMark/>
          </w:tcPr>
          <w:p w14:paraId="4A661A57"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c>
          <w:tcPr>
            <w:tcW w:w="1415" w:type="dxa"/>
            <w:tcBorders>
              <w:top w:val="nil"/>
              <w:left w:val="nil"/>
              <w:bottom w:val="single" w:sz="4" w:space="0" w:color="auto"/>
              <w:right w:val="single" w:sz="4" w:space="0" w:color="auto"/>
            </w:tcBorders>
            <w:shd w:val="clear" w:color="auto" w:fill="auto"/>
            <w:noWrap/>
            <w:vAlign w:val="bottom"/>
            <w:hideMark/>
          </w:tcPr>
          <w:p w14:paraId="4A0D56F1" w14:textId="77777777" w:rsidR="00617C3E" w:rsidRPr="00617C3E" w:rsidRDefault="00617C3E" w:rsidP="00617C3E">
            <w:pPr>
              <w:spacing w:after="0" w:line="240" w:lineRule="auto"/>
              <w:jc w:val="right"/>
              <w:rPr>
                <w:rFonts w:ascii="Arial" w:eastAsia="Times New Roman" w:hAnsi="Arial" w:cs="Arial"/>
                <w:color w:val="000000"/>
                <w:sz w:val="18"/>
                <w:szCs w:val="18"/>
                <w:lang w:eastAsia="sl-SI"/>
              </w:rPr>
            </w:pPr>
            <w:r w:rsidRPr="00617C3E">
              <w:rPr>
                <w:rFonts w:ascii="Arial" w:eastAsia="Times New Roman" w:hAnsi="Arial" w:cs="Arial"/>
                <w:color w:val="000000"/>
                <w:sz w:val="18"/>
                <w:szCs w:val="18"/>
                <w:lang w:eastAsia="sl-SI"/>
              </w:rPr>
              <w:t>0,00</w:t>
            </w:r>
          </w:p>
        </w:tc>
      </w:tr>
      <w:tr w:rsidR="00617C3E" w:rsidRPr="00617C3E" w14:paraId="2D037701" w14:textId="77777777" w:rsidTr="00AC13E9">
        <w:trPr>
          <w:trHeight w:val="300"/>
        </w:trPr>
        <w:tc>
          <w:tcPr>
            <w:tcW w:w="3805" w:type="dxa"/>
            <w:tcBorders>
              <w:top w:val="double" w:sz="6" w:space="0" w:color="auto"/>
              <w:left w:val="single" w:sz="4" w:space="0" w:color="auto"/>
              <w:bottom w:val="single" w:sz="4" w:space="0" w:color="auto"/>
              <w:right w:val="single" w:sz="4" w:space="0" w:color="auto"/>
            </w:tcBorders>
            <w:shd w:val="clear" w:color="000000" w:fill="FFC000"/>
            <w:noWrap/>
            <w:vAlign w:val="center"/>
            <w:hideMark/>
          </w:tcPr>
          <w:p w14:paraId="69F01331" w14:textId="77777777" w:rsidR="00617C3E" w:rsidRPr="00617C3E" w:rsidRDefault="00617C3E" w:rsidP="00617C3E">
            <w:pPr>
              <w:spacing w:after="0" w:line="240" w:lineRule="auto"/>
              <w:rPr>
                <w:rFonts w:ascii="Arial" w:eastAsia="Times New Roman" w:hAnsi="Arial" w:cs="Arial"/>
                <w:b/>
                <w:bCs/>
                <w:sz w:val="18"/>
                <w:szCs w:val="18"/>
                <w:lang w:eastAsia="sl-SI"/>
              </w:rPr>
            </w:pPr>
            <w:r w:rsidRPr="00617C3E">
              <w:rPr>
                <w:rFonts w:ascii="Arial" w:eastAsia="Times New Roman" w:hAnsi="Arial" w:cs="Arial"/>
                <w:b/>
                <w:bCs/>
                <w:sz w:val="18"/>
                <w:szCs w:val="18"/>
                <w:lang w:eastAsia="sl-SI"/>
              </w:rPr>
              <w:t>SKUPAJ</w:t>
            </w:r>
          </w:p>
        </w:tc>
        <w:tc>
          <w:tcPr>
            <w:tcW w:w="747" w:type="dxa"/>
            <w:tcBorders>
              <w:top w:val="double" w:sz="6" w:space="0" w:color="auto"/>
              <w:left w:val="nil"/>
              <w:bottom w:val="single" w:sz="4" w:space="0" w:color="auto"/>
              <w:right w:val="single" w:sz="4" w:space="0" w:color="auto"/>
            </w:tcBorders>
            <w:shd w:val="clear" w:color="000000" w:fill="FFC000"/>
            <w:noWrap/>
            <w:vAlign w:val="center"/>
          </w:tcPr>
          <w:p w14:paraId="3A1D3AF5" w14:textId="5A176B26" w:rsidR="00617C3E" w:rsidRPr="00617C3E" w:rsidRDefault="00617C3E" w:rsidP="00431565">
            <w:pPr>
              <w:spacing w:after="0" w:line="240" w:lineRule="auto"/>
              <w:jc w:val="right"/>
              <w:rPr>
                <w:rFonts w:ascii="Arial" w:eastAsia="Times New Roman" w:hAnsi="Arial" w:cs="Arial"/>
                <w:b/>
                <w:bCs/>
                <w:sz w:val="18"/>
                <w:szCs w:val="18"/>
                <w:lang w:eastAsia="sl-SI"/>
              </w:rPr>
            </w:pPr>
          </w:p>
        </w:tc>
        <w:tc>
          <w:tcPr>
            <w:tcW w:w="746" w:type="dxa"/>
            <w:tcBorders>
              <w:top w:val="double" w:sz="6" w:space="0" w:color="auto"/>
              <w:left w:val="nil"/>
              <w:bottom w:val="single" w:sz="4" w:space="0" w:color="auto"/>
              <w:right w:val="single" w:sz="4" w:space="0" w:color="auto"/>
            </w:tcBorders>
            <w:shd w:val="clear" w:color="000000" w:fill="FFC000"/>
            <w:noWrap/>
            <w:vAlign w:val="center"/>
          </w:tcPr>
          <w:p w14:paraId="0E6BA206" w14:textId="4F7665EC" w:rsidR="00617C3E" w:rsidRPr="00617C3E" w:rsidRDefault="00617C3E" w:rsidP="00617C3E">
            <w:pPr>
              <w:spacing w:after="0" w:line="240" w:lineRule="auto"/>
              <w:jc w:val="right"/>
              <w:rPr>
                <w:rFonts w:ascii="Arial" w:eastAsia="Times New Roman" w:hAnsi="Arial" w:cs="Arial"/>
                <w:b/>
                <w:bCs/>
                <w:sz w:val="18"/>
                <w:szCs w:val="18"/>
                <w:lang w:eastAsia="sl-SI"/>
              </w:rPr>
            </w:pPr>
          </w:p>
        </w:tc>
        <w:tc>
          <w:tcPr>
            <w:tcW w:w="746" w:type="dxa"/>
            <w:tcBorders>
              <w:top w:val="double" w:sz="6" w:space="0" w:color="auto"/>
              <w:left w:val="nil"/>
              <w:bottom w:val="single" w:sz="4" w:space="0" w:color="auto"/>
              <w:right w:val="single" w:sz="4" w:space="0" w:color="auto"/>
            </w:tcBorders>
            <w:shd w:val="clear" w:color="000000" w:fill="FFC000"/>
            <w:noWrap/>
            <w:vAlign w:val="center"/>
          </w:tcPr>
          <w:p w14:paraId="52336B90" w14:textId="0C30F5C4" w:rsidR="00617C3E" w:rsidRPr="00617C3E" w:rsidRDefault="00617C3E" w:rsidP="00617C3E">
            <w:pPr>
              <w:spacing w:after="0" w:line="240" w:lineRule="auto"/>
              <w:jc w:val="right"/>
              <w:rPr>
                <w:rFonts w:ascii="Arial" w:eastAsia="Times New Roman" w:hAnsi="Arial" w:cs="Arial"/>
                <w:b/>
                <w:bCs/>
                <w:sz w:val="18"/>
                <w:szCs w:val="18"/>
                <w:lang w:eastAsia="sl-SI"/>
              </w:rPr>
            </w:pPr>
          </w:p>
        </w:tc>
        <w:tc>
          <w:tcPr>
            <w:tcW w:w="803" w:type="dxa"/>
            <w:tcBorders>
              <w:top w:val="double" w:sz="6" w:space="0" w:color="auto"/>
              <w:left w:val="nil"/>
              <w:bottom w:val="single" w:sz="4" w:space="0" w:color="auto"/>
              <w:right w:val="single" w:sz="4" w:space="0" w:color="auto"/>
            </w:tcBorders>
            <w:shd w:val="clear" w:color="000000" w:fill="FFC000"/>
            <w:noWrap/>
            <w:vAlign w:val="center"/>
            <w:hideMark/>
          </w:tcPr>
          <w:p w14:paraId="19B253AC" w14:textId="77777777" w:rsidR="00617C3E" w:rsidRPr="00617C3E" w:rsidRDefault="00617C3E" w:rsidP="00617C3E">
            <w:pPr>
              <w:spacing w:after="0" w:line="240" w:lineRule="auto"/>
              <w:jc w:val="right"/>
              <w:rPr>
                <w:rFonts w:ascii="Arial" w:eastAsia="Times New Roman" w:hAnsi="Arial" w:cs="Arial"/>
                <w:b/>
                <w:bCs/>
                <w:sz w:val="18"/>
                <w:szCs w:val="18"/>
                <w:lang w:eastAsia="sl-SI"/>
              </w:rPr>
            </w:pPr>
            <w:r w:rsidRPr="00617C3E">
              <w:rPr>
                <w:rFonts w:ascii="Arial" w:eastAsia="Times New Roman" w:hAnsi="Arial" w:cs="Arial"/>
                <w:b/>
                <w:bCs/>
                <w:sz w:val="18"/>
                <w:szCs w:val="18"/>
                <w:lang w:eastAsia="sl-SI"/>
              </w:rPr>
              <w:t>272,7</w:t>
            </w:r>
          </w:p>
        </w:tc>
        <w:tc>
          <w:tcPr>
            <w:tcW w:w="803" w:type="dxa"/>
            <w:tcBorders>
              <w:top w:val="double" w:sz="6" w:space="0" w:color="auto"/>
              <w:left w:val="nil"/>
              <w:bottom w:val="single" w:sz="4" w:space="0" w:color="auto"/>
              <w:right w:val="single" w:sz="4" w:space="0" w:color="auto"/>
            </w:tcBorders>
            <w:shd w:val="clear" w:color="000000" w:fill="FFC000"/>
            <w:noWrap/>
            <w:vAlign w:val="center"/>
            <w:hideMark/>
          </w:tcPr>
          <w:p w14:paraId="6940B796" w14:textId="77777777" w:rsidR="00617C3E" w:rsidRPr="00617C3E" w:rsidRDefault="00617C3E" w:rsidP="00617C3E">
            <w:pPr>
              <w:spacing w:after="0" w:line="240" w:lineRule="auto"/>
              <w:jc w:val="right"/>
              <w:rPr>
                <w:rFonts w:ascii="Arial" w:eastAsia="Times New Roman" w:hAnsi="Arial" w:cs="Arial"/>
                <w:b/>
                <w:bCs/>
                <w:sz w:val="18"/>
                <w:szCs w:val="18"/>
                <w:lang w:eastAsia="sl-SI"/>
              </w:rPr>
            </w:pPr>
            <w:r w:rsidRPr="00617C3E">
              <w:rPr>
                <w:rFonts w:ascii="Arial" w:eastAsia="Times New Roman" w:hAnsi="Arial" w:cs="Arial"/>
                <w:b/>
                <w:bCs/>
                <w:sz w:val="18"/>
                <w:szCs w:val="18"/>
                <w:lang w:eastAsia="sl-SI"/>
              </w:rPr>
              <w:t>334,9</w:t>
            </w:r>
          </w:p>
        </w:tc>
        <w:tc>
          <w:tcPr>
            <w:tcW w:w="1415" w:type="dxa"/>
            <w:tcBorders>
              <w:top w:val="double" w:sz="6" w:space="0" w:color="auto"/>
              <w:left w:val="nil"/>
              <w:bottom w:val="single" w:sz="4" w:space="0" w:color="auto"/>
              <w:right w:val="single" w:sz="4" w:space="0" w:color="auto"/>
            </w:tcBorders>
            <w:shd w:val="clear" w:color="000000" w:fill="FFC000"/>
            <w:noWrap/>
            <w:vAlign w:val="center"/>
            <w:hideMark/>
          </w:tcPr>
          <w:p w14:paraId="72CFE7FB" w14:textId="77777777" w:rsidR="00617C3E" w:rsidRPr="00617C3E" w:rsidRDefault="00617C3E" w:rsidP="00617C3E">
            <w:pPr>
              <w:spacing w:after="0" w:line="240" w:lineRule="auto"/>
              <w:jc w:val="right"/>
              <w:rPr>
                <w:rFonts w:ascii="Arial" w:eastAsia="Times New Roman" w:hAnsi="Arial" w:cs="Arial"/>
                <w:b/>
                <w:bCs/>
                <w:sz w:val="18"/>
                <w:szCs w:val="18"/>
                <w:lang w:eastAsia="sl-SI"/>
              </w:rPr>
            </w:pPr>
            <w:r w:rsidRPr="00617C3E">
              <w:rPr>
                <w:rFonts w:ascii="Arial" w:eastAsia="Times New Roman" w:hAnsi="Arial" w:cs="Arial"/>
                <w:b/>
                <w:bCs/>
                <w:sz w:val="18"/>
                <w:szCs w:val="18"/>
                <w:lang w:eastAsia="sl-SI"/>
              </w:rPr>
              <w:t>362,0</w:t>
            </w:r>
          </w:p>
        </w:tc>
      </w:tr>
    </w:tbl>
    <w:p w14:paraId="3A7C6926" w14:textId="225281E2" w:rsidR="00281839" w:rsidRPr="00901BB9" w:rsidRDefault="00281839" w:rsidP="00012435">
      <w:pPr>
        <w:spacing w:after="0"/>
        <w:jc w:val="both"/>
        <w:rPr>
          <w:rFonts w:ascii="Arial" w:hAnsi="Arial" w:cs="Arial"/>
          <w:i/>
          <w:sz w:val="18"/>
          <w:szCs w:val="18"/>
        </w:rPr>
      </w:pPr>
      <w:r w:rsidRPr="00901BB9">
        <w:rPr>
          <w:rFonts w:ascii="Arial" w:hAnsi="Arial" w:cs="Arial"/>
          <w:i/>
          <w:sz w:val="18"/>
          <w:szCs w:val="18"/>
        </w:rPr>
        <w:t>Vir: Obračuni DDPO, FURS; lastni preračuni MF</w:t>
      </w:r>
      <w:r w:rsidR="0009189B">
        <w:rPr>
          <w:rFonts w:ascii="Arial" w:hAnsi="Arial" w:cs="Arial"/>
          <w:i/>
          <w:sz w:val="18"/>
          <w:szCs w:val="18"/>
        </w:rPr>
        <w:t>.</w:t>
      </w:r>
    </w:p>
    <w:p w14:paraId="51DAAB06" w14:textId="77777777" w:rsidR="00281839" w:rsidRPr="00901BB9" w:rsidRDefault="00281839">
      <w:pPr>
        <w:pStyle w:val="NoSpacing"/>
        <w:spacing w:line="260" w:lineRule="atLeast"/>
        <w:rPr>
          <w:rFonts w:ascii="Arial" w:hAnsi="Arial" w:cs="Arial"/>
          <w:sz w:val="20"/>
          <w:szCs w:val="20"/>
        </w:rPr>
      </w:pPr>
      <w:r w:rsidRPr="00901BB9">
        <w:rPr>
          <w:rFonts w:ascii="Arial" w:hAnsi="Arial" w:cs="Arial"/>
          <w:sz w:val="20"/>
          <w:szCs w:val="20"/>
        </w:rPr>
        <w:t xml:space="preserve">                                                                                                                                    </w:t>
      </w:r>
    </w:p>
    <w:p w14:paraId="4CDFE550" w14:textId="4368ADE5" w:rsidR="00281839" w:rsidRPr="002921A9" w:rsidRDefault="00281839" w:rsidP="00281839">
      <w:pPr>
        <w:spacing w:after="0" w:line="260" w:lineRule="atLeast"/>
        <w:jc w:val="both"/>
        <w:rPr>
          <w:rFonts w:ascii="Arial" w:hAnsi="Arial" w:cs="Arial"/>
          <w:sz w:val="20"/>
          <w:szCs w:val="20"/>
        </w:rPr>
      </w:pPr>
      <w:r w:rsidRPr="002921A9">
        <w:rPr>
          <w:rFonts w:ascii="Arial" w:hAnsi="Arial" w:cs="Arial"/>
          <w:sz w:val="20"/>
          <w:szCs w:val="20"/>
        </w:rPr>
        <w:t xml:space="preserve">Skupni znesek vseh davčnih </w:t>
      </w:r>
      <w:r>
        <w:rPr>
          <w:rFonts w:ascii="Arial" w:hAnsi="Arial" w:cs="Arial"/>
          <w:sz w:val="20"/>
          <w:szCs w:val="20"/>
        </w:rPr>
        <w:t>izdatkov</w:t>
      </w:r>
      <w:r w:rsidRPr="002921A9">
        <w:rPr>
          <w:rFonts w:ascii="Arial" w:hAnsi="Arial" w:cs="Arial"/>
          <w:sz w:val="20"/>
          <w:szCs w:val="20"/>
        </w:rPr>
        <w:t xml:space="preserve"> za leto 2018 je za </w:t>
      </w:r>
      <w:r w:rsidR="002E3C47">
        <w:rPr>
          <w:rFonts w:ascii="Arial" w:hAnsi="Arial" w:cs="Arial"/>
          <w:sz w:val="20"/>
          <w:szCs w:val="20"/>
        </w:rPr>
        <w:t xml:space="preserve">približno </w:t>
      </w:r>
      <w:r w:rsidRPr="002921A9">
        <w:rPr>
          <w:rFonts w:ascii="Arial" w:hAnsi="Arial" w:cs="Arial"/>
          <w:sz w:val="20"/>
          <w:szCs w:val="20"/>
        </w:rPr>
        <w:t>100 mio evrov višji k</w:t>
      </w:r>
      <w:r w:rsidR="0009189B">
        <w:rPr>
          <w:rFonts w:ascii="Arial" w:hAnsi="Arial" w:cs="Arial"/>
          <w:sz w:val="20"/>
          <w:szCs w:val="20"/>
        </w:rPr>
        <w:t>akor</w:t>
      </w:r>
      <w:r w:rsidRPr="002921A9">
        <w:rPr>
          <w:rFonts w:ascii="Arial" w:hAnsi="Arial" w:cs="Arial"/>
          <w:sz w:val="20"/>
          <w:szCs w:val="20"/>
        </w:rPr>
        <w:t xml:space="preserve"> v letu 2016. Del</w:t>
      </w:r>
      <w:r w:rsidR="0009189B">
        <w:rPr>
          <w:rFonts w:ascii="Arial" w:hAnsi="Arial" w:cs="Arial"/>
          <w:sz w:val="20"/>
          <w:szCs w:val="20"/>
        </w:rPr>
        <w:t>oma je to</w:t>
      </w:r>
      <w:r w:rsidRPr="002921A9">
        <w:rPr>
          <w:rFonts w:ascii="Arial" w:hAnsi="Arial" w:cs="Arial"/>
          <w:sz w:val="20"/>
          <w:szCs w:val="20"/>
        </w:rPr>
        <w:t xml:space="preserve"> </w:t>
      </w:r>
      <w:r w:rsidR="0009189B">
        <w:rPr>
          <w:rFonts w:ascii="Arial" w:hAnsi="Arial" w:cs="Arial"/>
          <w:sz w:val="20"/>
          <w:szCs w:val="20"/>
        </w:rPr>
        <w:t>zaradi</w:t>
      </w:r>
      <w:r w:rsidRPr="002921A9">
        <w:rPr>
          <w:rFonts w:ascii="Arial" w:hAnsi="Arial" w:cs="Arial"/>
          <w:sz w:val="20"/>
          <w:szCs w:val="20"/>
        </w:rPr>
        <w:t xml:space="preserve"> višje davčne stopnje, saj je v </w:t>
      </w:r>
      <w:r w:rsidR="0009189B">
        <w:rPr>
          <w:rFonts w:ascii="Arial" w:hAnsi="Arial" w:cs="Arial"/>
          <w:sz w:val="20"/>
          <w:szCs w:val="20"/>
        </w:rPr>
        <w:t xml:space="preserve">letu </w:t>
      </w:r>
      <w:r w:rsidRPr="002921A9">
        <w:rPr>
          <w:rFonts w:ascii="Arial" w:hAnsi="Arial" w:cs="Arial"/>
          <w:sz w:val="20"/>
          <w:szCs w:val="20"/>
        </w:rPr>
        <w:t>2016 še veljala 17</w:t>
      </w:r>
      <w:r w:rsidR="0009189B">
        <w:rPr>
          <w:rFonts w:ascii="Arial" w:hAnsi="Arial" w:cs="Arial"/>
          <w:sz w:val="20"/>
          <w:szCs w:val="20"/>
        </w:rPr>
        <w:t>-odstotna</w:t>
      </w:r>
      <w:r w:rsidRPr="002921A9">
        <w:rPr>
          <w:rFonts w:ascii="Arial" w:hAnsi="Arial" w:cs="Arial"/>
          <w:sz w:val="20"/>
          <w:szCs w:val="20"/>
        </w:rPr>
        <w:t xml:space="preserve"> stopnja, v letu 2018 pa 19</w:t>
      </w:r>
      <w:r w:rsidR="0009189B">
        <w:rPr>
          <w:rFonts w:ascii="Arial" w:hAnsi="Arial" w:cs="Arial"/>
          <w:sz w:val="20"/>
          <w:szCs w:val="20"/>
        </w:rPr>
        <w:t>-odstotna</w:t>
      </w:r>
      <w:r w:rsidRPr="002921A9">
        <w:rPr>
          <w:rFonts w:ascii="Arial" w:hAnsi="Arial" w:cs="Arial"/>
          <w:sz w:val="20"/>
          <w:szCs w:val="20"/>
        </w:rPr>
        <w:t xml:space="preserve">. Največji del davčnega </w:t>
      </w:r>
      <w:r>
        <w:rPr>
          <w:rFonts w:ascii="Arial" w:hAnsi="Arial" w:cs="Arial"/>
          <w:sz w:val="20"/>
          <w:szCs w:val="20"/>
        </w:rPr>
        <w:t>izdatka</w:t>
      </w:r>
      <w:r w:rsidRPr="002921A9">
        <w:rPr>
          <w:rFonts w:ascii="Arial" w:hAnsi="Arial" w:cs="Arial"/>
          <w:sz w:val="20"/>
          <w:szCs w:val="20"/>
        </w:rPr>
        <w:t xml:space="preserve"> se nanaša na olajšavo za investiranje – 168 mio evrov v letu 2018, </w:t>
      </w:r>
      <w:r w:rsidR="0009189B">
        <w:rPr>
          <w:rFonts w:ascii="Arial" w:hAnsi="Arial" w:cs="Arial"/>
          <w:sz w:val="20"/>
          <w:szCs w:val="20"/>
        </w:rPr>
        <w:t xml:space="preserve">nato na </w:t>
      </w:r>
      <w:r w:rsidRPr="002921A9">
        <w:rPr>
          <w:rFonts w:ascii="Arial" w:hAnsi="Arial" w:cs="Arial"/>
          <w:sz w:val="20"/>
          <w:szCs w:val="20"/>
        </w:rPr>
        <w:t xml:space="preserve">ugodnost znižanja davčne osnove za pokrivanje </w:t>
      </w:r>
      <w:r w:rsidR="002E3C47">
        <w:rPr>
          <w:rFonts w:ascii="Arial" w:hAnsi="Arial" w:cs="Arial"/>
          <w:sz w:val="20"/>
          <w:szCs w:val="20"/>
        </w:rPr>
        <w:t xml:space="preserve">izgub </w:t>
      </w:r>
      <w:r w:rsidRPr="002921A9">
        <w:rPr>
          <w:rFonts w:ascii="Arial" w:hAnsi="Arial" w:cs="Arial"/>
          <w:sz w:val="20"/>
          <w:szCs w:val="20"/>
        </w:rPr>
        <w:t xml:space="preserve">iz preteklih let, na tretjem mestu pa je olajšava za vlaganje v raziskave in razvoj. Ta davčni </w:t>
      </w:r>
      <w:r>
        <w:rPr>
          <w:rFonts w:ascii="Arial" w:hAnsi="Arial" w:cs="Arial"/>
          <w:sz w:val="20"/>
          <w:szCs w:val="20"/>
        </w:rPr>
        <w:t>izdatek</w:t>
      </w:r>
      <w:r w:rsidRPr="002921A9">
        <w:rPr>
          <w:rFonts w:ascii="Arial" w:hAnsi="Arial" w:cs="Arial"/>
          <w:sz w:val="20"/>
          <w:szCs w:val="20"/>
        </w:rPr>
        <w:t xml:space="preserve"> ima tudi največji povprečni znesek na zavezanca – le 567 zavezancev je </w:t>
      </w:r>
      <w:r w:rsidR="00A21DB1">
        <w:rPr>
          <w:rFonts w:ascii="Arial" w:hAnsi="Arial" w:cs="Arial"/>
          <w:sz w:val="20"/>
          <w:szCs w:val="20"/>
        </w:rPr>
        <w:t>uveljavilo</w:t>
      </w:r>
      <w:r w:rsidRPr="002921A9">
        <w:rPr>
          <w:rFonts w:ascii="Arial" w:hAnsi="Arial" w:cs="Arial"/>
          <w:sz w:val="20"/>
          <w:szCs w:val="20"/>
        </w:rPr>
        <w:t xml:space="preserve"> davčno ugodnost v višini 45 mio evrov, kar zn</w:t>
      </w:r>
      <w:r w:rsidR="0009189B">
        <w:rPr>
          <w:rFonts w:ascii="Arial" w:hAnsi="Arial" w:cs="Arial"/>
          <w:sz w:val="20"/>
          <w:szCs w:val="20"/>
        </w:rPr>
        <w:t>aša</w:t>
      </w:r>
      <w:r w:rsidRPr="002921A9">
        <w:rPr>
          <w:rFonts w:ascii="Arial" w:hAnsi="Arial" w:cs="Arial"/>
          <w:sz w:val="20"/>
          <w:szCs w:val="20"/>
        </w:rPr>
        <w:t xml:space="preserve"> nekaj več k</w:t>
      </w:r>
      <w:r w:rsidR="0009189B">
        <w:rPr>
          <w:rFonts w:ascii="Arial" w:hAnsi="Arial" w:cs="Arial"/>
          <w:sz w:val="20"/>
          <w:szCs w:val="20"/>
        </w:rPr>
        <w:t>akor</w:t>
      </w:r>
      <w:r w:rsidRPr="002921A9">
        <w:rPr>
          <w:rFonts w:ascii="Arial" w:hAnsi="Arial" w:cs="Arial"/>
          <w:sz w:val="20"/>
          <w:szCs w:val="20"/>
        </w:rPr>
        <w:t xml:space="preserve"> 80.000 evrov na zavezanca.</w:t>
      </w:r>
    </w:p>
    <w:p w14:paraId="6FA04B12" w14:textId="77777777" w:rsidR="00281839" w:rsidRPr="00012435" w:rsidRDefault="00281839" w:rsidP="00012435">
      <w:pPr>
        <w:spacing w:after="0" w:line="240" w:lineRule="auto"/>
        <w:jc w:val="both"/>
        <w:rPr>
          <w:rFonts w:ascii="Arial" w:hAnsi="Arial" w:cs="Arial"/>
          <w:szCs w:val="20"/>
          <w:u w:val="single"/>
        </w:rPr>
      </w:pPr>
    </w:p>
    <w:p w14:paraId="4C0DC39F" w14:textId="75AC5FFB" w:rsidR="00E4026D" w:rsidRPr="00012435" w:rsidRDefault="0043200E" w:rsidP="00012435">
      <w:pPr>
        <w:pStyle w:val="Heading3"/>
        <w:spacing w:before="0" w:after="0"/>
        <w:rPr>
          <w:rFonts w:ascii="Arial" w:hAnsi="Arial" w:cs="Arial"/>
          <w:u w:val="single"/>
        </w:rPr>
      </w:pPr>
      <w:r w:rsidRPr="00012435">
        <w:rPr>
          <w:rFonts w:ascii="Arial" w:hAnsi="Arial" w:cs="Arial"/>
        </w:rPr>
        <w:t>1</w:t>
      </w:r>
      <w:r w:rsidR="00E4026D" w:rsidRPr="00012435">
        <w:rPr>
          <w:rFonts w:ascii="Arial" w:hAnsi="Arial" w:cs="Arial"/>
        </w:rPr>
        <w:t>.4 Trošarine</w:t>
      </w:r>
    </w:p>
    <w:p w14:paraId="47167757" w14:textId="77777777" w:rsidR="00E4026D" w:rsidRPr="00012435" w:rsidRDefault="00E4026D" w:rsidP="00012435">
      <w:pPr>
        <w:spacing w:after="0" w:line="260" w:lineRule="atLeast"/>
        <w:jc w:val="both"/>
        <w:rPr>
          <w:rFonts w:ascii="Arial" w:hAnsi="Arial" w:cs="Arial"/>
          <w:b/>
          <w:color w:val="7F7F7F"/>
          <w:sz w:val="20"/>
          <w:szCs w:val="20"/>
        </w:rPr>
      </w:pPr>
    </w:p>
    <w:p w14:paraId="43ED1082" w14:textId="2AEE3A01" w:rsidR="00E4026D" w:rsidRPr="00012435"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 xml:space="preserve">Trošarina </w:t>
      </w:r>
      <w:r w:rsidR="0009189B">
        <w:rPr>
          <w:rFonts w:ascii="Arial" w:hAnsi="Arial" w:cs="Arial"/>
          <w:sz w:val="20"/>
          <w:szCs w:val="20"/>
          <w:lang w:eastAsia="sl-SI"/>
        </w:rPr>
        <w:t>je</w:t>
      </w:r>
      <w:r w:rsidRPr="00012435">
        <w:rPr>
          <w:rFonts w:ascii="Arial" w:hAnsi="Arial" w:cs="Arial"/>
          <w:sz w:val="20"/>
          <w:szCs w:val="20"/>
          <w:lang w:eastAsia="sl-SI"/>
        </w:rPr>
        <w:t xml:space="preserve"> oblik</w:t>
      </w:r>
      <w:r w:rsidR="0009189B">
        <w:rPr>
          <w:rFonts w:ascii="Arial" w:hAnsi="Arial" w:cs="Arial"/>
          <w:sz w:val="20"/>
          <w:szCs w:val="20"/>
          <w:lang w:eastAsia="sl-SI"/>
        </w:rPr>
        <w:t>a</w:t>
      </w:r>
      <w:r w:rsidRPr="00012435">
        <w:rPr>
          <w:rFonts w:ascii="Arial" w:hAnsi="Arial" w:cs="Arial"/>
          <w:sz w:val="20"/>
          <w:szCs w:val="20"/>
          <w:lang w:eastAsia="sl-SI"/>
        </w:rPr>
        <w:t xml:space="preserve"> </w:t>
      </w:r>
      <w:r w:rsidR="001C0F0D">
        <w:rPr>
          <w:rFonts w:ascii="Arial" w:hAnsi="Arial" w:cs="Arial"/>
          <w:sz w:val="20"/>
          <w:szCs w:val="20"/>
          <w:lang w:eastAsia="sl-SI"/>
        </w:rPr>
        <w:t xml:space="preserve">posrednega </w:t>
      </w:r>
      <w:r w:rsidRPr="00012435">
        <w:rPr>
          <w:rFonts w:ascii="Arial" w:hAnsi="Arial" w:cs="Arial"/>
          <w:sz w:val="20"/>
          <w:szCs w:val="20"/>
          <w:lang w:eastAsia="sl-SI"/>
        </w:rPr>
        <w:t>davka na potrošnjo določen</w:t>
      </w:r>
      <w:r w:rsidR="001C0F0D">
        <w:rPr>
          <w:rFonts w:ascii="Arial" w:hAnsi="Arial" w:cs="Arial"/>
          <w:sz w:val="20"/>
          <w:szCs w:val="20"/>
          <w:lang w:eastAsia="sl-SI"/>
        </w:rPr>
        <w:t>ih</w:t>
      </w:r>
      <w:r w:rsidRPr="00012435">
        <w:rPr>
          <w:rFonts w:ascii="Arial" w:hAnsi="Arial" w:cs="Arial"/>
          <w:sz w:val="20"/>
          <w:szCs w:val="20"/>
          <w:lang w:eastAsia="sl-SI"/>
        </w:rPr>
        <w:t xml:space="preserve"> izdelk</w:t>
      </w:r>
      <w:r w:rsidR="001C0F0D">
        <w:rPr>
          <w:rFonts w:ascii="Arial" w:hAnsi="Arial" w:cs="Arial"/>
          <w:sz w:val="20"/>
          <w:szCs w:val="20"/>
          <w:lang w:eastAsia="sl-SI"/>
        </w:rPr>
        <w:t>ov</w:t>
      </w:r>
      <w:r w:rsidRPr="00012435">
        <w:rPr>
          <w:rFonts w:ascii="Arial" w:hAnsi="Arial" w:cs="Arial"/>
          <w:sz w:val="20"/>
          <w:szCs w:val="20"/>
          <w:lang w:eastAsia="sl-SI"/>
        </w:rPr>
        <w:t xml:space="preserve"> ali skupin</w:t>
      </w:r>
      <w:r w:rsidR="001C0F0D">
        <w:rPr>
          <w:rFonts w:ascii="Arial" w:hAnsi="Arial" w:cs="Arial"/>
          <w:sz w:val="20"/>
          <w:szCs w:val="20"/>
          <w:lang w:eastAsia="sl-SI"/>
        </w:rPr>
        <w:t>e</w:t>
      </w:r>
      <w:r w:rsidRPr="00012435">
        <w:rPr>
          <w:rFonts w:ascii="Arial" w:hAnsi="Arial" w:cs="Arial"/>
          <w:sz w:val="20"/>
          <w:szCs w:val="20"/>
          <w:lang w:eastAsia="sl-SI"/>
        </w:rPr>
        <w:t xml:space="preserve"> izdelkov. Izdelk</w:t>
      </w:r>
      <w:r w:rsidR="00A21DB1">
        <w:rPr>
          <w:rFonts w:ascii="Arial" w:hAnsi="Arial" w:cs="Arial"/>
          <w:sz w:val="20"/>
          <w:szCs w:val="20"/>
          <w:lang w:eastAsia="sl-SI"/>
        </w:rPr>
        <w:t>i</w:t>
      </w:r>
      <w:r w:rsidRPr="00012435">
        <w:rPr>
          <w:rFonts w:ascii="Arial" w:hAnsi="Arial" w:cs="Arial"/>
          <w:sz w:val="20"/>
          <w:szCs w:val="20"/>
          <w:lang w:eastAsia="sl-SI"/>
        </w:rPr>
        <w:t>, od katerih se plačuje trošarina v Republiki Sloveniji, so alkohol in alkoholne pijače, tobačni izdelki ter energenti in električna energija.</w:t>
      </w:r>
      <w:r w:rsidRPr="00012435">
        <w:rPr>
          <w:rFonts w:ascii="Arial" w:hAnsi="Arial" w:cs="Arial"/>
          <w:sz w:val="20"/>
          <w:szCs w:val="20"/>
        </w:rPr>
        <w:t xml:space="preserve"> </w:t>
      </w:r>
      <w:r w:rsidRPr="00012435">
        <w:rPr>
          <w:rFonts w:ascii="Arial" w:hAnsi="Arial" w:cs="Arial"/>
          <w:sz w:val="20"/>
          <w:szCs w:val="20"/>
          <w:lang w:eastAsia="sl-SI"/>
        </w:rPr>
        <w:t>Sistem nadzora nad gibanjem in proizvodnjo trošarinskih izdelkov ter pobiranje trošarin ureja Zakon o trošarinah (Uradni list RS, št. 47/16</w:t>
      </w:r>
      <w:r w:rsidR="002E3C47">
        <w:rPr>
          <w:rFonts w:ascii="Arial" w:hAnsi="Arial" w:cs="Arial"/>
          <w:sz w:val="20"/>
          <w:szCs w:val="20"/>
          <w:lang w:eastAsia="sl-SI"/>
        </w:rPr>
        <w:t xml:space="preserve">, </w:t>
      </w:r>
      <w:r w:rsidR="00386818">
        <w:rPr>
          <w:rFonts w:ascii="Arial" w:hAnsi="Arial" w:cs="Arial"/>
          <w:sz w:val="20"/>
          <w:szCs w:val="20"/>
          <w:lang w:eastAsia="sl-SI"/>
        </w:rPr>
        <w:t xml:space="preserve">v nadaljevanju: </w:t>
      </w:r>
      <w:r w:rsidR="00346309">
        <w:rPr>
          <w:rFonts w:ascii="Arial" w:hAnsi="Arial" w:cs="Arial"/>
          <w:sz w:val="20"/>
          <w:szCs w:val="20"/>
          <w:lang w:eastAsia="sl-SI"/>
        </w:rPr>
        <w:t>ZTro-</w:t>
      </w:r>
      <w:r w:rsidR="002E3C47">
        <w:rPr>
          <w:rFonts w:ascii="Arial" w:hAnsi="Arial" w:cs="Arial"/>
          <w:sz w:val="20"/>
          <w:szCs w:val="20"/>
          <w:lang w:eastAsia="sl-SI"/>
        </w:rPr>
        <w:t>1</w:t>
      </w:r>
      <w:r w:rsidRPr="00012435">
        <w:rPr>
          <w:rFonts w:ascii="Arial" w:hAnsi="Arial" w:cs="Arial"/>
          <w:sz w:val="20"/>
          <w:szCs w:val="20"/>
          <w:lang w:eastAsia="sl-SI"/>
        </w:rPr>
        <w:t>) s podzakonskimi akti.</w:t>
      </w:r>
    </w:p>
    <w:p w14:paraId="789F2523" w14:textId="77777777" w:rsidR="00E4026D" w:rsidRPr="00012435" w:rsidRDefault="00E4026D" w:rsidP="00012435">
      <w:pPr>
        <w:pStyle w:val="NoSpacing"/>
        <w:spacing w:line="260" w:lineRule="atLeast"/>
        <w:rPr>
          <w:rFonts w:ascii="Arial" w:hAnsi="Arial" w:cs="Arial"/>
          <w:sz w:val="20"/>
          <w:szCs w:val="20"/>
          <w:lang w:eastAsia="sl-SI"/>
        </w:rPr>
      </w:pPr>
    </w:p>
    <w:p w14:paraId="45690B59" w14:textId="015D6089" w:rsidR="00E4026D"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 xml:space="preserve">V skladu s trošarinsko zakonodajo veljajo posamezni davčni </w:t>
      </w:r>
      <w:r w:rsidR="0043200E">
        <w:rPr>
          <w:rFonts w:ascii="Arial" w:hAnsi="Arial" w:cs="Arial"/>
          <w:sz w:val="20"/>
          <w:szCs w:val="20"/>
          <w:lang w:eastAsia="sl-SI"/>
        </w:rPr>
        <w:t>izdatk</w:t>
      </w:r>
      <w:r w:rsidR="0043200E" w:rsidRPr="00012435">
        <w:rPr>
          <w:rFonts w:ascii="Arial" w:hAnsi="Arial" w:cs="Arial"/>
          <w:sz w:val="20"/>
          <w:szCs w:val="20"/>
          <w:lang w:eastAsia="sl-SI"/>
        </w:rPr>
        <w:t xml:space="preserve">i </w:t>
      </w:r>
      <w:r w:rsidRPr="00012435">
        <w:rPr>
          <w:rFonts w:ascii="Arial" w:hAnsi="Arial" w:cs="Arial"/>
          <w:sz w:val="20"/>
          <w:szCs w:val="20"/>
          <w:lang w:eastAsia="sl-SI"/>
        </w:rPr>
        <w:t xml:space="preserve">v obliki vračil in oprostitev. Tako velja popolna </w:t>
      </w:r>
      <w:r w:rsidRPr="00AC13E9">
        <w:rPr>
          <w:rFonts w:ascii="Arial" w:hAnsi="Arial" w:cs="Arial"/>
          <w:sz w:val="20"/>
          <w:szCs w:val="20"/>
          <w:lang w:eastAsia="sl-SI"/>
        </w:rPr>
        <w:t>oprostitev trošarine za energente</w:t>
      </w:r>
      <w:r w:rsidRPr="00E02F2D">
        <w:rPr>
          <w:rFonts w:ascii="Arial" w:hAnsi="Arial" w:cs="Arial"/>
          <w:sz w:val="20"/>
          <w:szCs w:val="20"/>
          <w:lang w:eastAsia="sl-SI"/>
        </w:rPr>
        <w:t>:</w:t>
      </w:r>
    </w:p>
    <w:p w14:paraId="25EFA47B" w14:textId="764D17F2" w:rsidR="00022949" w:rsidRPr="00AC13E9" w:rsidRDefault="00022949" w:rsidP="00AC13E9">
      <w:pPr>
        <w:pStyle w:val="ListParagraph"/>
        <w:numPr>
          <w:ilvl w:val="0"/>
          <w:numId w:val="48"/>
        </w:numPr>
        <w:spacing w:line="260" w:lineRule="atLeast"/>
        <w:jc w:val="both"/>
        <w:rPr>
          <w:rFonts w:ascii="Arial" w:hAnsi="Arial" w:cs="Arial"/>
          <w:sz w:val="20"/>
          <w:szCs w:val="20"/>
        </w:rPr>
      </w:pPr>
      <w:r>
        <w:rPr>
          <w:rFonts w:ascii="Arial" w:hAnsi="Arial" w:cs="Arial"/>
          <w:sz w:val="20"/>
          <w:szCs w:val="20"/>
        </w:rPr>
        <w:t>ki jih porabijo</w:t>
      </w:r>
      <w:r w:rsidRPr="00022949">
        <w:rPr>
          <w:rFonts w:ascii="Arial" w:hAnsi="Arial" w:cs="Arial"/>
          <w:sz w:val="20"/>
          <w:szCs w:val="20"/>
        </w:rPr>
        <w:t xml:space="preserve"> energetsko intenzivna podjetja</w:t>
      </w:r>
      <w:r w:rsidR="00306B2E">
        <w:rPr>
          <w:rFonts w:ascii="Arial" w:hAnsi="Arial" w:cs="Arial"/>
          <w:sz w:val="20"/>
          <w:szCs w:val="20"/>
        </w:rPr>
        <w:t>;</w:t>
      </w:r>
      <w:r w:rsidRPr="00022949">
        <w:rPr>
          <w:rFonts w:ascii="Arial" w:hAnsi="Arial" w:cs="Arial"/>
          <w:sz w:val="20"/>
          <w:szCs w:val="20"/>
        </w:rPr>
        <w:t xml:space="preserve"> </w:t>
      </w:r>
    </w:p>
    <w:p w14:paraId="256599CC" w14:textId="77777777" w:rsidR="00022949" w:rsidRPr="00012435" w:rsidRDefault="00022949" w:rsidP="00022949">
      <w:pPr>
        <w:numPr>
          <w:ilvl w:val="0"/>
          <w:numId w:val="48"/>
        </w:numPr>
        <w:spacing w:after="0" w:line="260" w:lineRule="atLeast"/>
        <w:jc w:val="both"/>
        <w:rPr>
          <w:rFonts w:ascii="Arial" w:hAnsi="Arial" w:cs="Arial"/>
          <w:sz w:val="20"/>
          <w:szCs w:val="20"/>
          <w:lang w:eastAsia="sl-SI"/>
        </w:rPr>
      </w:pPr>
      <w:r>
        <w:rPr>
          <w:rFonts w:ascii="Arial" w:hAnsi="Arial" w:cs="Arial"/>
          <w:sz w:val="20"/>
          <w:szCs w:val="20"/>
        </w:rPr>
        <w:t xml:space="preserve">ki se porabijo za </w:t>
      </w:r>
      <w:r w:rsidRPr="00012435">
        <w:rPr>
          <w:rFonts w:ascii="Arial" w:hAnsi="Arial" w:cs="Arial"/>
          <w:sz w:val="20"/>
          <w:szCs w:val="20"/>
        </w:rPr>
        <w:t>skupno proizvodnjo toplotne in</w:t>
      </w:r>
      <w:r>
        <w:rPr>
          <w:rFonts w:ascii="Arial" w:hAnsi="Arial" w:cs="Arial"/>
          <w:sz w:val="20"/>
          <w:szCs w:val="20"/>
          <w:u w:val="single"/>
        </w:rPr>
        <w:t xml:space="preserve"> </w:t>
      </w:r>
      <w:r w:rsidRPr="00012435">
        <w:rPr>
          <w:rFonts w:ascii="Arial" w:hAnsi="Arial" w:cs="Arial"/>
          <w:sz w:val="20"/>
          <w:szCs w:val="20"/>
        </w:rPr>
        <w:t xml:space="preserve">električne energije (kogeneracijo); </w:t>
      </w:r>
    </w:p>
    <w:p w14:paraId="10B2C2D6" w14:textId="771E34B7" w:rsidR="001C0F0D" w:rsidRPr="007E2D72" w:rsidRDefault="001C0F0D" w:rsidP="00012435">
      <w:pPr>
        <w:numPr>
          <w:ilvl w:val="0"/>
          <w:numId w:val="48"/>
        </w:numPr>
        <w:spacing w:after="0" w:line="260" w:lineRule="atLeast"/>
        <w:jc w:val="both"/>
        <w:rPr>
          <w:rFonts w:ascii="Arial" w:hAnsi="Arial" w:cs="Arial"/>
          <w:sz w:val="20"/>
          <w:szCs w:val="20"/>
          <w:lang w:eastAsia="sl-SI"/>
        </w:rPr>
      </w:pPr>
      <w:r w:rsidRPr="00AC13E9">
        <w:lastRenderedPageBreak/>
        <w:t>ki se porabijo kot pogonsko gorivo v letalskem in pomorskem prometu ter za pogon ribiških plovil, razen v primeru uporabe letala oziroma plovila za zasebne namene</w:t>
      </w:r>
      <w:r w:rsidR="00824C55">
        <w:t xml:space="preserve"> (v skladu z evropsko direktivo</w:t>
      </w:r>
      <w:r w:rsidR="005A0DC6">
        <w:rPr>
          <w:rStyle w:val="FootnoteReference"/>
        </w:rPr>
        <w:footnoteReference w:id="2"/>
      </w:r>
      <w:r w:rsidR="00824C55">
        <w:t>,</w:t>
      </w:r>
      <w:r w:rsidR="005A0DC6">
        <w:t xml:space="preserve"> ki ureja obdavčitev energentov in električne ene</w:t>
      </w:r>
      <w:r w:rsidR="00A75029">
        <w:t>r</w:t>
      </w:r>
      <w:r w:rsidR="005A0DC6">
        <w:t>gije</w:t>
      </w:r>
      <w:r w:rsidR="0009189B">
        <w:t xml:space="preserve"> (</w:t>
      </w:r>
      <w:r w:rsidR="00824C55">
        <w:t>v nadaljevanju: po ED)</w:t>
      </w:r>
      <w:r w:rsidRPr="00AC13E9">
        <w:t>;</w:t>
      </w:r>
    </w:p>
    <w:p w14:paraId="25450FCE" w14:textId="069C9741" w:rsidR="001C0F0D" w:rsidRPr="007E2D72" w:rsidRDefault="00E4026D" w:rsidP="00012435">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rPr>
        <w:t>ki se porabijo za proizvodnjo električne energije</w:t>
      </w:r>
      <w:r w:rsidR="00824C55">
        <w:rPr>
          <w:rFonts w:ascii="Arial" w:hAnsi="Arial" w:cs="Arial"/>
          <w:sz w:val="20"/>
          <w:szCs w:val="20"/>
        </w:rPr>
        <w:t xml:space="preserve"> </w:t>
      </w:r>
      <w:r w:rsidR="00824C55">
        <w:t>(po ED);</w:t>
      </w:r>
      <w:r w:rsidR="001C0F0D" w:rsidRPr="007E2D72">
        <w:rPr>
          <w:rFonts w:ascii="Arial" w:hAnsi="Arial" w:cs="Arial"/>
          <w:sz w:val="20"/>
          <w:szCs w:val="20"/>
        </w:rPr>
        <w:t xml:space="preserve"> </w:t>
      </w:r>
    </w:p>
    <w:p w14:paraId="17B163C6" w14:textId="34D41D65" w:rsidR="00E4026D" w:rsidRPr="007E2D72" w:rsidRDefault="00952114" w:rsidP="00012435">
      <w:pPr>
        <w:numPr>
          <w:ilvl w:val="0"/>
          <w:numId w:val="48"/>
        </w:numPr>
        <w:spacing w:after="0" w:line="260" w:lineRule="atLeast"/>
        <w:jc w:val="both"/>
        <w:rPr>
          <w:rFonts w:ascii="Arial" w:hAnsi="Arial" w:cs="Arial"/>
          <w:sz w:val="20"/>
          <w:szCs w:val="20"/>
          <w:lang w:eastAsia="sl-SI"/>
        </w:rPr>
      </w:pPr>
      <w:r w:rsidRPr="00AC13E9">
        <w:rPr>
          <w:rFonts w:ascii="Arial" w:hAnsi="Arial" w:cs="Arial"/>
          <w:sz w:val="20"/>
          <w:szCs w:val="20"/>
        </w:rPr>
        <w:t xml:space="preserve">ki se porabijo </w:t>
      </w:r>
      <w:r w:rsidRPr="00AC13E9">
        <w:t xml:space="preserve">v prostorih proizvajalca energentov za proizvodnjo energentov, razen če so bili porabljeni kot pogonsko gorivo za </w:t>
      </w:r>
      <w:r w:rsidR="0009189B">
        <w:t>prevozna</w:t>
      </w:r>
      <w:r w:rsidRPr="00AC13E9">
        <w:t xml:space="preserve"> sredstva</w:t>
      </w:r>
      <w:r w:rsidR="00824C55">
        <w:t xml:space="preserve"> (po ED)</w:t>
      </w:r>
      <w:r w:rsidR="00E4026D" w:rsidRPr="007E2D72">
        <w:rPr>
          <w:rFonts w:ascii="Arial" w:hAnsi="Arial" w:cs="Arial"/>
          <w:sz w:val="20"/>
          <w:szCs w:val="20"/>
        </w:rPr>
        <w:t xml:space="preserve">; </w:t>
      </w:r>
    </w:p>
    <w:p w14:paraId="39CB1775" w14:textId="0A0FF4A2" w:rsidR="00952114" w:rsidRPr="00AC13E9" w:rsidRDefault="00022949" w:rsidP="00012435">
      <w:pPr>
        <w:numPr>
          <w:ilvl w:val="0"/>
          <w:numId w:val="48"/>
        </w:numPr>
        <w:spacing w:after="0" w:line="260" w:lineRule="atLeast"/>
        <w:jc w:val="both"/>
        <w:rPr>
          <w:rFonts w:ascii="Arial" w:hAnsi="Arial" w:cs="Arial"/>
          <w:sz w:val="20"/>
          <w:szCs w:val="20"/>
        </w:rPr>
      </w:pPr>
      <w:r w:rsidRPr="00AC13E9">
        <w:t xml:space="preserve">ki se porabijo </w:t>
      </w:r>
      <w:r w:rsidR="00952114" w:rsidRPr="00AC13E9">
        <w:t>za druge namene</w:t>
      </w:r>
      <w:r w:rsidR="0009189B">
        <w:t>,</w:t>
      </w:r>
      <w:r w:rsidR="00952114" w:rsidRPr="00AC13E9">
        <w:t xml:space="preserve"> in ne kot pogonsko gorivo ali gorivo za ogrevanje</w:t>
      </w:r>
      <w:r w:rsidR="00824C55">
        <w:t xml:space="preserve"> (po ED)</w:t>
      </w:r>
      <w:r w:rsidR="00952114" w:rsidRPr="00AC13E9">
        <w:t>;</w:t>
      </w:r>
    </w:p>
    <w:p w14:paraId="0B4D5270" w14:textId="57F127BA" w:rsidR="00E4026D" w:rsidRPr="007E2D72" w:rsidRDefault="00E4026D" w:rsidP="00012435">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rPr>
        <w:t xml:space="preserve">ki se </w:t>
      </w:r>
      <w:r w:rsidR="00022949" w:rsidRPr="007E2D72">
        <w:rPr>
          <w:rFonts w:ascii="Arial" w:hAnsi="Arial" w:cs="Arial"/>
          <w:sz w:val="20"/>
          <w:szCs w:val="20"/>
        </w:rPr>
        <w:t xml:space="preserve">porabijo </w:t>
      </w:r>
      <w:r w:rsidRPr="007E2D72">
        <w:rPr>
          <w:rFonts w:ascii="Arial" w:hAnsi="Arial" w:cs="Arial"/>
          <w:sz w:val="20"/>
          <w:szCs w:val="20"/>
        </w:rPr>
        <w:t>za proizvodnjo drugih nekovinskih mineralnih izdelkov</w:t>
      </w:r>
      <w:r w:rsidR="00824C55">
        <w:rPr>
          <w:rFonts w:ascii="Arial" w:hAnsi="Arial" w:cs="Arial"/>
          <w:sz w:val="20"/>
          <w:szCs w:val="20"/>
        </w:rPr>
        <w:t xml:space="preserve"> </w:t>
      </w:r>
      <w:r w:rsidR="00824C55">
        <w:t>(po ED)</w:t>
      </w:r>
      <w:r w:rsidRPr="007E2D72">
        <w:rPr>
          <w:rFonts w:ascii="Arial" w:hAnsi="Arial" w:cs="Arial"/>
          <w:sz w:val="20"/>
          <w:szCs w:val="20"/>
        </w:rPr>
        <w:t xml:space="preserve">; </w:t>
      </w:r>
    </w:p>
    <w:p w14:paraId="30604C4F" w14:textId="5EDA1D51" w:rsidR="00E4026D" w:rsidRPr="007E2D72" w:rsidRDefault="00E4026D" w:rsidP="00022949">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rPr>
        <w:t>ki se porab</w:t>
      </w:r>
      <w:r w:rsidR="00022949" w:rsidRPr="007E2D72">
        <w:rPr>
          <w:rFonts w:ascii="Arial" w:hAnsi="Arial" w:cs="Arial"/>
          <w:sz w:val="20"/>
          <w:szCs w:val="20"/>
        </w:rPr>
        <w:t>i</w:t>
      </w:r>
      <w:r w:rsidRPr="007E2D72">
        <w:rPr>
          <w:rFonts w:ascii="Arial" w:hAnsi="Arial" w:cs="Arial"/>
          <w:sz w:val="20"/>
          <w:szCs w:val="20"/>
        </w:rPr>
        <w:t>jo za dvojno rabo, na primer kot gorivo za ogrevanje in hkrati za namen, ki ni pogon ali ogrevanje (uporaba energentov za kemijsko redukcijo, uporaba v elektrolitskih in metalurških procesih in podobno)</w:t>
      </w:r>
      <w:r w:rsidR="00824C55">
        <w:rPr>
          <w:rFonts w:ascii="Arial" w:hAnsi="Arial" w:cs="Arial"/>
          <w:sz w:val="20"/>
          <w:szCs w:val="20"/>
        </w:rPr>
        <w:t xml:space="preserve"> </w:t>
      </w:r>
      <w:r w:rsidR="00824C55">
        <w:t>(po ED);</w:t>
      </w:r>
      <w:r w:rsidR="00022949" w:rsidRPr="007E2D72">
        <w:rPr>
          <w:rFonts w:ascii="Arial" w:hAnsi="Arial" w:cs="Arial"/>
          <w:sz w:val="20"/>
          <w:szCs w:val="20"/>
        </w:rPr>
        <w:t xml:space="preserve"> </w:t>
      </w:r>
    </w:p>
    <w:p w14:paraId="795C4052" w14:textId="2FAB1F69" w:rsidR="00E4026D" w:rsidRPr="007E2D72" w:rsidRDefault="00390A2A" w:rsidP="00012435">
      <w:pPr>
        <w:spacing w:after="0" w:line="260" w:lineRule="atLeast"/>
        <w:jc w:val="both"/>
        <w:rPr>
          <w:rFonts w:ascii="Arial" w:hAnsi="Arial" w:cs="Arial"/>
          <w:sz w:val="20"/>
          <w:szCs w:val="20"/>
          <w:lang w:eastAsia="sl-SI"/>
        </w:rPr>
      </w:pPr>
      <w:r>
        <w:rPr>
          <w:rFonts w:ascii="Arial" w:hAnsi="Arial" w:cs="Arial"/>
          <w:sz w:val="20"/>
          <w:szCs w:val="20"/>
          <w:lang w:eastAsia="sl-SI"/>
        </w:rPr>
        <w:t>oziroma</w:t>
      </w:r>
      <w:r w:rsidR="00E4026D" w:rsidRPr="007E2D72">
        <w:rPr>
          <w:rFonts w:ascii="Arial" w:hAnsi="Arial" w:cs="Arial"/>
          <w:sz w:val="20"/>
          <w:szCs w:val="20"/>
          <w:lang w:eastAsia="sl-SI"/>
        </w:rPr>
        <w:t xml:space="preserve"> </w:t>
      </w:r>
      <w:r w:rsidR="00E4026D" w:rsidRPr="00AC13E9">
        <w:rPr>
          <w:rFonts w:ascii="Arial" w:hAnsi="Arial" w:cs="Arial"/>
          <w:sz w:val="20"/>
          <w:szCs w:val="20"/>
          <w:lang w:eastAsia="sl-SI"/>
        </w:rPr>
        <w:t>oprostitev trošarine za električno energijo</w:t>
      </w:r>
      <w:r w:rsidR="002E3C47" w:rsidRPr="007E2D72">
        <w:rPr>
          <w:rFonts w:ascii="Arial" w:hAnsi="Arial" w:cs="Arial"/>
          <w:sz w:val="20"/>
          <w:szCs w:val="20"/>
          <w:lang w:eastAsia="sl-SI"/>
        </w:rPr>
        <w:t>:</w:t>
      </w:r>
      <w:r w:rsidR="00E4026D" w:rsidRPr="007E2D72">
        <w:rPr>
          <w:rFonts w:ascii="Arial" w:hAnsi="Arial" w:cs="Arial"/>
          <w:sz w:val="20"/>
          <w:szCs w:val="20"/>
          <w:lang w:eastAsia="sl-SI"/>
        </w:rPr>
        <w:t xml:space="preserve"> </w:t>
      </w:r>
    </w:p>
    <w:p w14:paraId="631C90E2" w14:textId="2DAD758F" w:rsidR="00E4026D" w:rsidRPr="007E2D72" w:rsidRDefault="00E4026D" w:rsidP="00012435">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lang w:eastAsia="sl-SI"/>
        </w:rPr>
        <w:t xml:space="preserve">ki </w:t>
      </w:r>
      <w:r w:rsidRPr="007E2D72">
        <w:rPr>
          <w:rFonts w:ascii="Arial" w:hAnsi="Arial" w:cs="Arial"/>
          <w:sz w:val="20"/>
          <w:szCs w:val="20"/>
        </w:rPr>
        <w:t>se</w:t>
      </w:r>
      <w:r w:rsidR="00022949" w:rsidRPr="007E2D72">
        <w:rPr>
          <w:rFonts w:ascii="Arial" w:hAnsi="Arial" w:cs="Arial"/>
          <w:sz w:val="20"/>
          <w:szCs w:val="20"/>
          <w:lang w:eastAsia="sl-SI"/>
        </w:rPr>
        <w:t xml:space="preserve"> porabijo</w:t>
      </w:r>
      <w:r w:rsidRPr="007E2D72">
        <w:rPr>
          <w:rFonts w:ascii="Arial" w:hAnsi="Arial" w:cs="Arial"/>
          <w:sz w:val="20"/>
          <w:szCs w:val="20"/>
          <w:lang w:eastAsia="sl-SI"/>
        </w:rPr>
        <w:t xml:space="preserve"> za kemijsko redukcijo in elektrolitske in metalurške procese</w:t>
      </w:r>
      <w:r w:rsidR="00824C55">
        <w:rPr>
          <w:rFonts w:ascii="Arial" w:hAnsi="Arial" w:cs="Arial"/>
          <w:sz w:val="20"/>
          <w:szCs w:val="20"/>
          <w:lang w:eastAsia="sl-SI"/>
        </w:rPr>
        <w:t xml:space="preserve"> </w:t>
      </w:r>
      <w:r w:rsidR="00824C55">
        <w:t>(po ED);</w:t>
      </w:r>
    </w:p>
    <w:p w14:paraId="701708CA" w14:textId="7283B66E" w:rsidR="00022949" w:rsidRPr="007E2D72" w:rsidRDefault="00022949" w:rsidP="00012435">
      <w:pPr>
        <w:numPr>
          <w:ilvl w:val="0"/>
          <w:numId w:val="48"/>
        </w:numPr>
        <w:spacing w:after="0" w:line="260" w:lineRule="atLeast"/>
        <w:jc w:val="both"/>
        <w:rPr>
          <w:rFonts w:ascii="Arial" w:hAnsi="Arial" w:cs="Arial"/>
          <w:sz w:val="20"/>
          <w:szCs w:val="20"/>
          <w:lang w:eastAsia="sl-SI"/>
        </w:rPr>
      </w:pPr>
      <w:r w:rsidRPr="00AC13E9">
        <w:t>ki se v prostorih proizvajalca porabi za proizvodnjo električne energije</w:t>
      </w:r>
      <w:r w:rsidR="00824C55">
        <w:t xml:space="preserve"> (po ED);</w:t>
      </w:r>
    </w:p>
    <w:p w14:paraId="11E8A057" w14:textId="4143D7AF" w:rsidR="00EE1F28" w:rsidRPr="007E2D72" w:rsidRDefault="00E4026D" w:rsidP="00012435">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lang w:eastAsia="sl-SI"/>
        </w:rPr>
        <w:t xml:space="preserve">če </w:t>
      </w:r>
      <w:r w:rsidR="0009189B">
        <w:rPr>
          <w:rFonts w:ascii="Arial" w:hAnsi="Arial" w:cs="Arial"/>
          <w:sz w:val="20"/>
          <w:szCs w:val="20"/>
          <w:lang w:eastAsia="sl-SI"/>
        </w:rPr>
        <w:t>pomeni</w:t>
      </w:r>
      <w:r w:rsidRPr="007E2D72">
        <w:rPr>
          <w:rFonts w:ascii="Arial" w:hAnsi="Arial" w:cs="Arial"/>
          <w:sz w:val="20"/>
          <w:szCs w:val="20"/>
          <w:lang w:eastAsia="sl-SI"/>
        </w:rPr>
        <w:t xml:space="preserve"> več kakor 50 % stroška izdelka</w:t>
      </w:r>
      <w:r w:rsidR="00824C55">
        <w:rPr>
          <w:rFonts w:ascii="Arial" w:hAnsi="Arial" w:cs="Arial"/>
          <w:sz w:val="20"/>
          <w:szCs w:val="20"/>
          <w:lang w:eastAsia="sl-SI"/>
        </w:rPr>
        <w:t xml:space="preserve"> </w:t>
      </w:r>
      <w:r w:rsidR="00824C55">
        <w:t>(po ED);</w:t>
      </w:r>
      <w:r w:rsidRPr="007E2D72">
        <w:rPr>
          <w:rFonts w:ascii="Arial" w:hAnsi="Arial" w:cs="Arial"/>
          <w:sz w:val="20"/>
          <w:szCs w:val="20"/>
          <w:lang w:eastAsia="sl-SI"/>
        </w:rPr>
        <w:t xml:space="preserve"> </w:t>
      </w:r>
    </w:p>
    <w:p w14:paraId="59EF1B1F" w14:textId="494BB8E6" w:rsidR="00E4026D" w:rsidRPr="007E2D72" w:rsidRDefault="00E4026D" w:rsidP="00012435">
      <w:pPr>
        <w:numPr>
          <w:ilvl w:val="0"/>
          <w:numId w:val="48"/>
        </w:numPr>
        <w:spacing w:after="0" w:line="260" w:lineRule="atLeast"/>
        <w:jc w:val="both"/>
        <w:rPr>
          <w:rFonts w:ascii="Arial" w:hAnsi="Arial" w:cs="Arial"/>
          <w:sz w:val="20"/>
          <w:szCs w:val="20"/>
          <w:lang w:eastAsia="sl-SI"/>
        </w:rPr>
      </w:pPr>
      <w:r w:rsidRPr="007E2D72">
        <w:rPr>
          <w:rFonts w:ascii="Arial" w:hAnsi="Arial" w:cs="Arial"/>
          <w:sz w:val="20"/>
          <w:szCs w:val="20"/>
          <w:lang w:eastAsia="sl-SI"/>
        </w:rPr>
        <w:t>ki se porab</w:t>
      </w:r>
      <w:r w:rsidR="00EE1F28" w:rsidRPr="007E2D72">
        <w:rPr>
          <w:rFonts w:ascii="Arial" w:hAnsi="Arial" w:cs="Arial"/>
          <w:sz w:val="20"/>
          <w:szCs w:val="20"/>
          <w:lang w:eastAsia="sl-SI"/>
        </w:rPr>
        <w:t>i</w:t>
      </w:r>
      <w:r w:rsidRPr="007E2D72">
        <w:rPr>
          <w:rFonts w:ascii="Arial" w:hAnsi="Arial" w:cs="Arial"/>
          <w:sz w:val="20"/>
          <w:szCs w:val="20"/>
          <w:lang w:eastAsia="sl-SI"/>
        </w:rPr>
        <w:t>j</w:t>
      </w:r>
      <w:r w:rsidR="00EE1F28" w:rsidRPr="007E2D72">
        <w:rPr>
          <w:rFonts w:ascii="Arial" w:hAnsi="Arial" w:cs="Arial"/>
          <w:sz w:val="20"/>
          <w:szCs w:val="20"/>
          <w:lang w:eastAsia="sl-SI"/>
        </w:rPr>
        <w:t>o</w:t>
      </w:r>
      <w:r w:rsidRPr="007E2D72">
        <w:rPr>
          <w:rFonts w:ascii="Arial" w:hAnsi="Arial" w:cs="Arial"/>
          <w:sz w:val="20"/>
          <w:szCs w:val="20"/>
          <w:lang w:eastAsia="sl-SI"/>
        </w:rPr>
        <w:t xml:space="preserve"> za proizvodnjo nekovinskih mineralnih izdelkov</w:t>
      </w:r>
      <w:r w:rsidR="00346309">
        <w:rPr>
          <w:rFonts w:ascii="Arial" w:hAnsi="Arial" w:cs="Arial"/>
          <w:sz w:val="20"/>
          <w:szCs w:val="20"/>
          <w:lang w:eastAsia="sl-SI"/>
        </w:rPr>
        <w:t xml:space="preserve"> </w:t>
      </w:r>
      <w:r w:rsidR="00824C55">
        <w:t>(po ED</w:t>
      </w:r>
      <w:r w:rsidR="00AC13E9">
        <w:t>)</w:t>
      </w:r>
      <w:r w:rsidRPr="007E2D72">
        <w:rPr>
          <w:rFonts w:ascii="Arial" w:hAnsi="Arial" w:cs="Arial"/>
          <w:sz w:val="20"/>
          <w:szCs w:val="20"/>
          <w:lang w:eastAsia="sl-SI"/>
        </w:rPr>
        <w:t xml:space="preserve">. </w:t>
      </w:r>
    </w:p>
    <w:p w14:paraId="44F0591D" w14:textId="24B25FD8" w:rsidR="00E4026D" w:rsidRDefault="00E4026D" w:rsidP="00012435">
      <w:pPr>
        <w:spacing w:after="0" w:line="260" w:lineRule="atLeast"/>
        <w:jc w:val="both"/>
        <w:rPr>
          <w:rFonts w:ascii="Arial" w:hAnsi="Arial" w:cs="Arial"/>
          <w:sz w:val="20"/>
          <w:szCs w:val="20"/>
          <w:lang w:eastAsia="sl-SI"/>
        </w:rPr>
      </w:pPr>
    </w:p>
    <w:p w14:paraId="71417361" w14:textId="401AC14D" w:rsidR="007E2D72" w:rsidRPr="00012435" w:rsidRDefault="007E2D72" w:rsidP="007E2D72">
      <w:pPr>
        <w:spacing w:after="0" w:line="260" w:lineRule="atLeast"/>
        <w:jc w:val="both"/>
        <w:rPr>
          <w:rFonts w:ascii="Arial" w:hAnsi="Arial" w:cs="Arial"/>
          <w:sz w:val="20"/>
          <w:szCs w:val="20"/>
          <w:lang w:eastAsia="sl-SI"/>
        </w:rPr>
      </w:pPr>
      <w:r>
        <w:rPr>
          <w:rFonts w:ascii="Arial" w:hAnsi="Arial" w:cs="Arial"/>
          <w:sz w:val="20"/>
          <w:szCs w:val="20"/>
          <w:lang w:eastAsia="sl-SI"/>
        </w:rPr>
        <w:t xml:space="preserve">Vendar pri obdavčitvi energentov in električne energije med </w:t>
      </w:r>
      <w:r w:rsidR="00824C55">
        <w:rPr>
          <w:rFonts w:ascii="Arial" w:hAnsi="Arial" w:cs="Arial"/>
          <w:sz w:val="20"/>
          <w:szCs w:val="20"/>
          <w:lang w:eastAsia="sl-SI"/>
        </w:rPr>
        <w:t xml:space="preserve">davčne </w:t>
      </w:r>
      <w:r>
        <w:rPr>
          <w:rFonts w:ascii="Arial" w:hAnsi="Arial" w:cs="Arial"/>
          <w:sz w:val="20"/>
          <w:szCs w:val="20"/>
          <w:lang w:eastAsia="sl-SI"/>
        </w:rPr>
        <w:t xml:space="preserve">izdatke ne štejemo oprostitev, ki </w:t>
      </w:r>
      <w:r w:rsidR="0009189B">
        <w:rPr>
          <w:rFonts w:ascii="Arial" w:hAnsi="Arial" w:cs="Arial"/>
          <w:sz w:val="20"/>
          <w:szCs w:val="20"/>
          <w:lang w:eastAsia="sl-SI"/>
        </w:rPr>
        <w:t>so</w:t>
      </w:r>
      <w:r>
        <w:rPr>
          <w:rFonts w:ascii="Arial" w:hAnsi="Arial" w:cs="Arial"/>
          <w:sz w:val="20"/>
          <w:szCs w:val="20"/>
          <w:lang w:eastAsia="sl-SI"/>
        </w:rPr>
        <w:t xml:space="preserve"> izvzet</w:t>
      </w:r>
      <w:r w:rsidR="0009189B">
        <w:rPr>
          <w:rFonts w:ascii="Arial" w:hAnsi="Arial" w:cs="Arial"/>
          <w:sz w:val="20"/>
          <w:szCs w:val="20"/>
          <w:lang w:eastAsia="sl-SI"/>
        </w:rPr>
        <w:t>e</w:t>
      </w:r>
      <w:r>
        <w:rPr>
          <w:rFonts w:ascii="Arial" w:hAnsi="Arial" w:cs="Arial"/>
          <w:sz w:val="20"/>
          <w:szCs w:val="20"/>
          <w:lang w:eastAsia="sl-SI"/>
        </w:rPr>
        <w:t xml:space="preserve"> iz obdavčitve v skladu z evropsko direktivo (v </w:t>
      </w:r>
      <w:r w:rsidR="0009189B">
        <w:rPr>
          <w:rFonts w:ascii="Arial" w:hAnsi="Arial" w:cs="Arial"/>
          <w:sz w:val="20"/>
          <w:szCs w:val="20"/>
          <w:lang w:eastAsia="sl-SI"/>
        </w:rPr>
        <w:t>besedilu</w:t>
      </w:r>
      <w:r w:rsidR="00824C55">
        <w:rPr>
          <w:rFonts w:ascii="Arial" w:hAnsi="Arial" w:cs="Arial"/>
          <w:sz w:val="20"/>
          <w:szCs w:val="20"/>
          <w:lang w:eastAsia="sl-SI"/>
        </w:rPr>
        <w:t xml:space="preserve"> označeno s »</w:t>
      </w:r>
      <w:r w:rsidR="00824C55">
        <w:t>po ED</w:t>
      </w:r>
      <w:r w:rsidR="00824C55" w:rsidRPr="00824C55">
        <w:t>«)</w:t>
      </w:r>
      <w:r w:rsidR="00824C55" w:rsidRPr="00AC13E9">
        <w:t>, saj gre za obvezne oprostitve.</w:t>
      </w:r>
      <w:r w:rsidRPr="00AC13E9">
        <w:t xml:space="preserve"> </w:t>
      </w:r>
      <w:r w:rsidR="00824C55">
        <w:t xml:space="preserve">Kljub temu smo </w:t>
      </w:r>
      <w:r w:rsidR="0009189B">
        <w:t xml:space="preserve">nekatere </w:t>
      </w:r>
      <w:r w:rsidR="00824C55">
        <w:t xml:space="preserve">zneske oprostitev navedli </w:t>
      </w:r>
      <w:r w:rsidR="0009189B">
        <w:t>v preglednici</w:t>
      </w:r>
      <w:r w:rsidR="00824C55">
        <w:t xml:space="preserve">, ker menimo, da </w:t>
      </w:r>
      <w:r w:rsidR="0009189B">
        <w:t>so</w:t>
      </w:r>
      <w:r w:rsidR="00824C55">
        <w:t xml:space="preserve"> zanimiv</w:t>
      </w:r>
      <w:r w:rsidR="0009189B">
        <w:t>a</w:t>
      </w:r>
      <w:r w:rsidR="00824C55">
        <w:t xml:space="preserve"> informacij</w:t>
      </w:r>
      <w:r w:rsidR="0009189B">
        <w:t>a</w:t>
      </w:r>
      <w:r w:rsidR="00824C55">
        <w:t xml:space="preserve"> o tem, kolikšen je njihov znesek.</w:t>
      </w:r>
    </w:p>
    <w:p w14:paraId="4EF4BF2C" w14:textId="77777777" w:rsidR="007E2D72" w:rsidRPr="00012435" w:rsidRDefault="007E2D72" w:rsidP="00012435">
      <w:pPr>
        <w:spacing w:after="0" w:line="260" w:lineRule="atLeast"/>
        <w:jc w:val="both"/>
        <w:rPr>
          <w:rFonts w:ascii="Arial" w:hAnsi="Arial" w:cs="Arial"/>
          <w:sz w:val="20"/>
          <w:szCs w:val="20"/>
          <w:lang w:eastAsia="sl-SI"/>
        </w:rPr>
      </w:pPr>
    </w:p>
    <w:p w14:paraId="53979A1B" w14:textId="5A808349" w:rsidR="00E4026D" w:rsidRPr="00012435" w:rsidRDefault="0009189B" w:rsidP="00012435">
      <w:pPr>
        <w:spacing w:after="0" w:line="260" w:lineRule="atLeast"/>
        <w:jc w:val="both"/>
        <w:rPr>
          <w:rFonts w:ascii="Arial" w:hAnsi="Arial" w:cs="Arial"/>
          <w:sz w:val="20"/>
          <w:szCs w:val="20"/>
          <w:lang w:eastAsia="sl-SI"/>
        </w:rPr>
      </w:pPr>
      <w:r>
        <w:rPr>
          <w:rFonts w:ascii="Arial" w:hAnsi="Arial" w:cs="Arial"/>
          <w:sz w:val="20"/>
          <w:szCs w:val="20"/>
          <w:lang w:eastAsia="sl-SI"/>
        </w:rPr>
        <w:t>Hkrati</w:t>
      </w:r>
      <w:r w:rsidR="00E4026D" w:rsidRPr="00012435">
        <w:rPr>
          <w:rFonts w:ascii="Arial" w:hAnsi="Arial" w:cs="Arial"/>
          <w:sz w:val="20"/>
          <w:szCs w:val="20"/>
          <w:lang w:eastAsia="sl-SI"/>
        </w:rPr>
        <w:t xml:space="preserve"> trošarinska zakonodaja omogoča tudi </w:t>
      </w:r>
      <w:r w:rsidR="00E4026D" w:rsidRPr="00AC13E9">
        <w:rPr>
          <w:rFonts w:ascii="Arial" w:hAnsi="Arial" w:cs="Arial"/>
          <w:sz w:val="20"/>
          <w:szCs w:val="20"/>
          <w:lang w:eastAsia="sl-SI"/>
        </w:rPr>
        <w:t>vračila</w:t>
      </w:r>
      <w:r w:rsidR="00EE1F28" w:rsidRPr="00AC13E9">
        <w:rPr>
          <w:rFonts w:ascii="Arial" w:hAnsi="Arial" w:cs="Arial"/>
          <w:sz w:val="20"/>
          <w:szCs w:val="20"/>
          <w:lang w:eastAsia="sl-SI"/>
        </w:rPr>
        <w:t xml:space="preserve"> plačane</w:t>
      </w:r>
      <w:r w:rsidR="00E4026D" w:rsidRPr="00AC13E9">
        <w:rPr>
          <w:rFonts w:ascii="Arial" w:hAnsi="Arial" w:cs="Arial"/>
          <w:sz w:val="20"/>
          <w:szCs w:val="20"/>
          <w:lang w:eastAsia="sl-SI"/>
        </w:rPr>
        <w:t xml:space="preserve"> trošarine</w:t>
      </w:r>
      <w:r w:rsidR="0043200E" w:rsidRPr="00AC13E9">
        <w:t xml:space="preserve"> </w:t>
      </w:r>
      <w:r w:rsidR="0043200E" w:rsidRPr="00AC13E9">
        <w:rPr>
          <w:rFonts w:ascii="Arial" w:hAnsi="Arial" w:cs="Arial"/>
          <w:sz w:val="20"/>
          <w:szCs w:val="20"/>
          <w:lang w:eastAsia="sl-SI"/>
        </w:rPr>
        <w:t xml:space="preserve">za </w:t>
      </w:r>
      <w:r w:rsidR="00EE1F28" w:rsidRPr="00AC13E9">
        <w:rPr>
          <w:rFonts w:ascii="Arial" w:hAnsi="Arial" w:cs="Arial"/>
          <w:sz w:val="20"/>
          <w:szCs w:val="20"/>
          <w:lang w:eastAsia="sl-SI"/>
        </w:rPr>
        <w:t>pogonsko gorivo</w:t>
      </w:r>
      <w:r w:rsidR="00E4026D" w:rsidRPr="00012435">
        <w:rPr>
          <w:rFonts w:ascii="Arial" w:hAnsi="Arial" w:cs="Arial"/>
          <w:sz w:val="20"/>
          <w:szCs w:val="20"/>
          <w:lang w:eastAsia="sl-SI"/>
        </w:rPr>
        <w:t>, in sicer za:</w:t>
      </w:r>
    </w:p>
    <w:p w14:paraId="79FFDF36" w14:textId="305CFAA3" w:rsidR="00E4026D" w:rsidRPr="00012435" w:rsidRDefault="00E4026D" w:rsidP="00012435">
      <w:pPr>
        <w:pStyle w:val="ListParagraph"/>
        <w:numPr>
          <w:ilvl w:val="0"/>
          <w:numId w:val="50"/>
        </w:numPr>
        <w:spacing w:line="260" w:lineRule="atLeast"/>
        <w:contextualSpacing/>
        <w:jc w:val="both"/>
        <w:rPr>
          <w:rFonts w:ascii="Arial" w:hAnsi="Arial" w:cs="Arial"/>
          <w:sz w:val="20"/>
          <w:szCs w:val="20"/>
        </w:rPr>
      </w:pPr>
      <w:r w:rsidRPr="00012435">
        <w:rPr>
          <w:rFonts w:ascii="Arial" w:hAnsi="Arial" w:cs="Arial"/>
          <w:sz w:val="20"/>
          <w:szCs w:val="20"/>
        </w:rPr>
        <w:t>gorivo</w:t>
      </w:r>
      <w:r w:rsidR="003C26F1">
        <w:rPr>
          <w:rFonts w:ascii="Arial" w:hAnsi="Arial" w:cs="Arial"/>
          <w:sz w:val="20"/>
          <w:szCs w:val="20"/>
        </w:rPr>
        <w:t>,</w:t>
      </w:r>
      <w:r w:rsidRPr="00012435">
        <w:rPr>
          <w:rFonts w:ascii="Arial" w:hAnsi="Arial" w:cs="Arial"/>
          <w:sz w:val="20"/>
          <w:szCs w:val="20"/>
        </w:rPr>
        <w:t xml:space="preserve"> uporabljeno za komercialni prevoz blaga in potnikov</w:t>
      </w:r>
      <w:r w:rsidR="003C26F1">
        <w:rPr>
          <w:rFonts w:ascii="Arial" w:hAnsi="Arial" w:cs="Arial"/>
          <w:sz w:val="20"/>
          <w:szCs w:val="20"/>
        </w:rPr>
        <w:t>,</w:t>
      </w:r>
      <w:r w:rsidRPr="00012435">
        <w:rPr>
          <w:rFonts w:ascii="Arial" w:hAnsi="Arial" w:cs="Arial"/>
          <w:sz w:val="20"/>
          <w:szCs w:val="20"/>
        </w:rPr>
        <w:t xml:space="preserve"> za </w:t>
      </w:r>
      <w:r w:rsidR="002E3C47">
        <w:rPr>
          <w:rFonts w:ascii="Arial" w:hAnsi="Arial" w:cs="Arial"/>
          <w:sz w:val="20"/>
          <w:szCs w:val="20"/>
        </w:rPr>
        <w:t xml:space="preserve">znesek </w:t>
      </w:r>
      <w:r w:rsidRPr="00012435">
        <w:rPr>
          <w:rFonts w:ascii="Arial" w:hAnsi="Arial" w:cs="Arial"/>
          <w:sz w:val="20"/>
          <w:szCs w:val="20"/>
        </w:rPr>
        <w:t>trošarin</w:t>
      </w:r>
      <w:r w:rsidR="002E3C47">
        <w:rPr>
          <w:rFonts w:ascii="Arial" w:hAnsi="Arial" w:cs="Arial"/>
          <w:sz w:val="20"/>
          <w:szCs w:val="20"/>
        </w:rPr>
        <w:t>e</w:t>
      </w:r>
      <w:r w:rsidRPr="00012435">
        <w:rPr>
          <w:rFonts w:ascii="Arial" w:hAnsi="Arial" w:cs="Arial"/>
          <w:sz w:val="20"/>
          <w:szCs w:val="20"/>
        </w:rPr>
        <w:t xml:space="preserve"> nad 330,00 </w:t>
      </w:r>
      <w:r w:rsidR="0043200E">
        <w:rPr>
          <w:rFonts w:ascii="Arial" w:hAnsi="Arial" w:cs="Arial"/>
          <w:sz w:val="20"/>
          <w:szCs w:val="20"/>
        </w:rPr>
        <w:t>evrov</w:t>
      </w:r>
      <w:r w:rsidRPr="00012435">
        <w:rPr>
          <w:rFonts w:ascii="Arial" w:hAnsi="Arial" w:cs="Arial"/>
          <w:sz w:val="20"/>
          <w:szCs w:val="20"/>
        </w:rPr>
        <w:t>/1</w:t>
      </w:r>
      <w:r w:rsidR="002E3C47">
        <w:rPr>
          <w:rFonts w:ascii="Arial" w:hAnsi="Arial" w:cs="Arial"/>
          <w:sz w:val="20"/>
          <w:szCs w:val="20"/>
        </w:rPr>
        <w:t>.</w:t>
      </w:r>
      <w:r w:rsidRPr="00012435">
        <w:rPr>
          <w:rFonts w:ascii="Arial" w:hAnsi="Arial" w:cs="Arial"/>
          <w:sz w:val="20"/>
          <w:szCs w:val="20"/>
        </w:rPr>
        <w:t>000 litrov goriva;</w:t>
      </w:r>
    </w:p>
    <w:p w14:paraId="6F17DB1E" w14:textId="6C195C13" w:rsidR="002E3C47" w:rsidRDefault="00E4026D" w:rsidP="00012435">
      <w:pPr>
        <w:pStyle w:val="ListParagraph"/>
        <w:numPr>
          <w:ilvl w:val="0"/>
          <w:numId w:val="50"/>
        </w:numPr>
        <w:spacing w:line="260" w:lineRule="atLeast"/>
        <w:contextualSpacing/>
        <w:jc w:val="both"/>
        <w:rPr>
          <w:rFonts w:ascii="Arial" w:hAnsi="Arial" w:cs="Arial"/>
          <w:sz w:val="20"/>
          <w:szCs w:val="20"/>
        </w:rPr>
      </w:pPr>
      <w:r w:rsidRPr="00012435">
        <w:rPr>
          <w:rFonts w:ascii="Arial" w:hAnsi="Arial" w:cs="Arial"/>
          <w:sz w:val="20"/>
          <w:szCs w:val="20"/>
        </w:rPr>
        <w:t>gorivo</w:t>
      </w:r>
      <w:r w:rsidR="003C26F1">
        <w:rPr>
          <w:rFonts w:ascii="Arial" w:hAnsi="Arial" w:cs="Arial"/>
          <w:sz w:val="20"/>
          <w:szCs w:val="20"/>
        </w:rPr>
        <w:t>,</w:t>
      </w:r>
      <w:r w:rsidRPr="00012435">
        <w:rPr>
          <w:rFonts w:ascii="Arial" w:hAnsi="Arial" w:cs="Arial"/>
          <w:sz w:val="20"/>
          <w:szCs w:val="20"/>
        </w:rPr>
        <w:t xml:space="preserve"> uporabljeno za kmetijsko in gozdarsko mehanizacijo</w:t>
      </w:r>
      <w:r w:rsidR="003C26F1">
        <w:rPr>
          <w:rFonts w:ascii="Arial" w:hAnsi="Arial" w:cs="Arial"/>
          <w:sz w:val="20"/>
          <w:szCs w:val="20"/>
        </w:rPr>
        <w:t>,</w:t>
      </w:r>
      <w:r w:rsidRPr="00012435">
        <w:rPr>
          <w:rFonts w:ascii="Arial" w:hAnsi="Arial" w:cs="Arial"/>
          <w:sz w:val="20"/>
          <w:szCs w:val="20"/>
        </w:rPr>
        <w:t xml:space="preserve"> v višini 70 % </w:t>
      </w:r>
      <w:r w:rsidR="002E3C47">
        <w:rPr>
          <w:rFonts w:ascii="Arial" w:hAnsi="Arial" w:cs="Arial"/>
          <w:sz w:val="20"/>
          <w:szCs w:val="20"/>
        </w:rPr>
        <w:t xml:space="preserve">zneska </w:t>
      </w:r>
      <w:r w:rsidRPr="00012435">
        <w:rPr>
          <w:rFonts w:ascii="Arial" w:hAnsi="Arial" w:cs="Arial"/>
          <w:sz w:val="20"/>
          <w:szCs w:val="20"/>
        </w:rPr>
        <w:t xml:space="preserve">trošarine ter </w:t>
      </w:r>
    </w:p>
    <w:p w14:paraId="268C333E" w14:textId="085E4142" w:rsidR="00E4026D" w:rsidRPr="00012435" w:rsidRDefault="00E4026D" w:rsidP="00012435">
      <w:pPr>
        <w:pStyle w:val="ListParagraph"/>
        <w:numPr>
          <w:ilvl w:val="0"/>
          <w:numId w:val="50"/>
        </w:numPr>
        <w:spacing w:line="260" w:lineRule="atLeast"/>
        <w:contextualSpacing/>
        <w:jc w:val="both"/>
        <w:rPr>
          <w:rFonts w:ascii="Arial" w:hAnsi="Arial" w:cs="Arial"/>
          <w:sz w:val="20"/>
          <w:szCs w:val="20"/>
        </w:rPr>
      </w:pPr>
      <w:r w:rsidRPr="00012435">
        <w:rPr>
          <w:rFonts w:ascii="Arial" w:hAnsi="Arial" w:cs="Arial"/>
          <w:sz w:val="20"/>
          <w:szCs w:val="20"/>
        </w:rPr>
        <w:t>gorivo</w:t>
      </w:r>
      <w:r w:rsidR="003C26F1">
        <w:rPr>
          <w:rFonts w:ascii="Arial" w:hAnsi="Arial" w:cs="Arial"/>
          <w:sz w:val="20"/>
          <w:szCs w:val="20"/>
        </w:rPr>
        <w:t>,</w:t>
      </w:r>
      <w:r w:rsidRPr="00012435">
        <w:rPr>
          <w:rFonts w:ascii="Arial" w:hAnsi="Arial" w:cs="Arial"/>
          <w:sz w:val="20"/>
          <w:szCs w:val="20"/>
        </w:rPr>
        <w:t xml:space="preserve"> uporabljeno za industrijsko-komercialni namen</w:t>
      </w:r>
      <w:r w:rsidR="003C26F1">
        <w:rPr>
          <w:rFonts w:ascii="Arial" w:hAnsi="Arial" w:cs="Arial"/>
          <w:sz w:val="20"/>
          <w:szCs w:val="20"/>
        </w:rPr>
        <w:t>,</w:t>
      </w:r>
      <w:r w:rsidRPr="00012435">
        <w:rPr>
          <w:rFonts w:ascii="Arial" w:hAnsi="Arial" w:cs="Arial"/>
          <w:sz w:val="20"/>
          <w:szCs w:val="20"/>
        </w:rPr>
        <w:t xml:space="preserve"> v višini 50 % </w:t>
      </w:r>
      <w:r w:rsidR="002E3C47">
        <w:rPr>
          <w:rFonts w:ascii="Arial" w:hAnsi="Arial" w:cs="Arial"/>
          <w:sz w:val="20"/>
          <w:szCs w:val="20"/>
        </w:rPr>
        <w:t xml:space="preserve">zneska </w:t>
      </w:r>
      <w:r w:rsidRPr="00012435">
        <w:rPr>
          <w:rFonts w:ascii="Arial" w:hAnsi="Arial" w:cs="Arial"/>
          <w:sz w:val="20"/>
          <w:szCs w:val="20"/>
        </w:rPr>
        <w:t>trošarine.</w:t>
      </w:r>
    </w:p>
    <w:p w14:paraId="6B96A631" w14:textId="77777777" w:rsidR="00E4026D" w:rsidRPr="00012435" w:rsidRDefault="00E4026D" w:rsidP="00012435">
      <w:pPr>
        <w:spacing w:after="0" w:line="260" w:lineRule="atLeast"/>
        <w:jc w:val="both"/>
        <w:rPr>
          <w:rFonts w:ascii="Arial" w:hAnsi="Arial" w:cs="Arial"/>
          <w:sz w:val="20"/>
          <w:szCs w:val="20"/>
          <w:lang w:eastAsia="sl-SI"/>
        </w:rPr>
      </w:pPr>
    </w:p>
    <w:p w14:paraId="06F171E8" w14:textId="2105733D" w:rsidR="003076DB" w:rsidRDefault="003076DB" w:rsidP="00012435">
      <w:pPr>
        <w:spacing w:after="0" w:line="260" w:lineRule="atLeast"/>
        <w:jc w:val="both"/>
        <w:rPr>
          <w:rFonts w:ascii="Arial" w:hAnsi="Arial" w:cs="Arial"/>
          <w:sz w:val="20"/>
          <w:szCs w:val="20"/>
          <w:lang w:eastAsia="sl-SI"/>
        </w:rPr>
      </w:pPr>
      <w:r>
        <w:rPr>
          <w:rFonts w:ascii="Arial" w:hAnsi="Arial" w:cs="Arial"/>
          <w:sz w:val="20"/>
          <w:szCs w:val="20"/>
          <w:lang w:eastAsia="sl-SI"/>
        </w:rPr>
        <w:t>Glavn</w:t>
      </w:r>
      <w:r w:rsidR="000A2939">
        <w:rPr>
          <w:rFonts w:ascii="Arial" w:hAnsi="Arial" w:cs="Arial"/>
          <w:sz w:val="20"/>
          <w:szCs w:val="20"/>
          <w:lang w:eastAsia="sl-SI"/>
        </w:rPr>
        <w:t>e</w:t>
      </w:r>
      <w:r>
        <w:rPr>
          <w:rFonts w:ascii="Arial" w:hAnsi="Arial" w:cs="Arial"/>
          <w:sz w:val="20"/>
          <w:szCs w:val="20"/>
          <w:lang w:eastAsia="sl-SI"/>
        </w:rPr>
        <w:t xml:space="preserve"> </w:t>
      </w:r>
      <w:r w:rsidR="000A2939">
        <w:rPr>
          <w:rFonts w:ascii="Arial" w:hAnsi="Arial" w:cs="Arial"/>
          <w:sz w:val="20"/>
          <w:szCs w:val="20"/>
          <w:lang w:eastAsia="sl-SI"/>
        </w:rPr>
        <w:t>oprostitve</w:t>
      </w:r>
      <w:r>
        <w:rPr>
          <w:rFonts w:ascii="Arial" w:hAnsi="Arial" w:cs="Arial"/>
          <w:sz w:val="20"/>
          <w:szCs w:val="20"/>
          <w:lang w:eastAsia="sl-SI"/>
        </w:rPr>
        <w:t xml:space="preserve"> pri trošarinah na alkohol in alkoholne pijače se nanašajo na naslednje določbe:</w:t>
      </w:r>
    </w:p>
    <w:p w14:paraId="32A7AC0F" w14:textId="11FF9731" w:rsidR="003076DB" w:rsidRDefault="003076DB" w:rsidP="00012435">
      <w:pPr>
        <w:pStyle w:val="ListParagraph"/>
        <w:numPr>
          <w:ilvl w:val="0"/>
          <w:numId w:val="64"/>
        </w:numPr>
        <w:spacing w:line="260" w:lineRule="atLeast"/>
        <w:jc w:val="both"/>
        <w:rPr>
          <w:rFonts w:ascii="Arial" w:hAnsi="Arial" w:cs="Arial"/>
          <w:sz w:val="20"/>
          <w:szCs w:val="20"/>
        </w:rPr>
      </w:pPr>
      <w:r w:rsidRPr="001F66DD">
        <w:rPr>
          <w:rFonts w:ascii="Arial" w:hAnsi="Arial" w:cs="Arial"/>
          <w:sz w:val="20"/>
          <w:szCs w:val="20"/>
        </w:rPr>
        <w:t>za proizvodnjo arom in brezalkoholnih pijač (do 1,2 % vol.)</w:t>
      </w:r>
      <w:r w:rsidR="001F66DD" w:rsidRPr="001F66DD">
        <w:rPr>
          <w:rFonts w:ascii="Arial" w:hAnsi="Arial" w:cs="Arial"/>
          <w:sz w:val="20"/>
          <w:szCs w:val="20"/>
        </w:rPr>
        <w:t>,</w:t>
      </w:r>
      <w:r w:rsidRPr="00012435">
        <w:rPr>
          <w:rFonts w:ascii="Arial" w:hAnsi="Arial" w:cs="Arial"/>
          <w:sz w:val="20"/>
          <w:szCs w:val="20"/>
        </w:rPr>
        <w:t xml:space="preserve"> </w:t>
      </w:r>
      <w:r w:rsidR="001F66DD">
        <w:rPr>
          <w:rFonts w:ascii="Arial" w:hAnsi="Arial" w:cs="Arial"/>
          <w:sz w:val="20"/>
          <w:szCs w:val="20"/>
        </w:rPr>
        <w:t xml:space="preserve">živil, </w:t>
      </w:r>
      <w:r w:rsidRPr="00012435">
        <w:rPr>
          <w:rFonts w:ascii="Arial" w:hAnsi="Arial" w:cs="Arial"/>
          <w:sz w:val="20"/>
          <w:szCs w:val="20"/>
        </w:rPr>
        <w:t>kisa</w:t>
      </w:r>
      <w:r w:rsidR="001F66DD" w:rsidRPr="001F66DD">
        <w:rPr>
          <w:rFonts w:ascii="Arial" w:hAnsi="Arial" w:cs="Arial"/>
          <w:sz w:val="20"/>
          <w:szCs w:val="20"/>
        </w:rPr>
        <w:t xml:space="preserve">, </w:t>
      </w:r>
      <w:r w:rsidRPr="00012435">
        <w:rPr>
          <w:rFonts w:ascii="Arial" w:hAnsi="Arial" w:cs="Arial"/>
          <w:sz w:val="20"/>
          <w:szCs w:val="20"/>
        </w:rPr>
        <w:t>neprehrambenih izdelkov</w:t>
      </w:r>
      <w:r w:rsidR="00301EB9">
        <w:rPr>
          <w:rFonts w:ascii="Arial" w:hAnsi="Arial" w:cs="Arial"/>
          <w:sz w:val="20"/>
          <w:szCs w:val="20"/>
        </w:rPr>
        <w:t>,</w:t>
      </w:r>
      <w:r w:rsidRPr="001F66DD">
        <w:rPr>
          <w:rFonts w:ascii="Arial" w:hAnsi="Arial" w:cs="Arial"/>
          <w:sz w:val="20"/>
          <w:szCs w:val="20"/>
        </w:rPr>
        <w:t xml:space="preserve"> zdravil</w:t>
      </w:r>
      <w:r w:rsidR="00EE1F28">
        <w:rPr>
          <w:rFonts w:ascii="Arial" w:hAnsi="Arial" w:cs="Arial"/>
          <w:sz w:val="20"/>
          <w:szCs w:val="20"/>
        </w:rPr>
        <w:t xml:space="preserve">, pri rabi za </w:t>
      </w:r>
      <w:r w:rsidRPr="001F66DD">
        <w:rPr>
          <w:rFonts w:ascii="Arial" w:hAnsi="Arial" w:cs="Arial"/>
          <w:sz w:val="20"/>
          <w:szCs w:val="20"/>
        </w:rPr>
        <w:t>zdravstvene namene</w:t>
      </w:r>
      <w:r w:rsidR="00EE1F28">
        <w:rPr>
          <w:rFonts w:ascii="Arial" w:hAnsi="Arial" w:cs="Arial"/>
          <w:sz w:val="20"/>
          <w:szCs w:val="20"/>
        </w:rPr>
        <w:t xml:space="preserve"> za </w:t>
      </w:r>
      <w:r w:rsidR="00EE1F28" w:rsidRPr="009C6DC9">
        <w:rPr>
          <w:rFonts w:ascii="Arial" w:hAnsi="Arial" w:cs="Arial"/>
          <w:sz w:val="20"/>
          <w:szCs w:val="20"/>
        </w:rPr>
        <w:t>zdravstvene domove, bolnišnice, klinični inštitut in lekarne</w:t>
      </w:r>
      <w:r w:rsidR="00EE1F28">
        <w:rPr>
          <w:rFonts w:ascii="Arial" w:hAnsi="Arial" w:cs="Arial"/>
          <w:sz w:val="20"/>
          <w:szCs w:val="20"/>
        </w:rPr>
        <w:t xml:space="preserve"> in </w:t>
      </w:r>
      <w:r w:rsidR="00EE1F28" w:rsidRPr="009C6DC9">
        <w:rPr>
          <w:rFonts w:ascii="Arial" w:hAnsi="Arial" w:cs="Arial"/>
          <w:sz w:val="20"/>
          <w:szCs w:val="20"/>
        </w:rPr>
        <w:t>znanstvenoraziskovalno delo.</w:t>
      </w:r>
    </w:p>
    <w:p w14:paraId="2AC7F495" w14:textId="77777777" w:rsidR="007E2D72" w:rsidRDefault="007E2D72" w:rsidP="00012435">
      <w:pPr>
        <w:spacing w:after="0" w:line="260" w:lineRule="atLeast"/>
        <w:jc w:val="both"/>
        <w:rPr>
          <w:rFonts w:ascii="Arial" w:hAnsi="Arial" w:cs="Arial"/>
          <w:sz w:val="20"/>
          <w:szCs w:val="20"/>
        </w:rPr>
      </w:pPr>
    </w:p>
    <w:p w14:paraId="070F801B" w14:textId="42DA3914" w:rsidR="001F66DD" w:rsidRDefault="00431565" w:rsidP="00431565">
      <w:pPr>
        <w:spacing w:line="260" w:lineRule="atLeast"/>
        <w:jc w:val="both"/>
        <w:rPr>
          <w:rFonts w:ascii="Arial" w:hAnsi="Arial" w:cs="Arial"/>
          <w:sz w:val="20"/>
          <w:szCs w:val="20"/>
          <w:lang w:eastAsia="sl-SI"/>
        </w:rPr>
      </w:pPr>
      <w:r w:rsidRPr="00431565">
        <w:rPr>
          <w:rFonts w:ascii="Arial" w:hAnsi="Arial" w:cs="Arial"/>
          <w:sz w:val="20"/>
          <w:szCs w:val="20"/>
          <w:lang w:eastAsia="sl-SI"/>
        </w:rPr>
        <w:t>Za vse trošari</w:t>
      </w:r>
      <w:r w:rsidRPr="00431565">
        <w:rPr>
          <w:rFonts w:ascii="Arial" w:hAnsi="Arial" w:cs="Arial"/>
          <w:sz w:val="20"/>
          <w:szCs w:val="20"/>
        </w:rPr>
        <w:t>n</w:t>
      </w:r>
      <w:r w:rsidRPr="00431565">
        <w:rPr>
          <w:rFonts w:ascii="Arial" w:hAnsi="Arial" w:cs="Arial"/>
          <w:sz w:val="20"/>
          <w:szCs w:val="20"/>
          <w:lang w:eastAsia="sl-SI"/>
        </w:rPr>
        <w:t xml:space="preserve">ske izdelke velja oprostitev </w:t>
      </w:r>
      <w:r>
        <w:rPr>
          <w:rFonts w:ascii="Arial" w:hAnsi="Arial" w:cs="Arial"/>
          <w:sz w:val="20"/>
          <w:szCs w:val="20"/>
          <w:lang w:eastAsia="sl-SI"/>
        </w:rPr>
        <w:t xml:space="preserve">pri uporabi </w:t>
      </w:r>
      <w:r w:rsidRPr="00431565">
        <w:rPr>
          <w:rFonts w:ascii="Arial" w:hAnsi="Arial" w:cs="Arial"/>
          <w:sz w:val="20"/>
          <w:szCs w:val="20"/>
        </w:rPr>
        <w:t>za službene potrebe diplomatskih predstavništev, konzulatov in mednarodnih organizacij</w:t>
      </w:r>
      <w:r w:rsidR="00824C55">
        <w:rPr>
          <w:rFonts w:ascii="Arial" w:hAnsi="Arial" w:cs="Arial"/>
          <w:sz w:val="20"/>
          <w:szCs w:val="20"/>
        </w:rPr>
        <w:t xml:space="preserve"> (</w:t>
      </w:r>
      <w:r w:rsidR="00824C55">
        <w:t>po ED)</w:t>
      </w:r>
      <w:r w:rsidRPr="00431565">
        <w:rPr>
          <w:rFonts w:ascii="Arial" w:hAnsi="Arial" w:cs="Arial"/>
          <w:sz w:val="20"/>
          <w:szCs w:val="20"/>
        </w:rPr>
        <w:t>.</w:t>
      </w:r>
      <w:r>
        <w:rPr>
          <w:rFonts w:ascii="Arial" w:hAnsi="Arial" w:cs="Arial"/>
          <w:sz w:val="20"/>
          <w:szCs w:val="20"/>
        </w:rPr>
        <w:t xml:space="preserve"> </w:t>
      </w:r>
      <w:r w:rsidR="001F66DD">
        <w:rPr>
          <w:rFonts w:ascii="Arial" w:hAnsi="Arial" w:cs="Arial"/>
          <w:sz w:val="20"/>
          <w:szCs w:val="20"/>
          <w:lang w:eastAsia="sl-SI"/>
        </w:rPr>
        <w:t xml:space="preserve">Poleg tega </w:t>
      </w:r>
      <w:r w:rsidR="002E3C47">
        <w:rPr>
          <w:rFonts w:ascii="Arial" w:hAnsi="Arial" w:cs="Arial"/>
          <w:sz w:val="20"/>
          <w:szCs w:val="20"/>
          <w:lang w:eastAsia="sl-SI"/>
        </w:rPr>
        <w:t>ZTro-1</w:t>
      </w:r>
      <w:r w:rsidR="000A2939">
        <w:rPr>
          <w:rFonts w:ascii="Arial" w:hAnsi="Arial" w:cs="Arial"/>
          <w:sz w:val="20"/>
          <w:szCs w:val="20"/>
          <w:lang w:eastAsia="sl-SI"/>
        </w:rPr>
        <w:t xml:space="preserve"> t.</w:t>
      </w:r>
      <w:r w:rsidR="003C26F1">
        <w:rPr>
          <w:rFonts w:ascii="Arial" w:hAnsi="Arial" w:cs="Arial"/>
          <w:sz w:val="20"/>
          <w:szCs w:val="20"/>
          <w:lang w:eastAsia="sl-SI"/>
        </w:rPr>
        <w:t xml:space="preserve"> </w:t>
      </w:r>
      <w:r w:rsidR="000A2939">
        <w:rPr>
          <w:rFonts w:ascii="Arial" w:hAnsi="Arial" w:cs="Arial"/>
          <w:sz w:val="20"/>
          <w:szCs w:val="20"/>
          <w:lang w:eastAsia="sl-SI"/>
        </w:rPr>
        <w:t xml:space="preserve">i. malim proizvajalcem piva in žganja določa </w:t>
      </w:r>
      <w:r w:rsidR="001F66DD">
        <w:rPr>
          <w:rFonts w:ascii="Arial" w:hAnsi="Arial" w:cs="Arial"/>
          <w:sz w:val="20"/>
          <w:szCs w:val="20"/>
          <w:lang w:eastAsia="sl-SI"/>
        </w:rPr>
        <w:t>znižano trošarinsko stopnjo (50 % predpisane</w:t>
      </w:r>
      <w:r w:rsidR="002E3C47">
        <w:rPr>
          <w:rFonts w:ascii="Arial" w:hAnsi="Arial" w:cs="Arial"/>
          <w:sz w:val="20"/>
          <w:szCs w:val="20"/>
          <w:lang w:eastAsia="sl-SI"/>
        </w:rPr>
        <w:t>ga zneska</w:t>
      </w:r>
      <w:r w:rsidR="001F66DD">
        <w:rPr>
          <w:rFonts w:ascii="Arial" w:hAnsi="Arial" w:cs="Arial"/>
          <w:sz w:val="20"/>
          <w:szCs w:val="20"/>
          <w:lang w:eastAsia="sl-SI"/>
        </w:rPr>
        <w:t xml:space="preserve"> trošarine)</w:t>
      </w:r>
      <w:r w:rsidR="000A2939">
        <w:rPr>
          <w:rFonts w:ascii="Arial" w:hAnsi="Arial" w:cs="Arial"/>
          <w:sz w:val="20"/>
          <w:szCs w:val="20"/>
          <w:lang w:eastAsia="sl-SI"/>
        </w:rPr>
        <w:t>, kar uvrščamo med davčne izdatke</w:t>
      </w:r>
      <w:r w:rsidR="001F66DD">
        <w:rPr>
          <w:rFonts w:ascii="Arial" w:hAnsi="Arial" w:cs="Arial"/>
          <w:sz w:val="20"/>
          <w:szCs w:val="20"/>
          <w:lang w:eastAsia="sl-SI"/>
        </w:rPr>
        <w:t>.</w:t>
      </w:r>
    </w:p>
    <w:p w14:paraId="5C177E4C" w14:textId="65000F57" w:rsidR="00E4026D"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Za določitev</w:t>
      </w:r>
      <w:r w:rsidR="003C26F1">
        <w:rPr>
          <w:rFonts w:ascii="Arial" w:hAnsi="Arial" w:cs="Arial"/>
          <w:sz w:val="20"/>
          <w:szCs w:val="20"/>
          <w:lang w:eastAsia="sl-SI"/>
        </w:rPr>
        <w:t>,</w:t>
      </w:r>
      <w:r w:rsidRPr="00012435">
        <w:rPr>
          <w:rFonts w:ascii="Arial" w:hAnsi="Arial" w:cs="Arial"/>
          <w:sz w:val="20"/>
          <w:szCs w:val="20"/>
          <w:lang w:eastAsia="sl-SI"/>
        </w:rPr>
        <w:t xml:space="preserve"> katera oprostitev, vračil</w:t>
      </w:r>
      <w:r w:rsidR="00A7736E">
        <w:rPr>
          <w:rFonts w:ascii="Arial" w:hAnsi="Arial" w:cs="Arial"/>
          <w:sz w:val="20"/>
          <w:szCs w:val="20"/>
          <w:lang w:eastAsia="sl-SI"/>
        </w:rPr>
        <w:t>o</w:t>
      </w:r>
      <w:r w:rsidRPr="00012435">
        <w:rPr>
          <w:rFonts w:ascii="Arial" w:hAnsi="Arial" w:cs="Arial"/>
          <w:sz w:val="20"/>
          <w:szCs w:val="20"/>
          <w:lang w:eastAsia="sl-SI"/>
        </w:rPr>
        <w:t>, znižan</w:t>
      </w:r>
      <w:r w:rsidR="00A7736E">
        <w:rPr>
          <w:rFonts w:ascii="Arial" w:hAnsi="Arial" w:cs="Arial"/>
          <w:sz w:val="20"/>
          <w:szCs w:val="20"/>
          <w:lang w:eastAsia="sl-SI"/>
        </w:rPr>
        <w:t>a</w:t>
      </w:r>
      <w:r w:rsidRPr="00012435">
        <w:rPr>
          <w:rFonts w:ascii="Arial" w:hAnsi="Arial" w:cs="Arial"/>
          <w:sz w:val="20"/>
          <w:szCs w:val="20"/>
          <w:lang w:eastAsia="sl-SI"/>
        </w:rPr>
        <w:t xml:space="preserve"> ali nižj</w:t>
      </w:r>
      <w:r w:rsidR="00A7736E">
        <w:rPr>
          <w:rFonts w:ascii="Arial" w:hAnsi="Arial" w:cs="Arial"/>
          <w:sz w:val="20"/>
          <w:szCs w:val="20"/>
          <w:lang w:eastAsia="sl-SI"/>
        </w:rPr>
        <w:t>a</w:t>
      </w:r>
      <w:r w:rsidRPr="00012435">
        <w:rPr>
          <w:rFonts w:ascii="Arial" w:hAnsi="Arial" w:cs="Arial"/>
          <w:sz w:val="20"/>
          <w:szCs w:val="20"/>
          <w:lang w:eastAsia="sl-SI"/>
        </w:rPr>
        <w:t xml:space="preserve"> trošarinsk</w:t>
      </w:r>
      <w:r w:rsidR="00A7736E">
        <w:rPr>
          <w:rFonts w:ascii="Arial" w:hAnsi="Arial" w:cs="Arial"/>
          <w:sz w:val="20"/>
          <w:szCs w:val="20"/>
          <w:lang w:eastAsia="sl-SI"/>
        </w:rPr>
        <w:t>a</w:t>
      </w:r>
      <w:r w:rsidRPr="00012435">
        <w:rPr>
          <w:rFonts w:ascii="Arial" w:hAnsi="Arial" w:cs="Arial"/>
          <w:sz w:val="20"/>
          <w:szCs w:val="20"/>
          <w:lang w:eastAsia="sl-SI"/>
        </w:rPr>
        <w:t xml:space="preserve"> stop</w:t>
      </w:r>
      <w:r w:rsidR="00A7736E">
        <w:rPr>
          <w:rFonts w:ascii="Arial" w:hAnsi="Arial" w:cs="Arial"/>
          <w:sz w:val="20"/>
          <w:szCs w:val="20"/>
          <w:lang w:eastAsia="sl-SI"/>
        </w:rPr>
        <w:t>nja</w:t>
      </w:r>
      <w:r w:rsidR="00D71424">
        <w:rPr>
          <w:rFonts w:ascii="Arial" w:hAnsi="Arial" w:cs="Arial"/>
          <w:sz w:val="20"/>
          <w:szCs w:val="20"/>
          <w:lang w:eastAsia="sl-SI"/>
        </w:rPr>
        <w:t xml:space="preserve"> (</w:t>
      </w:r>
      <w:r w:rsidR="00544498">
        <w:rPr>
          <w:rFonts w:ascii="Arial" w:hAnsi="Arial" w:cs="Arial"/>
          <w:sz w:val="20"/>
          <w:szCs w:val="20"/>
          <w:lang w:eastAsia="sl-SI"/>
        </w:rPr>
        <w:t>na primer</w:t>
      </w:r>
      <w:r w:rsidR="00D71424">
        <w:rPr>
          <w:rFonts w:ascii="Arial" w:hAnsi="Arial" w:cs="Arial"/>
          <w:sz w:val="20"/>
          <w:szCs w:val="20"/>
          <w:lang w:eastAsia="sl-SI"/>
        </w:rPr>
        <w:t xml:space="preserve"> z</w:t>
      </w:r>
      <w:r w:rsidR="00D71424" w:rsidRPr="00D71424">
        <w:rPr>
          <w:rFonts w:ascii="Arial" w:hAnsi="Arial" w:cs="Arial"/>
          <w:sz w:val="20"/>
          <w:szCs w:val="20"/>
          <w:lang w:eastAsia="sl-SI"/>
        </w:rPr>
        <w:t>nižana trošarina na električno energijo za večje porabnike (nad 10.000 MWh/leto)</w:t>
      </w:r>
      <w:r w:rsidR="00D71424">
        <w:rPr>
          <w:rFonts w:ascii="Arial" w:hAnsi="Arial" w:cs="Arial"/>
          <w:sz w:val="20"/>
          <w:szCs w:val="20"/>
          <w:lang w:eastAsia="sl-SI"/>
        </w:rPr>
        <w:t>)</w:t>
      </w:r>
      <w:r w:rsidRPr="00012435">
        <w:rPr>
          <w:rFonts w:ascii="Arial" w:hAnsi="Arial" w:cs="Arial"/>
          <w:sz w:val="20"/>
          <w:szCs w:val="20"/>
          <w:lang w:eastAsia="sl-SI"/>
        </w:rPr>
        <w:t xml:space="preserve"> velja kot </w:t>
      </w:r>
      <w:r w:rsidR="0043200E">
        <w:rPr>
          <w:rFonts w:ascii="Arial" w:hAnsi="Arial" w:cs="Arial"/>
          <w:sz w:val="20"/>
          <w:szCs w:val="20"/>
          <w:lang w:eastAsia="sl-SI"/>
        </w:rPr>
        <w:t>davčni izdatek</w:t>
      </w:r>
      <w:r w:rsidRPr="00012435">
        <w:rPr>
          <w:rFonts w:ascii="Arial" w:hAnsi="Arial" w:cs="Arial"/>
          <w:sz w:val="20"/>
          <w:szCs w:val="20"/>
          <w:lang w:eastAsia="sl-SI"/>
        </w:rPr>
        <w:t xml:space="preserve">, pri trošarinah </w:t>
      </w:r>
      <w:r w:rsidR="008E1885">
        <w:rPr>
          <w:rFonts w:ascii="Arial" w:hAnsi="Arial" w:cs="Arial"/>
          <w:sz w:val="20"/>
          <w:szCs w:val="20"/>
          <w:lang w:eastAsia="sl-SI"/>
        </w:rPr>
        <w:t>upoštevamo</w:t>
      </w:r>
      <w:r w:rsidRPr="00012435">
        <w:rPr>
          <w:rFonts w:ascii="Arial" w:hAnsi="Arial" w:cs="Arial"/>
          <w:sz w:val="20"/>
          <w:szCs w:val="20"/>
          <w:lang w:eastAsia="sl-SI"/>
        </w:rPr>
        <w:t xml:space="preserve"> naslednje načel</w:t>
      </w:r>
      <w:r w:rsidR="008E1885">
        <w:rPr>
          <w:rFonts w:ascii="Arial" w:hAnsi="Arial" w:cs="Arial"/>
          <w:sz w:val="20"/>
          <w:szCs w:val="20"/>
          <w:lang w:eastAsia="sl-SI"/>
        </w:rPr>
        <w:t>o</w:t>
      </w:r>
      <w:r w:rsidRPr="00012435">
        <w:rPr>
          <w:rFonts w:ascii="Arial" w:hAnsi="Arial" w:cs="Arial"/>
          <w:sz w:val="20"/>
          <w:szCs w:val="20"/>
          <w:lang w:eastAsia="sl-SI"/>
        </w:rPr>
        <w:t xml:space="preserve">: pri energentih se trošarina pobere od končne porabe energije, pri alkoholu od izdelkov, ki so namenjeni zaužitju, pri tobaku pa od izdelkov, ki so namenjeni kajenju </w:t>
      </w:r>
      <w:r w:rsidR="00390A2A">
        <w:rPr>
          <w:rFonts w:ascii="Arial" w:hAnsi="Arial" w:cs="Arial"/>
          <w:sz w:val="20"/>
          <w:szCs w:val="20"/>
          <w:lang w:eastAsia="sl-SI"/>
        </w:rPr>
        <w:t>oziroma</w:t>
      </w:r>
      <w:r w:rsidRPr="00012435">
        <w:rPr>
          <w:rFonts w:ascii="Arial" w:hAnsi="Arial" w:cs="Arial"/>
          <w:sz w:val="20"/>
          <w:szCs w:val="20"/>
          <w:lang w:eastAsia="sl-SI"/>
        </w:rPr>
        <w:t xml:space="preserve"> drug</w:t>
      </w:r>
      <w:r w:rsidR="0043200E">
        <w:rPr>
          <w:rFonts w:ascii="Arial" w:hAnsi="Arial" w:cs="Arial"/>
          <w:sz w:val="20"/>
          <w:szCs w:val="20"/>
          <w:lang w:eastAsia="sl-SI"/>
        </w:rPr>
        <w:t>emu</w:t>
      </w:r>
      <w:r w:rsidRPr="00012435">
        <w:rPr>
          <w:rFonts w:ascii="Arial" w:hAnsi="Arial" w:cs="Arial"/>
          <w:sz w:val="20"/>
          <w:szCs w:val="20"/>
          <w:lang w:eastAsia="sl-SI"/>
        </w:rPr>
        <w:t xml:space="preserve"> primerljivemu načinu uporabe. Pri obdavčitvi alkohola tako med </w:t>
      </w:r>
      <w:r w:rsidR="0043200E">
        <w:rPr>
          <w:rFonts w:ascii="Arial" w:hAnsi="Arial" w:cs="Arial"/>
          <w:sz w:val="20"/>
          <w:szCs w:val="20"/>
          <w:lang w:eastAsia="sl-SI"/>
        </w:rPr>
        <w:t>izdatke</w:t>
      </w:r>
      <w:r w:rsidR="0043200E" w:rsidRPr="00012435">
        <w:rPr>
          <w:rFonts w:ascii="Arial" w:hAnsi="Arial" w:cs="Arial"/>
          <w:sz w:val="20"/>
          <w:szCs w:val="20"/>
          <w:lang w:eastAsia="sl-SI"/>
        </w:rPr>
        <w:t xml:space="preserve"> </w:t>
      </w:r>
      <w:r w:rsidRPr="00012435">
        <w:rPr>
          <w:rFonts w:ascii="Arial" w:hAnsi="Arial" w:cs="Arial"/>
          <w:sz w:val="20"/>
          <w:szCs w:val="20"/>
          <w:lang w:eastAsia="sl-SI"/>
        </w:rPr>
        <w:t>ne štejemo oprostitve za proizvodnjo neprehrambenih izdelkov ter</w:t>
      </w:r>
      <w:r w:rsidR="003C26F1">
        <w:rPr>
          <w:rFonts w:ascii="Arial" w:hAnsi="Arial" w:cs="Arial"/>
          <w:sz w:val="20"/>
          <w:szCs w:val="20"/>
          <w:lang w:eastAsia="sl-SI"/>
        </w:rPr>
        <w:t xml:space="preserve"> oprostitve</w:t>
      </w:r>
      <w:r w:rsidRPr="00012435">
        <w:rPr>
          <w:rFonts w:ascii="Arial" w:hAnsi="Arial" w:cs="Arial"/>
          <w:sz w:val="20"/>
          <w:szCs w:val="20"/>
          <w:lang w:eastAsia="sl-SI"/>
        </w:rPr>
        <w:t xml:space="preserve"> za proizvodnjo zdravil in druge zdravstvene namene. </w:t>
      </w:r>
    </w:p>
    <w:p w14:paraId="161F610B" w14:textId="5A12DBAD" w:rsidR="00E4026D" w:rsidRDefault="00E4026D" w:rsidP="00012435">
      <w:pPr>
        <w:spacing w:after="0" w:line="260" w:lineRule="atLeast"/>
        <w:jc w:val="both"/>
        <w:rPr>
          <w:rFonts w:ascii="Arial" w:hAnsi="Arial" w:cs="Arial"/>
          <w:sz w:val="20"/>
          <w:szCs w:val="20"/>
          <w:u w:val="single"/>
          <w:lang w:eastAsia="sl-SI"/>
        </w:rPr>
      </w:pPr>
    </w:p>
    <w:p w14:paraId="18E6CA0F" w14:textId="77777777" w:rsidR="0066096A" w:rsidRDefault="0066096A">
      <w:pPr>
        <w:spacing w:after="0" w:line="240" w:lineRule="auto"/>
        <w:rPr>
          <w:rFonts w:ascii="Arial" w:hAnsi="Arial" w:cs="Arial"/>
          <w:sz w:val="20"/>
          <w:szCs w:val="20"/>
          <w:lang w:eastAsia="sl-SI"/>
        </w:rPr>
      </w:pPr>
      <w:r>
        <w:rPr>
          <w:rFonts w:ascii="Arial" w:hAnsi="Arial" w:cs="Arial"/>
          <w:sz w:val="20"/>
          <w:szCs w:val="20"/>
          <w:lang w:eastAsia="sl-SI"/>
        </w:rPr>
        <w:br w:type="page"/>
      </w:r>
    </w:p>
    <w:p w14:paraId="74B427A7" w14:textId="4D8CE7D6" w:rsidR="003D2AD6" w:rsidRPr="008B55CD" w:rsidRDefault="009B0B27">
      <w:pPr>
        <w:pStyle w:val="NoSpacing"/>
        <w:spacing w:line="260" w:lineRule="atLeast"/>
        <w:rPr>
          <w:rFonts w:ascii="Arial" w:hAnsi="Arial" w:cs="Arial"/>
          <w:color w:val="7F7F7F"/>
          <w:sz w:val="20"/>
          <w:szCs w:val="20"/>
          <w:lang w:eastAsia="sl-SI"/>
        </w:rPr>
      </w:pPr>
      <w:r>
        <w:rPr>
          <w:rFonts w:ascii="Arial" w:hAnsi="Arial" w:cs="Arial"/>
          <w:sz w:val="20"/>
          <w:szCs w:val="20"/>
          <w:lang w:eastAsia="sl-SI"/>
        </w:rPr>
        <w:lastRenderedPageBreak/>
        <w:t>Preglednica</w:t>
      </w:r>
      <w:r w:rsidR="003D2AD6" w:rsidRPr="008B55CD">
        <w:rPr>
          <w:rFonts w:ascii="Arial" w:hAnsi="Arial" w:cs="Arial"/>
          <w:sz w:val="20"/>
          <w:szCs w:val="20"/>
          <w:lang w:eastAsia="sl-SI"/>
        </w:rPr>
        <w:t xml:space="preserve"> </w:t>
      </w:r>
      <w:r w:rsidR="00091D42">
        <w:rPr>
          <w:rFonts w:ascii="Arial" w:hAnsi="Arial" w:cs="Arial"/>
          <w:sz w:val="20"/>
          <w:szCs w:val="20"/>
          <w:lang w:eastAsia="sl-SI"/>
        </w:rPr>
        <w:t>9</w:t>
      </w:r>
      <w:r w:rsidR="003D2AD6" w:rsidRPr="008B55CD">
        <w:rPr>
          <w:rFonts w:ascii="Arial" w:hAnsi="Arial" w:cs="Arial"/>
          <w:sz w:val="20"/>
          <w:szCs w:val="20"/>
          <w:lang w:eastAsia="sl-SI"/>
        </w:rPr>
        <w:t>: Obračunski podatki o trošarinah v obdobju</w:t>
      </w:r>
      <w:r w:rsidR="00A474C9">
        <w:rPr>
          <w:rFonts w:ascii="Arial" w:hAnsi="Arial" w:cs="Arial"/>
          <w:sz w:val="20"/>
          <w:szCs w:val="20"/>
          <w:lang w:eastAsia="sl-SI"/>
        </w:rPr>
        <w:t xml:space="preserve"> </w:t>
      </w:r>
      <w:r w:rsidR="0098586D">
        <w:rPr>
          <w:rFonts w:ascii="Arial" w:hAnsi="Arial" w:cs="Arial"/>
          <w:sz w:val="20"/>
          <w:szCs w:val="20"/>
          <w:lang w:eastAsia="sl-SI"/>
        </w:rPr>
        <w:t>o</w:t>
      </w:r>
      <w:r w:rsidR="00A474C9">
        <w:rPr>
          <w:rFonts w:ascii="Arial" w:hAnsi="Arial" w:cs="Arial"/>
          <w:sz w:val="20"/>
          <w:szCs w:val="20"/>
          <w:lang w:eastAsia="sl-SI"/>
        </w:rPr>
        <w:t>d</w:t>
      </w:r>
      <w:r w:rsidR="003D2AD6" w:rsidRPr="008B55CD">
        <w:rPr>
          <w:rFonts w:ascii="Arial" w:hAnsi="Arial" w:cs="Arial"/>
          <w:sz w:val="20"/>
          <w:szCs w:val="20"/>
          <w:lang w:eastAsia="sl-SI"/>
        </w:rPr>
        <w:t xml:space="preserve"> 2016</w:t>
      </w:r>
      <w:r w:rsidR="003D2AD6">
        <w:rPr>
          <w:rFonts w:ascii="Arial" w:hAnsi="Arial" w:cs="Arial"/>
          <w:sz w:val="20"/>
          <w:szCs w:val="20"/>
          <w:lang w:eastAsia="sl-SI"/>
        </w:rPr>
        <w:t xml:space="preserve"> </w:t>
      </w:r>
      <w:r w:rsidR="00A474C9">
        <w:rPr>
          <w:rFonts w:ascii="Arial" w:hAnsi="Arial" w:cs="Arial"/>
          <w:sz w:val="20"/>
          <w:szCs w:val="20"/>
          <w:lang w:eastAsia="sl-SI"/>
        </w:rPr>
        <w:t>do</w:t>
      </w:r>
      <w:r w:rsidR="003D2AD6">
        <w:rPr>
          <w:rFonts w:ascii="Arial" w:hAnsi="Arial" w:cs="Arial"/>
          <w:sz w:val="20"/>
          <w:szCs w:val="20"/>
          <w:lang w:eastAsia="sl-SI"/>
        </w:rPr>
        <w:t xml:space="preserve"> </w:t>
      </w:r>
      <w:r w:rsidR="003D2AD6" w:rsidRPr="008B55CD">
        <w:rPr>
          <w:rFonts w:ascii="Arial" w:hAnsi="Arial" w:cs="Arial"/>
          <w:sz w:val="20"/>
          <w:szCs w:val="20"/>
          <w:lang w:eastAsia="sl-SI"/>
        </w:rPr>
        <w:t>2018, v mio evr</w:t>
      </w:r>
      <w:r w:rsidR="00A7736E">
        <w:rPr>
          <w:rFonts w:ascii="Arial" w:hAnsi="Arial" w:cs="Arial"/>
          <w:sz w:val="20"/>
          <w:szCs w:val="20"/>
          <w:lang w:eastAsia="sl-SI"/>
        </w:rPr>
        <w:t>ov</w:t>
      </w:r>
    </w:p>
    <w:p w14:paraId="3E6217F2" w14:textId="77777777" w:rsidR="003D2AD6" w:rsidRPr="00E4026D" w:rsidRDefault="003D2AD6">
      <w:pPr>
        <w:pStyle w:val="NoSpacing"/>
        <w:rPr>
          <w:rFonts w:cs="Arial"/>
          <w:color w:val="7F7F7F"/>
          <w:sz w:val="20"/>
          <w:szCs w:val="20"/>
          <w:lang w:eastAsia="sl-SI"/>
        </w:rPr>
      </w:pPr>
    </w:p>
    <w:tbl>
      <w:tblPr>
        <w:tblW w:w="8000" w:type="dxa"/>
        <w:tblInd w:w="70" w:type="dxa"/>
        <w:tblCellMar>
          <w:left w:w="70" w:type="dxa"/>
          <w:right w:w="70" w:type="dxa"/>
        </w:tblCellMar>
        <w:tblLook w:val="04A0" w:firstRow="1" w:lastRow="0" w:firstColumn="1" w:lastColumn="0" w:noHBand="0" w:noVBand="1"/>
      </w:tblPr>
      <w:tblGrid>
        <w:gridCol w:w="4820"/>
        <w:gridCol w:w="1060"/>
        <w:gridCol w:w="1060"/>
        <w:gridCol w:w="1060"/>
      </w:tblGrid>
      <w:tr w:rsidR="003D2AD6" w:rsidRPr="008C75B3" w14:paraId="6BE04E31" w14:textId="77777777" w:rsidTr="00012435">
        <w:trPr>
          <w:trHeight w:val="285"/>
        </w:trPr>
        <w:tc>
          <w:tcPr>
            <w:tcW w:w="4820" w:type="dxa"/>
            <w:tcBorders>
              <w:top w:val="single" w:sz="4" w:space="0" w:color="auto"/>
              <w:left w:val="single" w:sz="4" w:space="0" w:color="auto"/>
              <w:bottom w:val="single" w:sz="4" w:space="0" w:color="auto"/>
              <w:right w:val="single" w:sz="4" w:space="0" w:color="auto"/>
            </w:tcBorders>
            <w:shd w:val="clear" w:color="000000" w:fill="FABF8F"/>
            <w:vAlign w:val="center"/>
            <w:hideMark/>
          </w:tcPr>
          <w:p w14:paraId="543D7681" w14:textId="77777777" w:rsidR="003D2AD6" w:rsidRPr="00431565" w:rsidRDefault="003D2AD6" w:rsidP="00012435">
            <w:pPr>
              <w:spacing w:after="0" w:line="240" w:lineRule="auto"/>
              <w:jc w:val="center"/>
              <w:rPr>
                <w:rFonts w:ascii="Arial" w:hAnsi="Arial" w:cs="Arial"/>
                <w:sz w:val="20"/>
                <w:szCs w:val="20"/>
                <w:lang w:eastAsia="sl-SI"/>
              </w:rPr>
            </w:pPr>
            <w:r w:rsidRPr="00431565">
              <w:rPr>
                <w:rFonts w:ascii="Arial" w:hAnsi="Arial" w:cs="Arial"/>
                <w:sz w:val="20"/>
                <w:szCs w:val="20"/>
                <w:lang w:eastAsia="sl-SI"/>
              </w:rPr>
              <w:t>Postavka/leto</w:t>
            </w:r>
          </w:p>
        </w:tc>
        <w:tc>
          <w:tcPr>
            <w:tcW w:w="1060" w:type="dxa"/>
            <w:tcBorders>
              <w:top w:val="single" w:sz="4" w:space="0" w:color="auto"/>
              <w:left w:val="nil"/>
              <w:bottom w:val="single" w:sz="4" w:space="0" w:color="auto"/>
              <w:right w:val="single" w:sz="4" w:space="0" w:color="auto"/>
            </w:tcBorders>
            <w:shd w:val="clear" w:color="000000" w:fill="FABF8F"/>
            <w:noWrap/>
            <w:vAlign w:val="center"/>
            <w:hideMark/>
          </w:tcPr>
          <w:p w14:paraId="54F819AA" w14:textId="77777777" w:rsidR="003D2AD6" w:rsidRPr="00431565" w:rsidRDefault="003D2AD6" w:rsidP="00012435">
            <w:pPr>
              <w:spacing w:after="0" w:line="240" w:lineRule="auto"/>
              <w:jc w:val="center"/>
              <w:rPr>
                <w:rFonts w:ascii="Arial" w:hAnsi="Arial" w:cs="Arial"/>
                <w:sz w:val="20"/>
                <w:szCs w:val="20"/>
                <w:lang w:eastAsia="sl-SI"/>
              </w:rPr>
            </w:pPr>
            <w:r w:rsidRPr="00431565">
              <w:rPr>
                <w:rFonts w:ascii="Arial" w:hAnsi="Arial" w:cs="Arial"/>
                <w:sz w:val="20"/>
                <w:szCs w:val="20"/>
                <w:lang w:eastAsia="sl-SI"/>
              </w:rPr>
              <w:t>2016</w:t>
            </w:r>
          </w:p>
        </w:tc>
        <w:tc>
          <w:tcPr>
            <w:tcW w:w="1060" w:type="dxa"/>
            <w:tcBorders>
              <w:top w:val="single" w:sz="4" w:space="0" w:color="auto"/>
              <w:left w:val="nil"/>
              <w:bottom w:val="single" w:sz="4" w:space="0" w:color="auto"/>
              <w:right w:val="single" w:sz="4" w:space="0" w:color="auto"/>
            </w:tcBorders>
            <w:shd w:val="clear" w:color="000000" w:fill="FABF8F"/>
            <w:noWrap/>
            <w:vAlign w:val="center"/>
            <w:hideMark/>
          </w:tcPr>
          <w:p w14:paraId="4CFD70B0" w14:textId="77777777" w:rsidR="003D2AD6" w:rsidRPr="00431565" w:rsidRDefault="003D2AD6" w:rsidP="00012435">
            <w:pPr>
              <w:spacing w:after="0" w:line="240" w:lineRule="auto"/>
              <w:jc w:val="center"/>
              <w:rPr>
                <w:rFonts w:ascii="Arial" w:hAnsi="Arial" w:cs="Arial"/>
                <w:sz w:val="20"/>
                <w:szCs w:val="20"/>
                <w:lang w:eastAsia="sl-SI"/>
              </w:rPr>
            </w:pPr>
            <w:r w:rsidRPr="00431565">
              <w:rPr>
                <w:rFonts w:ascii="Arial" w:hAnsi="Arial" w:cs="Arial"/>
                <w:sz w:val="20"/>
                <w:szCs w:val="20"/>
                <w:lang w:eastAsia="sl-SI"/>
              </w:rPr>
              <w:t>2017</w:t>
            </w:r>
          </w:p>
        </w:tc>
        <w:tc>
          <w:tcPr>
            <w:tcW w:w="1060" w:type="dxa"/>
            <w:tcBorders>
              <w:top w:val="single" w:sz="4" w:space="0" w:color="auto"/>
              <w:left w:val="nil"/>
              <w:bottom w:val="single" w:sz="4" w:space="0" w:color="auto"/>
              <w:right w:val="single" w:sz="4" w:space="0" w:color="auto"/>
            </w:tcBorders>
            <w:shd w:val="clear" w:color="000000" w:fill="FABF8F"/>
            <w:noWrap/>
            <w:vAlign w:val="center"/>
            <w:hideMark/>
          </w:tcPr>
          <w:p w14:paraId="31D8F94A" w14:textId="77777777" w:rsidR="003D2AD6" w:rsidRPr="00431565" w:rsidRDefault="003D2AD6" w:rsidP="00012435">
            <w:pPr>
              <w:spacing w:after="0" w:line="240" w:lineRule="auto"/>
              <w:jc w:val="center"/>
              <w:rPr>
                <w:rFonts w:ascii="Arial" w:hAnsi="Arial" w:cs="Arial"/>
                <w:sz w:val="20"/>
                <w:szCs w:val="20"/>
                <w:lang w:eastAsia="sl-SI"/>
              </w:rPr>
            </w:pPr>
            <w:r w:rsidRPr="00431565">
              <w:rPr>
                <w:rFonts w:ascii="Arial" w:hAnsi="Arial" w:cs="Arial"/>
                <w:sz w:val="20"/>
                <w:szCs w:val="20"/>
                <w:lang w:eastAsia="sl-SI"/>
              </w:rPr>
              <w:t>2018</w:t>
            </w:r>
          </w:p>
        </w:tc>
      </w:tr>
      <w:tr w:rsidR="003D2AD6" w:rsidRPr="008C75B3" w14:paraId="5623AC64"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B7DEE8"/>
            <w:vAlign w:val="center"/>
            <w:hideMark/>
          </w:tcPr>
          <w:p w14:paraId="1724A47D" w14:textId="77777777" w:rsidR="003D2AD6" w:rsidRPr="00431565" w:rsidRDefault="003D2AD6" w:rsidP="00012435">
            <w:pPr>
              <w:spacing w:after="0" w:line="240" w:lineRule="auto"/>
              <w:rPr>
                <w:rFonts w:ascii="Arial" w:hAnsi="Arial" w:cs="Arial"/>
                <w:b/>
                <w:bCs/>
                <w:sz w:val="20"/>
                <w:szCs w:val="20"/>
                <w:lang w:eastAsia="sl-SI"/>
              </w:rPr>
            </w:pPr>
            <w:r w:rsidRPr="00431565">
              <w:rPr>
                <w:rFonts w:ascii="Arial" w:hAnsi="Arial" w:cs="Arial"/>
                <w:b/>
                <w:bCs/>
                <w:sz w:val="20"/>
                <w:szCs w:val="20"/>
                <w:lang w:eastAsia="sl-SI"/>
              </w:rPr>
              <w:t>Obračunana trošarina</w:t>
            </w:r>
          </w:p>
        </w:tc>
        <w:tc>
          <w:tcPr>
            <w:tcW w:w="1060" w:type="dxa"/>
            <w:tcBorders>
              <w:top w:val="nil"/>
              <w:left w:val="nil"/>
              <w:bottom w:val="single" w:sz="4" w:space="0" w:color="auto"/>
              <w:right w:val="single" w:sz="4" w:space="0" w:color="auto"/>
            </w:tcBorders>
            <w:shd w:val="clear" w:color="000000" w:fill="B7DEE8"/>
            <w:noWrap/>
            <w:vAlign w:val="center"/>
            <w:hideMark/>
          </w:tcPr>
          <w:p w14:paraId="73C71E75"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1.640,6</w:t>
            </w:r>
          </w:p>
        </w:tc>
        <w:tc>
          <w:tcPr>
            <w:tcW w:w="1060" w:type="dxa"/>
            <w:tcBorders>
              <w:top w:val="nil"/>
              <w:left w:val="nil"/>
              <w:bottom w:val="single" w:sz="4" w:space="0" w:color="auto"/>
              <w:right w:val="single" w:sz="4" w:space="0" w:color="auto"/>
            </w:tcBorders>
            <w:shd w:val="clear" w:color="000000" w:fill="B7DEE8"/>
            <w:noWrap/>
            <w:vAlign w:val="center"/>
            <w:hideMark/>
          </w:tcPr>
          <w:p w14:paraId="38E8608C"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1.671,9</w:t>
            </w:r>
          </w:p>
        </w:tc>
        <w:tc>
          <w:tcPr>
            <w:tcW w:w="1060" w:type="dxa"/>
            <w:tcBorders>
              <w:top w:val="nil"/>
              <w:left w:val="nil"/>
              <w:bottom w:val="single" w:sz="4" w:space="0" w:color="auto"/>
              <w:right w:val="single" w:sz="4" w:space="0" w:color="auto"/>
            </w:tcBorders>
            <w:shd w:val="clear" w:color="000000" w:fill="B7DEE8"/>
            <w:noWrap/>
            <w:vAlign w:val="center"/>
            <w:hideMark/>
          </w:tcPr>
          <w:p w14:paraId="45CCA005"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1.637,1</w:t>
            </w:r>
          </w:p>
        </w:tc>
      </w:tr>
      <w:tr w:rsidR="003D2AD6" w:rsidRPr="008C75B3" w14:paraId="2241F319"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31996A98"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energente in električno energijo</w:t>
            </w:r>
          </w:p>
        </w:tc>
        <w:tc>
          <w:tcPr>
            <w:tcW w:w="1060" w:type="dxa"/>
            <w:tcBorders>
              <w:top w:val="nil"/>
              <w:left w:val="nil"/>
              <w:bottom w:val="single" w:sz="4" w:space="0" w:color="auto"/>
              <w:right w:val="single" w:sz="4" w:space="0" w:color="auto"/>
            </w:tcBorders>
            <w:shd w:val="clear" w:color="000000" w:fill="FFFFFF"/>
            <w:noWrap/>
            <w:vAlign w:val="center"/>
            <w:hideMark/>
          </w:tcPr>
          <w:p w14:paraId="659B2321"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1.119,3</w:t>
            </w:r>
          </w:p>
        </w:tc>
        <w:tc>
          <w:tcPr>
            <w:tcW w:w="1060" w:type="dxa"/>
            <w:tcBorders>
              <w:top w:val="nil"/>
              <w:left w:val="nil"/>
              <w:bottom w:val="single" w:sz="4" w:space="0" w:color="auto"/>
              <w:right w:val="single" w:sz="4" w:space="0" w:color="auto"/>
            </w:tcBorders>
            <w:shd w:val="clear" w:color="000000" w:fill="FFFFFF"/>
            <w:noWrap/>
            <w:vAlign w:val="center"/>
            <w:hideMark/>
          </w:tcPr>
          <w:p w14:paraId="0B9FA7FF"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1.131,4</w:t>
            </w:r>
          </w:p>
        </w:tc>
        <w:tc>
          <w:tcPr>
            <w:tcW w:w="1060" w:type="dxa"/>
            <w:tcBorders>
              <w:top w:val="nil"/>
              <w:left w:val="nil"/>
              <w:bottom w:val="single" w:sz="4" w:space="0" w:color="auto"/>
              <w:right w:val="single" w:sz="4" w:space="0" w:color="auto"/>
            </w:tcBorders>
            <w:shd w:val="clear" w:color="000000" w:fill="FFFFFF"/>
            <w:noWrap/>
            <w:vAlign w:val="center"/>
            <w:hideMark/>
          </w:tcPr>
          <w:p w14:paraId="06FC908C"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1.097,8</w:t>
            </w:r>
          </w:p>
        </w:tc>
      </w:tr>
      <w:tr w:rsidR="003D2AD6" w:rsidRPr="008C75B3" w14:paraId="53C45EA8"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5717CE50"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alkoholne pijače</w:t>
            </w:r>
          </w:p>
        </w:tc>
        <w:tc>
          <w:tcPr>
            <w:tcW w:w="1060" w:type="dxa"/>
            <w:tcBorders>
              <w:top w:val="nil"/>
              <w:left w:val="nil"/>
              <w:bottom w:val="single" w:sz="4" w:space="0" w:color="auto"/>
              <w:right w:val="single" w:sz="4" w:space="0" w:color="auto"/>
            </w:tcBorders>
            <w:shd w:val="clear" w:color="000000" w:fill="FFFFFF"/>
            <w:noWrap/>
            <w:vAlign w:val="center"/>
            <w:hideMark/>
          </w:tcPr>
          <w:p w14:paraId="4752B0CC"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109,3</w:t>
            </w:r>
          </w:p>
        </w:tc>
        <w:tc>
          <w:tcPr>
            <w:tcW w:w="1060" w:type="dxa"/>
            <w:tcBorders>
              <w:top w:val="nil"/>
              <w:left w:val="nil"/>
              <w:bottom w:val="single" w:sz="4" w:space="0" w:color="auto"/>
              <w:right w:val="single" w:sz="4" w:space="0" w:color="auto"/>
            </w:tcBorders>
            <w:shd w:val="clear" w:color="000000" w:fill="FFFFFF"/>
            <w:noWrap/>
            <w:vAlign w:val="center"/>
            <w:hideMark/>
          </w:tcPr>
          <w:p w14:paraId="4A5564DD"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112,6</w:t>
            </w:r>
          </w:p>
        </w:tc>
        <w:tc>
          <w:tcPr>
            <w:tcW w:w="1060" w:type="dxa"/>
            <w:tcBorders>
              <w:top w:val="nil"/>
              <w:left w:val="nil"/>
              <w:bottom w:val="single" w:sz="4" w:space="0" w:color="auto"/>
              <w:right w:val="single" w:sz="4" w:space="0" w:color="auto"/>
            </w:tcBorders>
            <w:shd w:val="clear" w:color="000000" w:fill="FFFFFF"/>
            <w:noWrap/>
            <w:vAlign w:val="center"/>
            <w:hideMark/>
          </w:tcPr>
          <w:p w14:paraId="490B5B8F"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119,2</w:t>
            </w:r>
          </w:p>
        </w:tc>
      </w:tr>
      <w:tr w:rsidR="003D2AD6" w:rsidRPr="008C75B3" w14:paraId="131CF710"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2F70277A"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od tobačnih izdelkov</w:t>
            </w:r>
          </w:p>
        </w:tc>
        <w:tc>
          <w:tcPr>
            <w:tcW w:w="1060" w:type="dxa"/>
            <w:tcBorders>
              <w:top w:val="nil"/>
              <w:left w:val="nil"/>
              <w:bottom w:val="single" w:sz="4" w:space="0" w:color="auto"/>
              <w:right w:val="single" w:sz="4" w:space="0" w:color="auto"/>
            </w:tcBorders>
            <w:shd w:val="clear" w:color="000000" w:fill="FFFFFF"/>
            <w:noWrap/>
            <w:vAlign w:val="center"/>
            <w:hideMark/>
          </w:tcPr>
          <w:p w14:paraId="7CA741FE"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411,9</w:t>
            </w:r>
          </w:p>
        </w:tc>
        <w:tc>
          <w:tcPr>
            <w:tcW w:w="1060" w:type="dxa"/>
            <w:tcBorders>
              <w:top w:val="nil"/>
              <w:left w:val="nil"/>
              <w:bottom w:val="single" w:sz="4" w:space="0" w:color="auto"/>
              <w:right w:val="single" w:sz="4" w:space="0" w:color="auto"/>
            </w:tcBorders>
            <w:shd w:val="clear" w:color="000000" w:fill="FFFFFF"/>
            <w:noWrap/>
            <w:vAlign w:val="center"/>
            <w:hideMark/>
          </w:tcPr>
          <w:p w14:paraId="379BA2D6"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427,9</w:t>
            </w:r>
          </w:p>
        </w:tc>
        <w:tc>
          <w:tcPr>
            <w:tcW w:w="1060" w:type="dxa"/>
            <w:tcBorders>
              <w:top w:val="nil"/>
              <w:left w:val="nil"/>
              <w:bottom w:val="single" w:sz="4" w:space="0" w:color="auto"/>
              <w:right w:val="single" w:sz="4" w:space="0" w:color="auto"/>
            </w:tcBorders>
            <w:shd w:val="clear" w:color="000000" w:fill="FFFFFF"/>
            <w:noWrap/>
            <w:vAlign w:val="center"/>
            <w:hideMark/>
          </w:tcPr>
          <w:p w14:paraId="68C2C56E"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420,2</w:t>
            </w:r>
          </w:p>
        </w:tc>
      </w:tr>
      <w:tr w:rsidR="003D2AD6" w:rsidRPr="008C75B3" w14:paraId="13A0E37E"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B7DEE8"/>
            <w:vAlign w:val="center"/>
            <w:hideMark/>
          </w:tcPr>
          <w:p w14:paraId="593EDC14" w14:textId="77777777" w:rsidR="003D2AD6" w:rsidRPr="00431565" w:rsidRDefault="003D2AD6" w:rsidP="00012435">
            <w:pPr>
              <w:spacing w:after="0" w:line="240" w:lineRule="auto"/>
              <w:rPr>
                <w:rFonts w:ascii="Arial" w:hAnsi="Arial" w:cs="Arial"/>
                <w:b/>
                <w:bCs/>
                <w:sz w:val="20"/>
                <w:szCs w:val="20"/>
                <w:lang w:eastAsia="sl-SI"/>
              </w:rPr>
            </w:pPr>
            <w:r w:rsidRPr="00431565">
              <w:rPr>
                <w:rFonts w:ascii="Arial" w:hAnsi="Arial" w:cs="Arial"/>
                <w:b/>
                <w:bCs/>
                <w:sz w:val="20"/>
                <w:szCs w:val="20"/>
                <w:lang w:eastAsia="sl-SI"/>
              </w:rPr>
              <w:t>Vračila trošarin</w:t>
            </w:r>
          </w:p>
        </w:tc>
        <w:tc>
          <w:tcPr>
            <w:tcW w:w="1060" w:type="dxa"/>
            <w:tcBorders>
              <w:top w:val="nil"/>
              <w:left w:val="nil"/>
              <w:bottom w:val="single" w:sz="4" w:space="0" w:color="auto"/>
              <w:right w:val="single" w:sz="4" w:space="0" w:color="auto"/>
            </w:tcBorders>
            <w:shd w:val="clear" w:color="000000" w:fill="B7DEE8"/>
            <w:noWrap/>
            <w:vAlign w:val="center"/>
            <w:hideMark/>
          </w:tcPr>
          <w:p w14:paraId="5B8DDF1A"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91,2</w:t>
            </w:r>
          </w:p>
        </w:tc>
        <w:tc>
          <w:tcPr>
            <w:tcW w:w="1060" w:type="dxa"/>
            <w:tcBorders>
              <w:top w:val="nil"/>
              <w:left w:val="nil"/>
              <w:bottom w:val="single" w:sz="4" w:space="0" w:color="auto"/>
              <w:right w:val="single" w:sz="4" w:space="0" w:color="auto"/>
            </w:tcBorders>
            <w:shd w:val="clear" w:color="000000" w:fill="B7DEE8"/>
            <w:noWrap/>
            <w:vAlign w:val="center"/>
            <w:hideMark/>
          </w:tcPr>
          <w:p w14:paraId="6CB4E19A"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91,4</w:t>
            </w:r>
          </w:p>
        </w:tc>
        <w:tc>
          <w:tcPr>
            <w:tcW w:w="1060" w:type="dxa"/>
            <w:tcBorders>
              <w:top w:val="nil"/>
              <w:left w:val="nil"/>
              <w:bottom w:val="single" w:sz="4" w:space="0" w:color="auto"/>
              <w:right w:val="single" w:sz="4" w:space="0" w:color="auto"/>
            </w:tcBorders>
            <w:shd w:val="clear" w:color="000000" w:fill="B7DEE8"/>
            <w:noWrap/>
            <w:vAlign w:val="center"/>
            <w:hideMark/>
          </w:tcPr>
          <w:p w14:paraId="723FC621"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77,8</w:t>
            </w:r>
          </w:p>
        </w:tc>
      </w:tr>
      <w:tr w:rsidR="003D2AD6" w:rsidRPr="008C75B3" w14:paraId="7871D59E"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1E4403DC"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energente in električno energijo</w:t>
            </w:r>
          </w:p>
        </w:tc>
        <w:tc>
          <w:tcPr>
            <w:tcW w:w="1060" w:type="dxa"/>
            <w:tcBorders>
              <w:top w:val="nil"/>
              <w:left w:val="nil"/>
              <w:bottom w:val="single" w:sz="4" w:space="0" w:color="auto"/>
              <w:right w:val="single" w:sz="4" w:space="0" w:color="auto"/>
            </w:tcBorders>
            <w:shd w:val="clear" w:color="000000" w:fill="FFFFFF"/>
            <w:noWrap/>
            <w:vAlign w:val="center"/>
            <w:hideMark/>
          </w:tcPr>
          <w:p w14:paraId="3254D368"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89,8</w:t>
            </w:r>
          </w:p>
        </w:tc>
        <w:tc>
          <w:tcPr>
            <w:tcW w:w="1060" w:type="dxa"/>
            <w:tcBorders>
              <w:top w:val="nil"/>
              <w:left w:val="nil"/>
              <w:bottom w:val="single" w:sz="4" w:space="0" w:color="auto"/>
              <w:right w:val="single" w:sz="4" w:space="0" w:color="auto"/>
            </w:tcBorders>
            <w:shd w:val="clear" w:color="000000" w:fill="FFFFFF"/>
            <w:noWrap/>
            <w:vAlign w:val="center"/>
            <w:hideMark/>
          </w:tcPr>
          <w:p w14:paraId="7B3F175E"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87,0</w:t>
            </w:r>
          </w:p>
        </w:tc>
        <w:tc>
          <w:tcPr>
            <w:tcW w:w="1060" w:type="dxa"/>
            <w:tcBorders>
              <w:top w:val="nil"/>
              <w:left w:val="nil"/>
              <w:bottom w:val="single" w:sz="4" w:space="0" w:color="auto"/>
              <w:right w:val="single" w:sz="4" w:space="0" w:color="auto"/>
            </w:tcBorders>
            <w:shd w:val="clear" w:color="000000" w:fill="FFFFFF"/>
            <w:noWrap/>
            <w:vAlign w:val="center"/>
            <w:hideMark/>
          </w:tcPr>
          <w:p w14:paraId="3E706224"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75,1</w:t>
            </w:r>
          </w:p>
        </w:tc>
      </w:tr>
      <w:tr w:rsidR="003D2AD6" w:rsidRPr="008C75B3" w14:paraId="29D33AD4"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421D06BC"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alkoholne pijače</w:t>
            </w:r>
          </w:p>
        </w:tc>
        <w:tc>
          <w:tcPr>
            <w:tcW w:w="1060" w:type="dxa"/>
            <w:tcBorders>
              <w:top w:val="nil"/>
              <w:left w:val="nil"/>
              <w:bottom w:val="single" w:sz="4" w:space="0" w:color="auto"/>
              <w:right w:val="single" w:sz="4" w:space="0" w:color="auto"/>
            </w:tcBorders>
            <w:shd w:val="clear" w:color="000000" w:fill="FFFFFF"/>
            <w:noWrap/>
            <w:vAlign w:val="center"/>
            <w:hideMark/>
          </w:tcPr>
          <w:p w14:paraId="6E982958"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0,3</w:t>
            </w:r>
          </w:p>
        </w:tc>
        <w:tc>
          <w:tcPr>
            <w:tcW w:w="1060" w:type="dxa"/>
            <w:tcBorders>
              <w:top w:val="nil"/>
              <w:left w:val="nil"/>
              <w:bottom w:val="single" w:sz="4" w:space="0" w:color="auto"/>
              <w:right w:val="single" w:sz="4" w:space="0" w:color="auto"/>
            </w:tcBorders>
            <w:shd w:val="clear" w:color="000000" w:fill="FFFFFF"/>
            <w:noWrap/>
            <w:vAlign w:val="center"/>
            <w:hideMark/>
          </w:tcPr>
          <w:p w14:paraId="5E770702"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0,4</w:t>
            </w:r>
          </w:p>
        </w:tc>
        <w:tc>
          <w:tcPr>
            <w:tcW w:w="1060" w:type="dxa"/>
            <w:tcBorders>
              <w:top w:val="nil"/>
              <w:left w:val="nil"/>
              <w:bottom w:val="single" w:sz="4" w:space="0" w:color="auto"/>
              <w:right w:val="single" w:sz="4" w:space="0" w:color="auto"/>
            </w:tcBorders>
            <w:shd w:val="clear" w:color="000000" w:fill="FFFFFF"/>
            <w:noWrap/>
            <w:vAlign w:val="center"/>
            <w:hideMark/>
          </w:tcPr>
          <w:p w14:paraId="1754C340"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0,3</w:t>
            </w:r>
          </w:p>
        </w:tc>
      </w:tr>
      <w:tr w:rsidR="003D2AD6" w:rsidRPr="008C75B3" w14:paraId="06D45403"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2784A2EB"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od tobačnih izdelkov</w:t>
            </w:r>
          </w:p>
        </w:tc>
        <w:tc>
          <w:tcPr>
            <w:tcW w:w="1060" w:type="dxa"/>
            <w:tcBorders>
              <w:top w:val="nil"/>
              <w:left w:val="nil"/>
              <w:bottom w:val="single" w:sz="4" w:space="0" w:color="auto"/>
              <w:right w:val="single" w:sz="4" w:space="0" w:color="auto"/>
            </w:tcBorders>
            <w:shd w:val="clear" w:color="000000" w:fill="FFFFFF"/>
            <w:noWrap/>
            <w:vAlign w:val="center"/>
            <w:hideMark/>
          </w:tcPr>
          <w:p w14:paraId="266AEB49"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w:t>
            </w:r>
          </w:p>
        </w:tc>
        <w:tc>
          <w:tcPr>
            <w:tcW w:w="1060" w:type="dxa"/>
            <w:tcBorders>
              <w:top w:val="nil"/>
              <w:left w:val="nil"/>
              <w:bottom w:val="single" w:sz="4" w:space="0" w:color="auto"/>
              <w:right w:val="single" w:sz="4" w:space="0" w:color="auto"/>
            </w:tcBorders>
            <w:shd w:val="clear" w:color="000000" w:fill="FFFFFF"/>
            <w:noWrap/>
            <w:vAlign w:val="center"/>
            <w:hideMark/>
          </w:tcPr>
          <w:p w14:paraId="6ED12828"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4,0</w:t>
            </w:r>
          </w:p>
        </w:tc>
        <w:tc>
          <w:tcPr>
            <w:tcW w:w="1060" w:type="dxa"/>
            <w:tcBorders>
              <w:top w:val="nil"/>
              <w:left w:val="nil"/>
              <w:bottom w:val="single" w:sz="4" w:space="0" w:color="auto"/>
              <w:right w:val="single" w:sz="4" w:space="0" w:color="auto"/>
            </w:tcBorders>
            <w:shd w:val="clear" w:color="000000" w:fill="FFFFFF"/>
            <w:noWrap/>
            <w:vAlign w:val="center"/>
            <w:hideMark/>
          </w:tcPr>
          <w:p w14:paraId="68FE8229"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2,4</w:t>
            </w:r>
          </w:p>
        </w:tc>
      </w:tr>
      <w:tr w:rsidR="003D2AD6" w:rsidRPr="008C75B3" w14:paraId="46ADACFF"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B7DEE8"/>
            <w:vAlign w:val="center"/>
            <w:hideMark/>
          </w:tcPr>
          <w:p w14:paraId="1AA7A6E6" w14:textId="0F4CAB77" w:rsidR="003D2AD6" w:rsidRPr="00431565" w:rsidRDefault="003D2AD6" w:rsidP="00012435">
            <w:pPr>
              <w:spacing w:after="0" w:line="240" w:lineRule="auto"/>
              <w:rPr>
                <w:rFonts w:ascii="Arial" w:hAnsi="Arial" w:cs="Arial"/>
                <w:b/>
                <w:bCs/>
                <w:sz w:val="20"/>
                <w:szCs w:val="20"/>
                <w:lang w:eastAsia="sl-SI"/>
              </w:rPr>
            </w:pPr>
            <w:r w:rsidRPr="00431565">
              <w:rPr>
                <w:rFonts w:ascii="Arial" w:hAnsi="Arial" w:cs="Arial"/>
                <w:b/>
                <w:bCs/>
                <w:sz w:val="20"/>
                <w:szCs w:val="20"/>
                <w:lang w:eastAsia="sl-SI"/>
              </w:rPr>
              <w:t>Obračunana trošarina</w:t>
            </w:r>
            <w:r w:rsidR="00A7736E">
              <w:rPr>
                <w:rFonts w:ascii="Arial" w:hAnsi="Arial" w:cs="Arial"/>
                <w:b/>
                <w:bCs/>
                <w:sz w:val="20"/>
                <w:szCs w:val="20"/>
                <w:lang w:eastAsia="sl-SI"/>
              </w:rPr>
              <w:t>,</w:t>
            </w:r>
            <w:r w:rsidRPr="00431565">
              <w:rPr>
                <w:rFonts w:ascii="Arial" w:hAnsi="Arial" w:cs="Arial"/>
                <w:b/>
                <w:bCs/>
                <w:sz w:val="20"/>
                <w:szCs w:val="20"/>
                <w:lang w:eastAsia="sl-SI"/>
              </w:rPr>
              <w:t xml:space="preserve"> zmanjšana za vračila</w:t>
            </w:r>
          </w:p>
        </w:tc>
        <w:tc>
          <w:tcPr>
            <w:tcW w:w="1060" w:type="dxa"/>
            <w:tcBorders>
              <w:top w:val="nil"/>
              <w:left w:val="nil"/>
              <w:bottom w:val="single" w:sz="4" w:space="0" w:color="auto"/>
              <w:right w:val="single" w:sz="4" w:space="0" w:color="auto"/>
            </w:tcBorders>
            <w:shd w:val="clear" w:color="000000" w:fill="B7DEE8"/>
            <w:noWrap/>
            <w:vAlign w:val="center"/>
            <w:hideMark/>
          </w:tcPr>
          <w:p w14:paraId="2CBA74B0"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1.549,4</w:t>
            </w:r>
          </w:p>
        </w:tc>
        <w:tc>
          <w:tcPr>
            <w:tcW w:w="1060" w:type="dxa"/>
            <w:tcBorders>
              <w:top w:val="nil"/>
              <w:left w:val="nil"/>
              <w:bottom w:val="single" w:sz="4" w:space="0" w:color="auto"/>
              <w:right w:val="single" w:sz="4" w:space="0" w:color="auto"/>
            </w:tcBorders>
            <w:shd w:val="clear" w:color="000000" w:fill="B7DEE8"/>
            <w:noWrap/>
            <w:vAlign w:val="center"/>
            <w:hideMark/>
          </w:tcPr>
          <w:p w14:paraId="081B4115"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1.580,5</w:t>
            </w:r>
          </w:p>
        </w:tc>
        <w:tc>
          <w:tcPr>
            <w:tcW w:w="1060" w:type="dxa"/>
            <w:tcBorders>
              <w:top w:val="nil"/>
              <w:left w:val="nil"/>
              <w:bottom w:val="single" w:sz="4" w:space="0" w:color="auto"/>
              <w:right w:val="single" w:sz="4" w:space="0" w:color="auto"/>
            </w:tcBorders>
            <w:shd w:val="clear" w:color="000000" w:fill="B7DEE8"/>
            <w:noWrap/>
            <w:vAlign w:val="center"/>
            <w:hideMark/>
          </w:tcPr>
          <w:p w14:paraId="189C7E80" w14:textId="77777777" w:rsidR="003D2AD6" w:rsidRPr="00431565" w:rsidRDefault="003D2AD6" w:rsidP="00012435">
            <w:pPr>
              <w:spacing w:after="0" w:line="240" w:lineRule="auto"/>
              <w:jc w:val="right"/>
              <w:rPr>
                <w:rFonts w:ascii="Arial" w:hAnsi="Arial" w:cs="Arial"/>
                <w:b/>
                <w:bCs/>
                <w:sz w:val="20"/>
                <w:szCs w:val="20"/>
                <w:lang w:eastAsia="sl-SI"/>
              </w:rPr>
            </w:pPr>
            <w:r w:rsidRPr="00431565">
              <w:rPr>
                <w:rFonts w:ascii="Arial" w:hAnsi="Arial" w:cs="Arial"/>
                <w:b/>
                <w:bCs/>
                <w:sz w:val="20"/>
                <w:szCs w:val="20"/>
                <w:lang w:eastAsia="sl-SI"/>
              </w:rPr>
              <w:t>1.559,3</w:t>
            </w:r>
          </w:p>
        </w:tc>
      </w:tr>
      <w:tr w:rsidR="003D2AD6" w:rsidRPr="008C75B3" w14:paraId="6C2B9254"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0FD28AD5"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energente in električno energijo</w:t>
            </w:r>
          </w:p>
        </w:tc>
        <w:tc>
          <w:tcPr>
            <w:tcW w:w="1060" w:type="dxa"/>
            <w:tcBorders>
              <w:top w:val="nil"/>
              <w:left w:val="nil"/>
              <w:bottom w:val="single" w:sz="4" w:space="0" w:color="auto"/>
              <w:right w:val="single" w:sz="4" w:space="0" w:color="auto"/>
            </w:tcBorders>
            <w:shd w:val="clear" w:color="000000" w:fill="FFFFFF"/>
            <w:noWrap/>
            <w:vAlign w:val="center"/>
            <w:hideMark/>
          </w:tcPr>
          <w:p w14:paraId="1B24B8D7"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1.029,5</w:t>
            </w:r>
          </w:p>
        </w:tc>
        <w:tc>
          <w:tcPr>
            <w:tcW w:w="1060" w:type="dxa"/>
            <w:tcBorders>
              <w:top w:val="nil"/>
              <w:left w:val="nil"/>
              <w:bottom w:val="single" w:sz="4" w:space="0" w:color="auto"/>
              <w:right w:val="single" w:sz="4" w:space="0" w:color="auto"/>
            </w:tcBorders>
            <w:shd w:val="clear" w:color="000000" w:fill="FFFFFF"/>
            <w:noWrap/>
            <w:vAlign w:val="center"/>
            <w:hideMark/>
          </w:tcPr>
          <w:p w14:paraId="6AD3D111"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1.044,4</w:t>
            </w:r>
          </w:p>
        </w:tc>
        <w:tc>
          <w:tcPr>
            <w:tcW w:w="1060" w:type="dxa"/>
            <w:tcBorders>
              <w:top w:val="nil"/>
              <w:left w:val="nil"/>
              <w:bottom w:val="single" w:sz="4" w:space="0" w:color="auto"/>
              <w:right w:val="single" w:sz="4" w:space="0" w:color="auto"/>
            </w:tcBorders>
            <w:shd w:val="clear" w:color="000000" w:fill="FFFFFF"/>
            <w:noWrap/>
            <w:vAlign w:val="center"/>
            <w:hideMark/>
          </w:tcPr>
          <w:p w14:paraId="5B086585"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1.022,6</w:t>
            </w:r>
          </w:p>
        </w:tc>
      </w:tr>
      <w:tr w:rsidR="003D2AD6" w:rsidRPr="008C75B3" w14:paraId="7C94F014"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5E9999C0"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na alkoholne pijače</w:t>
            </w:r>
          </w:p>
        </w:tc>
        <w:tc>
          <w:tcPr>
            <w:tcW w:w="1060" w:type="dxa"/>
            <w:tcBorders>
              <w:top w:val="nil"/>
              <w:left w:val="nil"/>
              <w:bottom w:val="single" w:sz="4" w:space="0" w:color="auto"/>
              <w:right w:val="single" w:sz="4" w:space="0" w:color="auto"/>
            </w:tcBorders>
            <w:shd w:val="clear" w:color="000000" w:fill="FFFFFF"/>
            <w:noWrap/>
            <w:vAlign w:val="center"/>
            <w:hideMark/>
          </w:tcPr>
          <w:p w14:paraId="45AC30B1"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109,0</w:t>
            </w:r>
          </w:p>
        </w:tc>
        <w:tc>
          <w:tcPr>
            <w:tcW w:w="1060" w:type="dxa"/>
            <w:tcBorders>
              <w:top w:val="nil"/>
              <w:left w:val="nil"/>
              <w:bottom w:val="single" w:sz="4" w:space="0" w:color="auto"/>
              <w:right w:val="single" w:sz="4" w:space="0" w:color="auto"/>
            </w:tcBorders>
            <w:shd w:val="clear" w:color="000000" w:fill="FFFFFF"/>
            <w:noWrap/>
            <w:vAlign w:val="center"/>
            <w:hideMark/>
          </w:tcPr>
          <w:p w14:paraId="79D4DD40"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112,2</w:t>
            </w:r>
          </w:p>
        </w:tc>
        <w:tc>
          <w:tcPr>
            <w:tcW w:w="1060" w:type="dxa"/>
            <w:tcBorders>
              <w:top w:val="nil"/>
              <w:left w:val="nil"/>
              <w:bottom w:val="single" w:sz="4" w:space="0" w:color="auto"/>
              <w:right w:val="single" w:sz="4" w:space="0" w:color="auto"/>
            </w:tcBorders>
            <w:shd w:val="clear" w:color="000000" w:fill="FFFFFF"/>
            <w:noWrap/>
            <w:vAlign w:val="center"/>
            <w:hideMark/>
          </w:tcPr>
          <w:p w14:paraId="7638D01D"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118,9</w:t>
            </w:r>
          </w:p>
        </w:tc>
      </w:tr>
      <w:tr w:rsidR="003D2AD6" w:rsidRPr="008C75B3" w14:paraId="6AF16645" w14:textId="77777777" w:rsidTr="00012435">
        <w:trPr>
          <w:trHeight w:val="285"/>
        </w:trPr>
        <w:tc>
          <w:tcPr>
            <w:tcW w:w="4820" w:type="dxa"/>
            <w:tcBorders>
              <w:top w:val="nil"/>
              <w:left w:val="single" w:sz="4" w:space="0" w:color="auto"/>
              <w:bottom w:val="single" w:sz="4" w:space="0" w:color="auto"/>
              <w:right w:val="single" w:sz="4" w:space="0" w:color="auto"/>
            </w:tcBorders>
            <w:shd w:val="clear" w:color="000000" w:fill="FFFFFF"/>
            <w:vAlign w:val="center"/>
            <w:hideMark/>
          </w:tcPr>
          <w:p w14:paraId="78CB1FBB" w14:textId="77777777" w:rsidR="003D2AD6" w:rsidRPr="00431565" w:rsidRDefault="003D2AD6" w:rsidP="00012435">
            <w:pPr>
              <w:spacing w:after="0" w:line="240" w:lineRule="auto"/>
              <w:rPr>
                <w:rFonts w:ascii="Arial" w:hAnsi="Arial" w:cs="Arial"/>
                <w:sz w:val="20"/>
                <w:szCs w:val="20"/>
                <w:lang w:eastAsia="sl-SI"/>
              </w:rPr>
            </w:pPr>
            <w:r w:rsidRPr="00431565">
              <w:rPr>
                <w:rFonts w:ascii="Arial" w:hAnsi="Arial" w:cs="Arial"/>
                <w:sz w:val="20"/>
                <w:szCs w:val="20"/>
                <w:lang w:eastAsia="sl-SI"/>
              </w:rPr>
              <w:t xml:space="preserve">   od tega od tobačnih izdelkov</w:t>
            </w:r>
          </w:p>
        </w:tc>
        <w:tc>
          <w:tcPr>
            <w:tcW w:w="1060" w:type="dxa"/>
            <w:tcBorders>
              <w:top w:val="nil"/>
              <w:left w:val="nil"/>
              <w:bottom w:val="single" w:sz="4" w:space="0" w:color="auto"/>
              <w:right w:val="single" w:sz="4" w:space="0" w:color="auto"/>
            </w:tcBorders>
            <w:shd w:val="clear" w:color="000000" w:fill="FFFFFF"/>
            <w:noWrap/>
            <w:vAlign w:val="center"/>
            <w:hideMark/>
          </w:tcPr>
          <w:p w14:paraId="238D3B80"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410,8</w:t>
            </w:r>
          </w:p>
        </w:tc>
        <w:tc>
          <w:tcPr>
            <w:tcW w:w="1060" w:type="dxa"/>
            <w:tcBorders>
              <w:top w:val="nil"/>
              <w:left w:val="nil"/>
              <w:bottom w:val="single" w:sz="4" w:space="0" w:color="auto"/>
              <w:right w:val="single" w:sz="4" w:space="0" w:color="auto"/>
            </w:tcBorders>
            <w:shd w:val="clear" w:color="000000" w:fill="FFFFFF"/>
            <w:noWrap/>
            <w:vAlign w:val="center"/>
            <w:hideMark/>
          </w:tcPr>
          <w:p w14:paraId="7C306CFF"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423,9</w:t>
            </w:r>
          </w:p>
        </w:tc>
        <w:tc>
          <w:tcPr>
            <w:tcW w:w="1060" w:type="dxa"/>
            <w:tcBorders>
              <w:top w:val="nil"/>
              <w:left w:val="nil"/>
              <w:bottom w:val="single" w:sz="4" w:space="0" w:color="auto"/>
              <w:right w:val="single" w:sz="4" w:space="0" w:color="auto"/>
            </w:tcBorders>
            <w:shd w:val="clear" w:color="000000" w:fill="FFFFFF"/>
            <w:noWrap/>
            <w:vAlign w:val="center"/>
            <w:hideMark/>
          </w:tcPr>
          <w:p w14:paraId="68D2681F" w14:textId="77777777" w:rsidR="003D2AD6" w:rsidRPr="00431565" w:rsidRDefault="003D2AD6" w:rsidP="00012435">
            <w:pPr>
              <w:spacing w:after="0" w:line="240" w:lineRule="auto"/>
              <w:jc w:val="right"/>
              <w:rPr>
                <w:rFonts w:ascii="Arial" w:hAnsi="Arial" w:cs="Arial"/>
                <w:sz w:val="20"/>
                <w:szCs w:val="20"/>
                <w:lang w:eastAsia="sl-SI"/>
              </w:rPr>
            </w:pPr>
            <w:r w:rsidRPr="00431565">
              <w:rPr>
                <w:rFonts w:ascii="Arial" w:hAnsi="Arial" w:cs="Arial"/>
                <w:sz w:val="20"/>
                <w:szCs w:val="20"/>
                <w:lang w:eastAsia="sl-SI"/>
              </w:rPr>
              <w:t>417,8</w:t>
            </w:r>
          </w:p>
        </w:tc>
      </w:tr>
    </w:tbl>
    <w:p w14:paraId="49ED4C51" w14:textId="0B5AA6A9" w:rsidR="003D2AD6" w:rsidRPr="008B55CD" w:rsidRDefault="003D2AD6" w:rsidP="00012435">
      <w:pPr>
        <w:spacing w:after="0" w:line="240" w:lineRule="auto"/>
        <w:jc w:val="both"/>
        <w:rPr>
          <w:rFonts w:ascii="Arial" w:hAnsi="Arial" w:cs="Arial"/>
          <w:i/>
          <w:sz w:val="18"/>
          <w:szCs w:val="18"/>
          <w:lang w:eastAsia="sl-SI"/>
        </w:rPr>
      </w:pPr>
      <w:r w:rsidRPr="008B55CD">
        <w:rPr>
          <w:rFonts w:ascii="Arial" w:hAnsi="Arial" w:cs="Arial"/>
          <w:i/>
          <w:sz w:val="18"/>
          <w:szCs w:val="18"/>
          <w:lang w:eastAsia="sl-SI"/>
        </w:rPr>
        <w:t>Vir: FURS, obračuni trošarin, vračila</w:t>
      </w:r>
      <w:r w:rsidR="00A7736E">
        <w:rPr>
          <w:rFonts w:ascii="Arial" w:hAnsi="Arial" w:cs="Arial"/>
          <w:i/>
          <w:sz w:val="18"/>
          <w:szCs w:val="18"/>
          <w:lang w:eastAsia="sl-SI"/>
        </w:rPr>
        <w:t>.</w:t>
      </w:r>
    </w:p>
    <w:p w14:paraId="2F95A4F4" w14:textId="77777777" w:rsidR="003D2AD6" w:rsidRPr="008B55CD" w:rsidRDefault="003D2AD6" w:rsidP="003D2AD6">
      <w:pPr>
        <w:pStyle w:val="NoSpacing"/>
        <w:spacing w:line="260" w:lineRule="atLeast"/>
        <w:rPr>
          <w:rFonts w:ascii="Arial" w:hAnsi="Arial" w:cs="Arial"/>
          <w:color w:val="7F7F7F"/>
          <w:sz w:val="20"/>
          <w:szCs w:val="20"/>
          <w:lang w:eastAsia="sl-SI"/>
        </w:rPr>
      </w:pPr>
    </w:p>
    <w:p w14:paraId="1AE60334" w14:textId="0E9EFF35" w:rsidR="003D2AD6" w:rsidRPr="008B55CD" w:rsidRDefault="003D2AD6" w:rsidP="003D2AD6">
      <w:pPr>
        <w:spacing w:after="0" w:line="260" w:lineRule="atLeast"/>
        <w:jc w:val="both"/>
        <w:rPr>
          <w:rFonts w:ascii="Arial" w:hAnsi="Arial" w:cs="Arial"/>
          <w:sz w:val="20"/>
          <w:szCs w:val="20"/>
          <w:lang w:eastAsia="sl-SI"/>
        </w:rPr>
      </w:pPr>
      <w:r w:rsidRPr="008B55CD">
        <w:rPr>
          <w:rFonts w:ascii="Arial" w:hAnsi="Arial" w:cs="Arial"/>
          <w:sz w:val="20"/>
          <w:szCs w:val="20"/>
          <w:lang w:eastAsia="sl-SI"/>
        </w:rPr>
        <w:t xml:space="preserve">Glavni vir prihodkov iz trošarin </w:t>
      </w:r>
      <w:r w:rsidR="00A7736E">
        <w:rPr>
          <w:rFonts w:ascii="Arial" w:hAnsi="Arial" w:cs="Arial"/>
          <w:sz w:val="20"/>
          <w:szCs w:val="20"/>
          <w:lang w:eastAsia="sl-SI"/>
        </w:rPr>
        <w:t>so</w:t>
      </w:r>
      <w:r w:rsidRPr="008B55CD">
        <w:rPr>
          <w:rFonts w:ascii="Arial" w:hAnsi="Arial" w:cs="Arial"/>
          <w:sz w:val="20"/>
          <w:szCs w:val="20"/>
          <w:lang w:eastAsia="sl-SI"/>
        </w:rPr>
        <w:t xml:space="preserve"> energenti in električna energija, v letu 2018 je bilo obračunan</w:t>
      </w:r>
      <w:r w:rsidR="004A11D1">
        <w:rPr>
          <w:rFonts w:ascii="Arial" w:hAnsi="Arial" w:cs="Arial"/>
          <w:sz w:val="20"/>
          <w:szCs w:val="20"/>
          <w:lang w:eastAsia="sl-SI"/>
        </w:rPr>
        <w:t>ih</w:t>
      </w:r>
      <w:r w:rsidRPr="008B55CD">
        <w:rPr>
          <w:rFonts w:ascii="Arial" w:hAnsi="Arial" w:cs="Arial"/>
          <w:sz w:val="20"/>
          <w:szCs w:val="20"/>
          <w:lang w:eastAsia="sl-SI"/>
        </w:rPr>
        <w:t xml:space="preserve"> 1.098 mio evrov trošarin za to skupino, kar </w:t>
      </w:r>
      <w:r w:rsidR="00A7736E">
        <w:rPr>
          <w:rFonts w:ascii="Arial" w:hAnsi="Arial" w:cs="Arial"/>
          <w:sz w:val="20"/>
          <w:szCs w:val="20"/>
          <w:lang w:eastAsia="sl-SI"/>
        </w:rPr>
        <w:t>je</w:t>
      </w:r>
      <w:r w:rsidRPr="008B55CD">
        <w:rPr>
          <w:rFonts w:ascii="Arial" w:hAnsi="Arial" w:cs="Arial"/>
          <w:sz w:val="20"/>
          <w:szCs w:val="20"/>
          <w:lang w:eastAsia="sl-SI"/>
        </w:rPr>
        <w:t xml:space="preserve"> 67 % celotnih trošarinskih prihodkov, če ne upoštevamo vračil. Del trošarine se iz različnih razlogov vrne upravičencem, kar </w:t>
      </w:r>
      <w:r w:rsidR="00A7736E">
        <w:rPr>
          <w:rFonts w:ascii="Arial" w:hAnsi="Arial" w:cs="Arial"/>
          <w:sz w:val="20"/>
          <w:szCs w:val="20"/>
          <w:lang w:eastAsia="sl-SI"/>
        </w:rPr>
        <w:t>je običajno</w:t>
      </w:r>
      <w:r w:rsidRPr="008B55CD">
        <w:rPr>
          <w:rFonts w:ascii="Arial" w:hAnsi="Arial" w:cs="Arial"/>
          <w:sz w:val="20"/>
          <w:szCs w:val="20"/>
          <w:lang w:eastAsia="sl-SI"/>
        </w:rPr>
        <w:t xml:space="preserve"> davčni </w:t>
      </w:r>
      <w:r>
        <w:rPr>
          <w:rFonts w:ascii="Arial" w:hAnsi="Arial" w:cs="Arial"/>
          <w:sz w:val="20"/>
          <w:szCs w:val="20"/>
          <w:lang w:eastAsia="sl-SI"/>
        </w:rPr>
        <w:t>izdatek</w:t>
      </w:r>
      <w:r w:rsidRPr="008B55CD">
        <w:rPr>
          <w:rFonts w:ascii="Arial" w:hAnsi="Arial" w:cs="Arial"/>
          <w:sz w:val="20"/>
          <w:szCs w:val="20"/>
          <w:lang w:eastAsia="sl-SI"/>
        </w:rPr>
        <w:t xml:space="preserve">, a ne vedno. </w:t>
      </w:r>
      <w:r w:rsidR="00A7736E">
        <w:rPr>
          <w:rFonts w:ascii="Arial" w:hAnsi="Arial" w:cs="Arial"/>
          <w:sz w:val="20"/>
          <w:szCs w:val="20"/>
          <w:lang w:eastAsia="sl-SI"/>
        </w:rPr>
        <w:t>Kadar</w:t>
      </w:r>
      <w:r w:rsidRPr="008B55CD">
        <w:rPr>
          <w:rFonts w:ascii="Arial" w:hAnsi="Arial" w:cs="Arial"/>
          <w:sz w:val="20"/>
          <w:szCs w:val="20"/>
          <w:lang w:eastAsia="sl-SI"/>
        </w:rPr>
        <w:t xml:space="preserve"> z vračili trošarine izničimo dvojno obdavčitev trošarinskega izdelka (</w:t>
      </w:r>
      <w:r w:rsidR="00544498">
        <w:rPr>
          <w:rFonts w:ascii="Arial" w:hAnsi="Arial" w:cs="Arial"/>
          <w:sz w:val="20"/>
          <w:szCs w:val="20"/>
          <w:lang w:eastAsia="sl-SI"/>
        </w:rPr>
        <w:t>na primer</w:t>
      </w:r>
      <w:r w:rsidR="00A7736E">
        <w:rPr>
          <w:rFonts w:ascii="Arial" w:hAnsi="Arial" w:cs="Arial"/>
          <w:sz w:val="20"/>
          <w:szCs w:val="20"/>
          <w:lang w:eastAsia="sl-SI"/>
        </w:rPr>
        <w:t>,</w:t>
      </w:r>
      <w:r w:rsidRPr="008B55CD">
        <w:rPr>
          <w:rFonts w:ascii="Arial" w:hAnsi="Arial" w:cs="Arial"/>
          <w:sz w:val="20"/>
          <w:szCs w:val="20"/>
          <w:lang w:eastAsia="sl-SI"/>
        </w:rPr>
        <w:t xml:space="preserve"> da se najprej obdavči premog, nato pa še električna energija</w:t>
      </w:r>
      <w:r w:rsidR="004A11D1">
        <w:rPr>
          <w:rFonts w:ascii="Arial" w:hAnsi="Arial" w:cs="Arial"/>
          <w:sz w:val="20"/>
          <w:szCs w:val="20"/>
          <w:lang w:eastAsia="sl-SI"/>
        </w:rPr>
        <w:t>,</w:t>
      </w:r>
      <w:r w:rsidRPr="008B55CD">
        <w:rPr>
          <w:rFonts w:ascii="Arial" w:hAnsi="Arial" w:cs="Arial"/>
          <w:sz w:val="20"/>
          <w:szCs w:val="20"/>
          <w:lang w:eastAsia="sl-SI"/>
        </w:rPr>
        <w:t xml:space="preserve"> pridobljena iz tega premoga), ne gre za </w:t>
      </w:r>
      <w:r>
        <w:rPr>
          <w:rFonts w:ascii="Arial" w:hAnsi="Arial" w:cs="Arial"/>
          <w:sz w:val="20"/>
          <w:szCs w:val="20"/>
          <w:lang w:eastAsia="sl-SI"/>
        </w:rPr>
        <w:t>izdatek</w:t>
      </w:r>
      <w:r w:rsidRPr="008B55CD">
        <w:rPr>
          <w:rFonts w:ascii="Arial" w:hAnsi="Arial" w:cs="Arial"/>
          <w:sz w:val="20"/>
          <w:szCs w:val="20"/>
          <w:lang w:eastAsia="sl-SI"/>
        </w:rPr>
        <w:t>, ampak samo način</w:t>
      </w:r>
      <w:r w:rsidR="004A11D1">
        <w:rPr>
          <w:rFonts w:ascii="Arial" w:hAnsi="Arial" w:cs="Arial"/>
          <w:sz w:val="20"/>
          <w:szCs w:val="20"/>
          <w:lang w:eastAsia="sl-SI"/>
        </w:rPr>
        <w:t>,</w:t>
      </w:r>
      <w:r w:rsidRPr="008B55CD">
        <w:rPr>
          <w:rFonts w:ascii="Arial" w:hAnsi="Arial" w:cs="Arial"/>
          <w:sz w:val="20"/>
          <w:szCs w:val="20"/>
          <w:lang w:eastAsia="sl-SI"/>
        </w:rPr>
        <w:t xml:space="preserve"> kako se izognemo, da bi bila energija dvakrat obdavčena. Glede na leto 2016 se je obračunana trošarina iz energentov in električne energije znižala za 1,9 % (</w:t>
      </w:r>
      <w:r w:rsidR="00390A2A">
        <w:rPr>
          <w:rFonts w:ascii="Arial" w:hAnsi="Arial" w:cs="Arial"/>
          <w:sz w:val="20"/>
          <w:szCs w:val="20"/>
          <w:lang w:eastAsia="sl-SI"/>
        </w:rPr>
        <w:t>oziroma</w:t>
      </w:r>
      <w:r w:rsidRPr="008B55CD">
        <w:rPr>
          <w:rFonts w:ascii="Arial" w:hAnsi="Arial" w:cs="Arial"/>
          <w:sz w:val="20"/>
          <w:szCs w:val="20"/>
          <w:lang w:eastAsia="sl-SI"/>
        </w:rPr>
        <w:t xml:space="preserve"> za 0,7 % po odštetih vračilih), kar pripisujemo večjemu izkoristku energentov</w:t>
      </w:r>
      <w:r w:rsidR="00A7736E">
        <w:rPr>
          <w:rFonts w:ascii="Arial" w:hAnsi="Arial" w:cs="Arial"/>
          <w:sz w:val="20"/>
          <w:szCs w:val="20"/>
          <w:lang w:eastAsia="sl-SI"/>
        </w:rPr>
        <w:t xml:space="preserve"> zaradi</w:t>
      </w:r>
      <w:r w:rsidRPr="008B55CD">
        <w:rPr>
          <w:rFonts w:ascii="Arial" w:hAnsi="Arial" w:cs="Arial"/>
          <w:sz w:val="20"/>
          <w:szCs w:val="20"/>
          <w:lang w:eastAsia="sl-SI"/>
        </w:rPr>
        <w:t xml:space="preserve"> varčnejš</w:t>
      </w:r>
      <w:r w:rsidR="00A7736E">
        <w:rPr>
          <w:rFonts w:ascii="Arial" w:hAnsi="Arial" w:cs="Arial"/>
          <w:sz w:val="20"/>
          <w:szCs w:val="20"/>
          <w:lang w:eastAsia="sl-SI"/>
        </w:rPr>
        <w:t>ih</w:t>
      </w:r>
      <w:r w:rsidRPr="008B55CD">
        <w:rPr>
          <w:rFonts w:ascii="Arial" w:hAnsi="Arial" w:cs="Arial"/>
          <w:sz w:val="20"/>
          <w:szCs w:val="20"/>
          <w:lang w:eastAsia="sl-SI"/>
        </w:rPr>
        <w:t xml:space="preserve"> avtomobil</w:t>
      </w:r>
      <w:r w:rsidR="00A7736E">
        <w:rPr>
          <w:rFonts w:ascii="Arial" w:hAnsi="Arial" w:cs="Arial"/>
          <w:sz w:val="20"/>
          <w:szCs w:val="20"/>
          <w:lang w:eastAsia="sl-SI"/>
        </w:rPr>
        <w:t>ov</w:t>
      </w:r>
      <w:r w:rsidRPr="008B55CD">
        <w:rPr>
          <w:rFonts w:ascii="Arial" w:hAnsi="Arial" w:cs="Arial"/>
          <w:sz w:val="20"/>
          <w:szCs w:val="20"/>
          <w:lang w:eastAsia="sl-SI"/>
        </w:rPr>
        <w:t xml:space="preserve"> </w:t>
      </w:r>
      <w:r w:rsidR="00A7736E">
        <w:rPr>
          <w:rFonts w:ascii="Arial" w:hAnsi="Arial" w:cs="Arial"/>
          <w:sz w:val="20"/>
          <w:szCs w:val="20"/>
          <w:lang w:eastAsia="sl-SI"/>
        </w:rPr>
        <w:t>in</w:t>
      </w:r>
      <w:r w:rsidRPr="008B55CD">
        <w:rPr>
          <w:rFonts w:ascii="Arial" w:hAnsi="Arial" w:cs="Arial"/>
          <w:sz w:val="20"/>
          <w:szCs w:val="20"/>
          <w:lang w:eastAsia="sl-SI"/>
        </w:rPr>
        <w:t xml:space="preserve"> prehod</w:t>
      </w:r>
      <w:r w:rsidR="00A7736E">
        <w:rPr>
          <w:rFonts w:ascii="Arial" w:hAnsi="Arial" w:cs="Arial"/>
          <w:sz w:val="20"/>
          <w:szCs w:val="20"/>
          <w:lang w:eastAsia="sl-SI"/>
        </w:rPr>
        <w:t>a</w:t>
      </w:r>
      <w:r w:rsidRPr="008B55CD">
        <w:rPr>
          <w:rFonts w:ascii="Arial" w:hAnsi="Arial" w:cs="Arial"/>
          <w:sz w:val="20"/>
          <w:szCs w:val="20"/>
          <w:lang w:eastAsia="sl-SI"/>
        </w:rPr>
        <w:t xml:space="preserve"> na učinkovitejše ogrevanje stavb. </w:t>
      </w:r>
    </w:p>
    <w:p w14:paraId="0CF15498" w14:textId="77777777" w:rsidR="003D2AD6" w:rsidRPr="00012435" w:rsidRDefault="003D2AD6" w:rsidP="00012435">
      <w:pPr>
        <w:spacing w:after="0" w:line="260" w:lineRule="atLeast"/>
        <w:jc w:val="both"/>
        <w:rPr>
          <w:rFonts w:ascii="Arial" w:hAnsi="Arial" w:cs="Arial"/>
          <w:sz w:val="20"/>
          <w:szCs w:val="20"/>
          <w:u w:val="single"/>
          <w:lang w:eastAsia="sl-SI"/>
        </w:rPr>
      </w:pPr>
    </w:p>
    <w:p w14:paraId="00F58305" w14:textId="77777777" w:rsidR="0066096A" w:rsidRDefault="0066096A">
      <w:pPr>
        <w:spacing w:after="0" w:line="240" w:lineRule="auto"/>
        <w:rPr>
          <w:rFonts w:ascii="Arial" w:hAnsi="Arial" w:cs="Arial"/>
          <w:sz w:val="20"/>
          <w:szCs w:val="20"/>
          <w:lang w:eastAsia="sl-SI"/>
        </w:rPr>
      </w:pPr>
      <w:r>
        <w:rPr>
          <w:rFonts w:ascii="Arial" w:hAnsi="Arial" w:cs="Arial"/>
          <w:sz w:val="20"/>
          <w:szCs w:val="20"/>
          <w:lang w:eastAsia="sl-SI"/>
        </w:rPr>
        <w:br w:type="page"/>
      </w:r>
    </w:p>
    <w:p w14:paraId="4CDA963F" w14:textId="46AB356A" w:rsidR="00E4026D" w:rsidRPr="00012435" w:rsidRDefault="009B0B27" w:rsidP="00012435">
      <w:pPr>
        <w:spacing w:after="0" w:line="260" w:lineRule="atLeast"/>
        <w:jc w:val="both"/>
        <w:rPr>
          <w:rFonts w:ascii="Arial" w:hAnsi="Arial" w:cs="Arial"/>
          <w:sz w:val="20"/>
          <w:szCs w:val="20"/>
          <w:lang w:eastAsia="sl-SI"/>
        </w:rPr>
      </w:pPr>
      <w:r>
        <w:rPr>
          <w:rFonts w:ascii="Arial" w:hAnsi="Arial" w:cs="Arial"/>
          <w:sz w:val="20"/>
          <w:szCs w:val="20"/>
          <w:lang w:eastAsia="sl-SI"/>
        </w:rPr>
        <w:lastRenderedPageBreak/>
        <w:t>Preglednica</w:t>
      </w:r>
      <w:r w:rsidR="00E4026D" w:rsidRPr="00012435">
        <w:rPr>
          <w:rFonts w:ascii="Arial" w:hAnsi="Arial" w:cs="Arial"/>
          <w:sz w:val="20"/>
          <w:szCs w:val="20"/>
          <w:lang w:eastAsia="sl-SI"/>
        </w:rPr>
        <w:t xml:space="preserve"> 1</w:t>
      </w:r>
      <w:r w:rsidR="00091D42">
        <w:rPr>
          <w:rFonts w:ascii="Arial" w:hAnsi="Arial" w:cs="Arial"/>
          <w:sz w:val="20"/>
          <w:szCs w:val="20"/>
          <w:lang w:eastAsia="sl-SI"/>
        </w:rPr>
        <w:t>0</w:t>
      </w:r>
      <w:r w:rsidR="00E4026D" w:rsidRPr="00012435">
        <w:rPr>
          <w:rFonts w:ascii="Arial" w:hAnsi="Arial" w:cs="Arial"/>
          <w:sz w:val="20"/>
          <w:szCs w:val="20"/>
          <w:lang w:eastAsia="sl-SI"/>
        </w:rPr>
        <w:t>: Vračila trošarin, znižane stopnje in oprostitve trošarin ko</w:t>
      </w:r>
      <w:r w:rsidR="00A7736E">
        <w:rPr>
          <w:rFonts w:ascii="Arial" w:hAnsi="Arial" w:cs="Arial"/>
          <w:sz w:val="20"/>
          <w:szCs w:val="20"/>
          <w:lang w:eastAsia="sl-SI"/>
        </w:rPr>
        <w:t>t</w:t>
      </w:r>
      <w:r w:rsidR="00E4026D" w:rsidRPr="00012435">
        <w:rPr>
          <w:rFonts w:ascii="Arial" w:hAnsi="Arial" w:cs="Arial"/>
          <w:sz w:val="20"/>
          <w:szCs w:val="20"/>
          <w:lang w:eastAsia="sl-SI"/>
        </w:rPr>
        <w:t xml:space="preserve"> davčni </w:t>
      </w:r>
      <w:r w:rsidR="005F33EF">
        <w:rPr>
          <w:rFonts w:ascii="Arial" w:hAnsi="Arial" w:cs="Arial"/>
          <w:sz w:val="20"/>
          <w:szCs w:val="20"/>
          <w:lang w:eastAsia="sl-SI"/>
        </w:rPr>
        <w:t>izdatki</w:t>
      </w:r>
      <w:r w:rsidR="005F33EF" w:rsidRPr="00012435">
        <w:rPr>
          <w:rFonts w:ascii="Arial" w:hAnsi="Arial" w:cs="Arial"/>
          <w:sz w:val="20"/>
          <w:szCs w:val="20"/>
          <w:lang w:eastAsia="sl-SI"/>
        </w:rPr>
        <w:t xml:space="preserve"> </w:t>
      </w:r>
      <w:r w:rsidR="00E4026D" w:rsidRPr="00012435">
        <w:rPr>
          <w:rFonts w:ascii="Arial" w:hAnsi="Arial" w:cs="Arial"/>
          <w:sz w:val="20"/>
          <w:szCs w:val="20"/>
          <w:lang w:eastAsia="sl-SI"/>
        </w:rPr>
        <w:t xml:space="preserve">po posameznih vrstah za leta </w:t>
      </w:r>
      <w:r w:rsidR="004931BE">
        <w:rPr>
          <w:rFonts w:ascii="Arial" w:hAnsi="Arial" w:cs="Arial"/>
          <w:sz w:val="20"/>
          <w:szCs w:val="20"/>
          <w:lang w:eastAsia="sl-SI"/>
        </w:rPr>
        <w:t xml:space="preserve">od </w:t>
      </w:r>
      <w:r w:rsidR="00A7736E">
        <w:rPr>
          <w:rFonts w:ascii="Arial" w:hAnsi="Arial" w:cs="Arial"/>
          <w:sz w:val="20"/>
          <w:szCs w:val="20"/>
          <w:lang w:eastAsia="sl-SI"/>
        </w:rPr>
        <w:t xml:space="preserve">leta </w:t>
      </w:r>
      <w:r w:rsidR="00E4026D" w:rsidRPr="00012435">
        <w:rPr>
          <w:rFonts w:ascii="Arial" w:hAnsi="Arial" w:cs="Arial"/>
          <w:sz w:val="20"/>
          <w:szCs w:val="20"/>
          <w:lang w:eastAsia="sl-SI"/>
        </w:rPr>
        <w:t>2016</w:t>
      </w:r>
      <w:r w:rsidR="005F33EF">
        <w:rPr>
          <w:rFonts w:ascii="Arial" w:hAnsi="Arial" w:cs="Arial"/>
          <w:sz w:val="20"/>
          <w:szCs w:val="20"/>
          <w:lang w:eastAsia="sl-SI"/>
        </w:rPr>
        <w:t xml:space="preserve"> </w:t>
      </w:r>
      <w:r w:rsidR="004931BE">
        <w:rPr>
          <w:rFonts w:ascii="Arial" w:hAnsi="Arial" w:cs="Arial"/>
          <w:sz w:val="20"/>
          <w:szCs w:val="20"/>
          <w:lang w:eastAsia="sl-SI"/>
        </w:rPr>
        <w:t>do</w:t>
      </w:r>
      <w:r w:rsidR="005F33EF">
        <w:rPr>
          <w:rFonts w:ascii="Arial" w:hAnsi="Arial" w:cs="Arial"/>
          <w:sz w:val="20"/>
          <w:szCs w:val="20"/>
          <w:lang w:eastAsia="sl-SI"/>
        </w:rPr>
        <w:t xml:space="preserve"> </w:t>
      </w:r>
      <w:r w:rsidR="00E4026D" w:rsidRPr="00012435">
        <w:rPr>
          <w:rFonts w:ascii="Arial" w:hAnsi="Arial" w:cs="Arial"/>
          <w:sz w:val="20"/>
          <w:szCs w:val="20"/>
          <w:lang w:eastAsia="sl-SI"/>
        </w:rPr>
        <w:t xml:space="preserve">2018, zneski v evrih </w:t>
      </w:r>
    </w:p>
    <w:p w14:paraId="78C2D204" w14:textId="77777777" w:rsidR="00E4026D" w:rsidRPr="00E4026D" w:rsidRDefault="00E4026D" w:rsidP="00012435">
      <w:pPr>
        <w:spacing w:after="0" w:line="240" w:lineRule="auto"/>
        <w:jc w:val="both"/>
        <w:rPr>
          <w:rFonts w:cs="Arial"/>
          <w:color w:val="7F7F7F"/>
          <w:szCs w:val="20"/>
          <w:lang w:eastAsia="sl-SI"/>
        </w:rPr>
      </w:pPr>
    </w:p>
    <w:tbl>
      <w:tblPr>
        <w:tblW w:w="9781" w:type="dxa"/>
        <w:tblInd w:w="70" w:type="dxa"/>
        <w:tblCellMar>
          <w:left w:w="70" w:type="dxa"/>
          <w:right w:w="70" w:type="dxa"/>
        </w:tblCellMar>
        <w:tblLook w:val="04A0" w:firstRow="1" w:lastRow="0" w:firstColumn="1" w:lastColumn="0" w:noHBand="0" w:noVBand="1"/>
      </w:tblPr>
      <w:tblGrid>
        <w:gridCol w:w="4280"/>
        <w:gridCol w:w="823"/>
        <w:gridCol w:w="851"/>
        <w:gridCol w:w="850"/>
        <w:gridCol w:w="993"/>
        <w:gridCol w:w="941"/>
        <w:gridCol w:w="1043"/>
      </w:tblGrid>
      <w:tr w:rsidR="00E4026D" w:rsidRPr="00A474C9" w14:paraId="0CD22A17" w14:textId="77777777" w:rsidTr="00AC13E9">
        <w:trPr>
          <w:trHeight w:val="285"/>
        </w:trPr>
        <w:tc>
          <w:tcPr>
            <w:tcW w:w="4280" w:type="dxa"/>
            <w:tcBorders>
              <w:top w:val="nil"/>
              <w:left w:val="nil"/>
              <w:bottom w:val="nil"/>
              <w:right w:val="nil"/>
            </w:tcBorders>
            <w:shd w:val="clear" w:color="DCE6F1" w:fill="DCE6F1"/>
            <w:noWrap/>
            <w:vAlign w:val="bottom"/>
            <w:hideMark/>
          </w:tcPr>
          <w:p w14:paraId="64FFC934" w14:textId="77777777" w:rsidR="00E4026D" w:rsidRPr="00012435" w:rsidRDefault="00E4026D" w:rsidP="00012435">
            <w:pPr>
              <w:spacing w:after="0" w:line="260" w:lineRule="atLeast"/>
              <w:rPr>
                <w:rFonts w:ascii="Arial" w:hAnsi="Arial" w:cs="Arial"/>
                <w:b/>
                <w:bCs/>
                <w:color w:val="000000"/>
                <w:sz w:val="18"/>
                <w:szCs w:val="18"/>
                <w:lang w:eastAsia="sl-SI"/>
              </w:rPr>
            </w:pPr>
            <w:r w:rsidRPr="00012435">
              <w:rPr>
                <w:rFonts w:ascii="Arial" w:hAnsi="Arial" w:cs="Arial"/>
                <w:b/>
                <w:bCs/>
                <w:color w:val="000000"/>
                <w:sz w:val="18"/>
                <w:szCs w:val="18"/>
                <w:lang w:eastAsia="sl-SI"/>
              </w:rPr>
              <w:t> </w:t>
            </w:r>
          </w:p>
        </w:tc>
        <w:tc>
          <w:tcPr>
            <w:tcW w:w="2524" w:type="dxa"/>
            <w:gridSpan w:val="3"/>
            <w:tcBorders>
              <w:top w:val="single" w:sz="4" w:space="0" w:color="auto"/>
              <w:left w:val="single" w:sz="4" w:space="0" w:color="auto"/>
              <w:bottom w:val="single" w:sz="4" w:space="0" w:color="auto"/>
              <w:right w:val="single" w:sz="4" w:space="0" w:color="000000"/>
            </w:tcBorders>
            <w:shd w:val="clear" w:color="DCE6F1" w:fill="DCE6F1"/>
            <w:vAlign w:val="bottom"/>
            <w:hideMark/>
          </w:tcPr>
          <w:p w14:paraId="43D6C381" w14:textId="43266D78" w:rsidR="00E4026D" w:rsidRPr="00012435" w:rsidRDefault="005F33EF" w:rsidP="00012435">
            <w:pPr>
              <w:spacing w:after="0" w:line="260" w:lineRule="atLeast"/>
              <w:jc w:val="center"/>
              <w:rPr>
                <w:rFonts w:ascii="Arial" w:hAnsi="Arial" w:cs="Arial"/>
                <w:b/>
                <w:bCs/>
                <w:color w:val="000000"/>
                <w:sz w:val="18"/>
                <w:szCs w:val="18"/>
                <w:lang w:eastAsia="sl-SI"/>
              </w:rPr>
            </w:pPr>
            <w:r w:rsidRPr="00012435">
              <w:rPr>
                <w:rFonts w:ascii="Arial" w:hAnsi="Arial" w:cs="Arial"/>
                <w:b/>
                <w:bCs/>
                <w:color w:val="000000"/>
                <w:sz w:val="18"/>
                <w:szCs w:val="18"/>
                <w:lang w:eastAsia="sl-SI"/>
              </w:rPr>
              <w:t>Š</w:t>
            </w:r>
            <w:r w:rsidR="00E4026D" w:rsidRPr="00012435">
              <w:rPr>
                <w:rFonts w:ascii="Arial" w:hAnsi="Arial" w:cs="Arial"/>
                <w:b/>
                <w:bCs/>
                <w:color w:val="000000"/>
                <w:sz w:val="18"/>
                <w:szCs w:val="18"/>
                <w:lang w:eastAsia="sl-SI"/>
              </w:rPr>
              <w:t>tevilo upravičencev</w:t>
            </w:r>
          </w:p>
        </w:tc>
        <w:tc>
          <w:tcPr>
            <w:tcW w:w="2977" w:type="dxa"/>
            <w:gridSpan w:val="3"/>
            <w:tcBorders>
              <w:top w:val="single" w:sz="4" w:space="0" w:color="auto"/>
              <w:left w:val="nil"/>
              <w:bottom w:val="single" w:sz="4" w:space="0" w:color="auto"/>
              <w:right w:val="single" w:sz="4" w:space="0" w:color="000000"/>
            </w:tcBorders>
            <w:shd w:val="clear" w:color="DCE6F1" w:fill="DCE6F1"/>
            <w:vAlign w:val="bottom"/>
            <w:hideMark/>
          </w:tcPr>
          <w:p w14:paraId="2117101F" w14:textId="741A83EA" w:rsidR="00E4026D" w:rsidRPr="00012435" w:rsidRDefault="005F33EF" w:rsidP="00012435">
            <w:pPr>
              <w:spacing w:after="0" w:line="260" w:lineRule="atLeast"/>
              <w:jc w:val="center"/>
              <w:rPr>
                <w:rFonts w:ascii="Arial" w:hAnsi="Arial" w:cs="Arial"/>
                <w:b/>
                <w:bCs/>
                <w:color w:val="000000"/>
                <w:sz w:val="18"/>
                <w:szCs w:val="18"/>
                <w:lang w:eastAsia="sl-SI"/>
              </w:rPr>
            </w:pPr>
            <w:r w:rsidRPr="00012435">
              <w:rPr>
                <w:rFonts w:ascii="Arial" w:hAnsi="Arial" w:cs="Arial"/>
                <w:b/>
                <w:bCs/>
                <w:color w:val="000000"/>
                <w:sz w:val="18"/>
                <w:szCs w:val="18"/>
                <w:lang w:eastAsia="sl-SI"/>
              </w:rPr>
              <w:t>Z</w:t>
            </w:r>
            <w:r w:rsidR="00E4026D" w:rsidRPr="00012435">
              <w:rPr>
                <w:rFonts w:ascii="Arial" w:hAnsi="Arial" w:cs="Arial"/>
                <w:b/>
                <w:bCs/>
                <w:color w:val="000000"/>
                <w:sz w:val="18"/>
                <w:szCs w:val="18"/>
                <w:lang w:eastAsia="sl-SI"/>
              </w:rPr>
              <w:t xml:space="preserve">nesek davčnega </w:t>
            </w:r>
            <w:r w:rsidRPr="00012435">
              <w:rPr>
                <w:rFonts w:ascii="Arial" w:hAnsi="Arial" w:cs="Arial"/>
                <w:b/>
                <w:bCs/>
                <w:color w:val="000000"/>
                <w:sz w:val="18"/>
                <w:szCs w:val="18"/>
                <w:lang w:eastAsia="sl-SI"/>
              </w:rPr>
              <w:t>izdatka</w:t>
            </w:r>
          </w:p>
        </w:tc>
      </w:tr>
      <w:tr w:rsidR="00E4026D" w:rsidRPr="00A474C9" w14:paraId="62D1E6F5" w14:textId="77777777" w:rsidTr="00AC13E9">
        <w:trPr>
          <w:trHeight w:val="285"/>
        </w:trPr>
        <w:tc>
          <w:tcPr>
            <w:tcW w:w="428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A56A00" w14:textId="3843A5E3" w:rsidR="00E4026D" w:rsidRPr="00012435" w:rsidRDefault="00E4026D" w:rsidP="00012435">
            <w:pPr>
              <w:spacing w:after="0" w:line="260" w:lineRule="atLeast"/>
              <w:rPr>
                <w:rFonts w:ascii="Arial" w:hAnsi="Arial" w:cs="Arial"/>
                <w:b/>
                <w:bCs/>
                <w:color w:val="000000"/>
                <w:sz w:val="18"/>
                <w:szCs w:val="18"/>
                <w:lang w:eastAsia="sl-SI"/>
              </w:rPr>
            </w:pPr>
            <w:r w:rsidRPr="00012435">
              <w:rPr>
                <w:rFonts w:ascii="Arial" w:hAnsi="Arial" w:cs="Arial"/>
                <w:b/>
                <w:bCs/>
                <w:color w:val="000000"/>
                <w:sz w:val="18"/>
                <w:szCs w:val="18"/>
                <w:lang w:eastAsia="sl-SI"/>
              </w:rPr>
              <w:t xml:space="preserve">Vrsta davčnega </w:t>
            </w:r>
            <w:r w:rsidR="005F33EF" w:rsidRPr="00012435">
              <w:rPr>
                <w:rFonts w:ascii="Arial" w:hAnsi="Arial" w:cs="Arial"/>
                <w:b/>
                <w:bCs/>
                <w:color w:val="000000"/>
                <w:sz w:val="18"/>
                <w:szCs w:val="18"/>
                <w:lang w:eastAsia="sl-SI"/>
              </w:rPr>
              <w:t>izdatka</w:t>
            </w:r>
          </w:p>
        </w:tc>
        <w:tc>
          <w:tcPr>
            <w:tcW w:w="823" w:type="dxa"/>
            <w:tcBorders>
              <w:top w:val="nil"/>
              <w:left w:val="nil"/>
              <w:bottom w:val="single" w:sz="4" w:space="0" w:color="auto"/>
              <w:right w:val="single" w:sz="4" w:space="0" w:color="auto"/>
            </w:tcBorders>
            <w:shd w:val="clear" w:color="DCE6F1" w:fill="DCE6F1"/>
            <w:noWrap/>
            <w:vAlign w:val="bottom"/>
            <w:hideMark/>
          </w:tcPr>
          <w:p w14:paraId="65E0844C"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2016</w:t>
            </w:r>
          </w:p>
        </w:tc>
        <w:tc>
          <w:tcPr>
            <w:tcW w:w="851" w:type="dxa"/>
            <w:tcBorders>
              <w:top w:val="nil"/>
              <w:left w:val="nil"/>
              <w:bottom w:val="single" w:sz="4" w:space="0" w:color="auto"/>
              <w:right w:val="single" w:sz="4" w:space="0" w:color="auto"/>
            </w:tcBorders>
            <w:shd w:val="clear" w:color="DCE6F1" w:fill="DCE6F1"/>
            <w:noWrap/>
            <w:vAlign w:val="bottom"/>
            <w:hideMark/>
          </w:tcPr>
          <w:p w14:paraId="71405303"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2017</w:t>
            </w:r>
          </w:p>
        </w:tc>
        <w:tc>
          <w:tcPr>
            <w:tcW w:w="850" w:type="dxa"/>
            <w:tcBorders>
              <w:top w:val="nil"/>
              <w:left w:val="nil"/>
              <w:bottom w:val="single" w:sz="4" w:space="0" w:color="auto"/>
              <w:right w:val="single" w:sz="4" w:space="0" w:color="auto"/>
            </w:tcBorders>
            <w:shd w:val="clear" w:color="DCE6F1" w:fill="DCE6F1"/>
            <w:noWrap/>
            <w:vAlign w:val="bottom"/>
            <w:hideMark/>
          </w:tcPr>
          <w:p w14:paraId="4BBDA083"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2018</w:t>
            </w:r>
          </w:p>
        </w:tc>
        <w:tc>
          <w:tcPr>
            <w:tcW w:w="993" w:type="dxa"/>
            <w:tcBorders>
              <w:top w:val="nil"/>
              <w:left w:val="nil"/>
              <w:bottom w:val="single" w:sz="4" w:space="0" w:color="auto"/>
              <w:right w:val="single" w:sz="4" w:space="0" w:color="auto"/>
            </w:tcBorders>
            <w:shd w:val="clear" w:color="DCE6F1" w:fill="DCE6F1"/>
            <w:noWrap/>
            <w:vAlign w:val="bottom"/>
            <w:hideMark/>
          </w:tcPr>
          <w:p w14:paraId="44C39655"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2016</w:t>
            </w:r>
          </w:p>
        </w:tc>
        <w:tc>
          <w:tcPr>
            <w:tcW w:w="941" w:type="dxa"/>
            <w:tcBorders>
              <w:top w:val="nil"/>
              <w:left w:val="nil"/>
              <w:bottom w:val="single" w:sz="4" w:space="0" w:color="auto"/>
              <w:right w:val="single" w:sz="4" w:space="0" w:color="auto"/>
            </w:tcBorders>
            <w:shd w:val="clear" w:color="DCE6F1" w:fill="DCE6F1"/>
            <w:noWrap/>
            <w:vAlign w:val="bottom"/>
            <w:hideMark/>
          </w:tcPr>
          <w:p w14:paraId="1E6B256E"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2017</w:t>
            </w:r>
          </w:p>
        </w:tc>
        <w:tc>
          <w:tcPr>
            <w:tcW w:w="1043" w:type="dxa"/>
            <w:tcBorders>
              <w:top w:val="nil"/>
              <w:left w:val="nil"/>
              <w:bottom w:val="single" w:sz="4" w:space="0" w:color="auto"/>
              <w:right w:val="single" w:sz="4" w:space="0" w:color="auto"/>
            </w:tcBorders>
            <w:shd w:val="clear" w:color="DCE6F1" w:fill="DCE6F1"/>
            <w:noWrap/>
            <w:vAlign w:val="bottom"/>
            <w:hideMark/>
          </w:tcPr>
          <w:p w14:paraId="0F87ABAE" w14:textId="77777777" w:rsidR="00E4026D" w:rsidRPr="00012435" w:rsidRDefault="00E4026D" w:rsidP="00012435">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2018</w:t>
            </w:r>
          </w:p>
        </w:tc>
      </w:tr>
      <w:tr w:rsidR="00E4026D" w:rsidRPr="00A474C9" w14:paraId="7633FAAC"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2996406A" w14:textId="6121A840"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Vračilo trošarina za plinsko olje za pogonski namen (t.</w:t>
            </w:r>
            <w:r w:rsidR="00A7736E">
              <w:rPr>
                <w:rFonts w:ascii="Arial" w:hAnsi="Arial" w:cs="Arial"/>
                <w:color w:val="000000"/>
                <w:sz w:val="18"/>
                <w:szCs w:val="18"/>
                <w:lang w:eastAsia="sl-SI"/>
              </w:rPr>
              <w:t xml:space="preserve"> </w:t>
            </w:r>
            <w:r w:rsidRPr="00012435">
              <w:rPr>
                <w:rFonts w:ascii="Arial" w:hAnsi="Arial" w:cs="Arial"/>
                <w:color w:val="000000"/>
                <w:sz w:val="18"/>
                <w:szCs w:val="18"/>
                <w:lang w:eastAsia="sl-SI"/>
              </w:rPr>
              <w:t xml:space="preserve">i. komercialni dizel) </w:t>
            </w:r>
            <w:r w:rsidR="00A7736E">
              <w:rPr>
                <w:rFonts w:ascii="Arial" w:hAnsi="Arial" w:cs="Arial"/>
                <w:color w:val="000000"/>
                <w:sz w:val="18"/>
                <w:szCs w:val="18"/>
                <w:lang w:eastAsia="sl-SI"/>
              </w:rPr>
              <w:t>–</w:t>
            </w:r>
            <w:r w:rsidRPr="00012435">
              <w:rPr>
                <w:rFonts w:ascii="Arial" w:hAnsi="Arial" w:cs="Arial"/>
                <w:color w:val="000000"/>
                <w:sz w:val="18"/>
                <w:szCs w:val="18"/>
                <w:lang w:eastAsia="sl-SI"/>
              </w:rPr>
              <w:t xml:space="preserve"> 54/19 ZTro</w:t>
            </w:r>
            <w:r w:rsidR="008C75B3">
              <w:rPr>
                <w:rFonts w:ascii="Arial" w:hAnsi="Arial" w:cs="Arial"/>
                <w:color w:val="000000"/>
                <w:sz w:val="18"/>
                <w:szCs w:val="18"/>
                <w:lang w:eastAsia="sl-SI"/>
              </w:rPr>
              <w:t>-1</w:t>
            </w:r>
          </w:p>
        </w:tc>
        <w:tc>
          <w:tcPr>
            <w:tcW w:w="823" w:type="dxa"/>
            <w:tcBorders>
              <w:top w:val="nil"/>
              <w:left w:val="nil"/>
              <w:bottom w:val="single" w:sz="4" w:space="0" w:color="auto"/>
              <w:right w:val="single" w:sz="4" w:space="0" w:color="auto"/>
            </w:tcBorders>
            <w:shd w:val="clear" w:color="auto" w:fill="auto"/>
            <w:noWrap/>
            <w:vAlign w:val="center"/>
            <w:hideMark/>
          </w:tcPr>
          <w:p w14:paraId="0431DC3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4.933</w:t>
            </w:r>
          </w:p>
        </w:tc>
        <w:tc>
          <w:tcPr>
            <w:tcW w:w="851" w:type="dxa"/>
            <w:tcBorders>
              <w:top w:val="nil"/>
              <w:left w:val="nil"/>
              <w:bottom w:val="single" w:sz="4" w:space="0" w:color="auto"/>
              <w:right w:val="single" w:sz="4" w:space="0" w:color="auto"/>
            </w:tcBorders>
            <w:shd w:val="clear" w:color="auto" w:fill="auto"/>
            <w:noWrap/>
            <w:vAlign w:val="center"/>
            <w:hideMark/>
          </w:tcPr>
          <w:p w14:paraId="07D98B7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5.008</w:t>
            </w:r>
          </w:p>
        </w:tc>
        <w:tc>
          <w:tcPr>
            <w:tcW w:w="850" w:type="dxa"/>
            <w:tcBorders>
              <w:top w:val="nil"/>
              <w:left w:val="nil"/>
              <w:bottom w:val="single" w:sz="4" w:space="0" w:color="auto"/>
              <w:right w:val="single" w:sz="4" w:space="0" w:color="auto"/>
            </w:tcBorders>
            <w:shd w:val="clear" w:color="auto" w:fill="auto"/>
            <w:noWrap/>
            <w:vAlign w:val="center"/>
            <w:hideMark/>
          </w:tcPr>
          <w:p w14:paraId="3FC8F0A9"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4.903</w:t>
            </w:r>
          </w:p>
        </w:tc>
        <w:tc>
          <w:tcPr>
            <w:tcW w:w="993" w:type="dxa"/>
            <w:tcBorders>
              <w:top w:val="nil"/>
              <w:left w:val="nil"/>
              <w:bottom w:val="single" w:sz="4" w:space="0" w:color="auto"/>
              <w:right w:val="single" w:sz="4" w:space="0" w:color="auto"/>
            </w:tcBorders>
            <w:shd w:val="clear" w:color="auto" w:fill="auto"/>
            <w:noWrap/>
            <w:vAlign w:val="center"/>
            <w:hideMark/>
          </w:tcPr>
          <w:p w14:paraId="1AC54A5B"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50,1</w:t>
            </w:r>
          </w:p>
        </w:tc>
        <w:tc>
          <w:tcPr>
            <w:tcW w:w="941" w:type="dxa"/>
            <w:tcBorders>
              <w:top w:val="nil"/>
              <w:left w:val="nil"/>
              <w:bottom w:val="single" w:sz="4" w:space="0" w:color="auto"/>
              <w:right w:val="single" w:sz="4" w:space="0" w:color="auto"/>
            </w:tcBorders>
            <w:shd w:val="clear" w:color="auto" w:fill="auto"/>
            <w:noWrap/>
            <w:vAlign w:val="center"/>
            <w:hideMark/>
          </w:tcPr>
          <w:p w14:paraId="1DC23910"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53,5</w:t>
            </w:r>
          </w:p>
        </w:tc>
        <w:tc>
          <w:tcPr>
            <w:tcW w:w="1043" w:type="dxa"/>
            <w:tcBorders>
              <w:top w:val="nil"/>
              <w:left w:val="nil"/>
              <w:bottom w:val="single" w:sz="4" w:space="0" w:color="auto"/>
              <w:right w:val="single" w:sz="4" w:space="0" w:color="auto"/>
            </w:tcBorders>
            <w:shd w:val="clear" w:color="auto" w:fill="auto"/>
            <w:noWrap/>
            <w:vAlign w:val="center"/>
            <w:hideMark/>
          </w:tcPr>
          <w:p w14:paraId="3F13D089"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43,6</w:t>
            </w:r>
          </w:p>
        </w:tc>
      </w:tr>
      <w:tr w:rsidR="00E4026D" w:rsidRPr="00A474C9" w14:paraId="080C6F6E"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43248FB2" w14:textId="3AB2D204"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 xml:space="preserve">Vračila trošarine za kmetijsko in gozdarsko mehanizacijo (70 %) </w:t>
            </w:r>
            <w:r w:rsidR="00A7736E">
              <w:rPr>
                <w:rFonts w:ascii="Arial" w:hAnsi="Arial" w:cs="Arial"/>
                <w:color w:val="000000"/>
                <w:sz w:val="18"/>
                <w:szCs w:val="18"/>
                <w:lang w:eastAsia="sl-SI"/>
              </w:rPr>
              <w:t>–</w:t>
            </w:r>
            <w:r w:rsidRPr="00012435">
              <w:rPr>
                <w:rFonts w:ascii="Arial" w:hAnsi="Arial" w:cs="Arial"/>
                <w:color w:val="000000"/>
                <w:sz w:val="18"/>
                <w:szCs w:val="18"/>
                <w:lang w:eastAsia="sl-SI"/>
              </w:rPr>
              <w:t xml:space="preserve"> 54/9 ZTro</w:t>
            </w:r>
            <w:r w:rsidR="008C75B3">
              <w:rPr>
                <w:rFonts w:ascii="Arial" w:hAnsi="Arial" w:cs="Arial"/>
                <w:color w:val="000000"/>
                <w:sz w:val="18"/>
                <w:szCs w:val="18"/>
                <w:lang w:eastAsia="sl-SI"/>
              </w:rPr>
              <w:t>-1</w:t>
            </w:r>
          </w:p>
        </w:tc>
        <w:tc>
          <w:tcPr>
            <w:tcW w:w="823" w:type="dxa"/>
            <w:tcBorders>
              <w:top w:val="nil"/>
              <w:left w:val="nil"/>
              <w:bottom w:val="single" w:sz="4" w:space="0" w:color="auto"/>
              <w:right w:val="single" w:sz="4" w:space="0" w:color="auto"/>
            </w:tcBorders>
            <w:shd w:val="clear" w:color="auto" w:fill="auto"/>
            <w:noWrap/>
            <w:vAlign w:val="center"/>
            <w:hideMark/>
          </w:tcPr>
          <w:p w14:paraId="6CA97933"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31.646</w:t>
            </w:r>
          </w:p>
        </w:tc>
        <w:tc>
          <w:tcPr>
            <w:tcW w:w="851" w:type="dxa"/>
            <w:tcBorders>
              <w:top w:val="nil"/>
              <w:left w:val="nil"/>
              <w:bottom w:val="single" w:sz="4" w:space="0" w:color="auto"/>
              <w:right w:val="single" w:sz="4" w:space="0" w:color="auto"/>
            </w:tcBorders>
            <w:shd w:val="clear" w:color="auto" w:fill="auto"/>
            <w:noWrap/>
            <w:vAlign w:val="center"/>
            <w:hideMark/>
          </w:tcPr>
          <w:p w14:paraId="3C9B9C0E"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32.032</w:t>
            </w:r>
          </w:p>
        </w:tc>
        <w:tc>
          <w:tcPr>
            <w:tcW w:w="850" w:type="dxa"/>
            <w:tcBorders>
              <w:top w:val="nil"/>
              <w:left w:val="nil"/>
              <w:bottom w:val="single" w:sz="4" w:space="0" w:color="auto"/>
              <w:right w:val="single" w:sz="4" w:space="0" w:color="auto"/>
            </w:tcBorders>
            <w:shd w:val="clear" w:color="auto" w:fill="auto"/>
            <w:noWrap/>
            <w:vAlign w:val="center"/>
            <w:hideMark/>
          </w:tcPr>
          <w:p w14:paraId="38BE88BF"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32.202</w:t>
            </w:r>
          </w:p>
        </w:tc>
        <w:tc>
          <w:tcPr>
            <w:tcW w:w="993" w:type="dxa"/>
            <w:tcBorders>
              <w:top w:val="nil"/>
              <w:left w:val="nil"/>
              <w:bottom w:val="single" w:sz="4" w:space="0" w:color="auto"/>
              <w:right w:val="single" w:sz="4" w:space="0" w:color="auto"/>
            </w:tcBorders>
            <w:shd w:val="clear" w:color="auto" w:fill="auto"/>
            <w:noWrap/>
            <w:vAlign w:val="center"/>
            <w:hideMark/>
          </w:tcPr>
          <w:p w14:paraId="0090E20E"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20,9</w:t>
            </w:r>
          </w:p>
        </w:tc>
        <w:tc>
          <w:tcPr>
            <w:tcW w:w="941" w:type="dxa"/>
            <w:tcBorders>
              <w:top w:val="nil"/>
              <w:left w:val="nil"/>
              <w:bottom w:val="single" w:sz="4" w:space="0" w:color="auto"/>
              <w:right w:val="single" w:sz="4" w:space="0" w:color="auto"/>
            </w:tcBorders>
            <w:shd w:val="clear" w:color="auto" w:fill="auto"/>
            <w:noWrap/>
            <w:vAlign w:val="center"/>
            <w:hideMark/>
          </w:tcPr>
          <w:p w14:paraId="513CDE52"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21,0</w:t>
            </w:r>
          </w:p>
        </w:tc>
        <w:tc>
          <w:tcPr>
            <w:tcW w:w="1043" w:type="dxa"/>
            <w:tcBorders>
              <w:top w:val="nil"/>
              <w:left w:val="nil"/>
              <w:bottom w:val="single" w:sz="4" w:space="0" w:color="auto"/>
              <w:right w:val="single" w:sz="4" w:space="0" w:color="auto"/>
            </w:tcBorders>
            <w:shd w:val="clear" w:color="auto" w:fill="auto"/>
            <w:noWrap/>
            <w:vAlign w:val="center"/>
            <w:hideMark/>
          </w:tcPr>
          <w:p w14:paraId="2729C237"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20,6</w:t>
            </w:r>
          </w:p>
        </w:tc>
      </w:tr>
      <w:tr w:rsidR="00E4026D" w:rsidRPr="00A474C9" w14:paraId="0A6DA44B" w14:textId="77777777" w:rsidTr="00AC13E9">
        <w:trPr>
          <w:trHeight w:val="72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601B9252" w14:textId="6F797E86"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Energenti</w:t>
            </w:r>
            <w:r w:rsidR="00A7736E">
              <w:rPr>
                <w:rFonts w:ascii="Arial" w:hAnsi="Arial" w:cs="Arial"/>
                <w:color w:val="000000"/>
                <w:sz w:val="18"/>
                <w:szCs w:val="18"/>
                <w:lang w:eastAsia="sl-SI"/>
              </w:rPr>
              <w:t>,</w:t>
            </w:r>
            <w:r w:rsidRPr="00012435">
              <w:rPr>
                <w:rFonts w:ascii="Arial" w:hAnsi="Arial" w:cs="Arial"/>
                <w:color w:val="000000"/>
                <w:sz w:val="18"/>
                <w:szCs w:val="18"/>
                <w:lang w:eastAsia="sl-SI"/>
              </w:rPr>
              <w:t xml:space="preserve"> uporabljeni za skupno proizvodnjo toplotne in električne energije (kogeneracijo), pred</w:t>
            </w:r>
            <w:r w:rsidR="00A7736E">
              <w:rPr>
                <w:rFonts w:ascii="Arial" w:hAnsi="Arial" w:cs="Arial"/>
                <w:color w:val="000000"/>
                <w:sz w:val="18"/>
                <w:szCs w:val="18"/>
                <w:lang w:eastAsia="sl-SI"/>
              </w:rPr>
              <w:t xml:space="preserve"> letom</w:t>
            </w:r>
            <w:r w:rsidRPr="00012435">
              <w:rPr>
                <w:rFonts w:ascii="Arial" w:hAnsi="Arial" w:cs="Arial"/>
                <w:color w:val="000000"/>
                <w:sz w:val="18"/>
                <w:szCs w:val="18"/>
                <w:lang w:eastAsia="sl-SI"/>
              </w:rPr>
              <w:t xml:space="preserve"> 2017: EN za proizvodnjo EE in kogeneracijo</w:t>
            </w:r>
          </w:p>
        </w:tc>
        <w:tc>
          <w:tcPr>
            <w:tcW w:w="823" w:type="dxa"/>
            <w:tcBorders>
              <w:top w:val="nil"/>
              <w:left w:val="nil"/>
              <w:bottom w:val="single" w:sz="4" w:space="0" w:color="auto"/>
              <w:right w:val="single" w:sz="4" w:space="0" w:color="auto"/>
            </w:tcBorders>
            <w:shd w:val="clear" w:color="auto" w:fill="auto"/>
            <w:noWrap/>
            <w:vAlign w:val="center"/>
            <w:hideMark/>
          </w:tcPr>
          <w:p w14:paraId="1CC938F2"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6E9A57A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0" w:type="dxa"/>
            <w:tcBorders>
              <w:top w:val="nil"/>
              <w:left w:val="nil"/>
              <w:bottom w:val="single" w:sz="4" w:space="0" w:color="auto"/>
              <w:right w:val="single" w:sz="4" w:space="0" w:color="auto"/>
            </w:tcBorders>
            <w:shd w:val="clear" w:color="auto" w:fill="auto"/>
            <w:noWrap/>
            <w:vAlign w:val="center"/>
            <w:hideMark/>
          </w:tcPr>
          <w:p w14:paraId="3220B2C6"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93" w:type="dxa"/>
            <w:tcBorders>
              <w:top w:val="nil"/>
              <w:left w:val="nil"/>
              <w:bottom w:val="single" w:sz="4" w:space="0" w:color="auto"/>
              <w:right w:val="single" w:sz="4" w:space="0" w:color="auto"/>
            </w:tcBorders>
            <w:shd w:val="clear" w:color="auto" w:fill="auto"/>
            <w:noWrap/>
            <w:vAlign w:val="center"/>
            <w:hideMark/>
          </w:tcPr>
          <w:p w14:paraId="2B77365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16,1</w:t>
            </w:r>
          </w:p>
        </w:tc>
        <w:tc>
          <w:tcPr>
            <w:tcW w:w="941" w:type="dxa"/>
            <w:tcBorders>
              <w:top w:val="nil"/>
              <w:left w:val="nil"/>
              <w:bottom w:val="single" w:sz="4" w:space="0" w:color="auto"/>
              <w:right w:val="single" w:sz="4" w:space="0" w:color="auto"/>
            </w:tcBorders>
            <w:shd w:val="clear" w:color="auto" w:fill="auto"/>
            <w:noWrap/>
            <w:vAlign w:val="center"/>
            <w:hideMark/>
          </w:tcPr>
          <w:p w14:paraId="176D5ED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16,9</w:t>
            </w:r>
          </w:p>
        </w:tc>
        <w:tc>
          <w:tcPr>
            <w:tcW w:w="1043" w:type="dxa"/>
            <w:tcBorders>
              <w:top w:val="nil"/>
              <w:left w:val="nil"/>
              <w:bottom w:val="single" w:sz="4" w:space="0" w:color="auto"/>
              <w:right w:val="single" w:sz="4" w:space="0" w:color="auto"/>
            </w:tcBorders>
            <w:shd w:val="clear" w:color="auto" w:fill="auto"/>
            <w:noWrap/>
            <w:vAlign w:val="center"/>
            <w:hideMark/>
          </w:tcPr>
          <w:p w14:paraId="59DCE5E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15,4</w:t>
            </w:r>
          </w:p>
        </w:tc>
      </w:tr>
      <w:tr w:rsidR="00E4026D" w:rsidRPr="00A474C9" w14:paraId="4D84D5E9" w14:textId="77777777" w:rsidTr="00AC13E9">
        <w:trPr>
          <w:trHeight w:val="441"/>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44E0A330" w14:textId="1B1F88C5"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 xml:space="preserve">Vračila trošarine za statične delovne stroje, stroje v gradbeništvu in strojegradnji (50 %) </w:t>
            </w:r>
            <w:r w:rsidR="00A7736E">
              <w:rPr>
                <w:rFonts w:ascii="Arial" w:hAnsi="Arial" w:cs="Arial"/>
                <w:color w:val="000000"/>
                <w:sz w:val="18"/>
                <w:szCs w:val="18"/>
                <w:lang w:eastAsia="sl-SI"/>
              </w:rPr>
              <w:t>–</w:t>
            </w:r>
            <w:r w:rsidRPr="00012435">
              <w:rPr>
                <w:rFonts w:ascii="Arial" w:hAnsi="Arial" w:cs="Arial"/>
                <w:color w:val="000000"/>
                <w:sz w:val="18"/>
                <w:szCs w:val="18"/>
                <w:lang w:eastAsia="sl-SI"/>
              </w:rPr>
              <w:t xml:space="preserve"> 54/7 ZTro</w:t>
            </w:r>
            <w:r w:rsidR="008C75B3">
              <w:rPr>
                <w:rFonts w:ascii="Arial" w:hAnsi="Arial" w:cs="Arial"/>
                <w:color w:val="000000"/>
                <w:sz w:val="18"/>
                <w:szCs w:val="18"/>
                <w:lang w:eastAsia="sl-SI"/>
              </w:rPr>
              <w:t>-1</w:t>
            </w:r>
          </w:p>
        </w:tc>
        <w:tc>
          <w:tcPr>
            <w:tcW w:w="823" w:type="dxa"/>
            <w:tcBorders>
              <w:top w:val="nil"/>
              <w:left w:val="nil"/>
              <w:bottom w:val="single" w:sz="4" w:space="0" w:color="auto"/>
              <w:right w:val="single" w:sz="4" w:space="0" w:color="auto"/>
            </w:tcBorders>
            <w:shd w:val="clear" w:color="auto" w:fill="auto"/>
            <w:noWrap/>
            <w:vAlign w:val="center"/>
            <w:hideMark/>
          </w:tcPr>
          <w:p w14:paraId="78E135AF"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568</w:t>
            </w:r>
          </w:p>
        </w:tc>
        <w:tc>
          <w:tcPr>
            <w:tcW w:w="851" w:type="dxa"/>
            <w:tcBorders>
              <w:top w:val="nil"/>
              <w:left w:val="nil"/>
              <w:bottom w:val="single" w:sz="4" w:space="0" w:color="auto"/>
              <w:right w:val="single" w:sz="4" w:space="0" w:color="auto"/>
            </w:tcBorders>
            <w:shd w:val="clear" w:color="auto" w:fill="auto"/>
            <w:noWrap/>
            <w:vAlign w:val="center"/>
            <w:hideMark/>
          </w:tcPr>
          <w:p w14:paraId="72D58530"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488</w:t>
            </w:r>
          </w:p>
        </w:tc>
        <w:tc>
          <w:tcPr>
            <w:tcW w:w="850" w:type="dxa"/>
            <w:tcBorders>
              <w:top w:val="nil"/>
              <w:left w:val="nil"/>
              <w:bottom w:val="single" w:sz="4" w:space="0" w:color="auto"/>
              <w:right w:val="single" w:sz="4" w:space="0" w:color="auto"/>
            </w:tcBorders>
            <w:shd w:val="clear" w:color="auto" w:fill="auto"/>
            <w:noWrap/>
            <w:vAlign w:val="center"/>
            <w:hideMark/>
          </w:tcPr>
          <w:p w14:paraId="0463842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467</w:t>
            </w:r>
          </w:p>
        </w:tc>
        <w:tc>
          <w:tcPr>
            <w:tcW w:w="993" w:type="dxa"/>
            <w:tcBorders>
              <w:top w:val="nil"/>
              <w:left w:val="nil"/>
              <w:bottom w:val="single" w:sz="4" w:space="0" w:color="auto"/>
              <w:right w:val="single" w:sz="4" w:space="0" w:color="auto"/>
            </w:tcBorders>
            <w:shd w:val="clear" w:color="auto" w:fill="auto"/>
            <w:noWrap/>
            <w:vAlign w:val="center"/>
            <w:hideMark/>
          </w:tcPr>
          <w:p w14:paraId="78D11CB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10,5</w:t>
            </w:r>
          </w:p>
        </w:tc>
        <w:tc>
          <w:tcPr>
            <w:tcW w:w="941" w:type="dxa"/>
            <w:tcBorders>
              <w:top w:val="nil"/>
              <w:left w:val="nil"/>
              <w:bottom w:val="single" w:sz="4" w:space="0" w:color="auto"/>
              <w:right w:val="single" w:sz="4" w:space="0" w:color="auto"/>
            </w:tcBorders>
            <w:shd w:val="clear" w:color="auto" w:fill="auto"/>
            <w:noWrap/>
            <w:vAlign w:val="center"/>
            <w:hideMark/>
          </w:tcPr>
          <w:p w14:paraId="0948595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8,5</w:t>
            </w:r>
          </w:p>
        </w:tc>
        <w:tc>
          <w:tcPr>
            <w:tcW w:w="1043" w:type="dxa"/>
            <w:tcBorders>
              <w:top w:val="nil"/>
              <w:left w:val="nil"/>
              <w:bottom w:val="single" w:sz="4" w:space="0" w:color="auto"/>
              <w:right w:val="single" w:sz="4" w:space="0" w:color="auto"/>
            </w:tcBorders>
            <w:shd w:val="clear" w:color="auto" w:fill="auto"/>
            <w:noWrap/>
            <w:vAlign w:val="center"/>
            <w:hideMark/>
          </w:tcPr>
          <w:p w14:paraId="379796E6"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8,3</w:t>
            </w:r>
          </w:p>
        </w:tc>
      </w:tr>
      <w:tr w:rsidR="00E4026D" w:rsidRPr="00A474C9" w14:paraId="60DE5AB9"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7C0F3C1C" w14:textId="0287492E" w:rsidR="00E4026D" w:rsidRPr="00012435" w:rsidRDefault="00E4026D" w:rsidP="008C75B3">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Znižana trošarina na elektr</w:t>
            </w:r>
            <w:r w:rsidR="008C75B3">
              <w:rPr>
                <w:rFonts w:ascii="Arial" w:hAnsi="Arial" w:cs="Arial"/>
                <w:color w:val="000000"/>
                <w:sz w:val="18"/>
                <w:szCs w:val="18"/>
                <w:lang w:eastAsia="sl-SI"/>
              </w:rPr>
              <w:t>ično</w:t>
            </w:r>
            <w:r w:rsidRPr="00012435">
              <w:rPr>
                <w:rFonts w:ascii="Arial" w:hAnsi="Arial" w:cs="Arial"/>
                <w:color w:val="000000"/>
                <w:sz w:val="18"/>
                <w:szCs w:val="18"/>
                <w:lang w:eastAsia="sl-SI"/>
              </w:rPr>
              <w:t xml:space="preserve"> en</w:t>
            </w:r>
            <w:r w:rsidR="008C75B3">
              <w:rPr>
                <w:rFonts w:ascii="Arial" w:hAnsi="Arial" w:cs="Arial"/>
                <w:color w:val="000000"/>
                <w:sz w:val="18"/>
                <w:szCs w:val="18"/>
                <w:lang w:eastAsia="sl-SI"/>
              </w:rPr>
              <w:t>ergijo</w:t>
            </w:r>
            <w:r w:rsidRPr="00012435">
              <w:rPr>
                <w:rFonts w:ascii="Arial" w:hAnsi="Arial" w:cs="Arial"/>
                <w:color w:val="000000"/>
                <w:sz w:val="18"/>
                <w:szCs w:val="18"/>
                <w:lang w:eastAsia="sl-SI"/>
              </w:rPr>
              <w:t xml:space="preserve"> za večje porabnike (nad 10.000 MWh/leto)</w:t>
            </w:r>
          </w:p>
        </w:tc>
        <w:tc>
          <w:tcPr>
            <w:tcW w:w="823" w:type="dxa"/>
            <w:tcBorders>
              <w:top w:val="nil"/>
              <w:left w:val="nil"/>
              <w:bottom w:val="single" w:sz="4" w:space="0" w:color="auto"/>
              <w:right w:val="single" w:sz="4" w:space="0" w:color="auto"/>
            </w:tcBorders>
            <w:shd w:val="clear" w:color="auto" w:fill="auto"/>
            <w:noWrap/>
            <w:vAlign w:val="center"/>
            <w:hideMark/>
          </w:tcPr>
          <w:p w14:paraId="6F81F0A9"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66FA7236"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0" w:type="dxa"/>
            <w:tcBorders>
              <w:top w:val="nil"/>
              <w:left w:val="nil"/>
              <w:bottom w:val="single" w:sz="4" w:space="0" w:color="auto"/>
              <w:right w:val="single" w:sz="4" w:space="0" w:color="auto"/>
            </w:tcBorders>
            <w:shd w:val="clear" w:color="auto" w:fill="auto"/>
            <w:noWrap/>
            <w:vAlign w:val="center"/>
            <w:hideMark/>
          </w:tcPr>
          <w:p w14:paraId="30FC745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93" w:type="dxa"/>
            <w:tcBorders>
              <w:top w:val="nil"/>
              <w:left w:val="nil"/>
              <w:bottom w:val="single" w:sz="4" w:space="0" w:color="auto"/>
              <w:right w:val="single" w:sz="4" w:space="0" w:color="auto"/>
            </w:tcBorders>
            <w:shd w:val="clear" w:color="auto" w:fill="auto"/>
            <w:noWrap/>
            <w:vAlign w:val="center"/>
            <w:hideMark/>
          </w:tcPr>
          <w:p w14:paraId="6007BE3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41" w:type="dxa"/>
            <w:tcBorders>
              <w:top w:val="nil"/>
              <w:left w:val="nil"/>
              <w:bottom w:val="single" w:sz="4" w:space="0" w:color="auto"/>
              <w:right w:val="single" w:sz="4" w:space="0" w:color="auto"/>
            </w:tcBorders>
            <w:shd w:val="clear" w:color="auto" w:fill="auto"/>
            <w:noWrap/>
            <w:vAlign w:val="center"/>
            <w:hideMark/>
          </w:tcPr>
          <w:p w14:paraId="241A1070"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3,6</w:t>
            </w:r>
          </w:p>
        </w:tc>
        <w:tc>
          <w:tcPr>
            <w:tcW w:w="1043" w:type="dxa"/>
            <w:tcBorders>
              <w:top w:val="nil"/>
              <w:left w:val="nil"/>
              <w:bottom w:val="single" w:sz="4" w:space="0" w:color="auto"/>
              <w:right w:val="single" w:sz="4" w:space="0" w:color="auto"/>
            </w:tcBorders>
            <w:shd w:val="clear" w:color="auto" w:fill="auto"/>
            <w:noWrap/>
            <w:vAlign w:val="center"/>
            <w:hideMark/>
          </w:tcPr>
          <w:p w14:paraId="16F5703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3,3</w:t>
            </w:r>
          </w:p>
        </w:tc>
      </w:tr>
      <w:tr w:rsidR="00E4026D" w:rsidRPr="00A474C9" w14:paraId="707DF8C9"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04F5A205"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Oprostitev trošarine za energetsko intenzivna podjetja (samo energenti)</w:t>
            </w:r>
          </w:p>
        </w:tc>
        <w:tc>
          <w:tcPr>
            <w:tcW w:w="823" w:type="dxa"/>
            <w:tcBorders>
              <w:top w:val="nil"/>
              <w:left w:val="nil"/>
              <w:bottom w:val="single" w:sz="4" w:space="0" w:color="auto"/>
              <w:right w:val="single" w:sz="4" w:space="0" w:color="auto"/>
            </w:tcBorders>
            <w:shd w:val="clear" w:color="auto" w:fill="auto"/>
            <w:noWrap/>
            <w:vAlign w:val="center"/>
            <w:hideMark/>
          </w:tcPr>
          <w:p w14:paraId="5E555D07"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0BDEACC3"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88</w:t>
            </w:r>
          </w:p>
        </w:tc>
        <w:tc>
          <w:tcPr>
            <w:tcW w:w="850" w:type="dxa"/>
            <w:tcBorders>
              <w:top w:val="nil"/>
              <w:left w:val="nil"/>
              <w:bottom w:val="single" w:sz="4" w:space="0" w:color="auto"/>
              <w:right w:val="single" w:sz="4" w:space="0" w:color="auto"/>
            </w:tcBorders>
            <w:shd w:val="clear" w:color="auto" w:fill="auto"/>
            <w:noWrap/>
            <w:vAlign w:val="center"/>
            <w:hideMark/>
          </w:tcPr>
          <w:p w14:paraId="789678C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85</w:t>
            </w:r>
          </w:p>
        </w:tc>
        <w:tc>
          <w:tcPr>
            <w:tcW w:w="993" w:type="dxa"/>
            <w:tcBorders>
              <w:top w:val="nil"/>
              <w:left w:val="nil"/>
              <w:bottom w:val="single" w:sz="4" w:space="0" w:color="auto"/>
              <w:right w:val="single" w:sz="4" w:space="0" w:color="auto"/>
            </w:tcBorders>
            <w:shd w:val="clear" w:color="auto" w:fill="auto"/>
            <w:noWrap/>
            <w:vAlign w:val="center"/>
            <w:hideMark/>
          </w:tcPr>
          <w:p w14:paraId="3FA520A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41" w:type="dxa"/>
            <w:tcBorders>
              <w:top w:val="nil"/>
              <w:left w:val="nil"/>
              <w:bottom w:val="single" w:sz="4" w:space="0" w:color="auto"/>
              <w:right w:val="single" w:sz="4" w:space="0" w:color="auto"/>
            </w:tcBorders>
            <w:shd w:val="clear" w:color="auto" w:fill="auto"/>
            <w:noWrap/>
            <w:vAlign w:val="center"/>
            <w:hideMark/>
          </w:tcPr>
          <w:p w14:paraId="3CE2419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2,7</w:t>
            </w:r>
          </w:p>
        </w:tc>
        <w:tc>
          <w:tcPr>
            <w:tcW w:w="1043" w:type="dxa"/>
            <w:tcBorders>
              <w:top w:val="nil"/>
              <w:left w:val="nil"/>
              <w:bottom w:val="single" w:sz="4" w:space="0" w:color="auto"/>
              <w:right w:val="single" w:sz="4" w:space="0" w:color="auto"/>
            </w:tcBorders>
            <w:shd w:val="clear" w:color="auto" w:fill="auto"/>
            <w:noWrap/>
            <w:vAlign w:val="center"/>
            <w:hideMark/>
          </w:tcPr>
          <w:p w14:paraId="4EFA3988"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3,0</w:t>
            </w:r>
          </w:p>
        </w:tc>
      </w:tr>
      <w:tr w:rsidR="00E4026D" w:rsidRPr="00A474C9" w14:paraId="518C34CE"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631819A2"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Znižana trošarina na alkohol za male proizvajalce piva (50 %)</w:t>
            </w:r>
          </w:p>
        </w:tc>
        <w:tc>
          <w:tcPr>
            <w:tcW w:w="823" w:type="dxa"/>
            <w:tcBorders>
              <w:top w:val="nil"/>
              <w:left w:val="nil"/>
              <w:bottom w:val="single" w:sz="4" w:space="0" w:color="auto"/>
              <w:right w:val="single" w:sz="4" w:space="0" w:color="auto"/>
            </w:tcBorders>
            <w:shd w:val="clear" w:color="auto" w:fill="auto"/>
            <w:noWrap/>
            <w:vAlign w:val="center"/>
            <w:hideMark/>
          </w:tcPr>
          <w:p w14:paraId="2E9C446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3BF7FFA0"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85</w:t>
            </w:r>
          </w:p>
        </w:tc>
        <w:tc>
          <w:tcPr>
            <w:tcW w:w="850" w:type="dxa"/>
            <w:tcBorders>
              <w:top w:val="nil"/>
              <w:left w:val="nil"/>
              <w:bottom w:val="single" w:sz="4" w:space="0" w:color="auto"/>
              <w:right w:val="single" w:sz="4" w:space="0" w:color="auto"/>
            </w:tcBorders>
            <w:shd w:val="clear" w:color="auto" w:fill="auto"/>
            <w:noWrap/>
            <w:vAlign w:val="center"/>
            <w:hideMark/>
          </w:tcPr>
          <w:p w14:paraId="3416746B"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92</w:t>
            </w:r>
          </w:p>
        </w:tc>
        <w:tc>
          <w:tcPr>
            <w:tcW w:w="993" w:type="dxa"/>
            <w:tcBorders>
              <w:top w:val="nil"/>
              <w:left w:val="nil"/>
              <w:bottom w:val="single" w:sz="4" w:space="0" w:color="auto"/>
              <w:right w:val="single" w:sz="4" w:space="0" w:color="auto"/>
            </w:tcBorders>
            <w:shd w:val="clear" w:color="auto" w:fill="auto"/>
            <w:noWrap/>
            <w:vAlign w:val="center"/>
            <w:hideMark/>
          </w:tcPr>
          <w:p w14:paraId="5C7CF7C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0,2</w:t>
            </w:r>
          </w:p>
        </w:tc>
        <w:tc>
          <w:tcPr>
            <w:tcW w:w="941" w:type="dxa"/>
            <w:tcBorders>
              <w:top w:val="nil"/>
              <w:left w:val="nil"/>
              <w:bottom w:val="single" w:sz="4" w:space="0" w:color="auto"/>
              <w:right w:val="single" w:sz="4" w:space="0" w:color="auto"/>
            </w:tcBorders>
            <w:shd w:val="clear" w:color="auto" w:fill="auto"/>
            <w:noWrap/>
            <w:vAlign w:val="center"/>
            <w:hideMark/>
          </w:tcPr>
          <w:p w14:paraId="413B3F86"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0,7</w:t>
            </w:r>
          </w:p>
        </w:tc>
        <w:tc>
          <w:tcPr>
            <w:tcW w:w="1043" w:type="dxa"/>
            <w:tcBorders>
              <w:top w:val="nil"/>
              <w:left w:val="nil"/>
              <w:bottom w:val="single" w:sz="4" w:space="0" w:color="auto"/>
              <w:right w:val="single" w:sz="4" w:space="0" w:color="auto"/>
            </w:tcBorders>
            <w:shd w:val="clear" w:color="auto" w:fill="auto"/>
            <w:noWrap/>
            <w:vAlign w:val="center"/>
            <w:hideMark/>
          </w:tcPr>
          <w:p w14:paraId="1900DF88"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1,0</w:t>
            </w:r>
          </w:p>
        </w:tc>
      </w:tr>
      <w:tr w:rsidR="00E4026D" w:rsidRPr="00A474C9" w14:paraId="52F0F785"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0AD298DB"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Oprostitev trošarine na alkohol za proizvodnjo arom in brezalkoholnih pijač (do 1,2 % vol.)</w:t>
            </w:r>
          </w:p>
        </w:tc>
        <w:tc>
          <w:tcPr>
            <w:tcW w:w="823" w:type="dxa"/>
            <w:tcBorders>
              <w:top w:val="nil"/>
              <w:left w:val="nil"/>
              <w:bottom w:val="single" w:sz="4" w:space="0" w:color="auto"/>
              <w:right w:val="single" w:sz="4" w:space="0" w:color="auto"/>
            </w:tcBorders>
            <w:shd w:val="clear" w:color="auto" w:fill="auto"/>
            <w:noWrap/>
            <w:vAlign w:val="center"/>
            <w:hideMark/>
          </w:tcPr>
          <w:p w14:paraId="4C3ED11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20E93149"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0" w:type="dxa"/>
            <w:tcBorders>
              <w:top w:val="nil"/>
              <w:left w:val="nil"/>
              <w:bottom w:val="single" w:sz="4" w:space="0" w:color="auto"/>
              <w:right w:val="single" w:sz="4" w:space="0" w:color="auto"/>
            </w:tcBorders>
            <w:shd w:val="clear" w:color="auto" w:fill="auto"/>
            <w:noWrap/>
            <w:vAlign w:val="center"/>
            <w:hideMark/>
          </w:tcPr>
          <w:p w14:paraId="2D1478A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93" w:type="dxa"/>
            <w:tcBorders>
              <w:top w:val="nil"/>
              <w:left w:val="nil"/>
              <w:bottom w:val="single" w:sz="4" w:space="0" w:color="auto"/>
              <w:right w:val="single" w:sz="4" w:space="0" w:color="auto"/>
            </w:tcBorders>
            <w:shd w:val="clear" w:color="auto" w:fill="auto"/>
            <w:noWrap/>
            <w:vAlign w:val="center"/>
            <w:hideMark/>
          </w:tcPr>
          <w:p w14:paraId="0564EB1F"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7,9</w:t>
            </w:r>
          </w:p>
        </w:tc>
        <w:tc>
          <w:tcPr>
            <w:tcW w:w="941" w:type="dxa"/>
            <w:tcBorders>
              <w:top w:val="nil"/>
              <w:left w:val="nil"/>
              <w:bottom w:val="single" w:sz="4" w:space="0" w:color="auto"/>
              <w:right w:val="single" w:sz="4" w:space="0" w:color="auto"/>
            </w:tcBorders>
            <w:shd w:val="clear" w:color="auto" w:fill="auto"/>
            <w:noWrap/>
            <w:vAlign w:val="center"/>
            <w:hideMark/>
          </w:tcPr>
          <w:p w14:paraId="0B9CB8F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5,2</w:t>
            </w:r>
          </w:p>
        </w:tc>
        <w:tc>
          <w:tcPr>
            <w:tcW w:w="1043" w:type="dxa"/>
            <w:tcBorders>
              <w:top w:val="nil"/>
              <w:left w:val="nil"/>
              <w:bottom w:val="single" w:sz="4" w:space="0" w:color="auto"/>
              <w:right w:val="single" w:sz="4" w:space="0" w:color="auto"/>
            </w:tcBorders>
            <w:shd w:val="clear" w:color="auto" w:fill="auto"/>
            <w:noWrap/>
            <w:vAlign w:val="center"/>
            <w:hideMark/>
          </w:tcPr>
          <w:p w14:paraId="166F9D4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0,8</w:t>
            </w:r>
          </w:p>
        </w:tc>
      </w:tr>
      <w:tr w:rsidR="00E4026D" w:rsidRPr="00A474C9" w14:paraId="4B0E981D" w14:textId="77777777" w:rsidTr="00AC13E9">
        <w:trPr>
          <w:trHeight w:val="285"/>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01547D8A"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Oprostitev trošarine na alkohol za proizvodnjo živil</w:t>
            </w:r>
          </w:p>
        </w:tc>
        <w:tc>
          <w:tcPr>
            <w:tcW w:w="823" w:type="dxa"/>
            <w:tcBorders>
              <w:top w:val="nil"/>
              <w:left w:val="nil"/>
              <w:bottom w:val="single" w:sz="4" w:space="0" w:color="auto"/>
              <w:right w:val="single" w:sz="4" w:space="0" w:color="auto"/>
            </w:tcBorders>
            <w:shd w:val="clear" w:color="auto" w:fill="auto"/>
            <w:noWrap/>
            <w:vAlign w:val="center"/>
            <w:hideMark/>
          </w:tcPr>
          <w:p w14:paraId="2160D0E8"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1A3B097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0" w:type="dxa"/>
            <w:tcBorders>
              <w:top w:val="nil"/>
              <w:left w:val="nil"/>
              <w:bottom w:val="single" w:sz="4" w:space="0" w:color="auto"/>
              <w:right w:val="single" w:sz="4" w:space="0" w:color="auto"/>
            </w:tcBorders>
            <w:shd w:val="clear" w:color="auto" w:fill="auto"/>
            <w:noWrap/>
            <w:vAlign w:val="center"/>
            <w:hideMark/>
          </w:tcPr>
          <w:p w14:paraId="65E797AC"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93" w:type="dxa"/>
            <w:tcBorders>
              <w:top w:val="nil"/>
              <w:left w:val="nil"/>
              <w:bottom w:val="single" w:sz="4" w:space="0" w:color="auto"/>
              <w:right w:val="single" w:sz="4" w:space="0" w:color="auto"/>
            </w:tcBorders>
            <w:shd w:val="clear" w:color="auto" w:fill="auto"/>
            <w:noWrap/>
            <w:vAlign w:val="center"/>
            <w:hideMark/>
          </w:tcPr>
          <w:p w14:paraId="00B29DD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0,0</w:t>
            </w:r>
          </w:p>
        </w:tc>
        <w:tc>
          <w:tcPr>
            <w:tcW w:w="941" w:type="dxa"/>
            <w:tcBorders>
              <w:top w:val="nil"/>
              <w:left w:val="nil"/>
              <w:bottom w:val="single" w:sz="4" w:space="0" w:color="auto"/>
              <w:right w:val="single" w:sz="4" w:space="0" w:color="auto"/>
            </w:tcBorders>
            <w:shd w:val="clear" w:color="auto" w:fill="auto"/>
            <w:noWrap/>
            <w:vAlign w:val="center"/>
            <w:hideMark/>
          </w:tcPr>
          <w:p w14:paraId="5F5DA53B"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0,2</w:t>
            </w:r>
          </w:p>
        </w:tc>
        <w:tc>
          <w:tcPr>
            <w:tcW w:w="1043" w:type="dxa"/>
            <w:tcBorders>
              <w:top w:val="nil"/>
              <w:left w:val="nil"/>
              <w:bottom w:val="single" w:sz="4" w:space="0" w:color="auto"/>
              <w:right w:val="single" w:sz="4" w:space="0" w:color="auto"/>
            </w:tcBorders>
            <w:shd w:val="clear" w:color="auto" w:fill="auto"/>
            <w:noWrap/>
            <w:vAlign w:val="center"/>
            <w:hideMark/>
          </w:tcPr>
          <w:p w14:paraId="2698B2C3"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0,7</w:t>
            </w:r>
          </w:p>
        </w:tc>
      </w:tr>
      <w:tr w:rsidR="00E4026D" w:rsidRPr="00A474C9" w14:paraId="62C145C1" w14:textId="77777777" w:rsidTr="00AC13E9">
        <w:trPr>
          <w:trHeight w:val="35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1BEC9E0B"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Oprostitev trošarine na alkohol za proizvodnjo kisa</w:t>
            </w:r>
          </w:p>
        </w:tc>
        <w:tc>
          <w:tcPr>
            <w:tcW w:w="823" w:type="dxa"/>
            <w:tcBorders>
              <w:top w:val="nil"/>
              <w:left w:val="nil"/>
              <w:bottom w:val="single" w:sz="4" w:space="0" w:color="auto"/>
              <w:right w:val="single" w:sz="4" w:space="0" w:color="auto"/>
            </w:tcBorders>
            <w:shd w:val="clear" w:color="auto" w:fill="auto"/>
            <w:noWrap/>
            <w:vAlign w:val="center"/>
            <w:hideMark/>
          </w:tcPr>
          <w:p w14:paraId="5F77DBF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143DA57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0" w:type="dxa"/>
            <w:tcBorders>
              <w:top w:val="nil"/>
              <w:left w:val="nil"/>
              <w:bottom w:val="single" w:sz="4" w:space="0" w:color="auto"/>
              <w:right w:val="single" w:sz="4" w:space="0" w:color="auto"/>
            </w:tcBorders>
            <w:shd w:val="clear" w:color="auto" w:fill="auto"/>
            <w:noWrap/>
            <w:vAlign w:val="center"/>
            <w:hideMark/>
          </w:tcPr>
          <w:p w14:paraId="1C026655"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93" w:type="dxa"/>
            <w:tcBorders>
              <w:top w:val="nil"/>
              <w:left w:val="nil"/>
              <w:bottom w:val="single" w:sz="4" w:space="0" w:color="auto"/>
              <w:right w:val="single" w:sz="4" w:space="0" w:color="auto"/>
            </w:tcBorders>
            <w:shd w:val="clear" w:color="auto" w:fill="auto"/>
            <w:noWrap/>
            <w:vAlign w:val="center"/>
            <w:hideMark/>
          </w:tcPr>
          <w:p w14:paraId="231C8E0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0,3</w:t>
            </w:r>
          </w:p>
        </w:tc>
        <w:tc>
          <w:tcPr>
            <w:tcW w:w="941" w:type="dxa"/>
            <w:tcBorders>
              <w:top w:val="nil"/>
              <w:left w:val="nil"/>
              <w:bottom w:val="single" w:sz="4" w:space="0" w:color="auto"/>
              <w:right w:val="single" w:sz="4" w:space="0" w:color="auto"/>
            </w:tcBorders>
            <w:shd w:val="clear" w:color="auto" w:fill="auto"/>
            <w:noWrap/>
            <w:vAlign w:val="center"/>
            <w:hideMark/>
          </w:tcPr>
          <w:p w14:paraId="1980FFB4"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0,2</w:t>
            </w:r>
          </w:p>
        </w:tc>
        <w:tc>
          <w:tcPr>
            <w:tcW w:w="1043" w:type="dxa"/>
            <w:tcBorders>
              <w:top w:val="nil"/>
              <w:left w:val="nil"/>
              <w:bottom w:val="single" w:sz="4" w:space="0" w:color="auto"/>
              <w:right w:val="single" w:sz="4" w:space="0" w:color="auto"/>
            </w:tcBorders>
            <w:shd w:val="clear" w:color="auto" w:fill="auto"/>
            <w:noWrap/>
            <w:vAlign w:val="center"/>
            <w:hideMark/>
          </w:tcPr>
          <w:p w14:paraId="04DE647A"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0,1</w:t>
            </w:r>
          </w:p>
        </w:tc>
      </w:tr>
      <w:tr w:rsidR="00E4026D" w:rsidRPr="00A474C9" w14:paraId="563DCAF6" w14:textId="77777777" w:rsidTr="00AC13E9">
        <w:trPr>
          <w:trHeight w:val="480"/>
        </w:trPr>
        <w:tc>
          <w:tcPr>
            <w:tcW w:w="4280" w:type="dxa"/>
            <w:tcBorders>
              <w:top w:val="nil"/>
              <w:left w:val="single" w:sz="4" w:space="0" w:color="auto"/>
              <w:bottom w:val="single" w:sz="4" w:space="0" w:color="auto"/>
              <w:right w:val="single" w:sz="4" w:space="0" w:color="auto"/>
            </w:tcBorders>
            <w:shd w:val="clear" w:color="auto" w:fill="auto"/>
            <w:vAlign w:val="bottom"/>
            <w:hideMark/>
          </w:tcPr>
          <w:p w14:paraId="2B9DE81D" w14:textId="77777777" w:rsidR="00E4026D" w:rsidRPr="00012435" w:rsidRDefault="00E4026D" w:rsidP="00012435">
            <w:pPr>
              <w:spacing w:after="0" w:line="260" w:lineRule="atLeast"/>
              <w:rPr>
                <w:rFonts w:ascii="Arial" w:hAnsi="Arial" w:cs="Arial"/>
                <w:color w:val="000000"/>
                <w:sz w:val="18"/>
                <w:szCs w:val="18"/>
                <w:lang w:eastAsia="sl-SI"/>
              </w:rPr>
            </w:pPr>
            <w:r w:rsidRPr="00012435">
              <w:rPr>
                <w:rFonts w:ascii="Arial" w:hAnsi="Arial" w:cs="Arial"/>
                <w:color w:val="000000"/>
                <w:sz w:val="18"/>
                <w:szCs w:val="18"/>
                <w:lang w:eastAsia="sl-SI"/>
              </w:rPr>
              <w:t>Znižana trošarina na alkohol za male proizvajalce žganja (50 %)</w:t>
            </w:r>
          </w:p>
        </w:tc>
        <w:tc>
          <w:tcPr>
            <w:tcW w:w="823" w:type="dxa"/>
            <w:tcBorders>
              <w:top w:val="nil"/>
              <w:left w:val="nil"/>
              <w:bottom w:val="single" w:sz="4" w:space="0" w:color="auto"/>
              <w:right w:val="single" w:sz="4" w:space="0" w:color="auto"/>
            </w:tcBorders>
            <w:shd w:val="clear" w:color="auto" w:fill="auto"/>
            <w:noWrap/>
            <w:vAlign w:val="center"/>
            <w:hideMark/>
          </w:tcPr>
          <w:p w14:paraId="63DE62B2"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851" w:type="dxa"/>
            <w:tcBorders>
              <w:top w:val="nil"/>
              <w:left w:val="nil"/>
              <w:bottom w:val="single" w:sz="4" w:space="0" w:color="auto"/>
              <w:right w:val="single" w:sz="4" w:space="0" w:color="auto"/>
            </w:tcBorders>
            <w:shd w:val="clear" w:color="auto" w:fill="auto"/>
            <w:noWrap/>
            <w:vAlign w:val="center"/>
            <w:hideMark/>
          </w:tcPr>
          <w:p w14:paraId="657D2F69"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325</w:t>
            </w:r>
          </w:p>
        </w:tc>
        <w:tc>
          <w:tcPr>
            <w:tcW w:w="850" w:type="dxa"/>
            <w:tcBorders>
              <w:top w:val="nil"/>
              <w:left w:val="nil"/>
              <w:bottom w:val="single" w:sz="4" w:space="0" w:color="auto"/>
              <w:right w:val="single" w:sz="4" w:space="0" w:color="auto"/>
            </w:tcBorders>
            <w:shd w:val="clear" w:color="auto" w:fill="auto"/>
            <w:noWrap/>
            <w:vAlign w:val="center"/>
            <w:hideMark/>
          </w:tcPr>
          <w:p w14:paraId="0E90CCCD"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519</w:t>
            </w:r>
          </w:p>
        </w:tc>
        <w:tc>
          <w:tcPr>
            <w:tcW w:w="993" w:type="dxa"/>
            <w:tcBorders>
              <w:top w:val="nil"/>
              <w:left w:val="nil"/>
              <w:bottom w:val="single" w:sz="4" w:space="0" w:color="auto"/>
              <w:right w:val="single" w:sz="4" w:space="0" w:color="auto"/>
            </w:tcBorders>
            <w:shd w:val="clear" w:color="auto" w:fill="auto"/>
            <w:noWrap/>
            <w:vAlign w:val="center"/>
            <w:hideMark/>
          </w:tcPr>
          <w:p w14:paraId="640D9F66"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 </w:t>
            </w:r>
          </w:p>
        </w:tc>
        <w:tc>
          <w:tcPr>
            <w:tcW w:w="941" w:type="dxa"/>
            <w:tcBorders>
              <w:top w:val="nil"/>
              <w:left w:val="nil"/>
              <w:bottom w:val="single" w:sz="4" w:space="0" w:color="auto"/>
              <w:right w:val="single" w:sz="4" w:space="0" w:color="auto"/>
            </w:tcBorders>
            <w:shd w:val="clear" w:color="auto" w:fill="auto"/>
            <w:noWrap/>
            <w:vAlign w:val="center"/>
            <w:hideMark/>
          </w:tcPr>
          <w:p w14:paraId="79A8FE78"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0,1</w:t>
            </w:r>
          </w:p>
        </w:tc>
        <w:tc>
          <w:tcPr>
            <w:tcW w:w="1043" w:type="dxa"/>
            <w:tcBorders>
              <w:top w:val="nil"/>
              <w:left w:val="nil"/>
              <w:bottom w:val="single" w:sz="4" w:space="0" w:color="auto"/>
              <w:right w:val="single" w:sz="4" w:space="0" w:color="auto"/>
            </w:tcBorders>
            <w:shd w:val="clear" w:color="auto" w:fill="auto"/>
            <w:noWrap/>
            <w:vAlign w:val="center"/>
            <w:hideMark/>
          </w:tcPr>
          <w:p w14:paraId="63372971" w14:textId="77777777" w:rsidR="00E4026D" w:rsidRPr="00012435" w:rsidRDefault="00E4026D" w:rsidP="00012435">
            <w:pPr>
              <w:spacing w:after="0" w:line="260" w:lineRule="atLeast"/>
              <w:jc w:val="right"/>
              <w:rPr>
                <w:rFonts w:ascii="Arial" w:hAnsi="Arial" w:cs="Arial"/>
                <w:color w:val="000000"/>
                <w:sz w:val="18"/>
                <w:szCs w:val="18"/>
                <w:lang w:eastAsia="sl-SI"/>
              </w:rPr>
            </w:pPr>
            <w:r w:rsidRPr="00012435">
              <w:rPr>
                <w:rFonts w:ascii="Arial" w:hAnsi="Arial" w:cs="Arial"/>
                <w:color w:val="000000"/>
                <w:sz w:val="18"/>
                <w:szCs w:val="18"/>
                <w:lang w:eastAsia="sl-SI"/>
              </w:rPr>
              <w:t>0,1</w:t>
            </w:r>
          </w:p>
        </w:tc>
      </w:tr>
      <w:tr w:rsidR="00E4026D" w:rsidRPr="00A474C9" w14:paraId="5A76EC37" w14:textId="77777777" w:rsidTr="00AC13E9">
        <w:trPr>
          <w:trHeight w:val="285"/>
        </w:trPr>
        <w:tc>
          <w:tcPr>
            <w:tcW w:w="4280" w:type="dxa"/>
            <w:tcBorders>
              <w:top w:val="nil"/>
              <w:left w:val="single" w:sz="4" w:space="0" w:color="auto"/>
              <w:bottom w:val="single" w:sz="4" w:space="0" w:color="auto"/>
              <w:right w:val="single" w:sz="4" w:space="0" w:color="auto"/>
            </w:tcBorders>
            <w:shd w:val="clear" w:color="DCE6F1" w:fill="DCE6F1"/>
            <w:noWrap/>
            <w:vAlign w:val="bottom"/>
            <w:hideMark/>
          </w:tcPr>
          <w:p w14:paraId="408541D2" w14:textId="77777777" w:rsidR="00E4026D" w:rsidRPr="00012435" w:rsidRDefault="00E4026D" w:rsidP="00012435">
            <w:pPr>
              <w:spacing w:after="0" w:line="260" w:lineRule="atLeast"/>
              <w:rPr>
                <w:rFonts w:ascii="Arial" w:hAnsi="Arial" w:cs="Arial"/>
                <w:b/>
                <w:bCs/>
                <w:color w:val="000000"/>
                <w:sz w:val="18"/>
                <w:szCs w:val="18"/>
                <w:lang w:eastAsia="sl-SI"/>
              </w:rPr>
            </w:pPr>
            <w:r w:rsidRPr="00012435">
              <w:rPr>
                <w:rFonts w:ascii="Arial" w:hAnsi="Arial" w:cs="Arial"/>
                <w:b/>
                <w:bCs/>
                <w:color w:val="000000"/>
                <w:sz w:val="18"/>
                <w:szCs w:val="18"/>
                <w:lang w:eastAsia="sl-SI"/>
              </w:rPr>
              <w:t>SKUPAJ</w:t>
            </w:r>
          </w:p>
        </w:tc>
        <w:tc>
          <w:tcPr>
            <w:tcW w:w="823" w:type="dxa"/>
            <w:tcBorders>
              <w:top w:val="nil"/>
              <w:left w:val="nil"/>
              <w:bottom w:val="single" w:sz="4" w:space="0" w:color="auto"/>
              <w:right w:val="single" w:sz="4" w:space="0" w:color="auto"/>
            </w:tcBorders>
            <w:shd w:val="clear" w:color="DCE6F1" w:fill="DCE6F1"/>
            <w:noWrap/>
            <w:vAlign w:val="center"/>
          </w:tcPr>
          <w:p w14:paraId="533AFD4A" w14:textId="77777777" w:rsidR="00E4026D" w:rsidRPr="00012435" w:rsidRDefault="00E4026D" w:rsidP="00012435">
            <w:pPr>
              <w:spacing w:after="0" w:line="260" w:lineRule="atLeast"/>
              <w:jc w:val="right"/>
              <w:rPr>
                <w:rFonts w:ascii="Arial" w:hAnsi="Arial" w:cs="Arial"/>
                <w:b/>
                <w:bCs/>
                <w:color w:val="000000"/>
                <w:sz w:val="18"/>
                <w:szCs w:val="18"/>
                <w:lang w:eastAsia="sl-SI"/>
              </w:rPr>
            </w:pPr>
          </w:p>
        </w:tc>
        <w:tc>
          <w:tcPr>
            <w:tcW w:w="851" w:type="dxa"/>
            <w:tcBorders>
              <w:top w:val="nil"/>
              <w:left w:val="nil"/>
              <w:bottom w:val="single" w:sz="4" w:space="0" w:color="auto"/>
              <w:right w:val="single" w:sz="4" w:space="0" w:color="auto"/>
            </w:tcBorders>
            <w:shd w:val="clear" w:color="DCE6F1" w:fill="DCE6F1"/>
            <w:noWrap/>
            <w:vAlign w:val="center"/>
          </w:tcPr>
          <w:p w14:paraId="1913E9AF" w14:textId="77777777" w:rsidR="00E4026D" w:rsidRPr="00012435" w:rsidRDefault="00E4026D" w:rsidP="00012435">
            <w:pPr>
              <w:spacing w:after="0" w:line="260" w:lineRule="atLeast"/>
              <w:jc w:val="right"/>
              <w:rPr>
                <w:rFonts w:ascii="Arial" w:hAnsi="Arial" w:cs="Arial"/>
                <w:b/>
                <w:bCs/>
                <w:color w:val="000000"/>
                <w:sz w:val="18"/>
                <w:szCs w:val="18"/>
                <w:lang w:eastAsia="sl-SI"/>
              </w:rPr>
            </w:pPr>
          </w:p>
        </w:tc>
        <w:tc>
          <w:tcPr>
            <w:tcW w:w="850" w:type="dxa"/>
            <w:tcBorders>
              <w:top w:val="nil"/>
              <w:left w:val="nil"/>
              <w:bottom w:val="single" w:sz="4" w:space="0" w:color="auto"/>
              <w:right w:val="single" w:sz="4" w:space="0" w:color="auto"/>
            </w:tcBorders>
            <w:shd w:val="clear" w:color="DCE6F1" w:fill="DCE6F1"/>
            <w:noWrap/>
            <w:vAlign w:val="center"/>
          </w:tcPr>
          <w:p w14:paraId="2BF8A456" w14:textId="77777777" w:rsidR="00E4026D" w:rsidRPr="00012435" w:rsidRDefault="00E4026D" w:rsidP="00012435">
            <w:pPr>
              <w:spacing w:after="0" w:line="260" w:lineRule="atLeast"/>
              <w:jc w:val="right"/>
              <w:rPr>
                <w:rFonts w:ascii="Arial" w:hAnsi="Arial" w:cs="Arial"/>
                <w:b/>
                <w:bCs/>
                <w:color w:val="000000"/>
                <w:sz w:val="18"/>
                <w:szCs w:val="18"/>
                <w:lang w:eastAsia="sl-SI"/>
              </w:rPr>
            </w:pPr>
          </w:p>
        </w:tc>
        <w:tc>
          <w:tcPr>
            <w:tcW w:w="993" w:type="dxa"/>
            <w:tcBorders>
              <w:top w:val="nil"/>
              <w:left w:val="nil"/>
              <w:bottom w:val="single" w:sz="4" w:space="0" w:color="auto"/>
              <w:right w:val="single" w:sz="4" w:space="0" w:color="auto"/>
            </w:tcBorders>
            <w:shd w:val="clear" w:color="DCE6F1" w:fill="DCE6F1"/>
            <w:noWrap/>
            <w:vAlign w:val="center"/>
            <w:hideMark/>
          </w:tcPr>
          <w:p w14:paraId="7CC52ED6" w14:textId="1DEE67FA" w:rsidR="00E4026D" w:rsidRPr="00012435" w:rsidRDefault="00E4026D">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1</w:t>
            </w:r>
            <w:r w:rsidR="00D71424">
              <w:rPr>
                <w:rFonts w:ascii="Arial" w:hAnsi="Arial" w:cs="Arial"/>
                <w:b/>
                <w:bCs/>
                <w:color w:val="000000"/>
                <w:sz w:val="18"/>
                <w:szCs w:val="18"/>
                <w:lang w:eastAsia="sl-SI"/>
              </w:rPr>
              <w:t>06</w:t>
            </w:r>
            <w:r w:rsidRPr="00012435">
              <w:rPr>
                <w:rFonts w:ascii="Arial" w:hAnsi="Arial" w:cs="Arial"/>
                <w:b/>
                <w:bCs/>
                <w:color w:val="000000"/>
                <w:sz w:val="18"/>
                <w:szCs w:val="18"/>
                <w:lang w:eastAsia="sl-SI"/>
              </w:rPr>
              <w:t>,</w:t>
            </w:r>
            <w:r w:rsidR="00D71424">
              <w:rPr>
                <w:rFonts w:ascii="Arial" w:hAnsi="Arial" w:cs="Arial"/>
                <w:b/>
                <w:bCs/>
                <w:color w:val="000000"/>
                <w:sz w:val="18"/>
                <w:szCs w:val="18"/>
                <w:lang w:eastAsia="sl-SI"/>
              </w:rPr>
              <w:t>0</w:t>
            </w:r>
          </w:p>
        </w:tc>
        <w:tc>
          <w:tcPr>
            <w:tcW w:w="941" w:type="dxa"/>
            <w:tcBorders>
              <w:top w:val="nil"/>
              <w:left w:val="nil"/>
              <w:bottom w:val="single" w:sz="4" w:space="0" w:color="auto"/>
              <w:right w:val="single" w:sz="4" w:space="0" w:color="auto"/>
            </w:tcBorders>
            <w:shd w:val="clear" w:color="DCE6F1" w:fill="DCE6F1"/>
            <w:noWrap/>
            <w:vAlign w:val="center"/>
            <w:hideMark/>
          </w:tcPr>
          <w:p w14:paraId="33A2BF67" w14:textId="5E1791B3" w:rsidR="00E4026D" w:rsidRPr="00012435" w:rsidRDefault="00E4026D">
            <w:pPr>
              <w:spacing w:after="0" w:line="260" w:lineRule="atLeast"/>
              <w:jc w:val="right"/>
              <w:rPr>
                <w:rFonts w:ascii="Arial" w:hAnsi="Arial" w:cs="Arial"/>
                <w:b/>
                <w:bCs/>
                <w:color w:val="000000"/>
                <w:sz w:val="18"/>
                <w:szCs w:val="18"/>
                <w:lang w:eastAsia="sl-SI"/>
              </w:rPr>
            </w:pPr>
            <w:r w:rsidRPr="00012435">
              <w:rPr>
                <w:rFonts w:ascii="Arial" w:hAnsi="Arial" w:cs="Arial"/>
                <w:b/>
                <w:bCs/>
                <w:color w:val="000000"/>
                <w:sz w:val="18"/>
                <w:szCs w:val="18"/>
                <w:lang w:eastAsia="sl-SI"/>
              </w:rPr>
              <w:t>1</w:t>
            </w:r>
            <w:r w:rsidR="00D71424">
              <w:rPr>
                <w:rFonts w:ascii="Arial" w:hAnsi="Arial" w:cs="Arial"/>
                <w:b/>
                <w:bCs/>
                <w:color w:val="000000"/>
                <w:sz w:val="18"/>
                <w:szCs w:val="18"/>
                <w:lang w:eastAsia="sl-SI"/>
              </w:rPr>
              <w:t>12,6</w:t>
            </w:r>
          </w:p>
        </w:tc>
        <w:tc>
          <w:tcPr>
            <w:tcW w:w="1043" w:type="dxa"/>
            <w:tcBorders>
              <w:top w:val="nil"/>
              <w:left w:val="nil"/>
              <w:bottom w:val="single" w:sz="4" w:space="0" w:color="auto"/>
              <w:right w:val="single" w:sz="4" w:space="0" w:color="auto"/>
            </w:tcBorders>
            <w:shd w:val="clear" w:color="DCE6F1" w:fill="DCE6F1"/>
            <w:noWrap/>
            <w:vAlign w:val="center"/>
            <w:hideMark/>
          </w:tcPr>
          <w:p w14:paraId="0595AF68" w14:textId="493D5C7D" w:rsidR="00E4026D" w:rsidRPr="00012435" w:rsidRDefault="00C41642">
            <w:pPr>
              <w:spacing w:after="0" w:line="260" w:lineRule="atLeast"/>
              <w:jc w:val="right"/>
              <w:rPr>
                <w:rFonts w:ascii="Arial" w:hAnsi="Arial" w:cs="Arial"/>
                <w:b/>
                <w:bCs/>
                <w:color w:val="000000"/>
                <w:sz w:val="18"/>
                <w:szCs w:val="18"/>
                <w:lang w:eastAsia="sl-SI"/>
              </w:rPr>
            </w:pPr>
            <w:r>
              <w:rPr>
                <w:rFonts w:ascii="Arial" w:hAnsi="Arial" w:cs="Arial"/>
                <w:b/>
                <w:bCs/>
                <w:color w:val="000000"/>
                <w:sz w:val="18"/>
                <w:szCs w:val="18"/>
                <w:lang w:eastAsia="sl-SI"/>
              </w:rPr>
              <w:t>96,9</w:t>
            </w:r>
          </w:p>
        </w:tc>
      </w:tr>
    </w:tbl>
    <w:p w14:paraId="1F50E61B" w14:textId="3C51ADB9" w:rsidR="00E4026D" w:rsidRPr="00012435" w:rsidRDefault="00E4026D" w:rsidP="00012435">
      <w:pPr>
        <w:spacing w:after="0" w:line="240" w:lineRule="auto"/>
        <w:jc w:val="both"/>
        <w:rPr>
          <w:rFonts w:ascii="Arial" w:hAnsi="Arial" w:cs="Arial"/>
          <w:i/>
          <w:iCs/>
          <w:sz w:val="18"/>
          <w:szCs w:val="18"/>
          <w:lang w:eastAsia="sl-SI"/>
        </w:rPr>
      </w:pPr>
      <w:r w:rsidRPr="00012435">
        <w:rPr>
          <w:rFonts w:ascii="Arial" w:hAnsi="Arial" w:cs="Arial"/>
          <w:i/>
          <w:iCs/>
          <w:sz w:val="18"/>
          <w:szCs w:val="18"/>
          <w:lang w:eastAsia="sl-SI"/>
        </w:rPr>
        <w:t xml:space="preserve">Vir: Obračuni trošarine za posamezne skupine trošarinskih izdelkov, FURS in </w:t>
      </w:r>
      <w:r w:rsidR="00A7736E">
        <w:rPr>
          <w:rFonts w:ascii="Arial" w:hAnsi="Arial" w:cs="Arial"/>
          <w:i/>
          <w:iCs/>
          <w:sz w:val="18"/>
          <w:szCs w:val="18"/>
          <w:lang w:eastAsia="sl-SI"/>
        </w:rPr>
        <w:t>l</w:t>
      </w:r>
      <w:r w:rsidRPr="00012435">
        <w:rPr>
          <w:rFonts w:ascii="Arial" w:hAnsi="Arial" w:cs="Arial"/>
          <w:i/>
          <w:iCs/>
          <w:sz w:val="18"/>
          <w:szCs w:val="18"/>
          <w:lang w:eastAsia="sl-SI"/>
        </w:rPr>
        <w:t>astni preračuni MF</w:t>
      </w:r>
      <w:r w:rsidR="00A7736E">
        <w:rPr>
          <w:rFonts w:ascii="Arial" w:hAnsi="Arial" w:cs="Arial"/>
          <w:i/>
          <w:iCs/>
          <w:sz w:val="18"/>
          <w:szCs w:val="18"/>
          <w:lang w:eastAsia="sl-SI"/>
        </w:rPr>
        <w:t>.</w:t>
      </w:r>
    </w:p>
    <w:p w14:paraId="7D985167" w14:textId="77777777" w:rsidR="00E4026D" w:rsidRPr="00012435" w:rsidRDefault="00E4026D" w:rsidP="00012435">
      <w:pPr>
        <w:spacing w:after="0" w:line="260" w:lineRule="atLeast"/>
        <w:jc w:val="both"/>
        <w:rPr>
          <w:rFonts w:ascii="Arial" w:hAnsi="Arial" w:cs="Arial"/>
          <w:iCs/>
          <w:color w:val="7F7F7F"/>
          <w:sz w:val="20"/>
          <w:szCs w:val="20"/>
          <w:lang w:eastAsia="sl-SI"/>
        </w:rPr>
      </w:pPr>
    </w:p>
    <w:p w14:paraId="5777D414" w14:textId="2A7F9483" w:rsidR="00E4026D" w:rsidRPr="00012435"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 xml:space="preserve">Skupni znesek davčnih </w:t>
      </w:r>
      <w:r w:rsidR="000F6FA3">
        <w:rPr>
          <w:rFonts w:ascii="Arial" w:hAnsi="Arial" w:cs="Arial"/>
          <w:sz w:val="20"/>
          <w:szCs w:val="20"/>
          <w:lang w:eastAsia="sl-SI"/>
        </w:rPr>
        <w:t>izdatkov</w:t>
      </w:r>
      <w:r w:rsidR="000F6FA3" w:rsidRPr="00012435">
        <w:rPr>
          <w:rFonts w:ascii="Arial" w:hAnsi="Arial" w:cs="Arial"/>
          <w:sz w:val="20"/>
          <w:szCs w:val="20"/>
          <w:lang w:eastAsia="sl-SI"/>
        </w:rPr>
        <w:t xml:space="preserve"> </w:t>
      </w:r>
      <w:r w:rsidRPr="00012435">
        <w:rPr>
          <w:rFonts w:ascii="Arial" w:hAnsi="Arial" w:cs="Arial"/>
          <w:sz w:val="20"/>
          <w:szCs w:val="20"/>
          <w:lang w:eastAsia="sl-SI"/>
        </w:rPr>
        <w:t xml:space="preserve">pri trošarinah je v letu 2018 znašal 123 mio evrov </w:t>
      </w:r>
      <w:r w:rsidR="00C92D4D">
        <w:rPr>
          <w:rFonts w:ascii="Arial" w:hAnsi="Arial" w:cs="Arial"/>
          <w:sz w:val="20"/>
          <w:szCs w:val="20"/>
          <w:lang w:eastAsia="sl-SI"/>
        </w:rPr>
        <w:t>ter</w:t>
      </w:r>
      <w:r w:rsidRPr="00012435">
        <w:rPr>
          <w:rFonts w:ascii="Arial" w:hAnsi="Arial" w:cs="Arial"/>
          <w:sz w:val="20"/>
          <w:szCs w:val="20"/>
          <w:lang w:eastAsia="sl-SI"/>
        </w:rPr>
        <w:t xml:space="preserve"> je bil za 5,5 mio evrov nižji k</w:t>
      </w:r>
      <w:r w:rsidR="00C92D4D">
        <w:rPr>
          <w:rFonts w:ascii="Arial" w:hAnsi="Arial" w:cs="Arial"/>
          <w:sz w:val="20"/>
          <w:szCs w:val="20"/>
          <w:lang w:eastAsia="sl-SI"/>
        </w:rPr>
        <w:t>akor</w:t>
      </w:r>
      <w:r w:rsidRPr="00012435">
        <w:rPr>
          <w:rFonts w:ascii="Arial" w:hAnsi="Arial" w:cs="Arial"/>
          <w:sz w:val="20"/>
          <w:szCs w:val="20"/>
          <w:lang w:eastAsia="sl-SI"/>
        </w:rPr>
        <w:t xml:space="preserve"> </w:t>
      </w:r>
      <w:r w:rsidR="00C71160">
        <w:rPr>
          <w:rFonts w:ascii="Arial" w:hAnsi="Arial" w:cs="Arial"/>
          <w:sz w:val="20"/>
          <w:szCs w:val="20"/>
          <w:lang w:eastAsia="sl-SI"/>
        </w:rPr>
        <w:t>v</w:t>
      </w:r>
      <w:r w:rsidR="00C71160" w:rsidRPr="00012435">
        <w:rPr>
          <w:rFonts w:ascii="Arial" w:hAnsi="Arial" w:cs="Arial"/>
          <w:sz w:val="20"/>
          <w:szCs w:val="20"/>
          <w:lang w:eastAsia="sl-SI"/>
        </w:rPr>
        <w:t xml:space="preserve"> </w:t>
      </w:r>
      <w:r w:rsidRPr="00012435">
        <w:rPr>
          <w:rFonts w:ascii="Arial" w:hAnsi="Arial" w:cs="Arial"/>
          <w:sz w:val="20"/>
          <w:szCs w:val="20"/>
          <w:lang w:eastAsia="sl-SI"/>
        </w:rPr>
        <w:t>let</w:t>
      </w:r>
      <w:r w:rsidR="00C71160">
        <w:rPr>
          <w:rFonts w:ascii="Arial" w:hAnsi="Arial" w:cs="Arial"/>
          <w:sz w:val="20"/>
          <w:szCs w:val="20"/>
          <w:lang w:eastAsia="sl-SI"/>
        </w:rPr>
        <w:t>u</w:t>
      </w:r>
      <w:r w:rsidRPr="00012435">
        <w:rPr>
          <w:rFonts w:ascii="Arial" w:hAnsi="Arial" w:cs="Arial"/>
          <w:sz w:val="20"/>
          <w:szCs w:val="20"/>
          <w:lang w:eastAsia="sl-SI"/>
        </w:rPr>
        <w:t xml:space="preserve"> 2016 </w:t>
      </w:r>
      <w:r w:rsidR="00C92D4D">
        <w:rPr>
          <w:rFonts w:ascii="Arial" w:hAnsi="Arial" w:cs="Arial"/>
          <w:sz w:val="20"/>
          <w:szCs w:val="20"/>
          <w:lang w:eastAsia="sl-SI"/>
        </w:rPr>
        <w:t>in</w:t>
      </w:r>
      <w:r w:rsidRPr="00012435">
        <w:rPr>
          <w:rFonts w:ascii="Arial" w:hAnsi="Arial" w:cs="Arial"/>
          <w:sz w:val="20"/>
          <w:szCs w:val="20"/>
          <w:lang w:eastAsia="sl-SI"/>
        </w:rPr>
        <w:t xml:space="preserve"> za 12,5 mio evrov nižji k</w:t>
      </w:r>
      <w:r w:rsidR="00C92D4D">
        <w:rPr>
          <w:rFonts w:ascii="Arial" w:hAnsi="Arial" w:cs="Arial"/>
          <w:sz w:val="20"/>
          <w:szCs w:val="20"/>
          <w:lang w:eastAsia="sl-SI"/>
        </w:rPr>
        <w:t>akor</w:t>
      </w:r>
      <w:r w:rsidRPr="00012435">
        <w:rPr>
          <w:rFonts w:ascii="Arial" w:hAnsi="Arial" w:cs="Arial"/>
          <w:sz w:val="20"/>
          <w:szCs w:val="20"/>
          <w:lang w:eastAsia="sl-SI"/>
        </w:rPr>
        <w:t xml:space="preserve"> </w:t>
      </w:r>
      <w:r w:rsidR="00C71160">
        <w:rPr>
          <w:rFonts w:ascii="Arial" w:hAnsi="Arial" w:cs="Arial"/>
          <w:sz w:val="20"/>
          <w:szCs w:val="20"/>
          <w:lang w:eastAsia="sl-SI"/>
        </w:rPr>
        <w:t>v</w:t>
      </w:r>
      <w:r w:rsidR="00C71160" w:rsidRPr="00012435">
        <w:rPr>
          <w:rFonts w:ascii="Arial" w:hAnsi="Arial" w:cs="Arial"/>
          <w:sz w:val="20"/>
          <w:szCs w:val="20"/>
          <w:lang w:eastAsia="sl-SI"/>
        </w:rPr>
        <w:t xml:space="preserve"> </w:t>
      </w:r>
      <w:r w:rsidRPr="00012435">
        <w:rPr>
          <w:rFonts w:ascii="Arial" w:hAnsi="Arial" w:cs="Arial"/>
          <w:sz w:val="20"/>
          <w:szCs w:val="20"/>
          <w:lang w:eastAsia="sl-SI"/>
        </w:rPr>
        <w:t xml:space="preserve">2017. </w:t>
      </w:r>
      <w:r w:rsidR="00C92D4D">
        <w:rPr>
          <w:rFonts w:ascii="Arial" w:hAnsi="Arial" w:cs="Arial"/>
          <w:sz w:val="20"/>
          <w:szCs w:val="20"/>
          <w:lang w:eastAsia="sl-SI"/>
        </w:rPr>
        <w:t>Znižanje</w:t>
      </w:r>
      <w:r w:rsidRPr="00012435">
        <w:rPr>
          <w:rFonts w:ascii="Arial" w:hAnsi="Arial" w:cs="Arial"/>
          <w:sz w:val="20"/>
          <w:szCs w:val="20"/>
          <w:lang w:eastAsia="sl-SI"/>
        </w:rPr>
        <w:t xml:space="preserve"> zneska pripisujemo znižanju zakonsko določenega zneska tr</w:t>
      </w:r>
      <w:r w:rsidR="000F6FA3">
        <w:rPr>
          <w:rFonts w:ascii="Arial" w:hAnsi="Arial" w:cs="Arial"/>
          <w:sz w:val="20"/>
          <w:szCs w:val="20"/>
          <w:lang w:eastAsia="sl-SI"/>
        </w:rPr>
        <w:t>o</w:t>
      </w:r>
      <w:r w:rsidRPr="00012435">
        <w:rPr>
          <w:rFonts w:ascii="Arial" w:hAnsi="Arial" w:cs="Arial"/>
          <w:sz w:val="20"/>
          <w:szCs w:val="20"/>
          <w:lang w:eastAsia="sl-SI"/>
        </w:rPr>
        <w:t>šarine na dizel</w:t>
      </w:r>
      <w:r w:rsidR="00C92D4D">
        <w:rPr>
          <w:rFonts w:ascii="Arial" w:hAnsi="Arial" w:cs="Arial"/>
          <w:sz w:val="20"/>
          <w:szCs w:val="20"/>
          <w:lang w:eastAsia="sl-SI"/>
        </w:rPr>
        <w:t>sko gorivo</w:t>
      </w:r>
      <w:r w:rsidRPr="00012435">
        <w:rPr>
          <w:rFonts w:ascii="Arial" w:hAnsi="Arial" w:cs="Arial"/>
          <w:sz w:val="20"/>
          <w:szCs w:val="20"/>
          <w:lang w:eastAsia="sl-SI"/>
        </w:rPr>
        <w:t xml:space="preserve"> sredi leta 2018, kar je znižalo tudi glavna vračila.</w:t>
      </w:r>
    </w:p>
    <w:p w14:paraId="2B0FE041" w14:textId="77777777" w:rsidR="00E4026D" w:rsidRPr="00012435" w:rsidRDefault="00E4026D" w:rsidP="00012435">
      <w:pPr>
        <w:spacing w:after="0" w:line="260" w:lineRule="atLeast"/>
        <w:jc w:val="both"/>
        <w:rPr>
          <w:rFonts w:ascii="Arial" w:hAnsi="Arial" w:cs="Arial"/>
          <w:sz w:val="20"/>
          <w:szCs w:val="20"/>
          <w:lang w:eastAsia="sl-SI"/>
        </w:rPr>
      </w:pPr>
    </w:p>
    <w:p w14:paraId="1B1AE10D" w14:textId="0C2A6440" w:rsidR="00E4026D" w:rsidRPr="00012435"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 xml:space="preserve">Največji znesek davčnega </w:t>
      </w:r>
      <w:r w:rsidR="000F6FA3">
        <w:rPr>
          <w:rFonts w:ascii="Arial" w:hAnsi="Arial" w:cs="Arial"/>
          <w:sz w:val="20"/>
          <w:szCs w:val="20"/>
          <w:lang w:eastAsia="sl-SI"/>
        </w:rPr>
        <w:t>izdatka</w:t>
      </w:r>
      <w:r w:rsidR="000F6FA3" w:rsidRPr="00012435">
        <w:rPr>
          <w:rFonts w:ascii="Arial" w:hAnsi="Arial" w:cs="Arial"/>
          <w:sz w:val="20"/>
          <w:szCs w:val="20"/>
          <w:lang w:eastAsia="sl-SI"/>
        </w:rPr>
        <w:t xml:space="preserve"> </w:t>
      </w:r>
      <w:r w:rsidRPr="00012435">
        <w:rPr>
          <w:rFonts w:ascii="Arial" w:hAnsi="Arial" w:cs="Arial"/>
          <w:sz w:val="20"/>
          <w:szCs w:val="20"/>
          <w:lang w:eastAsia="sl-SI"/>
        </w:rPr>
        <w:t>pri trošarinah se je v letu 2018 nanašal na vračila dela trošarine za gorivo</w:t>
      </w:r>
      <w:r w:rsidR="003472EE">
        <w:rPr>
          <w:rFonts w:ascii="Arial" w:hAnsi="Arial" w:cs="Arial"/>
          <w:sz w:val="20"/>
          <w:szCs w:val="20"/>
          <w:lang w:eastAsia="sl-SI"/>
        </w:rPr>
        <w:t>,</w:t>
      </w:r>
      <w:r w:rsidRPr="00012435">
        <w:rPr>
          <w:rFonts w:ascii="Arial" w:hAnsi="Arial" w:cs="Arial"/>
          <w:sz w:val="20"/>
          <w:szCs w:val="20"/>
          <w:lang w:eastAsia="sl-SI"/>
        </w:rPr>
        <w:t xml:space="preserve"> porabljeno pri komercialnem prevozu blaga ali potnikov (t.</w:t>
      </w:r>
      <w:r w:rsidR="00C71160">
        <w:rPr>
          <w:rFonts w:ascii="Arial" w:hAnsi="Arial" w:cs="Arial"/>
          <w:sz w:val="20"/>
          <w:szCs w:val="20"/>
          <w:lang w:eastAsia="sl-SI"/>
        </w:rPr>
        <w:t xml:space="preserve"> </w:t>
      </w:r>
      <w:r w:rsidRPr="00012435">
        <w:rPr>
          <w:rFonts w:ascii="Arial" w:hAnsi="Arial" w:cs="Arial"/>
          <w:sz w:val="20"/>
          <w:szCs w:val="20"/>
          <w:lang w:eastAsia="sl-SI"/>
        </w:rPr>
        <w:t xml:space="preserve">i. shema komercialni dizel), znašal je 43,6 mio evrov in je </w:t>
      </w:r>
      <w:r w:rsidR="00C71160">
        <w:rPr>
          <w:rFonts w:ascii="Arial" w:hAnsi="Arial" w:cs="Arial"/>
          <w:sz w:val="20"/>
          <w:szCs w:val="20"/>
          <w:lang w:eastAsia="sl-SI"/>
        </w:rPr>
        <w:t xml:space="preserve">bil </w:t>
      </w:r>
      <w:r w:rsidRPr="00012435">
        <w:rPr>
          <w:rFonts w:ascii="Arial" w:hAnsi="Arial" w:cs="Arial"/>
          <w:sz w:val="20"/>
          <w:szCs w:val="20"/>
          <w:lang w:eastAsia="sl-SI"/>
        </w:rPr>
        <w:t>za 1</w:t>
      </w:r>
      <w:r w:rsidR="003F661B">
        <w:rPr>
          <w:rFonts w:ascii="Arial" w:hAnsi="Arial" w:cs="Arial"/>
          <w:sz w:val="20"/>
          <w:szCs w:val="20"/>
          <w:lang w:eastAsia="sl-SI"/>
        </w:rPr>
        <w:t>8,5</w:t>
      </w:r>
      <w:r w:rsidRPr="00012435">
        <w:rPr>
          <w:rFonts w:ascii="Arial" w:hAnsi="Arial" w:cs="Arial"/>
          <w:sz w:val="20"/>
          <w:szCs w:val="20"/>
          <w:lang w:eastAsia="sl-SI"/>
        </w:rPr>
        <w:t xml:space="preserve"> % nižji k</w:t>
      </w:r>
      <w:r w:rsidR="003472EE">
        <w:rPr>
          <w:rFonts w:ascii="Arial" w:hAnsi="Arial" w:cs="Arial"/>
          <w:sz w:val="20"/>
          <w:szCs w:val="20"/>
          <w:lang w:eastAsia="sl-SI"/>
        </w:rPr>
        <w:t>akor</w:t>
      </w:r>
      <w:r w:rsidRPr="00012435">
        <w:rPr>
          <w:rFonts w:ascii="Arial" w:hAnsi="Arial" w:cs="Arial"/>
          <w:sz w:val="20"/>
          <w:szCs w:val="20"/>
          <w:lang w:eastAsia="sl-SI"/>
        </w:rPr>
        <w:t xml:space="preserve"> v letu 201</w:t>
      </w:r>
      <w:r w:rsidR="003F661B">
        <w:rPr>
          <w:rFonts w:ascii="Arial" w:hAnsi="Arial" w:cs="Arial"/>
          <w:sz w:val="20"/>
          <w:szCs w:val="20"/>
          <w:lang w:eastAsia="sl-SI"/>
        </w:rPr>
        <w:t>7</w:t>
      </w:r>
      <w:r w:rsidRPr="00012435">
        <w:rPr>
          <w:rFonts w:ascii="Arial" w:hAnsi="Arial" w:cs="Arial"/>
          <w:sz w:val="20"/>
          <w:szCs w:val="20"/>
          <w:lang w:eastAsia="sl-SI"/>
        </w:rPr>
        <w:t xml:space="preserve">. Razlog za nižja vračila </w:t>
      </w:r>
      <w:r w:rsidR="003472EE">
        <w:rPr>
          <w:rFonts w:ascii="Arial" w:hAnsi="Arial" w:cs="Arial"/>
          <w:sz w:val="20"/>
          <w:szCs w:val="20"/>
          <w:lang w:eastAsia="sl-SI"/>
        </w:rPr>
        <w:t>je</w:t>
      </w:r>
      <w:r w:rsidRPr="00012435">
        <w:rPr>
          <w:rFonts w:ascii="Arial" w:hAnsi="Arial" w:cs="Arial"/>
          <w:sz w:val="20"/>
          <w:szCs w:val="20"/>
          <w:lang w:eastAsia="sl-SI"/>
        </w:rPr>
        <w:t xml:space="preserve"> v nižji osnovni trošarini za dizel</w:t>
      </w:r>
      <w:r w:rsidR="00E43668">
        <w:rPr>
          <w:rFonts w:ascii="Arial" w:hAnsi="Arial" w:cs="Arial"/>
          <w:sz w:val="20"/>
          <w:szCs w:val="20"/>
          <w:lang w:eastAsia="sl-SI"/>
        </w:rPr>
        <w:t>sko gorivo</w:t>
      </w:r>
      <w:r w:rsidRPr="00012435">
        <w:rPr>
          <w:rFonts w:ascii="Arial" w:hAnsi="Arial" w:cs="Arial"/>
          <w:sz w:val="20"/>
          <w:szCs w:val="20"/>
          <w:lang w:eastAsia="sl-SI"/>
        </w:rPr>
        <w:t xml:space="preserve"> v letu 2018 </w:t>
      </w:r>
      <w:r w:rsidR="00C71160">
        <w:rPr>
          <w:rFonts w:ascii="Arial" w:hAnsi="Arial" w:cs="Arial"/>
          <w:sz w:val="20"/>
          <w:szCs w:val="20"/>
          <w:lang w:eastAsia="sl-SI"/>
        </w:rPr>
        <w:t>glede na</w:t>
      </w:r>
      <w:r w:rsidRPr="00012435">
        <w:rPr>
          <w:rFonts w:ascii="Arial" w:hAnsi="Arial" w:cs="Arial"/>
          <w:sz w:val="20"/>
          <w:szCs w:val="20"/>
          <w:lang w:eastAsia="sl-SI"/>
        </w:rPr>
        <w:t xml:space="preserve"> 201</w:t>
      </w:r>
      <w:r w:rsidR="003F661B">
        <w:rPr>
          <w:rFonts w:ascii="Arial" w:hAnsi="Arial" w:cs="Arial"/>
          <w:sz w:val="20"/>
          <w:szCs w:val="20"/>
          <w:lang w:eastAsia="sl-SI"/>
        </w:rPr>
        <w:t>7</w:t>
      </w:r>
      <w:r w:rsidRPr="00012435">
        <w:rPr>
          <w:rFonts w:ascii="Arial" w:hAnsi="Arial" w:cs="Arial"/>
          <w:sz w:val="20"/>
          <w:szCs w:val="20"/>
          <w:lang w:eastAsia="sl-SI"/>
        </w:rPr>
        <w:t xml:space="preserve">. Upravičenci iz te sheme lahko zahtevajo vračilo </w:t>
      </w:r>
      <w:r w:rsidR="00514F0C">
        <w:rPr>
          <w:rFonts w:ascii="Arial" w:hAnsi="Arial" w:cs="Arial"/>
          <w:sz w:val="20"/>
          <w:szCs w:val="20"/>
          <w:lang w:eastAsia="sl-SI"/>
        </w:rPr>
        <w:t xml:space="preserve">zneska </w:t>
      </w:r>
      <w:r w:rsidRPr="00012435">
        <w:rPr>
          <w:rFonts w:ascii="Arial" w:hAnsi="Arial" w:cs="Arial"/>
          <w:sz w:val="20"/>
          <w:szCs w:val="20"/>
          <w:lang w:eastAsia="sl-SI"/>
        </w:rPr>
        <w:t xml:space="preserve">trošarine, ki presega najnižjo trošarino v skladu z </w:t>
      </w:r>
      <w:r w:rsidR="00A75029">
        <w:rPr>
          <w:rFonts w:ascii="Arial" w:hAnsi="Arial" w:cs="Arial"/>
          <w:sz w:val="20"/>
          <w:szCs w:val="20"/>
          <w:lang w:eastAsia="sl-SI"/>
        </w:rPr>
        <w:t>evropsko</w:t>
      </w:r>
      <w:r w:rsidRPr="00012435">
        <w:rPr>
          <w:rFonts w:ascii="Arial" w:hAnsi="Arial" w:cs="Arial"/>
          <w:sz w:val="20"/>
          <w:szCs w:val="20"/>
          <w:lang w:eastAsia="sl-SI"/>
        </w:rPr>
        <w:t xml:space="preserve"> direktivo, ki znaša 330 evrov za 1</w:t>
      </w:r>
      <w:r w:rsidR="00514F0C">
        <w:rPr>
          <w:rFonts w:ascii="Arial" w:hAnsi="Arial" w:cs="Arial"/>
          <w:sz w:val="20"/>
          <w:szCs w:val="20"/>
          <w:lang w:eastAsia="sl-SI"/>
        </w:rPr>
        <w:t>.</w:t>
      </w:r>
      <w:r w:rsidRPr="00012435">
        <w:rPr>
          <w:rFonts w:ascii="Arial" w:hAnsi="Arial" w:cs="Arial"/>
          <w:sz w:val="20"/>
          <w:szCs w:val="20"/>
          <w:lang w:eastAsia="sl-SI"/>
        </w:rPr>
        <w:t xml:space="preserve">000 litrov. Zneski </w:t>
      </w:r>
      <w:r w:rsidR="00F319C0">
        <w:rPr>
          <w:rFonts w:ascii="Arial" w:hAnsi="Arial" w:cs="Arial"/>
          <w:sz w:val="20"/>
          <w:szCs w:val="20"/>
          <w:lang w:eastAsia="sl-SI"/>
        </w:rPr>
        <w:t>izdatka</w:t>
      </w:r>
      <w:r w:rsidR="00F319C0" w:rsidRPr="00012435">
        <w:rPr>
          <w:rFonts w:ascii="Arial" w:hAnsi="Arial" w:cs="Arial"/>
          <w:sz w:val="20"/>
          <w:szCs w:val="20"/>
          <w:lang w:eastAsia="sl-SI"/>
        </w:rPr>
        <w:t xml:space="preserve"> </w:t>
      </w:r>
      <w:r w:rsidRPr="00012435">
        <w:rPr>
          <w:rFonts w:ascii="Arial" w:hAnsi="Arial" w:cs="Arial"/>
          <w:sz w:val="20"/>
          <w:szCs w:val="20"/>
          <w:lang w:eastAsia="sl-SI"/>
        </w:rPr>
        <w:t>v tem primeru nazorno kažejo, da</w:t>
      </w:r>
      <w:r w:rsidR="003472EE">
        <w:rPr>
          <w:rFonts w:ascii="Arial" w:hAnsi="Arial" w:cs="Arial"/>
          <w:sz w:val="20"/>
          <w:szCs w:val="20"/>
          <w:lang w:eastAsia="sl-SI"/>
        </w:rPr>
        <w:t xml:space="preserve"> le</w:t>
      </w:r>
      <w:r w:rsidRPr="00012435">
        <w:rPr>
          <w:rFonts w:ascii="Arial" w:hAnsi="Arial" w:cs="Arial"/>
          <w:sz w:val="20"/>
          <w:szCs w:val="20"/>
          <w:lang w:eastAsia="sl-SI"/>
        </w:rPr>
        <w:t xml:space="preserve"> s primerjavo zneskov vračil </w:t>
      </w:r>
      <w:r w:rsidR="00390A2A">
        <w:rPr>
          <w:rFonts w:ascii="Arial" w:hAnsi="Arial" w:cs="Arial"/>
          <w:sz w:val="20"/>
          <w:szCs w:val="20"/>
          <w:lang w:eastAsia="sl-SI"/>
        </w:rPr>
        <w:t>oziroma</w:t>
      </w:r>
      <w:r w:rsidRPr="00012435">
        <w:rPr>
          <w:rFonts w:ascii="Arial" w:hAnsi="Arial" w:cs="Arial"/>
          <w:sz w:val="20"/>
          <w:szCs w:val="20"/>
          <w:lang w:eastAsia="sl-SI"/>
        </w:rPr>
        <w:t xml:space="preserve"> davčnih </w:t>
      </w:r>
      <w:r w:rsidR="00F319C0">
        <w:rPr>
          <w:rFonts w:ascii="Arial" w:hAnsi="Arial" w:cs="Arial"/>
          <w:sz w:val="20"/>
          <w:szCs w:val="20"/>
          <w:lang w:eastAsia="sl-SI"/>
        </w:rPr>
        <w:t>izdatkov</w:t>
      </w:r>
      <w:r w:rsidR="00F319C0" w:rsidRPr="00012435">
        <w:rPr>
          <w:rFonts w:ascii="Arial" w:hAnsi="Arial" w:cs="Arial"/>
          <w:sz w:val="20"/>
          <w:szCs w:val="20"/>
          <w:lang w:eastAsia="sl-SI"/>
        </w:rPr>
        <w:t xml:space="preserve"> </w:t>
      </w:r>
      <w:r w:rsidRPr="00012435">
        <w:rPr>
          <w:rFonts w:ascii="Arial" w:hAnsi="Arial" w:cs="Arial"/>
          <w:sz w:val="20"/>
          <w:szCs w:val="20"/>
          <w:lang w:eastAsia="sl-SI"/>
        </w:rPr>
        <w:t xml:space="preserve">ne moremo ocenjevati primernosti davčne politike pri </w:t>
      </w:r>
      <w:r w:rsidR="003472EE">
        <w:rPr>
          <w:rFonts w:ascii="Arial" w:hAnsi="Arial" w:cs="Arial"/>
          <w:sz w:val="20"/>
          <w:szCs w:val="20"/>
          <w:lang w:eastAsia="sl-SI"/>
        </w:rPr>
        <w:t>doseganju</w:t>
      </w:r>
      <w:r w:rsidRPr="00012435">
        <w:rPr>
          <w:rFonts w:ascii="Arial" w:hAnsi="Arial" w:cs="Arial"/>
          <w:sz w:val="20"/>
          <w:szCs w:val="20"/>
          <w:lang w:eastAsia="sl-SI"/>
        </w:rPr>
        <w:t xml:space="preserve"> različnih ciljev. Če bi </w:t>
      </w:r>
      <w:r w:rsidR="003472EE">
        <w:rPr>
          <w:rFonts w:ascii="Arial" w:hAnsi="Arial" w:cs="Arial"/>
          <w:sz w:val="20"/>
          <w:szCs w:val="20"/>
          <w:lang w:eastAsia="sl-SI"/>
        </w:rPr>
        <w:t>z</w:t>
      </w:r>
      <w:r w:rsidRPr="00012435">
        <w:rPr>
          <w:rFonts w:ascii="Arial" w:hAnsi="Arial" w:cs="Arial"/>
          <w:sz w:val="20"/>
          <w:szCs w:val="20"/>
          <w:lang w:eastAsia="sl-SI"/>
        </w:rPr>
        <w:t xml:space="preserve"> okoljsko politiko želeli vračila znižati na nič, to lahko dosežemo tako z znižanjem splošne trošarine na dizel</w:t>
      </w:r>
      <w:r w:rsidR="003472EE">
        <w:rPr>
          <w:rFonts w:ascii="Arial" w:hAnsi="Arial" w:cs="Arial"/>
          <w:sz w:val="20"/>
          <w:szCs w:val="20"/>
          <w:lang w:eastAsia="sl-SI"/>
        </w:rPr>
        <w:t>sko gorivo</w:t>
      </w:r>
      <w:r w:rsidRPr="00012435">
        <w:rPr>
          <w:rFonts w:ascii="Arial" w:hAnsi="Arial" w:cs="Arial"/>
          <w:sz w:val="20"/>
          <w:szCs w:val="20"/>
          <w:lang w:eastAsia="sl-SI"/>
        </w:rPr>
        <w:t xml:space="preserve"> k</w:t>
      </w:r>
      <w:r w:rsidR="003472EE">
        <w:rPr>
          <w:rFonts w:ascii="Arial" w:hAnsi="Arial" w:cs="Arial"/>
          <w:sz w:val="20"/>
          <w:szCs w:val="20"/>
          <w:lang w:eastAsia="sl-SI"/>
        </w:rPr>
        <w:t>akor tudi</w:t>
      </w:r>
      <w:r w:rsidRPr="00012435">
        <w:rPr>
          <w:rFonts w:ascii="Arial" w:hAnsi="Arial" w:cs="Arial"/>
          <w:sz w:val="20"/>
          <w:szCs w:val="20"/>
          <w:lang w:eastAsia="sl-SI"/>
        </w:rPr>
        <w:t xml:space="preserve"> z ukinitvijo vračil, pri tem pa bi bila učinka na ceno energenta po</w:t>
      </w:r>
      <w:r w:rsidR="003472EE">
        <w:rPr>
          <w:rFonts w:ascii="Arial" w:hAnsi="Arial" w:cs="Arial"/>
          <w:sz w:val="20"/>
          <w:szCs w:val="20"/>
          <w:lang w:eastAsia="sl-SI"/>
        </w:rPr>
        <w:t>polnoma</w:t>
      </w:r>
      <w:r w:rsidRPr="00012435">
        <w:rPr>
          <w:rFonts w:ascii="Arial" w:hAnsi="Arial" w:cs="Arial"/>
          <w:sz w:val="20"/>
          <w:szCs w:val="20"/>
          <w:lang w:eastAsia="sl-SI"/>
        </w:rPr>
        <w:t xml:space="preserve"> nasprotna. Še težj</w:t>
      </w:r>
      <w:r w:rsidR="003472EE">
        <w:rPr>
          <w:rFonts w:ascii="Arial" w:hAnsi="Arial" w:cs="Arial"/>
          <w:sz w:val="20"/>
          <w:szCs w:val="20"/>
          <w:lang w:eastAsia="sl-SI"/>
        </w:rPr>
        <w:t>a</w:t>
      </w:r>
      <w:r w:rsidRPr="00012435">
        <w:rPr>
          <w:rFonts w:ascii="Arial" w:hAnsi="Arial" w:cs="Arial"/>
          <w:sz w:val="20"/>
          <w:szCs w:val="20"/>
          <w:lang w:eastAsia="sl-SI"/>
        </w:rPr>
        <w:t xml:space="preserve"> je </w:t>
      </w:r>
      <w:r w:rsidR="003472EE">
        <w:rPr>
          <w:rFonts w:ascii="Arial" w:hAnsi="Arial" w:cs="Arial"/>
          <w:sz w:val="20"/>
          <w:szCs w:val="20"/>
          <w:lang w:eastAsia="sl-SI"/>
        </w:rPr>
        <w:t>razlaga</w:t>
      </w:r>
      <w:r w:rsidRPr="00012435">
        <w:rPr>
          <w:rFonts w:ascii="Arial" w:hAnsi="Arial" w:cs="Arial"/>
          <w:sz w:val="20"/>
          <w:szCs w:val="20"/>
          <w:lang w:eastAsia="sl-SI"/>
        </w:rPr>
        <w:t xml:space="preserve"> zneska vračila </w:t>
      </w:r>
      <w:r w:rsidR="003472EE">
        <w:rPr>
          <w:rFonts w:ascii="Arial" w:hAnsi="Arial" w:cs="Arial"/>
          <w:sz w:val="20"/>
          <w:szCs w:val="20"/>
          <w:lang w:eastAsia="sl-SI"/>
        </w:rPr>
        <w:t>glede doseganja</w:t>
      </w:r>
      <w:r w:rsidRPr="00012435">
        <w:rPr>
          <w:rFonts w:ascii="Arial" w:hAnsi="Arial" w:cs="Arial"/>
          <w:sz w:val="20"/>
          <w:szCs w:val="20"/>
          <w:lang w:eastAsia="sl-SI"/>
        </w:rPr>
        <w:t xml:space="preserve"> čim višjih javnofinančnih prihodkov iz obdavčitve prometa. Pri ukrepu vračila trošarin v tem primeru gre za zagotavljanje konkurenčnih cen diz</w:t>
      </w:r>
      <w:r w:rsidR="00E43668">
        <w:rPr>
          <w:rFonts w:ascii="Arial" w:hAnsi="Arial" w:cs="Arial"/>
          <w:sz w:val="20"/>
          <w:szCs w:val="20"/>
          <w:lang w:eastAsia="sl-SI"/>
        </w:rPr>
        <w:t>elskega goriva</w:t>
      </w:r>
      <w:r w:rsidRPr="00012435">
        <w:rPr>
          <w:rFonts w:ascii="Arial" w:hAnsi="Arial" w:cs="Arial"/>
          <w:sz w:val="20"/>
          <w:szCs w:val="20"/>
          <w:lang w:eastAsia="sl-SI"/>
        </w:rPr>
        <w:t xml:space="preserve"> za </w:t>
      </w:r>
      <w:r w:rsidR="006E5385">
        <w:rPr>
          <w:rFonts w:ascii="Arial" w:hAnsi="Arial" w:cs="Arial"/>
          <w:sz w:val="20"/>
          <w:szCs w:val="20"/>
          <w:lang w:eastAsia="sl-SI"/>
        </w:rPr>
        <w:t>prevozni</w:t>
      </w:r>
      <w:r w:rsidRPr="00012435">
        <w:rPr>
          <w:rFonts w:ascii="Arial" w:hAnsi="Arial" w:cs="Arial"/>
          <w:sz w:val="20"/>
          <w:szCs w:val="20"/>
          <w:lang w:eastAsia="sl-SI"/>
        </w:rPr>
        <w:t xml:space="preserve"> promet v Sloveniji. </w:t>
      </w:r>
      <w:r w:rsidR="003F661B">
        <w:rPr>
          <w:rFonts w:ascii="Arial" w:hAnsi="Arial" w:cs="Arial"/>
          <w:sz w:val="20"/>
          <w:szCs w:val="20"/>
          <w:lang w:eastAsia="sl-SI"/>
        </w:rPr>
        <w:t>N</w:t>
      </w:r>
      <w:r w:rsidRPr="00012435">
        <w:rPr>
          <w:rFonts w:ascii="Arial" w:hAnsi="Arial" w:cs="Arial"/>
          <w:sz w:val="20"/>
          <w:szCs w:val="20"/>
          <w:lang w:eastAsia="sl-SI"/>
        </w:rPr>
        <w:t>a Ministrstvu za finance</w:t>
      </w:r>
      <w:r w:rsidR="003F661B">
        <w:rPr>
          <w:rFonts w:ascii="Arial" w:hAnsi="Arial" w:cs="Arial"/>
          <w:sz w:val="20"/>
          <w:szCs w:val="20"/>
          <w:lang w:eastAsia="sl-SI"/>
        </w:rPr>
        <w:t xml:space="preserve"> smo</w:t>
      </w:r>
      <w:r w:rsidRPr="00012435">
        <w:rPr>
          <w:rFonts w:ascii="Arial" w:hAnsi="Arial" w:cs="Arial"/>
          <w:sz w:val="20"/>
          <w:szCs w:val="20"/>
          <w:lang w:eastAsia="sl-SI"/>
        </w:rPr>
        <w:t xml:space="preserve"> ocenili, da se </w:t>
      </w:r>
      <w:r w:rsidR="003472EE">
        <w:rPr>
          <w:rFonts w:ascii="Arial" w:hAnsi="Arial" w:cs="Arial"/>
          <w:sz w:val="20"/>
          <w:szCs w:val="20"/>
          <w:lang w:eastAsia="sl-SI"/>
        </w:rPr>
        <w:t>le</w:t>
      </w:r>
      <w:r w:rsidRPr="00012435">
        <w:rPr>
          <w:rFonts w:ascii="Arial" w:hAnsi="Arial" w:cs="Arial"/>
          <w:sz w:val="20"/>
          <w:szCs w:val="20"/>
          <w:lang w:eastAsia="sl-SI"/>
        </w:rPr>
        <w:t xml:space="preserve"> 25 % dizelskega goriva, ki ga upravičenci iz sheme kom</w:t>
      </w:r>
      <w:r w:rsidR="00F319C0">
        <w:rPr>
          <w:rFonts w:ascii="Arial" w:hAnsi="Arial" w:cs="Arial"/>
          <w:sz w:val="20"/>
          <w:szCs w:val="20"/>
          <w:lang w:eastAsia="sl-SI"/>
        </w:rPr>
        <w:t>ercialnega</w:t>
      </w:r>
      <w:r w:rsidRPr="00012435">
        <w:rPr>
          <w:rFonts w:ascii="Arial" w:hAnsi="Arial" w:cs="Arial"/>
          <w:sz w:val="20"/>
          <w:szCs w:val="20"/>
          <w:lang w:eastAsia="sl-SI"/>
        </w:rPr>
        <w:t xml:space="preserve"> dizla točijo v Sloveniji, dejansko tudi porabi v Sloveniji, </w:t>
      </w:r>
      <w:r w:rsidR="003472EE">
        <w:rPr>
          <w:rFonts w:ascii="Arial" w:hAnsi="Arial" w:cs="Arial"/>
          <w:sz w:val="20"/>
          <w:szCs w:val="20"/>
          <w:lang w:eastAsia="sl-SI"/>
        </w:rPr>
        <w:t>drugih</w:t>
      </w:r>
      <w:r w:rsidRPr="00012435">
        <w:rPr>
          <w:rFonts w:ascii="Arial" w:hAnsi="Arial" w:cs="Arial"/>
          <w:sz w:val="20"/>
          <w:szCs w:val="20"/>
          <w:lang w:eastAsia="sl-SI"/>
        </w:rPr>
        <w:t xml:space="preserve"> 75 % pa se porabi v tujini. </w:t>
      </w:r>
      <w:r w:rsidR="00B97312">
        <w:rPr>
          <w:rFonts w:ascii="Arial" w:hAnsi="Arial" w:cs="Arial"/>
          <w:sz w:val="20"/>
          <w:szCs w:val="20"/>
          <w:lang w:eastAsia="sl-SI"/>
        </w:rPr>
        <w:t>Če</w:t>
      </w:r>
      <w:r w:rsidRPr="00012435">
        <w:rPr>
          <w:rFonts w:ascii="Arial" w:hAnsi="Arial" w:cs="Arial"/>
          <w:sz w:val="20"/>
          <w:szCs w:val="20"/>
          <w:lang w:eastAsia="sl-SI"/>
        </w:rPr>
        <w:t xml:space="preserve"> bi </w:t>
      </w:r>
      <w:r w:rsidR="00B97312">
        <w:rPr>
          <w:rFonts w:ascii="Arial" w:hAnsi="Arial" w:cs="Arial"/>
          <w:sz w:val="20"/>
          <w:szCs w:val="20"/>
          <w:lang w:eastAsia="sl-SI"/>
        </w:rPr>
        <w:t>s povečanjem</w:t>
      </w:r>
      <w:r w:rsidRPr="00012435">
        <w:rPr>
          <w:rFonts w:ascii="Arial" w:hAnsi="Arial" w:cs="Arial"/>
          <w:sz w:val="20"/>
          <w:szCs w:val="20"/>
          <w:lang w:eastAsia="sl-SI"/>
        </w:rPr>
        <w:t xml:space="preserve"> efektivne obdavčitve dizelskega goriva cene v Sloveniji postale toliko višje, da bi bilo za prevoznike gorivo cenej</w:t>
      </w:r>
      <w:r w:rsidR="000F300D">
        <w:rPr>
          <w:rFonts w:ascii="Arial" w:hAnsi="Arial" w:cs="Arial"/>
          <w:sz w:val="20"/>
          <w:szCs w:val="20"/>
          <w:lang w:eastAsia="sl-SI"/>
        </w:rPr>
        <w:t>š</w:t>
      </w:r>
      <w:r w:rsidRPr="00012435">
        <w:rPr>
          <w:rFonts w:ascii="Arial" w:hAnsi="Arial" w:cs="Arial"/>
          <w:sz w:val="20"/>
          <w:szCs w:val="20"/>
          <w:lang w:eastAsia="sl-SI"/>
        </w:rPr>
        <w:t>e kupovati v tujini, bi se zelo verjetno večina teh odločil</w:t>
      </w:r>
      <w:r w:rsidR="003F661B">
        <w:rPr>
          <w:rFonts w:ascii="Arial" w:hAnsi="Arial" w:cs="Arial"/>
          <w:sz w:val="20"/>
          <w:szCs w:val="20"/>
          <w:lang w:eastAsia="sl-SI"/>
        </w:rPr>
        <w:t>a</w:t>
      </w:r>
      <w:r w:rsidRPr="00012435">
        <w:rPr>
          <w:rFonts w:ascii="Arial" w:hAnsi="Arial" w:cs="Arial"/>
          <w:sz w:val="20"/>
          <w:szCs w:val="20"/>
          <w:lang w:eastAsia="sl-SI"/>
        </w:rPr>
        <w:t xml:space="preserve"> točiti gorivo izven Slovenije. S tem bi se po podatkih z</w:t>
      </w:r>
      <w:r w:rsidR="00F319C0">
        <w:rPr>
          <w:rFonts w:ascii="Arial" w:hAnsi="Arial" w:cs="Arial"/>
          <w:sz w:val="20"/>
          <w:szCs w:val="20"/>
          <w:lang w:eastAsia="sl-SI"/>
        </w:rPr>
        <w:t>a</w:t>
      </w:r>
      <w:r w:rsidRPr="00012435">
        <w:rPr>
          <w:rFonts w:ascii="Arial" w:hAnsi="Arial" w:cs="Arial"/>
          <w:sz w:val="20"/>
          <w:szCs w:val="20"/>
          <w:lang w:eastAsia="sl-SI"/>
        </w:rPr>
        <w:t xml:space="preserve"> leto 2018 javnofinančni prihodki</w:t>
      </w:r>
      <w:r w:rsidR="00C71160">
        <w:rPr>
          <w:rFonts w:ascii="Arial" w:hAnsi="Arial" w:cs="Arial"/>
          <w:sz w:val="20"/>
          <w:szCs w:val="20"/>
          <w:lang w:eastAsia="sl-SI"/>
        </w:rPr>
        <w:t>,</w:t>
      </w:r>
      <w:r w:rsidRPr="00012435">
        <w:rPr>
          <w:rFonts w:ascii="Arial" w:hAnsi="Arial" w:cs="Arial"/>
          <w:sz w:val="20"/>
          <w:szCs w:val="20"/>
          <w:lang w:eastAsia="sl-SI"/>
        </w:rPr>
        <w:t xml:space="preserve"> vezani na obdavčitev dizelskega goriva</w:t>
      </w:r>
      <w:r w:rsidR="00C71160">
        <w:rPr>
          <w:rFonts w:ascii="Arial" w:hAnsi="Arial" w:cs="Arial"/>
          <w:sz w:val="20"/>
          <w:szCs w:val="20"/>
          <w:lang w:eastAsia="sl-SI"/>
        </w:rPr>
        <w:t>,</w:t>
      </w:r>
      <w:r w:rsidRPr="00012435">
        <w:rPr>
          <w:rFonts w:ascii="Arial" w:hAnsi="Arial" w:cs="Arial"/>
          <w:sz w:val="20"/>
          <w:szCs w:val="20"/>
          <w:lang w:eastAsia="sl-SI"/>
        </w:rPr>
        <w:t xml:space="preserve"> znižali za okoli 175 mio evrov samo </w:t>
      </w:r>
      <w:r w:rsidR="00B97312">
        <w:rPr>
          <w:rFonts w:ascii="Arial" w:hAnsi="Arial" w:cs="Arial"/>
          <w:sz w:val="20"/>
          <w:szCs w:val="20"/>
          <w:lang w:eastAsia="sl-SI"/>
        </w:rPr>
        <w:t>zaradi</w:t>
      </w:r>
      <w:r w:rsidRPr="00012435">
        <w:rPr>
          <w:rFonts w:ascii="Arial" w:hAnsi="Arial" w:cs="Arial"/>
          <w:sz w:val="20"/>
          <w:szCs w:val="20"/>
          <w:lang w:eastAsia="sl-SI"/>
        </w:rPr>
        <w:t xml:space="preserve"> točenja goriva izven Slovenije. Vsaj krat</w:t>
      </w:r>
      <w:r w:rsidR="00B97312">
        <w:rPr>
          <w:rFonts w:ascii="Arial" w:hAnsi="Arial" w:cs="Arial"/>
          <w:sz w:val="20"/>
          <w:szCs w:val="20"/>
          <w:lang w:eastAsia="sl-SI"/>
        </w:rPr>
        <w:t>koročno</w:t>
      </w:r>
      <w:r w:rsidRPr="00012435">
        <w:rPr>
          <w:rFonts w:ascii="Arial" w:hAnsi="Arial" w:cs="Arial"/>
          <w:sz w:val="20"/>
          <w:szCs w:val="20"/>
          <w:lang w:eastAsia="sl-SI"/>
        </w:rPr>
        <w:t xml:space="preserve"> bi bil vpliv na nižje škodljive </w:t>
      </w:r>
      <w:r w:rsidRPr="00012435">
        <w:rPr>
          <w:rFonts w:ascii="Arial" w:hAnsi="Arial" w:cs="Arial"/>
          <w:sz w:val="20"/>
          <w:szCs w:val="20"/>
          <w:lang w:eastAsia="sl-SI"/>
        </w:rPr>
        <w:lastRenderedPageBreak/>
        <w:t>emisije, ki izhajajo iz porabe diz</w:t>
      </w:r>
      <w:r w:rsidR="00B97312">
        <w:rPr>
          <w:rFonts w:ascii="Arial" w:hAnsi="Arial" w:cs="Arial"/>
          <w:sz w:val="20"/>
          <w:szCs w:val="20"/>
          <w:lang w:eastAsia="sl-SI"/>
        </w:rPr>
        <w:t>elskega goriva</w:t>
      </w:r>
      <w:r w:rsidR="004E7ACD">
        <w:rPr>
          <w:rFonts w:ascii="Arial" w:hAnsi="Arial" w:cs="Arial"/>
          <w:sz w:val="20"/>
          <w:szCs w:val="20"/>
          <w:lang w:eastAsia="sl-SI"/>
        </w:rPr>
        <w:t>,</w:t>
      </w:r>
      <w:r w:rsidRPr="00012435">
        <w:rPr>
          <w:rFonts w:ascii="Arial" w:hAnsi="Arial" w:cs="Arial"/>
          <w:sz w:val="20"/>
          <w:szCs w:val="20"/>
          <w:lang w:eastAsia="sl-SI"/>
        </w:rPr>
        <w:t xml:space="preserve"> </w:t>
      </w:r>
      <w:r w:rsidR="00B97312">
        <w:rPr>
          <w:rFonts w:ascii="Arial" w:hAnsi="Arial" w:cs="Arial"/>
          <w:sz w:val="20"/>
          <w:szCs w:val="20"/>
          <w:lang w:eastAsia="sl-SI"/>
        </w:rPr>
        <w:t>le</w:t>
      </w:r>
      <w:r w:rsidR="004E7ACD">
        <w:rPr>
          <w:rFonts w:ascii="Arial" w:hAnsi="Arial" w:cs="Arial"/>
          <w:sz w:val="20"/>
          <w:szCs w:val="20"/>
          <w:lang w:eastAsia="sl-SI"/>
        </w:rPr>
        <w:t xml:space="preserve"> </w:t>
      </w:r>
      <w:r w:rsidRPr="00012435">
        <w:rPr>
          <w:rFonts w:ascii="Arial" w:hAnsi="Arial" w:cs="Arial"/>
          <w:sz w:val="20"/>
          <w:szCs w:val="20"/>
          <w:lang w:eastAsia="sl-SI"/>
        </w:rPr>
        <w:t>zanemarljivo nižj</w:t>
      </w:r>
      <w:r w:rsidR="004E7ACD">
        <w:rPr>
          <w:rFonts w:ascii="Arial" w:hAnsi="Arial" w:cs="Arial"/>
          <w:sz w:val="20"/>
          <w:szCs w:val="20"/>
          <w:lang w:eastAsia="sl-SI"/>
        </w:rPr>
        <w:t>i.</w:t>
      </w:r>
      <w:r w:rsidRPr="00012435">
        <w:rPr>
          <w:rFonts w:ascii="Arial" w:hAnsi="Arial" w:cs="Arial"/>
          <w:sz w:val="20"/>
          <w:szCs w:val="20"/>
          <w:lang w:eastAsia="sl-SI"/>
        </w:rPr>
        <w:t xml:space="preserve"> </w:t>
      </w:r>
      <w:r w:rsidR="004E7ACD">
        <w:rPr>
          <w:rFonts w:ascii="Arial" w:hAnsi="Arial" w:cs="Arial"/>
          <w:sz w:val="20"/>
          <w:szCs w:val="20"/>
          <w:lang w:eastAsia="sl-SI"/>
        </w:rPr>
        <w:t>N</w:t>
      </w:r>
      <w:r w:rsidRPr="00012435">
        <w:rPr>
          <w:rFonts w:ascii="Arial" w:hAnsi="Arial" w:cs="Arial"/>
          <w:sz w:val="20"/>
          <w:szCs w:val="20"/>
          <w:lang w:eastAsia="sl-SI"/>
        </w:rPr>
        <w:t>i</w:t>
      </w:r>
      <w:r w:rsidR="004E7ACD">
        <w:rPr>
          <w:rFonts w:ascii="Arial" w:hAnsi="Arial" w:cs="Arial"/>
          <w:sz w:val="20"/>
          <w:szCs w:val="20"/>
          <w:lang w:eastAsia="sl-SI"/>
        </w:rPr>
        <w:t xml:space="preserve"> namreč</w:t>
      </w:r>
      <w:r w:rsidRPr="00012435">
        <w:rPr>
          <w:rFonts w:ascii="Arial" w:hAnsi="Arial" w:cs="Arial"/>
          <w:sz w:val="20"/>
          <w:szCs w:val="20"/>
          <w:lang w:eastAsia="sl-SI"/>
        </w:rPr>
        <w:t xml:space="preserve"> verjeti, da bi se</w:t>
      </w:r>
      <w:r w:rsidR="004E7ACD">
        <w:rPr>
          <w:rFonts w:ascii="Arial" w:hAnsi="Arial" w:cs="Arial"/>
          <w:sz w:val="20"/>
          <w:szCs w:val="20"/>
          <w:lang w:eastAsia="sl-SI"/>
        </w:rPr>
        <w:t xml:space="preserve"> zaradi ukinitve vračil</w:t>
      </w:r>
      <w:r w:rsidRPr="00012435">
        <w:rPr>
          <w:rFonts w:ascii="Arial" w:hAnsi="Arial" w:cs="Arial"/>
          <w:sz w:val="20"/>
          <w:szCs w:val="20"/>
          <w:lang w:eastAsia="sl-SI"/>
        </w:rPr>
        <w:t xml:space="preserve"> pomembno zmanjšal</w:t>
      </w:r>
      <w:r w:rsidR="004E7ACD">
        <w:rPr>
          <w:rFonts w:ascii="Arial" w:hAnsi="Arial" w:cs="Arial"/>
          <w:sz w:val="20"/>
          <w:szCs w:val="20"/>
          <w:lang w:eastAsia="sl-SI"/>
        </w:rPr>
        <w:t>a</w:t>
      </w:r>
      <w:r w:rsidRPr="00012435">
        <w:rPr>
          <w:rFonts w:ascii="Arial" w:hAnsi="Arial" w:cs="Arial"/>
          <w:sz w:val="20"/>
          <w:szCs w:val="20"/>
          <w:lang w:eastAsia="sl-SI"/>
        </w:rPr>
        <w:t xml:space="preserve"> količina tovorn</w:t>
      </w:r>
      <w:r w:rsidR="004E7ACD">
        <w:rPr>
          <w:rFonts w:ascii="Arial" w:hAnsi="Arial" w:cs="Arial"/>
          <w:sz w:val="20"/>
          <w:szCs w:val="20"/>
          <w:lang w:eastAsia="sl-SI"/>
        </w:rPr>
        <w:t>ega</w:t>
      </w:r>
      <w:r w:rsidRPr="00012435">
        <w:rPr>
          <w:rFonts w:ascii="Arial" w:hAnsi="Arial" w:cs="Arial"/>
          <w:sz w:val="20"/>
          <w:szCs w:val="20"/>
          <w:lang w:eastAsia="sl-SI"/>
        </w:rPr>
        <w:t xml:space="preserve"> promet</w:t>
      </w:r>
      <w:r w:rsidR="00514F0C">
        <w:rPr>
          <w:rFonts w:ascii="Arial" w:hAnsi="Arial" w:cs="Arial"/>
          <w:sz w:val="20"/>
          <w:szCs w:val="20"/>
          <w:lang w:eastAsia="sl-SI"/>
        </w:rPr>
        <w:t>a</w:t>
      </w:r>
      <w:r w:rsidRPr="00012435">
        <w:rPr>
          <w:rFonts w:ascii="Arial" w:hAnsi="Arial" w:cs="Arial"/>
          <w:sz w:val="20"/>
          <w:szCs w:val="20"/>
          <w:lang w:eastAsia="sl-SI"/>
        </w:rPr>
        <w:t xml:space="preserve">, ki uporablja </w:t>
      </w:r>
      <w:r w:rsidR="00B97312">
        <w:rPr>
          <w:rFonts w:ascii="Arial" w:hAnsi="Arial" w:cs="Arial"/>
          <w:sz w:val="20"/>
          <w:szCs w:val="20"/>
          <w:lang w:eastAsia="sl-SI"/>
        </w:rPr>
        <w:t xml:space="preserve">dizelsko </w:t>
      </w:r>
      <w:r w:rsidRPr="00012435">
        <w:rPr>
          <w:rFonts w:ascii="Arial" w:hAnsi="Arial" w:cs="Arial"/>
          <w:sz w:val="20"/>
          <w:szCs w:val="20"/>
          <w:lang w:eastAsia="sl-SI"/>
        </w:rPr>
        <w:t>gorivo.</w:t>
      </w:r>
    </w:p>
    <w:p w14:paraId="7138757A" w14:textId="77777777" w:rsidR="00E4026D" w:rsidRPr="00012435" w:rsidRDefault="00E4026D" w:rsidP="00012435">
      <w:pPr>
        <w:spacing w:after="0" w:line="260" w:lineRule="atLeast"/>
        <w:jc w:val="both"/>
        <w:rPr>
          <w:rFonts w:ascii="Arial" w:hAnsi="Arial" w:cs="Arial"/>
          <w:sz w:val="20"/>
          <w:szCs w:val="20"/>
          <w:lang w:eastAsia="sl-SI"/>
        </w:rPr>
      </w:pPr>
    </w:p>
    <w:p w14:paraId="1DFFCDA5" w14:textId="5DF0DDAE" w:rsidR="00E4026D" w:rsidRPr="00012435" w:rsidRDefault="00E4026D" w:rsidP="00012435">
      <w:pPr>
        <w:spacing w:after="0" w:line="260" w:lineRule="atLeast"/>
        <w:jc w:val="both"/>
        <w:rPr>
          <w:rFonts w:ascii="Arial" w:hAnsi="Arial" w:cs="Arial"/>
          <w:sz w:val="20"/>
          <w:szCs w:val="20"/>
          <w:lang w:eastAsia="sl-SI"/>
        </w:rPr>
      </w:pPr>
      <w:r w:rsidRPr="00012435">
        <w:rPr>
          <w:rFonts w:ascii="Arial" w:hAnsi="Arial" w:cs="Arial"/>
          <w:sz w:val="20"/>
          <w:szCs w:val="20"/>
          <w:lang w:eastAsia="sl-SI"/>
        </w:rPr>
        <w:t xml:space="preserve">Drug najvišji </w:t>
      </w:r>
      <w:r w:rsidR="00F319C0" w:rsidRPr="00012435">
        <w:rPr>
          <w:rFonts w:ascii="Arial" w:hAnsi="Arial" w:cs="Arial"/>
          <w:sz w:val="20"/>
          <w:szCs w:val="20"/>
          <w:lang w:eastAsia="sl-SI"/>
        </w:rPr>
        <w:t xml:space="preserve">izdatek </w:t>
      </w:r>
      <w:r w:rsidRPr="00012435">
        <w:rPr>
          <w:rFonts w:ascii="Arial" w:hAnsi="Arial" w:cs="Arial"/>
          <w:sz w:val="20"/>
          <w:szCs w:val="20"/>
          <w:lang w:eastAsia="sl-SI"/>
        </w:rPr>
        <w:t>pri trošarinah, ki se nanaša na obdavčitev fosilnih goriv</w:t>
      </w:r>
      <w:r w:rsidR="00C71160">
        <w:rPr>
          <w:rFonts w:ascii="Arial" w:hAnsi="Arial" w:cs="Arial"/>
          <w:sz w:val="20"/>
          <w:szCs w:val="20"/>
          <w:lang w:eastAsia="sl-SI"/>
        </w:rPr>
        <w:t>,</w:t>
      </w:r>
      <w:r w:rsidRPr="00012435">
        <w:rPr>
          <w:rFonts w:ascii="Arial" w:hAnsi="Arial" w:cs="Arial"/>
          <w:sz w:val="20"/>
          <w:szCs w:val="20"/>
          <w:lang w:eastAsia="sl-SI"/>
        </w:rPr>
        <w:t xml:space="preserve"> izhaja iz vračil trošarine za kmetijsko in gozdarsko mehanizacijo. V obdobju 2016</w:t>
      </w:r>
      <w:r w:rsidR="00B97312">
        <w:rPr>
          <w:rFonts w:ascii="Arial" w:hAnsi="Arial" w:cs="Arial"/>
          <w:sz w:val="20"/>
          <w:szCs w:val="20"/>
          <w:lang w:eastAsia="sl-SI"/>
        </w:rPr>
        <w:t>–</w:t>
      </w:r>
      <w:r w:rsidRPr="00012435">
        <w:rPr>
          <w:rFonts w:ascii="Arial" w:hAnsi="Arial" w:cs="Arial"/>
          <w:sz w:val="20"/>
          <w:szCs w:val="20"/>
          <w:lang w:eastAsia="sl-SI"/>
        </w:rPr>
        <w:t xml:space="preserve">2018 </w:t>
      </w:r>
      <w:r w:rsidR="00514F0C">
        <w:rPr>
          <w:rFonts w:ascii="Arial" w:hAnsi="Arial" w:cs="Arial"/>
          <w:sz w:val="20"/>
          <w:szCs w:val="20"/>
          <w:lang w:eastAsia="sl-SI"/>
        </w:rPr>
        <w:t>je</w:t>
      </w:r>
      <w:r w:rsidRPr="00012435">
        <w:rPr>
          <w:rFonts w:ascii="Arial" w:hAnsi="Arial" w:cs="Arial"/>
          <w:sz w:val="20"/>
          <w:szCs w:val="20"/>
          <w:lang w:eastAsia="sl-SI"/>
        </w:rPr>
        <w:t xml:space="preserve"> znašal okoli 21 mio evrov, upravičencev pa je </w:t>
      </w:r>
      <w:r w:rsidR="00B97312">
        <w:rPr>
          <w:rFonts w:ascii="Arial" w:hAnsi="Arial" w:cs="Arial"/>
          <w:sz w:val="20"/>
          <w:szCs w:val="20"/>
          <w:lang w:eastAsia="sl-SI"/>
        </w:rPr>
        <w:t>bilo</w:t>
      </w:r>
      <w:r w:rsidRPr="00012435">
        <w:rPr>
          <w:rFonts w:ascii="Arial" w:hAnsi="Arial" w:cs="Arial"/>
          <w:sz w:val="20"/>
          <w:szCs w:val="20"/>
          <w:lang w:eastAsia="sl-SI"/>
        </w:rPr>
        <w:t xml:space="preserve"> 32 tisoč, med njimi je </w:t>
      </w:r>
      <w:r w:rsidR="00F319C0" w:rsidRPr="00012435">
        <w:rPr>
          <w:rFonts w:ascii="Arial" w:hAnsi="Arial" w:cs="Arial"/>
          <w:sz w:val="20"/>
          <w:szCs w:val="20"/>
          <w:lang w:eastAsia="sl-SI"/>
        </w:rPr>
        <w:t xml:space="preserve">bila </w:t>
      </w:r>
      <w:r w:rsidRPr="00012435">
        <w:rPr>
          <w:rFonts w:ascii="Arial" w:hAnsi="Arial" w:cs="Arial"/>
          <w:sz w:val="20"/>
          <w:szCs w:val="20"/>
          <w:lang w:eastAsia="sl-SI"/>
        </w:rPr>
        <w:t>večina fizičnih oseb.</w:t>
      </w:r>
    </w:p>
    <w:p w14:paraId="79810463" w14:textId="77777777" w:rsidR="00E4026D" w:rsidRPr="00012435" w:rsidRDefault="00E4026D" w:rsidP="00012435">
      <w:pPr>
        <w:spacing w:after="0" w:line="260" w:lineRule="atLeast"/>
        <w:jc w:val="both"/>
        <w:rPr>
          <w:rFonts w:ascii="Arial" w:hAnsi="Arial" w:cs="Arial"/>
          <w:color w:val="7F7F7F"/>
          <w:sz w:val="20"/>
          <w:szCs w:val="20"/>
          <w:lang w:eastAsia="sl-SI"/>
        </w:rPr>
      </w:pPr>
    </w:p>
    <w:p w14:paraId="493F78A5" w14:textId="4FDF456E" w:rsidR="003D2AD6" w:rsidRPr="008B55CD" w:rsidRDefault="003D2AD6" w:rsidP="003D2AD6">
      <w:pPr>
        <w:spacing w:after="0" w:line="260" w:lineRule="atLeast"/>
        <w:jc w:val="both"/>
        <w:rPr>
          <w:rFonts w:ascii="Arial" w:hAnsi="Arial" w:cs="Arial"/>
          <w:sz w:val="20"/>
          <w:szCs w:val="20"/>
          <w:lang w:eastAsia="sl-SI"/>
        </w:rPr>
      </w:pPr>
      <w:r w:rsidRPr="008B55CD">
        <w:rPr>
          <w:rFonts w:ascii="Arial" w:hAnsi="Arial" w:cs="Arial"/>
          <w:sz w:val="20"/>
          <w:szCs w:val="20"/>
          <w:lang w:eastAsia="sl-SI"/>
        </w:rPr>
        <w:t xml:space="preserve">Med trošarinske </w:t>
      </w:r>
      <w:r>
        <w:rPr>
          <w:rFonts w:ascii="Arial" w:hAnsi="Arial" w:cs="Arial"/>
          <w:sz w:val="20"/>
          <w:szCs w:val="20"/>
          <w:lang w:eastAsia="sl-SI"/>
        </w:rPr>
        <w:t>izdatke</w:t>
      </w:r>
      <w:r w:rsidRPr="008B55CD">
        <w:rPr>
          <w:rFonts w:ascii="Arial" w:hAnsi="Arial" w:cs="Arial"/>
          <w:sz w:val="20"/>
          <w:szCs w:val="20"/>
          <w:lang w:eastAsia="sl-SI"/>
        </w:rPr>
        <w:t xml:space="preserve"> </w:t>
      </w:r>
      <w:r>
        <w:rPr>
          <w:rFonts w:ascii="Arial" w:hAnsi="Arial" w:cs="Arial"/>
          <w:sz w:val="20"/>
          <w:szCs w:val="20"/>
          <w:lang w:eastAsia="sl-SI"/>
        </w:rPr>
        <w:t>bi</w:t>
      </w:r>
      <w:r w:rsidRPr="008B55CD">
        <w:rPr>
          <w:rFonts w:ascii="Arial" w:hAnsi="Arial" w:cs="Arial"/>
          <w:sz w:val="20"/>
          <w:szCs w:val="20"/>
          <w:lang w:eastAsia="sl-SI"/>
        </w:rPr>
        <w:t xml:space="preserve"> lahko uvrsti</w:t>
      </w:r>
      <w:r>
        <w:rPr>
          <w:rFonts w:ascii="Arial" w:hAnsi="Arial" w:cs="Arial"/>
          <w:sz w:val="20"/>
          <w:szCs w:val="20"/>
          <w:lang w:eastAsia="sl-SI"/>
        </w:rPr>
        <w:t>li</w:t>
      </w:r>
      <w:r w:rsidRPr="008B55CD">
        <w:rPr>
          <w:rFonts w:ascii="Arial" w:hAnsi="Arial" w:cs="Arial"/>
          <w:sz w:val="20"/>
          <w:szCs w:val="20"/>
          <w:lang w:eastAsia="sl-SI"/>
        </w:rPr>
        <w:t xml:space="preserve"> tudi različno obdavčitev primerljivih trošarinskih izdelkov. Pri energentih je zaradi zelo raznolike oblike, strukture in drugih lastnosti zelo težko najti skupni imenovalec, ki bi bil podlaga za tako primerjavo. Lažje je to storiti pri alkoholnih pijačah, saj so trošarinske stopnje za večino skupin primerljive: 1.200 evrov za hektoliter čistega alkohola pri pivu (pol</w:t>
      </w:r>
      <w:r w:rsidR="00B97312">
        <w:rPr>
          <w:rFonts w:ascii="Arial" w:hAnsi="Arial" w:cs="Arial"/>
          <w:sz w:val="20"/>
          <w:szCs w:val="20"/>
          <w:lang w:eastAsia="sl-SI"/>
        </w:rPr>
        <w:t>ovico</w:t>
      </w:r>
      <w:r w:rsidRPr="008B55CD">
        <w:rPr>
          <w:rFonts w:ascii="Arial" w:hAnsi="Arial" w:cs="Arial"/>
          <w:sz w:val="20"/>
          <w:szCs w:val="20"/>
          <w:lang w:eastAsia="sl-SI"/>
        </w:rPr>
        <w:t xml:space="preserve"> manj za t.</w:t>
      </w:r>
      <w:r w:rsidR="00C71160">
        <w:rPr>
          <w:rFonts w:ascii="Arial" w:hAnsi="Arial" w:cs="Arial"/>
          <w:sz w:val="20"/>
          <w:szCs w:val="20"/>
          <w:lang w:eastAsia="sl-SI"/>
        </w:rPr>
        <w:t xml:space="preserve"> </w:t>
      </w:r>
      <w:r w:rsidRPr="008B55CD">
        <w:rPr>
          <w:rFonts w:ascii="Arial" w:hAnsi="Arial" w:cs="Arial"/>
          <w:sz w:val="20"/>
          <w:szCs w:val="20"/>
          <w:lang w:eastAsia="sl-SI"/>
        </w:rPr>
        <w:t>i. male pivovarje) in 1.320 evrov za hektoliter čistega alkohola pri žganih pijačah (pol</w:t>
      </w:r>
      <w:r w:rsidR="00B97312">
        <w:rPr>
          <w:rFonts w:ascii="Arial" w:hAnsi="Arial" w:cs="Arial"/>
          <w:sz w:val="20"/>
          <w:szCs w:val="20"/>
          <w:lang w:eastAsia="sl-SI"/>
        </w:rPr>
        <w:t>ovico</w:t>
      </w:r>
      <w:r w:rsidRPr="008B55CD">
        <w:rPr>
          <w:rFonts w:ascii="Arial" w:hAnsi="Arial" w:cs="Arial"/>
          <w:sz w:val="20"/>
          <w:szCs w:val="20"/>
          <w:lang w:eastAsia="sl-SI"/>
        </w:rPr>
        <w:t xml:space="preserve"> manj za t.</w:t>
      </w:r>
      <w:r w:rsidR="00C71160">
        <w:rPr>
          <w:rFonts w:ascii="Arial" w:hAnsi="Arial" w:cs="Arial"/>
          <w:sz w:val="20"/>
          <w:szCs w:val="20"/>
          <w:lang w:eastAsia="sl-SI"/>
        </w:rPr>
        <w:t xml:space="preserve"> </w:t>
      </w:r>
      <w:r w:rsidRPr="008B55CD">
        <w:rPr>
          <w:rFonts w:ascii="Arial" w:hAnsi="Arial" w:cs="Arial"/>
          <w:sz w:val="20"/>
          <w:szCs w:val="20"/>
          <w:lang w:eastAsia="sl-SI"/>
        </w:rPr>
        <w:t xml:space="preserve">i. male žganjekuhe). Za mirna in peneča </w:t>
      </w:r>
      <w:r w:rsidR="00C71160">
        <w:rPr>
          <w:rFonts w:ascii="Arial" w:hAnsi="Arial" w:cs="Arial"/>
          <w:sz w:val="20"/>
          <w:szCs w:val="20"/>
          <w:lang w:eastAsia="sl-SI"/>
        </w:rPr>
        <w:t xml:space="preserve">se </w:t>
      </w:r>
      <w:r w:rsidRPr="008B55CD">
        <w:rPr>
          <w:rFonts w:ascii="Arial" w:hAnsi="Arial" w:cs="Arial"/>
          <w:sz w:val="20"/>
          <w:szCs w:val="20"/>
          <w:lang w:eastAsia="sl-SI"/>
        </w:rPr>
        <w:t xml:space="preserve">vina ter druge fermentirane pijače velja stopnja 0. </w:t>
      </w:r>
      <w:r w:rsidR="00B97312">
        <w:rPr>
          <w:rFonts w:ascii="Arial" w:hAnsi="Arial" w:cs="Arial"/>
          <w:sz w:val="20"/>
          <w:szCs w:val="20"/>
          <w:lang w:eastAsia="sl-SI"/>
        </w:rPr>
        <w:t>Če</w:t>
      </w:r>
      <w:r w:rsidRPr="008B55CD">
        <w:rPr>
          <w:rFonts w:ascii="Arial" w:hAnsi="Arial" w:cs="Arial"/>
          <w:sz w:val="20"/>
          <w:szCs w:val="20"/>
          <w:lang w:eastAsia="sl-SI"/>
        </w:rPr>
        <w:t xml:space="preserve"> bi vino obdavčevali po enaki stopnji k</w:t>
      </w:r>
      <w:r w:rsidR="00B97312">
        <w:rPr>
          <w:rFonts w:ascii="Arial" w:hAnsi="Arial" w:cs="Arial"/>
          <w:sz w:val="20"/>
          <w:szCs w:val="20"/>
          <w:lang w:eastAsia="sl-SI"/>
        </w:rPr>
        <w:t>akor</w:t>
      </w:r>
      <w:r w:rsidRPr="008B55CD">
        <w:rPr>
          <w:rFonts w:ascii="Arial" w:hAnsi="Arial" w:cs="Arial"/>
          <w:sz w:val="20"/>
          <w:szCs w:val="20"/>
          <w:lang w:eastAsia="sl-SI"/>
        </w:rPr>
        <w:t xml:space="preserve"> pivo ob predpostavki, da je povprečna vsebnost alkohola v vinu 12 % in</w:t>
      </w:r>
      <w:r w:rsidR="00C71160">
        <w:rPr>
          <w:rFonts w:ascii="Arial" w:hAnsi="Arial" w:cs="Arial"/>
          <w:sz w:val="20"/>
          <w:szCs w:val="20"/>
          <w:lang w:eastAsia="sl-SI"/>
        </w:rPr>
        <w:t xml:space="preserve"> ob</w:t>
      </w:r>
      <w:r w:rsidRPr="008B55CD">
        <w:rPr>
          <w:rFonts w:ascii="Arial" w:hAnsi="Arial" w:cs="Arial"/>
          <w:sz w:val="20"/>
          <w:szCs w:val="20"/>
          <w:lang w:eastAsia="sl-SI"/>
        </w:rPr>
        <w:t xml:space="preserve"> zadnji oceni SURS o po</w:t>
      </w:r>
      <w:r w:rsidR="00B97312">
        <w:rPr>
          <w:rFonts w:ascii="Arial" w:hAnsi="Arial" w:cs="Arial"/>
          <w:sz w:val="20"/>
          <w:szCs w:val="20"/>
          <w:lang w:eastAsia="sl-SI"/>
        </w:rPr>
        <w:t>rabi</w:t>
      </w:r>
      <w:r w:rsidRPr="008B55CD">
        <w:rPr>
          <w:rFonts w:ascii="Arial" w:hAnsi="Arial" w:cs="Arial"/>
          <w:sz w:val="20"/>
          <w:szCs w:val="20"/>
          <w:lang w:eastAsia="sl-SI"/>
        </w:rPr>
        <w:t xml:space="preserve"> vin</w:t>
      </w:r>
      <w:r w:rsidR="00B97312">
        <w:rPr>
          <w:rFonts w:ascii="Arial" w:hAnsi="Arial" w:cs="Arial"/>
          <w:sz w:val="20"/>
          <w:szCs w:val="20"/>
          <w:lang w:eastAsia="sl-SI"/>
        </w:rPr>
        <w:t>a</w:t>
      </w:r>
      <w:r w:rsidRPr="008B55CD">
        <w:rPr>
          <w:rFonts w:ascii="Arial" w:hAnsi="Arial" w:cs="Arial"/>
          <w:sz w:val="20"/>
          <w:szCs w:val="20"/>
          <w:lang w:eastAsia="sl-SI"/>
        </w:rPr>
        <w:t xml:space="preserve"> v Sloveniji (688.000 hektolitrov), bi s trošarinami lahko zbrali do 100 mio evrov prihodkov iz naslova trošarin. </w:t>
      </w:r>
      <w:r>
        <w:rPr>
          <w:rFonts w:ascii="Arial" w:hAnsi="Arial" w:cs="Arial"/>
          <w:sz w:val="20"/>
          <w:szCs w:val="20"/>
          <w:lang w:eastAsia="sl-SI"/>
        </w:rPr>
        <w:t>Ker je dejanski učinek zelo odvisen</w:t>
      </w:r>
      <w:r w:rsidRPr="008B55CD">
        <w:rPr>
          <w:rFonts w:ascii="Arial" w:hAnsi="Arial" w:cs="Arial"/>
          <w:sz w:val="20"/>
          <w:szCs w:val="20"/>
          <w:lang w:eastAsia="sl-SI"/>
        </w:rPr>
        <w:t xml:space="preserve"> od odziva potrošnikov ter od efektivne učinkovitosti obdavčit</w:t>
      </w:r>
      <w:r w:rsidR="00514F0C">
        <w:rPr>
          <w:rFonts w:ascii="Arial" w:hAnsi="Arial" w:cs="Arial"/>
          <w:sz w:val="20"/>
          <w:szCs w:val="20"/>
          <w:lang w:eastAsia="sl-SI"/>
        </w:rPr>
        <w:t>ve</w:t>
      </w:r>
      <w:r w:rsidRPr="008B55CD">
        <w:rPr>
          <w:rFonts w:ascii="Arial" w:hAnsi="Arial" w:cs="Arial"/>
          <w:sz w:val="20"/>
          <w:szCs w:val="20"/>
          <w:lang w:eastAsia="sl-SI"/>
        </w:rPr>
        <w:t xml:space="preserve"> mal</w:t>
      </w:r>
      <w:r w:rsidR="00514F0C">
        <w:rPr>
          <w:rFonts w:ascii="Arial" w:hAnsi="Arial" w:cs="Arial"/>
          <w:sz w:val="20"/>
          <w:szCs w:val="20"/>
          <w:lang w:eastAsia="sl-SI"/>
        </w:rPr>
        <w:t>ih</w:t>
      </w:r>
      <w:r w:rsidRPr="008B55CD">
        <w:rPr>
          <w:rFonts w:ascii="Arial" w:hAnsi="Arial" w:cs="Arial"/>
          <w:sz w:val="20"/>
          <w:szCs w:val="20"/>
          <w:lang w:eastAsia="sl-SI"/>
        </w:rPr>
        <w:t xml:space="preserve"> proizvajalce</w:t>
      </w:r>
      <w:r w:rsidR="00514F0C">
        <w:rPr>
          <w:rFonts w:ascii="Arial" w:hAnsi="Arial" w:cs="Arial"/>
          <w:sz w:val="20"/>
          <w:szCs w:val="20"/>
          <w:lang w:eastAsia="sl-SI"/>
        </w:rPr>
        <w:t>v</w:t>
      </w:r>
      <w:r w:rsidR="00C71160">
        <w:rPr>
          <w:rFonts w:ascii="Arial" w:hAnsi="Arial" w:cs="Arial"/>
          <w:sz w:val="20"/>
          <w:szCs w:val="20"/>
          <w:lang w:eastAsia="sl-SI"/>
        </w:rPr>
        <w:t>,</w:t>
      </w:r>
      <w:r>
        <w:rPr>
          <w:rFonts w:ascii="Arial" w:hAnsi="Arial" w:cs="Arial"/>
          <w:sz w:val="20"/>
          <w:szCs w:val="20"/>
          <w:lang w:eastAsia="sl-SI"/>
        </w:rPr>
        <w:t xml:space="preserve"> tega izdatka nismo vključili v </w:t>
      </w:r>
      <w:r w:rsidR="00B97312">
        <w:rPr>
          <w:rFonts w:ascii="Arial" w:hAnsi="Arial" w:cs="Arial"/>
          <w:sz w:val="20"/>
          <w:szCs w:val="20"/>
          <w:lang w:eastAsia="sl-SI"/>
        </w:rPr>
        <w:t>preglednico</w:t>
      </w:r>
      <w:r w:rsidRPr="008B55CD">
        <w:rPr>
          <w:rFonts w:ascii="Arial" w:hAnsi="Arial" w:cs="Arial"/>
          <w:sz w:val="20"/>
          <w:szCs w:val="20"/>
          <w:lang w:eastAsia="sl-SI"/>
        </w:rPr>
        <w:t>.</w:t>
      </w:r>
    </w:p>
    <w:p w14:paraId="32D6898E" w14:textId="309F81E8" w:rsidR="00E4026D" w:rsidRDefault="00E4026D" w:rsidP="00012435">
      <w:pPr>
        <w:spacing w:after="0" w:line="260" w:lineRule="atLeast"/>
        <w:rPr>
          <w:rFonts w:ascii="Arial" w:hAnsi="Arial" w:cs="Arial"/>
          <w:sz w:val="20"/>
          <w:szCs w:val="20"/>
          <w:u w:val="single"/>
        </w:rPr>
      </w:pPr>
    </w:p>
    <w:p w14:paraId="72476C22" w14:textId="5F013634" w:rsidR="00824C55" w:rsidRPr="00AC13E9" w:rsidRDefault="00824C55" w:rsidP="00AC13E9">
      <w:pPr>
        <w:spacing w:after="0" w:line="260" w:lineRule="atLeast"/>
        <w:jc w:val="both"/>
        <w:rPr>
          <w:rFonts w:ascii="Arial" w:hAnsi="Arial" w:cs="Arial"/>
          <w:sz w:val="20"/>
          <w:szCs w:val="20"/>
        </w:rPr>
      </w:pPr>
      <w:r>
        <w:rPr>
          <w:rFonts w:ascii="Arial" w:hAnsi="Arial" w:cs="Arial"/>
          <w:sz w:val="20"/>
          <w:szCs w:val="20"/>
        </w:rPr>
        <w:t>Nekatere oprostitve trošarin, ki so obvezne v skladu z evropsko direktivo</w:t>
      </w:r>
      <w:r w:rsidR="00B97312">
        <w:rPr>
          <w:rFonts w:ascii="Arial" w:hAnsi="Arial" w:cs="Arial"/>
          <w:sz w:val="20"/>
          <w:szCs w:val="20"/>
        </w:rPr>
        <w:t>,</w:t>
      </w:r>
      <w:r>
        <w:rPr>
          <w:rFonts w:ascii="Arial" w:hAnsi="Arial" w:cs="Arial"/>
          <w:sz w:val="20"/>
          <w:szCs w:val="20"/>
        </w:rPr>
        <w:t xml:space="preserve"> so zanimiv</w:t>
      </w:r>
      <w:r w:rsidR="00AC13E9">
        <w:rPr>
          <w:rFonts w:ascii="Arial" w:hAnsi="Arial" w:cs="Arial"/>
          <w:sz w:val="20"/>
          <w:szCs w:val="20"/>
        </w:rPr>
        <w:t>e</w:t>
      </w:r>
      <w:r>
        <w:rPr>
          <w:rFonts w:ascii="Arial" w:hAnsi="Arial" w:cs="Arial"/>
          <w:sz w:val="20"/>
          <w:szCs w:val="20"/>
        </w:rPr>
        <w:t xml:space="preserve"> z vidika končnega zneska, ki so ga upravičenci do oprostitve </w:t>
      </w:r>
      <w:r w:rsidR="00B97312">
        <w:rPr>
          <w:rFonts w:ascii="Arial" w:hAnsi="Arial" w:cs="Arial"/>
          <w:sz w:val="20"/>
          <w:szCs w:val="20"/>
        </w:rPr>
        <w:t>oproščeni</w:t>
      </w:r>
      <w:r>
        <w:rPr>
          <w:rFonts w:ascii="Arial" w:hAnsi="Arial" w:cs="Arial"/>
          <w:sz w:val="20"/>
          <w:szCs w:val="20"/>
        </w:rPr>
        <w:t>. Tako je v letu 2018</w:t>
      </w:r>
      <w:r w:rsidR="00D71424">
        <w:rPr>
          <w:rFonts w:ascii="Arial" w:hAnsi="Arial" w:cs="Arial"/>
          <w:sz w:val="20"/>
          <w:szCs w:val="20"/>
        </w:rPr>
        <w:t xml:space="preserve"> znesek oprostitve trošarin za e</w:t>
      </w:r>
      <w:r w:rsidR="00D71424" w:rsidRPr="00D71424">
        <w:rPr>
          <w:rFonts w:ascii="Arial" w:hAnsi="Arial" w:cs="Arial"/>
          <w:sz w:val="20"/>
          <w:szCs w:val="20"/>
        </w:rPr>
        <w:t>nergent</w:t>
      </w:r>
      <w:r w:rsidR="00B97312">
        <w:rPr>
          <w:rFonts w:ascii="Arial" w:hAnsi="Arial" w:cs="Arial"/>
          <w:sz w:val="20"/>
          <w:szCs w:val="20"/>
        </w:rPr>
        <w:t>e,</w:t>
      </w:r>
      <w:r w:rsidR="00D71424" w:rsidRPr="00D71424">
        <w:rPr>
          <w:rFonts w:ascii="Arial" w:hAnsi="Arial" w:cs="Arial"/>
          <w:sz w:val="20"/>
          <w:szCs w:val="20"/>
        </w:rPr>
        <w:t xml:space="preserve"> uporabljen</w:t>
      </w:r>
      <w:r w:rsidR="00D71424">
        <w:rPr>
          <w:rFonts w:ascii="Arial" w:hAnsi="Arial" w:cs="Arial"/>
          <w:sz w:val="20"/>
          <w:szCs w:val="20"/>
        </w:rPr>
        <w:t>e</w:t>
      </w:r>
      <w:r w:rsidR="00D71424" w:rsidRPr="00D71424">
        <w:rPr>
          <w:rFonts w:ascii="Arial" w:hAnsi="Arial" w:cs="Arial"/>
          <w:sz w:val="20"/>
          <w:szCs w:val="20"/>
        </w:rPr>
        <w:t xml:space="preserve"> kot pogonsko gorivo </w:t>
      </w:r>
      <w:r w:rsidR="00B97312">
        <w:rPr>
          <w:rFonts w:ascii="Arial" w:hAnsi="Arial" w:cs="Arial"/>
          <w:sz w:val="20"/>
          <w:szCs w:val="20"/>
        </w:rPr>
        <w:t>za</w:t>
      </w:r>
      <w:r w:rsidR="00D71424" w:rsidRPr="00D71424">
        <w:rPr>
          <w:rFonts w:ascii="Arial" w:hAnsi="Arial" w:cs="Arial"/>
          <w:sz w:val="20"/>
          <w:szCs w:val="20"/>
        </w:rPr>
        <w:t xml:space="preserve"> letal</w:t>
      </w:r>
      <w:r w:rsidR="00D71424">
        <w:rPr>
          <w:rFonts w:ascii="Arial" w:hAnsi="Arial" w:cs="Arial"/>
          <w:sz w:val="20"/>
          <w:szCs w:val="20"/>
        </w:rPr>
        <w:t>stvo in pomorstvo znašal 15,5 mio evrov, znesek o</w:t>
      </w:r>
      <w:r w:rsidR="00D71424" w:rsidRPr="00D71424">
        <w:rPr>
          <w:rFonts w:ascii="Arial" w:hAnsi="Arial" w:cs="Arial"/>
          <w:sz w:val="20"/>
          <w:szCs w:val="20"/>
        </w:rPr>
        <w:t>prostitev plačila trošarine za diplomate</w:t>
      </w:r>
      <w:r w:rsidR="00D71424">
        <w:rPr>
          <w:rFonts w:ascii="Arial" w:hAnsi="Arial" w:cs="Arial"/>
          <w:sz w:val="20"/>
          <w:szCs w:val="20"/>
        </w:rPr>
        <w:t xml:space="preserve"> pa 0,3 mio evrov.</w:t>
      </w:r>
    </w:p>
    <w:p w14:paraId="46644DB3" w14:textId="77777777" w:rsidR="00824C55" w:rsidRPr="00012435" w:rsidRDefault="00824C55" w:rsidP="00012435">
      <w:pPr>
        <w:spacing w:after="0" w:line="260" w:lineRule="atLeast"/>
        <w:rPr>
          <w:rFonts w:ascii="Arial" w:hAnsi="Arial" w:cs="Arial"/>
          <w:sz w:val="20"/>
          <w:szCs w:val="20"/>
          <w:u w:val="single"/>
        </w:rPr>
      </w:pPr>
    </w:p>
    <w:p w14:paraId="6B67E646" w14:textId="224E1E65" w:rsidR="00E4026D" w:rsidRPr="00012435" w:rsidRDefault="00E670A6" w:rsidP="00012435">
      <w:pPr>
        <w:pStyle w:val="Heading3"/>
        <w:spacing w:before="0" w:after="0"/>
        <w:rPr>
          <w:rFonts w:ascii="Arial" w:hAnsi="Arial" w:cs="Arial"/>
        </w:rPr>
      </w:pPr>
      <w:r w:rsidRPr="00012435">
        <w:rPr>
          <w:rFonts w:ascii="Arial" w:hAnsi="Arial" w:cs="Arial"/>
        </w:rPr>
        <w:t>1</w:t>
      </w:r>
      <w:r w:rsidR="00E4026D" w:rsidRPr="00012435">
        <w:rPr>
          <w:rFonts w:ascii="Arial" w:hAnsi="Arial" w:cs="Arial"/>
        </w:rPr>
        <w:t>.</w:t>
      </w:r>
      <w:r w:rsidR="0032463A" w:rsidRPr="00012435">
        <w:rPr>
          <w:rFonts w:ascii="Arial" w:hAnsi="Arial" w:cs="Arial"/>
        </w:rPr>
        <w:t>5</w:t>
      </w:r>
      <w:r w:rsidR="00E4026D" w:rsidRPr="00012435">
        <w:rPr>
          <w:rFonts w:ascii="Arial" w:hAnsi="Arial" w:cs="Arial"/>
        </w:rPr>
        <w:t xml:space="preserve"> Davek na dodano vrednost</w:t>
      </w:r>
    </w:p>
    <w:p w14:paraId="0BF9F588" w14:textId="77777777" w:rsidR="00E4026D" w:rsidRPr="00012435" w:rsidRDefault="00E4026D" w:rsidP="00012435">
      <w:pPr>
        <w:spacing w:after="0"/>
        <w:rPr>
          <w:rFonts w:ascii="Arial" w:hAnsi="Arial" w:cs="Arial"/>
          <w:b/>
        </w:rPr>
      </w:pPr>
    </w:p>
    <w:p w14:paraId="0F4D1DAE" w14:textId="690DCA8B" w:rsidR="00E4026D" w:rsidRPr="002027C7" w:rsidRDefault="00E4026D" w:rsidP="002027C7">
      <w:pPr>
        <w:spacing w:after="0" w:line="260" w:lineRule="atLeast"/>
        <w:jc w:val="both"/>
        <w:rPr>
          <w:rFonts w:ascii="Arial" w:hAnsi="Arial" w:cs="Arial"/>
          <w:sz w:val="20"/>
          <w:szCs w:val="20"/>
        </w:rPr>
      </w:pPr>
      <w:r w:rsidRPr="002027C7">
        <w:rPr>
          <w:rFonts w:ascii="Arial" w:hAnsi="Arial" w:cs="Arial"/>
          <w:sz w:val="20"/>
          <w:szCs w:val="20"/>
        </w:rPr>
        <w:t>Zakon o davku na dodano vrednost (Uradni list RS, št. 13/11 – uradno prečiščeno besedilo, 18/11, 78/11, 38/12, 83/12, 86/14, 90/15, 77/18 in 59/19</w:t>
      </w:r>
      <w:r w:rsidR="00386818">
        <w:rPr>
          <w:rFonts w:ascii="Arial" w:hAnsi="Arial" w:cs="Arial"/>
          <w:sz w:val="20"/>
          <w:szCs w:val="20"/>
        </w:rPr>
        <w:t>, v nadaljevanju: ZDDV)</w:t>
      </w:r>
      <w:r w:rsidRPr="002027C7">
        <w:rPr>
          <w:rFonts w:ascii="Arial" w:hAnsi="Arial" w:cs="Arial"/>
          <w:sz w:val="20"/>
          <w:szCs w:val="20"/>
        </w:rPr>
        <w:t>) ureja sistem obdavčevanja dobav blaga in storitev z davkom na dodano vrednost (</w:t>
      </w:r>
      <w:r w:rsidR="00386818">
        <w:rPr>
          <w:rFonts w:ascii="Arial" w:hAnsi="Arial" w:cs="Arial"/>
          <w:sz w:val="20"/>
          <w:szCs w:val="20"/>
        </w:rPr>
        <w:t xml:space="preserve">v nadaljevanju: </w:t>
      </w:r>
      <w:r w:rsidRPr="002027C7">
        <w:rPr>
          <w:rFonts w:ascii="Arial" w:hAnsi="Arial" w:cs="Arial"/>
          <w:sz w:val="20"/>
          <w:szCs w:val="20"/>
        </w:rPr>
        <w:t xml:space="preserve">DDV). DDV je splošni davek na potrošnjo in je ena izmed oblik prometnega davka, s katerim se obdavčujejo blago in storitve v vseh fazah prometa od proizvajalca, trgovca do končnega potrošnika. Davčno breme se prenese do končnega potrošnika, zato davčni </w:t>
      </w:r>
      <w:r w:rsidR="00176C8A">
        <w:rPr>
          <w:rFonts w:ascii="Arial" w:hAnsi="Arial" w:cs="Arial"/>
          <w:sz w:val="20"/>
          <w:szCs w:val="20"/>
        </w:rPr>
        <w:t>izdatki</w:t>
      </w:r>
      <w:r w:rsidR="00176C8A" w:rsidRPr="002027C7">
        <w:rPr>
          <w:rFonts w:ascii="Arial" w:hAnsi="Arial" w:cs="Arial"/>
          <w:sz w:val="20"/>
          <w:szCs w:val="20"/>
        </w:rPr>
        <w:t xml:space="preserve"> </w:t>
      </w:r>
      <w:r w:rsidRPr="002027C7">
        <w:rPr>
          <w:rFonts w:ascii="Arial" w:hAnsi="Arial" w:cs="Arial"/>
          <w:sz w:val="20"/>
          <w:szCs w:val="20"/>
        </w:rPr>
        <w:t>nastanejo predvsem pri fizičnih osebah.</w:t>
      </w:r>
    </w:p>
    <w:p w14:paraId="1C784353" w14:textId="6289C7C4" w:rsidR="00E4026D" w:rsidRDefault="00E4026D" w:rsidP="002027C7">
      <w:pPr>
        <w:spacing w:after="0" w:line="260" w:lineRule="atLeast"/>
        <w:jc w:val="both"/>
        <w:rPr>
          <w:rFonts w:ascii="Arial" w:hAnsi="Arial" w:cs="Arial"/>
          <w:sz w:val="20"/>
          <w:szCs w:val="20"/>
        </w:rPr>
      </w:pPr>
    </w:p>
    <w:p w14:paraId="19CC1D98" w14:textId="0FB41E9B" w:rsidR="002D6D6C" w:rsidRPr="00012435" w:rsidRDefault="009B0B27" w:rsidP="002D6D6C">
      <w:pPr>
        <w:spacing w:after="0" w:line="260" w:lineRule="atLeast"/>
        <w:jc w:val="both"/>
        <w:rPr>
          <w:rFonts w:ascii="Arial" w:hAnsi="Arial" w:cs="Arial"/>
          <w:sz w:val="20"/>
          <w:szCs w:val="20"/>
        </w:rPr>
      </w:pPr>
      <w:r>
        <w:rPr>
          <w:rFonts w:ascii="Arial" w:hAnsi="Arial" w:cs="Arial"/>
          <w:sz w:val="20"/>
          <w:szCs w:val="20"/>
        </w:rPr>
        <w:t>Preglednica</w:t>
      </w:r>
      <w:r w:rsidR="002D6D6C" w:rsidRPr="00012435">
        <w:rPr>
          <w:rFonts w:ascii="Arial" w:hAnsi="Arial" w:cs="Arial"/>
          <w:sz w:val="20"/>
          <w:szCs w:val="20"/>
        </w:rPr>
        <w:t xml:space="preserve"> 1</w:t>
      </w:r>
      <w:r w:rsidR="00091D42">
        <w:rPr>
          <w:rFonts w:ascii="Arial" w:hAnsi="Arial" w:cs="Arial"/>
          <w:sz w:val="20"/>
          <w:szCs w:val="20"/>
        </w:rPr>
        <w:t>1</w:t>
      </w:r>
      <w:r w:rsidR="002D6D6C" w:rsidRPr="00012435">
        <w:rPr>
          <w:rFonts w:ascii="Arial" w:hAnsi="Arial" w:cs="Arial"/>
          <w:sz w:val="20"/>
          <w:szCs w:val="20"/>
        </w:rPr>
        <w:t>: Osnovni podatki o prihodkih od davka na dodano vrednost</w:t>
      </w:r>
    </w:p>
    <w:p w14:paraId="46982304" w14:textId="77777777" w:rsidR="002D6D6C" w:rsidRPr="00012435" w:rsidRDefault="002D6D6C" w:rsidP="002D6D6C">
      <w:pPr>
        <w:spacing w:after="0" w:line="260" w:lineRule="atLeast"/>
        <w:jc w:val="both"/>
        <w:rPr>
          <w:rFonts w:ascii="Arial" w:hAnsi="Arial" w:cs="Arial"/>
          <w:sz w:val="20"/>
          <w:szCs w:val="20"/>
        </w:rPr>
      </w:pPr>
    </w:p>
    <w:tbl>
      <w:tblPr>
        <w:tblW w:w="8020" w:type="dxa"/>
        <w:tblCellMar>
          <w:left w:w="70" w:type="dxa"/>
          <w:right w:w="70" w:type="dxa"/>
        </w:tblCellMar>
        <w:tblLook w:val="04A0" w:firstRow="1" w:lastRow="0" w:firstColumn="1" w:lastColumn="0" w:noHBand="0" w:noVBand="1"/>
      </w:tblPr>
      <w:tblGrid>
        <w:gridCol w:w="4840"/>
        <w:gridCol w:w="1060"/>
        <w:gridCol w:w="1060"/>
        <w:gridCol w:w="1060"/>
      </w:tblGrid>
      <w:tr w:rsidR="00327090" w:rsidRPr="00327090" w14:paraId="46C357B0" w14:textId="77777777" w:rsidTr="00431565">
        <w:trPr>
          <w:trHeight w:val="285"/>
        </w:trPr>
        <w:tc>
          <w:tcPr>
            <w:tcW w:w="4840" w:type="dxa"/>
            <w:tcBorders>
              <w:top w:val="single" w:sz="4" w:space="0" w:color="auto"/>
              <w:left w:val="single" w:sz="4" w:space="0" w:color="auto"/>
              <w:bottom w:val="single" w:sz="4" w:space="0" w:color="auto"/>
              <w:right w:val="single" w:sz="4" w:space="0" w:color="auto"/>
            </w:tcBorders>
            <w:shd w:val="clear" w:color="auto" w:fill="F7CAAC" w:themeFill="accent2" w:themeFillTint="66"/>
            <w:noWrap/>
            <w:vAlign w:val="bottom"/>
            <w:hideMark/>
          </w:tcPr>
          <w:p w14:paraId="55841F47" w14:textId="141817A9" w:rsidR="002D6D6C" w:rsidRPr="00012435" w:rsidRDefault="002D6D6C" w:rsidP="002D6D6C">
            <w:pPr>
              <w:spacing w:after="0" w:line="240" w:lineRule="auto"/>
              <w:rPr>
                <w:rFonts w:ascii="Arial" w:eastAsia="Times New Roman" w:hAnsi="Arial" w:cs="Arial"/>
                <w:sz w:val="20"/>
                <w:szCs w:val="20"/>
                <w:lang w:eastAsia="sl-SI"/>
              </w:rPr>
            </w:pPr>
            <w:r w:rsidRPr="00012435">
              <w:rPr>
                <w:rFonts w:ascii="Arial" w:eastAsia="Times New Roman" w:hAnsi="Arial" w:cs="Arial"/>
                <w:sz w:val="20"/>
                <w:szCs w:val="20"/>
                <w:lang w:eastAsia="sl-SI"/>
              </w:rPr>
              <w:t> </w:t>
            </w:r>
            <w:r w:rsidR="00386818">
              <w:rPr>
                <w:rFonts w:ascii="Arial" w:eastAsia="Times New Roman" w:hAnsi="Arial" w:cs="Arial"/>
                <w:sz w:val="20"/>
                <w:szCs w:val="20"/>
                <w:lang w:eastAsia="sl-SI"/>
              </w:rPr>
              <w:t>Postavka</w:t>
            </w:r>
          </w:p>
        </w:tc>
        <w:tc>
          <w:tcPr>
            <w:tcW w:w="106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48B0C3EE" w14:textId="77777777" w:rsidR="002D6D6C" w:rsidRPr="00012435" w:rsidRDefault="002D6D6C" w:rsidP="00431565">
            <w:pPr>
              <w:spacing w:after="0" w:line="240" w:lineRule="auto"/>
              <w:jc w:val="center"/>
              <w:rPr>
                <w:rFonts w:ascii="Arial" w:eastAsia="Times New Roman" w:hAnsi="Arial" w:cs="Arial"/>
                <w:sz w:val="20"/>
                <w:szCs w:val="20"/>
                <w:lang w:eastAsia="sl-SI"/>
              </w:rPr>
            </w:pPr>
            <w:r w:rsidRPr="00012435">
              <w:rPr>
                <w:rFonts w:ascii="Arial" w:eastAsia="Times New Roman" w:hAnsi="Arial" w:cs="Arial"/>
                <w:sz w:val="20"/>
                <w:szCs w:val="20"/>
                <w:lang w:eastAsia="sl-SI"/>
              </w:rPr>
              <w:t>2016</w:t>
            </w:r>
          </w:p>
        </w:tc>
        <w:tc>
          <w:tcPr>
            <w:tcW w:w="106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405952D5" w14:textId="77777777" w:rsidR="002D6D6C" w:rsidRPr="00012435" w:rsidRDefault="002D6D6C" w:rsidP="00431565">
            <w:pPr>
              <w:spacing w:after="0" w:line="240" w:lineRule="auto"/>
              <w:jc w:val="center"/>
              <w:rPr>
                <w:rFonts w:ascii="Arial" w:eastAsia="Times New Roman" w:hAnsi="Arial" w:cs="Arial"/>
                <w:sz w:val="20"/>
                <w:szCs w:val="20"/>
                <w:lang w:eastAsia="sl-SI"/>
              </w:rPr>
            </w:pPr>
            <w:r w:rsidRPr="00012435">
              <w:rPr>
                <w:rFonts w:ascii="Arial" w:eastAsia="Times New Roman" w:hAnsi="Arial" w:cs="Arial"/>
                <w:sz w:val="20"/>
                <w:szCs w:val="20"/>
                <w:lang w:eastAsia="sl-SI"/>
              </w:rPr>
              <w:t>2017</w:t>
            </w:r>
          </w:p>
        </w:tc>
        <w:tc>
          <w:tcPr>
            <w:tcW w:w="1060" w:type="dxa"/>
            <w:tcBorders>
              <w:top w:val="single" w:sz="4" w:space="0" w:color="auto"/>
              <w:left w:val="nil"/>
              <w:bottom w:val="single" w:sz="4" w:space="0" w:color="auto"/>
              <w:right w:val="single" w:sz="4" w:space="0" w:color="auto"/>
            </w:tcBorders>
            <w:shd w:val="clear" w:color="auto" w:fill="F7CAAC" w:themeFill="accent2" w:themeFillTint="66"/>
            <w:noWrap/>
            <w:vAlign w:val="bottom"/>
            <w:hideMark/>
          </w:tcPr>
          <w:p w14:paraId="3DCB9942" w14:textId="77777777" w:rsidR="002D6D6C" w:rsidRPr="00012435" w:rsidRDefault="002D6D6C" w:rsidP="00431565">
            <w:pPr>
              <w:spacing w:after="0" w:line="240" w:lineRule="auto"/>
              <w:jc w:val="center"/>
              <w:rPr>
                <w:rFonts w:ascii="Arial" w:eastAsia="Times New Roman" w:hAnsi="Arial" w:cs="Arial"/>
                <w:sz w:val="20"/>
                <w:szCs w:val="20"/>
                <w:lang w:eastAsia="sl-SI"/>
              </w:rPr>
            </w:pPr>
            <w:r w:rsidRPr="00012435">
              <w:rPr>
                <w:rFonts w:ascii="Arial" w:eastAsia="Times New Roman" w:hAnsi="Arial" w:cs="Arial"/>
                <w:sz w:val="20"/>
                <w:szCs w:val="20"/>
                <w:lang w:eastAsia="sl-SI"/>
              </w:rPr>
              <w:t>2018</w:t>
            </w:r>
          </w:p>
        </w:tc>
      </w:tr>
      <w:tr w:rsidR="00327090" w:rsidRPr="00327090" w14:paraId="0E08F949" w14:textId="77777777" w:rsidTr="002D6D6C">
        <w:trPr>
          <w:trHeight w:val="28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4F07C531" w14:textId="728C1924" w:rsidR="002D6D6C" w:rsidRPr="00012435" w:rsidRDefault="002D6D6C" w:rsidP="002D6D6C">
            <w:pPr>
              <w:spacing w:after="0" w:line="240" w:lineRule="auto"/>
              <w:rPr>
                <w:rFonts w:ascii="Arial" w:eastAsia="Times New Roman" w:hAnsi="Arial" w:cs="Arial"/>
                <w:sz w:val="20"/>
                <w:szCs w:val="20"/>
                <w:lang w:eastAsia="sl-SI"/>
              </w:rPr>
            </w:pPr>
            <w:r w:rsidRPr="00012435">
              <w:rPr>
                <w:rFonts w:ascii="Arial" w:eastAsia="Times New Roman" w:hAnsi="Arial" w:cs="Arial"/>
                <w:sz w:val="20"/>
                <w:szCs w:val="20"/>
                <w:lang w:eastAsia="sl-SI"/>
              </w:rPr>
              <w:t>Število zavezancev, ki je oddalo obračun</w:t>
            </w:r>
            <w:r w:rsidR="00386818">
              <w:rPr>
                <w:rFonts w:ascii="Arial" w:eastAsia="Times New Roman" w:hAnsi="Arial" w:cs="Arial"/>
                <w:sz w:val="20"/>
                <w:szCs w:val="20"/>
                <w:lang w:eastAsia="sl-SI"/>
              </w:rPr>
              <w:t xml:space="preserve"> DDV</w:t>
            </w:r>
          </w:p>
        </w:tc>
        <w:tc>
          <w:tcPr>
            <w:tcW w:w="1060" w:type="dxa"/>
            <w:tcBorders>
              <w:top w:val="nil"/>
              <w:left w:val="nil"/>
              <w:bottom w:val="single" w:sz="4" w:space="0" w:color="auto"/>
              <w:right w:val="single" w:sz="4" w:space="0" w:color="auto"/>
            </w:tcBorders>
            <w:shd w:val="clear" w:color="auto" w:fill="auto"/>
            <w:noWrap/>
            <w:vAlign w:val="bottom"/>
            <w:hideMark/>
          </w:tcPr>
          <w:p w14:paraId="7824C2DD"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108.785</w:t>
            </w:r>
          </w:p>
        </w:tc>
        <w:tc>
          <w:tcPr>
            <w:tcW w:w="1060" w:type="dxa"/>
            <w:tcBorders>
              <w:top w:val="nil"/>
              <w:left w:val="nil"/>
              <w:bottom w:val="single" w:sz="4" w:space="0" w:color="auto"/>
              <w:right w:val="single" w:sz="4" w:space="0" w:color="auto"/>
            </w:tcBorders>
            <w:shd w:val="clear" w:color="auto" w:fill="auto"/>
            <w:noWrap/>
            <w:vAlign w:val="bottom"/>
            <w:hideMark/>
          </w:tcPr>
          <w:p w14:paraId="35547EDD"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111.494</w:t>
            </w:r>
          </w:p>
        </w:tc>
        <w:tc>
          <w:tcPr>
            <w:tcW w:w="1060" w:type="dxa"/>
            <w:tcBorders>
              <w:top w:val="nil"/>
              <w:left w:val="nil"/>
              <w:bottom w:val="single" w:sz="4" w:space="0" w:color="auto"/>
              <w:right w:val="single" w:sz="4" w:space="0" w:color="auto"/>
            </w:tcBorders>
            <w:shd w:val="clear" w:color="auto" w:fill="auto"/>
            <w:noWrap/>
            <w:vAlign w:val="bottom"/>
            <w:hideMark/>
          </w:tcPr>
          <w:p w14:paraId="0593B164"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114.273</w:t>
            </w:r>
          </w:p>
        </w:tc>
      </w:tr>
      <w:tr w:rsidR="00327090" w:rsidRPr="00327090" w14:paraId="4C92FF1D" w14:textId="77777777" w:rsidTr="002D6D6C">
        <w:trPr>
          <w:trHeight w:val="28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09502297" w14:textId="3EBCB5A7" w:rsidR="002D6D6C" w:rsidRPr="00012435" w:rsidRDefault="002D6D6C" w:rsidP="002D6D6C">
            <w:pPr>
              <w:spacing w:after="0" w:line="240" w:lineRule="auto"/>
              <w:rPr>
                <w:rFonts w:ascii="Arial" w:eastAsia="Times New Roman" w:hAnsi="Arial" w:cs="Arial"/>
                <w:sz w:val="20"/>
                <w:szCs w:val="20"/>
                <w:lang w:eastAsia="sl-SI"/>
              </w:rPr>
            </w:pPr>
            <w:r w:rsidRPr="00012435">
              <w:rPr>
                <w:rFonts w:ascii="Arial" w:eastAsia="Times New Roman" w:hAnsi="Arial" w:cs="Arial"/>
                <w:sz w:val="20"/>
                <w:szCs w:val="20"/>
                <w:lang w:eastAsia="sl-SI"/>
              </w:rPr>
              <w:t>Obdavčljiv</w:t>
            </w:r>
            <w:r w:rsidR="00B97312">
              <w:rPr>
                <w:rFonts w:ascii="Arial" w:eastAsia="Times New Roman" w:hAnsi="Arial" w:cs="Arial"/>
                <w:sz w:val="20"/>
                <w:szCs w:val="20"/>
                <w:lang w:eastAsia="sl-SI"/>
              </w:rPr>
              <w:t>i</w:t>
            </w:r>
            <w:r w:rsidRPr="00012435">
              <w:rPr>
                <w:rFonts w:ascii="Arial" w:eastAsia="Times New Roman" w:hAnsi="Arial" w:cs="Arial"/>
                <w:sz w:val="20"/>
                <w:szCs w:val="20"/>
                <w:lang w:eastAsia="sl-SI"/>
              </w:rPr>
              <w:t xml:space="preserve"> promet iz obračuna DDV (</w:t>
            </w:r>
            <w:r w:rsidR="00B97312">
              <w:rPr>
                <w:rFonts w:ascii="Arial" w:eastAsia="Times New Roman" w:hAnsi="Arial" w:cs="Arial"/>
                <w:sz w:val="20"/>
                <w:szCs w:val="20"/>
                <w:lang w:eastAsia="sl-SI"/>
              </w:rPr>
              <w:t xml:space="preserve">v </w:t>
            </w:r>
            <w:r w:rsidRPr="00012435">
              <w:rPr>
                <w:rFonts w:ascii="Arial" w:eastAsia="Times New Roman" w:hAnsi="Arial" w:cs="Arial"/>
                <w:sz w:val="20"/>
                <w:szCs w:val="20"/>
                <w:lang w:eastAsia="sl-SI"/>
              </w:rPr>
              <w:t>mio evrov)</w:t>
            </w:r>
          </w:p>
        </w:tc>
        <w:tc>
          <w:tcPr>
            <w:tcW w:w="1060" w:type="dxa"/>
            <w:tcBorders>
              <w:top w:val="nil"/>
              <w:left w:val="nil"/>
              <w:bottom w:val="single" w:sz="4" w:space="0" w:color="auto"/>
              <w:right w:val="single" w:sz="4" w:space="0" w:color="auto"/>
            </w:tcBorders>
            <w:shd w:val="clear" w:color="auto" w:fill="auto"/>
            <w:noWrap/>
            <w:vAlign w:val="bottom"/>
            <w:hideMark/>
          </w:tcPr>
          <w:p w14:paraId="624BAFC1"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78.724</w:t>
            </w:r>
          </w:p>
        </w:tc>
        <w:tc>
          <w:tcPr>
            <w:tcW w:w="1060" w:type="dxa"/>
            <w:tcBorders>
              <w:top w:val="nil"/>
              <w:left w:val="nil"/>
              <w:bottom w:val="single" w:sz="4" w:space="0" w:color="auto"/>
              <w:right w:val="single" w:sz="4" w:space="0" w:color="auto"/>
            </w:tcBorders>
            <w:shd w:val="clear" w:color="auto" w:fill="auto"/>
            <w:noWrap/>
            <w:vAlign w:val="bottom"/>
            <w:hideMark/>
          </w:tcPr>
          <w:p w14:paraId="0CA26219"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83.437</w:t>
            </w:r>
          </w:p>
        </w:tc>
        <w:tc>
          <w:tcPr>
            <w:tcW w:w="1060" w:type="dxa"/>
            <w:tcBorders>
              <w:top w:val="nil"/>
              <w:left w:val="nil"/>
              <w:bottom w:val="single" w:sz="4" w:space="0" w:color="auto"/>
              <w:right w:val="single" w:sz="4" w:space="0" w:color="auto"/>
            </w:tcBorders>
            <w:shd w:val="clear" w:color="auto" w:fill="auto"/>
            <w:noWrap/>
            <w:vAlign w:val="bottom"/>
            <w:hideMark/>
          </w:tcPr>
          <w:p w14:paraId="4C9A0A89"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90.528</w:t>
            </w:r>
          </w:p>
        </w:tc>
      </w:tr>
      <w:tr w:rsidR="00327090" w:rsidRPr="00327090" w14:paraId="502D2E0A" w14:textId="77777777" w:rsidTr="002D6D6C">
        <w:trPr>
          <w:trHeight w:val="285"/>
        </w:trPr>
        <w:tc>
          <w:tcPr>
            <w:tcW w:w="4840" w:type="dxa"/>
            <w:tcBorders>
              <w:top w:val="nil"/>
              <w:left w:val="single" w:sz="4" w:space="0" w:color="auto"/>
              <w:bottom w:val="single" w:sz="4" w:space="0" w:color="auto"/>
              <w:right w:val="single" w:sz="4" w:space="0" w:color="auto"/>
            </w:tcBorders>
            <w:shd w:val="clear" w:color="auto" w:fill="auto"/>
            <w:noWrap/>
            <w:vAlign w:val="bottom"/>
            <w:hideMark/>
          </w:tcPr>
          <w:p w14:paraId="3E51D11B" w14:textId="689198BD" w:rsidR="002D6D6C" w:rsidRPr="00012435" w:rsidRDefault="002D6D6C" w:rsidP="002D6D6C">
            <w:pPr>
              <w:spacing w:after="0" w:line="240" w:lineRule="auto"/>
              <w:rPr>
                <w:rFonts w:ascii="Arial" w:eastAsia="Times New Roman" w:hAnsi="Arial" w:cs="Arial"/>
                <w:sz w:val="20"/>
                <w:szCs w:val="20"/>
                <w:lang w:eastAsia="sl-SI"/>
              </w:rPr>
            </w:pPr>
            <w:r w:rsidRPr="00012435">
              <w:rPr>
                <w:rFonts w:ascii="Arial" w:eastAsia="Times New Roman" w:hAnsi="Arial" w:cs="Arial"/>
                <w:sz w:val="20"/>
                <w:szCs w:val="20"/>
                <w:lang w:eastAsia="sl-SI"/>
              </w:rPr>
              <w:t>Javnofinančni prihodki od DDV (</w:t>
            </w:r>
            <w:r w:rsidR="00B97312">
              <w:rPr>
                <w:rFonts w:ascii="Arial" w:eastAsia="Times New Roman" w:hAnsi="Arial" w:cs="Arial"/>
                <w:sz w:val="20"/>
                <w:szCs w:val="20"/>
                <w:lang w:eastAsia="sl-SI"/>
              </w:rPr>
              <w:t xml:space="preserve">v </w:t>
            </w:r>
            <w:r w:rsidRPr="00012435">
              <w:rPr>
                <w:rFonts w:ascii="Arial" w:eastAsia="Times New Roman" w:hAnsi="Arial" w:cs="Arial"/>
                <w:sz w:val="20"/>
                <w:szCs w:val="20"/>
                <w:lang w:eastAsia="sl-SI"/>
              </w:rPr>
              <w:t>mio evrov)</w:t>
            </w:r>
          </w:p>
        </w:tc>
        <w:tc>
          <w:tcPr>
            <w:tcW w:w="1060" w:type="dxa"/>
            <w:tcBorders>
              <w:top w:val="nil"/>
              <w:left w:val="nil"/>
              <w:bottom w:val="single" w:sz="4" w:space="0" w:color="auto"/>
              <w:right w:val="single" w:sz="4" w:space="0" w:color="auto"/>
            </w:tcBorders>
            <w:shd w:val="clear" w:color="auto" w:fill="auto"/>
            <w:noWrap/>
            <w:vAlign w:val="bottom"/>
            <w:hideMark/>
          </w:tcPr>
          <w:p w14:paraId="63CFBCEB"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3.272</w:t>
            </w:r>
          </w:p>
        </w:tc>
        <w:tc>
          <w:tcPr>
            <w:tcW w:w="1060" w:type="dxa"/>
            <w:tcBorders>
              <w:top w:val="nil"/>
              <w:left w:val="nil"/>
              <w:bottom w:val="single" w:sz="4" w:space="0" w:color="auto"/>
              <w:right w:val="single" w:sz="4" w:space="0" w:color="auto"/>
            </w:tcBorders>
            <w:shd w:val="clear" w:color="auto" w:fill="auto"/>
            <w:noWrap/>
            <w:vAlign w:val="bottom"/>
            <w:hideMark/>
          </w:tcPr>
          <w:p w14:paraId="338F617B"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3.504</w:t>
            </w:r>
          </w:p>
        </w:tc>
        <w:tc>
          <w:tcPr>
            <w:tcW w:w="1060" w:type="dxa"/>
            <w:tcBorders>
              <w:top w:val="nil"/>
              <w:left w:val="nil"/>
              <w:bottom w:val="single" w:sz="4" w:space="0" w:color="auto"/>
              <w:right w:val="single" w:sz="4" w:space="0" w:color="auto"/>
            </w:tcBorders>
            <w:shd w:val="clear" w:color="auto" w:fill="auto"/>
            <w:noWrap/>
            <w:vAlign w:val="bottom"/>
            <w:hideMark/>
          </w:tcPr>
          <w:p w14:paraId="1E9B8AEB" w14:textId="77777777" w:rsidR="002D6D6C" w:rsidRPr="00012435" w:rsidRDefault="002D6D6C" w:rsidP="002D6D6C">
            <w:pPr>
              <w:spacing w:after="0" w:line="240" w:lineRule="auto"/>
              <w:jc w:val="right"/>
              <w:rPr>
                <w:rFonts w:ascii="Arial" w:eastAsia="Times New Roman" w:hAnsi="Arial" w:cs="Arial"/>
                <w:sz w:val="20"/>
                <w:szCs w:val="20"/>
                <w:lang w:eastAsia="sl-SI"/>
              </w:rPr>
            </w:pPr>
            <w:r w:rsidRPr="00012435">
              <w:rPr>
                <w:rFonts w:ascii="Arial" w:eastAsia="Times New Roman" w:hAnsi="Arial" w:cs="Arial"/>
                <w:sz w:val="20"/>
                <w:szCs w:val="20"/>
                <w:lang w:eastAsia="sl-SI"/>
              </w:rPr>
              <w:t>3.757</w:t>
            </w:r>
          </w:p>
        </w:tc>
      </w:tr>
    </w:tbl>
    <w:p w14:paraId="704C1936" w14:textId="75275E12" w:rsidR="002D6D6C" w:rsidRPr="00431565" w:rsidRDefault="002D6D6C" w:rsidP="002D6D6C">
      <w:pPr>
        <w:spacing w:after="0" w:line="260" w:lineRule="atLeast"/>
        <w:jc w:val="both"/>
        <w:rPr>
          <w:rFonts w:ascii="Arial" w:hAnsi="Arial" w:cs="Arial"/>
          <w:i/>
          <w:sz w:val="18"/>
          <w:szCs w:val="18"/>
        </w:rPr>
      </w:pPr>
      <w:r w:rsidRPr="00431565">
        <w:rPr>
          <w:rFonts w:ascii="Arial" w:hAnsi="Arial" w:cs="Arial"/>
          <w:i/>
          <w:sz w:val="18"/>
          <w:szCs w:val="18"/>
        </w:rPr>
        <w:t>Vir: Obračuni DDV</w:t>
      </w:r>
      <w:r w:rsidR="00B97312">
        <w:rPr>
          <w:rFonts w:ascii="Arial" w:hAnsi="Arial" w:cs="Arial"/>
          <w:i/>
          <w:sz w:val="18"/>
          <w:szCs w:val="18"/>
        </w:rPr>
        <w:t xml:space="preserve"> </w:t>
      </w:r>
      <w:r w:rsidRPr="00431565">
        <w:rPr>
          <w:rFonts w:ascii="Arial" w:hAnsi="Arial" w:cs="Arial"/>
          <w:i/>
          <w:sz w:val="18"/>
          <w:szCs w:val="18"/>
        </w:rPr>
        <w:t xml:space="preserve">(FURS), </w:t>
      </w:r>
      <w:r w:rsidR="00B97312">
        <w:rPr>
          <w:rFonts w:ascii="Arial" w:hAnsi="Arial" w:cs="Arial"/>
          <w:i/>
          <w:sz w:val="18"/>
          <w:szCs w:val="18"/>
        </w:rPr>
        <w:t>b</w:t>
      </w:r>
      <w:r w:rsidRPr="00431565">
        <w:rPr>
          <w:rFonts w:ascii="Arial" w:hAnsi="Arial" w:cs="Arial"/>
          <w:i/>
          <w:sz w:val="18"/>
          <w:szCs w:val="18"/>
        </w:rPr>
        <w:t>ilance državnega proračuna (MF)</w:t>
      </w:r>
      <w:r w:rsidR="00B97312">
        <w:rPr>
          <w:rFonts w:ascii="Arial" w:hAnsi="Arial" w:cs="Arial"/>
          <w:i/>
          <w:sz w:val="18"/>
          <w:szCs w:val="18"/>
        </w:rPr>
        <w:t>.</w:t>
      </w:r>
    </w:p>
    <w:p w14:paraId="5D37DAD9" w14:textId="0FB0A91F" w:rsidR="002D6D6C" w:rsidRDefault="002D6D6C" w:rsidP="002027C7">
      <w:pPr>
        <w:spacing w:after="0" w:line="260" w:lineRule="atLeast"/>
        <w:jc w:val="both"/>
        <w:rPr>
          <w:rFonts w:ascii="Arial" w:hAnsi="Arial" w:cs="Arial"/>
          <w:sz w:val="20"/>
          <w:szCs w:val="20"/>
        </w:rPr>
      </w:pPr>
    </w:p>
    <w:p w14:paraId="4CBB99F3" w14:textId="24509443" w:rsidR="00E4026D" w:rsidRPr="002027C7" w:rsidRDefault="00E4026D" w:rsidP="002027C7">
      <w:pPr>
        <w:spacing w:after="0" w:line="260" w:lineRule="atLeast"/>
        <w:jc w:val="both"/>
        <w:rPr>
          <w:rFonts w:ascii="Arial" w:hAnsi="Arial" w:cs="Arial"/>
          <w:color w:val="7F7F7F"/>
          <w:sz w:val="20"/>
          <w:szCs w:val="20"/>
        </w:rPr>
      </w:pPr>
      <w:r w:rsidRPr="002027C7">
        <w:rPr>
          <w:rFonts w:ascii="Arial" w:hAnsi="Arial" w:cs="Arial"/>
          <w:sz w:val="20"/>
          <w:szCs w:val="20"/>
        </w:rPr>
        <w:t>DDV se obračunava in plačuje po splošni stopnji 22 % od davčne osnove in je enaka za dobavo blaga in storitev. Vendar pa se za določene dobave blaga in storitev DDV obračunava in plačuje po nižji 9,5</w:t>
      </w:r>
      <w:r w:rsidR="008D4689">
        <w:rPr>
          <w:rFonts w:ascii="Arial" w:hAnsi="Arial" w:cs="Arial"/>
          <w:sz w:val="20"/>
          <w:szCs w:val="20"/>
        </w:rPr>
        <w:t>-odstotni</w:t>
      </w:r>
      <w:r w:rsidRPr="002027C7">
        <w:rPr>
          <w:rFonts w:ascii="Arial" w:hAnsi="Arial" w:cs="Arial"/>
          <w:sz w:val="20"/>
          <w:szCs w:val="20"/>
        </w:rPr>
        <w:t xml:space="preserve"> </w:t>
      </w:r>
      <w:r w:rsidR="00390A2A">
        <w:rPr>
          <w:rFonts w:ascii="Arial" w:hAnsi="Arial" w:cs="Arial"/>
          <w:sz w:val="20"/>
          <w:szCs w:val="20"/>
        </w:rPr>
        <w:t>oziroma</w:t>
      </w:r>
      <w:r w:rsidRPr="002027C7">
        <w:rPr>
          <w:rFonts w:ascii="Arial" w:hAnsi="Arial" w:cs="Arial"/>
          <w:sz w:val="20"/>
          <w:szCs w:val="20"/>
        </w:rPr>
        <w:t xml:space="preserve"> od 1. 1. 2020 tudi po 5</w:t>
      </w:r>
      <w:r w:rsidR="008D4689">
        <w:rPr>
          <w:rFonts w:ascii="Arial" w:hAnsi="Arial" w:cs="Arial"/>
          <w:sz w:val="20"/>
          <w:szCs w:val="20"/>
        </w:rPr>
        <w:t>-odstotni</w:t>
      </w:r>
      <w:r w:rsidRPr="002027C7">
        <w:rPr>
          <w:rFonts w:ascii="Arial" w:hAnsi="Arial" w:cs="Arial"/>
          <w:sz w:val="20"/>
          <w:szCs w:val="20"/>
        </w:rPr>
        <w:t xml:space="preserve"> stopnji. Pri oceni davčnega </w:t>
      </w:r>
      <w:r w:rsidR="00176C8A">
        <w:rPr>
          <w:rFonts w:ascii="Arial" w:hAnsi="Arial" w:cs="Arial"/>
          <w:sz w:val="20"/>
          <w:szCs w:val="20"/>
        </w:rPr>
        <w:t>izdatka</w:t>
      </w:r>
      <w:r w:rsidR="00176C8A" w:rsidRPr="002027C7">
        <w:rPr>
          <w:rFonts w:ascii="Arial" w:hAnsi="Arial" w:cs="Arial"/>
          <w:sz w:val="20"/>
          <w:szCs w:val="20"/>
        </w:rPr>
        <w:t xml:space="preserve"> </w:t>
      </w:r>
      <w:r w:rsidRPr="002027C7">
        <w:rPr>
          <w:rFonts w:ascii="Arial" w:hAnsi="Arial" w:cs="Arial"/>
          <w:sz w:val="20"/>
          <w:szCs w:val="20"/>
        </w:rPr>
        <w:t>pri DDV smo upoštevali načelo široke davčne osnove, to pomeni</w:t>
      </w:r>
      <w:r w:rsidR="0041528F">
        <w:rPr>
          <w:rFonts w:ascii="Arial" w:hAnsi="Arial" w:cs="Arial"/>
          <w:sz w:val="20"/>
          <w:szCs w:val="20"/>
        </w:rPr>
        <w:t>,</w:t>
      </w:r>
      <w:r w:rsidRPr="002027C7">
        <w:rPr>
          <w:rFonts w:ascii="Arial" w:hAnsi="Arial" w:cs="Arial"/>
          <w:sz w:val="20"/>
          <w:szCs w:val="20"/>
        </w:rPr>
        <w:t xml:space="preserve"> da vs</w:t>
      </w:r>
      <w:r w:rsidR="00176C8A">
        <w:rPr>
          <w:rFonts w:ascii="Arial" w:hAnsi="Arial" w:cs="Arial"/>
          <w:sz w:val="20"/>
          <w:szCs w:val="20"/>
        </w:rPr>
        <w:t>e</w:t>
      </w:r>
      <w:r w:rsidRPr="002027C7">
        <w:rPr>
          <w:rFonts w:ascii="Arial" w:hAnsi="Arial" w:cs="Arial"/>
          <w:sz w:val="20"/>
          <w:szCs w:val="20"/>
        </w:rPr>
        <w:t xml:space="preserve"> blago in storitve, ki so obdavčeni po nižji stopnji</w:t>
      </w:r>
      <w:r w:rsidR="0041528F">
        <w:rPr>
          <w:rFonts w:ascii="Arial" w:hAnsi="Arial" w:cs="Arial"/>
          <w:sz w:val="20"/>
          <w:szCs w:val="20"/>
        </w:rPr>
        <w:t>,</w:t>
      </w:r>
      <w:r w:rsidRPr="002027C7">
        <w:rPr>
          <w:rFonts w:ascii="Arial" w:hAnsi="Arial" w:cs="Arial"/>
          <w:sz w:val="20"/>
          <w:szCs w:val="20"/>
        </w:rPr>
        <w:t xml:space="preserve"> p</w:t>
      </w:r>
      <w:r w:rsidR="008D4689">
        <w:rPr>
          <w:rFonts w:ascii="Arial" w:hAnsi="Arial" w:cs="Arial"/>
          <w:sz w:val="20"/>
          <w:szCs w:val="20"/>
        </w:rPr>
        <w:t>omenijo</w:t>
      </w:r>
      <w:r w:rsidRPr="002027C7">
        <w:rPr>
          <w:rFonts w:ascii="Arial" w:hAnsi="Arial" w:cs="Arial"/>
          <w:sz w:val="20"/>
          <w:szCs w:val="20"/>
        </w:rPr>
        <w:t xml:space="preserve"> davčni </w:t>
      </w:r>
      <w:r w:rsidR="00176C8A">
        <w:rPr>
          <w:rFonts w:ascii="Arial" w:hAnsi="Arial" w:cs="Arial"/>
          <w:sz w:val="20"/>
          <w:szCs w:val="20"/>
        </w:rPr>
        <w:t>izdatek</w:t>
      </w:r>
      <w:r w:rsidRPr="002027C7">
        <w:rPr>
          <w:rFonts w:ascii="Arial" w:hAnsi="Arial" w:cs="Arial"/>
          <w:sz w:val="20"/>
          <w:szCs w:val="20"/>
        </w:rPr>
        <w:t>, saj bi se lahko obdavčil</w:t>
      </w:r>
      <w:r w:rsidR="008D4689">
        <w:rPr>
          <w:rFonts w:ascii="Arial" w:hAnsi="Arial" w:cs="Arial"/>
          <w:sz w:val="20"/>
          <w:szCs w:val="20"/>
        </w:rPr>
        <w:t>i</w:t>
      </w:r>
      <w:r w:rsidRPr="002027C7">
        <w:rPr>
          <w:rFonts w:ascii="Arial" w:hAnsi="Arial" w:cs="Arial"/>
          <w:sz w:val="20"/>
          <w:szCs w:val="20"/>
        </w:rPr>
        <w:t xml:space="preserve"> po višji, splošni stopnji. Sistem obračunavanja </w:t>
      </w:r>
      <w:r w:rsidR="00386818">
        <w:rPr>
          <w:rFonts w:ascii="Arial" w:hAnsi="Arial" w:cs="Arial"/>
          <w:sz w:val="20"/>
          <w:szCs w:val="20"/>
        </w:rPr>
        <w:t>DDV</w:t>
      </w:r>
      <w:r w:rsidRPr="002027C7">
        <w:rPr>
          <w:rFonts w:ascii="Arial" w:hAnsi="Arial" w:cs="Arial"/>
          <w:sz w:val="20"/>
          <w:szCs w:val="20"/>
        </w:rPr>
        <w:t xml:space="preserve"> (kreditna metoda) zaradi svojih posebnosti ne omogoča razčlenitve prihodkov po posameznih vrstah blaga in storitev. Tako lahko </w:t>
      </w:r>
      <w:r w:rsidR="0041528F" w:rsidRPr="002027C7">
        <w:rPr>
          <w:rFonts w:ascii="Arial" w:hAnsi="Arial" w:cs="Arial"/>
          <w:sz w:val="20"/>
          <w:szCs w:val="20"/>
        </w:rPr>
        <w:t>na podlagi podatkov SURS (Anketa o porabi gospodinjstev za leto ter DDV poročilo)</w:t>
      </w:r>
      <w:r w:rsidR="0041528F">
        <w:rPr>
          <w:rFonts w:ascii="Arial" w:hAnsi="Arial" w:cs="Arial"/>
          <w:sz w:val="20"/>
          <w:szCs w:val="20"/>
        </w:rPr>
        <w:t xml:space="preserve"> </w:t>
      </w:r>
      <w:r w:rsidR="008D4689">
        <w:rPr>
          <w:rFonts w:ascii="Arial" w:hAnsi="Arial" w:cs="Arial"/>
          <w:sz w:val="20"/>
          <w:szCs w:val="20"/>
        </w:rPr>
        <w:t>le</w:t>
      </w:r>
      <w:r w:rsidRPr="002027C7">
        <w:rPr>
          <w:rFonts w:ascii="Arial" w:hAnsi="Arial" w:cs="Arial"/>
          <w:sz w:val="20"/>
          <w:szCs w:val="20"/>
        </w:rPr>
        <w:t xml:space="preserve"> ocenimo, koliko več DDV bi pobrali, če bi bil</w:t>
      </w:r>
      <w:r w:rsidR="008D4689">
        <w:rPr>
          <w:rFonts w:ascii="Arial" w:hAnsi="Arial" w:cs="Arial"/>
          <w:sz w:val="20"/>
          <w:szCs w:val="20"/>
        </w:rPr>
        <w:t>i</w:t>
      </w:r>
      <w:r w:rsidRPr="002027C7">
        <w:rPr>
          <w:rFonts w:ascii="Arial" w:hAnsi="Arial" w:cs="Arial"/>
          <w:sz w:val="20"/>
          <w:szCs w:val="20"/>
        </w:rPr>
        <w:t xml:space="preserve"> vse blago in storitve obdavčen</w:t>
      </w:r>
      <w:r w:rsidR="008D4689">
        <w:rPr>
          <w:rFonts w:ascii="Arial" w:hAnsi="Arial" w:cs="Arial"/>
          <w:sz w:val="20"/>
          <w:szCs w:val="20"/>
        </w:rPr>
        <w:t>i</w:t>
      </w:r>
      <w:r w:rsidRPr="002027C7">
        <w:rPr>
          <w:rFonts w:ascii="Arial" w:hAnsi="Arial" w:cs="Arial"/>
          <w:sz w:val="20"/>
          <w:szCs w:val="20"/>
        </w:rPr>
        <w:t xml:space="preserve"> po </w:t>
      </w:r>
      <w:r w:rsidR="00176C8A">
        <w:rPr>
          <w:rFonts w:ascii="Arial" w:hAnsi="Arial" w:cs="Arial"/>
          <w:sz w:val="20"/>
          <w:szCs w:val="20"/>
        </w:rPr>
        <w:t>splošni</w:t>
      </w:r>
      <w:r w:rsidR="00176C8A" w:rsidRPr="002027C7">
        <w:rPr>
          <w:rFonts w:ascii="Arial" w:hAnsi="Arial" w:cs="Arial"/>
          <w:sz w:val="20"/>
          <w:szCs w:val="20"/>
        </w:rPr>
        <w:t xml:space="preserve"> </w:t>
      </w:r>
      <w:r w:rsidRPr="002027C7">
        <w:rPr>
          <w:rFonts w:ascii="Arial" w:hAnsi="Arial" w:cs="Arial"/>
          <w:sz w:val="20"/>
          <w:szCs w:val="20"/>
        </w:rPr>
        <w:t>stopnji.</w:t>
      </w:r>
    </w:p>
    <w:p w14:paraId="29B95BA4" w14:textId="77777777" w:rsidR="002D6D6C" w:rsidRPr="002027C7" w:rsidRDefault="002D6D6C" w:rsidP="002027C7">
      <w:pPr>
        <w:spacing w:after="0" w:line="260" w:lineRule="atLeast"/>
        <w:jc w:val="both"/>
        <w:rPr>
          <w:rFonts w:ascii="Arial" w:hAnsi="Arial" w:cs="Arial"/>
          <w:color w:val="7F7F7F"/>
          <w:sz w:val="20"/>
          <w:szCs w:val="20"/>
        </w:rPr>
      </w:pPr>
    </w:p>
    <w:p w14:paraId="30A89895" w14:textId="1F389B01" w:rsidR="00E4026D" w:rsidRPr="002027C7" w:rsidRDefault="00E4026D" w:rsidP="002027C7">
      <w:pPr>
        <w:spacing w:after="0" w:line="260" w:lineRule="atLeast"/>
        <w:jc w:val="both"/>
        <w:rPr>
          <w:rFonts w:ascii="Arial" w:hAnsi="Arial" w:cs="Arial"/>
          <w:sz w:val="20"/>
          <w:szCs w:val="20"/>
        </w:rPr>
      </w:pPr>
      <w:r w:rsidRPr="002027C7">
        <w:rPr>
          <w:rFonts w:ascii="Arial" w:hAnsi="Arial" w:cs="Arial"/>
          <w:sz w:val="20"/>
          <w:szCs w:val="20"/>
        </w:rPr>
        <w:t>Države</w:t>
      </w:r>
      <w:r w:rsidR="0041528F">
        <w:rPr>
          <w:rFonts w:ascii="Arial" w:hAnsi="Arial" w:cs="Arial"/>
          <w:sz w:val="20"/>
          <w:szCs w:val="20"/>
        </w:rPr>
        <w:t>,</w:t>
      </w:r>
      <w:r w:rsidRPr="002027C7">
        <w:rPr>
          <w:rFonts w:ascii="Arial" w:hAnsi="Arial" w:cs="Arial"/>
          <w:sz w:val="20"/>
          <w:szCs w:val="20"/>
        </w:rPr>
        <w:t xml:space="preserve"> v katerih sta v veljavi tako splošna k</w:t>
      </w:r>
      <w:r w:rsidR="008D4689">
        <w:rPr>
          <w:rFonts w:ascii="Arial" w:hAnsi="Arial" w:cs="Arial"/>
          <w:sz w:val="20"/>
          <w:szCs w:val="20"/>
        </w:rPr>
        <w:t>akor tudi</w:t>
      </w:r>
      <w:r w:rsidRPr="002027C7">
        <w:rPr>
          <w:rFonts w:ascii="Arial" w:hAnsi="Arial" w:cs="Arial"/>
          <w:sz w:val="20"/>
          <w:szCs w:val="20"/>
        </w:rPr>
        <w:t xml:space="preserve"> nižja stopnja DDV, izračunavajo </w:t>
      </w:r>
      <w:r w:rsidR="00176C8A" w:rsidRPr="003C2F3D">
        <w:rPr>
          <w:rFonts w:ascii="Arial" w:hAnsi="Arial" w:cs="Arial"/>
          <w:sz w:val="20"/>
          <w:szCs w:val="20"/>
        </w:rPr>
        <w:t>t.</w:t>
      </w:r>
      <w:r w:rsidR="0041528F">
        <w:rPr>
          <w:rFonts w:ascii="Arial" w:hAnsi="Arial" w:cs="Arial"/>
          <w:sz w:val="20"/>
          <w:szCs w:val="20"/>
        </w:rPr>
        <w:t xml:space="preserve"> </w:t>
      </w:r>
      <w:r w:rsidR="00176C8A" w:rsidRPr="003C2F3D">
        <w:rPr>
          <w:rFonts w:ascii="Arial" w:hAnsi="Arial" w:cs="Arial"/>
          <w:sz w:val="20"/>
          <w:szCs w:val="20"/>
        </w:rPr>
        <w:t>i. tehtan</w:t>
      </w:r>
      <w:r w:rsidR="00176C8A">
        <w:rPr>
          <w:rFonts w:ascii="Arial" w:hAnsi="Arial" w:cs="Arial"/>
          <w:sz w:val="20"/>
          <w:szCs w:val="20"/>
        </w:rPr>
        <w:t>o</w:t>
      </w:r>
      <w:r w:rsidR="00176C8A" w:rsidRPr="003C2F3D">
        <w:rPr>
          <w:rFonts w:ascii="Arial" w:hAnsi="Arial" w:cs="Arial"/>
          <w:sz w:val="20"/>
          <w:szCs w:val="20"/>
        </w:rPr>
        <w:t xml:space="preserve"> </w:t>
      </w:r>
      <w:r w:rsidRPr="002027C7">
        <w:rPr>
          <w:rFonts w:ascii="Arial" w:hAnsi="Arial" w:cs="Arial"/>
          <w:sz w:val="20"/>
          <w:szCs w:val="20"/>
        </w:rPr>
        <w:t xml:space="preserve">povprečno stopnjo DDV kot stopnjo, ki bi bila veljavna, če bi bila uvedena </w:t>
      </w:r>
      <w:r w:rsidR="008D4689">
        <w:rPr>
          <w:rFonts w:ascii="Arial" w:hAnsi="Arial" w:cs="Arial"/>
          <w:sz w:val="20"/>
          <w:szCs w:val="20"/>
        </w:rPr>
        <w:t>le</w:t>
      </w:r>
      <w:r w:rsidRPr="002027C7">
        <w:rPr>
          <w:rFonts w:ascii="Arial" w:hAnsi="Arial" w:cs="Arial"/>
          <w:sz w:val="20"/>
          <w:szCs w:val="20"/>
        </w:rPr>
        <w:t xml:space="preserve"> enotna stopnja DDV in bi </w:t>
      </w:r>
      <w:r w:rsidRPr="002027C7">
        <w:rPr>
          <w:rFonts w:ascii="Arial" w:hAnsi="Arial" w:cs="Arial"/>
          <w:sz w:val="20"/>
          <w:szCs w:val="20"/>
        </w:rPr>
        <w:lastRenderedPageBreak/>
        <w:t xml:space="preserve">morali davčni prihodki iz DDV ostati nespremenjeni. Ta je na podlagi izračuna SURS za leto 2016 znašala 17,26 %. </w:t>
      </w:r>
    </w:p>
    <w:p w14:paraId="4EF25D80" w14:textId="77777777" w:rsidR="00E4026D" w:rsidRPr="002027C7" w:rsidRDefault="00E4026D" w:rsidP="002027C7">
      <w:pPr>
        <w:spacing w:after="0" w:line="260" w:lineRule="atLeast"/>
        <w:jc w:val="both"/>
        <w:rPr>
          <w:rFonts w:ascii="Arial" w:hAnsi="Arial" w:cs="Arial"/>
          <w:color w:val="7F7F7F"/>
          <w:sz w:val="20"/>
          <w:szCs w:val="20"/>
        </w:rPr>
      </w:pPr>
    </w:p>
    <w:p w14:paraId="42F9DB61" w14:textId="514A0124" w:rsidR="00E4026D" w:rsidRPr="002027C7" w:rsidRDefault="009B0B27" w:rsidP="002027C7">
      <w:pPr>
        <w:spacing w:after="0" w:line="260" w:lineRule="atLeast"/>
        <w:jc w:val="both"/>
        <w:rPr>
          <w:rFonts w:ascii="Arial" w:hAnsi="Arial" w:cs="Arial"/>
          <w:sz w:val="20"/>
          <w:szCs w:val="20"/>
        </w:rPr>
      </w:pPr>
      <w:r>
        <w:rPr>
          <w:rFonts w:ascii="Arial" w:hAnsi="Arial" w:cs="Arial"/>
          <w:sz w:val="20"/>
          <w:szCs w:val="20"/>
        </w:rPr>
        <w:t>Preglednica</w:t>
      </w:r>
      <w:r w:rsidR="00E4026D" w:rsidRPr="002027C7">
        <w:rPr>
          <w:rFonts w:ascii="Arial" w:hAnsi="Arial" w:cs="Arial"/>
          <w:sz w:val="20"/>
          <w:szCs w:val="20"/>
        </w:rPr>
        <w:t xml:space="preserve"> 1</w:t>
      </w:r>
      <w:r w:rsidR="00091D42">
        <w:rPr>
          <w:rFonts w:ascii="Arial" w:hAnsi="Arial" w:cs="Arial"/>
          <w:sz w:val="20"/>
          <w:szCs w:val="20"/>
        </w:rPr>
        <w:t>2</w:t>
      </w:r>
      <w:r w:rsidR="00E4026D" w:rsidRPr="002027C7">
        <w:rPr>
          <w:rFonts w:ascii="Arial" w:hAnsi="Arial" w:cs="Arial"/>
          <w:sz w:val="20"/>
          <w:szCs w:val="20"/>
        </w:rPr>
        <w:t xml:space="preserve">: Davčni </w:t>
      </w:r>
      <w:r w:rsidR="00176C8A">
        <w:rPr>
          <w:rFonts w:ascii="Arial" w:hAnsi="Arial" w:cs="Arial"/>
          <w:sz w:val="20"/>
          <w:szCs w:val="20"/>
        </w:rPr>
        <w:t>izdatek</w:t>
      </w:r>
      <w:r w:rsidR="00176C8A" w:rsidRPr="002027C7">
        <w:rPr>
          <w:rFonts w:ascii="Arial" w:hAnsi="Arial" w:cs="Arial"/>
          <w:sz w:val="20"/>
          <w:szCs w:val="20"/>
        </w:rPr>
        <w:t xml:space="preserve"> </w:t>
      </w:r>
      <w:r w:rsidR="00E4026D" w:rsidRPr="002027C7">
        <w:rPr>
          <w:rFonts w:ascii="Arial" w:hAnsi="Arial" w:cs="Arial"/>
          <w:sz w:val="20"/>
          <w:szCs w:val="20"/>
        </w:rPr>
        <w:t xml:space="preserve">kot teoretični učinek </w:t>
      </w:r>
      <w:r w:rsidR="00BE46E3">
        <w:rPr>
          <w:rFonts w:ascii="Arial" w:hAnsi="Arial" w:cs="Arial"/>
          <w:sz w:val="20"/>
          <w:szCs w:val="20"/>
        </w:rPr>
        <w:t>zvišanja</w:t>
      </w:r>
      <w:r w:rsidR="00E4026D" w:rsidRPr="002027C7">
        <w:rPr>
          <w:rFonts w:ascii="Arial" w:hAnsi="Arial" w:cs="Arial"/>
          <w:sz w:val="20"/>
          <w:szCs w:val="20"/>
        </w:rPr>
        <w:t xml:space="preserve"> stopnje DDV za blago in storitve</w:t>
      </w:r>
      <w:r w:rsidR="00E4026D" w:rsidRPr="002027C7">
        <w:rPr>
          <w:rStyle w:val="FootnoteReference"/>
          <w:rFonts w:ascii="Arial" w:hAnsi="Arial" w:cs="Arial"/>
          <w:sz w:val="20"/>
          <w:szCs w:val="20"/>
        </w:rPr>
        <w:footnoteReference w:id="3"/>
      </w:r>
      <w:r w:rsidR="00E4026D" w:rsidRPr="002027C7">
        <w:rPr>
          <w:rFonts w:ascii="Arial" w:hAnsi="Arial" w:cs="Arial"/>
          <w:sz w:val="20"/>
          <w:szCs w:val="20"/>
        </w:rPr>
        <w:t>, ki so obdavčen</w:t>
      </w:r>
      <w:r w:rsidR="008D4689">
        <w:rPr>
          <w:rFonts w:ascii="Arial" w:hAnsi="Arial" w:cs="Arial"/>
          <w:sz w:val="20"/>
          <w:szCs w:val="20"/>
        </w:rPr>
        <w:t>i</w:t>
      </w:r>
      <w:r w:rsidR="00E4026D" w:rsidRPr="002027C7">
        <w:rPr>
          <w:rFonts w:ascii="Arial" w:hAnsi="Arial" w:cs="Arial"/>
          <w:sz w:val="20"/>
          <w:szCs w:val="20"/>
        </w:rPr>
        <w:t xml:space="preserve"> po nižji</w:t>
      </w:r>
      <w:r w:rsidR="008D4689">
        <w:rPr>
          <w:rFonts w:ascii="Arial" w:hAnsi="Arial" w:cs="Arial"/>
          <w:sz w:val="20"/>
          <w:szCs w:val="20"/>
        </w:rPr>
        <w:t>,</w:t>
      </w:r>
      <w:r w:rsidR="00E4026D" w:rsidRPr="002027C7">
        <w:rPr>
          <w:rFonts w:ascii="Arial" w:hAnsi="Arial" w:cs="Arial"/>
          <w:sz w:val="20"/>
          <w:szCs w:val="20"/>
        </w:rPr>
        <w:t xml:space="preserve"> 9,5</w:t>
      </w:r>
      <w:r w:rsidR="008D4689">
        <w:rPr>
          <w:rFonts w:ascii="Arial" w:hAnsi="Arial" w:cs="Arial"/>
          <w:sz w:val="20"/>
          <w:szCs w:val="20"/>
        </w:rPr>
        <w:t>-odstotni</w:t>
      </w:r>
      <w:r w:rsidR="00E4026D" w:rsidRPr="002027C7">
        <w:rPr>
          <w:rFonts w:ascii="Arial" w:hAnsi="Arial" w:cs="Arial"/>
          <w:sz w:val="20"/>
          <w:szCs w:val="20"/>
        </w:rPr>
        <w:t xml:space="preserve"> stopnji</w:t>
      </w:r>
      <w:r w:rsidR="0041528F">
        <w:rPr>
          <w:rFonts w:ascii="Arial" w:hAnsi="Arial" w:cs="Arial"/>
          <w:sz w:val="20"/>
          <w:szCs w:val="20"/>
        </w:rPr>
        <w:t>,</w:t>
      </w:r>
      <w:r w:rsidR="00E4026D" w:rsidRPr="002027C7">
        <w:rPr>
          <w:rFonts w:ascii="Arial" w:hAnsi="Arial" w:cs="Arial"/>
          <w:sz w:val="20"/>
          <w:szCs w:val="20"/>
        </w:rPr>
        <w:t xml:space="preserve"> na splošno 22</w:t>
      </w:r>
      <w:r w:rsidR="008D4689">
        <w:rPr>
          <w:rFonts w:ascii="Arial" w:hAnsi="Arial" w:cs="Arial"/>
          <w:sz w:val="20"/>
          <w:szCs w:val="20"/>
        </w:rPr>
        <w:t>-odstotno</w:t>
      </w:r>
      <w:r w:rsidR="00E4026D" w:rsidRPr="002027C7">
        <w:rPr>
          <w:rFonts w:ascii="Arial" w:hAnsi="Arial" w:cs="Arial"/>
          <w:sz w:val="20"/>
          <w:szCs w:val="20"/>
        </w:rPr>
        <w:t xml:space="preserve"> stopnjo</w:t>
      </w:r>
      <w:r w:rsidR="00A474C9">
        <w:rPr>
          <w:rFonts w:ascii="Arial" w:hAnsi="Arial" w:cs="Arial"/>
          <w:sz w:val="20"/>
          <w:szCs w:val="20"/>
        </w:rPr>
        <w:t>, za leta od 2016 do</w:t>
      </w:r>
      <w:r w:rsidR="00E4026D" w:rsidRPr="002027C7">
        <w:rPr>
          <w:rFonts w:ascii="Arial" w:hAnsi="Arial" w:cs="Arial"/>
          <w:sz w:val="20"/>
          <w:szCs w:val="20"/>
        </w:rPr>
        <w:t xml:space="preserve"> </w:t>
      </w:r>
      <w:r w:rsidR="00A474C9">
        <w:rPr>
          <w:rFonts w:ascii="Arial" w:hAnsi="Arial" w:cs="Arial"/>
          <w:sz w:val="20"/>
          <w:szCs w:val="20"/>
        </w:rPr>
        <w:t>2018, zneski v mio evrih</w:t>
      </w:r>
    </w:p>
    <w:tbl>
      <w:tblPr>
        <w:tblW w:w="8894" w:type="dxa"/>
        <w:tblInd w:w="70" w:type="dxa"/>
        <w:tblLayout w:type="fixed"/>
        <w:tblCellMar>
          <w:left w:w="70" w:type="dxa"/>
          <w:right w:w="70" w:type="dxa"/>
        </w:tblCellMar>
        <w:tblLook w:val="04A0" w:firstRow="1" w:lastRow="0" w:firstColumn="1" w:lastColumn="0" w:noHBand="0" w:noVBand="1"/>
      </w:tblPr>
      <w:tblGrid>
        <w:gridCol w:w="5600"/>
        <w:gridCol w:w="1098"/>
        <w:gridCol w:w="1098"/>
        <w:gridCol w:w="1098"/>
      </w:tblGrid>
      <w:tr w:rsidR="00E90C22" w:rsidRPr="00386818" w14:paraId="25F46AEE" w14:textId="77777777" w:rsidTr="00431565">
        <w:trPr>
          <w:trHeight w:val="206"/>
        </w:trPr>
        <w:tc>
          <w:tcPr>
            <w:tcW w:w="5600" w:type="dxa"/>
            <w:tcBorders>
              <w:top w:val="nil"/>
              <w:left w:val="nil"/>
              <w:bottom w:val="nil"/>
              <w:right w:val="nil"/>
            </w:tcBorders>
            <w:shd w:val="clear" w:color="DCE6F1" w:fill="FFFFFF"/>
            <w:noWrap/>
            <w:vAlign w:val="bottom"/>
            <w:hideMark/>
          </w:tcPr>
          <w:p w14:paraId="2E313C6C" w14:textId="77777777" w:rsidR="00E90C22" w:rsidRPr="00431565" w:rsidRDefault="00E90C22" w:rsidP="00012435">
            <w:pPr>
              <w:spacing w:after="0" w:line="240" w:lineRule="auto"/>
              <w:rPr>
                <w:rFonts w:ascii="Arial" w:hAnsi="Arial" w:cs="Arial"/>
                <w:b/>
                <w:bCs/>
                <w:color w:val="000000"/>
                <w:sz w:val="20"/>
                <w:szCs w:val="20"/>
                <w:lang w:eastAsia="sl-SI"/>
              </w:rPr>
            </w:pPr>
            <w:r w:rsidRPr="00431565">
              <w:rPr>
                <w:rFonts w:ascii="Arial" w:hAnsi="Arial" w:cs="Arial"/>
                <w:b/>
                <w:bCs/>
                <w:color w:val="000000"/>
                <w:sz w:val="20"/>
                <w:szCs w:val="20"/>
                <w:lang w:eastAsia="sl-SI"/>
              </w:rPr>
              <w:t> </w:t>
            </w:r>
          </w:p>
        </w:tc>
        <w:tc>
          <w:tcPr>
            <w:tcW w:w="3294" w:type="dxa"/>
            <w:gridSpan w:val="3"/>
            <w:tcBorders>
              <w:top w:val="single" w:sz="4" w:space="0" w:color="auto"/>
              <w:left w:val="single" w:sz="4" w:space="0" w:color="auto"/>
              <w:bottom w:val="single" w:sz="4" w:space="0" w:color="auto"/>
              <w:right w:val="single" w:sz="4" w:space="0" w:color="000000"/>
            </w:tcBorders>
            <w:shd w:val="clear" w:color="DCE6F1" w:fill="DCE6F1"/>
            <w:noWrap/>
            <w:vAlign w:val="bottom"/>
            <w:hideMark/>
          </w:tcPr>
          <w:p w14:paraId="31E7D573" w14:textId="51F66AE4" w:rsidR="00E90C22" w:rsidRPr="00431565" w:rsidRDefault="00386818" w:rsidP="00012435">
            <w:pPr>
              <w:spacing w:after="0" w:line="240" w:lineRule="auto"/>
              <w:jc w:val="center"/>
              <w:rPr>
                <w:rFonts w:ascii="Arial" w:hAnsi="Arial" w:cs="Arial"/>
                <w:b/>
                <w:bCs/>
                <w:color w:val="000000"/>
                <w:sz w:val="20"/>
                <w:szCs w:val="20"/>
                <w:lang w:eastAsia="sl-SI"/>
              </w:rPr>
            </w:pPr>
            <w:r>
              <w:rPr>
                <w:rFonts w:ascii="Arial" w:hAnsi="Arial" w:cs="Arial"/>
                <w:b/>
                <w:bCs/>
                <w:color w:val="000000"/>
                <w:sz w:val="20"/>
                <w:szCs w:val="20"/>
                <w:lang w:eastAsia="sl-SI"/>
              </w:rPr>
              <w:t>Z</w:t>
            </w:r>
            <w:r w:rsidR="00E90C22" w:rsidRPr="00431565">
              <w:rPr>
                <w:rFonts w:ascii="Arial" w:hAnsi="Arial" w:cs="Arial"/>
                <w:b/>
                <w:bCs/>
                <w:color w:val="000000"/>
                <w:sz w:val="20"/>
                <w:szCs w:val="20"/>
                <w:lang w:eastAsia="sl-SI"/>
              </w:rPr>
              <w:t>nesek davčnega izdatka</w:t>
            </w:r>
          </w:p>
        </w:tc>
      </w:tr>
      <w:tr w:rsidR="00E90C22" w:rsidRPr="00386818" w14:paraId="26DD1357" w14:textId="77777777" w:rsidTr="00431565">
        <w:trPr>
          <w:trHeight w:val="284"/>
        </w:trPr>
        <w:tc>
          <w:tcPr>
            <w:tcW w:w="5600" w:type="dxa"/>
            <w:tcBorders>
              <w:top w:val="single" w:sz="4" w:space="0" w:color="auto"/>
              <w:left w:val="single" w:sz="4" w:space="0" w:color="auto"/>
              <w:bottom w:val="single" w:sz="4" w:space="0" w:color="auto"/>
              <w:right w:val="single" w:sz="4" w:space="0" w:color="auto"/>
            </w:tcBorders>
            <w:shd w:val="clear" w:color="DCE6F1" w:fill="DCE6F1"/>
            <w:noWrap/>
            <w:vAlign w:val="center"/>
            <w:hideMark/>
          </w:tcPr>
          <w:p w14:paraId="2CB6F13F" w14:textId="77777777" w:rsidR="00E90C22" w:rsidRPr="00431565" w:rsidRDefault="00E90C22" w:rsidP="00012435">
            <w:pPr>
              <w:spacing w:after="0" w:line="240" w:lineRule="auto"/>
              <w:rPr>
                <w:rFonts w:ascii="Arial" w:hAnsi="Arial" w:cs="Arial"/>
                <w:b/>
                <w:bCs/>
                <w:color w:val="000000"/>
                <w:sz w:val="20"/>
                <w:szCs w:val="20"/>
                <w:lang w:eastAsia="sl-SI"/>
              </w:rPr>
            </w:pPr>
            <w:r w:rsidRPr="00431565">
              <w:rPr>
                <w:rFonts w:ascii="Arial" w:hAnsi="Arial" w:cs="Arial"/>
                <w:b/>
                <w:bCs/>
                <w:color w:val="000000"/>
                <w:sz w:val="20"/>
                <w:szCs w:val="20"/>
                <w:lang w:eastAsia="sl-SI"/>
              </w:rPr>
              <w:t>Vrsta davčnega izdatka</w:t>
            </w:r>
          </w:p>
        </w:tc>
        <w:tc>
          <w:tcPr>
            <w:tcW w:w="1098" w:type="dxa"/>
            <w:tcBorders>
              <w:top w:val="nil"/>
              <w:left w:val="nil"/>
              <w:bottom w:val="single" w:sz="4" w:space="0" w:color="auto"/>
              <w:right w:val="single" w:sz="4" w:space="0" w:color="auto"/>
            </w:tcBorders>
            <w:shd w:val="clear" w:color="DCE6F1" w:fill="DCE6F1"/>
            <w:noWrap/>
            <w:vAlign w:val="center"/>
            <w:hideMark/>
          </w:tcPr>
          <w:p w14:paraId="0151CDFD" w14:textId="77777777" w:rsidR="00E90C22" w:rsidRPr="00431565" w:rsidRDefault="00E90C22" w:rsidP="00012435">
            <w:pPr>
              <w:spacing w:after="0" w:line="240" w:lineRule="auto"/>
              <w:jc w:val="center"/>
              <w:rPr>
                <w:rFonts w:ascii="Arial" w:hAnsi="Arial" w:cs="Arial"/>
                <w:b/>
                <w:bCs/>
                <w:color w:val="000000"/>
                <w:sz w:val="20"/>
                <w:szCs w:val="20"/>
                <w:lang w:eastAsia="sl-SI"/>
              </w:rPr>
            </w:pPr>
            <w:r w:rsidRPr="00431565">
              <w:rPr>
                <w:rFonts w:ascii="Arial" w:hAnsi="Arial" w:cs="Arial"/>
                <w:b/>
                <w:bCs/>
                <w:color w:val="000000"/>
                <w:sz w:val="20"/>
                <w:szCs w:val="20"/>
                <w:lang w:eastAsia="sl-SI"/>
              </w:rPr>
              <w:t>2016</w:t>
            </w:r>
          </w:p>
        </w:tc>
        <w:tc>
          <w:tcPr>
            <w:tcW w:w="1098" w:type="dxa"/>
            <w:tcBorders>
              <w:top w:val="nil"/>
              <w:left w:val="nil"/>
              <w:bottom w:val="single" w:sz="4" w:space="0" w:color="auto"/>
              <w:right w:val="single" w:sz="4" w:space="0" w:color="auto"/>
            </w:tcBorders>
            <w:shd w:val="clear" w:color="DCE6F1" w:fill="DCE6F1"/>
            <w:noWrap/>
            <w:vAlign w:val="center"/>
            <w:hideMark/>
          </w:tcPr>
          <w:p w14:paraId="3A581D0E" w14:textId="77777777" w:rsidR="00E90C22" w:rsidRPr="00431565" w:rsidRDefault="00E90C22" w:rsidP="00012435">
            <w:pPr>
              <w:spacing w:after="0" w:line="240" w:lineRule="auto"/>
              <w:jc w:val="center"/>
              <w:rPr>
                <w:rFonts w:ascii="Arial" w:hAnsi="Arial" w:cs="Arial"/>
                <w:b/>
                <w:bCs/>
                <w:color w:val="000000"/>
                <w:sz w:val="20"/>
                <w:szCs w:val="20"/>
                <w:lang w:eastAsia="sl-SI"/>
              </w:rPr>
            </w:pPr>
            <w:r w:rsidRPr="00431565">
              <w:rPr>
                <w:rFonts w:ascii="Arial" w:hAnsi="Arial" w:cs="Arial"/>
                <w:b/>
                <w:bCs/>
                <w:color w:val="000000"/>
                <w:sz w:val="20"/>
                <w:szCs w:val="20"/>
                <w:lang w:eastAsia="sl-SI"/>
              </w:rPr>
              <w:t>2017</w:t>
            </w:r>
          </w:p>
        </w:tc>
        <w:tc>
          <w:tcPr>
            <w:tcW w:w="1098" w:type="dxa"/>
            <w:tcBorders>
              <w:top w:val="nil"/>
              <w:left w:val="nil"/>
              <w:bottom w:val="single" w:sz="4" w:space="0" w:color="auto"/>
              <w:right w:val="single" w:sz="4" w:space="0" w:color="auto"/>
            </w:tcBorders>
            <w:shd w:val="clear" w:color="DCE6F1" w:fill="DCE6F1"/>
            <w:noWrap/>
            <w:vAlign w:val="center"/>
            <w:hideMark/>
          </w:tcPr>
          <w:p w14:paraId="615F7A20" w14:textId="77777777" w:rsidR="00E90C22" w:rsidRPr="00431565" w:rsidRDefault="00E90C22" w:rsidP="00012435">
            <w:pPr>
              <w:spacing w:after="0" w:line="240" w:lineRule="auto"/>
              <w:jc w:val="center"/>
              <w:rPr>
                <w:rFonts w:ascii="Arial" w:hAnsi="Arial" w:cs="Arial"/>
                <w:b/>
                <w:bCs/>
                <w:color w:val="000000"/>
                <w:sz w:val="20"/>
                <w:szCs w:val="20"/>
                <w:lang w:eastAsia="sl-SI"/>
              </w:rPr>
            </w:pPr>
            <w:r w:rsidRPr="00431565">
              <w:rPr>
                <w:rFonts w:ascii="Arial" w:hAnsi="Arial" w:cs="Arial"/>
                <w:b/>
                <w:bCs/>
                <w:color w:val="000000"/>
                <w:sz w:val="20"/>
                <w:szCs w:val="20"/>
                <w:lang w:eastAsia="sl-SI"/>
              </w:rPr>
              <w:t>2018</w:t>
            </w:r>
          </w:p>
        </w:tc>
      </w:tr>
      <w:tr w:rsidR="00E90C22" w:rsidRPr="00386818" w14:paraId="3C23AB5E"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0A3BB1CC"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Hrana in pijača</w:t>
            </w:r>
          </w:p>
        </w:tc>
        <w:tc>
          <w:tcPr>
            <w:tcW w:w="1098" w:type="dxa"/>
            <w:tcBorders>
              <w:top w:val="nil"/>
              <w:left w:val="nil"/>
              <w:bottom w:val="single" w:sz="4" w:space="0" w:color="auto"/>
              <w:right w:val="single" w:sz="4" w:space="0" w:color="auto"/>
            </w:tcBorders>
            <w:shd w:val="clear" w:color="auto" w:fill="auto"/>
            <w:noWrap/>
            <w:vAlign w:val="center"/>
            <w:hideMark/>
          </w:tcPr>
          <w:p w14:paraId="2F2093A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323,6</w:t>
            </w:r>
          </w:p>
        </w:tc>
        <w:tc>
          <w:tcPr>
            <w:tcW w:w="1098" w:type="dxa"/>
            <w:tcBorders>
              <w:top w:val="nil"/>
              <w:left w:val="nil"/>
              <w:bottom w:val="single" w:sz="4" w:space="0" w:color="auto"/>
              <w:right w:val="single" w:sz="4" w:space="0" w:color="auto"/>
            </w:tcBorders>
            <w:shd w:val="clear" w:color="auto" w:fill="auto"/>
            <w:noWrap/>
            <w:vAlign w:val="center"/>
            <w:hideMark/>
          </w:tcPr>
          <w:p w14:paraId="0FCC945B"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328,0</w:t>
            </w:r>
          </w:p>
        </w:tc>
        <w:tc>
          <w:tcPr>
            <w:tcW w:w="1098" w:type="dxa"/>
            <w:tcBorders>
              <w:top w:val="nil"/>
              <w:left w:val="nil"/>
              <w:bottom w:val="single" w:sz="4" w:space="0" w:color="auto"/>
              <w:right w:val="single" w:sz="4" w:space="0" w:color="auto"/>
            </w:tcBorders>
            <w:shd w:val="clear" w:color="auto" w:fill="auto"/>
            <w:noWrap/>
            <w:vAlign w:val="center"/>
            <w:hideMark/>
          </w:tcPr>
          <w:p w14:paraId="36642D1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337,3</w:t>
            </w:r>
          </w:p>
        </w:tc>
      </w:tr>
      <w:tr w:rsidR="00E90C22" w:rsidRPr="00386818" w14:paraId="027015EF"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3F721C53"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Zdravila</w:t>
            </w:r>
          </w:p>
        </w:tc>
        <w:tc>
          <w:tcPr>
            <w:tcW w:w="1098" w:type="dxa"/>
            <w:tcBorders>
              <w:top w:val="nil"/>
              <w:left w:val="nil"/>
              <w:bottom w:val="single" w:sz="4" w:space="0" w:color="auto"/>
              <w:right w:val="single" w:sz="4" w:space="0" w:color="auto"/>
            </w:tcBorders>
            <w:shd w:val="clear" w:color="auto" w:fill="auto"/>
            <w:noWrap/>
            <w:vAlign w:val="center"/>
            <w:hideMark/>
          </w:tcPr>
          <w:p w14:paraId="17B57A91"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105,6</w:t>
            </w:r>
          </w:p>
        </w:tc>
        <w:tc>
          <w:tcPr>
            <w:tcW w:w="1098" w:type="dxa"/>
            <w:tcBorders>
              <w:top w:val="nil"/>
              <w:left w:val="nil"/>
              <w:bottom w:val="single" w:sz="4" w:space="0" w:color="auto"/>
              <w:right w:val="single" w:sz="4" w:space="0" w:color="auto"/>
            </w:tcBorders>
            <w:shd w:val="clear" w:color="auto" w:fill="auto"/>
            <w:noWrap/>
            <w:vAlign w:val="center"/>
            <w:hideMark/>
          </w:tcPr>
          <w:p w14:paraId="282BBB0F"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109,1</w:t>
            </w:r>
          </w:p>
        </w:tc>
        <w:tc>
          <w:tcPr>
            <w:tcW w:w="1098" w:type="dxa"/>
            <w:tcBorders>
              <w:top w:val="nil"/>
              <w:left w:val="nil"/>
              <w:bottom w:val="single" w:sz="4" w:space="0" w:color="auto"/>
              <w:right w:val="single" w:sz="4" w:space="0" w:color="auto"/>
            </w:tcBorders>
            <w:shd w:val="clear" w:color="auto" w:fill="auto"/>
            <w:noWrap/>
            <w:vAlign w:val="center"/>
            <w:hideMark/>
          </w:tcPr>
          <w:p w14:paraId="30B3F2A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119,0</w:t>
            </w:r>
          </w:p>
        </w:tc>
      </w:tr>
      <w:tr w:rsidR="00E90C22" w:rsidRPr="00386818" w14:paraId="469A0744"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21062693"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Priprava jedi</w:t>
            </w:r>
          </w:p>
        </w:tc>
        <w:tc>
          <w:tcPr>
            <w:tcW w:w="1098" w:type="dxa"/>
            <w:tcBorders>
              <w:top w:val="nil"/>
              <w:left w:val="nil"/>
              <w:bottom w:val="single" w:sz="4" w:space="0" w:color="auto"/>
              <w:right w:val="single" w:sz="4" w:space="0" w:color="auto"/>
            </w:tcBorders>
            <w:shd w:val="clear" w:color="auto" w:fill="auto"/>
            <w:noWrap/>
            <w:vAlign w:val="center"/>
            <w:hideMark/>
          </w:tcPr>
          <w:p w14:paraId="0402AA7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48,5</w:t>
            </w:r>
          </w:p>
        </w:tc>
        <w:tc>
          <w:tcPr>
            <w:tcW w:w="1098" w:type="dxa"/>
            <w:tcBorders>
              <w:top w:val="nil"/>
              <w:left w:val="nil"/>
              <w:bottom w:val="single" w:sz="4" w:space="0" w:color="auto"/>
              <w:right w:val="single" w:sz="4" w:space="0" w:color="auto"/>
            </w:tcBorders>
            <w:shd w:val="clear" w:color="auto" w:fill="auto"/>
            <w:noWrap/>
            <w:vAlign w:val="center"/>
            <w:hideMark/>
          </w:tcPr>
          <w:p w14:paraId="7551CE7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55,4</w:t>
            </w:r>
          </w:p>
        </w:tc>
        <w:tc>
          <w:tcPr>
            <w:tcW w:w="1098" w:type="dxa"/>
            <w:tcBorders>
              <w:top w:val="nil"/>
              <w:left w:val="nil"/>
              <w:bottom w:val="single" w:sz="4" w:space="0" w:color="auto"/>
              <w:right w:val="single" w:sz="4" w:space="0" w:color="auto"/>
            </w:tcBorders>
            <w:shd w:val="clear" w:color="auto" w:fill="auto"/>
            <w:noWrap/>
            <w:vAlign w:val="center"/>
            <w:hideMark/>
          </w:tcPr>
          <w:p w14:paraId="5E6AE9D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70,2</w:t>
            </w:r>
          </w:p>
        </w:tc>
      </w:tr>
      <w:tr w:rsidR="00E90C22" w:rsidRPr="00386818" w14:paraId="12B836C0"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E15A8F3" w14:textId="1B141BEA"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Dajanje nastanitvenih zmogljivosti v najem v hotelih in podobnih nastanitvenih obratih</w:t>
            </w:r>
          </w:p>
        </w:tc>
        <w:tc>
          <w:tcPr>
            <w:tcW w:w="1098" w:type="dxa"/>
            <w:tcBorders>
              <w:top w:val="nil"/>
              <w:left w:val="nil"/>
              <w:bottom w:val="single" w:sz="4" w:space="0" w:color="auto"/>
              <w:right w:val="single" w:sz="4" w:space="0" w:color="auto"/>
            </w:tcBorders>
            <w:shd w:val="clear" w:color="auto" w:fill="auto"/>
            <w:noWrap/>
            <w:vAlign w:val="center"/>
            <w:hideMark/>
          </w:tcPr>
          <w:p w14:paraId="3FFF45A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45,3</w:t>
            </w:r>
          </w:p>
        </w:tc>
        <w:tc>
          <w:tcPr>
            <w:tcW w:w="1098" w:type="dxa"/>
            <w:tcBorders>
              <w:top w:val="nil"/>
              <w:left w:val="nil"/>
              <w:bottom w:val="single" w:sz="4" w:space="0" w:color="auto"/>
              <w:right w:val="single" w:sz="4" w:space="0" w:color="auto"/>
            </w:tcBorders>
            <w:shd w:val="clear" w:color="auto" w:fill="auto"/>
            <w:noWrap/>
            <w:vAlign w:val="center"/>
            <w:hideMark/>
          </w:tcPr>
          <w:p w14:paraId="3F20B7B1"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46,4</w:t>
            </w:r>
          </w:p>
        </w:tc>
        <w:tc>
          <w:tcPr>
            <w:tcW w:w="1098" w:type="dxa"/>
            <w:tcBorders>
              <w:top w:val="nil"/>
              <w:left w:val="nil"/>
              <w:bottom w:val="single" w:sz="4" w:space="0" w:color="auto"/>
              <w:right w:val="single" w:sz="4" w:space="0" w:color="auto"/>
            </w:tcBorders>
            <w:shd w:val="clear" w:color="auto" w:fill="auto"/>
            <w:noWrap/>
            <w:vAlign w:val="center"/>
            <w:hideMark/>
          </w:tcPr>
          <w:p w14:paraId="6533E3D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57,0</w:t>
            </w:r>
          </w:p>
        </w:tc>
      </w:tr>
      <w:tr w:rsidR="00E90C22" w:rsidRPr="00386818" w14:paraId="7F0BC0D3"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40192B75" w14:textId="4B74A9EA"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Stanovanja, vključno z gradnjo</w:t>
            </w:r>
            <w:r w:rsidR="008D4689">
              <w:rPr>
                <w:rFonts w:ascii="Arial" w:hAnsi="Arial" w:cs="Arial"/>
                <w:color w:val="000000"/>
                <w:sz w:val="20"/>
                <w:szCs w:val="20"/>
                <w:lang w:eastAsia="sl-SI"/>
              </w:rPr>
              <w:t xml:space="preserve"> ter</w:t>
            </w:r>
            <w:r w:rsidRPr="00431565">
              <w:rPr>
                <w:rFonts w:ascii="Arial" w:hAnsi="Arial" w:cs="Arial"/>
                <w:color w:val="000000"/>
                <w:sz w:val="20"/>
                <w:szCs w:val="20"/>
                <w:lang w:eastAsia="sl-SI"/>
              </w:rPr>
              <w:t xml:space="preserve"> obnovo in popravili</w:t>
            </w:r>
          </w:p>
        </w:tc>
        <w:tc>
          <w:tcPr>
            <w:tcW w:w="1098" w:type="dxa"/>
            <w:tcBorders>
              <w:top w:val="nil"/>
              <w:left w:val="nil"/>
              <w:bottom w:val="single" w:sz="4" w:space="0" w:color="auto"/>
              <w:right w:val="single" w:sz="4" w:space="0" w:color="auto"/>
            </w:tcBorders>
            <w:shd w:val="clear" w:color="auto" w:fill="auto"/>
            <w:noWrap/>
            <w:vAlign w:val="center"/>
            <w:hideMark/>
          </w:tcPr>
          <w:p w14:paraId="20A4FAD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37,0</w:t>
            </w:r>
          </w:p>
        </w:tc>
        <w:tc>
          <w:tcPr>
            <w:tcW w:w="1098" w:type="dxa"/>
            <w:tcBorders>
              <w:top w:val="nil"/>
              <w:left w:val="nil"/>
              <w:bottom w:val="single" w:sz="4" w:space="0" w:color="auto"/>
              <w:right w:val="single" w:sz="4" w:space="0" w:color="auto"/>
            </w:tcBorders>
            <w:shd w:val="clear" w:color="auto" w:fill="auto"/>
            <w:noWrap/>
            <w:vAlign w:val="center"/>
            <w:hideMark/>
          </w:tcPr>
          <w:p w14:paraId="743749E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37,5</w:t>
            </w:r>
          </w:p>
        </w:tc>
        <w:tc>
          <w:tcPr>
            <w:tcW w:w="1098" w:type="dxa"/>
            <w:tcBorders>
              <w:top w:val="nil"/>
              <w:left w:val="nil"/>
              <w:bottom w:val="single" w:sz="4" w:space="0" w:color="auto"/>
              <w:right w:val="single" w:sz="4" w:space="0" w:color="auto"/>
            </w:tcBorders>
            <w:shd w:val="clear" w:color="auto" w:fill="auto"/>
            <w:noWrap/>
            <w:vAlign w:val="center"/>
            <w:hideMark/>
          </w:tcPr>
          <w:p w14:paraId="081A967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38,2</w:t>
            </w:r>
          </w:p>
        </w:tc>
      </w:tr>
      <w:tr w:rsidR="00E90C22" w:rsidRPr="00386818" w14:paraId="2015B6F1"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00F15E2F"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Storitve javne higiene</w:t>
            </w:r>
          </w:p>
        </w:tc>
        <w:tc>
          <w:tcPr>
            <w:tcW w:w="1098" w:type="dxa"/>
            <w:tcBorders>
              <w:top w:val="nil"/>
              <w:left w:val="nil"/>
              <w:bottom w:val="single" w:sz="4" w:space="0" w:color="auto"/>
              <w:right w:val="single" w:sz="4" w:space="0" w:color="auto"/>
            </w:tcBorders>
            <w:shd w:val="clear" w:color="auto" w:fill="auto"/>
            <w:noWrap/>
            <w:vAlign w:val="center"/>
            <w:hideMark/>
          </w:tcPr>
          <w:p w14:paraId="46B6EA8B"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25,3</w:t>
            </w:r>
          </w:p>
        </w:tc>
        <w:tc>
          <w:tcPr>
            <w:tcW w:w="1098" w:type="dxa"/>
            <w:tcBorders>
              <w:top w:val="nil"/>
              <w:left w:val="nil"/>
              <w:bottom w:val="single" w:sz="4" w:space="0" w:color="auto"/>
              <w:right w:val="single" w:sz="4" w:space="0" w:color="auto"/>
            </w:tcBorders>
            <w:shd w:val="clear" w:color="auto" w:fill="auto"/>
            <w:noWrap/>
            <w:vAlign w:val="center"/>
            <w:hideMark/>
          </w:tcPr>
          <w:p w14:paraId="7250BC8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27,0</w:t>
            </w:r>
          </w:p>
        </w:tc>
        <w:tc>
          <w:tcPr>
            <w:tcW w:w="1098" w:type="dxa"/>
            <w:tcBorders>
              <w:top w:val="nil"/>
              <w:left w:val="nil"/>
              <w:bottom w:val="single" w:sz="4" w:space="0" w:color="auto"/>
              <w:right w:val="single" w:sz="4" w:space="0" w:color="auto"/>
            </w:tcBorders>
            <w:shd w:val="clear" w:color="auto" w:fill="auto"/>
            <w:noWrap/>
            <w:vAlign w:val="center"/>
            <w:hideMark/>
          </w:tcPr>
          <w:p w14:paraId="1E5E3B4D"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37,0</w:t>
            </w:r>
          </w:p>
        </w:tc>
      </w:tr>
      <w:tr w:rsidR="00E90C22" w:rsidRPr="00386818" w14:paraId="6B6E1042"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C17F757" w14:textId="350DCF16"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Vstopnine za razstave, gledališča, muzeje, za ogled nar</w:t>
            </w:r>
            <w:r w:rsidR="008D4689">
              <w:rPr>
                <w:rFonts w:ascii="Arial" w:hAnsi="Arial" w:cs="Arial"/>
                <w:color w:val="000000"/>
                <w:sz w:val="20"/>
                <w:szCs w:val="20"/>
                <w:lang w:eastAsia="sl-SI"/>
              </w:rPr>
              <w:t>avnih</w:t>
            </w:r>
            <w:r w:rsidRPr="00431565">
              <w:rPr>
                <w:rFonts w:ascii="Arial" w:hAnsi="Arial" w:cs="Arial"/>
                <w:color w:val="000000"/>
                <w:sz w:val="20"/>
                <w:szCs w:val="20"/>
                <w:lang w:eastAsia="sl-SI"/>
              </w:rPr>
              <w:t xml:space="preserve"> znamenitosti </w:t>
            </w:r>
            <w:r w:rsidR="008D4689">
              <w:rPr>
                <w:rFonts w:ascii="Arial" w:hAnsi="Arial" w:cs="Arial"/>
                <w:color w:val="000000"/>
                <w:sz w:val="20"/>
                <w:szCs w:val="20"/>
                <w:lang w:eastAsia="sl-SI"/>
              </w:rPr>
              <w:t>ter</w:t>
            </w:r>
            <w:r w:rsidRPr="00431565">
              <w:rPr>
                <w:rFonts w:ascii="Arial" w:hAnsi="Arial" w:cs="Arial"/>
                <w:color w:val="000000"/>
                <w:sz w:val="20"/>
                <w:szCs w:val="20"/>
                <w:lang w:eastAsia="sl-SI"/>
              </w:rPr>
              <w:t xml:space="preserve"> podobne kulturne </w:t>
            </w:r>
            <w:r w:rsidR="008D4689">
              <w:rPr>
                <w:rFonts w:ascii="Arial" w:hAnsi="Arial" w:cs="Arial"/>
                <w:color w:val="000000"/>
                <w:sz w:val="20"/>
                <w:szCs w:val="20"/>
                <w:lang w:eastAsia="sl-SI"/>
              </w:rPr>
              <w:t>in</w:t>
            </w:r>
            <w:r w:rsidRPr="00431565">
              <w:rPr>
                <w:rFonts w:ascii="Arial" w:hAnsi="Arial" w:cs="Arial"/>
                <w:color w:val="000000"/>
                <w:sz w:val="20"/>
                <w:szCs w:val="20"/>
                <w:lang w:eastAsia="sl-SI"/>
              </w:rPr>
              <w:t xml:space="preserve"> športne prireditve</w:t>
            </w:r>
          </w:p>
        </w:tc>
        <w:tc>
          <w:tcPr>
            <w:tcW w:w="1098" w:type="dxa"/>
            <w:tcBorders>
              <w:top w:val="nil"/>
              <w:left w:val="nil"/>
              <w:bottom w:val="single" w:sz="4" w:space="0" w:color="auto"/>
              <w:right w:val="single" w:sz="4" w:space="0" w:color="auto"/>
            </w:tcBorders>
            <w:shd w:val="clear" w:color="auto" w:fill="auto"/>
            <w:noWrap/>
            <w:vAlign w:val="center"/>
            <w:hideMark/>
          </w:tcPr>
          <w:p w14:paraId="3E78C2D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23,1</w:t>
            </w:r>
          </w:p>
        </w:tc>
        <w:tc>
          <w:tcPr>
            <w:tcW w:w="1098" w:type="dxa"/>
            <w:tcBorders>
              <w:top w:val="nil"/>
              <w:left w:val="nil"/>
              <w:bottom w:val="single" w:sz="4" w:space="0" w:color="auto"/>
              <w:right w:val="single" w:sz="4" w:space="0" w:color="auto"/>
            </w:tcBorders>
            <w:shd w:val="clear" w:color="auto" w:fill="auto"/>
            <w:noWrap/>
            <w:vAlign w:val="center"/>
            <w:hideMark/>
          </w:tcPr>
          <w:p w14:paraId="39D84E4F"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24,0</w:t>
            </w:r>
          </w:p>
        </w:tc>
        <w:tc>
          <w:tcPr>
            <w:tcW w:w="1098" w:type="dxa"/>
            <w:tcBorders>
              <w:top w:val="nil"/>
              <w:left w:val="nil"/>
              <w:bottom w:val="single" w:sz="4" w:space="0" w:color="auto"/>
              <w:right w:val="single" w:sz="4" w:space="0" w:color="auto"/>
            </w:tcBorders>
            <w:shd w:val="clear" w:color="auto" w:fill="auto"/>
            <w:noWrap/>
            <w:vAlign w:val="center"/>
            <w:hideMark/>
          </w:tcPr>
          <w:p w14:paraId="3A41051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29,1</w:t>
            </w:r>
          </w:p>
        </w:tc>
      </w:tr>
      <w:tr w:rsidR="00E90C22" w:rsidRPr="00386818" w14:paraId="61839315"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872B54D"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Prevoz oseb in njihove osebne prtljage</w:t>
            </w:r>
          </w:p>
        </w:tc>
        <w:tc>
          <w:tcPr>
            <w:tcW w:w="1098" w:type="dxa"/>
            <w:tcBorders>
              <w:top w:val="nil"/>
              <w:left w:val="nil"/>
              <w:bottom w:val="single" w:sz="4" w:space="0" w:color="auto"/>
              <w:right w:val="single" w:sz="4" w:space="0" w:color="auto"/>
            </w:tcBorders>
            <w:shd w:val="clear" w:color="auto" w:fill="auto"/>
            <w:noWrap/>
            <w:vAlign w:val="center"/>
            <w:hideMark/>
          </w:tcPr>
          <w:p w14:paraId="63A23897"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24,8</w:t>
            </w:r>
          </w:p>
        </w:tc>
        <w:tc>
          <w:tcPr>
            <w:tcW w:w="1098" w:type="dxa"/>
            <w:tcBorders>
              <w:top w:val="nil"/>
              <w:left w:val="nil"/>
              <w:bottom w:val="single" w:sz="4" w:space="0" w:color="auto"/>
              <w:right w:val="single" w:sz="4" w:space="0" w:color="auto"/>
            </w:tcBorders>
            <w:shd w:val="clear" w:color="auto" w:fill="auto"/>
            <w:noWrap/>
            <w:vAlign w:val="center"/>
            <w:hideMark/>
          </w:tcPr>
          <w:p w14:paraId="6161EF2A"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24,3</w:t>
            </w:r>
          </w:p>
        </w:tc>
        <w:tc>
          <w:tcPr>
            <w:tcW w:w="1098" w:type="dxa"/>
            <w:tcBorders>
              <w:top w:val="nil"/>
              <w:left w:val="nil"/>
              <w:bottom w:val="single" w:sz="4" w:space="0" w:color="auto"/>
              <w:right w:val="single" w:sz="4" w:space="0" w:color="auto"/>
            </w:tcBorders>
            <w:shd w:val="clear" w:color="auto" w:fill="auto"/>
            <w:noWrap/>
            <w:vAlign w:val="center"/>
            <w:hideMark/>
          </w:tcPr>
          <w:p w14:paraId="05211732"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25,6</w:t>
            </w:r>
          </w:p>
        </w:tc>
      </w:tr>
      <w:tr w:rsidR="00E90C22" w:rsidRPr="00386818" w14:paraId="4D4012C9"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0FAE7622"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Medicinski pripomočki</w:t>
            </w:r>
          </w:p>
        </w:tc>
        <w:tc>
          <w:tcPr>
            <w:tcW w:w="1098" w:type="dxa"/>
            <w:tcBorders>
              <w:top w:val="nil"/>
              <w:left w:val="nil"/>
              <w:bottom w:val="single" w:sz="4" w:space="0" w:color="auto"/>
              <w:right w:val="single" w:sz="4" w:space="0" w:color="auto"/>
            </w:tcBorders>
            <w:shd w:val="clear" w:color="auto" w:fill="auto"/>
            <w:noWrap/>
            <w:vAlign w:val="center"/>
            <w:hideMark/>
          </w:tcPr>
          <w:p w14:paraId="32F6A03D"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18,8</w:t>
            </w:r>
          </w:p>
        </w:tc>
        <w:tc>
          <w:tcPr>
            <w:tcW w:w="1098" w:type="dxa"/>
            <w:tcBorders>
              <w:top w:val="nil"/>
              <w:left w:val="nil"/>
              <w:bottom w:val="single" w:sz="4" w:space="0" w:color="auto"/>
              <w:right w:val="single" w:sz="4" w:space="0" w:color="auto"/>
            </w:tcBorders>
            <w:shd w:val="clear" w:color="auto" w:fill="auto"/>
            <w:noWrap/>
            <w:vAlign w:val="center"/>
            <w:hideMark/>
          </w:tcPr>
          <w:p w14:paraId="3A6E0C3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19,4</w:t>
            </w:r>
          </w:p>
        </w:tc>
        <w:tc>
          <w:tcPr>
            <w:tcW w:w="1098" w:type="dxa"/>
            <w:tcBorders>
              <w:top w:val="nil"/>
              <w:left w:val="nil"/>
              <w:bottom w:val="single" w:sz="4" w:space="0" w:color="auto"/>
              <w:right w:val="single" w:sz="4" w:space="0" w:color="auto"/>
            </w:tcBorders>
            <w:shd w:val="clear" w:color="auto" w:fill="auto"/>
            <w:noWrap/>
            <w:vAlign w:val="center"/>
            <w:hideMark/>
          </w:tcPr>
          <w:p w14:paraId="2AD8765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22,8</w:t>
            </w:r>
          </w:p>
        </w:tc>
      </w:tr>
      <w:tr w:rsidR="00E90C22" w:rsidRPr="00386818" w14:paraId="22B78CA2"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2E1D918C"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Dobava vode</w:t>
            </w:r>
          </w:p>
        </w:tc>
        <w:tc>
          <w:tcPr>
            <w:tcW w:w="1098" w:type="dxa"/>
            <w:tcBorders>
              <w:top w:val="nil"/>
              <w:left w:val="nil"/>
              <w:bottom w:val="single" w:sz="4" w:space="0" w:color="auto"/>
              <w:right w:val="single" w:sz="4" w:space="0" w:color="auto"/>
            </w:tcBorders>
            <w:shd w:val="clear" w:color="auto" w:fill="auto"/>
            <w:noWrap/>
            <w:vAlign w:val="center"/>
            <w:hideMark/>
          </w:tcPr>
          <w:p w14:paraId="3F656A3F"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25,9</w:t>
            </w:r>
          </w:p>
        </w:tc>
        <w:tc>
          <w:tcPr>
            <w:tcW w:w="1098" w:type="dxa"/>
            <w:tcBorders>
              <w:top w:val="nil"/>
              <w:left w:val="nil"/>
              <w:bottom w:val="single" w:sz="4" w:space="0" w:color="auto"/>
              <w:right w:val="single" w:sz="4" w:space="0" w:color="auto"/>
            </w:tcBorders>
            <w:shd w:val="clear" w:color="auto" w:fill="auto"/>
            <w:noWrap/>
            <w:vAlign w:val="center"/>
            <w:hideMark/>
          </w:tcPr>
          <w:p w14:paraId="30A9CA2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25,6</w:t>
            </w:r>
          </w:p>
        </w:tc>
        <w:tc>
          <w:tcPr>
            <w:tcW w:w="1098" w:type="dxa"/>
            <w:tcBorders>
              <w:top w:val="nil"/>
              <w:left w:val="nil"/>
              <w:bottom w:val="single" w:sz="4" w:space="0" w:color="auto"/>
              <w:right w:val="single" w:sz="4" w:space="0" w:color="auto"/>
            </w:tcBorders>
            <w:shd w:val="clear" w:color="auto" w:fill="auto"/>
            <w:noWrap/>
            <w:vAlign w:val="center"/>
            <w:hideMark/>
          </w:tcPr>
          <w:p w14:paraId="7CBE11A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22,6</w:t>
            </w:r>
          </w:p>
        </w:tc>
      </w:tr>
      <w:tr w:rsidR="00E90C22" w:rsidRPr="00386818" w14:paraId="5024126E"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69AE469" w14:textId="6D5F585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 xml:space="preserve">Knjige, časopisi in periodične publikacije, razen tistih, ki v celoti ali </w:t>
            </w:r>
            <w:r w:rsidR="008D4689">
              <w:rPr>
                <w:rFonts w:ascii="Arial" w:hAnsi="Arial" w:cs="Arial"/>
                <w:color w:val="000000"/>
                <w:sz w:val="20"/>
                <w:szCs w:val="20"/>
                <w:lang w:eastAsia="sl-SI"/>
              </w:rPr>
              <w:t>večinoma</w:t>
            </w:r>
            <w:r w:rsidRPr="00431565">
              <w:rPr>
                <w:rFonts w:ascii="Arial" w:hAnsi="Arial" w:cs="Arial"/>
                <w:color w:val="000000"/>
                <w:sz w:val="20"/>
                <w:szCs w:val="20"/>
                <w:lang w:eastAsia="sl-SI"/>
              </w:rPr>
              <w:t xml:space="preserve"> vključujejo reklamne vsebine</w:t>
            </w:r>
          </w:p>
        </w:tc>
        <w:tc>
          <w:tcPr>
            <w:tcW w:w="1098" w:type="dxa"/>
            <w:tcBorders>
              <w:top w:val="nil"/>
              <w:left w:val="nil"/>
              <w:bottom w:val="single" w:sz="4" w:space="0" w:color="auto"/>
              <w:right w:val="single" w:sz="4" w:space="0" w:color="auto"/>
            </w:tcBorders>
            <w:shd w:val="clear" w:color="auto" w:fill="auto"/>
            <w:noWrap/>
            <w:vAlign w:val="center"/>
            <w:hideMark/>
          </w:tcPr>
          <w:p w14:paraId="2F398DE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22,0</w:t>
            </w:r>
          </w:p>
        </w:tc>
        <w:tc>
          <w:tcPr>
            <w:tcW w:w="1098" w:type="dxa"/>
            <w:tcBorders>
              <w:top w:val="nil"/>
              <w:left w:val="nil"/>
              <w:bottom w:val="single" w:sz="4" w:space="0" w:color="auto"/>
              <w:right w:val="single" w:sz="4" w:space="0" w:color="auto"/>
            </w:tcBorders>
            <w:shd w:val="clear" w:color="auto" w:fill="auto"/>
            <w:noWrap/>
            <w:vAlign w:val="center"/>
            <w:hideMark/>
          </w:tcPr>
          <w:p w14:paraId="4E049C6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22,1</w:t>
            </w:r>
          </w:p>
        </w:tc>
        <w:tc>
          <w:tcPr>
            <w:tcW w:w="1098" w:type="dxa"/>
            <w:tcBorders>
              <w:top w:val="nil"/>
              <w:left w:val="nil"/>
              <w:bottom w:val="single" w:sz="4" w:space="0" w:color="auto"/>
              <w:right w:val="single" w:sz="4" w:space="0" w:color="auto"/>
            </w:tcBorders>
            <w:shd w:val="clear" w:color="auto" w:fill="auto"/>
            <w:noWrap/>
            <w:vAlign w:val="center"/>
            <w:hideMark/>
          </w:tcPr>
          <w:p w14:paraId="21F1B11B"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22,4</w:t>
            </w:r>
          </w:p>
        </w:tc>
      </w:tr>
      <w:tr w:rsidR="00E90C22" w:rsidRPr="00386818" w14:paraId="1B205EEB"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2E3D397"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Obnova in popravila zasebnih stanovanj, razen materialov, ki so bistveni del vrednosti dobave</w:t>
            </w:r>
          </w:p>
        </w:tc>
        <w:tc>
          <w:tcPr>
            <w:tcW w:w="1098" w:type="dxa"/>
            <w:tcBorders>
              <w:top w:val="nil"/>
              <w:left w:val="nil"/>
              <w:bottom w:val="single" w:sz="4" w:space="0" w:color="auto"/>
              <w:right w:val="single" w:sz="4" w:space="0" w:color="auto"/>
            </w:tcBorders>
            <w:shd w:val="clear" w:color="auto" w:fill="auto"/>
            <w:noWrap/>
            <w:vAlign w:val="center"/>
            <w:hideMark/>
          </w:tcPr>
          <w:p w14:paraId="4939023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7,3</w:t>
            </w:r>
          </w:p>
        </w:tc>
        <w:tc>
          <w:tcPr>
            <w:tcW w:w="1098" w:type="dxa"/>
            <w:tcBorders>
              <w:top w:val="nil"/>
              <w:left w:val="nil"/>
              <w:bottom w:val="single" w:sz="4" w:space="0" w:color="auto"/>
              <w:right w:val="single" w:sz="4" w:space="0" w:color="auto"/>
            </w:tcBorders>
            <w:shd w:val="clear" w:color="auto" w:fill="auto"/>
            <w:noWrap/>
            <w:vAlign w:val="center"/>
            <w:hideMark/>
          </w:tcPr>
          <w:p w14:paraId="2B1731A8"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7,0</w:t>
            </w:r>
          </w:p>
        </w:tc>
        <w:tc>
          <w:tcPr>
            <w:tcW w:w="1098" w:type="dxa"/>
            <w:tcBorders>
              <w:top w:val="nil"/>
              <w:left w:val="nil"/>
              <w:bottom w:val="single" w:sz="4" w:space="0" w:color="auto"/>
              <w:right w:val="single" w:sz="4" w:space="0" w:color="auto"/>
            </w:tcBorders>
            <w:shd w:val="clear" w:color="auto" w:fill="auto"/>
            <w:noWrap/>
            <w:vAlign w:val="center"/>
            <w:hideMark/>
          </w:tcPr>
          <w:p w14:paraId="33D8B18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11,2</w:t>
            </w:r>
          </w:p>
        </w:tc>
      </w:tr>
      <w:tr w:rsidR="00E90C22" w:rsidRPr="00386818" w14:paraId="7BE30226"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43E6180A"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Hrana za male živali</w:t>
            </w:r>
          </w:p>
        </w:tc>
        <w:tc>
          <w:tcPr>
            <w:tcW w:w="1098" w:type="dxa"/>
            <w:tcBorders>
              <w:top w:val="nil"/>
              <w:left w:val="nil"/>
              <w:bottom w:val="single" w:sz="4" w:space="0" w:color="auto"/>
              <w:right w:val="single" w:sz="4" w:space="0" w:color="auto"/>
            </w:tcBorders>
            <w:shd w:val="clear" w:color="auto" w:fill="auto"/>
            <w:noWrap/>
            <w:vAlign w:val="center"/>
            <w:hideMark/>
          </w:tcPr>
          <w:p w14:paraId="6D351A16"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8,2</w:t>
            </w:r>
          </w:p>
        </w:tc>
        <w:tc>
          <w:tcPr>
            <w:tcW w:w="1098" w:type="dxa"/>
            <w:tcBorders>
              <w:top w:val="nil"/>
              <w:left w:val="nil"/>
              <w:bottom w:val="single" w:sz="4" w:space="0" w:color="auto"/>
              <w:right w:val="single" w:sz="4" w:space="0" w:color="auto"/>
            </w:tcBorders>
            <w:shd w:val="clear" w:color="auto" w:fill="auto"/>
            <w:noWrap/>
            <w:vAlign w:val="center"/>
            <w:hideMark/>
          </w:tcPr>
          <w:p w14:paraId="2936B1C2"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7,3</w:t>
            </w:r>
          </w:p>
        </w:tc>
        <w:tc>
          <w:tcPr>
            <w:tcW w:w="1098" w:type="dxa"/>
            <w:tcBorders>
              <w:top w:val="nil"/>
              <w:left w:val="nil"/>
              <w:bottom w:val="single" w:sz="4" w:space="0" w:color="auto"/>
              <w:right w:val="single" w:sz="4" w:space="0" w:color="auto"/>
            </w:tcBorders>
            <w:shd w:val="clear" w:color="auto" w:fill="auto"/>
            <w:noWrap/>
            <w:vAlign w:val="center"/>
            <w:hideMark/>
          </w:tcPr>
          <w:p w14:paraId="324E2B61"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9,4</w:t>
            </w:r>
          </w:p>
        </w:tc>
      </w:tr>
      <w:tr w:rsidR="00E90C22" w:rsidRPr="00386818" w14:paraId="0D5624A2"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4ED66ACF"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Uporaba športnih objektov</w:t>
            </w:r>
          </w:p>
        </w:tc>
        <w:tc>
          <w:tcPr>
            <w:tcW w:w="1098" w:type="dxa"/>
            <w:tcBorders>
              <w:top w:val="nil"/>
              <w:left w:val="nil"/>
              <w:bottom w:val="single" w:sz="4" w:space="0" w:color="auto"/>
              <w:right w:val="single" w:sz="4" w:space="0" w:color="auto"/>
            </w:tcBorders>
            <w:shd w:val="clear" w:color="auto" w:fill="auto"/>
            <w:noWrap/>
            <w:vAlign w:val="center"/>
            <w:hideMark/>
          </w:tcPr>
          <w:p w14:paraId="12CC5C8C"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7,2</w:t>
            </w:r>
          </w:p>
        </w:tc>
        <w:tc>
          <w:tcPr>
            <w:tcW w:w="1098" w:type="dxa"/>
            <w:tcBorders>
              <w:top w:val="nil"/>
              <w:left w:val="nil"/>
              <w:bottom w:val="single" w:sz="4" w:space="0" w:color="auto"/>
              <w:right w:val="single" w:sz="4" w:space="0" w:color="auto"/>
            </w:tcBorders>
            <w:shd w:val="clear" w:color="auto" w:fill="auto"/>
            <w:noWrap/>
            <w:vAlign w:val="center"/>
            <w:hideMark/>
          </w:tcPr>
          <w:p w14:paraId="4507161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8,2</w:t>
            </w:r>
          </w:p>
        </w:tc>
        <w:tc>
          <w:tcPr>
            <w:tcW w:w="1098" w:type="dxa"/>
            <w:tcBorders>
              <w:top w:val="nil"/>
              <w:left w:val="nil"/>
              <w:bottom w:val="single" w:sz="4" w:space="0" w:color="auto"/>
              <w:right w:val="single" w:sz="4" w:space="0" w:color="auto"/>
            </w:tcBorders>
            <w:shd w:val="clear" w:color="auto" w:fill="auto"/>
            <w:noWrap/>
            <w:vAlign w:val="center"/>
            <w:hideMark/>
          </w:tcPr>
          <w:p w14:paraId="3BE64E4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8,6</w:t>
            </w:r>
          </w:p>
        </w:tc>
      </w:tr>
      <w:tr w:rsidR="00E90C22" w:rsidRPr="00386818" w14:paraId="6F285FD7"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3CC813B9"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Živali za pitanje, semena, sadike, gnojila, fitofarmacevtska sredstva...</w:t>
            </w:r>
          </w:p>
        </w:tc>
        <w:tc>
          <w:tcPr>
            <w:tcW w:w="1098" w:type="dxa"/>
            <w:tcBorders>
              <w:top w:val="nil"/>
              <w:left w:val="nil"/>
              <w:bottom w:val="single" w:sz="4" w:space="0" w:color="auto"/>
              <w:right w:val="single" w:sz="4" w:space="0" w:color="auto"/>
            </w:tcBorders>
            <w:shd w:val="clear" w:color="auto" w:fill="auto"/>
            <w:noWrap/>
            <w:vAlign w:val="center"/>
            <w:hideMark/>
          </w:tcPr>
          <w:p w14:paraId="62A974E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7,0</w:t>
            </w:r>
          </w:p>
        </w:tc>
        <w:tc>
          <w:tcPr>
            <w:tcW w:w="1098" w:type="dxa"/>
            <w:tcBorders>
              <w:top w:val="nil"/>
              <w:left w:val="nil"/>
              <w:bottom w:val="single" w:sz="4" w:space="0" w:color="auto"/>
              <w:right w:val="single" w:sz="4" w:space="0" w:color="auto"/>
            </w:tcBorders>
            <w:shd w:val="clear" w:color="auto" w:fill="auto"/>
            <w:noWrap/>
            <w:vAlign w:val="center"/>
            <w:hideMark/>
          </w:tcPr>
          <w:p w14:paraId="19F598F5"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7,0</w:t>
            </w:r>
          </w:p>
        </w:tc>
        <w:tc>
          <w:tcPr>
            <w:tcW w:w="1098" w:type="dxa"/>
            <w:tcBorders>
              <w:top w:val="nil"/>
              <w:left w:val="nil"/>
              <w:bottom w:val="single" w:sz="4" w:space="0" w:color="auto"/>
              <w:right w:val="single" w:sz="4" w:space="0" w:color="auto"/>
            </w:tcBorders>
            <w:shd w:val="clear" w:color="auto" w:fill="auto"/>
            <w:noWrap/>
            <w:vAlign w:val="center"/>
            <w:hideMark/>
          </w:tcPr>
          <w:p w14:paraId="7DF9B1D6"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7,8</w:t>
            </w:r>
          </w:p>
        </w:tc>
      </w:tr>
      <w:tr w:rsidR="00E90C22" w:rsidRPr="00386818" w14:paraId="42F04762"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7AF1BA1B"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Frizerske storitve</w:t>
            </w:r>
          </w:p>
        </w:tc>
        <w:tc>
          <w:tcPr>
            <w:tcW w:w="1098" w:type="dxa"/>
            <w:tcBorders>
              <w:top w:val="nil"/>
              <w:left w:val="nil"/>
              <w:bottom w:val="single" w:sz="4" w:space="0" w:color="auto"/>
              <w:right w:val="single" w:sz="4" w:space="0" w:color="auto"/>
            </w:tcBorders>
            <w:shd w:val="clear" w:color="auto" w:fill="auto"/>
            <w:noWrap/>
            <w:vAlign w:val="center"/>
            <w:hideMark/>
          </w:tcPr>
          <w:p w14:paraId="267D998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6,7</w:t>
            </w:r>
          </w:p>
        </w:tc>
        <w:tc>
          <w:tcPr>
            <w:tcW w:w="1098" w:type="dxa"/>
            <w:tcBorders>
              <w:top w:val="nil"/>
              <w:left w:val="nil"/>
              <w:bottom w:val="single" w:sz="4" w:space="0" w:color="auto"/>
              <w:right w:val="single" w:sz="4" w:space="0" w:color="auto"/>
            </w:tcBorders>
            <w:shd w:val="clear" w:color="auto" w:fill="auto"/>
            <w:noWrap/>
            <w:vAlign w:val="center"/>
            <w:hideMark/>
          </w:tcPr>
          <w:p w14:paraId="3B77329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6,8</w:t>
            </w:r>
          </w:p>
        </w:tc>
        <w:tc>
          <w:tcPr>
            <w:tcW w:w="1098" w:type="dxa"/>
            <w:tcBorders>
              <w:top w:val="nil"/>
              <w:left w:val="nil"/>
              <w:bottom w:val="single" w:sz="4" w:space="0" w:color="auto"/>
              <w:right w:val="single" w:sz="4" w:space="0" w:color="auto"/>
            </w:tcBorders>
            <w:shd w:val="clear" w:color="auto" w:fill="auto"/>
            <w:noWrap/>
            <w:vAlign w:val="center"/>
            <w:hideMark/>
          </w:tcPr>
          <w:p w14:paraId="66DCE2A8"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7,3</w:t>
            </w:r>
          </w:p>
        </w:tc>
      </w:tr>
      <w:tr w:rsidR="00E90C22" w:rsidRPr="00386818" w14:paraId="01B83D1C"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6EF5A37"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Dobava lončnic, sadik, rezanega cvetja</w:t>
            </w:r>
          </w:p>
        </w:tc>
        <w:tc>
          <w:tcPr>
            <w:tcW w:w="1098" w:type="dxa"/>
            <w:tcBorders>
              <w:top w:val="nil"/>
              <w:left w:val="nil"/>
              <w:bottom w:val="single" w:sz="4" w:space="0" w:color="auto"/>
              <w:right w:val="single" w:sz="4" w:space="0" w:color="auto"/>
            </w:tcBorders>
            <w:shd w:val="clear" w:color="auto" w:fill="auto"/>
            <w:noWrap/>
            <w:vAlign w:val="center"/>
            <w:hideMark/>
          </w:tcPr>
          <w:p w14:paraId="77649AC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6,5</w:t>
            </w:r>
          </w:p>
        </w:tc>
        <w:tc>
          <w:tcPr>
            <w:tcW w:w="1098" w:type="dxa"/>
            <w:tcBorders>
              <w:top w:val="nil"/>
              <w:left w:val="nil"/>
              <w:bottom w:val="single" w:sz="4" w:space="0" w:color="auto"/>
              <w:right w:val="single" w:sz="4" w:space="0" w:color="auto"/>
            </w:tcBorders>
            <w:shd w:val="clear" w:color="auto" w:fill="auto"/>
            <w:noWrap/>
            <w:vAlign w:val="center"/>
            <w:hideMark/>
          </w:tcPr>
          <w:p w14:paraId="6992202D"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6,5</w:t>
            </w:r>
          </w:p>
        </w:tc>
        <w:tc>
          <w:tcPr>
            <w:tcW w:w="1098" w:type="dxa"/>
            <w:tcBorders>
              <w:top w:val="nil"/>
              <w:left w:val="nil"/>
              <w:bottom w:val="single" w:sz="4" w:space="0" w:color="auto"/>
              <w:right w:val="single" w:sz="4" w:space="0" w:color="auto"/>
            </w:tcBorders>
            <w:shd w:val="clear" w:color="auto" w:fill="auto"/>
            <w:noWrap/>
            <w:vAlign w:val="center"/>
            <w:hideMark/>
          </w:tcPr>
          <w:p w14:paraId="25E94992"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7,0</w:t>
            </w:r>
          </w:p>
        </w:tc>
      </w:tr>
      <w:tr w:rsidR="00E90C22" w:rsidRPr="00386818" w14:paraId="176FA534"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140D1133"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Storitve pokopa in upepelitve</w:t>
            </w:r>
          </w:p>
        </w:tc>
        <w:tc>
          <w:tcPr>
            <w:tcW w:w="1098" w:type="dxa"/>
            <w:tcBorders>
              <w:top w:val="nil"/>
              <w:left w:val="nil"/>
              <w:bottom w:val="single" w:sz="4" w:space="0" w:color="auto"/>
              <w:right w:val="single" w:sz="4" w:space="0" w:color="auto"/>
            </w:tcBorders>
            <w:shd w:val="clear" w:color="auto" w:fill="auto"/>
            <w:noWrap/>
            <w:vAlign w:val="center"/>
            <w:hideMark/>
          </w:tcPr>
          <w:p w14:paraId="54598395"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3,7</w:t>
            </w:r>
          </w:p>
        </w:tc>
        <w:tc>
          <w:tcPr>
            <w:tcW w:w="1098" w:type="dxa"/>
            <w:tcBorders>
              <w:top w:val="nil"/>
              <w:left w:val="nil"/>
              <w:bottom w:val="single" w:sz="4" w:space="0" w:color="auto"/>
              <w:right w:val="single" w:sz="4" w:space="0" w:color="auto"/>
            </w:tcBorders>
            <w:shd w:val="clear" w:color="auto" w:fill="auto"/>
            <w:noWrap/>
            <w:vAlign w:val="center"/>
            <w:hideMark/>
          </w:tcPr>
          <w:p w14:paraId="0919C28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3,7</w:t>
            </w:r>
          </w:p>
        </w:tc>
        <w:tc>
          <w:tcPr>
            <w:tcW w:w="1098" w:type="dxa"/>
            <w:tcBorders>
              <w:top w:val="nil"/>
              <w:left w:val="nil"/>
              <w:bottom w:val="single" w:sz="4" w:space="0" w:color="auto"/>
              <w:right w:val="single" w:sz="4" w:space="0" w:color="auto"/>
            </w:tcBorders>
            <w:shd w:val="clear" w:color="auto" w:fill="auto"/>
            <w:noWrap/>
            <w:vAlign w:val="center"/>
            <w:hideMark/>
          </w:tcPr>
          <w:p w14:paraId="3C47540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4,5</w:t>
            </w:r>
          </w:p>
        </w:tc>
      </w:tr>
      <w:tr w:rsidR="00E90C22" w:rsidRPr="00386818" w14:paraId="13D37329" w14:textId="77777777" w:rsidTr="00431565">
        <w:trPr>
          <w:trHeight w:val="284"/>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31217DC1" w14:textId="6C6D291C"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Čiščenje oken in</w:t>
            </w:r>
            <w:r w:rsidR="008D4689">
              <w:rPr>
                <w:rFonts w:ascii="Arial" w:hAnsi="Arial" w:cs="Arial"/>
                <w:color w:val="000000"/>
                <w:sz w:val="20"/>
                <w:szCs w:val="20"/>
                <w:lang w:eastAsia="sl-SI"/>
              </w:rPr>
              <w:t xml:space="preserve"> </w:t>
            </w:r>
            <w:r w:rsidRPr="00431565">
              <w:rPr>
                <w:rFonts w:ascii="Arial" w:hAnsi="Arial" w:cs="Arial"/>
                <w:color w:val="000000"/>
                <w:sz w:val="20"/>
                <w:szCs w:val="20"/>
                <w:lang w:eastAsia="sl-SI"/>
              </w:rPr>
              <w:t>zasebnih gospodinjstev</w:t>
            </w:r>
          </w:p>
        </w:tc>
        <w:tc>
          <w:tcPr>
            <w:tcW w:w="1098" w:type="dxa"/>
            <w:tcBorders>
              <w:top w:val="nil"/>
              <w:left w:val="nil"/>
              <w:bottom w:val="single" w:sz="4" w:space="0" w:color="auto"/>
              <w:right w:val="single" w:sz="4" w:space="0" w:color="auto"/>
            </w:tcBorders>
            <w:shd w:val="clear" w:color="auto" w:fill="auto"/>
            <w:noWrap/>
            <w:vAlign w:val="center"/>
            <w:hideMark/>
          </w:tcPr>
          <w:p w14:paraId="6CE221FD"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3A3ECEB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0,8</w:t>
            </w:r>
          </w:p>
        </w:tc>
        <w:tc>
          <w:tcPr>
            <w:tcW w:w="1098" w:type="dxa"/>
            <w:tcBorders>
              <w:top w:val="nil"/>
              <w:left w:val="nil"/>
              <w:bottom w:val="single" w:sz="4" w:space="0" w:color="auto"/>
              <w:right w:val="single" w:sz="4" w:space="0" w:color="auto"/>
            </w:tcBorders>
            <w:shd w:val="clear" w:color="auto" w:fill="auto"/>
            <w:noWrap/>
            <w:vAlign w:val="center"/>
            <w:hideMark/>
          </w:tcPr>
          <w:p w14:paraId="168BFF72"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1,7</w:t>
            </w:r>
          </w:p>
        </w:tc>
      </w:tr>
      <w:tr w:rsidR="00E90C22" w:rsidRPr="00386818" w14:paraId="2309A102"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31F5AEF5" w14:textId="27B29C40"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Storitve domačega varstva (kot pomoč na domu in varstvo otrok, skrb za ostarele, obolele ali invalide)</w:t>
            </w:r>
          </w:p>
        </w:tc>
        <w:tc>
          <w:tcPr>
            <w:tcW w:w="1098" w:type="dxa"/>
            <w:tcBorders>
              <w:top w:val="nil"/>
              <w:left w:val="nil"/>
              <w:bottom w:val="single" w:sz="4" w:space="0" w:color="auto"/>
              <w:right w:val="single" w:sz="4" w:space="0" w:color="auto"/>
            </w:tcBorders>
            <w:shd w:val="clear" w:color="auto" w:fill="auto"/>
            <w:noWrap/>
            <w:vAlign w:val="center"/>
            <w:hideMark/>
          </w:tcPr>
          <w:p w14:paraId="3945B64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426EDAB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31C9BAA2"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1,0</w:t>
            </w:r>
          </w:p>
        </w:tc>
      </w:tr>
      <w:tr w:rsidR="00E90C22" w:rsidRPr="00386818" w14:paraId="1398B0F3"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4372A07E"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Manjša popravila koles, čevljev in usnjenih izdelkov, oblačil in gospodinjskega perila</w:t>
            </w:r>
          </w:p>
        </w:tc>
        <w:tc>
          <w:tcPr>
            <w:tcW w:w="1098" w:type="dxa"/>
            <w:tcBorders>
              <w:top w:val="nil"/>
              <w:left w:val="nil"/>
              <w:bottom w:val="single" w:sz="4" w:space="0" w:color="auto"/>
              <w:right w:val="single" w:sz="4" w:space="0" w:color="auto"/>
            </w:tcBorders>
            <w:shd w:val="clear" w:color="auto" w:fill="auto"/>
            <w:noWrap/>
            <w:vAlign w:val="center"/>
            <w:hideMark/>
          </w:tcPr>
          <w:p w14:paraId="1F83E8A7"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0,5</w:t>
            </w:r>
          </w:p>
        </w:tc>
        <w:tc>
          <w:tcPr>
            <w:tcW w:w="1098" w:type="dxa"/>
            <w:tcBorders>
              <w:top w:val="nil"/>
              <w:left w:val="nil"/>
              <w:bottom w:val="single" w:sz="4" w:space="0" w:color="auto"/>
              <w:right w:val="single" w:sz="4" w:space="0" w:color="auto"/>
            </w:tcBorders>
            <w:shd w:val="clear" w:color="auto" w:fill="auto"/>
            <w:noWrap/>
            <w:vAlign w:val="center"/>
            <w:hideMark/>
          </w:tcPr>
          <w:p w14:paraId="22811135"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0,6</w:t>
            </w:r>
          </w:p>
        </w:tc>
        <w:tc>
          <w:tcPr>
            <w:tcW w:w="1098" w:type="dxa"/>
            <w:tcBorders>
              <w:top w:val="nil"/>
              <w:left w:val="nil"/>
              <w:bottom w:val="single" w:sz="4" w:space="0" w:color="auto"/>
              <w:right w:val="single" w:sz="4" w:space="0" w:color="auto"/>
            </w:tcBorders>
            <w:shd w:val="clear" w:color="auto" w:fill="auto"/>
            <w:noWrap/>
            <w:vAlign w:val="center"/>
            <w:hideMark/>
          </w:tcPr>
          <w:p w14:paraId="4C7DDD1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0,7</w:t>
            </w:r>
          </w:p>
        </w:tc>
      </w:tr>
      <w:tr w:rsidR="00E90C22" w:rsidRPr="00386818" w14:paraId="6CFD8AFB"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63C92714"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Avtorske pravice književnikov in skladateljev ter storitve izvajalskih umetnikov</w:t>
            </w:r>
          </w:p>
        </w:tc>
        <w:tc>
          <w:tcPr>
            <w:tcW w:w="1098" w:type="dxa"/>
            <w:tcBorders>
              <w:top w:val="nil"/>
              <w:left w:val="nil"/>
              <w:bottom w:val="single" w:sz="4" w:space="0" w:color="auto"/>
              <w:right w:val="single" w:sz="4" w:space="0" w:color="auto"/>
            </w:tcBorders>
            <w:shd w:val="clear" w:color="auto" w:fill="auto"/>
            <w:noWrap/>
            <w:vAlign w:val="center"/>
            <w:hideMark/>
          </w:tcPr>
          <w:p w14:paraId="36ED0B13"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3ECEA57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18AE2CE8"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r>
      <w:tr w:rsidR="00E90C22" w:rsidRPr="00386818" w14:paraId="00B39CAF" w14:textId="77777777" w:rsidTr="00431565">
        <w:trPr>
          <w:trHeight w:val="480"/>
        </w:trPr>
        <w:tc>
          <w:tcPr>
            <w:tcW w:w="5600" w:type="dxa"/>
            <w:tcBorders>
              <w:top w:val="nil"/>
              <w:left w:val="single" w:sz="4" w:space="0" w:color="auto"/>
              <w:bottom w:val="single" w:sz="4" w:space="0" w:color="auto"/>
              <w:right w:val="single" w:sz="4" w:space="0" w:color="auto"/>
            </w:tcBorders>
            <w:shd w:val="clear" w:color="auto" w:fill="auto"/>
            <w:vAlign w:val="center"/>
            <w:hideMark/>
          </w:tcPr>
          <w:p w14:paraId="55C9C30E"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Uvoz umetniških predmetov, zbirk in starin iz 2., 3. in 4. točke prvega odstavka 101. člena tega zakona</w:t>
            </w:r>
          </w:p>
        </w:tc>
        <w:tc>
          <w:tcPr>
            <w:tcW w:w="1098" w:type="dxa"/>
            <w:tcBorders>
              <w:top w:val="nil"/>
              <w:left w:val="nil"/>
              <w:bottom w:val="single" w:sz="4" w:space="0" w:color="auto"/>
              <w:right w:val="single" w:sz="4" w:space="0" w:color="auto"/>
            </w:tcBorders>
            <w:shd w:val="clear" w:color="auto" w:fill="auto"/>
            <w:noWrap/>
            <w:vAlign w:val="center"/>
            <w:hideMark/>
          </w:tcPr>
          <w:p w14:paraId="384CE44D"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78DF2D3E"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single" w:sz="4" w:space="0" w:color="auto"/>
              <w:right w:val="single" w:sz="4" w:space="0" w:color="auto"/>
            </w:tcBorders>
            <w:shd w:val="clear" w:color="auto" w:fill="auto"/>
            <w:noWrap/>
            <w:vAlign w:val="center"/>
            <w:hideMark/>
          </w:tcPr>
          <w:p w14:paraId="24D7AA79"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r>
      <w:tr w:rsidR="00E90C22" w:rsidRPr="00386818" w14:paraId="6791F3C6" w14:textId="77777777" w:rsidTr="00431565">
        <w:trPr>
          <w:trHeight w:val="300"/>
        </w:trPr>
        <w:tc>
          <w:tcPr>
            <w:tcW w:w="5600" w:type="dxa"/>
            <w:tcBorders>
              <w:top w:val="nil"/>
              <w:left w:val="single" w:sz="4" w:space="0" w:color="auto"/>
              <w:bottom w:val="nil"/>
              <w:right w:val="single" w:sz="4" w:space="0" w:color="auto"/>
            </w:tcBorders>
            <w:shd w:val="clear" w:color="auto" w:fill="auto"/>
            <w:vAlign w:val="center"/>
            <w:hideMark/>
          </w:tcPr>
          <w:p w14:paraId="058E85F2" w14:textId="77777777" w:rsidR="00E90C22" w:rsidRPr="00431565" w:rsidRDefault="00E90C22" w:rsidP="00012435">
            <w:pPr>
              <w:spacing w:after="0" w:line="240" w:lineRule="auto"/>
              <w:rPr>
                <w:rFonts w:ascii="Arial" w:hAnsi="Arial" w:cs="Arial"/>
                <w:color w:val="000000"/>
                <w:sz w:val="20"/>
                <w:szCs w:val="20"/>
                <w:lang w:eastAsia="sl-SI"/>
              </w:rPr>
            </w:pPr>
            <w:r w:rsidRPr="00431565">
              <w:rPr>
                <w:rFonts w:ascii="Arial" w:hAnsi="Arial" w:cs="Arial"/>
                <w:color w:val="000000"/>
                <w:sz w:val="20"/>
                <w:szCs w:val="20"/>
                <w:lang w:eastAsia="sl-SI"/>
              </w:rPr>
              <w:t>Umetniški predmeti...</w:t>
            </w:r>
          </w:p>
        </w:tc>
        <w:tc>
          <w:tcPr>
            <w:tcW w:w="1098" w:type="dxa"/>
            <w:tcBorders>
              <w:top w:val="nil"/>
              <w:left w:val="nil"/>
              <w:bottom w:val="nil"/>
              <w:right w:val="single" w:sz="4" w:space="0" w:color="auto"/>
            </w:tcBorders>
            <w:shd w:val="clear" w:color="auto" w:fill="auto"/>
            <w:noWrap/>
            <w:vAlign w:val="center"/>
            <w:hideMark/>
          </w:tcPr>
          <w:p w14:paraId="47B55A60"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nil"/>
              <w:right w:val="single" w:sz="4" w:space="0" w:color="auto"/>
            </w:tcBorders>
            <w:shd w:val="clear" w:color="auto" w:fill="auto"/>
            <w:noWrap/>
            <w:vAlign w:val="center"/>
            <w:hideMark/>
          </w:tcPr>
          <w:p w14:paraId="1358E276"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c>
          <w:tcPr>
            <w:tcW w:w="1098" w:type="dxa"/>
            <w:tcBorders>
              <w:top w:val="nil"/>
              <w:left w:val="nil"/>
              <w:bottom w:val="nil"/>
              <w:right w:val="single" w:sz="4" w:space="0" w:color="auto"/>
            </w:tcBorders>
            <w:shd w:val="clear" w:color="auto" w:fill="auto"/>
            <w:noWrap/>
            <w:vAlign w:val="center"/>
            <w:hideMark/>
          </w:tcPr>
          <w:p w14:paraId="53F48B54" w14:textId="77777777" w:rsidR="00E90C22" w:rsidRPr="00431565" w:rsidRDefault="00E90C22" w:rsidP="00012435">
            <w:pPr>
              <w:spacing w:after="0" w:line="240" w:lineRule="auto"/>
              <w:jc w:val="right"/>
              <w:rPr>
                <w:rFonts w:ascii="Arial" w:hAnsi="Arial" w:cs="Arial"/>
                <w:color w:val="000000"/>
                <w:sz w:val="20"/>
                <w:szCs w:val="20"/>
                <w:lang w:eastAsia="sl-SI"/>
              </w:rPr>
            </w:pPr>
            <w:r w:rsidRPr="00431565">
              <w:rPr>
                <w:rFonts w:ascii="Arial" w:hAnsi="Arial" w:cs="Arial"/>
                <w:color w:val="000000"/>
                <w:sz w:val="20"/>
                <w:szCs w:val="20"/>
                <w:lang w:eastAsia="sl-SI"/>
              </w:rPr>
              <w:t>0,0</w:t>
            </w:r>
          </w:p>
        </w:tc>
      </w:tr>
      <w:tr w:rsidR="00E90C22" w:rsidRPr="00386818" w14:paraId="65A8CBBB" w14:textId="77777777" w:rsidTr="00431565">
        <w:trPr>
          <w:trHeight w:val="300"/>
        </w:trPr>
        <w:tc>
          <w:tcPr>
            <w:tcW w:w="5600" w:type="dxa"/>
            <w:tcBorders>
              <w:top w:val="double" w:sz="6" w:space="0" w:color="auto"/>
              <w:left w:val="single" w:sz="4" w:space="0" w:color="auto"/>
              <w:bottom w:val="single" w:sz="4" w:space="0" w:color="auto"/>
              <w:right w:val="single" w:sz="4" w:space="0" w:color="auto"/>
            </w:tcBorders>
            <w:shd w:val="clear" w:color="DCE6F1" w:fill="FFC000"/>
            <w:noWrap/>
            <w:vAlign w:val="center"/>
            <w:hideMark/>
          </w:tcPr>
          <w:p w14:paraId="6541E019" w14:textId="77777777" w:rsidR="00E90C22" w:rsidRPr="00431565" w:rsidRDefault="00E90C22" w:rsidP="00012435">
            <w:pPr>
              <w:spacing w:after="0" w:line="240" w:lineRule="auto"/>
              <w:rPr>
                <w:rFonts w:ascii="Arial" w:hAnsi="Arial" w:cs="Arial"/>
                <w:b/>
                <w:bCs/>
                <w:color w:val="000000"/>
                <w:sz w:val="20"/>
                <w:szCs w:val="20"/>
                <w:lang w:eastAsia="sl-SI"/>
              </w:rPr>
            </w:pPr>
            <w:r w:rsidRPr="00431565">
              <w:rPr>
                <w:rFonts w:ascii="Arial" w:hAnsi="Arial" w:cs="Arial"/>
                <w:b/>
                <w:bCs/>
                <w:color w:val="000000"/>
                <w:sz w:val="20"/>
                <w:szCs w:val="20"/>
                <w:lang w:eastAsia="sl-SI"/>
              </w:rPr>
              <w:t>SKUPAJ</w:t>
            </w:r>
          </w:p>
        </w:tc>
        <w:tc>
          <w:tcPr>
            <w:tcW w:w="1098" w:type="dxa"/>
            <w:tcBorders>
              <w:top w:val="double" w:sz="6" w:space="0" w:color="auto"/>
              <w:left w:val="nil"/>
              <w:bottom w:val="single" w:sz="4" w:space="0" w:color="auto"/>
              <w:right w:val="single" w:sz="4" w:space="0" w:color="auto"/>
            </w:tcBorders>
            <w:shd w:val="clear" w:color="DCE6F1" w:fill="FFC000"/>
            <w:noWrap/>
            <w:vAlign w:val="center"/>
            <w:hideMark/>
          </w:tcPr>
          <w:p w14:paraId="2B3F11E0" w14:textId="77777777" w:rsidR="00E90C22" w:rsidRPr="00431565" w:rsidRDefault="00E90C22" w:rsidP="00012435">
            <w:pPr>
              <w:spacing w:after="0" w:line="240" w:lineRule="auto"/>
              <w:jc w:val="right"/>
              <w:rPr>
                <w:rFonts w:ascii="Arial" w:hAnsi="Arial" w:cs="Arial"/>
                <w:b/>
                <w:bCs/>
                <w:color w:val="000000"/>
                <w:sz w:val="20"/>
                <w:szCs w:val="20"/>
                <w:lang w:eastAsia="sl-SI"/>
              </w:rPr>
            </w:pPr>
            <w:r w:rsidRPr="00431565">
              <w:rPr>
                <w:rFonts w:ascii="Arial" w:hAnsi="Arial" w:cs="Arial"/>
                <w:b/>
                <w:bCs/>
                <w:color w:val="000000"/>
                <w:sz w:val="20"/>
                <w:szCs w:val="20"/>
                <w:lang w:eastAsia="sl-SI"/>
              </w:rPr>
              <w:t>747,0</w:t>
            </w:r>
          </w:p>
        </w:tc>
        <w:tc>
          <w:tcPr>
            <w:tcW w:w="1098" w:type="dxa"/>
            <w:tcBorders>
              <w:top w:val="double" w:sz="6" w:space="0" w:color="auto"/>
              <w:left w:val="nil"/>
              <w:bottom w:val="single" w:sz="4" w:space="0" w:color="auto"/>
              <w:right w:val="single" w:sz="4" w:space="0" w:color="auto"/>
            </w:tcBorders>
            <w:shd w:val="clear" w:color="DCE6F1" w:fill="FFC000"/>
            <w:noWrap/>
            <w:vAlign w:val="center"/>
            <w:hideMark/>
          </w:tcPr>
          <w:p w14:paraId="2D9D7C58" w14:textId="77777777" w:rsidR="00E90C22" w:rsidRPr="00431565" w:rsidRDefault="00E90C22" w:rsidP="00012435">
            <w:pPr>
              <w:spacing w:after="0" w:line="240" w:lineRule="auto"/>
              <w:jc w:val="right"/>
              <w:rPr>
                <w:rFonts w:ascii="Arial" w:hAnsi="Arial" w:cs="Arial"/>
                <w:b/>
                <w:bCs/>
                <w:color w:val="000000"/>
                <w:sz w:val="20"/>
                <w:szCs w:val="20"/>
                <w:lang w:eastAsia="sl-SI"/>
              </w:rPr>
            </w:pPr>
            <w:r w:rsidRPr="00431565">
              <w:rPr>
                <w:rFonts w:ascii="Arial" w:hAnsi="Arial" w:cs="Arial"/>
                <w:b/>
                <w:bCs/>
                <w:color w:val="000000"/>
                <w:sz w:val="20"/>
                <w:szCs w:val="20"/>
                <w:lang w:eastAsia="sl-SI"/>
              </w:rPr>
              <w:t>766,4</w:t>
            </w:r>
          </w:p>
        </w:tc>
        <w:tc>
          <w:tcPr>
            <w:tcW w:w="1098" w:type="dxa"/>
            <w:tcBorders>
              <w:top w:val="double" w:sz="6" w:space="0" w:color="auto"/>
              <w:left w:val="nil"/>
              <w:bottom w:val="single" w:sz="4" w:space="0" w:color="auto"/>
              <w:right w:val="single" w:sz="4" w:space="0" w:color="auto"/>
            </w:tcBorders>
            <w:shd w:val="clear" w:color="DCE6F1" w:fill="FFC000"/>
            <w:noWrap/>
            <w:vAlign w:val="center"/>
            <w:hideMark/>
          </w:tcPr>
          <w:p w14:paraId="0DB7F7C4" w14:textId="77777777" w:rsidR="00E90C22" w:rsidRPr="00431565" w:rsidRDefault="00E90C22" w:rsidP="00012435">
            <w:pPr>
              <w:spacing w:after="0" w:line="240" w:lineRule="auto"/>
              <w:jc w:val="right"/>
              <w:rPr>
                <w:rFonts w:ascii="Arial" w:hAnsi="Arial" w:cs="Arial"/>
                <w:b/>
                <w:bCs/>
                <w:color w:val="000000"/>
                <w:sz w:val="20"/>
                <w:szCs w:val="20"/>
                <w:lang w:eastAsia="sl-SI"/>
              </w:rPr>
            </w:pPr>
            <w:r w:rsidRPr="00431565">
              <w:rPr>
                <w:rFonts w:ascii="Arial" w:hAnsi="Arial" w:cs="Arial"/>
                <w:b/>
                <w:bCs/>
                <w:color w:val="000000"/>
                <w:sz w:val="20"/>
                <w:szCs w:val="20"/>
                <w:lang w:eastAsia="sl-SI"/>
              </w:rPr>
              <w:t>840,3</w:t>
            </w:r>
          </w:p>
        </w:tc>
      </w:tr>
    </w:tbl>
    <w:p w14:paraId="32E0D044" w14:textId="369AF252" w:rsidR="00E4026D" w:rsidRPr="00012435" w:rsidRDefault="00E4026D" w:rsidP="007D746D">
      <w:pPr>
        <w:spacing w:after="0"/>
        <w:rPr>
          <w:rFonts w:ascii="Arial" w:hAnsi="Arial" w:cs="Arial"/>
          <w:i/>
          <w:sz w:val="18"/>
          <w:szCs w:val="18"/>
        </w:rPr>
      </w:pPr>
      <w:r w:rsidRPr="00012435">
        <w:rPr>
          <w:rFonts w:ascii="Arial" w:hAnsi="Arial" w:cs="Arial"/>
          <w:i/>
          <w:sz w:val="18"/>
          <w:szCs w:val="18"/>
        </w:rPr>
        <w:t>Vir: FURS in SURS ter lastni izračuni MF</w:t>
      </w:r>
    </w:p>
    <w:p w14:paraId="75A28004" w14:textId="77777777" w:rsidR="00E4026D" w:rsidRPr="00012435" w:rsidRDefault="00E4026D" w:rsidP="007D746D">
      <w:pPr>
        <w:spacing w:after="0" w:line="260" w:lineRule="atLeast"/>
        <w:jc w:val="both"/>
        <w:rPr>
          <w:rFonts w:ascii="Arial" w:hAnsi="Arial" w:cs="Arial"/>
          <w:color w:val="7F7F7F"/>
          <w:sz w:val="20"/>
          <w:szCs w:val="20"/>
        </w:rPr>
      </w:pPr>
    </w:p>
    <w:p w14:paraId="761605F2" w14:textId="25FB5FE1" w:rsidR="00E4026D" w:rsidRPr="002027C7" w:rsidRDefault="00E4026D" w:rsidP="002027C7">
      <w:pPr>
        <w:spacing w:after="0" w:line="260" w:lineRule="atLeast"/>
        <w:jc w:val="both"/>
        <w:rPr>
          <w:rFonts w:ascii="Arial" w:hAnsi="Arial" w:cs="Arial"/>
          <w:sz w:val="20"/>
          <w:szCs w:val="20"/>
        </w:rPr>
      </w:pPr>
      <w:r w:rsidRPr="002027C7">
        <w:rPr>
          <w:rFonts w:ascii="Arial" w:hAnsi="Arial" w:cs="Arial"/>
          <w:sz w:val="20"/>
          <w:szCs w:val="20"/>
        </w:rPr>
        <w:t xml:space="preserve">V </w:t>
      </w:r>
      <w:r w:rsidR="004178E4">
        <w:rPr>
          <w:rFonts w:ascii="Arial" w:hAnsi="Arial" w:cs="Arial"/>
          <w:sz w:val="20"/>
          <w:szCs w:val="20"/>
        </w:rPr>
        <w:t>preglednici</w:t>
      </w:r>
      <w:r w:rsidRPr="002027C7">
        <w:rPr>
          <w:rFonts w:ascii="Arial" w:hAnsi="Arial" w:cs="Arial"/>
          <w:sz w:val="20"/>
          <w:szCs w:val="20"/>
        </w:rPr>
        <w:t xml:space="preserve"> 1</w:t>
      </w:r>
      <w:r w:rsidR="00091D42">
        <w:rPr>
          <w:rFonts w:ascii="Arial" w:hAnsi="Arial" w:cs="Arial"/>
          <w:sz w:val="20"/>
          <w:szCs w:val="20"/>
        </w:rPr>
        <w:t>2</w:t>
      </w:r>
      <w:r w:rsidRPr="002027C7">
        <w:rPr>
          <w:rFonts w:ascii="Arial" w:hAnsi="Arial" w:cs="Arial"/>
          <w:sz w:val="20"/>
          <w:szCs w:val="20"/>
        </w:rPr>
        <w:t xml:space="preserve"> so p</w:t>
      </w:r>
      <w:r w:rsidR="004178E4">
        <w:rPr>
          <w:rFonts w:ascii="Arial" w:hAnsi="Arial" w:cs="Arial"/>
          <w:sz w:val="20"/>
          <w:szCs w:val="20"/>
        </w:rPr>
        <w:t>rikazani</w:t>
      </w:r>
      <w:r w:rsidRPr="002027C7">
        <w:rPr>
          <w:rFonts w:ascii="Arial" w:hAnsi="Arial" w:cs="Arial"/>
          <w:sz w:val="20"/>
          <w:szCs w:val="20"/>
        </w:rPr>
        <w:t xml:space="preserve"> učinki </w:t>
      </w:r>
      <w:r w:rsidR="00BE46E3">
        <w:rPr>
          <w:rFonts w:ascii="Arial" w:hAnsi="Arial" w:cs="Arial"/>
          <w:sz w:val="20"/>
          <w:szCs w:val="20"/>
        </w:rPr>
        <w:t>zvišanja</w:t>
      </w:r>
      <w:r w:rsidRPr="002027C7">
        <w:rPr>
          <w:rFonts w:ascii="Arial" w:hAnsi="Arial" w:cs="Arial"/>
          <w:sz w:val="20"/>
          <w:szCs w:val="20"/>
        </w:rPr>
        <w:t xml:space="preserve"> znižane davčne stopnje </w:t>
      </w:r>
      <w:r w:rsidR="00386818">
        <w:rPr>
          <w:rFonts w:ascii="Arial" w:hAnsi="Arial" w:cs="Arial"/>
          <w:sz w:val="20"/>
          <w:szCs w:val="20"/>
        </w:rPr>
        <w:t>DDV</w:t>
      </w:r>
      <w:r w:rsidRPr="002027C7">
        <w:rPr>
          <w:rFonts w:ascii="Arial" w:hAnsi="Arial" w:cs="Arial"/>
          <w:sz w:val="20"/>
          <w:szCs w:val="20"/>
        </w:rPr>
        <w:t xml:space="preserve"> (9,5 %) na splošno 22</w:t>
      </w:r>
      <w:r w:rsidR="004178E4">
        <w:rPr>
          <w:rFonts w:ascii="Arial" w:hAnsi="Arial" w:cs="Arial"/>
          <w:sz w:val="20"/>
          <w:szCs w:val="20"/>
        </w:rPr>
        <w:t>-odstotno</w:t>
      </w:r>
      <w:r w:rsidRPr="002027C7">
        <w:rPr>
          <w:rFonts w:ascii="Arial" w:hAnsi="Arial" w:cs="Arial"/>
          <w:sz w:val="20"/>
          <w:szCs w:val="20"/>
        </w:rPr>
        <w:t xml:space="preserve"> davčno stopnjo. Največji davčni </w:t>
      </w:r>
      <w:r w:rsidR="00176C8A">
        <w:rPr>
          <w:rFonts w:ascii="Arial" w:hAnsi="Arial" w:cs="Arial"/>
          <w:sz w:val="20"/>
          <w:szCs w:val="20"/>
        </w:rPr>
        <w:t>izdatek</w:t>
      </w:r>
      <w:r w:rsidR="00176C8A" w:rsidRPr="002027C7">
        <w:rPr>
          <w:rFonts w:ascii="Arial" w:hAnsi="Arial" w:cs="Arial"/>
          <w:sz w:val="20"/>
          <w:szCs w:val="20"/>
        </w:rPr>
        <w:t xml:space="preserve"> </w:t>
      </w:r>
      <w:r w:rsidRPr="002027C7">
        <w:rPr>
          <w:rFonts w:ascii="Arial" w:hAnsi="Arial" w:cs="Arial"/>
          <w:sz w:val="20"/>
          <w:szCs w:val="20"/>
        </w:rPr>
        <w:t>med izdelki, ki so obdavčeni po nižji stopnji</w:t>
      </w:r>
      <w:r w:rsidR="0041528F">
        <w:rPr>
          <w:rFonts w:ascii="Arial" w:hAnsi="Arial" w:cs="Arial"/>
          <w:sz w:val="20"/>
          <w:szCs w:val="20"/>
        </w:rPr>
        <w:t>,</w:t>
      </w:r>
      <w:r w:rsidRPr="002027C7">
        <w:rPr>
          <w:rFonts w:ascii="Arial" w:hAnsi="Arial" w:cs="Arial"/>
          <w:sz w:val="20"/>
          <w:szCs w:val="20"/>
        </w:rPr>
        <w:t xml:space="preserve"> p</w:t>
      </w:r>
      <w:r w:rsidR="004178E4">
        <w:rPr>
          <w:rFonts w:ascii="Arial" w:hAnsi="Arial" w:cs="Arial"/>
          <w:sz w:val="20"/>
          <w:szCs w:val="20"/>
        </w:rPr>
        <w:t>omenita</w:t>
      </w:r>
      <w:r w:rsidRPr="002027C7">
        <w:rPr>
          <w:rFonts w:ascii="Arial" w:hAnsi="Arial" w:cs="Arial"/>
          <w:sz w:val="20"/>
          <w:szCs w:val="20"/>
        </w:rPr>
        <w:t xml:space="preserve"> hrana in pijača</w:t>
      </w:r>
      <w:r w:rsidR="004178E4">
        <w:rPr>
          <w:rFonts w:ascii="Arial" w:hAnsi="Arial" w:cs="Arial"/>
          <w:sz w:val="20"/>
          <w:szCs w:val="20"/>
        </w:rPr>
        <w:t>, in sicer</w:t>
      </w:r>
      <w:r w:rsidRPr="002027C7">
        <w:rPr>
          <w:rFonts w:ascii="Arial" w:hAnsi="Arial" w:cs="Arial"/>
          <w:sz w:val="20"/>
          <w:szCs w:val="20"/>
        </w:rPr>
        <w:t xml:space="preserve"> 3</w:t>
      </w:r>
      <w:r w:rsidR="00E90C22">
        <w:rPr>
          <w:rFonts w:ascii="Arial" w:hAnsi="Arial" w:cs="Arial"/>
          <w:sz w:val="20"/>
          <w:szCs w:val="20"/>
        </w:rPr>
        <w:t>37</w:t>
      </w:r>
      <w:r w:rsidRPr="002027C7">
        <w:rPr>
          <w:rFonts w:ascii="Arial" w:hAnsi="Arial" w:cs="Arial"/>
          <w:sz w:val="20"/>
          <w:szCs w:val="20"/>
        </w:rPr>
        <w:t xml:space="preserve"> mio evrov. Davčni </w:t>
      </w:r>
      <w:r w:rsidR="00176C8A">
        <w:rPr>
          <w:rFonts w:ascii="Arial" w:hAnsi="Arial" w:cs="Arial"/>
          <w:sz w:val="20"/>
          <w:szCs w:val="20"/>
        </w:rPr>
        <w:t>izdatek</w:t>
      </w:r>
      <w:r w:rsidR="00176C8A" w:rsidRPr="002027C7">
        <w:rPr>
          <w:rFonts w:ascii="Arial" w:hAnsi="Arial" w:cs="Arial"/>
          <w:sz w:val="20"/>
          <w:szCs w:val="20"/>
        </w:rPr>
        <w:t xml:space="preserve"> </w:t>
      </w:r>
      <w:r w:rsidRPr="002027C7">
        <w:rPr>
          <w:rFonts w:ascii="Arial" w:hAnsi="Arial" w:cs="Arial"/>
          <w:sz w:val="20"/>
          <w:szCs w:val="20"/>
        </w:rPr>
        <w:t>nižje stopnje za zdravila znaša 1</w:t>
      </w:r>
      <w:r w:rsidR="00E90C22">
        <w:rPr>
          <w:rFonts w:ascii="Arial" w:hAnsi="Arial" w:cs="Arial"/>
          <w:sz w:val="20"/>
          <w:szCs w:val="20"/>
        </w:rPr>
        <w:t>1</w:t>
      </w:r>
      <w:r w:rsidRPr="002027C7">
        <w:rPr>
          <w:rFonts w:ascii="Arial" w:hAnsi="Arial" w:cs="Arial"/>
          <w:sz w:val="20"/>
          <w:szCs w:val="20"/>
        </w:rPr>
        <w:t xml:space="preserve">9 mio evrov, medtem ko </w:t>
      </w:r>
      <w:r w:rsidR="00176C8A">
        <w:rPr>
          <w:rFonts w:ascii="Arial" w:hAnsi="Arial" w:cs="Arial"/>
          <w:sz w:val="20"/>
          <w:szCs w:val="20"/>
        </w:rPr>
        <w:t>izdatki</w:t>
      </w:r>
      <w:r w:rsidR="00176C8A" w:rsidRPr="002027C7">
        <w:rPr>
          <w:rFonts w:ascii="Arial" w:hAnsi="Arial" w:cs="Arial"/>
          <w:sz w:val="20"/>
          <w:szCs w:val="20"/>
        </w:rPr>
        <w:t xml:space="preserve"> </w:t>
      </w:r>
      <w:r w:rsidRPr="002027C7">
        <w:rPr>
          <w:rFonts w:ascii="Arial" w:hAnsi="Arial" w:cs="Arial"/>
          <w:sz w:val="20"/>
          <w:szCs w:val="20"/>
        </w:rPr>
        <w:t xml:space="preserve">za </w:t>
      </w:r>
      <w:r w:rsidR="004178E4">
        <w:rPr>
          <w:rFonts w:ascii="Arial" w:hAnsi="Arial" w:cs="Arial"/>
          <w:sz w:val="20"/>
          <w:szCs w:val="20"/>
        </w:rPr>
        <w:t>druge</w:t>
      </w:r>
      <w:r w:rsidRPr="002027C7">
        <w:rPr>
          <w:rFonts w:ascii="Arial" w:hAnsi="Arial" w:cs="Arial"/>
          <w:sz w:val="20"/>
          <w:szCs w:val="20"/>
        </w:rPr>
        <w:t xml:space="preserve"> vrste blaga in storitev </w:t>
      </w:r>
      <w:r w:rsidR="00386818">
        <w:rPr>
          <w:rFonts w:ascii="Arial" w:hAnsi="Arial" w:cs="Arial"/>
          <w:sz w:val="20"/>
          <w:szCs w:val="20"/>
        </w:rPr>
        <w:t xml:space="preserve">skupaj </w:t>
      </w:r>
      <w:r w:rsidR="004178E4">
        <w:rPr>
          <w:rFonts w:ascii="Arial" w:hAnsi="Arial" w:cs="Arial"/>
          <w:sz w:val="20"/>
          <w:szCs w:val="20"/>
        </w:rPr>
        <w:t>pomenijo</w:t>
      </w:r>
      <w:r w:rsidRPr="002027C7">
        <w:rPr>
          <w:rFonts w:ascii="Arial" w:hAnsi="Arial" w:cs="Arial"/>
          <w:sz w:val="20"/>
          <w:szCs w:val="20"/>
        </w:rPr>
        <w:t xml:space="preserve"> </w:t>
      </w:r>
      <w:r w:rsidR="00E90C22">
        <w:rPr>
          <w:rFonts w:ascii="Arial" w:hAnsi="Arial" w:cs="Arial"/>
          <w:sz w:val="20"/>
          <w:szCs w:val="20"/>
        </w:rPr>
        <w:t>le nekaj manj</w:t>
      </w:r>
      <w:r w:rsidRPr="002027C7">
        <w:rPr>
          <w:rFonts w:ascii="Arial" w:hAnsi="Arial" w:cs="Arial"/>
          <w:sz w:val="20"/>
          <w:szCs w:val="20"/>
        </w:rPr>
        <w:t xml:space="preserve"> k</w:t>
      </w:r>
      <w:r w:rsidR="004178E4">
        <w:rPr>
          <w:rFonts w:ascii="Arial" w:hAnsi="Arial" w:cs="Arial"/>
          <w:sz w:val="20"/>
          <w:szCs w:val="20"/>
        </w:rPr>
        <w:t>akor</w:t>
      </w:r>
      <w:r w:rsidRPr="002027C7">
        <w:rPr>
          <w:rFonts w:ascii="Arial" w:hAnsi="Arial" w:cs="Arial"/>
          <w:sz w:val="20"/>
          <w:szCs w:val="20"/>
        </w:rPr>
        <w:t xml:space="preserve"> samo </w:t>
      </w:r>
      <w:r w:rsidR="00386818">
        <w:rPr>
          <w:rFonts w:ascii="Arial" w:hAnsi="Arial" w:cs="Arial"/>
          <w:sz w:val="20"/>
          <w:szCs w:val="20"/>
        </w:rPr>
        <w:t xml:space="preserve">izdatek </w:t>
      </w:r>
      <w:r w:rsidRPr="002027C7">
        <w:rPr>
          <w:rFonts w:ascii="Arial" w:hAnsi="Arial" w:cs="Arial"/>
          <w:sz w:val="20"/>
          <w:szCs w:val="20"/>
        </w:rPr>
        <w:t>za hrano in pijačo (38</w:t>
      </w:r>
      <w:r w:rsidR="00E90C22">
        <w:rPr>
          <w:rFonts w:ascii="Arial" w:hAnsi="Arial" w:cs="Arial"/>
          <w:sz w:val="20"/>
          <w:szCs w:val="20"/>
        </w:rPr>
        <w:t>4</w:t>
      </w:r>
      <w:r w:rsidRPr="002027C7">
        <w:rPr>
          <w:rFonts w:ascii="Arial" w:hAnsi="Arial" w:cs="Arial"/>
          <w:sz w:val="20"/>
          <w:szCs w:val="20"/>
        </w:rPr>
        <w:t xml:space="preserve"> mio evrov).</w:t>
      </w:r>
      <w:r w:rsidR="001A7420">
        <w:rPr>
          <w:rFonts w:ascii="Arial" w:hAnsi="Arial" w:cs="Arial"/>
          <w:sz w:val="20"/>
          <w:szCs w:val="20"/>
        </w:rPr>
        <w:t xml:space="preserve"> Razlike v zneskih davčnega izdatk</w:t>
      </w:r>
      <w:r w:rsidR="0041528F">
        <w:rPr>
          <w:rFonts w:ascii="Arial" w:hAnsi="Arial" w:cs="Arial"/>
          <w:sz w:val="20"/>
          <w:szCs w:val="20"/>
        </w:rPr>
        <w:t>a</w:t>
      </w:r>
      <w:r w:rsidR="001A7420">
        <w:rPr>
          <w:rFonts w:ascii="Arial" w:hAnsi="Arial" w:cs="Arial"/>
          <w:sz w:val="20"/>
          <w:szCs w:val="20"/>
        </w:rPr>
        <w:t xml:space="preserve"> v primerjavi s </w:t>
      </w:r>
      <w:r w:rsidR="001A7420">
        <w:rPr>
          <w:rFonts w:ascii="Arial" w:hAnsi="Arial" w:cs="Arial"/>
          <w:sz w:val="20"/>
          <w:szCs w:val="20"/>
        </w:rPr>
        <w:lastRenderedPageBreak/>
        <w:t>preteklim</w:t>
      </w:r>
      <w:r w:rsidR="00386818">
        <w:rPr>
          <w:rFonts w:ascii="Arial" w:hAnsi="Arial" w:cs="Arial"/>
          <w:sz w:val="20"/>
          <w:szCs w:val="20"/>
        </w:rPr>
        <w:t>a</w:t>
      </w:r>
      <w:r w:rsidR="001A7420">
        <w:rPr>
          <w:rFonts w:ascii="Arial" w:hAnsi="Arial" w:cs="Arial"/>
          <w:sz w:val="20"/>
          <w:szCs w:val="20"/>
        </w:rPr>
        <w:t xml:space="preserve"> dvema letoma (2016 in 2017) kažejo tako razlike v velikosti in strukturi potrošnje k</w:t>
      </w:r>
      <w:r w:rsidR="004178E4">
        <w:rPr>
          <w:rFonts w:ascii="Arial" w:hAnsi="Arial" w:cs="Arial"/>
          <w:sz w:val="20"/>
          <w:szCs w:val="20"/>
        </w:rPr>
        <w:t>akor tudi</w:t>
      </w:r>
      <w:r w:rsidR="001A7420">
        <w:rPr>
          <w:rFonts w:ascii="Arial" w:hAnsi="Arial" w:cs="Arial"/>
          <w:sz w:val="20"/>
          <w:szCs w:val="20"/>
        </w:rPr>
        <w:t xml:space="preserve"> v k</w:t>
      </w:r>
      <w:r w:rsidR="004178E4">
        <w:rPr>
          <w:rFonts w:ascii="Arial" w:hAnsi="Arial" w:cs="Arial"/>
          <w:sz w:val="20"/>
          <w:szCs w:val="20"/>
        </w:rPr>
        <w:t>akovosti</w:t>
      </w:r>
      <w:r w:rsidR="001A7420">
        <w:rPr>
          <w:rFonts w:ascii="Arial" w:hAnsi="Arial" w:cs="Arial"/>
          <w:sz w:val="20"/>
          <w:szCs w:val="20"/>
        </w:rPr>
        <w:t xml:space="preserve"> podatkov, ki so podlaga za izračune </w:t>
      </w:r>
      <w:r w:rsidR="00390A2A">
        <w:rPr>
          <w:rFonts w:ascii="Arial" w:hAnsi="Arial" w:cs="Arial"/>
          <w:sz w:val="20"/>
          <w:szCs w:val="20"/>
        </w:rPr>
        <w:t>oziroma</w:t>
      </w:r>
      <w:r w:rsidR="001A7420">
        <w:rPr>
          <w:rFonts w:ascii="Arial" w:hAnsi="Arial" w:cs="Arial"/>
          <w:sz w:val="20"/>
          <w:szCs w:val="20"/>
        </w:rPr>
        <w:t xml:space="preserve"> ocene.</w:t>
      </w:r>
    </w:p>
    <w:p w14:paraId="45EF15B7" w14:textId="77777777" w:rsidR="00E4026D" w:rsidRPr="002027C7" w:rsidRDefault="00E4026D" w:rsidP="002027C7">
      <w:pPr>
        <w:spacing w:after="0" w:line="260" w:lineRule="atLeast"/>
        <w:jc w:val="both"/>
        <w:rPr>
          <w:rFonts w:ascii="Arial" w:hAnsi="Arial" w:cs="Arial"/>
          <w:sz w:val="20"/>
          <w:szCs w:val="20"/>
        </w:rPr>
      </w:pPr>
    </w:p>
    <w:p w14:paraId="0020F09D" w14:textId="7F1363D2" w:rsidR="00E4026D" w:rsidRDefault="00E4026D" w:rsidP="002027C7">
      <w:pPr>
        <w:spacing w:after="0" w:line="260" w:lineRule="atLeast"/>
        <w:jc w:val="both"/>
        <w:rPr>
          <w:rFonts w:ascii="Arial" w:hAnsi="Arial" w:cs="Arial"/>
          <w:sz w:val="20"/>
          <w:szCs w:val="20"/>
        </w:rPr>
      </w:pPr>
      <w:r w:rsidRPr="002027C7">
        <w:rPr>
          <w:rFonts w:ascii="Arial" w:hAnsi="Arial" w:cs="Arial"/>
          <w:sz w:val="20"/>
          <w:szCs w:val="20"/>
        </w:rPr>
        <w:t>Znes</w:t>
      </w:r>
      <w:r w:rsidR="0041528F">
        <w:rPr>
          <w:rFonts w:ascii="Arial" w:hAnsi="Arial" w:cs="Arial"/>
          <w:sz w:val="20"/>
          <w:szCs w:val="20"/>
        </w:rPr>
        <w:t>ka</w:t>
      </w:r>
      <w:r w:rsidRPr="002027C7">
        <w:rPr>
          <w:rFonts w:ascii="Arial" w:hAnsi="Arial" w:cs="Arial"/>
          <w:sz w:val="20"/>
          <w:szCs w:val="20"/>
        </w:rPr>
        <w:t xml:space="preserve"> v </w:t>
      </w:r>
      <w:r w:rsidR="004178E4">
        <w:rPr>
          <w:rFonts w:ascii="Arial" w:hAnsi="Arial" w:cs="Arial"/>
          <w:sz w:val="20"/>
          <w:szCs w:val="20"/>
        </w:rPr>
        <w:t>preglednici</w:t>
      </w:r>
      <w:r w:rsidRPr="002027C7">
        <w:rPr>
          <w:rFonts w:ascii="Arial" w:hAnsi="Arial" w:cs="Arial"/>
          <w:sz w:val="20"/>
          <w:szCs w:val="20"/>
        </w:rPr>
        <w:t xml:space="preserve"> 1</w:t>
      </w:r>
      <w:r w:rsidR="00091D42">
        <w:rPr>
          <w:rFonts w:ascii="Arial" w:hAnsi="Arial" w:cs="Arial"/>
          <w:sz w:val="20"/>
          <w:szCs w:val="20"/>
        </w:rPr>
        <w:t>2</w:t>
      </w:r>
      <w:r w:rsidRPr="002027C7">
        <w:rPr>
          <w:rFonts w:ascii="Arial" w:hAnsi="Arial" w:cs="Arial"/>
          <w:sz w:val="20"/>
          <w:szCs w:val="20"/>
        </w:rPr>
        <w:t xml:space="preserve"> ne smemo </w:t>
      </w:r>
      <w:r w:rsidR="004178E4">
        <w:rPr>
          <w:rFonts w:ascii="Arial" w:hAnsi="Arial" w:cs="Arial"/>
          <w:sz w:val="20"/>
          <w:szCs w:val="20"/>
        </w:rPr>
        <w:t>razlagati</w:t>
      </w:r>
      <w:r w:rsidRPr="002027C7">
        <w:rPr>
          <w:rFonts w:ascii="Arial" w:hAnsi="Arial" w:cs="Arial"/>
          <w:sz w:val="20"/>
          <w:szCs w:val="20"/>
        </w:rPr>
        <w:t xml:space="preserve"> kot znesek, za katerega bi se povečali prihodki državnega proračuna iz DDV, </w:t>
      </w:r>
      <w:r w:rsidR="004178E4">
        <w:rPr>
          <w:rFonts w:ascii="Arial" w:hAnsi="Arial" w:cs="Arial"/>
          <w:sz w:val="20"/>
          <w:szCs w:val="20"/>
        </w:rPr>
        <w:t>če</w:t>
      </w:r>
      <w:r w:rsidRPr="002027C7">
        <w:rPr>
          <w:rFonts w:ascii="Arial" w:hAnsi="Arial" w:cs="Arial"/>
          <w:sz w:val="20"/>
          <w:szCs w:val="20"/>
        </w:rPr>
        <w:t xml:space="preserve"> bi veljala višja stopnja, ampak samo kot približek tega zneska. </w:t>
      </w:r>
      <w:r w:rsidR="00D41B4E">
        <w:rPr>
          <w:rFonts w:ascii="Arial" w:hAnsi="Arial" w:cs="Arial"/>
          <w:sz w:val="20"/>
          <w:szCs w:val="20"/>
        </w:rPr>
        <w:t>Pri tem velja opozoriti, da s</w:t>
      </w:r>
      <w:r w:rsidRPr="002027C7">
        <w:rPr>
          <w:rFonts w:ascii="Arial" w:hAnsi="Arial" w:cs="Arial"/>
          <w:sz w:val="20"/>
          <w:szCs w:val="20"/>
        </w:rPr>
        <w:t xml:space="preserve">prememba stopnje pri posamezni vrsti blaga ali storitve </w:t>
      </w:r>
      <w:r w:rsidR="0041528F" w:rsidRPr="002027C7">
        <w:rPr>
          <w:rFonts w:ascii="Arial" w:hAnsi="Arial" w:cs="Arial"/>
          <w:sz w:val="20"/>
          <w:szCs w:val="20"/>
        </w:rPr>
        <w:t>za končne potrošnik</w:t>
      </w:r>
      <w:r w:rsidR="0041528F">
        <w:rPr>
          <w:rFonts w:ascii="Arial" w:hAnsi="Arial" w:cs="Arial"/>
          <w:sz w:val="20"/>
          <w:szCs w:val="20"/>
        </w:rPr>
        <w:t>e</w:t>
      </w:r>
      <w:r w:rsidR="0041528F" w:rsidRPr="002027C7">
        <w:rPr>
          <w:rFonts w:ascii="Arial" w:hAnsi="Arial" w:cs="Arial"/>
          <w:sz w:val="20"/>
          <w:szCs w:val="20"/>
        </w:rPr>
        <w:t xml:space="preserve"> </w:t>
      </w:r>
      <w:r w:rsidRPr="002027C7">
        <w:rPr>
          <w:rFonts w:ascii="Arial" w:hAnsi="Arial" w:cs="Arial"/>
          <w:sz w:val="20"/>
          <w:szCs w:val="20"/>
        </w:rPr>
        <w:t>ne bi nujno pomenila zvišanj</w:t>
      </w:r>
      <w:r w:rsidR="0041528F">
        <w:rPr>
          <w:rFonts w:ascii="Arial" w:hAnsi="Arial" w:cs="Arial"/>
          <w:sz w:val="20"/>
          <w:szCs w:val="20"/>
        </w:rPr>
        <w:t>a</w:t>
      </w:r>
      <w:r w:rsidRPr="002027C7">
        <w:rPr>
          <w:rFonts w:ascii="Arial" w:hAnsi="Arial" w:cs="Arial"/>
          <w:sz w:val="20"/>
          <w:szCs w:val="20"/>
        </w:rPr>
        <w:t xml:space="preserve"> drobnoprodajni</w:t>
      </w:r>
      <w:r w:rsidR="00D41B4E">
        <w:rPr>
          <w:rFonts w:ascii="Arial" w:hAnsi="Arial" w:cs="Arial"/>
          <w:sz w:val="20"/>
          <w:szCs w:val="20"/>
        </w:rPr>
        <w:t>h</w:t>
      </w:r>
      <w:r w:rsidRPr="002027C7">
        <w:rPr>
          <w:rFonts w:ascii="Arial" w:hAnsi="Arial" w:cs="Arial"/>
          <w:sz w:val="20"/>
          <w:szCs w:val="20"/>
        </w:rPr>
        <w:t xml:space="preserve"> cen izdelkov za </w:t>
      </w:r>
      <w:r w:rsidR="004178E4">
        <w:rPr>
          <w:rFonts w:ascii="Arial" w:hAnsi="Arial" w:cs="Arial"/>
          <w:sz w:val="20"/>
          <w:szCs w:val="20"/>
        </w:rPr>
        <w:t>natančno</w:t>
      </w:r>
      <w:r w:rsidRPr="002027C7">
        <w:rPr>
          <w:rFonts w:ascii="Arial" w:hAnsi="Arial" w:cs="Arial"/>
          <w:sz w:val="20"/>
          <w:szCs w:val="20"/>
        </w:rPr>
        <w:t xml:space="preserve"> toliko</w:t>
      </w:r>
      <w:r w:rsidR="0041528F">
        <w:rPr>
          <w:rFonts w:ascii="Arial" w:hAnsi="Arial" w:cs="Arial"/>
          <w:sz w:val="20"/>
          <w:szCs w:val="20"/>
        </w:rPr>
        <w:t>,</w:t>
      </w:r>
      <w:r w:rsidRPr="002027C7">
        <w:rPr>
          <w:rFonts w:ascii="Arial" w:hAnsi="Arial" w:cs="Arial"/>
          <w:sz w:val="20"/>
          <w:szCs w:val="20"/>
        </w:rPr>
        <w:t xml:space="preserve"> k</w:t>
      </w:r>
      <w:r w:rsidR="004178E4">
        <w:rPr>
          <w:rFonts w:ascii="Arial" w:hAnsi="Arial" w:cs="Arial"/>
          <w:sz w:val="20"/>
          <w:szCs w:val="20"/>
        </w:rPr>
        <w:t>olikor</w:t>
      </w:r>
      <w:r w:rsidRPr="002027C7">
        <w:rPr>
          <w:rFonts w:ascii="Arial" w:hAnsi="Arial" w:cs="Arial"/>
          <w:sz w:val="20"/>
          <w:szCs w:val="20"/>
        </w:rPr>
        <w:t xml:space="preserve"> bi se povečal </w:t>
      </w:r>
      <w:r w:rsidR="0041528F">
        <w:rPr>
          <w:rFonts w:ascii="Arial" w:hAnsi="Arial" w:cs="Arial"/>
          <w:sz w:val="20"/>
          <w:szCs w:val="20"/>
        </w:rPr>
        <w:t>davek</w:t>
      </w:r>
      <w:r w:rsidR="00D41B4E">
        <w:rPr>
          <w:rFonts w:ascii="Arial" w:hAnsi="Arial" w:cs="Arial"/>
          <w:sz w:val="20"/>
          <w:szCs w:val="20"/>
        </w:rPr>
        <w:t>. P</w:t>
      </w:r>
      <w:r w:rsidRPr="002027C7">
        <w:rPr>
          <w:rFonts w:ascii="Arial" w:hAnsi="Arial" w:cs="Arial"/>
          <w:sz w:val="20"/>
          <w:szCs w:val="20"/>
        </w:rPr>
        <w:t>rav tako ne moremo vedeti</w:t>
      </w:r>
      <w:r w:rsidR="0041528F">
        <w:rPr>
          <w:rFonts w:ascii="Arial" w:hAnsi="Arial" w:cs="Arial"/>
          <w:sz w:val="20"/>
          <w:szCs w:val="20"/>
        </w:rPr>
        <w:t>,</w:t>
      </w:r>
      <w:r w:rsidRPr="002027C7">
        <w:rPr>
          <w:rFonts w:ascii="Arial" w:hAnsi="Arial" w:cs="Arial"/>
          <w:sz w:val="20"/>
          <w:szCs w:val="20"/>
        </w:rPr>
        <w:t xml:space="preserve"> kakšen </w:t>
      </w:r>
      <w:r w:rsidR="00D41B4E">
        <w:rPr>
          <w:rFonts w:ascii="Arial" w:hAnsi="Arial" w:cs="Arial"/>
          <w:sz w:val="20"/>
          <w:szCs w:val="20"/>
        </w:rPr>
        <w:t>bi bil</w:t>
      </w:r>
      <w:r w:rsidRPr="002027C7">
        <w:rPr>
          <w:rFonts w:ascii="Arial" w:hAnsi="Arial" w:cs="Arial"/>
          <w:sz w:val="20"/>
          <w:szCs w:val="20"/>
        </w:rPr>
        <w:t xml:space="preserve"> odziv potrošnikov, </w:t>
      </w:r>
      <w:r w:rsidR="00D41B4E">
        <w:rPr>
          <w:rFonts w:ascii="Arial" w:hAnsi="Arial" w:cs="Arial"/>
          <w:sz w:val="20"/>
          <w:szCs w:val="20"/>
        </w:rPr>
        <w:t xml:space="preserve">predvsem </w:t>
      </w:r>
      <w:r w:rsidRPr="002027C7">
        <w:rPr>
          <w:rFonts w:ascii="Arial" w:hAnsi="Arial" w:cs="Arial"/>
          <w:sz w:val="20"/>
          <w:szCs w:val="20"/>
        </w:rPr>
        <w:t xml:space="preserve">pa bi se zaradi predvidenega zvišanja cen zvišali tudi javnofinančni odhodki. </w:t>
      </w:r>
      <w:r w:rsidR="004178E4">
        <w:rPr>
          <w:rFonts w:ascii="Arial" w:hAnsi="Arial" w:cs="Arial"/>
          <w:sz w:val="20"/>
          <w:szCs w:val="20"/>
        </w:rPr>
        <w:t>To</w:t>
      </w:r>
      <w:r w:rsidRPr="002027C7">
        <w:rPr>
          <w:rFonts w:ascii="Arial" w:hAnsi="Arial" w:cs="Arial"/>
          <w:sz w:val="20"/>
          <w:szCs w:val="20"/>
        </w:rPr>
        <w:t xml:space="preserve"> bi se neposredno zgodilo zaradi višjih cen blaga in storitev, posredno pa tudi </w:t>
      </w:r>
      <w:r w:rsidR="004178E4">
        <w:rPr>
          <w:rFonts w:ascii="Arial" w:hAnsi="Arial" w:cs="Arial"/>
          <w:sz w:val="20"/>
          <w:szCs w:val="20"/>
        </w:rPr>
        <w:t>zaradi</w:t>
      </w:r>
      <w:r w:rsidRPr="002027C7">
        <w:rPr>
          <w:rFonts w:ascii="Arial" w:hAnsi="Arial" w:cs="Arial"/>
          <w:sz w:val="20"/>
          <w:szCs w:val="20"/>
        </w:rPr>
        <w:t xml:space="preserve"> višj</w:t>
      </w:r>
      <w:r w:rsidR="004178E4">
        <w:rPr>
          <w:rFonts w:ascii="Arial" w:hAnsi="Arial" w:cs="Arial"/>
          <w:sz w:val="20"/>
          <w:szCs w:val="20"/>
        </w:rPr>
        <w:t>ih</w:t>
      </w:r>
      <w:r w:rsidRPr="002027C7">
        <w:rPr>
          <w:rFonts w:ascii="Arial" w:hAnsi="Arial" w:cs="Arial"/>
          <w:sz w:val="20"/>
          <w:szCs w:val="20"/>
        </w:rPr>
        <w:t xml:space="preserve"> socialn</w:t>
      </w:r>
      <w:r w:rsidR="004178E4">
        <w:rPr>
          <w:rFonts w:ascii="Arial" w:hAnsi="Arial" w:cs="Arial"/>
          <w:sz w:val="20"/>
          <w:szCs w:val="20"/>
        </w:rPr>
        <w:t>ih</w:t>
      </w:r>
      <w:r w:rsidRPr="002027C7">
        <w:rPr>
          <w:rFonts w:ascii="Arial" w:hAnsi="Arial" w:cs="Arial"/>
          <w:sz w:val="20"/>
          <w:szCs w:val="20"/>
        </w:rPr>
        <w:t xml:space="preserve"> in drug</w:t>
      </w:r>
      <w:r w:rsidR="004178E4">
        <w:rPr>
          <w:rFonts w:ascii="Arial" w:hAnsi="Arial" w:cs="Arial"/>
          <w:sz w:val="20"/>
          <w:szCs w:val="20"/>
        </w:rPr>
        <w:t>ih</w:t>
      </w:r>
      <w:r w:rsidRPr="002027C7">
        <w:rPr>
          <w:rFonts w:ascii="Arial" w:hAnsi="Arial" w:cs="Arial"/>
          <w:sz w:val="20"/>
          <w:szCs w:val="20"/>
        </w:rPr>
        <w:t xml:space="preserve"> transferj</w:t>
      </w:r>
      <w:r w:rsidR="0077124F">
        <w:rPr>
          <w:rFonts w:ascii="Arial" w:hAnsi="Arial" w:cs="Arial"/>
          <w:sz w:val="20"/>
          <w:szCs w:val="20"/>
        </w:rPr>
        <w:t>e</w:t>
      </w:r>
      <w:r w:rsidR="004178E4">
        <w:rPr>
          <w:rFonts w:ascii="Arial" w:hAnsi="Arial" w:cs="Arial"/>
          <w:sz w:val="20"/>
          <w:szCs w:val="20"/>
        </w:rPr>
        <w:t>v</w:t>
      </w:r>
      <w:r w:rsidRPr="002027C7">
        <w:rPr>
          <w:rFonts w:ascii="Arial" w:hAnsi="Arial" w:cs="Arial"/>
          <w:sz w:val="20"/>
          <w:szCs w:val="20"/>
        </w:rPr>
        <w:t xml:space="preserve"> zaradi </w:t>
      </w:r>
      <w:r w:rsidR="00CD5597">
        <w:rPr>
          <w:rFonts w:ascii="Arial" w:hAnsi="Arial" w:cs="Arial"/>
          <w:sz w:val="20"/>
          <w:szCs w:val="20"/>
        </w:rPr>
        <w:t xml:space="preserve">zviševanja </w:t>
      </w:r>
      <w:r w:rsidR="004178E4">
        <w:rPr>
          <w:rFonts w:ascii="Arial" w:hAnsi="Arial" w:cs="Arial"/>
          <w:sz w:val="20"/>
          <w:szCs w:val="20"/>
        </w:rPr>
        <w:t>kazalnikov</w:t>
      </w:r>
      <w:r w:rsidRPr="002027C7">
        <w:rPr>
          <w:rFonts w:ascii="Arial" w:hAnsi="Arial" w:cs="Arial"/>
          <w:sz w:val="20"/>
          <w:szCs w:val="20"/>
        </w:rPr>
        <w:t xml:space="preserve"> (</w:t>
      </w:r>
      <w:r w:rsidR="00544498">
        <w:rPr>
          <w:rFonts w:ascii="Arial" w:hAnsi="Arial" w:cs="Arial"/>
          <w:sz w:val="20"/>
          <w:szCs w:val="20"/>
        </w:rPr>
        <w:t>na primer</w:t>
      </w:r>
      <w:r w:rsidRPr="002027C7">
        <w:rPr>
          <w:rFonts w:ascii="Arial" w:hAnsi="Arial" w:cs="Arial"/>
          <w:sz w:val="20"/>
          <w:szCs w:val="20"/>
        </w:rPr>
        <w:t xml:space="preserve"> inflacije)</w:t>
      </w:r>
      <w:r w:rsidR="0077124F">
        <w:rPr>
          <w:rFonts w:ascii="Arial" w:hAnsi="Arial" w:cs="Arial"/>
          <w:sz w:val="20"/>
          <w:szCs w:val="20"/>
        </w:rPr>
        <w:t>, ki</w:t>
      </w:r>
      <w:r w:rsidRPr="002027C7">
        <w:rPr>
          <w:rFonts w:ascii="Arial" w:hAnsi="Arial" w:cs="Arial"/>
          <w:sz w:val="20"/>
          <w:szCs w:val="20"/>
        </w:rPr>
        <w:t xml:space="preserve"> so posredno ali neposredno vezani na določene javnofinančne odhodke.</w:t>
      </w:r>
    </w:p>
    <w:p w14:paraId="16FC8E1F" w14:textId="44F9FF9F" w:rsidR="006C349C" w:rsidRDefault="006C349C" w:rsidP="002027C7">
      <w:pPr>
        <w:spacing w:after="0" w:line="260" w:lineRule="atLeast"/>
        <w:jc w:val="both"/>
        <w:rPr>
          <w:rFonts w:ascii="Arial" w:hAnsi="Arial" w:cs="Arial"/>
          <w:sz w:val="20"/>
          <w:szCs w:val="20"/>
        </w:rPr>
      </w:pPr>
    </w:p>
    <w:p w14:paraId="45D062CF" w14:textId="7CC2ACED" w:rsidR="006C349C" w:rsidRPr="002027C7" w:rsidRDefault="006C349C" w:rsidP="002027C7">
      <w:pPr>
        <w:spacing w:after="0" w:line="260" w:lineRule="atLeast"/>
        <w:jc w:val="both"/>
        <w:rPr>
          <w:rFonts w:ascii="Arial" w:hAnsi="Arial" w:cs="Arial"/>
          <w:sz w:val="20"/>
          <w:szCs w:val="20"/>
        </w:rPr>
      </w:pPr>
      <w:r>
        <w:rPr>
          <w:rFonts w:ascii="Arial" w:hAnsi="Arial" w:cs="Arial"/>
          <w:sz w:val="20"/>
          <w:szCs w:val="20"/>
        </w:rPr>
        <w:t>Med davčne izdatke štejemo tudi oprostitev DDV za letalske p</w:t>
      </w:r>
      <w:r w:rsidR="00001FF7">
        <w:rPr>
          <w:rFonts w:ascii="Arial" w:hAnsi="Arial" w:cs="Arial"/>
          <w:sz w:val="20"/>
          <w:szCs w:val="20"/>
        </w:rPr>
        <w:t>revoze izven Slovenije. Če odštejemo potrošnj</w:t>
      </w:r>
      <w:r w:rsidR="00386818">
        <w:rPr>
          <w:rFonts w:ascii="Arial" w:hAnsi="Arial" w:cs="Arial"/>
          <w:sz w:val="20"/>
          <w:szCs w:val="20"/>
        </w:rPr>
        <w:t>o</w:t>
      </w:r>
      <w:r w:rsidR="004178E4">
        <w:rPr>
          <w:rFonts w:ascii="Arial" w:hAnsi="Arial" w:cs="Arial"/>
          <w:sz w:val="20"/>
          <w:szCs w:val="20"/>
        </w:rPr>
        <w:t xml:space="preserve"> </w:t>
      </w:r>
      <w:r w:rsidR="00001FF7">
        <w:rPr>
          <w:rFonts w:ascii="Arial" w:hAnsi="Arial" w:cs="Arial"/>
          <w:sz w:val="20"/>
          <w:szCs w:val="20"/>
        </w:rPr>
        <w:t>zavezancev</w:t>
      </w:r>
      <w:r w:rsidR="004178E4">
        <w:rPr>
          <w:rFonts w:ascii="Arial" w:hAnsi="Arial" w:cs="Arial"/>
          <w:sz w:val="20"/>
          <w:szCs w:val="20"/>
        </w:rPr>
        <w:t xml:space="preserve"> za DDV</w:t>
      </w:r>
      <w:r w:rsidR="00001FF7">
        <w:rPr>
          <w:rFonts w:ascii="Arial" w:hAnsi="Arial" w:cs="Arial"/>
          <w:sz w:val="20"/>
          <w:szCs w:val="20"/>
        </w:rPr>
        <w:t xml:space="preserve"> (podjetij), ki bi DDV lahko odbijale, znaša potrošnja za te storitve po oceni FURS okoli 150 mio evrov letno. Ob upoštevanju 22</w:t>
      </w:r>
      <w:r w:rsidR="004178E4">
        <w:rPr>
          <w:rFonts w:ascii="Arial" w:hAnsi="Arial" w:cs="Arial"/>
          <w:sz w:val="20"/>
          <w:szCs w:val="20"/>
        </w:rPr>
        <w:t>-odstotne</w:t>
      </w:r>
      <w:r w:rsidR="00001FF7">
        <w:rPr>
          <w:rFonts w:ascii="Arial" w:hAnsi="Arial" w:cs="Arial"/>
          <w:sz w:val="20"/>
          <w:szCs w:val="20"/>
        </w:rPr>
        <w:t xml:space="preserve"> stopnje bi tako davčni izdatek iz tega naslova znašal 33 mio evrov. Ker gre za dokaj grobo oceno </w:t>
      </w:r>
      <w:r w:rsidR="004178E4">
        <w:rPr>
          <w:rFonts w:ascii="Arial" w:hAnsi="Arial" w:cs="Arial"/>
          <w:sz w:val="20"/>
          <w:szCs w:val="20"/>
        </w:rPr>
        <w:t>s številnimi</w:t>
      </w:r>
      <w:r w:rsidR="00001FF7">
        <w:rPr>
          <w:rFonts w:ascii="Arial" w:hAnsi="Arial" w:cs="Arial"/>
          <w:sz w:val="20"/>
          <w:szCs w:val="20"/>
        </w:rPr>
        <w:t xml:space="preserve"> poenostavljenimi predpostavkami, tega zneska nismo vključili v </w:t>
      </w:r>
      <w:r w:rsidR="004178E4">
        <w:rPr>
          <w:rFonts w:ascii="Arial" w:hAnsi="Arial" w:cs="Arial"/>
          <w:sz w:val="20"/>
          <w:szCs w:val="20"/>
        </w:rPr>
        <w:t>preglednico</w:t>
      </w:r>
      <w:r w:rsidR="00001FF7">
        <w:rPr>
          <w:rFonts w:ascii="Arial" w:hAnsi="Arial" w:cs="Arial"/>
          <w:sz w:val="20"/>
          <w:szCs w:val="20"/>
        </w:rPr>
        <w:t xml:space="preserve"> 1</w:t>
      </w:r>
      <w:r w:rsidR="00A76571">
        <w:rPr>
          <w:rFonts w:ascii="Arial" w:hAnsi="Arial" w:cs="Arial"/>
          <w:sz w:val="20"/>
          <w:szCs w:val="20"/>
        </w:rPr>
        <w:t>2</w:t>
      </w:r>
      <w:r w:rsidR="00001FF7">
        <w:rPr>
          <w:rFonts w:ascii="Arial" w:hAnsi="Arial" w:cs="Arial"/>
          <w:sz w:val="20"/>
          <w:szCs w:val="20"/>
        </w:rPr>
        <w:t>. Gre le za okvir</w:t>
      </w:r>
      <w:r w:rsidR="004178E4">
        <w:rPr>
          <w:rFonts w:ascii="Arial" w:hAnsi="Arial" w:cs="Arial"/>
          <w:sz w:val="20"/>
          <w:szCs w:val="20"/>
        </w:rPr>
        <w:t>ni</w:t>
      </w:r>
      <w:r w:rsidR="00001FF7">
        <w:rPr>
          <w:rFonts w:ascii="Arial" w:hAnsi="Arial" w:cs="Arial"/>
          <w:sz w:val="20"/>
          <w:szCs w:val="20"/>
        </w:rPr>
        <w:t xml:space="preserve"> znesek davčnega izdatka.</w:t>
      </w:r>
    </w:p>
    <w:p w14:paraId="0E9A81F1" w14:textId="0D94F89E" w:rsidR="00E4026D" w:rsidRPr="00012435" w:rsidRDefault="00E4026D" w:rsidP="00012435">
      <w:pPr>
        <w:spacing w:after="0"/>
        <w:rPr>
          <w:rFonts w:ascii="Arial" w:hAnsi="Arial" w:cs="Arial"/>
          <w:b/>
          <w:color w:val="7F7F7F"/>
        </w:rPr>
      </w:pPr>
    </w:p>
    <w:p w14:paraId="5877BBA7" w14:textId="5E9802EF" w:rsidR="00E4026D" w:rsidRPr="00012435" w:rsidRDefault="00D267A2" w:rsidP="00012435">
      <w:pPr>
        <w:pStyle w:val="Heading2"/>
        <w:spacing w:before="0" w:after="0"/>
        <w:rPr>
          <w:rFonts w:ascii="Arial" w:hAnsi="Arial" w:cs="Arial"/>
        </w:rPr>
      </w:pPr>
      <w:r w:rsidRPr="00012435">
        <w:rPr>
          <w:rFonts w:ascii="Arial" w:hAnsi="Arial" w:cs="Arial"/>
        </w:rPr>
        <w:t>2</w:t>
      </w:r>
      <w:r w:rsidR="00E4026D" w:rsidRPr="00012435">
        <w:rPr>
          <w:rFonts w:ascii="Arial" w:hAnsi="Arial" w:cs="Arial"/>
        </w:rPr>
        <w:t>. POVZETKI IN KLJUČNE UGOTOVITVE</w:t>
      </w:r>
    </w:p>
    <w:p w14:paraId="0466E0B5" w14:textId="77777777" w:rsidR="00E4026D" w:rsidRPr="004931BE" w:rsidRDefault="00E4026D">
      <w:pPr>
        <w:spacing w:after="0" w:line="260" w:lineRule="atLeast"/>
        <w:rPr>
          <w:rFonts w:ascii="Arial" w:eastAsia="Times New Roman" w:hAnsi="Arial" w:cs="Arial"/>
          <w:b/>
          <w:sz w:val="20"/>
          <w:szCs w:val="20"/>
          <w:lang w:eastAsia="sl-SI"/>
        </w:rPr>
      </w:pPr>
    </w:p>
    <w:p w14:paraId="79C73241" w14:textId="1AEAA0F2" w:rsidR="00E4026D" w:rsidRPr="00F818AD" w:rsidRDefault="00E4026D" w:rsidP="00F818AD">
      <w:pPr>
        <w:autoSpaceDE w:val="0"/>
        <w:autoSpaceDN w:val="0"/>
        <w:adjustRightInd w:val="0"/>
        <w:spacing w:after="0" w:line="260" w:lineRule="atLeast"/>
        <w:jc w:val="both"/>
        <w:rPr>
          <w:rFonts w:ascii="Arial" w:eastAsia="Times New Roman" w:hAnsi="Arial" w:cs="Arial"/>
          <w:sz w:val="20"/>
          <w:szCs w:val="20"/>
          <w:lang w:eastAsia="sl-SI"/>
        </w:rPr>
      </w:pPr>
      <w:r w:rsidRPr="00F818AD">
        <w:rPr>
          <w:rFonts w:ascii="Arial" w:eastAsia="Times New Roman" w:hAnsi="Arial" w:cs="Arial"/>
          <w:sz w:val="20"/>
          <w:szCs w:val="20"/>
          <w:lang w:eastAsia="sl-SI"/>
        </w:rPr>
        <w:t xml:space="preserve">Za odgovorno in gospodarski rasti prijazno </w:t>
      </w:r>
      <w:r w:rsidR="006F5258">
        <w:rPr>
          <w:rFonts w:ascii="Arial" w:eastAsia="Times New Roman" w:hAnsi="Arial" w:cs="Arial"/>
          <w:sz w:val="20"/>
          <w:szCs w:val="20"/>
          <w:lang w:eastAsia="sl-SI"/>
        </w:rPr>
        <w:t>javnofinanč</w:t>
      </w:r>
      <w:r w:rsidRPr="00F818AD">
        <w:rPr>
          <w:rFonts w:ascii="Arial" w:eastAsia="Times New Roman" w:hAnsi="Arial" w:cs="Arial"/>
          <w:sz w:val="20"/>
          <w:szCs w:val="20"/>
          <w:lang w:eastAsia="sl-SI"/>
        </w:rPr>
        <w:t xml:space="preserve">no konsolidacijo javnih financ imajo davčni </w:t>
      </w:r>
      <w:r w:rsidR="00D267A2">
        <w:rPr>
          <w:rFonts w:ascii="Arial" w:eastAsia="Times New Roman" w:hAnsi="Arial" w:cs="Arial"/>
          <w:sz w:val="20"/>
          <w:szCs w:val="20"/>
          <w:lang w:eastAsia="sl-SI"/>
        </w:rPr>
        <w:t>izdatk</w:t>
      </w:r>
      <w:r w:rsidR="00D267A2" w:rsidRPr="00F818AD">
        <w:rPr>
          <w:rFonts w:ascii="Arial" w:eastAsia="Times New Roman" w:hAnsi="Arial" w:cs="Arial"/>
          <w:sz w:val="20"/>
          <w:szCs w:val="20"/>
          <w:lang w:eastAsia="sl-SI"/>
        </w:rPr>
        <w:t xml:space="preserve">i </w:t>
      </w:r>
      <w:r w:rsidRPr="00F818AD">
        <w:rPr>
          <w:rFonts w:ascii="Arial" w:eastAsia="Times New Roman" w:hAnsi="Arial" w:cs="Arial"/>
          <w:sz w:val="20"/>
          <w:szCs w:val="20"/>
          <w:lang w:eastAsia="sl-SI"/>
        </w:rPr>
        <w:t>velik pomen. Z ustreznimi spremembami davčne zakonodaje, ki temelji predvsem na širitvi davčne osnove</w:t>
      </w:r>
      <w:r w:rsidR="004178E4">
        <w:rPr>
          <w:rFonts w:ascii="Arial" w:eastAsia="Times New Roman" w:hAnsi="Arial" w:cs="Arial"/>
          <w:sz w:val="20"/>
          <w:szCs w:val="20"/>
          <w:lang w:eastAsia="sl-SI"/>
        </w:rPr>
        <w:t>,</w:t>
      </w:r>
      <w:r w:rsidRPr="00F818AD">
        <w:rPr>
          <w:rFonts w:ascii="Arial" w:eastAsia="Times New Roman" w:hAnsi="Arial" w:cs="Arial"/>
          <w:sz w:val="20"/>
          <w:szCs w:val="20"/>
          <w:lang w:eastAsia="sl-SI"/>
        </w:rPr>
        <w:t xml:space="preserve"> in ne na višanju davkov, lahko dosežemo </w:t>
      </w:r>
      <w:r w:rsidR="004178E4">
        <w:rPr>
          <w:rFonts w:ascii="Arial" w:eastAsia="Times New Roman" w:hAnsi="Arial" w:cs="Arial"/>
          <w:sz w:val="20"/>
          <w:szCs w:val="20"/>
          <w:lang w:eastAsia="sl-SI"/>
        </w:rPr>
        <w:t>dobre</w:t>
      </w:r>
      <w:r w:rsidRPr="00F818AD">
        <w:rPr>
          <w:rFonts w:ascii="Arial" w:eastAsia="Times New Roman" w:hAnsi="Arial" w:cs="Arial"/>
          <w:sz w:val="20"/>
          <w:szCs w:val="20"/>
          <w:lang w:eastAsia="sl-SI"/>
        </w:rPr>
        <w:t xml:space="preserve"> učinke, in sicer na eni strani </w:t>
      </w:r>
      <w:r w:rsidR="00FF38C5">
        <w:rPr>
          <w:rFonts w:ascii="Arial" w:eastAsia="Times New Roman" w:hAnsi="Arial" w:cs="Arial"/>
          <w:sz w:val="20"/>
          <w:szCs w:val="20"/>
          <w:lang w:eastAsia="sl-SI"/>
        </w:rPr>
        <w:t>pri</w:t>
      </w:r>
      <w:r w:rsidRPr="00F818AD">
        <w:rPr>
          <w:rFonts w:ascii="Arial" w:eastAsia="Times New Roman" w:hAnsi="Arial" w:cs="Arial"/>
          <w:sz w:val="20"/>
          <w:szCs w:val="20"/>
          <w:lang w:eastAsia="sl-SI"/>
        </w:rPr>
        <w:t xml:space="preserve"> zvišanju davčnih prihodkov in na drugi strani, kar je enako pomembno, </w:t>
      </w:r>
      <w:r w:rsidR="00FF38C5">
        <w:rPr>
          <w:rFonts w:ascii="Arial" w:eastAsia="Times New Roman" w:hAnsi="Arial" w:cs="Arial"/>
          <w:sz w:val="20"/>
          <w:szCs w:val="20"/>
          <w:lang w:eastAsia="sl-SI"/>
        </w:rPr>
        <w:t>pri</w:t>
      </w:r>
      <w:r w:rsidRPr="00F818AD">
        <w:rPr>
          <w:rFonts w:ascii="Arial" w:eastAsia="Times New Roman" w:hAnsi="Arial" w:cs="Arial"/>
          <w:sz w:val="20"/>
          <w:szCs w:val="20"/>
          <w:lang w:eastAsia="sl-SI"/>
        </w:rPr>
        <w:t xml:space="preserve"> učinkovitosti, </w:t>
      </w:r>
      <w:r w:rsidR="00390A2A">
        <w:rPr>
          <w:rFonts w:ascii="Arial" w:eastAsia="Times New Roman" w:hAnsi="Arial" w:cs="Arial"/>
          <w:sz w:val="20"/>
          <w:szCs w:val="20"/>
          <w:lang w:eastAsia="sl-SI"/>
        </w:rPr>
        <w:t>preglednosti</w:t>
      </w:r>
      <w:r w:rsidR="004178E4">
        <w:rPr>
          <w:rFonts w:ascii="Arial" w:eastAsia="Times New Roman" w:hAnsi="Arial" w:cs="Arial"/>
          <w:sz w:val="20"/>
          <w:szCs w:val="20"/>
          <w:lang w:eastAsia="sl-SI"/>
        </w:rPr>
        <w:t xml:space="preserve"> in</w:t>
      </w:r>
      <w:r w:rsidRPr="00F818AD">
        <w:rPr>
          <w:rFonts w:ascii="Arial" w:eastAsia="Times New Roman" w:hAnsi="Arial" w:cs="Arial"/>
          <w:sz w:val="20"/>
          <w:szCs w:val="20"/>
          <w:lang w:eastAsia="sl-SI"/>
        </w:rPr>
        <w:t xml:space="preserve"> pravičnosti davčnega sistema ter </w:t>
      </w:r>
      <w:r w:rsidR="00FF38C5">
        <w:rPr>
          <w:rFonts w:ascii="Arial" w:eastAsia="Times New Roman" w:hAnsi="Arial" w:cs="Arial"/>
          <w:sz w:val="20"/>
          <w:szCs w:val="20"/>
          <w:lang w:eastAsia="sl-SI"/>
        </w:rPr>
        <w:t>pri</w:t>
      </w:r>
      <w:r w:rsidR="00FF38C5" w:rsidRPr="00F818AD">
        <w:rPr>
          <w:rFonts w:ascii="Arial" w:eastAsia="Times New Roman" w:hAnsi="Arial" w:cs="Arial"/>
          <w:sz w:val="20"/>
          <w:szCs w:val="20"/>
          <w:lang w:eastAsia="sl-SI"/>
        </w:rPr>
        <w:t xml:space="preserve"> </w:t>
      </w:r>
      <w:r w:rsidRPr="00F818AD">
        <w:rPr>
          <w:rFonts w:ascii="Arial" w:eastAsia="Times New Roman" w:hAnsi="Arial" w:cs="Arial"/>
          <w:sz w:val="20"/>
          <w:szCs w:val="20"/>
          <w:lang w:eastAsia="sl-SI"/>
        </w:rPr>
        <w:t>izboljšanju izpolnjevanja davčnih obveznosti</w:t>
      </w:r>
      <w:r w:rsidR="00775A16">
        <w:rPr>
          <w:rFonts w:ascii="Arial" w:eastAsia="Times New Roman" w:hAnsi="Arial" w:cs="Arial"/>
          <w:sz w:val="20"/>
          <w:szCs w:val="20"/>
          <w:lang w:eastAsia="sl-SI"/>
        </w:rPr>
        <w:t xml:space="preserve"> tudi </w:t>
      </w:r>
      <w:r w:rsidR="004178E4">
        <w:rPr>
          <w:rFonts w:ascii="Arial" w:eastAsia="Times New Roman" w:hAnsi="Arial" w:cs="Arial"/>
          <w:sz w:val="20"/>
          <w:szCs w:val="20"/>
          <w:lang w:eastAsia="sl-SI"/>
        </w:rPr>
        <w:t>z</w:t>
      </w:r>
      <w:r w:rsidR="00775A16">
        <w:rPr>
          <w:rFonts w:ascii="Arial" w:eastAsia="Times New Roman" w:hAnsi="Arial" w:cs="Arial"/>
          <w:sz w:val="20"/>
          <w:szCs w:val="20"/>
          <w:lang w:eastAsia="sl-SI"/>
        </w:rPr>
        <w:t xml:space="preserve"> zmanjšanj</w:t>
      </w:r>
      <w:r w:rsidR="004178E4">
        <w:rPr>
          <w:rFonts w:ascii="Arial" w:eastAsia="Times New Roman" w:hAnsi="Arial" w:cs="Arial"/>
          <w:sz w:val="20"/>
          <w:szCs w:val="20"/>
          <w:lang w:eastAsia="sl-SI"/>
        </w:rPr>
        <w:t>em</w:t>
      </w:r>
      <w:r w:rsidR="00775A16">
        <w:rPr>
          <w:rFonts w:ascii="Arial" w:eastAsia="Times New Roman" w:hAnsi="Arial" w:cs="Arial"/>
          <w:sz w:val="20"/>
          <w:szCs w:val="20"/>
          <w:lang w:eastAsia="sl-SI"/>
        </w:rPr>
        <w:t xml:space="preserve"> </w:t>
      </w:r>
      <w:r w:rsidR="004178E4">
        <w:rPr>
          <w:rFonts w:ascii="Arial" w:eastAsia="Times New Roman" w:hAnsi="Arial" w:cs="Arial"/>
          <w:sz w:val="20"/>
          <w:szCs w:val="20"/>
          <w:lang w:eastAsia="sl-SI"/>
        </w:rPr>
        <w:t>upravnih postopkov</w:t>
      </w:r>
      <w:r w:rsidRPr="00F818AD">
        <w:rPr>
          <w:rFonts w:ascii="Arial" w:eastAsia="Times New Roman" w:hAnsi="Arial" w:cs="Arial"/>
          <w:sz w:val="20"/>
          <w:szCs w:val="20"/>
          <w:lang w:eastAsia="sl-SI"/>
        </w:rPr>
        <w:t>.</w:t>
      </w:r>
    </w:p>
    <w:p w14:paraId="69DFD1C9" w14:textId="77777777" w:rsidR="00E4026D" w:rsidRPr="00012435" w:rsidRDefault="00E4026D" w:rsidP="00012435">
      <w:pPr>
        <w:autoSpaceDE w:val="0"/>
        <w:autoSpaceDN w:val="0"/>
        <w:adjustRightInd w:val="0"/>
        <w:spacing w:after="0" w:line="260" w:lineRule="atLeast"/>
        <w:jc w:val="both"/>
        <w:rPr>
          <w:rFonts w:ascii="Arial" w:eastAsia="Times New Roman" w:hAnsi="Arial" w:cs="Arial"/>
          <w:color w:val="7F7F7F"/>
          <w:sz w:val="20"/>
          <w:szCs w:val="20"/>
          <w:lang w:eastAsia="sl-SI"/>
        </w:rPr>
      </w:pPr>
    </w:p>
    <w:p w14:paraId="4A7FF4B2" w14:textId="52363224" w:rsidR="00E4026D" w:rsidRPr="00012435" w:rsidRDefault="00E4026D" w:rsidP="00F818AD">
      <w:pPr>
        <w:autoSpaceDE w:val="0"/>
        <w:autoSpaceDN w:val="0"/>
        <w:adjustRightInd w:val="0"/>
        <w:spacing w:after="0" w:line="260" w:lineRule="atLeast"/>
        <w:jc w:val="both"/>
        <w:rPr>
          <w:rFonts w:ascii="Arial" w:eastAsia="Times New Roman" w:hAnsi="Arial" w:cs="Arial"/>
          <w:color w:val="7F7F7F"/>
          <w:sz w:val="20"/>
          <w:szCs w:val="20"/>
          <w:lang w:eastAsia="sl-SI"/>
        </w:rPr>
      </w:pPr>
      <w:r w:rsidRPr="00012435">
        <w:rPr>
          <w:rFonts w:ascii="Arial" w:eastAsia="Times New Roman" w:hAnsi="Arial" w:cs="Arial"/>
          <w:sz w:val="20"/>
          <w:szCs w:val="20"/>
          <w:lang w:eastAsia="sl-SI"/>
        </w:rPr>
        <w:t>Številn</w:t>
      </w:r>
      <w:r w:rsidR="00D267A2">
        <w:rPr>
          <w:rFonts w:ascii="Arial" w:eastAsia="Times New Roman" w:hAnsi="Arial" w:cs="Arial"/>
          <w:sz w:val="20"/>
          <w:szCs w:val="20"/>
          <w:lang w:eastAsia="sl-SI"/>
        </w:rPr>
        <w:t>e</w:t>
      </w:r>
      <w:r w:rsidRPr="00F818AD">
        <w:rPr>
          <w:rFonts w:ascii="Arial" w:eastAsia="Times New Roman" w:hAnsi="Arial" w:cs="Arial"/>
          <w:sz w:val="20"/>
          <w:szCs w:val="20"/>
          <w:lang w:eastAsia="sl-SI"/>
        </w:rPr>
        <w:t xml:space="preserve"> analize potrjujejo, da so </w:t>
      </w:r>
      <w:r w:rsidR="00FF38C5" w:rsidRPr="00F818AD">
        <w:rPr>
          <w:rFonts w:ascii="Arial" w:eastAsia="Times New Roman" w:hAnsi="Arial" w:cs="Arial"/>
          <w:sz w:val="20"/>
          <w:szCs w:val="20"/>
          <w:lang w:eastAsia="sl-SI"/>
        </w:rPr>
        <w:t xml:space="preserve">lahko </w:t>
      </w:r>
      <w:r w:rsidRPr="00F818AD">
        <w:rPr>
          <w:rFonts w:ascii="Arial" w:eastAsia="Times New Roman" w:hAnsi="Arial" w:cs="Arial"/>
          <w:sz w:val="20"/>
          <w:szCs w:val="20"/>
          <w:lang w:eastAsia="sl-SI"/>
        </w:rPr>
        <w:t xml:space="preserve">davčni </w:t>
      </w:r>
      <w:r w:rsidR="00D267A2">
        <w:rPr>
          <w:rFonts w:ascii="Arial" w:eastAsia="Times New Roman" w:hAnsi="Arial" w:cs="Arial"/>
          <w:sz w:val="20"/>
          <w:szCs w:val="20"/>
          <w:lang w:eastAsia="sl-SI"/>
        </w:rPr>
        <w:t>izdatki</w:t>
      </w:r>
      <w:r w:rsidR="00D267A2" w:rsidRPr="00F818AD">
        <w:rPr>
          <w:rFonts w:ascii="Arial" w:eastAsia="Times New Roman" w:hAnsi="Arial" w:cs="Arial"/>
          <w:sz w:val="20"/>
          <w:szCs w:val="20"/>
          <w:lang w:eastAsia="sl-SI"/>
        </w:rPr>
        <w:t xml:space="preserve"> </w:t>
      </w:r>
      <w:r w:rsidRPr="00F818AD">
        <w:rPr>
          <w:rFonts w:ascii="Arial" w:eastAsia="Times New Roman" w:hAnsi="Arial" w:cs="Arial"/>
          <w:sz w:val="20"/>
          <w:szCs w:val="20"/>
          <w:lang w:eastAsia="sl-SI"/>
        </w:rPr>
        <w:t>ena izmed spodbud, ki pa ni vedno enako učinkovita, k</w:t>
      </w:r>
      <w:r w:rsidR="004178E4">
        <w:rPr>
          <w:rFonts w:ascii="Arial" w:eastAsia="Times New Roman" w:hAnsi="Arial" w:cs="Arial"/>
          <w:sz w:val="20"/>
          <w:szCs w:val="20"/>
          <w:lang w:eastAsia="sl-SI"/>
        </w:rPr>
        <w:t>akor</w:t>
      </w:r>
      <w:r w:rsidRPr="00F818AD">
        <w:rPr>
          <w:rFonts w:ascii="Arial" w:eastAsia="Times New Roman" w:hAnsi="Arial" w:cs="Arial"/>
          <w:sz w:val="20"/>
          <w:szCs w:val="20"/>
          <w:lang w:eastAsia="sl-SI"/>
        </w:rPr>
        <w:t xml:space="preserve"> </w:t>
      </w:r>
      <w:r w:rsidR="004178E4">
        <w:rPr>
          <w:rFonts w:ascii="Arial" w:eastAsia="Times New Roman" w:hAnsi="Arial" w:cs="Arial"/>
          <w:sz w:val="20"/>
          <w:szCs w:val="20"/>
          <w:lang w:eastAsia="sl-SI"/>
        </w:rPr>
        <w:t>kadar</w:t>
      </w:r>
      <w:r w:rsidRPr="00F818AD">
        <w:rPr>
          <w:rFonts w:ascii="Arial" w:eastAsia="Times New Roman" w:hAnsi="Arial" w:cs="Arial"/>
          <w:sz w:val="20"/>
          <w:szCs w:val="20"/>
          <w:lang w:eastAsia="sl-SI"/>
        </w:rPr>
        <w:t xml:space="preserve"> je spodbuda bolj neposredna. V preteklih letih in desetletjih so bili prek sistema različnih davčnih izjem za določene skupine zavezancev oblikovani ukrepi</w:t>
      </w:r>
      <w:r w:rsidR="004178E4">
        <w:rPr>
          <w:rFonts w:ascii="Arial" w:eastAsia="Times New Roman" w:hAnsi="Arial" w:cs="Arial"/>
          <w:sz w:val="20"/>
          <w:szCs w:val="20"/>
          <w:lang w:eastAsia="sl-SI"/>
        </w:rPr>
        <w:t xml:space="preserve"> z</w:t>
      </w:r>
      <w:r w:rsidRPr="00F818AD">
        <w:rPr>
          <w:rFonts w:ascii="Arial" w:eastAsia="Times New Roman" w:hAnsi="Arial" w:cs="Arial"/>
          <w:sz w:val="20"/>
          <w:szCs w:val="20"/>
          <w:lang w:eastAsia="sl-SI"/>
        </w:rPr>
        <w:t xml:space="preserve"> različn</w:t>
      </w:r>
      <w:r w:rsidR="004178E4">
        <w:rPr>
          <w:rFonts w:ascii="Arial" w:eastAsia="Times New Roman" w:hAnsi="Arial" w:cs="Arial"/>
          <w:sz w:val="20"/>
          <w:szCs w:val="20"/>
          <w:lang w:eastAsia="sl-SI"/>
        </w:rPr>
        <w:t>imi</w:t>
      </w:r>
      <w:r w:rsidRPr="00F818AD">
        <w:rPr>
          <w:rFonts w:ascii="Arial" w:eastAsia="Times New Roman" w:hAnsi="Arial" w:cs="Arial"/>
          <w:sz w:val="20"/>
          <w:szCs w:val="20"/>
          <w:lang w:eastAsia="sl-SI"/>
        </w:rPr>
        <w:t xml:space="preserve"> cilj</w:t>
      </w:r>
      <w:r w:rsidR="004178E4">
        <w:rPr>
          <w:rFonts w:ascii="Arial" w:eastAsia="Times New Roman" w:hAnsi="Arial" w:cs="Arial"/>
          <w:sz w:val="20"/>
          <w:szCs w:val="20"/>
          <w:lang w:eastAsia="sl-SI"/>
        </w:rPr>
        <w:t>i</w:t>
      </w:r>
      <w:r w:rsidRPr="00F818AD">
        <w:rPr>
          <w:rFonts w:ascii="Arial" w:eastAsia="Times New Roman" w:hAnsi="Arial" w:cs="Arial"/>
          <w:sz w:val="20"/>
          <w:szCs w:val="20"/>
          <w:lang w:eastAsia="sl-SI"/>
        </w:rPr>
        <w:t xml:space="preserve"> ekonomske in socialne politike. Taki ukrepi vedno rušijo </w:t>
      </w:r>
      <w:r w:rsidR="004178E4">
        <w:rPr>
          <w:rFonts w:ascii="Arial" w:eastAsia="Times New Roman" w:hAnsi="Arial" w:cs="Arial"/>
          <w:sz w:val="20"/>
          <w:szCs w:val="20"/>
          <w:lang w:eastAsia="sl-SI"/>
        </w:rPr>
        <w:t>preglednost</w:t>
      </w:r>
      <w:r w:rsidRPr="00F818AD">
        <w:rPr>
          <w:rFonts w:ascii="Arial" w:eastAsia="Times New Roman" w:hAnsi="Arial" w:cs="Arial"/>
          <w:sz w:val="20"/>
          <w:szCs w:val="20"/>
          <w:lang w:eastAsia="sl-SI"/>
        </w:rPr>
        <w:t xml:space="preserve"> davčnega sistema</w:t>
      </w:r>
      <w:r w:rsidR="00D267A2">
        <w:rPr>
          <w:rFonts w:ascii="Arial" w:eastAsia="Times New Roman" w:hAnsi="Arial" w:cs="Arial"/>
          <w:sz w:val="20"/>
          <w:szCs w:val="20"/>
          <w:lang w:eastAsia="sl-SI"/>
        </w:rPr>
        <w:t>,</w:t>
      </w:r>
      <w:r w:rsidRPr="00F818AD">
        <w:rPr>
          <w:rFonts w:ascii="Arial" w:eastAsia="Times New Roman" w:hAnsi="Arial" w:cs="Arial"/>
          <w:sz w:val="20"/>
          <w:szCs w:val="20"/>
          <w:lang w:eastAsia="sl-SI"/>
        </w:rPr>
        <w:t xml:space="preserve"> s tem pa tudi</w:t>
      </w:r>
      <w:r w:rsidR="0041778F">
        <w:rPr>
          <w:rFonts w:ascii="Arial" w:eastAsia="Times New Roman" w:hAnsi="Arial" w:cs="Arial"/>
          <w:sz w:val="20"/>
          <w:szCs w:val="20"/>
          <w:lang w:eastAsia="sl-SI"/>
        </w:rPr>
        <w:t xml:space="preserve"> ustvarjajo</w:t>
      </w:r>
      <w:r w:rsidRPr="00F818AD">
        <w:rPr>
          <w:rFonts w:ascii="Arial" w:eastAsia="Times New Roman" w:hAnsi="Arial" w:cs="Arial"/>
          <w:sz w:val="20"/>
          <w:szCs w:val="20"/>
          <w:lang w:eastAsia="sl-SI"/>
        </w:rPr>
        <w:t xml:space="preserve"> pogoje za vedno manj pravično porazdelitev davčnega bremena glede na različn</w:t>
      </w:r>
      <w:r w:rsidR="004178E4">
        <w:rPr>
          <w:rFonts w:ascii="Arial" w:eastAsia="Times New Roman" w:hAnsi="Arial" w:cs="Arial"/>
          <w:sz w:val="20"/>
          <w:szCs w:val="20"/>
          <w:lang w:eastAsia="sl-SI"/>
        </w:rPr>
        <w:t>a merila</w:t>
      </w:r>
      <w:r w:rsidRPr="00F818AD">
        <w:rPr>
          <w:rFonts w:ascii="Arial" w:eastAsia="Times New Roman" w:hAnsi="Arial" w:cs="Arial"/>
          <w:sz w:val="20"/>
          <w:szCs w:val="20"/>
          <w:lang w:eastAsia="sl-SI"/>
        </w:rPr>
        <w:t xml:space="preserve">. To </w:t>
      </w:r>
      <w:r w:rsidR="004178E4">
        <w:rPr>
          <w:rFonts w:ascii="Arial" w:eastAsia="Times New Roman" w:hAnsi="Arial" w:cs="Arial"/>
          <w:sz w:val="20"/>
          <w:szCs w:val="20"/>
          <w:lang w:eastAsia="sl-SI"/>
        </w:rPr>
        <w:t>odpira</w:t>
      </w:r>
      <w:r w:rsidRPr="00F818AD">
        <w:rPr>
          <w:rFonts w:ascii="Arial" w:eastAsia="Times New Roman" w:hAnsi="Arial" w:cs="Arial"/>
          <w:sz w:val="20"/>
          <w:szCs w:val="20"/>
          <w:lang w:eastAsia="sl-SI"/>
        </w:rPr>
        <w:t xml:space="preserve"> vprašanja </w:t>
      </w:r>
      <w:r w:rsidR="004178E4">
        <w:rPr>
          <w:rFonts w:ascii="Arial" w:eastAsia="Times New Roman" w:hAnsi="Arial" w:cs="Arial"/>
          <w:sz w:val="20"/>
          <w:szCs w:val="20"/>
          <w:lang w:eastAsia="sl-SI"/>
        </w:rPr>
        <w:t xml:space="preserve">glede </w:t>
      </w:r>
      <w:r w:rsidRPr="00F818AD">
        <w:rPr>
          <w:rFonts w:ascii="Arial" w:eastAsia="Times New Roman" w:hAnsi="Arial" w:cs="Arial"/>
          <w:sz w:val="20"/>
          <w:szCs w:val="20"/>
          <w:lang w:eastAsia="sl-SI"/>
        </w:rPr>
        <w:t xml:space="preserve">učinkovitosti takega sistema in </w:t>
      </w:r>
      <w:r w:rsidR="00A9029F">
        <w:rPr>
          <w:rFonts w:ascii="Arial" w:eastAsia="Times New Roman" w:hAnsi="Arial" w:cs="Arial"/>
          <w:sz w:val="20"/>
          <w:szCs w:val="20"/>
          <w:lang w:eastAsia="sl-SI"/>
        </w:rPr>
        <w:t>vodi</w:t>
      </w:r>
      <w:r w:rsidRPr="00F818AD">
        <w:rPr>
          <w:rFonts w:ascii="Arial" w:eastAsia="Times New Roman" w:hAnsi="Arial" w:cs="Arial"/>
          <w:sz w:val="20"/>
          <w:szCs w:val="20"/>
          <w:lang w:eastAsia="sl-SI"/>
        </w:rPr>
        <w:t xml:space="preserve"> do ključnega vprašanja</w:t>
      </w:r>
      <w:r w:rsidR="00A9029F">
        <w:rPr>
          <w:rFonts w:ascii="Arial" w:eastAsia="Times New Roman" w:hAnsi="Arial" w:cs="Arial"/>
          <w:sz w:val="20"/>
          <w:szCs w:val="20"/>
          <w:lang w:eastAsia="sl-SI"/>
        </w:rPr>
        <w:t>,</w:t>
      </w:r>
      <w:r w:rsidRPr="00F818AD">
        <w:rPr>
          <w:rFonts w:ascii="Arial" w:eastAsia="Times New Roman" w:hAnsi="Arial" w:cs="Arial"/>
          <w:sz w:val="20"/>
          <w:szCs w:val="20"/>
          <w:lang w:eastAsia="sl-SI"/>
        </w:rPr>
        <w:t xml:space="preserve"> ali so bili doseženi določeni cilji, ki so bili s temi ukrepi </w:t>
      </w:r>
      <w:r w:rsidR="00D267A2">
        <w:rPr>
          <w:rFonts w:ascii="Arial" w:eastAsia="Times New Roman" w:hAnsi="Arial" w:cs="Arial"/>
          <w:sz w:val="20"/>
          <w:szCs w:val="20"/>
          <w:lang w:eastAsia="sl-SI"/>
        </w:rPr>
        <w:t>predvideni</w:t>
      </w:r>
      <w:r w:rsidRPr="00F818AD">
        <w:rPr>
          <w:rFonts w:ascii="Arial" w:eastAsia="Times New Roman" w:hAnsi="Arial" w:cs="Arial"/>
          <w:sz w:val="20"/>
          <w:szCs w:val="20"/>
          <w:lang w:eastAsia="sl-SI"/>
        </w:rPr>
        <w:t>. Z vidika ekonomske učinkovitosti</w:t>
      </w:r>
      <w:r w:rsidR="00A9029F">
        <w:rPr>
          <w:rFonts w:ascii="Arial" w:eastAsia="Times New Roman" w:hAnsi="Arial" w:cs="Arial"/>
          <w:sz w:val="20"/>
          <w:szCs w:val="20"/>
          <w:lang w:eastAsia="sl-SI"/>
        </w:rPr>
        <w:t xml:space="preserve"> in </w:t>
      </w:r>
      <w:r w:rsidRPr="00F818AD">
        <w:rPr>
          <w:rFonts w:ascii="Arial" w:eastAsia="Times New Roman" w:hAnsi="Arial" w:cs="Arial"/>
          <w:sz w:val="20"/>
          <w:szCs w:val="20"/>
          <w:lang w:eastAsia="sl-SI"/>
        </w:rPr>
        <w:t xml:space="preserve">tudi socialne pravičnosti so davčni </w:t>
      </w:r>
      <w:r w:rsidR="000E1307">
        <w:rPr>
          <w:rFonts w:ascii="Arial" w:eastAsia="Times New Roman" w:hAnsi="Arial" w:cs="Arial"/>
          <w:sz w:val="20"/>
          <w:szCs w:val="20"/>
          <w:lang w:eastAsia="sl-SI"/>
        </w:rPr>
        <w:t xml:space="preserve">izdatki </w:t>
      </w:r>
      <w:r w:rsidR="004178E4">
        <w:rPr>
          <w:rFonts w:ascii="Arial" w:eastAsia="Times New Roman" w:hAnsi="Arial" w:cs="Arial"/>
          <w:sz w:val="20"/>
          <w:szCs w:val="20"/>
          <w:lang w:eastAsia="sl-SI"/>
        </w:rPr>
        <w:t>del</w:t>
      </w:r>
      <w:r w:rsidRPr="00F818AD">
        <w:rPr>
          <w:rFonts w:ascii="Arial" w:eastAsia="Times New Roman" w:hAnsi="Arial" w:cs="Arial"/>
          <w:sz w:val="20"/>
          <w:szCs w:val="20"/>
          <w:lang w:eastAsia="sl-SI"/>
        </w:rPr>
        <w:t xml:space="preserve"> davčne politike, ki ni najbolj zaželen, saj bi </w:t>
      </w:r>
      <w:r w:rsidR="00A9029F" w:rsidRPr="00F818AD">
        <w:rPr>
          <w:rFonts w:ascii="Arial" w:eastAsia="Times New Roman" w:hAnsi="Arial" w:cs="Arial"/>
          <w:sz w:val="20"/>
          <w:szCs w:val="20"/>
          <w:lang w:eastAsia="sl-SI"/>
        </w:rPr>
        <w:t xml:space="preserve">imele </w:t>
      </w:r>
      <w:r w:rsidR="004178E4">
        <w:rPr>
          <w:rFonts w:ascii="Arial" w:eastAsia="Times New Roman" w:hAnsi="Arial" w:cs="Arial"/>
          <w:sz w:val="20"/>
          <w:szCs w:val="20"/>
          <w:lang w:eastAsia="sl-SI"/>
        </w:rPr>
        <w:t>na primer</w:t>
      </w:r>
      <w:r w:rsidR="00A9029F" w:rsidRPr="00F818AD">
        <w:rPr>
          <w:rFonts w:ascii="Arial" w:eastAsia="Times New Roman" w:hAnsi="Arial" w:cs="Arial"/>
          <w:sz w:val="20"/>
          <w:szCs w:val="20"/>
          <w:lang w:eastAsia="sl-SI"/>
        </w:rPr>
        <w:t xml:space="preserve"> </w:t>
      </w:r>
      <w:r w:rsidR="004178E4">
        <w:rPr>
          <w:rFonts w:ascii="Arial" w:eastAsia="Times New Roman" w:hAnsi="Arial" w:cs="Arial"/>
          <w:sz w:val="20"/>
          <w:szCs w:val="20"/>
          <w:lang w:eastAsia="sl-SI"/>
        </w:rPr>
        <w:t>neposredne</w:t>
      </w:r>
      <w:r w:rsidRPr="00F818AD">
        <w:rPr>
          <w:rFonts w:ascii="Arial" w:eastAsia="Times New Roman" w:hAnsi="Arial" w:cs="Arial"/>
          <w:sz w:val="20"/>
          <w:szCs w:val="20"/>
          <w:lang w:eastAsia="sl-SI"/>
        </w:rPr>
        <w:t xml:space="preserve"> spodbude v okviru sistemov socialne varnosti v boju proti revščini </w:t>
      </w:r>
      <w:r w:rsidR="00A9029F">
        <w:rPr>
          <w:rFonts w:ascii="Arial" w:eastAsia="Times New Roman" w:hAnsi="Arial" w:cs="Arial"/>
          <w:sz w:val="20"/>
          <w:szCs w:val="20"/>
          <w:lang w:eastAsia="sl-SI"/>
        </w:rPr>
        <w:t>in pri</w:t>
      </w:r>
      <w:r w:rsidRPr="00F818AD">
        <w:rPr>
          <w:rFonts w:ascii="Arial" w:eastAsia="Times New Roman" w:hAnsi="Arial" w:cs="Arial"/>
          <w:sz w:val="20"/>
          <w:szCs w:val="20"/>
          <w:lang w:eastAsia="sl-SI"/>
        </w:rPr>
        <w:t xml:space="preserve"> spodbujanju socialnega vključevanja</w:t>
      </w:r>
      <w:r w:rsidR="00A9029F" w:rsidRPr="00A9029F">
        <w:rPr>
          <w:rFonts w:ascii="Arial" w:eastAsia="Times New Roman" w:hAnsi="Arial" w:cs="Arial"/>
          <w:sz w:val="20"/>
          <w:szCs w:val="20"/>
          <w:lang w:eastAsia="sl-SI"/>
        </w:rPr>
        <w:t xml:space="preserve"> </w:t>
      </w:r>
      <w:r w:rsidR="00775A16">
        <w:rPr>
          <w:rFonts w:ascii="Arial" w:eastAsia="Times New Roman" w:hAnsi="Arial" w:cs="Arial"/>
          <w:sz w:val="20"/>
          <w:szCs w:val="20"/>
          <w:lang w:eastAsia="sl-SI"/>
        </w:rPr>
        <w:t xml:space="preserve">lahko </w:t>
      </w:r>
      <w:r w:rsidR="00A9029F" w:rsidRPr="00F818AD">
        <w:rPr>
          <w:rFonts w:ascii="Arial" w:eastAsia="Times New Roman" w:hAnsi="Arial" w:cs="Arial"/>
          <w:sz w:val="20"/>
          <w:szCs w:val="20"/>
          <w:lang w:eastAsia="sl-SI"/>
        </w:rPr>
        <w:t>boljše učinke</w:t>
      </w:r>
      <w:r w:rsidRPr="00F818AD">
        <w:rPr>
          <w:rFonts w:ascii="Arial" w:eastAsia="Times New Roman" w:hAnsi="Arial" w:cs="Arial"/>
          <w:sz w:val="20"/>
          <w:szCs w:val="20"/>
          <w:lang w:eastAsia="sl-SI"/>
        </w:rPr>
        <w:t xml:space="preserve">. Zato je pomembno spremljati učinke tako na strani davčnih </w:t>
      </w:r>
      <w:r w:rsidR="000E1307">
        <w:rPr>
          <w:rFonts w:ascii="Arial" w:eastAsia="Times New Roman" w:hAnsi="Arial" w:cs="Arial"/>
          <w:sz w:val="20"/>
          <w:szCs w:val="20"/>
          <w:lang w:eastAsia="sl-SI"/>
        </w:rPr>
        <w:t>izdatkov</w:t>
      </w:r>
      <w:r w:rsidRPr="00F818AD">
        <w:rPr>
          <w:rFonts w:ascii="Arial" w:eastAsia="Times New Roman" w:hAnsi="Arial" w:cs="Arial"/>
          <w:sz w:val="20"/>
          <w:szCs w:val="20"/>
          <w:lang w:eastAsia="sl-SI"/>
        </w:rPr>
        <w:t xml:space="preserve"> k</w:t>
      </w:r>
      <w:r w:rsidR="004178E4">
        <w:rPr>
          <w:rFonts w:ascii="Arial" w:eastAsia="Times New Roman" w:hAnsi="Arial" w:cs="Arial"/>
          <w:sz w:val="20"/>
          <w:szCs w:val="20"/>
          <w:lang w:eastAsia="sl-SI"/>
        </w:rPr>
        <w:t>akor tudi</w:t>
      </w:r>
      <w:r w:rsidRPr="00F818AD">
        <w:rPr>
          <w:rFonts w:ascii="Arial" w:eastAsia="Times New Roman" w:hAnsi="Arial" w:cs="Arial"/>
          <w:sz w:val="20"/>
          <w:szCs w:val="20"/>
          <w:lang w:eastAsia="sl-SI"/>
        </w:rPr>
        <w:t xml:space="preserve"> na strani proračunskih odhodkov in na </w:t>
      </w:r>
      <w:r w:rsidR="004178E4">
        <w:rPr>
          <w:rFonts w:ascii="Arial" w:eastAsia="Times New Roman" w:hAnsi="Arial" w:cs="Arial"/>
          <w:sz w:val="20"/>
          <w:szCs w:val="20"/>
          <w:lang w:eastAsia="sl-SI"/>
        </w:rPr>
        <w:t>podlagi</w:t>
      </w:r>
      <w:r w:rsidRPr="00F818AD">
        <w:rPr>
          <w:rFonts w:ascii="Arial" w:eastAsia="Times New Roman" w:hAnsi="Arial" w:cs="Arial"/>
          <w:sz w:val="20"/>
          <w:szCs w:val="20"/>
          <w:lang w:eastAsia="sl-SI"/>
        </w:rPr>
        <w:t xml:space="preserve"> tega okrepiti spremembe zakonodaje. Ob tem je za dosego širših ciljev, ki jih </w:t>
      </w:r>
      <w:r w:rsidR="00DA0643">
        <w:rPr>
          <w:rFonts w:ascii="Arial" w:eastAsia="Times New Roman" w:hAnsi="Arial" w:cs="Arial"/>
          <w:sz w:val="20"/>
          <w:szCs w:val="20"/>
          <w:lang w:eastAsia="sl-SI"/>
        </w:rPr>
        <w:t>skušamo doseči</w:t>
      </w:r>
      <w:r w:rsidRPr="00F818AD">
        <w:rPr>
          <w:rFonts w:ascii="Arial" w:eastAsia="Times New Roman" w:hAnsi="Arial" w:cs="Arial"/>
          <w:sz w:val="20"/>
          <w:szCs w:val="20"/>
          <w:lang w:eastAsia="sl-SI"/>
        </w:rPr>
        <w:t xml:space="preserve"> z davčnimi </w:t>
      </w:r>
      <w:r w:rsidR="000E1307">
        <w:rPr>
          <w:rFonts w:ascii="Arial" w:eastAsia="Times New Roman" w:hAnsi="Arial" w:cs="Arial"/>
          <w:sz w:val="20"/>
          <w:szCs w:val="20"/>
          <w:lang w:eastAsia="sl-SI"/>
        </w:rPr>
        <w:t>izdatki</w:t>
      </w:r>
      <w:r w:rsidR="00A9029F">
        <w:rPr>
          <w:rFonts w:ascii="Arial" w:eastAsia="Times New Roman" w:hAnsi="Arial" w:cs="Arial"/>
          <w:sz w:val="20"/>
          <w:szCs w:val="20"/>
          <w:lang w:eastAsia="sl-SI"/>
        </w:rPr>
        <w:t>,</w:t>
      </w:r>
      <w:r w:rsidR="000E1307" w:rsidRPr="00F818AD">
        <w:rPr>
          <w:rFonts w:ascii="Arial" w:eastAsia="Times New Roman" w:hAnsi="Arial" w:cs="Arial"/>
          <w:sz w:val="20"/>
          <w:szCs w:val="20"/>
          <w:lang w:eastAsia="sl-SI"/>
        </w:rPr>
        <w:t xml:space="preserve"> </w:t>
      </w:r>
      <w:r w:rsidRPr="00012435">
        <w:rPr>
          <w:rFonts w:ascii="Arial" w:eastAsia="Times New Roman" w:hAnsi="Arial" w:cs="Arial"/>
          <w:sz w:val="20"/>
          <w:szCs w:val="20"/>
          <w:lang w:eastAsia="sl-SI"/>
        </w:rPr>
        <w:t xml:space="preserve">potrebno povezovanje davčne politike z </w:t>
      </w:r>
      <w:r w:rsidR="00DA0643">
        <w:rPr>
          <w:rFonts w:ascii="Arial" w:eastAsia="Times New Roman" w:hAnsi="Arial" w:cs="Arial"/>
          <w:sz w:val="20"/>
          <w:szCs w:val="20"/>
          <w:lang w:eastAsia="sl-SI"/>
        </w:rPr>
        <w:t>drugimi</w:t>
      </w:r>
      <w:r w:rsidRPr="00012435">
        <w:rPr>
          <w:rFonts w:ascii="Arial" w:eastAsia="Times New Roman" w:hAnsi="Arial" w:cs="Arial"/>
          <w:sz w:val="20"/>
          <w:szCs w:val="20"/>
          <w:lang w:eastAsia="sl-SI"/>
        </w:rPr>
        <w:t xml:space="preserve"> politikami, da se najdejo najučinkovitejše rešitve.</w:t>
      </w:r>
    </w:p>
    <w:p w14:paraId="29DB20FD" w14:textId="77777777" w:rsidR="00E4026D" w:rsidRPr="00012435" w:rsidRDefault="00E4026D" w:rsidP="00012435">
      <w:pPr>
        <w:autoSpaceDE w:val="0"/>
        <w:autoSpaceDN w:val="0"/>
        <w:adjustRightInd w:val="0"/>
        <w:spacing w:after="0" w:line="260" w:lineRule="atLeast"/>
        <w:jc w:val="both"/>
        <w:rPr>
          <w:rFonts w:ascii="Arial" w:hAnsi="Arial" w:cs="Arial"/>
          <w:color w:val="7F7F7F"/>
          <w:sz w:val="20"/>
          <w:szCs w:val="20"/>
        </w:rPr>
      </w:pPr>
    </w:p>
    <w:p w14:paraId="568D58F5" w14:textId="5B28E746" w:rsidR="00E4026D" w:rsidRPr="00F818AD" w:rsidRDefault="00E4026D" w:rsidP="00F818AD">
      <w:p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t xml:space="preserve">Analiza je pokazala, da je v Sloveniji sistem </w:t>
      </w:r>
      <w:r w:rsidR="00DA0643">
        <w:rPr>
          <w:rFonts w:ascii="Arial" w:hAnsi="Arial" w:cs="Arial"/>
          <w:sz w:val="20"/>
          <w:szCs w:val="20"/>
        </w:rPr>
        <w:t>glede</w:t>
      </w:r>
      <w:r w:rsidRPr="00F818AD">
        <w:rPr>
          <w:rFonts w:ascii="Arial" w:hAnsi="Arial" w:cs="Arial"/>
          <w:sz w:val="20"/>
          <w:szCs w:val="20"/>
        </w:rPr>
        <w:t xml:space="preserve"> davčnih </w:t>
      </w:r>
      <w:r w:rsidR="000E1307">
        <w:rPr>
          <w:rFonts w:ascii="Arial" w:hAnsi="Arial" w:cs="Arial"/>
          <w:sz w:val="20"/>
          <w:szCs w:val="20"/>
        </w:rPr>
        <w:t>izdatkov</w:t>
      </w:r>
      <w:r w:rsidR="000E1307" w:rsidRPr="00F818AD">
        <w:rPr>
          <w:rFonts w:ascii="Arial" w:hAnsi="Arial" w:cs="Arial"/>
          <w:sz w:val="20"/>
          <w:szCs w:val="20"/>
        </w:rPr>
        <w:t xml:space="preserve"> </w:t>
      </w:r>
      <w:r w:rsidRPr="00F818AD">
        <w:rPr>
          <w:rFonts w:ascii="Arial" w:hAnsi="Arial" w:cs="Arial"/>
          <w:sz w:val="20"/>
          <w:szCs w:val="20"/>
        </w:rPr>
        <w:t>močno razvejan, kar pomeni</w:t>
      </w:r>
      <w:r w:rsidR="000E1307">
        <w:rPr>
          <w:rFonts w:ascii="Arial" w:hAnsi="Arial" w:cs="Arial"/>
          <w:sz w:val="20"/>
          <w:szCs w:val="20"/>
        </w:rPr>
        <w:t>,</w:t>
      </w:r>
      <w:r w:rsidRPr="00F818AD">
        <w:rPr>
          <w:rFonts w:ascii="Arial" w:hAnsi="Arial" w:cs="Arial"/>
          <w:sz w:val="20"/>
          <w:szCs w:val="20"/>
        </w:rPr>
        <w:t xml:space="preserve"> da obstaja veliko vrst davčnih </w:t>
      </w:r>
      <w:r w:rsidR="000E1307">
        <w:rPr>
          <w:rFonts w:ascii="Arial" w:hAnsi="Arial" w:cs="Arial"/>
          <w:sz w:val="20"/>
          <w:szCs w:val="20"/>
        </w:rPr>
        <w:t>izdatkov</w:t>
      </w:r>
      <w:r w:rsidRPr="00F818AD">
        <w:rPr>
          <w:rFonts w:ascii="Arial" w:hAnsi="Arial" w:cs="Arial"/>
          <w:sz w:val="20"/>
          <w:szCs w:val="20"/>
        </w:rPr>
        <w:t xml:space="preserve"> </w:t>
      </w:r>
      <w:r w:rsidR="00DA0643">
        <w:rPr>
          <w:rFonts w:ascii="Arial" w:hAnsi="Arial" w:cs="Arial"/>
          <w:sz w:val="20"/>
          <w:szCs w:val="20"/>
        </w:rPr>
        <w:t>v okviru</w:t>
      </w:r>
      <w:r w:rsidRPr="00F818AD">
        <w:rPr>
          <w:rFonts w:ascii="Arial" w:hAnsi="Arial" w:cs="Arial"/>
          <w:sz w:val="20"/>
          <w:szCs w:val="20"/>
        </w:rPr>
        <w:t xml:space="preserve"> posameznih vrst davkov. Nizke efektivne davčne stopnje po posameznih davkih kažejo na to, da </w:t>
      </w:r>
      <w:r w:rsidR="00A9029F" w:rsidRPr="00F818AD">
        <w:rPr>
          <w:rFonts w:ascii="Arial" w:hAnsi="Arial" w:cs="Arial"/>
          <w:sz w:val="20"/>
          <w:szCs w:val="20"/>
        </w:rPr>
        <w:t xml:space="preserve">v davčnem sistemu </w:t>
      </w:r>
      <w:r w:rsidR="00A9029F">
        <w:rPr>
          <w:rFonts w:ascii="Arial" w:hAnsi="Arial" w:cs="Arial"/>
          <w:sz w:val="20"/>
          <w:szCs w:val="20"/>
        </w:rPr>
        <w:t xml:space="preserve">obstaja </w:t>
      </w:r>
      <w:r w:rsidRPr="00F818AD">
        <w:rPr>
          <w:rFonts w:ascii="Arial" w:hAnsi="Arial" w:cs="Arial"/>
          <w:sz w:val="20"/>
          <w:szCs w:val="20"/>
        </w:rPr>
        <w:t xml:space="preserve">veliko olajšav in zmanjšanj davčne osnove. To je posledica prepogostega </w:t>
      </w:r>
      <w:r w:rsidR="00DA0643">
        <w:rPr>
          <w:rFonts w:ascii="Arial" w:hAnsi="Arial" w:cs="Arial"/>
          <w:sz w:val="20"/>
          <w:szCs w:val="20"/>
        </w:rPr>
        <w:t>namena za doseganje</w:t>
      </w:r>
      <w:r w:rsidRPr="00F818AD">
        <w:rPr>
          <w:rFonts w:ascii="Arial" w:hAnsi="Arial" w:cs="Arial"/>
          <w:sz w:val="20"/>
          <w:szCs w:val="20"/>
        </w:rPr>
        <w:t xml:space="preserve"> različnih</w:t>
      </w:r>
      <w:r w:rsidR="00A9029F">
        <w:rPr>
          <w:rFonts w:ascii="Arial" w:hAnsi="Arial" w:cs="Arial"/>
          <w:sz w:val="20"/>
          <w:szCs w:val="20"/>
        </w:rPr>
        <w:t xml:space="preserve"> (nedavčnih)</w:t>
      </w:r>
      <w:r w:rsidRPr="00F818AD">
        <w:rPr>
          <w:rFonts w:ascii="Arial" w:hAnsi="Arial" w:cs="Arial"/>
          <w:sz w:val="20"/>
          <w:szCs w:val="20"/>
        </w:rPr>
        <w:t xml:space="preserve"> ciljev </w:t>
      </w:r>
      <w:r w:rsidR="00DA0643">
        <w:rPr>
          <w:rFonts w:ascii="Arial" w:hAnsi="Arial" w:cs="Arial"/>
          <w:sz w:val="20"/>
          <w:szCs w:val="20"/>
        </w:rPr>
        <w:t>z</w:t>
      </w:r>
      <w:r w:rsidRPr="00F818AD">
        <w:rPr>
          <w:rFonts w:ascii="Arial" w:hAnsi="Arial" w:cs="Arial"/>
          <w:sz w:val="20"/>
          <w:szCs w:val="20"/>
        </w:rPr>
        <w:t xml:space="preserve"> davčn</w:t>
      </w:r>
      <w:r w:rsidR="00DA0643">
        <w:rPr>
          <w:rFonts w:ascii="Arial" w:hAnsi="Arial" w:cs="Arial"/>
          <w:sz w:val="20"/>
          <w:szCs w:val="20"/>
        </w:rPr>
        <w:t>imi</w:t>
      </w:r>
      <w:r w:rsidRPr="00F818AD">
        <w:rPr>
          <w:rFonts w:ascii="Arial" w:hAnsi="Arial" w:cs="Arial"/>
          <w:sz w:val="20"/>
          <w:szCs w:val="20"/>
        </w:rPr>
        <w:t xml:space="preserve"> spodbud</w:t>
      </w:r>
      <w:r w:rsidR="00DA0643">
        <w:rPr>
          <w:rFonts w:ascii="Arial" w:hAnsi="Arial" w:cs="Arial"/>
          <w:sz w:val="20"/>
          <w:szCs w:val="20"/>
        </w:rPr>
        <w:t>ami</w:t>
      </w:r>
      <w:r w:rsidRPr="00F818AD">
        <w:rPr>
          <w:rFonts w:ascii="Arial" w:hAnsi="Arial" w:cs="Arial"/>
          <w:sz w:val="20"/>
          <w:szCs w:val="20"/>
        </w:rPr>
        <w:t xml:space="preserve">, kar je naredilo sistem nepregleden in zahteven. </w:t>
      </w:r>
      <w:r w:rsidR="00A9029F">
        <w:rPr>
          <w:rFonts w:ascii="Arial" w:hAnsi="Arial" w:cs="Arial"/>
          <w:sz w:val="20"/>
          <w:szCs w:val="20"/>
        </w:rPr>
        <w:t>Zato bi se p</w:t>
      </w:r>
      <w:r w:rsidRPr="00F818AD">
        <w:rPr>
          <w:rFonts w:ascii="Arial" w:hAnsi="Arial" w:cs="Arial"/>
          <w:sz w:val="20"/>
          <w:szCs w:val="20"/>
        </w:rPr>
        <w:t xml:space="preserve">ri preučitvi posameznih vrst davčnih </w:t>
      </w:r>
      <w:r w:rsidR="000E1307">
        <w:rPr>
          <w:rFonts w:ascii="Arial" w:hAnsi="Arial" w:cs="Arial"/>
          <w:sz w:val="20"/>
          <w:szCs w:val="20"/>
        </w:rPr>
        <w:t>izdatkov</w:t>
      </w:r>
      <w:r w:rsidRPr="00F818AD">
        <w:rPr>
          <w:rFonts w:ascii="Arial" w:hAnsi="Arial" w:cs="Arial"/>
          <w:sz w:val="20"/>
          <w:szCs w:val="20"/>
        </w:rPr>
        <w:t xml:space="preserve"> morali zavedati tudi pasti oziroma</w:t>
      </w:r>
      <w:r w:rsidR="00DA0643">
        <w:rPr>
          <w:rFonts w:ascii="Arial" w:hAnsi="Arial" w:cs="Arial"/>
          <w:sz w:val="20"/>
          <w:szCs w:val="20"/>
        </w:rPr>
        <w:t xml:space="preserve"> slabih</w:t>
      </w:r>
      <w:r w:rsidRPr="00F818AD">
        <w:rPr>
          <w:rFonts w:ascii="Arial" w:hAnsi="Arial" w:cs="Arial"/>
          <w:sz w:val="20"/>
          <w:szCs w:val="20"/>
        </w:rPr>
        <w:t xml:space="preserve"> učinkov, ki jih </w:t>
      </w:r>
      <w:r w:rsidR="00DA0643">
        <w:rPr>
          <w:rFonts w:ascii="Arial" w:hAnsi="Arial" w:cs="Arial"/>
          <w:sz w:val="20"/>
          <w:szCs w:val="20"/>
        </w:rPr>
        <w:t xml:space="preserve">ti </w:t>
      </w:r>
      <w:r w:rsidRPr="00F818AD">
        <w:rPr>
          <w:rFonts w:ascii="Arial" w:hAnsi="Arial" w:cs="Arial"/>
          <w:sz w:val="20"/>
          <w:szCs w:val="20"/>
        </w:rPr>
        <w:t xml:space="preserve">prinašajo. </w:t>
      </w:r>
      <w:r w:rsidR="00DA0643">
        <w:rPr>
          <w:rFonts w:ascii="Arial" w:hAnsi="Arial" w:cs="Arial"/>
          <w:sz w:val="20"/>
          <w:szCs w:val="20"/>
        </w:rPr>
        <w:t>Navajamo</w:t>
      </w:r>
      <w:r w:rsidRPr="00F818AD">
        <w:rPr>
          <w:rFonts w:ascii="Arial" w:hAnsi="Arial" w:cs="Arial"/>
          <w:sz w:val="20"/>
          <w:szCs w:val="20"/>
        </w:rPr>
        <w:t xml:space="preserve"> glavne nevarnosti:</w:t>
      </w:r>
    </w:p>
    <w:p w14:paraId="52210E5E" w14:textId="14268FB5" w:rsidR="00E4026D" w:rsidRPr="00F818A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t>ekonomska izkrivljanja (spodbude za določene skupine, posameznike, ki jih postavlja v privilegiran</w:t>
      </w:r>
      <w:r w:rsidR="00D72535">
        <w:rPr>
          <w:rFonts w:ascii="Arial" w:hAnsi="Arial" w:cs="Arial"/>
          <w:sz w:val="20"/>
          <w:szCs w:val="20"/>
        </w:rPr>
        <w:t>i</w:t>
      </w:r>
      <w:r w:rsidRPr="00F818AD">
        <w:rPr>
          <w:rFonts w:ascii="Arial" w:hAnsi="Arial" w:cs="Arial"/>
          <w:sz w:val="20"/>
          <w:szCs w:val="20"/>
        </w:rPr>
        <w:t xml:space="preserve"> položaj)</w:t>
      </w:r>
      <w:r w:rsidR="004C632D">
        <w:rPr>
          <w:rFonts w:ascii="Arial" w:hAnsi="Arial" w:cs="Arial"/>
          <w:sz w:val="20"/>
          <w:szCs w:val="20"/>
        </w:rPr>
        <w:t>;</w:t>
      </w:r>
    </w:p>
    <w:p w14:paraId="4A6BD950" w14:textId="3F460A8E" w:rsidR="00E4026D" w:rsidRPr="00F818A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t xml:space="preserve">fiktivne samozaposlitve (prehod med samozaposlene, </w:t>
      </w:r>
      <w:r w:rsidR="00D72535">
        <w:rPr>
          <w:rFonts w:ascii="Arial" w:hAnsi="Arial" w:cs="Arial"/>
          <w:sz w:val="20"/>
          <w:szCs w:val="20"/>
        </w:rPr>
        <w:t>čeprav</w:t>
      </w:r>
      <w:r w:rsidRPr="00F818AD">
        <w:rPr>
          <w:rFonts w:ascii="Arial" w:hAnsi="Arial" w:cs="Arial"/>
          <w:sz w:val="20"/>
          <w:szCs w:val="20"/>
        </w:rPr>
        <w:t xml:space="preserve"> imajo vse </w:t>
      </w:r>
      <w:r w:rsidR="00D72535">
        <w:rPr>
          <w:rFonts w:ascii="Arial" w:hAnsi="Arial" w:cs="Arial"/>
          <w:sz w:val="20"/>
          <w:szCs w:val="20"/>
        </w:rPr>
        <w:t>značilnosti</w:t>
      </w:r>
      <w:r w:rsidRPr="00F818AD">
        <w:rPr>
          <w:rFonts w:ascii="Arial" w:hAnsi="Arial" w:cs="Arial"/>
          <w:sz w:val="20"/>
          <w:szCs w:val="20"/>
        </w:rPr>
        <w:t xml:space="preserve"> redne zaposlitve)</w:t>
      </w:r>
      <w:r w:rsidR="004C632D">
        <w:rPr>
          <w:rFonts w:ascii="Arial" w:hAnsi="Arial" w:cs="Arial"/>
          <w:sz w:val="20"/>
          <w:szCs w:val="20"/>
        </w:rPr>
        <w:t>;</w:t>
      </w:r>
    </w:p>
    <w:p w14:paraId="267CAB3B" w14:textId="3109951E" w:rsidR="00E4026D" w:rsidRPr="00F818A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lastRenderedPageBreak/>
        <w:t>prikrivanje prihodkov</w:t>
      </w:r>
      <w:r w:rsidR="004C632D">
        <w:rPr>
          <w:rFonts w:ascii="Arial" w:hAnsi="Arial" w:cs="Arial"/>
          <w:sz w:val="20"/>
          <w:szCs w:val="20"/>
        </w:rPr>
        <w:t>;</w:t>
      </w:r>
    </w:p>
    <w:p w14:paraId="17C1AFC2" w14:textId="43DE48A2" w:rsidR="00E4026D" w:rsidRPr="00F818A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t>v</w:t>
      </w:r>
      <w:r w:rsidR="0087736E">
        <w:rPr>
          <w:rFonts w:ascii="Arial" w:hAnsi="Arial" w:cs="Arial"/>
          <w:sz w:val="20"/>
          <w:szCs w:val="20"/>
        </w:rPr>
        <w:t>ečja</w:t>
      </w:r>
      <w:r w:rsidRPr="00F818AD">
        <w:rPr>
          <w:rFonts w:ascii="Arial" w:hAnsi="Arial" w:cs="Arial"/>
          <w:sz w:val="20"/>
          <w:szCs w:val="20"/>
        </w:rPr>
        <w:t xml:space="preserve"> poraba določenega blaga </w:t>
      </w:r>
      <w:r w:rsidR="0087736E">
        <w:rPr>
          <w:rFonts w:ascii="Arial" w:hAnsi="Arial" w:cs="Arial"/>
          <w:sz w:val="20"/>
          <w:szCs w:val="20"/>
        </w:rPr>
        <w:t>od</w:t>
      </w:r>
      <w:r w:rsidRPr="00F818AD">
        <w:rPr>
          <w:rFonts w:ascii="Arial" w:hAnsi="Arial" w:cs="Arial"/>
          <w:sz w:val="20"/>
          <w:szCs w:val="20"/>
        </w:rPr>
        <w:t xml:space="preserve"> žele</w:t>
      </w:r>
      <w:r w:rsidR="0087736E">
        <w:rPr>
          <w:rFonts w:ascii="Arial" w:hAnsi="Arial" w:cs="Arial"/>
          <w:sz w:val="20"/>
          <w:szCs w:val="20"/>
        </w:rPr>
        <w:t>ne</w:t>
      </w:r>
      <w:r w:rsidR="00A9029F">
        <w:rPr>
          <w:rFonts w:ascii="Arial" w:hAnsi="Arial" w:cs="Arial"/>
          <w:sz w:val="20"/>
          <w:szCs w:val="20"/>
        </w:rPr>
        <w:t>,</w:t>
      </w:r>
      <w:r w:rsidRPr="00F818AD">
        <w:rPr>
          <w:rFonts w:ascii="Arial" w:hAnsi="Arial" w:cs="Arial"/>
          <w:sz w:val="20"/>
          <w:szCs w:val="20"/>
        </w:rPr>
        <w:t xml:space="preserve"> še posebej pri okolju ali zdravju škodljivemu ravnanju</w:t>
      </w:r>
      <w:r w:rsidR="004C632D">
        <w:rPr>
          <w:rFonts w:ascii="Arial" w:hAnsi="Arial" w:cs="Arial"/>
          <w:sz w:val="20"/>
          <w:szCs w:val="20"/>
        </w:rPr>
        <w:t>;</w:t>
      </w:r>
    </w:p>
    <w:p w14:paraId="7C80573A" w14:textId="3F397D52" w:rsidR="00E4026D" w:rsidRPr="00F818AD" w:rsidRDefault="00E4026D" w:rsidP="00F818AD">
      <w:pPr>
        <w:numPr>
          <w:ilvl w:val="0"/>
          <w:numId w:val="63"/>
        </w:numPr>
        <w:autoSpaceDE w:val="0"/>
        <w:autoSpaceDN w:val="0"/>
        <w:adjustRightInd w:val="0"/>
        <w:spacing w:after="0" w:line="260" w:lineRule="atLeast"/>
        <w:jc w:val="both"/>
        <w:rPr>
          <w:rFonts w:ascii="Arial" w:hAnsi="Arial" w:cs="Arial"/>
          <w:sz w:val="20"/>
          <w:szCs w:val="20"/>
        </w:rPr>
      </w:pPr>
      <w:r w:rsidRPr="00F818AD">
        <w:rPr>
          <w:rFonts w:ascii="Arial" w:hAnsi="Arial" w:cs="Arial"/>
          <w:sz w:val="20"/>
          <w:szCs w:val="20"/>
        </w:rPr>
        <w:t>znižanje javnofinančnih prihodkov</w:t>
      </w:r>
      <w:r w:rsidR="000E1307">
        <w:rPr>
          <w:rFonts w:ascii="Arial" w:hAnsi="Arial" w:cs="Arial"/>
          <w:sz w:val="20"/>
          <w:szCs w:val="20"/>
        </w:rPr>
        <w:t>.</w:t>
      </w:r>
    </w:p>
    <w:p w14:paraId="28C4F053" w14:textId="78002513" w:rsidR="00E4026D" w:rsidRPr="00F818AD" w:rsidRDefault="00E4026D" w:rsidP="00F818AD">
      <w:pPr>
        <w:spacing w:after="0" w:line="260" w:lineRule="atLeast"/>
        <w:jc w:val="both"/>
        <w:rPr>
          <w:rFonts w:ascii="Arial" w:hAnsi="Arial" w:cs="Arial"/>
          <w:sz w:val="20"/>
          <w:szCs w:val="20"/>
        </w:rPr>
      </w:pPr>
      <w:r w:rsidRPr="00F818AD">
        <w:rPr>
          <w:rFonts w:ascii="Arial" w:hAnsi="Arial" w:cs="Arial"/>
          <w:sz w:val="20"/>
          <w:szCs w:val="20"/>
        </w:rPr>
        <w:t xml:space="preserve">Področje dohodnine je </w:t>
      </w:r>
      <w:r w:rsidR="0087736E">
        <w:rPr>
          <w:rFonts w:ascii="Arial" w:hAnsi="Arial" w:cs="Arial"/>
          <w:sz w:val="20"/>
          <w:szCs w:val="20"/>
        </w:rPr>
        <w:t>posebno</w:t>
      </w:r>
      <w:r w:rsidRPr="00F818AD">
        <w:rPr>
          <w:rFonts w:ascii="Arial" w:hAnsi="Arial" w:cs="Arial"/>
          <w:sz w:val="20"/>
          <w:szCs w:val="20"/>
        </w:rPr>
        <w:t xml:space="preserve">specifično, saj obdavčitev temelji na progresivnosti dohodkov. Država skuša </w:t>
      </w:r>
      <w:r w:rsidR="0087736E">
        <w:rPr>
          <w:rFonts w:ascii="Arial" w:hAnsi="Arial" w:cs="Arial"/>
          <w:sz w:val="20"/>
          <w:szCs w:val="20"/>
        </w:rPr>
        <w:t>z</w:t>
      </w:r>
      <w:r w:rsidRPr="00F818AD">
        <w:rPr>
          <w:rFonts w:ascii="Arial" w:hAnsi="Arial" w:cs="Arial"/>
          <w:sz w:val="20"/>
          <w:szCs w:val="20"/>
        </w:rPr>
        <w:t xml:space="preserve"> različni</w:t>
      </w:r>
      <w:r w:rsidR="0087736E">
        <w:rPr>
          <w:rFonts w:ascii="Arial" w:hAnsi="Arial" w:cs="Arial"/>
          <w:sz w:val="20"/>
          <w:szCs w:val="20"/>
        </w:rPr>
        <w:t>mi</w:t>
      </w:r>
      <w:r w:rsidRPr="00F818AD">
        <w:rPr>
          <w:rFonts w:ascii="Arial" w:hAnsi="Arial" w:cs="Arial"/>
          <w:sz w:val="20"/>
          <w:szCs w:val="20"/>
        </w:rPr>
        <w:t xml:space="preserve"> olajšav</w:t>
      </w:r>
      <w:r w:rsidR="0087736E">
        <w:rPr>
          <w:rFonts w:ascii="Arial" w:hAnsi="Arial" w:cs="Arial"/>
          <w:sz w:val="20"/>
          <w:szCs w:val="20"/>
        </w:rPr>
        <w:t>ami</w:t>
      </w:r>
      <w:r w:rsidRPr="00F818AD">
        <w:rPr>
          <w:rFonts w:ascii="Arial" w:hAnsi="Arial" w:cs="Arial"/>
          <w:sz w:val="20"/>
          <w:szCs w:val="20"/>
        </w:rPr>
        <w:t xml:space="preserve"> pravično porazdeliti davčno breme med posamezniki. </w:t>
      </w:r>
      <w:r w:rsidR="0087736E">
        <w:rPr>
          <w:rFonts w:ascii="Arial" w:hAnsi="Arial" w:cs="Arial"/>
          <w:sz w:val="20"/>
          <w:szCs w:val="20"/>
        </w:rPr>
        <w:t>T</w:t>
      </w:r>
      <w:r w:rsidRPr="00F818AD">
        <w:rPr>
          <w:rFonts w:ascii="Arial" w:hAnsi="Arial" w:cs="Arial"/>
          <w:sz w:val="20"/>
          <w:szCs w:val="20"/>
        </w:rPr>
        <w:t>reb</w:t>
      </w:r>
      <w:r w:rsidR="0087736E">
        <w:rPr>
          <w:rFonts w:ascii="Arial" w:hAnsi="Arial" w:cs="Arial"/>
          <w:sz w:val="20"/>
          <w:szCs w:val="20"/>
        </w:rPr>
        <w:t>a</w:t>
      </w:r>
      <w:r w:rsidRPr="00F818AD">
        <w:rPr>
          <w:rFonts w:ascii="Arial" w:hAnsi="Arial" w:cs="Arial"/>
          <w:sz w:val="20"/>
          <w:szCs w:val="20"/>
        </w:rPr>
        <w:t xml:space="preserve"> se je zavedati tudi nevarnosti, ki jih prinašajo davčni </w:t>
      </w:r>
      <w:r w:rsidR="00461A9C" w:rsidRPr="00F818AD">
        <w:rPr>
          <w:rFonts w:ascii="Arial" w:hAnsi="Arial" w:cs="Arial"/>
          <w:sz w:val="20"/>
          <w:szCs w:val="20"/>
        </w:rPr>
        <w:t xml:space="preserve">izdatki </w:t>
      </w:r>
      <w:r w:rsidRPr="00F818AD">
        <w:rPr>
          <w:rFonts w:ascii="Arial" w:hAnsi="Arial" w:cs="Arial"/>
          <w:sz w:val="20"/>
          <w:szCs w:val="20"/>
        </w:rPr>
        <w:t xml:space="preserve">na tem področju, </w:t>
      </w:r>
      <w:r w:rsidR="00461A9C" w:rsidRPr="00F818AD">
        <w:rPr>
          <w:rFonts w:ascii="Arial" w:hAnsi="Arial" w:cs="Arial"/>
          <w:sz w:val="20"/>
          <w:szCs w:val="20"/>
        </w:rPr>
        <w:t xml:space="preserve">in sicer </w:t>
      </w:r>
      <w:r w:rsidRPr="00F818AD">
        <w:rPr>
          <w:rFonts w:ascii="Arial" w:hAnsi="Arial" w:cs="Arial"/>
          <w:sz w:val="20"/>
          <w:szCs w:val="20"/>
        </w:rPr>
        <w:t>izpostav</w:t>
      </w:r>
      <w:r w:rsidR="0087736E">
        <w:rPr>
          <w:rFonts w:ascii="Arial" w:hAnsi="Arial" w:cs="Arial"/>
          <w:sz w:val="20"/>
          <w:szCs w:val="20"/>
        </w:rPr>
        <w:t>ljamo</w:t>
      </w:r>
      <w:r w:rsidRPr="00F818AD">
        <w:rPr>
          <w:rFonts w:ascii="Arial" w:hAnsi="Arial" w:cs="Arial"/>
          <w:sz w:val="20"/>
          <w:szCs w:val="20"/>
        </w:rPr>
        <w:t xml:space="preserve"> </w:t>
      </w:r>
      <w:r w:rsidR="00A9029F">
        <w:rPr>
          <w:rFonts w:ascii="Arial" w:hAnsi="Arial" w:cs="Arial"/>
          <w:sz w:val="20"/>
          <w:szCs w:val="20"/>
        </w:rPr>
        <w:t>zmanjšanje</w:t>
      </w:r>
      <w:r w:rsidR="00FA3C8D">
        <w:rPr>
          <w:rFonts w:ascii="Arial" w:hAnsi="Arial" w:cs="Arial"/>
          <w:sz w:val="20"/>
          <w:szCs w:val="20"/>
        </w:rPr>
        <w:t xml:space="preserve"> </w:t>
      </w:r>
      <w:r w:rsidRPr="00F818AD">
        <w:rPr>
          <w:rFonts w:ascii="Arial" w:hAnsi="Arial" w:cs="Arial"/>
          <w:sz w:val="20"/>
          <w:szCs w:val="20"/>
        </w:rPr>
        <w:t>spodbud</w:t>
      </w:r>
      <w:r w:rsidR="00A9029F">
        <w:rPr>
          <w:rFonts w:ascii="Arial" w:hAnsi="Arial" w:cs="Arial"/>
          <w:sz w:val="20"/>
          <w:szCs w:val="20"/>
        </w:rPr>
        <w:t>e</w:t>
      </w:r>
      <w:r w:rsidRPr="00F818AD">
        <w:rPr>
          <w:rFonts w:ascii="Arial" w:hAnsi="Arial" w:cs="Arial"/>
          <w:sz w:val="20"/>
          <w:szCs w:val="20"/>
        </w:rPr>
        <w:t xml:space="preserve"> za zaposlovanje, izkoriščanje socialne politike, nižj</w:t>
      </w:r>
      <w:r w:rsidR="00775A16">
        <w:rPr>
          <w:rFonts w:ascii="Arial" w:hAnsi="Arial" w:cs="Arial"/>
          <w:sz w:val="20"/>
          <w:szCs w:val="20"/>
        </w:rPr>
        <w:t>e</w:t>
      </w:r>
      <w:r w:rsidRPr="00F818AD">
        <w:rPr>
          <w:rFonts w:ascii="Arial" w:hAnsi="Arial" w:cs="Arial"/>
          <w:sz w:val="20"/>
          <w:szCs w:val="20"/>
        </w:rPr>
        <w:t xml:space="preserve"> javnofinančn</w:t>
      </w:r>
      <w:r w:rsidR="00A9029F">
        <w:rPr>
          <w:rFonts w:ascii="Arial" w:hAnsi="Arial" w:cs="Arial"/>
          <w:sz w:val="20"/>
          <w:szCs w:val="20"/>
        </w:rPr>
        <w:t>e</w:t>
      </w:r>
      <w:r w:rsidRPr="00F818AD">
        <w:rPr>
          <w:rFonts w:ascii="Arial" w:hAnsi="Arial" w:cs="Arial"/>
          <w:sz w:val="20"/>
          <w:szCs w:val="20"/>
        </w:rPr>
        <w:t xml:space="preserve"> prihodk</w:t>
      </w:r>
      <w:r w:rsidR="00A9029F">
        <w:rPr>
          <w:rFonts w:ascii="Arial" w:hAnsi="Arial" w:cs="Arial"/>
          <w:sz w:val="20"/>
          <w:szCs w:val="20"/>
        </w:rPr>
        <w:t>e</w:t>
      </w:r>
      <w:r w:rsidRPr="00F818AD">
        <w:rPr>
          <w:rFonts w:ascii="Arial" w:hAnsi="Arial" w:cs="Arial"/>
          <w:sz w:val="20"/>
          <w:szCs w:val="20"/>
        </w:rPr>
        <w:t>.</w:t>
      </w:r>
    </w:p>
    <w:p w14:paraId="264457AD" w14:textId="77777777" w:rsidR="00E4026D" w:rsidRPr="00F818AD" w:rsidRDefault="00E4026D" w:rsidP="00F818AD">
      <w:pPr>
        <w:spacing w:after="0" w:line="260" w:lineRule="atLeast"/>
        <w:jc w:val="both"/>
        <w:rPr>
          <w:rFonts w:ascii="Arial" w:hAnsi="Arial" w:cs="Arial"/>
          <w:color w:val="7F7F7F"/>
          <w:sz w:val="20"/>
          <w:szCs w:val="20"/>
        </w:rPr>
      </w:pPr>
    </w:p>
    <w:p w14:paraId="26E4522E" w14:textId="0962139F" w:rsidR="00E4026D" w:rsidRPr="00F818AD" w:rsidRDefault="0087736E" w:rsidP="00F818AD">
      <w:pPr>
        <w:spacing w:after="0" w:line="260" w:lineRule="atLeast"/>
        <w:jc w:val="both"/>
        <w:rPr>
          <w:rFonts w:ascii="Arial" w:hAnsi="Arial" w:cs="Arial"/>
          <w:sz w:val="20"/>
          <w:szCs w:val="20"/>
        </w:rPr>
      </w:pPr>
      <w:r>
        <w:rPr>
          <w:rFonts w:ascii="Arial" w:hAnsi="Arial" w:cs="Arial"/>
          <w:sz w:val="20"/>
          <w:szCs w:val="20"/>
        </w:rPr>
        <w:t>Cilj t</w:t>
      </w:r>
      <w:r w:rsidR="00E4026D" w:rsidRPr="00F818AD">
        <w:rPr>
          <w:rFonts w:ascii="Arial" w:hAnsi="Arial" w:cs="Arial"/>
          <w:sz w:val="20"/>
          <w:szCs w:val="20"/>
        </w:rPr>
        <w:t>rošarinsk</w:t>
      </w:r>
      <w:r>
        <w:rPr>
          <w:rFonts w:ascii="Arial" w:hAnsi="Arial" w:cs="Arial"/>
          <w:sz w:val="20"/>
          <w:szCs w:val="20"/>
        </w:rPr>
        <w:t>e</w:t>
      </w:r>
      <w:r w:rsidR="00E4026D" w:rsidRPr="00F818AD">
        <w:rPr>
          <w:rFonts w:ascii="Arial" w:hAnsi="Arial" w:cs="Arial"/>
          <w:sz w:val="20"/>
          <w:szCs w:val="20"/>
        </w:rPr>
        <w:t xml:space="preserve"> politik</w:t>
      </w:r>
      <w:r>
        <w:rPr>
          <w:rFonts w:ascii="Arial" w:hAnsi="Arial" w:cs="Arial"/>
          <w:sz w:val="20"/>
          <w:szCs w:val="20"/>
        </w:rPr>
        <w:t xml:space="preserve">e je predvsem </w:t>
      </w:r>
      <w:r w:rsidR="00E4026D" w:rsidRPr="00F818AD">
        <w:rPr>
          <w:rFonts w:ascii="Arial" w:hAnsi="Arial" w:cs="Arial"/>
          <w:sz w:val="20"/>
          <w:szCs w:val="20"/>
        </w:rPr>
        <w:t>zmanjšanj</w:t>
      </w:r>
      <w:r>
        <w:rPr>
          <w:rFonts w:ascii="Arial" w:hAnsi="Arial" w:cs="Arial"/>
          <w:sz w:val="20"/>
          <w:szCs w:val="20"/>
        </w:rPr>
        <w:t>e</w:t>
      </w:r>
      <w:r w:rsidR="00E4026D" w:rsidRPr="00F818AD">
        <w:rPr>
          <w:rFonts w:ascii="Arial" w:hAnsi="Arial" w:cs="Arial"/>
          <w:sz w:val="20"/>
          <w:szCs w:val="20"/>
        </w:rPr>
        <w:t xml:space="preserve"> porabe blaga, ki je škodljivo okolju ali zdravju</w:t>
      </w:r>
      <w:r w:rsidR="00543C74">
        <w:rPr>
          <w:rFonts w:ascii="Arial" w:hAnsi="Arial" w:cs="Arial"/>
          <w:sz w:val="20"/>
          <w:szCs w:val="20"/>
        </w:rPr>
        <w:t>. Vendar se z</w:t>
      </w:r>
      <w:r w:rsidR="00E4026D" w:rsidRPr="00F818AD">
        <w:rPr>
          <w:rFonts w:ascii="Arial" w:hAnsi="Arial" w:cs="Arial"/>
          <w:sz w:val="20"/>
          <w:szCs w:val="20"/>
        </w:rPr>
        <w:t xml:space="preserve"> uveljavlja</w:t>
      </w:r>
      <w:r w:rsidR="00543C74">
        <w:rPr>
          <w:rFonts w:ascii="Arial" w:hAnsi="Arial" w:cs="Arial"/>
          <w:sz w:val="20"/>
          <w:szCs w:val="20"/>
        </w:rPr>
        <w:t>njem</w:t>
      </w:r>
      <w:r w:rsidR="00E4026D" w:rsidRPr="00F818AD">
        <w:rPr>
          <w:rFonts w:ascii="Arial" w:hAnsi="Arial" w:cs="Arial"/>
          <w:sz w:val="20"/>
          <w:szCs w:val="20"/>
        </w:rPr>
        <w:t xml:space="preserve"> izjem</w:t>
      </w:r>
      <w:r w:rsidR="006E64B6">
        <w:rPr>
          <w:rFonts w:ascii="Arial" w:hAnsi="Arial" w:cs="Arial"/>
          <w:sz w:val="20"/>
          <w:szCs w:val="20"/>
        </w:rPr>
        <w:t xml:space="preserve"> dopušča prosto</w:t>
      </w:r>
      <w:r w:rsidR="00F818AD">
        <w:rPr>
          <w:rFonts w:ascii="Arial" w:hAnsi="Arial" w:cs="Arial"/>
          <w:sz w:val="20"/>
          <w:szCs w:val="20"/>
        </w:rPr>
        <w:t>r</w:t>
      </w:r>
      <w:r w:rsidR="00E4026D" w:rsidRPr="00F818AD">
        <w:rPr>
          <w:rFonts w:ascii="Arial" w:hAnsi="Arial" w:cs="Arial"/>
          <w:sz w:val="20"/>
          <w:szCs w:val="20"/>
        </w:rPr>
        <w:t xml:space="preserve"> tudi </w:t>
      </w:r>
      <w:r>
        <w:rPr>
          <w:rFonts w:ascii="Arial" w:hAnsi="Arial" w:cs="Arial"/>
          <w:sz w:val="20"/>
          <w:szCs w:val="20"/>
        </w:rPr>
        <w:t xml:space="preserve">za </w:t>
      </w:r>
      <w:r w:rsidR="00E4026D" w:rsidRPr="00F818AD">
        <w:rPr>
          <w:rFonts w:ascii="Arial" w:hAnsi="Arial" w:cs="Arial"/>
          <w:sz w:val="20"/>
          <w:szCs w:val="20"/>
        </w:rPr>
        <w:t>drug</w:t>
      </w:r>
      <w:r>
        <w:rPr>
          <w:rFonts w:ascii="Arial" w:hAnsi="Arial" w:cs="Arial"/>
          <w:sz w:val="20"/>
          <w:szCs w:val="20"/>
        </w:rPr>
        <w:t>e</w:t>
      </w:r>
      <w:r w:rsidR="00E4026D" w:rsidRPr="00F818AD">
        <w:rPr>
          <w:rFonts w:ascii="Arial" w:hAnsi="Arial" w:cs="Arial"/>
          <w:sz w:val="20"/>
          <w:szCs w:val="20"/>
        </w:rPr>
        <w:t xml:space="preserve"> cilje v okviru kmetijske, ekonomske in socialne politike ter pri tem zagotavlja konkurenčnost določenim sektorjem</w:t>
      </w:r>
      <w:r w:rsidR="00461A9C">
        <w:rPr>
          <w:rFonts w:ascii="Arial" w:hAnsi="Arial" w:cs="Arial"/>
          <w:sz w:val="20"/>
          <w:szCs w:val="20"/>
        </w:rPr>
        <w:t>,</w:t>
      </w:r>
      <w:r w:rsidR="00E4026D" w:rsidRPr="00F818AD">
        <w:rPr>
          <w:rFonts w:ascii="Arial" w:hAnsi="Arial" w:cs="Arial"/>
          <w:sz w:val="20"/>
          <w:szCs w:val="20"/>
        </w:rPr>
        <w:t xml:space="preserve"> v katerih sosednje držav</w:t>
      </w:r>
      <w:r w:rsidR="00775A16">
        <w:rPr>
          <w:rFonts w:ascii="Arial" w:hAnsi="Arial" w:cs="Arial"/>
          <w:sz w:val="20"/>
          <w:szCs w:val="20"/>
        </w:rPr>
        <w:t>e</w:t>
      </w:r>
      <w:r w:rsidR="00E4026D" w:rsidRPr="00F818AD">
        <w:rPr>
          <w:rFonts w:ascii="Arial" w:hAnsi="Arial" w:cs="Arial"/>
          <w:sz w:val="20"/>
          <w:szCs w:val="20"/>
        </w:rPr>
        <w:t xml:space="preserve"> </w:t>
      </w:r>
      <w:r w:rsidR="006E64B6">
        <w:rPr>
          <w:rFonts w:ascii="Arial" w:hAnsi="Arial" w:cs="Arial"/>
          <w:sz w:val="20"/>
          <w:szCs w:val="20"/>
        </w:rPr>
        <w:t>dopuščajo</w:t>
      </w:r>
      <w:r w:rsidR="00E4026D" w:rsidRPr="00F818AD">
        <w:rPr>
          <w:rFonts w:ascii="Arial" w:hAnsi="Arial" w:cs="Arial"/>
          <w:sz w:val="20"/>
          <w:szCs w:val="20"/>
        </w:rPr>
        <w:t xml:space="preserve"> izjeme pri obdavčitvi. Pasti, ki jih p</w:t>
      </w:r>
      <w:r>
        <w:rPr>
          <w:rFonts w:ascii="Arial" w:hAnsi="Arial" w:cs="Arial"/>
          <w:sz w:val="20"/>
          <w:szCs w:val="20"/>
        </w:rPr>
        <w:t>omenijo</w:t>
      </w:r>
      <w:r w:rsidR="00E4026D" w:rsidRPr="00F818AD">
        <w:rPr>
          <w:rFonts w:ascii="Arial" w:hAnsi="Arial" w:cs="Arial"/>
          <w:sz w:val="20"/>
          <w:szCs w:val="20"/>
        </w:rPr>
        <w:t xml:space="preserve"> davčni </w:t>
      </w:r>
      <w:r w:rsidR="00461A9C">
        <w:rPr>
          <w:rFonts w:ascii="Arial" w:hAnsi="Arial" w:cs="Arial"/>
          <w:sz w:val="20"/>
          <w:szCs w:val="20"/>
        </w:rPr>
        <w:t>izdatki</w:t>
      </w:r>
      <w:r w:rsidR="00E4026D" w:rsidRPr="00F818AD">
        <w:rPr>
          <w:rFonts w:ascii="Arial" w:hAnsi="Arial" w:cs="Arial"/>
          <w:sz w:val="20"/>
          <w:szCs w:val="20"/>
        </w:rPr>
        <w:t xml:space="preserve"> na tem področju</w:t>
      </w:r>
      <w:r w:rsidR="00A9029F">
        <w:rPr>
          <w:rFonts w:ascii="Arial" w:hAnsi="Arial" w:cs="Arial"/>
          <w:sz w:val="20"/>
          <w:szCs w:val="20"/>
        </w:rPr>
        <w:t>,</w:t>
      </w:r>
      <w:r w:rsidR="00E4026D" w:rsidRPr="00F818AD">
        <w:rPr>
          <w:rFonts w:ascii="Arial" w:hAnsi="Arial" w:cs="Arial"/>
          <w:sz w:val="20"/>
          <w:szCs w:val="20"/>
        </w:rPr>
        <w:t xml:space="preserve"> so uveljavljanje olajšav zavezancev za energente, ki jih uporabljajo za </w:t>
      </w:r>
      <w:r>
        <w:rPr>
          <w:rFonts w:ascii="Arial" w:hAnsi="Arial" w:cs="Arial"/>
          <w:sz w:val="20"/>
          <w:szCs w:val="20"/>
        </w:rPr>
        <w:t>zasebne</w:t>
      </w:r>
      <w:r w:rsidR="00E4026D" w:rsidRPr="00F818AD">
        <w:rPr>
          <w:rFonts w:ascii="Arial" w:hAnsi="Arial" w:cs="Arial"/>
          <w:sz w:val="20"/>
          <w:szCs w:val="20"/>
        </w:rPr>
        <w:t xml:space="preserve"> namene, poveč</w:t>
      </w:r>
      <w:r w:rsidR="00775A16">
        <w:rPr>
          <w:rFonts w:ascii="Arial" w:hAnsi="Arial" w:cs="Arial"/>
          <w:sz w:val="20"/>
          <w:szCs w:val="20"/>
        </w:rPr>
        <w:t>anje</w:t>
      </w:r>
      <w:r w:rsidR="00E4026D" w:rsidRPr="00F818AD">
        <w:rPr>
          <w:rFonts w:ascii="Arial" w:hAnsi="Arial" w:cs="Arial"/>
          <w:sz w:val="20"/>
          <w:szCs w:val="20"/>
        </w:rPr>
        <w:t xml:space="preserve"> porab</w:t>
      </w:r>
      <w:r w:rsidR="00775A16">
        <w:rPr>
          <w:rFonts w:ascii="Arial" w:hAnsi="Arial" w:cs="Arial"/>
          <w:sz w:val="20"/>
          <w:szCs w:val="20"/>
        </w:rPr>
        <w:t>e</w:t>
      </w:r>
      <w:r w:rsidR="00E4026D" w:rsidRPr="00F818AD">
        <w:rPr>
          <w:rFonts w:ascii="Arial" w:hAnsi="Arial" w:cs="Arial"/>
          <w:sz w:val="20"/>
          <w:szCs w:val="20"/>
        </w:rPr>
        <w:t xml:space="preserve"> energentov in s tem </w:t>
      </w:r>
      <w:r>
        <w:rPr>
          <w:rFonts w:ascii="Arial" w:hAnsi="Arial" w:cs="Arial"/>
          <w:sz w:val="20"/>
          <w:szCs w:val="20"/>
        </w:rPr>
        <w:t>slab</w:t>
      </w:r>
      <w:r w:rsidR="00775A16">
        <w:rPr>
          <w:rFonts w:ascii="Arial" w:hAnsi="Arial" w:cs="Arial"/>
          <w:sz w:val="20"/>
          <w:szCs w:val="20"/>
        </w:rPr>
        <w:t xml:space="preserve"> vpliv na</w:t>
      </w:r>
      <w:r w:rsidR="00E4026D" w:rsidRPr="00F818AD">
        <w:rPr>
          <w:rFonts w:ascii="Arial" w:hAnsi="Arial" w:cs="Arial"/>
          <w:sz w:val="20"/>
          <w:szCs w:val="20"/>
        </w:rPr>
        <w:t xml:space="preserve"> onesnaževanje okolja ter poveč</w:t>
      </w:r>
      <w:r w:rsidR="00775A16">
        <w:rPr>
          <w:rFonts w:ascii="Arial" w:hAnsi="Arial" w:cs="Arial"/>
          <w:sz w:val="20"/>
          <w:szCs w:val="20"/>
        </w:rPr>
        <w:t>anje</w:t>
      </w:r>
      <w:r w:rsidR="00E4026D" w:rsidRPr="00F818AD">
        <w:rPr>
          <w:rFonts w:ascii="Arial" w:hAnsi="Arial" w:cs="Arial"/>
          <w:sz w:val="20"/>
          <w:szCs w:val="20"/>
        </w:rPr>
        <w:t xml:space="preserve"> uporab</w:t>
      </w:r>
      <w:r>
        <w:rPr>
          <w:rFonts w:ascii="Arial" w:hAnsi="Arial" w:cs="Arial"/>
          <w:sz w:val="20"/>
          <w:szCs w:val="20"/>
        </w:rPr>
        <w:t>e</w:t>
      </w:r>
      <w:r w:rsidR="00E4026D" w:rsidRPr="00F818AD">
        <w:rPr>
          <w:rFonts w:ascii="Arial" w:hAnsi="Arial" w:cs="Arial"/>
          <w:sz w:val="20"/>
          <w:szCs w:val="20"/>
        </w:rPr>
        <w:t xml:space="preserve"> zdravju škodljivega blaga.</w:t>
      </w:r>
    </w:p>
    <w:p w14:paraId="20316962" w14:textId="77777777" w:rsidR="00E4026D" w:rsidRPr="00012435" w:rsidRDefault="00E4026D" w:rsidP="00012435">
      <w:pPr>
        <w:spacing w:after="0" w:line="260" w:lineRule="atLeast"/>
        <w:jc w:val="both"/>
        <w:rPr>
          <w:rFonts w:ascii="Arial" w:hAnsi="Arial" w:cs="Arial"/>
          <w:color w:val="7F7F7F"/>
          <w:sz w:val="20"/>
          <w:szCs w:val="20"/>
        </w:rPr>
      </w:pPr>
    </w:p>
    <w:p w14:paraId="22A490B2" w14:textId="2E13CB1E" w:rsidR="00E4026D" w:rsidRPr="00F818AD" w:rsidRDefault="00E4026D" w:rsidP="00F818AD">
      <w:pPr>
        <w:spacing w:after="0" w:line="260" w:lineRule="atLeast"/>
        <w:jc w:val="both"/>
        <w:rPr>
          <w:rFonts w:ascii="Arial" w:hAnsi="Arial" w:cs="Arial"/>
          <w:b/>
          <w:color w:val="7F7F7F"/>
          <w:sz w:val="20"/>
          <w:szCs w:val="20"/>
        </w:rPr>
      </w:pPr>
      <w:r w:rsidRPr="00012435">
        <w:rPr>
          <w:rFonts w:ascii="Arial" w:hAnsi="Arial" w:cs="Arial"/>
          <w:sz w:val="20"/>
          <w:szCs w:val="20"/>
        </w:rPr>
        <w:t>P</w:t>
      </w:r>
      <w:r w:rsidRPr="00F818AD">
        <w:rPr>
          <w:rFonts w:ascii="Arial" w:hAnsi="Arial" w:cs="Arial"/>
          <w:sz w:val="20"/>
          <w:szCs w:val="20"/>
        </w:rPr>
        <w:t xml:space="preserve">ovzamemo lahko, da je za učinkovitost socialne in gospodarske politike potreben strog nadzor nad davčnimi </w:t>
      </w:r>
      <w:r w:rsidR="00CE280F">
        <w:rPr>
          <w:rFonts w:ascii="Arial" w:hAnsi="Arial" w:cs="Arial"/>
          <w:sz w:val="20"/>
          <w:szCs w:val="20"/>
        </w:rPr>
        <w:t>izdatk</w:t>
      </w:r>
      <w:r w:rsidR="00CE280F" w:rsidRPr="00F818AD">
        <w:rPr>
          <w:rFonts w:ascii="Arial" w:hAnsi="Arial" w:cs="Arial"/>
          <w:sz w:val="20"/>
          <w:szCs w:val="20"/>
        </w:rPr>
        <w:t>i</w:t>
      </w:r>
      <w:r w:rsidRPr="00F818AD">
        <w:rPr>
          <w:rFonts w:ascii="Arial" w:hAnsi="Arial" w:cs="Arial"/>
          <w:sz w:val="20"/>
          <w:szCs w:val="20"/>
        </w:rPr>
        <w:t>. V nasprotnem primeru se lahko izkažejo za neučinkovite, saj lahko</w:t>
      </w:r>
      <w:r w:rsidR="00A9029F">
        <w:rPr>
          <w:rFonts w:ascii="Arial" w:hAnsi="Arial" w:cs="Arial"/>
          <w:sz w:val="20"/>
          <w:szCs w:val="20"/>
        </w:rPr>
        <w:t xml:space="preserve"> njihovi</w:t>
      </w:r>
      <w:r w:rsidRPr="00F818AD">
        <w:rPr>
          <w:rFonts w:ascii="Arial" w:hAnsi="Arial" w:cs="Arial"/>
          <w:sz w:val="20"/>
          <w:szCs w:val="20"/>
        </w:rPr>
        <w:t xml:space="preserve"> stroški presežejo </w:t>
      </w:r>
      <w:r w:rsidR="0087736E">
        <w:rPr>
          <w:rFonts w:ascii="Arial" w:hAnsi="Arial" w:cs="Arial"/>
          <w:sz w:val="20"/>
          <w:szCs w:val="20"/>
        </w:rPr>
        <w:t>dobre</w:t>
      </w:r>
      <w:r w:rsidRPr="00F818AD">
        <w:rPr>
          <w:rFonts w:ascii="Arial" w:hAnsi="Arial" w:cs="Arial"/>
          <w:sz w:val="20"/>
          <w:szCs w:val="20"/>
        </w:rPr>
        <w:t xml:space="preserve"> učin</w:t>
      </w:r>
      <w:r w:rsidR="00A9029F">
        <w:rPr>
          <w:rFonts w:ascii="Arial" w:hAnsi="Arial" w:cs="Arial"/>
          <w:sz w:val="20"/>
          <w:szCs w:val="20"/>
        </w:rPr>
        <w:t>ke</w:t>
      </w:r>
      <w:r w:rsidR="00FB1AF1">
        <w:rPr>
          <w:rFonts w:ascii="Arial" w:hAnsi="Arial" w:cs="Arial"/>
          <w:sz w:val="20"/>
          <w:szCs w:val="20"/>
        </w:rPr>
        <w:t xml:space="preserve"> njihove uvedbe.</w:t>
      </w:r>
    </w:p>
    <w:p w14:paraId="1E4FCA11" w14:textId="5EA99B04" w:rsidR="00E4026D" w:rsidRDefault="00E4026D" w:rsidP="00012435">
      <w:pPr>
        <w:spacing w:after="0" w:line="260" w:lineRule="atLeast"/>
        <w:jc w:val="both"/>
        <w:rPr>
          <w:rFonts w:ascii="Arial" w:hAnsi="Arial" w:cs="Arial"/>
          <w:b/>
          <w:color w:val="7F7F7F"/>
          <w:sz w:val="20"/>
          <w:szCs w:val="20"/>
        </w:rPr>
      </w:pPr>
    </w:p>
    <w:p w14:paraId="2BACC225" w14:textId="26E7B5C4" w:rsidR="00F818AD" w:rsidRPr="00012435" w:rsidRDefault="00F818AD" w:rsidP="00012435">
      <w:pPr>
        <w:spacing w:after="0" w:line="260" w:lineRule="atLeast"/>
        <w:jc w:val="both"/>
        <w:rPr>
          <w:rFonts w:ascii="Arial" w:hAnsi="Arial" w:cs="Arial"/>
          <w:b/>
          <w:color w:val="7F7F7F"/>
          <w:sz w:val="20"/>
          <w:szCs w:val="20"/>
        </w:rPr>
      </w:pPr>
      <w:r w:rsidRPr="008B55CD">
        <w:rPr>
          <w:rFonts w:ascii="Arial" w:eastAsia="Times New Roman" w:hAnsi="Arial" w:cs="Arial"/>
          <w:sz w:val="20"/>
          <w:szCs w:val="20"/>
          <w:lang w:eastAsia="sl-SI"/>
        </w:rPr>
        <w:t xml:space="preserve">Glede na navedeno </w:t>
      </w:r>
      <w:r>
        <w:rPr>
          <w:rFonts w:ascii="Arial" w:eastAsia="Times New Roman" w:hAnsi="Arial" w:cs="Arial"/>
          <w:sz w:val="20"/>
          <w:szCs w:val="20"/>
          <w:lang w:eastAsia="sl-SI"/>
        </w:rPr>
        <w:t>je smiseln premislek o tem</w:t>
      </w:r>
      <w:r w:rsidR="00A9029F">
        <w:rPr>
          <w:rFonts w:ascii="Arial" w:eastAsia="Times New Roman" w:hAnsi="Arial" w:cs="Arial"/>
          <w:sz w:val="20"/>
          <w:szCs w:val="20"/>
          <w:lang w:eastAsia="sl-SI"/>
        </w:rPr>
        <w:t>, koliko</w:t>
      </w:r>
      <w:r w:rsidR="004E0899">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koristi </w:t>
      </w:r>
      <w:r w:rsidR="004E0899">
        <w:rPr>
          <w:rFonts w:ascii="Arial" w:eastAsia="Times New Roman" w:hAnsi="Arial" w:cs="Arial"/>
          <w:sz w:val="20"/>
          <w:szCs w:val="20"/>
          <w:lang w:eastAsia="sl-SI"/>
        </w:rPr>
        <w:t xml:space="preserve">vsakega posebej od v poročilu </w:t>
      </w:r>
      <w:r>
        <w:rPr>
          <w:rFonts w:ascii="Arial" w:eastAsia="Times New Roman" w:hAnsi="Arial" w:cs="Arial"/>
          <w:sz w:val="20"/>
          <w:szCs w:val="20"/>
          <w:lang w:eastAsia="sl-SI"/>
        </w:rPr>
        <w:t xml:space="preserve">navedenih </w:t>
      </w:r>
      <w:r w:rsidRPr="008B55CD">
        <w:rPr>
          <w:rFonts w:ascii="Arial" w:eastAsia="Times New Roman" w:hAnsi="Arial" w:cs="Arial"/>
          <w:sz w:val="20"/>
          <w:szCs w:val="20"/>
          <w:lang w:eastAsia="sl-SI"/>
        </w:rPr>
        <w:t>davčni</w:t>
      </w:r>
      <w:r>
        <w:rPr>
          <w:rFonts w:ascii="Arial" w:eastAsia="Times New Roman" w:hAnsi="Arial" w:cs="Arial"/>
          <w:sz w:val="20"/>
          <w:szCs w:val="20"/>
          <w:lang w:eastAsia="sl-SI"/>
        </w:rPr>
        <w:t>h</w:t>
      </w:r>
      <w:r w:rsidRPr="008B55CD">
        <w:rPr>
          <w:rFonts w:ascii="Arial" w:eastAsia="Times New Roman" w:hAnsi="Arial" w:cs="Arial"/>
          <w:sz w:val="20"/>
          <w:szCs w:val="20"/>
          <w:lang w:eastAsia="sl-SI"/>
        </w:rPr>
        <w:t xml:space="preserve"> </w:t>
      </w:r>
      <w:r>
        <w:rPr>
          <w:rFonts w:ascii="Arial" w:eastAsia="Times New Roman" w:hAnsi="Arial" w:cs="Arial"/>
          <w:sz w:val="20"/>
          <w:szCs w:val="20"/>
          <w:lang w:eastAsia="sl-SI"/>
        </w:rPr>
        <w:t>izdatkov</w:t>
      </w:r>
      <w:r w:rsidR="004E0899">
        <w:rPr>
          <w:rFonts w:ascii="Arial" w:eastAsia="Times New Roman" w:hAnsi="Arial" w:cs="Arial"/>
          <w:sz w:val="20"/>
          <w:szCs w:val="20"/>
          <w:lang w:eastAsia="sl-SI"/>
        </w:rPr>
        <w:t xml:space="preserve"> dosega izgubljen</w:t>
      </w:r>
      <w:r w:rsidR="002E43ED">
        <w:rPr>
          <w:rFonts w:ascii="Arial" w:eastAsia="Times New Roman" w:hAnsi="Arial" w:cs="Arial"/>
          <w:sz w:val="20"/>
          <w:szCs w:val="20"/>
          <w:lang w:eastAsia="sl-SI"/>
        </w:rPr>
        <w:t>e</w:t>
      </w:r>
      <w:r w:rsidR="004E0899">
        <w:rPr>
          <w:rFonts w:ascii="Arial" w:eastAsia="Times New Roman" w:hAnsi="Arial" w:cs="Arial"/>
          <w:sz w:val="20"/>
          <w:szCs w:val="20"/>
          <w:lang w:eastAsia="sl-SI"/>
        </w:rPr>
        <w:t xml:space="preserve"> prihodk</w:t>
      </w:r>
      <w:r w:rsidR="002E43ED">
        <w:rPr>
          <w:rFonts w:ascii="Arial" w:eastAsia="Times New Roman" w:hAnsi="Arial" w:cs="Arial"/>
          <w:sz w:val="20"/>
          <w:szCs w:val="20"/>
          <w:lang w:eastAsia="sl-SI"/>
        </w:rPr>
        <w:t>e</w:t>
      </w:r>
      <w:r w:rsidRPr="008B55CD">
        <w:rPr>
          <w:rFonts w:ascii="Arial" w:eastAsia="Times New Roman" w:hAnsi="Arial" w:cs="Arial"/>
          <w:sz w:val="20"/>
          <w:szCs w:val="20"/>
          <w:lang w:eastAsia="sl-SI"/>
        </w:rPr>
        <w:t xml:space="preserve">, ki iz </w:t>
      </w:r>
      <w:r w:rsidR="004E0899">
        <w:rPr>
          <w:rFonts w:ascii="Arial" w:eastAsia="Times New Roman" w:hAnsi="Arial" w:cs="Arial"/>
          <w:sz w:val="20"/>
          <w:szCs w:val="20"/>
          <w:lang w:eastAsia="sl-SI"/>
        </w:rPr>
        <w:t xml:space="preserve">njih </w:t>
      </w:r>
      <w:r w:rsidRPr="008B55CD">
        <w:rPr>
          <w:rFonts w:ascii="Arial" w:eastAsia="Times New Roman" w:hAnsi="Arial" w:cs="Arial"/>
          <w:sz w:val="20"/>
          <w:szCs w:val="20"/>
          <w:lang w:eastAsia="sl-SI"/>
        </w:rPr>
        <w:t xml:space="preserve">izhajajo. </w:t>
      </w:r>
    </w:p>
    <w:p w14:paraId="7607BA00" w14:textId="77777777" w:rsidR="00E4026D" w:rsidRPr="00012435" w:rsidRDefault="00E4026D" w:rsidP="00012435">
      <w:pPr>
        <w:spacing w:after="0" w:line="260" w:lineRule="atLeast"/>
        <w:jc w:val="both"/>
        <w:rPr>
          <w:rFonts w:ascii="Arial" w:hAnsi="Arial" w:cs="Arial"/>
          <w:b/>
          <w:color w:val="7F7F7F"/>
          <w:sz w:val="20"/>
          <w:szCs w:val="20"/>
        </w:rPr>
      </w:pPr>
    </w:p>
    <w:p w14:paraId="21778B50" w14:textId="77777777" w:rsidR="00E4026D" w:rsidRPr="00012435" w:rsidRDefault="00E4026D" w:rsidP="00012435">
      <w:pPr>
        <w:spacing w:after="0" w:line="260" w:lineRule="atLeast"/>
        <w:jc w:val="both"/>
        <w:rPr>
          <w:rFonts w:ascii="Arial" w:hAnsi="Arial" w:cs="Arial"/>
          <w:b/>
          <w:color w:val="7F7F7F"/>
          <w:sz w:val="20"/>
          <w:szCs w:val="20"/>
        </w:rPr>
      </w:pPr>
    </w:p>
    <w:p w14:paraId="0228328A" w14:textId="77777777" w:rsidR="00E4026D" w:rsidRPr="00012435" w:rsidRDefault="00E4026D" w:rsidP="00012435">
      <w:pPr>
        <w:spacing w:after="0" w:line="260" w:lineRule="atLeast"/>
        <w:jc w:val="both"/>
        <w:rPr>
          <w:rFonts w:ascii="Arial" w:hAnsi="Arial" w:cs="Arial"/>
          <w:color w:val="7F7F7F"/>
          <w:sz w:val="20"/>
          <w:szCs w:val="20"/>
        </w:rPr>
      </w:pPr>
    </w:p>
    <w:p w14:paraId="5B278DA1" w14:textId="77777777" w:rsidR="0081397B" w:rsidRPr="00AC78FB" w:rsidRDefault="0081397B" w:rsidP="00E4026D">
      <w:pPr>
        <w:jc w:val="center"/>
        <w:rPr>
          <w:rFonts w:ascii="Arial" w:hAnsi="Arial" w:cs="Arial"/>
          <w:sz w:val="20"/>
          <w:szCs w:val="20"/>
        </w:rPr>
      </w:pPr>
    </w:p>
    <w:sectPr w:rsidR="0081397B" w:rsidRPr="00AC78FB" w:rsidSect="00930E40">
      <w:headerReference w:type="first" r:id="rId17"/>
      <w:pgSz w:w="11906" w:h="16838"/>
      <w:pgMar w:top="1134"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C3AE0" w14:textId="77777777" w:rsidR="002133B6" w:rsidRDefault="002133B6">
      <w:pPr>
        <w:spacing w:after="0" w:line="240" w:lineRule="auto"/>
      </w:pPr>
      <w:r>
        <w:separator/>
      </w:r>
    </w:p>
  </w:endnote>
  <w:endnote w:type="continuationSeparator" w:id="0">
    <w:p w14:paraId="05AA5667" w14:textId="77777777" w:rsidR="002133B6" w:rsidRDefault="0021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4FAB" w14:textId="11D7E83C" w:rsidR="002133B6" w:rsidRDefault="002133B6">
    <w:pPr>
      <w:pStyle w:val="Footer"/>
      <w:jc w:val="center"/>
    </w:pPr>
    <w:r>
      <w:fldChar w:fldCharType="begin"/>
    </w:r>
    <w:r>
      <w:instrText>PAGE   \* MERGEFORMAT</w:instrText>
    </w:r>
    <w:r>
      <w:fldChar w:fldCharType="separate"/>
    </w:r>
    <w:r w:rsidR="00364634">
      <w:rPr>
        <w:noProof/>
      </w:rPr>
      <w:t>1</w:t>
    </w:r>
    <w:r>
      <w:fldChar w:fldCharType="end"/>
    </w:r>
  </w:p>
  <w:p w14:paraId="17AA22FF" w14:textId="77777777" w:rsidR="002133B6" w:rsidRDefault="00213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EA6FA" w14:textId="77777777" w:rsidR="002133B6" w:rsidRDefault="002133B6">
      <w:pPr>
        <w:spacing w:after="0" w:line="240" w:lineRule="auto"/>
      </w:pPr>
      <w:r>
        <w:separator/>
      </w:r>
    </w:p>
  </w:footnote>
  <w:footnote w:type="continuationSeparator" w:id="0">
    <w:p w14:paraId="328ECC5C" w14:textId="77777777" w:rsidR="002133B6" w:rsidRDefault="002133B6">
      <w:pPr>
        <w:spacing w:after="0" w:line="240" w:lineRule="auto"/>
      </w:pPr>
      <w:r>
        <w:continuationSeparator/>
      </w:r>
    </w:p>
  </w:footnote>
  <w:footnote w:id="1">
    <w:p w14:paraId="36DA57C8" w14:textId="0D1DC536" w:rsidR="002133B6" w:rsidRPr="0099094B" w:rsidRDefault="002133B6" w:rsidP="00431565">
      <w:pPr>
        <w:pStyle w:val="FootnoteText"/>
        <w:jc w:val="both"/>
        <w:rPr>
          <w:sz w:val="16"/>
          <w:szCs w:val="16"/>
        </w:rPr>
      </w:pPr>
      <w:r>
        <w:rPr>
          <w:rStyle w:val="FootnoteReference"/>
        </w:rPr>
        <w:footnoteRef/>
      </w:r>
      <w:r>
        <w:t xml:space="preserve"> </w:t>
      </w:r>
      <w:r w:rsidRPr="00012435">
        <w:rPr>
          <w:sz w:val="16"/>
          <w:szCs w:val="16"/>
        </w:rPr>
        <w:t xml:space="preserve">Gre za grobo strokovno oceno ugodnosti, ki jo prinaša ugotavljanje davčne osnove </w:t>
      </w:r>
      <w:r>
        <w:rPr>
          <w:sz w:val="16"/>
          <w:szCs w:val="16"/>
        </w:rPr>
        <w:t>na podlagi</w:t>
      </w:r>
      <w:r w:rsidRPr="00012435">
        <w:rPr>
          <w:sz w:val="16"/>
          <w:szCs w:val="16"/>
        </w:rPr>
        <w:t xml:space="preserve"> dejansk</w:t>
      </w:r>
      <w:r>
        <w:rPr>
          <w:sz w:val="16"/>
          <w:szCs w:val="16"/>
        </w:rPr>
        <w:t>ih</w:t>
      </w:r>
      <w:r w:rsidRPr="00012435">
        <w:rPr>
          <w:sz w:val="16"/>
          <w:szCs w:val="16"/>
        </w:rPr>
        <w:t xml:space="preserve"> prihodk</w:t>
      </w:r>
      <w:r>
        <w:rPr>
          <w:sz w:val="16"/>
          <w:szCs w:val="16"/>
        </w:rPr>
        <w:t>ov</w:t>
      </w:r>
      <w:r w:rsidRPr="00012435">
        <w:rPr>
          <w:sz w:val="16"/>
          <w:szCs w:val="16"/>
        </w:rPr>
        <w:t xml:space="preserve"> in normiran</w:t>
      </w:r>
      <w:r>
        <w:rPr>
          <w:sz w:val="16"/>
          <w:szCs w:val="16"/>
        </w:rPr>
        <w:t>ih</w:t>
      </w:r>
      <w:r w:rsidRPr="00012435">
        <w:rPr>
          <w:sz w:val="16"/>
          <w:szCs w:val="16"/>
        </w:rPr>
        <w:t xml:space="preserve"> odhodk</w:t>
      </w:r>
      <w:r>
        <w:rPr>
          <w:sz w:val="16"/>
          <w:szCs w:val="16"/>
        </w:rPr>
        <w:t>ov</w:t>
      </w:r>
      <w:r w:rsidRPr="00012435">
        <w:rPr>
          <w:sz w:val="16"/>
          <w:szCs w:val="16"/>
        </w:rPr>
        <w:t>. Natanč</w:t>
      </w:r>
      <w:r>
        <w:rPr>
          <w:sz w:val="16"/>
          <w:szCs w:val="16"/>
        </w:rPr>
        <w:t>ni</w:t>
      </w:r>
      <w:r w:rsidRPr="00012435">
        <w:rPr>
          <w:sz w:val="16"/>
          <w:szCs w:val="16"/>
        </w:rPr>
        <w:t xml:space="preserve"> izračun ni mogoč, ker tem zavezancem ni treb</w:t>
      </w:r>
      <w:r>
        <w:rPr>
          <w:sz w:val="16"/>
          <w:szCs w:val="16"/>
        </w:rPr>
        <w:t>a</w:t>
      </w:r>
      <w:r w:rsidRPr="00012435">
        <w:rPr>
          <w:sz w:val="16"/>
          <w:szCs w:val="16"/>
        </w:rPr>
        <w:t xml:space="preserve"> voditi evidence o dejanskih odhodkih.</w:t>
      </w:r>
    </w:p>
  </w:footnote>
  <w:footnote w:id="2">
    <w:p w14:paraId="1690FC79" w14:textId="5211176E" w:rsidR="002133B6" w:rsidRDefault="002133B6">
      <w:pPr>
        <w:pStyle w:val="FootnoteText"/>
      </w:pPr>
      <w:r>
        <w:rPr>
          <w:rStyle w:val="FootnoteReference"/>
        </w:rPr>
        <w:footnoteRef/>
      </w:r>
      <w:r>
        <w:t xml:space="preserve"> </w:t>
      </w:r>
      <w:r w:rsidRPr="005A0DC6">
        <w:t>Direktiva Sveta 2003/96/ES z dne 27. oktobra 2003 o prestrukturiranju okvira Skupnosti za obdavčitev energentov in električne energije</w:t>
      </w:r>
      <w:r>
        <w:t>.</w:t>
      </w:r>
    </w:p>
  </w:footnote>
  <w:footnote w:id="3">
    <w:p w14:paraId="487FFFEB" w14:textId="39F4DD71" w:rsidR="002133B6" w:rsidRPr="00012435" w:rsidRDefault="002133B6" w:rsidP="00E4026D">
      <w:pPr>
        <w:pStyle w:val="FootnoteText"/>
        <w:rPr>
          <w:sz w:val="18"/>
          <w:szCs w:val="18"/>
        </w:rPr>
      </w:pPr>
      <w:r w:rsidRPr="00012435">
        <w:rPr>
          <w:rStyle w:val="FootnoteReference"/>
          <w:sz w:val="18"/>
          <w:szCs w:val="18"/>
        </w:rPr>
        <w:footnoteRef/>
      </w:r>
      <w:r w:rsidRPr="00012435">
        <w:rPr>
          <w:sz w:val="18"/>
          <w:szCs w:val="18"/>
        </w:rPr>
        <w:t xml:space="preserve"> Gre za preprosto poimenovanje skupine blaga in storitev. Natančnejša opredelitev posameznih skupin je v prvi točki </w:t>
      </w:r>
      <w:r>
        <w:rPr>
          <w:sz w:val="18"/>
          <w:szCs w:val="18"/>
        </w:rPr>
        <w:t>p</w:t>
      </w:r>
      <w:r w:rsidRPr="00012435">
        <w:rPr>
          <w:sz w:val="18"/>
          <w:szCs w:val="18"/>
        </w:rPr>
        <w:t>riloge I k ZDDV-1.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7491" w14:textId="77777777" w:rsidR="002133B6" w:rsidRPr="00E21FF9" w:rsidRDefault="002133B6" w:rsidP="00CA689C">
    <w:pPr>
      <w:pStyle w:val="Header"/>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1FBCA170" w14:textId="77777777" w:rsidR="002133B6" w:rsidRPr="008F3500" w:rsidRDefault="002133B6" w:rsidP="00CA689C">
    <w:pPr>
      <w:pStyle w:val="Header"/>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F7A31" w14:textId="77777777" w:rsidR="002133B6" w:rsidRPr="008F3500" w:rsidRDefault="002133B6" w:rsidP="00E455F9">
    <w:pPr>
      <w:pStyle w:val="Header"/>
      <w:tabs>
        <w:tab w:val="clear" w:pos="4320"/>
        <w:tab w:val="clear" w:pos="8640"/>
        <w:tab w:val="left" w:pos="5112"/>
      </w:tabs>
      <w:spacing w:line="240" w:lineRule="exact"/>
      <w:rPr>
        <w:rFonts w:cs="Arial"/>
        <w:sz w:val="16"/>
      </w:rPr>
    </w:pPr>
    <w:r w:rsidRPr="008F3500">
      <w:rPr>
        <w:rFonts w:cs="Arial"/>
        <w:sz w:val="16"/>
      </w:rPr>
      <w:tab/>
    </w:r>
  </w:p>
  <w:p w14:paraId="31FF77BA" w14:textId="77777777" w:rsidR="002133B6" w:rsidRPr="008F3500" w:rsidRDefault="002133B6" w:rsidP="00E455F9">
    <w:pPr>
      <w:pStyle w:val="Header"/>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33A"/>
    <w:multiLevelType w:val="hybridMultilevel"/>
    <w:tmpl w:val="021AE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4C45FA"/>
    <w:multiLevelType w:val="hybridMultilevel"/>
    <w:tmpl w:val="106C6CC2"/>
    <w:lvl w:ilvl="0" w:tplc="76AC1A70">
      <w:start w:val="49"/>
      <w:numFmt w:val="bullet"/>
      <w:lvlText w:val=""/>
      <w:lvlJc w:val="left"/>
      <w:pPr>
        <w:ind w:left="720" w:hanging="360"/>
      </w:pPr>
      <w:rPr>
        <w:rFonts w:ascii="Symbol" w:eastAsia="Times New Roman" w:hAnsi="Symbol" w:cs="Times New Roman" w:hint="default"/>
      </w:rPr>
    </w:lvl>
    <w:lvl w:ilvl="1" w:tplc="B0E4CFE6">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7CB380C"/>
    <w:multiLevelType w:val="hybridMultilevel"/>
    <w:tmpl w:val="B0EA90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DA2AE1"/>
    <w:multiLevelType w:val="hybridMultilevel"/>
    <w:tmpl w:val="85F0C540"/>
    <w:lvl w:ilvl="0" w:tplc="427883AE">
      <w:start w:val="1"/>
      <w:numFmt w:val="bullet"/>
      <w:lvlText w:val=""/>
      <w:lvlJc w:val="left"/>
      <w:pPr>
        <w:ind w:left="720" w:hanging="360"/>
      </w:pPr>
      <w:rPr>
        <w:rFonts w:ascii="Symbol" w:hAnsi="Symbol" w:hint="default"/>
      </w:rPr>
    </w:lvl>
    <w:lvl w:ilvl="1" w:tplc="427883AE">
      <w:start w:val="1"/>
      <w:numFmt w:val="bullet"/>
      <w:lvlText w:val=""/>
      <w:lvlJc w:val="left"/>
      <w:pPr>
        <w:ind w:left="502"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435D05"/>
    <w:multiLevelType w:val="hybridMultilevel"/>
    <w:tmpl w:val="9D929038"/>
    <w:lvl w:ilvl="0" w:tplc="4A7E5030">
      <w:numFmt w:val="bullet"/>
      <w:lvlText w:val="•"/>
      <w:lvlJc w:val="left"/>
      <w:pPr>
        <w:ind w:left="1065" w:hanging="705"/>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477BAF"/>
    <w:multiLevelType w:val="multilevel"/>
    <w:tmpl w:val="26E6CF78"/>
    <w:lvl w:ilvl="0">
      <w:start w:val="1"/>
      <w:numFmt w:val="decimal"/>
      <w:lvlText w:val="%1."/>
      <w:lvlJc w:val="left"/>
      <w:pPr>
        <w:ind w:left="360" w:hanging="360"/>
      </w:pPr>
      <w:rPr>
        <w:color w:val="auto"/>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0B650EE"/>
    <w:multiLevelType w:val="hybridMultilevel"/>
    <w:tmpl w:val="118A49E8"/>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F10DB8"/>
    <w:multiLevelType w:val="hybridMultilevel"/>
    <w:tmpl w:val="13AC2F4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1368F8"/>
    <w:multiLevelType w:val="hybridMultilevel"/>
    <w:tmpl w:val="7F208290"/>
    <w:lvl w:ilvl="0" w:tplc="7624AF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424BAB"/>
    <w:multiLevelType w:val="hybridMultilevel"/>
    <w:tmpl w:val="5B52B6C0"/>
    <w:lvl w:ilvl="0" w:tplc="278A656A">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AB14E1"/>
    <w:multiLevelType w:val="hybridMultilevel"/>
    <w:tmpl w:val="708ACC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D127EA0"/>
    <w:multiLevelType w:val="hybridMultilevel"/>
    <w:tmpl w:val="B4CC7C40"/>
    <w:lvl w:ilvl="0" w:tplc="9C6427DE">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620353"/>
    <w:multiLevelType w:val="hybridMultilevel"/>
    <w:tmpl w:val="65B07EC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4B0318A"/>
    <w:multiLevelType w:val="hybridMultilevel"/>
    <w:tmpl w:val="6FA20D06"/>
    <w:lvl w:ilvl="0" w:tplc="B0E4CFE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67A4856"/>
    <w:multiLevelType w:val="hybridMultilevel"/>
    <w:tmpl w:val="936ABA86"/>
    <w:lvl w:ilvl="0" w:tplc="226E47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34D94"/>
    <w:multiLevelType w:val="hybridMultilevel"/>
    <w:tmpl w:val="EF80894E"/>
    <w:lvl w:ilvl="0" w:tplc="620E532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EA39F7"/>
    <w:multiLevelType w:val="multilevel"/>
    <w:tmpl w:val="DB726586"/>
    <w:lvl w:ilvl="0">
      <w:start w:val="4"/>
      <w:numFmt w:val="decimal"/>
      <w:lvlText w:val="%1."/>
      <w:lvlJc w:val="left"/>
      <w:pPr>
        <w:ind w:left="360" w:hanging="360"/>
      </w:pPr>
      <w:rPr>
        <w:rFonts w:hint="default"/>
        <w:color w:val="auto"/>
      </w:r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0339EF"/>
    <w:multiLevelType w:val="hybridMultilevel"/>
    <w:tmpl w:val="A1EC43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4" w15:restartNumberingAfterBreak="0">
    <w:nsid w:val="3A116451"/>
    <w:multiLevelType w:val="hybridMultilevel"/>
    <w:tmpl w:val="76F079B2"/>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1240B9"/>
    <w:multiLevelType w:val="hybridMultilevel"/>
    <w:tmpl w:val="634498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15:restartNumberingAfterBreak="0">
    <w:nsid w:val="43426DCA"/>
    <w:multiLevelType w:val="hybridMultilevel"/>
    <w:tmpl w:val="353ED5F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41C39D0"/>
    <w:multiLevelType w:val="hybridMultilevel"/>
    <w:tmpl w:val="2500CAB0"/>
    <w:lvl w:ilvl="0" w:tplc="E4366B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5BC0536"/>
    <w:multiLevelType w:val="hybridMultilevel"/>
    <w:tmpl w:val="FED843DA"/>
    <w:lvl w:ilvl="0" w:tplc="76AC1A70">
      <w:start w:val="49"/>
      <w:numFmt w:val="bullet"/>
      <w:lvlText w:val=""/>
      <w:lvlJc w:val="left"/>
      <w:pPr>
        <w:ind w:left="720" w:hanging="360"/>
      </w:pPr>
      <w:rPr>
        <w:rFonts w:ascii="Symbol" w:eastAsia="Times New Roman" w:hAnsi="Symbol" w:cs="Times New Roman" w:hint="default"/>
      </w:rPr>
    </w:lvl>
    <w:lvl w:ilvl="1" w:tplc="74A2F138">
      <w:numFmt w:val="bullet"/>
      <w:lvlText w:val="•"/>
      <w:lvlJc w:val="left"/>
      <w:pPr>
        <w:ind w:left="1785" w:hanging="705"/>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5E776A7"/>
    <w:multiLevelType w:val="hybridMultilevel"/>
    <w:tmpl w:val="670CB478"/>
    <w:lvl w:ilvl="0" w:tplc="0424000F">
      <w:start w:val="1"/>
      <w:numFmt w:val="decimal"/>
      <w:lvlText w:val="%1."/>
      <w:lvlJc w:val="left"/>
      <w:pPr>
        <w:ind w:left="6120" w:hanging="360"/>
      </w:pPr>
      <w:rPr>
        <w:rFonts w:hint="default"/>
      </w:rPr>
    </w:lvl>
    <w:lvl w:ilvl="1" w:tplc="096CF6EA" w:tentative="1">
      <w:start w:val="1"/>
      <w:numFmt w:val="bullet"/>
      <w:lvlText w:val="o"/>
      <w:lvlJc w:val="left"/>
      <w:pPr>
        <w:ind w:left="6840" w:hanging="360"/>
      </w:pPr>
      <w:rPr>
        <w:rFonts w:ascii="Courier New" w:hAnsi="Courier New" w:cs="Courier New" w:hint="default"/>
      </w:rPr>
    </w:lvl>
    <w:lvl w:ilvl="2" w:tplc="F0B62582" w:tentative="1">
      <w:start w:val="1"/>
      <w:numFmt w:val="bullet"/>
      <w:lvlText w:val=""/>
      <w:lvlJc w:val="left"/>
      <w:pPr>
        <w:ind w:left="7560" w:hanging="360"/>
      </w:pPr>
      <w:rPr>
        <w:rFonts w:ascii="Wingdings" w:hAnsi="Wingdings" w:hint="default"/>
      </w:rPr>
    </w:lvl>
    <w:lvl w:ilvl="3" w:tplc="432AEF26" w:tentative="1">
      <w:start w:val="1"/>
      <w:numFmt w:val="bullet"/>
      <w:lvlText w:val=""/>
      <w:lvlJc w:val="left"/>
      <w:pPr>
        <w:ind w:left="8280" w:hanging="360"/>
      </w:pPr>
      <w:rPr>
        <w:rFonts w:ascii="Symbol" w:hAnsi="Symbol" w:hint="default"/>
      </w:rPr>
    </w:lvl>
    <w:lvl w:ilvl="4" w:tplc="4088FE22" w:tentative="1">
      <w:start w:val="1"/>
      <w:numFmt w:val="bullet"/>
      <w:lvlText w:val="o"/>
      <w:lvlJc w:val="left"/>
      <w:pPr>
        <w:ind w:left="9000" w:hanging="360"/>
      </w:pPr>
      <w:rPr>
        <w:rFonts w:ascii="Courier New" w:hAnsi="Courier New" w:cs="Courier New" w:hint="default"/>
      </w:rPr>
    </w:lvl>
    <w:lvl w:ilvl="5" w:tplc="E68E8DB8" w:tentative="1">
      <w:start w:val="1"/>
      <w:numFmt w:val="bullet"/>
      <w:lvlText w:val=""/>
      <w:lvlJc w:val="left"/>
      <w:pPr>
        <w:ind w:left="9720" w:hanging="360"/>
      </w:pPr>
      <w:rPr>
        <w:rFonts w:ascii="Wingdings" w:hAnsi="Wingdings" w:hint="default"/>
      </w:rPr>
    </w:lvl>
    <w:lvl w:ilvl="6" w:tplc="54A263AE" w:tentative="1">
      <w:start w:val="1"/>
      <w:numFmt w:val="bullet"/>
      <w:lvlText w:val=""/>
      <w:lvlJc w:val="left"/>
      <w:pPr>
        <w:ind w:left="10440" w:hanging="360"/>
      </w:pPr>
      <w:rPr>
        <w:rFonts w:ascii="Symbol" w:hAnsi="Symbol" w:hint="default"/>
      </w:rPr>
    </w:lvl>
    <w:lvl w:ilvl="7" w:tplc="89C48EAC" w:tentative="1">
      <w:start w:val="1"/>
      <w:numFmt w:val="bullet"/>
      <w:lvlText w:val="o"/>
      <w:lvlJc w:val="left"/>
      <w:pPr>
        <w:ind w:left="11160" w:hanging="360"/>
      </w:pPr>
      <w:rPr>
        <w:rFonts w:ascii="Courier New" w:hAnsi="Courier New" w:cs="Courier New" w:hint="default"/>
      </w:rPr>
    </w:lvl>
    <w:lvl w:ilvl="8" w:tplc="D5D8727A" w:tentative="1">
      <w:start w:val="1"/>
      <w:numFmt w:val="bullet"/>
      <w:lvlText w:val=""/>
      <w:lvlJc w:val="left"/>
      <w:pPr>
        <w:ind w:left="11880" w:hanging="360"/>
      </w:pPr>
      <w:rPr>
        <w:rFonts w:ascii="Wingdings" w:hAnsi="Wingdings" w:hint="default"/>
      </w:rPr>
    </w:lvl>
  </w:abstractNum>
  <w:abstractNum w:abstractNumId="33" w15:restartNumberingAfterBreak="0">
    <w:nsid w:val="46D87F30"/>
    <w:multiLevelType w:val="hybridMultilevel"/>
    <w:tmpl w:val="6DC6E234"/>
    <w:lvl w:ilvl="0" w:tplc="226E4734">
      <w:start w:val="1"/>
      <w:numFmt w:val="bullet"/>
      <w:lvlText w:val=""/>
      <w:lvlJc w:val="left"/>
      <w:pPr>
        <w:ind w:left="502" w:hanging="360"/>
      </w:pPr>
      <w:rPr>
        <w:rFonts w:ascii="Symbol" w:hAnsi="Symbo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4" w15:restartNumberingAfterBreak="0">
    <w:nsid w:val="47735C2F"/>
    <w:multiLevelType w:val="hybridMultilevel"/>
    <w:tmpl w:val="8E0A95B0"/>
    <w:lvl w:ilvl="0" w:tplc="0A04A466">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478B6C23"/>
    <w:multiLevelType w:val="hybridMultilevel"/>
    <w:tmpl w:val="A00EE0CC"/>
    <w:lvl w:ilvl="0" w:tplc="31C606F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7CC33E0"/>
    <w:multiLevelType w:val="hybridMultilevel"/>
    <w:tmpl w:val="B6DCADA6"/>
    <w:lvl w:ilvl="0" w:tplc="427883A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7D5F8E"/>
    <w:multiLevelType w:val="hybridMultilevel"/>
    <w:tmpl w:val="ECC02344"/>
    <w:lvl w:ilvl="0" w:tplc="D97883E4">
      <w:start w:val="1"/>
      <w:numFmt w:val="bullet"/>
      <w:lvlText w:val="-"/>
      <w:lvlJc w:val="left"/>
      <w:pPr>
        <w:ind w:left="720" w:hanging="360"/>
      </w:pPr>
      <w:rPr>
        <w:rFonts w:ascii="Arial" w:eastAsia="Times New Roman" w:hAnsi="Arial" w:cs="Arial" w:hint="default"/>
      </w:rPr>
    </w:lvl>
    <w:lvl w:ilvl="1" w:tplc="63A08FFA" w:tentative="1">
      <w:start w:val="1"/>
      <w:numFmt w:val="bullet"/>
      <w:lvlText w:val="o"/>
      <w:lvlJc w:val="left"/>
      <w:pPr>
        <w:ind w:left="1440" w:hanging="360"/>
      </w:pPr>
      <w:rPr>
        <w:rFonts w:ascii="Courier New" w:hAnsi="Courier New" w:cs="Courier New" w:hint="default"/>
      </w:rPr>
    </w:lvl>
    <w:lvl w:ilvl="2" w:tplc="F8FA5204" w:tentative="1">
      <w:start w:val="1"/>
      <w:numFmt w:val="bullet"/>
      <w:lvlText w:val=""/>
      <w:lvlJc w:val="left"/>
      <w:pPr>
        <w:ind w:left="2160" w:hanging="360"/>
      </w:pPr>
      <w:rPr>
        <w:rFonts w:ascii="Wingdings" w:hAnsi="Wingdings" w:hint="default"/>
      </w:rPr>
    </w:lvl>
    <w:lvl w:ilvl="3" w:tplc="FEACDB1C" w:tentative="1">
      <w:start w:val="1"/>
      <w:numFmt w:val="bullet"/>
      <w:lvlText w:val=""/>
      <w:lvlJc w:val="left"/>
      <w:pPr>
        <w:ind w:left="2880" w:hanging="360"/>
      </w:pPr>
      <w:rPr>
        <w:rFonts w:ascii="Symbol" w:hAnsi="Symbol" w:hint="default"/>
      </w:rPr>
    </w:lvl>
    <w:lvl w:ilvl="4" w:tplc="73E21AC6" w:tentative="1">
      <w:start w:val="1"/>
      <w:numFmt w:val="bullet"/>
      <w:lvlText w:val="o"/>
      <w:lvlJc w:val="left"/>
      <w:pPr>
        <w:ind w:left="3600" w:hanging="360"/>
      </w:pPr>
      <w:rPr>
        <w:rFonts w:ascii="Courier New" w:hAnsi="Courier New" w:cs="Courier New" w:hint="default"/>
      </w:rPr>
    </w:lvl>
    <w:lvl w:ilvl="5" w:tplc="A52C27B2" w:tentative="1">
      <w:start w:val="1"/>
      <w:numFmt w:val="bullet"/>
      <w:lvlText w:val=""/>
      <w:lvlJc w:val="left"/>
      <w:pPr>
        <w:ind w:left="4320" w:hanging="360"/>
      </w:pPr>
      <w:rPr>
        <w:rFonts w:ascii="Wingdings" w:hAnsi="Wingdings" w:hint="default"/>
      </w:rPr>
    </w:lvl>
    <w:lvl w:ilvl="6" w:tplc="43407762" w:tentative="1">
      <w:start w:val="1"/>
      <w:numFmt w:val="bullet"/>
      <w:lvlText w:val=""/>
      <w:lvlJc w:val="left"/>
      <w:pPr>
        <w:ind w:left="5040" w:hanging="360"/>
      </w:pPr>
      <w:rPr>
        <w:rFonts w:ascii="Symbol" w:hAnsi="Symbol" w:hint="default"/>
      </w:rPr>
    </w:lvl>
    <w:lvl w:ilvl="7" w:tplc="6A0CB150" w:tentative="1">
      <w:start w:val="1"/>
      <w:numFmt w:val="bullet"/>
      <w:lvlText w:val="o"/>
      <w:lvlJc w:val="left"/>
      <w:pPr>
        <w:ind w:left="5760" w:hanging="360"/>
      </w:pPr>
      <w:rPr>
        <w:rFonts w:ascii="Courier New" w:hAnsi="Courier New" w:cs="Courier New" w:hint="default"/>
      </w:rPr>
    </w:lvl>
    <w:lvl w:ilvl="8" w:tplc="D362DD60" w:tentative="1">
      <w:start w:val="1"/>
      <w:numFmt w:val="bullet"/>
      <w:lvlText w:val=""/>
      <w:lvlJc w:val="left"/>
      <w:pPr>
        <w:ind w:left="6480" w:hanging="360"/>
      </w:pPr>
      <w:rPr>
        <w:rFonts w:ascii="Wingdings" w:hAnsi="Wingdings" w:hint="default"/>
      </w:rPr>
    </w:lvl>
  </w:abstractNum>
  <w:abstractNum w:abstractNumId="38" w15:restartNumberingAfterBreak="0">
    <w:nsid w:val="4AD04500"/>
    <w:multiLevelType w:val="hybridMultilevel"/>
    <w:tmpl w:val="CA7EBFEE"/>
    <w:lvl w:ilvl="0" w:tplc="540EEE7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C4401F5"/>
    <w:multiLevelType w:val="hybridMultilevel"/>
    <w:tmpl w:val="7F3CC19C"/>
    <w:lvl w:ilvl="0" w:tplc="B0509820">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F25025C"/>
    <w:multiLevelType w:val="hybridMultilevel"/>
    <w:tmpl w:val="83281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F7E50E8"/>
    <w:multiLevelType w:val="hybridMultilevel"/>
    <w:tmpl w:val="C210834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2677E62"/>
    <w:multiLevelType w:val="hybridMultilevel"/>
    <w:tmpl w:val="1AA8F52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40917AF"/>
    <w:multiLevelType w:val="hybridMultilevel"/>
    <w:tmpl w:val="223CBC34"/>
    <w:lvl w:ilvl="0" w:tplc="ED0EDF9C">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A6B7DAB"/>
    <w:multiLevelType w:val="hybridMultilevel"/>
    <w:tmpl w:val="D84A07E8"/>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E13509D"/>
    <w:multiLevelType w:val="hybridMultilevel"/>
    <w:tmpl w:val="1C2E6D9E"/>
    <w:lvl w:ilvl="0" w:tplc="B6403E6C">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47" w15:restartNumberingAfterBreak="0">
    <w:nsid w:val="60F2737B"/>
    <w:multiLevelType w:val="hybridMultilevel"/>
    <w:tmpl w:val="1EF2B200"/>
    <w:lvl w:ilvl="0" w:tplc="620E532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2680E1B"/>
    <w:multiLevelType w:val="hybridMultilevel"/>
    <w:tmpl w:val="C69247A0"/>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2693218"/>
    <w:multiLevelType w:val="hybridMultilevel"/>
    <w:tmpl w:val="F49485F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3557158"/>
    <w:multiLevelType w:val="hybridMultilevel"/>
    <w:tmpl w:val="2C145B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4D16E1F"/>
    <w:multiLevelType w:val="hybridMultilevel"/>
    <w:tmpl w:val="0302E2E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4F852F4"/>
    <w:multiLevelType w:val="hybridMultilevel"/>
    <w:tmpl w:val="BF7ED45E"/>
    <w:lvl w:ilvl="0" w:tplc="0A04A4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62E42D1"/>
    <w:multiLevelType w:val="hybridMultilevel"/>
    <w:tmpl w:val="1E18CF06"/>
    <w:lvl w:ilvl="0" w:tplc="B050982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999559D"/>
    <w:multiLevelType w:val="hybridMultilevel"/>
    <w:tmpl w:val="65CA7182"/>
    <w:lvl w:ilvl="0" w:tplc="04240017">
      <w:start w:val="1"/>
      <w:numFmt w:val="lowerLetter"/>
      <w:lvlText w:val="%1)"/>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6" w15:restartNumberingAfterBreak="0">
    <w:nsid w:val="6C9739B8"/>
    <w:multiLevelType w:val="hybridMultilevel"/>
    <w:tmpl w:val="464C54A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EF86B36"/>
    <w:multiLevelType w:val="hybridMultilevel"/>
    <w:tmpl w:val="A976996A"/>
    <w:lvl w:ilvl="0" w:tplc="226E4734">
      <w:start w:val="1"/>
      <w:numFmt w:val="bullet"/>
      <w:lvlText w:val=""/>
      <w:lvlJc w:val="left"/>
      <w:pPr>
        <w:ind w:left="678" w:hanging="360"/>
      </w:pPr>
      <w:rPr>
        <w:rFonts w:ascii="Symbol" w:hAnsi="Symbol" w:hint="default"/>
      </w:rPr>
    </w:lvl>
    <w:lvl w:ilvl="1" w:tplc="04240003" w:tentative="1">
      <w:start w:val="1"/>
      <w:numFmt w:val="bullet"/>
      <w:lvlText w:val="o"/>
      <w:lvlJc w:val="left"/>
      <w:pPr>
        <w:ind w:left="1398" w:hanging="360"/>
      </w:pPr>
      <w:rPr>
        <w:rFonts w:ascii="Courier New" w:hAnsi="Courier New" w:cs="Courier New" w:hint="default"/>
      </w:rPr>
    </w:lvl>
    <w:lvl w:ilvl="2" w:tplc="04240005" w:tentative="1">
      <w:start w:val="1"/>
      <w:numFmt w:val="bullet"/>
      <w:lvlText w:val=""/>
      <w:lvlJc w:val="left"/>
      <w:pPr>
        <w:ind w:left="2118" w:hanging="360"/>
      </w:pPr>
      <w:rPr>
        <w:rFonts w:ascii="Wingdings" w:hAnsi="Wingdings" w:hint="default"/>
      </w:rPr>
    </w:lvl>
    <w:lvl w:ilvl="3" w:tplc="04240001" w:tentative="1">
      <w:start w:val="1"/>
      <w:numFmt w:val="bullet"/>
      <w:lvlText w:val=""/>
      <w:lvlJc w:val="left"/>
      <w:pPr>
        <w:ind w:left="2838" w:hanging="360"/>
      </w:pPr>
      <w:rPr>
        <w:rFonts w:ascii="Symbol" w:hAnsi="Symbol" w:hint="default"/>
      </w:rPr>
    </w:lvl>
    <w:lvl w:ilvl="4" w:tplc="04240003" w:tentative="1">
      <w:start w:val="1"/>
      <w:numFmt w:val="bullet"/>
      <w:lvlText w:val="o"/>
      <w:lvlJc w:val="left"/>
      <w:pPr>
        <w:ind w:left="3558" w:hanging="360"/>
      </w:pPr>
      <w:rPr>
        <w:rFonts w:ascii="Courier New" w:hAnsi="Courier New" w:cs="Courier New" w:hint="default"/>
      </w:rPr>
    </w:lvl>
    <w:lvl w:ilvl="5" w:tplc="04240005" w:tentative="1">
      <w:start w:val="1"/>
      <w:numFmt w:val="bullet"/>
      <w:lvlText w:val=""/>
      <w:lvlJc w:val="left"/>
      <w:pPr>
        <w:ind w:left="4278" w:hanging="360"/>
      </w:pPr>
      <w:rPr>
        <w:rFonts w:ascii="Wingdings" w:hAnsi="Wingdings" w:hint="default"/>
      </w:rPr>
    </w:lvl>
    <w:lvl w:ilvl="6" w:tplc="04240001" w:tentative="1">
      <w:start w:val="1"/>
      <w:numFmt w:val="bullet"/>
      <w:lvlText w:val=""/>
      <w:lvlJc w:val="left"/>
      <w:pPr>
        <w:ind w:left="4998" w:hanging="360"/>
      </w:pPr>
      <w:rPr>
        <w:rFonts w:ascii="Symbol" w:hAnsi="Symbol" w:hint="default"/>
      </w:rPr>
    </w:lvl>
    <w:lvl w:ilvl="7" w:tplc="04240003" w:tentative="1">
      <w:start w:val="1"/>
      <w:numFmt w:val="bullet"/>
      <w:lvlText w:val="o"/>
      <w:lvlJc w:val="left"/>
      <w:pPr>
        <w:ind w:left="5718" w:hanging="360"/>
      </w:pPr>
      <w:rPr>
        <w:rFonts w:ascii="Courier New" w:hAnsi="Courier New" w:cs="Courier New" w:hint="default"/>
      </w:rPr>
    </w:lvl>
    <w:lvl w:ilvl="8" w:tplc="04240005" w:tentative="1">
      <w:start w:val="1"/>
      <w:numFmt w:val="bullet"/>
      <w:lvlText w:val=""/>
      <w:lvlJc w:val="left"/>
      <w:pPr>
        <w:ind w:left="6438" w:hanging="360"/>
      </w:pPr>
      <w:rPr>
        <w:rFonts w:ascii="Wingdings" w:hAnsi="Wingdings" w:hint="default"/>
      </w:rPr>
    </w:lvl>
  </w:abstractNum>
  <w:abstractNum w:abstractNumId="58" w15:restartNumberingAfterBreak="0">
    <w:nsid w:val="73932012"/>
    <w:multiLevelType w:val="hybridMultilevel"/>
    <w:tmpl w:val="DC7E748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4C33403"/>
    <w:multiLevelType w:val="hybridMultilevel"/>
    <w:tmpl w:val="BC940AE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50E7914"/>
    <w:multiLevelType w:val="hybridMultilevel"/>
    <w:tmpl w:val="8614470E"/>
    <w:lvl w:ilvl="0" w:tplc="226E47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5256245"/>
    <w:multiLevelType w:val="hybridMultilevel"/>
    <w:tmpl w:val="646E4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838590B"/>
    <w:multiLevelType w:val="hybridMultilevel"/>
    <w:tmpl w:val="B2F61E96"/>
    <w:lvl w:ilvl="0" w:tplc="B616FABC">
      <w:start w:val="1"/>
      <w:numFmt w:val="bullet"/>
      <w:lvlText w:val=""/>
      <w:lvlJc w:val="left"/>
      <w:pPr>
        <w:ind w:left="0" w:hanging="360"/>
      </w:pPr>
      <w:rPr>
        <w:rFonts w:ascii="Symbol" w:hAnsi="Symbol" w:hint="default"/>
        <w:color w:val="auto"/>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63" w15:restartNumberingAfterBreak="0">
    <w:nsid w:val="7B1F1AA1"/>
    <w:multiLevelType w:val="hybridMultilevel"/>
    <w:tmpl w:val="91224EB2"/>
    <w:lvl w:ilvl="0" w:tplc="E33AA7C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F466943"/>
    <w:multiLevelType w:val="hybridMultilevel"/>
    <w:tmpl w:val="53625CC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22"/>
  </w:num>
  <w:num w:numId="4">
    <w:abstractNumId w:val="2"/>
  </w:num>
  <w:num w:numId="5">
    <w:abstractNumId w:val="23"/>
    <w:lvlOverride w:ilvl="0">
      <w:startOverride w:val="1"/>
    </w:lvlOverride>
  </w:num>
  <w:num w:numId="6">
    <w:abstractNumId w:val="7"/>
  </w:num>
  <w:num w:numId="7">
    <w:abstractNumId w:val="12"/>
  </w:num>
  <w:num w:numId="8">
    <w:abstractNumId w:val="45"/>
  </w:num>
  <w:num w:numId="9">
    <w:abstractNumId w:val="54"/>
  </w:num>
  <w:num w:numId="10">
    <w:abstractNumId w:val="26"/>
  </w:num>
  <w:num w:numId="11">
    <w:abstractNumId w:val="18"/>
  </w:num>
  <w:num w:numId="12">
    <w:abstractNumId w:val="59"/>
  </w:num>
  <w:num w:numId="13">
    <w:abstractNumId w:val="1"/>
  </w:num>
  <w:num w:numId="14">
    <w:abstractNumId w:val="57"/>
  </w:num>
  <w:num w:numId="15">
    <w:abstractNumId w:val="49"/>
  </w:num>
  <w:num w:numId="16">
    <w:abstractNumId w:val="9"/>
  </w:num>
  <w:num w:numId="17">
    <w:abstractNumId w:val="6"/>
  </w:num>
  <w:num w:numId="18">
    <w:abstractNumId w:val="20"/>
  </w:num>
  <w:num w:numId="19">
    <w:abstractNumId w:val="36"/>
  </w:num>
  <w:num w:numId="20">
    <w:abstractNumId w:val="4"/>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61"/>
  </w:num>
  <w:num w:numId="24">
    <w:abstractNumId w:val="33"/>
  </w:num>
  <w:num w:numId="25">
    <w:abstractNumId w:val="60"/>
  </w:num>
  <w:num w:numId="26">
    <w:abstractNumId w:val="32"/>
  </w:num>
  <w:num w:numId="27">
    <w:abstractNumId w:val="14"/>
  </w:num>
  <w:num w:numId="28">
    <w:abstractNumId w:val="62"/>
  </w:num>
  <w:num w:numId="29">
    <w:abstractNumId w:val="11"/>
  </w:num>
  <w:num w:numId="30">
    <w:abstractNumId w:val="39"/>
  </w:num>
  <w:num w:numId="31">
    <w:abstractNumId w:val="13"/>
  </w:num>
  <w:num w:numId="32">
    <w:abstractNumId w:val="0"/>
  </w:num>
  <w:num w:numId="33">
    <w:abstractNumId w:val="58"/>
  </w:num>
  <w:num w:numId="34">
    <w:abstractNumId w:val="53"/>
  </w:num>
  <w:num w:numId="35">
    <w:abstractNumId w:val="25"/>
  </w:num>
  <w:num w:numId="36">
    <w:abstractNumId w:val="44"/>
  </w:num>
  <w:num w:numId="37">
    <w:abstractNumId w:val="8"/>
  </w:num>
  <w:num w:numId="38">
    <w:abstractNumId w:val="29"/>
  </w:num>
  <w:num w:numId="39">
    <w:abstractNumId w:val="21"/>
  </w:num>
  <w:num w:numId="40">
    <w:abstractNumId w:val="42"/>
  </w:num>
  <w:num w:numId="41">
    <w:abstractNumId w:val="37"/>
  </w:num>
  <w:num w:numId="42">
    <w:abstractNumId w:val="31"/>
  </w:num>
  <w:num w:numId="43">
    <w:abstractNumId w:val="41"/>
  </w:num>
  <w:num w:numId="44">
    <w:abstractNumId w:val="5"/>
  </w:num>
  <w:num w:numId="45">
    <w:abstractNumId w:val="24"/>
  </w:num>
  <w:num w:numId="46">
    <w:abstractNumId w:val="63"/>
  </w:num>
  <w:num w:numId="47">
    <w:abstractNumId w:val="15"/>
  </w:num>
  <w:num w:numId="48">
    <w:abstractNumId w:val="50"/>
  </w:num>
  <w:num w:numId="49">
    <w:abstractNumId w:val="10"/>
  </w:num>
  <w:num w:numId="50">
    <w:abstractNumId w:val="40"/>
  </w:num>
  <w:num w:numId="51">
    <w:abstractNumId w:val="30"/>
  </w:num>
  <w:num w:numId="52">
    <w:abstractNumId w:val="46"/>
  </w:num>
  <w:num w:numId="53">
    <w:abstractNumId w:val="3"/>
  </w:num>
  <w:num w:numId="54">
    <w:abstractNumId w:val="43"/>
  </w:num>
  <w:num w:numId="55">
    <w:abstractNumId w:val="38"/>
  </w:num>
  <w:num w:numId="56">
    <w:abstractNumId w:val="47"/>
  </w:num>
  <w:num w:numId="57">
    <w:abstractNumId w:val="19"/>
  </w:num>
  <w:num w:numId="58">
    <w:abstractNumId w:val="64"/>
  </w:num>
  <w:num w:numId="59">
    <w:abstractNumId w:val="55"/>
  </w:num>
  <w:num w:numId="60">
    <w:abstractNumId w:val="35"/>
  </w:num>
  <w:num w:numId="61">
    <w:abstractNumId w:val="51"/>
  </w:num>
  <w:num w:numId="62">
    <w:abstractNumId w:val="52"/>
  </w:num>
  <w:num w:numId="63">
    <w:abstractNumId w:val="48"/>
  </w:num>
  <w:num w:numId="64">
    <w:abstractNumId w:val="16"/>
  </w:num>
  <w:num w:numId="65">
    <w:abstractNumId w:val="56"/>
  </w:num>
  <w:num w:numId="66">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sl-SI" w:vendorID="11" w:dllVersion="512" w:checkStyle="0"/>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D0"/>
    <w:rsid w:val="0000025D"/>
    <w:rsid w:val="00001AC8"/>
    <w:rsid w:val="00001FF7"/>
    <w:rsid w:val="00002516"/>
    <w:rsid w:val="000048AE"/>
    <w:rsid w:val="00004CD5"/>
    <w:rsid w:val="0000564D"/>
    <w:rsid w:val="00005A0D"/>
    <w:rsid w:val="000069AB"/>
    <w:rsid w:val="0000724E"/>
    <w:rsid w:val="00007C66"/>
    <w:rsid w:val="0001186D"/>
    <w:rsid w:val="00012435"/>
    <w:rsid w:val="00015866"/>
    <w:rsid w:val="000205D3"/>
    <w:rsid w:val="00021515"/>
    <w:rsid w:val="00021556"/>
    <w:rsid w:val="000222C3"/>
    <w:rsid w:val="000225C4"/>
    <w:rsid w:val="00022949"/>
    <w:rsid w:val="00022E75"/>
    <w:rsid w:val="00023048"/>
    <w:rsid w:val="00030A61"/>
    <w:rsid w:val="00030D1F"/>
    <w:rsid w:val="00036C76"/>
    <w:rsid w:val="0004007C"/>
    <w:rsid w:val="00042B7A"/>
    <w:rsid w:val="00043635"/>
    <w:rsid w:val="0004560E"/>
    <w:rsid w:val="00046811"/>
    <w:rsid w:val="000476E0"/>
    <w:rsid w:val="00050422"/>
    <w:rsid w:val="00051F65"/>
    <w:rsid w:val="00052DDE"/>
    <w:rsid w:val="000538F6"/>
    <w:rsid w:val="00053982"/>
    <w:rsid w:val="00054792"/>
    <w:rsid w:val="00054F5D"/>
    <w:rsid w:val="00057051"/>
    <w:rsid w:val="00057DB6"/>
    <w:rsid w:val="0006052B"/>
    <w:rsid w:val="000614EE"/>
    <w:rsid w:val="00063369"/>
    <w:rsid w:val="00063E98"/>
    <w:rsid w:val="00065703"/>
    <w:rsid w:val="00072A4E"/>
    <w:rsid w:val="00073E3D"/>
    <w:rsid w:val="000751E0"/>
    <w:rsid w:val="0007574B"/>
    <w:rsid w:val="00075D84"/>
    <w:rsid w:val="000772C3"/>
    <w:rsid w:val="00081276"/>
    <w:rsid w:val="000812C4"/>
    <w:rsid w:val="0008175E"/>
    <w:rsid w:val="00087025"/>
    <w:rsid w:val="000873DA"/>
    <w:rsid w:val="00091251"/>
    <w:rsid w:val="0009189B"/>
    <w:rsid w:val="00091B95"/>
    <w:rsid w:val="00091C8E"/>
    <w:rsid w:val="00091D42"/>
    <w:rsid w:val="000935D8"/>
    <w:rsid w:val="00094375"/>
    <w:rsid w:val="00094AC1"/>
    <w:rsid w:val="00094FBD"/>
    <w:rsid w:val="000957A3"/>
    <w:rsid w:val="00095A38"/>
    <w:rsid w:val="000969F6"/>
    <w:rsid w:val="000A15CE"/>
    <w:rsid w:val="000A176C"/>
    <w:rsid w:val="000A2939"/>
    <w:rsid w:val="000A6C47"/>
    <w:rsid w:val="000B3A85"/>
    <w:rsid w:val="000B4001"/>
    <w:rsid w:val="000C3981"/>
    <w:rsid w:val="000C4824"/>
    <w:rsid w:val="000C4AFF"/>
    <w:rsid w:val="000C6021"/>
    <w:rsid w:val="000D0766"/>
    <w:rsid w:val="000D1C23"/>
    <w:rsid w:val="000D211F"/>
    <w:rsid w:val="000D69B6"/>
    <w:rsid w:val="000E1307"/>
    <w:rsid w:val="000E1CDD"/>
    <w:rsid w:val="000E3C6A"/>
    <w:rsid w:val="000E4056"/>
    <w:rsid w:val="000E6368"/>
    <w:rsid w:val="000E79F8"/>
    <w:rsid w:val="000F1B79"/>
    <w:rsid w:val="000F2899"/>
    <w:rsid w:val="000F300D"/>
    <w:rsid w:val="000F3E0B"/>
    <w:rsid w:val="000F6C22"/>
    <w:rsid w:val="000F6FA3"/>
    <w:rsid w:val="000F7FD5"/>
    <w:rsid w:val="0010418B"/>
    <w:rsid w:val="001045B7"/>
    <w:rsid w:val="001049A8"/>
    <w:rsid w:val="00105FDB"/>
    <w:rsid w:val="00107ED0"/>
    <w:rsid w:val="001104C6"/>
    <w:rsid w:val="001111CB"/>
    <w:rsid w:val="001120AC"/>
    <w:rsid w:val="00112112"/>
    <w:rsid w:val="0011326F"/>
    <w:rsid w:val="00114201"/>
    <w:rsid w:val="00116A0C"/>
    <w:rsid w:val="00116AC3"/>
    <w:rsid w:val="0011735D"/>
    <w:rsid w:val="00117FCD"/>
    <w:rsid w:val="001205D9"/>
    <w:rsid w:val="00120E9E"/>
    <w:rsid w:val="00121083"/>
    <w:rsid w:val="00121897"/>
    <w:rsid w:val="00122C86"/>
    <w:rsid w:val="00124B80"/>
    <w:rsid w:val="00124C2B"/>
    <w:rsid w:val="00127859"/>
    <w:rsid w:val="00132540"/>
    <w:rsid w:val="0013283D"/>
    <w:rsid w:val="001336C0"/>
    <w:rsid w:val="001358B5"/>
    <w:rsid w:val="00136DED"/>
    <w:rsid w:val="0014129E"/>
    <w:rsid w:val="001427DA"/>
    <w:rsid w:val="00142E7F"/>
    <w:rsid w:val="00145F2D"/>
    <w:rsid w:val="001466F2"/>
    <w:rsid w:val="00147C34"/>
    <w:rsid w:val="00154D3C"/>
    <w:rsid w:val="00156AB3"/>
    <w:rsid w:val="001609DE"/>
    <w:rsid w:val="001611AF"/>
    <w:rsid w:val="001624F3"/>
    <w:rsid w:val="00162D15"/>
    <w:rsid w:val="00163595"/>
    <w:rsid w:val="00164DD8"/>
    <w:rsid w:val="00165762"/>
    <w:rsid w:val="00167099"/>
    <w:rsid w:val="00170E35"/>
    <w:rsid w:val="001715DF"/>
    <w:rsid w:val="00173C2D"/>
    <w:rsid w:val="0017456E"/>
    <w:rsid w:val="001756EC"/>
    <w:rsid w:val="00176C8A"/>
    <w:rsid w:val="00177166"/>
    <w:rsid w:val="00177B12"/>
    <w:rsid w:val="001846ED"/>
    <w:rsid w:val="00186022"/>
    <w:rsid w:val="00187951"/>
    <w:rsid w:val="00190B7C"/>
    <w:rsid w:val="001942B1"/>
    <w:rsid w:val="00194B09"/>
    <w:rsid w:val="00196A8B"/>
    <w:rsid w:val="00196FAF"/>
    <w:rsid w:val="0019717B"/>
    <w:rsid w:val="001971C7"/>
    <w:rsid w:val="001A0016"/>
    <w:rsid w:val="001A124A"/>
    <w:rsid w:val="001A4BA8"/>
    <w:rsid w:val="001A59E7"/>
    <w:rsid w:val="001A7420"/>
    <w:rsid w:val="001B0C4B"/>
    <w:rsid w:val="001B0DF7"/>
    <w:rsid w:val="001B1001"/>
    <w:rsid w:val="001B223E"/>
    <w:rsid w:val="001B5B7E"/>
    <w:rsid w:val="001B5C4C"/>
    <w:rsid w:val="001B7B64"/>
    <w:rsid w:val="001C0E44"/>
    <w:rsid w:val="001C0F0D"/>
    <w:rsid w:val="001C1FE9"/>
    <w:rsid w:val="001C3D07"/>
    <w:rsid w:val="001C520A"/>
    <w:rsid w:val="001C6BF0"/>
    <w:rsid w:val="001C7084"/>
    <w:rsid w:val="001D0979"/>
    <w:rsid w:val="001D275B"/>
    <w:rsid w:val="001D36DD"/>
    <w:rsid w:val="001D68A6"/>
    <w:rsid w:val="001D69E0"/>
    <w:rsid w:val="001D6AF3"/>
    <w:rsid w:val="001D7214"/>
    <w:rsid w:val="001E002A"/>
    <w:rsid w:val="001E020B"/>
    <w:rsid w:val="001E1363"/>
    <w:rsid w:val="001E3570"/>
    <w:rsid w:val="001E655C"/>
    <w:rsid w:val="001E6744"/>
    <w:rsid w:val="001F03C0"/>
    <w:rsid w:val="001F2F83"/>
    <w:rsid w:val="001F32B3"/>
    <w:rsid w:val="001F66DD"/>
    <w:rsid w:val="001F7BF1"/>
    <w:rsid w:val="002027C7"/>
    <w:rsid w:val="00203073"/>
    <w:rsid w:val="00203E72"/>
    <w:rsid w:val="00205BF5"/>
    <w:rsid w:val="00206260"/>
    <w:rsid w:val="002133B6"/>
    <w:rsid w:val="00214DBE"/>
    <w:rsid w:val="002151BF"/>
    <w:rsid w:val="00216D4A"/>
    <w:rsid w:val="002177BE"/>
    <w:rsid w:val="0022079E"/>
    <w:rsid w:val="00221B1D"/>
    <w:rsid w:val="002226B5"/>
    <w:rsid w:val="00224284"/>
    <w:rsid w:val="0022611F"/>
    <w:rsid w:val="002261A7"/>
    <w:rsid w:val="002274DC"/>
    <w:rsid w:val="002329B6"/>
    <w:rsid w:val="00233661"/>
    <w:rsid w:val="00233DF4"/>
    <w:rsid w:val="002356D9"/>
    <w:rsid w:val="00235E4C"/>
    <w:rsid w:val="00236B55"/>
    <w:rsid w:val="0023704E"/>
    <w:rsid w:val="00237554"/>
    <w:rsid w:val="00237B8D"/>
    <w:rsid w:val="00241FDF"/>
    <w:rsid w:val="00244ADA"/>
    <w:rsid w:val="0024596E"/>
    <w:rsid w:val="00246005"/>
    <w:rsid w:val="002464A0"/>
    <w:rsid w:val="002511C7"/>
    <w:rsid w:val="00251EE1"/>
    <w:rsid w:val="00252782"/>
    <w:rsid w:val="002539C6"/>
    <w:rsid w:val="00253A1F"/>
    <w:rsid w:val="00254ED7"/>
    <w:rsid w:val="00255F39"/>
    <w:rsid w:val="00257090"/>
    <w:rsid w:val="00257484"/>
    <w:rsid w:val="00262D67"/>
    <w:rsid w:val="00263109"/>
    <w:rsid w:val="002647BD"/>
    <w:rsid w:val="00266C1F"/>
    <w:rsid w:val="00266CDA"/>
    <w:rsid w:val="00266E72"/>
    <w:rsid w:val="0027055A"/>
    <w:rsid w:val="002740CE"/>
    <w:rsid w:val="00274670"/>
    <w:rsid w:val="00274E69"/>
    <w:rsid w:val="002758CB"/>
    <w:rsid w:val="0027612E"/>
    <w:rsid w:val="0027615B"/>
    <w:rsid w:val="002775E1"/>
    <w:rsid w:val="002800BD"/>
    <w:rsid w:val="00281839"/>
    <w:rsid w:val="00282FF3"/>
    <w:rsid w:val="002836B7"/>
    <w:rsid w:val="00287100"/>
    <w:rsid w:val="002871F8"/>
    <w:rsid w:val="002914D9"/>
    <w:rsid w:val="002921A9"/>
    <w:rsid w:val="00293C9F"/>
    <w:rsid w:val="002A0C79"/>
    <w:rsid w:val="002A47C2"/>
    <w:rsid w:val="002A4E93"/>
    <w:rsid w:val="002A50AD"/>
    <w:rsid w:val="002A61A3"/>
    <w:rsid w:val="002A7713"/>
    <w:rsid w:val="002B1D0F"/>
    <w:rsid w:val="002B3051"/>
    <w:rsid w:val="002B5472"/>
    <w:rsid w:val="002B626F"/>
    <w:rsid w:val="002B62BD"/>
    <w:rsid w:val="002C0730"/>
    <w:rsid w:val="002C27BA"/>
    <w:rsid w:val="002C53D3"/>
    <w:rsid w:val="002C5750"/>
    <w:rsid w:val="002C6D5B"/>
    <w:rsid w:val="002C6D71"/>
    <w:rsid w:val="002D05BC"/>
    <w:rsid w:val="002D396B"/>
    <w:rsid w:val="002D4D85"/>
    <w:rsid w:val="002D56BB"/>
    <w:rsid w:val="002D5E91"/>
    <w:rsid w:val="002D6D6C"/>
    <w:rsid w:val="002E07E4"/>
    <w:rsid w:val="002E0995"/>
    <w:rsid w:val="002E0F39"/>
    <w:rsid w:val="002E2C3B"/>
    <w:rsid w:val="002E3C47"/>
    <w:rsid w:val="002E3F92"/>
    <w:rsid w:val="002E43ED"/>
    <w:rsid w:val="002E4491"/>
    <w:rsid w:val="002E5BDF"/>
    <w:rsid w:val="002E75C2"/>
    <w:rsid w:val="002F13F7"/>
    <w:rsid w:val="002F2236"/>
    <w:rsid w:val="002F3C42"/>
    <w:rsid w:val="002F6274"/>
    <w:rsid w:val="002F7B55"/>
    <w:rsid w:val="00301EB9"/>
    <w:rsid w:val="0030355B"/>
    <w:rsid w:val="003049A8"/>
    <w:rsid w:val="003053F0"/>
    <w:rsid w:val="00305A33"/>
    <w:rsid w:val="00305EB8"/>
    <w:rsid w:val="003068B9"/>
    <w:rsid w:val="00306B2E"/>
    <w:rsid w:val="003076DB"/>
    <w:rsid w:val="00310B0B"/>
    <w:rsid w:val="003117B2"/>
    <w:rsid w:val="003160ED"/>
    <w:rsid w:val="00316667"/>
    <w:rsid w:val="00317BB4"/>
    <w:rsid w:val="00321030"/>
    <w:rsid w:val="00321175"/>
    <w:rsid w:val="003234DB"/>
    <w:rsid w:val="0032463A"/>
    <w:rsid w:val="00324D2D"/>
    <w:rsid w:val="00327090"/>
    <w:rsid w:val="00330FE1"/>
    <w:rsid w:val="00332359"/>
    <w:rsid w:val="00332B62"/>
    <w:rsid w:val="003342B3"/>
    <w:rsid w:val="003359BD"/>
    <w:rsid w:val="00335E38"/>
    <w:rsid w:val="00341D2D"/>
    <w:rsid w:val="00342097"/>
    <w:rsid w:val="00342AC4"/>
    <w:rsid w:val="00345B58"/>
    <w:rsid w:val="00345F62"/>
    <w:rsid w:val="00346309"/>
    <w:rsid w:val="00346653"/>
    <w:rsid w:val="003472EE"/>
    <w:rsid w:val="00350125"/>
    <w:rsid w:val="00350AFF"/>
    <w:rsid w:val="00350DB8"/>
    <w:rsid w:val="0035270F"/>
    <w:rsid w:val="0035301B"/>
    <w:rsid w:val="00355881"/>
    <w:rsid w:val="00355EC1"/>
    <w:rsid w:val="003574F6"/>
    <w:rsid w:val="00364634"/>
    <w:rsid w:val="00365501"/>
    <w:rsid w:val="003662AA"/>
    <w:rsid w:val="00366800"/>
    <w:rsid w:val="00367046"/>
    <w:rsid w:val="0037034C"/>
    <w:rsid w:val="003718BE"/>
    <w:rsid w:val="00372466"/>
    <w:rsid w:val="00372691"/>
    <w:rsid w:val="00373181"/>
    <w:rsid w:val="00376196"/>
    <w:rsid w:val="003800A1"/>
    <w:rsid w:val="003846F4"/>
    <w:rsid w:val="00385992"/>
    <w:rsid w:val="00386818"/>
    <w:rsid w:val="003872A4"/>
    <w:rsid w:val="00390A2A"/>
    <w:rsid w:val="00390F3E"/>
    <w:rsid w:val="003928BF"/>
    <w:rsid w:val="00392FA2"/>
    <w:rsid w:val="003A1677"/>
    <w:rsid w:val="003A2321"/>
    <w:rsid w:val="003A25FC"/>
    <w:rsid w:val="003A2E0C"/>
    <w:rsid w:val="003A36B7"/>
    <w:rsid w:val="003A66BF"/>
    <w:rsid w:val="003A6F33"/>
    <w:rsid w:val="003A7282"/>
    <w:rsid w:val="003A730A"/>
    <w:rsid w:val="003B0CD5"/>
    <w:rsid w:val="003B1609"/>
    <w:rsid w:val="003B335A"/>
    <w:rsid w:val="003B46F2"/>
    <w:rsid w:val="003B4853"/>
    <w:rsid w:val="003B583E"/>
    <w:rsid w:val="003B5A0D"/>
    <w:rsid w:val="003B6228"/>
    <w:rsid w:val="003C246F"/>
    <w:rsid w:val="003C26F1"/>
    <w:rsid w:val="003C3EE7"/>
    <w:rsid w:val="003C441A"/>
    <w:rsid w:val="003C578C"/>
    <w:rsid w:val="003C6360"/>
    <w:rsid w:val="003D0EB6"/>
    <w:rsid w:val="003D13A2"/>
    <w:rsid w:val="003D1E7C"/>
    <w:rsid w:val="003D2321"/>
    <w:rsid w:val="003D2AD6"/>
    <w:rsid w:val="003D53EE"/>
    <w:rsid w:val="003D7C6B"/>
    <w:rsid w:val="003E0075"/>
    <w:rsid w:val="003E00B4"/>
    <w:rsid w:val="003E2A34"/>
    <w:rsid w:val="003E3CB2"/>
    <w:rsid w:val="003E3EEB"/>
    <w:rsid w:val="003E5C04"/>
    <w:rsid w:val="003F02F8"/>
    <w:rsid w:val="003F661B"/>
    <w:rsid w:val="003F7159"/>
    <w:rsid w:val="00400AFF"/>
    <w:rsid w:val="00401B0E"/>
    <w:rsid w:val="004027FC"/>
    <w:rsid w:val="00403104"/>
    <w:rsid w:val="00412D84"/>
    <w:rsid w:val="00413AFE"/>
    <w:rsid w:val="0041419A"/>
    <w:rsid w:val="0041528F"/>
    <w:rsid w:val="00416657"/>
    <w:rsid w:val="0041778F"/>
    <w:rsid w:val="004178E4"/>
    <w:rsid w:val="00423215"/>
    <w:rsid w:val="00424799"/>
    <w:rsid w:val="004262E6"/>
    <w:rsid w:val="0042779D"/>
    <w:rsid w:val="004302CD"/>
    <w:rsid w:val="00431565"/>
    <w:rsid w:val="00431FBA"/>
    <w:rsid w:val="0043200E"/>
    <w:rsid w:val="0043333F"/>
    <w:rsid w:val="004341FC"/>
    <w:rsid w:val="00437026"/>
    <w:rsid w:val="00441D47"/>
    <w:rsid w:val="0044424B"/>
    <w:rsid w:val="00444435"/>
    <w:rsid w:val="00445FE1"/>
    <w:rsid w:val="00447D4B"/>
    <w:rsid w:val="00447FD8"/>
    <w:rsid w:val="00452E30"/>
    <w:rsid w:val="004530DF"/>
    <w:rsid w:val="00456974"/>
    <w:rsid w:val="00457498"/>
    <w:rsid w:val="0046067B"/>
    <w:rsid w:val="00461A9C"/>
    <w:rsid w:val="004623A3"/>
    <w:rsid w:val="00464151"/>
    <w:rsid w:val="0046518E"/>
    <w:rsid w:val="00467FF9"/>
    <w:rsid w:val="00472136"/>
    <w:rsid w:val="0047238B"/>
    <w:rsid w:val="00474195"/>
    <w:rsid w:val="00476F1D"/>
    <w:rsid w:val="00481AFD"/>
    <w:rsid w:val="00483F88"/>
    <w:rsid w:val="00485265"/>
    <w:rsid w:val="00485915"/>
    <w:rsid w:val="00486265"/>
    <w:rsid w:val="00487DA3"/>
    <w:rsid w:val="004931BE"/>
    <w:rsid w:val="00494B9C"/>
    <w:rsid w:val="004975F5"/>
    <w:rsid w:val="004A0969"/>
    <w:rsid w:val="004A11D1"/>
    <w:rsid w:val="004A1424"/>
    <w:rsid w:val="004A4680"/>
    <w:rsid w:val="004A6FBD"/>
    <w:rsid w:val="004B0801"/>
    <w:rsid w:val="004B1A54"/>
    <w:rsid w:val="004B1A61"/>
    <w:rsid w:val="004B35C4"/>
    <w:rsid w:val="004B35D0"/>
    <w:rsid w:val="004B3A7C"/>
    <w:rsid w:val="004B3C12"/>
    <w:rsid w:val="004B48F4"/>
    <w:rsid w:val="004B4F44"/>
    <w:rsid w:val="004B66D9"/>
    <w:rsid w:val="004C078F"/>
    <w:rsid w:val="004C134B"/>
    <w:rsid w:val="004C1767"/>
    <w:rsid w:val="004C228D"/>
    <w:rsid w:val="004C4E4F"/>
    <w:rsid w:val="004C632D"/>
    <w:rsid w:val="004D04C8"/>
    <w:rsid w:val="004D251B"/>
    <w:rsid w:val="004D569C"/>
    <w:rsid w:val="004D5A54"/>
    <w:rsid w:val="004D70A0"/>
    <w:rsid w:val="004D749E"/>
    <w:rsid w:val="004E0899"/>
    <w:rsid w:val="004E0F3E"/>
    <w:rsid w:val="004E2299"/>
    <w:rsid w:val="004E3192"/>
    <w:rsid w:val="004E4A50"/>
    <w:rsid w:val="004E7ACD"/>
    <w:rsid w:val="004F27D6"/>
    <w:rsid w:val="004F3708"/>
    <w:rsid w:val="004F6CC3"/>
    <w:rsid w:val="00500FE5"/>
    <w:rsid w:val="005021C5"/>
    <w:rsid w:val="00504607"/>
    <w:rsid w:val="00504C17"/>
    <w:rsid w:val="00506E44"/>
    <w:rsid w:val="00507D9E"/>
    <w:rsid w:val="00510C89"/>
    <w:rsid w:val="00513289"/>
    <w:rsid w:val="00514F0C"/>
    <w:rsid w:val="00517020"/>
    <w:rsid w:val="0052081D"/>
    <w:rsid w:val="0052498F"/>
    <w:rsid w:val="005263B6"/>
    <w:rsid w:val="005269CF"/>
    <w:rsid w:val="0052764D"/>
    <w:rsid w:val="005346AE"/>
    <w:rsid w:val="00534DB6"/>
    <w:rsid w:val="00537004"/>
    <w:rsid w:val="0054073A"/>
    <w:rsid w:val="00543C74"/>
    <w:rsid w:val="00544498"/>
    <w:rsid w:val="00544660"/>
    <w:rsid w:val="00545258"/>
    <w:rsid w:val="00546878"/>
    <w:rsid w:val="005469CE"/>
    <w:rsid w:val="0054765B"/>
    <w:rsid w:val="005522F0"/>
    <w:rsid w:val="0055275E"/>
    <w:rsid w:val="005553CB"/>
    <w:rsid w:val="005579C2"/>
    <w:rsid w:val="00562138"/>
    <w:rsid w:val="00562C7C"/>
    <w:rsid w:val="00563144"/>
    <w:rsid w:val="005654ED"/>
    <w:rsid w:val="0057107F"/>
    <w:rsid w:val="00571986"/>
    <w:rsid w:val="0057297B"/>
    <w:rsid w:val="00573090"/>
    <w:rsid w:val="00573D87"/>
    <w:rsid w:val="005742DB"/>
    <w:rsid w:val="00575083"/>
    <w:rsid w:val="00575BE1"/>
    <w:rsid w:val="00577413"/>
    <w:rsid w:val="00577BAB"/>
    <w:rsid w:val="00580808"/>
    <w:rsid w:val="00580C18"/>
    <w:rsid w:val="00582644"/>
    <w:rsid w:val="00582EA9"/>
    <w:rsid w:val="0058354D"/>
    <w:rsid w:val="0058592F"/>
    <w:rsid w:val="00585D52"/>
    <w:rsid w:val="00585FDA"/>
    <w:rsid w:val="00587363"/>
    <w:rsid w:val="00587D46"/>
    <w:rsid w:val="00591316"/>
    <w:rsid w:val="0059215A"/>
    <w:rsid w:val="0059229E"/>
    <w:rsid w:val="00594B90"/>
    <w:rsid w:val="0059610E"/>
    <w:rsid w:val="00596152"/>
    <w:rsid w:val="00596BF9"/>
    <w:rsid w:val="0059748A"/>
    <w:rsid w:val="00597C76"/>
    <w:rsid w:val="00597FA4"/>
    <w:rsid w:val="005A069A"/>
    <w:rsid w:val="005A0DC6"/>
    <w:rsid w:val="005A1066"/>
    <w:rsid w:val="005A1401"/>
    <w:rsid w:val="005A2BAE"/>
    <w:rsid w:val="005A441F"/>
    <w:rsid w:val="005A5A15"/>
    <w:rsid w:val="005B11F4"/>
    <w:rsid w:val="005B4049"/>
    <w:rsid w:val="005B42D9"/>
    <w:rsid w:val="005B4355"/>
    <w:rsid w:val="005B44D3"/>
    <w:rsid w:val="005B7FA2"/>
    <w:rsid w:val="005C10A5"/>
    <w:rsid w:val="005C1FD6"/>
    <w:rsid w:val="005C2444"/>
    <w:rsid w:val="005C4142"/>
    <w:rsid w:val="005C4302"/>
    <w:rsid w:val="005C5F18"/>
    <w:rsid w:val="005C5FB5"/>
    <w:rsid w:val="005C7707"/>
    <w:rsid w:val="005D3CFC"/>
    <w:rsid w:val="005D407E"/>
    <w:rsid w:val="005E0062"/>
    <w:rsid w:val="005E06B8"/>
    <w:rsid w:val="005E0C37"/>
    <w:rsid w:val="005E15D0"/>
    <w:rsid w:val="005E1D6C"/>
    <w:rsid w:val="005E2485"/>
    <w:rsid w:val="005E2815"/>
    <w:rsid w:val="005E406B"/>
    <w:rsid w:val="005E5247"/>
    <w:rsid w:val="005F267F"/>
    <w:rsid w:val="005F2847"/>
    <w:rsid w:val="005F299A"/>
    <w:rsid w:val="005F33EF"/>
    <w:rsid w:val="005F3947"/>
    <w:rsid w:val="005F3DC6"/>
    <w:rsid w:val="005F3E82"/>
    <w:rsid w:val="005F4645"/>
    <w:rsid w:val="005F50F7"/>
    <w:rsid w:val="005F5D8F"/>
    <w:rsid w:val="006000FE"/>
    <w:rsid w:val="0060053E"/>
    <w:rsid w:val="00600B9C"/>
    <w:rsid w:val="00600EB8"/>
    <w:rsid w:val="00601714"/>
    <w:rsid w:val="00601888"/>
    <w:rsid w:val="0060197A"/>
    <w:rsid w:val="00603DC3"/>
    <w:rsid w:val="006055B0"/>
    <w:rsid w:val="00605CE2"/>
    <w:rsid w:val="00606EC2"/>
    <w:rsid w:val="0061196A"/>
    <w:rsid w:val="00611F8E"/>
    <w:rsid w:val="00612543"/>
    <w:rsid w:val="00614F86"/>
    <w:rsid w:val="00616BD2"/>
    <w:rsid w:val="00616D10"/>
    <w:rsid w:val="00617C3E"/>
    <w:rsid w:val="0062099E"/>
    <w:rsid w:val="00622068"/>
    <w:rsid w:val="00630A52"/>
    <w:rsid w:val="00632BBD"/>
    <w:rsid w:val="006343BB"/>
    <w:rsid w:val="0063535E"/>
    <w:rsid w:val="00636FCD"/>
    <w:rsid w:val="00640766"/>
    <w:rsid w:val="006415D9"/>
    <w:rsid w:val="00642B87"/>
    <w:rsid w:val="00644622"/>
    <w:rsid w:val="00644F53"/>
    <w:rsid w:val="00645E63"/>
    <w:rsid w:val="00645EBA"/>
    <w:rsid w:val="0064620E"/>
    <w:rsid w:val="00647CC5"/>
    <w:rsid w:val="0065002A"/>
    <w:rsid w:val="00650DBB"/>
    <w:rsid w:val="006512EC"/>
    <w:rsid w:val="006545C9"/>
    <w:rsid w:val="00654770"/>
    <w:rsid w:val="00656244"/>
    <w:rsid w:val="0066096A"/>
    <w:rsid w:val="00661FDD"/>
    <w:rsid w:val="00662486"/>
    <w:rsid w:val="00667EA9"/>
    <w:rsid w:val="0067011A"/>
    <w:rsid w:val="00670194"/>
    <w:rsid w:val="006706D6"/>
    <w:rsid w:val="00670876"/>
    <w:rsid w:val="00675837"/>
    <w:rsid w:val="0067616D"/>
    <w:rsid w:val="006837BE"/>
    <w:rsid w:val="00684108"/>
    <w:rsid w:val="0068465E"/>
    <w:rsid w:val="00684710"/>
    <w:rsid w:val="006864F9"/>
    <w:rsid w:val="006906D0"/>
    <w:rsid w:val="00690A3E"/>
    <w:rsid w:val="0069312F"/>
    <w:rsid w:val="006939DB"/>
    <w:rsid w:val="00693E73"/>
    <w:rsid w:val="0069435C"/>
    <w:rsid w:val="00697AD9"/>
    <w:rsid w:val="006A233E"/>
    <w:rsid w:val="006A4394"/>
    <w:rsid w:val="006A4795"/>
    <w:rsid w:val="006A5333"/>
    <w:rsid w:val="006A5437"/>
    <w:rsid w:val="006A6034"/>
    <w:rsid w:val="006B0BEA"/>
    <w:rsid w:val="006B209A"/>
    <w:rsid w:val="006B3F7D"/>
    <w:rsid w:val="006B724A"/>
    <w:rsid w:val="006C0055"/>
    <w:rsid w:val="006C2C35"/>
    <w:rsid w:val="006C32F8"/>
    <w:rsid w:val="006C349C"/>
    <w:rsid w:val="006C3E0C"/>
    <w:rsid w:val="006C6CC5"/>
    <w:rsid w:val="006C735B"/>
    <w:rsid w:val="006C75C7"/>
    <w:rsid w:val="006D13D5"/>
    <w:rsid w:val="006D26E1"/>
    <w:rsid w:val="006D3364"/>
    <w:rsid w:val="006D5929"/>
    <w:rsid w:val="006D678F"/>
    <w:rsid w:val="006D7319"/>
    <w:rsid w:val="006E03D8"/>
    <w:rsid w:val="006E1172"/>
    <w:rsid w:val="006E16F7"/>
    <w:rsid w:val="006E21B9"/>
    <w:rsid w:val="006E349C"/>
    <w:rsid w:val="006E5194"/>
    <w:rsid w:val="006E5385"/>
    <w:rsid w:val="006E581B"/>
    <w:rsid w:val="006E64B6"/>
    <w:rsid w:val="006E6A43"/>
    <w:rsid w:val="006E7A49"/>
    <w:rsid w:val="006E7F73"/>
    <w:rsid w:val="006F1A6E"/>
    <w:rsid w:val="006F274A"/>
    <w:rsid w:val="006F3964"/>
    <w:rsid w:val="006F5258"/>
    <w:rsid w:val="006F6900"/>
    <w:rsid w:val="006F6C7D"/>
    <w:rsid w:val="00700A0B"/>
    <w:rsid w:val="007056AF"/>
    <w:rsid w:val="007106F8"/>
    <w:rsid w:val="0071114C"/>
    <w:rsid w:val="00711926"/>
    <w:rsid w:val="007144F7"/>
    <w:rsid w:val="00714F56"/>
    <w:rsid w:val="00715E11"/>
    <w:rsid w:val="00717825"/>
    <w:rsid w:val="00717D84"/>
    <w:rsid w:val="0072210A"/>
    <w:rsid w:val="00723427"/>
    <w:rsid w:val="0072462B"/>
    <w:rsid w:val="007246D4"/>
    <w:rsid w:val="00725430"/>
    <w:rsid w:val="0073237D"/>
    <w:rsid w:val="00734CD3"/>
    <w:rsid w:val="00737C7F"/>
    <w:rsid w:val="00740495"/>
    <w:rsid w:val="00740DE4"/>
    <w:rsid w:val="00741D2C"/>
    <w:rsid w:val="0074333D"/>
    <w:rsid w:val="00745166"/>
    <w:rsid w:val="0074619F"/>
    <w:rsid w:val="007469AD"/>
    <w:rsid w:val="00754E5C"/>
    <w:rsid w:val="007555EC"/>
    <w:rsid w:val="00755DBB"/>
    <w:rsid w:val="00756D77"/>
    <w:rsid w:val="00756EF6"/>
    <w:rsid w:val="00757482"/>
    <w:rsid w:val="00762B92"/>
    <w:rsid w:val="00762C02"/>
    <w:rsid w:val="007630B0"/>
    <w:rsid w:val="007644E8"/>
    <w:rsid w:val="007649D2"/>
    <w:rsid w:val="00766E52"/>
    <w:rsid w:val="00767F47"/>
    <w:rsid w:val="00770419"/>
    <w:rsid w:val="007709DB"/>
    <w:rsid w:val="00770B67"/>
    <w:rsid w:val="00770F58"/>
    <w:rsid w:val="0077124F"/>
    <w:rsid w:val="00772AEB"/>
    <w:rsid w:val="00772E1A"/>
    <w:rsid w:val="00774189"/>
    <w:rsid w:val="00775039"/>
    <w:rsid w:val="0077561B"/>
    <w:rsid w:val="00775A16"/>
    <w:rsid w:val="00777B26"/>
    <w:rsid w:val="007819EE"/>
    <w:rsid w:val="0078348D"/>
    <w:rsid w:val="00783B5E"/>
    <w:rsid w:val="00784227"/>
    <w:rsid w:val="00786A13"/>
    <w:rsid w:val="00787F4E"/>
    <w:rsid w:val="00790E13"/>
    <w:rsid w:val="007953B8"/>
    <w:rsid w:val="00795E8C"/>
    <w:rsid w:val="007968CD"/>
    <w:rsid w:val="00797981"/>
    <w:rsid w:val="007A1523"/>
    <w:rsid w:val="007A2CB8"/>
    <w:rsid w:val="007A2E59"/>
    <w:rsid w:val="007A3464"/>
    <w:rsid w:val="007A3722"/>
    <w:rsid w:val="007A7EA5"/>
    <w:rsid w:val="007B0513"/>
    <w:rsid w:val="007B0CF0"/>
    <w:rsid w:val="007B2B57"/>
    <w:rsid w:val="007B36B6"/>
    <w:rsid w:val="007B47BA"/>
    <w:rsid w:val="007B60D7"/>
    <w:rsid w:val="007B620F"/>
    <w:rsid w:val="007B7F88"/>
    <w:rsid w:val="007C06FA"/>
    <w:rsid w:val="007C1B99"/>
    <w:rsid w:val="007C549F"/>
    <w:rsid w:val="007C5A44"/>
    <w:rsid w:val="007C6AAF"/>
    <w:rsid w:val="007D09E8"/>
    <w:rsid w:val="007D1346"/>
    <w:rsid w:val="007D142A"/>
    <w:rsid w:val="007D1688"/>
    <w:rsid w:val="007D21BC"/>
    <w:rsid w:val="007D3537"/>
    <w:rsid w:val="007D746D"/>
    <w:rsid w:val="007E054C"/>
    <w:rsid w:val="007E26AC"/>
    <w:rsid w:val="007E2D72"/>
    <w:rsid w:val="007F34AE"/>
    <w:rsid w:val="007F5C4E"/>
    <w:rsid w:val="007F6972"/>
    <w:rsid w:val="007F7410"/>
    <w:rsid w:val="008003F0"/>
    <w:rsid w:val="00800722"/>
    <w:rsid w:val="008017D7"/>
    <w:rsid w:val="00802315"/>
    <w:rsid w:val="008038C3"/>
    <w:rsid w:val="00803C72"/>
    <w:rsid w:val="00806848"/>
    <w:rsid w:val="008072E4"/>
    <w:rsid w:val="008079D5"/>
    <w:rsid w:val="00807C82"/>
    <w:rsid w:val="0081397B"/>
    <w:rsid w:val="00813D59"/>
    <w:rsid w:val="0082042D"/>
    <w:rsid w:val="0082057C"/>
    <w:rsid w:val="008233AA"/>
    <w:rsid w:val="008239E2"/>
    <w:rsid w:val="00824C55"/>
    <w:rsid w:val="008267D5"/>
    <w:rsid w:val="00826E69"/>
    <w:rsid w:val="0083093C"/>
    <w:rsid w:val="0083094D"/>
    <w:rsid w:val="0083148C"/>
    <w:rsid w:val="008320FF"/>
    <w:rsid w:val="0083343F"/>
    <w:rsid w:val="00834D7A"/>
    <w:rsid w:val="008378F7"/>
    <w:rsid w:val="00837E5F"/>
    <w:rsid w:val="0084057A"/>
    <w:rsid w:val="00841F00"/>
    <w:rsid w:val="0084339E"/>
    <w:rsid w:val="00843477"/>
    <w:rsid w:val="00844494"/>
    <w:rsid w:val="0084523A"/>
    <w:rsid w:val="008455FA"/>
    <w:rsid w:val="00846416"/>
    <w:rsid w:val="00847661"/>
    <w:rsid w:val="0085179E"/>
    <w:rsid w:val="00854923"/>
    <w:rsid w:val="00854A3B"/>
    <w:rsid w:val="00854C9E"/>
    <w:rsid w:val="0085669F"/>
    <w:rsid w:val="008615DD"/>
    <w:rsid w:val="00862712"/>
    <w:rsid w:val="00864097"/>
    <w:rsid w:val="00866029"/>
    <w:rsid w:val="00871AD7"/>
    <w:rsid w:val="00871CC4"/>
    <w:rsid w:val="008737B4"/>
    <w:rsid w:val="00875D1D"/>
    <w:rsid w:val="008762C0"/>
    <w:rsid w:val="008764CB"/>
    <w:rsid w:val="0087736E"/>
    <w:rsid w:val="0088017A"/>
    <w:rsid w:val="00883255"/>
    <w:rsid w:val="00884157"/>
    <w:rsid w:val="008904A0"/>
    <w:rsid w:val="008907CD"/>
    <w:rsid w:val="00890DB3"/>
    <w:rsid w:val="0089245C"/>
    <w:rsid w:val="00896983"/>
    <w:rsid w:val="008A1685"/>
    <w:rsid w:val="008A17AD"/>
    <w:rsid w:val="008A314A"/>
    <w:rsid w:val="008A46BB"/>
    <w:rsid w:val="008A72F3"/>
    <w:rsid w:val="008A7BAE"/>
    <w:rsid w:val="008C0EE8"/>
    <w:rsid w:val="008C25E9"/>
    <w:rsid w:val="008C75B3"/>
    <w:rsid w:val="008D1062"/>
    <w:rsid w:val="008D1B3E"/>
    <w:rsid w:val="008D1FC4"/>
    <w:rsid w:val="008D3E25"/>
    <w:rsid w:val="008D4689"/>
    <w:rsid w:val="008D5665"/>
    <w:rsid w:val="008D5A7D"/>
    <w:rsid w:val="008D797F"/>
    <w:rsid w:val="008E1885"/>
    <w:rsid w:val="008E4146"/>
    <w:rsid w:val="008E618D"/>
    <w:rsid w:val="008F04A1"/>
    <w:rsid w:val="008F0B6F"/>
    <w:rsid w:val="008F1178"/>
    <w:rsid w:val="008F20DD"/>
    <w:rsid w:val="008F3434"/>
    <w:rsid w:val="008F56DD"/>
    <w:rsid w:val="008F65BC"/>
    <w:rsid w:val="008F6B1C"/>
    <w:rsid w:val="008F6CBE"/>
    <w:rsid w:val="009016BA"/>
    <w:rsid w:val="00901F1A"/>
    <w:rsid w:val="0090407B"/>
    <w:rsid w:val="00906029"/>
    <w:rsid w:val="009074C5"/>
    <w:rsid w:val="009100DE"/>
    <w:rsid w:val="00910641"/>
    <w:rsid w:val="00912E66"/>
    <w:rsid w:val="00913AAB"/>
    <w:rsid w:val="0091498B"/>
    <w:rsid w:val="00915D0D"/>
    <w:rsid w:val="0091603C"/>
    <w:rsid w:val="00916AAB"/>
    <w:rsid w:val="009211E2"/>
    <w:rsid w:val="00921E02"/>
    <w:rsid w:val="009235F6"/>
    <w:rsid w:val="009269A8"/>
    <w:rsid w:val="00926AC7"/>
    <w:rsid w:val="00930E40"/>
    <w:rsid w:val="00934599"/>
    <w:rsid w:val="00935B66"/>
    <w:rsid w:val="00941642"/>
    <w:rsid w:val="0094398F"/>
    <w:rsid w:val="00952114"/>
    <w:rsid w:val="009521A5"/>
    <w:rsid w:val="00952455"/>
    <w:rsid w:val="00955443"/>
    <w:rsid w:val="009561CB"/>
    <w:rsid w:val="0095746F"/>
    <w:rsid w:val="00960330"/>
    <w:rsid w:val="00960843"/>
    <w:rsid w:val="00961086"/>
    <w:rsid w:val="00962D47"/>
    <w:rsid w:val="00962FA9"/>
    <w:rsid w:val="00964DE0"/>
    <w:rsid w:val="00975301"/>
    <w:rsid w:val="009756BB"/>
    <w:rsid w:val="00975922"/>
    <w:rsid w:val="00977DDD"/>
    <w:rsid w:val="009800D5"/>
    <w:rsid w:val="00980255"/>
    <w:rsid w:val="0098239F"/>
    <w:rsid w:val="00983CF3"/>
    <w:rsid w:val="009843EE"/>
    <w:rsid w:val="0098586D"/>
    <w:rsid w:val="00986932"/>
    <w:rsid w:val="0099094B"/>
    <w:rsid w:val="00990FF1"/>
    <w:rsid w:val="0099527B"/>
    <w:rsid w:val="00995FF9"/>
    <w:rsid w:val="009A10CC"/>
    <w:rsid w:val="009A1339"/>
    <w:rsid w:val="009A30F2"/>
    <w:rsid w:val="009A338A"/>
    <w:rsid w:val="009A4A5C"/>
    <w:rsid w:val="009A6B16"/>
    <w:rsid w:val="009B074D"/>
    <w:rsid w:val="009B0B27"/>
    <w:rsid w:val="009B16AE"/>
    <w:rsid w:val="009B16BE"/>
    <w:rsid w:val="009B1AA8"/>
    <w:rsid w:val="009B1F39"/>
    <w:rsid w:val="009B305D"/>
    <w:rsid w:val="009B3443"/>
    <w:rsid w:val="009B3A3A"/>
    <w:rsid w:val="009B4C47"/>
    <w:rsid w:val="009B6EDA"/>
    <w:rsid w:val="009C0DE0"/>
    <w:rsid w:val="009C2387"/>
    <w:rsid w:val="009C2EB8"/>
    <w:rsid w:val="009C30DE"/>
    <w:rsid w:val="009C312A"/>
    <w:rsid w:val="009C6DC9"/>
    <w:rsid w:val="009C7315"/>
    <w:rsid w:val="009C7F77"/>
    <w:rsid w:val="009D0E96"/>
    <w:rsid w:val="009D233D"/>
    <w:rsid w:val="009D2AF3"/>
    <w:rsid w:val="009D3246"/>
    <w:rsid w:val="009D3853"/>
    <w:rsid w:val="009D6FDF"/>
    <w:rsid w:val="009D7B6D"/>
    <w:rsid w:val="009D7C48"/>
    <w:rsid w:val="009E7BF7"/>
    <w:rsid w:val="009F22C4"/>
    <w:rsid w:val="009F2E53"/>
    <w:rsid w:val="009F32C0"/>
    <w:rsid w:val="009F3860"/>
    <w:rsid w:val="009F4838"/>
    <w:rsid w:val="009F5358"/>
    <w:rsid w:val="009F7B90"/>
    <w:rsid w:val="00A04C33"/>
    <w:rsid w:val="00A101F0"/>
    <w:rsid w:val="00A12B51"/>
    <w:rsid w:val="00A13CC0"/>
    <w:rsid w:val="00A1493C"/>
    <w:rsid w:val="00A14C8E"/>
    <w:rsid w:val="00A162C0"/>
    <w:rsid w:val="00A16F0C"/>
    <w:rsid w:val="00A17131"/>
    <w:rsid w:val="00A17B9E"/>
    <w:rsid w:val="00A21C22"/>
    <w:rsid w:val="00A21DB1"/>
    <w:rsid w:val="00A2404D"/>
    <w:rsid w:val="00A24E51"/>
    <w:rsid w:val="00A24E98"/>
    <w:rsid w:val="00A25D91"/>
    <w:rsid w:val="00A261A9"/>
    <w:rsid w:val="00A26BF8"/>
    <w:rsid w:val="00A320CD"/>
    <w:rsid w:val="00A333C6"/>
    <w:rsid w:val="00A3478E"/>
    <w:rsid w:val="00A35EA6"/>
    <w:rsid w:val="00A36089"/>
    <w:rsid w:val="00A40B19"/>
    <w:rsid w:val="00A40EA6"/>
    <w:rsid w:val="00A411D9"/>
    <w:rsid w:val="00A412A5"/>
    <w:rsid w:val="00A41358"/>
    <w:rsid w:val="00A420BF"/>
    <w:rsid w:val="00A42A75"/>
    <w:rsid w:val="00A431CF"/>
    <w:rsid w:val="00A44233"/>
    <w:rsid w:val="00A44D77"/>
    <w:rsid w:val="00A4595F"/>
    <w:rsid w:val="00A474C9"/>
    <w:rsid w:val="00A524F5"/>
    <w:rsid w:val="00A530CE"/>
    <w:rsid w:val="00A53601"/>
    <w:rsid w:val="00A551B1"/>
    <w:rsid w:val="00A55C5C"/>
    <w:rsid w:val="00A57E85"/>
    <w:rsid w:val="00A6022E"/>
    <w:rsid w:val="00A60B50"/>
    <w:rsid w:val="00A620BC"/>
    <w:rsid w:val="00A67519"/>
    <w:rsid w:val="00A70E34"/>
    <w:rsid w:val="00A74041"/>
    <w:rsid w:val="00A75029"/>
    <w:rsid w:val="00A75946"/>
    <w:rsid w:val="00A76571"/>
    <w:rsid w:val="00A7736E"/>
    <w:rsid w:val="00A811AD"/>
    <w:rsid w:val="00A82782"/>
    <w:rsid w:val="00A837B1"/>
    <w:rsid w:val="00A85C4E"/>
    <w:rsid w:val="00A874F2"/>
    <w:rsid w:val="00A9029F"/>
    <w:rsid w:val="00A942FA"/>
    <w:rsid w:val="00A96104"/>
    <w:rsid w:val="00A971C7"/>
    <w:rsid w:val="00A976B3"/>
    <w:rsid w:val="00AA25CA"/>
    <w:rsid w:val="00AA32DA"/>
    <w:rsid w:val="00AA3C9A"/>
    <w:rsid w:val="00AA4568"/>
    <w:rsid w:val="00AA56A1"/>
    <w:rsid w:val="00AA65A3"/>
    <w:rsid w:val="00AA695B"/>
    <w:rsid w:val="00AA7A0A"/>
    <w:rsid w:val="00AB0785"/>
    <w:rsid w:val="00AB3BA3"/>
    <w:rsid w:val="00AB438A"/>
    <w:rsid w:val="00AB7167"/>
    <w:rsid w:val="00AB7476"/>
    <w:rsid w:val="00AC0471"/>
    <w:rsid w:val="00AC13E9"/>
    <w:rsid w:val="00AC4744"/>
    <w:rsid w:val="00AC48BF"/>
    <w:rsid w:val="00AC78FB"/>
    <w:rsid w:val="00AD11F6"/>
    <w:rsid w:val="00AD16CB"/>
    <w:rsid w:val="00AD251D"/>
    <w:rsid w:val="00AD3BDC"/>
    <w:rsid w:val="00AD4BE0"/>
    <w:rsid w:val="00AD5D2D"/>
    <w:rsid w:val="00AD5E3A"/>
    <w:rsid w:val="00AD70B2"/>
    <w:rsid w:val="00AD745B"/>
    <w:rsid w:val="00AD7C77"/>
    <w:rsid w:val="00AE08FF"/>
    <w:rsid w:val="00AE2699"/>
    <w:rsid w:val="00AE36D8"/>
    <w:rsid w:val="00AE4782"/>
    <w:rsid w:val="00AE7929"/>
    <w:rsid w:val="00AF0CC8"/>
    <w:rsid w:val="00B00B73"/>
    <w:rsid w:val="00B043A0"/>
    <w:rsid w:val="00B0700C"/>
    <w:rsid w:val="00B071D3"/>
    <w:rsid w:val="00B103A4"/>
    <w:rsid w:val="00B10868"/>
    <w:rsid w:val="00B10BB9"/>
    <w:rsid w:val="00B12602"/>
    <w:rsid w:val="00B13773"/>
    <w:rsid w:val="00B147C5"/>
    <w:rsid w:val="00B17583"/>
    <w:rsid w:val="00B21B9B"/>
    <w:rsid w:val="00B2234D"/>
    <w:rsid w:val="00B30832"/>
    <w:rsid w:val="00B30E27"/>
    <w:rsid w:val="00B320B9"/>
    <w:rsid w:val="00B3280B"/>
    <w:rsid w:val="00B32972"/>
    <w:rsid w:val="00B32A68"/>
    <w:rsid w:val="00B33655"/>
    <w:rsid w:val="00B34E20"/>
    <w:rsid w:val="00B34FF8"/>
    <w:rsid w:val="00B36093"/>
    <w:rsid w:val="00B40ADA"/>
    <w:rsid w:val="00B4245B"/>
    <w:rsid w:val="00B424E9"/>
    <w:rsid w:val="00B425DD"/>
    <w:rsid w:val="00B435B9"/>
    <w:rsid w:val="00B43BC5"/>
    <w:rsid w:val="00B44B07"/>
    <w:rsid w:val="00B4691E"/>
    <w:rsid w:val="00B474C4"/>
    <w:rsid w:val="00B50F6E"/>
    <w:rsid w:val="00B518BD"/>
    <w:rsid w:val="00B522B3"/>
    <w:rsid w:val="00B53893"/>
    <w:rsid w:val="00B544DB"/>
    <w:rsid w:val="00B5548A"/>
    <w:rsid w:val="00B5588B"/>
    <w:rsid w:val="00B60F63"/>
    <w:rsid w:val="00B616E8"/>
    <w:rsid w:val="00B61E75"/>
    <w:rsid w:val="00B640AD"/>
    <w:rsid w:val="00B645E1"/>
    <w:rsid w:val="00B6590A"/>
    <w:rsid w:val="00B700F7"/>
    <w:rsid w:val="00B753F0"/>
    <w:rsid w:val="00B7557A"/>
    <w:rsid w:val="00B7678C"/>
    <w:rsid w:val="00B77248"/>
    <w:rsid w:val="00B77F38"/>
    <w:rsid w:val="00B8155B"/>
    <w:rsid w:val="00B830B3"/>
    <w:rsid w:val="00B83F40"/>
    <w:rsid w:val="00B856AA"/>
    <w:rsid w:val="00B8626B"/>
    <w:rsid w:val="00B86AFC"/>
    <w:rsid w:val="00B944C6"/>
    <w:rsid w:val="00B94B5B"/>
    <w:rsid w:val="00B9587A"/>
    <w:rsid w:val="00B96705"/>
    <w:rsid w:val="00B96D15"/>
    <w:rsid w:val="00B97312"/>
    <w:rsid w:val="00BA07E4"/>
    <w:rsid w:val="00BA11FA"/>
    <w:rsid w:val="00BA21C7"/>
    <w:rsid w:val="00BA3CAE"/>
    <w:rsid w:val="00BB0EAD"/>
    <w:rsid w:val="00BB6503"/>
    <w:rsid w:val="00BC0123"/>
    <w:rsid w:val="00BC13F8"/>
    <w:rsid w:val="00BC2EE6"/>
    <w:rsid w:val="00BC76BF"/>
    <w:rsid w:val="00BD1B62"/>
    <w:rsid w:val="00BD4AE4"/>
    <w:rsid w:val="00BD5CDA"/>
    <w:rsid w:val="00BD69B3"/>
    <w:rsid w:val="00BE0548"/>
    <w:rsid w:val="00BE298C"/>
    <w:rsid w:val="00BE3E02"/>
    <w:rsid w:val="00BE46E3"/>
    <w:rsid w:val="00BE4865"/>
    <w:rsid w:val="00BF05EA"/>
    <w:rsid w:val="00BF3F0A"/>
    <w:rsid w:val="00BF5451"/>
    <w:rsid w:val="00BF5F15"/>
    <w:rsid w:val="00BF79F9"/>
    <w:rsid w:val="00C00A75"/>
    <w:rsid w:val="00C012F9"/>
    <w:rsid w:val="00C0144F"/>
    <w:rsid w:val="00C01882"/>
    <w:rsid w:val="00C01898"/>
    <w:rsid w:val="00C01C07"/>
    <w:rsid w:val="00C07E04"/>
    <w:rsid w:val="00C10325"/>
    <w:rsid w:val="00C10956"/>
    <w:rsid w:val="00C14B6F"/>
    <w:rsid w:val="00C155DA"/>
    <w:rsid w:val="00C16CF9"/>
    <w:rsid w:val="00C24D19"/>
    <w:rsid w:val="00C25985"/>
    <w:rsid w:val="00C3094D"/>
    <w:rsid w:val="00C31E0B"/>
    <w:rsid w:val="00C32B90"/>
    <w:rsid w:val="00C33C78"/>
    <w:rsid w:val="00C35358"/>
    <w:rsid w:val="00C36896"/>
    <w:rsid w:val="00C41642"/>
    <w:rsid w:val="00C41843"/>
    <w:rsid w:val="00C41F04"/>
    <w:rsid w:val="00C431DA"/>
    <w:rsid w:val="00C4351E"/>
    <w:rsid w:val="00C470D0"/>
    <w:rsid w:val="00C4716A"/>
    <w:rsid w:val="00C47206"/>
    <w:rsid w:val="00C537CB"/>
    <w:rsid w:val="00C53C17"/>
    <w:rsid w:val="00C54A9F"/>
    <w:rsid w:val="00C55F36"/>
    <w:rsid w:val="00C5775F"/>
    <w:rsid w:val="00C67A58"/>
    <w:rsid w:val="00C70A05"/>
    <w:rsid w:val="00C71160"/>
    <w:rsid w:val="00C72475"/>
    <w:rsid w:val="00C724C6"/>
    <w:rsid w:val="00C729C7"/>
    <w:rsid w:val="00C74C44"/>
    <w:rsid w:val="00C81231"/>
    <w:rsid w:val="00C81C0D"/>
    <w:rsid w:val="00C85096"/>
    <w:rsid w:val="00C860D8"/>
    <w:rsid w:val="00C8670A"/>
    <w:rsid w:val="00C90370"/>
    <w:rsid w:val="00C9109B"/>
    <w:rsid w:val="00C9182E"/>
    <w:rsid w:val="00C91DA3"/>
    <w:rsid w:val="00C92301"/>
    <w:rsid w:val="00C928E8"/>
    <w:rsid w:val="00C92D4D"/>
    <w:rsid w:val="00C945F5"/>
    <w:rsid w:val="00C94CF4"/>
    <w:rsid w:val="00C971C7"/>
    <w:rsid w:val="00C977E0"/>
    <w:rsid w:val="00CA1BC2"/>
    <w:rsid w:val="00CA5013"/>
    <w:rsid w:val="00CA59B8"/>
    <w:rsid w:val="00CA5AA9"/>
    <w:rsid w:val="00CA64E8"/>
    <w:rsid w:val="00CA689C"/>
    <w:rsid w:val="00CB0BA6"/>
    <w:rsid w:val="00CB12CE"/>
    <w:rsid w:val="00CB1FF7"/>
    <w:rsid w:val="00CB2FA0"/>
    <w:rsid w:val="00CB3876"/>
    <w:rsid w:val="00CB5D8E"/>
    <w:rsid w:val="00CB5DF2"/>
    <w:rsid w:val="00CB62A0"/>
    <w:rsid w:val="00CC08E5"/>
    <w:rsid w:val="00CC6CC9"/>
    <w:rsid w:val="00CD1CCB"/>
    <w:rsid w:val="00CD31BF"/>
    <w:rsid w:val="00CD4EF8"/>
    <w:rsid w:val="00CD5597"/>
    <w:rsid w:val="00CD66B3"/>
    <w:rsid w:val="00CD7879"/>
    <w:rsid w:val="00CE1525"/>
    <w:rsid w:val="00CE1F79"/>
    <w:rsid w:val="00CE21A9"/>
    <w:rsid w:val="00CE280F"/>
    <w:rsid w:val="00CE3C0E"/>
    <w:rsid w:val="00CE4E92"/>
    <w:rsid w:val="00CE5EA2"/>
    <w:rsid w:val="00CE6C45"/>
    <w:rsid w:val="00CE6F3C"/>
    <w:rsid w:val="00CE7CF8"/>
    <w:rsid w:val="00CF0765"/>
    <w:rsid w:val="00CF509A"/>
    <w:rsid w:val="00CF6AE9"/>
    <w:rsid w:val="00D0256E"/>
    <w:rsid w:val="00D04624"/>
    <w:rsid w:val="00D05565"/>
    <w:rsid w:val="00D06366"/>
    <w:rsid w:val="00D104C4"/>
    <w:rsid w:val="00D121EC"/>
    <w:rsid w:val="00D1468E"/>
    <w:rsid w:val="00D1641A"/>
    <w:rsid w:val="00D16A8D"/>
    <w:rsid w:val="00D17B06"/>
    <w:rsid w:val="00D202CF"/>
    <w:rsid w:val="00D21264"/>
    <w:rsid w:val="00D21F0C"/>
    <w:rsid w:val="00D2482F"/>
    <w:rsid w:val="00D267A2"/>
    <w:rsid w:val="00D3202A"/>
    <w:rsid w:val="00D32C72"/>
    <w:rsid w:val="00D32CBE"/>
    <w:rsid w:val="00D338C9"/>
    <w:rsid w:val="00D34C15"/>
    <w:rsid w:val="00D37442"/>
    <w:rsid w:val="00D37651"/>
    <w:rsid w:val="00D41914"/>
    <w:rsid w:val="00D41B4E"/>
    <w:rsid w:val="00D41B87"/>
    <w:rsid w:val="00D42B4E"/>
    <w:rsid w:val="00D439DD"/>
    <w:rsid w:val="00D43ECF"/>
    <w:rsid w:val="00D4485E"/>
    <w:rsid w:val="00D46329"/>
    <w:rsid w:val="00D50C16"/>
    <w:rsid w:val="00D525E2"/>
    <w:rsid w:val="00D534DD"/>
    <w:rsid w:val="00D57C5C"/>
    <w:rsid w:val="00D622E7"/>
    <w:rsid w:val="00D62CDE"/>
    <w:rsid w:val="00D63491"/>
    <w:rsid w:val="00D636CA"/>
    <w:rsid w:val="00D64B77"/>
    <w:rsid w:val="00D6749C"/>
    <w:rsid w:val="00D70DE9"/>
    <w:rsid w:val="00D71424"/>
    <w:rsid w:val="00D71750"/>
    <w:rsid w:val="00D72535"/>
    <w:rsid w:val="00D732F0"/>
    <w:rsid w:val="00D7363A"/>
    <w:rsid w:val="00D73C39"/>
    <w:rsid w:val="00D73D26"/>
    <w:rsid w:val="00D77BEF"/>
    <w:rsid w:val="00D80F30"/>
    <w:rsid w:val="00D837A2"/>
    <w:rsid w:val="00D90255"/>
    <w:rsid w:val="00D911AF"/>
    <w:rsid w:val="00D9182E"/>
    <w:rsid w:val="00D92410"/>
    <w:rsid w:val="00D924F8"/>
    <w:rsid w:val="00D92607"/>
    <w:rsid w:val="00D97DAE"/>
    <w:rsid w:val="00DA0643"/>
    <w:rsid w:val="00DA1917"/>
    <w:rsid w:val="00DA2F4C"/>
    <w:rsid w:val="00DA7913"/>
    <w:rsid w:val="00DA7A18"/>
    <w:rsid w:val="00DA7F05"/>
    <w:rsid w:val="00DB229F"/>
    <w:rsid w:val="00DB316F"/>
    <w:rsid w:val="00DB3A54"/>
    <w:rsid w:val="00DB3C00"/>
    <w:rsid w:val="00DB4869"/>
    <w:rsid w:val="00DB4FCD"/>
    <w:rsid w:val="00DB61BE"/>
    <w:rsid w:val="00DB6D63"/>
    <w:rsid w:val="00DB735D"/>
    <w:rsid w:val="00DB7697"/>
    <w:rsid w:val="00DB7DB0"/>
    <w:rsid w:val="00DC01B2"/>
    <w:rsid w:val="00DC19AF"/>
    <w:rsid w:val="00DC2D4D"/>
    <w:rsid w:val="00DC5C64"/>
    <w:rsid w:val="00DC7990"/>
    <w:rsid w:val="00DD4669"/>
    <w:rsid w:val="00DD4B0C"/>
    <w:rsid w:val="00DD5EDA"/>
    <w:rsid w:val="00DD681E"/>
    <w:rsid w:val="00DE238C"/>
    <w:rsid w:val="00DE3D67"/>
    <w:rsid w:val="00DE42A4"/>
    <w:rsid w:val="00DE5568"/>
    <w:rsid w:val="00DE643E"/>
    <w:rsid w:val="00DE66D4"/>
    <w:rsid w:val="00DE68E6"/>
    <w:rsid w:val="00DE7754"/>
    <w:rsid w:val="00DF3371"/>
    <w:rsid w:val="00DF45A8"/>
    <w:rsid w:val="00DF4948"/>
    <w:rsid w:val="00DF4D58"/>
    <w:rsid w:val="00DF7319"/>
    <w:rsid w:val="00E023EE"/>
    <w:rsid w:val="00E02BBA"/>
    <w:rsid w:val="00E02F2D"/>
    <w:rsid w:val="00E03462"/>
    <w:rsid w:val="00E0412D"/>
    <w:rsid w:val="00E06B5F"/>
    <w:rsid w:val="00E10138"/>
    <w:rsid w:val="00E125BE"/>
    <w:rsid w:val="00E1406B"/>
    <w:rsid w:val="00E15B38"/>
    <w:rsid w:val="00E17546"/>
    <w:rsid w:val="00E21190"/>
    <w:rsid w:val="00E22E59"/>
    <w:rsid w:val="00E23CB7"/>
    <w:rsid w:val="00E23F1C"/>
    <w:rsid w:val="00E26035"/>
    <w:rsid w:val="00E26775"/>
    <w:rsid w:val="00E26EF0"/>
    <w:rsid w:val="00E26F75"/>
    <w:rsid w:val="00E27585"/>
    <w:rsid w:val="00E3041F"/>
    <w:rsid w:val="00E31E71"/>
    <w:rsid w:val="00E320C1"/>
    <w:rsid w:val="00E32306"/>
    <w:rsid w:val="00E331B5"/>
    <w:rsid w:val="00E34D95"/>
    <w:rsid w:val="00E374C3"/>
    <w:rsid w:val="00E4026D"/>
    <w:rsid w:val="00E41BFD"/>
    <w:rsid w:val="00E4311C"/>
    <w:rsid w:val="00E43668"/>
    <w:rsid w:val="00E45572"/>
    <w:rsid w:val="00E455F9"/>
    <w:rsid w:val="00E457F8"/>
    <w:rsid w:val="00E52DB1"/>
    <w:rsid w:val="00E5552A"/>
    <w:rsid w:val="00E60346"/>
    <w:rsid w:val="00E62C29"/>
    <w:rsid w:val="00E653EA"/>
    <w:rsid w:val="00E6687B"/>
    <w:rsid w:val="00E670A6"/>
    <w:rsid w:val="00E737B8"/>
    <w:rsid w:val="00E7416C"/>
    <w:rsid w:val="00E753E6"/>
    <w:rsid w:val="00E80D33"/>
    <w:rsid w:val="00E81DF6"/>
    <w:rsid w:val="00E82233"/>
    <w:rsid w:val="00E822CC"/>
    <w:rsid w:val="00E90C22"/>
    <w:rsid w:val="00E91F69"/>
    <w:rsid w:val="00E930A7"/>
    <w:rsid w:val="00E94C38"/>
    <w:rsid w:val="00EA0A95"/>
    <w:rsid w:val="00EA5ACF"/>
    <w:rsid w:val="00EA6ACB"/>
    <w:rsid w:val="00EA6C3F"/>
    <w:rsid w:val="00EA721B"/>
    <w:rsid w:val="00EA7688"/>
    <w:rsid w:val="00EA7CA8"/>
    <w:rsid w:val="00EB0237"/>
    <w:rsid w:val="00EB036E"/>
    <w:rsid w:val="00EB0B6F"/>
    <w:rsid w:val="00EB14AA"/>
    <w:rsid w:val="00EB1A45"/>
    <w:rsid w:val="00EB2FF1"/>
    <w:rsid w:val="00EB4331"/>
    <w:rsid w:val="00EB5B48"/>
    <w:rsid w:val="00EB787C"/>
    <w:rsid w:val="00EB799D"/>
    <w:rsid w:val="00EC0F87"/>
    <w:rsid w:val="00EC0FB4"/>
    <w:rsid w:val="00EC28EF"/>
    <w:rsid w:val="00EC357A"/>
    <w:rsid w:val="00EC3B34"/>
    <w:rsid w:val="00EC3F6A"/>
    <w:rsid w:val="00EC4505"/>
    <w:rsid w:val="00EC5464"/>
    <w:rsid w:val="00EC590E"/>
    <w:rsid w:val="00EC5C10"/>
    <w:rsid w:val="00EC6632"/>
    <w:rsid w:val="00ED01F4"/>
    <w:rsid w:val="00ED4A72"/>
    <w:rsid w:val="00ED526C"/>
    <w:rsid w:val="00ED55E1"/>
    <w:rsid w:val="00ED649C"/>
    <w:rsid w:val="00ED6EAC"/>
    <w:rsid w:val="00EE03E3"/>
    <w:rsid w:val="00EE1F28"/>
    <w:rsid w:val="00EE2891"/>
    <w:rsid w:val="00EE392C"/>
    <w:rsid w:val="00EE6158"/>
    <w:rsid w:val="00EE7521"/>
    <w:rsid w:val="00EF1FA4"/>
    <w:rsid w:val="00EF5FE5"/>
    <w:rsid w:val="00EF6E35"/>
    <w:rsid w:val="00F01246"/>
    <w:rsid w:val="00F02255"/>
    <w:rsid w:val="00F119F9"/>
    <w:rsid w:val="00F12438"/>
    <w:rsid w:val="00F147FD"/>
    <w:rsid w:val="00F164B6"/>
    <w:rsid w:val="00F20DCE"/>
    <w:rsid w:val="00F22C6D"/>
    <w:rsid w:val="00F246FD"/>
    <w:rsid w:val="00F24C1C"/>
    <w:rsid w:val="00F25D20"/>
    <w:rsid w:val="00F268D3"/>
    <w:rsid w:val="00F275E3"/>
    <w:rsid w:val="00F27AF3"/>
    <w:rsid w:val="00F30D12"/>
    <w:rsid w:val="00F31344"/>
    <w:rsid w:val="00F319C0"/>
    <w:rsid w:val="00F31A43"/>
    <w:rsid w:val="00F34947"/>
    <w:rsid w:val="00F3597C"/>
    <w:rsid w:val="00F365ED"/>
    <w:rsid w:val="00F4001E"/>
    <w:rsid w:val="00F41237"/>
    <w:rsid w:val="00F42A36"/>
    <w:rsid w:val="00F457F1"/>
    <w:rsid w:val="00F47266"/>
    <w:rsid w:val="00F4764E"/>
    <w:rsid w:val="00F52FFF"/>
    <w:rsid w:val="00F5433A"/>
    <w:rsid w:val="00F54EBA"/>
    <w:rsid w:val="00F555DE"/>
    <w:rsid w:val="00F55FAD"/>
    <w:rsid w:val="00F56538"/>
    <w:rsid w:val="00F6027F"/>
    <w:rsid w:val="00F609E3"/>
    <w:rsid w:val="00F630CA"/>
    <w:rsid w:val="00F63BD9"/>
    <w:rsid w:val="00F66639"/>
    <w:rsid w:val="00F703B3"/>
    <w:rsid w:val="00F71C72"/>
    <w:rsid w:val="00F72F30"/>
    <w:rsid w:val="00F7310D"/>
    <w:rsid w:val="00F738A4"/>
    <w:rsid w:val="00F74A47"/>
    <w:rsid w:val="00F76294"/>
    <w:rsid w:val="00F80081"/>
    <w:rsid w:val="00F8022E"/>
    <w:rsid w:val="00F809AF"/>
    <w:rsid w:val="00F80F49"/>
    <w:rsid w:val="00F818AD"/>
    <w:rsid w:val="00F826AE"/>
    <w:rsid w:val="00F83A7D"/>
    <w:rsid w:val="00F83E59"/>
    <w:rsid w:val="00F84256"/>
    <w:rsid w:val="00F854BB"/>
    <w:rsid w:val="00F875CF"/>
    <w:rsid w:val="00F926C7"/>
    <w:rsid w:val="00F93CF7"/>
    <w:rsid w:val="00F94C87"/>
    <w:rsid w:val="00F9588A"/>
    <w:rsid w:val="00FA03D4"/>
    <w:rsid w:val="00FA0B4A"/>
    <w:rsid w:val="00FA1362"/>
    <w:rsid w:val="00FA3224"/>
    <w:rsid w:val="00FA3C8D"/>
    <w:rsid w:val="00FA3D3D"/>
    <w:rsid w:val="00FA74BF"/>
    <w:rsid w:val="00FB00F1"/>
    <w:rsid w:val="00FB1228"/>
    <w:rsid w:val="00FB1AF1"/>
    <w:rsid w:val="00FB2CA8"/>
    <w:rsid w:val="00FB3101"/>
    <w:rsid w:val="00FB3C73"/>
    <w:rsid w:val="00FB3CE1"/>
    <w:rsid w:val="00FB3D3A"/>
    <w:rsid w:val="00FB45FA"/>
    <w:rsid w:val="00FB5EF1"/>
    <w:rsid w:val="00FC033B"/>
    <w:rsid w:val="00FC0B45"/>
    <w:rsid w:val="00FC31F5"/>
    <w:rsid w:val="00FC4D4E"/>
    <w:rsid w:val="00FD105E"/>
    <w:rsid w:val="00FD1787"/>
    <w:rsid w:val="00FD5B08"/>
    <w:rsid w:val="00FD5E7C"/>
    <w:rsid w:val="00FE079C"/>
    <w:rsid w:val="00FE3334"/>
    <w:rsid w:val="00FE4F17"/>
    <w:rsid w:val="00FE5621"/>
    <w:rsid w:val="00FE742C"/>
    <w:rsid w:val="00FF1A1A"/>
    <w:rsid w:val="00FF38C5"/>
    <w:rsid w:val="00FF3AD0"/>
    <w:rsid w:val="00FF40B7"/>
    <w:rsid w:val="00FF4BB1"/>
    <w:rsid w:val="00FF5E35"/>
    <w:rsid w:val="00FF7392"/>
    <w:rsid w:val="00FF77A4"/>
    <w:rsid w:val="00FF7B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45ED05B"/>
  <w15:docId w15:val="{B8043527-1E29-47BD-A48C-567A55A3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NASLOV"/>
    <w:basedOn w:val="Normal"/>
    <w:next w:val="Normal"/>
    <w:link w:val="Heading1Char"/>
    <w:autoRedefine/>
    <w:uiPriority w:val="9"/>
    <w:qFormat/>
    <w:rsid w:val="00CF509A"/>
    <w:pPr>
      <w:keepNext/>
      <w:spacing w:before="240" w:after="60" w:line="260" w:lineRule="exact"/>
      <w:outlineLvl w:val="0"/>
    </w:pPr>
    <w:rPr>
      <w:rFonts w:ascii="Arial" w:eastAsia="Times New Roman" w:hAnsi="Arial" w:cs="Arial"/>
      <w:b/>
      <w:color w:val="4472C4"/>
      <w:kern w:val="32"/>
      <w:sz w:val="24"/>
      <w:szCs w:val="24"/>
      <w:lang w:eastAsia="sl-SI"/>
    </w:rPr>
  </w:style>
  <w:style w:type="paragraph" w:styleId="Heading2">
    <w:name w:val="heading 2"/>
    <w:basedOn w:val="Normal"/>
    <w:next w:val="Normal"/>
    <w:link w:val="Heading2Char"/>
    <w:uiPriority w:val="9"/>
    <w:unhideWhenUsed/>
    <w:qFormat/>
    <w:rsid w:val="009235F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35F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Char"/>
    <w:link w:val="Heading1"/>
    <w:uiPriority w:val="9"/>
    <w:rsid w:val="00CF509A"/>
    <w:rPr>
      <w:rFonts w:ascii="Arial" w:eastAsia="Times New Roman" w:hAnsi="Arial" w:cs="Arial"/>
      <w:b/>
      <w:color w:val="4472C4"/>
      <w:kern w:val="32"/>
      <w:sz w:val="24"/>
      <w:szCs w:val="24"/>
    </w:rPr>
  </w:style>
  <w:style w:type="character" w:customStyle="1" w:styleId="Heading2Char">
    <w:name w:val="Heading 2 Char"/>
    <w:link w:val="Heading2"/>
    <w:uiPriority w:val="9"/>
    <w:rsid w:val="009235F6"/>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9235F6"/>
    <w:rPr>
      <w:rFonts w:ascii="Cambria" w:eastAsia="Times New Roman" w:hAnsi="Cambria" w:cs="Times New Roman"/>
      <w:b/>
      <w:bCs/>
      <w:sz w:val="26"/>
      <w:szCs w:val="26"/>
      <w:lang w:eastAsia="en-US"/>
    </w:rPr>
  </w:style>
  <w:style w:type="paragraph" w:styleId="Header">
    <w:name w:val="header"/>
    <w:basedOn w:val="Normal"/>
    <w:link w:val="HeaderChar"/>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HeaderChar">
    <w:name w:val="Header Char"/>
    <w:link w:val="Header"/>
    <w:uiPriority w:val="99"/>
    <w:rsid w:val="00107ED0"/>
    <w:rPr>
      <w:rFonts w:ascii="Arial" w:eastAsia="Times New Roman" w:hAnsi="Arial"/>
      <w:szCs w:val="24"/>
      <w:lang w:eastAsia="en-US"/>
    </w:rPr>
  </w:style>
  <w:style w:type="paragraph" w:styleId="Footer">
    <w:name w:val="footer"/>
    <w:basedOn w:val="Normal"/>
    <w:link w:val="FooterChar"/>
    <w:uiPriority w:val="99"/>
    <w:rsid w:val="00107ED0"/>
    <w:pPr>
      <w:tabs>
        <w:tab w:val="center" w:pos="4320"/>
        <w:tab w:val="right" w:pos="8640"/>
      </w:tabs>
      <w:spacing w:after="0" w:line="260" w:lineRule="exact"/>
    </w:pPr>
    <w:rPr>
      <w:rFonts w:ascii="Arial" w:eastAsia="Times New Roman" w:hAnsi="Arial"/>
      <w:sz w:val="20"/>
      <w:szCs w:val="24"/>
    </w:rPr>
  </w:style>
  <w:style w:type="character" w:customStyle="1" w:styleId="FooterChar">
    <w:name w:val="Footer Char"/>
    <w:link w:val="Footer"/>
    <w:uiPriority w:val="99"/>
    <w:rsid w:val="00107ED0"/>
    <w:rPr>
      <w:rFonts w:ascii="Arial" w:eastAsia="Times New Roman" w:hAnsi="Arial"/>
      <w:szCs w:val="24"/>
      <w:lang w:eastAsia="en-US"/>
    </w:rPr>
  </w:style>
  <w:style w:type="paragraph" w:styleId="DocumentMap">
    <w:name w:val="Document Map"/>
    <w:basedOn w:val="Normal"/>
    <w:link w:val="DocumentMapChar"/>
    <w:rsid w:val="00107ED0"/>
    <w:pPr>
      <w:spacing w:after="0" w:line="260" w:lineRule="exact"/>
    </w:pPr>
    <w:rPr>
      <w:rFonts w:ascii="Tahoma" w:eastAsia="Times New Roman" w:hAnsi="Tahoma" w:cs="Tahoma"/>
      <w:sz w:val="16"/>
      <w:szCs w:val="16"/>
    </w:rPr>
  </w:style>
  <w:style w:type="character" w:customStyle="1" w:styleId="DocumentMapChar">
    <w:name w:val="Document Map Char"/>
    <w:link w:val="DocumentMap"/>
    <w:rsid w:val="00107ED0"/>
    <w:rPr>
      <w:rFonts w:ascii="Tahoma" w:eastAsia="Times New Roman" w:hAnsi="Tahoma" w:cs="Tahoma"/>
      <w:sz w:val="16"/>
      <w:szCs w:val="16"/>
      <w:lang w:eastAsia="en-US"/>
    </w:rPr>
  </w:style>
  <w:style w:type="table" w:styleId="TableGrid">
    <w:name w:val="Table Grid"/>
    <w:basedOn w:val="TableNormal"/>
    <w:uiPriority w:val="5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uiPriority w:val="99"/>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ormal"/>
    <w:uiPriority w:val="99"/>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yperlink">
    <w:name w:val="Hyperlink"/>
    <w:uiPriority w:val="99"/>
    <w:rsid w:val="00107ED0"/>
    <w:rPr>
      <w:color w:val="0000FF"/>
      <w:u w:val="single"/>
    </w:rPr>
  </w:style>
  <w:style w:type="paragraph" w:customStyle="1" w:styleId="podpisi">
    <w:name w:val="podpisi"/>
    <w:basedOn w:val="Normal"/>
    <w:uiPriority w:val="99"/>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ormal"/>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ormal"/>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uiPriority w:val="99"/>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uiPriority w:val="99"/>
    <w:rsid w:val="00107ED0"/>
    <w:rPr>
      <w:rFonts w:ascii="Arial" w:eastAsia="Times New Roman" w:hAnsi="Arial" w:cs="Arial"/>
      <w:sz w:val="22"/>
      <w:szCs w:val="22"/>
    </w:rPr>
  </w:style>
  <w:style w:type="paragraph" w:customStyle="1" w:styleId="Oddelek">
    <w:name w:val="Oddelek"/>
    <w:basedOn w:val="Normal"/>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ormal"/>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PageNumber">
    <w:name w:val="page number"/>
    <w:rsid w:val="00107ED0"/>
  </w:style>
  <w:style w:type="paragraph" w:styleId="FootnoteText">
    <w:name w:val="footnote text"/>
    <w:basedOn w:val="Normal"/>
    <w:link w:val="FootnoteTextChar"/>
    <w:uiPriority w:val="99"/>
    <w:rsid w:val="00107ED0"/>
    <w:pPr>
      <w:spacing w:after="0" w:line="260" w:lineRule="exact"/>
    </w:pPr>
    <w:rPr>
      <w:rFonts w:ascii="Arial" w:eastAsia="Times New Roman" w:hAnsi="Arial"/>
      <w:sz w:val="20"/>
      <w:szCs w:val="20"/>
    </w:rPr>
  </w:style>
  <w:style w:type="character" w:customStyle="1" w:styleId="FootnoteTextChar">
    <w:name w:val="Footnote Text Char"/>
    <w:link w:val="FootnoteText"/>
    <w:uiPriority w:val="99"/>
    <w:rsid w:val="00107ED0"/>
    <w:rPr>
      <w:rFonts w:ascii="Arial" w:eastAsia="Times New Roman" w:hAnsi="Arial"/>
      <w:lang w:eastAsia="en-US"/>
    </w:rPr>
  </w:style>
  <w:style w:type="character" w:styleId="FootnoteReference">
    <w:name w:val="footnote reference"/>
    <w:uiPriority w:val="99"/>
    <w:rsid w:val="00107ED0"/>
    <w:rPr>
      <w:vertAlign w:val="superscript"/>
    </w:rPr>
  </w:style>
  <w:style w:type="character" w:styleId="CommentReference">
    <w:name w:val="annotation reference"/>
    <w:uiPriority w:val="99"/>
    <w:semiHidden/>
    <w:rsid w:val="00107ED0"/>
    <w:rPr>
      <w:sz w:val="16"/>
      <w:szCs w:val="16"/>
    </w:rPr>
  </w:style>
  <w:style w:type="paragraph" w:styleId="CommentText">
    <w:name w:val="annotation text"/>
    <w:basedOn w:val="Normal"/>
    <w:link w:val="CommentTextChar"/>
    <w:uiPriority w:val="99"/>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CommentTextChar">
    <w:name w:val="Comment Text Char"/>
    <w:link w:val="CommentText"/>
    <w:uiPriority w:val="99"/>
    <w:semiHidden/>
    <w:rsid w:val="00107ED0"/>
    <w:rPr>
      <w:rFonts w:ascii="Times New Roman" w:eastAsia="Times New Roman" w:hAnsi="Times New Roman"/>
      <w:lang w:eastAsia="en-US"/>
    </w:rPr>
  </w:style>
  <w:style w:type="paragraph" w:styleId="BalloonText">
    <w:name w:val="Balloon Text"/>
    <w:basedOn w:val="Normal"/>
    <w:link w:val="BalloonTextChar"/>
    <w:uiPriority w:val="99"/>
    <w:semiHidden/>
    <w:rsid w:val="00107ED0"/>
    <w:pPr>
      <w:spacing w:after="0" w:line="260" w:lineRule="exact"/>
    </w:pPr>
    <w:rPr>
      <w:rFonts w:ascii="Tahoma" w:eastAsia="Times New Roman" w:hAnsi="Tahoma" w:cs="Tahoma"/>
      <w:sz w:val="16"/>
      <w:szCs w:val="16"/>
    </w:rPr>
  </w:style>
  <w:style w:type="character" w:customStyle="1" w:styleId="BalloonTextChar">
    <w:name w:val="Balloon Text Char"/>
    <w:link w:val="BalloonText"/>
    <w:uiPriority w:val="99"/>
    <w:semiHidden/>
    <w:rsid w:val="00107ED0"/>
    <w:rPr>
      <w:rFonts w:ascii="Tahoma" w:eastAsia="Times New Roman" w:hAnsi="Tahoma" w:cs="Tahoma"/>
      <w:sz w:val="16"/>
      <w:szCs w:val="16"/>
      <w:lang w:eastAsia="en-US"/>
    </w:rPr>
  </w:style>
  <w:style w:type="paragraph" w:customStyle="1" w:styleId="Par-number1">
    <w:name w:val="Par-number 1."/>
    <w:basedOn w:val="Normal"/>
    <w:next w:val="Normal"/>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ListParagraph">
    <w:name w:val="List Paragraph"/>
    <w:basedOn w:val="Normal"/>
    <w:link w:val="ListParagraphChar"/>
    <w:uiPriority w:val="99"/>
    <w:qFormat/>
    <w:rsid w:val="00107ED0"/>
    <w:pPr>
      <w:spacing w:after="0" w:line="240" w:lineRule="auto"/>
      <w:ind w:left="708"/>
    </w:pPr>
    <w:rPr>
      <w:rFonts w:ascii="Times New Roman" w:eastAsia="Times New Roman" w:hAnsi="Times New Roman"/>
      <w:sz w:val="24"/>
      <w:szCs w:val="24"/>
      <w:lang w:eastAsia="sl-SI"/>
    </w:rPr>
  </w:style>
  <w:style w:type="character" w:customStyle="1" w:styleId="ListParagraphChar">
    <w:name w:val="List Paragraph Char"/>
    <w:link w:val="ListParagraph"/>
    <w:uiPriority w:val="34"/>
    <w:rsid w:val="00770F58"/>
    <w:rPr>
      <w:rFonts w:ascii="Times New Roman" w:eastAsia="Times New Roman" w:hAnsi="Times New Roman"/>
      <w:sz w:val="24"/>
      <w:szCs w:val="24"/>
    </w:rPr>
  </w:style>
  <w:style w:type="paragraph" w:customStyle="1" w:styleId="Par-numberi">
    <w:name w:val="Par-number (i)"/>
    <w:basedOn w:val="Normal"/>
    <w:next w:val="Normal"/>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CommentSubject">
    <w:name w:val="annotation subject"/>
    <w:basedOn w:val="CommentText"/>
    <w:next w:val="CommentText"/>
    <w:link w:val="CommentSubjectChar"/>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CommentSubjectChar">
    <w:name w:val="Comment Subject Char"/>
    <w:link w:val="CommentSubject"/>
    <w:uiPriority w:val="99"/>
    <w:semiHidden/>
    <w:rsid w:val="00107ED0"/>
    <w:rPr>
      <w:rFonts w:ascii="Arial" w:eastAsia="Times New Roman" w:hAnsi="Arial"/>
      <w:b/>
      <w:bCs/>
      <w:lang w:eastAsia="en-US"/>
    </w:rPr>
  </w:style>
  <w:style w:type="paragraph" w:customStyle="1" w:styleId="Odstavek">
    <w:name w:val="Odstavek"/>
    <w:basedOn w:val="Normal"/>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ormal"/>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ormal"/>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ormal"/>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ormal"/>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BodyTextIndent">
    <w:name w:val="Body Text Indent"/>
    <w:basedOn w:val="Normal"/>
    <w:link w:val="BodyTextIndentChar"/>
    <w:rsid w:val="00AA3C9A"/>
    <w:pPr>
      <w:spacing w:after="120" w:line="260" w:lineRule="atLeast"/>
      <w:ind w:left="283"/>
    </w:pPr>
    <w:rPr>
      <w:rFonts w:ascii="Arial" w:eastAsia="Times New Roman" w:hAnsi="Arial"/>
      <w:sz w:val="20"/>
      <w:szCs w:val="24"/>
      <w:lang w:val="en-US"/>
    </w:rPr>
  </w:style>
  <w:style w:type="character" w:customStyle="1" w:styleId="BodyTextIndentChar">
    <w:name w:val="Body Text Indent Char"/>
    <w:link w:val="BodyTextIndent"/>
    <w:rsid w:val="00AA3C9A"/>
    <w:rPr>
      <w:rFonts w:ascii="Arial" w:eastAsia="Times New Roman" w:hAnsi="Arial"/>
      <w:szCs w:val="24"/>
      <w:lang w:val="en-US" w:eastAsia="en-US"/>
    </w:rPr>
  </w:style>
  <w:style w:type="paragraph" w:styleId="NoSpacing">
    <w:name w:val="No Spacing"/>
    <w:uiPriority w:val="1"/>
    <w:qFormat/>
    <w:rsid w:val="00081276"/>
    <w:rPr>
      <w:sz w:val="22"/>
      <w:szCs w:val="22"/>
      <w:lang w:eastAsia="en-US"/>
    </w:rPr>
  </w:style>
  <w:style w:type="paragraph" w:styleId="Revision">
    <w:name w:val="Revision"/>
    <w:hidden/>
    <w:uiPriority w:val="99"/>
    <w:semiHidden/>
    <w:rsid w:val="00725430"/>
    <w:rPr>
      <w:sz w:val="22"/>
      <w:szCs w:val="22"/>
      <w:lang w:eastAsia="en-US"/>
    </w:rPr>
  </w:style>
  <w:style w:type="paragraph" w:customStyle="1" w:styleId="FURSNavaden">
    <w:name w:val="FURS Navaden"/>
    <w:basedOn w:val="Normal"/>
    <w:link w:val="FURSNavadenZnak"/>
    <w:qFormat/>
    <w:rsid w:val="003E2A34"/>
    <w:pPr>
      <w:spacing w:after="0" w:line="260" w:lineRule="atLeast"/>
      <w:jc w:val="both"/>
    </w:pPr>
    <w:rPr>
      <w:rFonts w:ascii="Arial" w:hAnsi="Arial"/>
      <w:sz w:val="20"/>
      <w:szCs w:val="24"/>
      <w:lang w:eastAsia="sl-SI"/>
    </w:rPr>
  </w:style>
  <w:style w:type="character" w:customStyle="1" w:styleId="FURSNavadenZnak">
    <w:name w:val="FURS Navaden Znak"/>
    <w:link w:val="FURSNavaden"/>
    <w:rsid w:val="003E2A34"/>
    <w:rPr>
      <w:rFonts w:ascii="Arial" w:hAnsi="Arial"/>
      <w:szCs w:val="24"/>
    </w:rPr>
  </w:style>
  <w:style w:type="table" w:customStyle="1" w:styleId="Tabela-mrea1">
    <w:name w:val="Tabela - mreža1"/>
    <w:basedOn w:val="TableNormal"/>
    <w:next w:val="TableGrid"/>
    <w:uiPriority w:val="59"/>
    <w:rsid w:val="00E66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uiPriority w:val="59"/>
    <w:rsid w:val="00E66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F32C0"/>
    <w:rPr>
      <w:b/>
      <w:bCs/>
    </w:rPr>
  </w:style>
  <w:style w:type="paragraph" w:styleId="EndnoteText">
    <w:name w:val="endnote text"/>
    <w:basedOn w:val="Normal"/>
    <w:link w:val="EndnoteTextChar"/>
    <w:uiPriority w:val="99"/>
    <w:semiHidden/>
    <w:unhideWhenUsed/>
    <w:rsid w:val="000C4AFF"/>
    <w:rPr>
      <w:sz w:val="20"/>
      <w:szCs w:val="20"/>
    </w:rPr>
  </w:style>
  <w:style w:type="character" w:customStyle="1" w:styleId="EndnoteTextChar">
    <w:name w:val="Endnote Text Char"/>
    <w:link w:val="EndnoteText"/>
    <w:uiPriority w:val="99"/>
    <w:semiHidden/>
    <w:rsid w:val="000C4AFF"/>
    <w:rPr>
      <w:lang w:eastAsia="en-US"/>
    </w:rPr>
  </w:style>
  <w:style w:type="character" w:styleId="EndnoteReference">
    <w:name w:val="endnote reference"/>
    <w:uiPriority w:val="99"/>
    <w:semiHidden/>
    <w:unhideWhenUsed/>
    <w:rsid w:val="000C4AFF"/>
    <w:rPr>
      <w:vertAlign w:val="superscript"/>
    </w:rPr>
  </w:style>
  <w:style w:type="paragraph" w:customStyle="1" w:styleId="Default">
    <w:name w:val="Default"/>
    <w:rsid w:val="005F3E8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rsid w:val="00E4026D"/>
    <w:pPr>
      <w:spacing w:after="0" w:line="240" w:lineRule="auto"/>
    </w:pPr>
    <w:rPr>
      <w:rFonts w:ascii="Arial" w:eastAsia="Times New Roman" w:hAnsi="Arial"/>
      <w:sz w:val="24"/>
      <w:szCs w:val="24"/>
      <w:lang w:val="en-US"/>
    </w:rPr>
  </w:style>
  <w:style w:type="character" w:customStyle="1" w:styleId="BodyTextChar">
    <w:name w:val="Body Text Char"/>
    <w:basedOn w:val="DefaultParagraphFont"/>
    <w:link w:val="BodyText"/>
    <w:uiPriority w:val="99"/>
    <w:rsid w:val="00E4026D"/>
    <w:rPr>
      <w:rFonts w:ascii="Arial" w:eastAsia="Times New Roman" w:hAnsi="Arial"/>
      <w:sz w:val="24"/>
      <w:szCs w:val="24"/>
      <w:lang w:val="en-US" w:eastAsia="en-US"/>
    </w:rPr>
  </w:style>
  <w:style w:type="paragraph" w:customStyle="1" w:styleId="odstavek1">
    <w:name w:val="odstavek1"/>
    <w:basedOn w:val="Normal"/>
    <w:rsid w:val="00E4026D"/>
    <w:pPr>
      <w:spacing w:before="240" w:after="0" w:line="240" w:lineRule="auto"/>
      <w:ind w:firstLine="1021"/>
      <w:jc w:val="both"/>
    </w:pPr>
    <w:rPr>
      <w:rFonts w:ascii="Arial" w:eastAsia="Times New Roman" w:hAnsi="Arial" w:cs="Arial"/>
      <w:lang w:eastAsia="sl-SI"/>
    </w:rPr>
  </w:style>
  <w:style w:type="paragraph" w:customStyle="1" w:styleId="tevilnatoka1">
    <w:name w:val="tevilnatoka1"/>
    <w:basedOn w:val="Normal"/>
    <w:rsid w:val="00E4026D"/>
    <w:pPr>
      <w:spacing w:after="0" w:line="240" w:lineRule="auto"/>
      <w:ind w:left="425" w:hanging="425"/>
      <w:jc w:val="both"/>
    </w:pPr>
    <w:rPr>
      <w:rFonts w:ascii="Arial" w:eastAsia="Times New Roman" w:hAnsi="Arial" w:cs="Arial"/>
      <w:lang w:eastAsia="sl-SI"/>
    </w:rPr>
  </w:style>
  <w:style w:type="paragraph" w:customStyle="1" w:styleId="alineazaodstavkom1">
    <w:name w:val="alineazaodstavkom1"/>
    <w:basedOn w:val="Normal"/>
    <w:rsid w:val="00E4026D"/>
    <w:pPr>
      <w:spacing w:after="0" w:line="240" w:lineRule="auto"/>
      <w:ind w:left="425" w:hanging="425"/>
      <w:jc w:val="both"/>
    </w:pPr>
    <w:rPr>
      <w:rFonts w:ascii="Arial" w:eastAsia="Times New Roman" w:hAnsi="Arial" w:cs="Arial"/>
      <w:lang w:eastAsia="sl-SI"/>
    </w:rPr>
  </w:style>
  <w:style w:type="paragraph" w:styleId="BodyText2">
    <w:name w:val="Body Text 2"/>
    <w:basedOn w:val="Normal"/>
    <w:link w:val="BodyText2Char"/>
    <w:uiPriority w:val="99"/>
    <w:unhideWhenUsed/>
    <w:rsid w:val="00E4026D"/>
    <w:pPr>
      <w:spacing w:after="120" w:line="480" w:lineRule="auto"/>
    </w:pPr>
    <w:rPr>
      <w:rFonts w:ascii="Arial" w:eastAsia="Times New Roman" w:hAnsi="Arial"/>
      <w:sz w:val="20"/>
      <w:szCs w:val="24"/>
      <w:lang w:val="en-US"/>
    </w:rPr>
  </w:style>
  <w:style w:type="character" w:customStyle="1" w:styleId="BodyText2Char">
    <w:name w:val="Body Text 2 Char"/>
    <w:basedOn w:val="DefaultParagraphFont"/>
    <w:link w:val="BodyText2"/>
    <w:uiPriority w:val="99"/>
    <w:rsid w:val="00E4026D"/>
    <w:rPr>
      <w:rFonts w:ascii="Arial" w:eastAsia="Times New Roman" w:hAnsi="Arial"/>
      <w:szCs w:val="24"/>
      <w:lang w:val="en-US" w:eastAsia="en-US"/>
    </w:rPr>
  </w:style>
  <w:style w:type="paragraph" w:styleId="TOCHeading">
    <w:name w:val="TOC Heading"/>
    <w:basedOn w:val="Heading1"/>
    <w:next w:val="Normal"/>
    <w:uiPriority w:val="39"/>
    <w:unhideWhenUsed/>
    <w:qFormat/>
    <w:rsid w:val="00E4026D"/>
    <w:pPr>
      <w:keepLines/>
      <w:spacing w:after="0" w:line="259" w:lineRule="auto"/>
      <w:outlineLvl w:val="9"/>
    </w:pPr>
    <w:rPr>
      <w:rFonts w:ascii="Cambria" w:hAnsi="Cambria" w:cs="Times New Roman"/>
      <w:b w:val="0"/>
      <w:color w:val="365F91"/>
      <w:kern w:val="0"/>
      <w:sz w:val="32"/>
      <w:lang w:val="en-US" w:eastAsia="en-US"/>
    </w:rPr>
  </w:style>
  <w:style w:type="paragraph" w:styleId="TOC1">
    <w:name w:val="toc 1"/>
    <w:basedOn w:val="Normal"/>
    <w:next w:val="Normal"/>
    <w:autoRedefine/>
    <w:uiPriority w:val="39"/>
    <w:unhideWhenUsed/>
    <w:rsid w:val="00E4026D"/>
    <w:pPr>
      <w:spacing w:after="100" w:line="260" w:lineRule="atLeast"/>
    </w:pPr>
    <w:rPr>
      <w:rFonts w:ascii="Arial" w:eastAsia="Times New Roman" w:hAnsi="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8165">
      <w:bodyDiv w:val="1"/>
      <w:marLeft w:val="0"/>
      <w:marRight w:val="0"/>
      <w:marTop w:val="0"/>
      <w:marBottom w:val="0"/>
      <w:divBdr>
        <w:top w:val="none" w:sz="0" w:space="0" w:color="auto"/>
        <w:left w:val="none" w:sz="0" w:space="0" w:color="auto"/>
        <w:bottom w:val="none" w:sz="0" w:space="0" w:color="auto"/>
        <w:right w:val="none" w:sz="0" w:space="0" w:color="auto"/>
      </w:divBdr>
    </w:div>
    <w:div w:id="27874907">
      <w:bodyDiv w:val="1"/>
      <w:marLeft w:val="0"/>
      <w:marRight w:val="0"/>
      <w:marTop w:val="0"/>
      <w:marBottom w:val="0"/>
      <w:divBdr>
        <w:top w:val="none" w:sz="0" w:space="0" w:color="auto"/>
        <w:left w:val="none" w:sz="0" w:space="0" w:color="auto"/>
        <w:bottom w:val="none" w:sz="0" w:space="0" w:color="auto"/>
        <w:right w:val="none" w:sz="0" w:space="0" w:color="auto"/>
      </w:divBdr>
    </w:div>
    <w:div w:id="86732151">
      <w:bodyDiv w:val="1"/>
      <w:marLeft w:val="0"/>
      <w:marRight w:val="0"/>
      <w:marTop w:val="0"/>
      <w:marBottom w:val="0"/>
      <w:divBdr>
        <w:top w:val="none" w:sz="0" w:space="0" w:color="auto"/>
        <w:left w:val="none" w:sz="0" w:space="0" w:color="auto"/>
        <w:bottom w:val="none" w:sz="0" w:space="0" w:color="auto"/>
        <w:right w:val="none" w:sz="0" w:space="0" w:color="auto"/>
      </w:divBdr>
    </w:div>
    <w:div w:id="89546840">
      <w:bodyDiv w:val="1"/>
      <w:marLeft w:val="0"/>
      <w:marRight w:val="0"/>
      <w:marTop w:val="0"/>
      <w:marBottom w:val="0"/>
      <w:divBdr>
        <w:top w:val="none" w:sz="0" w:space="0" w:color="auto"/>
        <w:left w:val="none" w:sz="0" w:space="0" w:color="auto"/>
        <w:bottom w:val="none" w:sz="0" w:space="0" w:color="auto"/>
        <w:right w:val="none" w:sz="0" w:space="0" w:color="auto"/>
      </w:divBdr>
    </w:div>
    <w:div w:id="115685005">
      <w:bodyDiv w:val="1"/>
      <w:marLeft w:val="0"/>
      <w:marRight w:val="0"/>
      <w:marTop w:val="0"/>
      <w:marBottom w:val="0"/>
      <w:divBdr>
        <w:top w:val="none" w:sz="0" w:space="0" w:color="auto"/>
        <w:left w:val="none" w:sz="0" w:space="0" w:color="auto"/>
        <w:bottom w:val="none" w:sz="0" w:space="0" w:color="auto"/>
        <w:right w:val="none" w:sz="0" w:space="0" w:color="auto"/>
      </w:divBdr>
    </w:div>
    <w:div w:id="118689793">
      <w:bodyDiv w:val="1"/>
      <w:marLeft w:val="0"/>
      <w:marRight w:val="0"/>
      <w:marTop w:val="0"/>
      <w:marBottom w:val="0"/>
      <w:divBdr>
        <w:top w:val="none" w:sz="0" w:space="0" w:color="auto"/>
        <w:left w:val="none" w:sz="0" w:space="0" w:color="auto"/>
        <w:bottom w:val="none" w:sz="0" w:space="0" w:color="auto"/>
        <w:right w:val="none" w:sz="0" w:space="0" w:color="auto"/>
      </w:divBdr>
    </w:div>
    <w:div w:id="169301908">
      <w:bodyDiv w:val="1"/>
      <w:marLeft w:val="0"/>
      <w:marRight w:val="0"/>
      <w:marTop w:val="0"/>
      <w:marBottom w:val="0"/>
      <w:divBdr>
        <w:top w:val="none" w:sz="0" w:space="0" w:color="auto"/>
        <w:left w:val="none" w:sz="0" w:space="0" w:color="auto"/>
        <w:bottom w:val="none" w:sz="0" w:space="0" w:color="auto"/>
        <w:right w:val="none" w:sz="0" w:space="0" w:color="auto"/>
      </w:divBdr>
    </w:div>
    <w:div w:id="180170708">
      <w:bodyDiv w:val="1"/>
      <w:marLeft w:val="0"/>
      <w:marRight w:val="0"/>
      <w:marTop w:val="0"/>
      <w:marBottom w:val="0"/>
      <w:divBdr>
        <w:top w:val="none" w:sz="0" w:space="0" w:color="auto"/>
        <w:left w:val="none" w:sz="0" w:space="0" w:color="auto"/>
        <w:bottom w:val="none" w:sz="0" w:space="0" w:color="auto"/>
        <w:right w:val="none" w:sz="0" w:space="0" w:color="auto"/>
      </w:divBdr>
    </w:div>
    <w:div w:id="200558850">
      <w:bodyDiv w:val="1"/>
      <w:marLeft w:val="0"/>
      <w:marRight w:val="0"/>
      <w:marTop w:val="0"/>
      <w:marBottom w:val="0"/>
      <w:divBdr>
        <w:top w:val="none" w:sz="0" w:space="0" w:color="auto"/>
        <w:left w:val="none" w:sz="0" w:space="0" w:color="auto"/>
        <w:bottom w:val="none" w:sz="0" w:space="0" w:color="auto"/>
        <w:right w:val="none" w:sz="0" w:space="0" w:color="auto"/>
      </w:divBdr>
    </w:div>
    <w:div w:id="216165801">
      <w:bodyDiv w:val="1"/>
      <w:marLeft w:val="0"/>
      <w:marRight w:val="0"/>
      <w:marTop w:val="0"/>
      <w:marBottom w:val="0"/>
      <w:divBdr>
        <w:top w:val="none" w:sz="0" w:space="0" w:color="auto"/>
        <w:left w:val="none" w:sz="0" w:space="0" w:color="auto"/>
        <w:bottom w:val="none" w:sz="0" w:space="0" w:color="auto"/>
        <w:right w:val="none" w:sz="0" w:space="0" w:color="auto"/>
      </w:divBdr>
    </w:div>
    <w:div w:id="226577008">
      <w:bodyDiv w:val="1"/>
      <w:marLeft w:val="0"/>
      <w:marRight w:val="0"/>
      <w:marTop w:val="0"/>
      <w:marBottom w:val="0"/>
      <w:divBdr>
        <w:top w:val="none" w:sz="0" w:space="0" w:color="auto"/>
        <w:left w:val="none" w:sz="0" w:space="0" w:color="auto"/>
        <w:bottom w:val="none" w:sz="0" w:space="0" w:color="auto"/>
        <w:right w:val="none" w:sz="0" w:space="0" w:color="auto"/>
      </w:divBdr>
    </w:div>
    <w:div w:id="232470987">
      <w:bodyDiv w:val="1"/>
      <w:marLeft w:val="0"/>
      <w:marRight w:val="0"/>
      <w:marTop w:val="0"/>
      <w:marBottom w:val="0"/>
      <w:divBdr>
        <w:top w:val="none" w:sz="0" w:space="0" w:color="auto"/>
        <w:left w:val="none" w:sz="0" w:space="0" w:color="auto"/>
        <w:bottom w:val="none" w:sz="0" w:space="0" w:color="auto"/>
        <w:right w:val="none" w:sz="0" w:space="0" w:color="auto"/>
      </w:divBdr>
    </w:div>
    <w:div w:id="246571967">
      <w:bodyDiv w:val="1"/>
      <w:marLeft w:val="0"/>
      <w:marRight w:val="0"/>
      <w:marTop w:val="0"/>
      <w:marBottom w:val="0"/>
      <w:divBdr>
        <w:top w:val="none" w:sz="0" w:space="0" w:color="auto"/>
        <w:left w:val="none" w:sz="0" w:space="0" w:color="auto"/>
        <w:bottom w:val="none" w:sz="0" w:space="0" w:color="auto"/>
        <w:right w:val="none" w:sz="0" w:space="0" w:color="auto"/>
      </w:divBdr>
    </w:div>
    <w:div w:id="252396122">
      <w:bodyDiv w:val="1"/>
      <w:marLeft w:val="0"/>
      <w:marRight w:val="0"/>
      <w:marTop w:val="0"/>
      <w:marBottom w:val="0"/>
      <w:divBdr>
        <w:top w:val="none" w:sz="0" w:space="0" w:color="auto"/>
        <w:left w:val="none" w:sz="0" w:space="0" w:color="auto"/>
        <w:bottom w:val="none" w:sz="0" w:space="0" w:color="auto"/>
        <w:right w:val="none" w:sz="0" w:space="0" w:color="auto"/>
      </w:divBdr>
    </w:div>
    <w:div w:id="352461892">
      <w:bodyDiv w:val="1"/>
      <w:marLeft w:val="0"/>
      <w:marRight w:val="0"/>
      <w:marTop w:val="0"/>
      <w:marBottom w:val="0"/>
      <w:divBdr>
        <w:top w:val="none" w:sz="0" w:space="0" w:color="auto"/>
        <w:left w:val="none" w:sz="0" w:space="0" w:color="auto"/>
        <w:bottom w:val="none" w:sz="0" w:space="0" w:color="auto"/>
        <w:right w:val="none" w:sz="0" w:space="0" w:color="auto"/>
      </w:divBdr>
    </w:div>
    <w:div w:id="363557673">
      <w:bodyDiv w:val="1"/>
      <w:marLeft w:val="0"/>
      <w:marRight w:val="0"/>
      <w:marTop w:val="0"/>
      <w:marBottom w:val="0"/>
      <w:divBdr>
        <w:top w:val="none" w:sz="0" w:space="0" w:color="auto"/>
        <w:left w:val="none" w:sz="0" w:space="0" w:color="auto"/>
        <w:bottom w:val="none" w:sz="0" w:space="0" w:color="auto"/>
        <w:right w:val="none" w:sz="0" w:space="0" w:color="auto"/>
      </w:divBdr>
    </w:div>
    <w:div w:id="375391545">
      <w:bodyDiv w:val="1"/>
      <w:marLeft w:val="0"/>
      <w:marRight w:val="0"/>
      <w:marTop w:val="0"/>
      <w:marBottom w:val="0"/>
      <w:divBdr>
        <w:top w:val="none" w:sz="0" w:space="0" w:color="auto"/>
        <w:left w:val="none" w:sz="0" w:space="0" w:color="auto"/>
        <w:bottom w:val="none" w:sz="0" w:space="0" w:color="auto"/>
        <w:right w:val="none" w:sz="0" w:space="0" w:color="auto"/>
      </w:divBdr>
    </w:div>
    <w:div w:id="417138373">
      <w:bodyDiv w:val="1"/>
      <w:marLeft w:val="0"/>
      <w:marRight w:val="0"/>
      <w:marTop w:val="0"/>
      <w:marBottom w:val="0"/>
      <w:divBdr>
        <w:top w:val="none" w:sz="0" w:space="0" w:color="auto"/>
        <w:left w:val="none" w:sz="0" w:space="0" w:color="auto"/>
        <w:bottom w:val="none" w:sz="0" w:space="0" w:color="auto"/>
        <w:right w:val="none" w:sz="0" w:space="0" w:color="auto"/>
      </w:divBdr>
    </w:div>
    <w:div w:id="427703772">
      <w:bodyDiv w:val="1"/>
      <w:marLeft w:val="0"/>
      <w:marRight w:val="0"/>
      <w:marTop w:val="0"/>
      <w:marBottom w:val="0"/>
      <w:divBdr>
        <w:top w:val="none" w:sz="0" w:space="0" w:color="auto"/>
        <w:left w:val="none" w:sz="0" w:space="0" w:color="auto"/>
        <w:bottom w:val="none" w:sz="0" w:space="0" w:color="auto"/>
        <w:right w:val="none" w:sz="0" w:space="0" w:color="auto"/>
      </w:divBdr>
    </w:div>
    <w:div w:id="454954449">
      <w:bodyDiv w:val="1"/>
      <w:marLeft w:val="0"/>
      <w:marRight w:val="0"/>
      <w:marTop w:val="0"/>
      <w:marBottom w:val="0"/>
      <w:divBdr>
        <w:top w:val="none" w:sz="0" w:space="0" w:color="auto"/>
        <w:left w:val="none" w:sz="0" w:space="0" w:color="auto"/>
        <w:bottom w:val="none" w:sz="0" w:space="0" w:color="auto"/>
        <w:right w:val="none" w:sz="0" w:space="0" w:color="auto"/>
      </w:divBdr>
    </w:div>
    <w:div w:id="481506370">
      <w:bodyDiv w:val="1"/>
      <w:marLeft w:val="0"/>
      <w:marRight w:val="0"/>
      <w:marTop w:val="0"/>
      <w:marBottom w:val="0"/>
      <w:divBdr>
        <w:top w:val="none" w:sz="0" w:space="0" w:color="auto"/>
        <w:left w:val="none" w:sz="0" w:space="0" w:color="auto"/>
        <w:bottom w:val="none" w:sz="0" w:space="0" w:color="auto"/>
        <w:right w:val="none" w:sz="0" w:space="0" w:color="auto"/>
      </w:divBdr>
    </w:div>
    <w:div w:id="491335551">
      <w:bodyDiv w:val="1"/>
      <w:marLeft w:val="0"/>
      <w:marRight w:val="0"/>
      <w:marTop w:val="0"/>
      <w:marBottom w:val="0"/>
      <w:divBdr>
        <w:top w:val="none" w:sz="0" w:space="0" w:color="auto"/>
        <w:left w:val="none" w:sz="0" w:space="0" w:color="auto"/>
        <w:bottom w:val="none" w:sz="0" w:space="0" w:color="auto"/>
        <w:right w:val="none" w:sz="0" w:space="0" w:color="auto"/>
      </w:divBdr>
    </w:div>
    <w:div w:id="502933755">
      <w:bodyDiv w:val="1"/>
      <w:marLeft w:val="0"/>
      <w:marRight w:val="0"/>
      <w:marTop w:val="0"/>
      <w:marBottom w:val="0"/>
      <w:divBdr>
        <w:top w:val="none" w:sz="0" w:space="0" w:color="auto"/>
        <w:left w:val="none" w:sz="0" w:space="0" w:color="auto"/>
        <w:bottom w:val="none" w:sz="0" w:space="0" w:color="auto"/>
        <w:right w:val="none" w:sz="0" w:space="0" w:color="auto"/>
      </w:divBdr>
    </w:div>
    <w:div w:id="503328137">
      <w:bodyDiv w:val="1"/>
      <w:marLeft w:val="0"/>
      <w:marRight w:val="0"/>
      <w:marTop w:val="0"/>
      <w:marBottom w:val="0"/>
      <w:divBdr>
        <w:top w:val="none" w:sz="0" w:space="0" w:color="auto"/>
        <w:left w:val="none" w:sz="0" w:space="0" w:color="auto"/>
        <w:bottom w:val="none" w:sz="0" w:space="0" w:color="auto"/>
        <w:right w:val="none" w:sz="0" w:space="0" w:color="auto"/>
      </w:divBdr>
    </w:div>
    <w:div w:id="519241752">
      <w:bodyDiv w:val="1"/>
      <w:marLeft w:val="0"/>
      <w:marRight w:val="0"/>
      <w:marTop w:val="0"/>
      <w:marBottom w:val="0"/>
      <w:divBdr>
        <w:top w:val="none" w:sz="0" w:space="0" w:color="auto"/>
        <w:left w:val="none" w:sz="0" w:space="0" w:color="auto"/>
        <w:bottom w:val="none" w:sz="0" w:space="0" w:color="auto"/>
        <w:right w:val="none" w:sz="0" w:space="0" w:color="auto"/>
      </w:divBdr>
    </w:div>
    <w:div w:id="527062938">
      <w:bodyDiv w:val="1"/>
      <w:marLeft w:val="0"/>
      <w:marRight w:val="0"/>
      <w:marTop w:val="0"/>
      <w:marBottom w:val="0"/>
      <w:divBdr>
        <w:top w:val="none" w:sz="0" w:space="0" w:color="auto"/>
        <w:left w:val="none" w:sz="0" w:space="0" w:color="auto"/>
        <w:bottom w:val="none" w:sz="0" w:space="0" w:color="auto"/>
        <w:right w:val="none" w:sz="0" w:space="0" w:color="auto"/>
      </w:divBdr>
    </w:div>
    <w:div w:id="527916771">
      <w:bodyDiv w:val="1"/>
      <w:marLeft w:val="0"/>
      <w:marRight w:val="0"/>
      <w:marTop w:val="0"/>
      <w:marBottom w:val="0"/>
      <w:divBdr>
        <w:top w:val="none" w:sz="0" w:space="0" w:color="auto"/>
        <w:left w:val="none" w:sz="0" w:space="0" w:color="auto"/>
        <w:bottom w:val="none" w:sz="0" w:space="0" w:color="auto"/>
        <w:right w:val="none" w:sz="0" w:space="0" w:color="auto"/>
      </w:divBdr>
    </w:div>
    <w:div w:id="528104699">
      <w:bodyDiv w:val="1"/>
      <w:marLeft w:val="0"/>
      <w:marRight w:val="0"/>
      <w:marTop w:val="0"/>
      <w:marBottom w:val="0"/>
      <w:divBdr>
        <w:top w:val="none" w:sz="0" w:space="0" w:color="auto"/>
        <w:left w:val="none" w:sz="0" w:space="0" w:color="auto"/>
        <w:bottom w:val="none" w:sz="0" w:space="0" w:color="auto"/>
        <w:right w:val="none" w:sz="0" w:space="0" w:color="auto"/>
      </w:divBdr>
    </w:div>
    <w:div w:id="537396394">
      <w:bodyDiv w:val="1"/>
      <w:marLeft w:val="0"/>
      <w:marRight w:val="0"/>
      <w:marTop w:val="0"/>
      <w:marBottom w:val="0"/>
      <w:divBdr>
        <w:top w:val="none" w:sz="0" w:space="0" w:color="auto"/>
        <w:left w:val="none" w:sz="0" w:space="0" w:color="auto"/>
        <w:bottom w:val="none" w:sz="0" w:space="0" w:color="auto"/>
        <w:right w:val="none" w:sz="0" w:space="0" w:color="auto"/>
      </w:divBdr>
    </w:div>
    <w:div w:id="559556396">
      <w:bodyDiv w:val="1"/>
      <w:marLeft w:val="0"/>
      <w:marRight w:val="0"/>
      <w:marTop w:val="0"/>
      <w:marBottom w:val="0"/>
      <w:divBdr>
        <w:top w:val="none" w:sz="0" w:space="0" w:color="auto"/>
        <w:left w:val="none" w:sz="0" w:space="0" w:color="auto"/>
        <w:bottom w:val="none" w:sz="0" w:space="0" w:color="auto"/>
        <w:right w:val="none" w:sz="0" w:space="0" w:color="auto"/>
      </w:divBdr>
    </w:div>
    <w:div w:id="576476371">
      <w:bodyDiv w:val="1"/>
      <w:marLeft w:val="0"/>
      <w:marRight w:val="0"/>
      <w:marTop w:val="0"/>
      <w:marBottom w:val="0"/>
      <w:divBdr>
        <w:top w:val="none" w:sz="0" w:space="0" w:color="auto"/>
        <w:left w:val="none" w:sz="0" w:space="0" w:color="auto"/>
        <w:bottom w:val="none" w:sz="0" w:space="0" w:color="auto"/>
        <w:right w:val="none" w:sz="0" w:space="0" w:color="auto"/>
      </w:divBdr>
    </w:div>
    <w:div w:id="598610616">
      <w:bodyDiv w:val="1"/>
      <w:marLeft w:val="0"/>
      <w:marRight w:val="0"/>
      <w:marTop w:val="0"/>
      <w:marBottom w:val="0"/>
      <w:divBdr>
        <w:top w:val="none" w:sz="0" w:space="0" w:color="auto"/>
        <w:left w:val="none" w:sz="0" w:space="0" w:color="auto"/>
        <w:bottom w:val="none" w:sz="0" w:space="0" w:color="auto"/>
        <w:right w:val="none" w:sz="0" w:space="0" w:color="auto"/>
      </w:divBdr>
    </w:div>
    <w:div w:id="606814846">
      <w:bodyDiv w:val="1"/>
      <w:marLeft w:val="0"/>
      <w:marRight w:val="0"/>
      <w:marTop w:val="0"/>
      <w:marBottom w:val="0"/>
      <w:divBdr>
        <w:top w:val="none" w:sz="0" w:space="0" w:color="auto"/>
        <w:left w:val="none" w:sz="0" w:space="0" w:color="auto"/>
        <w:bottom w:val="none" w:sz="0" w:space="0" w:color="auto"/>
        <w:right w:val="none" w:sz="0" w:space="0" w:color="auto"/>
      </w:divBdr>
    </w:div>
    <w:div w:id="608585354">
      <w:bodyDiv w:val="1"/>
      <w:marLeft w:val="0"/>
      <w:marRight w:val="0"/>
      <w:marTop w:val="0"/>
      <w:marBottom w:val="0"/>
      <w:divBdr>
        <w:top w:val="none" w:sz="0" w:space="0" w:color="auto"/>
        <w:left w:val="none" w:sz="0" w:space="0" w:color="auto"/>
        <w:bottom w:val="none" w:sz="0" w:space="0" w:color="auto"/>
        <w:right w:val="none" w:sz="0" w:space="0" w:color="auto"/>
      </w:divBdr>
    </w:div>
    <w:div w:id="626590917">
      <w:bodyDiv w:val="1"/>
      <w:marLeft w:val="0"/>
      <w:marRight w:val="0"/>
      <w:marTop w:val="0"/>
      <w:marBottom w:val="0"/>
      <w:divBdr>
        <w:top w:val="none" w:sz="0" w:space="0" w:color="auto"/>
        <w:left w:val="none" w:sz="0" w:space="0" w:color="auto"/>
        <w:bottom w:val="none" w:sz="0" w:space="0" w:color="auto"/>
        <w:right w:val="none" w:sz="0" w:space="0" w:color="auto"/>
      </w:divBdr>
    </w:div>
    <w:div w:id="635376254">
      <w:bodyDiv w:val="1"/>
      <w:marLeft w:val="0"/>
      <w:marRight w:val="0"/>
      <w:marTop w:val="0"/>
      <w:marBottom w:val="0"/>
      <w:divBdr>
        <w:top w:val="none" w:sz="0" w:space="0" w:color="auto"/>
        <w:left w:val="none" w:sz="0" w:space="0" w:color="auto"/>
        <w:bottom w:val="none" w:sz="0" w:space="0" w:color="auto"/>
        <w:right w:val="none" w:sz="0" w:space="0" w:color="auto"/>
      </w:divBdr>
    </w:div>
    <w:div w:id="636564793">
      <w:bodyDiv w:val="1"/>
      <w:marLeft w:val="0"/>
      <w:marRight w:val="0"/>
      <w:marTop w:val="0"/>
      <w:marBottom w:val="0"/>
      <w:divBdr>
        <w:top w:val="none" w:sz="0" w:space="0" w:color="auto"/>
        <w:left w:val="none" w:sz="0" w:space="0" w:color="auto"/>
        <w:bottom w:val="none" w:sz="0" w:space="0" w:color="auto"/>
        <w:right w:val="none" w:sz="0" w:space="0" w:color="auto"/>
      </w:divBdr>
    </w:div>
    <w:div w:id="652023321">
      <w:bodyDiv w:val="1"/>
      <w:marLeft w:val="0"/>
      <w:marRight w:val="0"/>
      <w:marTop w:val="0"/>
      <w:marBottom w:val="0"/>
      <w:divBdr>
        <w:top w:val="none" w:sz="0" w:space="0" w:color="auto"/>
        <w:left w:val="none" w:sz="0" w:space="0" w:color="auto"/>
        <w:bottom w:val="none" w:sz="0" w:space="0" w:color="auto"/>
        <w:right w:val="none" w:sz="0" w:space="0" w:color="auto"/>
      </w:divBdr>
    </w:div>
    <w:div w:id="652374276">
      <w:bodyDiv w:val="1"/>
      <w:marLeft w:val="0"/>
      <w:marRight w:val="0"/>
      <w:marTop w:val="0"/>
      <w:marBottom w:val="0"/>
      <w:divBdr>
        <w:top w:val="none" w:sz="0" w:space="0" w:color="auto"/>
        <w:left w:val="none" w:sz="0" w:space="0" w:color="auto"/>
        <w:bottom w:val="none" w:sz="0" w:space="0" w:color="auto"/>
        <w:right w:val="none" w:sz="0" w:space="0" w:color="auto"/>
      </w:divBdr>
    </w:div>
    <w:div w:id="678508134">
      <w:bodyDiv w:val="1"/>
      <w:marLeft w:val="0"/>
      <w:marRight w:val="0"/>
      <w:marTop w:val="0"/>
      <w:marBottom w:val="0"/>
      <w:divBdr>
        <w:top w:val="none" w:sz="0" w:space="0" w:color="auto"/>
        <w:left w:val="none" w:sz="0" w:space="0" w:color="auto"/>
        <w:bottom w:val="none" w:sz="0" w:space="0" w:color="auto"/>
        <w:right w:val="none" w:sz="0" w:space="0" w:color="auto"/>
      </w:divBdr>
    </w:div>
    <w:div w:id="766313925">
      <w:bodyDiv w:val="1"/>
      <w:marLeft w:val="0"/>
      <w:marRight w:val="0"/>
      <w:marTop w:val="0"/>
      <w:marBottom w:val="0"/>
      <w:divBdr>
        <w:top w:val="none" w:sz="0" w:space="0" w:color="auto"/>
        <w:left w:val="none" w:sz="0" w:space="0" w:color="auto"/>
        <w:bottom w:val="none" w:sz="0" w:space="0" w:color="auto"/>
        <w:right w:val="none" w:sz="0" w:space="0" w:color="auto"/>
      </w:divBdr>
    </w:div>
    <w:div w:id="778765679">
      <w:bodyDiv w:val="1"/>
      <w:marLeft w:val="0"/>
      <w:marRight w:val="0"/>
      <w:marTop w:val="0"/>
      <w:marBottom w:val="0"/>
      <w:divBdr>
        <w:top w:val="none" w:sz="0" w:space="0" w:color="auto"/>
        <w:left w:val="none" w:sz="0" w:space="0" w:color="auto"/>
        <w:bottom w:val="none" w:sz="0" w:space="0" w:color="auto"/>
        <w:right w:val="none" w:sz="0" w:space="0" w:color="auto"/>
      </w:divBdr>
    </w:div>
    <w:div w:id="787703364">
      <w:bodyDiv w:val="1"/>
      <w:marLeft w:val="0"/>
      <w:marRight w:val="0"/>
      <w:marTop w:val="0"/>
      <w:marBottom w:val="0"/>
      <w:divBdr>
        <w:top w:val="none" w:sz="0" w:space="0" w:color="auto"/>
        <w:left w:val="none" w:sz="0" w:space="0" w:color="auto"/>
        <w:bottom w:val="none" w:sz="0" w:space="0" w:color="auto"/>
        <w:right w:val="none" w:sz="0" w:space="0" w:color="auto"/>
      </w:divBdr>
    </w:div>
    <w:div w:id="802384352">
      <w:bodyDiv w:val="1"/>
      <w:marLeft w:val="0"/>
      <w:marRight w:val="0"/>
      <w:marTop w:val="0"/>
      <w:marBottom w:val="0"/>
      <w:divBdr>
        <w:top w:val="none" w:sz="0" w:space="0" w:color="auto"/>
        <w:left w:val="none" w:sz="0" w:space="0" w:color="auto"/>
        <w:bottom w:val="none" w:sz="0" w:space="0" w:color="auto"/>
        <w:right w:val="none" w:sz="0" w:space="0" w:color="auto"/>
      </w:divBdr>
    </w:div>
    <w:div w:id="831607364">
      <w:bodyDiv w:val="1"/>
      <w:marLeft w:val="0"/>
      <w:marRight w:val="0"/>
      <w:marTop w:val="0"/>
      <w:marBottom w:val="0"/>
      <w:divBdr>
        <w:top w:val="none" w:sz="0" w:space="0" w:color="auto"/>
        <w:left w:val="none" w:sz="0" w:space="0" w:color="auto"/>
        <w:bottom w:val="none" w:sz="0" w:space="0" w:color="auto"/>
        <w:right w:val="none" w:sz="0" w:space="0" w:color="auto"/>
      </w:divBdr>
    </w:div>
    <w:div w:id="835337623">
      <w:bodyDiv w:val="1"/>
      <w:marLeft w:val="0"/>
      <w:marRight w:val="0"/>
      <w:marTop w:val="0"/>
      <w:marBottom w:val="0"/>
      <w:divBdr>
        <w:top w:val="none" w:sz="0" w:space="0" w:color="auto"/>
        <w:left w:val="none" w:sz="0" w:space="0" w:color="auto"/>
        <w:bottom w:val="none" w:sz="0" w:space="0" w:color="auto"/>
        <w:right w:val="none" w:sz="0" w:space="0" w:color="auto"/>
      </w:divBdr>
    </w:div>
    <w:div w:id="857692481">
      <w:bodyDiv w:val="1"/>
      <w:marLeft w:val="0"/>
      <w:marRight w:val="0"/>
      <w:marTop w:val="0"/>
      <w:marBottom w:val="0"/>
      <w:divBdr>
        <w:top w:val="none" w:sz="0" w:space="0" w:color="auto"/>
        <w:left w:val="none" w:sz="0" w:space="0" w:color="auto"/>
        <w:bottom w:val="none" w:sz="0" w:space="0" w:color="auto"/>
        <w:right w:val="none" w:sz="0" w:space="0" w:color="auto"/>
      </w:divBdr>
    </w:div>
    <w:div w:id="857693657">
      <w:bodyDiv w:val="1"/>
      <w:marLeft w:val="0"/>
      <w:marRight w:val="0"/>
      <w:marTop w:val="0"/>
      <w:marBottom w:val="0"/>
      <w:divBdr>
        <w:top w:val="none" w:sz="0" w:space="0" w:color="auto"/>
        <w:left w:val="none" w:sz="0" w:space="0" w:color="auto"/>
        <w:bottom w:val="none" w:sz="0" w:space="0" w:color="auto"/>
        <w:right w:val="none" w:sz="0" w:space="0" w:color="auto"/>
      </w:divBdr>
    </w:div>
    <w:div w:id="872041006">
      <w:bodyDiv w:val="1"/>
      <w:marLeft w:val="0"/>
      <w:marRight w:val="0"/>
      <w:marTop w:val="0"/>
      <w:marBottom w:val="0"/>
      <w:divBdr>
        <w:top w:val="none" w:sz="0" w:space="0" w:color="auto"/>
        <w:left w:val="none" w:sz="0" w:space="0" w:color="auto"/>
        <w:bottom w:val="none" w:sz="0" w:space="0" w:color="auto"/>
        <w:right w:val="none" w:sz="0" w:space="0" w:color="auto"/>
      </w:divBdr>
    </w:div>
    <w:div w:id="888999507">
      <w:bodyDiv w:val="1"/>
      <w:marLeft w:val="0"/>
      <w:marRight w:val="0"/>
      <w:marTop w:val="0"/>
      <w:marBottom w:val="0"/>
      <w:divBdr>
        <w:top w:val="none" w:sz="0" w:space="0" w:color="auto"/>
        <w:left w:val="none" w:sz="0" w:space="0" w:color="auto"/>
        <w:bottom w:val="none" w:sz="0" w:space="0" w:color="auto"/>
        <w:right w:val="none" w:sz="0" w:space="0" w:color="auto"/>
      </w:divBdr>
    </w:div>
    <w:div w:id="943463244">
      <w:bodyDiv w:val="1"/>
      <w:marLeft w:val="0"/>
      <w:marRight w:val="0"/>
      <w:marTop w:val="0"/>
      <w:marBottom w:val="0"/>
      <w:divBdr>
        <w:top w:val="none" w:sz="0" w:space="0" w:color="auto"/>
        <w:left w:val="none" w:sz="0" w:space="0" w:color="auto"/>
        <w:bottom w:val="none" w:sz="0" w:space="0" w:color="auto"/>
        <w:right w:val="none" w:sz="0" w:space="0" w:color="auto"/>
      </w:divBdr>
    </w:div>
    <w:div w:id="958684197">
      <w:bodyDiv w:val="1"/>
      <w:marLeft w:val="0"/>
      <w:marRight w:val="0"/>
      <w:marTop w:val="0"/>
      <w:marBottom w:val="0"/>
      <w:divBdr>
        <w:top w:val="none" w:sz="0" w:space="0" w:color="auto"/>
        <w:left w:val="none" w:sz="0" w:space="0" w:color="auto"/>
        <w:bottom w:val="none" w:sz="0" w:space="0" w:color="auto"/>
        <w:right w:val="none" w:sz="0" w:space="0" w:color="auto"/>
      </w:divBdr>
    </w:div>
    <w:div w:id="959189552">
      <w:bodyDiv w:val="1"/>
      <w:marLeft w:val="0"/>
      <w:marRight w:val="0"/>
      <w:marTop w:val="0"/>
      <w:marBottom w:val="0"/>
      <w:divBdr>
        <w:top w:val="none" w:sz="0" w:space="0" w:color="auto"/>
        <w:left w:val="none" w:sz="0" w:space="0" w:color="auto"/>
        <w:bottom w:val="none" w:sz="0" w:space="0" w:color="auto"/>
        <w:right w:val="none" w:sz="0" w:space="0" w:color="auto"/>
      </w:divBdr>
    </w:div>
    <w:div w:id="971445385">
      <w:bodyDiv w:val="1"/>
      <w:marLeft w:val="0"/>
      <w:marRight w:val="0"/>
      <w:marTop w:val="0"/>
      <w:marBottom w:val="0"/>
      <w:divBdr>
        <w:top w:val="none" w:sz="0" w:space="0" w:color="auto"/>
        <w:left w:val="none" w:sz="0" w:space="0" w:color="auto"/>
        <w:bottom w:val="none" w:sz="0" w:space="0" w:color="auto"/>
        <w:right w:val="none" w:sz="0" w:space="0" w:color="auto"/>
      </w:divBdr>
    </w:div>
    <w:div w:id="980961462">
      <w:bodyDiv w:val="1"/>
      <w:marLeft w:val="0"/>
      <w:marRight w:val="0"/>
      <w:marTop w:val="0"/>
      <w:marBottom w:val="0"/>
      <w:divBdr>
        <w:top w:val="none" w:sz="0" w:space="0" w:color="auto"/>
        <w:left w:val="none" w:sz="0" w:space="0" w:color="auto"/>
        <w:bottom w:val="none" w:sz="0" w:space="0" w:color="auto"/>
        <w:right w:val="none" w:sz="0" w:space="0" w:color="auto"/>
      </w:divBdr>
    </w:div>
    <w:div w:id="981957328">
      <w:bodyDiv w:val="1"/>
      <w:marLeft w:val="0"/>
      <w:marRight w:val="0"/>
      <w:marTop w:val="0"/>
      <w:marBottom w:val="0"/>
      <w:divBdr>
        <w:top w:val="none" w:sz="0" w:space="0" w:color="auto"/>
        <w:left w:val="none" w:sz="0" w:space="0" w:color="auto"/>
        <w:bottom w:val="none" w:sz="0" w:space="0" w:color="auto"/>
        <w:right w:val="none" w:sz="0" w:space="0" w:color="auto"/>
      </w:divBdr>
    </w:div>
    <w:div w:id="992611322">
      <w:bodyDiv w:val="1"/>
      <w:marLeft w:val="0"/>
      <w:marRight w:val="0"/>
      <w:marTop w:val="0"/>
      <w:marBottom w:val="0"/>
      <w:divBdr>
        <w:top w:val="none" w:sz="0" w:space="0" w:color="auto"/>
        <w:left w:val="none" w:sz="0" w:space="0" w:color="auto"/>
        <w:bottom w:val="none" w:sz="0" w:space="0" w:color="auto"/>
        <w:right w:val="none" w:sz="0" w:space="0" w:color="auto"/>
      </w:divBdr>
    </w:div>
    <w:div w:id="1031299582">
      <w:bodyDiv w:val="1"/>
      <w:marLeft w:val="0"/>
      <w:marRight w:val="0"/>
      <w:marTop w:val="0"/>
      <w:marBottom w:val="0"/>
      <w:divBdr>
        <w:top w:val="none" w:sz="0" w:space="0" w:color="auto"/>
        <w:left w:val="none" w:sz="0" w:space="0" w:color="auto"/>
        <w:bottom w:val="none" w:sz="0" w:space="0" w:color="auto"/>
        <w:right w:val="none" w:sz="0" w:space="0" w:color="auto"/>
      </w:divBdr>
    </w:div>
    <w:div w:id="1032069587">
      <w:bodyDiv w:val="1"/>
      <w:marLeft w:val="0"/>
      <w:marRight w:val="0"/>
      <w:marTop w:val="0"/>
      <w:marBottom w:val="0"/>
      <w:divBdr>
        <w:top w:val="none" w:sz="0" w:space="0" w:color="auto"/>
        <w:left w:val="none" w:sz="0" w:space="0" w:color="auto"/>
        <w:bottom w:val="none" w:sz="0" w:space="0" w:color="auto"/>
        <w:right w:val="none" w:sz="0" w:space="0" w:color="auto"/>
      </w:divBdr>
    </w:div>
    <w:div w:id="1036468845">
      <w:bodyDiv w:val="1"/>
      <w:marLeft w:val="0"/>
      <w:marRight w:val="0"/>
      <w:marTop w:val="0"/>
      <w:marBottom w:val="0"/>
      <w:divBdr>
        <w:top w:val="none" w:sz="0" w:space="0" w:color="auto"/>
        <w:left w:val="none" w:sz="0" w:space="0" w:color="auto"/>
        <w:bottom w:val="none" w:sz="0" w:space="0" w:color="auto"/>
        <w:right w:val="none" w:sz="0" w:space="0" w:color="auto"/>
      </w:divBdr>
    </w:div>
    <w:div w:id="1131437659">
      <w:bodyDiv w:val="1"/>
      <w:marLeft w:val="0"/>
      <w:marRight w:val="0"/>
      <w:marTop w:val="0"/>
      <w:marBottom w:val="0"/>
      <w:divBdr>
        <w:top w:val="none" w:sz="0" w:space="0" w:color="auto"/>
        <w:left w:val="none" w:sz="0" w:space="0" w:color="auto"/>
        <w:bottom w:val="none" w:sz="0" w:space="0" w:color="auto"/>
        <w:right w:val="none" w:sz="0" w:space="0" w:color="auto"/>
      </w:divBdr>
    </w:div>
    <w:div w:id="1132290464">
      <w:bodyDiv w:val="1"/>
      <w:marLeft w:val="0"/>
      <w:marRight w:val="0"/>
      <w:marTop w:val="0"/>
      <w:marBottom w:val="0"/>
      <w:divBdr>
        <w:top w:val="none" w:sz="0" w:space="0" w:color="auto"/>
        <w:left w:val="none" w:sz="0" w:space="0" w:color="auto"/>
        <w:bottom w:val="none" w:sz="0" w:space="0" w:color="auto"/>
        <w:right w:val="none" w:sz="0" w:space="0" w:color="auto"/>
      </w:divBdr>
    </w:div>
    <w:div w:id="1143428712">
      <w:bodyDiv w:val="1"/>
      <w:marLeft w:val="0"/>
      <w:marRight w:val="0"/>
      <w:marTop w:val="0"/>
      <w:marBottom w:val="0"/>
      <w:divBdr>
        <w:top w:val="none" w:sz="0" w:space="0" w:color="auto"/>
        <w:left w:val="none" w:sz="0" w:space="0" w:color="auto"/>
        <w:bottom w:val="none" w:sz="0" w:space="0" w:color="auto"/>
        <w:right w:val="none" w:sz="0" w:space="0" w:color="auto"/>
      </w:divBdr>
    </w:div>
    <w:div w:id="1146093702">
      <w:bodyDiv w:val="1"/>
      <w:marLeft w:val="0"/>
      <w:marRight w:val="0"/>
      <w:marTop w:val="0"/>
      <w:marBottom w:val="0"/>
      <w:divBdr>
        <w:top w:val="none" w:sz="0" w:space="0" w:color="auto"/>
        <w:left w:val="none" w:sz="0" w:space="0" w:color="auto"/>
        <w:bottom w:val="none" w:sz="0" w:space="0" w:color="auto"/>
        <w:right w:val="none" w:sz="0" w:space="0" w:color="auto"/>
      </w:divBdr>
    </w:div>
    <w:div w:id="1198009359">
      <w:bodyDiv w:val="1"/>
      <w:marLeft w:val="0"/>
      <w:marRight w:val="0"/>
      <w:marTop w:val="0"/>
      <w:marBottom w:val="0"/>
      <w:divBdr>
        <w:top w:val="none" w:sz="0" w:space="0" w:color="auto"/>
        <w:left w:val="none" w:sz="0" w:space="0" w:color="auto"/>
        <w:bottom w:val="none" w:sz="0" w:space="0" w:color="auto"/>
        <w:right w:val="none" w:sz="0" w:space="0" w:color="auto"/>
      </w:divBdr>
    </w:div>
    <w:div w:id="1216771353">
      <w:bodyDiv w:val="1"/>
      <w:marLeft w:val="0"/>
      <w:marRight w:val="0"/>
      <w:marTop w:val="0"/>
      <w:marBottom w:val="0"/>
      <w:divBdr>
        <w:top w:val="none" w:sz="0" w:space="0" w:color="auto"/>
        <w:left w:val="none" w:sz="0" w:space="0" w:color="auto"/>
        <w:bottom w:val="none" w:sz="0" w:space="0" w:color="auto"/>
        <w:right w:val="none" w:sz="0" w:space="0" w:color="auto"/>
      </w:divBdr>
    </w:div>
    <w:div w:id="1218321868">
      <w:bodyDiv w:val="1"/>
      <w:marLeft w:val="0"/>
      <w:marRight w:val="0"/>
      <w:marTop w:val="0"/>
      <w:marBottom w:val="0"/>
      <w:divBdr>
        <w:top w:val="none" w:sz="0" w:space="0" w:color="auto"/>
        <w:left w:val="none" w:sz="0" w:space="0" w:color="auto"/>
        <w:bottom w:val="none" w:sz="0" w:space="0" w:color="auto"/>
        <w:right w:val="none" w:sz="0" w:space="0" w:color="auto"/>
      </w:divBdr>
    </w:div>
    <w:div w:id="1241057544">
      <w:bodyDiv w:val="1"/>
      <w:marLeft w:val="0"/>
      <w:marRight w:val="0"/>
      <w:marTop w:val="0"/>
      <w:marBottom w:val="0"/>
      <w:divBdr>
        <w:top w:val="none" w:sz="0" w:space="0" w:color="auto"/>
        <w:left w:val="none" w:sz="0" w:space="0" w:color="auto"/>
        <w:bottom w:val="none" w:sz="0" w:space="0" w:color="auto"/>
        <w:right w:val="none" w:sz="0" w:space="0" w:color="auto"/>
      </w:divBdr>
    </w:div>
    <w:div w:id="1260875388">
      <w:bodyDiv w:val="1"/>
      <w:marLeft w:val="0"/>
      <w:marRight w:val="0"/>
      <w:marTop w:val="0"/>
      <w:marBottom w:val="0"/>
      <w:divBdr>
        <w:top w:val="none" w:sz="0" w:space="0" w:color="auto"/>
        <w:left w:val="none" w:sz="0" w:space="0" w:color="auto"/>
        <w:bottom w:val="none" w:sz="0" w:space="0" w:color="auto"/>
        <w:right w:val="none" w:sz="0" w:space="0" w:color="auto"/>
      </w:divBdr>
    </w:div>
    <w:div w:id="1311516570">
      <w:bodyDiv w:val="1"/>
      <w:marLeft w:val="0"/>
      <w:marRight w:val="0"/>
      <w:marTop w:val="0"/>
      <w:marBottom w:val="0"/>
      <w:divBdr>
        <w:top w:val="none" w:sz="0" w:space="0" w:color="auto"/>
        <w:left w:val="none" w:sz="0" w:space="0" w:color="auto"/>
        <w:bottom w:val="none" w:sz="0" w:space="0" w:color="auto"/>
        <w:right w:val="none" w:sz="0" w:space="0" w:color="auto"/>
      </w:divBdr>
    </w:div>
    <w:div w:id="1381973554">
      <w:bodyDiv w:val="1"/>
      <w:marLeft w:val="0"/>
      <w:marRight w:val="0"/>
      <w:marTop w:val="0"/>
      <w:marBottom w:val="0"/>
      <w:divBdr>
        <w:top w:val="none" w:sz="0" w:space="0" w:color="auto"/>
        <w:left w:val="none" w:sz="0" w:space="0" w:color="auto"/>
        <w:bottom w:val="none" w:sz="0" w:space="0" w:color="auto"/>
        <w:right w:val="none" w:sz="0" w:space="0" w:color="auto"/>
      </w:divBdr>
    </w:div>
    <w:div w:id="1402437304">
      <w:bodyDiv w:val="1"/>
      <w:marLeft w:val="0"/>
      <w:marRight w:val="0"/>
      <w:marTop w:val="0"/>
      <w:marBottom w:val="0"/>
      <w:divBdr>
        <w:top w:val="none" w:sz="0" w:space="0" w:color="auto"/>
        <w:left w:val="none" w:sz="0" w:space="0" w:color="auto"/>
        <w:bottom w:val="none" w:sz="0" w:space="0" w:color="auto"/>
        <w:right w:val="none" w:sz="0" w:space="0" w:color="auto"/>
      </w:divBdr>
    </w:div>
    <w:div w:id="1413968154">
      <w:bodyDiv w:val="1"/>
      <w:marLeft w:val="0"/>
      <w:marRight w:val="0"/>
      <w:marTop w:val="0"/>
      <w:marBottom w:val="0"/>
      <w:divBdr>
        <w:top w:val="none" w:sz="0" w:space="0" w:color="auto"/>
        <w:left w:val="none" w:sz="0" w:space="0" w:color="auto"/>
        <w:bottom w:val="none" w:sz="0" w:space="0" w:color="auto"/>
        <w:right w:val="none" w:sz="0" w:space="0" w:color="auto"/>
      </w:divBdr>
    </w:div>
    <w:div w:id="1494370163">
      <w:bodyDiv w:val="1"/>
      <w:marLeft w:val="0"/>
      <w:marRight w:val="0"/>
      <w:marTop w:val="0"/>
      <w:marBottom w:val="0"/>
      <w:divBdr>
        <w:top w:val="none" w:sz="0" w:space="0" w:color="auto"/>
        <w:left w:val="none" w:sz="0" w:space="0" w:color="auto"/>
        <w:bottom w:val="none" w:sz="0" w:space="0" w:color="auto"/>
        <w:right w:val="none" w:sz="0" w:space="0" w:color="auto"/>
      </w:divBdr>
    </w:div>
    <w:div w:id="1524397216">
      <w:bodyDiv w:val="1"/>
      <w:marLeft w:val="0"/>
      <w:marRight w:val="0"/>
      <w:marTop w:val="0"/>
      <w:marBottom w:val="0"/>
      <w:divBdr>
        <w:top w:val="none" w:sz="0" w:space="0" w:color="auto"/>
        <w:left w:val="none" w:sz="0" w:space="0" w:color="auto"/>
        <w:bottom w:val="none" w:sz="0" w:space="0" w:color="auto"/>
        <w:right w:val="none" w:sz="0" w:space="0" w:color="auto"/>
      </w:divBdr>
    </w:div>
    <w:div w:id="1538813091">
      <w:bodyDiv w:val="1"/>
      <w:marLeft w:val="0"/>
      <w:marRight w:val="0"/>
      <w:marTop w:val="0"/>
      <w:marBottom w:val="0"/>
      <w:divBdr>
        <w:top w:val="none" w:sz="0" w:space="0" w:color="auto"/>
        <w:left w:val="none" w:sz="0" w:space="0" w:color="auto"/>
        <w:bottom w:val="none" w:sz="0" w:space="0" w:color="auto"/>
        <w:right w:val="none" w:sz="0" w:space="0" w:color="auto"/>
      </w:divBdr>
    </w:div>
    <w:div w:id="1544443849">
      <w:bodyDiv w:val="1"/>
      <w:marLeft w:val="0"/>
      <w:marRight w:val="0"/>
      <w:marTop w:val="0"/>
      <w:marBottom w:val="0"/>
      <w:divBdr>
        <w:top w:val="none" w:sz="0" w:space="0" w:color="auto"/>
        <w:left w:val="none" w:sz="0" w:space="0" w:color="auto"/>
        <w:bottom w:val="none" w:sz="0" w:space="0" w:color="auto"/>
        <w:right w:val="none" w:sz="0" w:space="0" w:color="auto"/>
      </w:divBdr>
    </w:div>
    <w:div w:id="1582713555">
      <w:bodyDiv w:val="1"/>
      <w:marLeft w:val="0"/>
      <w:marRight w:val="0"/>
      <w:marTop w:val="0"/>
      <w:marBottom w:val="0"/>
      <w:divBdr>
        <w:top w:val="none" w:sz="0" w:space="0" w:color="auto"/>
        <w:left w:val="none" w:sz="0" w:space="0" w:color="auto"/>
        <w:bottom w:val="none" w:sz="0" w:space="0" w:color="auto"/>
        <w:right w:val="none" w:sz="0" w:space="0" w:color="auto"/>
      </w:divBdr>
    </w:div>
    <w:div w:id="1588072670">
      <w:bodyDiv w:val="1"/>
      <w:marLeft w:val="0"/>
      <w:marRight w:val="0"/>
      <w:marTop w:val="0"/>
      <w:marBottom w:val="0"/>
      <w:divBdr>
        <w:top w:val="none" w:sz="0" w:space="0" w:color="auto"/>
        <w:left w:val="none" w:sz="0" w:space="0" w:color="auto"/>
        <w:bottom w:val="none" w:sz="0" w:space="0" w:color="auto"/>
        <w:right w:val="none" w:sz="0" w:space="0" w:color="auto"/>
      </w:divBdr>
    </w:div>
    <w:div w:id="1592395885">
      <w:bodyDiv w:val="1"/>
      <w:marLeft w:val="0"/>
      <w:marRight w:val="0"/>
      <w:marTop w:val="0"/>
      <w:marBottom w:val="0"/>
      <w:divBdr>
        <w:top w:val="none" w:sz="0" w:space="0" w:color="auto"/>
        <w:left w:val="none" w:sz="0" w:space="0" w:color="auto"/>
        <w:bottom w:val="none" w:sz="0" w:space="0" w:color="auto"/>
        <w:right w:val="none" w:sz="0" w:space="0" w:color="auto"/>
      </w:divBdr>
    </w:div>
    <w:div w:id="1612785915">
      <w:bodyDiv w:val="1"/>
      <w:marLeft w:val="0"/>
      <w:marRight w:val="0"/>
      <w:marTop w:val="0"/>
      <w:marBottom w:val="0"/>
      <w:divBdr>
        <w:top w:val="none" w:sz="0" w:space="0" w:color="auto"/>
        <w:left w:val="none" w:sz="0" w:space="0" w:color="auto"/>
        <w:bottom w:val="none" w:sz="0" w:space="0" w:color="auto"/>
        <w:right w:val="none" w:sz="0" w:space="0" w:color="auto"/>
      </w:divBdr>
    </w:div>
    <w:div w:id="1648588575">
      <w:bodyDiv w:val="1"/>
      <w:marLeft w:val="0"/>
      <w:marRight w:val="0"/>
      <w:marTop w:val="0"/>
      <w:marBottom w:val="0"/>
      <w:divBdr>
        <w:top w:val="none" w:sz="0" w:space="0" w:color="auto"/>
        <w:left w:val="none" w:sz="0" w:space="0" w:color="auto"/>
        <w:bottom w:val="none" w:sz="0" w:space="0" w:color="auto"/>
        <w:right w:val="none" w:sz="0" w:space="0" w:color="auto"/>
      </w:divBdr>
    </w:div>
    <w:div w:id="1650673272">
      <w:bodyDiv w:val="1"/>
      <w:marLeft w:val="0"/>
      <w:marRight w:val="0"/>
      <w:marTop w:val="0"/>
      <w:marBottom w:val="0"/>
      <w:divBdr>
        <w:top w:val="none" w:sz="0" w:space="0" w:color="auto"/>
        <w:left w:val="none" w:sz="0" w:space="0" w:color="auto"/>
        <w:bottom w:val="none" w:sz="0" w:space="0" w:color="auto"/>
        <w:right w:val="none" w:sz="0" w:space="0" w:color="auto"/>
      </w:divBdr>
    </w:div>
    <w:div w:id="1661687917">
      <w:bodyDiv w:val="1"/>
      <w:marLeft w:val="0"/>
      <w:marRight w:val="0"/>
      <w:marTop w:val="0"/>
      <w:marBottom w:val="0"/>
      <w:divBdr>
        <w:top w:val="none" w:sz="0" w:space="0" w:color="auto"/>
        <w:left w:val="none" w:sz="0" w:space="0" w:color="auto"/>
        <w:bottom w:val="none" w:sz="0" w:space="0" w:color="auto"/>
        <w:right w:val="none" w:sz="0" w:space="0" w:color="auto"/>
      </w:divBdr>
    </w:div>
    <w:div w:id="1671299758">
      <w:bodyDiv w:val="1"/>
      <w:marLeft w:val="0"/>
      <w:marRight w:val="0"/>
      <w:marTop w:val="0"/>
      <w:marBottom w:val="0"/>
      <w:divBdr>
        <w:top w:val="none" w:sz="0" w:space="0" w:color="auto"/>
        <w:left w:val="none" w:sz="0" w:space="0" w:color="auto"/>
        <w:bottom w:val="none" w:sz="0" w:space="0" w:color="auto"/>
        <w:right w:val="none" w:sz="0" w:space="0" w:color="auto"/>
      </w:divBdr>
    </w:div>
    <w:div w:id="1686594632">
      <w:bodyDiv w:val="1"/>
      <w:marLeft w:val="0"/>
      <w:marRight w:val="0"/>
      <w:marTop w:val="0"/>
      <w:marBottom w:val="0"/>
      <w:divBdr>
        <w:top w:val="none" w:sz="0" w:space="0" w:color="auto"/>
        <w:left w:val="none" w:sz="0" w:space="0" w:color="auto"/>
        <w:bottom w:val="none" w:sz="0" w:space="0" w:color="auto"/>
        <w:right w:val="none" w:sz="0" w:space="0" w:color="auto"/>
      </w:divBdr>
    </w:div>
    <w:div w:id="1705209994">
      <w:bodyDiv w:val="1"/>
      <w:marLeft w:val="0"/>
      <w:marRight w:val="0"/>
      <w:marTop w:val="0"/>
      <w:marBottom w:val="0"/>
      <w:divBdr>
        <w:top w:val="none" w:sz="0" w:space="0" w:color="auto"/>
        <w:left w:val="none" w:sz="0" w:space="0" w:color="auto"/>
        <w:bottom w:val="none" w:sz="0" w:space="0" w:color="auto"/>
        <w:right w:val="none" w:sz="0" w:space="0" w:color="auto"/>
      </w:divBdr>
    </w:div>
    <w:div w:id="1717004193">
      <w:bodyDiv w:val="1"/>
      <w:marLeft w:val="0"/>
      <w:marRight w:val="0"/>
      <w:marTop w:val="0"/>
      <w:marBottom w:val="0"/>
      <w:divBdr>
        <w:top w:val="none" w:sz="0" w:space="0" w:color="auto"/>
        <w:left w:val="none" w:sz="0" w:space="0" w:color="auto"/>
        <w:bottom w:val="none" w:sz="0" w:space="0" w:color="auto"/>
        <w:right w:val="none" w:sz="0" w:space="0" w:color="auto"/>
      </w:divBdr>
    </w:div>
    <w:div w:id="1726831348">
      <w:bodyDiv w:val="1"/>
      <w:marLeft w:val="0"/>
      <w:marRight w:val="0"/>
      <w:marTop w:val="0"/>
      <w:marBottom w:val="0"/>
      <w:divBdr>
        <w:top w:val="none" w:sz="0" w:space="0" w:color="auto"/>
        <w:left w:val="none" w:sz="0" w:space="0" w:color="auto"/>
        <w:bottom w:val="none" w:sz="0" w:space="0" w:color="auto"/>
        <w:right w:val="none" w:sz="0" w:space="0" w:color="auto"/>
      </w:divBdr>
    </w:div>
    <w:div w:id="1752460136">
      <w:bodyDiv w:val="1"/>
      <w:marLeft w:val="0"/>
      <w:marRight w:val="0"/>
      <w:marTop w:val="0"/>
      <w:marBottom w:val="0"/>
      <w:divBdr>
        <w:top w:val="none" w:sz="0" w:space="0" w:color="auto"/>
        <w:left w:val="none" w:sz="0" w:space="0" w:color="auto"/>
        <w:bottom w:val="none" w:sz="0" w:space="0" w:color="auto"/>
        <w:right w:val="none" w:sz="0" w:space="0" w:color="auto"/>
      </w:divBdr>
    </w:div>
    <w:div w:id="1754204330">
      <w:bodyDiv w:val="1"/>
      <w:marLeft w:val="0"/>
      <w:marRight w:val="0"/>
      <w:marTop w:val="0"/>
      <w:marBottom w:val="0"/>
      <w:divBdr>
        <w:top w:val="none" w:sz="0" w:space="0" w:color="auto"/>
        <w:left w:val="none" w:sz="0" w:space="0" w:color="auto"/>
        <w:bottom w:val="none" w:sz="0" w:space="0" w:color="auto"/>
        <w:right w:val="none" w:sz="0" w:space="0" w:color="auto"/>
      </w:divBdr>
    </w:div>
    <w:div w:id="1756903518">
      <w:bodyDiv w:val="1"/>
      <w:marLeft w:val="0"/>
      <w:marRight w:val="0"/>
      <w:marTop w:val="0"/>
      <w:marBottom w:val="0"/>
      <w:divBdr>
        <w:top w:val="none" w:sz="0" w:space="0" w:color="auto"/>
        <w:left w:val="none" w:sz="0" w:space="0" w:color="auto"/>
        <w:bottom w:val="none" w:sz="0" w:space="0" w:color="auto"/>
        <w:right w:val="none" w:sz="0" w:space="0" w:color="auto"/>
      </w:divBdr>
    </w:div>
    <w:div w:id="1779986500">
      <w:bodyDiv w:val="1"/>
      <w:marLeft w:val="0"/>
      <w:marRight w:val="0"/>
      <w:marTop w:val="0"/>
      <w:marBottom w:val="0"/>
      <w:divBdr>
        <w:top w:val="none" w:sz="0" w:space="0" w:color="auto"/>
        <w:left w:val="none" w:sz="0" w:space="0" w:color="auto"/>
        <w:bottom w:val="none" w:sz="0" w:space="0" w:color="auto"/>
        <w:right w:val="none" w:sz="0" w:space="0" w:color="auto"/>
      </w:divBdr>
    </w:div>
    <w:div w:id="1787692681">
      <w:bodyDiv w:val="1"/>
      <w:marLeft w:val="0"/>
      <w:marRight w:val="0"/>
      <w:marTop w:val="0"/>
      <w:marBottom w:val="0"/>
      <w:divBdr>
        <w:top w:val="none" w:sz="0" w:space="0" w:color="auto"/>
        <w:left w:val="none" w:sz="0" w:space="0" w:color="auto"/>
        <w:bottom w:val="none" w:sz="0" w:space="0" w:color="auto"/>
        <w:right w:val="none" w:sz="0" w:space="0" w:color="auto"/>
      </w:divBdr>
    </w:div>
    <w:div w:id="1801991572">
      <w:bodyDiv w:val="1"/>
      <w:marLeft w:val="0"/>
      <w:marRight w:val="0"/>
      <w:marTop w:val="0"/>
      <w:marBottom w:val="0"/>
      <w:divBdr>
        <w:top w:val="none" w:sz="0" w:space="0" w:color="auto"/>
        <w:left w:val="none" w:sz="0" w:space="0" w:color="auto"/>
        <w:bottom w:val="none" w:sz="0" w:space="0" w:color="auto"/>
        <w:right w:val="none" w:sz="0" w:space="0" w:color="auto"/>
      </w:divBdr>
    </w:div>
    <w:div w:id="1817603312">
      <w:bodyDiv w:val="1"/>
      <w:marLeft w:val="0"/>
      <w:marRight w:val="0"/>
      <w:marTop w:val="0"/>
      <w:marBottom w:val="0"/>
      <w:divBdr>
        <w:top w:val="none" w:sz="0" w:space="0" w:color="auto"/>
        <w:left w:val="none" w:sz="0" w:space="0" w:color="auto"/>
        <w:bottom w:val="none" w:sz="0" w:space="0" w:color="auto"/>
        <w:right w:val="none" w:sz="0" w:space="0" w:color="auto"/>
      </w:divBdr>
    </w:div>
    <w:div w:id="1834639376">
      <w:bodyDiv w:val="1"/>
      <w:marLeft w:val="0"/>
      <w:marRight w:val="0"/>
      <w:marTop w:val="0"/>
      <w:marBottom w:val="0"/>
      <w:divBdr>
        <w:top w:val="none" w:sz="0" w:space="0" w:color="auto"/>
        <w:left w:val="none" w:sz="0" w:space="0" w:color="auto"/>
        <w:bottom w:val="none" w:sz="0" w:space="0" w:color="auto"/>
        <w:right w:val="none" w:sz="0" w:space="0" w:color="auto"/>
      </w:divBdr>
    </w:div>
    <w:div w:id="1845129606">
      <w:bodyDiv w:val="1"/>
      <w:marLeft w:val="0"/>
      <w:marRight w:val="0"/>
      <w:marTop w:val="0"/>
      <w:marBottom w:val="0"/>
      <w:divBdr>
        <w:top w:val="none" w:sz="0" w:space="0" w:color="auto"/>
        <w:left w:val="none" w:sz="0" w:space="0" w:color="auto"/>
        <w:bottom w:val="none" w:sz="0" w:space="0" w:color="auto"/>
        <w:right w:val="none" w:sz="0" w:space="0" w:color="auto"/>
      </w:divBdr>
    </w:div>
    <w:div w:id="1849711754">
      <w:bodyDiv w:val="1"/>
      <w:marLeft w:val="0"/>
      <w:marRight w:val="0"/>
      <w:marTop w:val="0"/>
      <w:marBottom w:val="0"/>
      <w:divBdr>
        <w:top w:val="none" w:sz="0" w:space="0" w:color="auto"/>
        <w:left w:val="none" w:sz="0" w:space="0" w:color="auto"/>
        <w:bottom w:val="none" w:sz="0" w:space="0" w:color="auto"/>
        <w:right w:val="none" w:sz="0" w:space="0" w:color="auto"/>
      </w:divBdr>
    </w:div>
    <w:div w:id="1868325797">
      <w:bodyDiv w:val="1"/>
      <w:marLeft w:val="0"/>
      <w:marRight w:val="0"/>
      <w:marTop w:val="0"/>
      <w:marBottom w:val="0"/>
      <w:divBdr>
        <w:top w:val="none" w:sz="0" w:space="0" w:color="auto"/>
        <w:left w:val="none" w:sz="0" w:space="0" w:color="auto"/>
        <w:bottom w:val="none" w:sz="0" w:space="0" w:color="auto"/>
        <w:right w:val="none" w:sz="0" w:space="0" w:color="auto"/>
      </w:divBdr>
    </w:div>
    <w:div w:id="1868904116">
      <w:bodyDiv w:val="1"/>
      <w:marLeft w:val="0"/>
      <w:marRight w:val="0"/>
      <w:marTop w:val="0"/>
      <w:marBottom w:val="0"/>
      <w:divBdr>
        <w:top w:val="none" w:sz="0" w:space="0" w:color="auto"/>
        <w:left w:val="none" w:sz="0" w:space="0" w:color="auto"/>
        <w:bottom w:val="none" w:sz="0" w:space="0" w:color="auto"/>
        <w:right w:val="none" w:sz="0" w:space="0" w:color="auto"/>
      </w:divBdr>
    </w:div>
    <w:div w:id="1869755255">
      <w:bodyDiv w:val="1"/>
      <w:marLeft w:val="0"/>
      <w:marRight w:val="0"/>
      <w:marTop w:val="0"/>
      <w:marBottom w:val="0"/>
      <w:divBdr>
        <w:top w:val="none" w:sz="0" w:space="0" w:color="auto"/>
        <w:left w:val="none" w:sz="0" w:space="0" w:color="auto"/>
        <w:bottom w:val="none" w:sz="0" w:space="0" w:color="auto"/>
        <w:right w:val="none" w:sz="0" w:space="0" w:color="auto"/>
      </w:divBdr>
    </w:div>
    <w:div w:id="1890606201">
      <w:bodyDiv w:val="1"/>
      <w:marLeft w:val="0"/>
      <w:marRight w:val="0"/>
      <w:marTop w:val="0"/>
      <w:marBottom w:val="0"/>
      <w:divBdr>
        <w:top w:val="none" w:sz="0" w:space="0" w:color="auto"/>
        <w:left w:val="none" w:sz="0" w:space="0" w:color="auto"/>
        <w:bottom w:val="none" w:sz="0" w:space="0" w:color="auto"/>
        <w:right w:val="none" w:sz="0" w:space="0" w:color="auto"/>
      </w:divBdr>
    </w:div>
    <w:div w:id="1894612633">
      <w:bodyDiv w:val="1"/>
      <w:marLeft w:val="0"/>
      <w:marRight w:val="0"/>
      <w:marTop w:val="0"/>
      <w:marBottom w:val="0"/>
      <w:divBdr>
        <w:top w:val="none" w:sz="0" w:space="0" w:color="auto"/>
        <w:left w:val="none" w:sz="0" w:space="0" w:color="auto"/>
        <w:bottom w:val="none" w:sz="0" w:space="0" w:color="auto"/>
        <w:right w:val="none" w:sz="0" w:space="0" w:color="auto"/>
      </w:divBdr>
    </w:div>
    <w:div w:id="1901330469">
      <w:bodyDiv w:val="1"/>
      <w:marLeft w:val="0"/>
      <w:marRight w:val="0"/>
      <w:marTop w:val="0"/>
      <w:marBottom w:val="0"/>
      <w:divBdr>
        <w:top w:val="none" w:sz="0" w:space="0" w:color="auto"/>
        <w:left w:val="none" w:sz="0" w:space="0" w:color="auto"/>
        <w:bottom w:val="none" w:sz="0" w:space="0" w:color="auto"/>
        <w:right w:val="none" w:sz="0" w:space="0" w:color="auto"/>
      </w:divBdr>
    </w:div>
    <w:div w:id="1902669656">
      <w:bodyDiv w:val="1"/>
      <w:marLeft w:val="0"/>
      <w:marRight w:val="0"/>
      <w:marTop w:val="0"/>
      <w:marBottom w:val="0"/>
      <w:divBdr>
        <w:top w:val="none" w:sz="0" w:space="0" w:color="auto"/>
        <w:left w:val="none" w:sz="0" w:space="0" w:color="auto"/>
        <w:bottom w:val="none" w:sz="0" w:space="0" w:color="auto"/>
        <w:right w:val="none" w:sz="0" w:space="0" w:color="auto"/>
      </w:divBdr>
    </w:div>
    <w:div w:id="1905753034">
      <w:bodyDiv w:val="1"/>
      <w:marLeft w:val="0"/>
      <w:marRight w:val="0"/>
      <w:marTop w:val="0"/>
      <w:marBottom w:val="0"/>
      <w:divBdr>
        <w:top w:val="none" w:sz="0" w:space="0" w:color="auto"/>
        <w:left w:val="none" w:sz="0" w:space="0" w:color="auto"/>
        <w:bottom w:val="none" w:sz="0" w:space="0" w:color="auto"/>
        <w:right w:val="none" w:sz="0" w:space="0" w:color="auto"/>
      </w:divBdr>
    </w:div>
    <w:div w:id="1934241364">
      <w:bodyDiv w:val="1"/>
      <w:marLeft w:val="0"/>
      <w:marRight w:val="0"/>
      <w:marTop w:val="0"/>
      <w:marBottom w:val="0"/>
      <w:divBdr>
        <w:top w:val="none" w:sz="0" w:space="0" w:color="auto"/>
        <w:left w:val="none" w:sz="0" w:space="0" w:color="auto"/>
        <w:bottom w:val="none" w:sz="0" w:space="0" w:color="auto"/>
        <w:right w:val="none" w:sz="0" w:space="0" w:color="auto"/>
      </w:divBdr>
    </w:div>
    <w:div w:id="1937521283">
      <w:bodyDiv w:val="1"/>
      <w:marLeft w:val="0"/>
      <w:marRight w:val="0"/>
      <w:marTop w:val="0"/>
      <w:marBottom w:val="0"/>
      <w:divBdr>
        <w:top w:val="none" w:sz="0" w:space="0" w:color="auto"/>
        <w:left w:val="none" w:sz="0" w:space="0" w:color="auto"/>
        <w:bottom w:val="none" w:sz="0" w:space="0" w:color="auto"/>
        <w:right w:val="none" w:sz="0" w:space="0" w:color="auto"/>
      </w:divBdr>
    </w:div>
    <w:div w:id="1937861509">
      <w:bodyDiv w:val="1"/>
      <w:marLeft w:val="0"/>
      <w:marRight w:val="0"/>
      <w:marTop w:val="0"/>
      <w:marBottom w:val="0"/>
      <w:divBdr>
        <w:top w:val="none" w:sz="0" w:space="0" w:color="auto"/>
        <w:left w:val="none" w:sz="0" w:space="0" w:color="auto"/>
        <w:bottom w:val="none" w:sz="0" w:space="0" w:color="auto"/>
        <w:right w:val="none" w:sz="0" w:space="0" w:color="auto"/>
      </w:divBdr>
    </w:div>
    <w:div w:id="1954169128">
      <w:bodyDiv w:val="1"/>
      <w:marLeft w:val="0"/>
      <w:marRight w:val="0"/>
      <w:marTop w:val="0"/>
      <w:marBottom w:val="0"/>
      <w:divBdr>
        <w:top w:val="none" w:sz="0" w:space="0" w:color="auto"/>
        <w:left w:val="none" w:sz="0" w:space="0" w:color="auto"/>
        <w:bottom w:val="none" w:sz="0" w:space="0" w:color="auto"/>
        <w:right w:val="none" w:sz="0" w:space="0" w:color="auto"/>
      </w:divBdr>
    </w:div>
    <w:div w:id="1967196786">
      <w:bodyDiv w:val="1"/>
      <w:marLeft w:val="0"/>
      <w:marRight w:val="0"/>
      <w:marTop w:val="0"/>
      <w:marBottom w:val="0"/>
      <w:divBdr>
        <w:top w:val="none" w:sz="0" w:space="0" w:color="auto"/>
        <w:left w:val="none" w:sz="0" w:space="0" w:color="auto"/>
        <w:bottom w:val="none" w:sz="0" w:space="0" w:color="auto"/>
        <w:right w:val="none" w:sz="0" w:space="0" w:color="auto"/>
      </w:divBdr>
    </w:div>
    <w:div w:id="1999189678">
      <w:bodyDiv w:val="1"/>
      <w:marLeft w:val="0"/>
      <w:marRight w:val="0"/>
      <w:marTop w:val="0"/>
      <w:marBottom w:val="0"/>
      <w:divBdr>
        <w:top w:val="none" w:sz="0" w:space="0" w:color="auto"/>
        <w:left w:val="none" w:sz="0" w:space="0" w:color="auto"/>
        <w:bottom w:val="none" w:sz="0" w:space="0" w:color="auto"/>
        <w:right w:val="none" w:sz="0" w:space="0" w:color="auto"/>
      </w:divBdr>
    </w:div>
    <w:div w:id="2041473158">
      <w:bodyDiv w:val="1"/>
      <w:marLeft w:val="0"/>
      <w:marRight w:val="0"/>
      <w:marTop w:val="0"/>
      <w:marBottom w:val="0"/>
      <w:divBdr>
        <w:top w:val="none" w:sz="0" w:space="0" w:color="auto"/>
        <w:left w:val="none" w:sz="0" w:space="0" w:color="auto"/>
        <w:bottom w:val="none" w:sz="0" w:space="0" w:color="auto"/>
        <w:right w:val="none" w:sz="0" w:space="0" w:color="auto"/>
      </w:divBdr>
    </w:div>
    <w:div w:id="2043286004">
      <w:bodyDiv w:val="1"/>
      <w:marLeft w:val="0"/>
      <w:marRight w:val="0"/>
      <w:marTop w:val="0"/>
      <w:marBottom w:val="0"/>
      <w:divBdr>
        <w:top w:val="none" w:sz="0" w:space="0" w:color="auto"/>
        <w:left w:val="none" w:sz="0" w:space="0" w:color="auto"/>
        <w:bottom w:val="none" w:sz="0" w:space="0" w:color="auto"/>
        <w:right w:val="none" w:sz="0" w:space="0" w:color="auto"/>
      </w:divBdr>
    </w:div>
    <w:div w:id="2065789954">
      <w:bodyDiv w:val="1"/>
      <w:marLeft w:val="0"/>
      <w:marRight w:val="0"/>
      <w:marTop w:val="0"/>
      <w:marBottom w:val="0"/>
      <w:divBdr>
        <w:top w:val="none" w:sz="0" w:space="0" w:color="auto"/>
        <w:left w:val="none" w:sz="0" w:space="0" w:color="auto"/>
        <w:bottom w:val="none" w:sz="0" w:space="0" w:color="auto"/>
        <w:right w:val="none" w:sz="0" w:space="0" w:color="auto"/>
      </w:divBdr>
    </w:div>
    <w:div w:id="2074428883">
      <w:bodyDiv w:val="1"/>
      <w:marLeft w:val="0"/>
      <w:marRight w:val="0"/>
      <w:marTop w:val="0"/>
      <w:marBottom w:val="0"/>
      <w:divBdr>
        <w:top w:val="none" w:sz="0" w:space="0" w:color="auto"/>
        <w:left w:val="none" w:sz="0" w:space="0" w:color="auto"/>
        <w:bottom w:val="none" w:sz="0" w:space="0" w:color="auto"/>
        <w:right w:val="none" w:sz="0" w:space="0" w:color="auto"/>
      </w:divBdr>
    </w:div>
    <w:div w:id="21310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720AA579950549A38A174BF1BDBB59" ma:contentTypeVersion="0" ma:contentTypeDescription="Ustvari nov dokument." ma:contentTypeScope="" ma:versionID="5dad4c605431a59dfe674cd2523f41dc">
  <xsd:schema xmlns:xsd="http://www.w3.org/2001/XMLSchema" xmlns:xs="http://www.w3.org/2001/XMLSchema" xmlns:p="http://schemas.microsoft.com/office/2006/metadata/properties" xmlns:ns2="45d885e1-f2d7-4ffc-80f5-e7c266c6408c" targetNamespace="http://schemas.microsoft.com/office/2006/metadata/properties" ma:root="true" ma:fieldsID="106b85407a65db458b3181becf7ea192" ns2:_="">
    <xsd:import namespace="45d885e1-f2d7-4ffc-80f5-e7c266c640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885e1-f2d7-4ffc-80f5-e7c266c6408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Obdrži ID" ma:description="Obdrži ID pri dodajanj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8F83F-6D8D-4079-B069-49ECBC4D7B15}">
  <ds:schemaRefs>
    <ds:schemaRef ds:uri="http://schemas.microsoft.com/sharepoint/events"/>
  </ds:schemaRefs>
</ds:datastoreItem>
</file>

<file path=customXml/itemProps2.xml><?xml version="1.0" encoding="utf-8"?>
<ds:datastoreItem xmlns:ds="http://schemas.openxmlformats.org/officeDocument/2006/customXml" ds:itemID="{69DBFD52-9D9A-42A7-A495-DA2075F868AB}">
  <ds:schemaRefs>
    <ds:schemaRef ds:uri="http://schemas.microsoft.com/office/2006/metadata/longProperties"/>
  </ds:schemaRefs>
</ds:datastoreItem>
</file>

<file path=customXml/itemProps3.xml><?xml version="1.0" encoding="utf-8"?>
<ds:datastoreItem xmlns:ds="http://schemas.openxmlformats.org/officeDocument/2006/customXml" ds:itemID="{6121E5DD-9557-4475-9D23-0E03B67707FE}">
  <ds:schemaRefs>
    <ds:schemaRef ds:uri="http://schemas.microsoft.com/sharepoint/v3/contenttype/forms"/>
  </ds:schemaRefs>
</ds:datastoreItem>
</file>

<file path=customXml/itemProps4.xml><?xml version="1.0" encoding="utf-8"?>
<ds:datastoreItem xmlns:ds="http://schemas.openxmlformats.org/officeDocument/2006/customXml" ds:itemID="{4ACBF7EB-A634-47C0-99C0-433A124A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885e1-f2d7-4ffc-80f5-e7c266c64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7F805-DBC8-4BD7-9E7A-49D682E719EC}">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45d885e1-f2d7-4ffc-80f5-e7c266c6408c"/>
    <ds:schemaRef ds:uri="http://www.w3.org/XML/1998/namespace"/>
  </ds:schemaRefs>
</ds:datastoreItem>
</file>

<file path=customXml/itemProps6.xml><?xml version="1.0" encoding="utf-8"?>
<ds:datastoreItem xmlns:ds="http://schemas.openxmlformats.org/officeDocument/2006/customXml" ds:itemID="{40CE57E7-759D-4E10-BEDB-432598DB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8621</Words>
  <Characters>49144</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MFRS</Company>
  <LinksUpToDate>false</LinksUpToDate>
  <CharactersWithSpaces>57650</CharactersWithSpaces>
  <SharedDoc>false</SharedDoc>
  <HLinks>
    <vt:vector size="114" baseType="variant">
      <vt:variant>
        <vt:i4>3801180</vt:i4>
      </vt:variant>
      <vt:variant>
        <vt:i4>0</vt:i4>
      </vt:variant>
      <vt:variant>
        <vt:i4>0</vt:i4>
      </vt:variant>
      <vt:variant>
        <vt:i4>5</vt:i4>
      </vt:variant>
      <vt:variant>
        <vt:lpwstr>mailto:Gp.gs@gov.si</vt:lpwstr>
      </vt:variant>
      <vt:variant>
        <vt:lpwstr/>
      </vt:variant>
      <vt:variant>
        <vt:i4>3080236</vt:i4>
      </vt:variant>
      <vt:variant>
        <vt:i4>51</vt:i4>
      </vt:variant>
      <vt:variant>
        <vt:i4>0</vt:i4>
      </vt:variant>
      <vt:variant>
        <vt:i4>5</vt:i4>
      </vt:variant>
      <vt:variant>
        <vt:lpwstr>https://ec.europa.eu/taxation_customs/business/tax-cooperation-control/vat-gap_en</vt:lpwstr>
      </vt:variant>
      <vt:variant>
        <vt:lpwstr/>
      </vt:variant>
      <vt:variant>
        <vt:i4>7471141</vt:i4>
      </vt:variant>
      <vt:variant>
        <vt:i4>48</vt:i4>
      </vt:variant>
      <vt:variant>
        <vt:i4>0</vt:i4>
      </vt:variant>
      <vt:variant>
        <vt:i4>5</vt:i4>
      </vt:variant>
      <vt:variant>
        <vt:lpwstr>http://www.uradni-list.si/1/objava.jsp?sop=2018-01-0541</vt:lpwstr>
      </vt:variant>
      <vt:variant>
        <vt:lpwstr/>
      </vt:variant>
      <vt:variant>
        <vt:i4>7733291</vt:i4>
      </vt:variant>
      <vt:variant>
        <vt:i4>45</vt:i4>
      </vt:variant>
      <vt:variant>
        <vt:i4>0</vt:i4>
      </vt:variant>
      <vt:variant>
        <vt:i4>5</vt:i4>
      </vt:variant>
      <vt:variant>
        <vt:lpwstr>http://www.uradni-list.si/1/objava.jsp?sop=2013-01-3034</vt:lpwstr>
      </vt:variant>
      <vt:variant>
        <vt:lpwstr/>
      </vt:variant>
      <vt:variant>
        <vt:i4>7536682</vt:i4>
      </vt:variant>
      <vt:variant>
        <vt:i4>42</vt:i4>
      </vt:variant>
      <vt:variant>
        <vt:i4>0</vt:i4>
      </vt:variant>
      <vt:variant>
        <vt:i4>5</vt:i4>
      </vt:variant>
      <vt:variant>
        <vt:lpwstr>http://www.uradni-list.si/1/objava.jsp?sop=2010-01-0251</vt:lpwstr>
      </vt:variant>
      <vt:variant>
        <vt:lpwstr/>
      </vt:variant>
      <vt:variant>
        <vt:i4>7602216</vt:i4>
      </vt:variant>
      <vt:variant>
        <vt:i4>39</vt:i4>
      </vt:variant>
      <vt:variant>
        <vt:i4>0</vt:i4>
      </vt:variant>
      <vt:variant>
        <vt:i4>5</vt:i4>
      </vt:variant>
      <vt:variant>
        <vt:lpwstr>http://www.uradni-list.si/1/objava.jsp?sop=2008-01-2816</vt:lpwstr>
      </vt:variant>
      <vt:variant>
        <vt:lpwstr/>
      </vt:variant>
      <vt:variant>
        <vt:i4>7340075</vt:i4>
      </vt:variant>
      <vt:variant>
        <vt:i4>36</vt:i4>
      </vt:variant>
      <vt:variant>
        <vt:i4>0</vt:i4>
      </vt:variant>
      <vt:variant>
        <vt:i4>5</vt:i4>
      </vt:variant>
      <vt:variant>
        <vt:lpwstr>http://www.uradni-list.si/1/objava.jsp?sop=2007-01-6415</vt:lpwstr>
      </vt:variant>
      <vt:variant>
        <vt:lpwstr/>
      </vt:variant>
      <vt:variant>
        <vt:i4>8060970</vt:i4>
      </vt:variant>
      <vt:variant>
        <vt:i4>33</vt:i4>
      </vt:variant>
      <vt:variant>
        <vt:i4>0</vt:i4>
      </vt:variant>
      <vt:variant>
        <vt:i4>5</vt:i4>
      </vt:variant>
      <vt:variant>
        <vt:lpwstr>http://www.uradni-list.si/1/objava.jsp?sop=2006-01-4487</vt:lpwstr>
      </vt:variant>
      <vt:variant>
        <vt:lpwstr/>
      </vt:variant>
      <vt:variant>
        <vt:i4>7340071</vt:i4>
      </vt:variant>
      <vt:variant>
        <vt:i4>30</vt:i4>
      </vt:variant>
      <vt:variant>
        <vt:i4>0</vt:i4>
      </vt:variant>
      <vt:variant>
        <vt:i4>5</vt:i4>
      </vt:variant>
      <vt:variant>
        <vt:lpwstr>http://www.uradni-list.si/1/objava.jsp?sop=2006-01-0970</vt:lpwstr>
      </vt:variant>
      <vt:variant>
        <vt:lpwstr/>
      </vt:variant>
      <vt:variant>
        <vt:i4>7798824</vt:i4>
      </vt:variant>
      <vt:variant>
        <vt:i4>27</vt:i4>
      </vt:variant>
      <vt:variant>
        <vt:i4>0</vt:i4>
      </vt:variant>
      <vt:variant>
        <vt:i4>5</vt:i4>
      </vt:variant>
      <vt:variant>
        <vt:lpwstr>http://www.uradni-list.si/1/objava.jsp?sop=2019-01-0917</vt:lpwstr>
      </vt:variant>
      <vt:variant>
        <vt:lpwstr/>
      </vt:variant>
      <vt:variant>
        <vt:i4>8257576</vt:i4>
      </vt:variant>
      <vt:variant>
        <vt:i4>24</vt:i4>
      </vt:variant>
      <vt:variant>
        <vt:i4>0</vt:i4>
      </vt:variant>
      <vt:variant>
        <vt:i4>5</vt:i4>
      </vt:variant>
      <vt:variant>
        <vt:lpwstr>http://www.uradni-list.si/1/objava.jsp?sop=2018-01-0887</vt:lpwstr>
      </vt:variant>
      <vt:variant>
        <vt:lpwstr/>
      </vt:variant>
      <vt:variant>
        <vt:i4>7602216</vt:i4>
      </vt:variant>
      <vt:variant>
        <vt:i4>21</vt:i4>
      </vt:variant>
      <vt:variant>
        <vt:i4>0</vt:i4>
      </vt:variant>
      <vt:variant>
        <vt:i4>5</vt:i4>
      </vt:variant>
      <vt:variant>
        <vt:lpwstr>http://www.uradni-list.si/1/objava.jsp?sop=2017-01-0729</vt:lpwstr>
      </vt:variant>
      <vt:variant>
        <vt:lpwstr/>
      </vt:variant>
      <vt:variant>
        <vt:i4>7536679</vt:i4>
      </vt:variant>
      <vt:variant>
        <vt:i4>18</vt:i4>
      </vt:variant>
      <vt:variant>
        <vt:i4>0</vt:i4>
      </vt:variant>
      <vt:variant>
        <vt:i4>5</vt:i4>
      </vt:variant>
      <vt:variant>
        <vt:lpwstr>http://www.uradni-list.si/1/objava.jsp?sop=2018-01-2771</vt:lpwstr>
      </vt:variant>
      <vt:variant>
        <vt:lpwstr/>
      </vt:variant>
      <vt:variant>
        <vt:i4>8126504</vt:i4>
      </vt:variant>
      <vt:variant>
        <vt:i4>15</vt:i4>
      </vt:variant>
      <vt:variant>
        <vt:i4>0</vt:i4>
      </vt:variant>
      <vt:variant>
        <vt:i4>5</vt:i4>
      </vt:variant>
      <vt:variant>
        <vt:lpwstr>http://www.uradni-list.si/1/objava.jsp?sop=2016-01-2687</vt:lpwstr>
      </vt:variant>
      <vt:variant>
        <vt:lpwstr/>
      </vt:variant>
      <vt:variant>
        <vt:i4>7536680</vt:i4>
      </vt:variant>
      <vt:variant>
        <vt:i4>12</vt:i4>
      </vt:variant>
      <vt:variant>
        <vt:i4>0</vt:i4>
      </vt:variant>
      <vt:variant>
        <vt:i4>5</vt:i4>
      </vt:variant>
      <vt:variant>
        <vt:lpwstr>http://www.uradni-list.si/1/objava.jsp?sop=2016-01-1640</vt:lpwstr>
      </vt:variant>
      <vt:variant>
        <vt:lpwstr/>
      </vt:variant>
      <vt:variant>
        <vt:i4>7798829</vt:i4>
      </vt:variant>
      <vt:variant>
        <vt:i4>9</vt:i4>
      </vt:variant>
      <vt:variant>
        <vt:i4>0</vt:i4>
      </vt:variant>
      <vt:variant>
        <vt:i4>5</vt:i4>
      </vt:variant>
      <vt:variant>
        <vt:lpwstr>http://www.uradni-list.si/1/objava.jsp?sop=2016-01-1305</vt:lpwstr>
      </vt:variant>
      <vt:variant>
        <vt:lpwstr/>
      </vt:variant>
      <vt:variant>
        <vt:i4>7340078</vt:i4>
      </vt:variant>
      <vt:variant>
        <vt:i4>6</vt:i4>
      </vt:variant>
      <vt:variant>
        <vt:i4>0</vt:i4>
      </vt:variant>
      <vt:variant>
        <vt:i4>5</vt:i4>
      </vt:variant>
      <vt:variant>
        <vt:lpwstr>http://www.uradni-list.si/1/objava.jsp?sop=2016-01-1076</vt:lpwstr>
      </vt:variant>
      <vt:variant>
        <vt:lpwstr/>
      </vt:variant>
      <vt:variant>
        <vt:i4>7405612</vt:i4>
      </vt:variant>
      <vt:variant>
        <vt:i4>3</vt:i4>
      </vt:variant>
      <vt:variant>
        <vt:i4>0</vt:i4>
      </vt:variant>
      <vt:variant>
        <vt:i4>5</vt:i4>
      </vt:variant>
      <vt:variant>
        <vt:lpwstr>http://www.uradni-list.si/1/objava.jsp?sop=2015-21-0377</vt:lpwstr>
      </vt:variant>
      <vt:variant>
        <vt:lpwstr/>
      </vt:variant>
      <vt:variant>
        <vt:i4>7340079</vt:i4>
      </vt:variant>
      <vt:variant>
        <vt:i4>0</vt:i4>
      </vt:variant>
      <vt:variant>
        <vt:i4>0</vt:i4>
      </vt:variant>
      <vt:variant>
        <vt:i4>5</vt:i4>
      </vt:variant>
      <vt:variant>
        <vt:lpwstr>http://www.uradni-list.si/1/objava.jsp?sop=2014-01-0361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Čibej</dc:creator>
  <cp:keywords/>
  <cp:lastModifiedBy>Marko Potočnik</cp:lastModifiedBy>
  <cp:revision>15</cp:revision>
  <cp:lastPrinted>2019-09-04T07:24:00Z</cp:lastPrinted>
  <dcterms:created xsi:type="dcterms:W3CDTF">2020-07-20T07:37:00Z</dcterms:created>
  <dcterms:modified xsi:type="dcterms:W3CDTF">2020-09-17T12:25:00Z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YPDRX2FCMFN4-84-65</vt:lpwstr>
  </property>
  <property fmtid="{D5CDD505-2E9C-101B-9397-08002B2CF9AE}" pid="3" name="_dlc_DocIdItemGuid">
    <vt:lpwstr>b85a55d4-b6c7-4480-a458-bbe174bf3ea6</vt:lpwstr>
  </property>
  <property fmtid="{D5CDD505-2E9C-101B-9397-08002B2CF9AE}" pid="4" name="_dlc_DocIdUrl">
    <vt:lpwstr>https://iportal.mf.si/podrocja/davkicarine/Dokumenti_skupni_rabi_DSDCJP/_layouts/15/DocIdRedir.aspx?ID=YPDRX2FCMFN4-84-65, YPDRX2FCMFN4-84-65</vt:lpwstr>
  </property>
</Properties>
</file>