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DA" w:rsidRPr="00F02B4B" w:rsidRDefault="003824DA" w:rsidP="003824DA">
      <w:pPr>
        <w:spacing w:before="40"/>
        <w:ind w:right="-3"/>
        <w:rPr>
          <w:rFonts w:ascii="Arial" w:hAnsi="Arial" w:cs="Arial"/>
          <w:sz w:val="20"/>
          <w:szCs w:val="20"/>
        </w:rPr>
      </w:pPr>
      <w:r>
        <w:rPr>
          <w:rFonts w:ascii="Arial" w:hAnsi="Arial" w:cs="Arial"/>
          <w:noProof/>
          <w:sz w:val="20"/>
          <w:szCs w:val="20"/>
          <w:lang w:eastAsia="sl-SI"/>
        </w:rPr>
        <w:drawing>
          <wp:anchor distT="0" distB="0" distL="114300" distR="114300" simplePos="0" relativeHeight="251657216" behindDoc="0" locked="0" layoutInCell="1" allowOverlap="1">
            <wp:simplePos x="0" y="0"/>
            <wp:positionH relativeFrom="column">
              <wp:posOffset>-387350</wp:posOffset>
            </wp:positionH>
            <wp:positionV relativeFrom="paragraph">
              <wp:posOffset>-186055</wp:posOffset>
            </wp:positionV>
            <wp:extent cx="3121660" cy="376555"/>
            <wp:effectExtent l="0" t="0" r="2540" b="444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rsidR="003824DA" w:rsidRPr="00F02B4B" w:rsidRDefault="003824DA" w:rsidP="003824DA">
      <w:pPr>
        <w:spacing w:before="60"/>
        <w:ind w:right="-3"/>
        <w:rPr>
          <w:rFonts w:ascii="Arial" w:hAnsi="Arial" w:cs="Arial"/>
          <w:sz w:val="20"/>
          <w:szCs w:val="20"/>
        </w:rPr>
      </w:pPr>
    </w:p>
    <w:p w:rsidR="003824DA" w:rsidRPr="00F02B4B" w:rsidRDefault="00022CB9" w:rsidP="003824D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0" b="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4DA" w:rsidRPr="00D61ACE" w:rsidRDefault="003824DA" w:rsidP="003824D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Polje z besedilom 5"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ezggIAAAgFAAAOAAAAZHJzL2Uyb0RvYy54bWysVG1v0zAQ/o7Ef7D8vUtS0rWJlk57oQhp&#10;wKTBD3BipzE4vmC7TTbEf+fsNN0YICFEPjhn+/z4ubvnfHY+tIrshbESdEGTk5gSoSvgUm8L+unj&#10;ZraixDqmOVOgRUHvhaXn65cvzvouF3NoQHFhCIJom/ddQRvnujyKbNWIltkT6ITGzRpMyxxOzTbi&#10;hvWI3qpoHsenUQ+GdwYqYS2uXo+bdB3w61pU7kNdW+GIKihyc2E0YSz9GK3PWL41rGtkdaDB/oFF&#10;y6TGS49Q18wxsjPyF6hWVgYs1O6kgjaCupaVCDFgNEn8LJq7hnUixILJsd0xTfb/wVbv97eGSF7Q&#10;BSWatViiW1CfBXkgpbCCSwUtWfg09Z3N0fuuQ383XMKA5Q4h2+4Gqi+WaLhqmN6KC2OgbwTjSDPx&#10;J6MnR0cc60HK/h1wvI/tHASgoTatzyFmhSA6luv+WCIxOFLhYrrMkniJXCvcW6ziV1moYcTy6XRn&#10;rHsjkLU3CmpQAgGd7W+s82xYPrn4yywoyTdSqTAx2/JKGbJnKJdN+EIAz9yU9s4a/LERcVxBkniH&#10;3/N0Q/m/Zck8jS/n2WxzulrO0k26mGXLeDWLk+wyO43TLL3efPcEkzRvJOdC30gtJikm6d+V+tAU&#10;o4iCGElf0GwxX4wl+mOQcfh+F2QrHXamkm1BV0cnlvvCvtYcw2a5Y1KNdvQz/ZBlzMH0D1kJMvCV&#10;HzXghnJAFK+NEvg9CsIA1gurjs8JGg2YB0p6bM2C2q87ZgQl6q1GUfk+ngwzGeVkMF3h0YI6Skbz&#10;yo39vuuM3DaIPMpWwwUKr5ZBE48sDnLFdgvkD0+D7+en8+D1+ICtfwAAAP//AwBQSwMEFAAGAAgA&#10;AAAhALfeOi7iAAAADQEAAA8AAABkcnMvZG93bnJldi54bWxMj8tOwzAQRfdI/IM1SGwQdWpo04Y4&#10;FbR0B4s+1LUbmyQiHke206R/z7CC5cw9unMmX422ZRfjQ+NQwnSSADNYOt1gJeF42D4ugIWoUKvW&#10;oZFwNQFWxe1NrjLtBtyZyz5WjEowZEpCHWOXcR7K2lgVJq4zSNmX81ZFGn3FtVcDlduWiySZc6sa&#10;pAu16sy6NuX3vrcS5hvfDztcP2yO7x/qs6vE6e16kvL+bnx9ARbNGP9g+NUndSjI6ex61IG1EoSY&#10;CkIpeBbLJ2CELNNZCuxMq5lIUuBFzv9/UfwAAAD//wMAUEsBAi0AFAAGAAgAAAAhALaDOJL+AAAA&#10;4QEAABMAAAAAAAAAAAAAAAAAAAAAAFtDb250ZW50X1R5cGVzXS54bWxQSwECLQAUAAYACAAAACEA&#10;OP0h/9YAAACUAQAACwAAAAAAAAAAAAAAAAAvAQAAX3JlbHMvLnJlbHNQSwECLQAUAAYACAAAACEA&#10;MWSHs4ICAAAIBQAADgAAAAAAAAAAAAAAAAAuAgAAZHJzL2Uyb0RvYy54bWxQSwECLQAUAAYACAAA&#10;ACEAt946LuIAAAANAQAADwAAAAAAAAAAAAAAAADcBAAAZHJzL2Rvd25yZXYueG1sUEsFBgAAAAAE&#10;AAQA8wAAAOsFAAAAAA==&#10;" stroked="f">
                <v:textbox inset="0,0,0,0">
                  <w:txbxContent>
                    <w:p w:rsidR="003824DA" w:rsidRPr="00D61ACE" w:rsidRDefault="003824DA" w:rsidP="003824DA">
                      <w:pPr>
                        <w:rPr>
                          <w:color w:val="000000"/>
                          <w:spacing w:val="-2"/>
                          <w:sz w:val="16"/>
                          <w:szCs w:val="16"/>
                          <w:lang w:eastAsia="sl-SI"/>
                        </w:rPr>
                      </w:pPr>
                    </w:p>
                  </w:txbxContent>
                </v:textbox>
              </v:shape>
            </w:pict>
          </mc:Fallback>
        </mc:AlternateContent>
      </w:r>
    </w:p>
    <w:p w:rsidR="003824DA" w:rsidRPr="00F02B4B" w:rsidRDefault="003824DA" w:rsidP="003824DA">
      <w:pPr>
        <w:pStyle w:val="Glava"/>
        <w:tabs>
          <w:tab w:val="clear" w:pos="4320"/>
          <w:tab w:val="clear" w:pos="8640"/>
          <w:tab w:val="left" w:pos="5112"/>
        </w:tabs>
        <w:spacing w:before="120" w:line="240" w:lineRule="exact"/>
        <w:rPr>
          <w:rFonts w:cs="Arial"/>
          <w:szCs w:val="20"/>
          <w:lang w:val="sl-SI"/>
        </w:rPr>
      </w:pPr>
      <w:r w:rsidRPr="00F02B4B">
        <w:rPr>
          <w:rFonts w:cs="Arial"/>
          <w:color w:val="000000"/>
          <w:szCs w:val="20"/>
          <w:lang w:val="sl-SI" w:eastAsia="ar-SA"/>
        </w:rPr>
        <w:t xml:space="preserve">     </w:t>
      </w:r>
      <w:r w:rsidRPr="00F02B4B">
        <w:rPr>
          <w:rFonts w:cs="Arial"/>
          <w:szCs w:val="20"/>
          <w:lang w:val="sl-SI"/>
        </w:rPr>
        <w:t>Langusova ulica 4, 1535 Ljubljana</w:t>
      </w:r>
      <w:r w:rsidRPr="00F02B4B">
        <w:rPr>
          <w:rFonts w:cs="Arial"/>
          <w:szCs w:val="20"/>
          <w:lang w:val="sl-SI"/>
        </w:rPr>
        <w:tab/>
        <w:t>T: 01 478 80 00</w:t>
      </w:r>
    </w:p>
    <w:p w:rsidR="003824DA" w:rsidRPr="00F02B4B" w:rsidRDefault="003824DA" w:rsidP="003824D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E: gp.mzi@gov.si</w:t>
      </w:r>
    </w:p>
    <w:p w:rsidR="003824DA" w:rsidRPr="00F02B4B" w:rsidRDefault="003824DA" w:rsidP="003824D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www.mzi.gov.si</w:t>
      </w:r>
    </w:p>
    <w:p w:rsidR="003824DA" w:rsidRDefault="003824DA" w:rsidP="00AE1F83">
      <w:pPr>
        <w:spacing w:after="0" w:line="260" w:lineRule="exact"/>
        <w:contextualSpacing/>
        <w:rPr>
          <w:rFonts w:ascii="Arial" w:eastAsia="Times New Roman" w:hAnsi="Arial" w:cs="Arial"/>
          <w:b/>
          <w:sz w:val="20"/>
          <w:szCs w:val="20"/>
          <w:lang w:eastAsia="sl-SI"/>
        </w:rPr>
      </w:pPr>
    </w:p>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DA6942">
        <w:trPr>
          <w:gridAfter w:val="2"/>
          <w:wAfter w:w="3067" w:type="dxa"/>
        </w:trPr>
        <w:tc>
          <w:tcPr>
            <w:tcW w:w="6096" w:type="dxa"/>
            <w:gridSpan w:val="2"/>
          </w:tcPr>
          <w:p w:rsidR="00AE1F83" w:rsidRPr="00AE1F83" w:rsidRDefault="00AE1F83" w:rsidP="00344CD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2D4ED7">
              <w:rPr>
                <w:rFonts w:ascii="Arial" w:eastAsia="Times New Roman" w:hAnsi="Arial" w:cs="Arial"/>
                <w:sz w:val="20"/>
                <w:szCs w:val="20"/>
                <w:lang w:eastAsia="sl-SI"/>
              </w:rPr>
              <w:t>007-450/2020/8</w:t>
            </w:r>
          </w:p>
        </w:tc>
      </w:tr>
      <w:tr w:rsidR="00AE1F83" w:rsidRPr="00AE1F83" w:rsidTr="00DA6942">
        <w:trPr>
          <w:gridAfter w:val="2"/>
          <w:wAfter w:w="3067" w:type="dxa"/>
        </w:trPr>
        <w:tc>
          <w:tcPr>
            <w:tcW w:w="6096" w:type="dxa"/>
            <w:gridSpan w:val="2"/>
          </w:tcPr>
          <w:p w:rsidR="00AE1F83" w:rsidRPr="003824DA" w:rsidRDefault="003824DA" w:rsidP="00C0178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24DA">
              <w:rPr>
                <w:rFonts w:ascii="Arial" w:hAnsi="Arial" w:cs="Arial"/>
                <w:sz w:val="20"/>
                <w:szCs w:val="20"/>
              </w:rPr>
              <w:t xml:space="preserve">Ljubljana, </w:t>
            </w:r>
            <w:r w:rsidR="00327D60">
              <w:rPr>
                <w:rFonts w:ascii="Arial" w:hAnsi="Arial" w:cs="Arial"/>
                <w:sz w:val="20"/>
                <w:szCs w:val="20"/>
              </w:rPr>
              <w:t>2</w:t>
            </w:r>
            <w:r w:rsidR="00D24B4F">
              <w:rPr>
                <w:rFonts w:ascii="Arial" w:hAnsi="Arial" w:cs="Arial"/>
                <w:sz w:val="20"/>
                <w:szCs w:val="20"/>
              </w:rPr>
              <w:t>3</w:t>
            </w:r>
            <w:r w:rsidR="00327D60">
              <w:rPr>
                <w:rFonts w:ascii="Arial" w:hAnsi="Arial" w:cs="Arial"/>
                <w:sz w:val="20"/>
                <w:szCs w:val="20"/>
              </w:rPr>
              <w:t>. 11</w:t>
            </w:r>
            <w:r w:rsidR="00C01785">
              <w:rPr>
                <w:rFonts w:ascii="Arial" w:hAnsi="Arial" w:cs="Arial"/>
                <w:sz w:val="20"/>
                <w:szCs w:val="20"/>
              </w:rPr>
              <w:t>. 2020</w:t>
            </w:r>
          </w:p>
        </w:tc>
      </w:tr>
      <w:tr w:rsidR="00AE1F83" w:rsidRPr="00AE1F83" w:rsidTr="00DA6942">
        <w:trPr>
          <w:gridAfter w:val="2"/>
          <w:wAfter w:w="3067" w:type="dxa"/>
        </w:trPr>
        <w:tc>
          <w:tcPr>
            <w:tcW w:w="6096" w:type="dxa"/>
            <w:gridSpan w:val="2"/>
          </w:tcPr>
          <w:p w:rsidR="00AE1F83" w:rsidRPr="00AE1F83" w:rsidRDefault="00ED6928" w:rsidP="002D4E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sidR="002D4ED7">
              <w:rPr>
                <w:rFonts w:ascii="Arial" w:eastAsia="Times New Roman" w:hAnsi="Arial" w:cs="Arial"/>
                <w:iCs/>
                <w:sz w:val="20"/>
                <w:szCs w:val="20"/>
                <w:lang w:eastAsia="sl-SI"/>
              </w:rPr>
              <w:t>/</w:t>
            </w:r>
          </w:p>
        </w:tc>
      </w:tr>
      <w:tr w:rsidR="00AE1F83" w:rsidRPr="00AE1F83" w:rsidTr="00DA6942">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E45110"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DA6942">
        <w:tc>
          <w:tcPr>
            <w:tcW w:w="9163" w:type="dxa"/>
            <w:gridSpan w:val="4"/>
          </w:tcPr>
          <w:p w:rsidR="00AE1F83" w:rsidRPr="00AE1F83" w:rsidRDefault="00AE1F83" w:rsidP="00A90CD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977A56">
              <w:rPr>
                <w:rFonts w:ascii="Arial" w:eastAsia="Times New Roman" w:hAnsi="Arial" w:cs="Arial"/>
                <w:b/>
                <w:sz w:val="20"/>
                <w:szCs w:val="20"/>
                <w:lang w:eastAsia="sl-SI"/>
              </w:rPr>
              <w:t xml:space="preserve">Predlog </w:t>
            </w:r>
            <w:r w:rsidR="00EE07C4">
              <w:rPr>
                <w:rFonts w:ascii="Arial" w:eastAsia="Times New Roman" w:hAnsi="Arial" w:cs="Arial"/>
                <w:b/>
                <w:sz w:val="20"/>
                <w:szCs w:val="20"/>
                <w:lang w:eastAsia="sl-SI"/>
              </w:rPr>
              <w:t xml:space="preserve">soglasja </w:t>
            </w:r>
            <w:r w:rsidR="00B70253">
              <w:rPr>
                <w:rFonts w:ascii="Arial" w:eastAsia="Times New Roman" w:hAnsi="Arial" w:cs="Arial"/>
                <w:b/>
                <w:sz w:val="20"/>
                <w:szCs w:val="20"/>
                <w:lang w:eastAsia="sl-SI"/>
              </w:rPr>
              <w:t xml:space="preserve">Vlade Republike Slovenije </w:t>
            </w:r>
            <w:r w:rsidR="00A90CD8">
              <w:rPr>
                <w:rFonts w:ascii="Arial" w:eastAsia="Times New Roman" w:hAnsi="Arial" w:cs="Arial"/>
                <w:b/>
                <w:sz w:val="20"/>
                <w:szCs w:val="20"/>
                <w:lang w:eastAsia="sl-SI"/>
              </w:rPr>
              <w:t xml:space="preserve">k </w:t>
            </w:r>
            <w:r w:rsidR="00EE07C4">
              <w:rPr>
                <w:rFonts w:ascii="Arial" w:eastAsia="Times New Roman" w:hAnsi="Arial" w:cs="Arial"/>
                <w:b/>
                <w:sz w:val="20"/>
                <w:szCs w:val="20"/>
                <w:lang w:eastAsia="sl-SI"/>
              </w:rPr>
              <w:t>Sistemsk</w:t>
            </w:r>
            <w:r w:rsidR="00A90CD8">
              <w:rPr>
                <w:rFonts w:ascii="Arial" w:eastAsia="Times New Roman" w:hAnsi="Arial" w:cs="Arial"/>
                <w:b/>
                <w:sz w:val="20"/>
                <w:szCs w:val="20"/>
                <w:lang w:eastAsia="sl-SI"/>
              </w:rPr>
              <w:t>im</w:t>
            </w:r>
            <w:r w:rsidR="00EE07C4">
              <w:rPr>
                <w:rFonts w:ascii="Arial" w:eastAsia="Times New Roman" w:hAnsi="Arial" w:cs="Arial"/>
                <w:b/>
                <w:sz w:val="20"/>
                <w:szCs w:val="20"/>
                <w:lang w:eastAsia="sl-SI"/>
              </w:rPr>
              <w:t xml:space="preserve"> obratovaln</w:t>
            </w:r>
            <w:r w:rsidR="00A90CD8">
              <w:rPr>
                <w:rFonts w:ascii="Arial" w:eastAsia="Times New Roman" w:hAnsi="Arial" w:cs="Arial"/>
                <w:b/>
                <w:sz w:val="20"/>
                <w:szCs w:val="20"/>
                <w:lang w:eastAsia="sl-SI"/>
              </w:rPr>
              <w:t>im</w:t>
            </w:r>
            <w:r w:rsidR="00EE07C4">
              <w:rPr>
                <w:rFonts w:ascii="Arial" w:eastAsia="Times New Roman" w:hAnsi="Arial" w:cs="Arial"/>
                <w:b/>
                <w:sz w:val="20"/>
                <w:szCs w:val="20"/>
                <w:lang w:eastAsia="sl-SI"/>
              </w:rPr>
              <w:t xml:space="preserve"> navodil</w:t>
            </w:r>
            <w:r w:rsidR="00A90CD8">
              <w:rPr>
                <w:rFonts w:ascii="Arial" w:eastAsia="Times New Roman" w:hAnsi="Arial" w:cs="Arial"/>
                <w:b/>
                <w:sz w:val="20"/>
                <w:szCs w:val="20"/>
                <w:lang w:eastAsia="sl-SI"/>
              </w:rPr>
              <w:t>om</w:t>
            </w:r>
            <w:r w:rsidR="00EE07C4">
              <w:rPr>
                <w:rFonts w:ascii="Arial" w:eastAsia="Times New Roman" w:hAnsi="Arial" w:cs="Arial"/>
                <w:b/>
                <w:sz w:val="20"/>
                <w:szCs w:val="20"/>
                <w:lang w:eastAsia="sl-SI"/>
              </w:rPr>
              <w:t xml:space="preserve"> za distribucijsko omrežje električne energije</w:t>
            </w:r>
            <w:r w:rsidR="003824DA" w:rsidRPr="00977A56">
              <w:rPr>
                <w:rFonts w:ascii="Arial" w:hAnsi="Arial" w:cs="Arial"/>
                <w:b/>
                <w:sz w:val="20"/>
              </w:rPr>
              <w:t xml:space="preserve"> – predlog za obravnavo</w:t>
            </w:r>
          </w:p>
        </w:tc>
      </w:tr>
      <w:tr w:rsidR="00AE1F83" w:rsidRPr="00AE1F83" w:rsidTr="00DA694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DA6942">
        <w:tc>
          <w:tcPr>
            <w:tcW w:w="9163" w:type="dxa"/>
            <w:gridSpan w:val="4"/>
          </w:tcPr>
          <w:p w:rsidR="00507A3E" w:rsidRDefault="00507A3E" w:rsidP="00A718B4">
            <w:pPr>
              <w:pStyle w:val="Neotevilenodstavek"/>
              <w:spacing w:before="0" w:after="0" w:line="240" w:lineRule="auto"/>
              <w:rPr>
                <w:bCs/>
                <w:iCs/>
                <w:sz w:val="20"/>
                <w:szCs w:val="20"/>
              </w:rPr>
            </w:pPr>
          </w:p>
          <w:p w:rsidR="00A718B4" w:rsidRDefault="00A718B4" w:rsidP="00A718B4">
            <w:pPr>
              <w:pStyle w:val="Neotevilenodstavek"/>
              <w:spacing w:before="0" w:after="0" w:line="240" w:lineRule="auto"/>
              <w:rPr>
                <w:bCs/>
                <w:iCs/>
                <w:sz w:val="20"/>
                <w:szCs w:val="20"/>
              </w:rPr>
            </w:pPr>
            <w:r w:rsidRPr="00B41481">
              <w:rPr>
                <w:bCs/>
                <w:iCs/>
                <w:sz w:val="20"/>
                <w:szCs w:val="20"/>
              </w:rPr>
              <w:t xml:space="preserve">Na podlagi 21. člena Zakona o Vladi Republike Slovenije (Uradni list RS, št. </w:t>
            </w:r>
            <w:r w:rsidRPr="006E48C5">
              <w:rPr>
                <w:bCs/>
                <w:iCs/>
                <w:sz w:val="20"/>
                <w:szCs w:val="20"/>
              </w:rPr>
              <w:t>24/05 – uradno prečiščeno besedilo, 109/08, 38/10 – ZUKN, 8/12, 21/13, 47/13 – ZDU-1G, 65/14 in 55/17</w:t>
            </w:r>
            <w:r w:rsidRPr="00B41481">
              <w:rPr>
                <w:bCs/>
                <w:iCs/>
                <w:sz w:val="20"/>
                <w:szCs w:val="20"/>
              </w:rPr>
              <w:t xml:space="preserve">) in </w:t>
            </w:r>
            <w:r w:rsidR="00507A3E">
              <w:rPr>
                <w:bCs/>
                <w:iCs/>
                <w:sz w:val="20"/>
                <w:szCs w:val="20"/>
              </w:rPr>
              <w:t>šestega</w:t>
            </w:r>
            <w:r>
              <w:rPr>
                <w:bCs/>
                <w:iCs/>
                <w:sz w:val="20"/>
                <w:szCs w:val="20"/>
              </w:rPr>
              <w:t xml:space="preserve"> </w:t>
            </w:r>
            <w:r w:rsidRPr="00B41481">
              <w:rPr>
                <w:bCs/>
                <w:iCs/>
                <w:sz w:val="20"/>
                <w:szCs w:val="20"/>
              </w:rPr>
              <w:t xml:space="preserve">odstavka </w:t>
            </w:r>
            <w:r w:rsidR="00507A3E">
              <w:rPr>
                <w:bCs/>
                <w:iCs/>
                <w:sz w:val="20"/>
                <w:szCs w:val="20"/>
              </w:rPr>
              <w:t>144</w:t>
            </w:r>
            <w:r w:rsidRPr="00B41481">
              <w:rPr>
                <w:bCs/>
                <w:iCs/>
                <w:sz w:val="20"/>
                <w:szCs w:val="20"/>
              </w:rPr>
              <w:t xml:space="preserve">. člena </w:t>
            </w:r>
            <w:r w:rsidR="00507A3E">
              <w:rPr>
                <w:bCs/>
                <w:iCs/>
                <w:sz w:val="20"/>
                <w:szCs w:val="20"/>
              </w:rPr>
              <w:t>Energetskega</w:t>
            </w:r>
            <w:r w:rsidR="00507A3E" w:rsidRPr="00507A3E">
              <w:rPr>
                <w:bCs/>
                <w:iCs/>
                <w:sz w:val="20"/>
                <w:szCs w:val="20"/>
              </w:rPr>
              <w:t xml:space="preserve"> zakon</w:t>
            </w:r>
            <w:r w:rsidR="00507A3E">
              <w:rPr>
                <w:bCs/>
                <w:iCs/>
                <w:sz w:val="20"/>
                <w:szCs w:val="20"/>
              </w:rPr>
              <w:t>a</w:t>
            </w:r>
            <w:r w:rsidR="00507A3E" w:rsidRPr="00507A3E">
              <w:rPr>
                <w:bCs/>
                <w:iCs/>
                <w:sz w:val="20"/>
                <w:szCs w:val="20"/>
              </w:rPr>
              <w:t xml:space="preserve"> (Uradni list RS, št. </w:t>
            </w:r>
            <w:hyperlink r:id="rId10" w:tgtFrame="_blank" w:tooltip="Energetski zakon (uradno prečiščeno besedilo)" w:history="1">
              <w:r w:rsidR="00507A3E" w:rsidRPr="00507A3E">
                <w:rPr>
                  <w:iCs/>
                  <w:sz w:val="20"/>
                  <w:szCs w:val="20"/>
                </w:rPr>
                <w:t>60/19</w:t>
              </w:r>
            </w:hyperlink>
            <w:r w:rsidR="00507A3E" w:rsidRPr="00507A3E">
              <w:rPr>
                <w:bCs/>
                <w:iCs/>
                <w:sz w:val="20"/>
                <w:szCs w:val="20"/>
              </w:rPr>
              <w:t> – uradno prečiščeno besedilo in </w:t>
            </w:r>
            <w:hyperlink r:id="rId11" w:tgtFrame="_blank" w:tooltip="Zakon o spremembah in dopolnitvah Energetskega zakona" w:history="1">
              <w:r w:rsidR="00507A3E" w:rsidRPr="00507A3E">
                <w:rPr>
                  <w:iCs/>
                  <w:sz w:val="20"/>
                  <w:szCs w:val="20"/>
                </w:rPr>
                <w:t>65/20</w:t>
              </w:r>
            </w:hyperlink>
            <w:r w:rsidR="00507A3E" w:rsidRPr="00507A3E">
              <w:rPr>
                <w:bCs/>
                <w:iCs/>
                <w:sz w:val="20"/>
                <w:szCs w:val="20"/>
              </w:rPr>
              <w:t>)</w:t>
            </w:r>
            <w:r w:rsidRPr="00B41481">
              <w:rPr>
                <w:bCs/>
                <w:iCs/>
                <w:sz w:val="20"/>
                <w:szCs w:val="20"/>
              </w:rPr>
              <w:t xml:space="preserve"> je Vlada Republike Slovenije na  ….. seji dne ….. pod točko …… sprejela naslednji</w:t>
            </w:r>
          </w:p>
          <w:p w:rsidR="000B1439" w:rsidRDefault="000B1439" w:rsidP="003824DA">
            <w:pPr>
              <w:spacing w:before="120" w:after="240" w:line="240" w:lineRule="atLeast"/>
              <w:jc w:val="center"/>
              <w:rPr>
                <w:rFonts w:ascii="Arial" w:hAnsi="Arial" w:cs="Arial"/>
                <w:sz w:val="20"/>
                <w:szCs w:val="20"/>
              </w:rPr>
            </w:pPr>
          </w:p>
          <w:p w:rsidR="003824DA" w:rsidRDefault="003824DA" w:rsidP="003824DA">
            <w:pPr>
              <w:spacing w:before="120" w:after="240" w:line="240" w:lineRule="atLeast"/>
              <w:jc w:val="center"/>
              <w:rPr>
                <w:rFonts w:ascii="Arial" w:hAnsi="Arial" w:cs="Arial"/>
                <w:sz w:val="20"/>
                <w:szCs w:val="20"/>
              </w:rPr>
            </w:pPr>
            <w:r w:rsidRPr="003038C5">
              <w:rPr>
                <w:rFonts w:ascii="Arial" w:hAnsi="Arial" w:cs="Arial"/>
                <w:sz w:val="20"/>
                <w:szCs w:val="20"/>
              </w:rPr>
              <w:t>SKLEP</w:t>
            </w:r>
          </w:p>
          <w:p w:rsidR="003824DA" w:rsidRPr="003038C5" w:rsidRDefault="003824DA" w:rsidP="003824DA">
            <w:pPr>
              <w:spacing w:before="120" w:after="240" w:line="240" w:lineRule="atLeast"/>
              <w:jc w:val="center"/>
              <w:rPr>
                <w:rFonts w:ascii="Arial" w:hAnsi="Arial" w:cs="Arial"/>
                <w:sz w:val="20"/>
                <w:szCs w:val="20"/>
              </w:rPr>
            </w:pPr>
          </w:p>
          <w:p w:rsidR="00780873" w:rsidRPr="003C1325" w:rsidRDefault="003824DA" w:rsidP="003C1325">
            <w:pPr>
              <w:spacing w:after="0"/>
              <w:jc w:val="both"/>
              <w:rPr>
                <w:rFonts w:ascii="Arial" w:hAnsi="Arial" w:cs="Arial"/>
                <w:sz w:val="20"/>
                <w:szCs w:val="20"/>
              </w:rPr>
            </w:pPr>
            <w:r w:rsidRPr="003C1325">
              <w:rPr>
                <w:rFonts w:ascii="Arial" w:hAnsi="Arial" w:cs="Arial"/>
                <w:sz w:val="20"/>
                <w:szCs w:val="20"/>
                <w:lang w:eastAsia="sl-SI"/>
              </w:rPr>
              <w:t xml:space="preserve">Vlada Republike Slovenije </w:t>
            </w:r>
            <w:r w:rsidR="00EE07C4" w:rsidRPr="003C1325">
              <w:rPr>
                <w:rFonts w:ascii="Arial" w:hAnsi="Arial" w:cs="Arial"/>
                <w:sz w:val="20"/>
                <w:szCs w:val="20"/>
              </w:rPr>
              <w:t xml:space="preserve">je dala soglasje </w:t>
            </w:r>
            <w:r w:rsidR="00A90CD8">
              <w:rPr>
                <w:rFonts w:ascii="Arial" w:hAnsi="Arial" w:cs="Arial"/>
                <w:sz w:val="20"/>
                <w:szCs w:val="20"/>
              </w:rPr>
              <w:t>k</w:t>
            </w:r>
            <w:r w:rsidR="00A90CD8" w:rsidRPr="003C1325">
              <w:rPr>
                <w:rFonts w:ascii="Arial" w:hAnsi="Arial" w:cs="Arial"/>
                <w:sz w:val="20"/>
                <w:szCs w:val="20"/>
              </w:rPr>
              <w:t xml:space="preserve"> </w:t>
            </w:r>
            <w:r w:rsidR="00EE07C4" w:rsidRPr="003C1325">
              <w:rPr>
                <w:rFonts w:ascii="Arial" w:eastAsia="Times New Roman" w:hAnsi="Arial" w:cs="Arial"/>
                <w:sz w:val="20"/>
                <w:szCs w:val="20"/>
                <w:lang w:eastAsia="sl-SI"/>
              </w:rPr>
              <w:t>Sistemsk</w:t>
            </w:r>
            <w:r w:rsidR="00A90CD8">
              <w:rPr>
                <w:rFonts w:ascii="Arial" w:eastAsia="Times New Roman" w:hAnsi="Arial" w:cs="Arial"/>
                <w:sz w:val="20"/>
                <w:szCs w:val="20"/>
                <w:lang w:eastAsia="sl-SI"/>
              </w:rPr>
              <w:t>im</w:t>
            </w:r>
            <w:r w:rsidR="00EE07C4" w:rsidRPr="003C1325">
              <w:rPr>
                <w:rFonts w:ascii="Arial" w:eastAsia="Times New Roman" w:hAnsi="Arial" w:cs="Arial"/>
                <w:sz w:val="20"/>
                <w:szCs w:val="20"/>
                <w:lang w:eastAsia="sl-SI"/>
              </w:rPr>
              <w:t xml:space="preserve"> obratovaln</w:t>
            </w:r>
            <w:r w:rsidR="00A90CD8">
              <w:rPr>
                <w:rFonts w:ascii="Arial" w:eastAsia="Times New Roman" w:hAnsi="Arial" w:cs="Arial"/>
                <w:sz w:val="20"/>
                <w:szCs w:val="20"/>
                <w:lang w:eastAsia="sl-SI"/>
              </w:rPr>
              <w:t>im</w:t>
            </w:r>
            <w:r w:rsidR="00EE07C4" w:rsidRPr="003C1325">
              <w:rPr>
                <w:rFonts w:ascii="Arial" w:eastAsia="Times New Roman" w:hAnsi="Arial" w:cs="Arial"/>
                <w:sz w:val="20"/>
                <w:szCs w:val="20"/>
                <w:lang w:eastAsia="sl-SI"/>
              </w:rPr>
              <w:t xml:space="preserve"> navodil</w:t>
            </w:r>
            <w:r w:rsidR="00A90CD8">
              <w:rPr>
                <w:rFonts w:ascii="Arial" w:eastAsia="Times New Roman" w:hAnsi="Arial" w:cs="Arial"/>
                <w:sz w:val="20"/>
                <w:szCs w:val="20"/>
                <w:lang w:eastAsia="sl-SI"/>
              </w:rPr>
              <w:t>om</w:t>
            </w:r>
            <w:r w:rsidR="00EE07C4" w:rsidRPr="003C1325">
              <w:rPr>
                <w:rFonts w:ascii="Arial" w:eastAsia="Times New Roman" w:hAnsi="Arial" w:cs="Arial"/>
                <w:sz w:val="20"/>
                <w:szCs w:val="20"/>
                <w:lang w:eastAsia="sl-SI"/>
              </w:rPr>
              <w:t xml:space="preserve"> za distribucijsko omrežje električne energije</w:t>
            </w:r>
            <w:r w:rsidR="00A90CD8">
              <w:rPr>
                <w:rFonts w:ascii="Arial" w:eastAsia="Times New Roman" w:hAnsi="Arial" w:cs="Arial"/>
                <w:sz w:val="20"/>
                <w:szCs w:val="20"/>
                <w:lang w:eastAsia="sl-SI"/>
              </w:rPr>
              <w:t xml:space="preserve"> št. </w:t>
            </w:r>
            <w:bookmarkStart w:id="0" w:name="_GoBack"/>
            <w:r w:rsidR="00B076AC" w:rsidRPr="00B076AC">
              <w:rPr>
                <w:rFonts w:ascii="Arial" w:eastAsia="Times New Roman" w:hAnsi="Arial" w:cs="Arial"/>
                <w:sz w:val="20"/>
                <w:szCs w:val="20"/>
                <w:lang w:eastAsia="sl-SI"/>
              </w:rPr>
              <w:t>SODO-</w:t>
            </w:r>
            <w:r w:rsidR="00D6612A" w:rsidRPr="00B076AC">
              <w:rPr>
                <w:rFonts w:ascii="Arial" w:eastAsia="Times New Roman" w:hAnsi="Arial" w:cs="Arial"/>
                <w:sz w:val="20"/>
                <w:szCs w:val="20"/>
                <w:lang w:eastAsia="sl-SI"/>
              </w:rPr>
              <w:t>658/20-MM</w:t>
            </w:r>
            <w:r w:rsidR="00A90CD8">
              <w:rPr>
                <w:rFonts w:ascii="Arial" w:eastAsia="Times New Roman" w:hAnsi="Arial" w:cs="Arial"/>
                <w:sz w:val="20"/>
                <w:szCs w:val="20"/>
                <w:lang w:eastAsia="sl-SI"/>
              </w:rPr>
              <w:t xml:space="preserve"> </w:t>
            </w:r>
            <w:bookmarkEnd w:id="0"/>
            <w:r w:rsidR="00A90CD8">
              <w:rPr>
                <w:rFonts w:ascii="Arial" w:eastAsia="Times New Roman" w:hAnsi="Arial" w:cs="Arial"/>
                <w:sz w:val="20"/>
                <w:szCs w:val="20"/>
                <w:lang w:eastAsia="sl-SI"/>
              </w:rPr>
              <w:t xml:space="preserve">z dne </w:t>
            </w:r>
            <w:r w:rsidR="00A90CD8" w:rsidRPr="003C1325">
              <w:rPr>
                <w:rFonts w:ascii="Arial" w:hAnsi="Arial" w:cs="Arial"/>
                <w:sz w:val="20"/>
                <w:szCs w:val="20"/>
              </w:rPr>
              <w:t>13. oktobra 2020</w:t>
            </w:r>
            <w:r w:rsidR="00EE07C4" w:rsidRPr="003C1325">
              <w:rPr>
                <w:rFonts w:ascii="Arial" w:eastAsia="Times New Roman" w:hAnsi="Arial" w:cs="Arial"/>
                <w:sz w:val="20"/>
                <w:szCs w:val="20"/>
                <w:lang w:eastAsia="sl-SI"/>
              </w:rPr>
              <w:t xml:space="preserve">, ki jih </w:t>
            </w:r>
            <w:r w:rsidR="00A90CD8">
              <w:rPr>
                <w:rFonts w:ascii="Arial" w:eastAsia="Times New Roman" w:hAnsi="Arial" w:cs="Arial"/>
                <w:sz w:val="20"/>
                <w:szCs w:val="20"/>
                <w:lang w:eastAsia="sl-SI"/>
              </w:rPr>
              <w:t xml:space="preserve">je </w:t>
            </w:r>
            <w:r w:rsidR="00EE07C4" w:rsidRPr="003C1325">
              <w:rPr>
                <w:rFonts w:ascii="Arial" w:hAnsi="Arial" w:cs="Arial"/>
                <w:sz w:val="20"/>
                <w:szCs w:val="20"/>
              </w:rPr>
              <w:t>sprej</w:t>
            </w:r>
            <w:r w:rsidR="00A90CD8">
              <w:rPr>
                <w:rFonts w:ascii="Arial" w:hAnsi="Arial" w:cs="Arial"/>
                <w:sz w:val="20"/>
                <w:szCs w:val="20"/>
              </w:rPr>
              <w:t>el</w:t>
            </w:r>
            <w:r w:rsidR="00A718B4" w:rsidRPr="003C1325">
              <w:rPr>
                <w:rFonts w:ascii="Arial" w:hAnsi="Arial" w:cs="Arial"/>
                <w:sz w:val="20"/>
                <w:szCs w:val="20"/>
              </w:rPr>
              <w:t xml:space="preserve"> SODO, sistemski operater distribucijskega omrežja električne energije, d. o. o., Maribor.</w:t>
            </w:r>
          </w:p>
          <w:p w:rsidR="008C29A5" w:rsidRPr="008C29A5" w:rsidRDefault="008C29A5" w:rsidP="00175252">
            <w:pPr>
              <w:pStyle w:val="Odstavekseznama"/>
              <w:spacing w:after="0"/>
              <w:ind w:left="360"/>
              <w:jc w:val="both"/>
              <w:rPr>
                <w:rFonts w:ascii="Arial" w:hAnsi="Arial" w:cs="Arial"/>
                <w:sz w:val="20"/>
                <w:szCs w:val="20"/>
              </w:rPr>
            </w:pPr>
          </w:p>
          <w:p w:rsidR="003824DA" w:rsidRPr="004B59D5" w:rsidRDefault="003824DA" w:rsidP="003824DA">
            <w:pPr>
              <w:spacing w:after="120" w:line="240" w:lineRule="atLeast"/>
              <w:jc w:val="both"/>
              <w:rPr>
                <w:rFonts w:ascii="Arial" w:hAnsi="Arial" w:cs="Arial"/>
                <w:sz w:val="20"/>
                <w:szCs w:val="20"/>
                <w:lang w:eastAsia="sl-SI"/>
              </w:rPr>
            </w:pPr>
          </w:p>
          <w:p w:rsidR="00C01785" w:rsidRPr="00C01785" w:rsidRDefault="00C01785" w:rsidP="00C01785">
            <w:pPr>
              <w:overflowPunct w:val="0"/>
              <w:autoSpaceDE w:val="0"/>
              <w:autoSpaceDN w:val="0"/>
              <w:adjustRightInd w:val="0"/>
              <w:spacing w:line="240" w:lineRule="exact"/>
              <w:ind w:left="720"/>
              <w:contextualSpacing/>
              <w:jc w:val="center"/>
              <w:textAlignment w:val="baseline"/>
              <w:rPr>
                <w:rFonts w:ascii="Arial" w:hAnsi="Arial" w:cs="Arial"/>
                <w:sz w:val="20"/>
                <w:szCs w:val="20"/>
              </w:rPr>
            </w:pPr>
            <w:r>
              <w:rPr>
                <w:rFonts w:ascii="Arial" w:hAnsi="Arial" w:cs="Arial"/>
                <w:sz w:val="20"/>
                <w:szCs w:val="20"/>
              </w:rPr>
              <w:t xml:space="preserve">                                                             </w:t>
            </w:r>
            <w:r w:rsidRPr="00C01785">
              <w:rPr>
                <w:rFonts w:ascii="Arial" w:hAnsi="Arial" w:cs="Arial"/>
                <w:sz w:val="20"/>
                <w:szCs w:val="20"/>
              </w:rPr>
              <w:t>Dr. Božo Predalič</w:t>
            </w:r>
          </w:p>
          <w:p w:rsidR="003824DA" w:rsidRDefault="00C01785" w:rsidP="00C01785">
            <w:pPr>
              <w:autoSpaceDE w:val="0"/>
              <w:autoSpaceDN w:val="0"/>
              <w:adjustRightInd w:val="0"/>
              <w:spacing w:line="240" w:lineRule="atLeast"/>
              <w:jc w:val="both"/>
              <w:rPr>
                <w:rFonts w:ascii="Arial" w:hAnsi="Arial" w:cs="Arial"/>
                <w:sz w:val="20"/>
                <w:szCs w:val="20"/>
              </w:rPr>
            </w:pPr>
            <w:r w:rsidRPr="00C01785">
              <w:rPr>
                <w:rFonts w:ascii="Arial" w:hAnsi="Arial" w:cs="Arial"/>
                <w:sz w:val="20"/>
                <w:szCs w:val="20"/>
              </w:rPr>
              <w:tab/>
              <w:t xml:space="preserve">                                                                        </w:t>
            </w:r>
            <w:r>
              <w:rPr>
                <w:rFonts w:ascii="Arial" w:hAnsi="Arial" w:cs="Arial"/>
                <w:sz w:val="20"/>
                <w:szCs w:val="20"/>
              </w:rPr>
              <w:t xml:space="preserve">                  </w:t>
            </w:r>
            <w:r w:rsidRPr="00C01785">
              <w:rPr>
                <w:rFonts w:ascii="Arial" w:hAnsi="Arial" w:cs="Arial"/>
                <w:sz w:val="20"/>
                <w:szCs w:val="20"/>
              </w:rPr>
              <w:t xml:space="preserve"> generalni sekretar </w:t>
            </w:r>
          </w:p>
          <w:p w:rsidR="003824DA" w:rsidRDefault="003824DA" w:rsidP="003824DA">
            <w:pPr>
              <w:autoSpaceDE w:val="0"/>
              <w:autoSpaceDN w:val="0"/>
              <w:adjustRightInd w:val="0"/>
              <w:spacing w:line="240" w:lineRule="atLeast"/>
              <w:jc w:val="both"/>
              <w:rPr>
                <w:rFonts w:ascii="Arial" w:hAnsi="Arial" w:cs="Arial"/>
                <w:sz w:val="20"/>
                <w:szCs w:val="20"/>
              </w:rPr>
            </w:pPr>
            <w:r>
              <w:rPr>
                <w:rFonts w:ascii="Arial" w:hAnsi="Arial" w:cs="Arial"/>
                <w:sz w:val="20"/>
                <w:szCs w:val="20"/>
              </w:rPr>
              <w:t>Priloge:</w:t>
            </w:r>
          </w:p>
          <w:p w:rsidR="003824DA" w:rsidRDefault="003824DA" w:rsidP="00656C79">
            <w:pPr>
              <w:numPr>
                <w:ilvl w:val="0"/>
                <w:numId w:val="9"/>
              </w:numPr>
              <w:spacing w:after="0" w:line="240" w:lineRule="atLeast"/>
              <w:rPr>
                <w:rFonts w:ascii="Arial" w:hAnsi="Arial" w:cs="Arial"/>
                <w:sz w:val="20"/>
                <w:szCs w:val="20"/>
              </w:rPr>
            </w:pPr>
            <w:r>
              <w:rPr>
                <w:rFonts w:ascii="Arial" w:hAnsi="Arial" w:cs="Arial"/>
                <w:sz w:val="20"/>
                <w:szCs w:val="20"/>
              </w:rPr>
              <w:t>Obrazložitev</w:t>
            </w:r>
          </w:p>
          <w:p w:rsidR="00C037F1" w:rsidRDefault="00A718B4" w:rsidP="00656C79">
            <w:pPr>
              <w:pStyle w:val="Odstavekseznama"/>
              <w:numPr>
                <w:ilvl w:val="0"/>
                <w:numId w:val="9"/>
              </w:numPr>
              <w:spacing w:after="0"/>
              <w:rPr>
                <w:rFonts w:ascii="Arial" w:hAnsi="Arial" w:cs="Arial"/>
                <w:sz w:val="20"/>
                <w:szCs w:val="20"/>
              </w:rPr>
            </w:pPr>
            <w:r w:rsidRPr="00EE07C4">
              <w:rPr>
                <w:rFonts w:ascii="Arial" w:eastAsia="Times New Roman" w:hAnsi="Arial" w:cs="Arial"/>
                <w:sz w:val="20"/>
                <w:szCs w:val="20"/>
                <w:lang w:eastAsia="sl-SI"/>
              </w:rPr>
              <w:t>Sistemska obratovalna navodila za distribucijsko omrežje električne energije</w:t>
            </w:r>
            <w:r w:rsidR="00C037F1" w:rsidRPr="000222EA">
              <w:rPr>
                <w:rFonts w:ascii="Arial" w:hAnsi="Arial" w:cs="Arial"/>
                <w:sz w:val="20"/>
                <w:szCs w:val="20"/>
              </w:rPr>
              <w:t>,</w:t>
            </w:r>
          </w:p>
          <w:p w:rsidR="00A718B4" w:rsidRPr="00A718B4" w:rsidRDefault="00A718B4" w:rsidP="00656C79">
            <w:pPr>
              <w:pStyle w:val="Odstavekseznama"/>
              <w:numPr>
                <w:ilvl w:val="0"/>
                <w:numId w:val="9"/>
              </w:numPr>
              <w:spacing w:after="0"/>
              <w:rPr>
                <w:rFonts w:ascii="Arial" w:hAnsi="Arial" w:cs="Arial"/>
                <w:sz w:val="20"/>
                <w:szCs w:val="20"/>
              </w:rPr>
            </w:pPr>
            <w:r>
              <w:rPr>
                <w:rFonts w:ascii="Arial" w:hAnsi="Arial" w:cs="Arial"/>
                <w:sz w:val="20"/>
                <w:szCs w:val="20"/>
              </w:rPr>
              <w:t xml:space="preserve">Priloga 1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p>
          <w:p w:rsidR="00A718B4" w:rsidRPr="000222EA" w:rsidRDefault="00A718B4" w:rsidP="00656C79">
            <w:pPr>
              <w:pStyle w:val="Odstavekseznama"/>
              <w:numPr>
                <w:ilvl w:val="0"/>
                <w:numId w:val="9"/>
              </w:numPr>
              <w:spacing w:after="0"/>
              <w:rPr>
                <w:rFonts w:ascii="Arial" w:hAnsi="Arial" w:cs="Arial"/>
                <w:sz w:val="20"/>
                <w:szCs w:val="20"/>
              </w:rPr>
            </w:pPr>
            <w:r>
              <w:rPr>
                <w:rFonts w:ascii="Arial" w:hAnsi="Arial" w:cs="Arial"/>
                <w:sz w:val="20"/>
                <w:szCs w:val="20"/>
              </w:rPr>
              <w:t xml:space="preserve">Priloga 2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p>
          <w:p w:rsidR="00A718B4" w:rsidRPr="000222EA" w:rsidRDefault="00A718B4" w:rsidP="00656C79">
            <w:pPr>
              <w:pStyle w:val="Odstavekseznama"/>
              <w:numPr>
                <w:ilvl w:val="0"/>
                <w:numId w:val="9"/>
              </w:numPr>
              <w:spacing w:after="0"/>
              <w:rPr>
                <w:rFonts w:ascii="Arial" w:hAnsi="Arial" w:cs="Arial"/>
                <w:sz w:val="20"/>
                <w:szCs w:val="20"/>
              </w:rPr>
            </w:pPr>
            <w:r>
              <w:rPr>
                <w:rFonts w:ascii="Arial" w:hAnsi="Arial" w:cs="Arial"/>
                <w:sz w:val="20"/>
                <w:szCs w:val="20"/>
              </w:rPr>
              <w:t xml:space="preserve">Priloga 3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p>
          <w:p w:rsidR="00A718B4" w:rsidRPr="000222EA" w:rsidRDefault="00A718B4" w:rsidP="00656C79">
            <w:pPr>
              <w:pStyle w:val="Odstavekseznama"/>
              <w:numPr>
                <w:ilvl w:val="0"/>
                <w:numId w:val="9"/>
              </w:numPr>
              <w:spacing w:after="0"/>
              <w:rPr>
                <w:rFonts w:ascii="Arial" w:hAnsi="Arial" w:cs="Arial"/>
                <w:sz w:val="20"/>
                <w:szCs w:val="20"/>
              </w:rPr>
            </w:pPr>
            <w:r>
              <w:rPr>
                <w:rFonts w:ascii="Arial" w:hAnsi="Arial" w:cs="Arial"/>
                <w:sz w:val="20"/>
                <w:szCs w:val="20"/>
              </w:rPr>
              <w:t xml:space="preserve">Priloga 4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p>
          <w:p w:rsidR="00A718B4" w:rsidRPr="000222EA" w:rsidRDefault="00A718B4" w:rsidP="00656C79">
            <w:pPr>
              <w:pStyle w:val="Odstavekseznama"/>
              <w:numPr>
                <w:ilvl w:val="0"/>
                <w:numId w:val="9"/>
              </w:numPr>
              <w:spacing w:after="0"/>
              <w:rPr>
                <w:rFonts w:ascii="Arial" w:hAnsi="Arial" w:cs="Arial"/>
                <w:sz w:val="20"/>
                <w:szCs w:val="20"/>
              </w:rPr>
            </w:pPr>
            <w:r>
              <w:rPr>
                <w:rFonts w:ascii="Arial" w:hAnsi="Arial" w:cs="Arial"/>
                <w:sz w:val="20"/>
                <w:szCs w:val="20"/>
              </w:rPr>
              <w:t xml:space="preserve">Priloga 5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p>
          <w:p w:rsidR="00A718B4" w:rsidRPr="00656C79" w:rsidRDefault="00A718B4" w:rsidP="00656C79">
            <w:pPr>
              <w:pStyle w:val="Odstavekseznama"/>
              <w:numPr>
                <w:ilvl w:val="0"/>
                <w:numId w:val="9"/>
              </w:numPr>
              <w:spacing w:after="0"/>
              <w:rPr>
                <w:rFonts w:ascii="Arial" w:hAnsi="Arial" w:cs="Arial"/>
                <w:sz w:val="20"/>
                <w:szCs w:val="20"/>
              </w:rPr>
            </w:pPr>
            <w:r>
              <w:rPr>
                <w:rFonts w:ascii="Arial" w:hAnsi="Arial" w:cs="Arial"/>
                <w:sz w:val="20"/>
                <w:szCs w:val="20"/>
              </w:rPr>
              <w:t xml:space="preserve">Priloga 6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p>
          <w:p w:rsidR="00656C79" w:rsidRPr="000222EA" w:rsidRDefault="00656C79" w:rsidP="00656C79">
            <w:pPr>
              <w:pStyle w:val="Odstavekseznama"/>
              <w:numPr>
                <w:ilvl w:val="0"/>
                <w:numId w:val="9"/>
              </w:numPr>
              <w:spacing w:after="0"/>
              <w:rPr>
                <w:rFonts w:ascii="Arial" w:hAnsi="Arial" w:cs="Arial"/>
                <w:sz w:val="20"/>
                <w:szCs w:val="20"/>
              </w:rPr>
            </w:pPr>
            <w:r>
              <w:rPr>
                <w:rFonts w:ascii="Arial" w:eastAsia="Times New Roman" w:hAnsi="Arial" w:cs="Arial"/>
                <w:sz w:val="20"/>
                <w:szCs w:val="20"/>
                <w:lang w:eastAsia="sl-SI"/>
              </w:rPr>
              <w:t xml:space="preserve">Soglasje Agencije za energije na </w:t>
            </w:r>
            <w:r w:rsidRPr="00EE07C4">
              <w:rPr>
                <w:rFonts w:ascii="Arial" w:eastAsia="Times New Roman" w:hAnsi="Arial" w:cs="Arial"/>
                <w:sz w:val="20"/>
                <w:szCs w:val="20"/>
                <w:lang w:eastAsia="sl-SI"/>
              </w:rPr>
              <w:t>Sistemska obratovalna navodila za distribucijsko omrežje električne energije</w:t>
            </w:r>
          </w:p>
          <w:p w:rsidR="00A718B4" w:rsidRPr="00A718B4" w:rsidRDefault="00A718B4" w:rsidP="00A718B4">
            <w:pPr>
              <w:spacing w:after="0"/>
              <w:rPr>
                <w:rFonts w:ascii="Arial" w:hAnsi="Arial" w:cs="Arial"/>
                <w:sz w:val="20"/>
                <w:szCs w:val="20"/>
              </w:rPr>
            </w:pPr>
          </w:p>
          <w:p w:rsidR="003824DA" w:rsidRDefault="003824DA" w:rsidP="003824DA">
            <w:pPr>
              <w:autoSpaceDE w:val="0"/>
              <w:autoSpaceDN w:val="0"/>
              <w:adjustRightInd w:val="0"/>
              <w:spacing w:after="120" w:line="240" w:lineRule="atLeast"/>
              <w:rPr>
                <w:rFonts w:ascii="Arial" w:hAnsi="Arial" w:cs="Arial"/>
                <w:sz w:val="20"/>
                <w:szCs w:val="20"/>
              </w:rPr>
            </w:pPr>
          </w:p>
          <w:p w:rsidR="003824DA" w:rsidRPr="003038C5" w:rsidRDefault="003824DA" w:rsidP="003824DA">
            <w:pPr>
              <w:autoSpaceDE w:val="0"/>
              <w:autoSpaceDN w:val="0"/>
              <w:adjustRightInd w:val="0"/>
              <w:spacing w:after="120" w:line="240" w:lineRule="atLeast"/>
              <w:rPr>
                <w:rFonts w:ascii="Arial" w:hAnsi="Arial" w:cs="Arial"/>
                <w:sz w:val="20"/>
                <w:szCs w:val="20"/>
              </w:rPr>
            </w:pPr>
            <w:r w:rsidRPr="003038C5">
              <w:rPr>
                <w:rFonts w:ascii="Arial" w:hAnsi="Arial" w:cs="Arial"/>
                <w:sz w:val="20"/>
                <w:szCs w:val="20"/>
              </w:rPr>
              <w:t>Prejemniki sklepa:</w:t>
            </w:r>
          </w:p>
          <w:p w:rsidR="003824DA" w:rsidRDefault="003824DA" w:rsidP="00656C79">
            <w:pPr>
              <w:numPr>
                <w:ilvl w:val="0"/>
                <w:numId w:val="9"/>
              </w:numPr>
              <w:spacing w:after="0" w:line="240" w:lineRule="atLeast"/>
              <w:rPr>
                <w:rFonts w:ascii="Arial" w:hAnsi="Arial" w:cs="Arial"/>
                <w:sz w:val="20"/>
                <w:szCs w:val="20"/>
              </w:rPr>
            </w:pPr>
            <w:r w:rsidRPr="003038C5">
              <w:rPr>
                <w:rFonts w:ascii="Arial" w:hAnsi="Arial" w:cs="Arial"/>
                <w:sz w:val="20"/>
                <w:szCs w:val="20"/>
              </w:rPr>
              <w:lastRenderedPageBreak/>
              <w:t>Ministrstvo za infrastrukturo, Langusova 4, 1000 Ljubljana</w:t>
            </w:r>
          </w:p>
          <w:p w:rsidR="00656C79" w:rsidRPr="00656C79" w:rsidRDefault="00656C79" w:rsidP="00656C79">
            <w:pPr>
              <w:numPr>
                <w:ilvl w:val="0"/>
                <w:numId w:val="9"/>
              </w:numPr>
              <w:spacing w:after="0" w:line="240" w:lineRule="atLeast"/>
              <w:rPr>
                <w:rFonts w:ascii="Arial" w:hAnsi="Arial" w:cs="Arial"/>
                <w:sz w:val="20"/>
                <w:szCs w:val="20"/>
              </w:rPr>
            </w:pPr>
            <w:r w:rsidRPr="00604C3B">
              <w:rPr>
                <w:rFonts w:ascii="Arial" w:hAnsi="Arial" w:cs="Arial"/>
                <w:sz w:val="20"/>
                <w:szCs w:val="20"/>
              </w:rPr>
              <w:t xml:space="preserve">Služba Vlade RS za zakonodajo, </w:t>
            </w:r>
            <w:r>
              <w:rPr>
                <w:rFonts w:ascii="Arial" w:hAnsi="Arial" w:cs="Arial"/>
                <w:sz w:val="20"/>
                <w:szCs w:val="20"/>
              </w:rPr>
              <w:t>Mestni trg 4, 1000 Ljubljana</w:t>
            </w:r>
          </w:p>
          <w:p w:rsidR="00656C79" w:rsidRDefault="00656C79" w:rsidP="00656C79">
            <w:pPr>
              <w:pStyle w:val="Neotevilenodstavek"/>
              <w:numPr>
                <w:ilvl w:val="0"/>
                <w:numId w:val="9"/>
              </w:numPr>
              <w:spacing w:before="0" w:after="0" w:line="260" w:lineRule="exact"/>
              <w:rPr>
                <w:iCs/>
                <w:sz w:val="20"/>
                <w:szCs w:val="20"/>
              </w:rPr>
            </w:pPr>
            <w:r>
              <w:rPr>
                <w:iCs/>
                <w:sz w:val="20"/>
                <w:szCs w:val="20"/>
              </w:rPr>
              <w:t>Agencija za energijo, Strossmayerjeva 30, 2000 Maribor</w:t>
            </w:r>
          </w:p>
          <w:p w:rsidR="00AE1F83" w:rsidRPr="00656C79" w:rsidRDefault="00656C79" w:rsidP="00656C79">
            <w:pPr>
              <w:numPr>
                <w:ilvl w:val="0"/>
                <w:numId w:val="9"/>
              </w:numPr>
              <w:spacing w:after="0" w:line="240" w:lineRule="atLeast"/>
              <w:rPr>
                <w:rFonts w:ascii="Arial" w:hAnsi="Arial" w:cs="Arial"/>
                <w:sz w:val="20"/>
                <w:szCs w:val="20"/>
              </w:rPr>
            </w:pPr>
            <w:r>
              <w:rPr>
                <w:rFonts w:ascii="Arial" w:hAnsi="Arial" w:cs="Arial"/>
                <w:sz w:val="20"/>
                <w:szCs w:val="20"/>
              </w:rPr>
              <w:t>SODO</w:t>
            </w:r>
            <w:r w:rsidR="00896374">
              <w:rPr>
                <w:rFonts w:ascii="Arial" w:hAnsi="Arial" w:cs="Arial"/>
                <w:sz w:val="20"/>
                <w:szCs w:val="20"/>
              </w:rPr>
              <w:t xml:space="preserve">, </w:t>
            </w:r>
            <w:r w:rsidR="00171672">
              <w:rPr>
                <w:rFonts w:ascii="Arial" w:hAnsi="Arial" w:cs="Arial"/>
                <w:sz w:val="20"/>
                <w:szCs w:val="20"/>
              </w:rPr>
              <w:t xml:space="preserve">d. o. o., </w:t>
            </w:r>
            <w:r w:rsidR="00896374">
              <w:rPr>
                <w:rFonts w:ascii="Arial" w:hAnsi="Arial" w:cs="Arial"/>
                <w:sz w:val="20"/>
                <w:szCs w:val="20"/>
              </w:rPr>
              <w:t>Minarikova ulica 5, 2000 Maribor</w:t>
            </w: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AE1F83" w:rsidRPr="00AE1F83" w:rsidTr="00DA6942">
        <w:tc>
          <w:tcPr>
            <w:tcW w:w="9163" w:type="dxa"/>
            <w:gridSpan w:val="4"/>
          </w:tcPr>
          <w:p w:rsidR="00AE1F83" w:rsidRPr="00AE1F83" w:rsidRDefault="003824D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DA6942">
        <w:tc>
          <w:tcPr>
            <w:tcW w:w="9163" w:type="dxa"/>
            <w:gridSpan w:val="4"/>
          </w:tcPr>
          <w:p w:rsidR="00C01785" w:rsidRDefault="00C01785" w:rsidP="00C01785">
            <w:pPr>
              <w:numPr>
                <w:ilvl w:val="0"/>
                <w:numId w:val="11"/>
              </w:numPr>
              <w:overflowPunct w:val="0"/>
              <w:autoSpaceDE w:val="0"/>
              <w:autoSpaceDN w:val="0"/>
              <w:adjustRightInd w:val="0"/>
              <w:spacing w:after="0" w:line="240" w:lineRule="exact"/>
              <w:contextualSpacing/>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Blaž Košorok, državni sekretar</w:t>
            </w:r>
            <w:r w:rsidR="00151D93">
              <w:rPr>
                <w:rFonts w:ascii="Arial" w:eastAsia="Times New Roman" w:hAnsi="Arial" w:cs="Arial"/>
                <w:sz w:val="20"/>
                <w:szCs w:val="20"/>
                <w:lang w:eastAsia="sl-SI"/>
              </w:rPr>
              <w:t>,</w:t>
            </w:r>
          </w:p>
          <w:p w:rsidR="00C01785" w:rsidRPr="00C01785" w:rsidRDefault="00C01785" w:rsidP="00C01785">
            <w:pPr>
              <w:numPr>
                <w:ilvl w:val="0"/>
                <w:numId w:val="11"/>
              </w:numPr>
              <w:overflowPunct w:val="0"/>
              <w:autoSpaceDE w:val="0"/>
              <w:autoSpaceDN w:val="0"/>
              <w:adjustRightInd w:val="0"/>
              <w:spacing w:after="0" w:line="240" w:lineRule="exact"/>
              <w:contextualSpacing/>
              <w:jc w:val="both"/>
              <w:textAlignment w:val="baseline"/>
              <w:rPr>
                <w:rFonts w:ascii="Arial" w:eastAsia="Times New Roman" w:hAnsi="Arial" w:cs="Arial"/>
                <w:sz w:val="20"/>
                <w:szCs w:val="20"/>
                <w:lang w:eastAsia="sl-SI"/>
              </w:rPr>
            </w:pPr>
            <w:r w:rsidRPr="00C01785">
              <w:rPr>
                <w:rFonts w:ascii="Arial" w:eastAsia="Times New Roman" w:hAnsi="Arial" w:cs="Arial"/>
                <w:sz w:val="20"/>
                <w:szCs w:val="20"/>
                <w:lang w:eastAsia="sl-SI"/>
              </w:rPr>
              <w:t>mag. Hinko Šolinc, generalni direktor Direktorata za energijo</w:t>
            </w:r>
            <w:r w:rsidR="00151D93">
              <w:rPr>
                <w:rFonts w:ascii="Arial" w:eastAsia="Times New Roman" w:hAnsi="Arial" w:cs="Arial"/>
                <w:sz w:val="20"/>
                <w:szCs w:val="20"/>
                <w:lang w:eastAsia="sl-SI"/>
              </w:rPr>
              <w:t>,</w:t>
            </w:r>
          </w:p>
          <w:p w:rsidR="00AE1F83" w:rsidRPr="00C01785" w:rsidRDefault="00C01785" w:rsidP="00151D93">
            <w:pPr>
              <w:numPr>
                <w:ilvl w:val="0"/>
                <w:numId w:val="11"/>
              </w:numPr>
              <w:overflowPunct w:val="0"/>
              <w:autoSpaceDE w:val="0"/>
              <w:autoSpaceDN w:val="0"/>
              <w:adjustRightInd w:val="0"/>
              <w:spacing w:after="0" w:line="240" w:lineRule="exact"/>
              <w:contextualSpacing/>
              <w:jc w:val="both"/>
              <w:textAlignment w:val="baseline"/>
              <w:rPr>
                <w:rFonts w:ascii="Arial" w:eastAsia="Times New Roman" w:hAnsi="Arial" w:cs="Arial"/>
                <w:sz w:val="20"/>
                <w:szCs w:val="20"/>
                <w:lang w:eastAsia="sl-SI"/>
              </w:rPr>
            </w:pPr>
            <w:r w:rsidRPr="00C01785">
              <w:rPr>
                <w:rFonts w:ascii="Arial" w:eastAsia="Times New Roman" w:hAnsi="Arial" w:cs="Arial"/>
                <w:sz w:val="20"/>
                <w:szCs w:val="20"/>
                <w:lang w:eastAsia="sl-SI"/>
              </w:rPr>
              <w:t xml:space="preserve">mag. </w:t>
            </w:r>
            <w:r w:rsidR="00896374">
              <w:rPr>
                <w:rFonts w:ascii="Arial" w:eastAsia="Times New Roman" w:hAnsi="Arial" w:cs="Arial"/>
                <w:sz w:val="20"/>
                <w:szCs w:val="20"/>
                <w:lang w:eastAsia="sl-SI"/>
              </w:rPr>
              <w:t>mag. Urban Prelog</w:t>
            </w:r>
            <w:r w:rsidRPr="00C01785">
              <w:rPr>
                <w:rFonts w:ascii="Arial" w:eastAsia="Times New Roman" w:hAnsi="Arial" w:cs="Arial"/>
                <w:sz w:val="20"/>
                <w:szCs w:val="20"/>
                <w:lang w:eastAsia="sl-SI"/>
              </w:rPr>
              <w:t xml:space="preserve">, </w:t>
            </w:r>
            <w:r w:rsidR="00D24B4F">
              <w:rPr>
                <w:rFonts w:ascii="Arial" w:eastAsia="Times New Roman" w:hAnsi="Arial" w:cs="Arial"/>
                <w:sz w:val="20"/>
                <w:szCs w:val="20"/>
                <w:lang w:eastAsia="sl-SI"/>
              </w:rPr>
              <w:t>podsekretar</w:t>
            </w: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DA6942">
        <w:tc>
          <w:tcPr>
            <w:tcW w:w="9163" w:type="dxa"/>
            <w:gridSpan w:val="4"/>
          </w:tcPr>
          <w:p w:rsidR="00AE1F83" w:rsidRPr="00AE1F83" w:rsidRDefault="003824D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DA6942">
        <w:tc>
          <w:tcPr>
            <w:tcW w:w="9163" w:type="dxa"/>
            <w:gridSpan w:val="4"/>
          </w:tcPr>
          <w:p w:rsidR="00AE1F83" w:rsidRPr="00AE1F83" w:rsidRDefault="003824DA"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rsidTr="00DA694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DA6942">
        <w:tc>
          <w:tcPr>
            <w:tcW w:w="9163" w:type="dxa"/>
            <w:gridSpan w:val="4"/>
          </w:tcPr>
          <w:p w:rsidR="00213A09" w:rsidRDefault="00213A09" w:rsidP="00213A09">
            <w:pPr>
              <w:pStyle w:val="HTML-oblikovano"/>
              <w:jc w:val="both"/>
              <w:rPr>
                <w:rFonts w:ascii="Arial" w:hAnsi="Arial" w:cs="Arial"/>
                <w:sz w:val="20"/>
                <w:szCs w:val="20"/>
              </w:rPr>
            </w:pPr>
          </w:p>
          <w:p w:rsidR="00213A09" w:rsidRPr="00A9319B" w:rsidRDefault="00213A09" w:rsidP="00213A09">
            <w:pPr>
              <w:pStyle w:val="HTML-oblikovano"/>
              <w:jc w:val="both"/>
              <w:rPr>
                <w:rFonts w:ascii="Arial" w:hAnsi="Arial" w:cs="Arial"/>
                <w:sz w:val="20"/>
                <w:szCs w:val="20"/>
              </w:rPr>
            </w:pPr>
            <w:r w:rsidRPr="00A9319B">
              <w:rPr>
                <w:rFonts w:ascii="Arial" w:hAnsi="Arial" w:cs="Arial"/>
                <w:sz w:val="20"/>
                <w:szCs w:val="20"/>
              </w:rPr>
              <w:t>144. člen Energetskega zakona (Uradni list RS, št. </w:t>
            </w:r>
            <w:hyperlink r:id="rId12" w:tgtFrame="_blank" w:tooltip="Energetski zakon (uradno prečiščeno besedilo)" w:history="1">
              <w:r w:rsidRPr="00A9319B">
                <w:rPr>
                  <w:rFonts w:ascii="Arial" w:hAnsi="Arial" w:cs="Arial"/>
                  <w:sz w:val="20"/>
                  <w:szCs w:val="20"/>
                </w:rPr>
                <w:t>60/19</w:t>
              </w:r>
            </w:hyperlink>
            <w:r w:rsidRPr="00A9319B">
              <w:rPr>
                <w:rFonts w:ascii="Arial" w:hAnsi="Arial" w:cs="Arial"/>
                <w:sz w:val="20"/>
                <w:szCs w:val="20"/>
              </w:rPr>
              <w:t> – uradno prečiščeno besedilo in </w:t>
            </w:r>
            <w:hyperlink r:id="rId13" w:tgtFrame="_blank" w:tooltip="Zakon o spremembah in dopolnitvah Energetskega zakona" w:history="1">
              <w:r w:rsidRPr="00A9319B">
                <w:rPr>
                  <w:rFonts w:ascii="Arial" w:hAnsi="Arial" w:cs="Arial"/>
                  <w:sz w:val="20"/>
                  <w:szCs w:val="20"/>
                </w:rPr>
                <w:t>65/20</w:t>
              </w:r>
            </w:hyperlink>
            <w:r w:rsidRPr="00A9319B">
              <w:rPr>
                <w:rFonts w:ascii="Arial" w:hAnsi="Arial" w:cs="Arial"/>
                <w:sz w:val="20"/>
                <w:szCs w:val="20"/>
              </w:rPr>
              <w:t>)  določa, da sistemska obratovalna navodila za posamezen prenosni ali distribucijski sistem izda po javnem pooblastilu elektrooperater, ki na tem sistemu izvaja dejavnost operaterja, in jih objavi v Uradnem listu Republike Slovenije. Pred njihovo objavo mora pridobiti soglasje Agencije za energijo in vlade.</w:t>
            </w:r>
          </w:p>
          <w:p w:rsidR="00213A09" w:rsidRPr="00A9319B" w:rsidRDefault="00213A09" w:rsidP="00213A09">
            <w:pPr>
              <w:pStyle w:val="HTML-oblikovano"/>
              <w:jc w:val="both"/>
              <w:rPr>
                <w:rFonts w:ascii="Arial" w:hAnsi="Arial" w:cs="Arial"/>
                <w:sz w:val="20"/>
                <w:szCs w:val="20"/>
              </w:rPr>
            </w:pPr>
          </w:p>
          <w:p w:rsidR="00213A09" w:rsidRPr="00A9319B" w:rsidRDefault="00213A09" w:rsidP="00213A09">
            <w:pPr>
              <w:pStyle w:val="HTML-oblikovano"/>
              <w:jc w:val="both"/>
              <w:rPr>
                <w:rFonts w:ascii="Arial" w:hAnsi="Arial" w:cs="Arial"/>
                <w:sz w:val="20"/>
                <w:szCs w:val="20"/>
              </w:rPr>
            </w:pPr>
            <w:r w:rsidRPr="00A9319B">
              <w:rPr>
                <w:rFonts w:ascii="Arial" w:hAnsi="Arial" w:cs="Arial"/>
                <w:sz w:val="20"/>
                <w:szCs w:val="20"/>
              </w:rPr>
              <w:t>Na slovenskem elektrodistribucijskem sistemu izvaja nalogo distribucijskega operaterja družba Sistemski operater distribucijskega omrežja z električno energijo  d.o.o. (v nadaljevanju SODO).</w:t>
            </w:r>
          </w:p>
          <w:p w:rsidR="00213A09" w:rsidRPr="00A9319B" w:rsidRDefault="00213A09" w:rsidP="00213A09">
            <w:pPr>
              <w:pStyle w:val="HTML-oblikovano"/>
              <w:jc w:val="both"/>
              <w:rPr>
                <w:rFonts w:ascii="Arial" w:hAnsi="Arial" w:cs="Arial"/>
                <w:sz w:val="20"/>
                <w:szCs w:val="20"/>
              </w:rPr>
            </w:pPr>
          </w:p>
          <w:p w:rsidR="00AE1F83" w:rsidRDefault="00213A09" w:rsidP="00213A09">
            <w:pPr>
              <w:spacing w:before="120"/>
              <w:jc w:val="both"/>
              <w:rPr>
                <w:rFonts w:ascii="Arial" w:hAnsi="Arial" w:cs="Arial"/>
                <w:sz w:val="20"/>
                <w:szCs w:val="20"/>
              </w:rPr>
            </w:pPr>
            <w:r w:rsidRPr="00A9319B">
              <w:rPr>
                <w:rFonts w:ascii="Arial" w:hAnsi="Arial" w:cs="Arial"/>
                <w:sz w:val="20"/>
                <w:szCs w:val="20"/>
              </w:rPr>
              <w:t xml:space="preserve">SODO je izdelal Sistemska obratovalna navodila za distribucijski sistem električne energije (v nadaljevanju Navodila) in jih predložil Agenciji za energijo, ki je 22. oktobra 2020 podala soglasje št. 73-1/2020-21/263. </w:t>
            </w:r>
          </w:p>
          <w:p w:rsidR="008A055E" w:rsidRPr="00213A09" w:rsidRDefault="008A055E" w:rsidP="00213A09">
            <w:pPr>
              <w:spacing w:before="120"/>
              <w:jc w:val="both"/>
              <w:rPr>
                <w:rFonts w:ascii="Arial" w:hAnsi="Arial" w:cs="Arial"/>
                <w:sz w:val="20"/>
                <w:szCs w:val="20"/>
              </w:rPr>
            </w:pPr>
            <w:r w:rsidRPr="00A9319B">
              <w:rPr>
                <w:rFonts w:ascii="Arial" w:hAnsi="Arial" w:cs="Arial"/>
                <w:sz w:val="20"/>
                <w:szCs w:val="20"/>
              </w:rPr>
              <w:t>Predložena Navodila izpolnjujejo vse zakonske, kot tudi postopkovne zahteve. Predložena navodila podrobno vsebinsko urejajo vsa področja, za katera je z</w:t>
            </w:r>
            <w:r>
              <w:rPr>
                <w:rFonts w:ascii="Arial" w:hAnsi="Arial" w:cs="Arial"/>
                <w:sz w:val="20"/>
                <w:szCs w:val="20"/>
              </w:rPr>
              <w:t>adolžen distribucijski operater, zato se predlaga, da Vlada Republike Slovenije poda soglasje.</w:t>
            </w:r>
          </w:p>
        </w:tc>
      </w:tr>
      <w:tr w:rsidR="00AE1F83" w:rsidRPr="00AE1F83" w:rsidTr="00DA694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3824DA">
              <w:rPr>
                <w:rFonts w:ascii="Arial" w:eastAsia="Times New Roman" w:hAnsi="Arial" w:cs="Arial"/>
                <w:b/>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3824DA">
              <w:rPr>
                <w:rFonts w:ascii="Arial" w:eastAsia="Times New Roman" w:hAnsi="Arial" w:cs="Arial"/>
                <w:b/>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3824DA">
              <w:rPr>
                <w:rFonts w:ascii="Arial" w:eastAsia="Times New Roman" w:hAnsi="Arial" w:cs="Arial"/>
                <w:b/>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3824DA">
              <w:rPr>
                <w:rFonts w:ascii="Arial" w:eastAsia="Times New Roman" w:hAnsi="Arial" w:cs="Arial"/>
                <w:b/>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3824DA">
              <w:rPr>
                <w:rFonts w:ascii="Arial" w:eastAsia="Times New Roman" w:hAnsi="Arial" w:cs="Arial"/>
                <w:b/>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3824DA">
              <w:rPr>
                <w:rFonts w:ascii="Arial" w:eastAsia="Times New Roman" w:hAnsi="Arial" w:cs="Arial"/>
                <w:b/>
                <w:sz w:val="20"/>
                <w:szCs w:val="20"/>
                <w:lang w:eastAsia="sl-SI"/>
              </w:rPr>
              <w:t>NE</w:t>
            </w:r>
          </w:p>
        </w:tc>
      </w:tr>
      <w:tr w:rsidR="00AE1F83" w:rsidRPr="00AE1F83" w:rsidTr="00DA6942">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3824DA">
              <w:rPr>
                <w:rFonts w:ascii="Arial" w:eastAsia="Times New Roman" w:hAnsi="Arial" w:cs="Arial"/>
                <w:b/>
                <w:sz w:val="20"/>
                <w:szCs w:val="20"/>
                <w:lang w:eastAsia="sl-SI"/>
              </w:rPr>
              <w:t>NE</w:t>
            </w:r>
          </w:p>
        </w:tc>
      </w:tr>
      <w:tr w:rsidR="00AE1F83" w:rsidRPr="00AE1F83" w:rsidTr="00DA6942">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3824DA"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oziroma </w:t>
            </w:r>
            <w:r w:rsidRPr="00AE1F83">
              <w:rPr>
                <w:rFonts w:ascii="Arial" w:eastAsia="Times New Roman" w:hAnsi="Arial" w:cs="Arial"/>
                <w:sz w:val="20"/>
                <w:szCs w:val="20"/>
                <w:lang w:eastAsia="sl-SI"/>
              </w:rPr>
              <w:lastRenderedPageBreak/>
              <w:t>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r w:rsidRPr="003824DA">
              <w:rPr>
                <w:rFonts w:ascii="Arial" w:eastAsia="Times New Roman" w:hAnsi="Arial" w:cs="Arial"/>
                <w:b/>
                <w:iCs/>
                <w:sz w:val="20"/>
                <w:szCs w:val="20"/>
                <w:lang w:eastAsia="sl-SI"/>
              </w:rPr>
              <w:t>NE</w:t>
            </w:r>
          </w:p>
          <w:p w:rsidR="00AE1F83" w:rsidRPr="003824DA"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iCs/>
                <w:sz w:val="20"/>
                <w:szCs w:val="20"/>
                <w:lang w:eastAsia="sl-SI"/>
              </w:rPr>
              <w:t>Združenju občin Slovenije ZOS: DA/</w:t>
            </w:r>
            <w:r w:rsidRPr="003824DA">
              <w:rPr>
                <w:rFonts w:ascii="Arial" w:eastAsia="Times New Roman" w:hAnsi="Arial" w:cs="Arial"/>
                <w:b/>
                <w:iCs/>
                <w:sz w:val="20"/>
                <w:szCs w:val="20"/>
                <w:lang w:eastAsia="sl-SI"/>
              </w:rPr>
              <w:t>NE</w:t>
            </w:r>
          </w:p>
          <w:p w:rsidR="00AE1F83" w:rsidRPr="003824DA"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iCs/>
                <w:sz w:val="20"/>
                <w:szCs w:val="20"/>
                <w:lang w:eastAsia="sl-SI"/>
              </w:rPr>
              <w:t>Združenju mestnih občin Slovenije ZMOS: DA/</w:t>
            </w:r>
            <w:r w:rsidRPr="003824DA">
              <w:rPr>
                <w:rFonts w:ascii="Arial" w:eastAsia="Times New Roman" w:hAnsi="Arial" w:cs="Arial"/>
                <w:b/>
                <w:iCs/>
                <w:sz w:val="20"/>
                <w:szCs w:val="20"/>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3824DA">
              <w:rPr>
                <w:rFonts w:ascii="Arial" w:eastAsia="Times New Roman" w:hAnsi="Arial" w:cs="Arial"/>
                <w:b/>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3824DA">
              <w:rPr>
                <w:rFonts w:ascii="Arial" w:eastAsia="Times New Roman" w:hAnsi="Arial" w:cs="Arial"/>
                <w:b/>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3824DA">
              <w:rPr>
                <w:rFonts w:ascii="Arial" w:eastAsia="Times New Roman" w:hAnsi="Arial" w:cs="Arial"/>
                <w:b/>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F6FEC" w:rsidRPr="00AF6FEC" w:rsidRDefault="00681623" w:rsidP="00AF6FEC">
            <w:pPr>
              <w:widowControl w:val="0"/>
              <w:suppressAutoHyphens/>
              <w:overflowPunct w:val="0"/>
              <w:autoSpaceDE w:val="0"/>
              <w:autoSpaceDN w:val="0"/>
              <w:adjustRightInd w:val="0"/>
              <w:spacing w:before="360" w:after="0" w:line="240" w:lineRule="exact"/>
              <w:ind w:left="3400"/>
              <w:contextualSpacing/>
              <w:textAlignment w:val="baseline"/>
              <w:outlineLvl w:val="3"/>
              <w:rPr>
                <w:rFonts w:ascii="Arial" w:eastAsia="Times New Roman" w:hAnsi="Arial" w:cs="Arial"/>
                <w:sz w:val="20"/>
                <w:szCs w:val="20"/>
              </w:rPr>
            </w:pPr>
            <w:r>
              <w:rPr>
                <w:rFonts w:ascii="Arial" w:eastAsia="Times New Roman" w:hAnsi="Arial" w:cs="Arial"/>
                <w:sz w:val="20"/>
                <w:szCs w:val="20"/>
              </w:rPr>
              <w:t xml:space="preserve">                                            </w:t>
            </w:r>
            <w:r w:rsidR="00AF6FEC" w:rsidRPr="00AF6FEC">
              <w:rPr>
                <w:rFonts w:ascii="Arial" w:eastAsia="Times New Roman" w:hAnsi="Arial" w:cs="Arial"/>
                <w:sz w:val="20"/>
                <w:szCs w:val="20"/>
              </w:rPr>
              <w:t>Jernej Vrtovec</w:t>
            </w:r>
          </w:p>
          <w:p w:rsidR="00AE1F83" w:rsidRPr="00AF6FEC" w:rsidRDefault="00AF6FEC" w:rsidP="00AF6FEC">
            <w:pPr>
              <w:widowControl w:val="0"/>
              <w:suppressAutoHyphens/>
              <w:overflowPunct w:val="0"/>
              <w:autoSpaceDE w:val="0"/>
              <w:autoSpaceDN w:val="0"/>
              <w:adjustRightInd w:val="0"/>
              <w:spacing w:before="360" w:after="0" w:line="240" w:lineRule="exact"/>
              <w:ind w:left="3400"/>
              <w:contextualSpacing/>
              <w:textAlignment w:val="baseline"/>
              <w:outlineLvl w:val="3"/>
              <w:rPr>
                <w:rFonts w:ascii="Arial" w:eastAsia="Times New Roman" w:hAnsi="Arial" w:cs="Arial"/>
                <w:sz w:val="20"/>
                <w:szCs w:val="20"/>
              </w:rPr>
            </w:pPr>
            <w:r w:rsidRPr="00AF6FEC">
              <w:rPr>
                <w:rFonts w:ascii="Arial" w:eastAsia="Times New Roman" w:hAnsi="Arial" w:cs="Arial"/>
                <w:sz w:val="20"/>
                <w:szCs w:val="20"/>
              </w:rPr>
              <w:t xml:space="preserve">                                               </w:t>
            </w:r>
            <w:r w:rsidR="00681623" w:rsidRPr="00AF6FEC">
              <w:rPr>
                <w:rFonts w:ascii="Arial" w:hAnsi="Arial" w:cs="Arial"/>
                <w:sz w:val="20"/>
                <w:szCs w:val="20"/>
              </w:rPr>
              <w:t>MINISTER</w:t>
            </w:r>
          </w:p>
          <w:p w:rsidR="00681623" w:rsidRPr="00AE1F83" w:rsidRDefault="00681623" w:rsidP="00681623">
            <w:pPr>
              <w:pStyle w:val="Poglavje"/>
              <w:widowControl w:val="0"/>
              <w:spacing w:before="0" w:after="0" w:line="260" w:lineRule="exact"/>
              <w:ind w:left="5946" w:firstLine="284"/>
              <w:jc w:val="left"/>
              <w:rPr>
                <w:b w:val="0"/>
                <w:sz w:val="20"/>
                <w:szCs w:val="20"/>
              </w:rPr>
            </w:pPr>
          </w:p>
        </w:tc>
      </w:tr>
    </w:tbl>
    <w:p w:rsidR="00FB397B" w:rsidRDefault="00FB397B"/>
    <w:p w:rsidR="000222EA" w:rsidRDefault="000222EA" w:rsidP="000222EA">
      <w:pPr>
        <w:spacing w:after="0"/>
        <w:rPr>
          <w:rFonts w:ascii="Arial" w:hAnsi="Arial" w:cs="Arial"/>
          <w:sz w:val="20"/>
          <w:szCs w:val="20"/>
        </w:rPr>
      </w:pPr>
      <w:r w:rsidRPr="000222EA">
        <w:rPr>
          <w:rFonts w:ascii="Arial" w:hAnsi="Arial" w:cs="Arial"/>
          <w:sz w:val="20"/>
          <w:szCs w:val="20"/>
        </w:rPr>
        <w:t>Priloge:</w:t>
      </w:r>
    </w:p>
    <w:p w:rsidR="00656C79" w:rsidRDefault="00656C79" w:rsidP="00656C79">
      <w:pPr>
        <w:numPr>
          <w:ilvl w:val="0"/>
          <w:numId w:val="9"/>
        </w:numPr>
        <w:spacing w:after="0" w:line="240" w:lineRule="atLeast"/>
        <w:rPr>
          <w:rFonts w:ascii="Arial" w:hAnsi="Arial" w:cs="Arial"/>
          <w:sz w:val="20"/>
          <w:szCs w:val="20"/>
        </w:rPr>
      </w:pPr>
      <w:r>
        <w:rPr>
          <w:rFonts w:ascii="Arial" w:hAnsi="Arial" w:cs="Arial"/>
          <w:sz w:val="20"/>
          <w:szCs w:val="20"/>
        </w:rPr>
        <w:t>Obrazložitev</w:t>
      </w:r>
    </w:p>
    <w:p w:rsidR="00656C79" w:rsidRDefault="00656C79" w:rsidP="00E738E4">
      <w:pPr>
        <w:pStyle w:val="Odstavekseznama"/>
        <w:numPr>
          <w:ilvl w:val="0"/>
          <w:numId w:val="9"/>
        </w:numPr>
        <w:spacing w:after="0"/>
        <w:jc w:val="both"/>
        <w:rPr>
          <w:rFonts w:ascii="Arial" w:hAnsi="Arial" w:cs="Arial"/>
          <w:sz w:val="20"/>
          <w:szCs w:val="20"/>
        </w:rPr>
      </w:pPr>
      <w:r w:rsidRPr="00EE07C4">
        <w:rPr>
          <w:rFonts w:ascii="Arial" w:eastAsia="Times New Roman" w:hAnsi="Arial" w:cs="Arial"/>
          <w:sz w:val="20"/>
          <w:szCs w:val="20"/>
          <w:lang w:eastAsia="sl-SI"/>
        </w:rPr>
        <w:t>Sistemska obratovalna navodila za distribucijsko omrežje električne energije</w:t>
      </w:r>
      <w:r w:rsidRPr="000222EA">
        <w:rPr>
          <w:rFonts w:ascii="Arial" w:hAnsi="Arial" w:cs="Arial"/>
          <w:sz w:val="20"/>
          <w:szCs w:val="20"/>
        </w:rPr>
        <w:t>,</w:t>
      </w:r>
    </w:p>
    <w:p w:rsidR="00656C79" w:rsidRPr="00A718B4" w:rsidRDefault="00656C79" w:rsidP="00E738E4">
      <w:pPr>
        <w:pStyle w:val="Odstavekseznama"/>
        <w:numPr>
          <w:ilvl w:val="0"/>
          <w:numId w:val="9"/>
        </w:numPr>
        <w:spacing w:after="0"/>
        <w:jc w:val="both"/>
        <w:rPr>
          <w:rFonts w:ascii="Arial" w:hAnsi="Arial" w:cs="Arial"/>
          <w:sz w:val="20"/>
          <w:szCs w:val="20"/>
        </w:rPr>
      </w:pPr>
      <w:r>
        <w:rPr>
          <w:rFonts w:ascii="Arial" w:hAnsi="Arial" w:cs="Arial"/>
          <w:sz w:val="20"/>
          <w:szCs w:val="20"/>
        </w:rPr>
        <w:t xml:space="preserve">Priloga 1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r w:rsidR="00C8034A">
        <w:rPr>
          <w:rFonts w:ascii="Arial" w:eastAsia="Times New Roman" w:hAnsi="Arial" w:cs="Arial"/>
          <w:sz w:val="20"/>
          <w:szCs w:val="20"/>
          <w:lang w:eastAsia="sl-SI"/>
        </w:rPr>
        <w:t>,</w:t>
      </w:r>
    </w:p>
    <w:p w:rsidR="00656C79" w:rsidRPr="000222EA" w:rsidRDefault="00656C79" w:rsidP="00E738E4">
      <w:pPr>
        <w:pStyle w:val="Odstavekseznama"/>
        <w:numPr>
          <w:ilvl w:val="0"/>
          <w:numId w:val="9"/>
        </w:numPr>
        <w:spacing w:after="0"/>
        <w:jc w:val="both"/>
        <w:rPr>
          <w:rFonts w:ascii="Arial" w:hAnsi="Arial" w:cs="Arial"/>
          <w:sz w:val="20"/>
          <w:szCs w:val="20"/>
        </w:rPr>
      </w:pPr>
      <w:r>
        <w:rPr>
          <w:rFonts w:ascii="Arial" w:hAnsi="Arial" w:cs="Arial"/>
          <w:sz w:val="20"/>
          <w:szCs w:val="20"/>
        </w:rPr>
        <w:t xml:space="preserve">Priloga 2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r w:rsidR="00C8034A">
        <w:rPr>
          <w:rFonts w:ascii="Arial" w:eastAsia="Times New Roman" w:hAnsi="Arial" w:cs="Arial"/>
          <w:sz w:val="20"/>
          <w:szCs w:val="20"/>
          <w:lang w:eastAsia="sl-SI"/>
        </w:rPr>
        <w:t>,</w:t>
      </w:r>
    </w:p>
    <w:p w:rsidR="00656C79" w:rsidRPr="000222EA" w:rsidRDefault="00656C79" w:rsidP="00E738E4">
      <w:pPr>
        <w:pStyle w:val="Odstavekseznama"/>
        <w:numPr>
          <w:ilvl w:val="0"/>
          <w:numId w:val="9"/>
        </w:numPr>
        <w:spacing w:after="0"/>
        <w:jc w:val="both"/>
        <w:rPr>
          <w:rFonts w:ascii="Arial" w:hAnsi="Arial" w:cs="Arial"/>
          <w:sz w:val="20"/>
          <w:szCs w:val="20"/>
        </w:rPr>
      </w:pPr>
      <w:r>
        <w:rPr>
          <w:rFonts w:ascii="Arial" w:hAnsi="Arial" w:cs="Arial"/>
          <w:sz w:val="20"/>
          <w:szCs w:val="20"/>
        </w:rPr>
        <w:t xml:space="preserve">Priloga 3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r w:rsidR="00C8034A">
        <w:rPr>
          <w:rFonts w:ascii="Arial" w:eastAsia="Times New Roman" w:hAnsi="Arial" w:cs="Arial"/>
          <w:sz w:val="20"/>
          <w:szCs w:val="20"/>
          <w:lang w:eastAsia="sl-SI"/>
        </w:rPr>
        <w:t>,</w:t>
      </w:r>
    </w:p>
    <w:p w:rsidR="00656C79" w:rsidRPr="000222EA" w:rsidRDefault="00656C79" w:rsidP="00E738E4">
      <w:pPr>
        <w:pStyle w:val="Odstavekseznama"/>
        <w:numPr>
          <w:ilvl w:val="0"/>
          <w:numId w:val="9"/>
        </w:numPr>
        <w:spacing w:after="0"/>
        <w:jc w:val="both"/>
        <w:rPr>
          <w:rFonts w:ascii="Arial" w:hAnsi="Arial" w:cs="Arial"/>
          <w:sz w:val="20"/>
          <w:szCs w:val="20"/>
        </w:rPr>
      </w:pPr>
      <w:r>
        <w:rPr>
          <w:rFonts w:ascii="Arial" w:hAnsi="Arial" w:cs="Arial"/>
          <w:sz w:val="20"/>
          <w:szCs w:val="20"/>
        </w:rPr>
        <w:t xml:space="preserve">Priloga 4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r w:rsidR="00C8034A">
        <w:rPr>
          <w:rFonts w:ascii="Arial" w:eastAsia="Times New Roman" w:hAnsi="Arial" w:cs="Arial"/>
          <w:sz w:val="20"/>
          <w:szCs w:val="20"/>
          <w:lang w:eastAsia="sl-SI"/>
        </w:rPr>
        <w:t>,</w:t>
      </w:r>
    </w:p>
    <w:p w:rsidR="00656C79" w:rsidRPr="000222EA" w:rsidRDefault="00656C79" w:rsidP="00E738E4">
      <w:pPr>
        <w:pStyle w:val="Odstavekseznama"/>
        <w:numPr>
          <w:ilvl w:val="0"/>
          <w:numId w:val="9"/>
        </w:numPr>
        <w:spacing w:after="0"/>
        <w:jc w:val="both"/>
        <w:rPr>
          <w:rFonts w:ascii="Arial" w:hAnsi="Arial" w:cs="Arial"/>
          <w:sz w:val="20"/>
          <w:szCs w:val="20"/>
        </w:rPr>
      </w:pPr>
      <w:r>
        <w:rPr>
          <w:rFonts w:ascii="Arial" w:hAnsi="Arial" w:cs="Arial"/>
          <w:sz w:val="20"/>
          <w:szCs w:val="20"/>
        </w:rPr>
        <w:t xml:space="preserve">Priloga 5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r w:rsidR="00C8034A">
        <w:rPr>
          <w:rFonts w:ascii="Arial" w:eastAsia="Times New Roman" w:hAnsi="Arial" w:cs="Arial"/>
          <w:sz w:val="20"/>
          <w:szCs w:val="20"/>
          <w:lang w:eastAsia="sl-SI"/>
        </w:rPr>
        <w:t>,</w:t>
      </w:r>
    </w:p>
    <w:p w:rsidR="003C119E" w:rsidRPr="003C119E" w:rsidRDefault="00656C79" w:rsidP="003C119E">
      <w:pPr>
        <w:pStyle w:val="Odstavekseznama"/>
        <w:numPr>
          <w:ilvl w:val="0"/>
          <w:numId w:val="9"/>
        </w:numPr>
        <w:spacing w:after="0"/>
        <w:jc w:val="both"/>
        <w:rPr>
          <w:rFonts w:ascii="Arial" w:hAnsi="Arial" w:cs="Arial"/>
          <w:sz w:val="20"/>
          <w:szCs w:val="20"/>
        </w:rPr>
      </w:pPr>
      <w:r>
        <w:rPr>
          <w:rFonts w:ascii="Arial" w:hAnsi="Arial" w:cs="Arial"/>
          <w:sz w:val="20"/>
          <w:szCs w:val="20"/>
        </w:rPr>
        <w:t xml:space="preserve">Priloga 6 k </w:t>
      </w:r>
      <w:r w:rsidRPr="00EE07C4">
        <w:rPr>
          <w:rFonts w:ascii="Arial" w:eastAsia="Times New Roman" w:hAnsi="Arial" w:cs="Arial"/>
          <w:sz w:val="20"/>
          <w:szCs w:val="20"/>
          <w:lang w:eastAsia="sl-SI"/>
        </w:rPr>
        <w:t>Sist</w:t>
      </w:r>
      <w:r>
        <w:rPr>
          <w:rFonts w:ascii="Arial" w:eastAsia="Times New Roman" w:hAnsi="Arial" w:cs="Arial"/>
          <w:sz w:val="20"/>
          <w:szCs w:val="20"/>
          <w:lang w:eastAsia="sl-SI"/>
        </w:rPr>
        <w:t>emskim obratovalnim navodilom</w:t>
      </w:r>
      <w:r w:rsidRPr="00EE07C4">
        <w:rPr>
          <w:rFonts w:ascii="Arial" w:eastAsia="Times New Roman" w:hAnsi="Arial" w:cs="Arial"/>
          <w:sz w:val="20"/>
          <w:szCs w:val="20"/>
          <w:lang w:eastAsia="sl-SI"/>
        </w:rPr>
        <w:t xml:space="preserve"> za distribucijsko omrežje električne energije</w:t>
      </w:r>
      <w:r w:rsidR="00C8034A">
        <w:rPr>
          <w:rFonts w:ascii="Arial" w:eastAsia="Times New Roman" w:hAnsi="Arial" w:cs="Arial"/>
          <w:sz w:val="20"/>
          <w:szCs w:val="20"/>
          <w:lang w:eastAsia="sl-SI"/>
        </w:rPr>
        <w:t>,</w:t>
      </w:r>
    </w:p>
    <w:p w:rsidR="003C119E" w:rsidRPr="003C119E" w:rsidRDefault="00656C79" w:rsidP="003C119E">
      <w:pPr>
        <w:pStyle w:val="Odstavekseznama"/>
        <w:numPr>
          <w:ilvl w:val="0"/>
          <w:numId w:val="9"/>
        </w:numPr>
        <w:spacing w:after="0"/>
        <w:jc w:val="both"/>
        <w:rPr>
          <w:rFonts w:ascii="Arial" w:hAnsi="Arial" w:cs="Arial"/>
          <w:sz w:val="20"/>
          <w:szCs w:val="20"/>
        </w:rPr>
      </w:pPr>
      <w:r w:rsidRPr="003C119E">
        <w:rPr>
          <w:rFonts w:ascii="Arial" w:hAnsi="Arial" w:cs="Arial"/>
          <w:sz w:val="20"/>
          <w:szCs w:val="20"/>
        </w:rPr>
        <w:t>Soglasje</w:t>
      </w:r>
      <w:r w:rsidRPr="003C119E">
        <w:rPr>
          <w:rFonts w:ascii="Arial" w:eastAsia="Times New Roman" w:hAnsi="Arial" w:cs="Arial"/>
          <w:sz w:val="20"/>
          <w:szCs w:val="20"/>
          <w:lang w:eastAsia="sl-SI"/>
        </w:rPr>
        <w:t xml:space="preserve"> Agencije za energije na Sistemska obratovalna navodila za distribucijsko omrežje električne energije</w:t>
      </w:r>
      <w:r w:rsidR="003C119E" w:rsidRPr="003C119E">
        <w:rPr>
          <w:rFonts w:ascii="Arial" w:eastAsia="Times New Roman" w:hAnsi="Arial" w:cs="Arial"/>
          <w:sz w:val="20"/>
          <w:szCs w:val="20"/>
          <w:lang w:eastAsia="sl-SI"/>
        </w:rPr>
        <w:t xml:space="preserve">, </w:t>
      </w:r>
      <w:r w:rsidR="003C119E" w:rsidRPr="003C119E">
        <w:rPr>
          <w:rFonts w:ascii="Arial" w:hAnsi="Arial" w:cs="Arial"/>
          <w:sz w:val="20"/>
          <w:szCs w:val="20"/>
        </w:rPr>
        <w:t>št. 73-1/2020-21/263</w:t>
      </w:r>
      <w:r w:rsidR="003C119E">
        <w:rPr>
          <w:rFonts w:ascii="Arial" w:hAnsi="Arial" w:cs="Arial"/>
          <w:sz w:val="20"/>
          <w:szCs w:val="20"/>
        </w:rPr>
        <w:t xml:space="preserve"> z dne </w:t>
      </w:r>
      <w:r w:rsidR="003C119E" w:rsidRPr="003C119E">
        <w:rPr>
          <w:rFonts w:ascii="Arial" w:hAnsi="Arial" w:cs="Arial"/>
          <w:sz w:val="20"/>
          <w:szCs w:val="20"/>
        </w:rPr>
        <w:t xml:space="preserve">22. oktobra 2020. </w:t>
      </w:r>
    </w:p>
    <w:p w:rsidR="003824DA" w:rsidRDefault="003824DA" w:rsidP="003C119E">
      <w:pPr>
        <w:pStyle w:val="Odstavekseznama"/>
        <w:spacing w:after="0"/>
        <w:ind w:left="360"/>
        <w:jc w:val="both"/>
        <w:rPr>
          <w:rFonts w:ascii="Arial" w:hAnsi="Arial" w:cs="Arial"/>
          <w:sz w:val="20"/>
          <w:szCs w:val="20"/>
        </w:rPr>
      </w:pPr>
    </w:p>
    <w:p w:rsidR="003C119E" w:rsidRPr="003C119E" w:rsidRDefault="003C119E" w:rsidP="003C119E">
      <w:pPr>
        <w:pStyle w:val="Odstavekseznama"/>
        <w:spacing w:after="0"/>
        <w:ind w:left="360"/>
        <w:jc w:val="both"/>
        <w:rPr>
          <w:rFonts w:ascii="Arial" w:hAnsi="Arial" w:cs="Arial"/>
          <w:sz w:val="20"/>
          <w:szCs w:val="20"/>
        </w:rPr>
      </w:pPr>
    </w:p>
    <w:p w:rsidR="000222EA" w:rsidRPr="000222EA" w:rsidRDefault="000222EA">
      <w:pPr>
        <w:rPr>
          <w:rFonts w:ascii="Arial" w:hAnsi="Arial" w:cs="Arial"/>
          <w:sz w:val="20"/>
          <w:szCs w:val="20"/>
        </w:rPr>
      </w:pPr>
    </w:p>
    <w:p w:rsidR="003824DA" w:rsidRPr="000222EA" w:rsidRDefault="003824DA">
      <w:pPr>
        <w:rPr>
          <w:rFonts w:ascii="Arial" w:hAnsi="Arial" w:cs="Arial"/>
          <w:sz w:val="20"/>
          <w:szCs w:val="20"/>
        </w:rPr>
      </w:pPr>
    </w:p>
    <w:p w:rsidR="003824DA" w:rsidRDefault="003824DA" w:rsidP="003824DA">
      <w:pPr>
        <w:spacing w:after="240" w:line="240" w:lineRule="atLeast"/>
        <w:jc w:val="center"/>
        <w:rPr>
          <w:rFonts w:ascii="Arial" w:hAnsi="Arial" w:cs="Arial"/>
          <w:b/>
          <w:sz w:val="20"/>
          <w:szCs w:val="20"/>
        </w:rPr>
      </w:pPr>
      <w:r w:rsidRPr="000222EA">
        <w:rPr>
          <w:rFonts w:ascii="Arial" w:hAnsi="Arial" w:cs="Arial"/>
          <w:b/>
          <w:sz w:val="20"/>
          <w:szCs w:val="20"/>
        </w:rPr>
        <w:lastRenderedPageBreak/>
        <w:t>OBRAZLOŽITEV</w:t>
      </w:r>
      <w:r w:rsidR="00A5222A">
        <w:rPr>
          <w:rFonts w:ascii="Arial" w:hAnsi="Arial" w:cs="Arial"/>
          <w:b/>
          <w:sz w:val="20"/>
          <w:szCs w:val="20"/>
        </w:rPr>
        <w:t>:</w:t>
      </w:r>
    </w:p>
    <w:p w:rsidR="00A5222A" w:rsidRDefault="00A5222A" w:rsidP="00A5222A">
      <w:pPr>
        <w:spacing w:after="240" w:line="240" w:lineRule="atLeast"/>
        <w:jc w:val="both"/>
        <w:rPr>
          <w:rFonts w:ascii="Arial" w:hAnsi="Arial" w:cs="Arial"/>
          <w:b/>
          <w:sz w:val="20"/>
          <w:szCs w:val="20"/>
        </w:rPr>
      </w:pPr>
    </w:p>
    <w:p w:rsidR="00A9319B" w:rsidRPr="00A9319B" w:rsidRDefault="00A9319B" w:rsidP="00A9319B">
      <w:pPr>
        <w:pStyle w:val="HTML-oblikovano"/>
        <w:jc w:val="both"/>
        <w:rPr>
          <w:rFonts w:ascii="Arial" w:hAnsi="Arial" w:cs="Arial"/>
          <w:sz w:val="20"/>
          <w:szCs w:val="20"/>
        </w:rPr>
      </w:pPr>
      <w:r w:rsidRPr="00A9319B">
        <w:rPr>
          <w:rFonts w:ascii="Arial" w:hAnsi="Arial" w:cs="Arial"/>
          <w:sz w:val="20"/>
          <w:szCs w:val="20"/>
        </w:rPr>
        <w:t>144. člen Energetskega zakona (Uradni list RS, št. </w:t>
      </w:r>
      <w:hyperlink r:id="rId14" w:tgtFrame="_blank" w:tooltip="Energetski zakon (uradno prečiščeno besedilo)" w:history="1">
        <w:r w:rsidRPr="00A9319B">
          <w:rPr>
            <w:rFonts w:ascii="Arial" w:hAnsi="Arial" w:cs="Arial"/>
            <w:sz w:val="20"/>
            <w:szCs w:val="20"/>
          </w:rPr>
          <w:t>60/19</w:t>
        </w:r>
      </w:hyperlink>
      <w:r w:rsidRPr="00A9319B">
        <w:rPr>
          <w:rFonts w:ascii="Arial" w:hAnsi="Arial" w:cs="Arial"/>
          <w:sz w:val="20"/>
          <w:szCs w:val="20"/>
        </w:rPr>
        <w:t> – uradno prečiščeno besedilo in </w:t>
      </w:r>
      <w:hyperlink r:id="rId15" w:tgtFrame="_blank" w:tooltip="Zakon o spremembah in dopolnitvah Energetskega zakona" w:history="1">
        <w:r w:rsidRPr="00A9319B">
          <w:rPr>
            <w:rFonts w:ascii="Arial" w:hAnsi="Arial" w:cs="Arial"/>
            <w:sz w:val="20"/>
            <w:szCs w:val="20"/>
          </w:rPr>
          <w:t>65/20</w:t>
        </w:r>
      </w:hyperlink>
      <w:r w:rsidRPr="00A9319B">
        <w:rPr>
          <w:rFonts w:ascii="Arial" w:hAnsi="Arial" w:cs="Arial"/>
          <w:sz w:val="20"/>
          <w:szCs w:val="20"/>
        </w:rPr>
        <w:t>)  določa, da sistemska obratovalna navodila za posamezen prenosni ali distribucijski sistem izda po javnem pooblastilu elektrooperater, ki na tem sistemu izvaja dejavnost operaterja, in jih objavi v Uradnem listu Republike Slovenije. Pred njihovo objavo mora pridobiti soglasje Agencije za energijo in vlade.</w:t>
      </w:r>
    </w:p>
    <w:p w:rsidR="00A9319B" w:rsidRPr="00A9319B" w:rsidRDefault="00A9319B" w:rsidP="00A9319B">
      <w:pPr>
        <w:pStyle w:val="HTML-oblikovano"/>
        <w:jc w:val="both"/>
        <w:rPr>
          <w:rFonts w:ascii="Arial" w:hAnsi="Arial" w:cs="Arial"/>
          <w:sz w:val="20"/>
          <w:szCs w:val="20"/>
        </w:rPr>
      </w:pPr>
    </w:p>
    <w:p w:rsidR="00A9319B" w:rsidRPr="00A9319B" w:rsidRDefault="00A9319B" w:rsidP="00A9319B">
      <w:pPr>
        <w:pStyle w:val="HTML-oblikovano"/>
        <w:jc w:val="both"/>
        <w:rPr>
          <w:rFonts w:ascii="Arial" w:hAnsi="Arial" w:cs="Arial"/>
          <w:sz w:val="20"/>
          <w:szCs w:val="20"/>
        </w:rPr>
      </w:pPr>
      <w:r w:rsidRPr="00A9319B">
        <w:rPr>
          <w:rFonts w:ascii="Arial" w:hAnsi="Arial" w:cs="Arial"/>
          <w:sz w:val="20"/>
          <w:szCs w:val="20"/>
        </w:rPr>
        <w:t>Na slovenskem elektrodistribucijskem sistemu izvaja nalogo distribucijskega operaterja družba Sistemski operater distribucijskega omrežja z električno energijo  d.o.o. (v nadaljevanju SODO).</w:t>
      </w:r>
    </w:p>
    <w:p w:rsidR="00A9319B" w:rsidRPr="00A9319B" w:rsidRDefault="00A9319B" w:rsidP="00A9319B">
      <w:pPr>
        <w:pStyle w:val="HTML-oblikovano"/>
        <w:jc w:val="both"/>
        <w:rPr>
          <w:rFonts w:ascii="Arial" w:hAnsi="Arial" w:cs="Arial"/>
          <w:sz w:val="20"/>
          <w:szCs w:val="20"/>
        </w:rPr>
      </w:pPr>
    </w:p>
    <w:p w:rsidR="00A9319B" w:rsidRPr="00A9319B" w:rsidRDefault="00A9319B" w:rsidP="00A9319B">
      <w:pPr>
        <w:spacing w:before="120"/>
        <w:jc w:val="both"/>
        <w:rPr>
          <w:rFonts w:ascii="Arial" w:hAnsi="Arial" w:cs="Arial"/>
          <w:sz w:val="20"/>
          <w:szCs w:val="20"/>
        </w:rPr>
      </w:pPr>
      <w:r w:rsidRPr="00A9319B">
        <w:rPr>
          <w:rFonts w:ascii="Arial" w:hAnsi="Arial" w:cs="Arial"/>
          <w:sz w:val="20"/>
          <w:szCs w:val="20"/>
        </w:rPr>
        <w:t xml:space="preserve">SODO je izdelal Sistemska obratovalna navodila za distribucijski sistem električne energije (v nadaljevanju Navodila) in jih predložil Agenciji za energijo, ki je 22. oktobra 2020 podala soglasje št. 73-1/2020-21/263. </w:t>
      </w:r>
    </w:p>
    <w:p w:rsidR="00A9319B" w:rsidRPr="00A9319B" w:rsidRDefault="00A9319B" w:rsidP="00A9319B">
      <w:pPr>
        <w:spacing w:before="120"/>
        <w:jc w:val="both"/>
        <w:rPr>
          <w:rFonts w:ascii="Arial" w:hAnsi="Arial" w:cs="Arial"/>
          <w:sz w:val="20"/>
          <w:szCs w:val="20"/>
        </w:rPr>
      </w:pPr>
      <w:r w:rsidRPr="00A9319B">
        <w:rPr>
          <w:rFonts w:ascii="Arial" w:hAnsi="Arial" w:cs="Arial"/>
          <w:sz w:val="20"/>
          <w:szCs w:val="20"/>
        </w:rPr>
        <w:t>Prejšnja sistemska obratovalna navodila so iz leta 2011 in so bila že dolgo potrebna prenove. Družba SODO je takoj po sprejemu novega Energetskega zakona (EZ-1) leta 2014 začela s pripravo osnutka Navodil. Prva javna obravnava je bila izvedena leta 2016, a do sprejema ni prišlo, saj je Agencija za energijo zahtevala dopolnitev dokumenta. SODO je dokument večkrat dopolnil, skladno z zahtevami Agencije za energijo, in leta 2019 izvedel še dodatno javno razpravo. Soglasje Agencije za energijo je bilo izdano oktobra letos.</w:t>
      </w:r>
    </w:p>
    <w:p w:rsidR="00A9319B" w:rsidRPr="00A9319B" w:rsidRDefault="00A9319B" w:rsidP="00A9319B">
      <w:pPr>
        <w:spacing w:before="120"/>
        <w:jc w:val="both"/>
        <w:rPr>
          <w:rFonts w:ascii="Arial" w:hAnsi="Arial" w:cs="Arial"/>
          <w:sz w:val="20"/>
          <w:szCs w:val="20"/>
        </w:rPr>
      </w:pPr>
      <w:r w:rsidRPr="00A9319B">
        <w:rPr>
          <w:rFonts w:ascii="Arial" w:hAnsi="Arial" w:cs="Arial"/>
          <w:sz w:val="20"/>
          <w:szCs w:val="20"/>
        </w:rPr>
        <w:t xml:space="preserve">Dokument  je šel v času od julija do oktobra 2019 tudi skozi postopek notifikacije pri Evropski komisiji skladno z </w:t>
      </w:r>
      <w:r w:rsidRPr="00A9319B">
        <w:rPr>
          <w:rFonts w:ascii="Arial" w:hAnsi="Arial" w:cs="Arial"/>
          <w:bCs/>
          <w:sz w:val="20"/>
          <w:szCs w:val="20"/>
        </w:rPr>
        <w:t xml:space="preserve">Direktivo </w:t>
      </w:r>
      <w:r w:rsidRPr="00A9319B">
        <w:rPr>
          <w:rFonts w:ascii="Arial" w:hAnsi="Arial" w:cs="Arial"/>
          <w:sz w:val="20"/>
          <w:szCs w:val="20"/>
        </w:rPr>
        <w:t>2015/1535</w:t>
      </w:r>
      <w:r w:rsidRPr="00A9319B">
        <w:rPr>
          <w:rFonts w:ascii="Arial" w:hAnsi="Arial" w:cs="Arial"/>
          <w:bCs/>
          <w:sz w:val="20"/>
          <w:szCs w:val="20"/>
        </w:rPr>
        <w:t xml:space="preserve"> EC.</w:t>
      </w:r>
    </w:p>
    <w:p w:rsidR="00A9319B" w:rsidRPr="00A9319B" w:rsidRDefault="00A9319B" w:rsidP="00A9319B">
      <w:pPr>
        <w:spacing w:before="120"/>
        <w:jc w:val="both"/>
        <w:rPr>
          <w:rFonts w:ascii="Arial" w:hAnsi="Arial" w:cs="Arial"/>
          <w:sz w:val="20"/>
          <w:szCs w:val="20"/>
        </w:rPr>
      </w:pPr>
      <w:r w:rsidRPr="00A9319B">
        <w:rPr>
          <w:rFonts w:ascii="Arial" w:hAnsi="Arial" w:cs="Arial"/>
          <w:sz w:val="20"/>
          <w:szCs w:val="20"/>
        </w:rPr>
        <w:t>Navodila urejajo obratovanje in način vodenja distribucijskega sistema in morajo biti pregledna, objektivna in nediskriminatorna. S temi navodili se zlasti uredijo:</w:t>
      </w:r>
    </w:p>
    <w:p w:rsidR="00A9319B" w:rsidRPr="00A9319B" w:rsidRDefault="00A9319B" w:rsidP="00A9319B">
      <w:pPr>
        <w:pStyle w:val="Odstavekseznama"/>
        <w:numPr>
          <w:ilvl w:val="0"/>
          <w:numId w:val="21"/>
        </w:numPr>
        <w:spacing w:before="120"/>
        <w:rPr>
          <w:rFonts w:ascii="Arial" w:hAnsi="Arial" w:cs="Arial"/>
          <w:sz w:val="20"/>
          <w:szCs w:val="20"/>
        </w:rPr>
      </w:pPr>
      <w:r w:rsidRPr="00A9319B">
        <w:rPr>
          <w:rFonts w:ascii="Arial" w:hAnsi="Arial" w:cs="Arial"/>
          <w:sz w:val="20"/>
          <w:szCs w:val="20"/>
        </w:rPr>
        <w:t>tehnični in drugi pogoji za varno obratovanje sistemov z namenom zanesljive in kakovostne oskrbe z elektriko;</w:t>
      </w:r>
    </w:p>
    <w:p w:rsidR="00A9319B" w:rsidRPr="00A9319B" w:rsidRDefault="00A9319B" w:rsidP="00A9319B">
      <w:pPr>
        <w:pStyle w:val="Odstavekseznama"/>
        <w:numPr>
          <w:ilvl w:val="0"/>
          <w:numId w:val="21"/>
        </w:numPr>
        <w:spacing w:before="120"/>
        <w:rPr>
          <w:rFonts w:ascii="Arial" w:hAnsi="Arial" w:cs="Arial"/>
          <w:sz w:val="20"/>
          <w:szCs w:val="20"/>
        </w:rPr>
      </w:pPr>
      <w:r w:rsidRPr="00A9319B">
        <w:rPr>
          <w:rFonts w:ascii="Arial" w:hAnsi="Arial" w:cs="Arial"/>
          <w:sz w:val="20"/>
          <w:szCs w:val="20"/>
        </w:rPr>
        <w:t>način zagotavljanja sistemskih storitev;</w:t>
      </w:r>
    </w:p>
    <w:p w:rsidR="00A9319B" w:rsidRPr="00A9319B" w:rsidRDefault="00A9319B" w:rsidP="00A9319B">
      <w:pPr>
        <w:pStyle w:val="Odstavekseznama"/>
        <w:numPr>
          <w:ilvl w:val="0"/>
          <w:numId w:val="21"/>
        </w:numPr>
        <w:spacing w:before="120"/>
        <w:rPr>
          <w:rFonts w:ascii="Arial" w:hAnsi="Arial" w:cs="Arial"/>
          <w:sz w:val="20"/>
          <w:szCs w:val="20"/>
        </w:rPr>
      </w:pPr>
      <w:r w:rsidRPr="00A9319B">
        <w:rPr>
          <w:rFonts w:ascii="Arial" w:hAnsi="Arial" w:cs="Arial"/>
          <w:sz w:val="20"/>
          <w:szCs w:val="20"/>
        </w:rPr>
        <w:t>postopki za obratovanje sistemov v kriznih stanjih;</w:t>
      </w:r>
    </w:p>
    <w:p w:rsidR="00A9319B" w:rsidRPr="00A9319B" w:rsidRDefault="00A9319B" w:rsidP="00A9319B">
      <w:pPr>
        <w:pStyle w:val="Odstavekseznama"/>
        <w:numPr>
          <w:ilvl w:val="0"/>
          <w:numId w:val="21"/>
        </w:numPr>
        <w:spacing w:before="120"/>
        <w:rPr>
          <w:rFonts w:ascii="Arial" w:hAnsi="Arial" w:cs="Arial"/>
          <w:sz w:val="20"/>
          <w:szCs w:val="20"/>
        </w:rPr>
      </w:pPr>
      <w:r w:rsidRPr="00A9319B">
        <w:rPr>
          <w:rFonts w:ascii="Arial" w:hAnsi="Arial" w:cs="Arial"/>
          <w:sz w:val="20"/>
          <w:szCs w:val="20"/>
        </w:rPr>
        <w:t>pogoji za priključitev na sistem in način priključitve na sistem;</w:t>
      </w:r>
    </w:p>
    <w:p w:rsidR="00A9319B" w:rsidRPr="00A9319B" w:rsidRDefault="00A9319B" w:rsidP="00A9319B">
      <w:pPr>
        <w:pStyle w:val="Odstavekseznama"/>
        <w:numPr>
          <w:ilvl w:val="0"/>
          <w:numId w:val="21"/>
        </w:numPr>
        <w:spacing w:before="120"/>
        <w:rPr>
          <w:rFonts w:ascii="Arial" w:hAnsi="Arial" w:cs="Arial"/>
          <w:sz w:val="20"/>
          <w:szCs w:val="20"/>
        </w:rPr>
      </w:pPr>
      <w:r w:rsidRPr="00A9319B">
        <w:rPr>
          <w:rFonts w:ascii="Arial" w:hAnsi="Arial" w:cs="Arial"/>
          <w:sz w:val="20"/>
          <w:szCs w:val="20"/>
        </w:rPr>
        <w:t>tehnični pogoji za medsebojno priključitev in delovanje sistemov različnih elektrooperaterjev;</w:t>
      </w:r>
    </w:p>
    <w:p w:rsidR="00A9319B" w:rsidRPr="00A9319B" w:rsidRDefault="00A9319B" w:rsidP="00A9319B">
      <w:pPr>
        <w:pStyle w:val="Odstavekseznama"/>
        <w:numPr>
          <w:ilvl w:val="0"/>
          <w:numId w:val="21"/>
        </w:numPr>
        <w:spacing w:before="120"/>
        <w:rPr>
          <w:rFonts w:ascii="Arial" w:hAnsi="Arial" w:cs="Arial"/>
          <w:sz w:val="20"/>
          <w:szCs w:val="20"/>
        </w:rPr>
      </w:pPr>
      <w:r w:rsidRPr="00A9319B">
        <w:rPr>
          <w:rFonts w:ascii="Arial" w:hAnsi="Arial" w:cs="Arial"/>
          <w:sz w:val="20"/>
          <w:szCs w:val="20"/>
        </w:rPr>
        <w:t>monitoring kakovosti storitev oskrbe z elektriko;</w:t>
      </w:r>
    </w:p>
    <w:p w:rsidR="00A9319B" w:rsidRPr="00A9319B" w:rsidRDefault="00A9319B" w:rsidP="00A9319B">
      <w:pPr>
        <w:pStyle w:val="Odstavekseznama"/>
        <w:numPr>
          <w:ilvl w:val="0"/>
          <w:numId w:val="21"/>
        </w:numPr>
        <w:spacing w:before="120"/>
        <w:rPr>
          <w:rFonts w:ascii="Arial" w:hAnsi="Arial" w:cs="Arial"/>
          <w:sz w:val="20"/>
          <w:szCs w:val="20"/>
        </w:rPr>
      </w:pPr>
      <w:r w:rsidRPr="00A9319B">
        <w:rPr>
          <w:rFonts w:ascii="Arial" w:hAnsi="Arial" w:cs="Arial"/>
          <w:sz w:val="20"/>
          <w:szCs w:val="20"/>
        </w:rPr>
        <w:t>vrsta, struktura, frekvenca in način izmenjave podatkov med elektrooperaterji, potrebnih za varno obratovanje in učinkovito vodenje sistemov.</w:t>
      </w:r>
    </w:p>
    <w:p w:rsidR="00A9319B" w:rsidRPr="00A9319B" w:rsidRDefault="00A9319B" w:rsidP="00A9319B">
      <w:pPr>
        <w:spacing w:before="120"/>
        <w:jc w:val="both"/>
        <w:rPr>
          <w:rFonts w:ascii="Arial" w:hAnsi="Arial" w:cs="Arial"/>
          <w:sz w:val="20"/>
          <w:szCs w:val="20"/>
        </w:rPr>
      </w:pPr>
      <w:r w:rsidRPr="00A9319B">
        <w:rPr>
          <w:rFonts w:ascii="Arial" w:hAnsi="Arial" w:cs="Arial"/>
          <w:sz w:val="20"/>
          <w:szCs w:val="20"/>
        </w:rPr>
        <w:t>Navodila morajo urejati stroške tehničnih ukrepov, ki so potrebni za priključitev novih proizvajalcev elektrike. V navodilih morajo biti vloge in odgovornosti sistemskih operaterjev, distribucijskih operaterjev, dobaviteljev, končnih odjemalcev, proizvajalcev in operaterja trga opredeljene glede na pogodbene dogovore, obveznosti do odjemalcev, izmenjavo podatkov, lastništvo podatkov in odgovornost za merjenje porabe, vključno s postopki, ko dobavitelj ali končni odjemalec odstopi od pogodbe o dobavi.</w:t>
      </w:r>
    </w:p>
    <w:p w:rsidR="00A9319B" w:rsidRPr="00A9319B" w:rsidRDefault="00A9319B" w:rsidP="00A9319B">
      <w:pPr>
        <w:spacing w:before="120"/>
        <w:jc w:val="both"/>
        <w:rPr>
          <w:rFonts w:ascii="Arial" w:hAnsi="Arial" w:cs="Arial"/>
          <w:sz w:val="20"/>
          <w:szCs w:val="20"/>
        </w:rPr>
      </w:pPr>
      <w:r w:rsidRPr="00A9319B">
        <w:rPr>
          <w:rFonts w:ascii="Arial" w:hAnsi="Arial" w:cs="Arial"/>
          <w:sz w:val="20"/>
          <w:szCs w:val="20"/>
        </w:rPr>
        <w:t>EZ-1 v različnih členih izrecno nalaga distribucijskemu operaterju, da v Navodilih predpiše tudi:</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podrobnejše pogoje in ceno nujne oskrbe,</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podrobnejša pravila o evidentiranju odprtih pogodb,</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 xml:space="preserve">obveznosti in postopek ravnanja distribucijskega operaterja in dobavitelja v primeru odstopa od pogodbe o dobavi s strani dobavitelja ali končnega odjemalca, </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začasne priključitve,</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za priključitev proizvodnih naprav za proizvodnjo električne energije iz soproizvodnje z visokim izkoristkom in iz obnovljivih virov, katerih nazivna električna moč ne presega 10 MW, načine določanja priključnih mest ter na podlagi operaterjevih obvez za zagotavljanje zanesljivega delovanja omrežja določiti zahteve za tehnično opremljenost naprav, na podlagi katerih jim bo izdano soglasje za priključitev na omrežje,</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lastRenderedPageBreak/>
        <w:t>podrobnejši način dostopa do podatkov o porabi,</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 xml:space="preserve">podrobnejši način menjave dobavitelja, </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pogoje zasilne oskrbe,</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merila za priključitev na sistem,</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podrobnejša pravila o sklepanju in izvajanju pogodb o uporabi sistema ter načinu plačevanja omrežnine,</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način izvajanja in razloge za uvedbo omejevanja dobave in drugih ukrepov v primeru izjemnih stanj v sistemu,</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 xml:space="preserve">medsebojna razmerja in plačilo stroškov v primeru ponovnega priklopa, če je bil odklop izveden na zahtevo uporabnika sistema in </w:t>
      </w:r>
    </w:p>
    <w:p w:rsidR="00A9319B" w:rsidRPr="00A9319B" w:rsidRDefault="00A9319B" w:rsidP="00A9319B">
      <w:pPr>
        <w:pStyle w:val="Odstavekseznama"/>
        <w:numPr>
          <w:ilvl w:val="0"/>
          <w:numId w:val="22"/>
        </w:numPr>
        <w:spacing w:before="120"/>
        <w:rPr>
          <w:rFonts w:ascii="Arial" w:hAnsi="Arial" w:cs="Arial"/>
          <w:sz w:val="20"/>
          <w:szCs w:val="20"/>
        </w:rPr>
      </w:pPr>
      <w:r w:rsidRPr="00A9319B">
        <w:rPr>
          <w:rFonts w:ascii="Arial" w:hAnsi="Arial" w:cs="Arial"/>
          <w:sz w:val="20"/>
          <w:szCs w:val="20"/>
        </w:rPr>
        <w:t>podrobnejši način obveščanja končnih odjemalcev o porabi.</w:t>
      </w:r>
    </w:p>
    <w:p w:rsidR="00A9319B" w:rsidRPr="00A9319B" w:rsidRDefault="00A9319B" w:rsidP="00A9319B">
      <w:pPr>
        <w:spacing w:before="120"/>
        <w:jc w:val="both"/>
        <w:rPr>
          <w:rFonts w:ascii="Arial" w:hAnsi="Arial" w:cs="Arial"/>
          <w:sz w:val="20"/>
          <w:szCs w:val="20"/>
        </w:rPr>
      </w:pPr>
      <w:r w:rsidRPr="00A9319B">
        <w:rPr>
          <w:rFonts w:ascii="Arial" w:hAnsi="Arial" w:cs="Arial"/>
          <w:sz w:val="20"/>
          <w:szCs w:val="20"/>
        </w:rPr>
        <w:t>Predložena Navodila izpolnjujejo vse zakonske, kot tudi postopkovne zahteve. Predložena navodila podrobno vsebinsko urejajo vsa področja, za katera je zadolžen distribucijski operater.</w:t>
      </w:r>
    </w:p>
    <w:p w:rsidR="00A9319B" w:rsidRDefault="00A9319B" w:rsidP="00A5222A">
      <w:pPr>
        <w:spacing w:after="240" w:line="240" w:lineRule="atLeast"/>
        <w:jc w:val="both"/>
        <w:rPr>
          <w:rFonts w:ascii="Arial" w:hAnsi="Arial" w:cs="Arial"/>
          <w:b/>
          <w:sz w:val="20"/>
          <w:szCs w:val="20"/>
        </w:rPr>
      </w:pPr>
    </w:p>
    <w:sectPr w:rsidR="00A9319B" w:rsidSect="00637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10" w:rsidRDefault="00E45110" w:rsidP="000222EA">
      <w:pPr>
        <w:spacing w:after="0" w:line="240" w:lineRule="auto"/>
      </w:pPr>
      <w:r>
        <w:separator/>
      </w:r>
    </w:p>
  </w:endnote>
  <w:endnote w:type="continuationSeparator" w:id="0">
    <w:p w:rsidR="00E45110" w:rsidRDefault="00E45110" w:rsidP="0002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10" w:rsidRDefault="00E45110" w:rsidP="000222EA">
      <w:pPr>
        <w:spacing w:after="0" w:line="240" w:lineRule="auto"/>
      </w:pPr>
      <w:r>
        <w:separator/>
      </w:r>
    </w:p>
  </w:footnote>
  <w:footnote w:type="continuationSeparator" w:id="0">
    <w:p w:rsidR="00E45110" w:rsidRDefault="00E45110" w:rsidP="00022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C22A1E"/>
    <w:multiLevelType w:val="hybridMultilevel"/>
    <w:tmpl w:val="FA06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193634"/>
    <w:multiLevelType w:val="hybridMultilevel"/>
    <w:tmpl w:val="F2F8BE96"/>
    <w:lvl w:ilvl="0" w:tplc="CFB83D14">
      <w:start w:val="1"/>
      <w:numFmt w:val="bullet"/>
      <w:lvlText w:val="-"/>
      <w:lvlJc w:val="left"/>
      <w:pPr>
        <w:tabs>
          <w:tab w:val="num" w:pos="363"/>
        </w:tabs>
        <w:ind w:left="363" w:hanging="363"/>
      </w:pPr>
      <w:rPr>
        <w:rFonts w:ascii="Times New Roman" w:eastAsia="Times New Roman" w:hAnsi="Times New Roman" w:cs="Times New Roman"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F7562BD"/>
    <w:multiLevelType w:val="hybridMultilevel"/>
    <w:tmpl w:val="71F65356"/>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63090F"/>
    <w:multiLevelType w:val="hybridMultilevel"/>
    <w:tmpl w:val="FCCA6E10"/>
    <w:lvl w:ilvl="0" w:tplc="DF7E703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213986"/>
    <w:multiLevelType w:val="hybridMultilevel"/>
    <w:tmpl w:val="EB6AC5A8"/>
    <w:lvl w:ilvl="0" w:tplc="C742D9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B875D1"/>
    <w:multiLevelType w:val="hybridMultilevel"/>
    <w:tmpl w:val="80744076"/>
    <w:lvl w:ilvl="0" w:tplc="E30039D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60537AE"/>
    <w:multiLevelType w:val="hybridMultilevel"/>
    <w:tmpl w:val="964A4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D00411"/>
    <w:multiLevelType w:val="hybridMultilevel"/>
    <w:tmpl w:val="4E8A8BBE"/>
    <w:lvl w:ilvl="0" w:tplc="34E4A1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6D8334A"/>
    <w:multiLevelType w:val="hybridMultilevel"/>
    <w:tmpl w:val="450646FC"/>
    <w:lvl w:ilvl="0" w:tplc="59101CEE">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0F5524"/>
    <w:multiLevelType w:val="hybridMultilevel"/>
    <w:tmpl w:val="0978C03A"/>
    <w:lvl w:ilvl="0" w:tplc="E076CEBE">
      <w:numFmt w:val="bullet"/>
      <w:lvlText w:val="-"/>
      <w:lvlJc w:val="left"/>
      <w:pPr>
        <w:ind w:left="360" w:hanging="360"/>
      </w:pPr>
      <w:rPr>
        <w:rFonts w:ascii="Arial" w:eastAsiaTheme="minorHAnsi" w:hAnsi="Arial" w:cs="Aria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3DB7951"/>
    <w:multiLevelType w:val="hybridMultilevel"/>
    <w:tmpl w:val="B1048AA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F314E76"/>
    <w:multiLevelType w:val="hybridMultilevel"/>
    <w:tmpl w:val="A170B8A6"/>
    <w:lvl w:ilvl="0" w:tplc="DF7E7034">
      <w:start w:val="1"/>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E137E4"/>
    <w:multiLevelType w:val="hybridMultilevel"/>
    <w:tmpl w:val="E480C6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6"/>
  </w:num>
  <w:num w:numId="5">
    <w:abstractNumId w:val="20"/>
  </w:num>
  <w:num w:numId="6">
    <w:abstractNumId w:val="7"/>
  </w:num>
  <w:num w:numId="7">
    <w:abstractNumId w:val="4"/>
  </w:num>
  <w:num w:numId="8">
    <w:abstractNumId w:val="8"/>
  </w:num>
  <w:num w:numId="9">
    <w:abstractNumId w:val="0"/>
  </w:num>
  <w:num w:numId="10">
    <w:abstractNumId w:val="5"/>
  </w:num>
  <w:num w:numId="11">
    <w:abstractNumId w:val="3"/>
  </w:num>
  <w:num w:numId="12">
    <w:abstractNumId w:val="17"/>
  </w:num>
  <w:num w:numId="13">
    <w:abstractNumId w:val="14"/>
  </w:num>
  <w:num w:numId="14">
    <w:abstractNumId w:val="9"/>
  </w:num>
  <w:num w:numId="15">
    <w:abstractNumId w:val="18"/>
  </w:num>
  <w:num w:numId="16">
    <w:abstractNumId w:val="6"/>
  </w:num>
  <w:num w:numId="17">
    <w:abstractNumId w:val="19"/>
  </w:num>
  <w:num w:numId="18">
    <w:abstractNumId w:val="15"/>
  </w:num>
  <w:num w:numId="19">
    <w:abstractNumId w:val="2"/>
  </w:num>
  <w:num w:numId="20">
    <w:abstractNumId w:val="10"/>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15118"/>
    <w:rsid w:val="000222EA"/>
    <w:rsid w:val="00022CB9"/>
    <w:rsid w:val="00086ECB"/>
    <w:rsid w:val="000B1439"/>
    <w:rsid w:val="000B3C0D"/>
    <w:rsid w:val="00100B0E"/>
    <w:rsid w:val="00130552"/>
    <w:rsid w:val="00151D93"/>
    <w:rsid w:val="00157646"/>
    <w:rsid w:val="00157723"/>
    <w:rsid w:val="00171672"/>
    <w:rsid w:val="00175252"/>
    <w:rsid w:val="001973E4"/>
    <w:rsid w:val="001F3B8E"/>
    <w:rsid w:val="00213A09"/>
    <w:rsid w:val="00226866"/>
    <w:rsid w:val="002A1553"/>
    <w:rsid w:val="002D4ED7"/>
    <w:rsid w:val="002F6505"/>
    <w:rsid w:val="00312087"/>
    <w:rsid w:val="00312BE0"/>
    <w:rsid w:val="00315999"/>
    <w:rsid w:val="00321A64"/>
    <w:rsid w:val="00327D60"/>
    <w:rsid w:val="00344CD0"/>
    <w:rsid w:val="00345F34"/>
    <w:rsid w:val="0034752B"/>
    <w:rsid w:val="003507CD"/>
    <w:rsid w:val="00357821"/>
    <w:rsid w:val="003824DA"/>
    <w:rsid w:val="003A3DE8"/>
    <w:rsid w:val="003C119E"/>
    <w:rsid w:val="003C1325"/>
    <w:rsid w:val="003C6B5B"/>
    <w:rsid w:val="003F2AB2"/>
    <w:rsid w:val="004173A4"/>
    <w:rsid w:val="004826F0"/>
    <w:rsid w:val="004B5638"/>
    <w:rsid w:val="00507A3E"/>
    <w:rsid w:val="00564EC2"/>
    <w:rsid w:val="0057524F"/>
    <w:rsid w:val="00597BDE"/>
    <w:rsid w:val="005C0549"/>
    <w:rsid w:val="005C451F"/>
    <w:rsid w:val="005C651E"/>
    <w:rsid w:val="005F538C"/>
    <w:rsid w:val="00637BF8"/>
    <w:rsid w:val="0064722E"/>
    <w:rsid w:val="00656C79"/>
    <w:rsid w:val="00666E6E"/>
    <w:rsid w:val="00681623"/>
    <w:rsid w:val="00686B84"/>
    <w:rsid w:val="00695EC3"/>
    <w:rsid w:val="006A6848"/>
    <w:rsid w:val="006F61C2"/>
    <w:rsid w:val="00772CB1"/>
    <w:rsid w:val="00780873"/>
    <w:rsid w:val="0083165A"/>
    <w:rsid w:val="00896374"/>
    <w:rsid w:val="008A055E"/>
    <w:rsid w:val="008C24B9"/>
    <w:rsid w:val="008C29A5"/>
    <w:rsid w:val="008F210F"/>
    <w:rsid w:val="0096674A"/>
    <w:rsid w:val="00973B04"/>
    <w:rsid w:val="00977A56"/>
    <w:rsid w:val="00990888"/>
    <w:rsid w:val="009E731A"/>
    <w:rsid w:val="00A01E08"/>
    <w:rsid w:val="00A16ED4"/>
    <w:rsid w:val="00A467BD"/>
    <w:rsid w:val="00A5222A"/>
    <w:rsid w:val="00A718B4"/>
    <w:rsid w:val="00A90CD8"/>
    <w:rsid w:val="00A9319B"/>
    <w:rsid w:val="00AE1F83"/>
    <w:rsid w:val="00AF6FEC"/>
    <w:rsid w:val="00B076AC"/>
    <w:rsid w:val="00B379A0"/>
    <w:rsid w:val="00B53734"/>
    <w:rsid w:val="00B55C60"/>
    <w:rsid w:val="00B64D4D"/>
    <w:rsid w:val="00B70253"/>
    <w:rsid w:val="00BC1355"/>
    <w:rsid w:val="00BD6BB3"/>
    <w:rsid w:val="00C01785"/>
    <w:rsid w:val="00C037F1"/>
    <w:rsid w:val="00C24B2C"/>
    <w:rsid w:val="00C3651E"/>
    <w:rsid w:val="00C44C5F"/>
    <w:rsid w:val="00C8034A"/>
    <w:rsid w:val="00C8116B"/>
    <w:rsid w:val="00C93948"/>
    <w:rsid w:val="00D0069C"/>
    <w:rsid w:val="00D24B4F"/>
    <w:rsid w:val="00D6612A"/>
    <w:rsid w:val="00D71F7F"/>
    <w:rsid w:val="00D80DDC"/>
    <w:rsid w:val="00DC7B57"/>
    <w:rsid w:val="00DF1D90"/>
    <w:rsid w:val="00DF7167"/>
    <w:rsid w:val="00E45110"/>
    <w:rsid w:val="00E738E4"/>
    <w:rsid w:val="00E86ED1"/>
    <w:rsid w:val="00ED6720"/>
    <w:rsid w:val="00ED6928"/>
    <w:rsid w:val="00EE07C4"/>
    <w:rsid w:val="00EF7CFF"/>
    <w:rsid w:val="00F70E4B"/>
    <w:rsid w:val="00FB397B"/>
    <w:rsid w:val="00FC2470"/>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74B7"/>
  <w15:docId w15:val="{946296B7-25E4-42FB-8B40-C569943B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7BF8"/>
  </w:style>
  <w:style w:type="paragraph" w:styleId="Naslov9">
    <w:name w:val="heading 9"/>
    <w:basedOn w:val="Navaden"/>
    <w:next w:val="Navaden"/>
    <w:link w:val="Naslov9Znak"/>
    <w:qFormat/>
    <w:rsid w:val="00681623"/>
    <w:pPr>
      <w:spacing w:before="240" w:after="60" w:line="260" w:lineRule="atLeast"/>
      <w:outlineLvl w:val="8"/>
    </w:pPr>
    <w:rPr>
      <w:rFonts w:ascii="Arial" w:eastAsia="Times New Roman" w:hAnsi="Arial"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824DA"/>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rsid w:val="003824DA"/>
    <w:rPr>
      <w:rFonts w:ascii="Arial" w:eastAsia="Times New Roman" w:hAnsi="Arial" w:cs="Times New Roman"/>
      <w:sz w:val="20"/>
      <w:szCs w:val="24"/>
      <w:lang w:val="en-US"/>
    </w:rPr>
  </w:style>
  <w:style w:type="paragraph" w:styleId="Telobesedila">
    <w:name w:val="Body Text"/>
    <w:basedOn w:val="Navaden"/>
    <w:link w:val="TelobesedilaZnak"/>
    <w:rsid w:val="003824DA"/>
    <w:pPr>
      <w:spacing w:after="120" w:line="260" w:lineRule="atLeast"/>
    </w:pPr>
    <w:rPr>
      <w:rFonts w:ascii="Arial" w:eastAsia="Times New Roman" w:hAnsi="Arial" w:cs="Times New Roman"/>
      <w:sz w:val="20"/>
      <w:szCs w:val="24"/>
      <w:lang w:val="en-US"/>
    </w:rPr>
  </w:style>
  <w:style w:type="character" w:customStyle="1" w:styleId="TelobesedilaZnak">
    <w:name w:val="Telo besedila Znak"/>
    <w:basedOn w:val="Privzetapisavaodstavka"/>
    <w:link w:val="Telobesedila"/>
    <w:rsid w:val="003824DA"/>
    <w:rPr>
      <w:rFonts w:ascii="Arial" w:eastAsia="Times New Roman" w:hAnsi="Arial" w:cs="Times New Roman"/>
      <w:sz w:val="20"/>
      <w:szCs w:val="24"/>
      <w:lang w:val="en-US"/>
    </w:rPr>
  </w:style>
  <w:style w:type="paragraph" w:styleId="Odstavekseznama">
    <w:name w:val="List Paragraph"/>
    <w:basedOn w:val="Navaden"/>
    <w:link w:val="OdstavekseznamaZnak"/>
    <w:uiPriority w:val="99"/>
    <w:qFormat/>
    <w:rsid w:val="003824DA"/>
    <w:pPr>
      <w:ind w:left="720"/>
      <w:contextualSpacing/>
    </w:pPr>
  </w:style>
  <w:style w:type="paragraph" w:customStyle="1" w:styleId="Poglavje">
    <w:name w:val="Poglavje"/>
    <w:basedOn w:val="Navaden"/>
    <w:qFormat/>
    <w:rsid w:val="003824D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1F3B8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3B8E"/>
    <w:rPr>
      <w:rFonts w:ascii="Tahoma" w:hAnsi="Tahoma" w:cs="Tahoma"/>
      <w:sz w:val="16"/>
      <w:szCs w:val="16"/>
    </w:rPr>
  </w:style>
  <w:style w:type="paragraph" w:customStyle="1" w:styleId="Default">
    <w:name w:val="Default"/>
    <w:rsid w:val="005C05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9Znak">
    <w:name w:val="Naslov 9 Znak"/>
    <w:basedOn w:val="Privzetapisavaodstavka"/>
    <w:link w:val="Naslov9"/>
    <w:rsid w:val="00681623"/>
    <w:rPr>
      <w:rFonts w:ascii="Arial" w:eastAsia="Times New Roman" w:hAnsi="Arial" w:cs="Times New Roman"/>
      <w:sz w:val="20"/>
      <w:szCs w:val="20"/>
    </w:rPr>
  </w:style>
  <w:style w:type="paragraph" w:styleId="Sprotnaopomba-besedilo">
    <w:name w:val="footnote text"/>
    <w:basedOn w:val="Navaden"/>
    <w:link w:val="Sprotnaopomba-besediloZnak"/>
    <w:uiPriority w:val="99"/>
    <w:semiHidden/>
    <w:unhideWhenUsed/>
    <w:rsid w:val="000222E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222EA"/>
    <w:rPr>
      <w:sz w:val="20"/>
      <w:szCs w:val="20"/>
    </w:rPr>
  </w:style>
  <w:style w:type="character" w:styleId="Sprotnaopomba-sklic">
    <w:name w:val="footnote reference"/>
    <w:basedOn w:val="Privzetapisavaodstavka"/>
    <w:uiPriority w:val="99"/>
    <w:semiHidden/>
    <w:unhideWhenUsed/>
    <w:rsid w:val="000222EA"/>
    <w:rPr>
      <w:vertAlign w:val="superscript"/>
    </w:rPr>
  </w:style>
  <w:style w:type="character" w:styleId="Hiperpovezava">
    <w:name w:val="Hyperlink"/>
    <w:basedOn w:val="Privzetapisavaodstavka"/>
    <w:uiPriority w:val="99"/>
    <w:semiHidden/>
    <w:unhideWhenUsed/>
    <w:rsid w:val="00086ECB"/>
    <w:rPr>
      <w:color w:val="0000FF"/>
      <w:u w:val="single"/>
    </w:rPr>
  </w:style>
  <w:style w:type="paragraph" w:customStyle="1" w:styleId="Neotevilenodstavek">
    <w:name w:val="Neoštevilčen odstavek"/>
    <w:basedOn w:val="Navaden"/>
    <w:link w:val="NeotevilenodstavekZnak"/>
    <w:qFormat/>
    <w:rsid w:val="00A718B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A718B4"/>
    <w:rPr>
      <w:rFonts w:ascii="Arial" w:eastAsia="Times New Roman" w:hAnsi="Arial" w:cs="Arial"/>
      <w:lang w:eastAsia="sl-SI"/>
    </w:rPr>
  </w:style>
  <w:style w:type="paragraph" w:styleId="HTML-oblikovano">
    <w:name w:val="HTML Preformatted"/>
    <w:basedOn w:val="Navaden"/>
    <w:link w:val="HTML-oblikovanoZnak"/>
    <w:rsid w:val="00A9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color w:val="000000"/>
      <w:sz w:val="15"/>
      <w:szCs w:val="15"/>
      <w:lang w:eastAsia="zh-CN"/>
    </w:rPr>
  </w:style>
  <w:style w:type="character" w:customStyle="1" w:styleId="HTML-oblikovanoZnak">
    <w:name w:val="HTML-oblikovano Znak"/>
    <w:basedOn w:val="Privzetapisavaodstavka"/>
    <w:link w:val="HTML-oblikovano"/>
    <w:rsid w:val="00A9319B"/>
    <w:rPr>
      <w:rFonts w:ascii="Courier New" w:eastAsia="SimSun" w:hAnsi="Courier New" w:cs="Courier New"/>
      <w:color w:val="000000"/>
      <w:sz w:val="15"/>
      <w:szCs w:val="15"/>
      <w:lang w:eastAsia="zh-CN"/>
    </w:rPr>
  </w:style>
  <w:style w:type="character" w:customStyle="1" w:styleId="OdstavekseznamaZnak">
    <w:name w:val="Odstavek seznama Znak"/>
    <w:link w:val="Odstavekseznama"/>
    <w:uiPriority w:val="99"/>
    <w:rsid w:val="00A9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20-01-09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9-01-26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0977" TargetMode="External"/><Relationship Id="rId5" Type="http://schemas.openxmlformats.org/officeDocument/2006/relationships/webSettings" Target="webSettings.xml"/><Relationship Id="rId15" Type="http://schemas.openxmlformats.org/officeDocument/2006/relationships/hyperlink" Target="http://www.uradni-list.si/1/objava.jsp?sop=2020-01-0977" TargetMode="External"/><Relationship Id="rId10" Type="http://schemas.openxmlformats.org/officeDocument/2006/relationships/hyperlink" Target="http://www.uradni-list.si/1/objava.jsp?sop=2019-01-2673"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9-01-267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0F52-7ABB-413E-AF5A-5E58680B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13552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user</cp:lastModifiedBy>
  <cp:revision>2</cp:revision>
  <cp:lastPrinted>2017-11-28T10:57:00Z</cp:lastPrinted>
  <dcterms:created xsi:type="dcterms:W3CDTF">2020-11-30T09:51:00Z</dcterms:created>
  <dcterms:modified xsi:type="dcterms:W3CDTF">2020-11-30T09:51:00Z</dcterms:modified>
</cp:coreProperties>
</file>