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73D" w:rsidRDefault="001F173D" w:rsidP="00B644CC">
      <w:pPr>
        <w:spacing w:line="288" w:lineRule="auto"/>
        <w:rPr>
          <w:color w:val="FF0000"/>
        </w:rPr>
      </w:pPr>
    </w:p>
    <w:tbl>
      <w:tblPr>
        <w:tblW w:w="9073" w:type="dxa"/>
        <w:tblInd w:w="-34" w:type="dxa"/>
        <w:tblLook w:val="04A0" w:firstRow="1" w:lastRow="0" w:firstColumn="1" w:lastColumn="0" w:noHBand="0" w:noVBand="1"/>
      </w:tblPr>
      <w:tblGrid>
        <w:gridCol w:w="6380"/>
        <w:gridCol w:w="2693"/>
      </w:tblGrid>
      <w:tr w:rsidR="001F173D" w:rsidRPr="001F173D" w:rsidTr="00484DB8">
        <w:trPr>
          <w:gridAfter w:val="1"/>
          <w:wAfter w:w="2693" w:type="dxa"/>
        </w:trPr>
        <w:tc>
          <w:tcPr>
            <w:tcW w:w="6380" w:type="dxa"/>
          </w:tcPr>
          <w:p w:rsidR="001F173D" w:rsidRPr="001F173D" w:rsidRDefault="001F173D" w:rsidP="00B644CC">
            <w:pPr>
              <w:overflowPunct w:val="0"/>
              <w:autoSpaceDE w:val="0"/>
              <w:autoSpaceDN w:val="0"/>
              <w:adjustRightInd w:val="0"/>
              <w:spacing w:line="288" w:lineRule="auto"/>
              <w:textAlignment w:val="baseline"/>
              <w:rPr>
                <w:rFonts w:cs="Arial"/>
                <w:szCs w:val="20"/>
              </w:rPr>
            </w:pPr>
            <w:r w:rsidRPr="001F173D">
              <w:rPr>
                <w:rFonts w:cs="Arial"/>
                <w:szCs w:val="20"/>
              </w:rPr>
              <w:t xml:space="preserve">Številka: </w:t>
            </w:r>
            <w:r w:rsidR="00AE2155" w:rsidRPr="00AE2155">
              <w:rPr>
                <w:rFonts w:cs="Arial"/>
                <w:szCs w:val="20"/>
              </w:rPr>
              <w:t>007-67/2020</w:t>
            </w:r>
          </w:p>
        </w:tc>
      </w:tr>
      <w:tr w:rsidR="001F173D" w:rsidRPr="001F173D" w:rsidTr="00484DB8">
        <w:trPr>
          <w:gridAfter w:val="1"/>
          <w:wAfter w:w="2693" w:type="dxa"/>
        </w:trPr>
        <w:tc>
          <w:tcPr>
            <w:tcW w:w="6380" w:type="dxa"/>
          </w:tcPr>
          <w:p w:rsidR="00DF7070" w:rsidRPr="001F173D" w:rsidRDefault="001F173D" w:rsidP="00B644CC">
            <w:pPr>
              <w:overflowPunct w:val="0"/>
              <w:autoSpaceDE w:val="0"/>
              <w:autoSpaceDN w:val="0"/>
              <w:adjustRightInd w:val="0"/>
              <w:spacing w:line="288" w:lineRule="auto"/>
              <w:textAlignment w:val="baseline"/>
              <w:rPr>
                <w:rFonts w:cs="Arial"/>
                <w:szCs w:val="20"/>
              </w:rPr>
            </w:pPr>
            <w:r w:rsidRPr="001F173D">
              <w:rPr>
                <w:rFonts w:cs="Arial"/>
                <w:szCs w:val="20"/>
              </w:rPr>
              <w:t xml:space="preserve">Ljubljana, dne </w:t>
            </w:r>
            <w:r w:rsidR="00692A17">
              <w:rPr>
                <w:rFonts w:cs="Arial"/>
                <w:szCs w:val="20"/>
              </w:rPr>
              <w:t>2</w:t>
            </w:r>
            <w:r w:rsidR="00F31611">
              <w:rPr>
                <w:rFonts w:cs="Arial"/>
                <w:szCs w:val="20"/>
              </w:rPr>
              <w:t>2</w:t>
            </w:r>
            <w:bookmarkStart w:id="0" w:name="_GoBack"/>
            <w:bookmarkEnd w:id="0"/>
            <w:r w:rsidR="009B5194">
              <w:rPr>
                <w:rFonts w:cs="Arial"/>
                <w:szCs w:val="20"/>
              </w:rPr>
              <w:t>. 6. 2020</w:t>
            </w:r>
          </w:p>
        </w:tc>
      </w:tr>
      <w:tr w:rsidR="001F173D" w:rsidRPr="001F173D" w:rsidTr="00484DB8">
        <w:trPr>
          <w:gridAfter w:val="1"/>
          <w:wAfter w:w="2693" w:type="dxa"/>
        </w:trPr>
        <w:tc>
          <w:tcPr>
            <w:tcW w:w="6380" w:type="dxa"/>
          </w:tcPr>
          <w:p w:rsidR="001F173D" w:rsidRDefault="00542D1C" w:rsidP="00B644CC">
            <w:pPr>
              <w:overflowPunct w:val="0"/>
              <w:autoSpaceDE w:val="0"/>
              <w:autoSpaceDN w:val="0"/>
              <w:adjustRightInd w:val="0"/>
              <w:spacing w:line="288" w:lineRule="auto"/>
              <w:textAlignment w:val="baseline"/>
              <w:rPr>
                <w:rFonts w:cs="Arial"/>
                <w:iCs/>
                <w:szCs w:val="20"/>
              </w:rPr>
            </w:pPr>
            <w:r w:rsidRPr="00E6664A">
              <w:rPr>
                <w:rFonts w:cs="Arial"/>
                <w:iCs/>
                <w:szCs w:val="20"/>
              </w:rPr>
              <w:t>EVA</w:t>
            </w:r>
            <w:r w:rsidR="00E6664A" w:rsidRPr="00E6664A">
              <w:rPr>
                <w:rFonts w:cs="Arial"/>
                <w:iCs/>
                <w:szCs w:val="20"/>
              </w:rPr>
              <w:t xml:space="preserve"> </w:t>
            </w:r>
            <w:r w:rsidR="00EB2843" w:rsidRPr="00EB2843">
              <w:rPr>
                <w:rFonts w:cs="Arial"/>
                <w:iCs/>
                <w:szCs w:val="20"/>
              </w:rPr>
              <w:t>2020-2030-0005</w:t>
            </w:r>
          </w:p>
          <w:p w:rsidR="00DF7070" w:rsidRPr="001F173D" w:rsidRDefault="00DF7070" w:rsidP="00B644CC">
            <w:pPr>
              <w:overflowPunct w:val="0"/>
              <w:autoSpaceDE w:val="0"/>
              <w:autoSpaceDN w:val="0"/>
              <w:adjustRightInd w:val="0"/>
              <w:spacing w:line="288" w:lineRule="auto"/>
              <w:textAlignment w:val="baseline"/>
              <w:rPr>
                <w:rFonts w:cs="Arial"/>
                <w:szCs w:val="20"/>
              </w:rPr>
            </w:pPr>
          </w:p>
        </w:tc>
      </w:tr>
      <w:tr w:rsidR="001F173D" w:rsidRPr="001F173D" w:rsidTr="00484DB8">
        <w:trPr>
          <w:gridAfter w:val="1"/>
          <w:wAfter w:w="2693" w:type="dxa"/>
        </w:trPr>
        <w:tc>
          <w:tcPr>
            <w:tcW w:w="6380" w:type="dxa"/>
          </w:tcPr>
          <w:p w:rsidR="001F173D" w:rsidRPr="001F173D" w:rsidRDefault="001F173D" w:rsidP="00B644CC">
            <w:pPr>
              <w:suppressAutoHyphens/>
              <w:spacing w:line="288" w:lineRule="auto"/>
              <w:rPr>
                <w:rFonts w:cs="Arial"/>
                <w:szCs w:val="20"/>
                <w:lang w:eastAsia="ar-SA"/>
              </w:rPr>
            </w:pPr>
          </w:p>
          <w:p w:rsidR="001F173D" w:rsidRPr="001F173D" w:rsidRDefault="001F173D" w:rsidP="00B644CC">
            <w:pPr>
              <w:suppressAutoHyphens/>
              <w:spacing w:line="288" w:lineRule="auto"/>
              <w:rPr>
                <w:rFonts w:cs="Arial"/>
                <w:szCs w:val="20"/>
                <w:lang w:eastAsia="ar-SA"/>
              </w:rPr>
            </w:pPr>
            <w:r w:rsidRPr="001F173D">
              <w:rPr>
                <w:rFonts w:cs="Arial"/>
                <w:szCs w:val="20"/>
                <w:lang w:eastAsia="ar-SA"/>
              </w:rPr>
              <w:t>GENERALNI SEKRETARIAT VLADE REPUBLIKE SLOVENIJE</w:t>
            </w:r>
          </w:p>
          <w:p w:rsidR="001F173D" w:rsidRPr="00402BA3" w:rsidRDefault="00F31611" w:rsidP="00B644CC">
            <w:pPr>
              <w:suppressAutoHyphens/>
              <w:spacing w:line="288" w:lineRule="auto"/>
              <w:rPr>
                <w:rFonts w:cs="Arial"/>
                <w:szCs w:val="20"/>
                <w:lang w:eastAsia="ar-SA"/>
              </w:rPr>
            </w:pPr>
            <w:hyperlink r:id="rId8" w:history="1">
              <w:r w:rsidR="001F173D" w:rsidRPr="00402BA3">
                <w:rPr>
                  <w:rFonts w:cs="Arial"/>
                  <w:szCs w:val="20"/>
                  <w:lang w:eastAsia="ar-SA"/>
                </w:rPr>
                <w:t>Gp.gs@gov.si</w:t>
              </w:r>
            </w:hyperlink>
          </w:p>
          <w:p w:rsidR="00BB3E31" w:rsidRDefault="00BB3E31" w:rsidP="00B644CC">
            <w:pPr>
              <w:suppressAutoHyphens/>
              <w:spacing w:line="288" w:lineRule="auto"/>
              <w:rPr>
                <w:rFonts w:cs="Arial"/>
                <w:szCs w:val="20"/>
                <w:lang w:eastAsia="ar-SA"/>
              </w:rPr>
            </w:pPr>
          </w:p>
          <w:p w:rsidR="006F2E7F" w:rsidRPr="001F173D" w:rsidRDefault="006F2E7F" w:rsidP="00B644CC">
            <w:pPr>
              <w:suppressAutoHyphens/>
              <w:spacing w:line="288" w:lineRule="auto"/>
              <w:rPr>
                <w:rFonts w:cs="Arial"/>
                <w:szCs w:val="20"/>
                <w:lang w:eastAsia="ar-SA"/>
              </w:rPr>
            </w:pPr>
          </w:p>
        </w:tc>
      </w:tr>
      <w:tr w:rsidR="001F173D" w:rsidRPr="001F173D" w:rsidTr="00484DB8">
        <w:tc>
          <w:tcPr>
            <w:tcW w:w="9073" w:type="dxa"/>
            <w:gridSpan w:val="2"/>
          </w:tcPr>
          <w:p w:rsidR="00CA0776" w:rsidRDefault="001F173D" w:rsidP="00B644CC">
            <w:pPr>
              <w:overflowPunct w:val="0"/>
              <w:autoSpaceDE w:val="0"/>
              <w:autoSpaceDN w:val="0"/>
              <w:adjustRightInd w:val="0"/>
              <w:spacing w:line="288" w:lineRule="auto"/>
              <w:textAlignment w:val="baseline"/>
              <w:rPr>
                <w:rFonts w:cs="Arial"/>
                <w:b/>
                <w:iCs/>
                <w:szCs w:val="20"/>
              </w:rPr>
            </w:pPr>
            <w:r w:rsidRPr="001F173D">
              <w:rPr>
                <w:rFonts w:cs="Arial"/>
                <w:b/>
                <w:szCs w:val="20"/>
              </w:rPr>
              <w:t xml:space="preserve">ZADEVA: </w:t>
            </w:r>
            <w:bookmarkStart w:id="1" w:name="_Hlk521577014"/>
            <w:r w:rsidR="008A6A2B" w:rsidRPr="008A6A2B">
              <w:rPr>
                <w:rFonts w:cs="Arial"/>
                <w:b/>
                <w:szCs w:val="20"/>
              </w:rPr>
              <w:t>Predlog Zakona o spremembah in dopolnitvah Za</w:t>
            </w:r>
            <w:r w:rsidR="00B15D25">
              <w:rPr>
                <w:rFonts w:cs="Arial"/>
                <w:b/>
                <w:szCs w:val="20"/>
              </w:rPr>
              <w:t xml:space="preserve">kona o državnem tožilstvu </w:t>
            </w:r>
            <w:bookmarkEnd w:id="1"/>
            <w:r w:rsidR="008A6A2B" w:rsidRPr="00E6664A">
              <w:rPr>
                <w:rFonts w:cs="Arial"/>
                <w:b/>
                <w:szCs w:val="20"/>
              </w:rPr>
              <w:t>(</w:t>
            </w:r>
            <w:r w:rsidR="00E6664A" w:rsidRPr="00E6664A">
              <w:rPr>
                <w:rFonts w:cs="Arial"/>
                <w:b/>
                <w:iCs/>
                <w:szCs w:val="20"/>
              </w:rPr>
              <w:t>EVA</w:t>
            </w:r>
          </w:p>
          <w:p w:rsidR="001F173D" w:rsidRPr="006F2E7F" w:rsidRDefault="00CA0776" w:rsidP="00B644CC">
            <w:pPr>
              <w:overflowPunct w:val="0"/>
              <w:autoSpaceDE w:val="0"/>
              <w:autoSpaceDN w:val="0"/>
              <w:adjustRightInd w:val="0"/>
              <w:spacing w:line="288" w:lineRule="auto"/>
              <w:textAlignment w:val="baseline"/>
              <w:rPr>
                <w:rFonts w:cs="Arial"/>
                <w:iCs/>
                <w:szCs w:val="20"/>
              </w:rPr>
            </w:pPr>
            <w:r>
              <w:rPr>
                <w:rFonts w:cs="Arial"/>
                <w:b/>
                <w:iCs/>
                <w:szCs w:val="20"/>
              </w:rPr>
              <w:t xml:space="preserve">                </w:t>
            </w:r>
            <w:r w:rsidR="00E6664A" w:rsidRPr="00E6664A">
              <w:rPr>
                <w:rFonts w:cs="Arial"/>
                <w:b/>
                <w:iCs/>
                <w:szCs w:val="20"/>
              </w:rPr>
              <w:t xml:space="preserve"> </w:t>
            </w:r>
            <w:r w:rsidR="00EB2843" w:rsidRPr="00EB2843">
              <w:rPr>
                <w:rFonts w:cs="Arial"/>
                <w:b/>
                <w:iCs/>
                <w:szCs w:val="20"/>
              </w:rPr>
              <w:t>2020-2030-0005</w:t>
            </w:r>
            <w:r w:rsidR="00E6664A" w:rsidRPr="00E6664A">
              <w:rPr>
                <w:rFonts w:cs="Arial"/>
                <w:b/>
                <w:iCs/>
                <w:szCs w:val="20"/>
              </w:rPr>
              <w:t>)</w:t>
            </w:r>
            <w:r w:rsidR="00E6664A">
              <w:rPr>
                <w:rFonts w:cs="Arial"/>
                <w:b/>
                <w:iCs/>
                <w:szCs w:val="20"/>
              </w:rPr>
              <w:t xml:space="preserve"> </w:t>
            </w:r>
            <w:r w:rsidR="008A6A2B" w:rsidRPr="008A6A2B">
              <w:rPr>
                <w:rFonts w:cs="Arial"/>
                <w:b/>
                <w:szCs w:val="20"/>
              </w:rPr>
              <w:t>– skrajšani postopek</w:t>
            </w:r>
            <w:r w:rsidR="00C32B67">
              <w:rPr>
                <w:rFonts w:cs="Arial"/>
                <w:b/>
                <w:szCs w:val="20"/>
              </w:rPr>
              <w:t xml:space="preserve"> </w:t>
            </w:r>
          </w:p>
        </w:tc>
      </w:tr>
    </w:tbl>
    <w:p w:rsidR="00A34671" w:rsidRPr="00026310" w:rsidRDefault="00A34671" w:rsidP="00B644CC">
      <w:pPr>
        <w:spacing w:line="288" w:lineRule="auto"/>
        <w:rPr>
          <w:color w:val="FF0000"/>
        </w:rPr>
      </w:pPr>
    </w:p>
    <w:tbl>
      <w:tblPr>
        <w:tblW w:w="8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
        <w:gridCol w:w="1098"/>
        <w:gridCol w:w="423"/>
        <w:gridCol w:w="805"/>
        <w:gridCol w:w="1275"/>
        <w:gridCol w:w="393"/>
        <w:gridCol w:w="1217"/>
        <w:gridCol w:w="653"/>
        <w:gridCol w:w="656"/>
        <w:gridCol w:w="236"/>
        <w:gridCol w:w="1451"/>
        <w:gridCol w:w="505"/>
        <w:gridCol w:w="120"/>
      </w:tblGrid>
      <w:tr w:rsidR="009D359D" w:rsidRPr="005A7D79" w:rsidTr="0042598A">
        <w:trPr>
          <w:gridBefore w:val="1"/>
          <w:wBefore w:w="128" w:type="dxa"/>
          <w:jc w:val="center"/>
        </w:trPr>
        <w:tc>
          <w:tcPr>
            <w:tcW w:w="8832" w:type="dxa"/>
            <w:gridSpan w:val="12"/>
          </w:tcPr>
          <w:p w:rsidR="009D359D" w:rsidRPr="00BB3E31" w:rsidRDefault="009D359D" w:rsidP="00B644CC">
            <w:pPr>
              <w:pStyle w:val="Poglavje"/>
              <w:spacing w:before="0" w:after="0" w:line="288" w:lineRule="auto"/>
              <w:jc w:val="left"/>
              <w:rPr>
                <w:sz w:val="20"/>
                <w:szCs w:val="20"/>
              </w:rPr>
            </w:pPr>
            <w:r w:rsidRPr="00BB3E31">
              <w:rPr>
                <w:sz w:val="20"/>
                <w:szCs w:val="20"/>
              </w:rPr>
              <w:t>1. Predlog sklepov vlade:</w:t>
            </w:r>
          </w:p>
        </w:tc>
      </w:tr>
      <w:tr w:rsidR="009D359D" w:rsidRPr="00026310" w:rsidTr="0042598A">
        <w:trPr>
          <w:gridBefore w:val="1"/>
          <w:wBefore w:w="128" w:type="dxa"/>
          <w:jc w:val="center"/>
        </w:trPr>
        <w:tc>
          <w:tcPr>
            <w:tcW w:w="8832" w:type="dxa"/>
            <w:gridSpan w:val="12"/>
          </w:tcPr>
          <w:p w:rsidR="00293EBB" w:rsidRPr="00402BA3" w:rsidRDefault="00293EBB" w:rsidP="00B644CC">
            <w:pPr>
              <w:spacing w:line="288" w:lineRule="auto"/>
              <w:jc w:val="both"/>
              <w:rPr>
                <w:rFonts w:cs="Arial"/>
                <w:color w:val="FF0000"/>
                <w:sz w:val="22"/>
                <w:szCs w:val="22"/>
                <w:lang w:eastAsia="sl-SI"/>
              </w:rPr>
            </w:pPr>
          </w:p>
          <w:p w:rsidR="008A6A2B" w:rsidRPr="00402BA3" w:rsidRDefault="008A6A2B" w:rsidP="00B644CC">
            <w:pPr>
              <w:suppressAutoHyphens/>
              <w:spacing w:line="288" w:lineRule="auto"/>
              <w:jc w:val="both"/>
              <w:rPr>
                <w:rFonts w:cs="Arial"/>
              </w:rPr>
            </w:pPr>
            <w:r w:rsidRPr="00402BA3">
              <w:rPr>
                <w:rFonts w:cs="Arial"/>
                <w:szCs w:val="20"/>
                <w:lang w:eastAsia="ar-SA"/>
              </w:rPr>
              <w:t xml:space="preserve">Na podlagi </w:t>
            </w:r>
            <w:r w:rsidRPr="00217F13">
              <w:rPr>
                <w:rFonts w:cs="Arial"/>
                <w:szCs w:val="20"/>
              </w:rPr>
              <w:t xml:space="preserve">drugega odstavka 2. člena </w:t>
            </w:r>
            <w:r w:rsidRPr="00402BA3">
              <w:rPr>
                <w:rFonts w:cs="Arial"/>
                <w:szCs w:val="20"/>
                <w:lang w:eastAsia="ar-SA"/>
              </w:rPr>
              <w:t xml:space="preserve">Zakona o Vladi Republike Slovenije </w:t>
            </w:r>
            <w:r w:rsidRPr="00402BA3">
              <w:rPr>
                <w:rFonts w:cs="Arial"/>
                <w:szCs w:val="20"/>
              </w:rPr>
              <w:t>(</w:t>
            </w:r>
            <w:r w:rsidRPr="006F5D0A">
              <w:rPr>
                <w:rFonts w:cs="Arial"/>
                <w:szCs w:val="20"/>
              </w:rPr>
              <w:t>Uradni list RS, št. 24/05 – uradno prečiščeno besedilo, 109/08, 38/10 – ZUKN, 8/12, 21/13, 47/13 – ZDU-1G, 65/14 in 55/17</w:t>
            </w:r>
            <w:r w:rsidRPr="00402BA3">
              <w:rPr>
                <w:rFonts w:cs="Arial"/>
                <w:szCs w:val="20"/>
              </w:rPr>
              <w:t xml:space="preserve">) </w:t>
            </w:r>
            <w:r w:rsidRPr="00402BA3">
              <w:rPr>
                <w:rFonts w:cs="Arial"/>
                <w:szCs w:val="20"/>
                <w:lang w:eastAsia="ar-SA"/>
              </w:rPr>
              <w:t>je Vlada Republike Slovenije na .....seji dne......sprejela naslednji:</w:t>
            </w:r>
          </w:p>
          <w:p w:rsidR="006B5F33" w:rsidRPr="00402BA3" w:rsidRDefault="006B5F33" w:rsidP="00B644CC">
            <w:pPr>
              <w:spacing w:line="288" w:lineRule="auto"/>
              <w:jc w:val="both"/>
              <w:rPr>
                <w:rFonts w:cs="Arial"/>
                <w:color w:val="FF0000"/>
                <w:szCs w:val="20"/>
              </w:rPr>
            </w:pPr>
          </w:p>
          <w:p w:rsidR="00674708" w:rsidRPr="00402BA3" w:rsidRDefault="00282D26" w:rsidP="00B644CC">
            <w:pPr>
              <w:spacing w:line="288" w:lineRule="auto"/>
              <w:jc w:val="center"/>
              <w:rPr>
                <w:rFonts w:cs="Arial"/>
                <w:szCs w:val="20"/>
              </w:rPr>
            </w:pPr>
            <w:r w:rsidRPr="00402BA3">
              <w:rPr>
                <w:rFonts w:cs="Arial"/>
                <w:szCs w:val="20"/>
              </w:rPr>
              <w:t>SKLEP</w:t>
            </w:r>
          </w:p>
          <w:p w:rsidR="00293EBB" w:rsidRPr="00402BA3" w:rsidRDefault="00293EBB" w:rsidP="00B644CC">
            <w:pPr>
              <w:spacing w:line="288" w:lineRule="auto"/>
              <w:jc w:val="center"/>
              <w:rPr>
                <w:rFonts w:cs="Arial"/>
                <w:color w:val="FF0000"/>
                <w:szCs w:val="20"/>
              </w:rPr>
            </w:pPr>
          </w:p>
          <w:p w:rsidR="008A6A2B" w:rsidRPr="00217F13" w:rsidRDefault="008A6A2B" w:rsidP="00B644CC">
            <w:pPr>
              <w:spacing w:line="288" w:lineRule="auto"/>
              <w:jc w:val="both"/>
              <w:rPr>
                <w:rFonts w:cs="Arial"/>
                <w:szCs w:val="20"/>
              </w:rPr>
            </w:pPr>
            <w:r w:rsidRPr="00217F13">
              <w:rPr>
                <w:rFonts w:cs="Arial"/>
                <w:szCs w:val="20"/>
              </w:rPr>
              <w:t xml:space="preserve">Vlada Republike Slovenije je določila besedilo Predloga Zakona o spremembah in dopolnitvah Zakona o državnem tožilstvu </w:t>
            </w:r>
            <w:r w:rsidR="00BF5EAC">
              <w:rPr>
                <w:rFonts w:cs="Arial"/>
                <w:szCs w:val="20"/>
              </w:rPr>
              <w:t xml:space="preserve">(EVA 2020-2030-0005) </w:t>
            </w:r>
            <w:r w:rsidRPr="00217F13">
              <w:rPr>
                <w:rFonts w:cs="Arial"/>
                <w:szCs w:val="20"/>
              </w:rPr>
              <w:t>in ga p</w:t>
            </w:r>
            <w:r w:rsidR="00BF5EAC">
              <w:rPr>
                <w:rFonts w:cs="Arial"/>
                <w:szCs w:val="20"/>
              </w:rPr>
              <w:t xml:space="preserve">ošlje </w:t>
            </w:r>
            <w:r w:rsidRPr="00217F13">
              <w:rPr>
                <w:rFonts w:cs="Arial"/>
                <w:szCs w:val="20"/>
              </w:rPr>
              <w:t xml:space="preserve">Državnemu zboru Republike Slovenije v obravnavo po </w:t>
            </w:r>
            <w:r>
              <w:rPr>
                <w:rFonts w:cs="Arial"/>
                <w:szCs w:val="20"/>
              </w:rPr>
              <w:t>skrajšanem</w:t>
            </w:r>
            <w:r w:rsidRPr="00217F13">
              <w:rPr>
                <w:rFonts w:cs="Arial"/>
                <w:szCs w:val="20"/>
              </w:rPr>
              <w:t xml:space="preserve"> postopku.</w:t>
            </w:r>
          </w:p>
          <w:p w:rsidR="0063431B" w:rsidRPr="00402BA3" w:rsidRDefault="0063431B" w:rsidP="00B644CC">
            <w:pPr>
              <w:pStyle w:val="Navadensplet"/>
              <w:spacing w:before="0" w:beforeAutospacing="0" w:after="0" w:afterAutospacing="0" w:line="288" w:lineRule="auto"/>
              <w:ind w:firstLine="720"/>
              <w:jc w:val="both"/>
              <w:rPr>
                <w:rFonts w:ascii="Arial" w:hAnsi="Arial" w:cs="Arial"/>
                <w:sz w:val="20"/>
                <w:szCs w:val="20"/>
              </w:rPr>
            </w:pPr>
          </w:p>
          <w:p w:rsidR="00BF5EAC" w:rsidRDefault="00BF5EAC" w:rsidP="00B644CC">
            <w:pPr>
              <w:pStyle w:val="Telobesedila"/>
              <w:spacing w:after="0" w:line="288" w:lineRule="auto"/>
              <w:jc w:val="center"/>
              <w:rPr>
                <w:rFonts w:ascii="Arial" w:hAnsi="Arial" w:cs="Arial"/>
                <w:bCs/>
                <w:sz w:val="20"/>
                <w:szCs w:val="20"/>
              </w:rPr>
            </w:pPr>
          </w:p>
          <w:p w:rsidR="00721396" w:rsidRPr="001B429E" w:rsidRDefault="00721396" w:rsidP="00B644CC">
            <w:pPr>
              <w:pStyle w:val="Telobesedila"/>
              <w:spacing w:after="0" w:line="288" w:lineRule="auto"/>
              <w:jc w:val="center"/>
              <w:rPr>
                <w:rFonts w:ascii="Arial" w:hAnsi="Arial" w:cs="Arial"/>
                <w:bCs/>
                <w:sz w:val="20"/>
                <w:szCs w:val="20"/>
              </w:rPr>
            </w:pPr>
            <w:r w:rsidRPr="001B429E">
              <w:rPr>
                <w:rFonts w:ascii="Arial" w:hAnsi="Arial" w:cs="Arial"/>
                <w:bCs/>
                <w:sz w:val="20"/>
                <w:szCs w:val="20"/>
              </w:rPr>
              <w:t xml:space="preserve">dr. Božo Predalič                                                                                                              </w:t>
            </w:r>
            <w:r w:rsidR="00BF5EAC">
              <w:rPr>
                <w:rFonts w:ascii="Arial" w:hAnsi="Arial" w:cs="Arial"/>
                <w:bCs/>
                <w:sz w:val="20"/>
                <w:szCs w:val="20"/>
              </w:rPr>
              <w:t xml:space="preserve">           </w:t>
            </w:r>
            <w:r w:rsidRPr="001B429E">
              <w:rPr>
                <w:rFonts w:ascii="Arial" w:hAnsi="Arial" w:cs="Arial"/>
                <w:bCs/>
                <w:sz w:val="20"/>
                <w:szCs w:val="20"/>
              </w:rPr>
              <w:t>GENERALNI SEKRETAR</w:t>
            </w:r>
          </w:p>
          <w:p w:rsidR="00721396" w:rsidRDefault="00721396" w:rsidP="00B644CC">
            <w:pPr>
              <w:pStyle w:val="Naslovpredpisa"/>
              <w:spacing w:before="0" w:after="0" w:line="260" w:lineRule="exact"/>
              <w:jc w:val="left"/>
              <w:rPr>
                <w:sz w:val="20"/>
                <w:szCs w:val="20"/>
              </w:rPr>
            </w:pPr>
          </w:p>
          <w:p w:rsidR="00721396" w:rsidRDefault="00721396" w:rsidP="00B644CC">
            <w:pPr>
              <w:pStyle w:val="Naslovpredpisa"/>
              <w:spacing w:before="0" w:after="0" w:line="260" w:lineRule="exact"/>
              <w:jc w:val="left"/>
              <w:rPr>
                <w:sz w:val="20"/>
                <w:szCs w:val="20"/>
              </w:rPr>
            </w:pPr>
          </w:p>
          <w:p w:rsidR="001546F8" w:rsidRPr="00402BA3" w:rsidRDefault="00AE6AA8" w:rsidP="00B644CC">
            <w:pPr>
              <w:spacing w:line="288" w:lineRule="auto"/>
              <w:rPr>
                <w:bCs/>
                <w:szCs w:val="20"/>
              </w:rPr>
            </w:pPr>
            <w:r w:rsidRPr="00402BA3">
              <w:rPr>
                <w:bCs/>
                <w:szCs w:val="20"/>
              </w:rPr>
              <w:t xml:space="preserve"> </w:t>
            </w:r>
          </w:p>
          <w:p w:rsidR="001546F8" w:rsidRPr="00402BA3" w:rsidRDefault="00402BA3" w:rsidP="00B644CC">
            <w:pPr>
              <w:spacing w:line="288" w:lineRule="auto"/>
              <w:rPr>
                <w:bCs/>
                <w:szCs w:val="20"/>
              </w:rPr>
            </w:pPr>
            <w:r w:rsidRPr="00402BA3">
              <w:rPr>
                <w:bCs/>
                <w:szCs w:val="20"/>
              </w:rPr>
              <w:t>Prejme</w:t>
            </w:r>
            <w:r>
              <w:rPr>
                <w:bCs/>
                <w:szCs w:val="20"/>
              </w:rPr>
              <w:t>jo</w:t>
            </w:r>
            <w:r w:rsidR="0022185B" w:rsidRPr="00402BA3">
              <w:rPr>
                <w:bCs/>
                <w:szCs w:val="20"/>
              </w:rPr>
              <w:t xml:space="preserve">: </w:t>
            </w:r>
          </w:p>
          <w:p w:rsidR="008A6A2B" w:rsidRPr="00217F13" w:rsidRDefault="00BF5EAC" w:rsidP="00B644CC">
            <w:pPr>
              <w:spacing w:line="288" w:lineRule="auto"/>
              <w:jc w:val="both"/>
              <w:rPr>
                <w:rFonts w:cs="Arial"/>
                <w:szCs w:val="20"/>
              </w:rPr>
            </w:pPr>
            <w:r>
              <w:rPr>
                <w:rFonts w:cs="Arial"/>
                <w:szCs w:val="20"/>
              </w:rPr>
              <w:t>–</w:t>
            </w:r>
            <w:r w:rsidR="008A6A2B" w:rsidRPr="00217F13">
              <w:rPr>
                <w:rFonts w:cs="Arial"/>
                <w:szCs w:val="20"/>
              </w:rPr>
              <w:t xml:space="preserve"> Državni zbor Republike Slovenije,</w:t>
            </w:r>
          </w:p>
          <w:p w:rsidR="008A6A2B" w:rsidRPr="00217F13" w:rsidRDefault="00BF5EAC" w:rsidP="00B644CC">
            <w:pPr>
              <w:spacing w:line="288" w:lineRule="auto"/>
              <w:jc w:val="both"/>
              <w:rPr>
                <w:rFonts w:cs="Arial"/>
                <w:szCs w:val="20"/>
              </w:rPr>
            </w:pPr>
            <w:r>
              <w:rPr>
                <w:rFonts w:cs="Arial"/>
                <w:szCs w:val="20"/>
              </w:rPr>
              <w:t>–</w:t>
            </w:r>
            <w:r w:rsidR="008A6A2B" w:rsidRPr="00217F13">
              <w:rPr>
                <w:rFonts w:cs="Arial"/>
                <w:szCs w:val="20"/>
              </w:rPr>
              <w:t xml:space="preserve"> Ministrstvo za pravosodje,</w:t>
            </w:r>
          </w:p>
          <w:p w:rsidR="008A6A2B" w:rsidRDefault="00BF5EAC" w:rsidP="00B644CC">
            <w:pPr>
              <w:spacing w:line="288" w:lineRule="auto"/>
              <w:jc w:val="both"/>
              <w:rPr>
                <w:rFonts w:cs="Arial"/>
                <w:szCs w:val="20"/>
              </w:rPr>
            </w:pPr>
            <w:r>
              <w:rPr>
                <w:rFonts w:cs="Arial"/>
                <w:szCs w:val="20"/>
              </w:rPr>
              <w:t>–</w:t>
            </w:r>
            <w:r w:rsidR="008A6A2B" w:rsidRPr="00217F13">
              <w:rPr>
                <w:rFonts w:cs="Arial"/>
                <w:szCs w:val="20"/>
              </w:rPr>
              <w:t xml:space="preserve"> Ministrstvo za finance,</w:t>
            </w:r>
          </w:p>
          <w:p w:rsidR="008A6A2B" w:rsidRPr="00217F13" w:rsidRDefault="00BF5EAC" w:rsidP="00B644CC">
            <w:pPr>
              <w:spacing w:line="288" w:lineRule="auto"/>
              <w:jc w:val="both"/>
              <w:rPr>
                <w:rFonts w:cs="Arial"/>
                <w:szCs w:val="20"/>
              </w:rPr>
            </w:pPr>
            <w:r>
              <w:rPr>
                <w:rFonts w:cs="Arial"/>
                <w:szCs w:val="20"/>
              </w:rPr>
              <w:t>–</w:t>
            </w:r>
            <w:r w:rsidR="008A6A2B">
              <w:rPr>
                <w:rFonts w:cs="Arial"/>
                <w:szCs w:val="20"/>
              </w:rPr>
              <w:t xml:space="preserve"> Služba Vlade RS za zakonodajo,</w:t>
            </w:r>
          </w:p>
          <w:p w:rsidR="008A6A2B" w:rsidRDefault="00C03860" w:rsidP="00B644CC">
            <w:pPr>
              <w:spacing w:line="288" w:lineRule="auto"/>
              <w:jc w:val="both"/>
              <w:rPr>
                <w:rFonts w:cs="Arial"/>
                <w:szCs w:val="20"/>
              </w:rPr>
            </w:pPr>
            <w:r>
              <w:rPr>
                <w:rFonts w:cs="Arial"/>
                <w:szCs w:val="20"/>
              </w:rPr>
              <w:t xml:space="preserve">– </w:t>
            </w:r>
            <w:r w:rsidR="008A6A2B">
              <w:rPr>
                <w:rFonts w:cs="Arial"/>
                <w:szCs w:val="20"/>
              </w:rPr>
              <w:t>Vrhovno državno tožilstvo RS</w:t>
            </w:r>
            <w:r>
              <w:rPr>
                <w:rFonts w:cs="Arial"/>
                <w:szCs w:val="20"/>
              </w:rPr>
              <w:t>,</w:t>
            </w:r>
          </w:p>
          <w:p w:rsidR="00C03860" w:rsidRPr="00217F13" w:rsidRDefault="00C03860" w:rsidP="00B644CC">
            <w:pPr>
              <w:spacing w:line="288" w:lineRule="auto"/>
              <w:jc w:val="both"/>
              <w:rPr>
                <w:rFonts w:cs="Arial"/>
                <w:szCs w:val="20"/>
              </w:rPr>
            </w:pPr>
            <w:r>
              <w:rPr>
                <w:rFonts w:cs="Arial"/>
                <w:szCs w:val="20"/>
              </w:rPr>
              <w:t>– Državnotožilski svet.</w:t>
            </w:r>
          </w:p>
          <w:p w:rsidR="00282D26" w:rsidRPr="00402BA3" w:rsidRDefault="00282D26" w:rsidP="00B644CC">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s>
              <w:suppressAutoHyphens/>
              <w:spacing w:line="288" w:lineRule="auto"/>
              <w:jc w:val="both"/>
              <w:rPr>
                <w:color w:val="FF0000"/>
              </w:rPr>
            </w:pPr>
          </w:p>
        </w:tc>
      </w:tr>
      <w:tr w:rsidR="009D359D" w:rsidRPr="00026310" w:rsidTr="0042598A">
        <w:trPr>
          <w:gridBefore w:val="1"/>
          <w:wBefore w:w="128" w:type="dxa"/>
          <w:jc w:val="center"/>
        </w:trPr>
        <w:tc>
          <w:tcPr>
            <w:tcW w:w="8832" w:type="dxa"/>
            <w:gridSpan w:val="12"/>
          </w:tcPr>
          <w:p w:rsidR="009D359D" w:rsidRPr="00BB3E31" w:rsidRDefault="009D359D" w:rsidP="00B644CC">
            <w:pPr>
              <w:pStyle w:val="Neotevilenodstavek"/>
              <w:spacing w:before="0" w:after="0" w:line="288" w:lineRule="auto"/>
              <w:rPr>
                <w:b/>
                <w:iCs/>
                <w:sz w:val="20"/>
                <w:szCs w:val="20"/>
              </w:rPr>
            </w:pPr>
            <w:r w:rsidRPr="00BB3E31">
              <w:rPr>
                <w:b/>
                <w:sz w:val="20"/>
                <w:szCs w:val="20"/>
              </w:rPr>
              <w:t>2. Predlog za obravnavo predloga zakona po nujnem ali skrajšanem postopku v državnem zboru z obrazložitvijo razlogov:</w:t>
            </w:r>
          </w:p>
        </w:tc>
      </w:tr>
      <w:tr w:rsidR="009D359D" w:rsidRPr="00026310" w:rsidTr="0042598A">
        <w:trPr>
          <w:gridBefore w:val="1"/>
          <w:wBefore w:w="128" w:type="dxa"/>
          <w:jc w:val="center"/>
        </w:trPr>
        <w:tc>
          <w:tcPr>
            <w:tcW w:w="8832" w:type="dxa"/>
            <w:gridSpan w:val="12"/>
          </w:tcPr>
          <w:p w:rsidR="00D00EBE" w:rsidRDefault="00D00EBE" w:rsidP="00B644CC">
            <w:pPr>
              <w:pStyle w:val="Neotevilenodstavek"/>
              <w:spacing w:before="0" w:after="0" w:line="288" w:lineRule="auto"/>
              <w:rPr>
                <w:sz w:val="20"/>
                <w:szCs w:val="20"/>
              </w:rPr>
            </w:pPr>
          </w:p>
          <w:p w:rsidR="005C5CDF" w:rsidRDefault="008A6A2B" w:rsidP="00B644CC">
            <w:pPr>
              <w:pStyle w:val="Neotevilenodstavek"/>
              <w:spacing w:before="0" w:after="0" w:line="288" w:lineRule="auto"/>
              <w:rPr>
                <w:sz w:val="20"/>
                <w:szCs w:val="20"/>
              </w:rPr>
            </w:pPr>
            <w:r w:rsidRPr="004B49CB">
              <w:rPr>
                <w:sz w:val="20"/>
                <w:szCs w:val="20"/>
              </w:rPr>
              <w:lastRenderedPageBreak/>
              <w:t xml:space="preserve">Vlada Republike Slovenije predlaga, da se </w:t>
            </w:r>
            <w:r w:rsidR="00CA0776">
              <w:rPr>
                <w:sz w:val="20"/>
                <w:szCs w:val="20"/>
              </w:rPr>
              <w:t>p</w:t>
            </w:r>
            <w:r w:rsidRPr="004B49CB">
              <w:rPr>
                <w:sz w:val="20"/>
                <w:szCs w:val="20"/>
              </w:rPr>
              <w:t>redlog Zakona o spremembah in dopolnitvah Zak</w:t>
            </w:r>
            <w:r>
              <w:rPr>
                <w:sz w:val="20"/>
                <w:szCs w:val="20"/>
              </w:rPr>
              <w:t>ona o državnem tožilstvu (ZDT-1</w:t>
            </w:r>
            <w:r w:rsidR="00006DB8">
              <w:rPr>
                <w:sz w:val="20"/>
                <w:szCs w:val="20"/>
              </w:rPr>
              <w:t>D</w:t>
            </w:r>
            <w:r w:rsidRPr="004B49CB">
              <w:rPr>
                <w:sz w:val="20"/>
                <w:szCs w:val="20"/>
              </w:rPr>
              <w:t xml:space="preserve">) v Državnem zboru Republike Slovenije </w:t>
            </w:r>
            <w:r w:rsidR="00CA0776" w:rsidRPr="004B49CB">
              <w:rPr>
                <w:sz w:val="20"/>
                <w:szCs w:val="20"/>
              </w:rPr>
              <w:t xml:space="preserve">obravnava </w:t>
            </w:r>
            <w:r w:rsidRPr="004B49CB">
              <w:rPr>
                <w:sz w:val="20"/>
                <w:szCs w:val="20"/>
              </w:rPr>
              <w:t>po skrajšanem postopku skladno s prvim odstavkom 142. člena Poslovnika Državnega zbora, saj gre za manj zahtevne</w:t>
            </w:r>
            <w:r>
              <w:rPr>
                <w:sz w:val="20"/>
                <w:szCs w:val="20"/>
              </w:rPr>
              <w:t xml:space="preserve"> </w:t>
            </w:r>
            <w:r w:rsidRPr="004B49CB">
              <w:rPr>
                <w:sz w:val="20"/>
                <w:szCs w:val="20"/>
              </w:rPr>
              <w:t>uskladitve s pravom Evropske unije (</w:t>
            </w:r>
            <w:r w:rsidR="005C5CDF">
              <w:rPr>
                <w:sz w:val="20"/>
                <w:szCs w:val="20"/>
              </w:rPr>
              <w:t>postopek predlaganja</w:t>
            </w:r>
            <w:r>
              <w:rPr>
                <w:sz w:val="20"/>
                <w:szCs w:val="20"/>
              </w:rPr>
              <w:t xml:space="preserve"> kandidatov za imenovanje </w:t>
            </w:r>
            <w:r w:rsidR="00E77F66">
              <w:rPr>
                <w:sz w:val="20"/>
                <w:szCs w:val="20"/>
              </w:rPr>
              <w:t>nacionalnega predstavnika v Eurojustu, njegovega namestnika in pomočnika</w:t>
            </w:r>
            <w:r w:rsidRPr="004B49CB">
              <w:rPr>
                <w:sz w:val="20"/>
                <w:szCs w:val="20"/>
              </w:rPr>
              <w:t>). Vse</w:t>
            </w:r>
            <w:r w:rsidR="005C5CDF">
              <w:rPr>
                <w:sz w:val="20"/>
                <w:szCs w:val="20"/>
              </w:rPr>
              <w:t xml:space="preserve"> normativne</w:t>
            </w:r>
            <w:r w:rsidRPr="004B49CB">
              <w:rPr>
                <w:sz w:val="20"/>
                <w:szCs w:val="20"/>
              </w:rPr>
              <w:t xml:space="preserve"> </w:t>
            </w:r>
            <w:r w:rsidR="00573F81">
              <w:rPr>
                <w:sz w:val="20"/>
                <w:szCs w:val="20"/>
              </w:rPr>
              <w:t xml:space="preserve">spremembe in dopolnitve </w:t>
            </w:r>
            <w:r w:rsidR="006B7A62">
              <w:rPr>
                <w:sz w:val="20"/>
                <w:szCs w:val="20"/>
              </w:rPr>
              <w:t xml:space="preserve">se </w:t>
            </w:r>
            <w:r w:rsidR="00573F81" w:rsidRPr="00573F81">
              <w:rPr>
                <w:sz w:val="20"/>
                <w:szCs w:val="20"/>
              </w:rPr>
              <w:t>predlagajo</w:t>
            </w:r>
            <w:r w:rsidR="00573F81">
              <w:rPr>
                <w:sz w:val="20"/>
                <w:szCs w:val="20"/>
              </w:rPr>
              <w:t xml:space="preserve"> zaradi</w:t>
            </w:r>
            <w:r w:rsidR="00573F81" w:rsidRPr="00573F81">
              <w:rPr>
                <w:sz w:val="20"/>
                <w:szCs w:val="20"/>
              </w:rPr>
              <w:t xml:space="preserve"> potrebne prilagoditve </w:t>
            </w:r>
            <w:r w:rsidR="00573F81">
              <w:rPr>
                <w:sz w:val="20"/>
                <w:szCs w:val="20"/>
              </w:rPr>
              <w:t xml:space="preserve">veljavnega zakona k </w:t>
            </w:r>
            <w:r w:rsidR="00E77F66">
              <w:rPr>
                <w:sz w:val="20"/>
                <w:szCs w:val="20"/>
              </w:rPr>
              <w:t xml:space="preserve">novi </w:t>
            </w:r>
            <w:r w:rsidR="00E77F66" w:rsidRPr="00BB3D7A">
              <w:rPr>
                <w:rFonts w:eastAsia="Calibri"/>
                <w:sz w:val="20"/>
                <w:szCs w:val="20"/>
              </w:rPr>
              <w:t>Uredb</w:t>
            </w:r>
            <w:r w:rsidR="00E77F66">
              <w:rPr>
                <w:rFonts w:eastAsia="Calibri"/>
                <w:sz w:val="20"/>
                <w:szCs w:val="20"/>
              </w:rPr>
              <w:t>i</w:t>
            </w:r>
            <w:r w:rsidR="00E77F66" w:rsidRPr="00BB3D7A">
              <w:rPr>
                <w:rFonts w:eastAsia="Calibri"/>
                <w:sz w:val="20"/>
                <w:szCs w:val="20"/>
              </w:rPr>
              <w:t xml:space="preserve"> Evropskega parlamenta in Sveta z dne 14. novembra 2018 o Agenciji Evropske unije za pravosodno sodelovanje v kazenskih zadevah (Eurojust) ter nadomestitvi in razveljavitvi Sklepa Sveta 2002/187/PNZ (UL L št. 295 z dne 21. 11. 2018, str. 138; v nadaljnjem besedilu: Uredba 2018/1727/EU)</w:t>
            </w:r>
            <w:r w:rsidR="005C5CDF">
              <w:rPr>
                <w:sz w:val="20"/>
                <w:szCs w:val="20"/>
              </w:rPr>
              <w:t xml:space="preserve">. Predlagane spremembe in dopolnitve so </w:t>
            </w:r>
            <w:r w:rsidR="006B7A62">
              <w:rPr>
                <w:sz w:val="20"/>
                <w:szCs w:val="20"/>
              </w:rPr>
              <w:t xml:space="preserve">z namenom, da se </w:t>
            </w:r>
            <w:r w:rsidR="005C5CDF">
              <w:rPr>
                <w:sz w:val="20"/>
                <w:szCs w:val="20"/>
              </w:rPr>
              <w:t>izpolni</w:t>
            </w:r>
            <w:r w:rsidR="00EB2843">
              <w:rPr>
                <w:sz w:val="20"/>
                <w:szCs w:val="20"/>
              </w:rPr>
              <w:t>jo</w:t>
            </w:r>
            <w:r w:rsidR="005C5CDF">
              <w:rPr>
                <w:sz w:val="20"/>
                <w:szCs w:val="20"/>
              </w:rPr>
              <w:t xml:space="preserve"> obveznosti do EU</w:t>
            </w:r>
            <w:r w:rsidR="00573F81" w:rsidRPr="00573F81">
              <w:rPr>
                <w:sz w:val="20"/>
                <w:szCs w:val="20"/>
              </w:rPr>
              <w:t xml:space="preserve"> nujne</w:t>
            </w:r>
            <w:r w:rsidR="005C5CDF">
              <w:rPr>
                <w:sz w:val="20"/>
                <w:szCs w:val="20"/>
              </w:rPr>
              <w:t>,</w:t>
            </w:r>
            <w:r w:rsidR="00573F81" w:rsidRPr="00573F81">
              <w:rPr>
                <w:sz w:val="20"/>
                <w:szCs w:val="20"/>
              </w:rPr>
              <w:t xml:space="preserve"> </w:t>
            </w:r>
            <w:r w:rsidR="006B7A62">
              <w:rPr>
                <w:sz w:val="20"/>
                <w:szCs w:val="20"/>
              </w:rPr>
              <w:t xml:space="preserve">tudi </w:t>
            </w:r>
            <w:r w:rsidR="00573F81" w:rsidRPr="00573F81">
              <w:rPr>
                <w:sz w:val="20"/>
                <w:szCs w:val="20"/>
              </w:rPr>
              <w:t>z vidi</w:t>
            </w:r>
            <w:r w:rsidR="00573F81">
              <w:rPr>
                <w:sz w:val="20"/>
                <w:szCs w:val="20"/>
              </w:rPr>
              <w:t xml:space="preserve">ka nemotenega delovanja države ter </w:t>
            </w:r>
            <w:r w:rsidR="006B7A62">
              <w:rPr>
                <w:sz w:val="20"/>
                <w:szCs w:val="20"/>
              </w:rPr>
              <w:t xml:space="preserve">njenih institucij. </w:t>
            </w:r>
          </w:p>
          <w:p w:rsidR="00F23BC5" w:rsidRDefault="00F23BC5" w:rsidP="00B644CC">
            <w:pPr>
              <w:pStyle w:val="Neotevilenodstavek"/>
              <w:spacing w:before="0" w:after="0" w:line="288" w:lineRule="auto"/>
              <w:rPr>
                <w:sz w:val="20"/>
                <w:szCs w:val="20"/>
              </w:rPr>
            </w:pPr>
          </w:p>
          <w:p w:rsidR="00F23BC5" w:rsidRDefault="006B7A62" w:rsidP="00B644CC">
            <w:pPr>
              <w:pStyle w:val="Neotevilenodstavek"/>
              <w:spacing w:before="0" w:after="0" w:line="288" w:lineRule="auto"/>
              <w:rPr>
                <w:sz w:val="20"/>
                <w:szCs w:val="20"/>
              </w:rPr>
            </w:pPr>
            <w:r>
              <w:rPr>
                <w:sz w:val="20"/>
                <w:szCs w:val="20"/>
              </w:rPr>
              <w:t>Predlagane</w:t>
            </w:r>
            <w:r w:rsidR="005B2094">
              <w:rPr>
                <w:sz w:val="20"/>
                <w:szCs w:val="20"/>
              </w:rPr>
              <w:t xml:space="preserve"> spremembe in dopolnitve </w:t>
            </w:r>
            <w:r w:rsidR="008A6A2B" w:rsidRPr="004B49CB">
              <w:rPr>
                <w:sz w:val="20"/>
                <w:szCs w:val="20"/>
              </w:rPr>
              <w:t xml:space="preserve">so manj zahtevne in ne posegajo v </w:t>
            </w:r>
            <w:r w:rsidR="005C5CDF">
              <w:rPr>
                <w:sz w:val="20"/>
                <w:szCs w:val="20"/>
              </w:rPr>
              <w:t xml:space="preserve">notranjo </w:t>
            </w:r>
            <w:r w:rsidR="008A6A2B" w:rsidRPr="004B49CB">
              <w:rPr>
                <w:sz w:val="20"/>
                <w:szCs w:val="20"/>
              </w:rPr>
              <w:t>sistem</w:t>
            </w:r>
            <w:r w:rsidR="005C5CDF">
              <w:rPr>
                <w:sz w:val="20"/>
                <w:szCs w:val="20"/>
              </w:rPr>
              <w:t>sko</w:t>
            </w:r>
            <w:r w:rsidR="008A6A2B" w:rsidRPr="004B49CB">
              <w:rPr>
                <w:sz w:val="20"/>
                <w:szCs w:val="20"/>
              </w:rPr>
              <w:t xml:space="preserve"> uredit</w:t>
            </w:r>
            <w:r w:rsidR="005C5CDF">
              <w:rPr>
                <w:sz w:val="20"/>
                <w:szCs w:val="20"/>
              </w:rPr>
              <w:t>ev</w:t>
            </w:r>
            <w:r w:rsidR="008A6A2B" w:rsidRPr="004B49CB">
              <w:rPr>
                <w:sz w:val="20"/>
                <w:szCs w:val="20"/>
              </w:rPr>
              <w:t xml:space="preserve"> državn</w:t>
            </w:r>
            <w:r w:rsidR="005B2094">
              <w:rPr>
                <w:sz w:val="20"/>
                <w:szCs w:val="20"/>
              </w:rPr>
              <w:t>ega tožilstva</w:t>
            </w:r>
            <w:r w:rsidR="005C5CDF">
              <w:rPr>
                <w:sz w:val="20"/>
                <w:szCs w:val="20"/>
              </w:rPr>
              <w:t>, temveč jo dopolnjujejo.</w:t>
            </w:r>
            <w:r w:rsidR="00F23BC5">
              <w:rPr>
                <w:sz w:val="20"/>
                <w:szCs w:val="20"/>
              </w:rPr>
              <w:t xml:space="preserve"> </w:t>
            </w:r>
            <w:r w:rsidR="005C5CDF">
              <w:rPr>
                <w:sz w:val="20"/>
                <w:szCs w:val="20"/>
              </w:rPr>
              <w:t>S</w:t>
            </w:r>
            <w:r w:rsidR="00F23BC5">
              <w:rPr>
                <w:sz w:val="20"/>
                <w:szCs w:val="20"/>
              </w:rPr>
              <w:t xml:space="preserve">preminjajo in dopolnjujejo zgolj tiste dele </w:t>
            </w:r>
            <w:r w:rsidR="005C5CDF">
              <w:rPr>
                <w:sz w:val="20"/>
                <w:szCs w:val="20"/>
              </w:rPr>
              <w:t>Zakona o državnem tožilstvu (</w:t>
            </w:r>
            <w:r w:rsidR="00F23BC5">
              <w:rPr>
                <w:sz w:val="20"/>
                <w:szCs w:val="20"/>
              </w:rPr>
              <w:t>ZDT-1</w:t>
            </w:r>
            <w:r w:rsidR="005C5CDF">
              <w:rPr>
                <w:sz w:val="20"/>
                <w:szCs w:val="20"/>
              </w:rPr>
              <w:t>)</w:t>
            </w:r>
            <w:r w:rsidR="00F23BC5">
              <w:rPr>
                <w:sz w:val="20"/>
                <w:szCs w:val="20"/>
              </w:rPr>
              <w:t xml:space="preserve">, kjer je to potrebno zaradi </w:t>
            </w:r>
            <w:r w:rsidR="00F23BC5" w:rsidRPr="00573F81">
              <w:rPr>
                <w:sz w:val="20"/>
                <w:szCs w:val="20"/>
              </w:rPr>
              <w:t>prilagoditve</w:t>
            </w:r>
            <w:r w:rsidR="00F23BC5">
              <w:rPr>
                <w:sz w:val="20"/>
                <w:szCs w:val="20"/>
              </w:rPr>
              <w:t xml:space="preserve"> Uredbe </w:t>
            </w:r>
            <w:r w:rsidR="00E77F66" w:rsidRPr="00BB3D7A">
              <w:rPr>
                <w:rFonts w:eastAsia="Calibri"/>
                <w:sz w:val="20"/>
                <w:szCs w:val="20"/>
              </w:rPr>
              <w:t>2018/1727/EU</w:t>
            </w:r>
            <w:r w:rsidR="00F23BC5">
              <w:rPr>
                <w:sz w:val="20"/>
                <w:szCs w:val="20"/>
              </w:rPr>
              <w:t xml:space="preserve">, ki </w:t>
            </w:r>
            <w:r w:rsidR="00E77F66">
              <w:rPr>
                <w:sz w:val="20"/>
                <w:szCs w:val="20"/>
              </w:rPr>
              <w:t>spreminja dosedanjo organiziranost E</w:t>
            </w:r>
            <w:r w:rsidR="004D6951">
              <w:rPr>
                <w:sz w:val="20"/>
                <w:szCs w:val="20"/>
              </w:rPr>
              <w:t>urojusta</w:t>
            </w:r>
            <w:r w:rsidR="00E77F66">
              <w:rPr>
                <w:sz w:val="20"/>
                <w:szCs w:val="20"/>
              </w:rPr>
              <w:t>. Podaljšuje se mandat nacionalnega predstavnika in njegovega namestnika</w:t>
            </w:r>
            <w:r w:rsidR="00D178ED">
              <w:rPr>
                <w:sz w:val="20"/>
                <w:szCs w:val="20"/>
              </w:rPr>
              <w:t xml:space="preserve"> ter na novo določa postopek </w:t>
            </w:r>
            <w:r w:rsidR="005C5CDF">
              <w:rPr>
                <w:sz w:val="20"/>
                <w:szCs w:val="20"/>
              </w:rPr>
              <w:t>imenovanj</w:t>
            </w:r>
            <w:r w:rsidR="00D178ED">
              <w:rPr>
                <w:sz w:val="20"/>
                <w:szCs w:val="20"/>
              </w:rPr>
              <w:t>a</w:t>
            </w:r>
            <w:r w:rsidR="00006DB8">
              <w:rPr>
                <w:sz w:val="20"/>
                <w:szCs w:val="20"/>
              </w:rPr>
              <w:t xml:space="preserve"> hkrati pa se poudarja primarna narava Uredbe 2018/1727/EU tudi za vprašanja organizacijsko-statusne narave nacionalnega predstavnika, namestnika oziroma pomočnika.</w:t>
            </w:r>
            <w:r w:rsidR="00EB2843">
              <w:rPr>
                <w:sz w:val="20"/>
                <w:szCs w:val="20"/>
              </w:rPr>
              <w:t xml:space="preserve"> </w:t>
            </w:r>
          </w:p>
          <w:p w:rsidR="00EB2843" w:rsidRDefault="00EB2843" w:rsidP="00B644CC">
            <w:pPr>
              <w:pStyle w:val="Neotevilenodstavek"/>
              <w:spacing w:before="0" w:after="0" w:line="288" w:lineRule="auto"/>
              <w:rPr>
                <w:sz w:val="20"/>
                <w:szCs w:val="20"/>
              </w:rPr>
            </w:pPr>
          </w:p>
          <w:p w:rsidR="005A2A80" w:rsidRDefault="00894A7F" w:rsidP="00C03860">
            <w:pPr>
              <w:pStyle w:val="Alineazatoko"/>
              <w:spacing w:line="288" w:lineRule="auto"/>
              <w:ind w:left="0" w:right="62" w:firstLine="0"/>
              <w:rPr>
                <w:sz w:val="20"/>
                <w:szCs w:val="20"/>
              </w:rPr>
            </w:pPr>
            <w:r>
              <w:rPr>
                <w:sz w:val="20"/>
                <w:szCs w:val="20"/>
              </w:rPr>
              <w:t xml:space="preserve">Poleg navedenega se s predlogom odpravljajo nekatere manj zahtevne </w:t>
            </w:r>
            <w:r w:rsidRPr="00894A7F">
              <w:rPr>
                <w:sz w:val="20"/>
                <w:szCs w:val="20"/>
              </w:rPr>
              <w:t>nepravilnosti, ki jih je pri izvajanju in evidentiranju pripravljenosti in dežurstva državnega tožilstva ugotovilo Računsko sodišče</w:t>
            </w:r>
            <w:r>
              <w:rPr>
                <w:sz w:val="20"/>
                <w:szCs w:val="20"/>
              </w:rPr>
              <w:t xml:space="preserve"> z </w:t>
            </w:r>
            <w:r w:rsidRPr="00894A7F">
              <w:rPr>
                <w:sz w:val="20"/>
                <w:szCs w:val="20"/>
              </w:rPr>
              <w:t>določit</w:t>
            </w:r>
            <w:r>
              <w:rPr>
                <w:sz w:val="20"/>
                <w:szCs w:val="20"/>
              </w:rPr>
              <w:t>vijo</w:t>
            </w:r>
            <w:r w:rsidRPr="00894A7F">
              <w:rPr>
                <w:sz w:val="20"/>
                <w:szCs w:val="20"/>
              </w:rPr>
              <w:t xml:space="preserve"> zakonske podlage za delovnopravno ureditev sodelovanja državnotožilskega osebja pri opravljanju nujnih procesnih dejanj,</w:t>
            </w:r>
            <w:r>
              <w:rPr>
                <w:sz w:val="20"/>
                <w:szCs w:val="20"/>
              </w:rPr>
              <w:t xml:space="preserve"> z redakcijskimi popravki pa se odpravljajo manjša terminološka razhajanja</w:t>
            </w:r>
            <w:r w:rsidRPr="00894A7F">
              <w:rPr>
                <w:sz w:val="20"/>
                <w:szCs w:val="20"/>
              </w:rPr>
              <w:t>, ki so posledica normativnih sprememb oziroma nesistemske rešitve, ki so v nasprotju z namenom posamezne zakonske določbe</w:t>
            </w:r>
            <w:r>
              <w:rPr>
                <w:sz w:val="20"/>
                <w:szCs w:val="20"/>
              </w:rPr>
              <w:t>.</w:t>
            </w:r>
            <w:r w:rsidR="00E43EE7">
              <w:rPr>
                <w:sz w:val="20"/>
                <w:szCs w:val="20"/>
              </w:rPr>
              <w:t xml:space="preserve"> </w:t>
            </w:r>
          </w:p>
          <w:p w:rsidR="005A2A80" w:rsidRDefault="005A2A80" w:rsidP="00C03860">
            <w:pPr>
              <w:pStyle w:val="Alineazatoko"/>
              <w:spacing w:line="288" w:lineRule="auto"/>
              <w:ind w:left="0" w:right="62" w:firstLine="0"/>
              <w:rPr>
                <w:rFonts w:eastAsia="Calibri"/>
                <w:sz w:val="20"/>
                <w:szCs w:val="20"/>
              </w:rPr>
            </w:pPr>
          </w:p>
          <w:p w:rsidR="00E43EE7" w:rsidRDefault="00E43EE7" w:rsidP="00C03860">
            <w:pPr>
              <w:pStyle w:val="Alineazatoko"/>
              <w:spacing w:line="288" w:lineRule="auto"/>
              <w:ind w:left="0" w:right="62" w:firstLine="0"/>
              <w:rPr>
                <w:rFonts w:eastAsia="Calibri" w:cs="Arial"/>
                <w:sz w:val="20"/>
                <w:szCs w:val="20"/>
                <w:lang w:eastAsia="sl-SI"/>
              </w:rPr>
            </w:pPr>
            <w:r>
              <w:rPr>
                <w:rFonts w:eastAsia="Calibri" w:cs="Arial"/>
                <w:sz w:val="20"/>
                <w:szCs w:val="20"/>
                <w:lang w:eastAsia="sl-SI"/>
              </w:rPr>
              <w:t xml:space="preserve">Z </w:t>
            </w:r>
            <w:r w:rsidRPr="00696BEC">
              <w:rPr>
                <w:rFonts w:eastAsia="Calibri" w:cs="Arial"/>
                <w:sz w:val="20"/>
                <w:szCs w:val="20"/>
                <w:lang w:eastAsia="sl-SI"/>
              </w:rPr>
              <w:t>namenom zagotavljanja učinkovitega izvajanja enotne politike pregona se s predlogom zakona krepi odgovornost vodje državnega tožilstva tako, da se veljavna ureditev v 169. členu ZDT-1 dopolni z obveznostjo predložitve osnutka akta v sopodpis vodji državnega tožilstva vselej pred odločitvijo državnega tožilca o zavrženju ovadbe za kaznivo dejanje, za katero je v zakonu predpisana kazen zapora več kot tri leta. Za osnutke zavrženja ovadb za kaznivo dejanje, za katero je v zakonu predpisana kazen zapora več kot osem let</w:t>
            </w:r>
            <w:r w:rsidR="00C03860">
              <w:rPr>
                <w:rFonts w:eastAsia="Calibri" w:cs="Arial"/>
                <w:sz w:val="20"/>
                <w:szCs w:val="20"/>
                <w:lang w:eastAsia="sl-SI"/>
              </w:rPr>
              <w:t>,</w:t>
            </w:r>
            <w:r w:rsidRPr="00696BEC">
              <w:rPr>
                <w:rFonts w:eastAsia="Calibri" w:cs="Arial"/>
                <w:sz w:val="20"/>
                <w:szCs w:val="20"/>
                <w:lang w:eastAsia="sl-SI"/>
              </w:rPr>
              <w:t xml:space="preserve"> se predvideva odločitev vodje še z dvema državnima tožilcema</w:t>
            </w:r>
            <w:r>
              <w:rPr>
                <w:rFonts w:eastAsia="Calibri" w:cs="Arial"/>
                <w:sz w:val="20"/>
                <w:szCs w:val="20"/>
                <w:lang w:eastAsia="sl-SI"/>
              </w:rPr>
              <w:t>.</w:t>
            </w:r>
          </w:p>
          <w:p w:rsidR="00894A7F" w:rsidRDefault="00894A7F" w:rsidP="00894A7F">
            <w:pPr>
              <w:pStyle w:val="Neotevilenodstavek"/>
              <w:spacing w:before="0" w:after="0" w:line="288" w:lineRule="auto"/>
              <w:rPr>
                <w:sz w:val="20"/>
                <w:szCs w:val="20"/>
              </w:rPr>
            </w:pPr>
          </w:p>
          <w:p w:rsidR="00F23BC5" w:rsidRDefault="00F23BC5" w:rsidP="00B644CC">
            <w:pPr>
              <w:pStyle w:val="Alineazaodstavkom"/>
              <w:numPr>
                <w:ilvl w:val="0"/>
                <w:numId w:val="0"/>
              </w:numPr>
              <w:tabs>
                <w:tab w:val="left" w:pos="708"/>
              </w:tabs>
              <w:spacing w:line="260" w:lineRule="exact"/>
              <w:rPr>
                <w:color w:val="000000"/>
                <w:sz w:val="20"/>
                <w:szCs w:val="20"/>
                <w:lang w:eastAsia="sl-SI"/>
              </w:rPr>
            </w:pPr>
            <w:r>
              <w:rPr>
                <w:color w:val="000000"/>
                <w:sz w:val="20"/>
                <w:szCs w:val="20"/>
              </w:rPr>
              <w:t>Glede na navedeno Vlada Republike Slovenije meni, da so izpolnjeni pogoji za obravnavo Predloga ZDT-1</w:t>
            </w:r>
            <w:r w:rsidR="00006DB8">
              <w:rPr>
                <w:color w:val="000000"/>
                <w:sz w:val="20"/>
                <w:szCs w:val="20"/>
              </w:rPr>
              <w:t>D</w:t>
            </w:r>
            <w:r>
              <w:rPr>
                <w:color w:val="000000"/>
                <w:sz w:val="20"/>
                <w:szCs w:val="20"/>
              </w:rPr>
              <w:t xml:space="preserve"> po skrajšanem zakonodajnem postopku</w:t>
            </w:r>
            <w:r w:rsidR="008028F5">
              <w:rPr>
                <w:color w:val="000000"/>
                <w:sz w:val="20"/>
                <w:szCs w:val="20"/>
              </w:rPr>
              <w:t>, zato predlaga, da Državni zbor predlog zakona obravnava na septembrski redni seji.</w:t>
            </w:r>
          </w:p>
          <w:p w:rsidR="00B04A1F" w:rsidRPr="00402BA3" w:rsidRDefault="00F23BC5" w:rsidP="00B644CC">
            <w:pPr>
              <w:pStyle w:val="Neotevilenodstavek"/>
              <w:spacing w:before="0" w:after="0" w:line="288" w:lineRule="auto"/>
              <w:rPr>
                <w:iCs/>
                <w:sz w:val="20"/>
                <w:szCs w:val="20"/>
              </w:rPr>
            </w:pPr>
            <w:r w:rsidRPr="00402BA3">
              <w:rPr>
                <w:iCs/>
                <w:sz w:val="20"/>
                <w:szCs w:val="20"/>
              </w:rPr>
              <w:t xml:space="preserve"> </w:t>
            </w:r>
          </w:p>
        </w:tc>
      </w:tr>
      <w:tr w:rsidR="009D359D" w:rsidRPr="00026310" w:rsidTr="0042598A">
        <w:trPr>
          <w:gridBefore w:val="1"/>
          <w:wBefore w:w="128" w:type="dxa"/>
          <w:jc w:val="center"/>
        </w:trPr>
        <w:tc>
          <w:tcPr>
            <w:tcW w:w="8832" w:type="dxa"/>
            <w:gridSpan w:val="12"/>
          </w:tcPr>
          <w:p w:rsidR="009D359D" w:rsidRPr="00BB3E31" w:rsidRDefault="009D359D" w:rsidP="00B644CC">
            <w:pPr>
              <w:pStyle w:val="Neotevilenodstavek"/>
              <w:spacing w:before="0" w:after="0" w:line="288" w:lineRule="auto"/>
              <w:rPr>
                <w:b/>
                <w:iCs/>
                <w:sz w:val="20"/>
                <w:szCs w:val="20"/>
              </w:rPr>
            </w:pPr>
            <w:r w:rsidRPr="00BB3E31">
              <w:rPr>
                <w:b/>
                <w:sz w:val="20"/>
                <w:szCs w:val="20"/>
              </w:rPr>
              <w:lastRenderedPageBreak/>
              <w:t>3.a Osebe, odgovorne za strokovno pripravo in usklajenost gradiva:</w:t>
            </w:r>
          </w:p>
        </w:tc>
      </w:tr>
      <w:tr w:rsidR="009D359D" w:rsidRPr="00026310" w:rsidTr="0042598A">
        <w:trPr>
          <w:gridBefore w:val="1"/>
          <w:wBefore w:w="128" w:type="dxa"/>
          <w:jc w:val="center"/>
        </w:trPr>
        <w:tc>
          <w:tcPr>
            <w:tcW w:w="8832" w:type="dxa"/>
            <w:gridSpan w:val="12"/>
          </w:tcPr>
          <w:p w:rsidR="0013655C" w:rsidRPr="00EB2843" w:rsidRDefault="00CA0776" w:rsidP="00B644CC">
            <w:pPr>
              <w:numPr>
                <w:ilvl w:val="0"/>
                <w:numId w:val="10"/>
              </w:numPr>
              <w:spacing w:before="120" w:line="288" w:lineRule="auto"/>
              <w:ind w:left="0" w:hanging="357"/>
              <w:jc w:val="both"/>
              <w:rPr>
                <w:rFonts w:cs="Arial"/>
                <w:szCs w:val="20"/>
              </w:rPr>
            </w:pPr>
            <w:r>
              <w:rPr>
                <w:rFonts w:cs="Arial"/>
                <w:szCs w:val="20"/>
              </w:rPr>
              <w:t>– m</w:t>
            </w:r>
            <w:r w:rsidR="00EB2843" w:rsidRPr="00EB2843">
              <w:rPr>
                <w:rFonts w:cs="Arial"/>
                <w:szCs w:val="20"/>
              </w:rPr>
              <w:t>ag. Liljana Kozlovič</w:t>
            </w:r>
            <w:r w:rsidR="0013655C" w:rsidRPr="00EB2843">
              <w:rPr>
                <w:rFonts w:cs="Arial"/>
                <w:szCs w:val="20"/>
              </w:rPr>
              <w:t xml:space="preserve">, ministrica za pravosodje, </w:t>
            </w:r>
          </w:p>
          <w:p w:rsidR="0013655C" w:rsidRPr="00EB2843" w:rsidRDefault="00CA0776" w:rsidP="00B644CC">
            <w:pPr>
              <w:numPr>
                <w:ilvl w:val="0"/>
                <w:numId w:val="10"/>
              </w:numPr>
              <w:spacing w:line="288" w:lineRule="auto"/>
              <w:ind w:left="0"/>
              <w:jc w:val="both"/>
              <w:rPr>
                <w:rFonts w:cs="Arial"/>
                <w:szCs w:val="20"/>
              </w:rPr>
            </w:pPr>
            <w:r>
              <w:rPr>
                <w:rFonts w:cs="Arial"/>
                <w:szCs w:val="20"/>
              </w:rPr>
              <w:t xml:space="preserve">– </w:t>
            </w:r>
            <w:r w:rsidR="00EB2843" w:rsidRPr="00EB2843">
              <w:rPr>
                <w:rFonts w:cs="Arial"/>
                <w:szCs w:val="20"/>
              </w:rPr>
              <w:t>Zlatko Rat</w:t>
            </w:r>
            <w:r w:rsidR="00703CD9">
              <w:rPr>
                <w:rFonts w:cs="Arial"/>
                <w:szCs w:val="20"/>
              </w:rPr>
              <w:t>e</w:t>
            </w:r>
            <w:r w:rsidR="00EB2843" w:rsidRPr="00EB2843">
              <w:rPr>
                <w:rFonts w:cs="Arial"/>
                <w:szCs w:val="20"/>
              </w:rPr>
              <w:t>j</w:t>
            </w:r>
            <w:r w:rsidR="003B5B71" w:rsidRPr="00EB2843">
              <w:rPr>
                <w:rFonts w:cs="Arial"/>
                <w:szCs w:val="20"/>
              </w:rPr>
              <w:t>, državn</w:t>
            </w:r>
            <w:r w:rsidR="00ED1076">
              <w:rPr>
                <w:rFonts w:cs="Arial"/>
                <w:szCs w:val="20"/>
              </w:rPr>
              <w:t>i</w:t>
            </w:r>
            <w:r w:rsidR="003B5B71" w:rsidRPr="00EB2843">
              <w:rPr>
                <w:rFonts w:cs="Arial"/>
                <w:szCs w:val="20"/>
              </w:rPr>
              <w:t xml:space="preserve"> sekretar, Ministrstvo</w:t>
            </w:r>
            <w:r w:rsidR="0013655C" w:rsidRPr="00EB2843">
              <w:rPr>
                <w:rFonts w:cs="Arial"/>
                <w:szCs w:val="20"/>
              </w:rPr>
              <w:t xml:space="preserve"> za pravosodje </w:t>
            </w:r>
          </w:p>
          <w:p w:rsidR="0013655C" w:rsidRPr="00EB2843" w:rsidRDefault="00CA0776" w:rsidP="00B644CC">
            <w:pPr>
              <w:numPr>
                <w:ilvl w:val="0"/>
                <w:numId w:val="10"/>
              </w:numPr>
              <w:spacing w:line="288" w:lineRule="auto"/>
              <w:ind w:left="0"/>
              <w:jc w:val="both"/>
              <w:rPr>
                <w:rFonts w:cs="Arial"/>
                <w:szCs w:val="20"/>
              </w:rPr>
            </w:pPr>
            <w:r>
              <w:rPr>
                <w:rFonts w:cs="Arial"/>
                <w:szCs w:val="20"/>
              </w:rPr>
              <w:t xml:space="preserve">– </w:t>
            </w:r>
            <w:r w:rsidR="00EB2843" w:rsidRPr="00EB2843">
              <w:rPr>
                <w:rFonts w:cs="Arial"/>
                <w:szCs w:val="20"/>
              </w:rPr>
              <w:t>Matic Zupan</w:t>
            </w:r>
            <w:r w:rsidR="003B5B71" w:rsidRPr="00EB2843">
              <w:rPr>
                <w:rFonts w:cs="Arial"/>
                <w:szCs w:val="20"/>
              </w:rPr>
              <w:t>, državni sekretar, Ministrstvo</w:t>
            </w:r>
            <w:r w:rsidR="0013655C" w:rsidRPr="00EB2843">
              <w:rPr>
                <w:rFonts w:cs="Arial"/>
                <w:szCs w:val="20"/>
              </w:rPr>
              <w:t xml:space="preserve"> za pravosodje </w:t>
            </w:r>
          </w:p>
          <w:p w:rsidR="00CA0776" w:rsidRDefault="00CA0776" w:rsidP="00B644CC">
            <w:pPr>
              <w:numPr>
                <w:ilvl w:val="0"/>
                <w:numId w:val="10"/>
              </w:numPr>
              <w:spacing w:line="288" w:lineRule="auto"/>
              <w:ind w:left="0"/>
              <w:jc w:val="both"/>
              <w:rPr>
                <w:rFonts w:cs="Arial"/>
                <w:szCs w:val="20"/>
              </w:rPr>
            </w:pPr>
            <w:r>
              <w:rPr>
                <w:rFonts w:cs="Arial"/>
                <w:szCs w:val="20"/>
              </w:rPr>
              <w:t xml:space="preserve">– </w:t>
            </w:r>
            <w:r w:rsidR="0013655C" w:rsidRPr="00C923FF">
              <w:rPr>
                <w:rFonts w:cs="Arial"/>
                <w:szCs w:val="20"/>
              </w:rPr>
              <w:t>mag. Evelin Pristavec Tratar, generalna direktorica Direktorata za organizacijsko zakonodajo in</w:t>
            </w:r>
          </w:p>
          <w:p w:rsidR="00B64D5C" w:rsidRDefault="0013655C" w:rsidP="00CA0776">
            <w:pPr>
              <w:spacing w:line="288" w:lineRule="auto"/>
              <w:jc w:val="both"/>
              <w:rPr>
                <w:rFonts w:cs="Arial"/>
                <w:szCs w:val="20"/>
              </w:rPr>
            </w:pPr>
            <w:r w:rsidRPr="00C923FF">
              <w:rPr>
                <w:rFonts w:cs="Arial"/>
                <w:szCs w:val="20"/>
              </w:rPr>
              <w:t>pravosodno up</w:t>
            </w:r>
            <w:r w:rsidR="003B5B71">
              <w:rPr>
                <w:rFonts w:cs="Arial"/>
                <w:szCs w:val="20"/>
              </w:rPr>
              <w:t>ravo, Ministrstvo za pravosodje</w:t>
            </w:r>
          </w:p>
          <w:p w:rsidR="00D00EBE" w:rsidRPr="00D00EBE" w:rsidRDefault="00CA0776" w:rsidP="00CA0776">
            <w:pPr>
              <w:numPr>
                <w:ilvl w:val="0"/>
                <w:numId w:val="10"/>
              </w:numPr>
              <w:spacing w:after="120" w:line="288" w:lineRule="auto"/>
              <w:ind w:left="0" w:hanging="357"/>
              <w:jc w:val="both"/>
              <w:rPr>
                <w:rFonts w:cs="Arial"/>
                <w:szCs w:val="20"/>
              </w:rPr>
            </w:pPr>
            <w:r>
              <w:rPr>
                <w:rFonts w:cs="Arial"/>
                <w:szCs w:val="20"/>
              </w:rPr>
              <w:t xml:space="preserve">– </w:t>
            </w:r>
            <w:r w:rsidR="003B5B71">
              <w:rPr>
                <w:rFonts w:cs="Arial"/>
                <w:szCs w:val="20"/>
              </w:rPr>
              <w:t>mag. Bojana Vogrinec, sekretarka v Sektorju za Organizacijsko zakonodajo, Ministrstvo za</w:t>
            </w:r>
            <w:r>
              <w:rPr>
                <w:rFonts w:cs="Arial"/>
                <w:szCs w:val="20"/>
              </w:rPr>
              <w:t xml:space="preserve">  </w:t>
            </w:r>
            <w:r w:rsidR="003B5B71">
              <w:rPr>
                <w:rFonts w:cs="Arial"/>
                <w:szCs w:val="20"/>
              </w:rPr>
              <w:t xml:space="preserve"> </w:t>
            </w:r>
            <w:r>
              <w:rPr>
                <w:rFonts w:cs="Arial"/>
                <w:szCs w:val="20"/>
              </w:rPr>
              <w:t xml:space="preserve">       </w:t>
            </w:r>
            <w:r w:rsidR="003B5B71">
              <w:rPr>
                <w:rFonts w:cs="Arial"/>
                <w:szCs w:val="20"/>
              </w:rPr>
              <w:t xml:space="preserve">pravosodje </w:t>
            </w:r>
          </w:p>
        </w:tc>
      </w:tr>
      <w:tr w:rsidR="009D359D" w:rsidRPr="00026310" w:rsidTr="0042598A">
        <w:trPr>
          <w:gridBefore w:val="1"/>
          <w:wBefore w:w="128" w:type="dxa"/>
          <w:jc w:val="center"/>
        </w:trPr>
        <w:tc>
          <w:tcPr>
            <w:tcW w:w="8832" w:type="dxa"/>
            <w:gridSpan w:val="12"/>
          </w:tcPr>
          <w:p w:rsidR="009D359D" w:rsidRPr="00BB3E31" w:rsidRDefault="009D359D" w:rsidP="00B644CC">
            <w:pPr>
              <w:pStyle w:val="Neotevilenodstavek"/>
              <w:spacing w:before="0" w:after="0" w:line="288" w:lineRule="auto"/>
              <w:rPr>
                <w:b/>
                <w:iCs/>
                <w:sz w:val="20"/>
                <w:szCs w:val="20"/>
              </w:rPr>
            </w:pPr>
            <w:r w:rsidRPr="00BB3E31">
              <w:rPr>
                <w:b/>
                <w:iCs/>
                <w:sz w:val="20"/>
                <w:szCs w:val="20"/>
              </w:rPr>
              <w:t xml:space="preserve">3.b Zunanji strokovnjaki, ki so </w:t>
            </w:r>
            <w:r w:rsidRPr="00BB3E31">
              <w:rPr>
                <w:b/>
                <w:sz w:val="20"/>
                <w:szCs w:val="20"/>
              </w:rPr>
              <w:t>sodelovali pri pripravi dela ali celotnega gradiva:</w:t>
            </w:r>
          </w:p>
        </w:tc>
      </w:tr>
      <w:tr w:rsidR="009D359D" w:rsidRPr="00026310" w:rsidTr="0042598A">
        <w:trPr>
          <w:gridBefore w:val="1"/>
          <w:wBefore w:w="128" w:type="dxa"/>
          <w:jc w:val="center"/>
        </w:trPr>
        <w:tc>
          <w:tcPr>
            <w:tcW w:w="8832" w:type="dxa"/>
            <w:gridSpan w:val="12"/>
          </w:tcPr>
          <w:p w:rsidR="00B04A1F" w:rsidRPr="00607753" w:rsidRDefault="00607753" w:rsidP="00B644CC">
            <w:pPr>
              <w:overflowPunct w:val="0"/>
              <w:autoSpaceDE w:val="0"/>
              <w:autoSpaceDN w:val="0"/>
              <w:adjustRightInd w:val="0"/>
              <w:spacing w:line="260" w:lineRule="exact"/>
              <w:jc w:val="both"/>
              <w:textAlignment w:val="baseline"/>
              <w:rPr>
                <w:rFonts w:cs="Arial"/>
                <w:iCs/>
                <w:szCs w:val="20"/>
                <w:lang w:eastAsia="sl-SI"/>
              </w:rPr>
            </w:pPr>
            <w:r w:rsidRPr="00135D00">
              <w:rPr>
                <w:rFonts w:cs="Arial"/>
                <w:iCs/>
                <w:szCs w:val="20"/>
                <w:lang w:eastAsia="sl-SI"/>
              </w:rPr>
              <w:lastRenderedPageBreak/>
              <w:t>Pri pripravi dela ali celotnega gradiva zunanji strokovnjaki niso sodelovali.</w:t>
            </w:r>
          </w:p>
        </w:tc>
      </w:tr>
      <w:tr w:rsidR="009D359D" w:rsidRPr="00026310" w:rsidTr="0042598A">
        <w:trPr>
          <w:gridBefore w:val="1"/>
          <w:wBefore w:w="128" w:type="dxa"/>
          <w:jc w:val="center"/>
        </w:trPr>
        <w:tc>
          <w:tcPr>
            <w:tcW w:w="8832" w:type="dxa"/>
            <w:gridSpan w:val="12"/>
          </w:tcPr>
          <w:p w:rsidR="009D359D" w:rsidRPr="00BB3E31" w:rsidRDefault="009D359D" w:rsidP="00B644CC">
            <w:pPr>
              <w:pStyle w:val="Neotevilenodstavek"/>
              <w:spacing w:before="0" w:after="0" w:line="288" w:lineRule="auto"/>
              <w:rPr>
                <w:b/>
                <w:iCs/>
                <w:sz w:val="20"/>
                <w:szCs w:val="20"/>
              </w:rPr>
            </w:pPr>
            <w:r w:rsidRPr="00BB3E31">
              <w:rPr>
                <w:b/>
                <w:sz w:val="20"/>
                <w:szCs w:val="20"/>
              </w:rPr>
              <w:t>4. Predstavniki vlade, ki bodo sodelovali pri delu državnega zbora:</w:t>
            </w:r>
          </w:p>
        </w:tc>
      </w:tr>
      <w:tr w:rsidR="009D359D" w:rsidRPr="00026310" w:rsidTr="0042598A">
        <w:trPr>
          <w:gridBefore w:val="1"/>
          <w:wBefore w:w="128" w:type="dxa"/>
          <w:jc w:val="center"/>
        </w:trPr>
        <w:tc>
          <w:tcPr>
            <w:tcW w:w="8832" w:type="dxa"/>
            <w:gridSpan w:val="12"/>
          </w:tcPr>
          <w:p w:rsidR="00EB2843" w:rsidRPr="00EB2843" w:rsidRDefault="00CA0776" w:rsidP="00B644CC">
            <w:pPr>
              <w:numPr>
                <w:ilvl w:val="0"/>
                <w:numId w:val="10"/>
              </w:numPr>
              <w:spacing w:before="120" w:line="288" w:lineRule="auto"/>
              <w:ind w:left="0" w:hanging="357"/>
              <w:jc w:val="both"/>
              <w:rPr>
                <w:rFonts w:cs="Arial"/>
                <w:szCs w:val="20"/>
              </w:rPr>
            </w:pPr>
            <w:r>
              <w:rPr>
                <w:rFonts w:cs="Arial"/>
                <w:szCs w:val="20"/>
              </w:rPr>
              <w:t xml:space="preserve">– </w:t>
            </w:r>
            <w:r w:rsidR="000D588B">
              <w:rPr>
                <w:rFonts w:cs="Arial"/>
                <w:szCs w:val="20"/>
              </w:rPr>
              <w:t>m</w:t>
            </w:r>
            <w:r w:rsidR="00EB2843" w:rsidRPr="00EB2843">
              <w:rPr>
                <w:rFonts w:cs="Arial"/>
                <w:szCs w:val="20"/>
              </w:rPr>
              <w:t xml:space="preserve">ag. Liljana Kozlovič, ministrica za pravosodje, </w:t>
            </w:r>
          </w:p>
          <w:p w:rsidR="00EB2843" w:rsidRPr="00EB2843" w:rsidRDefault="000D588B" w:rsidP="00B644CC">
            <w:pPr>
              <w:numPr>
                <w:ilvl w:val="0"/>
                <w:numId w:val="10"/>
              </w:numPr>
              <w:spacing w:line="288" w:lineRule="auto"/>
              <w:ind w:left="0"/>
              <w:jc w:val="both"/>
              <w:rPr>
                <w:rFonts w:cs="Arial"/>
                <w:szCs w:val="20"/>
              </w:rPr>
            </w:pPr>
            <w:r>
              <w:rPr>
                <w:rFonts w:cs="Arial"/>
                <w:szCs w:val="20"/>
              </w:rPr>
              <w:t xml:space="preserve">– </w:t>
            </w:r>
            <w:r w:rsidR="00EB2843" w:rsidRPr="00EB2843">
              <w:rPr>
                <w:rFonts w:cs="Arial"/>
                <w:szCs w:val="20"/>
              </w:rPr>
              <w:t>Zlatko Rat</w:t>
            </w:r>
            <w:r w:rsidR="00703CD9">
              <w:rPr>
                <w:rFonts w:cs="Arial"/>
                <w:szCs w:val="20"/>
              </w:rPr>
              <w:t>e</w:t>
            </w:r>
            <w:r w:rsidR="00EB2843" w:rsidRPr="00EB2843">
              <w:rPr>
                <w:rFonts w:cs="Arial"/>
                <w:szCs w:val="20"/>
              </w:rPr>
              <w:t>j, državn</w:t>
            </w:r>
            <w:r w:rsidR="00ED1076">
              <w:rPr>
                <w:rFonts w:cs="Arial"/>
                <w:szCs w:val="20"/>
              </w:rPr>
              <w:t>i</w:t>
            </w:r>
            <w:r w:rsidR="00EB2843" w:rsidRPr="00EB2843">
              <w:rPr>
                <w:rFonts w:cs="Arial"/>
                <w:szCs w:val="20"/>
              </w:rPr>
              <w:t xml:space="preserve"> sekretar, Ministrstvo za pravosodje </w:t>
            </w:r>
          </w:p>
          <w:p w:rsidR="00EB2843" w:rsidRPr="00EB2843" w:rsidRDefault="000D588B" w:rsidP="00B644CC">
            <w:pPr>
              <w:numPr>
                <w:ilvl w:val="0"/>
                <w:numId w:val="10"/>
              </w:numPr>
              <w:spacing w:line="288" w:lineRule="auto"/>
              <w:ind w:left="0"/>
              <w:jc w:val="both"/>
              <w:rPr>
                <w:rFonts w:cs="Arial"/>
                <w:szCs w:val="20"/>
              </w:rPr>
            </w:pPr>
            <w:r>
              <w:rPr>
                <w:rFonts w:cs="Arial"/>
                <w:szCs w:val="20"/>
              </w:rPr>
              <w:t xml:space="preserve">– </w:t>
            </w:r>
            <w:r w:rsidR="00EB2843" w:rsidRPr="00EB2843">
              <w:rPr>
                <w:rFonts w:cs="Arial"/>
                <w:szCs w:val="20"/>
              </w:rPr>
              <w:t xml:space="preserve">Matic Zupan, državni sekretar, Ministrstvo za pravosodje </w:t>
            </w:r>
          </w:p>
          <w:p w:rsidR="00AF4D95" w:rsidRDefault="000D588B" w:rsidP="00B644CC">
            <w:pPr>
              <w:numPr>
                <w:ilvl w:val="0"/>
                <w:numId w:val="10"/>
              </w:numPr>
              <w:spacing w:line="288" w:lineRule="auto"/>
              <w:ind w:left="0"/>
              <w:jc w:val="both"/>
              <w:rPr>
                <w:rFonts w:cs="Arial"/>
                <w:szCs w:val="20"/>
              </w:rPr>
            </w:pPr>
            <w:r>
              <w:rPr>
                <w:rFonts w:cs="Arial"/>
                <w:szCs w:val="20"/>
              </w:rPr>
              <w:t xml:space="preserve">– </w:t>
            </w:r>
            <w:r w:rsidR="00EB2843" w:rsidRPr="00C923FF">
              <w:rPr>
                <w:rFonts w:cs="Arial"/>
                <w:szCs w:val="20"/>
              </w:rPr>
              <w:t>mag. Evelin Pristavec Tratar, generalna direktorica Direktorata za organizacijsko zakonodajo in</w:t>
            </w:r>
          </w:p>
          <w:p w:rsidR="00B04A1F" w:rsidRPr="00EB2843" w:rsidRDefault="00AF4D95" w:rsidP="00B644CC">
            <w:pPr>
              <w:numPr>
                <w:ilvl w:val="0"/>
                <w:numId w:val="10"/>
              </w:numPr>
              <w:spacing w:line="288" w:lineRule="auto"/>
              <w:ind w:left="0"/>
              <w:jc w:val="both"/>
              <w:rPr>
                <w:rFonts w:cs="Arial"/>
                <w:szCs w:val="20"/>
              </w:rPr>
            </w:pPr>
            <w:r>
              <w:rPr>
                <w:rFonts w:cs="Arial"/>
                <w:szCs w:val="20"/>
              </w:rPr>
              <w:t xml:space="preserve">  </w:t>
            </w:r>
            <w:r w:rsidR="00EB2843" w:rsidRPr="00C923FF">
              <w:rPr>
                <w:rFonts w:cs="Arial"/>
                <w:szCs w:val="20"/>
              </w:rPr>
              <w:t xml:space="preserve"> pravosodno up</w:t>
            </w:r>
            <w:r w:rsidR="00EB2843">
              <w:rPr>
                <w:rFonts w:cs="Arial"/>
                <w:szCs w:val="20"/>
              </w:rPr>
              <w:t>ravo, Ministrstvo za pravosodje</w:t>
            </w:r>
          </w:p>
        </w:tc>
      </w:tr>
      <w:tr w:rsidR="009D359D" w:rsidRPr="00026310" w:rsidTr="0042598A">
        <w:trPr>
          <w:gridBefore w:val="1"/>
          <w:wBefore w:w="128" w:type="dxa"/>
          <w:jc w:val="center"/>
        </w:trPr>
        <w:tc>
          <w:tcPr>
            <w:tcW w:w="8832" w:type="dxa"/>
            <w:gridSpan w:val="12"/>
          </w:tcPr>
          <w:p w:rsidR="009D359D" w:rsidRPr="00BB3E31" w:rsidRDefault="009D359D" w:rsidP="00B644CC">
            <w:pPr>
              <w:pStyle w:val="Oddelek"/>
              <w:numPr>
                <w:ilvl w:val="0"/>
                <w:numId w:val="0"/>
              </w:numPr>
              <w:spacing w:before="0" w:after="0" w:line="288" w:lineRule="auto"/>
              <w:jc w:val="left"/>
              <w:rPr>
                <w:sz w:val="20"/>
                <w:szCs w:val="20"/>
              </w:rPr>
            </w:pPr>
            <w:r w:rsidRPr="00BB3E31">
              <w:rPr>
                <w:sz w:val="20"/>
                <w:szCs w:val="20"/>
              </w:rPr>
              <w:t>5. Kratek povzetek gradiva:</w:t>
            </w:r>
          </w:p>
        </w:tc>
      </w:tr>
      <w:tr w:rsidR="009D359D" w:rsidRPr="00026310" w:rsidTr="0042598A">
        <w:trPr>
          <w:gridBefore w:val="1"/>
          <w:wBefore w:w="128" w:type="dxa"/>
          <w:jc w:val="center"/>
        </w:trPr>
        <w:tc>
          <w:tcPr>
            <w:tcW w:w="8832" w:type="dxa"/>
            <w:gridSpan w:val="12"/>
          </w:tcPr>
          <w:p w:rsidR="00A840AF" w:rsidRDefault="00A840AF" w:rsidP="00C03860">
            <w:pPr>
              <w:pStyle w:val="Odsek"/>
              <w:numPr>
                <w:ilvl w:val="0"/>
                <w:numId w:val="0"/>
              </w:numPr>
              <w:spacing w:before="0" w:after="0" w:line="288" w:lineRule="auto"/>
              <w:ind w:right="62"/>
              <w:jc w:val="both"/>
              <w:rPr>
                <w:b w:val="0"/>
                <w:sz w:val="20"/>
                <w:szCs w:val="20"/>
              </w:rPr>
            </w:pPr>
            <w:r w:rsidRPr="00115F14">
              <w:rPr>
                <w:b w:val="0"/>
                <w:sz w:val="20"/>
                <w:szCs w:val="20"/>
              </w:rPr>
              <w:t>Cilj predlaganih rešitev je doseči skladnost, zakonitost in izvršljivost Uredbe 2018/1727/EU v slovenskem pravnem redu ter enotno uporabo in interpretacijo zakonskih določb v praksi. Da bi pri izvajanju</w:t>
            </w:r>
            <w:r>
              <w:rPr>
                <w:b w:val="0"/>
                <w:sz w:val="20"/>
                <w:szCs w:val="20"/>
              </w:rPr>
              <w:t xml:space="preserve"> </w:t>
            </w:r>
            <w:r w:rsidRPr="00115F14">
              <w:rPr>
                <w:b w:val="0"/>
                <w:sz w:val="20"/>
                <w:szCs w:val="20"/>
              </w:rPr>
              <w:t>zakona</w:t>
            </w:r>
            <w:r>
              <w:rPr>
                <w:b w:val="0"/>
                <w:sz w:val="20"/>
                <w:szCs w:val="20"/>
              </w:rPr>
              <w:t xml:space="preserve"> </w:t>
            </w:r>
            <w:r w:rsidRPr="00115F14">
              <w:rPr>
                <w:b w:val="0"/>
                <w:sz w:val="20"/>
                <w:szCs w:val="20"/>
              </w:rPr>
              <w:t>dosegli dosledno upoštevanje nacionalnega pravnega reda ter učinkovitost načela pravne države in pravne varnosti, je treba nujno</w:t>
            </w:r>
            <w:r>
              <w:rPr>
                <w:b w:val="0"/>
                <w:sz w:val="20"/>
                <w:szCs w:val="20"/>
              </w:rPr>
              <w:t>:</w:t>
            </w:r>
          </w:p>
          <w:p w:rsidR="00A840AF" w:rsidRDefault="00A840AF" w:rsidP="00C03860">
            <w:pPr>
              <w:pStyle w:val="Odsek"/>
              <w:numPr>
                <w:ilvl w:val="0"/>
                <w:numId w:val="12"/>
              </w:numPr>
              <w:spacing w:before="0" w:after="0" w:line="288" w:lineRule="auto"/>
              <w:ind w:left="284" w:hanging="284"/>
              <w:jc w:val="both"/>
              <w:rPr>
                <w:b w:val="0"/>
                <w:sz w:val="20"/>
                <w:szCs w:val="20"/>
              </w:rPr>
            </w:pPr>
            <w:r w:rsidRPr="00115F14">
              <w:rPr>
                <w:b w:val="0"/>
                <w:sz w:val="20"/>
                <w:szCs w:val="20"/>
              </w:rPr>
              <w:t>prilagoditi veljavne določbe ZDT-1 tako, da ne bodo v nasprotju z vsebino Uredbe</w:t>
            </w:r>
            <w:r>
              <w:rPr>
                <w:b w:val="0"/>
                <w:sz w:val="20"/>
                <w:szCs w:val="20"/>
              </w:rPr>
              <w:t xml:space="preserve"> </w:t>
            </w:r>
            <w:r w:rsidRPr="00115F14">
              <w:rPr>
                <w:b w:val="0"/>
                <w:sz w:val="20"/>
                <w:szCs w:val="20"/>
              </w:rPr>
              <w:t>2017/1939/EU</w:t>
            </w:r>
            <w:r>
              <w:rPr>
                <w:b w:val="0"/>
                <w:sz w:val="20"/>
                <w:szCs w:val="20"/>
              </w:rPr>
              <w:t>,</w:t>
            </w:r>
          </w:p>
          <w:p w:rsidR="00A840AF" w:rsidRDefault="00A840AF" w:rsidP="00C03860">
            <w:pPr>
              <w:pStyle w:val="Odsek"/>
              <w:numPr>
                <w:ilvl w:val="0"/>
                <w:numId w:val="12"/>
              </w:numPr>
              <w:spacing w:before="0" w:after="0" w:line="288" w:lineRule="auto"/>
              <w:ind w:left="284" w:hanging="284"/>
              <w:jc w:val="both"/>
              <w:rPr>
                <w:b w:val="0"/>
                <w:sz w:val="20"/>
                <w:szCs w:val="20"/>
              </w:rPr>
            </w:pPr>
            <w:r w:rsidRPr="00A95049">
              <w:rPr>
                <w:b w:val="0"/>
                <w:sz w:val="20"/>
                <w:szCs w:val="20"/>
              </w:rPr>
              <w:t>odprav</w:t>
            </w:r>
            <w:r>
              <w:rPr>
                <w:b w:val="0"/>
                <w:sz w:val="20"/>
                <w:szCs w:val="20"/>
              </w:rPr>
              <w:t>iti</w:t>
            </w:r>
            <w:r w:rsidRPr="00A95049">
              <w:rPr>
                <w:b w:val="0"/>
                <w:sz w:val="20"/>
                <w:szCs w:val="20"/>
              </w:rPr>
              <w:t xml:space="preserve"> nepravilnosti, ki jih je pri izvajanju in evidentiranju pripravljenosti in dežurstva državnega tožilstva ugotovilo Računsko sodišče, </w:t>
            </w:r>
          </w:p>
          <w:p w:rsidR="00A840AF" w:rsidRDefault="00A840AF" w:rsidP="00C03860">
            <w:pPr>
              <w:pStyle w:val="Odsek"/>
              <w:numPr>
                <w:ilvl w:val="0"/>
                <w:numId w:val="12"/>
              </w:numPr>
              <w:spacing w:before="0" w:after="0" w:line="288" w:lineRule="auto"/>
              <w:ind w:left="284" w:hanging="284"/>
              <w:jc w:val="both"/>
              <w:rPr>
                <w:b w:val="0"/>
                <w:sz w:val="20"/>
                <w:szCs w:val="20"/>
              </w:rPr>
            </w:pPr>
            <w:r w:rsidRPr="00A95049">
              <w:rPr>
                <w:b w:val="0"/>
                <w:sz w:val="20"/>
                <w:szCs w:val="20"/>
              </w:rPr>
              <w:t xml:space="preserve">določiti zakonske podlage za delovnopravno ureditev sodelovanja državnotožilskega osebja pri opravljanju nujnih procesnih dejanj, </w:t>
            </w:r>
          </w:p>
          <w:p w:rsidR="00A840AF" w:rsidRDefault="00A840AF" w:rsidP="00A840AF">
            <w:pPr>
              <w:pStyle w:val="Odsek"/>
              <w:numPr>
                <w:ilvl w:val="0"/>
                <w:numId w:val="12"/>
              </w:numPr>
              <w:spacing w:before="0" w:after="0" w:line="288" w:lineRule="auto"/>
              <w:ind w:left="284" w:right="-104" w:hanging="284"/>
              <w:jc w:val="both"/>
              <w:rPr>
                <w:b w:val="0"/>
                <w:sz w:val="20"/>
                <w:szCs w:val="20"/>
              </w:rPr>
            </w:pPr>
            <w:r w:rsidRPr="00A95049">
              <w:rPr>
                <w:b w:val="0"/>
                <w:sz w:val="20"/>
                <w:szCs w:val="20"/>
              </w:rPr>
              <w:t>okrepiti vlogo vodje državnega tožilstva pri zagotavljanju učinkovitosti in enotnosti pregona</w:t>
            </w:r>
            <w:r w:rsidR="00C03860">
              <w:rPr>
                <w:b w:val="0"/>
                <w:sz w:val="20"/>
                <w:szCs w:val="20"/>
              </w:rPr>
              <w:t>,</w:t>
            </w:r>
          </w:p>
          <w:p w:rsidR="00A840AF" w:rsidRDefault="00A840AF" w:rsidP="00C03860">
            <w:pPr>
              <w:pStyle w:val="Odsek"/>
              <w:numPr>
                <w:ilvl w:val="0"/>
                <w:numId w:val="12"/>
              </w:numPr>
              <w:spacing w:before="0" w:after="0" w:line="288" w:lineRule="auto"/>
              <w:ind w:left="284" w:hanging="284"/>
              <w:jc w:val="both"/>
              <w:rPr>
                <w:b w:val="0"/>
                <w:sz w:val="20"/>
                <w:szCs w:val="20"/>
              </w:rPr>
            </w:pPr>
            <w:r w:rsidRPr="00A95049">
              <w:rPr>
                <w:b w:val="0"/>
                <w:sz w:val="20"/>
                <w:szCs w:val="20"/>
              </w:rPr>
              <w:t>redakcijsko odpraviti anomalije, ki so posledica normativnih sprememb oziroma odpraviti nesistemske rešitve, ki so v nasprotju z namenom posamezne zakonske določbe ter</w:t>
            </w:r>
          </w:p>
          <w:p w:rsidR="00A840AF" w:rsidRDefault="00A840AF" w:rsidP="00A840AF">
            <w:pPr>
              <w:pStyle w:val="Odsek"/>
              <w:numPr>
                <w:ilvl w:val="0"/>
                <w:numId w:val="12"/>
              </w:numPr>
              <w:spacing w:before="0" w:after="0" w:line="288" w:lineRule="auto"/>
              <w:ind w:left="284" w:right="-104" w:hanging="284"/>
              <w:jc w:val="both"/>
              <w:rPr>
                <w:b w:val="0"/>
                <w:sz w:val="20"/>
                <w:szCs w:val="20"/>
              </w:rPr>
            </w:pPr>
            <w:r>
              <w:rPr>
                <w:b w:val="0"/>
                <w:sz w:val="20"/>
                <w:szCs w:val="20"/>
              </w:rPr>
              <w:t>odpraviti terminološka razhajanja.</w:t>
            </w:r>
          </w:p>
          <w:p w:rsidR="00C32B67" w:rsidRPr="00F93359" w:rsidRDefault="00C32B67" w:rsidP="00B644CC">
            <w:pPr>
              <w:pStyle w:val="Odsek"/>
              <w:numPr>
                <w:ilvl w:val="0"/>
                <w:numId w:val="0"/>
              </w:numPr>
              <w:spacing w:before="0" w:after="0" w:line="288" w:lineRule="auto"/>
              <w:ind w:right="54"/>
              <w:jc w:val="both"/>
              <w:rPr>
                <w:b w:val="0"/>
                <w:bCs/>
                <w:sz w:val="20"/>
                <w:szCs w:val="20"/>
              </w:rPr>
            </w:pPr>
          </w:p>
        </w:tc>
      </w:tr>
      <w:tr w:rsidR="009D359D" w:rsidRPr="00026310" w:rsidTr="0042598A">
        <w:trPr>
          <w:gridBefore w:val="1"/>
          <w:wBefore w:w="128" w:type="dxa"/>
          <w:jc w:val="center"/>
        </w:trPr>
        <w:tc>
          <w:tcPr>
            <w:tcW w:w="8832" w:type="dxa"/>
            <w:gridSpan w:val="12"/>
          </w:tcPr>
          <w:p w:rsidR="009D359D" w:rsidRPr="00402BA3" w:rsidRDefault="009D359D" w:rsidP="00B644CC">
            <w:pPr>
              <w:pStyle w:val="Oddelek"/>
              <w:numPr>
                <w:ilvl w:val="0"/>
                <w:numId w:val="0"/>
              </w:numPr>
              <w:spacing w:before="0" w:after="0" w:line="288" w:lineRule="auto"/>
              <w:jc w:val="left"/>
              <w:rPr>
                <w:b w:val="0"/>
                <w:sz w:val="20"/>
                <w:szCs w:val="20"/>
              </w:rPr>
            </w:pPr>
            <w:r w:rsidRPr="00BB3E31">
              <w:rPr>
                <w:sz w:val="20"/>
                <w:szCs w:val="20"/>
              </w:rPr>
              <w:t>6. Presoja posledic za</w:t>
            </w:r>
            <w:r w:rsidRPr="00402BA3">
              <w:rPr>
                <w:b w:val="0"/>
                <w:sz w:val="20"/>
                <w:szCs w:val="20"/>
              </w:rPr>
              <w:t>:</w:t>
            </w:r>
          </w:p>
        </w:tc>
      </w:tr>
      <w:tr w:rsidR="009D359D" w:rsidRPr="00026310" w:rsidTr="0042598A">
        <w:trPr>
          <w:gridBefore w:val="1"/>
          <w:wBefore w:w="128" w:type="dxa"/>
          <w:jc w:val="center"/>
        </w:trPr>
        <w:tc>
          <w:tcPr>
            <w:tcW w:w="1098" w:type="dxa"/>
          </w:tcPr>
          <w:p w:rsidR="009D359D" w:rsidRPr="00402BA3" w:rsidRDefault="009D359D" w:rsidP="00B644CC">
            <w:pPr>
              <w:pStyle w:val="Neotevilenodstavek"/>
              <w:spacing w:before="0" w:after="0" w:line="288" w:lineRule="auto"/>
              <w:rPr>
                <w:iCs/>
                <w:sz w:val="20"/>
                <w:szCs w:val="20"/>
              </w:rPr>
            </w:pPr>
            <w:r w:rsidRPr="00402BA3">
              <w:rPr>
                <w:iCs/>
                <w:sz w:val="20"/>
                <w:szCs w:val="20"/>
              </w:rPr>
              <w:t>a)</w:t>
            </w:r>
          </w:p>
        </w:tc>
        <w:tc>
          <w:tcPr>
            <w:tcW w:w="7109" w:type="dxa"/>
            <w:gridSpan w:val="9"/>
          </w:tcPr>
          <w:p w:rsidR="009D359D" w:rsidRPr="00402BA3" w:rsidRDefault="009D359D" w:rsidP="00B644CC">
            <w:pPr>
              <w:pStyle w:val="Neotevilenodstavek"/>
              <w:spacing w:before="0" w:after="0" w:line="288" w:lineRule="auto"/>
              <w:rPr>
                <w:sz w:val="20"/>
                <w:szCs w:val="20"/>
              </w:rPr>
            </w:pPr>
            <w:r w:rsidRPr="00402BA3">
              <w:rPr>
                <w:sz w:val="20"/>
                <w:szCs w:val="20"/>
              </w:rPr>
              <w:t>javnofinančna sredstva nad 40.000 EUR v tekočem in naslednjih treh letih</w:t>
            </w:r>
          </w:p>
        </w:tc>
        <w:tc>
          <w:tcPr>
            <w:tcW w:w="625" w:type="dxa"/>
            <w:gridSpan w:val="2"/>
            <w:vAlign w:val="center"/>
          </w:tcPr>
          <w:p w:rsidR="009D359D" w:rsidRPr="00402BA3" w:rsidRDefault="00163D88" w:rsidP="00B644CC">
            <w:pPr>
              <w:pStyle w:val="Neotevilenodstavek"/>
              <w:spacing w:before="0" w:after="0" w:line="288" w:lineRule="auto"/>
              <w:jc w:val="center"/>
              <w:rPr>
                <w:iCs/>
                <w:sz w:val="20"/>
                <w:szCs w:val="20"/>
              </w:rPr>
            </w:pPr>
            <w:r>
              <w:rPr>
                <w:iCs/>
                <w:sz w:val="20"/>
                <w:szCs w:val="20"/>
              </w:rPr>
              <w:t>NE</w:t>
            </w:r>
          </w:p>
        </w:tc>
      </w:tr>
      <w:tr w:rsidR="009D359D" w:rsidRPr="00026310" w:rsidTr="0042598A">
        <w:trPr>
          <w:gridBefore w:val="1"/>
          <w:wBefore w:w="128" w:type="dxa"/>
          <w:jc w:val="center"/>
        </w:trPr>
        <w:tc>
          <w:tcPr>
            <w:tcW w:w="1098" w:type="dxa"/>
          </w:tcPr>
          <w:p w:rsidR="009D359D" w:rsidRPr="00402BA3" w:rsidRDefault="009D359D" w:rsidP="00B644CC">
            <w:pPr>
              <w:pStyle w:val="Neotevilenodstavek"/>
              <w:spacing w:before="0" w:after="0" w:line="288" w:lineRule="auto"/>
              <w:rPr>
                <w:iCs/>
                <w:sz w:val="20"/>
                <w:szCs w:val="20"/>
              </w:rPr>
            </w:pPr>
            <w:r w:rsidRPr="00402BA3">
              <w:rPr>
                <w:iCs/>
                <w:sz w:val="20"/>
                <w:szCs w:val="20"/>
              </w:rPr>
              <w:t>b)</w:t>
            </w:r>
          </w:p>
        </w:tc>
        <w:tc>
          <w:tcPr>
            <w:tcW w:w="7109" w:type="dxa"/>
            <w:gridSpan w:val="9"/>
          </w:tcPr>
          <w:p w:rsidR="009D359D" w:rsidRPr="00402BA3" w:rsidRDefault="009D359D" w:rsidP="00B644CC">
            <w:pPr>
              <w:pStyle w:val="Neotevilenodstavek"/>
              <w:spacing w:before="0" w:after="0" w:line="288" w:lineRule="auto"/>
              <w:rPr>
                <w:iCs/>
                <w:sz w:val="20"/>
                <w:szCs w:val="20"/>
              </w:rPr>
            </w:pPr>
            <w:r w:rsidRPr="00402BA3">
              <w:rPr>
                <w:bCs/>
                <w:sz w:val="20"/>
                <w:szCs w:val="20"/>
              </w:rPr>
              <w:t>usklajenost slovenskega pravnega reda s pravnim redom Evropske unije</w:t>
            </w:r>
          </w:p>
        </w:tc>
        <w:tc>
          <w:tcPr>
            <w:tcW w:w="625" w:type="dxa"/>
            <w:gridSpan w:val="2"/>
            <w:vAlign w:val="center"/>
          </w:tcPr>
          <w:p w:rsidR="009D359D" w:rsidRPr="00402BA3" w:rsidRDefault="00BD49B4" w:rsidP="00B644CC">
            <w:pPr>
              <w:pStyle w:val="Neotevilenodstavek"/>
              <w:spacing w:before="0" w:after="0" w:line="288" w:lineRule="auto"/>
              <w:jc w:val="center"/>
              <w:rPr>
                <w:iCs/>
                <w:sz w:val="20"/>
                <w:szCs w:val="20"/>
              </w:rPr>
            </w:pPr>
            <w:r w:rsidRPr="00402BA3">
              <w:rPr>
                <w:sz w:val="20"/>
                <w:szCs w:val="20"/>
              </w:rPr>
              <w:t>NE</w:t>
            </w:r>
          </w:p>
        </w:tc>
      </w:tr>
      <w:tr w:rsidR="009D359D" w:rsidRPr="00026310" w:rsidTr="0042598A">
        <w:trPr>
          <w:gridBefore w:val="1"/>
          <w:wBefore w:w="128" w:type="dxa"/>
          <w:jc w:val="center"/>
        </w:trPr>
        <w:tc>
          <w:tcPr>
            <w:tcW w:w="1098" w:type="dxa"/>
          </w:tcPr>
          <w:p w:rsidR="009D359D" w:rsidRPr="00402BA3" w:rsidRDefault="009D359D" w:rsidP="00B644CC">
            <w:pPr>
              <w:pStyle w:val="Neotevilenodstavek"/>
              <w:spacing w:before="0" w:after="0" w:line="288" w:lineRule="auto"/>
              <w:rPr>
                <w:iCs/>
                <w:sz w:val="20"/>
                <w:szCs w:val="20"/>
              </w:rPr>
            </w:pPr>
            <w:r w:rsidRPr="00402BA3">
              <w:rPr>
                <w:iCs/>
                <w:sz w:val="20"/>
                <w:szCs w:val="20"/>
              </w:rPr>
              <w:t>c)</w:t>
            </w:r>
          </w:p>
        </w:tc>
        <w:tc>
          <w:tcPr>
            <w:tcW w:w="7109" w:type="dxa"/>
            <w:gridSpan w:val="9"/>
          </w:tcPr>
          <w:p w:rsidR="009D359D" w:rsidRPr="00402BA3" w:rsidRDefault="009D359D" w:rsidP="00B644CC">
            <w:pPr>
              <w:pStyle w:val="Neotevilenodstavek"/>
              <w:spacing w:before="0" w:after="0" w:line="288" w:lineRule="auto"/>
              <w:rPr>
                <w:iCs/>
                <w:sz w:val="20"/>
                <w:szCs w:val="20"/>
              </w:rPr>
            </w:pPr>
            <w:r w:rsidRPr="00402BA3">
              <w:rPr>
                <w:sz w:val="20"/>
                <w:szCs w:val="20"/>
              </w:rPr>
              <w:t>administrativne posledice</w:t>
            </w:r>
          </w:p>
        </w:tc>
        <w:tc>
          <w:tcPr>
            <w:tcW w:w="625" w:type="dxa"/>
            <w:gridSpan w:val="2"/>
            <w:vAlign w:val="center"/>
          </w:tcPr>
          <w:p w:rsidR="009D359D" w:rsidRPr="00402BA3" w:rsidRDefault="00163D88" w:rsidP="00B644CC">
            <w:pPr>
              <w:pStyle w:val="Neotevilenodstavek"/>
              <w:spacing w:before="0" w:after="0" w:line="288" w:lineRule="auto"/>
              <w:jc w:val="center"/>
              <w:rPr>
                <w:sz w:val="20"/>
                <w:szCs w:val="20"/>
              </w:rPr>
            </w:pPr>
            <w:r>
              <w:rPr>
                <w:sz w:val="20"/>
                <w:szCs w:val="20"/>
              </w:rPr>
              <w:t>NE</w:t>
            </w:r>
          </w:p>
        </w:tc>
      </w:tr>
      <w:tr w:rsidR="009D359D" w:rsidRPr="00026310" w:rsidTr="0042598A">
        <w:trPr>
          <w:gridBefore w:val="1"/>
          <w:wBefore w:w="128" w:type="dxa"/>
          <w:jc w:val="center"/>
        </w:trPr>
        <w:tc>
          <w:tcPr>
            <w:tcW w:w="1098" w:type="dxa"/>
          </w:tcPr>
          <w:p w:rsidR="009D359D" w:rsidRPr="00402BA3" w:rsidRDefault="009D359D" w:rsidP="00B644CC">
            <w:pPr>
              <w:pStyle w:val="Neotevilenodstavek"/>
              <w:spacing w:before="0" w:after="0" w:line="288" w:lineRule="auto"/>
              <w:rPr>
                <w:iCs/>
                <w:sz w:val="20"/>
                <w:szCs w:val="20"/>
              </w:rPr>
            </w:pPr>
            <w:r w:rsidRPr="00402BA3">
              <w:rPr>
                <w:iCs/>
                <w:sz w:val="20"/>
                <w:szCs w:val="20"/>
              </w:rPr>
              <w:t>č)</w:t>
            </w:r>
          </w:p>
        </w:tc>
        <w:tc>
          <w:tcPr>
            <w:tcW w:w="7109" w:type="dxa"/>
            <w:gridSpan w:val="9"/>
          </w:tcPr>
          <w:p w:rsidR="009D359D" w:rsidRPr="00402BA3" w:rsidRDefault="009D359D" w:rsidP="00B644CC">
            <w:pPr>
              <w:pStyle w:val="Neotevilenodstavek"/>
              <w:spacing w:before="0" w:after="0" w:line="288" w:lineRule="auto"/>
              <w:rPr>
                <w:bCs/>
                <w:sz w:val="20"/>
                <w:szCs w:val="20"/>
              </w:rPr>
            </w:pPr>
            <w:r w:rsidRPr="00402BA3">
              <w:rPr>
                <w:sz w:val="20"/>
                <w:szCs w:val="20"/>
              </w:rPr>
              <w:t>gospodarstvo, zlasti</w:t>
            </w:r>
            <w:r w:rsidRPr="00402BA3">
              <w:rPr>
                <w:bCs/>
                <w:sz w:val="20"/>
                <w:szCs w:val="20"/>
              </w:rPr>
              <w:t xml:space="preserve"> mala in srednja podjetja ter konkurenčnost podjetij</w:t>
            </w:r>
          </w:p>
        </w:tc>
        <w:tc>
          <w:tcPr>
            <w:tcW w:w="625" w:type="dxa"/>
            <w:gridSpan w:val="2"/>
            <w:vAlign w:val="center"/>
          </w:tcPr>
          <w:p w:rsidR="009D359D" w:rsidRPr="00402BA3" w:rsidRDefault="00BD49B4" w:rsidP="00B644CC">
            <w:pPr>
              <w:pStyle w:val="Neotevilenodstavek"/>
              <w:spacing w:before="0" w:after="0" w:line="288" w:lineRule="auto"/>
              <w:jc w:val="center"/>
              <w:rPr>
                <w:iCs/>
                <w:sz w:val="20"/>
                <w:szCs w:val="20"/>
              </w:rPr>
            </w:pPr>
            <w:r w:rsidRPr="00402BA3">
              <w:rPr>
                <w:sz w:val="20"/>
                <w:szCs w:val="20"/>
              </w:rPr>
              <w:t>NE</w:t>
            </w:r>
          </w:p>
        </w:tc>
      </w:tr>
      <w:tr w:rsidR="009D359D" w:rsidRPr="00026310" w:rsidTr="0042598A">
        <w:trPr>
          <w:gridBefore w:val="1"/>
          <w:wBefore w:w="128" w:type="dxa"/>
          <w:jc w:val="center"/>
        </w:trPr>
        <w:tc>
          <w:tcPr>
            <w:tcW w:w="1098" w:type="dxa"/>
          </w:tcPr>
          <w:p w:rsidR="009D359D" w:rsidRPr="00402BA3" w:rsidRDefault="009D359D" w:rsidP="00B644CC">
            <w:pPr>
              <w:pStyle w:val="Neotevilenodstavek"/>
              <w:spacing w:before="0" w:after="0" w:line="288" w:lineRule="auto"/>
              <w:rPr>
                <w:iCs/>
                <w:sz w:val="20"/>
                <w:szCs w:val="20"/>
              </w:rPr>
            </w:pPr>
            <w:r w:rsidRPr="00402BA3">
              <w:rPr>
                <w:iCs/>
                <w:sz w:val="20"/>
                <w:szCs w:val="20"/>
              </w:rPr>
              <w:t>d)</w:t>
            </w:r>
          </w:p>
        </w:tc>
        <w:tc>
          <w:tcPr>
            <w:tcW w:w="7109" w:type="dxa"/>
            <w:gridSpan w:val="9"/>
          </w:tcPr>
          <w:p w:rsidR="009D359D" w:rsidRPr="00402BA3" w:rsidRDefault="009D359D" w:rsidP="00B644CC">
            <w:pPr>
              <w:pStyle w:val="Neotevilenodstavek"/>
              <w:spacing w:before="0" w:after="0" w:line="288" w:lineRule="auto"/>
              <w:rPr>
                <w:bCs/>
                <w:sz w:val="20"/>
                <w:szCs w:val="20"/>
              </w:rPr>
            </w:pPr>
            <w:r w:rsidRPr="00402BA3">
              <w:rPr>
                <w:bCs/>
                <w:sz w:val="20"/>
                <w:szCs w:val="20"/>
              </w:rPr>
              <w:t>okolje, vključno s prostorskimi in varstvenimi vidiki</w:t>
            </w:r>
          </w:p>
        </w:tc>
        <w:tc>
          <w:tcPr>
            <w:tcW w:w="625" w:type="dxa"/>
            <w:gridSpan w:val="2"/>
            <w:vAlign w:val="center"/>
          </w:tcPr>
          <w:p w:rsidR="009D359D" w:rsidRPr="00402BA3" w:rsidRDefault="009D359D" w:rsidP="00B644CC">
            <w:pPr>
              <w:pStyle w:val="Neotevilenodstavek"/>
              <w:spacing w:before="0" w:after="0" w:line="288" w:lineRule="auto"/>
              <w:jc w:val="center"/>
              <w:rPr>
                <w:iCs/>
                <w:sz w:val="20"/>
                <w:szCs w:val="20"/>
              </w:rPr>
            </w:pPr>
            <w:r w:rsidRPr="00402BA3">
              <w:rPr>
                <w:sz w:val="20"/>
                <w:szCs w:val="20"/>
              </w:rPr>
              <w:t>NE</w:t>
            </w:r>
          </w:p>
        </w:tc>
      </w:tr>
      <w:tr w:rsidR="009D359D" w:rsidRPr="00026310" w:rsidTr="0042598A">
        <w:trPr>
          <w:gridBefore w:val="1"/>
          <w:wBefore w:w="128" w:type="dxa"/>
          <w:jc w:val="center"/>
        </w:trPr>
        <w:tc>
          <w:tcPr>
            <w:tcW w:w="1098" w:type="dxa"/>
          </w:tcPr>
          <w:p w:rsidR="009D359D" w:rsidRPr="00402BA3" w:rsidRDefault="009D359D" w:rsidP="00B644CC">
            <w:pPr>
              <w:pStyle w:val="Neotevilenodstavek"/>
              <w:spacing w:before="0" w:after="0" w:line="288" w:lineRule="auto"/>
              <w:rPr>
                <w:iCs/>
                <w:sz w:val="20"/>
                <w:szCs w:val="20"/>
              </w:rPr>
            </w:pPr>
            <w:r w:rsidRPr="00402BA3">
              <w:rPr>
                <w:iCs/>
                <w:sz w:val="20"/>
                <w:szCs w:val="20"/>
              </w:rPr>
              <w:t>e)</w:t>
            </w:r>
          </w:p>
        </w:tc>
        <w:tc>
          <w:tcPr>
            <w:tcW w:w="7109" w:type="dxa"/>
            <w:gridSpan w:val="9"/>
          </w:tcPr>
          <w:p w:rsidR="009D359D" w:rsidRPr="00402BA3" w:rsidRDefault="009D359D" w:rsidP="00B644CC">
            <w:pPr>
              <w:pStyle w:val="Neotevilenodstavek"/>
              <w:spacing w:before="0" w:after="0" w:line="288" w:lineRule="auto"/>
              <w:rPr>
                <w:bCs/>
                <w:sz w:val="20"/>
                <w:szCs w:val="20"/>
              </w:rPr>
            </w:pPr>
            <w:r w:rsidRPr="00402BA3">
              <w:rPr>
                <w:bCs/>
                <w:sz w:val="20"/>
                <w:szCs w:val="20"/>
              </w:rPr>
              <w:t>socialno področje</w:t>
            </w:r>
          </w:p>
        </w:tc>
        <w:tc>
          <w:tcPr>
            <w:tcW w:w="625" w:type="dxa"/>
            <w:gridSpan w:val="2"/>
            <w:vAlign w:val="center"/>
          </w:tcPr>
          <w:p w:rsidR="009D359D" w:rsidRPr="00402BA3" w:rsidRDefault="00BD49B4" w:rsidP="00B644CC">
            <w:pPr>
              <w:pStyle w:val="Neotevilenodstavek"/>
              <w:spacing w:before="0" w:after="0" w:line="288" w:lineRule="auto"/>
              <w:jc w:val="center"/>
              <w:rPr>
                <w:iCs/>
                <w:sz w:val="20"/>
                <w:szCs w:val="20"/>
              </w:rPr>
            </w:pPr>
            <w:r w:rsidRPr="00402BA3">
              <w:rPr>
                <w:sz w:val="20"/>
                <w:szCs w:val="20"/>
              </w:rPr>
              <w:t>NE</w:t>
            </w:r>
          </w:p>
        </w:tc>
      </w:tr>
      <w:tr w:rsidR="0069543B" w:rsidRPr="00026310" w:rsidTr="0042598A">
        <w:trPr>
          <w:gridBefore w:val="1"/>
          <w:wBefore w:w="128" w:type="dxa"/>
          <w:jc w:val="center"/>
        </w:trPr>
        <w:tc>
          <w:tcPr>
            <w:tcW w:w="1098" w:type="dxa"/>
          </w:tcPr>
          <w:p w:rsidR="0069543B" w:rsidRPr="00402BA3" w:rsidRDefault="0069543B" w:rsidP="00B644CC">
            <w:pPr>
              <w:pStyle w:val="Neotevilenodstavek"/>
              <w:spacing w:before="0" w:after="0" w:line="288" w:lineRule="auto"/>
              <w:rPr>
                <w:iCs/>
                <w:sz w:val="20"/>
                <w:szCs w:val="20"/>
              </w:rPr>
            </w:pPr>
            <w:r w:rsidRPr="00402BA3">
              <w:rPr>
                <w:iCs/>
                <w:sz w:val="20"/>
                <w:szCs w:val="20"/>
              </w:rPr>
              <w:t>f)</w:t>
            </w:r>
          </w:p>
        </w:tc>
        <w:tc>
          <w:tcPr>
            <w:tcW w:w="7109" w:type="dxa"/>
            <w:gridSpan w:val="9"/>
          </w:tcPr>
          <w:p w:rsidR="0069543B" w:rsidRPr="00402BA3" w:rsidRDefault="0069543B" w:rsidP="00B644CC">
            <w:pPr>
              <w:pStyle w:val="Neotevilenodstavek"/>
              <w:spacing w:before="0" w:after="0" w:line="288" w:lineRule="auto"/>
              <w:rPr>
                <w:bCs/>
                <w:sz w:val="20"/>
                <w:szCs w:val="20"/>
              </w:rPr>
            </w:pPr>
            <w:r w:rsidRPr="00402BA3">
              <w:rPr>
                <w:bCs/>
                <w:sz w:val="20"/>
                <w:szCs w:val="20"/>
              </w:rPr>
              <w:t>dokumente razvojnega načrtovanja:</w:t>
            </w:r>
          </w:p>
          <w:p w:rsidR="0069543B" w:rsidRPr="00402BA3" w:rsidRDefault="0069543B" w:rsidP="00B644CC">
            <w:pPr>
              <w:pStyle w:val="Neotevilenodstavek"/>
              <w:numPr>
                <w:ilvl w:val="0"/>
                <w:numId w:val="3"/>
              </w:numPr>
              <w:spacing w:before="0" w:after="0" w:line="288" w:lineRule="auto"/>
              <w:ind w:left="0"/>
              <w:rPr>
                <w:bCs/>
                <w:sz w:val="20"/>
                <w:szCs w:val="20"/>
              </w:rPr>
            </w:pPr>
            <w:r w:rsidRPr="00402BA3">
              <w:rPr>
                <w:bCs/>
                <w:sz w:val="20"/>
                <w:szCs w:val="20"/>
              </w:rPr>
              <w:t>nacionalne dokumente razvojnega načrtovanja</w:t>
            </w:r>
          </w:p>
          <w:p w:rsidR="0069543B" w:rsidRDefault="0069543B" w:rsidP="00B644CC">
            <w:pPr>
              <w:pStyle w:val="Neotevilenodstavek"/>
              <w:numPr>
                <w:ilvl w:val="0"/>
                <w:numId w:val="3"/>
              </w:numPr>
              <w:spacing w:before="0" w:after="0" w:line="288" w:lineRule="auto"/>
              <w:ind w:left="0"/>
              <w:rPr>
                <w:bCs/>
                <w:sz w:val="20"/>
                <w:szCs w:val="20"/>
              </w:rPr>
            </w:pPr>
            <w:r w:rsidRPr="00402BA3">
              <w:rPr>
                <w:bCs/>
                <w:sz w:val="20"/>
                <w:szCs w:val="20"/>
              </w:rPr>
              <w:t>razvojne politike na ravni programov po strukturi razvojne klasifikacije programskega proračuna</w:t>
            </w:r>
          </w:p>
          <w:p w:rsidR="0069543B" w:rsidRPr="0069543B" w:rsidRDefault="0069543B" w:rsidP="00B644CC">
            <w:pPr>
              <w:pStyle w:val="Neotevilenodstavek"/>
              <w:numPr>
                <w:ilvl w:val="0"/>
                <w:numId w:val="3"/>
              </w:numPr>
              <w:spacing w:before="0" w:after="0" w:line="288" w:lineRule="auto"/>
              <w:ind w:left="0"/>
              <w:rPr>
                <w:bCs/>
                <w:sz w:val="20"/>
                <w:szCs w:val="20"/>
              </w:rPr>
            </w:pPr>
            <w:r w:rsidRPr="0069543B">
              <w:rPr>
                <w:bCs/>
                <w:sz w:val="20"/>
                <w:szCs w:val="20"/>
              </w:rPr>
              <w:t>razvojne dokumente Evropske unije in mednarodnih organizacij</w:t>
            </w:r>
          </w:p>
        </w:tc>
        <w:tc>
          <w:tcPr>
            <w:tcW w:w="625" w:type="dxa"/>
            <w:gridSpan w:val="2"/>
            <w:vAlign w:val="center"/>
          </w:tcPr>
          <w:p w:rsidR="0069543B" w:rsidRPr="00402BA3" w:rsidRDefault="0069543B" w:rsidP="00B644CC">
            <w:pPr>
              <w:pStyle w:val="Neotevilenodstavek"/>
              <w:spacing w:before="0" w:after="0" w:line="288" w:lineRule="auto"/>
              <w:jc w:val="center"/>
              <w:rPr>
                <w:sz w:val="20"/>
                <w:szCs w:val="20"/>
              </w:rPr>
            </w:pPr>
            <w:r>
              <w:rPr>
                <w:sz w:val="20"/>
                <w:szCs w:val="20"/>
              </w:rPr>
              <w:t>NE</w:t>
            </w:r>
          </w:p>
        </w:tc>
      </w:tr>
      <w:tr w:rsidR="0069543B" w:rsidRPr="00026310" w:rsidTr="0042598A">
        <w:trPr>
          <w:gridBefore w:val="1"/>
          <w:wBefore w:w="128" w:type="dxa"/>
          <w:jc w:val="center"/>
        </w:trPr>
        <w:tc>
          <w:tcPr>
            <w:tcW w:w="8832" w:type="dxa"/>
            <w:gridSpan w:val="12"/>
          </w:tcPr>
          <w:p w:rsidR="0069543B" w:rsidRPr="00AF4EA1" w:rsidRDefault="0069543B" w:rsidP="00B644CC">
            <w:pPr>
              <w:pStyle w:val="Oddelek"/>
              <w:widowControl w:val="0"/>
              <w:numPr>
                <w:ilvl w:val="0"/>
                <w:numId w:val="0"/>
              </w:numPr>
              <w:spacing w:before="0" w:after="0" w:line="288" w:lineRule="auto"/>
              <w:jc w:val="left"/>
              <w:rPr>
                <w:sz w:val="20"/>
                <w:szCs w:val="20"/>
              </w:rPr>
            </w:pPr>
            <w:r w:rsidRPr="00AF4EA1">
              <w:rPr>
                <w:sz w:val="20"/>
                <w:szCs w:val="20"/>
              </w:rPr>
              <w:t>7.a Predstavitev ocene finančnih posledic nad 40.000 EUR:</w:t>
            </w:r>
          </w:p>
          <w:p w:rsidR="0069543B" w:rsidRPr="00006DB8" w:rsidRDefault="001B429E" w:rsidP="00B644CC">
            <w:pPr>
              <w:pStyle w:val="Alineazatoko"/>
              <w:spacing w:line="288" w:lineRule="auto"/>
              <w:ind w:left="0" w:firstLine="0"/>
              <w:rPr>
                <w:sz w:val="20"/>
                <w:szCs w:val="20"/>
                <w:highlight w:val="yellow"/>
              </w:rPr>
            </w:pPr>
            <w:r w:rsidRPr="001B429E">
              <w:rPr>
                <w:sz w:val="20"/>
                <w:szCs w:val="20"/>
              </w:rPr>
              <w:t>/</w:t>
            </w:r>
          </w:p>
        </w:tc>
      </w:tr>
      <w:tr w:rsidR="00F04540" w:rsidRPr="00032FAF" w:rsidTr="0042598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20" w:type="dxa"/>
          <w:cantSplit/>
          <w:trHeight w:val="35"/>
        </w:trPr>
        <w:tc>
          <w:tcPr>
            <w:tcW w:w="8840" w:type="dxa"/>
            <w:gridSpan w:val="12"/>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F04540" w:rsidRPr="00032FAF" w:rsidRDefault="00F04540" w:rsidP="005A2A80">
            <w:pPr>
              <w:pageBreakBefore/>
              <w:widowControl w:val="0"/>
              <w:tabs>
                <w:tab w:val="left" w:pos="2340"/>
              </w:tabs>
              <w:outlineLvl w:val="0"/>
              <w:rPr>
                <w:rFonts w:cs="Arial"/>
                <w:b/>
                <w:kern w:val="32"/>
                <w:szCs w:val="20"/>
                <w:lang w:eastAsia="sl-SI"/>
              </w:rPr>
            </w:pPr>
            <w:r w:rsidRPr="00032FAF">
              <w:rPr>
                <w:rFonts w:cs="Arial"/>
                <w:b/>
                <w:kern w:val="32"/>
                <w:szCs w:val="20"/>
                <w:lang w:eastAsia="sl-SI"/>
              </w:rPr>
              <w:lastRenderedPageBreak/>
              <w:t>I. Ocena finančnih posledic, ki niso načrtovane v sprejetem proračunu</w:t>
            </w:r>
          </w:p>
        </w:tc>
      </w:tr>
      <w:tr w:rsidR="00F04540" w:rsidRPr="00032FAF" w:rsidTr="0042598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20" w:type="dxa"/>
          <w:cantSplit/>
          <w:trHeight w:val="276"/>
        </w:trPr>
        <w:tc>
          <w:tcPr>
            <w:tcW w:w="2454" w:type="dxa"/>
            <w:gridSpan w:val="4"/>
            <w:tcBorders>
              <w:top w:val="single" w:sz="4" w:space="0" w:color="auto"/>
              <w:left w:val="single" w:sz="4" w:space="0" w:color="auto"/>
              <w:bottom w:val="single" w:sz="4" w:space="0" w:color="auto"/>
              <w:right w:val="single" w:sz="4" w:space="0" w:color="auto"/>
            </w:tcBorders>
            <w:vAlign w:val="center"/>
          </w:tcPr>
          <w:p w:rsidR="00F04540" w:rsidRPr="00032FAF" w:rsidRDefault="00F04540" w:rsidP="00B644CC">
            <w:pPr>
              <w:widowControl w:val="0"/>
              <w:jc w:val="center"/>
              <w:rPr>
                <w:rFonts w:cs="Arial"/>
                <w:szCs w:val="20"/>
              </w:rPr>
            </w:pPr>
          </w:p>
        </w:tc>
        <w:tc>
          <w:tcPr>
            <w:tcW w:w="1668" w:type="dxa"/>
            <w:gridSpan w:val="2"/>
            <w:tcBorders>
              <w:top w:val="single" w:sz="4" w:space="0" w:color="auto"/>
              <w:left w:val="single" w:sz="4" w:space="0" w:color="auto"/>
              <w:bottom w:val="single" w:sz="4" w:space="0" w:color="auto"/>
              <w:right w:val="single" w:sz="4" w:space="0" w:color="auto"/>
            </w:tcBorders>
            <w:vAlign w:val="center"/>
          </w:tcPr>
          <w:p w:rsidR="00F04540" w:rsidRPr="00032FAF" w:rsidRDefault="00F04540" w:rsidP="00B644CC">
            <w:pPr>
              <w:widowControl w:val="0"/>
              <w:jc w:val="center"/>
              <w:rPr>
                <w:rFonts w:cs="Arial"/>
                <w:szCs w:val="20"/>
              </w:rPr>
            </w:pPr>
            <w:r w:rsidRPr="00032FAF">
              <w:rPr>
                <w:rFonts w:cs="Arial"/>
                <w:szCs w:val="20"/>
              </w:rPr>
              <w:t>Tekoče leto (t)</w:t>
            </w:r>
          </w:p>
        </w:tc>
        <w:tc>
          <w:tcPr>
            <w:tcW w:w="1217" w:type="dxa"/>
            <w:tcBorders>
              <w:top w:val="single" w:sz="4" w:space="0" w:color="auto"/>
              <w:left w:val="single" w:sz="4" w:space="0" w:color="auto"/>
              <w:bottom w:val="single" w:sz="4" w:space="0" w:color="auto"/>
              <w:right w:val="single" w:sz="4" w:space="0" w:color="auto"/>
            </w:tcBorders>
            <w:vAlign w:val="center"/>
          </w:tcPr>
          <w:p w:rsidR="00F04540" w:rsidRPr="00032FAF" w:rsidRDefault="00F04540" w:rsidP="00B644CC">
            <w:pPr>
              <w:widowControl w:val="0"/>
              <w:jc w:val="center"/>
              <w:rPr>
                <w:rFonts w:cs="Arial"/>
                <w:szCs w:val="20"/>
              </w:rPr>
            </w:pPr>
            <w:r w:rsidRPr="00032FAF">
              <w:rPr>
                <w:rFonts w:cs="Arial"/>
                <w:szCs w:val="20"/>
              </w:rPr>
              <w:t>t + 1</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F04540" w:rsidRPr="00032FAF" w:rsidRDefault="00F04540" w:rsidP="00B644CC">
            <w:pPr>
              <w:widowControl w:val="0"/>
              <w:jc w:val="center"/>
              <w:rPr>
                <w:rFonts w:cs="Arial"/>
                <w:szCs w:val="20"/>
              </w:rPr>
            </w:pPr>
            <w:r w:rsidRPr="00032FAF">
              <w:rPr>
                <w:rFonts w:cs="Arial"/>
                <w:szCs w:val="20"/>
              </w:rPr>
              <w:t>t + 2</w:t>
            </w:r>
          </w:p>
        </w:tc>
        <w:tc>
          <w:tcPr>
            <w:tcW w:w="2192" w:type="dxa"/>
            <w:gridSpan w:val="3"/>
            <w:tcBorders>
              <w:top w:val="single" w:sz="4" w:space="0" w:color="auto"/>
              <w:left w:val="single" w:sz="4" w:space="0" w:color="auto"/>
              <w:bottom w:val="single" w:sz="4" w:space="0" w:color="auto"/>
              <w:right w:val="single" w:sz="4" w:space="0" w:color="auto"/>
            </w:tcBorders>
            <w:vAlign w:val="center"/>
          </w:tcPr>
          <w:p w:rsidR="00F04540" w:rsidRPr="00032FAF" w:rsidRDefault="00F04540" w:rsidP="00B644CC">
            <w:pPr>
              <w:widowControl w:val="0"/>
              <w:jc w:val="center"/>
              <w:rPr>
                <w:rFonts w:cs="Arial"/>
                <w:szCs w:val="20"/>
              </w:rPr>
            </w:pPr>
            <w:r w:rsidRPr="00032FAF">
              <w:rPr>
                <w:rFonts w:cs="Arial"/>
                <w:szCs w:val="20"/>
              </w:rPr>
              <w:t>t + 3</w:t>
            </w:r>
          </w:p>
        </w:tc>
      </w:tr>
      <w:tr w:rsidR="009E5C07" w:rsidRPr="00032FAF" w:rsidTr="0042598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20" w:type="dxa"/>
          <w:cantSplit/>
          <w:trHeight w:val="423"/>
        </w:trPr>
        <w:tc>
          <w:tcPr>
            <w:tcW w:w="2454" w:type="dxa"/>
            <w:gridSpan w:val="4"/>
            <w:tcBorders>
              <w:top w:val="single" w:sz="4" w:space="0" w:color="auto"/>
              <w:left w:val="single" w:sz="4" w:space="0" w:color="auto"/>
              <w:bottom w:val="single" w:sz="4" w:space="0" w:color="auto"/>
              <w:right w:val="single" w:sz="4" w:space="0" w:color="auto"/>
            </w:tcBorders>
            <w:vAlign w:val="center"/>
          </w:tcPr>
          <w:p w:rsidR="009E5C07" w:rsidRPr="00032FAF" w:rsidRDefault="009E5C07" w:rsidP="00B644CC">
            <w:pPr>
              <w:widowControl w:val="0"/>
              <w:rPr>
                <w:rFonts w:cs="Arial"/>
                <w:bCs/>
                <w:szCs w:val="20"/>
              </w:rPr>
            </w:pPr>
            <w:r w:rsidRPr="00032FAF">
              <w:rPr>
                <w:rFonts w:cs="Arial"/>
                <w:bCs/>
                <w:szCs w:val="20"/>
              </w:rPr>
              <w:t>Predvideno povečanje (+) ali zmanjšanje (</w:t>
            </w:r>
            <w:r w:rsidRPr="00032FAF">
              <w:rPr>
                <w:rFonts w:cs="Arial"/>
                <w:b/>
                <w:szCs w:val="20"/>
              </w:rPr>
              <w:t>–</w:t>
            </w:r>
            <w:r w:rsidRPr="00032FAF">
              <w:rPr>
                <w:rFonts w:cs="Arial"/>
                <w:bCs/>
                <w:szCs w:val="20"/>
              </w:rPr>
              <w:t xml:space="preserve">) prihodkov državnega proračuna </w:t>
            </w:r>
          </w:p>
        </w:tc>
        <w:tc>
          <w:tcPr>
            <w:tcW w:w="1668" w:type="dxa"/>
            <w:gridSpan w:val="2"/>
            <w:tcBorders>
              <w:top w:val="single" w:sz="4" w:space="0" w:color="auto"/>
              <w:left w:val="single" w:sz="4" w:space="0" w:color="auto"/>
              <w:bottom w:val="single" w:sz="4" w:space="0" w:color="auto"/>
              <w:right w:val="single" w:sz="4" w:space="0" w:color="auto"/>
            </w:tcBorders>
            <w:vAlign w:val="center"/>
          </w:tcPr>
          <w:p w:rsidR="009E5C07" w:rsidRPr="00032FAF" w:rsidRDefault="009E5C07" w:rsidP="00B644CC">
            <w:pPr>
              <w:widowControl w:val="0"/>
              <w:jc w:val="center"/>
              <w:rPr>
                <w:rFonts w:cs="Arial"/>
                <w:szCs w:val="20"/>
              </w:rPr>
            </w:pPr>
            <w:r>
              <w:rPr>
                <w:rFonts w:cs="Arial"/>
                <w:szCs w:val="20"/>
              </w:rPr>
              <w:t>0,00</w:t>
            </w:r>
          </w:p>
        </w:tc>
        <w:tc>
          <w:tcPr>
            <w:tcW w:w="1217" w:type="dxa"/>
            <w:tcBorders>
              <w:top w:val="single" w:sz="4" w:space="0" w:color="auto"/>
              <w:left w:val="single" w:sz="4" w:space="0" w:color="auto"/>
              <w:bottom w:val="single" w:sz="4" w:space="0" w:color="auto"/>
              <w:right w:val="single" w:sz="4" w:space="0" w:color="auto"/>
            </w:tcBorders>
            <w:vAlign w:val="center"/>
          </w:tcPr>
          <w:p w:rsidR="009E5C07" w:rsidRPr="00032FAF" w:rsidRDefault="009E5C07" w:rsidP="00B644CC">
            <w:pPr>
              <w:widowControl w:val="0"/>
              <w:tabs>
                <w:tab w:val="left" w:pos="360"/>
              </w:tabs>
              <w:jc w:val="center"/>
              <w:outlineLvl w:val="0"/>
              <w:rPr>
                <w:rFonts w:cs="Arial"/>
                <w:bCs/>
                <w:kern w:val="32"/>
                <w:szCs w:val="20"/>
                <w:lang w:eastAsia="sl-SI"/>
              </w:rPr>
            </w:pPr>
            <w:r>
              <w:rPr>
                <w:rFonts w:cs="Arial"/>
                <w:bCs/>
                <w:kern w:val="32"/>
                <w:szCs w:val="20"/>
                <w:lang w:eastAsia="sl-SI"/>
              </w:rPr>
              <w:t>0,00</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9E5C07" w:rsidRDefault="009E5C07" w:rsidP="00B644CC">
            <w:pPr>
              <w:jc w:val="center"/>
            </w:pPr>
            <w:r w:rsidRPr="009D14BD">
              <w:rPr>
                <w:rFonts w:cs="Arial"/>
                <w:bCs/>
                <w:kern w:val="32"/>
                <w:szCs w:val="20"/>
                <w:lang w:eastAsia="sl-SI"/>
              </w:rPr>
              <w:t>0,00</w:t>
            </w:r>
          </w:p>
        </w:tc>
        <w:tc>
          <w:tcPr>
            <w:tcW w:w="2192" w:type="dxa"/>
            <w:gridSpan w:val="3"/>
            <w:tcBorders>
              <w:top w:val="single" w:sz="4" w:space="0" w:color="auto"/>
              <w:left w:val="single" w:sz="4" w:space="0" w:color="auto"/>
              <w:bottom w:val="single" w:sz="4" w:space="0" w:color="auto"/>
              <w:right w:val="single" w:sz="4" w:space="0" w:color="auto"/>
            </w:tcBorders>
            <w:vAlign w:val="center"/>
          </w:tcPr>
          <w:p w:rsidR="009E5C07" w:rsidRDefault="009E5C07" w:rsidP="00B644CC">
            <w:pPr>
              <w:jc w:val="center"/>
            </w:pPr>
            <w:r w:rsidRPr="009D14BD">
              <w:rPr>
                <w:rFonts w:cs="Arial"/>
                <w:bCs/>
                <w:kern w:val="32"/>
                <w:szCs w:val="20"/>
                <w:lang w:eastAsia="sl-SI"/>
              </w:rPr>
              <w:t>0,00</w:t>
            </w:r>
          </w:p>
        </w:tc>
      </w:tr>
      <w:tr w:rsidR="001E28FB" w:rsidRPr="00032FAF" w:rsidTr="009016A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20" w:type="dxa"/>
          <w:cantSplit/>
          <w:trHeight w:val="423"/>
        </w:trPr>
        <w:tc>
          <w:tcPr>
            <w:tcW w:w="2454" w:type="dxa"/>
            <w:gridSpan w:val="4"/>
            <w:tcBorders>
              <w:top w:val="single" w:sz="4" w:space="0" w:color="auto"/>
              <w:left w:val="single" w:sz="4" w:space="0" w:color="auto"/>
              <w:bottom w:val="single" w:sz="4" w:space="0" w:color="auto"/>
              <w:right w:val="single" w:sz="4" w:space="0" w:color="auto"/>
            </w:tcBorders>
            <w:vAlign w:val="center"/>
          </w:tcPr>
          <w:p w:rsidR="001E28FB" w:rsidRPr="00032FAF" w:rsidRDefault="001E28FB" w:rsidP="00B644CC">
            <w:pPr>
              <w:widowControl w:val="0"/>
              <w:rPr>
                <w:rFonts w:cs="Arial"/>
                <w:bCs/>
                <w:szCs w:val="20"/>
              </w:rPr>
            </w:pPr>
            <w:r w:rsidRPr="00032FAF">
              <w:rPr>
                <w:rFonts w:cs="Arial"/>
                <w:bCs/>
                <w:szCs w:val="20"/>
              </w:rPr>
              <w:t>Predvideno povečanje (+) ali zmanjšanje (</w:t>
            </w:r>
            <w:r w:rsidRPr="00032FAF">
              <w:rPr>
                <w:rFonts w:cs="Arial"/>
                <w:b/>
                <w:szCs w:val="20"/>
              </w:rPr>
              <w:t>–</w:t>
            </w:r>
            <w:r w:rsidRPr="00032FAF">
              <w:rPr>
                <w:rFonts w:cs="Arial"/>
                <w:bCs/>
                <w:szCs w:val="20"/>
              </w:rPr>
              <w:t xml:space="preserve">) prihodkov občinskih proračunov </w:t>
            </w:r>
          </w:p>
        </w:tc>
        <w:tc>
          <w:tcPr>
            <w:tcW w:w="1668" w:type="dxa"/>
            <w:gridSpan w:val="2"/>
            <w:tcBorders>
              <w:top w:val="single" w:sz="4" w:space="0" w:color="auto"/>
              <w:left w:val="single" w:sz="4" w:space="0" w:color="auto"/>
              <w:bottom w:val="single" w:sz="4" w:space="0" w:color="auto"/>
              <w:right w:val="single" w:sz="4" w:space="0" w:color="auto"/>
            </w:tcBorders>
            <w:vAlign w:val="center"/>
          </w:tcPr>
          <w:p w:rsidR="001E28FB" w:rsidRPr="00032FAF" w:rsidRDefault="001E28FB" w:rsidP="00B644CC">
            <w:pPr>
              <w:widowControl w:val="0"/>
              <w:tabs>
                <w:tab w:val="left" w:pos="360"/>
              </w:tabs>
              <w:jc w:val="center"/>
              <w:outlineLvl w:val="0"/>
              <w:rPr>
                <w:rFonts w:cs="Arial"/>
                <w:bCs/>
                <w:kern w:val="32"/>
                <w:szCs w:val="20"/>
                <w:lang w:eastAsia="sl-SI"/>
              </w:rPr>
            </w:pPr>
            <w:r>
              <w:rPr>
                <w:rFonts w:cs="Arial"/>
                <w:bCs/>
                <w:kern w:val="32"/>
                <w:szCs w:val="20"/>
                <w:lang w:eastAsia="sl-SI"/>
              </w:rPr>
              <w:t>0,00</w:t>
            </w:r>
          </w:p>
        </w:tc>
        <w:tc>
          <w:tcPr>
            <w:tcW w:w="1217" w:type="dxa"/>
            <w:tcBorders>
              <w:top w:val="single" w:sz="4" w:space="0" w:color="auto"/>
              <w:left w:val="single" w:sz="4" w:space="0" w:color="auto"/>
              <w:bottom w:val="single" w:sz="4" w:space="0" w:color="auto"/>
              <w:right w:val="single" w:sz="4" w:space="0" w:color="auto"/>
            </w:tcBorders>
            <w:vAlign w:val="center"/>
          </w:tcPr>
          <w:p w:rsidR="001E28FB" w:rsidRPr="00032FAF" w:rsidRDefault="001E28FB" w:rsidP="00B644CC">
            <w:pPr>
              <w:widowControl w:val="0"/>
              <w:tabs>
                <w:tab w:val="left" w:pos="360"/>
              </w:tabs>
              <w:jc w:val="center"/>
              <w:outlineLvl w:val="0"/>
              <w:rPr>
                <w:rFonts w:cs="Arial"/>
                <w:bCs/>
                <w:kern w:val="32"/>
                <w:szCs w:val="20"/>
                <w:lang w:eastAsia="sl-SI"/>
              </w:rPr>
            </w:pPr>
            <w:r>
              <w:rPr>
                <w:rFonts w:cs="Arial"/>
                <w:bCs/>
                <w:kern w:val="32"/>
                <w:szCs w:val="20"/>
                <w:lang w:eastAsia="sl-SI"/>
              </w:rPr>
              <w:t>0,00</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1E28FB" w:rsidRDefault="001E28FB" w:rsidP="00B644CC">
            <w:pPr>
              <w:jc w:val="center"/>
            </w:pPr>
            <w:r w:rsidRPr="009D14BD">
              <w:rPr>
                <w:rFonts w:cs="Arial"/>
                <w:bCs/>
                <w:kern w:val="32"/>
                <w:szCs w:val="20"/>
                <w:lang w:eastAsia="sl-SI"/>
              </w:rPr>
              <w:t>0,00</w:t>
            </w:r>
          </w:p>
        </w:tc>
        <w:tc>
          <w:tcPr>
            <w:tcW w:w="2192" w:type="dxa"/>
            <w:gridSpan w:val="3"/>
            <w:tcBorders>
              <w:top w:val="single" w:sz="4" w:space="0" w:color="auto"/>
              <w:left w:val="single" w:sz="4" w:space="0" w:color="auto"/>
              <w:bottom w:val="single" w:sz="4" w:space="0" w:color="auto"/>
              <w:right w:val="single" w:sz="4" w:space="0" w:color="auto"/>
            </w:tcBorders>
            <w:vAlign w:val="center"/>
          </w:tcPr>
          <w:p w:rsidR="001E28FB" w:rsidRDefault="001E28FB" w:rsidP="00B644CC">
            <w:pPr>
              <w:jc w:val="center"/>
              <w:rPr>
                <w:rFonts w:cs="Arial"/>
                <w:bCs/>
                <w:kern w:val="32"/>
                <w:szCs w:val="20"/>
                <w:lang w:eastAsia="sl-SI"/>
              </w:rPr>
            </w:pPr>
          </w:p>
          <w:p w:rsidR="001E28FB" w:rsidRDefault="001E28FB" w:rsidP="00B644CC">
            <w:pPr>
              <w:jc w:val="center"/>
            </w:pPr>
            <w:r w:rsidRPr="009D14BD">
              <w:rPr>
                <w:rFonts w:cs="Arial"/>
                <w:bCs/>
                <w:kern w:val="32"/>
                <w:szCs w:val="20"/>
                <w:lang w:eastAsia="sl-SI"/>
              </w:rPr>
              <w:t>0,00</w:t>
            </w:r>
          </w:p>
        </w:tc>
      </w:tr>
      <w:tr w:rsidR="009E5C07" w:rsidRPr="00032FAF" w:rsidTr="009016A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20" w:type="dxa"/>
          <w:cantSplit/>
          <w:trHeight w:val="423"/>
        </w:trPr>
        <w:tc>
          <w:tcPr>
            <w:tcW w:w="2454" w:type="dxa"/>
            <w:gridSpan w:val="4"/>
            <w:tcBorders>
              <w:top w:val="single" w:sz="4" w:space="0" w:color="auto"/>
              <w:left w:val="single" w:sz="4" w:space="0" w:color="auto"/>
              <w:bottom w:val="single" w:sz="4" w:space="0" w:color="auto"/>
              <w:right w:val="single" w:sz="4" w:space="0" w:color="auto"/>
            </w:tcBorders>
            <w:vAlign w:val="center"/>
          </w:tcPr>
          <w:p w:rsidR="009E5C07" w:rsidRPr="00AF4EA1" w:rsidRDefault="009E5C07" w:rsidP="00B644CC">
            <w:pPr>
              <w:widowControl w:val="0"/>
              <w:rPr>
                <w:rFonts w:cs="Arial"/>
                <w:bCs/>
                <w:szCs w:val="20"/>
              </w:rPr>
            </w:pPr>
            <w:r w:rsidRPr="00AF4EA1">
              <w:rPr>
                <w:rFonts w:cs="Arial"/>
                <w:bCs/>
                <w:szCs w:val="20"/>
              </w:rPr>
              <w:t>Predvideno povečanje (+) ali zmanjšanje (</w:t>
            </w:r>
            <w:r w:rsidRPr="00AF4EA1">
              <w:rPr>
                <w:rFonts w:cs="Arial"/>
                <w:b/>
                <w:szCs w:val="20"/>
              </w:rPr>
              <w:t>–</w:t>
            </w:r>
            <w:r w:rsidRPr="00AF4EA1">
              <w:rPr>
                <w:rFonts w:cs="Arial"/>
                <w:bCs/>
                <w:szCs w:val="20"/>
              </w:rPr>
              <w:t xml:space="preserve">) odhodkov državnega proračuna </w:t>
            </w:r>
          </w:p>
        </w:tc>
        <w:tc>
          <w:tcPr>
            <w:tcW w:w="1668" w:type="dxa"/>
            <w:gridSpan w:val="2"/>
            <w:tcBorders>
              <w:top w:val="single" w:sz="4" w:space="0" w:color="auto"/>
              <w:left w:val="single" w:sz="4" w:space="0" w:color="auto"/>
              <w:bottom w:val="single" w:sz="4" w:space="0" w:color="auto"/>
              <w:right w:val="single" w:sz="4" w:space="0" w:color="auto"/>
            </w:tcBorders>
            <w:vAlign w:val="center"/>
          </w:tcPr>
          <w:p w:rsidR="009E5C07" w:rsidRPr="00AF4EA1" w:rsidRDefault="009E5C07" w:rsidP="00B644CC">
            <w:pPr>
              <w:widowControl w:val="0"/>
              <w:tabs>
                <w:tab w:val="left" w:pos="360"/>
              </w:tabs>
              <w:jc w:val="center"/>
              <w:outlineLvl w:val="0"/>
              <w:rPr>
                <w:rFonts w:cs="Arial"/>
                <w:bCs/>
                <w:kern w:val="32"/>
                <w:szCs w:val="20"/>
                <w:lang w:eastAsia="sl-SI"/>
              </w:rPr>
            </w:pPr>
            <w:r w:rsidRPr="00AF4EA1">
              <w:rPr>
                <w:rFonts w:cs="Arial"/>
                <w:bCs/>
                <w:kern w:val="32"/>
                <w:szCs w:val="20"/>
                <w:lang w:eastAsia="sl-SI"/>
              </w:rPr>
              <w:t>0,00</w:t>
            </w:r>
          </w:p>
        </w:tc>
        <w:tc>
          <w:tcPr>
            <w:tcW w:w="1217" w:type="dxa"/>
            <w:tcBorders>
              <w:top w:val="single" w:sz="4" w:space="0" w:color="auto"/>
              <w:left w:val="single" w:sz="4" w:space="0" w:color="auto"/>
              <w:bottom w:val="single" w:sz="4" w:space="0" w:color="auto"/>
              <w:right w:val="single" w:sz="4" w:space="0" w:color="auto"/>
            </w:tcBorders>
            <w:vAlign w:val="center"/>
          </w:tcPr>
          <w:p w:rsidR="009E5C07" w:rsidRPr="00AF4EA1" w:rsidRDefault="00C92218" w:rsidP="00B644CC">
            <w:pPr>
              <w:widowControl w:val="0"/>
              <w:tabs>
                <w:tab w:val="left" w:pos="360"/>
              </w:tabs>
              <w:jc w:val="center"/>
              <w:outlineLvl w:val="0"/>
              <w:rPr>
                <w:rFonts w:cs="Arial"/>
                <w:kern w:val="32"/>
                <w:szCs w:val="20"/>
                <w:lang w:eastAsia="sl-SI"/>
              </w:rPr>
            </w:pPr>
            <w:r w:rsidRPr="00AF4EA1">
              <w:rPr>
                <w:rFonts w:cs="Arial"/>
                <w:kern w:val="32"/>
                <w:szCs w:val="20"/>
                <w:lang w:eastAsia="sl-SI"/>
              </w:rPr>
              <w:t>0,00</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9E5C07" w:rsidRPr="00006DB8" w:rsidRDefault="00AF4EA1" w:rsidP="00B644CC">
            <w:pPr>
              <w:widowControl w:val="0"/>
              <w:tabs>
                <w:tab w:val="left" w:pos="360"/>
              </w:tabs>
              <w:jc w:val="center"/>
              <w:outlineLvl w:val="0"/>
              <w:rPr>
                <w:rFonts w:cs="Arial"/>
                <w:kern w:val="32"/>
                <w:szCs w:val="20"/>
                <w:highlight w:val="yellow"/>
                <w:lang w:eastAsia="sl-SI"/>
              </w:rPr>
            </w:pPr>
            <w:r w:rsidRPr="009D14BD">
              <w:rPr>
                <w:rFonts w:cs="Arial"/>
                <w:bCs/>
                <w:kern w:val="32"/>
                <w:szCs w:val="20"/>
                <w:lang w:eastAsia="sl-SI"/>
              </w:rPr>
              <w:t>0,00</w:t>
            </w:r>
          </w:p>
        </w:tc>
        <w:tc>
          <w:tcPr>
            <w:tcW w:w="2192" w:type="dxa"/>
            <w:gridSpan w:val="3"/>
            <w:tcBorders>
              <w:top w:val="single" w:sz="4" w:space="0" w:color="auto"/>
              <w:left w:val="single" w:sz="4" w:space="0" w:color="auto"/>
              <w:bottom w:val="single" w:sz="4" w:space="0" w:color="auto"/>
              <w:right w:val="single" w:sz="4" w:space="0" w:color="auto"/>
            </w:tcBorders>
            <w:vAlign w:val="center"/>
          </w:tcPr>
          <w:p w:rsidR="009E5C07" w:rsidRPr="00006DB8" w:rsidRDefault="00AF4EA1" w:rsidP="00B644CC">
            <w:pPr>
              <w:widowControl w:val="0"/>
              <w:tabs>
                <w:tab w:val="left" w:pos="360"/>
              </w:tabs>
              <w:jc w:val="center"/>
              <w:outlineLvl w:val="0"/>
              <w:rPr>
                <w:rFonts w:cs="Arial"/>
                <w:kern w:val="32"/>
                <w:szCs w:val="20"/>
                <w:highlight w:val="yellow"/>
                <w:lang w:eastAsia="sl-SI"/>
              </w:rPr>
            </w:pPr>
            <w:r w:rsidRPr="009D14BD">
              <w:rPr>
                <w:rFonts w:cs="Arial"/>
                <w:bCs/>
                <w:kern w:val="32"/>
                <w:szCs w:val="20"/>
                <w:lang w:eastAsia="sl-SI"/>
              </w:rPr>
              <w:t>0,00</w:t>
            </w:r>
          </w:p>
        </w:tc>
      </w:tr>
      <w:tr w:rsidR="001E28FB" w:rsidRPr="00032FAF" w:rsidTr="009016A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20" w:type="dxa"/>
          <w:cantSplit/>
          <w:trHeight w:val="623"/>
        </w:trPr>
        <w:tc>
          <w:tcPr>
            <w:tcW w:w="2454" w:type="dxa"/>
            <w:gridSpan w:val="4"/>
            <w:tcBorders>
              <w:top w:val="single" w:sz="4" w:space="0" w:color="auto"/>
              <w:left w:val="single" w:sz="4" w:space="0" w:color="auto"/>
              <w:bottom w:val="single" w:sz="4" w:space="0" w:color="auto"/>
              <w:right w:val="single" w:sz="4" w:space="0" w:color="auto"/>
            </w:tcBorders>
            <w:vAlign w:val="center"/>
          </w:tcPr>
          <w:p w:rsidR="001E28FB" w:rsidRPr="00032FAF" w:rsidRDefault="001E28FB" w:rsidP="00B644CC">
            <w:pPr>
              <w:widowControl w:val="0"/>
              <w:rPr>
                <w:rFonts w:cs="Arial"/>
                <w:bCs/>
                <w:szCs w:val="20"/>
              </w:rPr>
            </w:pPr>
            <w:r w:rsidRPr="00032FAF">
              <w:rPr>
                <w:rFonts w:cs="Arial"/>
                <w:bCs/>
                <w:szCs w:val="20"/>
              </w:rPr>
              <w:t>Predvideno povečanje (+) ali zmanjšanje (</w:t>
            </w:r>
            <w:r w:rsidRPr="00032FAF">
              <w:rPr>
                <w:rFonts w:cs="Arial"/>
                <w:b/>
                <w:szCs w:val="20"/>
              </w:rPr>
              <w:t>–</w:t>
            </w:r>
            <w:r w:rsidRPr="00032FAF">
              <w:rPr>
                <w:rFonts w:cs="Arial"/>
                <w:bCs/>
                <w:szCs w:val="20"/>
              </w:rPr>
              <w:t>) odhodkov občinskih proračunov</w:t>
            </w:r>
          </w:p>
        </w:tc>
        <w:tc>
          <w:tcPr>
            <w:tcW w:w="1668" w:type="dxa"/>
            <w:gridSpan w:val="2"/>
            <w:tcBorders>
              <w:top w:val="single" w:sz="4" w:space="0" w:color="auto"/>
              <w:left w:val="single" w:sz="4" w:space="0" w:color="auto"/>
              <w:bottom w:val="single" w:sz="4" w:space="0" w:color="auto"/>
              <w:right w:val="single" w:sz="4" w:space="0" w:color="auto"/>
            </w:tcBorders>
            <w:vAlign w:val="center"/>
          </w:tcPr>
          <w:p w:rsidR="001E28FB" w:rsidRPr="00032FAF" w:rsidRDefault="001E28FB" w:rsidP="00B644CC">
            <w:pPr>
              <w:widowControl w:val="0"/>
              <w:jc w:val="center"/>
              <w:rPr>
                <w:rFonts w:cs="Arial"/>
                <w:szCs w:val="20"/>
              </w:rPr>
            </w:pPr>
            <w:r>
              <w:rPr>
                <w:rFonts w:cs="Arial"/>
                <w:szCs w:val="20"/>
              </w:rPr>
              <w:t>0,00</w:t>
            </w:r>
          </w:p>
        </w:tc>
        <w:tc>
          <w:tcPr>
            <w:tcW w:w="1217" w:type="dxa"/>
            <w:tcBorders>
              <w:top w:val="single" w:sz="4" w:space="0" w:color="auto"/>
              <w:left w:val="single" w:sz="4" w:space="0" w:color="auto"/>
              <w:bottom w:val="single" w:sz="4" w:space="0" w:color="auto"/>
              <w:right w:val="single" w:sz="4" w:space="0" w:color="auto"/>
            </w:tcBorders>
            <w:vAlign w:val="center"/>
          </w:tcPr>
          <w:p w:rsidR="001E28FB" w:rsidRPr="00032FAF" w:rsidRDefault="001E28FB" w:rsidP="00B644CC">
            <w:pPr>
              <w:widowControl w:val="0"/>
              <w:tabs>
                <w:tab w:val="left" w:pos="360"/>
              </w:tabs>
              <w:jc w:val="center"/>
              <w:outlineLvl w:val="0"/>
              <w:rPr>
                <w:rFonts w:cs="Arial"/>
                <w:bCs/>
                <w:kern w:val="32"/>
                <w:szCs w:val="20"/>
                <w:lang w:eastAsia="sl-SI"/>
              </w:rPr>
            </w:pPr>
            <w:r>
              <w:rPr>
                <w:rFonts w:cs="Arial"/>
                <w:bCs/>
                <w:kern w:val="32"/>
                <w:szCs w:val="20"/>
                <w:lang w:eastAsia="sl-SI"/>
              </w:rPr>
              <w:t>0,00</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1E28FB" w:rsidRDefault="001E28FB" w:rsidP="00B644CC">
            <w:pPr>
              <w:jc w:val="center"/>
            </w:pPr>
            <w:r w:rsidRPr="009D14BD">
              <w:rPr>
                <w:rFonts w:cs="Arial"/>
                <w:bCs/>
                <w:kern w:val="32"/>
                <w:szCs w:val="20"/>
                <w:lang w:eastAsia="sl-SI"/>
              </w:rPr>
              <w:t>0,00</w:t>
            </w:r>
          </w:p>
        </w:tc>
        <w:tc>
          <w:tcPr>
            <w:tcW w:w="2192" w:type="dxa"/>
            <w:gridSpan w:val="3"/>
            <w:tcBorders>
              <w:top w:val="single" w:sz="4" w:space="0" w:color="auto"/>
              <w:left w:val="single" w:sz="4" w:space="0" w:color="auto"/>
              <w:bottom w:val="single" w:sz="4" w:space="0" w:color="auto"/>
              <w:right w:val="single" w:sz="4" w:space="0" w:color="auto"/>
            </w:tcBorders>
            <w:vAlign w:val="center"/>
          </w:tcPr>
          <w:p w:rsidR="001E28FB" w:rsidRDefault="001E28FB" w:rsidP="00B644CC">
            <w:pPr>
              <w:jc w:val="center"/>
            </w:pPr>
            <w:r w:rsidRPr="009D14BD">
              <w:rPr>
                <w:rFonts w:cs="Arial"/>
                <w:bCs/>
                <w:kern w:val="32"/>
                <w:szCs w:val="20"/>
                <w:lang w:eastAsia="sl-SI"/>
              </w:rPr>
              <w:t>0,00</w:t>
            </w:r>
          </w:p>
        </w:tc>
      </w:tr>
      <w:tr w:rsidR="001E28FB" w:rsidRPr="00032FAF" w:rsidTr="009016A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20" w:type="dxa"/>
          <w:cantSplit/>
          <w:trHeight w:val="423"/>
        </w:trPr>
        <w:tc>
          <w:tcPr>
            <w:tcW w:w="2454" w:type="dxa"/>
            <w:gridSpan w:val="4"/>
            <w:tcBorders>
              <w:top w:val="single" w:sz="4" w:space="0" w:color="auto"/>
              <w:left w:val="single" w:sz="4" w:space="0" w:color="auto"/>
              <w:bottom w:val="single" w:sz="4" w:space="0" w:color="auto"/>
              <w:right w:val="single" w:sz="4" w:space="0" w:color="auto"/>
            </w:tcBorders>
            <w:vAlign w:val="center"/>
          </w:tcPr>
          <w:p w:rsidR="001E28FB" w:rsidRPr="00032FAF" w:rsidRDefault="001E28FB" w:rsidP="00B644CC">
            <w:pPr>
              <w:widowControl w:val="0"/>
              <w:rPr>
                <w:rFonts w:cs="Arial"/>
                <w:bCs/>
                <w:szCs w:val="20"/>
              </w:rPr>
            </w:pPr>
            <w:r w:rsidRPr="00032FAF">
              <w:rPr>
                <w:rFonts w:cs="Arial"/>
                <w:bCs/>
                <w:szCs w:val="20"/>
              </w:rPr>
              <w:t>Predvideno povečanje (+) ali zmanjšanje (</w:t>
            </w:r>
            <w:r w:rsidRPr="00032FAF">
              <w:rPr>
                <w:rFonts w:cs="Arial"/>
                <w:b/>
                <w:szCs w:val="20"/>
              </w:rPr>
              <w:t>–</w:t>
            </w:r>
            <w:r w:rsidRPr="00032FAF">
              <w:rPr>
                <w:rFonts w:cs="Arial"/>
                <w:bCs/>
                <w:szCs w:val="20"/>
              </w:rPr>
              <w:t>) obveznosti za druga javnofinančna sredstva</w:t>
            </w:r>
          </w:p>
        </w:tc>
        <w:tc>
          <w:tcPr>
            <w:tcW w:w="1668" w:type="dxa"/>
            <w:gridSpan w:val="2"/>
            <w:tcBorders>
              <w:top w:val="single" w:sz="4" w:space="0" w:color="auto"/>
              <w:left w:val="single" w:sz="4" w:space="0" w:color="auto"/>
              <w:bottom w:val="single" w:sz="4" w:space="0" w:color="auto"/>
              <w:right w:val="single" w:sz="4" w:space="0" w:color="auto"/>
            </w:tcBorders>
            <w:vAlign w:val="center"/>
          </w:tcPr>
          <w:p w:rsidR="001E28FB" w:rsidRPr="00032FAF" w:rsidRDefault="001E28FB" w:rsidP="00B644CC">
            <w:pPr>
              <w:widowControl w:val="0"/>
              <w:tabs>
                <w:tab w:val="left" w:pos="360"/>
              </w:tabs>
              <w:jc w:val="center"/>
              <w:outlineLvl w:val="0"/>
              <w:rPr>
                <w:rFonts w:cs="Arial"/>
                <w:bCs/>
                <w:kern w:val="32"/>
                <w:szCs w:val="20"/>
                <w:lang w:eastAsia="sl-SI"/>
              </w:rPr>
            </w:pPr>
            <w:r>
              <w:rPr>
                <w:rFonts w:cs="Arial"/>
                <w:bCs/>
                <w:kern w:val="32"/>
                <w:szCs w:val="20"/>
                <w:lang w:eastAsia="sl-SI"/>
              </w:rPr>
              <w:t>0,00</w:t>
            </w:r>
          </w:p>
        </w:tc>
        <w:tc>
          <w:tcPr>
            <w:tcW w:w="1217" w:type="dxa"/>
            <w:tcBorders>
              <w:top w:val="single" w:sz="4" w:space="0" w:color="auto"/>
              <w:left w:val="single" w:sz="4" w:space="0" w:color="auto"/>
              <w:bottom w:val="single" w:sz="4" w:space="0" w:color="auto"/>
              <w:right w:val="single" w:sz="4" w:space="0" w:color="auto"/>
            </w:tcBorders>
            <w:vAlign w:val="center"/>
          </w:tcPr>
          <w:p w:rsidR="001E28FB" w:rsidRPr="00032FAF" w:rsidRDefault="001E28FB" w:rsidP="00B644CC">
            <w:pPr>
              <w:widowControl w:val="0"/>
              <w:tabs>
                <w:tab w:val="left" w:pos="360"/>
              </w:tabs>
              <w:jc w:val="center"/>
              <w:outlineLvl w:val="0"/>
              <w:rPr>
                <w:rFonts w:cs="Arial"/>
                <w:kern w:val="32"/>
                <w:szCs w:val="20"/>
                <w:lang w:eastAsia="sl-SI"/>
              </w:rPr>
            </w:pPr>
            <w:r>
              <w:rPr>
                <w:rFonts w:cs="Arial"/>
                <w:bCs/>
                <w:kern w:val="32"/>
                <w:szCs w:val="20"/>
                <w:lang w:eastAsia="sl-SI"/>
              </w:rPr>
              <w:t>0,00</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1E28FB" w:rsidRDefault="001E28FB" w:rsidP="00B644CC">
            <w:pPr>
              <w:jc w:val="center"/>
            </w:pPr>
            <w:r w:rsidRPr="009D14BD">
              <w:rPr>
                <w:rFonts w:cs="Arial"/>
                <w:bCs/>
                <w:kern w:val="32"/>
                <w:szCs w:val="20"/>
                <w:lang w:eastAsia="sl-SI"/>
              </w:rPr>
              <w:t>0,00</w:t>
            </w:r>
          </w:p>
        </w:tc>
        <w:tc>
          <w:tcPr>
            <w:tcW w:w="2192" w:type="dxa"/>
            <w:gridSpan w:val="3"/>
            <w:tcBorders>
              <w:top w:val="single" w:sz="4" w:space="0" w:color="auto"/>
              <w:left w:val="single" w:sz="4" w:space="0" w:color="auto"/>
              <w:bottom w:val="single" w:sz="4" w:space="0" w:color="auto"/>
              <w:right w:val="single" w:sz="4" w:space="0" w:color="auto"/>
            </w:tcBorders>
            <w:vAlign w:val="center"/>
          </w:tcPr>
          <w:p w:rsidR="001E28FB" w:rsidRDefault="001E28FB" w:rsidP="00B644CC">
            <w:pPr>
              <w:jc w:val="center"/>
            </w:pPr>
            <w:r w:rsidRPr="009D14BD">
              <w:rPr>
                <w:rFonts w:cs="Arial"/>
                <w:bCs/>
                <w:kern w:val="32"/>
                <w:szCs w:val="20"/>
                <w:lang w:eastAsia="sl-SI"/>
              </w:rPr>
              <w:t>0,00</w:t>
            </w:r>
          </w:p>
        </w:tc>
      </w:tr>
      <w:tr w:rsidR="001E28FB" w:rsidRPr="00032FAF" w:rsidTr="0042598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20" w:type="dxa"/>
          <w:cantSplit/>
          <w:trHeight w:val="257"/>
        </w:trPr>
        <w:tc>
          <w:tcPr>
            <w:tcW w:w="884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E28FB" w:rsidRPr="00032FAF" w:rsidRDefault="001E28FB" w:rsidP="00B644CC">
            <w:pPr>
              <w:widowControl w:val="0"/>
              <w:tabs>
                <w:tab w:val="left" w:pos="2340"/>
              </w:tabs>
              <w:ind w:hanging="142"/>
              <w:outlineLvl w:val="0"/>
              <w:rPr>
                <w:rFonts w:cs="Arial"/>
                <w:b/>
                <w:kern w:val="32"/>
                <w:szCs w:val="20"/>
                <w:lang w:eastAsia="sl-SI"/>
              </w:rPr>
            </w:pPr>
            <w:r w:rsidRPr="00032FAF">
              <w:rPr>
                <w:rFonts w:cs="Arial"/>
                <w:b/>
                <w:kern w:val="32"/>
                <w:szCs w:val="20"/>
                <w:lang w:eastAsia="sl-SI"/>
              </w:rPr>
              <w:t>II. Finančne posledice za državni proračun</w:t>
            </w:r>
          </w:p>
        </w:tc>
      </w:tr>
      <w:tr w:rsidR="001E28FB" w:rsidRPr="00032FAF" w:rsidTr="0042598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20" w:type="dxa"/>
          <w:cantSplit/>
          <w:trHeight w:val="257"/>
        </w:trPr>
        <w:tc>
          <w:tcPr>
            <w:tcW w:w="884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E28FB" w:rsidRPr="00032FAF" w:rsidRDefault="001E28FB" w:rsidP="00B644CC">
            <w:pPr>
              <w:widowControl w:val="0"/>
              <w:tabs>
                <w:tab w:val="left" w:pos="2340"/>
              </w:tabs>
              <w:ind w:hanging="142"/>
              <w:outlineLvl w:val="0"/>
              <w:rPr>
                <w:rFonts w:cs="Arial"/>
                <w:b/>
                <w:kern w:val="32"/>
                <w:szCs w:val="20"/>
                <w:lang w:eastAsia="sl-SI"/>
              </w:rPr>
            </w:pPr>
            <w:r w:rsidRPr="00032FAF">
              <w:rPr>
                <w:rFonts w:cs="Arial"/>
                <w:b/>
                <w:kern w:val="32"/>
                <w:szCs w:val="20"/>
                <w:lang w:eastAsia="sl-SI"/>
              </w:rPr>
              <w:t>II.a Pravice porabe za izvedbo predlaganih rešitev so zagotovljene:</w:t>
            </w:r>
          </w:p>
        </w:tc>
      </w:tr>
      <w:tr w:rsidR="001E28FB" w:rsidRPr="00032FAF" w:rsidTr="0042598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20" w:type="dxa"/>
          <w:cantSplit/>
          <w:trHeight w:val="100"/>
        </w:trPr>
        <w:tc>
          <w:tcPr>
            <w:tcW w:w="1649" w:type="dxa"/>
            <w:gridSpan w:val="3"/>
            <w:tcBorders>
              <w:top w:val="single" w:sz="4" w:space="0" w:color="auto"/>
              <w:left w:val="single" w:sz="4" w:space="0" w:color="auto"/>
              <w:bottom w:val="single" w:sz="4" w:space="0" w:color="auto"/>
              <w:right w:val="single" w:sz="4" w:space="0" w:color="auto"/>
            </w:tcBorders>
            <w:vAlign w:val="center"/>
          </w:tcPr>
          <w:p w:rsidR="001E28FB" w:rsidRPr="00032FAF" w:rsidRDefault="001E28FB" w:rsidP="00B644CC">
            <w:pPr>
              <w:widowControl w:val="0"/>
              <w:jc w:val="center"/>
              <w:rPr>
                <w:rFonts w:cs="Arial"/>
                <w:szCs w:val="20"/>
              </w:rPr>
            </w:pPr>
            <w:bookmarkStart w:id="2" w:name="_Hlk535327177"/>
            <w:r w:rsidRPr="00032FAF">
              <w:rPr>
                <w:rFonts w:cs="Arial"/>
                <w:szCs w:val="20"/>
              </w:rPr>
              <w:t xml:space="preserve">Ime proračunskega uporabnika </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1E28FB" w:rsidRPr="00032FAF" w:rsidRDefault="001E28FB" w:rsidP="00B644CC">
            <w:pPr>
              <w:widowControl w:val="0"/>
              <w:jc w:val="center"/>
              <w:rPr>
                <w:rFonts w:cs="Arial"/>
                <w:szCs w:val="20"/>
              </w:rPr>
            </w:pPr>
            <w:r w:rsidRPr="00032FAF">
              <w:rPr>
                <w:rFonts w:cs="Arial"/>
                <w:szCs w:val="20"/>
              </w:rPr>
              <w:t>Šifra in naziv ukrepa, projekta</w:t>
            </w:r>
          </w:p>
        </w:tc>
        <w:tc>
          <w:tcPr>
            <w:tcW w:w="1610" w:type="dxa"/>
            <w:gridSpan w:val="2"/>
            <w:tcBorders>
              <w:top w:val="single" w:sz="4" w:space="0" w:color="auto"/>
              <w:left w:val="single" w:sz="4" w:space="0" w:color="auto"/>
              <w:bottom w:val="single" w:sz="4" w:space="0" w:color="auto"/>
              <w:right w:val="single" w:sz="4" w:space="0" w:color="auto"/>
            </w:tcBorders>
            <w:vAlign w:val="center"/>
          </w:tcPr>
          <w:p w:rsidR="001E28FB" w:rsidRPr="00032FAF" w:rsidRDefault="001E28FB" w:rsidP="00B644CC">
            <w:pPr>
              <w:widowControl w:val="0"/>
              <w:jc w:val="center"/>
              <w:rPr>
                <w:rFonts w:cs="Arial"/>
                <w:szCs w:val="20"/>
              </w:rPr>
            </w:pPr>
            <w:r w:rsidRPr="00032FAF">
              <w:rPr>
                <w:rFonts w:cs="Arial"/>
                <w:szCs w:val="20"/>
              </w:rPr>
              <w:t>Šifra in naziv proračunske postavke</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1E28FB" w:rsidRPr="00032FAF" w:rsidRDefault="001E28FB" w:rsidP="00B644CC">
            <w:pPr>
              <w:widowControl w:val="0"/>
              <w:jc w:val="center"/>
              <w:rPr>
                <w:rFonts w:cs="Arial"/>
                <w:szCs w:val="20"/>
              </w:rPr>
            </w:pPr>
            <w:r w:rsidRPr="00032FAF">
              <w:rPr>
                <w:rFonts w:cs="Arial"/>
                <w:szCs w:val="20"/>
              </w:rPr>
              <w:t>Znesek za tekoče leto (t)</w:t>
            </w:r>
          </w:p>
        </w:tc>
        <w:tc>
          <w:tcPr>
            <w:tcW w:w="2192" w:type="dxa"/>
            <w:gridSpan w:val="3"/>
            <w:tcBorders>
              <w:top w:val="single" w:sz="4" w:space="0" w:color="auto"/>
              <w:left w:val="single" w:sz="4" w:space="0" w:color="auto"/>
              <w:bottom w:val="single" w:sz="4" w:space="0" w:color="auto"/>
              <w:right w:val="single" w:sz="4" w:space="0" w:color="auto"/>
            </w:tcBorders>
            <w:vAlign w:val="center"/>
          </w:tcPr>
          <w:p w:rsidR="001E28FB" w:rsidRPr="00032FAF" w:rsidRDefault="001E28FB" w:rsidP="00B644CC">
            <w:pPr>
              <w:widowControl w:val="0"/>
              <w:jc w:val="center"/>
              <w:rPr>
                <w:rFonts w:cs="Arial"/>
                <w:szCs w:val="20"/>
              </w:rPr>
            </w:pPr>
            <w:r w:rsidRPr="00032FAF">
              <w:rPr>
                <w:rFonts w:cs="Arial"/>
                <w:szCs w:val="20"/>
              </w:rPr>
              <w:t>Znesek za t + 1</w:t>
            </w:r>
          </w:p>
        </w:tc>
      </w:tr>
      <w:tr w:rsidR="009A06BD" w:rsidRPr="00032FAF" w:rsidTr="0042598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20" w:type="dxa"/>
          <w:cantSplit/>
          <w:trHeight w:val="95"/>
        </w:trPr>
        <w:tc>
          <w:tcPr>
            <w:tcW w:w="1649" w:type="dxa"/>
            <w:gridSpan w:val="3"/>
            <w:tcBorders>
              <w:top w:val="single" w:sz="4" w:space="0" w:color="auto"/>
              <w:left w:val="single" w:sz="4" w:space="0" w:color="auto"/>
              <w:bottom w:val="single" w:sz="4" w:space="0" w:color="auto"/>
              <w:right w:val="single" w:sz="4" w:space="0" w:color="auto"/>
            </w:tcBorders>
            <w:vAlign w:val="center"/>
          </w:tcPr>
          <w:p w:rsidR="009A06BD" w:rsidRPr="00006DB8" w:rsidRDefault="009B1994" w:rsidP="00B644CC">
            <w:pPr>
              <w:widowControl w:val="0"/>
              <w:tabs>
                <w:tab w:val="left" w:pos="360"/>
              </w:tabs>
              <w:outlineLvl w:val="0"/>
              <w:rPr>
                <w:rFonts w:cs="Arial"/>
                <w:bCs/>
                <w:kern w:val="32"/>
                <w:szCs w:val="20"/>
                <w:highlight w:val="yellow"/>
                <w:lang w:eastAsia="sl-SI"/>
              </w:rPr>
            </w:pPr>
            <w:r w:rsidRPr="009B1994">
              <w:rPr>
                <w:rFonts w:cs="Arial"/>
                <w:bCs/>
                <w:kern w:val="32"/>
                <w:szCs w:val="20"/>
                <w:lang w:eastAsia="sl-SI"/>
              </w:rPr>
              <w:t>Vrhovno državno tožilstvo RS</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9A06BD" w:rsidRPr="00006DB8" w:rsidRDefault="009B1994" w:rsidP="00B644CC">
            <w:pPr>
              <w:widowControl w:val="0"/>
              <w:tabs>
                <w:tab w:val="left" w:pos="360"/>
              </w:tabs>
              <w:outlineLvl w:val="0"/>
              <w:rPr>
                <w:rFonts w:cs="Arial"/>
                <w:bCs/>
                <w:kern w:val="32"/>
                <w:szCs w:val="20"/>
                <w:highlight w:val="yellow"/>
                <w:lang w:eastAsia="sl-SI"/>
              </w:rPr>
            </w:pPr>
            <w:r>
              <w:rPr>
                <w:rFonts w:cs="Arial"/>
                <w:bCs/>
                <w:kern w:val="32"/>
                <w:szCs w:val="20"/>
                <w:lang w:eastAsia="sl-SI"/>
              </w:rPr>
              <w:t>S</w:t>
            </w:r>
            <w:r w:rsidRPr="009B1994">
              <w:rPr>
                <w:rFonts w:cs="Arial"/>
                <w:bCs/>
                <w:kern w:val="32"/>
                <w:szCs w:val="20"/>
                <w:lang w:eastAsia="sl-SI"/>
              </w:rPr>
              <w:t>redstva za obračun deviznih plač nacionalnih članov v Eurojust</w:t>
            </w:r>
          </w:p>
        </w:tc>
        <w:tc>
          <w:tcPr>
            <w:tcW w:w="1610" w:type="dxa"/>
            <w:gridSpan w:val="2"/>
            <w:tcBorders>
              <w:top w:val="single" w:sz="4" w:space="0" w:color="auto"/>
              <w:left w:val="single" w:sz="4" w:space="0" w:color="auto"/>
              <w:bottom w:val="single" w:sz="4" w:space="0" w:color="auto"/>
              <w:right w:val="single" w:sz="4" w:space="0" w:color="auto"/>
            </w:tcBorders>
            <w:vAlign w:val="center"/>
          </w:tcPr>
          <w:p w:rsidR="009A06BD" w:rsidRPr="00006DB8" w:rsidRDefault="009B1994" w:rsidP="00B644CC">
            <w:pPr>
              <w:widowControl w:val="0"/>
              <w:tabs>
                <w:tab w:val="left" w:pos="360"/>
              </w:tabs>
              <w:jc w:val="center"/>
              <w:outlineLvl w:val="0"/>
              <w:rPr>
                <w:rFonts w:cs="Arial"/>
                <w:bCs/>
                <w:kern w:val="32"/>
                <w:szCs w:val="20"/>
                <w:highlight w:val="yellow"/>
                <w:lang w:eastAsia="sl-SI"/>
              </w:rPr>
            </w:pPr>
            <w:r w:rsidRPr="009B1994">
              <w:rPr>
                <w:rFonts w:cs="Arial"/>
                <w:bCs/>
                <w:kern w:val="32"/>
                <w:szCs w:val="20"/>
                <w:lang w:eastAsia="sl-SI"/>
              </w:rPr>
              <w:t>3054</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9A06BD" w:rsidRPr="00006DB8" w:rsidRDefault="009A06BD" w:rsidP="00B644CC">
            <w:pPr>
              <w:widowControl w:val="0"/>
              <w:tabs>
                <w:tab w:val="left" w:pos="360"/>
              </w:tabs>
              <w:jc w:val="center"/>
              <w:outlineLvl w:val="0"/>
              <w:rPr>
                <w:rFonts w:cs="Arial"/>
                <w:bCs/>
                <w:kern w:val="32"/>
                <w:szCs w:val="20"/>
                <w:highlight w:val="yellow"/>
                <w:lang w:eastAsia="sl-SI"/>
              </w:rPr>
            </w:pPr>
          </w:p>
        </w:tc>
        <w:tc>
          <w:tcPr>
            <w:tcW w:w="2192" w:type="dxa"/>
            <w:gridSpan w:val="3"/>
            <w:tcBorders>
              <w:top w:val="single" w:sz="4" w:space="0" w:color="auto"/>
              <w:left w:val="single" w:sz="4" w:space="0" w:color="auto"/>
              <w:bottom w:val="single" w:sz="4" w:space="0" w:color="auto"/>
              <w:right w:val="single" w:sz="4" w:space="0" w:color="auto"/>
            </w:tcBorders>
            <w:vAlign w:val="center"/>
          </w:tcPr>
          <w:p w:rsidR="009A06BD" w:rsidRPr="00006DB8" w:rsidRDefault="009A06BD" w:rsidP="00B644CC">
            <w:pPr>
              <w:widowControl w:val="0"/>
              <w:tabs>
                <w:tab w:val="left" w:pos="360"/>
              </w:tabs>
              <w:jc w:val="center"/>
              <w:outlineLvl w:val="0"/>
              <w:rPr>
                <w:rFonts w:cs="Arial"/>
                <w:bCs/>
                <w:kern w:val="32"/>
                <w:szCs w:val="20"/>
                <w:highlight w:val="yellow"/>
                <w:lang w:eastAsia="sl-SI"/>
              </w:rPr>
            </w:pPr>
          </w:p>
        </w:tc>
      </w:tr>
      <w:tr w:rsidR="00725079" w:rsidRPr="00032FAF" w:rsidTr="0042598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20" w:type="dxa"/>
          <w:cantSplit/>
          <w:trHeight w:val="95"/>
        </w:trPr>
        <w:tc>
          <w:tcPr>
            <w:tcW w:w="1649" w:type="dxa"/>
            <w:gridSpan w:val="3"/>
            <w:tcBorders>
              <w:top w:val="single" w:sz="4" w:space="0" w:color="auto"/>
              <w:left w:val="single" w:sz="4" w:space="0" w:color="auto"/>
              <w:bottom w:val="single" w:sz="4" w:space="0" w:color="auto"/>
              <w:right w:val="single" w:sz="4" w:space="0" w:color="auto"/>
            </w:tcBorders>
            <w:vAlign w:val="center"/>
          </w:tcPr>
          <w:p w:rsidR="00725079" w:rsidRPr="002B089C" w:rsidRDefault="002B089C" w:rsidP="00B644CC">
            <w:pPr>
              <w:widowControl w:val="0"/>
              <w:tabs>
                <w:tab w:val="left" w:pos="360"/>
              </w:tabs>
              <w:outlineLvl w:val="0"/>
              <w:rPr>
                <w:rFonts w:cs="Arial"/>
                <w:bCs/>
                <w:kern w:val="32"/>
                <w:szCs w:val="20"/>
                <w:lang w:eastAsia="sl-SI"/>
              </w:rPr>
            </w:pPr>
            <w:r w:rsidRPr="002B089C">
              <w:rPr>
                <w:rFonts w:cs="Arial"/>
                <w:bCs/>
                <w:kern w:val="32"/>
                <w:szCs w:val="20"/>
                <w:lang w:eastAsia="sl-SI"/>
              </w:rPr>
              <w:t>Posamezna državna tožilstva</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2B089C" w:rsidRDefault="002B089C" w:rsidP="00B644CC">
            <w:pPr>
              <w:widowControl w:val="0"/>
              <w:tabs>
                <w:tab w:val="left" w:pos="360"/>
              </w:tabs>
              <w:outlineLvl w:val="0"/>
              <w:rPr>
                <w:rFonts w:cs="Arial"/>
                <w:bCs/>
                <w:kern w:val="32"/>
                <w:szCs w:val="20"/>
                <w:lang w:eastAsia="sl-SI"/>
              </w:rPr>
            </w:pPr>
            <w:r w:rsidRPr="002B089C">
              <w:rPr>
                <w:rFonts w:cs="Arial"/>
                <w:bCs/>
                <w:kern w:val="32"/>
                <w:szCs w:val="20"/>
                <w:lang w:eastAsia="sl-SI"/>
              </w:rPr>
              <w:t xml:space="preserve">Skupni ukrep </w:t>
            </w:r>
          </w:p>
          <w:p w:rsidR="00725079" w:rsidRPr="002B089C" w:rsidRDefault="002B089C" w:rsidP="00B644CC">
            <w:pPr>
              <w:widowControl w:val="0"/>
              <w:tabs>
                <w:tab w:val="left" w:pos="360"/>
              </w:tabs>
              <w:outlineLvl w:val="0"/>
              <w:rPr>
                <w:rFonts w:cs="Arial"/>
                <w:bCs/>
                <w:kern w:val="32"/>
                <w:szCs w:val="20"/>
                <w:lang w:eastAsia="sl-SI"/>
              </w:rPr>
            </w:pPr>
            <w:r w:rsidRPr="002B089C">
              <w:rPr>
                <w:rFonts w:cs="Arial"/>
                <w:bCs/>
                <w:kern w:val="32"/>
                <w:szCs w:val="20"/>
                <w:lang w:eastAsia="sl-SI"/>
              </w:rPr>
              <w:t>4411-20-003</w:t>
            </w:r>
          </w:p>
        </w:tc>
        <w:tc>
          <w:tcPr>
            <w:tcW w:w="1610" w:type="dxa"/>
            <w:gridSpan w:val="2"/>
            <w:tcBorders>
              <w:top w:val="single" w:sz="4" w:space="0" w:color="auto"/>
              <w:left w:val="single" w:sz="4" w:space="0" w:color="auto"/>
              <w:bottom w:val="single" w:sz="4" w:space="0" w:color="auto"/>
              <w:right w:val="single" w:sz="4" w:space="0" w:color="auto"/>
            </w:tcBorders>
            <w:vAlign w:val="center"/>
          </w:tcPr>
          <w:p w:rsidR="00725079" w:rsidRPr="00006DB8" w:rsidRDefault="002B089C" w:rsidP="00B644CC">
            <w:pPr>
              <w:widowControl w:val="0"/>
              <w:tabs>
                <w:tab w:val="left" w:pos="360"/>
              </w:tabs>
              <w:outlineLvl w:val="0"/>
              <w:rPr>
                <w:rFonts w:cs="Arial"/>
                <w:bCs/>
                <w:kern w:val="32"/>
                <w:szCs w:val="20"/>
                <w:highlight w:val="yellow"/>
                <w:lang w:eastAsia="sl-SI"/>
              </w:rPr>
            </w:pPr>
            <w:r>
              <w:rPr>
                <w:rFonts w:cs="Arial"/>
                <w:bCs/>
                <w:kern w:val="32"/>
                <w:szCs w:val="20"/>
                <w:lang w:eastAsia="sl-SI"/>
              </w:rPr>
              <w:t>V</w:t>
            </w:r>
            <w:r w:rsidRPr="002B089C">
              <w:rPr>
                <w:rFonts w:cs="Arial"/>
                <w:bCs/>
                <w:kern w:val="32"/>
                <w:szCs w:val="20"/>
                <w:lang w:eastAsia="sl-SI"/>
              </w:rPr>
              <w:t>sako državno tožilstvo</w:t>
            </w:r>
            <w:r>
              <w:rPr>
                <w:rFonts w:cs="Arial"/>
                <w:bCs/>
                <w:kern w:val="32"/>
                <w:szCs w:val="20"/>
                <w:lang w:eastAsia="sl-SI"/>
              </w:rPr>
              <w:t>, kot samostojni proračunski uporabnik</w:t>
            </w:r>
            <w:r w:rsidRPr="002B089C">
              <w:rPr>
                <w:rFonts w:cs="Arial"/>
                <w:bCs/>
                <w:kern w:val="32"/>
                <w:szCs w:val="20"/>
                <w:lang w:eastAsia="sl-SI"/>
              </w:rPr>
              <w:t xml:space="preserve"> ima svojo </w:t>
            </w:r>
            <w:r>
              <w:rPr>
                <w:rFonts w:cs="Arial"/>
                <w:bCs/>
                <w:kern w:val="32"/>
                <w:szCs w:val="20"/>
                <w:lang w:eastAsia="sl-SI"/>
              </w:rPr>
              <w:t xml:space="preserve">proračunsko </w:t>
            </w:r>
            <w:r w:rsidRPr="002B089C">
              <w:rPr>
                <w:rFonts w:cs="Arial"/>
                <w:bCs/>
                <w:kern w:val="32"/>
                <w:szCs w:val="20"/>
                <w:lang w:eastAsia="sl-SI"/>
              </w:rPr>
              <w:t>postavko</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725079" w:rsidRPr="00006DB8" w:rsidRDefault="00725079" w:rsidP="00B644CC">
            <w:pPr>
              <w:widowControl w:val="0"/>
              <w:tabs>
                <w:tab w:val="left" w:pos="360"/>
              </w:tabs>
              <w:jc w:val="center"/>
              <w:outlineLvl w:val="0"/>
              <w:rPr>
                <w:rFonts w:cs="Arial"/>
                <w:bCs/>
                <w:kern w:val="32"/>
                <w:szCs w:val="20"/>
                <w:highlight w:val="yellow"/>
                <w:lang w:eastAsia="sl-SI"/>
              </w:rPr>
            </w:pPr>
          </w:p>
        </w:tc>
        <w:tc>
          <w:tcPr>
            <w:tcW w:w="2192" w:type="dxa"/>
            <w:gridSpan w:val="3"/>
            <w:tcBorders>
              <w:top w:val="single" w:sz="4" w:space="0" w:color="auto"/>
              <w:left w:val="single" w:sz="4" w:space="0" w:color="auto"/>
              <w:bottom w:val="single" w:sz="4" w:space="0" w:color="auto"/>
              <w:right w:val="single" w:sz="4" w:space="0" w:color="auto"/>
            </w:tcBorders>
            <w:vAlign w:val="center"/>
          </w:tcPr>
          <w:p w:rsidR="00725079" w:rsidRPr="00006DB8" w:rsidRDefault="00725079" w:rsidP="00B644CC">
            <w:pPr>
              <w:widowControl w:val="0"/>
              <w:tabs>
                <w:tab w:val="left" w:pos="360"/>
              </w:tabs>
              <w:jc w:val="center"/>
              <w:outlineLvl w:val="0"/>
              <w:rPr>
                <w:rFonts w:cs="Arial"/>
                <w:bCs/>
                <w:kern w:val="32"/>
                <w:szCs w:val="20"/>
                <w:highlight w:val="yellow"/>
                <w:lang w:eastAsia="sl-SI"/>
              </w:rPr>
            </w:pPr>
          </w:p>
        </w:tc>
      </w:tr>
      <w:bookmarkEnd w:id="2"/>
      <w:tr w:rsidR="001E28FB" w:rsidRPr="00032FAF" w:rsidTr="0042598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20" w:type="dxa"/>
          <w:cantSplit/>
          <w:trHeight w:val="95"/>
        </w:trPr>
        <w:tc>
          <w:tcPr>
            <w:tcW w:w="5339" w:type="dxa"/>
            <w:gridSpan w:val="7"/>
            <w:tcBorders>
              <w:top w:val="single" w:sz="4" w:space="0" w:color="auto"/>
              <w:left w:val="single" w:sz="4" w:space="0" w:color="auto"/>
              <w:bottom w:val="single" w:sz="4" w:space="0" w:color="auto"/>
              <w:right w:val="single" w:sz="4" w:space="0" w:color="auto"/>
            </w:tcBorders>
            <w:vAlign w:val="center"/>
          </w:tcPr>
          <w:p w:rsidR="001E28FB" w:rsidRPr="00032FAF" w:rsidRDefault="001E28FB" w:rsidP="00B644CC">
            <w:pPr>
              <w:widowControl w:val="0"/>
              <w:tabs>
                <w:tab w:val="left" w:pos="360"/>
              </w:tabs>
              <w:outlineLvl w:val="0"/>
              <w:rPr>
                <w:rFonts w:cs="Arial"/>
                <w:b/>
                <w:kern w:val="32"/>
                <w:szCs w:val="20"/>
                <w:lang w:eastAsia="sl-SI"/>
              </w:rPr>
            </w:pPr>
            <w:r w:rsidRPr="00032FAF">
              <w:rPr>
                <w:rFonts w:cs="Arial"/>
                <w:b/>
                <w:kern w:val="32"/>
                <w:szCs w:val="20"/>
                <w:lang w:eastAsia="sl-SI"/>
              </w:rPr>
              <w:t>SKUPAJ</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1E28FB" w:rsidRPr="00032FAF" w:rsidRDefault="00725079" w:rsidP="00B644CC">
            <w:pPr>
              <w:widowControl w:val="0"/>
              <w:jc w:val="center"/>
              <w:rPr>
                <w:rFonts w:cs="Arial"/>
                <w:b/>
                <w:szCs w:val="20"/>
              </w:rPr>
            </w:pPr>
            <w:r>
              <w:rPr>
                <w:rFonts w:cs="Arial"/>
                <w:b/>
                <w:szCs w:val="20"/>
              </w:rPr>
              <w:t>0,00</w:t>
            </w:r>
          </w:p>
        </w:tc>
        <w:tc>
          <w:tcPr>
            <w:tcW w:w="2192" w:type="dxa"/>
            <w:gridSpan w:val="3"/>
            <w:tcBorders>
              <w:top w:val="single" w:sz="4" w:space="0" w:color="auto"/>
              <w:left w:val="single" w:sz="4" w:space="0" w:color="auto"/>
              <w:bottom w:val="single" w:sz="4" w:space="0" w:color="auto"/>
              <w:right w:val="single" w:sz="4" w:space="0" w:color="auto"/>
            </w:tcBorders>
            <w:vAlign w:val="center"/>
          </w:tcPr>
          <w:p w:rsidR="001E28FB" w:rsidRPr="00032FAF" w:rsidRDefault="001E28FB" w:rsidP="00B644CC">
            <w:pPr>
              <w:widowControl w:val="0"/>
              <w:tabs>
                <w:tab w:val="left" w:pos="360"/>
              </w:tabs>
              <w:jc w:val="center"/>
              <w:outlineLvl w:val="0"/>
              <w:rPr>
                <w:rFonts w:cs="Arial"/>
                <w:b/>
                <w:kern w:val="32"/>
                <w:szCs w:val="20"/>
                <w:lang w:eastAsia="sl-SI"/>
              </w:rPr>
            </w:pPr>
          </w:p>
        </w:tc>
      </w:tr>
      <w:tr w:rsidR="001E28FB" w:rsidRPr="00032FAF" w:rsidTr="0042598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20" w:type="dxa"/>
          <w:cantSplit/>
          <w:trHeight w:val="294"/>
        </w:trPr>
        <w:tc>
          <w:tcPr>
            <w:tcW w:w="884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E28FB" w:rsidRPr="00032FAF" w:rsidRDefault="001E28FB" w:rsidP="00B644CC">
            <w:pPr>
              <w:widowControl w:val="0"/>
              <w:tabs>
                <w:tab w:val="left" w:pos="2340"/>
              </w:tabs>
              <w:outlineLvl w:val="0"/>
              <w:rPr>
                <w:rFonts w:cs="Arial"/>
                <w:b/>
                <w:kern w:val="32"/>
                <w:szCs w:val="20"/>
                <w:lang w:eastAsia="sl-SI"/>
              </w:rPr>
            </w:pPr>
            <w:r w:rsidRPr="00032FAF">
              <w:rPr>
                <w:rFonts w:cs="Arial"/>
                <w:b/>
                <w:kern w:val="32"/>
                <w:szCs w:val="20"/>
                <w:lang w:eastAsia="sl-SI"/>
              </w:rPr>
              <w:t>II.b Manjkajoče pravice porabe bodo zagotovljene s prerazporeditvijo:</w:t>
            </w:r>
          </w:p>
        </w:tc>
      </w:tr>
      <w:tr w:rsidR="001E28FB" w:rsidRPr="00032FAF" w:rsidTr="0042598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20" w:type="dxa"/>
          <w:cantSplit/>
          <w:trHeight w:val="100"/>
        </w:trPr>
        <w:tc>
          <w:tcPr>
            <w:tcW w:w="1649" w:type="dxa"/>
            <w:gridSpan w:val="3"/>
            <w:tcBorders>
              <w:top w:val="single" w:sz="4" w:space="0" w:color="auto"/>
              <w:left w:val="single" w:sz="4" w:space="0" w:color="auto"/>
              <w:bottom w:val="single" w:sz="4" w:space="0" w:color="auto"/>
              <w:right w:val="single" w:sz="4" w:space="0" w:color="auto"/>
            </w:tcBorders>
            <w:vAlign w:val="center"/>
          </w:tcPr>
          <w:p w:rsidR="001E28FB" w:rsidRPr="00032FAF" w:rsidRDefault="001E28FB" w:rsidP="00B644CC">
            <w:pPr>
              <w:widowControl w:val="0"/>
              <w:jc w:val="center"/>
              <w:rPr>
                <w:rFonts w:cs="Arial"/>
                <w:szCs w:val="20"/>
              </w:rPr>
            </w:pPr>
            <w:r w:rsidRPr="00032FAF">
              <w:rPr>
                <w:rFonts w:cs="Arial"/>
                <w:szCs w:val="20"/>
              </w:rPr>
              <w:t xml:space="preserve">Ime proračunskega uporabnika </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1E28FB" w:rsidRPr="00032FAF" w:rsidRDefault="001E28FB" w:rsidP="00B644CC">
            <w:pPr>
              <w:widowControl w:val="0"/>
              <w:jc w:val="center"/>
              <w:rPr>
                <w:rFonts w:cs="Arial"/>
                <w:szCs w:val="20"/>
              </w:rPr>
            </w:pPr>
            <w:r w:rsidRPr="00032FAF">
              <w:rPr>
                <w:rFonts w:cs="Arial"/>
                <w:szCs w:val="20"/>
              </w:rPr>
              <w:t>Šifra in naziv ukrepa, projekta</w:t>
            </w:r>
          </w:p>
        </w:tc>
        <w:tc>
          <w:tcPr>
            <w:tcW w:w="1610" w:type="dxa"/>
            <w:gridSpan w:val="2"/>
            <w:tcBorders>
              <w:top w:val="single" w:sz="4" w:space="0" w:color="auto"/>
              <w:left w:val="single" w:sz="4" w:space="0" w:color="auto"/>
              <w:bottom w:val="single" w:sz="4" w:space="0" w:color="auto"/>
              <w:right w:val="single" w:sz="4" w:space="0" w:color="auto"/>
            </w:tcBorders>
            <w:vAlign w:val="center"/>
          </w:tcPr>
          <w:p w:rsidR="001E28FB" w:rsidRPr="00032FAF" w:rsidRDefault="001E28FB" w:rsidP="00B644CC">
            <w:pPr>
              <w:widowControl w:val="0"/>
              <w:jc w:val="center"/>
              <w:rPr>
                <w:rFonts w:cs="Arial"/>
                <w:szCs w:val="20"/>
              </w:rPr>
            </w:pPr>
            <w:r w:rsidRPr="00032FAF">
              <w:rPr>
                <w:rFonts w:cs="Arial"/>
                <w:szCs w:val="20"/>
              </w:rPr>
              <w:t xml:space="preserve">Šifra in naziv proračunske postavke </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1E28FB" w:rsidRPr="00032FAF" w:rsidRDefault="001E28FB" w:rsidP="00B644CC">
            <w:pPr>
              <w:widowControl w:val="0"/>
              <w:jc w:val="center"/>
              <w:rPr>
                <w:rFonts w:cs="Arial"/>
                <w:szCs w:val="20"/>
              </w:rPr>
            </w:pPr>
            <w:r w:rsidRPr="00032FAF">
              <w:rPr>
                <w:rFonts w:cs="Arial"/>
                <w:szCs w:val="20"/>
              </w:rPr>
              <w:t>Znesek za tekoče leto (t)</w:t>
            </w:r>
          </w:p>
        </w:tc>
        <w:tc>
          <w:tcPr>
            <w:tcW w:w="2192" w:type="dxa"/>
            <w:gridSpan w:val="3"/>
            <w:tcBorders>
              <w:top w:val="single" w:sz="4" w:space="0" w:color="auto"/>
              <w:left w:val="single" w:sz="4" w:space="0" w:color="auto"/>
              <w:bottom w:val="single" w:sz="4" w:space="0" w:color="auto"/>
              <w:right w:val="single" w:sz="4" w:space="0" w:color="auto"/>
            </w:tcBorders>
            <w:vAlign w:val="center"/>
          </w:tcPr>
          <w:p w:rsidR="001E28FB" w:rsidRPr="00032FAF" w:rsidRDefault="001E28FB" w:rsidP="00B644CC">
            <w:pPr>
              <w:widowControl w:val="0"/>
              <w:jc w:val="center"/>
              <w:rPr>
                <w:rFonts w:cs="Arial"/>
                <w:szCs w:val="20"/>
              </w:rPr>
            </w:pPr>
            <w:r w:rsidRPr="00032FAF">
              <w:rPr>
                <w:rFonts w:cs="Arial"/>
                <w:szCs w:val="20"/>
              </w:rPr>
              <w:t xml:space="preserve">Znesek za t + 1 </w:t>
            </w:r>
          </w:p>
        </w:tc>
      </w:tr>
      <w:tr w:rsidR="001E28FB" w:rsidRPr="00032FAF" w:rsidTr="0042598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20" w:type="dxa"/>
          <w:cantSplit/>
          <w:trHeight w:val="95"/>
        </w:trPr>
        <w:tc>
          <w:tcPr>
            <w:tcW w:w="1649" w:type="dxa"/>
            <w:gridSpan w:val="3"/>
            <w:tcBorders>
              <w:top w:val="single" w:sz="4" w:space="0" w:color="auto"/>
              <w:left w:val="single" w:sz="4" w:space="0" w:color="auto"/>
              <w:bottom w:val="single" w:sz="4" w:space="0" w:color="auto"/>
              <w:right w:val="single" w:sz="4" w:space="0" w:color="auto"/>
            </w:tcBorders>
            <w:vAlign w:val="center"/>
          </w:tcPr>
          <w:p w:rsidR="001E28FB" w:rsidRPr="00032FAF" w:rsidRDefault="001E28FB" w:rsidP="00B644CC">
            <w:pPr>
              <w:widowControl w:val="0"/>
              <w:tabs>
                <w:tab w:val="left" w:pos="360"/>
              </w:tabs>
              <w:outlineLvl w:val="0"/>
              <w:rPr>
                <w:rFonts w:cs="Arial"/>
                <w:bCs/>
                <w:kern w:val="32"/>
                <w:szCs w:val="20"/>
                <w:lang w:eastAsia="sl-SI"/>
              </w:rPr>
            </w:pP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1E28FB" w:rsidRPr="00032FAF" w:rsidRDefault="001E28FB" w:rsidP="00B644CC">
            <w:pPr>
              <w:widowControl w:val="0"/>
              <w:tabs>
                <w:tab w:val="left" w:pos="360"/>
              </w:tabs>
              <w:outlineLvl w:val="0"/>
              <w:rPr>
                <w:rFonts w:cs="Arial"/>
                <w:bCs/>
                <w:kern w:val="32"/>
                <w:szCs w:val="20"/>
                <w:lang w:eastAsia="sl-SI"/>
              </w:rPr>
            </w:pPr>
          </w:p>
        </w:tc>
        <w:tc>
          <w:tcPr>
            <w:tcW w:w="1610" w:type="dxa"/>
            <w:gridSpan w:val="2"/>
            <w:tcBorders>
              <w:top w:val="single" w:sz="4" w:space="0" w:color="auto"/>
              <w:left w:val="single" w:sz="4" w:space="0" w:color="auto"/>
              <w:bottom w:val="single" w:sz="4" w:space="0" w:color="auto"/>
              <w:right w:val="single" w:sz="4" w:space="0" w:color="auto"/>
            </w:tcBorders>
            <w:vAlign w:val="center"/>
          </w:tcPr>
          <w:p w:rsidR="001E28FB" w:rsidRPr="00032FAF" w:rsidRDefault="001E28FB" w:rsidP="00B644CC">
            <w:pPr>
              <w:widowControl w:val="0"/>
              <w:tabs>
                <w:tab w:val="left" w:pos="360"/>
              </w:tabs>
              <w:outlineLvl w:val="0"/>
              <w:rPr>
                <w:rFonts w:cs="Arial"/>
                <w:bCs/>
                <w:kern w:val="32"/>
                <w:szCs w:val="20"/>
                <w:lang w:eastAsia="sl-SI"/>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1E28FB" w:rsidRPr="00032FAF" w:rsidRDefault="001E28FB" w:rsidP="00B644CC">
            <w:pPr>
              <w:widowControl w:val="0"/>
              <w:tabs>
                <w:tab w:val="left" w:pos="360"/>
              </w:tabs>
              <w:outlineLvl w:val="0"/>
              <w:rPr>
                <w:rFonts w:cs="Arial"/>
                <w:bCs/>
                <w:kern w:val="32"/>
                <w:szCs w:val="20"/>
                <w:lang w:eastAsia="sl-SI"/>
              </w:rPr>
            </w:pPr>
          </w:p>
        </w:tc>
        <w:tc>
          <w:tcPr>
            <w:tcW w:w="2192" w:type="dxa"/>
            <w:gridSpan w:val="3"/>
            <w:tcBorders>
              <w:top w:val="single" w:sz="4" w:space="0" w:color="auto"/>
              <w:left w:val="single" w:sz="4" w:space="0" w:color="auto"/>
              <w:bottom w:val="single" w:sz="4" w:space="0" w:color="auto"/>
              <w:right w:val="single" w:sz="4" w:space="0" w:color="auto"/>
            </w:tcBorders>
            <w:vAlign w:val="center"/>
          </w:tcPr>
          <w:p w:rsidR="001E28FB" w:rsidRPr="00032FAF" w:rsidRDefault="001E28FB" w:rsidP="00B644CC">
            <w:pPr>
              <w:widowControl w:val="0"/>
              <w:tabs>
                <w:tab w:val="left" w:pos="360"/>
              </w:tabs>
              <w:outlineLvl w:val="0"/>
              <w:rPr>
                <w:rFonts w:cs="Arial"/>
                <w:bCs/>
                <w:kern w:val="32"/>
                <w:szCs w:val="20"/>
                <w:lang w:eastAsia="sl-SI"/>
              </w:rPr>
            </w:pPr>
          </w:p>
        </w:tc>
      </w:tr>
      <w:tr w:rsidR="001E28FB" w:rsidRPr="00032FAF" w:rsidTr="0042598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20" w:type="dxa"/>
          <w:cantSplit/>
          <w:trHeight w:val="95"/>
        </w:trPr>
        <w:tc>
          <w:tcPr>
            <w:tcW w:w="1649" w:type="dxa"/>
            <w:gridSpan w:val="3"/>
            <w:tcBorders>
              <w:top w:val="single" w:sz="4" w:space="0" w:color="auto"/>
              <w:left w:val="single" w:sz="4" w:space="0" w:color="auto"/>
              <w:bottom w:val="single" w:sz="4" w:space="0" w:color="auto"/>
              <w:right w:val="single" w:sz="4" w:space="0" w:color="auto"/>
            </w:tcBorders>
            <w:vAlign w:val="center"/>
          </w:tcPr>
          <w:p w:rsidR="001E28FB" w:rsidRPr="00032FAF" w:rsidRDefault="001E28FB" w:rsidP="00B644CC">
            <w:pPr>
              <w:widowControl w:val="0"/>
              <w:tabs>
                <w:tab w:val="left" w:pos="360"/>
              </w:tabs>
              <w:outlineLvl w:val="0"/>
              <w:rPr>
                <w:rFonts w:cs="Arial"/>
                <w:bCs/>
                <w:kern w:val="32"/>
                <w:szCs w:val="20"/>
                <w:lang w:eastAsia="sl-SI"/>
              </w:rPr>
            </w:pP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1E28FB" w:rsidRPr="00032FAF" w:rsidRDefault="001E28FB" w:rsidP="00B644CC">
            <w:pPr>
              <w:widowControl w:val="0"/>
              <w:tabs>
                <w:tab w:val="left" w:pos="360"/>
              </w:tabs>
              <w:outlineLvl w:val="0"/>
              <w:rPr>
                <w:rFonts w:cs="Arial"/>
                <w:bCs/>
                <w:kern w:val="32"/>
                <w:szCs w:val="20"/>
                <w:lang w:eastAsia="sl-SI"/>
              </w:rPr>
            </w:pPr>
          </w:p>
        </w:tc>
        <w:tc>
          <w:tcPr>
            <w:tcW w:w="1610" w:type="dxa"/>
            <w:gridSpan w:val="2"/>
            <w:tcBorders>
              <w:top w:val="single" w:sz="4" w:space="0" w:color="auto"/>
              <w:left w:val="single" w:sz="4" w:space="0" w:color="auto"/>
              <w:bottom w:val="single" w:sz="4" w:space="0" w:color="auto"/>
              <w:right w:val="single" w:sz="4" w:space="0" w:color="auto"/>
            </w:tcBorders>
            <w:vAlign w:val="center"/>
          </w:tcPr>
          <w:p w:rsidR="001E28FB" w:rsidRPr="00032FAF" w:rsidRDefault="001E28FB" w:rsidP="00B644CC">
            <w:pPr>
              <w:widowControl w:val="0"/>
              <w:tabs>
                <w:tab w:val="left" w:pos="360"/>
              </w:tabs>
              <w:outlineLvl w:val="0"/>
              <w:rPr>
                <w:rFonts w:cs="Arial"/>
                <w:bCs/>
                <w:kern w:val="32"/>
                <w:szCs w:val="20"/>
                <w:lang w:eastAsia="sl-SI"/>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1E28FB" w:rsidRPr="00032FAF" w:rsidRDefault="001E28FB" w:rsidP="00B644CC">
            <w:pPr>
              <w:widowControl w:val="0"/>
              <w:tabs>
                <w:tab w:val="left" w:pos="360"/>
              </w:tabs>
              <w:outlineLvl w:val="0"/>
              <w:rPr>
                <w:rFonts w:cs="Arial"/>
                <w:bCs/>
                <w:kern w:val="32"/>
                <w:szCs w:val="20"/>
                <w:lang w:eastAsia="sl-SI"/>
              </w:rPr>
            </w:pPr>
          </w:p>
        </w:tc>
        <w:tc>
          <w:tcPr>
            <w:tcW w:w="2192" w:type="dxa"/>
            <w:gridSpan w:val="3"/>
            <w:tcBorders>
              <w:top w:val="single" w:sz="4" w:space="0" w:color="auto"/>
              <w:left w:val="single" w:sz="4" w:space="0" w:color="auto"/>
              <w:bottom w:val="single" w:sz="4" w:space="0" w:color="auto"/>
              <w:right w:val="single" w:sz="4" w:space="0" w:color="auto"/>
            </w:tcBorders>
            <w:vAlign w:val="center"/>
          </w:tcPr>
          <w:p w:rsidR="001E28FB" w:rsidRPr="00032FAF" w:rsidRDefault="001E28FB" w:rsidP="00B644CC">
            <w:pPr>
              <w:widowControl w:val="0"/>
              <w:tabs>
                <w:tab w:val="left" w:pos="360"/>
              </w:tabs>
              <w:outlineLvl w:val="0"/>
              <w:rPr>
                <w:rFonts w:cs="Arial"/>
                <w:bCs/>
                <w:kern w:val="32"/>
                <w:szCs w:val="20"/>
                <w:lang w:eastAsia="sl-SI"/>
              </w:rPr>
            </w:pPr>
          </w:p>
        </w:tc>
      </w:tr>
      <w:tr w:rsidR="001E28FB" w:rsidRPr="00032FAF" w:rsidTr="0042598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20" w:type="dxa"/>
          <w:cantSplit/>
          <w:trHeight w:val="95"/>
        </w:trPr>
        <w:tc>
          <w:tcPr>
            <w:tcW w:w="5339" w:type="dxa"/>
            <w:gridSpan w:val="7"/>
            <w:tcBorders>
              <w:top w:val="single" w:sz="4" w:space="0" w:color="auto"/>
              <w:left w:val="single" w:sz="4" w:space="0" w:color="auto"/>
              <w:bottom w:val="single" w:sz="4" w:space="0" w:color="auto"/>
              <w:right w:val="single" w:sz="4" w:space="0" w:color="auto"/>
            </w:tcBorders>
            <w:vAlign w:val="center"/>
          </w:tcPr>
          <w:p w:rsidR="001E28FB" w:rsidRPr="00032FAF" w:rsidRDefault="001E28FB" w:rsidP="00B644CC">
            <w:pPr>
              <w:widowControl w:val="0"/>
              <w:tabs>
                <w:tab w:val="left" w:pos="360"/>
              </w:tabs>
              <w:outlineLvl w:val="0"/>
              <w:rPr>
                <w:rFonts w:cs="Arial"/>
                <w:b/>
                <w:kern w:val="32"/>
                <w:szCs w:val="20"/>
                <w:lang w:eastAsia="sl-SI"/>
              </w:rPr>
            </w:pPr>
            <w:r w:rsidRPr="00032FAF">
              <w:rPr>
                <w:rFonts w:cs="Arial"/>
                <w:b/>
                <w:kern w:val="32"/>
                <w:szCs w:val="20"/>
                <w:lang w:eastAsia="sl-SI"/>
              </w:rPr>
              <w:t>SKUPAJ</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1E28FB" w:rsidRPr="00032FAF" w:rsidRDefault="001E28FB" w:rsidP="00B644CC">
            <w:pPr>
              <w:widowControl w:val="0"/>
              <w:tabs>
                <w:tab w:val="left" w:pos="360"/>
              </w:tabs>
              <w:outlineLvl w:val="0"/>
              <w:rPr>
                <w:rFonts w:cs="Arial"/>
                <w:b/>
                <w:kern w:val="32"/>
                <w:szCs w:val="20"/>
                <w:lang w:eastAsia="sl-SI"/>
              </w:rPr>
            </w:pPr>
          </w:p>
        </w:tc>
        <w:tc>
          <w:tcPr>
            <w:tcW w:w="2192" w:type="dxa"/>
            <w:gridSpan w:val="3"/>
            <w:tcBorders>
              <w:top w:val="single" w:sz="4" w:space="0" w:color="auto"/>
              <w:left w:val="single" w:sz="4" w:space="0" w:color="auto"/>
              <w:bottom w:val="single" w:sz="4" w:space="0" w:color="auto"/>
              <w:right w:val="single" w:sz="4" w:space="0" w:color="auto"/>
            </w:tcBorders>
            <w:vAlign w:val="center"/>
          </w:tcPr>
          <w:p w:rsidR="001E28FB" w:rsidRPr="00032FAF" w:rsidRDefault="001E28FB" w:rsidP="00B644CC">
            <w:pPr>
              <w:widowControl w:val="0"/>
              <w:tabs>
                <w:tab w:val="left" w:pos="360"/>
              </w:tabs>
              <w:outlineLvl w:val="0"/>
              <w:rPr>
                <w:rFonts w:cs="Arial"/>
                <w:b/>
                <w:kern w:val="32"/>
                <w:szCs w:val="20"/>
                <w:lang w:eastAsia="sl-SI"/>
              </w:rPr>
            </w:pPr>
          </w:p>
        </w:tc>
      </w:tr>
      <w:tr w:rsidR="001E28FB" w:rsidRPr="00032FAF" w:rsidTr="0042598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20" w:type="dxa"/>
          <w:cantSplit/>
          <w:trHeight w:val="207"/>
        </w:trPr>
        <w:tc>
          <w:tcPr>
            <w:tcW w:w="8840"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1E28FB" w:rsidRPr="00032FAF" w:rsidRDefault="001E28FB" w:rsidP="00B644CC">
            <w:pPr>
              <w:widowControl w:val="0"/>
              <w:tabs>
                <w:tab w:val="left" w:pos="2340"/>
              </w:tabs>
              <w:outlineLvl w:val="0"/>
              <w:rPr>
                <w:rFonts w:cs="Arial"/>
                <w:b/>
                <w:kern w:val="32"/>
                <w:szCs w:val="20"/>
                <w:lang w:eastAsia="sl-SI"/>
              </w:rPr>
            </w:pPr>
            <w:r w:rsidRPr="00032FAF">
              <w:rPr>
                <w:rFonts w:cs="Arial"/>
                <w:b/>
                <w:kern w:val="32"/>
                <w:szCs w:val="20"/>
                <w:lang w:eastAsia="sl-SI"/>
              </w:rPr>
              <w:t>II.c Načrtovana nadomestitev zmanjšanih prihodkov in povečanih odhodkov proračuna:</w:t>
            </w:r>
          </w:p>
        </w:tc>
      </w:tr>
      <w:tr w:rsidR="001E28FB" w:rsidRPr="00032FAF" w:rsidTr="0042598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20" w:type="dxa"/>
          <w:cantSplit/>
          <w:trHeight w:val="100"/>
        </w:trPr>
        <w:tc>
          <w:tcPr>
            <w:tcW w:w="3729" w:type="dxa"/>
            <w:gridSpan w:val="5"/>
            <w:tcBorders>
              <w:top w:val="single" w:sz="4" w:space="0" w:color="auto"/>
              <w:left w:val="single" w:sz="4" w:space="0" w:color="auto"/>
              <w:bottom w:val="single" w:sz="4" w:space="0" w:color="auto"/>
              <w:right w:val="single" w:sz="4" w:space="0" w:color="auto"/>
            </w:tcBorders>
            <w:vAlign w:val="center"/>
          </w:tcPr>
          <w:p w:rsidR="001E28FB" w:rsidRPr="00032FAF" w:rsidRDefault="001E28FB" w:rsidP="00B644CC">
            <w:pPr>
              <w:widowControl w:val="0"/>
              <w:jc w:val="center"/>
              <w:rPr>
                <w:rFonts w:cs="Arial"/>
                <w:szCs w:val="20"/>
              </w:rPr>
            </w:pPr>
            <w:r w:rsidRPr="00032FAF">
              <w:rPr>
                <w:rFonts w:cs="Arial"/>
                <w:szCs w:val="20"/>
              </w:rPr>
              <w:lastRenderedPageBreak/>
              <w:t>Novi prihodki</w:t>
            </w:r>
          </w:p>
        </w:tc>
        <w:tc>
          <w:tcPr>
            <w:tcW w:w="2263" w:type="dxa"/>
            <w:gridSpan w:val="3"/>
            <w:tcBorders>
              <w:top w:val="single" w:sz="4" w:space="0" w:color="auto"/>
              <w:left w:val="single" w:sz="4" w:space="0" w:color="auto"/>
              <w:bottom w:val="single" w:sz="4" w:space="0" w:color="auto"/>
              <w:right w:val="single" w:sz="4" w:space="0" w:color="auto"/>
            </w:tcBorders>
            <w:vAlign w:val="center"/>
          </w:tcPr>
          <w:p w:rsidR="001E28FB" w:rsidRPr="00032FAF" w:rsidRDefault="001E28FB" w:rsidP="00B644CC">
            <w:pPr>
              <w:widowControl w:val="0"/>
              <w:jc w:val="center"/>
              <w:rPr>
                <w:rFonts w:cs="Arial"/>
                <w:szCs w:val="20"/>
              </w:rPr>
            </w:pPr>
            <w:r w:rsidRPr="00032FAF">
              <w:rPr>
                <w:rFonts w:cs="Arial"/>
                <w:szCs w:val="20"/>
              </w:rPr>
              <w:t>Znesek za tekoče leto (t)</w:t>
            </w:r>
          </w:p>
        </w:tc>
        <w:tc>
          <w:tcPr>
            <w:tcW w:w="2848" w:type="dxa"/>
            <w:gridSpan w:val="4"/>
            <w:tcBorders>
              <w:top w:val="single" w:sz="4" w:space="0" w:color="auto"/>
              <w:left w:val="single" w:sz="4" w:space="0" w:color="auto"/>
              <w:bottom w:val="single" w:sz="4" w:space="0" w:color="auto"/>
              <w:right w:val="single" w:sz="4" w:space="0" w:color="auto"/>
            </w:tcBorders>
            <w:vAlign w:val="center"/>
          </w:tcPr>
          <w:p w:rsidR="001E28FB" w:rsidRPr="00032FAF" w:rsidRDefault="001E28FB" w:rsidP="00B644CC">
            <w:pPr>
              <w:widowControl w:val="0"/>
              <w:jc w:val="center"/>
              <w:rPr>
                <w:rFonts w:cs="Arial"/>
                <w:szCs w:val="20"/>
              </w:rPr>
            </w:pPr>
            <w:r w:rsidRPr="00032FAF">
              <w:rPr>
                <w:rFonts w:cs="Arial"/>
                <w:szCs w:val="20"/>
              </w:rPr>
              <w:t>Znesek za t + 1</w:t>
            </w:r>
          </w:p>
        </w:tc>
      </w:tr>
      <w:tr w:rsidR="001E28FB" w:rsidRPr="00032FAF" w:rsidTr="0042598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20" w:type="dxa"/>
          <w:cantSplit/>
          <w:trHeight w:val="95"/>
        </w:trPr>
        <w:tc>
          <w:tcPr>
            <w:tcW w:w="3729" w:type="dxa"/>
            <w:gridSpan w:val="5"/>
            <w:tcBorders>
              <w:top w:val="single" w:sz="4" w:space="0" w:color="auto"/>
              <w:left w:val="single" w:sz="4" w:space="0" w:color="auto"/>
              <w:bottom w:val="single" w:sz="4" w:space="0" w:color="auto"/>
              <w:right w:val="single" w:sz="4" w:space="0" w:color="auto"/>
            </w:tcBorders>
            <w:vAlign w:val="center"/>
          </w:tcPr>
          <w:p w:rsidR="001E28FB" w:rsidRPr="00032FAF" w:rsidRDefault="001E28FB" w:rsidP="00B644CC">
            <w:pPr>
              <w:widowControl w:val="0"/>
              <w:tabs>
                <w:tab w:val="left" w:pos="360"/>
              </w:tabs>
              <w:outlineLvl w:val="0"/>
              <w:rPr>
                <w:rFonts w:cs="Arial"/>
                <w:bCs/>
                <w:kern w:val="32"/>
                <w:szCs w:val="20"/>
                <w:lang w:eastAsia="sl-SI"/>
              </w:rPr>
            </w:pPr>
          </w:p>
        </w:tc>
        <w:tc>
          <w:tcPr>
            <w:tcW w:w="2263" w:type="dxa"/>
            <w:gridSpan w:val="3"/>
            <w:tcBorders>
              <w:top w:val="single" w:sz="4" w:space="0" w:color="auto"/>
              <w:left w:val="single" w:sz="4" w:space="0" w:color="auto"/>
              <w:bottom w:val="single" w:sz="4" w:space="0" w:color="auto"/>
              <w:right w:val="single" w:sz="4" w:space="0" w:color="auto"/>
            </w:tcBorders>
            <w:vAlign w:val="center"/>
          </w:tcPr>
          <w:p w:rsidR="001E28FB" w:rsidRPr="00032FAF" w:rsidRDefault="001E28FB" w:rsidP="00B644CC">
            <w:pPr>
              <w:widowControl w:val="0"/>
              <w:tabs>
                <w:tab w:val="left" w:pos="360"/>
              </w:tabs>
              <w:outlineLvl w:val="0"/>
              <w:rPr>
                <w:rFonts w:cs="Arial"/>
                <w:bCs/>
                <w:kern w:val="32"/>
                <w:szCs w:val="20"/>
                <w:lang w:eastAsia="sl-SI"/>
              </w:rPr>
            </w:pPr>
          </w:p>
        </w:tc>
        <w:tc>
          <w:tcPr>
            <w:tcW w:w="2848" w:type="dxa"/>
            <w:gridSpan w:val="4"/>
            <w:tcBorders>
              <w:top w:val="single" w:sz="4" w:space="0" w:color="auto"/>
              <w:left w:val="single" w:sz="4" w:space="0" w:color="auto"/>
              <w:bottom w:val="single" w:sz="4" w:space="0" w:color="auto"/>
              <w:right w:val="single" w:sz="4" w:space="0" w:color="auto"/>
            </w:tcBorders>
            <w:vAlign w:val="center"/>
          </w:tcPr>
          <w:p w:rsidR="001E28FB" w:rsidRPr="00032FAF" w:rsidRDefault="001E28FB" w:rsidP="00B644CC">
            <w:pPr>
              <w:widowControl w:val="0"/>
              <w:tabs>
                <w:tab w:val="left" w:pos="360"/>
              </w:tabs>
              <w:outlineLvl w:val="0"/>
              <w:rPr>
                <w:rFonts w:cs="Arial"/>
                <w:bCs/>
                <w:kern w:val="32"/>
                <w:szCs w:val="20"/>
                <w:lang w:eastAsia="sl-SI"/>
              </w:rPr>
            </w:pPr>
          </w:p>
        </w:tc>
      </w:tr>
      <w:tr w:rsidR="001E28FB" w:rsidRPr="00032FAF" w:rsidTr="0042598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20" w:type="dxa"/>
          <w:cantSplit/>
          <w:trHeight w:val="95"/>
        </w:trPr>
        <w:tc>
          <w:tcPr>
            <w:tcW w:w="3729" w:type="dxa"/>
            <w:gridSpan w:val="5"/>
            <w:tcBorders>
              <w:top w:val="single" w:sz="4" w:space="0" w:color="auto"/>
              <w:left w:val="single" w:sz="4" w:space="0" w:color="auto"/>
              <w:bottom w:val="single" w:sz="4" w:space="0" w:color="auto"/>
              <w:right w:val="single" w:sz="4" w:space="0" w:color="auto"/>
            </w:tcBorders>
            <w:vAlign w:val="center"/>
          </w:tcPr>
          <w:p w:rsidR="001E28FB" w:rsidRPr="00032FAF" w:rsidRDefault="001E28FB" w:rsidP="00B644CC">
            <w:pPr>
              <w:widowControl w:val="0"/>
              <w:tabs>
                <w:tab w:val="left" w:pos="360"/>
              </w:tabs>
              <w:outlineLvl w:val="0"/>
              <w:rPr>
                <w:rFonts w:cs="Arial"/>
                <w:bCs/>
                <w:kern w:val="32"/>
                <w:szCs w:val="20"/>
                <w:lang w:eastAsia="sl-SI"/>
              </w:rPr>
            </w:pPr>
          </w:p>
        </w:tc>
        <w:tc>
          <w:tcPr>
            <w:tcW w:w="2263" w:type="dxa"/>
            <w:gridSpan w:val="3"/>
            <w:tcBorders>
              <w:top w:val="single" w:sz="4" w:space="0" w:color="auto"/>
              <w:left w:val="single" w:sz="4" w:space="0" w:color="auto"/>
              <w:bottom w:val="single" w:sz="4" w:space="0" w:color="auto"/>
              <w:right w:val="single" w:sz="4" w:space="0" w:color="auto"/>
            </w:tcBorders>
            <w:vAlign w:val="center"/>
          </w:tcPr>
          <w:p w:rsidR="001E28FB" w:rsidRPr="00032FAF" w:rsidRDefault="001E28FB" w:rsidP="00B644CC">
            <w:pPr>
              <w:widowControl w:val="0"/>
              <w:tabs>
                <w:tab w:val="left" w:pos="360"/>
              </w:tabs>
              <w:outlineLvl w:val="0"/>
              <w:rPr>
                <w:rFonts w:cs="Arial"/>
                <w:bCs/>
                <w:kern w:val="32"/>
                <w:szCs w:val="20"/>
                <w:lang w:eastAsia="sl-SI"/>
              </w:rPr>
            </w:pPr>
          </w:p>
        </w:tc>
        <w:tc>
          <w:tcPr>
            <w:tcW w:w="2848" w:type="dxa"/>
            <w:gridSpan w:val="4"/>
            <w:tcBorders>
              <w:top w:val="single" w:sz="4" w:space="0" w:color="auto"/>
              <w:left w:val="single" w:sz="4" w:space="0" w:color="auto"/>
              <w:bottom w:val="single" w:sz="4" w:space="0" w:color="auto"/>
              <w:right w:val="single" w:sz="4" w:space="0" w:color="auto"/>
            </w:tcBorders>
            <w:vAlign w:val="center"/>
          </w:tcPr>
          <w:p w:rsidR="001E28FB" w:rsidRPr="00032FAF" w:rsidRDefault="001E28FB" w:rsidP="00B644CC">
            <w:pPr>
              <w:widowControl w:val="0"/>
              <w:tabs>
                <w:tab w:val="left" w:pos="360"/>
              </w:tabs>
              <w:outlineLvl w:val="0"/>
              <w:rPr>
                <w:rFonts w:cs="Arial"/>
                <w:bCs/>
                <w:kern w:val="32"/>
                <w:szCs w:val="20"/>
                <w:lang w:eastAsia="sl-SI"/>
              </w:rPr>
            </w:pPr>
          </w:p>
        </w:tc>
      </w:tr>
      <w:tr w:rsidR="001E28FB" w:rsidRPr="00032FAF" w:rsidTr="0042598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20" w:type="dxa"/>
          <w:cantSplit/>
          <w:trHeight w:val="95"/>
        </w:trPr>
        <w:tc>
          <w:tcPr>
            <w:tcW w:w="3729" w:type="dxa"/>
            <w:gridSpan w:val="5"/>
            <w:tcBorders>
              <w:top w:val="single" w:sz="4" w:space="0" w:color="auto"/>
              <w:left w:val="single" w:sz="4" w:space="0" w:color="auto"/>
              <w:bottom w:val="single" w:sz="4" w:space="0" w:color="auto"/>
              <w:right w:val="single" w:sz="4" w:space="0" w:color="auto"/>
            </w:tcBorders>
            <w:vAlign w:val="center"/>
          </w:tcPr>
          <w:p w:rsidR="001E28FB" w:rsidRPr="00032FAF" w:rsidRDefault="001E28FB" w:rsidP="00B644CC">
            <w:pPr>
              <w:widowControl w:val="0"/>
              <w:tabs>
                <w:tab w:val="left" w:pos="360"/>
              </w:tabs>
              <w:outlineLvl w:val="0"/>
              <w:rPr>
                <w:rFonts w:cs="Arial"/>
                <w:b/>
                <w:kern w:val="32"/>
                <w:szCs w:val="20"/>
                <w:lang w:eastAsia="sl-SI"/>
              </w:rPr>
            </w:pPr>
            <w:r w:rsidRPr="00032FAF">
              <w:rPr>
                <w:rFonts w:cs="Arial"/>
                <w:b/>
                <w:kern w:val="32"/>
                <w:szCs w:val="20"/>
                <w:lang w:eastAsia="sl-SI"/>
              </w:rPr>
              <w:t>SKUPAJ</w:t>
            </w:r>
          </w:p>
        </w:tc>
        <w:tc>
          <w:tcPr>
            <w:tcW w:w="2263" w:type="dxa"/>
            <w:gridSpan w:val="3"/>
            <w:tcBorders>
              <w:top w:val="single" w:sz="4" w:space="0" w:color="auto"/>
              <w:left w:val="single" w:sz="4" w:space="0" w:color="auto"/>
              <w:bottom w:val="single" w:sz="4" w:space="0" w:color="auto"/>
              <w:right w:val="single" w:sz="4" w:space="0" w:color="auto"/>
            </w:tcBorders>
            <w:vAlign w:val="center"/>
          </w:tcPr>
          <w:p w:rsidR="001E28FB" w:rsidRPr="00032FAF" w:rsidRDefault="001E28FB" w:rsidP="00B644CC">
            <w:pPr>
              <w:widowControl w:val="0"/>
              <w:tabs>
                <w:tab w:val="left" w:pos="360"/>
              </w:tabs>
              <w:outlineLvl w:val="0"/>
              <w:rPr>
                <w:rFonts w:cs="Arial"/>
                <w:b/>
                <w:kern w:val="32"/>
                <w:szCs w:val="20"/>
                <w:lang w:eastAsia="sl-SI"/>
              </w:rPr>
            </w:pPr>
          </w:p>
        </w:tc>
        <w:tc>
          <w:tcPr>
            <w:tcW w:w="2848" w:type="dxa"/>
            <w:gridSpan w:val="4"/>
            <w:tcBorders>
              <w:top w:val="single" w:sz="4" w:space="0" w:color="auto"/>
              <w:left w:val="single" w:sz="4" w:space="0" w:color="auto"/>
              <w:bottom w:val="single" w:sz="4" w:space="0" w:color="auto"/>
              <w:right w:val="single" w:sz="4" w:space="0" w:color="auto"/>
            </w:tcBorders>
            <w:vAlign w:val="center"/>
          </w:tcPr>
          <w:p w:rsidR="001E28FB" w:rsidRPr="00032FAF" w:rsidRDefault="001E28FB" w:rsidP="00B644CC">
            <w:pPr>
              <w:widowControl w:val="0"/>
              <w:tabs>
                <w:tab w:val="left" w:pos="360"/>
              </w:tabs>
              <w:outlineLvl w:val="0"/>
              <w:rPr>
                <w:rFonts w:cs="Arial"/>
                <w:b/>
                <w:kern w:val="32"/>
                <w:szCs w:val="20"/>
                <w:lang w:eastAsia="sl-SI"/>
              </w:rPr>
            </w:pPr>
          </w:p>
        </w:tc>
      </w:tr>
      <w:tr w:rsidR="001E28FB" w:rsidRPr="006741B0" w:rsidTr="0042598A">
        <w:tblPrEx>
          <w:jc w:val="left"/>
        </w:tblPrEx>
        <w:trPr>
          <w:gridAfter w:val="1"/>
          <w:wAfter w:w="120" w:type="dxa"/>
          <w:trHeight w:val="708"/>
        </w:trPr>
        <w:tc>
          <w:tcPr>
            <w:tcW w:w="8840" w:type="dxa"/>
            <w:gridSpan w:val="12"/>
          </w:tcPr>
          <w:p w:rsidR="001E28FB" w:rsidRPr="00032FAF" w:rsidRDefault="001E28FB" w:rsidP="00B644CC">
            <w:pPr>
              <w:widowControl w:val="0"/>
              <w:rPr>
                <w:rFonts w:cs="Arial"/>
                <w:b/>
                <w:szCs w:val="20"/>
              </w:rPr>
            </w:pPr>
          </w:p>
          <w:p w:rsidR="001E28FB" w:rsidRPr="00032FAF" w:rsidRDefault="001E28FB" w:rsidP="00B644CC">
            <w:pPr>
              <w:widowControl w:val="0"/>
              <w:rPr>
                <w:rFonts w:cs="Arial"/>
                <w:b/>
                <w:szCs w:val="20"/>
              </w:rPr>
            </w:pPr>
            <w:r w:rsidRPr="00032FAF">
              <w:rPr>
                <w:rFonts w:cs="Arial"/>
                <w:b/>
                <w:szCs w:val="20"/>
              </w:rPr>
              <w:t>OBRAZLOŽITEV:</w:t>
            </w:r>
          </w:p>
          <w:p w:rsidR="001E28FB" w:rsidRPr="00032FAF" w:rsidRDefault="001E28FB" w:rsidP="00B644CC">
            <w:pPr>
              <w:widowControl w:val="0"/>
              <w:numPr>
                <w:ilvl w:val="0"/>
                <w:numId w:val="11"/>
              </w:numPr>
              <w:suppressAutoHyphens/>
              <w:spacing w:line="260" w:lineRule="exact"/>
              <w:ind w:left="0" w:hanging="284"/>
              <w:jc w:val="both"/>
              <w:rPr>
                <w:rFonts w:cs="Arial"/>
                <w:b/>
                <w:szCs w:val="20"/>
                <w:lang w:eastAsia="sl-SI"/>
              </w:rPr>
            </w:pPr>
            <w:r w:rsidRPr="00032FAF">
              <w:rPr>
                <w:rFonts w:cs="Arial"/>
                <w:b/>
                <w:szCs w:val="20"/>
                <w:lang w:eastAsia="sl-SI"/>
              </w:rPr>
              <w:t>Ocena finančnih posledic, ki niso načrtovane v sprejetem proračunu</w:t>
            </w:r>
          </w:p>
          <w:p w:rsidR="001E28FB" w:rsidRPr="00032FAF" w:rsidRDefault="001E28FB" w:rsidP="00B644CC">
            <w:pPr>
              <w:widowControl w:val="0"/>
              <w:rPr>
                <w:rFonts w:cs="Arial"/>
                <w:szCs w:val="20"/>
                <w:lang w:eastAsia="sl-SI"/>
              </w:rPr>
            </w:pPr>
            <w:r>
              <w:rPr>
                <w:rFonts w:cs="Arial"/>
                <w:szCs w:val="20"/>
                <w:lang w:eastAsia="sl-SI"/>
              </w:rPr>
              <w:t>/</w:t>
            </w:r>
          </w:p>
          <w:p w:rsidR="001E28FB" w:rsidRPr="00032FAF" w:rsidRDefault="001E28FB" w:rsidP="00B644CC">
            <w:pPr>
              <w:widowControl w:val="0"/>
              <w:numPr>
                <w:ilvl w:val="0"/>
                <w:numId w:val="11"/>
              </w:numPr>
              <w:suppressAutoHyphens/>
              <w:spacing w:line="260" w:lineRule="exact"/>
              <w:ind w:left="0" w:hanging="284"/>
              <w:jc w:val="both"/>
              <w:rPr>
                <w:rFonts w:cs="Arial"/>
                <w:b/>
                <w:szCs w:val="20"/>
                <w:lang w:eastAsia="sl-SI"/>
              </w:rPr>
            </w:pPr>
            <w:r w:rsidRPr="00032FAF">
              <w:rPr>
                <w:rFonts w:cs="Arial"/>
                <w:b/>
                <w:szCs w:val="20"/>
                <w:lang w:eastAsia="sl-SI"/>
              </w:rPr>
              <w:t>Finančne posledice za državni proračun</w:t>
            </w:r>
          </w:p>
          <w:p w:rsidR="001E28FB" w:rsidRPr="00032FAF" w:rsidRDefault="001E28FB" w:rsidP="00B644CC">
            <w:pPr>
              <w:widowControl w:val="0"/>
              <w:jc w:val="both"/>
              <w:rPr>
                <w:rFonts w:cs="Arial"/>
                <w:szCs w:val="20"/>
                <w:lang w:eastAsia="sl-SI"/>
              </w:rPr>
            </w:pPr>
            <w:r>
              <w:rPr>
                <w:rFonts w:cs="Arial"/>
                <w:szCs w:val="20"/>
                <w:lang w:eastAsia="sl-SI"/>
              </w:rPr>
              <w:t>/</w:t>
            </w:r>
          </w:p>
          <w:p w:rsidR="001E28FB" w:rsidRDefault="001E28FB" w:rsidP="00B644CC">
            <w:pPr>
              <w:widowControl w:val="0"/>
              <w:suppressAutoHyphens/>
              <w:jc w:val="both"/>
              <w:rPr>
                <w:rFonts w:cs="Arial"/>
                <w:b/>
                <w:szCs w:val="20"/>
                <w:lang w:eastAsia="sl-SI"/>
              </w:rPr>
            </w:pPr>
            <w:r w:rsidRPr="00032FAF">
              <w:rPr>
                <w:rFonts w:cs="Arial"/>
                <w:b/>
                <w:szCs w:val="20"/>
                <w:lang w:eastAsia="sl-SI"/>
              </w:rPr>
              <w:t>II.a Pravice porabe za izvedbo predlaganih rešitev so zagotovljene:</w:t>
            </w:r>
          </w:p>
          <w:p w:rsidR="001E28FB" w:rsidRPr="00032FAF" w:rsidRDefault="001E28FB" w:rsidP="00B644CC">
            <w:pPr>
              <w:widowControl w:val="0"/>
              <w:suppressAutoHyphens/>
              <w:jc w:val="both"/>
              <w:rPr>
                <w:rFonts w:cs="Arial"/>
                <w:b/>
                <w:szCs w:val="20"/>
                <w:lang w:eastAsia="sl-SI"/>
              </w:rPr>
            </w:pPr>
            <w:r>
              <w:rPr>
                <w:rFonts w:cs="Arial"/>
                <w:b/>
                <w:szCs w:val="20"/>
                <w:lang w:eastAsia="sl-SI"/>
              </w:rPr>
              <w:t>/</w:t>
            </w:r>
          </w:p>
          <w:p w:rsidR="001E28FB" w:rsidRDefault="001E28FB" w:rsidP="00B644CC">
            <w:pPr>
              <w:widowControl w:val="0"/>
              <w:suppressAutoHyphens/>
              <w:jc w:val="both"/>
              <w:rPr>
                <w:rFonts w:cs="Arial"/>
                <w:b/>
                <w:szCs w:val="20"/>
                <w:lang w:eastAsia="sl-SI"/>
              </w:rPr>
            </w:pPr>
            <w:r w:rsidRPr="00032FAF">
              <w:rPr>
                <w:rFonts w:cs="Arial"/>
                <w:b/>
                <w:szCs w:val="20"/>
                <w:lang w:eastAsia="sl-SI"/>
              </w:rPr>
              <w:t>II.b Manjkajoče pravice porabe bodo zagotovljene s prerazporeditvijo:</w:t>
            </w:r>
          </w:p>
          <w:p w:rsidR="009809C0" w:rsidRPr="00032FAF" w:rsidRDefault="009809C0" w:rsidP="00B644CC">
            <w:pPr>
              <w:widowControl w:val="0"/>
              <w:suppressAutoHyphens/>
              <w:jc w:val="both"/>
              <w:rPr>
                <w:rFonts w:cs="Arial"/>
                <w:b/>
                <w:szCs w:val="20"/>
                <w:lang w:eastAsia="sl-SI"/>
              </w:rPr>
            </w:pPr>
            <w:r>
              <w:rPr>
                <w:rFonts w:cs="Arial"/>
                <w:b/>
                <w:szCs w:val="20"/>
                <w:lang w:eastAsia="sl-SI"/>
              </w:rPr>
              <w:t>/</w:t>
            </w:r>
          </w:p>
          <w:p w:rsidR="001E28FB" w:rsidRDefault="001E28FB" w:rsidP="00B644CC">
            <w:pPr>
              <w:widowControl w:val="0"/>
              <w:suppressAutoHyphens/>
              <w:jc w:val="both"/>
              <w:rPr>
                <w:rFonts w:cs="Arial"/>
                <w:b/>
                <w:szCs w:val="20"/>
                <w:lang w:eastAsia="sl-SI"/>
              </w:rPr>
            </w:pPr>
            <w:r w:rsidRPr="00032FAF">
              <w:rPr>
                <w:rFonts w:cs="Arial"/>
                <w:b/>
                <w:szCs w:val="20"/>
                <w:lang w:eastAsia="sl-SI"/>
              </w:rPr>
              <w:t>II.c Načrtovana nadomestitev zmanjšanih prihodkov in povečanih odhodkov proračuna:</w:t>
            </w:r>
          </w:p>
          <w:p w:rsidR="001E28FB" w:rsidRDefault="001E28FB" w:rsidP="00B644CC">
            <w:pPr>
              <w:widowControl w:val="0"/>
              <w:suppressAutoHyphens/>
              <w:jc w:val="both"/>
              <w:rPr>
                <w:rFonts w:cs="Arial"/>
                <w:b/>
                <w:szCs w:val="20"/>
                <w:lang w:eastAsia="sl-SI"/>
              </w:rPr>
            </w:pPr>
            <w:r>
              <w:rPr>
                <w:rFonts w:cs="Arial"/>
                <w:b/>
                <w:szCs w:val="20"/>
                <w:lang w:eastAsia="sl-SI"/>
              </w:rPr>
              <w:t>/</w:t>
            </w:r>
          </w:p>
          <w:p w:rsidR="001E28FB" w:rsidRPr="006741B0" w:rsidRDefault="001E28FB" w:rsidP="00B644CC">
            <w:pPr>
              <w:tabs>
                <w:tab w:val="left" w:pos="1125"/>
              </w:tabs>
              <w:rPr>
                <w:rFonts w:cs="Arial"/>
                <w:szCs w:val="20"/>
                <w:lang w:eastAsia="sl-SI"/>
              </w:rPr>
            </w:pPr>
          </w:p>
        </w:tc>
      </w:tr>
      <w:tr w:rsidR="001E28FB" w:rsidRPr="006741B0" w:rsidTr="0042598A">
        <w:tblPrEx>
          <w:jc w:val="left"/>
        </w:tblPrEx>
        <w:trPr>
          <w:gridAfter w:val="1"/>
          <w:wAfter w:w="120" w:type="dxa"/>
          <w:trHeight w:val="708"/>
        </w:trPr>
        <w:tc>
          <w:tcPr>
            <w:tcW w:w="8840" w:type="dxa"/>
            <w:gridSpan w:val="12"/>
          </w:tcPr>
          <w:p w:rsidR="001E28FB" w:rsidRPr="009016AB" w:rsidRDefault="001E28FB" w:rsidP="00B644CC">
            <w:pPr>
              <w:pStyle w:val="Oddelek"/>
              <w:widowControl w:val="0"/>
              <w:numPr>
                <w:ilvl w:val="0"/>
                <w:numId w:val="0"/>
              </w:numPr>
              <w:spacing w:before="0" w:after="0" w:line="288" w:lineRule="auto"/>
              <w:jc w:val="left"/>
              <w:rPr>
                <w:sz w:val="20"/>
                <w:szCs w:val="20"/>
              </w:rPr>
            </w:pPr>
            <w:r w:rsidRPr="009016AB">
              <w:rPr>
                <w:sz w:val="20"/>
                <w:szCs w:val="20"/>
              </w:rPr>
              <w:t>7.b Predstavitev ocene finančnih posledic pod 40.000 EUR:</w:t>
            </w:r>
          </w:p>
          <w:p w:rsidR="001E28FB" w:rsidRDefault="001E28FB" w:rsidP="00B644CC">
            <w:pPr>
              <w:pStyle w:val="Alineazatoko"/>
              <w:spacing w:line="288" w:lineRule="auto"/>
              <w:ind w:left="0" w:firstLine="0"/>
              <w:rPr>
                <w:b/>
                <w:sz w:val="20"/>
                <w:szCs w:val="20"/>
              </w:rPr>
            </w:pPr>
          </w:p>
          <w:p w:rsidR="001B429E" w:rsidRDefault="001B429E" w:rsidP="00B644CC">
            <w:pPr>
              <w:pStyle w:val="Alineazatoko"/>
              <w:spacing w:line="288" w:lineRule="auto"/>
              <w:ind w:left="0" w:firstLine="0"/>
              <w:rPr>
                <w:sz w:val="20"/>
                <w:szCs w:val="20"/>
              </w:rPr>
            </w:pPr>
            <w:r w:rsidRPr="00AF4EA1">
              <w:rPr>
                <w:sz w:val="20"/>
                <w:szCs w:val="20"/>
              </w:rPr>
              <w:t xml:space="preserve">Sredstva za plače nacionalnega predstavnika in njegovega namestnika ter pomočnika so zagotovljena v proračunu </w:t>
            </w:r>
            <w:r w:rsidR="00FD6AFE">
              <w:rPr>
                <w:sz w:val="20"/>
                <w:szCs w:val="20"/>
              </w:rPr>
              <w:t>R</w:t>
            </w:r>
            <w:r w:rsidRPr="00AF4EA1">
              <w:rPr>
                <w:sz w:val="20"/>
                <w:szCs w:val="20"/>
              </w:rPr>
              <w:t>epublike Slovenije. Plača nacionalnega predstavnika, namestnika in pomočnika je določena z Uredbo o plačah in drugih prejemkih javnih uslužbencev za delo v tujini (v nadaljnjem besedilu: uredba) in ni vezana na dosežen državnotožilski naziv</w:t>
            </w:r>
            <w:r>
              <w:rPr>
                <w:sz w:val="20"/>
                <w:szCs w:val="20"/>
              </w:rPr>
              <w:t>. Z</w:t>
            </w:r>
            <w:r w:rsidRPr="00AF4EA1">
              <w:rPr>
                <w:sz w:val="20"/>
                <w:szCs w:val="20"/>
              </w:rPr>
              <w:t>a čas del</w:t>
            </w:r>
            <w:r>
              <w:rPr>
                <w:sz w:val="20"/>
                <w:szCs w:val="20"/>
              </w:rPr>
              <w:t>a</w:t>
            </w:r>
            <w:r w:rsidRPr="00AF4EA1">
              <w:rPr>
                <w:sz w:val="20"/>
                <w:szCs w:val="20"/>
              </w:rPr>
              <w:t xml:space="preserve"> v tujini prejemajo plačo za delo v tujini</w:t>
            </w:r>
            <w:r>
              <w:rPr>
                <w:sz w:val="20"/>
                <w:szCs w:val="20"/>
              </w:rPr>
              <w:t xml:space="preserve">, </w:t>
            </w:r>
            <w:r w:rsidRPr="00AF4EA1">
              <w:rPr>
                <w:sz w:val="20"/>
                <w:szCs w:val="20"/>
              </w:rPr>
              <w:t>v tem času</w:t>
            </w:r>
            <w:r>
              <w:rPr>
                <w:sz w:val="20"/>
                <w:szCs w:val="20"/>
              </w:rPr>
              <w:t xml:space="preserve"> pa so</w:t>
            </w:r>
            <w:r w:rsidRPr="00AF4EA1">
              <w:rPr>
                <w:sz w:val="20"/>
                <w:szCs w:val="20"/>
              </w:rPr>
              <w:t xml:space="preserve"> upravičeni do zneska, ki ustreza višini akontacije dohodnine in prispevkov delojemalca za socialno varnost, obračunanih od plače</w:t>
            </w:r>
            <w:r>
              <w:rPr>
                <w:sz w:val="20"/>
                <w:szCs w:val="20"/>
              </w:rPr>
              <w:t>, ki bi jo</w:t>
            </w:r>
            <w:r w:rsidRPr="00AF4EA1">
              <w:rPr>
                <w:sz w:val="20"/>
                <w:szCs w:val="20"/>
              </w:rPr>
              <w:t xml:space="preserve"> </w:t>
            </w:r>
            <w:r>
              <w:rPr>
                <w:sz w:val="20"/>
                <w:szCs w:val="20"/>
              </w:rPr>
              <w:t xml:space="preserve">prejemali </w:t>
            </w:r>
            <w:r w:rsidRPr="00AF4EA1">
              <w:rPr>
                <w:sz w:val="20"/>
                <w:szCs w:val="20"/>
              </w:rPr>
              <w:t>za delo v Republiki Sloveniji</w:t>
            </w:r>
            <w:r>
              <w:rPr>
                <w:sz w:val="20"/>
                <w:szCs w:val="20"/>
              </w:rPr>
              <w:t xml:space="preserve"> (4. in 7. člen uredbe)</w:t>
            </w:r>
            <w:r w:rsidRPr="00AF4EA1">
              <w:rPr>
                <w:sz w:val="20"/>
                <w:szCs w:val="20"/>
              </w:rPr>
              <w:t>.</w:t>
            </w:r>
          </w:p>
          <w:p w:rsidR="001B429E" w:rsidRDefault="001B429E" w:rsidP="00B644CC">
            <w:pPr>
              <w:pStyle w:val="Alineazatoko"/>
              <w:spacing w:line="288" w:lineRule="auto"/>
              <w:ind w:left="0" w:firstLine="0"/>
              <w:rPr>
                <w:sz w:val="20"/>
                <w:szCs w:val="20"/>
              </w:rPr>
            </w:pPr>
          </w:p>
          <w:p w:rsidR="001B429E" w:rsidRPr="00115F14" w:rsidRDefault="001B429E" w:rsidP="00B644CC">
            <w:pPr>
              <w:spacing w:line="288" w:lineRule="auto"/>
              <w:jc w:val="both"/>
              <w:rPr>
                <w:rFonts w:cs="Arial"/>
                <w:szCs w:val="20"/>
              </w:rPr>
            </w:pPr>
            <w:r w:rsidRPr="00115F14">
              <w:rPr>
                <w:rFonts w:cs="Arial"/>
                <w:szCs w:val="20"/>
              </w:rPr>
              <w:t>Ker ZDR-1</w:t>
            </w:r>
            <w:r>
              <w:rPr>
                <w:rFonts w:cs="Arial"/>
                <w:szCs w:val="20"/>
              </w:rPr>
              <w:t xml:space="preserve"> </w:t>
            </w:r>
            <w:r w:rsidRPr="00115F14">
              <w:rPr>
                <w:rFonts w:cs="Arial"/>
                <w:szCs w:val="20"/>
              </w:rPr>
              <w:t>delo v manj ugodnem delovnem času že ureja, medtem ko institut pripravljenosti (enako velja za dežurstvo) na ravni javnega sektorja ni enotno opredeljen, predlagamo ureditev instituta pripravljenosti primerljivo ureditvam kot izhajajo iz nekaterih drugih področnih zakonov, vključno z določitvijo neposredne podlage za plačilo opravljenega dela in pripravljenosti v okviru enotnega plačnega sistema (ZSPJS). Na ta način bi glede na to, da javni uslužbenci v okviru aktivnega sodelovanja pri opravljanju nujnih procesnih dejanj, delo opravljajo z enako intenzivnostjo kot v rednem delovnem času, zagotovili tudi njihov ustrezen plačni položaj. Sodelovanje v obliki dežurstva upoštevaje določbo šestega odstavka 32. člena ZSPJS je namreč nižje ovrednoteno iz naslova nižje osnove za obračun dodatka in nižje višine izplačanega dodatka za opravljeno delo. Slednje glede na podatke iz Analize plač v javnem sektorju za leto 2018 (dokument št. 0100-647/2019/1, 30. 8. 2019, objavljen na spletni strani Ministrstva za javno upravo) tudi ne bi predstavljalo odstopa od siceršnje višine tovrstnih izplačil pri ostalih neposrednih proračunskih uporabnikih. Upoštevaje vsebino navedene analize je namreč pri neposrednih uporabnikih proračunov delež izplačil za dežurno delo znašal slaba 2 % vseh izplačil, namenjenih za dežurno delo, ki se izplačuje le na področju pravosodja (pri tem velja posebej izpostaviti, da določba šestega odstavka 32. člena ZSPJS, ki določa plačila v času dežurstva, za pravosodne funkcionarje ne velja).</w:t>
            </w:r>
          </w:p>
          <w:p w:rsidR="001B429E" w:rsidRPr="00115F14" w:rsidRDefault="001B429E" w:rsidP="00B644CC">
            <w:pPr>
              <w:pStyle w:val="Alineazatoko"/>
              <w:spacing w:line="288" w:lineRule="auto"/>
              <w:ind w:left="0" w:firstLine="0"/>
              <w:rPr>
                <w:sz w:val="20"/>
                <w:szCs w:val="20"/>
                <w:highlight w:val="yellow"/>
              </w:rPr>
            </w:pPr>
          </w:p>
          <w:p w:rsidR="001B429E" w:rsidRDefault="001B429E" w:rsidP="00B644CC">
            <w:pPr>
              <w:pStyle w:val="Alineazatoko"/>
              <w:spacing w:line="288" w:lineRule="auto"/>
              <w:ind w:left="0" w:firstLine="0"/>
              <w:rPr>
                <w:sz w:val="20"/>
                <w:szCs w:val="20"/>
              </w:rPr>
            </w:pPr>
            <w:bookmarkStart w:id="3" w:name="_Hlk42602323"/>
            <w:r w:rsidRPr="00115F14">
              <w:rPr>
                <w:sz w:val="20"/>
                <w:szCs w:val="20"/>
              </w:rPr>
              <w:t>Vrhovno državno tožilstvo</w:t>
            </w:r>
            <w:r>
              <w:rPr>
                <w:sz w:val="20"/>
                <w:szCs w:val="20"/>
              </w:rPr>
              <w:t xml:space="preserve"> je</w:t>
            </w:r>
            <w:r w:rsidRPr="00115F14">
              <w:rPr>
                <w:sz w:val="20"/>
                <w:szCs w:val="20"/>
              </w:rPr>
              <w:t xml:space="preserve"> na letni ravni</w:t>
            </w:r>
            <w:r>
              <w:rPr>
                <w:sz w:val="20"/>
                <w:szCs w:val="20"/>
              </w:rPr>
              <w:t xml:space="preserve"> ocenilo, da bodo finančne posledice za</w:t>
            </w:r>
            <w:r w:rsidRPr="00115F14">
              <w:rPr>
                <w:sz w:val="20"/>
                <w:szCs w:val="20"/>
              </w:rPr>
              <w:t xml:space="preserve"> na novo predlagano ureditev </w:t>
            </w:r>
            <w:r>
              <w:rPr>
                <w:sz w:val="20"/>
                <w:szCs w:val="20"/>
              </w:rPr>
              <w:t>45. in 137.a</w:t>
            </w:r>
            <w:r w:rsidRPr="00115F14">
              <w:rPr>
                <w:sz w:val="20"/>
                <w:szCs w:val="20"/>
              </w:rPr>
              <w:t xml:space="preserve"> člena Zakona o državnem tožilstvu (vštevanje časa porabljenega za prihod kraj, kjer se opravljajo nujna procesna dejanja ter čas povratka), za vsa prvostopenjska državna tožilstva znašal</w:t>
            </w:r>
            <w:r>
              <w:rPr>
                <w:sz w:val="20"/>
                <w:szCs w:val="20"/>
              </w:rPr>
              <w:t>e</w:t>
            </w:r>
            <w:r w:rsidRPr="00115F14">
              <w:rPr>
                <w:sz w:val="20"/>
                <w:szCs w:val="20"/>
              </w:rPr>
              <w:t xml:space="preserve"> 22.550 evrov za državne tožilce ter 1.000 evrov za javne uslužbence </w:t>
            </w:r>
            <w:r w:rsidRPr="00115F14">
              <w:rPr>
                <w:sz w:val="20"/>
                <w:szCs w:val="20"/>
              </w:rPr>
              <w:lastRenderedPageBreak/>
              <w:t>(javni uslužbenci izjemoma sodelujejo pri opravi nujnih procesnih dejanj), skupaj bo imel predlog zakona iz tega naslova 23.550 evrov finančnih posledic za državni proračun</w:t>
            </w:r>
            <w:r w:rsidR="00C03860">
              <w:rPr>
                <w:sz w:val="20"/>
                <w:szCs w:val="20"/>
              </w:rPr>
              <w:t>.</w:t>
            </w:r>
          </w:p>
          <w:bookmarkEnd w:id="3"/>
          <w:p w:rsidR="001B429E" w:rsidRPr="009016AB" w:rsidRDefault="001B429E" w:rsidP="00B644CC">
            <w:pPr>
              <w:pStyle w:val="Alineazatoko"/>
              <w:spacing w:line="288" w:lineRule="auto"/>
              <w:ind w:left="0" w:firstLine="0"/>
              <w:rPr>
                <w:b/>
                <w:sz w:val="20"/>
                <w:szCs w:val="20"/>
              </w:rPr>
            </w:pPr>
          </w:p>
        </w:tc>
      </w:tr>
      <w:tr w:rsidR="001E28FB" w:rsidRPr="006741B0" w:rsidTr="0042598A">
        <w:tblPrEx>
          <w:jc w:val="left"/>
        </w:tblPrEx>
        <w:trPr>
          <w:gridAfter w:val="1"/>
          <w:wAfter w:w="120" w:type="dxa"/>
          <w:trHeight w:val="708"/>
        </w:trPr>
        <w:tc>
          <w:tcPr>
            <w:tcW w:w="8840" w:type="dxa"/>
            <w:gridSpan w:val="12"/>
          </w:tcPr>
          <w:p w:rsidR="001E28FB" w:rsidRDefault="001E28FB" w:rsidP="00B644CC">
            <w:pPr>
              <w:pStyle w:val="Oddelek"/>
              <w:widowControl w:val="0"/>
              <w:numPr>
                <w:ilvl w:val="0"/>
                <w:numId w:val="0"/>
              </w:numPr>
              <w:spacing w:before="0" w:after="0" w:line="288" w:lineRule="auto"/>
              <w:jc w:val="left"/>
              <w:rPr>
                <w:sz w:val="20"/>
                <w:szCs w:val="20"/>
              </w:rPr>
            </w:pPr>
            <w:r w:rsidRPr="0069543B">
              <w:rPr>
                <w:sz w:val="20"/>
                <w:szCs w:val="20"/>
              </w:rPr>
              <w:lastRenderedPageBreak/>
              <w:t>8. Predstavitev sodelovanja z združenji občin:</w:t>
            </w:r>
          </w:p>
          <w:p w:rsidR="001B429E" w:rsidRPr="00D91E56" w:rsidRDefault="001B429E" w:rsidP="00B644CC">
            <w:pPr>
              <w:pStyle w:val="Oddelek"/>
              <w:widowControl w:val="0"/>
              <w:numPr>
                <w:ilvl w:val="0"/>
                <w:numId w:val="0"/>
              </w:numPr>
              <w:spacing w:before="0" w:after="0" w:line="288" w:lineRule="auto"/>
              <w:jc w:val="left"/>
              <w:rPr>
                <w:sz w:val="20"/>
                <w:szCs w:val="20"/>
              </w:rPr>
            </w:pPr>
            <w:r>
              <w:rPr>
                <w:sz w:val="20"/>
                <w:szCs w:val="20"/>
              </w:rPr>
              <w:t>/</w:t>
            </w:r>
          </w:p>
        </w:tc>
      </w:tr>
      <w:tr w:rsidR="001E28FB" w:rsidRPr="006741B0" w:rsidTr="0042598A">
        <w:tblPrEx>
          <w:jc w:val="left"/>
        </w:tblPrEx>
        <w:trPr>
          <w:gridAfter w:val="1"/>
          <w:wAfter w:w="120" w:type="dxa"/>
          <w:trHeight w:val="708"/>
        </w:trPr>
        <w:tc>
          <w:tcPr>
            <w:tcW w:w="6884" w:type="dxa"/>
            <w:gridSpan w:val="10"/>
          </w:tcPr>
          <w:p w:rsidR="006F2E7F" w:rsidRDefault="006F2E7F" w:rsidP="00B644CC">
            <w:pPr>
              <w:pStyle w:val="Neotevilenodstavek"/>
              <w:widowControl w:val="0"/>
              <w:spacing w:before="0" w:after="0" w:line="288" w:lineRule="auto"/>
              <w:rPr>
                <w:iCs/>
                <w:sz w:val="20"/>
                <w:szCs w:val="20"/>
              </w:rPr>
            </w:pPr>
          </w:p>
          <w:p w:rsidR="001E28FB" w:rsidRPr="00E21D2C" w:rsidRDefault="001E28FB" w:rsidP="00B644CC">
            <w:pPr>
              <w:pStyle w:val="Neotevilenodstavek"/>
              <w:widowControl w:val="0"/>
              <w:spacing w:before="0" w:after="0" w:line="288" w:lineRule="auto"/>
              <w:rPr>
                <w:iCs/>
                <w:sz w:val="20"/>
                <w:szCs w:val="20"/>
              </w:rPr>
            </w:pPr>
            <w:r w:rsidRPr="00E21D2C">
              <w:rPr>
                <w:iCs/>
                <w:sz w:val="20"/>
                <w:szCs w:val="20"/>
              </w:rPr>
              <w:t>Vsebina predloženega gradiva (predpisa) vpliva na:</w:t>
            </w:r>
          </w:p>
          <w:p w:rsidR="001E28FB" w:rsidRPr="00E21D2C" w:rsidRDefault="001E28FB" w:rsidP="00B644CC">
            <w:pPr>
              <w:pStyle w:val="Neotevilenodstavek"/>
              <w:widowControl w:val="0"/>
              <w:numPr>
                <w:ilvl w:val="1"/>
                <w:numId w:val="4"/>
              </w:numPr>
              <w:spacing w:before="0" w:after="0" w:line="288" w:lineRule="auto"/>
              <w:ind w:left="0"/>
              <w:rPr>
                <w:iCs/>
                <w:sz w:val="20"/>
                <w:szCs w:val="20"/>
              </w:rPr>
            </w:pPr>
            <w:r w:rsidRPr="00E21D2C">
              <w:rPr>
                <w:iCs/>
                <w:sz w:val="20"/>
                <w:szCs w:val="20"/>
              </w:rPr>
              <w:t>pristojnosti občin,</w:t>
            </w:r>
          </w:p>
          <w:p w:rsidR="001E28FB" w:rsidRDefault="001E28FB" w:rsidP="00B644CC">
            <w:pPr>
              <w:pStyle w:val="Neotevilenodstavek"/>
              <w:widowControl w:val="0"/>
              <w:numPr>
                <w:ilvl w:val="1"/>
                <w:numId w:val="4"/>
              </w:numPr>
              <w:spacing w:before="0" w:after="0" w:line="288" w:lineRule="auto"/>
              <w:ind w:left="0"/>
              <w:rPr>
                <w:iCs/>
                <w:sz w:val="20"/>
                <w:szCs w:val="20"/>
              </w:rPr>
            </w:pPr>
            <w:r w:rsidRPr="00E21D2C">
              <w:rPr>
                <w:iCs/>
                <w:sz w:val="20"/>
                <w:szCs w:val="20"/>
              </w:rPr>
              <w:t>delovanje občin,</w:t>
            </w:r>
          </w:p>
          <w:p w:rsidR="001E28FB" w:rsidRPr="000653AD" w:rsidRDefault="001E28FB" w:rsidP="00B644CC">
            <w:pPr>
              <w:pStyle w:val="Neotevilenodstavek"/>
              <w:widowControl w:val="0"/>
              <w:numPr>
                <w:ilvl w:val="1"/>
                <w:numId w:val="4"/>
              </w:numPr>
              <w:spacing w:before="0" w:after="0" w:line="288" w:lineRule="auto"/>
              <w:ind w:left="0"/>
              <w:rPr>
                <w:iCs/>
                <w:sz w:val="20"/>
                <w:szCs w:val="20"/>
              </w:rPr>
            </w:pPr>
            <w:r w:rsidRPr="000653AD">
              <w:rPr>
                <w:iCs/>
                <w:sz w:val="20"/>
                <w:szCs w:val="20"/>
              </w:rPr>
              <w:t>financiranje občin.</w:t>
            </w:r>
          </w:p>
        </w:tc>
        <w:tc>
          <w:tcPr>
            <w:tcW w:w="1956" w:type="dxa"/>
            <w:gridSpan w:val="2"/>
            <w:vAlign w:val="bottom"/>
          </w:tcPr>
          <w:p w:rsidR="001E28FB" w:rsidRPr="0069543B" w:rsidRDefault="001E28FB" w:rsidP="00B644CC">
            <w:pPr>
              <w:pStyle w:val="Oddelek"/>
              <w:widowControl w:val="0"/>
              <w:numPr>
                <w:ilvl w:val="0"/>
                <w:numId w:val="0"/>
              </w:numPr>
              <w:spacing w:before="0" w:after="0" w:line="288" w:lineRule="auto"/>
              <w:rPr>
                <w:sz w:val="20"/>
                <w:szCs w:val="20"/>
              </w:rPr>
            </w:pPr>
            <w:r>
              <w:rPr>
                <w:sz w:val="20"/>
                <w:szCs w:val="20"/>
              </w:rPr>
              <w:t>NE</w:t>
            </w:r>
          </w:p>
        </w:tc>
      </w:tr>
      <w:tr w:rsidR="001E28FB" w:rsidRPr="006741B0" w:rsidTr="0042598A">
        <w:tblPrEx>
          <w:jc w:val="left"/>
        </w:tblPrEx>
        <w:trPr>
          <w:gridAfter w:val="1"/>
          <w:wAfter w:w="120" w:type="dxa"/>
          <w:trHeight w:val="708"/>
        </w:trPr>
        <w:tc>
          <w:tcPr>
            <w:tcW w:w="8840" w:type="dxa"/>
            <w:gridSpan w:val="12"/>
          </w:tcPr>
          <w:p w:rsidR="006F2E7F" w:rsidRDefault="006F2E7F" w:rsidP="00B644CC">
            <w:pPr>
              <w:pStyle w:val="Neotevilenodstavek"/>
              <w:widowControl w:val="0"/>
              <w:spacing w:before="0" w:after="0" w:line="288" w:lineRule="auto"/>
              <w:rPr>
                <w:iCs/>
                <w:sz w:val="20"/>
                <w:szCs w:val="20"/>
              </w:rPr>
            </w:pPr>
          </w:p>
          <w:p w:rsidR="001E28FB" w:rsidRPr="00E21D2C" w:rsidRDefault="001E28FB" w:rsidP="00B644CC">
            <w:pPr>
              <w:pStyle w:val="Neotevilenodstavek"/>
              <w:widowControl w:val="0"/>
              <w:spacing w:before="0" w:after="0" w:line="288" w:lineRule="auto"/>
              <w:rPr>
                <w:iCs/>
                <w:sz w:val="20"/>
                <w:szCs w:val="20"/>
              </w:rPr>
            </w:pPr>
            <w:r w:rsidRPr="00E21D2C">
              <w:rPr>
                <w:iCs/>
                <w:sz w:val="20"/>
                <w:szCs w:val="20"/>
              </w:rPr>
              <w:t xml:space="preserve">Gradivo (predpis) je bilo poslano v mnenje: </w:t>
            </w:r>
          </w:p>
          <w:p w:rsidR="001E28FB" w:rsidRPr="009809C0" w:rsidRDefault="001E28FB" w:rsidP="00B644CC">
            <w:pPr>
              <w:pStyle w:val="Neotevilenodstavek"/>
              <w:widowControl w:val="0"/>
              <w:numPr>
                <w:ilvl w:val="0"/>
                <w:numId w:val="5"/>
              </w:numPr>
              <w:spacing w:before="0" w:after="0" w:line="288" w:lineRule="auto"/>
              <w:ind w:left="0"/>
              <w:rPr>
                <w:b/>
                <w:bCs/>
                <w:iCs/>
                <w:sz w:val="20"/>
                <w:szCs w:val="20"/>
              </w:rPr>
            </w:pPr>
            <w:r w:rsidRPr="00E21D2C">
              <w:rPr>
                <w:iCs/>
                <w:sz w:val="20"/>
                <w:szCs w:val="20"/>
              </w:rPr>
              <w:t xml:space="preserve">Skupnosti občin Slovenije SOS: </w:t>
            </w:r>
            <w:r w:rsidRPr="009809C0">
              <w:rPr>
                <w:b/>
                <w:bCs/>
                <w:iCs/>
                <w:sz w:val="20"/>
                <w:szCs w:val="20"/>
              </w:rPr>
              <w:t>NE</w:t>
            </w:r>
          </w:p>
          <w:p w:rsidR="001E28FB" w:rsidRPr="009809C0" w:rsidRDefault="001E28FB" w:rsidP="00B644CC">
            <w:pPr>
              <w:pStyle w:val="Neotevilenodstavek"/>
              <w:widowControl w:val="0"/>
              <w:numPr>
                <w:ilvl w:val="0"/>
                <w:numId w:val="5"/>
              </w:numPr>
              <w:spacing w:before="0" w:after="0" w:line="288" w:lineRule="auto"/>
              <w:ind w:left="0"/>
              <w:rPr>
                <w:b/>
                <w:bCs/>
                <w:iCs/>
                <w:sz w:val="20"/>
                <w:szCs w:val="20"/>
              </w:rPr>
            </w:pPr>
            <w:r w:rsidRPr="00E21D2C">
              <w:rPr>
                <w:iCs/>
                <w:sz w:val="20"/>
                <w:szCs w:val="20"/>
              </w:rPr>
              <w:t xml:space="preserve">Združenju občin Slovenije ZOS: </w:t>
            </w:r>
            <w:r w:rsidRPr="009809C0">
              <w:rPr>
                <w:b/>
                <w:bCs/>
                <w:iCs/>
                <w:sz w:val="20"/>
                <w:szCs w:val="20"/>
              </w:rPr>
              <w:t>NE</w:t>
            </w:r>
          </w:p>
          <w:p w:rsidR="001E28FB" w:rsidRPr="00E21D2C" w:rsidRDefault="001E28FB" w:rsidP="00B644CC">
            <w:pPr>
              <w:pStyle w:val="Neotevilenodstavek"/>
              <w:widowControl w:val="0"/>
              <w:numPr>
                <w:ilvl w:val="0"/>
                <w:numId w:val="5"/>
              </w:numPr>
              <w:spacing w:before="0" w:after="0" w:line="288" w:lineRule="auto"/>
              <w:ind w:left="0"/>
              <w:rPr>
                <w:iCs/>
                <w:sz w:val="20"/>
                <w:szCs w:val="20"/>
              </w:rPr>
            </w:pPr>
            <w:r w:rsidRPr="00E21D2C">
              <w:rPr>
                <w:iCs/>
                <w:sz w:val="20"/>
                <w:szCs w:val="20"/>
              </w:rPr>
              <w:t xml:space="preserve">Združenju mestnih občin Slovenije ZMOS: </w:t>
            </w:r>
            <w:r w:rsidRPr="009809C0">
              <w:rPr>
                <w:b/>
                <w:bCs/>
                <w:iCs/>
                <w:sz w:val="20"/>
                <w:szCs w:val="20"/>
              </w:rPr>
              <w:t>NE</w:t>
            </w:r>
          </w:p>
          <w:p w:rsidR="001E28FB" w:rsidRDefault="001E28FB" w:rsidP="00B644CC">
            <w:pPr>
              <w:pStyle w:val="Oddelek"/>
              <w:widowControl w:val="0"/>
              <w:numPr>
                <w:ilvl w:val="0"/>
                <w:numId w:val="0"/>
              </w:numPr>
              <w:spacing w:before="0" w:after="0" w:line="288" w:lineRule="auto"/>
              <w:rPr>
                <w:sz w:val="20"/>
                <w:szCs w:val="20"/>
              </w:rPr>
            </w:pPr>
          </w:p>
          <w:p w:rsidR="001E28FB" w:rsidRPr="00032FAF" w:rsidRDefault="001E28FB" w:rsidP="00B644CC">
            <w:pPr>
              <w:widowControl w:val="0"/>
              <w:overflowPunct w:val="0"/>
              <w:autoSpaceDE w:val="0"/>
              <w:autoSpaceDN w:val="0"/>
              <w:adjustRightInd w:val="0"/>
              <w:jc w:val="both"/>
              <w:textAlignment w:val="baseline"/>
              <w:rPr>
                <w:rFonts w:cs="Arial"/>
                <w:iCs/>
                <w:szCs w:val="20"/>
                <w:lang w:eastAsia="sl-SI"/>
              </w:rPr>
            </w:pPr>
            <w:r w:rsidRPr="00032FAF">
              <w:rPr>
                <w:rFonts w:cs="Arial"/>
                <w:iCs/>
                <w:szCs w:val="20"/>
                <w:lang w:eastAsia="sl-SI"/>
              </w:rPr>
              <w:t>Predlogi in pripombe združenj so bili upoštevani:</w:t>
            </w:r>
            <w:r>
              <w:rPr>
                <w:rFonts w:cs="Arial"/>
                <w:iCs/>
                <w:szCs w:val="20"/>
                <w:lang w:eastAsia="sl-SI"/>
              </w:rPr>
              <w:t xml:space="preserve"> /</w:t>
            </w:r>
          </w:p>
          <w:p w:rsidR="001E28FB" w:rsidRPr="00032FAF" w:rsidRDefault="001E28FB" w:rsidP="00B644CC">
            <w:pPr>
              <w:widowControl w:val="0"/>
              <w:overflowPunct w:val="0"/>
              <w:autoSpaceDE w:val="0"/>
              <w:autoSpaceDN w:val="0"/>
              <w:adjustRightInd w:val="0"/>
              <w:jc w:val="both"/>
              <w:textAlignment w:val="baseline"/>
              <w:rPr>
                <w:rFonts w:cs="Arial"/>
                <w:iCs/>
                <w:szCs w:val="20"/>
                <w:lang w:eastAsia="sl-SI"/>
              </w:rPr>
            </w:pPr>
            <w:r w:rsidRPr="00032FAF">
              <w:rPr>
                <w:rFonts w:cs="Arial"/>
                <w:iCs/>
                <w:szCs w:val="20"/>
                <w:lang w:eastAsia="sl-SI"/>
              </w:rPr>
              <w:t>Bistveni predlogi in pr</w:t>
            </w:r>
            <w:r>
              <w:rPr>
                <w:rFonts w:cs="Arial"/>
                <w:iCs/>
                <w:szCs w:val="20"/>
                <w:lang w:eastAsia="sl-SI"/>
              </w:rPr>
              <w:t>ipombe, ki niso bili upoštevani: /</w:t>
            </w:r>
          </w:p>
          <w:p w:rsidR="001E28FB" w:rsidRDefault="001E28FB" w:rsidP="00B644CC">
            <w:pPr>
              <w:pStyle w:val="Oddelek"/>
              <w:widowControl w:val="0"/>
              <w:numPr>
                <w:ilvl w:val="0"/>
                <w:numId w:val="0"/>
              </w:numPr>
              <w:spacing w:before="0" w:after="0" w:line="288" w:lineRule="auto"/>
              <w:jc w:val="both"/>
              <w:rPr>
                <w:sz w:val="20"/>
                <w:szCs w:val="20"/>
              </w:rPr>
            </w:pPr>
          </w:p>
        </w:tc>
      </w:tr>
      <w:tr w:rsidR="001E28FB" w:rsidRPr="006741B0" w:rsidTr="0042598A">
        <w:tblPrEx>
          <w:jc w:val="left"/>
        </w:tblPrEx>
        <w:trPr>
          <w:gridAfter w:val="1"/>
          <w:wAfter w:w="120" w:type="dxa"/>
          <w:trHeight w:val="708"/>
        </w:trPr>
        <w:tc>
          <w:tcPr>
            <w:tcW w:w="8840" w:type="dxa"/>
            <w:gridSpan w:val="12"/>
          </w:tcPr>
          <w:p w:rsidR="001E28FB" w:rsidRPr="006F2E7F" w:rsidRDefault="001E28FB" w:rsidP="00B644CC">
            <w:pPr>
              <w:pStyle w:val="Neotevilenodstavek"/>
              <w:widowControl w:val="0"/>
              <w:spacing w:before="0" w:after="0" w:line="288" w:lineRule="auto"/>
              <w:rPr>
                <w:iCs/>
                <w:sz w:val="20"/>
                <w:szCs w:val="20"/>
              </w:rPr>
            </w:pPr>
            <w:r w:rsidRPr="00E21D2C">
              <w:rPr>
                <w:b/>
                <w:sz w:val="20"/>
                <w:szCs w:val="20"/>
              </w:rPr>
              <w:t>9. Predstavitev sodelovanja javnosti:</w:t>
            </w:r>
          </w:p>
        </w:tc>
      </w:tr>
      <w:tr w:rsidR="001E28FB" w:rsidRPr="006741B0" w:rsidTr="0042598A">
        <w:tblPrEx>
          <w:jc w:val="left"/>
        </w:tblPrEx>
        <w:trPr>
          <w:gridAfter w:val="1"/>
          <w:wAfter w:w="120" w:type="dxa"/>
          <w:trHeight w:val="708"/>
        </w:trPr>
        <w:tc>
          <w:tcPr>
            <w:tcW w:w="6884" w:type="dxa"/>
            <w:gridSpan w:val="10"/>
            <w:vAlign w:val="bottom"/>
          </w:tcPr>
          <w:p w:rsidR="001E28FB" w:rsidRPr="00E21D2C" w:rsidRDefault="001E28FB" w:rsidP="00B644CC">
            <w:pPr>
              <w:pStyle w:val="Neotevilenodstavek"/>
              <w:widowControl w:val="0"/>
              <w:spacing w:before="0" w:after="0" w:line="288" w:lineRule="auto"/>
              <w:rPr>
                <w:b/>
                <w:sz w:val="20"/>
                <w:szCs w:val="20"/>
              </w:rPr>
            </w:pPr>
            <w:r w:rsidRPr="00E21D2C">
              <w:rPr>
                <w:iCs/>
                <w:sz w:val="20"/>
                <w:szCs w:val="20"/>
              </w:rPr>
              <w:t>Gradivo je bilo predhodno objavljeno n</w:t>
            </w:r>
            <w:r>
              <w:rPr>
                <w:iCs/>
                <w:sz w:val="20"/>
                <w:szCs w:val="20"/>
              </w:rPr>
              <w:t xml:space="preserve">a spletni strani </w:t>
            </w:r>
            <w:r w:rsidR="009809C0">
              <w:rPr>
                <w:iCs/>
                <w:sz w:val="20"/>
                <w:szCs w:val="20"/>
              </w:rPr>
              <w:t>e-Demokracija</w:t>
            </w:r>
            <w:r w:rsidR="00AF4D95">
              <w:rPr>
                <w:iCs/>
                <w:sz w:val="20"/>
                <w:szCs w:val="20"/>
              </w:rPr>
              <w:t>.</w:t>
            </w:r>
            <w:r w:rsidR="009809C0">
              <w:rPr>
                <w:iCs/>
                <w:sz w:val="20"/>
                <w:szCs w:val="20"/>
              </w:rPr>
              <w:t xml:space="preserve"> </w:t>
            </w:r>
          </w:p>
        </w:tc>
        <w:tc>
          <w:tcPr>
            <w:tcW w:w="1956" w:type="dxa"/>
            <w:gridSpan w:val="2"/>
            <w:vAlign w:val="bottom"/>
          </w:tcPr>
          <w:p w:rsidR="001E28FB" w:rsidRPr="00E21D2C" w:rsidRDefault="001E28FB" w:rsidP="00B644CC">
            <w:pPr>
              <w:pStyle w:val="Neotevilenodstavek"/>
              <w:widowControl w:val="0"/>
              <w:spacing w:before="0" w:after="0" w:line="288" w:lineRule="auto"/>
              <w:jc w:val="center"/>
              <w:rPr>
                <w:b/>
                <w:sz w:val="20"/>
                <w:szCs w:val="20"/>
              </w:rPr>
            </w:pPr>
            <w:r>
              <w:rPr>
                <w:b/>
                <w:sz w:val="20"/>
                <w:szCs w:val="20"/>
              </w:rPr>
              <w:t>DA</w:t>
            </w:r>
          </w:p>
        </w:tc>
      </w:tr>
      <w:tr w:rsidR="001E28FB" w:rsidRPr="006741B0" w:rsidTr="0042598A">
        <w:tblPrEx>
          <w:jc w:val="left"/>
        </w:tblPrEx>
        <w:trPr>
          <w:gridAfter w:val="1"/>
          <w:wAfter w:w="120" w:type="dxa"/>
          <w:trHeight w:val="708"/>
        </w:trPr>
        <w:tc>
          <w:tcPr>
            <w:tcW w:w="6884" w:type="dxa"/>
            <w:gridSpan w:val="10"/>
          </w:tcPr>
          <w:p w:rsidR="001E28FB" w:rsidRPr="009809C0" w:rsidRDefault="001E28FB" w:rsidP="00B644CC">
            <w:pPr>
              <w:widowControl w:val="0"/>
              <w:overflowPunct w:val="0"/>
              <w:autoSpaceDE w:val="0"/>
              <w:autoSpaceDN w:val="0"/>
              <w:adjustRightInd w:val="0"/>
              <w:spacing w:line="260" w:lineRule="exact"/>
              <w:jc w:val="both"/>
              <w:textAlignment w:val="baseline"/>
              <w:rPr>
                <w:rFonts w:cs="Arial"/>
                <w:iCs/>
                <w:szCs w:val="20"/>
                <w:lang w:eastAsia="sl-SI"/>
              </w:rPr>
            </w:pPr>
            <w:r w:rsidRPr="009809C0">
              <w:rPr>
                <w:rFonts w:cs="Arial"/>
                <w:iCs/>
                <w:szCs w:val="20"/>
                <w:lang w:eastAsia="sl-SI"/>
              </w:rPr>
              <w:t xml:space="preserve">Datum objave: </w:t>
            </w:r>
            <w:r w:rsidR="009208A1" w:rsidRPr="009208A1">
              <w:rPr>
                <w:rFonts w:cs="Arial"/>
                <w:iCs/>
                <w:szCs w:val="20"/>
                <w:lang w:eastAsia="sl-SI"/>
              </w:rPr>
              <w:t>22</w:t>
            </w:r>
            <w:r w:rsidRPr="009208A1">
              <w:rPr>
                <w:rFonts w:cs="Arial"/>
                <w:iCs/>
                <w:szCs w:val="20"/>
                <w:lang w:eastAsia="sl-SI"/>
              </w:rPr>
              <w:t>.</w:t>
            </w:r>
            <w:r w:rsidR="009208A1" w:rsidRPr="009208A1">
              <w:rPr>
                <w:rFonts w:cs="Arial"/>
                <w:iCs/>
                <w:szCs w:val="20"/>
                <w:lang w:eastAsia="sl-SI"/>
              </w:rPr>
              <w:t xml:space="preserve"> 5</w:t>
            </w:r>
            <w:r w:rsidRPr="009208A1">
              <w:rPr>
                <w:rFonts w:cs="Arial"/>
                <w:iCs/>
                <w:szCs w:val="20"/>
                <w:lang w:eastAsia="sl-SI"/>
              </w:rPr>
              <w:t>.</w:t>
            </w:r>
            <w:r w:rsidR="009208A1" w:rsidRPr="009208A1">
              <w:rPr>
                <w:rFonts w:cs="Arial"/>
                <w:iCs/>
                <w:szCs w:val="20"/>
                <w:lang w:eastAsia="sl-SI"/>
              </w:rPr>
              <w:t xml:space="preserve"> </w:t>
            </w:r>
            <w:r w:rsidRPr="009208A1">
              <w:rPr>
                <w:rFonts w:cs="Arial"/>
                <w:iCs/>
                <w:szCs w:val="20"/>
                <w:lang w:eastAsia="sl-SI"/>
              </w:rPr>
              <w:t>20</w:t>
            </w:r>
            <w:r w:rsidR="009208A1" w:rsidRPr="009208A1">
              <w:rPr>
                <w:rFonts w:cs="Arial"/>
                <w:iCs/>
                <w:szCs w:val="20"/>
                <w:lang w:eastAsia="sl-SI"/>
              </w:rPr>
              <w:t>20</w:t>
            </w:r>
          </w:p>
          <w:p w:rsidR="00AF4D95" w:rsidRDefault="00AF4D95" w:rsidP="00AF4D95">
            <w:pPr>
              <w:widowControl w:val="0"/>
              <w:overflowPunct w:val="0"/>
              <w:autoSpaceDE w:val="0"/>
              <w:autoSpaceDN w:val="0"/>
              <w:adjustRightInd w:val="0"/>
              <w:spacing w:line="288" w:lineRule="auto"/>
              <w:jc w:val="both"/>
              <w:textAlignment w:val="baseline"/>
              <w:rPr>
                <w:rFonts w:cs="Arial"/>
                <w:iCs/>
                <w:szCs w:val="20"/>
                <w:lang w:eastAsia="sl-SI"/>
              </w:rPr>
            </w:pPr>
          </w:p>
          <w:p w:rsidR="001E28FB" w:rsidRDefault="001E28FB" w:rsidP="00AF4D95">
            <w:pPr>
              <w:widowControl w:val="0"/>
              <w:overflowPunct w:val="0"/>
              <w:autoSpaceDE w:val="0"/>
              <w:autoSpaceDN w:val="0"/>
              <w:adjustRightInd w:val="0"/>
              <w:spacing w:line="288" w:lineRule="auto"/>
              <w:jc w:val="both"/>
              <w:textAlignment w:val="baseline"/>
              <w:rPr>
                <w:rFonts w:cs="Arial"/>
                <w:iCs/>
                <w:szCs w:val="20"/>
                <w:lang w:eastAsia="sl-SI"/>
              </w:rPr>
            </w:pPr>
            <w:r w:rsidRPr="009809C0">
              <w:rPr>
                <w:rFonts w:cs="Arial"/>
                <w:iCs/>
                <w:szCs w:val="20"/>
                <w:lang w:eastAsia="sl-SI"/>
              </w:rPr>
              <w:t xml:space="preserve">V razpravo so bili vključeni: </w:t>
            </w:r>
            <w:r w:rsidR="009809C0">
              <w:rPr>
                <w:rFonts w:cs="Arial"/>
                <w:iCs/>
                <w:szCs w:val="20"/>
                <w:lang w:eastAsia="sl-SI"/>
              </w:rPr>
              <w:t>Vrhovno državno tožilstvo, Državnotožilski svet</w:t>
            </w:r>
            <w:r w:rsidR="001F498C">
              <w:rPr>
                <w:rFonts w:cs="Arial"/>
                <w:iCs/>
                <w:szCs w:val="20"/>
                <w:lang w:eastAsia="sl-SI"/>
              </w:rPr>
              <w:t xml:space="preserve">, </w:t>
            </w:r>
            <w:r w:rsidR="009809C0">
              <w:rPr>
                <w:rFonts w:cs="Arial"/>
                <w:iCs/>
                <w:szCs w:val="20"/>
                <w:lang w:eastAsia="sl-SI"/>
              </w:rPr>
              <w:t>Društvo državnih tožilcev Slovenije</w:t>
            </w:r>
            <w:r w:rsidR="001F498C">
              <w:rPr>
                <w:rFonts w:cs="Arial"/>
                <w:iCs/>
                <w:szCs w:val="20"/>
                <w:lang w:eastAsia="sl-SI"/>
              </w:rPr>
              <w:t xml:space="preserve"> in Sindikat delavcev v pravosodju</w:t>
            </w:r>
            <w:r w:rsidR="009809C0">
              <w:rPr>
                <w:rFonts w:cs="Arial"/>
                <w:iCs/>
                <w:szCs w:val="20"/>
                <w:lang w:eastAsia="sl-SI"/>
              </w:rPr>
              <w:t>.</w:t>
            </w:r>
          </w:p>
          <w:p w:rsidR="00AA1CCE" w:rsidRDefault="00AA1CCE" w:rsidP="00AF4D95">
            <w:pPr>
              <w:widowControl w:val="0"/>
              <w:overflowPunct w:val="0"/>
              <w:autoSpaceDE w:val="0"/>
              <w:autoSpaceDN w:val="0"/>
              <w:adjustRightInd w:val="0"/>
              <w:spacing w:line="288" w:lineRule="auto"/>
              <w:jc w:val="both"/>
              <w:textAlignment w:val="baseline"/>
              <w:rPr>
                <w:rFonts w:cs="Arial"/>
                <w:iCs/>
                <w:szCs w:val="20"/>
                <w:lang w:eastAsia="sl-SI"/>
              </w:rPr>
            </w:pPr>
          </w:p>
          <w:p w:rsidR="00AA1CCE" w:rsidRDefault="00AA1CCE" w:rsidP="00AF4D95">
            <w:pPr>
              <w:widowControl w:val="0"/>
              <w:overflowPunct w:val="0"/>
              <w:autoSpaceDE w:val="0"/>
              <w:autoSpaceDN w:val="0"/>
              <w:adjustRightInd w:val="0"/>
              <w:spacing w:line="288" w:lineRule="auto"/>
              <w:jc w:val="both"/>
              <w:textAlignment w:val="baseline"/>
              <w:rPr>
                <w:rFonts w:cs="Arial"/>
                <w:iCs/>
                <w:szCs w:val="20"/>
                <w:lang w:eastAsia="sl-SI"/>
              </w:rPr>
            </w:pPr>
            <w:r>
              <w:rPr>
                <w:rFonts w:cs="Arial"/>
                <w:iCs/>
                <w:szCs w:val="20"/>
                <w:lang w:eastAsia="sl-SI"/>
              </w:rPr>
              <w:t>D</w:t>
            </w:r>
            <w:r w:rsidRPr="00AA1CCE">
              <w:rPr>
                <w:rFonts w:cs="Arial"/>
                <w:iCs/>
                <w:szCs w:val="20"/>
                <w:lang w:eastAsia="sl-SI"/>
              </w:rPr>
              <w:t xml:space="preserve">ne 18. 11. 2019 </w:t>
            </w:r>
            <w:r>
              <w:rPr>
                <w:rFonts w:cs="Arial"/>
                <w:iCs/>
                <w:szCs w:val="20"/>
                <w:lang w:eastAsia="sl-SI"/>
              </w:rPr>
              <w:t xml:space="preserve">je bil </w:t>
            </w:r>
            <w:r w:rsidRPr="00AA1CCE">
              <w:rPr>
                <w:rFonts w:cs="Arial"/>
                <w:iCs/>
                <w:szCs w:val="20"/>
                <w:lang w:eastAsia="sl-SI"/>
              </w:rPr>
              <w:t xml:space="preserve">opravljen sestanek s predstavniki Ministrstva za javno upravo glede možnih rešitev normativnega urejanja sodelovanja državnotožilskega osebja pri delu v dežurni službi državnega tožilstva in ureditve plačila za opravljeno delo v okviru enotnega plačnega sistema za javni sektor. </w:t>
            </w:r>
          </w:p>
          <w:p w:rsidR="00AA1CCE" w:rsidRDefault="00AA1CCE" w:rsidP="00AF4D95">
            <w:pPr>
              <w:widowControl w:val="0"/>
              <w:overflowPunct w:val="0"/>
              <w:autoSpaceDE w:val="0"/>
              <w:autoSpaceDN w:val="0"/>
              <w:adjustRightInd w:val="0"/>
              <w:spacing w:line="288" w:lineRule="auto"/>
              <w:jc w:val="both"/>
              <w:textAlignment w:val="baseline"/>
              <w:rPr>
                <w:rFonts w:cs="Arial"/>
                <w:iCs/>
                <w:szCs w:val="20"/>
                <w:lang w:eastAsia="sl-SI"/>
              </w:rPr>
            </w:pPr>
          </w:p>
          <w:p w:rsidR="00AA1CCE" w:rsidRDefault="00AA1CCE" w:rsidP="00AF4D95">
            <w:pPr>
              <w:widowControl w:val="0"/>
              <w:overflowPunct w:val="0"/>
              <w:autoSpaceDE w:val="0"/>
              <w:autoSpaceDN w:val="0"/>
              <w:adjustRightInd w:val="0"/>
              <w:spacing w:line="288" w:lineRule="auto"/>
              <w:jc w:val="both"/>
              <w:textAlignment w:val="baseline"/>
              <w:rPr>
                <w:rFonts w:cs="Arial"/>
                <w:iCs/>
                <w:szCs w:val="20"/>
                <w:lang w:eastAsia="sl-SI"/>
              </w:rPr>
            </w:pPr>
            <w:r>
              <w:rPr>
                <w:rFonts w:cs="Arial"/>
                <w:iCs/>
                <w:szCs w:val="20"/>
                <w:lang w:eastAsia="sl-SI"/>
              </w:rPr>
              <w:t xml:space="preserve">Dne </w:t>
            </w:r>
            <w:r w:rsidRPr="00AA1CCE">
              <w:rPr>
                <w:rFonts w:cs="Arial"/>
                <w:iCs/>
                <w:szCs w:val="20"/>
                <w:lang w:eastAsia="sl-SI"/>
              </w:rPr>
              <w:t>11. 12. 2019</w:t>
            </w:r>
            <w:r>
              <w:rPr>
                <w:rFonts w:cs="Arial"/>
                <w:iCs/>
                <w:szCs w:val="20"/>
                <w:lang w:eastAsia="sl-SI"/>
              </w:rPr>
              <w:t xml:space="preserve"> je bil i</w:t>
            </w:r>
            <w:r w:rsidRPr="00AA1CCE">
              <w:rPr>
                <w:rFonts w:cs="Arial"/>
                <w:iCs/>
                <w:szCs w:val="20"/>
                <w:lang w:eastAsia="sl-SI"/>
              </w:rPr>
              <w:t>zveden sestanek s predstavniki Vrhovnega državnega tožilstva Republike Slovenije</w:t>
            </w:r>
          </w:p>
          <w:p w:rsidR="00AA1CCE" w:rsidRDefault="00AA1CCE" w:rsidP="00AF4D95">
            <w:pPr>
              <w:widowControl w:val="0"/>
              <w:overflowPunct w:val="0"/>
              <w:autoSpaceDE w:val="0"/>
              <w:autoSpaceDN w:val="0"/>
              <w:adjustRightInd w:val="0"/>
              <w:spacing w:line="288" w:lineRule="auto"/>
              <w:jc w:val="both"/>
              <w:textAlignment w:val="baseline"/>
              <w:rPr>
                <w:rFonts w:cs="Arial"/>
                <w:iCs/>
                <w:szCs w:val="20"/>
                <w:lang w:eastAsia="sl-SI"/>
              </w:rPr>
            </w:pPr>
          </w:p>
          <w:p w:rsidR="00AA1CCE" w:rsidRDefault="00AA1CCE" w:rsidP="00AF4D95">
            <w:pPr>
              <w:widowControl w:val="0"/>
              <w:overflowPunct w:val="0"/>
              <w:autoSpaceDE w:val="0"/>
              <w:autoSpaceDN w:val="0"/>
              <w:adjustRightInd w:val="0"/>
              <w:spacing w:line="288" w:lineRule="auto"/>
              <w:jc w:val="both"/>
              <w:textAlignment w:val="baseline"/>
              <w:rPr>
                <w:rFonts w:cs="Arial"/>
                <w:iCs/>
                <w:szCs w:val="20"/>
                <w:lang w:eastAsia="sl-SI"/>
              </w:rPr>
            </w:pPr>
            <w:r>
              <w:rPr>
                <w:rFonts w:cs="Arial"/>
                <w:iCs/>
                <w:szCs w:val="20"/>
                <w:lang w:eastAsia="sl-SI"/>
              </w:rPr>
              <w:t>Z</w:t>
            </w:r>
            <w:r w:rsidRPr="00AA1CCE">
              <w:rPr>
                <w:rFonts w:cs="Arial"/>
                <w:iCs/>
                <w:szCs w:val="20"/>
                <w:lang w:eastAsia="sl-SI"/>
              </w:rPr>
              <w:t xml:space="preserve"> namenom izmenjave strokovnih stališč glede nakazane rešitve za potrebe nadaljnje priprave strokovnega gradiva</w:t>
            </w:r>
            <w:r>
              <w:rPr>
                <w:rFonts w:cs="Arial"/>
                <w:iCs/>
                <w:szCs w:val="20"/>
                <w:lang w:eastAsia="sl-SI"/>
              </w:rPr>
              <w:t xml:space="preserve"> je bil dne 8. 1. 2020 izveden sestanek s </w:t>
            </w:r>
            <w:r w:rsidRPr="00AA1CCE">
              <w:rPr>
                <w:rFonts w:cs="Arial"/>
                <w:iCs/>
                <w:szCs w:val="20"/>
                <w:lang w:eastAsia="sl-SI"/>
              </w:rPr>
              <w:t>predstavniki Sindikata delavcev v pravosodju</w:t>
            </w:r>
            <w:r>
              <w:rPr>
                <w:rFonts w:cs="Arial"/>
                <w:iCs/>
                <w:szCs w:val="20"/>
                <w:lang w:eastAsia="sl-SI"/>
              </w:rPr>
              <w:t xml:space="preserve">. </w:t>
            </w:r>
          </w:p>
          <w:p w:rsidR="00AA1CCE" w:rsidRDefault="00AA1CCE" w:rsidP="00AF4D95">
            <w:pPr>
              <w:widowControl w:val="0"/>
              <w:overflowPunct w:val="0"/>
              <w:autoSpaceDE w:val="0"/>
              <w:autoSpaceDN w:val="0"/>
              <w:adjustRightInd w:val="0"/>
              <w:spacing w:line="288" w:lineRule="auto"/>
              <w:jc w:val="both"/>
              <w:textAlignment w:val="baseline"/>
              <w:rPr>
                <w:rFonts w:cs="Arial"/>
                <w:iCs/>
                <w:szCs w:val="20"/>
                <w:lang w:eastAsia="sl-SI"/>
              </w:rPr>
            </w:pPr>
          </w:p>
          <w:p w:rsidR="001F498C" w:rsidRDefault="001F498C" w:rsidP="00AF4D95">
            <w:pPr>
              <w:widowControl w:val="0"/>
              <w:overflowPunct w:val="0"/>
              <w:autoSpaceDE w:val="0"/>
              <w:autoSpaceDN w:val="0"/>
              <w:adjustRightInd w:val="0"/>
              <w:spacing w:line="288" w:lineRule="auto"/>
              <w:jc w:val="both"/>
              <w:textAlignment w:val="baseline"/>
              <w:rPr>
                <w:rFonts w:cs="Arial"/>
                <w:iCs/>
                <w:szCs w:val="20"/>
                <w:lang w:eastAsia="sl-SI"/>
              </w:rPr>
            </w:pPr>
            <w:r>
              <w:rPr>
                <w:rFonts w:cs="Arial"/>
                <w:iCs/>
                <w:szCs w:val="20"/>
                <w:lang w:eastAsia="sl-SI"/>
              </w:rPr>
              <w:t>Dne 28. 2. 2020 je bilo gradivo delovnega osnutka zakona posredovano v strokovno usklajevanje Vrhovnemu državnemu tožilstvu,</w:t>
            </w:r>
          </w:p>
          <w:p w:rsidR="001F498C" w:rsidRDefault="001F498C" w:rsidP="00AF4D95">
            <w:pPr>
              <w:widowControl w:val="0"/>
              <w:overflowPunct w:val="0"/>
              <w:autoSpaceDE w:val="0"/>
              <w:autoSpaceDN w:val="0"/>
              <w:adjustRightInd w:val="0"/>
              <w:spacing w:line="288" w:lineRule="auto"/>
              <w:jc w:val="both"/>
              <w:textAlignment w:val="baseline"/>
              <w:rPr>
                <w:rFonts w:cs="Arial"/>
                <w:iCs/>
                <w:szCs w:val="20"/>
                <w:lang w:eastAsia="sl-SI"/>
              </w:rPr>
            </w:pPr>
            <w:r>
              <w:rPr>
                <w:rFonts w:cs="Arial"/>
                <w:iCs/>
                <w:szCs w:val="20"/>
                <w:lang w:eastAsia="sl-SI"/>
              </w:rPr>
              <w:t>Državnotožilskemu svetu, Društvu državnih tožilcev Slovenije in Sindikatu delavcev v pravosodju.</w:t>
            </w:r>
          </w:p>
          <w:p w:rsidR="001F498C" w:rsidRDefault="001F498C" w:rsidP="00AF4D95">
            <w:pPr>
              <w:widowControl w:val="0"/>
              <w:overflowPunct w:val="0"/>
              <w:autoSpaceDE w:val="0"/>
              <w:autoSpaceDN w:val="0"/>
              <w:adjustRightInd w:val="0"/>
              <w:spacing w:line="288" w:lineRule="auto"/>
              <w:jc w:val="both"/>
              <w:textAlignment w:val="baseline"/>
              <w:rPr>
                <w:rFonts w:cs="Arial"/>
                <w:iCs/>
                <w:szCs w:val="20"/>
                <w:lang w:eastAsia="sl-SI"/>
              </w:rPr>
            </w:pPr>
          </w:p>
          <w:p w:rsidR="00AA1CCE" w:rsidRPr="009809C0" w:rsidRDefault="00AA1CCE" w:rsidP="00AF4D95">
            <w:pPr>
              <w:widowControl w:val="0"/>
              <w:overflowPunct w:val="0"/>
              <w:autoSpaceDE w:val="0"/>
              <w:autoSpaceDN w:val="0"/>
              <w:adjustRightInd w:val="0"/>
              <w:spacing w:line="288" w:lineRule="auto"/>
              <w:jc w:val="both"/>
              <w:textAlignment w:val="baseline"/>
              <w:rPr>
                <w:rFonts w:cs="Arial"/>
                <w:iCs/>
                <w:szCs w:val="20"/>
                <w:lang w:eastAsia="sl-SI"/>
              </w:rPr>
            </w:pPr>
            <w:r>
              <w:rPr>
                <w:rFonts w:cs="Arial"/>
                <w:iCs/>
                <w:szCs w:val="20"/>
                <w:lang w:eastAsia="sl-SI"/>
              </w:rPr>
              <w:t>Gradivo delovnega osnutka predloga zakona je bilo</w:t>
            </w:r>
            <w:r w:rsidR="001F498C">
              <w:rPr>
                <w:rFonts w:cs="Arial"/>
                <w:iCs/>
                <w:szCs w:val="20"/>
                <w:lang w:eastAsia="sl-SI"/>
              </w:rPr>
              <w:t xml:space="preserve"> v strokovnem </w:t>
            </w:r>
            <w:r w:rsidR="001F498C">
              <w:rPr>
                <w:rFonts w:cs="Arial"/>
                <w:iCs/>
                <w:szCs w:val="20"/>
                <w:lang w:eastAsia="sl-SI"/>
              </w:rPr>
              <w:lastRenderedPageBreak/>
              <w:t>usklajevanju</w:t>
            </w:r>
            <w:r>
              <w:rPr>
                <w:rFonts w:cs="Arial"/>
                <w:iCs/>
                <w:szCs w:val="20"/>
                <w:lang w:eastAsia="sl-SI"/>
              </w:rPr>
              <w:t xml:space="preserve"> </w:t>
            </w:r>
            <w:r w:rsidR="001F498C">
              <w:rPr>
                <w:rFonts w:cs="Arial"/>
                <w:iCs/>
                <w:szCs w:val="20"/>
                <w:lang w:eastAsia="sl-SI"/>
              </w:rPr>
              <w:t xml:space="preserve">dne </w:t>
            </w:r>
            <w:r>
              <w:rPr>
                <w:rFonts w:cs="Arial"/>
                <w:iCs/>
                <w:szCs w:val="20"/>
                <w:lang w:eastAsia="sl-SI"/>
              </w:rPr>
              <w:t xml:space="preserve">3. 3. 2020 </w:t>
            </w:r>
            <w:r w:rsidR="001F498C">
              <w:rPr>
                <w:rFonts w:cs="Arial"/>
                <w:iCs/>
                <w:szCs w:val="20"/>
                <w:lang w:eastAsia="sl-SI"/>
              </w:rPr>
              <w:t xml:space="preserve">posredovano tudi </w:t>
            </w:r>
            <w:r>
              <w:rPr>
                <w:rFonts w:cs="Arial"/>
                <w:iCs/>
                <w:szCs w:val="20"/>
                <w:lang w:eastAsia="sl-SI"/>
              </w:rPr>
              <w:t>Ministrstvu za javno upravo in Računskemu sodišču.</w:t>
            </w:r>
          </w:p>
          <w:p w:rsidR="001E28FB" w:rsidRPr="009809C0" w:rsidRDefault="001E28FB" w:rsidP="00AF4D95">
            <w:pPr>
              <w:widowControl w:val="0"/>
              <w:overflowPunct w:val="0"/>
              <w:autoSpaceDE w:val="0"/>
              <w:autoSpaceDN w:val="0"/>
              <w:adjustRightInd w:val="0"/>
              <w:spacing w:line="288" w:lineRule="auto"/>
              <w:jc w:val="both"/>
              <w:textAlignment w:val="baseline"/>
              <w:rPr>
                <w:rFonts w:cs="Arial"/>
                <w:iCs/>
                <w:szCs w:val="20"/>
                <w:lang w:eastAsia="sl-SI"/>
              </w:rPr>
            </w:pPr>
          </w:p>
          <w:p w:rsidR="001E28FB" w:rsidRPr="009809C0" w:rsidRDefault="001E28FB" w:rsidP="00B644CC">
            <w:pPr>
              <w:widowControl w:val="0"/>
              <w:overflowPunct w:val="0"/>
              <w:autoSpaceDE w:val="0"/>
              <w:autoSpaceDN w:val="0"/>
              <w:adjustRightInd w:val="0"/>
              <w:spacing w:line="260" w:lineRule="exact"/>
              <w:jc w:val="both"/>
              <w:textAlignment w:val="baseline"/>
              <w:rPr>
                <w:rFonts w:cs="Arial"/>
                <w:szCs w:val="20"/>
              </w:rPr>
            </w:pPr>
            <w:r w:rsidRPr="009809C0">
              <w:rPr>
                <w:rFonts w:cs="Arial"/>
                <w:szCs w:val="20"/>
              </w:rPr>
              <w:t>Vsebina predloga zakona je bila strokovno usklajevana</w:t>
            </w:r>
            <w:r w:rsidR="009809C0" w:rsidRPr="009809C0">
              <w:rPr>
                <w:rFonts w:cs="Arial"/>
                <w:szCs w:val="20"/>
              </w:rPr>
              <w:t xml:space="preserve"> s podajo </w:t>
            </w:r>
            <w:r w:rsidR="009809C0">
              <w:rPr>
                <w:rFonts w:cs="Arial"/>
                <w:szCs w:val="20"/>
              </w:rPr>
              <w:t xml:space="preserve">pisnih </w:t>
            </w:r>
            <w:r w:rsidR="009809C0" w:rsidRPr="009809C0">
              <w:rPr>
                <w:rFonts w:cs="Arial"/>
                <w:szCs w:val="20"/>
              </w:rPr>
              <w:t>pripomb Vrhovnega državnega tožilstva (dopis št. VDT-Tu-10-1/2/2020/25 z dne 3. 4. 2020), Državnotožils</w:t>
            </w:r>
            <w:r w:rsidR="00CC346B">
              <w:rPr>
                <w:rFonts w:cs="Arial"/>
                <w:szCs w:val="20"/>
              </w:rPr>
              <w:t>k</w:t>
            </w:r>
            <w:r w:rsidR="009809C0" w:rsidRPr="009809C0">
              <w:rPr>
                <w:rFonts w:cs="Arial"/>
                <w:szCs w:val="20"/>
              </w:rPr>
              <w:t>ega sveta (dopis št. Dts. 68/2020-3 z dne 25. 3. 2020) in Ministrstva za javno upravo (dopis št. 007-110/2020/2 z dne 27. 3. 2020). Besedilo predloga zakona pa je bilo strokovno usklajevano tudi na sestanku dne 14. 5. 2020 s predstavniki Vrhovnega državnega tožilstva</w:t>
            </w:r>
            <w:r w:rsidR="006772E5">
              <w:rPr>
                <w:rFonts w:cs="Arial"/>
                <w:szCs w:val="20"/>
              </w:rPr>
              <w:t xml:space="preserve">, </w:t>
            </w:r>
            <w:r w:rsidR="009809C0" w:rsidRPr="009809C0">
              <w:rPr>
                <w:rFonts w:cs="Arial"/>
                <w:szCs w:val="20"/>
              </w:rPr>
              <w:t>Državnotožilskega sveta</w:t>
            </w:r>
            <w:r w:rsidR="006772E5">
              <w:rPr>
                <w:rFonts w:cs="Arial"/>
                <w:szCs w:val="20"/>
              </w:rPr>
              <w:t xml:space="preserve"> in Društva državnih tožilcev Slovenije</w:t>
            </w:r>
            <w:r w:rsidR="009809C0" w:rsidRPr="009809C0">
              <w:rPr>
                <w:rFonts w:cs="Arial"/>
                <w:szCs w:val="20"/>
              </w:rPr>
              <w:t xml:space="preserve"> ter dne 18. 5. 2020 s predstavniki Ministrstva za javno upravo. </w:t>
            </w:r>
          </w:p>
          <w:p w:rsidR="009809C0" w:rsidRPr="009809C0" w:rsidRDefault="009809C0" w:rsidP="00B644CC">
            <w:pPr>
              <w:widowControl w:val="0"/>
              <w:overflowPunct w:val="0"/>
              <w:autoSpaceDE w:val="0"/>
              <w:autoSpaceDN w:val="0"/>
              <w:adjustRightInd w:val="0"/>
              <w:spacing w:line="260" w:lineRule="exact"/>
              <w:jc w:val="both"/>
              <w:textAlignment w:val="baseline"/>
              <w:rPr>
                <w:rFonts w:cs="Arial"/>
                <w:iCs/>
                <w:szCs w:val="20"/>
                <w:lang w:eastAsia="sl-SI"/>
              </w:rPr>
            </w:pPr>
          </w:p>
          <w:p w:rsidR="001E28FB" w:rsidRPr="009809C0" w:rsidRDefault="001E28FB" w:rsidP="00B644CC">
            <w:pPr>
              <w:widowControl w:val="0"/>
              <w:overflowPunct w:val="0"/>
              <w:autoSpaceDE w:val="0"/>
              <w:autoSpaceDN w:val="0"/>
              <w:adjustRightInd w:val="0"/>
              <w:spacing w:line="260" w:lineRule="exact"/>
              <w:jc w:val="both"/>
              <w:textAlignment w:val="baseline"/>
              <w:rPr>
                <w:rFonts w:cs="Arial"/>
                <w:iCs/>
                <w:szCs w:val="20"/>
                <w:lang w:eastAsia="sl-SI"/>
              </w:rPr>
            </w:pPr>
            <w:r w:rsidRPr="009809C0">
              <w:rPr>
                <w:rFonts w:cs="Arial"/>
                <w:iCs/>
                <w:szCs w:val="20"/>
                <w:lang w:eastAsia="sl-SI"/>
              </w:rPr>
              <w:t xml:space="preserve">V </w:t>
            </w:r>
            <w:r w:rsidR="001F498C">
              <w:rPr>
                <w:rFonts w:cs="Arial"/>
                <w:iCs/>
                <w:szCs w:val="20"/>
                <w:lang w:eastAsia="sl-SI"/>
              </w:rPr>
              <w:t xml:space="preserve">ponovno </w:t>
            </w:r>
            <w:r w:rsidRPr="009809C0">
              <w:rPr>
                <w:rFonts w:cs="Arial"/>
                <w:iCs/>
                <w:szCs w:val="20"/>
                <w:lang w:eastAsia="sl-SI"/>
              </w:rPr>
              <w:t>strokovn</w:t>
            </w:r>
            <w:r w:rsidR="001F498C">
              <w:rPr>
                <w:rFonts w:cs="Arial"/>
                <w:iCs/>
                <w:szCs w:val="20"/>
                <w:lang w:eastAsia="sl-SI"/>
              </w:rPr>
              <w:t>o</w:t>
            </w:r>
            <w:r w:rsidRPr="009809C0">
              <w:rPr>
                <w:rFonts w:cs="Arial"/>
                <w:iCs/>
                <w:szCs w:val="20"/>
                <w:lang w:eastAsia="sl-SI"/>
              </w:rPr>
              <w:t xml:space="preserve"> usklajevanj</w:t>
            </w:r>
            <w:r w:rsidR="001F498C">
              <w:rPr>
                <w:rFonts w:cs="Arial"/>
                <w:iCs/>
                <w:szCs w:val="20"/>
                <w:lang w:eastAsia="sl-SI"/>
              </w:rPr>
              <w:t>e</w:t>
            </w:r>
            <w:r w:rsidRPr="009809C0">
              <w:rPr>
                <w:rFonts w:cs="Arial"/>
                <w:iCs/>
                <w:szCs w:val="20"/>
                <w:lang w:eastAsia="sl-SI"/>
              </w:rPr>
              <w:t xml:space="preserve"> je bilo gradivo dne </w:t>
            </w:r>
            <w:r w:rsidR="009208A1">
              <w:rPr>
                <w:rFonts w:cs="Arial"/>
                <w:iCs/>
                <w:szCs w:val="20"/>
                <w:lang w:eastAsia="sl-SI"/>
              </w:rPr>
              <w:t>2</w:t>
            </w:r>
            <w:r w:rsidR="004D6951">
              <w:rPr>
                <w:rFonts w:cs="Arial"/>
                <w:iCs/>
                <w:szCs w:val="20"/>
                <w:lang w:eastAsia="sl-SI"/>
              </w:rPr>
              <w:t>5</w:t>
            </w:r>
            <w:r w:rsidR="009208A1">
              <w:rPr>
                <w:rFonts w:cs="Arial"/>
                <w:iCs/>
                <w:szCs w:val="20"/>
                <w:lang w:eastAsia="sl-SI"/>
              </w:rPr>
              <w:t>. 5. 2020</w:t>
            </w:r>
            <w:r w:rsidRPr="009809C0">
              <w:rPr>
                <w:rFonts w:cs="Arial"/>
                <w:iCs/>
                <w:szCs w:val="20"/>
                <w:lang w:eastAsia="sl-SI"/>
              </w:rPr>
              <w:t xml:space="preserve"> posredovano v mnenje:</w:t>
            </w:r>
          </w:p>
          <w:p w:rsidR="001E28FB" w:rsidRPr="009809C0" w:rsidRDefault="001E28FB" w:rsidP="00CC346B">
            <w:pPr>
              <w:widowControl w:val="0"/>
              <w:numPr>
                <w:ilvl w:val="0"/>
                <w:numId w:val="38"/>
              </w:numPr>
              <w:overflowPunct w:val="0"/>
              <w:autoSpaceDE w:val="0"/>
              <w:autoSpaceDN w:val="0"/>
              <w:adjustRightInd w:val="0"/>
              <w:spacing w:line="288" w:lineRule="auto"/>
              <w:jc w:val="both"/>
              <w:textAlignment w:val="baseline"/>
              <w:rPr>
                <w:rFonts w:cs="Arial"/>
                <w:iCs/>
                <w:szCs w:val="20"/>
                <w:lang w:eastAsia="sl-SI"/>
              </w:rPr>
            </w:pPr>
            <w:r w:rsidRPr="009809C0">
              <w:rPr>
                <w:rFonts w:cs="Arial"/>
                <w:iCs/>
                <w:szCs w:val="20"/>
                <w:lang w:eastAsia="sl-SI"/>
              </w:rPr>
              <w:t>Vrhovnemu državnemu tožilstvu RS,</w:t>
            </w:r>
          </w:p>
          <w:p w:rsidR="001E28FB" w:rsidRPr="009809C0" w:rsidRDefault="001E28FB" w:rsidP="00CC346B">
            <w:pPr>
              <w:widowControl w:val="0"/>
              <w:numPr>
                <w:ilvl w:val="0"/>
                <w:numId w:val="38"/>
              </w:numPr>
              <w:overflowPunct w:val="0"/>
              <w:autoSpaceDE w:val="0"/>
              <w:autoSpaceDN w:val="0"/>
              <w:adjustRightInd w:val="0"/>
              <w:spacing w:line="288" w:lineRule="auto"/>
              <w:jc w:val="both"/>
              <w:textAlignment w:val="baseline"/>
              <w:rPr>
                <w:rFonts w:cs="Arial"/>
                <w:iCs/>
                <w:szCs w:val="20"/>
                <w:lang w:eastAsia="sl-SI"/>
              </w:rPr>
            </w:pPr>
            <w:r w:rsidRPr="009809C0">
              <w:rPr>
                <w:rFonts w:cs="Arial"/>
                <w:iCs/>
                <w:szCs w:val="20"/>
                <w:lang w:eastAsia="sl-SI"/>
              </w:rPr>
              <w:t>Državnotožilskemu svetu,</w:t>
            </w:r>
          </w:p>
          <w:p w:rsidR="001E28FB" w:rsidRDefault="001E28FB" w:rsidP="00CC346B">
            <w:pPr>
              <w:widowControl w:val="0"/>
              <w:numPr>
                <w:ilvl w:val="0"/>
                <w:numId w:val="38"/>
              </w:numPr>
              <w:overflowPunct w:val="0"/>
              <w:autoSpaceDE w:val="0"/>
              <w:autoSpaceDN w:val="0"/>
              <w:adjustRightInd w:val="0"/>
              <w:spacing w:line="288" w:lineRule="auto"/>
              <w:jc w:val="both"/>
              <w:textAlignment w:val="baseline"/>
              <w:rPr>
                <w:rFonts w:cs="Arial"/>
                <w:iCs/>
                <w:szCs w:val="20"/>
                <w:lang w:eastAsia="sl-SI"/>
              </w:rPr>
            </w:pPr>
            <w:r w:rsidRPr="009809C0">
              <w:rPr>
                <w:rFonts w:cs="Arial"/>
                <w:iCs/>
                <w:szCs w:val="20"/>
                <w:lang w:eastAsia="sl-SI"/>
              </w:rPr>
              <w:t>Društvu državnih tožilcev</w:t>
            </w:r>
            <w:r w:rsidR="00622AB0">
              <w:rPr>
                <w:rFonts w:cs="Arial"/>
                <w:iCs/>
                <w:szCs w:val="20"/>
                <w:lang w:eastAsia="sl-SI"/>
              </w:rPr>
              <w:t>.</w:t>
            </w:r>
          </w:p>
          <w:p w:rsidR="00F03F58" w:rsidRDefault="00F03F58" w:rsidP="00F03F58">
            <w:pPr>
              <w:widowControl w:val="0"/>
              <w:overflowPunct w:val="0"/>
              <w:autoSpaceDE w:val="0"/>
              <w:autoSpaceDN w:val="0"/>
              <w:adjustRightInd w:val="0"/>
              <w:spacing w:line="288" w:lineRule="auto"/>
              <w:jc w:val="both"/>
              <w:textAlignment w:val="baseline"/>
              <w:rPr>
                <w:rFonts w:cs="Arial"/>
                <w:iCs/>
                <w:szCs w:val="20"/>
                <w:lang w:eastAsia="sl-SI"/>
              </w:rPr>
            </w:pPr>
            <w:r>
              <w:rPr>
                <w:rFonts w:cs="Arial"/>
                <w:iCs/>
                <w:szCs w:val="20"/>
                <w:lang w:eastAsia="sl-SI"/>
              </w:rPr>
              <w:t>V ponovnem strokovnem usklajevanju so pripombe podali:</w:t>
            </w:r>
          </w:p>
          <w:p w:rsidR="00CD485B" w:rsidRPr="00CD485B" w:rsidRDefault="00F03F58" w:rsidP="00CD485B">
            <w:pPr>
              <w:pStyle w:val="Odstavekseznama"/>
              <w:widowControl w:val="0"/>
              <w:numPr>
                <w:ilvl w:val="0"/>
                <w:numId w:val="4"/>
              </w:numPr>
              <w:overflowPunct w:val="0"/>
              <w:autoSpaceDE w:val="0"/>
              <w:autoSpaceDN w:val="0"/>
              <w:adjustRightInd w:val="0"/>
              <w:spacing w:line="288" w:lineRule="auto"/>
              <w:ind w:left="306" w:hanging="284"/>
              <w:jc w:val="both"/>
              <w:textAlignment w:val="baseline"/>
              <w:rPr>
                <w:rFonts w:cs="Arial"/>
                <w:iCs/>
                <w:szCs w:val="20"/>
                <w:lang w:eastAsia="sl-SI"/>
              </w:rPr>
            </w:pPr>
            <w:r w:rsidRPr="00F03F58">
              <w:rPr>
                <w:rFonts w:cs="Arial"/>
                <w:iCs/>
                <w:szCs w:val="20"/>
                <w:lang w:eastAsia="sl-SI"/>
              </w:rPr>
              <w:t xml:space="preserve">Vrhovno državno tožilstvo, dopis št. </w:t>
            </w:r>
            <w:r w:rsidRPr="00F03F58">
              <w:rPr>
                <w:color w:val="010000"/>
              </w:rPr>
              <w:t>VDT-Tu-10-1/2/2020/44 z dne 1. 6. 2020</w:t>
            </w:r>
            <w:r w:rsidR="00CD485B">
              <w:rPr>
                <w:color w:val="010000"/>
              </w:rPr>
              <w:t xml:space="preserve">, </w:t>
            </w:r>
            <w:r w:rsidRPr="00CD485B">
              <w:rPr>
                <w:rFonts w:cs="Arial"/>
                <w:iCs/>
                <w:szCs w:val="20"/>
                <w:lang w:eastAsia="sl-SI"/>
              </w:rPr>
              <w:t>dopis</w:t>
            </w:r>
            <w:r w:rsidR="00CD485B">
              <w:rPr>
                <w:rFonts w:cs="Arial"/>
                <w:iCs/>
                <w:szCs w:val="20"/>
                <w:lang w:eastAsia="sl-SI"/>
              </w:rPr>
              <w:t>om</w:t>
            </w:r>
            <w:r w:rsidRPr="00CD485B">
              <w:rPr>
                <w:rFonts w:cs="Arial"/>
                <w:iCs/>
                <w:szCs w:val="20"/>
                <w:lang w:eastAsia="sl-SI"/>
              </w:rPr>
              <w:t xml:space="preserve"> št. VDT-Tu-10-1/2/2020/46 z dne 2. 6. 2020</w:t>
            </w:r>
            <w:r w:rsidR="00CD485B">
              <w:rPr>
                <w:rFonts w:cs="Arial"/>
                <w:iCs/>
                <w:szCs w:val="20"/>
                <w:lang w:eastAsia="sl-SI"/>
              </w:rPr>
              <w:t xml:space="preserve"> in dopisom </w:t>
            </w:r>
            <w:r w:rsidR="00CD485B" w:rsidRPr="00CD485B">
              <w:rPr>
                <w:rFonts w:cs="Arial"/>
                <w:iCs/>
                <w:szCs w:val="20"/>
                <w:lang w:eastAsia="sl-SI"/>
              </w:rPr>
              <w:t>VDT-Tu-10-1/2/2020/48</w:t>
            </w:r>
            <w:r w:rsidR="00CD485B">
              <w:rPr>
                <w:rFonts w:cs="Arial"/>
                <w:iCs/>
                <w:szCs w:val="20"/>
                <w:lang w:eastAsia="sl-SI"/>
              </w:rPr>
              <w:t xml:space="preserve"> z dne 3. 6. 2020.</w:t>
            </w:r>
          </w:p>
          <w:p w:rsidR="00601948" w:rsidRDefault="00F03F58" w:rsidP="00601948">
            <w:pPr>
              <w:pStyle w:val="Odstavekseznama"/>
              <w:widowControl w:val="0"/>
              <w:numPr>
                <w:ilvl w:val="0"/>
                <w:numId w:val="4"/>
              </w:numPr>
              <w:overflowPunct w:val="0"/>
              <w:autoSpaceDE w:val="0"/>
              <w:autoSpaceDN w:val="0"/>
              <w:adjustRightInd w:val="0"/>
              <w:spacing w:line="288" w:lineRule="auto"/>
              <w:ind w:left="306" w:hanging="284"/>
              <w:jc w:val="both"/>
              <w:textAlignment w:val="baseline"/>
              <w:rPr>
                <w:rFonts w:cs="Arial"/>
                <w:iCs/>
                <w:szCs w:val="20"/>
                <w:lang w:eastAsia="sl-SI"/>
              </w:rPr>
            </w:pPr>
            <w:r w:rsidRPr="00F03F58">
              <w:rPr>
                <w:rFonts w:cs="Arial"/>
                <w:iCs/>
                <w:szCs w:val="20"/>
                <w:lang w:eastAsia="sl-SI"/>
              </w:rPr>
              <w:t>Nacionalna člana v Eurojustu z dopisom z dne 27. 5. 2020</w:t>
            </w:r>
            <w:r w:rsidR="00601948">
              <w:rPr>
                <w:rFonts w:cs="Arial"/>
                <w:iCs/>
                <w:szCs w:val="20"/>
                <w:lang w:eastAsia="sl-SI"/>
              </w:rPr>
              <w:t>.</w:t>
            </w:r>
          </w:p>
          <w:p w:rsidR="00CD485B" w:rsidRDefault="00CD485B" w:rsidP="00601948">
            <w:pPr>
              <w:pStyle w:val="Odstavekseznama"/>
              <w:widowControl w:val="0"/>
              <w:numPr>
                <w:ilvl w:val="0"/>
                <w:numId w:val="4"/>
              </w:numPr>
              <w:overflowPunct w:val="0"/>
              <w:autoSpaceDE w:val="0"/>
              <w:autoSpaceDN w:val="0"/>
              <w:adjustRightInd w:val="0"/>
              <w:spacing w:line="288" w:lineRule="auto"/>
              <w:ind w:left="306" w:hanging="284"/>
              <w:jc w:val="both"/>
              <w:textAlignment w:val="baseline"/>
              <w:rPr>
                <w:rFonts w:cs="Arial"/>
                <w:iCs/>
                <w:szCs w:val="20"/>
                <w:lang w:eastAsia="sl-SI"/>
              </w:rPr>
            </w:pPr>
            <w:r>
              <w:rPr>
                <w:rFonts w:cs="Arial"/>
                <w:iCs/>
                <w:szCs w:val="20"/>
                <w:lang w:eastAsia="sl-SI"/>
              </w:rPr>
              <w:t xml:space="preserve">Državnotožilski svet z dopisom št. </w:t>
            </w:r>
            <w:r w:rsidRPr="00CD485B">
              <w:rPr>
                <w:rFonts w:cs="Arial"/>
                <w:iCs/>
                <w:szCs w:val="20"/>
                <w:lang w:eastAsia="sl-SI"/>
              </w:rPr>
              <w:t>Dts 68/2020-17</w:t>
            </w:r>
            <w:r>
              <w:rPr>
                <w:rFonts w:cs="Arial"/>
                <w:iCs/>
                <w:szCs w:val="20"/>
                <w:lang w:eastAsia="sl-SI"/>
              </w:rPr>
              <w:t xml:space="preserve"> z dne 5. 6. 2020</w:t>
            </w:r>
            <w:r w:rsidR="00CC346B">
              <w:rPr>
                <w:rFonts w:cs="Arial"/>
                <w:iCs/>
                <w:szCs w:val="20"/>
                <w:lang w:eastAsia="sl-SI"/>
              </w:rPr>
              <w:t>.</w:t>
            </w:r>
          </w:p>
          <w:p w:rsidR="00601948" w:rsidRDefault="00601948" w:rsidP="00601948">
            <w:pPr>
              <w:widowControl w:val="0"/>
              <w:overflowPunct w:val="0"/>
              <w:autoSpaceDE w:val="0"/>
              <w:autoSpaceDN w:val="0"/>
              <w:adjustRightInd w:val="0"/>
              <w:spacing w:line="288" w:lineRule="auto"/>
              <w:ind w:left="22"/>
              <w:jc w:val="both"/>
              <w:textAlignment w:val="baseline"/>
              <w:rPr>
                <w:rFonts w:cs="Arial"/>
                <w:iCs/>
                <w:szCs w:val="20"/>
                <w:lang w:eastAsia="sl-SI"/>
              </w:rPr>
            </w:pPr>
          </w:p>
          <w:p w:rsidR="00601948" w:rsidRDefault="00601948" w:rsidP="00AF4D95">
            <w:pPr>
              <w:widowControl w:val="0"/>
              <w:overflowPunct w:val="0"/>
              <w:autoSpaceDE w:val="0"/>
              <w:autoSpaceDN w:val="0"/>
              <w:adjustRightInd w:val="0"/>
              <w:spacing w:line="288" w:lineRule="auto"/>
              <w:ind w:left="22"/>
              <w:jc w:val="both"/>
              <w:textAlignment w:val="baseline"/>
              <w:rPr>
                <w:rFonts w:cs="Arial"/>
                <w:iCs/>
                <w:szCs w:val="20"/>
                <w:lang w:eastAsia="sl-SI"/>
              </w:rPr>
            </w:pPr>
            <w:r w:rsidRPr="00601948">
              <w:rPr>
                <w:rFonts w:cs="Arial"/>
                <w:iCs/>
                <w:szCs w:val="20"/>
                <w:lang w:eastAsia="sl-SI"/>
              </w:rPr>
              <w:t xml:space="preserve">Pripombe </w:t>
            </w:r>
            <w:r w:rsidR="00CD485B">
              <w:rPr>
                <w:rFonts w:cs="Arial"/>
                <w:iCs/>
                <w:szCs w:val="20"/>
                <w:lang w:eastAsia="sl-SI"/>
              </w:rPr>
              <w:t>v delu, ki se nanaša</w:t>
            </w:r>
            <w:r w:rsidR="004C2482">
              <w:rPr>
                <w:rFonts w:cs="Arial"/>
                <w:iCs/>
                <w:szCs w:val="20"/>
                <w:lang w:eastAsia="sl-SI"/>
              </w:rPr>
              <w:t>jo na ex lege pridobitev višjega naziva ob imenovanju za nacionalne člane v Eurojustu</w:t>
            </w:r>
            <w:r w:rsidR="004939F1">
              <w:rPr>
                <w:rFonts w:cs="Arial"/>
                <w:iCs/>
                <w:szCs w:val="20"/>
                <w:lang w:eastAsia="sl-SI"/>
              </w:rPr>
              <w:t xml:space="preserve">, </w:t>
            </w:r>
            <w:r w:rsidR="00B131F4">
              <w:rPr>
                <w:rFonts w:cs="Arial"/>
                <w:iCs/>
                <w:szCs w:val="20"/>
                <w:lang w:eastAsia="sl-SI"/>
              </w:rPr>
              <w:t xml:space="preserve">pripombe, ki se nanašajo na možnost </w:t>
            </w:r>
            <w:r w:rsidR="004939F1">
              <w:rPr>
                <w:rFonts w:cs="Arial"/>
                <w:iCs/>
                <w:szCs w:val="20"/>
                <w:lang w:eastAsia="sl-SI"/>
              </w:rPr>
              <w:t>podaljšanj</w:t>
            </w:r>
            <w:r w:rsidR="00B131F4">
              <w:rPr>
                <w:rFonts w:cs="Arial"/>
                <w:iCs/>
                <w:szCs w:val="20"/>
                <w:lang w:eastAsia="sl-SI"/>
              </w:rPr>
              <w:t>a</w:t>
            </w:r>
            <w:r w:rsidR="004939F1">
              <w:rPr>
                <w:rFonts w:cs="Arial"/>
                <w:iCs/>
                <w:szCs w:val="20"/>
                <w:lang w:eastAsia="sl-SI"/>
              </w:rPr>
              <w:t xml:space="preserve"> mandata nacionalnega predstavnika v Eurojustu</w:t>
            </w:r>
            <w:r w:rsidR="004C2482">
              <w:rPr>
                <w:rFonts w:cs="Arial"/>
                <w:iCs/>
                <w:szCs w:val="20"/>
                <w:lang w:eastAsia="sl-SI"/>
              </w:rPr>
              <w:t xml:space="preserve"> in pripombe, ki se nanašajo</w:t>
            </w:r>
            <w:r w:rsidR="00CD485B">
              <w:rPr>
                <w:rFonts w:cs="Arial"/>
                <w:iCs/>
                <w:szCs w:val="20"/>
                <w:lang w:eastAsia="sl-SI"/>
              </w:rPr>
              <w:t xml:space="preserve"> na </w:t>
            </w:r>
            <w:r w:rsidR="00CC346B">
              <w:rPr>
                <w:rFonts w:cs="Arial"/>
                <w:iCs/>
                <w:szCs w:val="20"/>
                <w:lang w:eastAsia="sl-SI"/>
              </w:rPr>
              <w:t>dopolnitev</w:t>
            </w:r>
            <w:r w:rsidR="00CD485B">
              <w:rPr>
                <w:rFonts w:cs="Arial"/>
                <w:iCs/>
                <w:szCs w:val="20"/>
                <w:lang w:eastAsia="sl-SI"/>
              </w:rPr>
              <w:t xml:space="preserve"> 169. člena zakona</w:t>
            </w:r>
            <w:r w:rsidR="00CC346B">
              <w:rPr>
                <w:rFonts w:cs="Arial"/>
                <w:iCs/>
                <w:szCs w:val="20"/>
                <w:lang w:eastAsia="sl-SI"/>
              </w:rPr>
              <w:t>,</w:t>
            </w:r>
            <w:r w:rsidRPr="00601948">
              <w:rPr>
                <w:rFonts w:cs="Arial"/>
                <w:iCs/>
                <w:szCs w:val="20"/>
                <w:lang w:eastAsia="sl-SI"/>
              </w:rPr>
              <w:t xml:space="preserve"> </w:t>
            </w:r>
            <w:r w:rsidR="00CD485B">
              <w:rPr>
                <w:rFonts w:cs="Arial"/>
                <w:iCs/>
                <w:szCs w:val="20"/>
                <w:lang w:eastAsia="sl-SI"/>
              </w:rPr>
              <w:t xml:space="preserve">niso </w:t>
            </w:r>
            <w:r w:rsidRPr="00601948">
              <w:rPr>
                <w:rFonts w:cs="Arial"/>
                <w:iCs/>
                <w:szCs w:val="20"/>
                <w:lang w:eastAsia="sl-SI"/>
              </w:rPr>
              <w:t>bile upoštevane.</w:t>
            </w:r>
          </w:p>
          <w:p w:rsidR="005F27B0" w:rsidRDefault="005F27B0" w:rsidP="00AF4D95">
            <w:pPr>
              <w:widowControl w:val="0"/>
              <w:overflowPunct w:val="0"/>
              <w:autoSpaceDE w:val="0"/>
              <w:autoSpaceDN w:val="0"/>
              <w:adjustRightInd w:val="0"/>
              <w:spacing w:line="288" w:lineRule="auto"/>
              <w:ind w:left="22"/>
              <w:jc w:val="both"/>
              <w:textAlignment w:val="baseline"/>
              <w:rPr>
                <w:rFonts w:cs="Arial"/>
                <w:iCs/>
                <w:szCs w:val="20"/>
                <w:lang w:eastAsia="sl-SI"/>
              </w:rPr>
            </w:pPr>
          </w:p>
          <w:p w:rsidR="005F27B0" w:rsidRPr="005F27B0" w:rsidRDefault="005F27B0" w:rsidP="00AF4D95">
            <w:pPr>
              <w:widowControl w:val="0"/>
              <w:overflowPunct w:val="0"/>
              <w:autoSpaceDE w:val="0"/>
              <w:autoSpaceDN w:val="0"/>
              <w:adjustRightInd w:val="0"/>
              <w:spacing w:line="288" w:lineRule="auto"/>
              <w:ind w:left="22"/>
              <w:jc w:val="both"/>
              <w:textAlignment w:val="baseline"/>
              <w:rPr>
                <w:rFonts w:cs="Arial"/>
                <w:iCs/>
                <w:szCs w:val="20"/>
                <w:u w:val="single"/>
                <w:lang w:eastAsia="sl-SI"/>
              </w:rPr>
            </w:pPr>
            <w:r w:rsidRPr="005F27B0">
              <w:rPr>
                <w:rFonts w:cs="Arial"/>
                <w:iCs/>
                <w:szCs w:val="20"/>
                <w:u w:val="single"/>
                <w:lang w:eastAsia="sl-SI"/>
              </w:rPr>
              <w:t xml:space="preserve">Glede </w:t>
            </w:r>
            <w:r w:rsidR="00B131F4">
              <w:rPr>
                <w:rFonts w:cs="Arial"/>
                <w:iCs/>
                <w:szCs w:val="20"/>
                <w:u w:val="single"/>
                <w:lang w:eastAsia="sl-SI"/>
              </w:rPr>
              <w:t>»</w:t>
            </w:r>
            <w:r w:rsidRPr="005F27B0">
              <w:rPr>
                <w:rFonts w:cs="Arial"/>
                <w:iCs/>
                <w:szCs w:val="20"/>
                <w:u w:val="single"/>
                <w:lang w:eastAsia="sl-SI"/>
              </w:rPr>
              <w:t>ex-lege</w:t>
            </w:r>
            <w:r w:rsidR="00B131F4">
              <w:rPr>
                <w:rFonts w:cs="Arial"/>
                <w:iCs/>
                <w:szCs w:val="20"/>
                <w:u w:val="single"/>
                <w:lang w:eastAsia="sl-SI"/>
              </w:rPr>
              <w:t>«</w:t>
            </w:r>
            <w:r w:rsidRPr="005F27B0">
              <w:rPr>
                <w:rFonts w:cs="Arial"/>
                <w:iCs/>
                <w:szCs w:val="20"/>
                <w:u w:val="single"/>
                <w:lang w:eastAsia="sl-SI"/>
              </w:rPr>
              <w:t xml:space="preserve"> napredovanja</w:t>
            </w:r>
            <w:r>
              <w:rPr>
                <w:rFonts w:cs="Arial"/>
                <w:iCs/>
                <w:szCs w:val="20"/>
                <w:u w:val="single"/>
                <w:lang w:eastAsia="sl-SI"/>
              </w:rPr>
              <w:t xml:space="preserve"> v višji naziv</w:t>
            </w:r>
          </w:p>
          <w:p w:rsidR="005F27B0" w:rsidRDefault="005F27B0" w:rsidP="00AF4D95">
            <w:pPr>
              <w:widowControl w:val="0"/>
              <w:overflowPunct w:val="0"/>
              <w:autoSpaceDE w:val="0"/>
              <w:autoSpaceDN w:val="0"/>
              <w:adjustRightInd w:val="0"/>
              <w:spacing w:line="288" w:lineRule="auto"/>
              <w:ind w:left="22"/>
              <w:jc w:val="both"/>
              <w:textAlignment w:val="baseline"/>
              <w:rPr>
                <w:rFonts w:cs="Arial"/>
                <w:iCs/>
                <w:szCs w:val="20"/>
                <w:lang w:eastAsia="sl-SI"/>
              </w:rPr>
            </w:pPr>
          </w:p>
          <w:p w:rsidR="00B131F4" w:rsidRDefault="005F27B0" w:rsidP="00AF4D95">
            <w:pPr>
              <w:spacing w:line="288" w:lineRule="auto"/>
              <w:jc w:val="both"/>
              <w:rPr>
                <w:rFonts w:cs="Arial"/>
                <w:szCs w:val="20"/>
              </w:rPr>
            </w:pPr>
            <w:r>
              <w:rPr>
                <w:rFonts w:cs="Arial"/>
                <w:iCs/>
                <w:szCs w:val="20"/>
                <w:lang w:eastAsia="sl-SI"/>
              </w:rPr>
              <w:t xml:space="preserve">Po Uredbi </w:t>
            </w:r>
            <w:r w:rsidRPr="005F27B0">
              <w:rPr>
                <w:rFonts w:cs="Arial"/>
                <w:iCs/>
                <w:szCs w:val="20"/>
                <w:lang w:eastAsia="sl-SI"/>
              </w:rPr>
              <w:t xml:space="preserve">2018/1727/EU </w:t>
            </w:r>
            <w:r>
              <w:rPr>
                <w:rFonts w:cs="Arial"/>
                <w:iCs/>
                <w:szCs w:val="20"/>
                <w:lang w:eastAsia="sl-SI"/>
              </w:rPr>
              <w:t>imajo n</w:t>
            </w:r>
            <w:r w:rsidRPr="00115F14">
              <w:rPr>
                <w:rFonts w:cs="Arial"/>
              </w:rPr>
              <w:t xml:space="preserve">acionalni </w:t>
            </w:r>
            <w:r>
              <w:rPr>
                <w:rFonts w:cs="Arial"/>
              </w:rPr>
              <w:t>predstavniki</w:t>
            </w:r>
            <w:r w:rsidRPr="00115F14">
              <w:rPr>
                <w:rFonts w:cs="Arial"/>
              </w:rPr>
              <w:t xml:space="preserve"> in namestniki položaj tožilca,</w:t>
            </w:r>
            <w:r w:rsidR="00B73FBD">
              <w:rPr>
                <w:rFonts w:cs="Arial"/>
              </w:rPr>
              <w:t xml:space="preserve"> </w:t>
            </w:r>
            <w:r w:rsidRPr="00115F14">
              <w:rPr>
                <w:rFonts w:cs="Arial"/>
              </w:rPr>
              <w:t>sodnika ali predstavnika sodnega organa z enakovrednimi pristojnostmi, kot jih ima tožilec ali sodnik v skladu z nacionalnim pravom.</w:t>
            </w:r>
            <w:r>
              <w:rPr>
                <w:rFonts w:cs="Arial"/>
              </w:rPr>
              <w:t xml:space="preserve"> V zvezi z navedenim med položajem, ki ga ima državni tožilec in položajem, ki ga pridobi z imenovanjem za člana Eurojust</w:t>
            </w:r>
            <w:r w:rsidR="00CC346B">
              <w:rPr>
                <w:rFonts w:cs="Arial"/>
              </w:rPr>
              <w:t>,</w:t>
            </w:r>
            <w:r>
              <w:rPr>
                <w:rFonts w:cs="Arial"/>
              </w:rPr>
              <w:t xml:space="preserve"> ni razlike.</w:t>
            </w:r>
            <w:r w:rsidR="00B73FBD">
              <w:rPr>
                <w:rFonts w:cs="Arial"/>
              </w:rPr>
              <w:t xml:space="preserve"> </w:t>
            </w:r>
            <w:r w:rsidR="00B73FBD" w:rsidRPr="00115F14">
              <w:rPr>
                <w:rFonts w:cs="Arial"/>
                <w:szCs w:val="20"/>
              </w:rPr>
              <w:t xml:space="preserve">Predlaga se črtanje </w:t>
            </w:r>
            <w:r w:rsidR="00B73FBD" w:rsidRPr="00115F14">
              <w:rPr>
                <w:rFonts w:cs="Arial"/>
                <w:i/>
                <w:szCs w:val="20"/>
              </w:rPr>
              <w:t>»ex lege«</w:t>
            </w:r>
            <w:r w:rsidR="00B73FBD" w:rsidRPr="00115F14">
              <w:rPr>
                <w:rFonts w:cs="Arial"/>
                <w:szCs w:val="20"/>
              </w:rPr>
              <w:t xml:space="preserve"> napredovanja za tiste državne tožilce, ki izpolnjujejo pogoje za napredovanje na višje državnotožilsko mesto in bi z imenovanjem za nacionalnega predstavnika oziroma njegovega namestnika ali pomočnika pridobil</w:t>
            </w:r>
            <w:r w:rsidR="00CC346B">
              <w:rPr>
                <w:rFonts w:cs="Arial"/>
                <w:szCs w:val="20"/>
              </w:rPr>
              <w:t>i</w:t>
            </w:r>
            <w:r w:rsidR="00B73FBD" w:rsidRPr="00115F14">
              <w:rPr>
                <w:rFonts w:cs="Arial"/>
                <w:szCs w:val="20"/>
              </w:rPr>
              <w:t xml:space="preserve"> višj</w:t>
            </w:r>
            <w:r w:rsidR="00CC346B">
              <w:rPr>
                <w:rFonts w:cs="Arial"/>
                <w:szCs w:val="20"/>
              </w:rPr>
              <w:t>e</w:t>
            </w:r>
            <w:r w:rsidR="00B73FBD" w:rsidRPr="00115F14">
              <w:rPr>
                <w:rFonts w:cs="Arial"/>
                <w:szCs w:val="20"/>
              </w:rPr>
              <w:t xml:space="preserve"> naziv</w:t>
            </w:r>
            <w:r w:rsidR="00CC346B">
              <w:rPr>
                <w:rFonts w:cs="Arial"/>
                <w:szCs w:val="20"/>
              </w:rPr>
              <w:t>e</w:t>
            </w:r>
            <w:r w:rsidR="00B73FBD" w:rsidRPr="00115F14">
              <w:rPr>
                <w:rFonts w:cs="Arial"/>
                <w:szCs w:val="20"/>
              </w:rPr>
              <w:t xml:space="preserve">. </w:t>
            </w:r>
          </w:p>
          <w:p w:rsidR="00B131F4" w:rsidRDefault="00B131F4" w:rsidP="00AF4D95">
            <w:pPr>
              <w:spacing w:line="288" w:lineRule="auto"/>
              <w:jc w:val="both"/>
              <w:rPr>
                <w:rFonts w:cs="Arial"/>
                <w:szCs w:val="20"/>
              </w:rPr>
            </w:pPr>
          </w:p>
          <w:p w:rsidR="00B73FBD" w:rsidRDefault="00B73FBD" w:rsidP="00AF4D95">
            <w:pPr>
              <w:spacing w:line="288" w:lineRule="auto"/>
              <w:jc w:val="both"/>
            </w:pPr>
            <w:r w:rsidRPr="00115F14">
              <w:rPr>
                <w:rFonts w:cs="Arial"/>
                <w:szCs w:val="20"/>
              </w:rPr>
              <w:t>Glede na pristojnosti in naloge, ki jih določa Uredba 2017/1939/EU</w:t>
            </w:r>
            <w:r w:rsidR="00CC346B">
              <w:rPr>
                <w:rFonts w:cs="Arial"/>
                <w:szCs w:val="20"/>
              </w:rPr>
              <w:t>,</w:t>
            </w:r>
            <w:r>
              <w:rPr>
                <w:rFonts w:cs="Arial"/>
                <w:szCs w:val="20"/>
              </w:rPr>
              <w:t xml:space="preserve"> </w:t>
            </w:r>
            <w:r w:rsidRPr="00115F14">
              <w:rPr>
                <w:rFonts w:cs="Arial"/>
                <w:szCs w:val="20"/>
              </w:rPr>
              <w:t>predlagatelj ocenjuje, da takšno</w:t>
            </w:r>
            <w:r>
              <w:rPr>
                <w:rFonts w:cs="Arial"/>
                <w:szCs w:val="20"/>
              </w:rPr>
              <w:t xml:space="preserve"> </w:t>
            </w:r>
            <w:r w:rsidRPr="00115F14">
              <w:rPr>
                <w:rFonts w:cs="Arial"/>
                <w:szCs w:val="20"/>
              </w:rPr>
              <w:t>ne</w:t>
            </w:r>
            <w:r>
              <w:rPr>
                <w:rFonts w:cs="Arial"/>
                <w:szCs w:val="20"/>
              </w:rPr>
              <w:t xml:space="preserve"> </w:t>
            </w:r>
            <w:r w:rsidRPr="00115F14">
              <w:rPr>
                <w:rFonts w:cs="Arial"/>
                <w:szCs w:val="20"/>
              </w:rPr>
              <w:t>karierno</w:t>
            </w:r>
            <w:r>
              <w:rPr>
                <w:rFonts w:cs="Arial"/>
                <w:szCs w:val="20"/>
              </w:rPr>
              <w:t xml:space="preserve"> </w:t>
            </w:r>
            <w:r w:rsidRPr="00115F14">
              <w:rPr>
                <w:rFonts w:cs="Arial"/>
                <w:szCs w:val="20"/>
              </w:rPr>
              <w:t xml:space="preserve">»ex lege« napredovanje ni potrebno. Državni tožilec ima namreč varovano pravico do napredovanja in bo </w:t>
            </w:r>
            <w:r>
              <w:rPr>
                <w:rFonts w:cs="Arial"/>
                <w:szCs w:val="20"/>
              </w:rPr>
              <w:t xml:space="preserve">v času mandata </w:t>
            </w:r>
            <w:r w:rsidRPr="00115F14">
              <w:rPr>
                <w:rFonts w:cs="Arial"/>
                <w:szCs w:val="20"/>
              </w:rPr>
              <w:t>pridobil</w:t>
            </w:r>
            <w:r>
              <w:rPr>
                <w:rFonts w:cs="Arial"/>
                <w:szCs w:val="20"/>
              </w:rPr>
              <w:t xml:space="preserve"> redno</w:t>
            </w:r>
            <w:r w:rsidRPr="00115F14">
              <w:rPr>
                <w:rFonts w:cs="Arial"/>
                <w:szCs w:val="20"/>
              </w:rPr>
              <w:t xml:space="preserve"> oceno državnotožilske službe zaradi napredovanja v višji naziv. Poleg tega plača nacionalnega predstavnika, namestnika in pomočnika ni vezana na doseženi</w:t>
            </w:r>
            <w:r>
              <w:rPr>
                <w:rFonts w:cs="Arial"/>
                <w:szCs w:val="20"/>
              </w:rPr>
              <w:t xml:space="preserve"> </w:t>
            </w:r>
            <w:r w:rsidRPr="00115F14">
              <w:rPr>
                <w:rFonts w:cs="Arial"/>
                <w:szCs w:val="20"/>
              </w:rPr>
              <w:t>državnotožilski</w:t>
            </w:r>
            <w:r>
              <w:rPr>
                <w:rFonts w:cs="Arial"/>
                <w:szCs w:val="20"/>
              </w:rPr>
              <w:t xml:space="preserve"> </w:t>
            </w:r>
            <w:r w:rsidRPr="00115F14">
              <w:rPr>
                <w:rFonts w:cs="Arial"/>
                <w:szCs w:val="20"/>
              </w:rPr>
              <w:t>naziv</w:t>
            </w:r>
            <w:r w:rsidR="00CC346B">
              <w:rPr>
                <w:rFonts w:cs="Arial"/>
                <w:szCs w:val="20"/>
              </w:rPr>
              <w:t>,</w:t>
            </w:r>
            <w:r w:rsidRPr="00115F14">
              <w:rPr>
                <w:rFonts w:cs="Arial"/>
                <w:szCs w:val="20"/>
              </w:rPr>
              <w:t xml:space="preserve"> temveč jo </w:t>
            </w:r>
            <w:r>
              <w:rPr>
                <w:rFonts w:cs="Arial"/>
                <w:szCs w:val="20"/>
              </w:rPr>
              <w:t>določa</w:t>
            </w:r>
            <w:r w:rsidRPr="00115F14">
              <w:rPr>
                <w:rFonts w:cs="Arial"/>
                <w:szCs w:val="20"/>
              </w:rPr>
              <w:t xml:space="preserve"> Uredba o plačah in drugih prejemkih javnih uslužbencev za delo v tujini</w:t>
            </w:r>
            <w:r>
              <w:rPr>
                <w:rFonts w:cs="Arial"/>
                <w:szCs w:val="20"/>
              </w:rPr>
              <w:t xml:space="preserve"> (v nadaljnjem besedilu: </w:t>
            </w:r>
            <w:r w:rsidRPr="005B1C7D">
              <w:rPr>
                <w:rFonts w:cs="Arial"/>
                <w:szCs w:val="20"/>
              </w:rPr>
              <w:t xml:space="preserve">uredba). </w:t>
            </w:r>
            <w:r w:rsidRPr="005B1C7D">
              <w:t xml:space="preserve">Ta uredba ureja tudi plače </w:t>
            </w:r>
            <w:r w:rsidRPr="005B1C7D">
              <w:lastRenderedPageBreak/>
              <w:t xml:space="preserve">funkcionarjev, ki so napoteni na delo v tujino in jim funkcija v skladu z zakonom med napotitvijo miruje, ter plače in druge prejemke državnih tožilcev, ki so imenovani za nacionalnega predstavnika, namestnika in pomočnika nacionalnega predstavnika v Eurojustu, za čas, ko funkcijo opravljajo v tujini. </w:t>
            </w:r>
          </w:p>
          <w:p w:rsidR="00B73FBD" w:rsidRDefault="00B73FBD" w:rsidP="00AF4D95">
            <w:pPr>
              <w:spacing w:line="288" w:lineRule="auto"/>
              <w:jc w:val="both"/>
            </w:pPr>
          </w:p>
          <w:p w:rsidR="00B73FBD" w:rsidRPr="00115F14" w:rsidRDefault="00B73FBD" w:rsidP="00AF4D95">
            <w:pPr>
              <w:spacing w:line="288" w:lineRule="auto"/>
              <w:jc w:val="both"/>
              <w:rPr>
                <w:rFonts w:cs="Arial"/>
                <w:szCs w:val="22"/>
              </w:rPr>
            </w:pPr>
            <w:r w:rsidRPr="00115F14">
              <w:rPr>
                <w:rFonts w:cs="Arial"/>
              </w:rPr>
              <w:t xml:space="preserve">Veljavna ureditev, ki ureja </w:t>
            </w:r>
            <w:r>
              <w:rPr>
                <w:rFonts w:cs="Arial"/>
              </w:rPr>
              <w:t>»</w:t>
            </w:r>
            <w:r w:rsidRPr="00B54E8A">
              <w:rPr>
                <w:rFonts w:cs="Arial"/>
                <w:i/>
                <w:iCs/>
              </w:rPr>
              <w:t>ex lege</w:t>
            </w:r>
            <w:r>
              <w:rPr>
                <w:rFonts w:cs="Arial"/>
                <w:i/>
                <w:iCs/>
              </w:rPr>
              <w:t>«</w:t>
            </w:r>
            <w:r w:rsidRPr="00115F14">
              <w:rPr>
                <w:rFonts w:cs="Arial"/>
              </w:rPr>
              <w:t xml:space="preserve"> imenovanje v višji naziv za člane E</w:t>
            </w:r>
            <w:r>
              <w:rPr>
                <w:rFonts w:cs="Arial"/>
              </w:rPr>
              <w:t>urojust</w:t>
            </w:r>
            <w:r w:rsidR="00CC346B">
              <w:rPr>
                <w:rFonts w:cs="Arial"/>
              </w:rPr>
              <w:t>,</w:t>
            </w:r>
            <w:r w:rsidRPr="00115F14">
              <w:rPr>
                <w:rFonts w:cs="Arial"/>
              </w:rPr>
              <w:t xml:space="preserve"> je sistemsko neustrezna tudi v razmerju do ostalih imenovanj v organe Evropske unije, kjer bodo državni tožilci za razliko od državnih tožilcev v E</w:t>
            </w:r>
            <w:r>
              <w:rPr>
                <w:rFonts w:cs="Arial"/>
              </w:rPr>
              <w:t>urojust, katerega primarna naloga je krepitev usklajevanja in sodelovanja nacionalnih organov, pristojnih za preiskovanje in pregon, v zvezi s hudimi kaznivimi dejanji s čezmejnim elementom,</w:t>
            </w:r>
            <w:r w:rsidRPr="00115F14">
              <w:rPr>
                <w:rFonts w:cs="Arial"/>
              </w:rPr>
              <w:t xml:space="preserve"> kariero gradili z izvajanjem temeljne tožilske funkcije, to je pregona storilcev kaznivih dejanj. Tako tudi z zadnjo novelo </w:t>
            </w:r>
            <w:r>
              <w:rPr>
                <w:rFonts w:cs="Arial"/>
              </w:rPr>
              <w:t xml:space="preserve">tega zakona </w:t>
            </w:r>
            <w:r w:rsidRPr="00115F14">
              <w:rPr>
                <w:rFonts w:cs="Arial"/>
              </w:rPr>
              <w:t xml:space="preserve">(ZDT-1C) za evropskega tožilca ni bila predvidena možnosti </w:t>
            </w:r>
            <w:r w:rsidRPr="00115F14">
              <w:rPr>
                <w:rFonts w:cs="Arial"/>
                <w:i/>
                <w:iCs/>
              </w:rPr>
              <w:t>»ex lege«</w:t>
            </w:r>
            <w:r w:rsidRPr="00115F14">
              <w:rPr>
                <w:rFonts w:cs="Arial"/>
              </w:rPr>
              <w:t xml:space="preserve"> napredovanja v višji naziv tistih državnih tožilcev, ki bodo imenovani na funkcijo v Evropskem javnem tožilstvu.</w:t>
            </w:r>
          </w:p>
          <w:p w:rsidR="00B73FBD" w:rsidRPr="00115F14" w:rsidRDefault="00B73FBD" w:rsidP="00AF4D95">
            <w:pPr>
              <w:spacing w:line="288" w:lineRule="auto"/>
              <w:jc w:val="both"/>
              <w:rPr>
                <w:rFonts w:cs="Arial"/>
                <w:szCs w:val="20"/>
              </w:rPr>
            </w:pPr>
          </w:p>
          <w:p w:rsidR="00B73FBD" w:rsidRDefault="00B73FBD" w:rsidP="00AF4D95">
            <w:pPr>
              <w:spacing w:line="288" w:lineRule="auto"/>
              <w:jc w:val="both"/>
              <w:rPr>
                <w:rFonts w:cs="Arial"/>
                <w:szCs w:val="20"/>
              </w:rPr>
            </w:pPr>
            <w:r w:rsidRPr="00115F14">
              <w:rPr>
                <w:rFonts w:cs="Arial"/>
                <w:szCs w:val="20"/>
              </w:rPr>
              <w:t>Pogoja, ki ga Uredba 2017/1939/EU določa za imenovanje nacionalnega predstavnika in namestnika (ustrezne delovne izkušnje na visoki ravni na področju kazenskih zadev) ni enačiti s pogojem, ki je določen za uvrstitev na listo kandidatov za imenovanje evropskega tožilca (potrebne kvalifikacije za imenovanje na visoko tožilsko funkcijo v svojih državah članicah ter</w:t>
            </w:r>
            <w:r>
              <w:rPr>
                <w:rFonts w:cs="Arial"/>
                <w:szCs w:val="20"/>
              </w:rPr>
              <w:t xml:space="preserve"> </w:t>
            </w:r>
            <w:r w:rsidRPr="00115F14">
              <w:rPr>
                <w:rFonts w:cs="Arial"/>
                <w:szCs w:val="20"/>
              </w:rPr>
              <w:t xml:space="preserve">ustrezne praktične izkušnje z nacionalnimi pravnimi sistemi, finančnimi preiskavami in mednarodnim pravosodnim sodelovanjem v kazenskih zadevah). Vse navedeno po mnenju predlagatelja opravičuje črtanje </w:t>
            </w:r>
            <w:r w:rsidRPr="00115F14">
              <w:rPr>
                <w:rFonts w:cs="Arial"/>
                <w:i/>
                <w:szCs w:val="20"/>
              </w:rPr>
              <w:t>»ex lege«</w:t>
            </w:r>
            <w:r w:rsidRPr="00115F14">
              <w:rPr>
                <w:rFonts w:cs="Arial"/>
                <w:szCs w:val="20"/>
              </w:rPr>
              <w:t xml:space="preserve"> napredovanja tudi</w:t>
            </w:r>
            <w:r>
              <w:rPr>
                <w:rFonts w:cs="Arial"/>
                <w:szCs w:val="20"/>
              </w:rPr>
              <w:t xml:space="preserve"> za</w:t>
            </w:r>
            <w:r w:rsidRPr="00115F14">
              <w:rPr>
                <w:rFonts w:cs="Arial"/>
                <w:szCs w:val="20"/>
              </w:rPr>
              <w:t xml:space="preserve"> nacionaln</w:t>
            </w:r>
            <w:r>
              <w:rPr>
                <w:rFonts w:cs="Arial"/>
                <w:szCs w:val="20"/>
              </w:rPr>
              <w:t>ega</w:t>
            </w:r>
            <w:r w:rsidRPr="00115F14">
              <w:rPr>
                <w:rFonts w:cs="Arial"/>
                <w:szCs w:val="20"/>
              </w:rPr>
              <w:t xml:space="preserve"> predstavnik</w:t>
            </w:r>
            <w:r>
              <w:rPr>
                <w:rFonts w:cs="Arial"/>
                <w:szCs w:val="20"/>
              </w:rPr>
              <w:t>a</w:t>
            </w:r>
            <w:r w:rsidRPr="00115F14">
              <w:rPr>
                <w:rFonts w:cs="Arial"/>
                <w:szCs w:val="20"/>
              </w:rPr>
              <w:t xml:space="preserve"> v Eurojust</w:t>
            </w:r>
            <w:r>
              <w:rPr>
                <w:rFonts w:cs="Arial"/>
                <w:szCs w:val="20"/>
              </w:rPr>
              <w:t>u</w:t>
            </w:r>
            <w:r w:rsidRPr="00115F14">
              <w:rPr>
                <w:rFonts w:cs="Arial"/>
                <w:szCs w:val="20"/>
              </w:rPr>
              <w:t>, njegove</w:t>
            </w:r>
            <w:r>
              <w:rPr>
                <w:rFonts w:cs="Arial"/>
                <w:szCs w:val="20"/>
              </w:rPr>
              <w:t>ga</w:t>
            </w:r>
            <w:r w:rsidRPr="00115F14">
              <w:rPr>
                <w:rFonts w:cs="Arial"/>
                <w:szCs w:val="20"/>
              </w:rPr>
              <w:t xml:space="preserve"> namestnik</w:t>
            </w:r>
            <w:r>
              <w:rPr>
                <w:rFonts w:cs="Arial"/>
                <w:szCs w:val="20"/>
              </w:rPr>
              <w:t>a</w:t>
            </w:r>
            <w:r w:rsidRPr="00115F14">
              <w:rPr>
                <w:rFonts w:cs="Arial"/>
                <w:szCs w:val="20"/>
              </w:rPr>
              <w:t xml:space="preserve"> in pomočnik</w:t>
            </w:r>
            <w:r>
              <w:rPr>
                <w:rFonts w:cs="Arial"/>
                <w:szCs w:val="20"/>
              </w:rPr>
              <w:t>a</w:t>
            </w:r>
            <w:r w:rsidRPr="00115F14">
              <w:rPr>
                <w:rFonts w:cs="Arial"/>
                <w:szCs w:val="20"/>
              </w:rPr>
              <w:t>.</w:t>
            </w:r>
          </w:p>
          <w:p w:rsidR="00B73FBD" w:rsidRDefault="00B73FBD" w:rsidP="00AF4D95">
            <w:pPr>
              <w:spacing w:line="288" w:lineRule="auto"/>
              <w:jc w:val="both"/>
              <w:rPr>
                <w:rFonts w:cs="Arial"/>
                <w:color w:val="000000"/>
                <w:szCs w:val="20"/>
              </w:rPr>
            </w:pPr>
          </w:p>
          <w:p w:rsidR="00B73FBD" w:rsidRPr="00DD600C" w:rsidRDefault="00B73FBD" w:rsidP="00AF4D95">
            <w:pPr>
              <w:spacing w:line="288" w:lineRule="auto"/>
              <w:jc w:val="both"/>
              <w:rPr>
                <w:rFonts w:cs="Arial"/>
                <w:color w:val="000000"/>
                <w:szCs w:val="20"/>
              </w:rPr>
            </w:pPr>
            <w:r>
              <w:rPr>
                <w:rFonts w:cs="Arial"/>
                <w:color w:val="000000"/>
                <w:szCs w:val="20"/>
              </w:rPr>
              <w:t>Zaključno</w:t>
            </w:r>
            <w:r w:rsidRPr="00DD600C">
              <w:rPr>
                <w:rFonts w:cs="Arial"/>
                <w:color w:val="000000"/>
                <w:szCs w:val="20"/>
              </w:rPr>
              <w:t xml:space="preserve"> zakonodaja EU od države članice ne zahteva takšne bonitete, zato se tudi iz razlogov siceršnje sistemske neustreznosti predlaga njena odprava. </w:t>
            </w:r>
          </w:p>
          <w:p w:rsidR="00B73FBD" w:rsidRPr="00115F14" w:rsidRDefault="00B73FBD" w:rsidP="00AF4D95">
            <w:pPr>
              <w:spacing w:line="288" w:lineRule="auto"/>
              <w:jc w:val="both"/>
              <w:rPr>
                <w:rFonts w:cs="Arial"/>
                <w:szCs w:val="20"/>
              </w:rPr>
            </w:pPr>
          </w:p>
          <w:p w:rsidR="004939F1" w:rsidRPr="004939F1" w:rsidRDefault="004939F1" w:rsidP="00AF4D95">
            <w:pPr>
              <w:suppressAutoHyphens/>
              <w:spacing w:line="288" w:lineRule="auto"/>
              <w:jc w:val="both"/>
              <w:rPr>
                <w:rFonts w:cs="Arial"/>
                <w:szCs w:val="20"/>
                <w:u w:val="single"/>
              </w:rPr>
            </w:pPr>
            <w:r>
              <w:rPr>
                <w:rFonts w:cs="Arial"/>
                <w:szCs w:val="20"/>
                <w:u w:val="single"/>
              </w:rPr>
              <w:t>Glede p</w:t>
            </w:r>
            <w:r w:rsidRPr="004939F1">
              <w:rPr>
                <w:rFonts w:cs="Arial"/>
                <w:szCs w:val="20"/>
                <w:u w:val="single"/>
              </w:rPr>
              <w:t>odaljšanj</w:t>
            </w:r>
            <w:r>
              <w:rPr>
                <w:rFonts w:cs="Arial"/>
                <w:szCs w:val="20"/>
                <w:u w:val="single"/>
              </w:rPr>
              <w:t>a</w:t>
            </w:r>
            <w:r w:rsidRPr="004939F1">
              <w:rPr>
                <w:rFonts w:cs="Arial"/>
                <w:szCs w:val="20"/>
                <w:u w:val="single"/>
              </w:rPr>
              <w:t xml:space="preserve"> mandata</w:t>
            </w:r>
            <w:r>
              <w:rPr>
                <w:rFonts w:cs="Arial"/>
                <w:szCs w:val="20"/>
                <w:u w:val="single"/>
              </w:rPr>
              <w:t xml:space="preserve"> nacionalnemu predstavniku</w:t>
            </w:r>
          </w:p>
          <w:p w:rsidR="004939F1" w:rsidRPr="00DD600C" w:rsidRDefault="004939F1" w:rsidP="00AF4D95">
            <w:pPr>
              <w:spacing w:line="288" w:lineRule="auto"/>
              <w:jc w:val="both"/>
              <w:rPr>
                <w:rFonts w:cs="Arial"/>
                <w:szCs w:val="20"/>
              </w:rPr>
            </w:pPr>
          </w:p>
          <w:p w:rsidR="004939F1" w:rsidRPr="00DD600C" w:rsidRDefault="004939F1" w:rsidP="00AF4D95">
            <w:pPr>
              <w:spacing w:line="288" w:lineRule="auto"/>
              <w:jc w:val="both"/>
              <w:rPr>
                <w:rFonts w:cs="Arial"/>
                <w:szCs w:val="20"/>
              </w:rPr>
            </w:pPr>
            <w:r w:rsidRPr="00DD600C">
              <w:rPr>
                <w:rFonts w:cs="Arial"/>
                <w:szCs w:val="20"/>
              </w:rPr>
              <w:t>V zvezi z vprašanjem postopka podaljšanja/obnovitve mandata nacionalnega člana je pomembno, da gre za nacionalnega člana, ki je napoten</w:t>
            </w:r>
            <w:r w:rsidR="00B131F4">
              <w:rPr>
                <w:rFonts w:cs="Arial"/>
                <w:szCs w:val="20"/>
              </w:rPr>
              <w:t xml:space="preserve"> v Eurojust</w:t>
            </w:r>
            <w:r w:rsidRPr="00DD600C">
              <w:rPr>
                <w:rFonts w:cs="Arial"/>
                <w:szCs w:val="20"/>
              </w:rPr>
              <w:t xml:space="preserve"> (</w:t>
            </w:r>
            <w:r w:rsidR="009D342B">
              <w:rPr>
                <w:rFonts w:cs="Arial"/>
                <w:szCs w:val="20"/>
              </w:rPr>
              <w:t>prvi odstavek 7. člena</w:t>
            </w:r>
            <w:r w:rsidR="009D342B" w:rsidRPr="00DD600C">
              <w:rPr>
                <w:rFonts w:cs="Arial"/>
                <w:szCs w:val="20"/>
              </w:rPr>
              <w:t xml:space="preserve"> </w:t>
            </w:r>
            <w:r w:rsidRPr="00DD600C">
              <w:rPr>
                <w:rFonts w:cs="Arial"/>
                <w:szCs w:val="20"/>
              </w:rPr>
              <w:t>Uredbe</w:t>
            </w:r>
            <w:r w:rsidR="00746B88">
              <w:rPr>
                <w:rFonts w:cs="Arial"/>
                <w:szCs w:val="20"/>
              </w:rPr>
              <w:t xml:space="preserve"> </w:t>
            </w:r>
            <w:r w:rsidR="00746B88" w:rsidRPr="00115F14">
              <w:rPr>
                <w:rFonts w:cs="Arial"/>
                <w:szCs w:val="20"/>
              </w:rPr>
              <w:t>2017/1939/EU</w:t>
            </w:r>
            <w:r w:rsidRPr="00DD600C">
              <w:rPr>
                <w:rFonts w:cs="Arial"/>
                <w:szCs w:val="20"/>
              </w:rPr>
              <w:t>). Sam obseg veljavnosti Uredbe</w:t>
            </w:r>
            <w:r w:rsidR="00746B88">
              <w:rPr>
                <w:rFonts w:cs="Arial"/>
                <w:szCs w:val="20"/>
              </w:rPr>
              <w:t xml:space="preserve"> </w:t>
            </w:r>
            <w:r w:rsidR="00746B88" w:rsidRPr="00115F14">
              <w:rPr>
                <w:rFonts w:cs="Arial"/>
                <w:szCs w:val="20"/>
              </w:rPr>
              <w:t>2017/1939/EU</w:t>
            </w:r>
            <w:r w:rsidRPr="00DD600C">
              <w:rPr>
                <w:rFonts w:cs="Arial"/>
                <w:szCs w:val="20"/>
              </w:rPr>
              <w:t xml:space="preserve"> se ne razteza na nacionalni postopek imenovanja oz. tega postopka Uredba </w:t>
            </w:r>
            <w:r w:rsidR="009D342B" w:rsidRPr="00115F14">
              <w:rPr>
                <w:rFonts w:cs="Arial"/>
                <w:szCs w:val="20"/>
              </w:rPr>
              <w:t>2017/1939/EU</w:t>
            </w:r>
            <w:r w:rsidR="009D342B" w:rsidRPr="00DD600C">
              <w:rPr>
                <w:rFonts w:cs="Arial"/>
                <w:szCs w:val="20"/>
              </w:rPr>
              <w:t xml:space="preserve"> </w:t>
            </w:r>
            <w:r w:rsidRPr="00DD600C">
              <w:rPr>
                <w:rFonts w:cs="Arial"/>
                <w:szCs w:val="20"/>
              </w:rPr>
              <w:t>ne ureja. Države članice zgolj notificirajo Eurojust in Evropsko komisijo o imenovanju nacionalnega člana (</w:t>
            </w:r>
            <w:r w:rsidR="009D342B">
              <w:rPr>
                <w:rFonts w:cs="Arial"/>
                <w:szCs w:val="20"/>
              </w:rPr>
              <w:t>tretji odstavek 7. člena</w:t>
            </w:r>
            <w:r w:rsidRPr="00DD600C">
              <w:rPr>
                <w:rFonts w:cs="Arial"/>
                <w:szCs w:val="20"/>
              </w:rPr>
              <w:t xml:space="preserve"> Uredbe</w:t>
            </w:r>
            <w:r w:rsidR="00746B88">
              <w:rPr>
                <w:rFonts w:cs="Arial"/>
                <w:szCs w:val="20"/>
              </w:rPr>
              <w:t xml:space="preserve"> </w:t>
            </w:r>
            <w:r w:rsidR="00746B88" w:rsidRPr="00115F14">
              <w:rPr>
                <w:rFonts w:cs="Arial"/>
                <w:szCs w:val="20"/>
              </w:rPr>
              <w:t>2017/1939/EU</w:t>
            </w:r>
            <w:r w:rsidRPr="00DD600C">
              <w:rPr>
                <w:rFonts w:cs="Arial"/>
                <w:szCs w:val="20"/>
              </w:rPr>
              <w:t xml:space="preserve">). </w:t>
            </w:r>
          </w:p>
          <w:p w:rsidR="004939F1" w:rsidRPr="00DD600C" w:rsidRDefault="004939F1" w:rsidP="00AF4D95">
            <w:pPr>
              <w:pStyle w:val="Odstavekseznama"/>
              <w:spacing w:line="288" w:lineRule="auto"/>
              <w:ind w:left="1440"/>
              <w:jc w:val="both"/>
              <w:rPr>
                <w:rFonts w:cs="Arial"/>
                <w:szCs w:val="20"/>
              </w:rPr>
            </w:pPr>
          </w:p>
          <w:p w:rsidR="00B73FBD" w:rsidRDefault="004939F1" w:rsidP="00AF4D95">
            <w:pPr>
              <w:spacing w:line="288" w:lineRule="auto"/>
              <w:jc w:val="both"/>
              <w:rPr>
                <w:rFonts w:cs="Arial"/>
                <w:szCs w:val="20"/>
              </w:rPr>
            </w:pPr>
            <w:r w:rsidRPr="00DD600C">
              <w:rPr>
                <w:rFonts w:cs="Arial"/>
                <w:szCs w:val="20"/>
              </w:rPr>
              <w:t xml:space="preserve">Uredba </w:t>
            </w:r>
            <w:r w:rsidR="009D342B" w:rsidRPr="00115F14">
              <w:rPr>
                <w:rFonts w:cs="Arial"/>
                <w:szCs w:val="20"/>
              </w:rPr>
              <w:t>2017/1939/EU</w:t>
            </w:r>
            <w:r w:rsidR="009D342B" w:rsidRPr="00DD600C">
              <w:rPr>
                <w:rFonts w:cs="Arial"/>
                <w:szCs w:val="20"/>
              </w:rPr>
              <w:t xml:space="preserve"> </w:t>
            </w:r>
            <w:r w:rsidRPr="00DD600C">
              <w:rPr>
                <w:rFonts w:cs="Arial"/>
                <w:szCs w:val="20"/>
              </w:rPr>
              <w:t xml:space="preserve">v </w:t>
            </w:r>
            <w:r w:rsidR="009D342B">
              <w:rPr>
                <w:rFonts w:cs="Arial"/>
                <w:szCs w:val="20"/>
              </w:rPr>
              <w:t>petem</w:t>
            </w:r>
            <w:r w:rsidRPr="00DD600C">
              <w:rPr>
                <w:rFonts w:cs="Arial"/>
                <w:szCs w:val="20"/>
              </w:rPr>
              <w:t xml:space="preserve"> odst</w:t>
            </w:r>
            <w:r w:rsidR="009D342B">
              <w:rPr>
                <w:rFonts w:cs="Arial"/>
                <w:szCs w:val="20"/>
              </w:rPr>
              <w:t>avku</w:t>
            </w:r>
            <w:r w:rsidRPr="00DD600C">
              <w:rPr>
                <w:rFonts w:cs="Arial"/>
                <w:szCs w:val="20"/>
              </w:rPr>
              <w:t xml:space="preserve"> 7. čl</w:t>
            </w:r>
            <w:r w:rsidR="009D342B">
              <w:rPr>
                <w:rFonts w:cs="Arial"/>
                <w:szCs w:val="20"/>
              </w:rPr>
              <w:t>ena</w:t>
            </w:r>
            <w:r w:rsidR="00746B88">
              <w:rPr>
                <w:rFonts w:cs="Arial"/>
                <w:szCs w:val="20"/>
              </w:rPr>
              <w:t xml:space="preserve"> </w:t>
            </w:r>
            <w:r w:rsidRPr="00DD600C">
              <w:rPr>
                <w:rFonts w:cs="Arial"/>
                <w:szCs w:val="20"/>
              </w:rPr>
              <w:t xml:space="preserve">omejuje število mandatov </w:t>
            </w:r>
            <w:r w:rsidR="00B131F4">
              <w:rPr>
                <w:rFonts w:cs="Arial"/>
                <w:szCs w:val="20"/>
              </w:rPr>
              <w:t>nacionalnega predstavnika (</w:t>
            </w:r>
            <w:r w:rsidRPr="00DD600C">
              <w:rPr>
                <w:rFonts w:cs="Arial"/>
                <w:szCs w:val="20"/>
              </w:rPr>
              <w:t>na dva</w:t>
            </w:r>
            <w:r w:rsidR="00B131F4">
              <w:rPr>
                <w:rFonts w:cs="Arial"/>
                <w:szCs w:val="20"/>
              </w:rPr>
              <w:t xml:space="preserve"> mandata)</w:t>
            </w:r>
            <w:r w:rsidRPr="00DD600C">
              <w:rPr>
                <w:rFonts w:cs="Arial"/>
                <w:szCs w:val="20"/>
              </w:rPr>
              <w:t xml:space="preserve">. Slovenska jezikovna različica uporablja termin »podaljšanje« mandata, pri čemer terminološke neenotnosti jezikovnih različic izhaja, da samega pojma “podaljšanje” (EN in FR jezikovni različici uporabljata termin »obnovitev«) ne gre razumeti ozko. Tako iz določb Uredbe </w:t>
            </w:r>
            <w:r w:rsidR="00746B88" w:rsidRPr="00115F14">
              <w:rPr>
                <w:rFonts w:cs="Arial"/>
                <w:szCs w:val="20"/>
              </w:rPr>
              <w:t xml:space="preserve">2017/1939/EU </w:t>
            </w:r>
            <w:r w:rsidRPr="00DD600C">
              <w:rPr>
                <w:rFonts w:cs="Arial"/>
                <w:szCs w:val="20"/>
              </w:rPr>
              <w:t xml:space="preserve">o statusu nacionalnih članov, kot tudi iz primerjalne analize ostalih jezikovnih različic izhaja, da je pomen pojma </w:t>
            </w:r>
            <w:r w:rsidRPr="00DD600C">
              <w:rPr>
                <w:rFonts w:cs="Arial"/>
                <w:szCs w:val="20"/>
              </w:rPr>
              <w:lastRenderedPageBreak/>
              <w:t>»podaljšanje« širši, kot bi lahko izhajalo iz slovenskega prevoda. Ne gre za  urejanje nacionalnih postopkov imenovanja, pač pa za omejitev na dva mandata. Iz neenotnosti jezikovnih različic (SI: podaljša; EN: renewable, FR: renouvelable; DE: verlängert;  HR: obnoviti ) izhaja, da gre pri terminu podaljšanje/obnova za splošnejši termin, ki ga gre razumeti v okviru sistematike Uredbe</w:t>
            </w:r>
            <w:r w:rsidR="00746B88">
              <w:rPr>
                <w:rFonts w:cs="Arial"/>
                <w:szCs w:val="20"/>
              </w:rPr>
              <w:t xml:space="preserve"> </w:t>
            </w:r>
            <w:r w:rsidR="00746B88" w:rsidRPr="00115F14">
              <w:rPr>
                <w:rFonts w:cs="Arial"/>
                <w:szCs w:val="20"/>
              </w:rPr>
              <w:t>2017/1939/EU</w:t>
            </w:r>
            <w:r w:rsidR="00746B88">
              <w:rPr>
                <w:rFonts w:cs="Arial"/>
                <w:szCs w:val="20"/>
              </w:rPr>
              <w:t>.</w:t>
            </w:r>
          </w:p>
          <w:p w:rsidR="004939F1" w:rsidRDefault="004939F1" w:rsidP="00AF4D95">
            <w:pPr>
              <w:spacing w:line="288" w:lineRule="auto"/>
              <w:jc w:val="both"/>
            </w:pPr>
          </w:p>
          <w:p w:rsidR="00746B88" w:rsidRPr="00A827B3" w:rsidRDefault="004939F1" w:rsidP="00AF4D95">
            <w:pPr>
              <w:spacing w:line="288" w:lineRule="auto"/>
              <w:jc w:val="both"/>
            </w:pPr>
            <w:bookmarkStart w:id="4" w:name="_Hlk42606289"/>
            <w:r w:rsidRPr="00A827B3">
              <w:t xml:space="preserve">V prehodni določbi </w:t>
            </w:r>
            <w:r w:rsidR="00746B88" w:rsidRPr="00A827B3">
              <w:t xml:space="preserve">drugega odstavka 80. člena Uredba </w:t>
            </w:r>
            <w:r w:rsidR="00746B88" w:rsidRPr="00A827B3">
              <w:rPr>
                <w:rFonts w:cs="Arial"/>
                <w:szCs w:val="20"/>
              </w:rPr>
              <w:t>2017/1939/EU določa, da n</w:t>
            </w:r>
            <w:r w:rsidRPr="00A827B3">
              <w:t xml:space="preserve">acionalni </w:t>
            </w:r>
            <w:r w:rsidR="005E70FF" w:rsidRPr="00A827B3">
              <w:t xml:space="preserve">predstavniki </w:t>
            </w:r>
            <w:r w:rsidRPr="00A827B3">
              <w:t>Eurojusta</w:t>
            </w:r>
            <w:r w:rsidR="00B131F4" w:rsidRPr="00A827B3">
              <w:t xml:space="preserve"> (</w:t>
            </w:r>
            <w:r w:rsidRPr="00A827B3">
              <w:t>kakor je bil ustanovljen s Sklepom 2002/187/PNZ</w:t>
            </w:r>
            <w:r w:rsidR="00B131F4" w:rsidRPr="00A827B3">
              <w:t>)</w:t>
            </w:r>
            <w:r w:rsidRPr="00A827B3">
              <w:t xml:space="preserve">, ki jih je napotila vsaka država članica v skladu z navedenim sklepom, prevzamejo vlogo nacionalnih </w:t>
            </w:r>
            <w:r w:rsidR="005E70FF" w:rsidRPr="00A827B3">
              <w:t>predstavnikov</w:t>
            </w:r>
            <w:r w:rsidRPr="00A827B3">
              <w:t xml:space="preserve"> Eurojusta na podlagi oddelka II poglavja II te uredbe.</w:t>
            </w:r>
            <w:r w:rsidR="005E70FF" w:rsidRPr="00A827B3">
              <w:t xml:space="preserve"> </w:t>
            </w:r>
          </w:p>
          <w:p w:rsidR="00A74E31" w:rsidRPr="00A827B3" w:rsidRDefault="00A74E31" w:rsidP="00AF4D95">
            <w:pPr>
              <w:spacing w:line="288" w:lineRule="auto"/>
              <w:jc w:val="both"/>
            </w:pPr>
          </w:p>
          <w:p w:rsidR="005771B0" w:rsidRDefault="005E70FF" w:rsidP="00AF4D95">
            <w:pPr>
              <w:spacing w:line="288" w:lineRule="auto"/>
              <w:jc w:val="both"/>
            </w:pPr>
            <w:r w:rsidRPr="00A827B3">
              <w:t>Poleg navedenega</w:t>
            </w:r>
            <w:r w:rsidR="005771B0" w:rsidRPr="00A827B3">
              <w:t xml:space="preserve"> Uredba 2017/1939/EU omogoča, da lahko nacionalni predstavniki, ki so bili že ponovno imenovani po prejšnji ureditvi, po začetku veljavnosti te uredbe, še enkrat kandidirajo kljub omejitvi na dva mandata in ne določa postopka avtomatičnega podaljšanja. Njihov mandat se lahko v skladu s to prehodno določbo in petim odstavkom 7. člena te uredbe še dodatno enkrat podaljša, ne glede na morebitno podaljšanje mandata po prejšnji ureditvi.</w:t>
            </w:r>
            <w:r w:rsidR="005771B0" w:rsidRPr="005771B0">
              <w:t xml:space="preserve"> </w:t>
            </w:r>
          </w:p>
          <w:p w:rsidR="00361B56" w:rsidRPr="00361B56" w:rsidRDefault="00361B56" w:rsidP="00AF4D95">
            <w:pPr>
              <w:spacing w:line="288" w:lineRule="auto"/>
              <w:jc w:val="both"/>
              <w:rPr>
                <w:rFonts w:ascii="Calibri" w:hAnsi="Calibri"/>
                <w:szCs w:val="22"/>
                <w:u w:val="single"/>
              </w:rPr>
            </w:pPr>
          </w:p>
          <w:p w:rsidR="005771B0" w:rsidRPr="00361B56" w:rsidRDefault="00361B56" w:rsidP="00AF4D95">
            <w:pPr>
              <w:spacing w:line="288" w:lineRule="auto"/>
              <w:jc w:val="both"/>
              <w:rPr>
                <w:u w:val="single"/>
              </w:rPr>
            </w:pPr>
            <w:r>
              <w:rPr>
                <w:u w:val="single"/>
              </w:rPr>
              <w:t>Glede določitve načina z</w:t>
            </w:r>
            <w:r w:rsidRPr="00361B56">
              <w:rPr>
                <w:u w:val="single"/>
              </w:rPr>
              <w:t>agotavljanj</w:t>
            </w:r>
            <w:r>
              <w:rPr>
                <w:u w:val="single"/>
              </w:rPr>
              <w:t>a</w:t>
            </w:r>
            <w:r w:rsidRPr="00361B56">
              <w:rPr>
                <w:u w:val="single"/>
              </w:rPr>
              <w:t xml:space="preserve"> učinkovitosti in enotnosti pregona</w:t>
            </w:r>
          </w:p>
          <w:bookmarkEnd w:id="4"/>
          <w:p w:rsidR="00361B56" w:rsidRDefault="00361B56" w:rsidP="00AF4D95">
            <w:pPr>
              <w:spacing w:line="288" w:lineRule="auto"/>
              <w:jc w:val="both"/>
              <w:rPr>
                <w:rFonts w:eastAsia="Calibri" w:cs="Arial"/>
                <w:szCs w:val="20"/>
                <w:lang w:eastAsia="sl-SI"/>
              </w:rPr>
            </w:pPr>
          </w:p>
          <w:p w:rsidR="00361B56" w:rsidRDefault="00361B56" w:rsidP="00AF4D95">
            <w:pPr>
              <w:spacing w:line="288" w:lineRule="auto"/>
              <w:jc w:val="both"/>
              <w:rPr>
                <w:rFonts w:eastAsia="Calibri" w:cs="Arial"/>
                <w:szCs w:val="20"/>
                <w:lang w:eastAsia="sl-SI"/>
              </w:rPr>
            </w:pPr>
            <w:r w:rsidRPr="00497F1C">
              <w:rPr>
                <w:rFonts w:eastAsia="Calibri" w:cs="Arial"/>
                <w:szCs w:val="20"/>
                <w:lang w:eastAsia="sl-SI"/>
              </w:rPr>
              <w:t xml:space="preserve">Določba 169. člena ZDT-1 je ob sprejemu ZDT-1 (2011) uvedla novost, ki dotlej v zakonu ni bila poznana. Gre za določitev načinov zagotavljanja učinkovitosti in enotnosti pregona. Z določbo 169. člena se je v povezavi z določbo o prevzemu zadeve (170. člen ZDT-1) uredilo postopanje vodje državnega tožilstva v zadevah, v katerih si bo vodja pridržal predhodno seznanitev z odločitvijo državnega tožilca. Vodja državnega tožilstva naj bi tako najprej (tj. vnaprej) določil vrsto zadev in način obveščanja o zadevah, v katerih mu morajo državni tožilci pred odločitvijo predložiti na vpogled osnutek svojega akta zaradi zagotavljanja enotnosti pregona. Z novim ZDT-1 je bila namreč poudarjena vloga vodje tožilstva, ki je sicer ohranil vlogo organizacijskega in izvedbenega usklajevanja in zagotavljanja enotnosti pregona, vendar pa je zakon njegovo vlogo odločanja v posameznih zadevah omejil. Ohranil je institut prevzema zadeve oziroma evokacijo, ki upravičuje, da vodja poleg strokovnega usmerjanja izenačuje funkcijo pregona z neposrednim posegom, vendar ob večjem zagotovilu naknadnega preizkusa pravilnosti odločitve na podlagi zahteve državnega tožilca, ki mu je bila zadeva odvzeta. Izvajanje določbe 169. člena ZDT-1 v praksi je pokazalo, da navedena določba pri večini državnih tožilstev ni bila razumljena na način, kot je bila ob sprejemu ZDT-1 oblikovana. </w:t>
            </w:r>
          </w:p>
          <w:p w:rsidR="00361B56" w:rsidRDefault="00361B56" w:rsidP="00AF4D95">
            <w:pPr>
              <w:spacing w:line="288" w:lineRule="auto"/>
              <w:jc w:val="both"/>
              <w:rPr>
                <w:rFonts w:eastAsia="Calibri" w:cs="Arial"/>
                <w:szCs w:val="20"/>
                <w:lang w:eastAsia="sl-SI"/>
              </w:rPr>
            </w:pPr>
          </w:p>
          <w:p w:rsidR="00361B56" w:rsidRPr="00497F1C" w:rsidRDefault="00361B56" w:rsidP="00AF4D95">
            <w:pPr>
              <w:spacing w:line="288" w:lineRule="auto"/>
              <w:jc w:val="both"/>
              <w:rPr>
                <w:rFonts w:eastAsia="Calibri" w:cs="Arial"/>
                <w:szCs w:val="20"/>
                <w:lang w:eastAsia="sl-SI"/>
              </w:rPr>
            </w:pPr>
            <w:r w:rsidRPr="00497F1C">
              <w:rPr>
                <w:rFonts w:eastAsia="Calibri" w:cs="Arial"/>
                <w:szCs w:val="20"/>
                <w:lang w:eastAsia="sl-SI"/>
              </w:rPr>
              <w:t>Upoštevaje vsebino in pomen odločitve državnega tožilca o zavrženju ovadbe se z namenom zagotovitve dodatnih orodij in vzvodov vodjem državnih tožilstev pri zagotavljanju enotnosti pregona ter širše krepitvi ugleda pravosodja v javnosti, predlaga predhodna predložitev osnutka akta o zavrženju ovadbe na vpogled oziroma v sopodpis vodji državnega tožilstva ne le v zadevah posebnega pomena</w:t>
            </w:r>
            <w:r w:rsidR="00CC346B">
              <w:rPr>
                <w:rFonts w:eastAsia="Calibri" w:cs="Arial"/>
                <w:szCs w:val="20"/>
                <w:lang w:eastAsia="sl-SI"/>
              </w:rPr>
              <w:t>,</w:t>
            </w:r>
            <w:r w:rsidRPr="00497F1C">
              <w:rPr>
                <w:rFonts w:eastAsia="Calibri" w:cs="Arial"/>
                <w:szCs w:val="20"/>
                <w:lang w:eastAsia="sl-SI"/>
              </w:rPr>
              <w:t xml:space="preserve"> kot to izhaja iz veljavne določbe 90. </w:t>
            </w:r>
            <w:r w:rsidRPr="00497F1C">
              <w:rPr>
                <w:rFonts w:eastAsia="Calibri" w:cs="Arial"/>
                <w:szCs w:val="20"/>
                <w:lang w:eastAsia="sl-SI"/>
              </w:rPr>
              <w:lastRenderedPageBreak/>
              <w:t>člena Državnotožilskega reda, temveč tudi v primerih zavrženja ovadb za kazniva dejanja, za katera je v Kazenskem zakoniku predpisana kazen zapora več kot tri leta</w:t>
            </w:r>
            <w:r>
              <w:rPr>
                <w:rFonts w:eastAsia="Calibri" w:cs="Arial"/>
                <w:szCs w:val="20"/>
                <w:lang w:eastAsia="sl-SI"/>
              </w:rPr>
              <w:t xml:space="preserve"> oziroma več kot osem let.</w:t>
            </w:r>
          </w:p>
          <w:p w:rsidR="005F27B0" w:rsidRPr="00601948" w:rsidRDefault="005F27B0" w:rsidP="00601948">
            <w:pPr>
              <w:widowControl w:val="0"/>
              <w:overflowPunct w:val="0"/>
              <w:autoSpaceDE w:val="0"/>
              <w:autoSpaceDN w:val="0"/>
              <w:adjustRightInd w:val="0"/>
              <w:spacing w:line="288" w:lineRule="auto"/>
              <w:ind w:left="22"/>
              <w:jc w:val="both"/>
              <w:textAlignment w:val="baseline"/>
              <w:rPr>
                <w:rFonts w:cs="Arial"/>
                <w:iCs/>
                <w:szCs w:val="20"/>
                <w:lang w:eastAsia="sl-SI"/>
              </w:rPr>
            </w:pPr>
          </w:p>
        </w:tc>
        <w:tc>
          <w:tcPr>
            <w:tcW w:w="1956" w:type="dxa"/>
            <w:gridSpan w:val="2"/>
            <w:vAlign w:val="bottom"/>
          </w:tcPr>
          <w:p w:rsidR="001E28FB" w:rsidRDefault="001E28FB" w:rsidP="00B644CC">
            <w:pPr>
              <w:pStyle w:val="Neotevilenodstavek"/>
              <w:widowControl w:val="0"/>
              <w:spacing w:before="0" w:after="0" w:line="288" w:lineRule="auto"/>
              <w:jc w:val="center"/>
              <w:rPr>
                <w:b/>
                <w:sz w:val="20"/>
                <w:szCs w:val="20"/>
              </w:rPr>
            </w:pPr>
          </w:p>
        </w:tc>
      </w:tr>
      <w:tr w:rsidR="001E28FB" w:rsidRPr="006741B0" w:rsidTr="0042598A">
        <w:tblPrEx>
          <w:jc w:val="left"/>
        </w:tblPrEx>
        <w:trPr>
          <w:gridAfter w:val="1"/>
          <w:wAfter w:w="120" w:type="dxa"/>
          <w:trHeight w:val="708"/>
        </w:trPr>
        <w:tc>
          <w:tcPr>
            <w:tcW w:w="6884" w:type="dxa"/>
            <w:gridSpan w:val="10"/>
            <w:vAlign w:val="center"/>
          </w:tcPr>
          <w:p w:rsidR="001E28FB" w:rsidRPr="000653AD" w:rsidRDefault="001E28FB" w:rsidP="00B644CC">
            <w:pPr>
              <w:pStyle w:val="Neotevilenodstavek"/>
              <w:widowControl w:val="0"/>
              <w:spacing w:before="0" w:after="0" w:line="288" w:lineRule="auto"/>
              <w:jc w:val="left"/>
              <w:rPr>
                <w:b/>
                <w:sz w:val="20"/>
                <w:szCs w:val="20"/>
              </w:rPr>
            </w:pPr>
            <w:r w:rsidRPr="00E21D2C">
              <w:rPr>
                <w:b/>
                <w:sz w:val="20"/>
                <w:szCs w:val="20"/>
              </w:rPr>
              <w:lastRenderedPageBreak/>
              <w:t>10. Pri pripravi gradiva so bile upoštevane zahteve iz Reso</w:t>
            </w:r>
            <w:r>
              <w:rPr>
                <w:b/>
                <w:sz w:val="20"/>
                <w:szCs w:val="20"/>
              </w:rPr>
              <w:t>lucije o normativni dejavnosti:</w:t>
            </w:r>
          </w:p>
        </w:tc>
        <w:tc>
          <w:tcPr>
            <w:tcW w:w="1956" w:type="dxa"/>
            <w:gridSpan w:val="2"/>
            <w:vAlign w:val="center"/>
          </w:tcPr>
          <w:p w:rsidR="001E28FB" w:rsidRDefault="001E28FB" w:rsidP="00B644CC">
            <w:pPr>
              <w:pStyle w:val="Neotevilenodstavek"/>
              <w:widowControl w:val="0"/>
              <w:spacing w:before="0" w:after="0" w:line="288" w:lineRule="auto"/>
              <w:jc w:val="center"/>
              <w:rPr>
                <w:b/>
                <w:sz w:val="20"/>
                <w:szCs w:val="20"/>
              </w:rPr>
            </w:pPr>
            <w:r>
              <w:rPr>
                <w:b/>
                <w:sz w:val="20"/>
                <w:szCs w:val="20"/>
              </w:rPr>
              <w:t>DA</w:t>
            </w:r>
          </w:p>
        </w:tc>
      </w:tr>
      <w:tr w:rsidR="001E28FB" w:rsidRPr="006741B0" w:rsidTr="0042598A">
        <w:tblPrEx>
          <w:jc w:val="left"/>
        </w:tblPrEx>
        <w:trPr>
          <w:gridAfter w:val="1"/>
          <w:wAfter w:w="120" w:type="dxa"/>
          <w:trHeight w:val="344"/>
        </w:trPr>
        <w:tc>
          <w:tcPr>
            <w:tcW w:w="6884" w:type="dxa"/>
            <w:gridSpan w:val="10"/>
            <w:vAlign w:val="center"/>
          </w:tcPr>
          <w:p w:rsidR="001E28FB" w:rsidRPr="000653AD" w:rsidRDefault="001E28FB" w:rsidP="00B644CC">
            <w:pPr>
              <w:pStyle w:val="Neotevilenodstavek"/>
              <w:widowControl w:val="0"/>
              <w:spacing w:before="0" w:after="0" w:line="288" w:lineRule="auto"/>
              <w:jc w:val="left"/>
              <w:rPr>
                <w:b/>
                <w:sz w:val="20"/>
                <w:szCs w:val="20"/>
              </w:rPr>
            </w:pPr>
            <w:r w:rsidRPr="00E21D2C">
              <w:rPr>
                <w:b/>
                <w:sz w:val="20"/>
                <w:szCs w:val="20"/>
              </w:rPr>
              <w:t>11. Gradivo je uv</w:t>
            </w:r>
            <w:r>
              <w:rPr>
                <w:b/>
                <w:sz w:val="20"/>
                <w:szCs w:val="20"/>
              </w:rPr>
              <w:t>rščeno v delovni program vlade:</w:t>
            </w:r>
          </w:p>
        </w:tc>
        <w:tc>
          <w:tcPr>
            <w:tcW w:w="1956" w:type="dxa"/>
            <w:gridSpan w:val="2"/>
            <w:vAlign w:val="center"/>
          </w:tcPr>
          <w:p w:rsidR="001E28FB" w:rsidRDefault="001B429E" w:rsidP="00B644CC">
            <w:pPr>
              <w:pStyle w:val="Neotevilenodstavek"/>
              <w:widowControl w:val="0"/>
              <w:spacing w:before="0" w:after="0" w:line="288" w:lineRule="auto"/>
              <w:jc w:val="center"/>
              <w:rPr>
                <w:b/>
                <w:sz w:val="20"/>
                <w:szCs w:val="20"/>
              </w:rPr>
            </w:pPr>
            <w:r>
              <w:rPr>
                <w:b/>
                <w:sz w:val="20"/>
                <w:szCs w:val="20"/>
              </w:rPr>
              <w:t>DA</w:t>
            </w:r>
          </w:p>
        </w:tc>
      </w:tr>
      <w:tr w:rsidR="001E28FB" w:rsidRPr="006741B0" w:rsidTr="006F2E7F">
        <w:tblPrEx>
          <w:jc w:val="left"/>
        </w:tblPrEx>
        <w:trPr>
          <w:gridAfter w:val="1"/>
          <w:wAfter w:w="120" w:type="dxa"/>
          <w:trHeight w:val="708"/>
        </w:trPr>
        <w:tc>
          <w:tcPr>
            <w:tcW w:w="8840" w:type="dxa"/>
            <w:gridSpan w:val="12"/>
            <w:vAlign w:val="center"/>
          </w:tcPr>
          <w:p w:rsidR="001E28FB" w:rsidRDefault="001E28FB" w:rsidP="00B644CC">
            <w:pPr>
              <w:spacing w:line="288" w:lineRule="auto"/>
              <w:jc w:val="center"/>
              <w:rPr>
                <w:rFonts w:cs="Arial"/>
                <w:b/>
                <w:szCs w:val="20"/>
              </w:rPr>
            </w:pPr>
          </w:p>
          <w:p w:rsidR="001E28FB" w:rsidRPr="00AF4D95" w:rsidRDefault="00AF4D95" w:rsidP="00B644CC">
            <w:pPr>
              <w:spacing w:line="288" w:lineRule="auto"/>
              <w:jc w:val="center"/>
              <w:rPr>
                <w:bCs/>
              </w:rPr>
            </w:pPr>
            <w:r>
              <w:rPr>
                <w:rFonts w:cs="Arial"/>
                <w:bCs/>
                <w:szCs w:val="20"/>
              </w:rPr>
              <w:t xml:space="preserve">                                                                   </w:t>
            </w:r>
            <w:r w:rsidR="001B429E" w:rsidRPr="00AF4D95">
              <w:rPr>
                <w:rFonts w:cs="Arial"/>
                <w:bCs/>
                <w:szCs w:val="20"/>
              </w:rPr>
              <w:t>mag. Liljana Kozlovič</w:t>
            </w:r>
          </w:p>
          <w:p w:rsidR="001E28FB" w:rsidRPr="006F2E7F" w:rsidRDefault="00AF4D95" w:rsidP="00B644CC">
            <w:pPr>
              <w:spacing w:line="288" w:lineRule="auto"/>
              <w:jc w:val="center"/>
              <w:rPr>
                <w:b/>
              </w:rPr>
            </w:pPr>
            <w:r>
              <w:rPr>
                <w:bCs/>
              </w:rPr>
              <w:t xml:space="preserve">                                                                 </w:t>
            </w:r>
            <w:r w:rsidR="001E28FB" w:rsidRPr="00AF4D95">
              <w:rPr>
                <w:bCs/>
              </w:rPr>
              <w:t>ministrica</w:t>
            </w:r>
          </w:p>
        </w:tc>
      </w:tr>
    </w:tbl>
    <w:p w:rsidR="0045384C" w:rsidRPr="00026310" w:rsidRDefault="0045384C" w:rsidP="00B644CC">
      <w:pPr>
        <w:spacing w:line="288" w:lineRule="auto"/>
        <w:jc w:val="both"/>
        <w:rPr>
          <w:color w:val="FF0000"/>
        </w:rPr>
      </w:pPr>
    </w:p>
    <w:p w:rsidR="000E329C" w:rsidRPr="002A732F" w:rsidRDefault="000E329C" w:rsidP="00B644CC">
      <w:pPr>
        <w:spacing w:line="288" w:lineRule="auto"/>
        <w:jc w:val="center"/>
        <w:rPr>
          <w:b/>
          <w:i/>
        </w:rPr>
      </w:pPr>
    </w:p>
    <w:p w:rsidR="000E329C" w:rsidRDefault="000653AD" w:rsidP="00B644CC">
      <w:pPr>
        <w:spacing w:line="288" w:lineRule="auto"/>
        <w:jc w:val="both"/>
      </w:pPr>
      <w:r>
        <w:t>Priloge</w:t>
      </w:r>
      <w:r w:rsidR="0061520E" w:rsidRPr="0061520E">
        <w:t>:</w:t>
      </w:r>
    </w:p>
    <w:p w:rsidR="000653AD" w:rsidRDefault="00607753" w:rsidP="00B644CC">
      <w:pPr>
        <w:numPr>
          <w:ilvl w:val="0"/>
          <w:numId w:val="12"/>
        </w:numPr>
        <w:ind w:left="0"/>
        <w:rPr>
          <w:rFonts w:cs="Arial"/>
          <w:szCs w:val="20"/>
        </w:rPr>
      </w:pPr>
      <w:r>
        <w:rPr>
          <w:rFonts w:cs="Arial"/>
          <w:szCs w:val="20"/>
        </w:rPr>
        <w:t>predlog Z</w:t>
      </w:r>
      <w:r w:rsidR="000653AD" w:rsidRPr="002D233F">
        <w:rPr>
          <w:rFonts w:cs="Arial"/>
          <w:szCs w:val="20"/>
        </w:rPr>
        <w:t>akona</w:t>
      </w:r>
      <w:r>
        <w:rPr>
          <w:rFonts w:cs="Arial"/>
          <w:szCs w:val="20"/>
        </w:rPr>
        <w:t xml:space="preserve"> o spremembah in dopolnitvah Zakona o državnem tožilstvu,</w:t>
      </w:r>
    </w:p>
    <w:p w:rsidR="00607753" w:rsidRPr="005A2A80" w:rsidRDefault="00607753" w:rsidP="00B644CC">
      <w:pPr>
        <w:numPr>
          <w:ilvl w:val="0"/>
          <w:numId w:val="12"/>
        </w:numPr>
        <w:ind w:left="0"/>
        <w:rPr>
          <w:rFonts w:cs="Arial"/>
          <w:szCs w:val="20"/>
        </w:rPr>
      </w:pPr>
      <w:r w:rsidRPr="003979B4">
        <w:rPr>
          <w:rFonts w:cs="Arial"/>
          <w:iCs/>
          <w:szCs w:val="20"/>
          <w:lang w:eastAsia="sl-SI"/>
        </w:rPr>
        <w:t>priloga 2</w:t>
      </w:r>
      <w:r w:rsidR="005A2A80">
        <w:rPr>
          <w:rFonts w:cs="Arial"/>
          <w:iCs/>
          <w:szCs w:val="20"/>
          <w:lang w:eastAsia="sl-SI"/>
        </w:rPr>
        <w:t>,</w:t>
      </w:r>
    </w:p>
    <w:p w:rsidR="005A2A80" w:rsidRPr="00607753" w:rsidRDefault="005A2A80" w:rsidP="00B644CC">
      <w:pPr>
        <w:numPr>
          <w:ilvl w:val="0"/>
          <w:numId w:val="12"/>
        </w:numPr>
        <w:ind w:left="0"/>
        <w:rPr>
          <w:rFonts w:cs="Arial"/>
          <w:szCs w:val="20"/>
        </w:rPr>
      </w:pPr>
      <w:r>
        <w:rPr>
          <w:rFonts w:cs="Arial"/>
          <w:iCs/>
          <w:szCs w:val="20"/>
          <w:lang w:eastAsia="sl-SI"/>
        </w:rPr>
        <w:t>MSP test.</w:t>
      </w:r>
    </w:p>
    <w:p w:rsidR="00C76EC0" w:rsidRDefault="00C76EC0" w:rsidP="00B644CC">
      <w:pPr>
        <w:spacing w:line="288" w:lineRule="auto"/>
      </w:pPr>
    </w:p>
    <w:p w:rsidR="00C76EC0" w:rsidRDefault="00C76EC0" w:rsidP="00B644CC">
      <w:pPr>
        <w:spacing w:line="288" w:lineRule="auto"/>
      </w:pPr>
    </w:p>
    <w:p w:rsidR="006F2E7F" w:rsidRDefault="006F2E7F" w:rsidP="00B644CC">
      <w:pPr>
        <w:spacing w:line="288" w:lineRule="auto"/>
      </w:pPr>
    </w:p>
    <w:p w:rsidR="006F2E7F" w:rsidRDefault="006F2E7F" w:rsidP="00B644CC">
      <w:pPr>
        <w:spacing w:line="288" w:lineRule="auto"/>
      </w:pPr>
    </w:p>
    <w:p w:rsidR="006F2E7F" w:rsidRDefault="006F2E7F" w:rsidP="00B644CC">
      <w:pPr>
        <w:spacing w:line="288" w:lineRule="auto"/>
      </w:pPr>
    </w:p>
    <w:p w:rsidR="006F2E7F" w:rsidRDefault="006F2E7F" w:rsidP="00B644CC">
      <w:pPr>
        <w:spacing w:line="288" w:lineRule="auto"/>
      </w:pPr>
    </w:p>
    <w:p w:rsidR="006F2E7F" w:rsidRDefault="006F2E7F" w:rsidP="00B644CC">
      <w:pPr>
        <w:spacing w:line="288" w:lineRule="auto"/>
      </w:pPr>
    </w:p>
    <w:p w:rsidR="006F2E7F" w:rsidRDefault="006F2E7F" w:rsidP="00B644CC">
      <w:pPr>
        <w:spacing w:line="288" w:lineRule="auto"/>
      </w:pPr>
    </w:p>
    <w:p w:rsidR="006F2E7F" w:rsidRDefault="006F2E7F" w:rsidP="00B644CC">
      <w:pPr>
        <w:spacing w:line="288" w:lineRule="auto"/>
      </w:pPr>
    </w:p>
    <w:p w:rsidR="006F2E7F" w:rsidRDefault="006F2E7F" w:rsidP="00B644CC">
      <w:pPr>
        <w:spacing w:line="288" w:lineRule="auto"/>
      </w:pPr>
    </w:p>
    <w:p w:rsidR="006F2E7F" w:rsidRDefault="006F2E7F" w:rsidP="00B644CC">
      <w:pPr>
        <w:spacing w:line="288" w:lineRule="auto"/>
      </w:pPr>
    </w:p>
    <w:p w:rsidR="006F2E7F" w:rsidRDefault="006F2E7F" w:rsidP="00B644CC">
      <w:pPr>
        <w:spacing w:line="288" w:lineRule="auto"/>
      </w:pPr>
    </w:p>
    <w:p w:rsidR="001B429E" w:rsidRDefault="001B429E" w:rsidP="00B644CC">
      <w:pPr>
        <w:spacing w:line="288" w:lineRule="auto"/>
      </w:pPr>
    </w:p>
    <w:p w:rsidR="001B429E" w:rsidRDefault="001B429E" w:rsidP="00B644CC">
      <w:pPr>
        <w:spacing w:line="288" w:lineRule="auto"/>
      </w:pPr>
    </w:p>
    <w:p w:rsidR="001B429E" w:rsidRDefault="001B429E" w:rsidP="00B644CC">
      <w:pPr>
        <w:spacing w:line="288" w:lineRule="auto"/>
      </w:pPr>
    </w:p>
    <w:p w:rsidR="001B429E" w:rsidRDefault="001B429E" w:rsidP="00B644CC">
      <w:pPr>
        <w:spacing w:line="288" w:lineRule="auto"/>
      </w:pPr>
    </w:p>
    <w:p w:rsidR="001B429E" w:rsidRDefault="001B429E" w:rsidP="00B644CC">
      <w:pPr>
        <w:spacing w:line="288" w:lineRule="auto"/>
      </w:pPr>
    </w:p>
    <w:p w:rsidR="001B429E" w:rsidRDefault="001B429E" w:rsidP="00B644CC">
      <w:pPr>
        <w:spacing w:line="288" w:lineRule="auto"/>
      </w:pPr>
    </w:p>
    <w:p w:rsidR="001B429E" w:rsidRDefault="001B429E" w:rsidP="00B644CC">
      <w:pPr>
        <w:spacing w:line="288" w:lineRule="auto"/>
      </w:pPr>
    </w:p>
    <w:p w:rsidR="001B429E" w:rsidRDefault="001B429E" w:rsidP="00B644CC">
      <w:pPr>
        <w:spacing w:line="288" w:lineRule="auto"/>
      </w:pPr>
    </w:p>
    <w:p w:rsidR="001B429E" w:rsidRDefault="001B429E" w:rsidP="00B644CC">
      <w:pPr>
        <w:spacing w:line="288" w:lineRule="auto"/>
      </w:pPr>
    </w:p>
    <w:p w:rsidR="001B429E" w:rsidRDefault="001B429E" w:rsidP="00B644CC">
      <w:pPr>
        <w:spacing w:line="288" w:lineRule="auto"/>
      </w:pPr>
    </w:p>
    <w:p w:rsidR="00A840AF" w:rsidRDefault="00A840AF" w:rsidP="00B644CC">
      <w:pPr>
        <w:spacing w:line="288" w:lineRule="auto"/>
      </w:pPr>
    </w:p>
    <w:p w:rsidR="00A840AF" w:rsidRDefault="00A840AF" w:rsidP="00B644CC">
      <w:pPr>
        <w:spacing w:line="288" w:lineRule="auto"/>
      </w:pPr>
    </w:p>
    <w:p w:rsidR="00A840AF" w:rsidRDefault="00A840AF" w:rsidP="00B644CC">
      <w:pPr>
        <w:spacing w:line="288" w:lineRule="auto"/>
      </w:pPr>
    </w:p>
    <w:p w:rsidR="00F10F23" w:rsidRDefault="00F10F23" w:rsidP="00B644CC">
      <w:pPr>
        <w:spacing w:line="288" w:lineRule="auto"/>
      </w:pPr>
    </w:p>
    <w:p w:rsidR="00F10F23" w:rsidRDefault="00F10F23" w:rsidP="00B644CC">
      <w:pPr>
        <w:spacing w:line="288" w:lineRule="auto"/>
      </w:pPr>
    </w:p>
    <w:p w:rsidR="00F10F23" w:rsidRDefault="00F10F23" w:rsidP="00B644CC">
      <w:pPr>
        <w:spacing w:line="288" w:lineRule="auto"/>
      </w:pPr>
    </w:p>
    <w:p w:rsidR="00F10F23" w:rsidRDefault="00F10F23" w:rsidP="00B644CC">
      <w:pPr>
        <w:spacing w:line="288" w:lineRule="auto"/>
      </w:pPr>
    </w:p>
    <w:p w:rsidR="00F10F23" w:rsidRDefault="00F10F23" w:rsidP="00B644CC">
      <w:pPr>
        <w:spacing w:line="288" w:lineRule="auto"/>
      </w:pPr>
    </w:p>
    <w:p w:rsidR="00F10F23" w:rsidRDefault="00F10F23" w:rsidP="00B644CC">
      <w:pPr>
        <w:spacing w:line="288" w:lineRule="auto"/>
      </w:pPr>
    </w:p>
    <w:p w:rsidR="00F10F23" w:rsidRDefault="00F10F23" w:rsidP="00B644CC">
      <w:pPr>
        <w:spacing w:line="288" w:lineRule="auto"/>
      </w:pPr>
    </w:p>
    <w:p w:rsidR="001B429E" w:rsidRDefault="001B429E" w:rsidP="00B644CC">
      <w:pPr>
        <w:spacing w:line="288" w:lineRule="auto"/>
      </w:pPr>
    </w:p>
    <w:p w:rsidR="001B429E" w:rsidRDefault="001B429E" w:rsidP="00B644CC">
      <w:pPr>
        <w:spacing w:line="288" w:lineRule="auto"/>
      </w:pPr>
    </w:p>
    <w:p w:rsidR="00FB78FD" w:rsidRDefault="00FB78FD" w:rsidP="00B644CC">
      <w:pPr>
        <w:spacing w:line="288" w:lineRule="auto"/>
      </w:pPr>
      <w:r>
        <w:t>Datum:</w:t>
      </w:r>
    </w:p>
    <w:p w:rsidR="00FB78FD" w:rsidRDefault="00FB78FD" w:rsidP="00B644CC">
      <w:pPr>
        <w:spacing w:line="288" w:lineRule="auto"/>
      </w:pPr>
      <w:r>
        <w:t>Številka:</w:t>
      </w:r>
    </w:p>
    <w:p w:rsidR="00FB78FD" w:rsidRDefault="00FB78FD" w:rsidP="00B644CC"/>
    <w:p w:rsidR="00FB78FD" w:rsidRDefault="00FB78FD" w:rsidP="00B644CC"/>
    <w:p w:rsidR="00FB78FD" w:rsidRDefault="00FB78FD" w:rsidP="00B644CC"/>
    <w:p w:rsidR="00FB78FD" w:rsidRDefault="00FB78FD" w:rsidP="00B644CC"/>
    <w:p w:rsidR="00FB78FD" w:rsidRDefault="00FB78FD" w:rsidP="00B644CC">
      <w:pPr>
        <w:spacing w:line="288" w:lineRule="auto"/>
        <w:jc w:val="both"/>
        <w:rPr>
          <w:rFonts w:cs="Arial"/>
          <w:szCs w:val="20"/>
        </w:rPr>
      </w:pPr>
      <w:bookmarkStart w:id="5" w:name="_Hlk532380339"/>
      <w:r w:rsidRPr="00402BA3">
        <w:rPr>
          <w:rFonts w:cs="Arial"/>
          <w:szCs w:val="20"/>
          <w:lang w:eastAsia="ar-SA"/>
        </w:rPr>
        <w:t xml:space="preserve">Na podlagi </w:t>
      </w:r>
      <w:r w:rsidRPr="00217F13">
        <w:rPr>
          <w:rFonts w:cs="Arial"/>
          <w:szCs w:val="20"/>
        </w:rPr>
        <w:t xml:space="preserve">drugega odstavka 2. člena </w:t>
      </w:r>
      <w:r w:rsidRPr="00402BA3">
        <w:rPr>
          <w:rFonts w:cs="Arial"/>
          <w:szCs w:val="20"/>
          <w:lang w:eastAsia="ar-SA"/>
        </w:rPr>
        <w:t xml:space="preserve">Zakona o Vladi Republike Slovenije </w:t>
      </w:r>
      <w:r w:rsidRPr="00402BA3">
        <w:rPr>
          <w:rFonts w:cs="Arial"/>
          <w:szCs w:val="20"/>
        </w:rPr>
        <w:t>(</w:t>
      </w:r>
      <w:r w:rsidRPr="006F5D0A">
        <w:rPr>
          <w:rFonts w:cs="Arial"/>
          <w:szCs w:val="20"/>
        </w:rPr>
        <w:t>Uradni list RS, št. 24/05 – uradno prečiščeno besedilo, 109/08, 38/10 – ZUKN, 8/12, 21/13, 47/13 – ZDU-1G, 65/14 in 55/17</w:t>
      </w:r>
      <w:r w:rsidRPr="00402BA3">
        <w:rPr>
          <w:rFonts w:cs="Arial"/>
          <w:szCs w:val="20"/>
        </w:rPr>
        <w:t xml:space="preserve">) </w:t>
      </w:r>
      <w:r w:rsidRPr="00402BA3">
        <w:rPr>
          <w:rFonts w:cs="Arial"/>
          <w:szCs w:val="20"/>
          <w:lang w:eastAsia="ar-SA"/>
        </w:rPr>
        <w:t>je Vlada Republike Slovenije na .....seji dne......sprejela naslednji</w:t>
      </w:r>
    </w:p>
    <w:p w:rsidR="00FB78FD" w:rsidRDefault="00FB78FD" w:rsidP="00B644CC">
      <w:pPr>
        <w:spacing w:line="288" w:lineRule="auto"/>
        <w:rPr>
          <w:rFonts w:cs="Arial"/>
          <w:szCs w:val="20"/>
        </w:rPr>
      </w:pPr>
    </w:p>
    <w:p w:rsidR="00FB78FD" w:rsidRDefault="00FB78FD" w:rsidP="00B644CC">
      <w:pPr>
        <w:spacing w:line="288" w:lineRule="auto"/>
        <w:rPr>
          <w:rFonts w:cs="Arial"/>
          <w:szCs w:val="20"/>
        </w:rPr>
      </w:pPr>
    </w:p>
    <w:p w:rsidR="00FB78FD" w:rsidRDefault="00FB78FD" w:rsidP="00B644CC">
      <w:pPr>
        <w:spacing w:line="288" w:lineRule="auto"/>
        <w:rPr>
          <w:rFonts w:cs="Arial"/>
          <w:szCs w:val="20"/>
        </w:rPr>
      </w:pPr>
    </w:p>
    <w:p w:rsidR="00FB78FD" w:rsidRPr="00FB78FD" w:rsidRDefault="00FB78FD" w:rsidP="00B644CC">
      <w:pPr>
        <w:spacing w:line="288" w:lineRule="auto"/>
        <w:jc w:val="center"/>
        <w:rPr>
          <w:rFonts w:cs="Arial"/>
          <w:b/>
          <w:szCs w:val="20"/>
        </w:rPr>
      </w:pPr>
      <w:r w:rsidRPr="00FB78FD">
        <w:rPr>
          <w:rFonts w:cs="Arial"/>
          <w:b/>
          <w:szCs w:val="20"/>
        </w:rPr>
        <w:t>SKLEP</w:t>
      </w:r>
    </w:p>
    <w:p w:rsidR="00FB78FD" w:rsidRDefault="00FB78FD" w:rsidP="00B644CC">
      <w:pPr>
        <w:spacing w:line="288" w:lineRule="auto"/>
        <w:rPr>
          <w:rFonts w:cs="Arial"/>
          <w:szCs w:val="20"/>
        </w:rPr>
      </w:pPr>
    </w:p>
    <w:p w:rsidR="00FB78FD" w:rsidRDefault="00FB78FD" w:rsidP="00B644CC">
      <w:pPr>
        <w:spacing w:line="288" w:lineRule="auto"/>
        <w:rPr>
          <w:rFonts w:cs="Arial"/>
          <w:szCs w:val="20"/>
        </w:rPr>
      </w:pPr>
    </w:p>
    <w:p w:rsidR="00FB78FD" w:rsidRPr="00110674" w:rsidRDefault="00FB78FD" w:rsidP="00B644CC">
      <w:pPr>
        <w:spacing w:line="288" w:lineRule="auto"/>
        <w:rPr>
          <w:rFonts w:cs="Arial"/>
          <w:szCs w:val="20"/>
        </w:rPr>
      </w:pPr>
    </w:p>
    <w:p w:rsidR="00FB78FD" w:rsidRDefault="00FB78FD" w:rsidP="00B644CC">
      <w:pPr>
        <w:spacing w:line="288" w:lineRule="auto"/>
        <w:jc w:val="both"/>
        <w:rPr>
          <w:rFonts w:cs="Arial"/>
          <w:szCs w:val="20"/>
        </w:rPr>
      </w:pPr>
      <w:r w:rsidRPr="00217F13">
        <w:rPr>
          <w:rFonts w:cs="Arial"/>
          <w:szCs w:val="20"/>
        </w:rPr>
        <w:t>Vlada Republike Slovenije je določila besedilo Predloga Zakona o spremembah in dopolnitvah Zakona o državnem tožilstvu</w:t>
      </w:r>
      <w:r w:rsidR="00484DB8">
        <w:rPr>
          <w:rFonts w:cs="Arial"/>
          <w:szCs w:val="20"/>
        </w:rPr>
        <w:t xml:space="preserve"> (</w:t>
      </w:r>
      <w:r w:rsidR="001B429E" w:rsidRPr="001B429E">
        <w:rPr>
          <w:rFonts w:cs="Arial"/>
          <w:szCs w:val="20"/>
        </w:rPr>
        <w:t>EVA  2020-2030-0005</w:t>
      </w:r>
      <w:r>
        <w:rPr>
          <w:rFonts w:cs="Arial"/>
          <w:szCs w:val="20"/>
        </w:rPr>
        <w:t>)</w:t>
      </w:r>
      <w:r w:rsidRPr="00217F13">
        <w:rPr>
          <w:rFonts w:cs="Arial"/>
          <w:szCs w:val="20"/>
        </w:rPr>
        <w:t xml:space="preserve"> in ga p</w:t>
      </w:r>
      <w:r w:rsidR="00AF4D95">
        <w:rPr>
          <w:rFonts w:cs="Arial"/>
          <w:szCs w:val="20"/>
        </w:rPr>
        <w:t xml:space="preserve">ošlje </w:t>
      </w:r>
      <w:r w:rsidRPr="00217F13">
        <w:rPr>
          <w:rFonts w:cs="Arial"/>
          <w:szCs w:val="20"/>
        </w:rPr>
        <w:t xml:space="preserve">Državnemu zboru Republike Slovenije v obravnavo po </w:t>
      </w:r>
      <w:r>
        <w:rPr>
          <w:rFonts w:cs="Arial"/>
          <w:szCs w:val="20"/>
        </w:rPr>
        <w:t>skrajšanem</w:t>
      </w:r>
      <w:r w:rsidRPr="00217F13">
        <w:rPr>
          <w:rFonts w:cs="Arial"/>
          <w:szCs w:val="20"/>
        </w:rPr>
        <w:t xml:space="preserve"> postopku.</w:t>
      </w:r>
    </w:p>
    <w:p w:rsidR="00FB78FD" w:rsidRDefault="00FB78FD" w:rsidP="00B644CC">
      <w:pPr>
        <w:spacing w:line="288" w:lineRule="auto"/>
        <w:jc w:val="both"/>
        <w:rPr>
          <w:rFonts w:cs="Arial"/>
          <w:szCs w:val="20"/>
        </w:rPr>
      </w:pPr>
    </w:p>
    <w:bookmarkEnd w:id="5"/>
    <w:p w:rsidR="00FB78FD" w:rsidRPr="00110674" w:rsidRDefault="00FB78FD" w:rsidP="00B644CC">
      <w:pPr>
        <w:jc w:val="both"/>
        <w:rPr>
          <w:rFonts w:cs="Arial"/>
          <w:szCs w:val="20"/>
        </w:rPr>
      </w:pPr>
    </w:p>
    <w:p w:rsidR="00FB78FD" w:rsidRDefault="00FB78FD" w:rsidP="00B644CC">
      <w:pPr>
        <w:rPr>
          <w:rFonts w:cs="Arial"/>
          <w:szCs w:val="20"/>
        </w:rPr>
      </w:pPr>
    </w:p>
    <w:p w:rsidR="00FB78FD" w:rsidRPr="00110674" w:rsidRDefault="00FB78FD" w:rsidP="00B644CC">
      <w:pPr>
        <w:rPr>
          <w:rFonts w:cs="Arial"/>
          <w:szCs w:val="20"/>
        </w:rPr>
      </w:pPr>
    </w:p>
    <w:p w:rsidR="00484DB8" w:rsidRPr="001B429E" w:rsidRDefault="001B429E" w:rsidP="00B644CC">
      <w:pPr>
        <w:pStyle w:val="Telobesedila"/>
        <w:spacing w:after="0" w:line="288" w:lineRule="auto"/>
        <w:jc w:val="center"/>
        <w:rPr>
          <w:rFonts w:ascii="Arial" w:hAnsi="Arial" w:cs="Arial"/>
          <w:bCs/>
          <w:sz w:val="20"/>
          <w:szCs w:val="20"/>
        </w:rPr>
      </w:pPr>
      <w:r w:rsidRPr="001B429E">
        <w:rPr>
          <w:rFonts w:ascii="Arial" w:hAnsi="Arial" w:cs="Arial"/>
          <w:bCs/>
          <w:sz w:val="20"/>
          <w:szCs w:val="20"/>
        </w:rPr>
        <w:t xml:space="preserve">dr. Božo Predalič </w:t>
      </w:r>
      <w:r w:rsidR="00484DB8" w:rsidRPr="001B429E">
        <w:rPr>
          <w:rFonts w:ascii="Arial" w:hAnsi="Arial" w:cs="Arial"/>
          <w:bCs/>
          <w:sz w:val="20"/>
          <w:szCs w:val="20"/>
        </w:rPr>
        <w:t xml:space="preserve">                                                                                                             GENERALNI SEKRETAR</w:t>
      </w:r>
    </w:p>
    <w:p w:rsidR="00FB78FD" w:rsidRDefault="00FB78FD" w:rsidP="00B644CC">
      <w:pPr>
        <w:pStyle w:val="Naslovpredpisa"/>
        <w:spacing w:before="0" w:after="0" w:line="260" w:lineRule="exact"/>
        <w:jc w:val="left"/>
        <w:rPr>
          <w:sz w:val="20"/>
          <w:szCs w:val="20"/>
        </w:rPr>
      </w:pPr>
    </w:p>
    <w:p w:rsidR="00FB78FD" w:rsidRDefault="00FB78FD" w:rsidP="00B644CC">
      <w:pPr>
        <w:pStyle w:val="Naslovpredpisa"/>
        <w:spacing w:before="0" w:after="0" w:line="260" w:lineRule="exact"/>
        <w:jc w:val="left"/>
        <w:rPr>
          <w:sz w:val="20"/>
          <w:szCs w:val="20"/>
        </w:rPr>
      </w:pPr>
    </w:p>
    <w:p w:rsidR="00FB78FD" w:rsidRPr="00110674" w:rsidRDefault="00FB78FD" w:rsidP="00B644CC">
      <w:pPr>
        <w:pStyle w:val="Naslovpredpisa"/>
        <w:spacing w:before="0" w:after="0" w:line="260" w:lineRule="exact"/>
        <w:jc w:val="left"/>
        <w:rPr>
          <w:sz w:val="20"/>
          <w:szCs w:val="20"/>
        </w:rPr>
      </w:pPr>
    </w:p>
    <w:p w:rsidR="00484DB8" w:rsidRPr="00E532AB" w:rsidRDefault="00484DB8" w:rsidP="00B644CC">
      <w:pPr>
        <w:pStyle w:val="Naslovpredpisa"/>
        <w:spacing w:before="0" w:after="0" w:line="288" w:lineRule="auto"/>
        <w:jc w:val="left"/>
        <w:rPr>
          <w:b w:val="0"/>
          <w:sz w:val="20"/>
          <w:szCs w:val="20"/>
        </w:rPr>
      </w:pPr>
      <w:r w:rsidRPr="00E532AB">
        <w:rPr>
          <w:b w:val="0"/>
          <w:sz w:val="20"/>
          <w:szCs w:val="20"/>
        </w:rPr>
        <w:t>Prejmejo:</w:t>
      </w:r>
    </w:p>
    <w:p w:rsidR="00484DB8" w:rsidRPr="00032FAF" w:rsidRDefault="00484DB8" w:rsidP="00B644CC">
      <w:pPr>
        <w:spacing w:line="288" w:lineRule="auto"/>
        <w:rPr>
          <w:rFonts w:cs="Arial"/>
          <w:szCs w:val="20"/>
        </w:rPr>
      </w:pPr>
      <w:r>
        <w:rPr>
          <w:rFonts w:cs="Arial"/>
          <w:szCs w:val="20"/>
        </w:rPr>
        <w:t xml:space="preserve">– </w:t>
      </w:r>
      <w:r w:rsidRPr="00032FAF">
        <w:rPr>
          <w:rFonts w:cs="Arial"/>
          <w:szCs w:val="20"/>
        </w:rPr>
        <w:t>Državni zbor Republike Slovenije,</w:t>
      </w:r>
    </w:p>
    <w:p w:rsidR="00484DB8" w:rsidRPr="00032FAF" w:rsidRDefault="00484DB8" w:rsidP="00B644CC">
      <w:pPr>
        <w:suppressAutoHyphens/>
        <w:spacing w:line="288" w:lineRule="auto"/>
        <w:rPr>
          <w:rFonts w:cs="Arial"/>
          <w:szCs w:val="20"/>
        </w:rPr>
      </w:pPr>
      <w:r w:rsidRPr="00032FAF">
        <w:rPr>
          <w:rFonts w:cs="Arial"/>
          <w:szCs w:val="20"/>
        </w:rPr>
        <w:t>– Ministrstvo za pravosodje,</w:t>
      </w:r>
    </w:p>
    <w:p w:rsidR="00484DB8" w:rsidRPr="00032FAF" w:rsidRDefault="00484DB8" w:rsidP="00B644CC">
      <w:pPr>
        <w:suppressAutoHyphens/>
        <w:spacing w:line="288" w:lineRule="auto"/>
        <w:rPr>
          <w:rFonts w:cs="Arial"/>
          <w:szCs w:val="20"/>
        </w:rPr>
      </w:pPr>
      <w:r w:rsidRPr="00032FAF">
        <w:rPr>
          <w:rFonts w:cs="Arial"/>
          <w:szCs w:val="20"/>
        </w:rPr>
        <w:t>– Ministrstvo za finance,</w:t>
      </w:r>
    </w:p>
    <w:p w:rsidR="00484DB8" w:rsidRDefault="00484DB8" w:rsidP="00B644CC">
      <w:pPr>
        <w:spacing w:line="288" w:lineRule="auto"/>
        <w:rPr>
          <w:rFonts w:cs="Arial"/>
          <w:szCs w:val="20"/>
        </w:rPr>
      </w:pPr>
      <w:r w:rsidRPr="00032FAF">
        <w:rPr>
          <w:rFonts w:cs="Arial"/>
          <w:szCs w:val="20"/>
        </w:rPr>
        <w:t>– Služba Vlade Republike Slovenije za zakonodajo</w:t>
      </w:r>
      <w:r w:rsidR="00CC346B">
        <w:rPr>
          <w:rFonts w:cs="Arial"/>
          <w:szCs w:val="20"/>
        </w:rPr>
        <w:t>,</w:t>
      </w:r>
    </w:p>
    <w:p w:rsidR="00CC346B" w:rsidRDefault="00CC346B" w:rsidP="00B644CC">
      <w:pPr>
        <w:spacing w:line="288" w:lineRule="auto"/>
        <w:rPr>
          <w:rFonts w:cs="Arial"/>
          <w:szCs w:val="20"/>
        </w:rPr>
      </w:pPr>
      <w:r w:rsidRPr="00032FAF">
        <w:rPr>
          <w:rFonts w:cs="Arial"/>
          <w:szCs w:val="20"/>
        </w:rPr>
        <w:t xml:space="preserve">– </w:t>
      </w:r>
      <w:r>
        <w:rPr>
          <w:rFonts w:cs="Arial"/>
          <w:szCs w:val="20"/>
        </w:rPr>
        <w:t>Vrhovno državno tožilstvo,</w:t>
      </w:r>
    </w:p>
    <w:p w:rsidR="00CC346B" w:rsidRDefault="00CC346B" w:rsidP="00B644CC">
      <w:pPr>
        <w:spacing w:line="288" w:lineRule="auto"/>
        <w:rPr>
          <w:rFonts w:cs="Arial"/>
          <w:szCs w:val="20"/>
        </w:rPr>
      </w:pPr>
      <w:r w:rsidRPr="00032FAF">
        <w:rPr>
          <w:rFonts w:cs="Arial"/>
          <w:szCs w:val="20"/>
        </w:rPr>
        <w:t xml:space="preserve">– </w:t>
      </w:r>
      <w:r>
        <w:rPr>
          <w:rFonts w:cs="Arial"/>
          <w:szCs w:val="20"/>
        </w:rPr>
        <w:t>Državnotožilski svet.</w:t>
      </w:r>
    </w:p>
    <w:p w:rsidR="00FB78FD" w:rsidRDefault="00FB78FD" w:rsidP="00B644CC">
      <w:pPr>
        <w:pStyle w:val="Neotevilenodstavek"/>
        <w:spacing w:before="0" w:after="0" w:line="288" w:lineRule="auto"/>
        <w:rPr>
          <w:bCs/>
          <w:iCs/>
          <w:sz w:val="20"/>
          <w:szCs w:val="20"/>
        </w:rPr>
      </w:pPr>
    </w:p>
    <w:p w:rsidR="00B72496" w:rsidRDefault="00B72496" w:rsidP="00B644CC"/>
    <w:p w:rsidR="00C17600" w:rsidRDefault="00C17600" w:rsidP="00B644CC"/>
    <w:p w:rsidR="00F10F23" w:rsidRDefault="00F10F23" w:rsidP="00B644CC"/>
    <w:p w:rsidR="00F10F23" w:rsidRDefault="00F10F23" w:rsidP="00B644CC"/>
    <w:p w:rsidR="00F10F23" w:rsidRDefault="00F10F23" w:rsidP="00B644CC"/>
    <w:p w:rsidR="00F10F23" w:rsidRDefault="00F10F23" w:rsidP="00B644CC"/>
    <w:p w:rsidR="00F10F23" w:rsidRDefault="00F10F23" w:rsidP="00B644CC"/>
    <w:p w:rsidR="00F10F23" w:rsidRDefault="00F10F23" w:rsidP="00B644CC"/>
    <w:p w:rsidR="00F10F23" w:rsidRDefault="00F10F23" w:rsidP="00B644CC"/>
    <w:p w:rsidR="00F10F23" w:rsidRDefault="00F10F23" w:rsidP="00B644CC"/>
    <w:p w:rsidR="00F10F23" w:rsidRDefault="00F10F23" w:rsidP="00B644CC"/>
    <w:p w:rsidR="009B5194" w:rsidRDefault="009B5194" w:rsidP="00B644CC"/>
    <w:p w:rsidR="00F10F23" w:rsidRDefault="00F10F23" w:rsidP="00B644CC"/>
    <w:p w:rsidR="00AE2155" w:rsidRDefault="00AE2155" w:rsidP="00B644CC">
      <w:pPr>
        <w:pStyle w:val="Naslovpredpisa"/>
        <w:spacing w:before="0" w:after="0" w:line="260" w:lineRule="exact"/>
        <w:jc w:val="right"/>
        <w:rPr>
          <w:sz w:val="20"/>
          <w:szCs w:val="20"/>
        </w:rPr>
      </w:pPr>
    </w:p>
    <w:p w:rsidR="004F1D99" w:rsidRDefault="004F1D99" w:rsidP="00B644CC">
      <w:pPr>
        <w:pStyle w:val="Naslovpredpisa"/>
        <w:spacing w:before="0" w:after="0" w:line="288" w:lineRule="auto"/>
      </w:pPr>
    </w:p>
    <w:p w:rsidR="009501A9" w:rsidRDefault="009501A9" w:rsidP="00B644CC">
      <w:pPr>
        <w:pStyle w:val="Naslovpredpisa"/>
        <w:spacing w:before="0" w:after="0" w:line="288" w:lineRule="auto"/>
      </w:pPr>
    </w:p>
    <w:p w:rsidR="004F1D99" w:rsidRDefault="004F1D99" w:rsidP="00B644CC">
      <w:pPr>
        <w:pStyle w:val="Naslovpredpisa"/>
        <w:spacing w:before="0" w:after="0" w:line="288" w:lineRule="auto"/>
      </w:pPr>
    </w:p>
    <w:p w:rsidR="00574AD1" w:rsidRDefault="00574AD1" w:rsidP="00574AD1">
      <w:pPr>
        <w:pStyle w:val="Naslovpredpisa"/>
        <w:spacing w:before="0" w:after="0" w:line="288" w:lineRule="auto"/>
        <w:jc w:val="both"/>
        <w:rPr>
          <w:sz w:val="20"/>
          <w:szCs w:val="20"/>
        </w:rPr>
      </w:pPr>
      <w:r>
        <w:rPr>
          <w:sz w:val="20"/>
          <w:szCs w:val="20"/>
        </w:rPr>
        <w:t>PRILOGA 3</w:t>
      </w:r>
    </w:p>
    <w:p w:rsidR="009501A9" w:rsidRPr="009501A9" w:rsidRDefault="009501A9" w:rsidP="009501A9">
      <w:pPr>
        <w:pStyle w:val="Naslovpredpisa"/>
        <w:spacing w:before="0" w:after="0" w:line="288" w:lineRule="auto"/>
        <w:jc w:val="right"/>
        <w:rPr>
          <w:sz w:val="20"/>
          <w:szCs w:val="20"/>
        </w:rPr>
      </w:pPr>
      <w:r>
        <w:rPr>
          <w:sz w:val="20"/>
          <w:szCs w:val="20"/>
        </w:rPr>
        <w:t xml:space="preserve"> </w:t>
      </w:r>
      <w:r w:rsidRPr="009501A9">
        <w:rPr>
          <w:sz w:val="20"/>
          <w:szCs w:val="20"/>
        </w:rPr>
        <w:t>SKRAJŠANI POSTOPEK</w:t>
      </w:r>
    </w:p>
    <w:p w:rsidR="009501A9" w:rsidRPr="009501A9" w:rsidRDefault="009501A9" w:rsidP="009501A9">
      <w:pPr>
        <w:pStyle w:val="Naslovpredpisa"/>
        <w:spacing w:before="0" w:after="0" w:line="288" w:lineRule="auto"/>
        <w:jc w:val="right"/>
        <w:rPr>
          <w:sz w:val="20"/>
          <w:szCs w:val="20"/>
        </w:rPr>
      </w:pPr>
      <w:r w:rsidRPr="009501A9">
        <w:rPr>
          <w:sz w:val="20"/>
          <w:szCs w:val="20"/>
        </w:rPr>
        <w:t>EVA: 20</w:t>
      </w:r>
      <w:r>
        <w:rPr>
          <w:sz w:val="20"/>
          <w:szCs w:val="20"/>
        </w:rPr>
        <w:t>20</w:t>
      </w:r>
      <w:r w:rsidRPr="009501A9">
        <w:rPr>
          <w:sz w:val="20"/>
          <w:szCs w:val="20"/>
        </w:rPr>
        <w:t>-2030-00</w:t>
      </w:r>
      <w:r>
        <w:rPr>
          <w:sz w:val="20"/>
          <w:szCs w:val="20"/>
        </w:rPr>
        <w:t>05</w:t>
      </w:r>
    </w:p>
    <w:p w:rsidR="009501A9" w:rsidRPr="009501A9" w:rsidRDefault="009501A9" w:rsidP="009501A9">
      <w:pPr>
        <w:pStyle w:val="Naslovpredpisa"/>
        <w:spacing w:before="0" w:after="0" w:line="288" w:lineRule="auto"/>
        <w:rPr>
          <w:sz w:val="20"/>
          <w:szCs w:val="20"/>
        </w:rPr>
      </w:pPr>
    </w:p>
    <w:p w:rsidR="009501A9" w:rsidRDefault="009501A9" w:rsidP="009501A9">
      <w:pPr>
        <w:pStyle w:val="Naslovpredpisa"/>
        <w:spacing w:before="0" w:after="0" w:line="288" w:lineRule="auto"/>
        <w:rPr>
          <w:sz w:val="20"/>
          <w:szCs w:val="20"/>
        </w:rPr>
      </w:pPr>
    </w:p>
    <w:p w:rsidR="00AE2155" w:rsidRPr="009501A9" w:rsidRDefault="00AE2155" w:rsidP="009501A9">
      <w:pPr>
        <w:pStyle w:val="Naslovpredpisa"/>
        <w:spacing w:before="0" w:after="0" w:line="288" w:lineRule="auto"/>
        <w:rPr>
          <w:sz w:val="20"/>
          <w:szCs w:val="20"/>
        </w:rPr>
      </w:pPr>
      <w:r w:rsidRPr="009501A9">
        <w:rPr>
          <w:sz w:val="20"/>
          <w:szCs w:val="20"/>
        </w:rPr>
        <w:t xml:space="preserve">PREDLOG ZAKONA O SPREMEMBAH IN DOPOLNITVAH </w:t>
      </w:r>
    </w:p>
    <w:p w:rsidR="00AE2155" w:rsidRPr="009501A9" w:rsidRDefault="00AE2155" w:rsidP="009501A9">
      <w:pPr>
        <w:spacing w:line="288" w:lineRule="auto"/>
        <w:jc w:val="center"/>
        <w:rPr>
          <w:b/>
          <w:szCs w:val="20"/>
        </w:rPr>
      </w:pPr>
      <w:r w:rsidRPr="009501A9">
        <w:rPr>
          <w:b/>
          <w:szCs w:val="20"/>
        </w:rPr>
        <w:t xml:space="preserve">ZAKONA O DRŽAVNEM TOŽILSTVU </w:t>
      </w:r>
    </w:p>
    <w:p w:rsidR="00AE2155" w:rsidRDefault="00AE2155" w:rsidP="00B644CC">
      <w:pPr>
        <w:spacing w:line="288" w:lineRule="auto"/>
        <w:jc w:val="center"/>
        <w:rPr>
          <w:b/>
          <w:sz w:val="22"/>
          <w:szCs w:val="22"/>
        </w:rPr>
      </w:pPr>
    </w:p>
    <w:p w:rsidR="00AE2155" w:rsidRDefault="00AE2155" w:rsidP="00B644CC">
      <w:pPr>
        <w:spacing w:line="288" w:lineRule="auto"/>
        <w:jc w:val="center"/>
        <w:rPr>
          <w:b/>
          <w:sz w:val="22"/>
          <w:szCs w:val="22"/>
        </w:rPr>
      </w:pPr>
    </w:p>
    <w:p w:rsidR="00AE2155" w:rsidRDefault="00AE2155" w:rsidP="00B644CC">
      <w:pPr>
        <w:spacing w:line="288" w:lineRule="auto"/>
        <w:rPr>
          <w:rFonts w:cs="Arial"/>
          <w:color w:val="000000"/>
        </w:rPr>
      </w:pPr>
    </w:p>
    <w:p w:rsidR="00FD6AFE" w:rsidRDefault="00503F6A" w:rsidP="00FD6AFE">
      <w:pPr>
        <w:spacing w:line="288" w:lineRule="auto"/>
        <w:jc w:val="both"/>
        <w:rPr>
          <w:rFonts w:cs="Arial"/>
          <w:b/>
          <w:color w:val="000000"/>
        </w:rPr>
      </w:pPr>
      <w:r>
        <w:rPr>
          <w:rFonts w:cs="Arial"/>
          <w:b/>
          <w:color w:val="000000"/>
        </w:rPr>
        <w:t xml:space="preserve">I. </w:t>
      </w:r>
      <w:r w:rsidR="00AE2155" w:rsidRPr="00EE5F05">
        <w:rPr>
          <w:rFonts w:cs="Arial"/>
          <w:b/>
          <w:color w:val="000000"/>
        </w:rPr>
        <w:t>UVOD</w:t>
      </w:r>
    </w:p>
    <w:p w:rsidR="00FD6AFE" w:rsidRDefault="00FD6AFE" w:rsidP="00FD6AFE">
      <w:pPr>
        <w:spacing w:line="288" w:lineRule="auto"/>
        <w:jc w:val="both"/>
        <w:rPr>
          <w:rFonts w:cs="Arial"/>
          <w:b/>
          <w:color w:val="000000"/>
        </w:rPr>
      </w:pPr>
    </w:p>
    <w:p w:rsidR="00AE2155" w:rsidRPr="00FD6AFE" w:rsidRDefault="00AE2155" w:rsidP="00FD6AFE">
      <w:pPr>
        <w:spacing w:line="288" w:lineRule="auto"/>
        <w:jc w:val="both"/>
        <w:rPr>
          <w:rFonts w:cs="Arial"/>
          <w:b/>
          <w:color w:val="000000"/>
        </w:rPr>
      </w:pPr>
      <w:r w:rsidRPr="00FD6AFE">
        <w:rPr>
          <w:rFonts w:cs="Arial"/>
          <w:b/>
          <w:color w:val="000000"/>
        </w:rPr>
        <w:t>1. OCENA STANJA IN RAZLOGI ZA SPREJEM PREDLOGA ZAKONA</w:t>
      </w:r>
    </w:p>
    <w:p w:rsidR="00AE2155" w:rsidRDefault="00AE2155" w:rsidP="00B644CC">
      <w:pPr>
        <w:spacing w:line="288" w:lineRule="auto"/>
        <w:jc w:val="both"/>
        <w:rPr>
          <w:rFonts w:cs="Arial"/>
          <w:color w:val="000000"/>
        </w:rPr>
      </w:pPr>
    </w:p>
    <w:p w:rsidR="00AE2155" w:rsidRPr="00196CFE" w:rsidRDefault="00AE2155" w:rsidP="00503F6A">
      <w:pPr>
        <w:numPr>
          <w:ilvl w:val="1"/>
          <w:numId w:val="31"/>
        </w:numPr>
        <w:spacing w:line="288" w:lineRule="auto"/>
        <w:jc w:val="both"/>
        <w:rPr>
          <w:rFonts w:cs="Arial"/>
          <w:b/>
          <w:color w:val="000000"/>
        </w:rPr>
      </w:pPr>
      <w:r w:rsidRPr="00196CFE">
        <w:rPr>
          <w:rFonts w:eastAsia="Calibri" w:cs="Arial"/>
          <w:b/>
          <w:szCs w:val="20"/>
        </w:rPr>
        <w:t>Agencij</w:t>
      </w:r>
      <w:r>
        <w:rPr>
          <w:rFonts w:eastAsia="Calibri" w:cs="Arial"/>
          <w:b/>
          <w:szCs w:val="20"/>
        </w:rPr>
        <w:t>a</w:t>
      </w:r>
      <w:r w:rsidRPr="00196CFE">
        <w:rPr>
          <w:rFonts w:eastAsia="Calibri" w:cs="Arial"/>
          <w:b/>
          <w:szCs w:val="20"/>
        </w:rPr>
        <w:t xml:space="preserve"> Evropske unije za pravosodno sodelovanje v kazenskih zadevah – Eurojust</w:t>
      </w:r>
    </w:p>
    <w:p w:rsidR="00AE2155" w:rsidRDefault="00AE2155" w:rsidP="00B644CC">
      <w:pPr>
        <w:spacing w:line="288" w:lineRule="auto"/>
        <w:jc w:val="both"/>
        <w:rPr>
          <w:rFonts w:eastAsia="Calibri" w:cs="Arial"/>
          <w:szCs w:val="20"/>
        </w:rPr>
      </w:pPr>
    </w:p>
    <w:p w:rsidR="00AE2155" w:rsidRDefault="00AE2155" w:rsidP="00B644CC">
      <w:pPr>
        <w:spacing w:line="288" w:lineRule="auto"/>
        <w:jc w:val="both"/>
        <w:rPr>
          <w:rFonts w:cs="Arial"/>
          <w:color w:val="000000"/>
        </w:rPr>
      </w:pPr>
      <w:r w:rsidRPr="00CB651B">
        <w:rPr>
          <w:rFonts w:cs="Arial"/>
          <w:color w:val="000000"/>
        </w:rPr>
        <w:t>Evropa</w:t>
      </w:r>
      <w:r>
        <w:rPr>
          <w:rFonts w:cs="Arial"/>
          <w:color w:val="000000"/>
        </w:rPr>
        <w:t xml:space="preserve"> </w:t>
      </w:r>
      <w:r w:rsidRPr="00CB651B">
        <w:rPr>
          <w:rFonts w:cs="Arial"/>
          <w:color w:val="000000"/>
        </w:rPr>
        <w:t>kot odgovor na grožnje notranji varnosti</w:t>
      </w:r>
      <w:r>
        <w:rPr>
          <w:rFonts w:cs="Arial"/>
          <w:color w:val="000000"/>
        </w:rPr>
        <w:t xml:space="preserve"> </w:t>
      </w:r>
      <w:r w:rsidRPr="00CB651B">
        <w:rPr>
          <w:rFonts w:cs="Arial"/>
          <w:color w:val="000000"/>
        </w:rPr>
        <w:t>posebno pozornost namenja organiziranemu</w:t>
      </w:r>
      <w:r>
        <w:rPr>
          <w:rFonts w:cs="Arial"/>
          <w:color w:val="000000"/>
        </w:rPr>
        <w:t xml:space="preserve"> </w:t>
      </w:r>
      <w:r w:rsidRPr="00CB651B">
        <w:rPr>
          <w:rFonts w:cs="Arial"/>
          <w:color w:val="000000"/>
        </w:rPr>
        <w:t>kriminalu, terorizmu, kibernetski kriminaliteti</w:t>
      </w:r>
      <w:r>
        <w:rPr>
          <w:rFonts w:cs="Arial"/>
          <w:color w:val="000000"/>
        </w:rPr>
        <w:t xml:space="preserve"> </w:t>
      </w:r>
      <w:r w:rsidRPr="00CB651B">
        <w:rPr>
          <w:rFonts w:cs="Arial"/>
          <w:color w:val="000000"/>
        </w:rPr>
        <w:t>in tihotapljenju migrantov. Te vrste kriminala</w:t>
      </w:r>
      <w:r>
        <w:rPr>
          <w:rFonts w:cs="Arial"/>
          <w:color w:val="000000"/>
        </w:rPr>
        <w:t xml:space="preserve"> </w:t>
      </w:r>
      <w:r w:rsidRPr="00CB651B">
        <w:rPr>
          <w:rFonts w:cs="Arial"/>
          <w:color w:val="000000"/>
        </w:rPr>
        <w:t>imajo še posebno velik vpliv, so medsebojno</w:t>
      </w:r>
      <w:r>
        <w:rPr>
          <w:rFonts w:cs="Arial"/>
          <w:color w:val="000000"/>
        </w:rPr>
        <w:t xml:space="preserve"> </w:t>
      </w:r>
      <w:r w:rsidRPr="00CB651B">
        <w:rPr>
          <w:rFonts w:cs="Arial"/>
          <w:color w:val="000000"/>
        </w:rPr>
        <w:t>povezane in predstavljajo kazniva dejanja</w:t>
      </w:r>
      <w:r>
        <w:rPr>
          <w:rFonts w:cs="Arial"/>
          <w:color w:val="000000"/>
        </w:rPr>
        <w:t xml:space="preserve"> </w:t>
      </w:r>
      <w:r w:rsidRPr="00CB651B">
        <w:rPr>
          <w:rFonts w:cs="Arial"/>
          <w:color w:val="000000"/>
        </w:rPr>
        <w:t>z močno čezmejno razsežnostjo.</w:t>
      </w:r>
    </w:p>
    <w:p w:rsidR="00AE2155" w:rsidRPr="00DE4518" w:rsidRDefault="00AE2155" w:rsidP="00B644CC">
      <w:pPr>
        <w:spacing w:line="288" w:lineRule="auto"/>
        <w:jc w:val="both"/>
        <w:rPr>
          <w:rFonts w:cs="Arial"/>
          <w:color w:val="FF0000"/>
        </w:rPr>
      </w:pPr>
    </w:p>
    <w:p w:rsidR="00AE2155" w:rsidRPr="00115F14" w:rsidRDefault="00AE2155" w:rsidP="00B644CC">
      <w:pPr>
        <w:spacing w:line="288" w:lineRule="auto"/>
        <w:jc w:val="both"/>
        <w:rPr>
          <w:rFonts w:cs="Arial"/>
        </w:rPr>
      </w:pPr>
      <w:r w:rsidRPr="00115F14">
        <w:rPr>
          <w:rFonts w:cs="Arial"/>
        </w:rPr>
        <w:t>Zgodovina Eurojusta sega vse do zasedanja Evropskega sveta v Tampereju (14. do 16. oktobra 1999), kjer je bila za okrepitev boja proti hudim oblikam organiziranega kriminala postavljena zahteva po ustanovitvi organa za pravosodno sodelovanje (Eurojust). Evropski svet se je odločil ustanoviti Eurojust, sestavljen iz nacionalnih državnih tožilcev, sodnikov ali policistov s podobnimi pristojnostmi, ki jih posamezne države članice prenesejo v skladu s svojo nacionalno zakonodajo.</w:t>
      </w:r>
    </w:p>
    <w:p w:rsidR="00AE2155" w:rsidRPr="00115F14" w:rsidRDefault="00AE2155" w:rsidP="00B644CC">
      <w:pPr>
        <w:spacing w:line="288" w:lineRule="auto"/>
        <w:jc w:val="both"/>
        <w:rPr>
          <w:rFonts w:cs="Arial"/>
        </w:rPr>
      </w:pPr>
    </w:p>
    <w:p w:rsidR="00AE2155" w:rsidRPr="00115F14" w:rsidRDefault="00AE2155" w:rsidP="00B644CC">
      <w:pPr>
        <w:spacing w:line="288" w:lineRule="auto"/>
        <w:jc w:val="both"/>
        <w:rPr>
          <w:rFonts w:cs="Arial"/>
        </w:rPr>
      </w:pPr>
      <w:r w:rsidRPr="00115F14">
        <w:rPr>
          <w:rFonts w:cs="Arial"/>
        </w:rPr>
        <w:t>Eurojust je bil ustanovljen 24. februarja 2001 s Sklepom Sveta 2002/187/PNZ</w:t>
      </w:r>
      <w:r w:rsidRPr="00115F14">
        <w:rPr>
          <w:rStyle w:val="Sprotnaopomba-sklic"/>
          <w:rFonts w:cs="Arial"/>
        </w:rPr>
        <w:footnoteReference w:id="1"/>
      </w:r>
      <w:r w:rsidRPr="00115F14">
        <w:rPr>
          <w:rFonts w:cs="Arial"/>
        </w:rPr>
        <w:t xml:space="preserve"> za krepitev boja proti hudim oblikam organiziranega kriminala v Evropski uniji</w:t>
      </w:r>
      <w:r w:rsidR="00863752">
        <w:rPr>
          <w:rFonts w:cs="Arial"/>
        </w:rPr>
        <w:t xml:space="preserve"> (v nadaljnjem besedilu: Sklep </w:t>
      </w:r>
      <w:r w:rsidR="00863752" w:rsidRPr="00115F14">
        <w:rPr>
          <w:rFonts w:cs="Arial"/>
        </w:rPr>
        <w:t>2002/187/PNZ</w:t>
      </w:r>
      <w:r w:rsidR="00863752">
        <w:rPr>
          <w:rFonts w:cs="Arial"/>
        </w:rPr>
        <w:t>)</w:t>
      </w:r>
      <w:r w:rsidRPr="00115F14">
        <w:rPr>
          <w:rFonts w:cs="Arial"/>
        </w:rPr>
        <w:t>. Od takrat Eurojust sodeluje pri usklajevanju in sodelovanju med nacionalnimi organi držav članic Evropske unije, kadar imajo opravka s hudimi oblikami čezmejne kriminalitete in organiziranega kriminala.</w:t>
      </w:r>
    </w:p>
    <w:p w:rsidR="00AE2155" w:rsidRPr="00115F14" w:rsidRDefault="00AE2155" w:rsidP="00B644CC">
      <w:pPr>
        <w:spacing w:line="288" w:lineRule="auto"/>
        <w:jc w:val="both"/>
        <w:rPr>
          <w:rFonts w:cs="Arial"/>
        </w:rPr>
      </w:pPr>
    </w:p>
    <w:p w:rsidR="00AE2155" w:rsidRPr="00115F14" w:rsidRDefault="00AE2155" w:rsidP="00B644CC">
      <w:pPr>
        <w:spacing w:line="288" w:lineRule="auto"/>
        <w:jc w:val="both"/>
        <w:rPr>
          <w:rFonts w:cs="Arial"/>
        </w:rPr>
      </w:pPr>
      <w:r w:rsidRPr="00115F14">
        <w:rPr>
          <w:rFonts w:cs="Arial"/>
        </w:rPr>
        <w:t>Boj proti organiziranemu kriminalu s ciljem</w:t>
      </w:r>
      <w:r>
        <w:rPr>
          <w:rFonts w:cs="Arial"/>
        </w:rPr>
        <w:t xml:space="preserve"> </w:t>
      </w:r>
      <w:r w:rsidRPr="00115F14">
        <w:rPr>
          <w:rFonts w:cs="Arial"/>
        </w:rPr>
        <w:t xml:space="preserve">dokončnega uničenja kriminalnih organizacij ostaja vsakdanji izziv. V preteklem desetletju se je, zaradi odprtih meja, prostega pretoka oseb pa tudi migracij, organizirana kriminaliteta še dodatno razširila, zlasti trgovina s prepovedanimi drogami, trgovina z ljudmi, terorizem in spletni kriminal, vključno z otroško pornografijo. Skupna značilnost vseh teh področij kriminalitete je, da čezmejna kazniva dejanja storijo zelo mobilne in fleksibilne </w:t>
      </w:r>
      <w:r>
        <w:rPr>
          <w:rFonts w:cs="Arial"/>
        </w:rPr>
        <w:t xml:space="preserve">kriminalne </w:t>
      </w:r>
      <w:r w:rsidRPr="00115F14">
        <w:rPr>
          <w:rFonts w:cs="Arial"/>
        </w:rPr>
        <w:t>skupine, ki delujejo v več pravnih redih in na različnih področjih kriminala. Za učinkovit boj proti njim je potrebno usklajeno vseevropsko ukrepanje.</w:t>
      </w:r>
    </w:p>
    <w:p w:rsidR="00AE2155" w:rsidRPr="00115F14" w:rsidRDefault="00AE2155" w:rsidP="00B644CC">
      <w:pPr>
        <w:spacing w:line="288" w:lineRule="auto"/>
        <w:jc w:val="both"/>
        <w:rPr>
          <w:rFonts w:cs="Arial"/>
        </w:rPr>
      </w:pPr>
    </w:p>
    <w:p w:rsidR="00AE2155" w:rsidRPr="00115F14" w:rsidRDefault="00AE2155" w:rsidP="00B644CC">
      <w:pPr>
        <w:spacing w:line="288" w:lineRule="auto"/>
        <w:jc w:val="both"/>
        <w:rPr>
          <w:rFonts w:cs="Arial"/>
        </w:rPr>
      </w:pPr>
      <w:r w:rsidRPr="00115F14">
        <w:rPr>
          <w:rFonts w:cs="Arial"/>
        </w:rPr>
        <w:lastRenderedPageBreak/>
        <w:t>Eurojust je pomemben del operativnega odziva v</w:t>
      </w:r>
      <w:r>
        <w:rPr>
          <w:rFonts w:cs="Arial"/>
        </w:rPr>
        <w:t xml:space="preserve"> </w:t>
      </w:r>
      <w:r w:rsidRPr="00115F14">
        <w:rPr>
          <w:rFonts w:cs="Arial"/>
        </w:rPr>
        <w:t>boju proti tovrstnim grožnjam. V vsakem</w:t>
      </w:r>
      <w:r>
        <w:rPr>
          <w:rFonts w:cs="Arial"/>
        </w:rPr>
        <w:t xml:space="preserve"> </w:t>
      </w:r>
      <w:r w:rsidRPr="00115F14">
        <w:rPr>
          <w:rFonts w:cs="Arial"/>
        </w:rPr>
        <w:t>primeru posebej zagotavlja usklajevanje preiskav s</w:t>
      </w:r>
      <w:r>
        <w:rPr>
          <w:rFonts w:cs="Arial"/>
        </w:rPr>
        <w:t xml:space="preserve"> </w:t>
      </w:r>
      <w:r w:rsidRPr="00115F14">
        <w:rPr>
          <w:rFonts w:cs="Arial"/>
        </w:rPr>
        <w:t>spodbujanjem izmenjave informacij, odkrivanjem</w:t>
      </w:r>
      <w:r>
        <w:rPr>
          <w:rFonts w:cs="Arial"/>
        </w:rPr>
        <w:t xml:space="preserve"> </w:t>
      </w:r>
      <w:r w:rsidRPr="00115F14">
        <w:rPr>
          <w:rFonts w:cs="Arial"/>
        </w:rPr>
        <w:t>navzkrižnih povezav med tekočimi preiskavami,</w:t>
      </w:r>
      <w:r>
        <w:rPr>
          <w:rFonts w:cs="Arial"/>
        </w:rPr>
        <w:t xml:space="preserve"> </w:t>
      </w:r>
      <w:r w:rsidRPr="00115F14">
        <w:rPr>
          <w:rFonts w:cs="Arial"/>
        </w:rPr>
        <w:t>razvojem strategij tožilstva in izvajanjem skupnih</w:t>
      </w:r>
      <w:r>
        <w:rPr>
          <w:rFonts w:cs="Arial"/>
        </w:rPr>
        <w:t xml:space="preserve"> </w:t>
      </w:r>
      <w:r w:rsidRPr="00115F14">
        <w:rPr>
          <w:rFonts w:cs="Arial"/>
        </w:rPr>
        <w:t>ukrepov. Pogosto je treba reševati resna vprašanja</w:t>
      </w:r>
      <w:r>
        <w:rPr>
          <w:rFonts w:cs="Arial"/>
        </w:rPr>
        <w:t xml:space="preserve"> </w:t>
      </w:r>
      <w:r w:rsidRPr="00115F14">
        <w:rPr>
          <w:rFonts w:cs="Arial"/>
        </w:rPr>
        <w:t>glede pristojn</w:t>
      </w:r>
      <w:r>
        <w:rPr>
          <w:rFonts w:cs="Arial"/>
        </w:rPr>
        <w:t>ega sodišča</w:t>
      </w:r>
      <w:r w:rsidRPr="00115F14">
        <w:rPr>
          <w:rFonts w:cs="Arial"/>
        </w:rPr>
        <w:t>. Ta odločitev je zlasti pomembna pri</w:t>
      </w:r>
      <w:r>
        <w:rPr>
          <w:rFonts w:cs="Arial"/>
        </w:rPr>
        <w:t xml:space="preserve"> </w:t>
      </w:r>
      <w:r w:rsidRPr="00115F14">
        <w:rPr>
          <w:rFonts w:cs="Arial"/>
        </w:rPr>
        <w:t>čezmejnih</w:t>
      </w:r>
      <w:r>
        <w:rPr>
          <w:rFonts w:cs="Arial"/>
        </w:rPr>
        <w:t xml:space="preserve"> </w:t>
      </w:r>
      <w:r w:rsidRPr="00115F14">
        <w:rPr>
          <w:rFonts w:cs="Arial"/>
        </w:rPr>
        <w:t>preiskavah, saj se v skladu s ključnim</w:t>
      </w:r>
      <w:r>
        <w:rPr>
          <w:rFonts w:cs="Arial"/>
        </w:rPr>
        <w:t xml:space="preserve"> </w:t>
      </w:r>
      <w:r w:rsidRPr="00115F14">
        <w:rPr>
          <w:rFonts w:cs="Arial"/>
        </w:rPr>
        <w:t xml:space="preserve">načelom kazenskega prava </w:t>
      </w:r>
      <w:r w:rsidRPr="00115F14">
        <w:rPr>
          <w:rFonts w:cs="Arial"/>
          <w:i/>
        </w:rPr>
        <w:t>»ne bis in idem«</w:t>
      </w:r>
      <w:r w:rsidRPr="00115F14">
        <w:rPr>
          <w:rFonts w:cs="Arial"/>
        </w:rPr>
        <w:t xml:space="preserve"> osebi za isto</w:t>
      </w:r>
      <w:r>
        <w:rPr>
          <w:rFonts w:cs="Arial"/>
        </w:rPr>
        <w:t xml:space="preserve"> </w:t>
      </w:r>
      <w:r w:rsidRPr="00115F14">
        <w:rPr>
          <w:rFonts w:cs="Arial"/>
        </w:rPr>
        <w:t>kaznivo dejanje lahko sodi samo enkrat.</w:t>
      </w:r>
      <w:r w:rsidRPr="00115F14">
        <w:rPr>
          <w:rStyle w:val="Sprotnaopomba-sklic"/>
          <w:rFonts w:cs="Arial"/>
        </w:rPr>
        <w:footnoteReference w:id="2"/>
      </w:r>
    </w:p>
    <w:p w:rsidR="00AE2155" w:rsidRPr="00115F14" w:rsidRDefault="00AE2155" w:rsidP="00B644CC">
      <w:pPr>
        <w:spacing w:line="288" w:lineRule="auto"/>
        <w:jc w:val="both"/>
        <w:rPr>
          <w:rFonts w:cs="Arial"/>
        </w:rPr>
      </w:pPr>
    </w:p>
    <w:p w:rsidR="00CA56C1" w:rsidRDefault="00AE2155" w:rsidP="00CA56C1">
      <w:pPr>
        <w:spacing w:line="288" w:lineRule="auto"/>
        <w:jc w:val="both"/>
        <w:rPr>
          <w:rFonts w:cs="Arial"/>
        </w:rPr>
      </w:pPr>
      <w:r w:rsidRPr="00115F14">
        <w:rPr>
          <w:rFonts w:cs="Arial"/>
        </w:rPr>
        <w:t>Zaradi povečane čezmejne razsežnosti kaznivih dejanj in njihove diverzifikacije posamezne države članice težje odkrivajo in preganjajo čezmejna kazniva dejanja (to še posebej velja za kazniva dejanja organiziranega kriminala). V tem okviru je vloga Eurojusta glede izboljšanja pravosodnega sodelovanja in usklajevanja med pristojnimi pravosodnimi organi držav članic ter</w:t>
      </w:r>
      <w:r>
        <w:rPr>
          <w:rFonts w:cs="Arial"/>
        </w:rPr>
        <w:t xml:space="preserve"> </w:t>
      </w:r>
      <w:r w:rsidRPr="00115F14">
        <w:rPr>
          <w:rFonts w:cs="Arial"/>
        </w:rPr>
        <w:t>pomoči pri preiskavah, ki vključujejo tretje države, še naprej ključnega pomena.</w:t>
      </w:r>
      <w:r w:rsidR="005771B0" w:rsidRPr="005771B0">
        <w:rPr>
          <w:rFonts w:cs="Arial"/>
        </w:rPr>
        <w:t xml:space="preserve"> </w:t>
      </w:r>
    </w:p>
    <w:p w:rsidR="00CA56C1" w:rsidRDefault="00CA56C1" w:rsidP="00CA56C1">
      <w:pPr>
        <w:spacing w:line="288" w:lineRule="auto"/>
        <w:jc w:val="both"/>
        <w:rPr>
          <w:rFonts w:cs="Arial"/>
        </w:rPr>
      </w:pPr>
    </w:p>
    <w:p w:rsidR="005771B0" w:rsidRDefault="00CA56C1" w:rsidP="005771B0">
      <w:pPr>
        <w:spacing w:line="288" w:lineRule="auto"/>
        <w:jc w:val="both"/>
        <w:rPr>
          <w:rFonts w:cs="Arial"/>
        </w:rPr>
      </w:pPr>
      <w:r w:rsidRPr="00115F14">
        <w:rPr>
          <w:rFonts w:cs="Arial"/>
        </w:rPr>
        <w:t xml:space="preserve">Iz letnega poročila Eurojust za leto 2018 izhaja primerjalna preglednica obravnavanih primerov, sestankov in skupnih dejavnosti na prednostnih področjih kaznivih dejanj v obdobju 2015–2018. </w:t>
      </w:r>
    </w:p>
    <w:p w:rsidR="00CA56C1" w:rsidRDefault="00CA56C1" w:rsidP="005771B0">
      <w:pPr>
        <w:spacing w:line="288" w:lineRule="auto"/>
        <w:jc w:val="both"/>
        <w:rPr>
          <w:rFonts w:cs="Arial"/>
        </w:rPr>
      </w:pPr>
    </w:p>
    <w:tbl>
      <w:tblPr>
        <w:tblpPr w:leftFromText="141" w:rightFromText="141" w:vertAnchor="page" w:horzAnchor="margin" w:tblpY="6361"/>
        <w:tblW w:w="8634" w:type="dxa"/>
        <w:tblCellMar>
          <w:left w:w="0" w:type="dxa"/>
          <w:right w:w="75" w:type="dxa"/>
        </w:tblCellMar>
        <w:tblLook w:val="04A0" w:firstRow="1" w:lastRow="0" w:firstColumn="1" w:lastColumn="0" w:noHBand="0" w:noVBand="1"/>
      </w:tblPr>
      <w:tblGrid>
        <w:gridCol w:w="2566"/>
        <w:gridCol w:w="421"/>
        <w:gridCol w:w="1804"/>
        <w:gridCol w:w="1804"/>
        <w:gridCol w:w="2039"/>
      </w:tblGrid>
      <w:tr w:rsidR="00C17600" w:rsidRPr="00115F14" w:rsidTr="005A2A80">
        <w:trPr>
          <w:trHeight w:val="405"/>
        </w:trPr>
        <w:tc>
          <w:tcPr>
            <w:tcW w:w="2987" w:type="dxa"/>
            <w:gridSpan w:val="2"/>
            <w:tcBorders>
              <w:top w:val="nil"/>
              <w:left w:val="nil"/>
              <w:bottom w:val="nil"/>
              <w:right w:val="single" w:sz="24" w:space="0" w:color="FFFFFF"/>
            </w:tcBorders>
            <w:shd w:val="clear" w:color="auto" w:fill="40586B"/>
          </w:tcPr>
          <w:p w:rsidR="00C17600" w:rsidRPr="00115F14" w:rsidRDefault="00C17600" w:rsidP="005A2A80">
            <w:pPr>
              <w:spacing w:after="160" w:line="259" w:lineRule="auto"/>
              <w:rPr>
                <w:sz w:val="22"/>
                <w:szCs w:val="22"/>
              </w:rPr>
            </w:pPr>
          </w:p>
        </w:tc>
        <w:tc>
          <w:tcPr>
            <w:tcW w:w="1804" w:type="dxa"/>
            <w:tcBorders>
              <w:top w:val="nil"/>
              <w:left w:val="single" w:sz="24" w:space="0" w:color="FFFFFF"/>
              <w:bottom w:val="nil"/>
              <w:right w:val="single" w:sz="24" w:space="0" w:color="FFFFFF"/>
            </w:tcBorders>
            <w:shd w:val="clear" w:color="auto" w:fill="40586B"/>
            <w:vAlign w:val="center"/>
          </w:tcPr>
          <w:p w:rsidR="00C17600" w:rsidRPr="00115F14" w:rsidRDefault="00C17600" w:rsidP="005A2A80">
            <w:pPr>
              <w:spacing w:line="259" w:lineRule="auto"/>
              <w:jc w:val="center"/>
              <w:rPr>
                <w:sz w:val="22"/>
                <w:szCs w:val="22"/>
              </w:rPr>
            </w:pPr>
            <w:r w:rsidRPr="00115F14">
              <w:rPr>
                <w:rFonts w:ascii="Calibri" w:eastAsia="Calibri" w:hAnsi="Calibri" w:cs="Calibri"/>
                <w:b/>
                <w:szCs w:val="22"/>
              </w:rPr>
              <w:t>TERORIZEM</w:t>
            </w:r>
          </w:p>
        </w:tc>
        <w:tc>
          <w:tcPr>
            <w:tcW w:w="1804" w:type="dxa"/>
            <w:tcBorders>
              <w:top w:val="nil"/>
              <w:left w:val="single" w:sz="24" w:space="0" w:color="FFFFFF"/>
              <w:bottom w:val="nil"/>
              <w:right w:val="single" w:sz="24" w:space="0" w:color="FFFFFF"/>
            </w:tcBorders>
            <w:shd w:val="clear" w:color="auto" w:fill="40586B"/>
          </w:tcPr>
          <w:p w:rsidR="00C17600" w:rsidRPr="00115F14" w:rsidRDefault="00C17600" w:rsidP="005A2A80">
            <w:pPr>
              <w:spacing w:line="259" w:lineRule="auto"/>
              <w:jc w:val="center"/>
              <w:rPr>
                <w:sz w:val="22"/>
                <w:szCs w:val="22"/>
              </w:rPr>
            </w:pPr>
            <w:r w:rsidRPr="00115F14">
              <w:rPr>
                <w:rFonts w:ascii="Calibri" w:eastAsia="Calibri" w:hAnsi="Calibri" w:cs="Calibri"/>
                <w:b/>
                <w:szCs w:val="22"/>
              </w:rPr>
              <w:t>KIBERNETSKA KRIMINALITETA</w:t>
            </w:r>
          </w:p>
        </w:tc>
        <w:tc>
          <w:tcPr>
            <w:tcW w:w="2039" w:type="dxa"/>
            <w:tcBorders>
              <w:top w:val="nil"/>
              <w:left w:val="single" w:sz="24" w:space="0" w:color="FFFFFF"/>
              <w:bottom w:val="nil"/>
              <w:right w:val="nil"/>
            </w:tcBorders>
            <w:shd w:val="clear" w:color="auto" w:fill="40586B"/>
          </w:tcPr>
          <w:p w:rsidR="00C17600" w:rsidRPr="00115F14" w:rsidRDefault="00C17600" w:rsidP="005A2A80">
            <w:pPr>
              <w:spacing w:line="259" w:lineRule="auto"/>
              <w:jc w:val="center"/>
              <w:rPr>
                <w:sz w:val="22"/>
                <w:szCs w:val="22"/>
              </w:rPr>
            </w:pPr>
            <w:r w:rsidRPr="00115F14">
              <w:rPr>
                <w:rFonts w:ascii="Calibri" w:eastAsia="Calibri" w:hAnsi="Calibri" w:cs="Calibri"/>
                <w:b/>
                <w:szCs w:val="22"/>
              </w:rPr>
              <w:t>TIHOTAPLJENJE MIGRANTOV</w:t>
            </w:r>
          </w:p>
        </w:tc>
      </w:tr>
      <w:tr w:rsidR="00C17600" w:rsidRPr="00115F14" w:rsidTr="005A2A80">
        <w:trPr>
          <w:trHeight w:val="249"/>
        </w:trPr>
        <w:tc>
          <w:tcPr>
            <w:tcW w:w="2987" w:type="dxa"/>
            <w:gridSpan w:val="2"/>
            <w:tcBorders>
              <w:top w:val="nil"/>
              <w:left w:val="nil"/>
              <w:bottom w:val="nil"/>
              <w:right w:val="single" w:sz="24" w:space="0" w:color="FFFFFF"/>
            </w:tcBorders>
            <w:shd w:val="clear" w:color="auto" w:fill="F1F1F0"/>
          </w:tcPr>
          <w:p w:rsidR="00C17600" w:rsidRPr="00115F14" w:rsidRDefault="00C17600" w:rsidP="005A2A80">
            <w:pPr>
              <w:spacing w:line="259" w:lineRule="auto"/>
              <w:ind w:right="47"/>
              <w:jc w:val="right"/>
              <w:rPr>
                <w:sz w:val="22"/>
                <w:szCs w:val="22"/>
              </w:rPr>
            </w:pPr>
            <w:r w:rsidRPr="00115F14">
              <w:rPr>
                <w:rFonts w:ascii="Calibri" w:eastAsia="Calibri" w:hAnsi="Calibri" w:cs="Calibri"/>
                <w:i/>
                <w:sz w:val="17"/>
                <w:szCs w:val="22"/>
              </w:rPr>
              <w:t>2018</w:t>
            </w:r>
          </w:p>
        </w:tc>
        <w:tc>
          <w:tcPr>
            <w:tcW w:w="1804" w:type="dxa"/>
            <w:tcBorders>
              <w:top w:val="nil"/>
              <w:left w:val="single" w:sz="24" w:space="0" w:color="FFFFFF"/>
              <w:bottom w:val="single" w:sz="8" w:space="0" w:color="FFFFFF"/>
              <w:right w:val="single" w:sz="24" w:space="0" w:color="FFFFFF"/>
            </w:tcBorders>
            <w:shd w:val="clear" w:color="auto" w:fill="F1F1F0"/>
          </w:tcPr>
          <w:p w:rsidR="00C17600" w:rsidRPr="00115F14" w:rsidRDefault="00C17600" w:rsidP="005A2A80">
            <w:pPr>
              <w:spacing w:line="259" w:lineRule="auto"/>
              <w:jc w:val="center"/>
              <w:rPr>
                <w:sz w:val="22"/>
                <w:szCs w:val="22"/>
              </w:rPr>
            </w:pPr>
            <w:r w:rsidRPr="00115F14">
              <w:rPr>
                <w:rFonts w:ascii="Calibri" w:eastAsia="Calibri" w:hAnsi="Calibri" w:cs="Calibri"/>
                <w:b/>
                <w:szCs w:val="22"/>
              </w:rPr>
              <w:t>191</w:t>
            </w:r>
          </w:p>
        </w:tc>
        <w:tc>
          <w:tcPr>
            <w:tcW w:w="1804" w:type="dxa"/>
            <w:tcBorders>
              <w:top w:val="nil"/>
              <w:left w:val="single" w:sz="24" w:space="0" w:color="FFFFFF"/>
              <w:bottom w:val="single" w:sz="8" w:space="0" w:color="FFFFFF"/>
              <w:right w:val="single" w:sz="24" w:space="0" w:color="FFFFFF"/>
            </w:tcBorders>
            <w:shd w:val="clear" w:color="auto" w:fill="F1F1F0"/>
          </w:tcPr>
          <w:p w:rsidR="00C17600" w:rsidRPr="00115F14" w:rsidRDefault="00C17600" w:rsidP="005A2A80">
            <w:pPr>
              <w:spacing w:line="259" w:lineRule="auto"/>
              <w:jc w:val="center"/>
              <w:rPr>
                <w:sz w:val="22"/>
                <w:szCs w:val="22"/>
              </w:rPr>
            </w:pPr>
            <w:r w:rsidRPr="00115F14">
              <w:rPr>
                <w:rFonts w:ascii="Calibri" w:eastAsia="Calibri" w:hAnsi="Calibri" w:cs="Calibri"/>
                <w:b/>
                <w:szCs w:val="22"/>
              </w:rPr>
              <w:t>219</w:t>
            </w:r>
          </w:p>
        </w:tc>
        <w:tc>
          <w:tcPr>
            <w:tcW w:w="2039" w:type="dxa"/>
            <w:tcBorders>
              <w:top w:val="nil"/>
              <w:left w:val="single" w:sz="24" w:space="0" w:color="FFFFFF"/>
              <w:bottom w:val="single" w:sz="8" w:space="0" w:color="FFFFFF"/>
              <w:right w:val="nil"/>
            </w:tcBorders>
            <w:shd w:val="clear" w:color="auto" w:fill="F1F1F0"/>
          </w:tcPr>
          <w:p w:rsidR="00C17600" w:rsidRPr="00115F14" w:rsidRDefault="00C17600" w:rsidP="005A2A80">
            <w:pPr>
              <w:spacing w:line="259" w:lineRule="auto"/>
              <w:jc w:val="center"/>
              <w:rPr>
                <w:sz w:val="22"/>
                <w:szCs w:val="22"/>
              </w:rPr>
            </w:pPr>
            <w:r w:rsidRPr="00115F14">
              <w:rPr>
                <w:rFonts w:ascii="Calibri" w:eastAsia="Calibri" w:hAnsi="Calibri" w:cs="Calibri"/>
                <w:b/>
                <w:szCs w:val="22"/>
              </w:rPr>
              <w:t>157</w:t>
            </w:r>
          </w:p>
        </w:tc>
      </w:tr>
      <w:tr w:rsidR="00C17600" w:rsidRPr="00115F14" w:rsidTr="005A2A80">
        <w:trPr>
          <w:trHeight w:val="249"/>
        </w:trPr>
        <w:tc>
          <w:tcPr>
            <w:tcW w:w="2987" w:type="dxa"/>
            <w:gridSpan w:val="2"/>
            <w:tcBorders>
              <w:top w:val="nil"/>
              <w:left w:val="nil"/>
              <w:bottom w:val="nil"/>
              <w:right w:val="single" w:sz="24" w:space="0" w:color="FFFFFF"/>
            </w:tcBorders>
            <w:shd w:val="clear" w:color="auto" w:fill="F1F1F0"/>
          </w:tcPr>
          <w:p w:rsidR="00C17600" w:rsidRPr="00115F14" w:rsidRDefault="00C17600" w:rsidP="005A2A80">
            <w:pPr>
              <w:tabs>
                <w:tab w:val="center" w:pos="1495"/>
                <w:tab w:val="right" w:pos="3454"/>
              </w:tabs>
              <w:spacing w:line="259" w:lineRule="auto"/>
              <w:rPr>
                <w:sz w:val="22"/>
                <w:szCs w:val="22"/>
              </w:rPr>
            </w:pPr>
            <w:r w:rsidRPr="00115F14">
              <w:rPr>
                <w:rFonts w:ascii="Calibri" w:eastAsia="Calibri" w:hAnsi="Calibri" w:cs="Calibri"/>
                <w:sz w:val="22"/>
                <w:szCs w:val="22"/>
              </w:rPr>
              <w:tab/>
            </w:r>
            <w:r w:rsidRPr="00115F14">
              <w:rPr>
                <w:rFonts w:ascii="Calibri" w:eastAsia="Calibri" w:hAnsi="Calibri" w:cs="Calibri"/>
                <w:b/>
                <w:szCs w:val="22"/>
              </w:rPr>
              <w:t>Primeri</w:t>
            </w:r>
            <w:r w:rsidRPr="00115F14">
              <w:rPr>
                <w:rFonts w:ascii="Calibri" w:eastAsia="Calibri" w:hAnsi="Calibri" w:cs="Calibri"/>
                <w:szCs w:val="22"/>
              </w:rPr>
              <w:tab/>
            </w:r>
            <w:r w:rsidRPr="00115F14">
              <w:rPr>
                <w:rFonts w:ascii="Calibri" w:eastAsia="Calibri" w:hAnsi="Calibri" w:cs="Calibri"/>
                <w:i/>
                <w:sz w:val="17"/>
                <w:szCs w:val="22"/>
              </w:rPr>
              <w:t>2017</w:t>
            </w:r>
          </w:p>
        </w:tc>
        <w:tc>
          <w:tcPr>
            <w:tcW w:w="1804" w:type="dxa"/>
            <w:tcBorders>
              <w:top w:val="single" w:sz="8" w:space="0" w:color="FFFFFF"/>
              <w:left w:val="single" w:sz="24" w:space="0" w:color="FFFFFF"/>
              <w:bottom w:val="single" w:sz="8" w:space="0" w:color="FFFFFF"/>
              <w:right w:val="single" w:sz="24" w:space="0" w:color="FFFFFF"/>
            </w:tcBorders>
            <w:shd w:val="clear" w:color="auto" w:fill="F1F1F0"/>
          </w:tcPr>
          <w:p w:rsidR="00C17600" w:rsidRPr="00115F14" w:rsidRDefault="00C17600" w:rsidP="005A2A80">
            <w:pPr>
              <w:spacing w:line="259" w:lineRule="auto"/>
              <w:jc w:val="center"/>
              <w:rPr>
                <w:sz w:val="22"/>
                <w:szCs w:val="22"/>
              </w:rPr>
            </w:pPr>
            <w:r w:rsidRPr="00115F14">
              <w:rPr>
                <w:rFonts w:ascii="Calibri" w:eastAsia="Calibri" w:hAnsi="Calibri" w:cs="Calibri"/>
                <w:szCs w:val="22"/>
              </w:rPr>
              <w:t>178</w:t>
            </w:r>
          </w:p>
        </w:tc>
        <w:tc>
          <w:tcPr>
            <w:tcW w:w="1804" w:type="dxa"/>
            <w:tcBorders>
              <w:top w:val="single" w:sz="8" w:space="0" w:color="FFFFFF"/>
              <w:left w:val="single" w:sz="24" w:space="0" w:color="FFFFFF"/>
              <w:bottom w:val="single" w:sz="8" w:space="0" w:color="FFFFFF"/>
              <w:right w:val="single" w:sz="24" w:space="0" w:color="FFFFFF"/>
            </w:tcBorders>
            <w:shd w:val="clear" w:color="auto" w:fill="F1F1F0"/>
          </w:tcPr>
          <w:p w:rsidR="00C17600" w:rsidRPr="00115F14" w:rsidRDefault="00C17600" w:rsidP="005A2A80">
            <w:pPr>
              <w:spacing w:line="259" w:lineRule="auto"/>
              <w:jc w:val="center"/>
              <w:rPr>
                <w:sz w:val="22"/>
                <w:szCs w:val="22"/>
              </w:rPr>
            </w:pPr>
            <w:r w:rsidRPr="00115F14">
              <w:rPr>
                <w:rFonts w:ascii="Calibri" w:eastAsia="Calibri" w:hAnsi="Calibri" w:cs="Calibri"/>
                <w:szCs w:val="22"/>
              </w:rPr>
              <w:t>176</w:t>
            </w:r>
          </w:p>
        </w:tc>
        <w:tc>
          <w:tcPr>
            <w:tcW w:w="2039" w:type="dxa"/>
            <w:tcBorders>
              <w:top w:val="single" w:sz="8" w:space="0" w:color="FFFFFF"/>
              <w:left w:val="single" w:sz="24" w:space="0" w:color="FFFFFF"/>
              <w:bottom w:val="single" w:sz="8" w:space="0" w:color="FFFFFF"/>
              <w:right w:val="nil"/>
            </w:tcBorders>
            <w:shd w:val="clear" w:color="auto" w:fill="F1F1F0"/>
          </w:tcPr>
          <w:p w:rsidR="00C17600" w:rsidRPr="00115F14" w:rsidRDefault="00C17600" w:rsidP="005A2A80">
            <w:pPr>
              <w:spacing w:line="259" w:lineRule="auto"/>
              <w:jc w:val="center"/>
              <w:rPr>
                <w:sz w:val="22"/>
                <w:szCs w:val="22"/>
              </w:rPr>
            </w:pPr>
            <w:r w:rsidRPr="00115F14">
              <w:rPr>
                <w:rFonts w:ascii="Calibri" w:eastAsia="Calibri" w:hAnsi="Calibri" w:cs="Calibri"/>
                <w:szCs w:val="22"/>
              </w:rPr>
              <w:t>153</w:t>
            </w:r>
          </w:p>
        </w:tc>
      </w:tr>
      <w:tr w:rsidR="00C17600" w:rsidRPr="00115F14" w:rsidTr="005A2A80">
        <w:trPr>
          <w:trHeight w:val="249"/>
        </w:trPr>
        <w:tc>
          <w:tcPr>
            <w:tcW w:w="2566" w:type="dxa"/>
            <w:vMerge w:val="restart"/>
            <w:tcBorders>
              <w:top w:val="nil"/>
              <w:left w:val="nil"/>
              <w:bottom w:val="single" w:sz="24" w:space="0" w:color="FFFFFF"/>
              <w:right w:val="nil"/>
            </w:tcBorders>
            <w:shd w:val="clear" w:color="auto" w:fill="F1F1F0"/>
          </w:tcPr>
          <w:p w:rsidR="00C17600" w:rsidRDefault="00C17600" w:rsidP="005A2A80">
            <w:pPr>
              <w:spacing w:line="259" w:lineRule="auto"/>
              <w:ind w:left="142"/>
              <w:jc w:val="center"/>
              <w:rPr>
                <w:rFonts w:ascii="Calibri" w:eastAsia="Calibri" w:hAnsi="Calibri" w:cs="Calibri"/>
                <w:sz w:val="16"/>
                <w:szCs w:val="22"/>
              </w:rPr>
            </w:pPr>
            <w:r w:rsidRPr="00115F14">
              <w:rPr>
                <w:rFonts w:ascii="Calibri" w:eastAsia="Calibri" w:hAnsi="Calibri" w:cs="Calibri"/>
                <w:sz w:val="16"/>
                <w:szCs w:val="22"/>
              </w:rPr>
              <w:t>(vsota novih primerov in</w:t>
            </w:r>
          </w:p>
          <w:p w:rsidR="00C17600" w:rsidRPr="00115F14" w:rsidRDefault="00C17600" w:rsidP="005A2A80">
            <w:pPr>
              <w:spacing w:line="259" w:lineRule="auto"/>
              <w:ind w:left="142"/>
              <w:jc w:val="center"/>
              <w:rPr>
                <w:sz w:val="22"/>
                <w:szCs w:val="22"/>
              </w:rPr>
            </w:pPr>
            <w:r w:rsidRPr="00115F14">
              <w:rPr>
                <w:rFonts w:ascii="Calibri" w:eastAsia="Calibri" w:hAnsi="Calibri" w:cs="Calibri"/>
                <w:sz w:val="16"/>
                <w:szCs w:val="22"/>
              </w:rPr>
              <w:t>primerov v teku iz prejšnjih let)</w:t>
            </w:r>
          </w:p>
        </w:tc>
        <w:tc>
          <w:tcPr>
            <w:tcW w:w="421" w:type="dxa"/>
            <w:tcBorders>
              <w:top w:val="single" w:sz="8" w:space="0" w:color="FFFFFF"/>
              <w:left w:val="nil"/>
              <w:bottom w:val="single" w:sz="8" w:space="0" w:color="FFFFFF"/>
              <w:right w:val="single" w:sz="24" w:space="0" w:color="FFFFFF"/>
            </w:tcBorders>
            <w:shd w:val="clear" w:color="auto" w:fill="F1F1F0"/>
          </w:tcPr>
          <w:p w:rsidR="00C17600" w:rsidRPr="00115F14" w:rsidRDefault="00C17600" w:rsidP="005A2A80">
            <w:pPr>
              <w:spacing w:line="259" w:lineRule="auto"/>
              <w:rPr>
                <w:sz w:val="22"/>
                <w:szCs w:val="22"/>
              </w:rPr>
            </w:pPr>
            <w:r w:rsidRPr="00115F14">
              <w:rPr>
                <w:rFonts w:ascii="Calibri" w:eastAsia="Calibri" w:hAnsi="Calibri" w:cs="Calibri"/>
                <w:i/>
                <w:sz w:val="17"/>
                <w:szCs w:val="22"/>
              </w:rPr>
              <w:t>2016</w:t>
            </w:r>
          </w:p>
        </w:tc>
        <w:tc>
          <w:tcPr>
            <w:tcW w:w="1804" w:type="dxa"/>
            <w:tcBorders>
              <w:top w:val="single" w:sz="8" w:space="0" w:color="FFFFFF"/>
              <w:left w:val="single" w:sz="24" w:space="0" w:color="FFFFFF"/>
              <w:bottom w:val="single" w:sz="8" w:space="0" w:color="FFFFFF"/>
              <w:right w:val="single" w:sz="24" w:space="0" w:color="FFFFFF"/>
            </w:tcBorders>
            <w:shd w:val="clear" w:color="auto" w:fill="F1F1F0"/>
          </w:tcPr>
          <w:p w:rsidR="00C17600" w:rsidRPr="00115F14" w:rsidRDefault="00C17600" w:rsidP="005A2A80">
            <w:pPr>
              <w:spacing w:line="259" w:lineRule="auto"/>
              <w:jc w:val="center"/>
              <w:rPr>
                <w:sz w:val="22"/>
                <w:szCs w:val="22"/>
              </w:rPr>
            </w:pPr>
            <w:r w:rsidRPr="00115F14">
              <w:rPr>
                <w:rFonts w:ascii="Calibri" w:eastAsia="Calibri" w:hAnsi="Calibri" w:cs="Calibri"/>
                <w:szCs w:val="22"/>
              </w:rPr>
              <w:t>124</w:t>
            </w:r>
          </w:p>
        </w:tc>
        <w:tc>
          <w:tcPr>
            <w:tcW w:w="1804" w:type="dxa"/>
            <w:tcBorders>
              <w:top w:val="single" w:sz="8" w:space="0" w:color="FFFFFF"/>
              <w:left w:val="single" w:sz="24" w:space="0" w:color="FFFFFF"/>
              <w:bottom w:val="single" w:sz="8" w:space="0" w:color="FFFFFF"/>
              <w:right w:val="single" w:sz="24" w:space="0" w:color="FFFFFF"/>
            </w:tcBorders>
            <w:shd w:val="clear" w:color="auto" w:fill="F1F1F0"/>
          </w:tcPr>
          <w:p w:rsidR="00C17600" w:rsidRPr="00115F14" w:rsidRDefault="00C17600" w:rsidP="005A2A80">
            <w:pPr>
              <w:spacing w:line="259" w:lineRule="auto"/>
              <w:jc w:val="center"/>
              <w:rPr>
                <w:sz w:val="22"/>
                <w:szCs w:val="22"/>
              </w:rPr>
            </w:pPr>
            <w:r w:rsidRPr="00115F14">
              <w:rPr>
                <w:rFonts w:ascii="Calibri" w:eastAsia="Calibri" w:hAnsi="Calibri" w:cs="Calibri"/>
                <w:szCs w:val="22"/>
              </w:rPr>
              <w:t>151</w:t>
            </w:r>
          </w:p>
        </w:tc>
        <w:tc>
          <w:tcPr>
            <w:tcW w:w="2039" w:type="dxa"/>
            <w:tcBorders>
              <w:top w:val="single" w:sz="8" w:space="0" w:color="FFFFFF"/>
              <w:left w:val="single" w:sz="24" w:space="0" w:color="FFFFFF"/>
              <w:bottom w:val="single" w:sz="8" w:space="0" w:color="FFFFFF"/>
              <w:right w:val="nil"/>
            </w:tcBorders>
            <w:shd w:val="clear" w:color="auto" w:fill="F1F1F0"/>
          </w:tcPr>
          <w:p w:rsidR="00C17600" w:rsidRPr="00115F14" w:rsidRDefault="00C17600" w:rsidP="005A2A80">
            <w:pPr>
              <w:spacing w:line="259" w:lineRule="auto"/>
              <w:jc w:val="center"/>
              <w:rPr>
                <w:sz w:val="22"/>
                <w:szCs w:val="22"/>
              </w:rPr>
            </w:pPr>
            <w:r w:rsidRPr="00115F14">
              <w:rPr>
                <w:rFonts w:ascii="Calibri" w:eastAsia="Calibri" w:hAnsi="Calibri" w:cs="Calibri"/>
                <w:szCs w:val="22"/>
              </w:rPr>
              <w:t>133</w:t>
            </w:r>
          </w:p>
        </w:tc>
      </w:tr>
      <w:tr w:rsidR="00C17600" w:rsidRPr="00115F14" w:rsidTr="005A2A80">
        <w:trPr>
          <w:trHeight w:val="249"/>
        </w:trPr>
        <w:tc>
          <w:tcPr>
            <w:tcW w:w="0" w:type="auto"/>
            <w:vMerge/>
            <w:tcBorders>
              <w:top w:val="nil"/>
              <w:left w:val="nil"/>
              <w:bottom w:val="single" w:sz="24" w:space="0" w:color="FFFFFF"/>
              <w:right w:val="nil"/>
            </w:tcBorders>
            <w:shd w:val="clear" w:color="auto" w:fill="auto"/>
          </w:tcPr>
          <w:p w:rsidR="00C17600" w:rsidRPr="00115F14" w:rsidRDefault="00C17600" w:rsidP="005A2A80">
            <w:pPr>
              <w:spacing w:after="160" w:line="259" w:lineRule="auto"/>
              <w:rPr>
                <w:sz w:val="22"/>
                <w:szCs w:val="22"/>
              </w:rPr>
            </w:pPr>
          </w:p>
        </w:tc>
        <w:tc>
          <w:tcPr>
            <w:tcW w:w="421" w:type="dxa"/>
            <w:tcBorders>
              <w:top w:val="single" w:sz="8" w:space="0" w:color="FFFFFF"/>
              <w:left w:val="nil"/>
              <w:bottom w:val="single" w:sz="24" w:space="0" w:color="FFFFFF"/>
              <w:right w:val="single" w:sz="24" w:space="0" w:color="FFFFFF"/>
            </w:tcBorders>
            <w:shd w:val="clear" w:color="auto" w:fill="F1F1F0"/>
          </w:tcPr>
          <w:p w:rsidR="00C17600" w:rsidRPr="00115F14" w:rsidRDefault="00C17600" w:rsidP="005A2A80">
            <w:pPr>
              <w:spacing w:line="259" w:lineRule="auto"/>
              <w:rPr>
                <w:sz w:val="22"/>
                <w:szCs w:val="22"/>
              </w:rPr>
            </w:pPr>
            <w:r w:rsidRPr="00115F14">
              <w:rPr>
                <w:rFonts w:ascii="Calibri" w:eastAsia="Calibri" w:hAnsi="Calibri" w:cs="Calibri"/>
                <w:i/>
                <w:sz w:val="17"/>
                <w:szCs w:val="22"/>
              </w:rPr>
              <w:t>2015</w:t>
            </w:r>
          </w:p>
        </w:tc>
        <w:tc>
          <w:tcPr>
            <w:tcW w:w="1804" w:type="dxa"/>
            <w:tcBorders>
              <w:top w:val="single" w:sz="8" w:space="0" w:color="FFFFFF"/>
              <w:left w:val="single" w:sz="24" w:space="0" w:color="FFFFFF"/>
              <w:bottom w:val="single" w:sz="24" w:space="0" w:color="FFFFFF"/>
              <w:right w:val="single" w:sz="24" w:space="0" w:color="FFFFFF"/>
            </w:tcBorders>
            <w:shd w:val="clear" w:color="auto" w:fill="F1F1F0"/>
          </w:tcPr>
          <w:p w:rsidR="00C17600" w:rsidRPr="00115F14" w:rsidRDefault="00C17600" w:rsidP="005A2A80">
            <w:pPr>
              <w:spacing w:line="259" w:lineRule="auto"/>
              <w:jc w:val="center"/>
              <w:rPr>
                <w:sz w:val="22"/>
                <w:szCs w:val="22"/>
              </w:rPr>
            </w:pPr>
            <w:r w:rsidRPr="00115F14">
              <w:rPr>
                <w:rFonts w:ascii="Calibri" w:eastAsia="Calibri" w:hAnsi="Calibri" w:cs="Calibri"/>
                <w:szCs w:val="22"/>
              </w:rPr>
              <w:t>74</w:t>
            </w:r>
          </w:p>
        </w:tc>
        <w:tc>
          <w:tcPr>
            <w:tcW w:w="1804" w:type="dxa"/>
            <w:tcBorders>
              <w:top w:val="single" w:sz="8" w:space="0" w:color="FFFFFF"/>
              <w:left w:val="single" w:sz="24" w:space="0" w:color="FFFFFF"/>
              <w:bottom w:val="single" w:sz="24" w:space="0" w:color="FFFFFF"/>
              <w:right w:val="single" w:sz="24" w:space="0" w:color="FFFFFF"/>
            </w:tcBorders>
            <w:shd w:val="clear" w:color="auto" w:fill="F1F1F0"/>
          </w:tcPr>
          <w:p w:rsidR="00C17600" w:rsidRPr="00115F14" w:rsidRDefault="00C17600" w:rsidP="005A2A80">
            <w:pPr>
              <w:spacing w:line="259" w:lineRule="auto"/>
              <w:jc w:val="center"/>
              <w:rPr>
                <w:sz w:val="22"/>
                <w:szCs w:val="22"/>
              </w:rPr>
            </w:pPr>
            <w:r w:rsidRPr="00115F14">
              <w:rPr>
                <w:rFonts w:ascii="Calibri" w:eastAsia="Calibri" w:hAnsi="Calibri" w:cs="Calibri"/>
                <w:szCs w:val="22"/>
              </w:rPr>
              <w:t>131</w:t>
            </w:r>
          </w:p>
        </w:tc>
        <w:tc>
          <w:tcPr>
            <w:tcW w:w="2039" w:type="dxa"/>
            <w:tcBorders>
              <w:top w:val="single" w:sz="8" w:space="0" w:color="FFFFFF"/>
              <w:left w:val="single" w:sz="24" w:space="0" w:color="FFFFFF"/>
              <w:bottom w:val="single" w:sz="24" w:space="0" w:color="FFFFFF"/>
              <w:right w:val="nil"/>
            </w:tcBorders>
            <w:shd w:val="clear" w:color="auto" w:fill="F1F1F0"/>
          </w:tcPr>
          <w:p w:rsidR="00C17600" w:rsidRPr="00115F14" w:rsidRDefault="00C17600" w:rsidP="005A2A80">
            <w:pPr>
              <w:spacing w:line="259" w:lineRule="auto"/>
              <w:jc w:val="center"/>
              <w:rPr>
                <w:sz w:val="22"/>
                <w:szCs w:val="22"/>
              </w:rPr>
            </w:pPr>
            <w:r w:rsidRPr="00115F14">
              <w:rPr>
                <w:rFonts w:ascii="Calibri" w:eastAsia="Calibri" w:hAnsi="Calibri" w:cs="Calibri"/>
                <w:szCs w:val="22"/>
              </w:rPr>
              <w:t>94</w:t>
            </w:r>
          </w:p>
        </w:tc>
      </w:tr>
      <w:tr w:rsidR="00C17600" w:rsidRPr="00115F14" w:rsidTr="005A2A80">
        <w:trPr>
          <w:trHeight w:val="249"/>
        </w:trPr>
        <w:tc>
          <w:tcPr>
            <w:tcW w:w="2566" w:type="dxa"/>
            <w:vMerge w:val="restart"/>
            <w:tcBorders>
              <w:top w:val="single" w:sz="24" w:space="0" w:color="FFFFFF"/>
              <w:left w:val="nil"/>
              <w:bottom w:val="single" w:sz="24" w:space="0" w:color="FFFFFF"/>
              <w:right w:val="nil"/>
            </w:tcBorders>
            <w:shd w:val="clear" w:color="auto" w:fill="E8E8E6"/>
            <w:vAlign w:val="center"/>
          </w:tcPr>
          <w:p w:rsidR="00C17600" w:rsidRPr="00115F14" w:rsidRDefault="00C17600" w:rsidP="005A2A80">
            <w:pPr>
              <w:spacing w:line="259" w:lineRule="auto"/>
              <w:jc w:val="center"/>
              <w:rPr>
                <w:sz w:val="22"/>
                <w:szCs w:val="22"/>
              </w:rPr>
            </w:pPr>
            <w:r w:rsidRPr="00115F14">
              <w:rPr>
                <w:rFonts w:ascii="Calibri" w:eastAsia="Calibri" w:hAnsi="Calibri" w:cs="Calibri"/>
                <w:b/>
                <w:szCs w:val="22"/>
              </w:rPr>
              <w:t>Koordinacijski sestanki</w:t>
            </w:r>
          </w:p>
        </w:tc>
        <w:tc>
          <w:tcPr>
            <w:tcW w:w="421" w:type="dxa"/>
            <w:tcBorders>
              <w:top w:val="single" w:sz="24" w:space="0" w:color="FFFFFF"/>
              <w:left w:val="nil"/>
              <w:bottom w:val="single" w:sz="8" w:space="0" w:color="FFFFFF"/>
              <w:right w:val="single" w:sz="24" w:space="0" w:color="FFFFFF"/>
            </w:tcBorders>
            <w:shd w:val="clear" w:color="auto" w:fill="E8E8E6"/>
          </w:tcPr>
          <w:p w:rsidR="00C17600" w:rsidRPr="00115F14" w:rsidRDefault="00C17600" w:rsidP="005A2A80">
            <w:pPr>
              <w:spacing w:line="259" w:lineRule="auto"/>
              <w:rPr>
                <w:sz w:val="22"/>
                <w:szCs w:val="22"/>
              </w:rPr>
            </w:pPr>
            <w:r w:rsidRPr="00115F14">
              <w:rPr>
                <w:rFonts w:ascii="Calibri" w:eastAsia="Calibri" w:hAnsi="Calibri" w:cs="Calibri"/>
                <w:i/>
                <w:sz w:val="17"/>
                <w:szCs w:val="22"/>
              </w:rPr>
              <w:t>2018</w:t>
            </w:r>
          </w:p>
        </w:tc>
        <w:tc>
          <w:tcPr>
            <w:tcW w:w="1804" w:type="dxa"/>
            <w:tcBorders>
              <w:top w:val="single" w:sz="24" w:space="0" w:color="FFFFFF"/>
              <w:left w:val="single" w:sz="24" w:space="0" w:color="FFFFFF"/>
              <w:bottom w:val="single" w:sz="8" w:space="0" w:color="FFFFFF"/>
              <w:right w:val="single" w:sz="24" w:space="0" w:color="FFFFFF"/>
            </w:tcBorders>
            <w:shd w:val="clear" w:color="auto" w:fill="E8E8E6"/>
          </w:tcPr>
          <w:p w:rsidR="00C17600" w:rsidRPr="00115F14" w:rsidRDefault="00C17600" w:rsidP="005A2A80">
            <w:pPr>
              <w:spacing w:line="259" w:lineRule="auto"/>
              <w:jc w:val="center"/>
              <w:rPr>
                <w:sz w:val="22"/>
                <w:szCs w:val="22"/>
              </w:rPr>
            </w:pPr>
            <w:r w:rsidRPr="00115F14">
              <w:rPr>
                <w:rFonts w:ascii="Calibri" w:eastAsia="Calibri" w:hAnsi="Calibri" w:cs="Calibri"/>
                <w:b/>
                <w:szCs w:val="22"/>
              </w:rPr>
              <w:t>20</w:t>
            </w:r>
          </w:p>
        </w:tc>
        <w:tc>
          <w:tcPr>
            <w:tcW w:w="1804" w:type="dxa"/>
            <w:tcBorders>
              <w:top w:val="single" w:sz="24" w:space="0" w:color="FFFFFF"/>
              <w:left w:val="single" w:sz="24" w:space="0" w:color="FFFFFF"/>
              <w:bottom w:val="single" w:sz="8" w:space="0" w:color="FFFFFF"/>
              <w:right w:val="single" w:sz="24" w:space="0" w:color="FFFFFF"/>
            </w:tcBorders>
            <w:shd w:val="clear" w:color="auto" w:fill="E8E8E6"/>
          </w:tcPr>
          <w:p w:rsidR="00C17600" w:rsidRPr="00115F14" w:rsidRDefault="00C17600" w:rsidP="005A2A80">
            <w:pPr>
              <w:spacing w:line="259" w:lineRule="auto"/>
              <w:jc w:val="center"/>
              <w:rPr>
                <w:sz w:val="22"/>
                <w:szCs w:val="22"/>
              </w:rPr>
            </w:pPr>
            <w:r w:rsidRPr="00115F14">
              <w:rPr>
                <w:rFonts w:ascii="Calibri" w:eastAsia="Calibri" w:hAnsi="Calibri" w:cs="Calibri"/>
                <w:b/>
                <w:szCs w:val="22"/>
              </w:rPr>
              <w:t>28</w:t>
            </w:r>
          </w:p>
        </w:tc>
        <w:tc>
          <w:tcPr>
            <w:tcW w:w="2039" w:type="dxa"/>
            <w:tcBorders>
              <w:top w:val="single" w:sz="24" w:space="0" w:color="FFFFFF"/>
              <w:left w:val="single" w:sz="24" w:space="0" w:color="FFFFFF"/>
              <w:bottom w:val="single" w:sz="8" w:space="0" w:color="FFFFFF"/>
              <w:right w:val="nil"/>
            </w:tcBorders>
            <w:shd w:val="clear" w:color="auto" w:fill="E8E8E6"/>
          </w:tcPr>
          <w:p w:rsidR="00C17600" w:rsidRPr="00115F14" w:rsidRDefault="00C17600" w:rsidP="005A2A80">
            <w:pPr>
              <w:spacing w:line="259" w:lineRule="auto"/>
              <w:jc w:val="center"/>
              <w:rPr>
                <w:sz w:val="22"/>
                <w:szCs w:val="22"/>
              </w:rPr>
            </w:pPr>
            <w:r w:rsidRPr="00115F14">
              <w:rPr>
                <w:rFonts w:ascii="Calibri" w:eastAsia="Calibri" w:hAnsi="Calibri" w:cs="Calibri"/>
                <w:b/>
                <w:szCs w:val="22"/>
              </w:rPr>
              <w:t>17</w:t>
            </w:r>
          </w:p>
        </w:tc>
      </w:tr>
      <w:tr w:rsidR="00C17600" w:rsidRPr="00115F14" w:rsidTr="005A2A80">
        <w:trPr>
          <w:trHeight w:val="249"/>
        </w:trPr>
        <w:tc>
          <w:tcPr>
            <w:tcW w:w="0" w:type="auto"/>
            <w:vMerge/>
            <w:tcBorders>
              <w:top w:val="nil"/>
              <w:left w:val="nil"/>
              <w:bottom w:val="nil"/>
              <w:right w:val="nil"/>
            </w:tcBorders>
            <w:shd w:val="clear" w:color="auto" w:fill="auto"/>
          </w:tcPr>
          <w:p w:rsidR="00C17600" w:rsidRPr="00115F14" w:rsidRDefault="00C17600" w:rsidP="005A2A80">
            <w:pPr>
              <w:spacing w:after="160" w:line="259" w:lineRule="auto"/>
              <w:rPr>
                <w:sz w:val="22"/>
                <w:szCs w:val="22"/>
              </w:rPr>
            </w:pPr>
          </w:p>
        </w:tc>
        <w:tc>
          <w:tcPr>
            <w:tcW w:w="421" w:type="dxa"/>
            <w:tcBorders>
              <w:top w:val="single" w:sz="8" w:space="0" w:color="FFFFFF"/>
              <w:left w:val="nil"/>
              <w:bottom w:val="single" w:sz="8" w:space="0" w:color="FFFFFF"/>
              <w:right w:val="single" w:sz="24" w:space="0" w:color="FFFFFF"/>
            </w:tcBorders>
            <w:shd w:val="clear" w:color="auto" w:fill="E8E8E6"/>
          </w:tcPr>
          <w:p w:rsidR="00C17600" w:rsidRPr="00115F14" w:rsidRDefault="00C17600" w:rsidP="005A2A80">
            <w:pPr>
              <w:spacing w:line="259" w:lineRule="auto"/>
              <w:rPr>
                <w:sz w:val="22"/>
                <w:szCs w:val="22"/>
              </w:rPr>
            </w:pPr>
            <w:r w:rsidRPr="00115F14">
              <w:rPr>
                <w:rFonts w:ascii="Calibri" w:eastAsia="Calibri" w:hAnsi="Calibri" w:cs="Calibri"/>
                <w:i/>
                <w:sz w:val="17"/>
                <w:szCs w:val="22"/>
              </w:rPr>
              <w:t>2017</w:t>
            </w:r>
          </w:p>
        </w:tc>
        <w:tc>
          <w:tcPr>
            <w:tcW w:w="1804" w:type="dxa"/>
            <w:tcBorders>
              <w:top w:val="single" w:sz="8" w:space="0" w:color="FFFFFF"/>
              <w:left w:val="single" w:sz="24" w:space="0" w:color="FFFFFF"/>
              <w:bottom w:val="single" w:sz="8" w:space="0" w:color="FFFFFF"/>
              <w:right w:val="single" w:sz="24" w:space="0" w:color="FFFFFF"/>
            </w:tcBorders>
            <w:shd w:val="clear" w:color="auto" w:fill="E8E8E6"/>
          </w:tcPr>
          <w:p w:rsidR="00C17600" w:rsidRPr="00115F14" w:rsidRDefault="00C17600" w:rsidP="005A2A80">
            <w:pPr>
              <w:spacing w:line="259" w:lineRule="auto"/>
              <w:jc w:val="center"/>
              <w:rPr>
                <w:sz w:val="22"/>
                <w:szCs w:val="22"/>
              </w:rPr>
            </w:pPr>
            <w:r w:rsidRPr="00115F14">
              <w:rPr>
                <w:rFonts w:ascii="Calibri" w:eastAsia="Calibri" w:hAnsi="Calibri" w:cs="Calibri"/>
                <w:szCs w:val="22"/>
              </w:rPr>
              <w:t>14</w:t>
            </w:r>
          </w:p>
        </w:tc>
        <w:tc>
          <w:tcPr>
            <w:tcW w:w="1804" w:type="dxa"/>
            <w:tcBorders>
              <w:top w:val="single" w:sz="8" w:space="0" w:color="FFFFFF"/>
              <w:left w:val="single" w:sz="24" w:space="0" w:color="FFFFFF"/>
              <w:bottom w:val="single" w:sz="8" w:space="0" w:color="FFFFFF"/>
              <w:right w:val="single" w:sz="24" w:space="0" w:color="FFFFFF"/>
            </w:tcBorders>
            <w:shd w:val="clear" w:color="auto" w:fill="E8E8E6"/>
          </w:tcPr>
          <w:p w:rsidR="00C17600" w:rsidRPr="00115F14" w:rsidRDefault="00C17600" w:rsidP="005A2A80">
            <w:pPr>
              <w:spacing w:line="259" w:lineRule="auto"/>
              <w:jc w:val="center"/>
              <w:rPr>
                <w:sz w:val="22"/>
                <w:szCs w:val="22"/>
              </w:rPr>
            </w:pPr>
            <w:r w:rsidRPr="00115F14">
              <w:rPr>
                <w:rFonts w:ascii="Calibri" w:eastAsia="Calibri" w:hAnsi="Calibri" w:cs="Calibri"/>
                <w:szCs w:val="22"/>
              </w:rPr>
              <w:t>9</w:t>
            </w:r>
          </w:p>
        </w:tc>
        <w:tc>
          <w:tcPr>
            <w:tcW w:w="2039" w:type="dxa"/>
            <w:tcBorders>
              <w:top w:val="single" w:sz="8" w:space="0" w:color="FFFFFF"/>
              <w:left w:val="single" w:sz="24" w:space="0" w:color="FFFFFF"/>
              <w:bottom w:val="single" w:sz="8" w:space="0" w:color="FFFFFF"/>
              <w:right w:val="nil"/>
            </w:tcBorders>
            <w:shd w:val="clear" w:color="auto" w:fill="E8E8E6"/>
          </w:tcPr>
          <w:p w:rsidR="00C17600" w:rsidRPr="00115F14" w:rsidRDefault="00C17600" w:rsidP="005A2A80">
            <w:pPr>
              <w:spacing w:line="259" w:lineRule="auto"/>
              <w:jc w:val="center"/>
              <w:rPr>
                <w:sz w:val="22"/>
                <w:szCs w:val="22"/>
              </w:rPr>
            </w:pPr>
            <w:r w:rsidRPr="00115F14">
              <w:rPr>
                <w:rFonts w:ascii="Calibri" w:eastAsia="Calibri" w:hAnsi="Calibri" w:cs="Calibri"/>
                <w:szCs w:val="22"/>
              </w:rPr>
              <w:t>15</w:t>
            </w:r>
          </w:p>
        </w:tc>
      </w:tr>
      <w:tr w:rsidR="00C17600" w:rsidRPr="00115F14" w:rsidTr="005A2A80">
        <w:trPr>
          <w:trHeight w:val="249"/>
        </w:trPr>
        <w:tc>
          <w:tcPr>
            <w:tcW w:w="0" w:type="auto"/>
            <w:vMerge/>
            <w:tcBorders>
              <w:top w:val="nil"/>
              <w:left w:val="nil"/>
              <w:bottom w:val="nil"/>
              <w:right w:val="nil"/>
            </w:tcBorders>
            <w:shd w:val="clear" w:color="auto" w:fill="auto"/>
          </w:tcPr>
          <w:p w:rsidR="00C17600" w:rsidRPr="00115F14" w:rsidRDefault="00C17600" w:rsidP="005A2A80">
            <w:pPr>
              <w:spacing w:after="160" w:line="259" w:lineRule="auto"/>
              <w:rPr>
                <w:sz w:val="22"/>
                <w:szCs w:val="22"/>
              </w:rPr>
            </w:pPr>
          </w:p>
        </w:tc>
        <w:tc>
          <w:tcPr>
            <w:tcW w:w="421" w:type="dxa"/>
            <w:tcBorders>
              <w:top w:val="single" w:sz="8" w:space="0" w:color="FFFFFF"/>
              <w:left w:val="nil"/>
              <w:bottom w:val="single" w:sz="8" w:space="0" w:color="FFFFFF"/>
              <w:right w:val="single" w:sz="24" w:space="0" w:color="FFFFFF"/>
            </w:tcBorders>
            <w:shd w:val="clear" w:color="auto" w:fill="E8E8E6"/>
          </w:tcPr>
          <w:p w:rsidR="00C17600" w:rsidRPr="00115F14" w:rsidRDefault="00C17600" w:rsidP="005A2A80">
            <w:pPr>
              <w:spacing w:line="259" w:lineRule="auto"/>
              <w:rPr>
                <w:sz w:val="22"/>
                <w:szCs w:val="22"/>
              </w:rPr>
            </w:pPr>
            <w:r w:rsidRPr="00115F14">
              <w:rPr>
                <w:rFonts w:ascii="Calibri" w:eastAsia="Calibri" w:hAnsi="Calibri" w:cs="Calibri"/>
                <w:i/>
                <w:sz w:val="17"/>
                <w:szCs w:val="22"/>
              </w:rPr>
              <w:t>2016</w:t>
            </w:r>
          </w:p>
        </w:tc>
        <w:tc>
          <w:tcPr>
            <w:tcW w:w="1804" w:type="dxa"/>
            <w:tcBorders>
              <w:top w:val="single" w:sz="8" w:space="0" w:color="FFFFFF"/>
              <w:left w:val="single" w:sz="24" w:space="0" w:color="FFFFFF"/>
              <w:bottom w:val="single" w:sz="8" w:space="0" w:color="FFFFFF"/>
              <w:right w:val="single" w:sz="24" w:space="0" w:color="FFFFFF"/>
            </w:tcBorders>
            <w:shd w:val="clear" w:color="auto" w:fill="E8E8E6"/>
          </w:tcPr>
          <w:p w:rsidR="00C17600" w:rsidRPr="00115F14" w:rsidRDefault="00C17600" w:rsidP="005A2A80">
            <w:pPr>
              <w:spacing w:line="259" w:lineRule="auto"/>
              <w:jc w:val="center"/>
              <w:rPr>
                <w:sz w:val="22"/>
                <w:szCs w:val="22"/>
              </w:rPr>
            </w:pPr>
            <w:r w:rsidRPr="00115F14">
              <w:rPr>
                <w:rFonts w:ascii="Calibri" w:eastAsia="Calibri" w:hAnsi="Calibri" w:cs="Calibri"/>
                <w:szCs w:val="22"/>
              </w:rPr>
              <w:t>18</w:t>
            </w:r>
          </w:p>
        </w:tc>
        <w:tc>
          <w:tcPr>
            <w:tcW w:w="1804" w:type="dxa"/>
            <w:tcBorders>
              <w:top w:val="single" w:sz="8" w:space="0" w:color="FFFFFF"/>
              <w:left w:val="single" w:sz="24" w:space="0" w:color="FFFFFF"/>
              <w:bottom w:val="single" w:sz="8" w:space="0" w:color="FFFFFF"/>
              <w:right w:val="single" w:sz="24" w:space="0" w:color="FFFFFF"/>
            </w:tcBorders>
            <w:shd w:val="clear" w:color="auto" w:fill="E8E8E6"/>
          </w:tcPr>
          <w:p w:rsidR="00C17600" w:rsidRPr="00115F14" w:rsidRDefault="00C17600" w:rsidP="005A2A80">
            <w:pPr>
              <w:spacing w:line="259" w:lineRule="auto"/>
              <w:jc w:val="center"/>
              <w:rPr>
                <w:sz w:val="22"/>
                <w:szCs w:val="22"/>
              </w:rPr>
            </w:pPr>
            <w:r w:rsidRPr="00115F14">
              <w:rPr>
                <w:rFonts w:ascii="Calibri" w:eastAsia="Calibri" w:hAnsi="Calibri" w:cs="Calibri"/>
                <w:szCs w:val="22"/>
              </w:rPr>
              <w:t>13</w:t>
            </w:r>
          </w:p>
        </w:tc>
        <w:tc>
          <w:tcPr>
            <w:tcW w:w="2039" w:type="dxa"/>
            <w:tcBorders>
              <w:top w:val="single" w:sz="8" w:space="0" w:color="FFFFFF"/>
              <w:left w:val="single" w:sz="24" w:space="0" w:color="FFFFFF"/>
              <w:bottom w:val="single" w:sz="8" w:space="0" w:color="FFFFFF"/>
              <w:right w:val="nil"/>
            </w:tcBorders>
            <w:shd w:val="clear" w:color="auto" w:fill="E8E8E6"/>
          </w:tcPr>
          <w:p w:rsidR="00C17600" w:rsidRPr="00115F14" w:rsidRDefault="00C17600" w:rsidP="005A2A80">
            <w:pPr>
              <w:spacing w:line="259" w:lineRule="auto"/>
              <w:jc w:val="center"/>
              <w:rPr>
                <w:sz w:val="22"/>
                <w:szCs w:val="22"/>
              </w:rPr>
            </w:pPr>
            <w:r w:rsidRPr="00115F14">
              <w:rPr>
                <w:rFonts w:ascii="Calibri" w:eastAsia="Calibri" w:hAnsi="Calibri" w:cs="Calibri"/>
                <w:szCs w:val="22"/>
              </w:rPr>
              <w:t>12</w:t>
            </w:r>
          </w:p>
        </w:tc>
      </w:tr>
      <w:tr w:rsidR="00C17600" w:rsidRPr="00115F14" w:rsidTr="005A2A80">
        <w:trPr>
          <w:trHeight w:val="249"/>
        </w:trPr>
        <w:tc>
          <w:tcPr>
            <w:tcW w:w="0" w:type="auto"/>
            <w:vMerge/>
            <w:tcBorders>
              <w:top w:val="nil"/>
              <w:left w:val="nil"/>
              <w:bottom w:val="single" w:sz="24" w:space="0" w:color="FFFFFF"/>
              <w:right w:val="nil"/>
            </w:tcBorders>
            <w:shd w:val="clear" w:color="auto" w:fill="auto"/>
          </w:tcPr>
          <w:p w:rsidR="00C17600" w:rsidRPr="00115F14" w:rsidRDefault="00C17600" w:rsidP="005A2A80">
            <w:pPr>
              <w:spacing w:after="160" w:line="259" w:lineRule="auto"/>
              <w:rPr>
                <w:sz w:val="22"/>
                <w:szCs w:val="22"/>
              </w:rPr>
            </w:pPr>
          </w:p>
        </w:tc>
        <w:tc>
          <w:tcPr>
            <w:tcW w:w="421" w:type="dxa"/>
            <w:tcBorders>
              <w:top w:val="single" w:sz="8" w:space="0" w:color="FFFFFF"/>
              <w:left w:val="nil"/>
              <w:bottom w:val="single" w:sz="24" w:space="0" w:color="FFFFFF"/>
              <w:right w:val="single" w:sz="24" w:space="0" w:color="FFFFFF"/>
            </w:tcBorders>
            <w:shd w:val="clear" w:color="auto" w:fill="E8E8E6"/>
          </w:tcPr>
          <w:p w:rsidR="00C17600" w:rsidRPr="00115F14" w:rsidRDefault="00C17600" w:rsidP="005A2A80">
            <w:pPr>
              <w:spacing w:line="259" w:lineRule="auto"/>
              <w:rPr>
                <w:sz w:val="22"/>
                <w:szCs w:val="22"/>
              </w:rPr>
            </w:pPr>
            <w:r w:rsidRPr="00115F14">
              <w:rPr>
                <w:rFonts w:ascii="Calibri" w:eastAsia="Calibri" w:hAnsi="Calibri" w:cs="Calibri"/>
                <w:i/>
                <w:sz w:val="17"/>
                <w:szCs w:val="22"/>
              </w:rPr>
              <w:t>2015</w:t>
            </w:r>
          </w:p>
        </w:tc>
        <w:tc>
          <w:tcPr>
            <w:tcW w:w="1804" w:type="dxa"/>
            <w:tcBorders>
              <w:top w:val="single" w:sz="8" w:space="0" w:color="FFFFFF"/>
              <w:left w:val="single" w:sz="24" w:space="0" w:color="FFFFFF"/>
              <w:bottom w:val="single" w:sz="24" w:space="0" w:color="FFFFFF"/>
              <w:right w:val="single" w:sz="24" w:space="0" w:color="FFFFFF"/>
            </w:tcBorders>
            <w:shd w:val="clear" w:color="auto" w:fill="E8E8E6"/>
          </w:tcPr>
          <w:p w:rsidR="00C17600" w:rsidRPr="00115F14" w:rsidRDefault="00C17600" w:rsidP="005A2A80">
            <w:pPr>
              <w:spacing w:line="259" w:lineRule="auto"/>
              <w:jc w:val="center"/>
              <w:rPr>
                <w:sz w:val="22"/>
                <w:szCs w:val="22"/>
              </w:rPr>
            </w:pPr>
            <w:r w:rsidRPr="00115F14">
              <w:rPr>
                <w:rFonts w:ascii="Calibri" w:eastAsia="Calibri" w:hAnsi="Calibri" w:cs="Calibri"/>
                <w:szCs w:val="22"/>
              </w:rPr>
              <w:t>15</w:t>
            </w:r>
          </w:p>
        </w:tc>
        <w:tc>
          <w:tcPr>
            <w:tcW w:w="1804" w:type="dxa"/>
            <w:tcBorders>
              <w:top w:val="single" w:sz="8" w:space="0" w:color="FFFFFF"/>
              <w:left w:val="single" w:sz="24" w:space="0" w:color="FFFFFF"/>
              <w:bottom w:val="single" w:sz="24" w:space="0" w:color="FFFFFF"/>
              <w:right w:val="single" w:sz="24" w:space="0" w:color="FFFFFF"/>
            </w:tcBorders>
            <w:shd w:val="clear" w:color="auto" w:fill="E8E8E6"/>
          </w:tcPr>
          <w:p w:rsidR="00C17600" w:rsidRPr="00115F14" w:rsidRDefault="00C17600" w:rsidP="005A2A80">
            <w:pPr>
              <w:spacing w:line="259" w:lineRule="auto"/>
              <w:jc w:val="center"/>
              <w:rPr>
                <w:sz w:val="22"/>
                <w:szCs w:val="22"/>
              </w:rPr>
            </w:pPr>
            <w:r w:rsidRPr="00115F14">
              <w:rPr>
                <w:rFonts w:ascii="Calibri" w:eastAsia="Calibri" w:hAnsi="Calibri" w:cs="Calibri"/>
                <w:szCs w:val="22"/>
              </w:rPr>
              <w:t>19</w:t>
            </w:r>
          </w:p>
        </w:tc>
        <w:tc>
          <w:tcPr>
            <w:tcW w:w="2039" w:type="dxa"/>
            <w:tcBorders>
              <w:top w:val="single" w:sz="8" w:space="0" w:color="FFFFFF"/>
              <w:left w:val="single" w:sz="24" w:space="0" w:color="FFFFFF"/>
              <w:bottom w:val="single" w:sz="24" w:space="0" w:color="FFFFFF"/>
              <w:right w:val="nil"/>
            </w:tcBorders>
            <w:shd w:val="clear" w:color="auto" w:fill="E8E8E6"/>
          </w:tcPr>
          <w:p w:rsidR="00C17600" w:rsidRPr="00115F14" w:rsidRDefault="00C17600" w:rsidP="005A2A80">
            <w:pPr>
              <w:spacing w:line="259" w:lineRule="auto"/>
              <w:jc w:val="center"/>
              <w:rPr>
                <w:sz w:val="22"/>
                <w:szCs w:val="22"/>
              </w:rPr>
            </w:pPr>
            <w:r w:rsidRPr="00115F14">
              <w:rPr>
                <w:rFonts w:ascii="Calibri" w:eastAsia="Calibri" w:hAnsi="Calibri" w:cs="Calibri"/>
                <w:szCs w:val="22"/>
              </w:rPr>
              <w:t>20</w:t>
            </w:r>
          </w:p>
        </w:tc>
      </w:tr>
      <w:tr w:rsidR="00C17600" w:rsidRPr="00115F14" w:rsidTr="005A2A80">
        <w:trPr>
          <w:trHeight w:val="249"/>
        </w:trPr>
        <w:tc>
          <w:tcPr>
            <w:tcW w:w="2566" w:type="dxa"/>
            <w:vMerge w:val="restart"/>
            <w:tcBorders>
              <w:top w:val="single" w:sz="24" w:space="0" w:color="FFFFFF"/>
              <w:left w:val="nil"/>
              <w:bottom w:val="single" w:sz="24" w:space="0" w:color="FFFFFF"/>
              <w:right w:val="nil"/>
            </w:tcBorders>
            <w:shd w:val="clear" w:color="auto" w:fill="DFDEDC"/>
            <w:vAlign w:val="center"/>
          </w:tcPr>
          <w:p w:rsidR="00C17600" w:rsidRPr="00115F14" w:rsidRDefault="00C17600" w:rsidP="005A2A80">
            <w:pPr>
              <w:spacing w:line="259" w:lineRule="auto"/>
              <w:jc w:val="center"/>
              <w:rPr>
                <w:sz w:val="22"/>
                <w:szCs w:val="22"/>
              </w:rPr>
            </w:pPr>
            <w:r w:rsidRPr="00115F14">
              <w:rPr>
                <w:rFonts w:ascii="Calibri" w:eastAsia="Calibri" w:hAnsi="Calibri" w:cs="Calibri"/>
                <w:b/>
                <w:szCs w:val="22"/>
              </w:rPr>
              <w:t>Skupne preiskovalne skupine</w:t>
            </w:r>
          </w:p>
          <w:p w:rsidR="00C17600" w:rsidRPr="00115F14" w:rsidRDefault="00C17600" w:rsidP="005A2A80">
            <w:pPr>
              <w:spacing w:line="259" w:lineRule="auto"/>
              <w:ind w:firstLine="120"/>
              <w:jc w:val="center"/>
              <w:rPr>
                <w:sz w:val="22"/>
                <w:szCs w:val="22"/>
              </w:rPr>
            </w:pPr>
            <w:r w:rsidRPr="00115F14">
              <w:rPr>
                <w:rFonts w:ascii="Calibri" w:eastAsia="Calibri" w:hAnsi="Calibri" w:cs="Calibri"/>
                <w:sz w:val="16"/>
                <w:szCs w:val="22"/>
              </w:rPr>
              <w:t>(vsota novoustanovljenih skupnih preiskovalnih skupin in skupnih preiskovalnih skupin iz prejšnjih let)</w:t>
            </w:r>
          </w:p>
        </w:tc>
        <w:tc>
          <w:tcPr>
            <w:tcW w:w="421" w:type="dxa"/>
            <w:tcBorders>
              <w:top w:val="single" w:sz="24" w:space="0" w:color="FFFFFF"/>
              <w:left w:val="nil"/>
              <w:bottom w:val="single" w:sz="8" w:space="0" w:color="FFFFFF"/>
              <w:right w:val="single" w:sz="24" w:space="0" w:color="FFFFFF"/>
            </w:tcBorders>
            <w:shd w:val="clear" w:color="auto" w:fill="DFDEDC"/>
          </w:tcPr>
          <w:p w:rsidR="00C17600" w:rsidRPr="00115F14" w:rsidRDefault="00C17600" w:rsidP="005A2A80">
            <w:pPr>
              <w:spacing w:line="259" w:lineRule="auto"/>
              <w:rPr>
                <w:sz w:val="22"/>
                <w:szCs w:val="22"/>
              </w:rPr>
            </w:pPr>
            <w:r w:rsidRPr="00115F14">
              <w:rPr>
                <w:rFonts w:ascii="Calibri" w:eastAsia="Calibri" w:hAnsi="Calibri" w:cs="Calibri"/>
                <w:i/>
                <w:sz w:val="17"/>
                <w:szCs w:val="22"/>
              </w:rPr>
              <w:t>2018</w:t>
            </w:r>
          </w:p>
        </w:tc>
        <w:tc>
          <w:tcPr>
            <w:tcW w:w="1804" w:type="dxa"/>
            <w:tcBorders>
              <w:top w:val="single" w:sz="24" w:space="0" w:color="FFFFFF"/>
              <w:left w:val="single" w:sz="24" w:space="0" w:color="FFFFFF"/>
              <w:bottom w:val="single" w:sz="8" w:space="0" w:color="FFFFFF"/>
              <w:right w:val="single" w:sz="24" w:space="0" w:color="FFFFFF"/>
            </w:tcBorders>
            <w:shd w:val="clear" w:color="auto" w:fill="DFDEDC"/>
          </w:tcPr>
          <w:p w:rsidR="00C17600" w:rsidRPr="00115F14" w:rsidRDefault="00C17600" w:rsidP="005A2A80">
            <w:pPr>
              <w:spacing w:line="259" w:lineRule="auto"/>
              <w:jc w:val="center"/>
              <w:rPr>
                <w:sz w:val="22"/>
                <w:szCs w:val="22"/>
              </w:rPr>
            </w:pPr>
            <w:r w:rsidRPr="00115F14">
              <w:rPr>
                <w:rFonts w:ascii="Calibri" w:eastAsia="Calibri" w:hAnsi="Calibri" w:cs="Calibri"/>
                <w:b/>
                <w:szCs w:val="22"/>
              </w:rPr>
              <w:t>11</w:t>
            </w:r>
          </w:p>
        </w:tc>
        <w:tc>
          <w:tcPr>
            <w:tcW w:w="1804" w:type="dxa"/>
            <w:tcBorders>
              <w:top w:val="single" w:sz="24" w:space="0" w:color="FFFFFF"/>
              <w:left w:val="single" w:sz="24" w:space="0" w:color="FFFFFF"/>
              <w:bottom w:val="single" w:sz="8" w:space="0" w:color="FFFFFF"/>
              <w:right w:val="single" w:sz="24" w:space="0" w:color="FFFFFF"/>
            </w:tcBorders>
            <w:shd w:val="clear" w:color="auto" w:fill="DFDEDC"/>
          </w:tcPr>
          <w:p w:rsidR="00C17600" w:rsidRPr="00115F14" w:rsidRDefault="00C17600" w:rsidP="005A2A80">
            <w:pPr>
              <w:spacing w:line="259" w:lineRule="auto"/>
              <w:jc w:val="center"/>
              <w:rPr>
                <w:sz w:val="22"/>
                <w:szCs w:val="22"/>
              </w:rPr>
            </w:pPr>
            <w:r w:rsidRPr="00115F14">
              <w:rPr>
                <w:rFonts w:ascii="Calibri" w:eastAsia="Calibri" w:hAnsi="Calibri" w:cs="Calibri"/>
                <w:b/>
                <w:szCs w:val="22"/>
              </w:rPr>
              <w:t>9</w:t>
            </w:r>
          </w:p>
        </w:tc>
        <w:tc>
          <w:tcPr>
            <w:tcW w:w="2039" w:type="dxa"/>
            <w:tcBorders>
              <w:top w:val="single" w:sz="24" w:space="0" w:color="FFFFFF"/>
              <w:left w:val="single" w:sz="24" w:space="0" w:color="FFFFFF"/>
              <w:bottom w:val="single" w:sz="8" w:space="0" w:color="FFFFFF"/>
              <w:right w:val="nil"/>
            </w:tcBorders>
            <w:shd w:val="clear" w:color="auto" w:fill="DFDEDC"/>
          </w:tcPr>
          <w:p w:rsidR="00C17600" w:rsidRPr="00115F14" w:rsidRDefault="00C17600" w:rsidP="005A2A80">
            <w:pPr>
              <w:spacing w:line="259" w:lineRule="auto"/>
              <w:jc w:val="center"/>
              <w:rPr>
                <w:sz w:val="22"/>
                <w:szCs w:val="22"/>
              </w:rPr>
            </w:pPr>
            <w:r w:rsidRPr="00115F14">
              <w:rPr>
                <w:rFonts w:ascii="Calibri" w:eastAsia="Calibri" w:hAnsi="Calibri" w:cs="Calibri"/>
                <w:b/>
                <w:szCs w:val="22"/>
              </w:rPr>
              <w:t>12</w:t>
            </w:r>
          </w:p>
        </w:tc>
      </w:tr>
      <w:tr w:rsidR="00C17600" w:rsidRPr="00115F14" w:rsidTr="005A2A80">
        <w:trPr>
          <w:trHeight w:val="249"/>
        </w:trPr>
        <w:tc>
          <w:tcPr>
            <w:tcW w:w="0" w:type="auto"/>
            <w:vMerge/>
            <w:tcBorders>
              <w:top w:val="nil"/>
              <w:left w:val="nil"/>
              <w:bottom w:val="nil"/>
              <w:right w:val="nil"/>
            </w:tcBorders>
            <w:shd w:val="clear" w:color="auto" w:fill="auto"/>
          </w:tcPr>
          <w:p w:rsidR="00C17600" w:rsidRPr="00115F14" w:rsidRDefault="00C17600" w:rsidP="005A2A80">
            <w:pPr>
              <w:spacing w:after="160" w:line="259" w:lineRule="auto"/>
              <w:rPr>
                <w:sz w:val="22"/>
                <w:szCs w:val="22"/>
              </w:rPr>
            </w:pPr>
          </w:p>
        </w:tc>
        <w:tc>
          <w:tcPr>
            <w:tcW w:w="421" w:type="dxa"/>
            <w:tcBorders>
              <w:top w:val="single" w:sz="8" w:space="0" w:color="FFFFFF"/>
              <w:left w:val="nil"/>
              <w:bottom w:val="single" w:sz="8" w:space="0" w:color="FFFFFF"/>
              <w:right w:val="single" w:sz="24" w:space="0" w:color="FFFFFF"/>
            </w:tcBorders>
            <w:shd w:val="clear" w:color="auto" w:fill="DFDEDC"/>
          </w:tcPr>
          <w:p w:rsidR="00C17600" w:rsidRPr="00115F14" w:rsidRDefault="00C17600" w:rsidP="005A2A80">
            <w:pPr>
              <w:spacing w:line="259" w:lineRule="auto"/>
              <w:rPr>
                <w:sz w:val="22"/>
                <w:szCs w:val="22"/>
              </w:rPr>
            </w:pPr>
            <w:r w:rsidRPr="00115F14">
              <w:rPr>
                <w:rFonts w:ascii="Calibri" w:eastAsia="Calibri" w:hAnsi="Calibri" w:cs="Calibri"/>
                <w:i/>
                <w:sz w:val="17"/>
                <w:szCs w:val="22"/>
              </w:rPr>
              <w:t>2017</w:t>
            </w:r>
          </w:p>
        </w:tc>
        <w:tc>
          <w:tcPr>
            <w:tcW w:w="1804" w:type="dxa"/>
            <w:tcBorders>
              <w:top w:val="single" w:sz="8" w:space="0" w:color="FFFFFF"/>
              <w:left w:val="single" w:sz="24" w:space="0" w:color="FFFFFF"/>
              <w:bottom w:val="single" w:sz="8" w:space="0" w:color="FFFFFF"/>
              <w:right w:val="single" w:sz="24" w:space="0" w:color="FFFFFF"/>
            </w:tcBorders>
            <w:shd w:val="clear" w:color="auto" w:fill="DFDEDC"/>
          </w:tcPr>
          <w:p w:rsidR="00C17600" w:rsidRPr="00115F14" w:rsidRDefault="00C17600" w:rsidP="005A2A80">
            <w:pPr>
              <w:spacing w:line="259" w:lineRule="auto"/>
              <w:jc w:val="center"/>
              <w:rPr>
                <w:sz w:val="22"/>
                <w:szCs w:val="22"/>
              </w:rPr>
            </w:pPr>
            <w:r w:rsidRPr="00115F14">
              <w:rPr>
                <w:rFonts w:ascii="Calibri" w:eastAsia="Calibri" w:hAnsi="Calibri" w:cs="Calibri"/>
                <w:szCs w:val="22"/>
              </w:rPr>
              <w:t>12</w:t>
            </w:r>
          </w:p>
        </w:tc>
        <w:tc>
          <w:tcPr>
            <w:tcW w:w="1804" w:type="dxa"/>
            <w:tcBorders>
              <w:top w:val="single" w:sz="8" w:space="0" w:color="FFFFFF"/>
              <w:left w:val="single" w:sz="24" w:space="0" w:color="FFFFFF"/>
              <w:bottom w:val="single" w:sz="8" w:space="0" w:color="FFFFFF"/>
              <w:right w:val="single" w:sz="24" w:space="0" w:color="FFFFFF"/>
            </w:tcBorders>
            <w:shd w:val="clear" w:color="auto" w:fill="DFDEDC"/>
          </w:tcPr>
          <w:p w:rsidR="00C17600" w:rsidRPr="00115F14" w:rsidRDefault="00C17600" w:rsidP="005A2A80">
            <w:pPr>
              <w:spacing w:line="259" w:lineRule="auto"/>
              <w:jc w:val="center"/>
              <w:rPr>
                <w:sz w:val="22"/>
                <w:szCs w:val="22"/>
              </w:rPr>
            </w:pPr>
            <w:r w:rsidRPr="00115F14">
              <w:rPr>
                <w:rFonts w:ascii="Calibri" w:eastAsia="Calibri" w:hAnsi="Calibri" w:cs="Calibri"/>
                <w:szCs w:val="22"/>
              </w:rPr>
              <w:t>7</w:t>
            </w:r>
          </w:p>
        </w:tc>
        <w:tc>
          <w:tcPr>
            <w:tcW w:w="2039" w:type="dxa"/>
            <w:tcBorders>
              <w:top w:val="single" w:sz="8" w:space="0" w:color="FFFFFF"/>
              <w:left w:val="single" w:sz="24" w:space="0" w:color="FFFFFF"/>
              <w:bottom w:val="single" w:sz="8" w:space="0" w:color="FFFFFF"/>
              <w:right w:val="nil"/>
            </w:tcBorders>
            <w:shd w:val="clear" w:color="auto" w:fill="DFDEDC"/>
          </w:tcPr>
          <w:p w:rsidR="00C17600" w:rsidRPr="00115F14" w:rsidRDefault="00C17600" w:rsidP="005A2A80">
            <w:pPr>
              <w:spacing w:line="259" w:lineRule="auto"/>
              <w:jc w:val="center"/>
              <w:rPr>
                <w:sz w:val="22"/>
                <w:szCs w:val="22"/>
              </w:rPr>
            </w:pPr>
            <w:r w:rsidRPr="00115F14">
              <w:rPr>
                <w:rFonts w:ascii="Calibri" w:eastAsia="Calibri" w:hAnsi="Calibri" w:cs="Calibri"/>
                <w:szCs w:val="22"/>
              </w:rPr>
              <w:t>14</w:t>
            </w:r>
          </w:p>
        </w:tc>
      </w:tr>
      <w:tr w:rsidR="00C17600" w:rsidRPr="00115F14" w:rsidTr="005A2A80">
        <w:trPr>
          <w:trHeight w:val="249"/>
        </w:trPr>
        <w:tc>
          <w:tcPr>
            <w:tcW w:w="0" w:type="auto"/>
            <w:vMerge/>
            <w:tcBorders>
              <w:top w:val="nil"/>
              <w:left w:val="nil"/>
              <w:bottom w:val="nil"/>
              <w:right w:val="nil"/>
            </w:tcBorders>
            <w:shd w:val="clear" w:color="auto" w:fill="auto"/>
          </w:tcPr>
          <w:p w:rsidR="00C17600" w:rsidRPr="00115F14" w:rsidRDefault="00C17600" w:rsidP="005A2A80">
            <w:pPr>
              <w:spacing w:after="160" w:line="259" w:lineRule="auto"/>
              <w:rPr>
                <w:sz w:val="22"/>
                <w:szCs w:val="22"/>
              </w:rPr>
            </w:pPr>
          </w:p>
        </w:tc>
        <w:tc>
          <w:tcPr>
            <w:tcW w:w="421" w:type="dxa"/>
            <w:tcBorders>
              <w:top w:val="single" w:sz="8" w:space="0" w:color="FFFFFF"/>
              <w:left w:val="nil"/>
              <w:bottom w:val="single" w:sz="8" w:space="0" w:color="FFFFFF"/>
              <w:right w:val="single" w:sz="24" w:space="0" w:color="FFFFFF"/>
            </w:tcBorders>
            <w:shd w:val="clear" w:color="auto" w:fill="DFDEDC"/>
          </w:tcPr>
          <w:p w:rsidR="00C17600" w:rsidRPr="00115F14" w:rsidRDefault="00C17600" w:rsidP="005A2A80">
            <w:pPr>
              <w:spacing w:line="259" w:lineRule="auto"/>
              <w:rPr>
                <w:sz w:val="22"/>
                <w:szCs w:val="22"/>
              </w:rPr>
            </w:pPr>
            <w:r w:rsidRPr="00115F14">
              <w:rPr>
                <w:rFonts w:ascii="Calibri" w:eastAsia="Calibri" w:hAnsi="Calibri" w:cs="Calibri"/>
                <w:i/>
                <w:sz w:val="17"/>
                <w:szCs w:val="22"/>
              </w:rPr>
              <w:t>2016</w:t>
            </w:r>
          </w:p>
        </w:tc>
        <w:tc>
          <w:tcPr>
            <w:tcW w:w="1804" w:type="dxa"/>
            <w:tcBorders>
              <w:top w:val="single" w:sz="8" w:space="0" w:color="FFFFFF"/>
              <w:left w:val="single" w:sz="24" w:space="0" w:color="FFFFFF"/>
              <w:bottom w:val="single" w:sz="8" w:space="0" w:color="FFFFFF"/>
              <w:right w:val="single" w:sz="24" w:space="0" w:color="FFFFFF"/>
            </w:tcBorders>
            <w:shd w:val="clear" w:color="auto" w:fill="DFDEDC"/>
          </w:tcPr>
          <w:p w:rsidR="00C17600" w:rsidRPr="00115F14" w:rsidRDefault="00C17600" w:rsidP="005A2A80">
            <w:pPr>
              <w:spacing w:line="259" w:lineRule="auto"/>
              <w:jc w:val="center"/>
              <w:rPr>
                <w:sz w:val="22"/>
                <w:szCs w:val="22"/>
              </w:rPr>
            </w:pPr>
            <w:r w:rsidRPr="00115F14">
              <w:rPr>
                <w:rFonts w:ascii="Calibri" w:eastAsia="Calibri" w:hAnsi="Calibri" w:cs="Calibri"/>
                <w:szCs w:val="22"/>
              </w:rPr>
              <w:t>6</w:t>
            </w:r>
          </w:p>
        </w:tc>
        <w:tc>
          <w:tcPr>
            <w:tcW w:w="1804" w:type="dxa"/>
            <w:tcBorders>
              <w:top w:val="single" w:sz="8" w:space="0" w:color="FFFFFF"/>
              <w:left w:val="single" w:sz="24" w:space="0" w:color="FFFFFF"/>
              <w:bottom w:val="single" w:sz="8" w:space="0" w:color="FFFFFF"/>
              <w:right w:val="single" w:sz="24" w:space="0" w:color="FFFFFF"/>
            </w:tcBorders>
            <w:shd w:val="clear" w:color="auto" w:fill="DFDEDC"/>
          </w:tcPr>
          <w:p w:rsidR="00C17600" w:rsidRPr="00115F14" w:rsidRDefault="00C17600" w:rsidP="005A2A80">
            <w:pPr>
              <w:spacing w:line="259" w:lineRule="auto"/>
              <w:jc w:val="center"/>
              <w:rPr>
                <w:sz w:val="22"/>
                <w:szCs w:val="22"/>
              </w:rPr>
            </w:pPr>
            <w:r w:rsidRPr="00115F14">
              <w:rPr>
                <w:rFonts w:ascii="Calibri" w:eastAsia="Calibri" w:hAnsi="Calibri" w:cs="Calibri"/>
                <w:szCs w:val="22"/>
              </w:rPr>
              <w:t>8</w:t>
            </w:r>
          </w:p>
        </w:tc>
        <w:tc>
          <w:tcPr>
            <w:tcW w:w="2039" w:type="dxa"/>
            <w:tcBorders>
              <w:top w:val="single" w:sz="8" w:space="0" w:color="FFFFFF"/>
              <w:left w:val="single" w:sz="24" w:space="0" w:color="FFFFFF"/>
              <w:bottom w:val="single" w:sz="8" w:space="0" w:color="FFFFFF"/>
              <w:right w:val="nil"/>
            </w:tcBorders>
            <w:shd w:val="clear" w:color="auto" w:fill="DFDEDC"/>
          </w:tcPr>
          <w:p w:rsidR="00C17600" w:rsidRPr="00115F14" w:rsidRDefault="00C17600" w:rsidP="005A2A80">
            <w:pPr>
              <w:spacing w:line="259" w:lineRule="auto"/>
              <w:jc w:val="center"/>
              <w:rPr>
                <w:sz w:val="22"/>
                <w:szCs w:val="22"/>
              </w:rPr>
            </w:pPr>
            <w:r w:rsidRPr="00115F14">
              <w:rPr>
                <w:rFonts w:ascii="Calibri" w:eastAsia="Calibri" w:hAnsi="Calibri" w:cs="Calibri"/>
                <w:szCs w:val="22"/>
              </w:rPr>
              <w:t>11</w:t>
            </w:r>
          </w:p>
        </w:tc>
      </w:tr>
      <w:tr w:rsidR="00C17600" w:rsidRPr="00115F14" w:rsidTr="005A2A80">
        <w:trPr>
          <w:trHeight w:val="249"/>
        </w:trPr>
        <w:tc>
          <w:tcPr>
            <w:tcW w:w="0" w:type="auto"/>
            <w:vMerge/>
            <w:tcBorders>
              <w:top w:val="nil"/>
              <w:left w:val="nil"/>
              <w:bottom w:val="single" w:sz="24" w:space="0" w:color="FFFFFF"/>
              <w:right w:val="nil"/>
            </w:tcBorders>
            <w:shd w:val="clear" w:color="auto" w:fill="auto"/>
          </w:tcPr>
          <w:p w:rsidR="00C17600" w:rsidRPr="00115F14" w:rsidRDefault="00C17600" w:rsidP="005A2A80">
            <w:pPr>
              <w:spacing w:after="160" w:line="259" w:lineRule="auto"/>
              <w:rPr>
                <w:sz w:val="22"/>
                <w:szCs w:val="22"/>
              </w:rPr>
            </w:pPr>
          </w:p>
        </w:tc>
        <w:tc>
          <w:tcPr>
            <w:tcW w:w="421" w:type="dxa"/>
            <w:tcBorders>
              <w:top w:val="single" w:sz="8" w:space="0" w:color="FFFFFF"/>
              <w:left w:val="nil"/>
              <w:bottom w:val="single" w:sz="24" w:space="0" w:color="FFFFFF"/>
              <w:right w:val="single" w:sz="24" w:space="0" w:color="FFFFFF"/>
            </w:tcBorders>
            <w:shd w:val="clear" w:color="auto" w:fill="DFDEDC"/>
          </w:tcPr>
          <w:p w:rsidR="00C17600" w:rsidRPr="00115F14" w:rsidRDefault="00C17600" w:rsidP="005A2A80">
            <w:pPr>
              <w:spacing w:line="259" w:lineRule="auto"/>
              <w:rPr>
                <w:sz w:val="22"/>
                <w:szCs w:val="22"/>
              </w:rPr>
            </w:pPr>
            <w:r w:rsidRPr="00115F14">
              <w:rPr>
                <w:rFonts w:ascii="Calibri" w:eastAsia="Calibri" w:hAnsi="Calibri" w:cs="Calibri"/>
                <w:i/>
                <w:sz w:val="17"/>
                <w:szCs w:val="22"/>
              </w:rPr>
              <w:t>2015</w:t>
            </w:r>
          </w:p>
        </w:tc>
        <w:tc>
          <w:tcPr>
            <w:tcW w:w="1804" w:type="dxa"/>
            <w:tcBorders>
              <w:top w:val="single" w:sz="8" w:space="0" w:color="FFFFFF"/>
              <w:left w:val="single" w:sz="24" w:space="0" w:color="FFFFFF"/>
              <w:bottom w:val="single" w:sz="24" w:space="0" w:color="FFFFFF"/>
              <w:right w:val="single" w:sz="24" w:space="0" w:color="FFFFFF"/>
            </w:tcBorders>
            <w:shd w:val="clear" w:color="auto" w:fill="DFDEDC"/>
          </w:tcPr>
          <w:p w:rsidR="00C17600" w:rsidRPr="00115F14" w:rsidRDefault="00C17600" w:rsidP="005A2A80">
            <w:pPr>
              <w:spacing w:line="259" w:lineRule="auto"/>
              <w:jc w:val="center"/>
              <w:rPr>
                <w:sz w:val="22"/>
                <w:szCs w:val="22"/>
              </w:rPr>
            </w:pPr>
            <w:r w:rsidRPr="00115F14">
              <w:rPr>
                <w:rFonts w:ascii="Calibri" w:eastAsia="Calibri" w:hAnsi="Calibri" w:cs="Calibri"/>
                <w:szCs w:val="22"/>
              </w:rPr>
              <w:t>5</w:t>
            </w:r>
          </w:p>
        </w:tc>
        <w:tc>
          <w:tcPr>
            <w:tcW w:w="1804" w:type="dxa"/>
            <w:tcBorders>
              <w:top w:val="single" w:sz="8" w:space="0" w:color="FFFFFF"/>
              <w:left w:val="single" w:sz="24" w:space="0" w:color="FFFFFF"/>
              <w:bottom w:val="single" w:sz="24" w:space="0" w:color="FFFFFF"/>
              <w:right w:val="single" w:sz="24" w:space="0" w:color="FFFFFF"/>
            </w:tcBorders>
            <w:shd w:val="clear" w:color="auto" w:fill="DFDEDC"/>
          </w:tcPr>
          <w:p w:rsidR="00C17600" w:rsidRPr="00115F14" w:rsidRDefault="00C17600" w:rsidP="005A2A80">
            <w:pPr>
              <w:spacing w:line="259" w:lineRule="auto"/>
              <w:jc w:val="center"/>
              <w:rPr>
                <w:sz w:val="22"/>
                <w:szCs w:val="22"/>
              </w:rPr>
            </w:pPr>
            <w:r w:rsidRPr="00115F14">
              <w:rPr>
                <w:rFonts w:ascii="Calibri" w:eastAsia="Calibri" w:hAnsi="Calibri" w:cs="Calibri"/>
                <w:szCs w:val="22"/>
              </w:rPr>
              <w:t>10</w:t>
            </w:r>
          </w:p>
        </w:tc>
        <w:tc>
          <w:tcPr>
            <w:tcW w:w="2039" w:type="dxa"/>
            <w:tcBorders>
              <w:top w:val="single" w:sz="8" w:space="0" w:color="FFFFFF"/>
              <w:left w:val="single" w:sz="24" w:space="0" w:color="FFFFFF"/>
              <w:bottom w:val="single" w:sz="24" w:space="0" w:color="FFFFFF"/>
              <w:right w:val="nil"/>
            </w:tcBorders>
            <w:shd w:val="clear" w:color="auto" w:fill="DFDEDC"/>
          </w:tcPr>
          <w:p w:rsidR="00C17600" w:rsidRPr="00115F14" w:rsidRDefault="00C17600" w:rsidP="005A2A80">
            <w:pPr>
              <w:spacing w:line="259" w:lineRule="auto"/>
              <w:jc w:val="center"/>
              <w:rPr>
                <w:sz w:val="22"/>
                <w:szCs w:val="22"/>
              </w:rPr>
            </w:pPr>
            <w:r w:rsidRPr="00115F14">
              <w:rPr>
                <w:rFonts w:ascii="Calibri" w:eastAsia="Calibri" w:hAnsi="Calibri" w:cs="Calibri"/>
                <w:szCs w:val="22"/>
              </w:rPr>
              <w:t>10</w:t>
            </w:r>
          </w:p>
        </w:tc>
      </w:tr>
      <w:tr w:rsidR="00C17600" w:rsidRPr="00115F14" w:rsidTr="005A2A80">
        <w:trPr>
          <w:trHeight w:val="249"/>
        </w:trPr>
        <w:tc>
          <w:tcPr>
            <w:tcW w:w="2987" w:type="dxa"/>
            <w:gridSpan w:val="2"/>
            <w:tcBorders>
              <w:top w:val="single" w:sz="24" w:space="0" w:color="FFFFFF"/>
              <w:left w:val="nil"/>
              <w:bottom w:val="nil"/>
              <w:right w:val="single" w:sz="24" w:space="0" w:color="FFFFFF"/>
            </w:tcBorders>
            <w:shd w:val="clear" w:color="auto" w:fill="D6D5D2"/>
          </w:tcPr>
          <w:p w:rsidR="00C17600" w:rsidRPr="00115F14" w:rsidRDefault="00C17600" w:rsidP="005A2A80">
            <w:pPr>
              <w:spacing w:line="259" w:lineRule="auto"/>
              <w:ind w:right="47"/>
              <w:jc w:val="right"/>
              <w:rPr>
                <w:sz w:val="22"/>
                <w:szCs w:val="22"/>
              </w:rPr>
            </w:pPr>
            <w:r>
              <w:rPr>
                <w:rFonts w:ascii="Calibri" w:eastAsia="Calibri" w:hAnsi="Calibri" w:cs="Calibri"/>
                <w:b/>
                <w:szCs w:val="22"/>
              </w:rPr>
              <w:t xml:space="preserve">          </w:t>
            </w:r>
            <w:r w:rsidRPr="00115F14">
              <w:rPr>
                <w:rFonts w:ascii="Calibri" w:eastAsia="Calibri" w:hAnsi="Calibri" w:cs="Calibri"/>
                <w:b/>
                <w:szCs w:val="22"/>
              </w:rPr>
              <w:t>Koordinacijski centri</w:t>
            </w:r>
            <w:r>
              <w:rPr>
                <w:rFonts w:ascii="Calibri" w:eastAsia="Calibri" w:hAnsi="Calibri" w:cs="Calibri"/>
                <w:b/>
                <w:szCs w:val="22"/>
              </w:rPr>
              <w:t xml:space="preserve">        </w:t>
            </w:r>
            <w:r w:rsidRPr="00115F14">
              <w:rPr>
                <w:rFonts w:ascii="Calibri" w:eastAsia="Calibri" w:hAnsi="Calibri" w:cs="Calibri"/>
                <w:i/>
                <w:sz w:val="17"/>
                <w:szCs w:val="22"/>
              </w:rPr>
              <w:t>2018</w:t>
            </w:r>
          </w:p>
        </w:tc>
        <w:tc>
          <w:tcPr>
            <w:tcW w:w="1804" w:type="dxa"/>
            <w:tcBorders>
              <w:top w:val="single" w:sz="24" w:space="0" w:color="FFFFFF"/>
              <w:left w:val="single" w:sz="24" w:space="0" w:color="FFFFFF"/>
              <w:bottom w:val="single" w:sz="8" w:space="0" w:color="FFFFFF"/>
              <w:right w:val="single" w:sz="24" w:space="0" w:color="FFFFFF"/>
            </w:tcBorders>
            <w:shd w:val="clear" w:color="auto" w:fill="D6D5D2"/>
          </w:tcPr>
          <w:p w:rsidR="00C17600" w:rsidRPr="00115F14" w:rsidRDefault="00C17600" w:rsidP="005A2A80">
            <w:pPr>
              <w:spacing w:line="259" w:lineRule="auto"/>
              <w:jc w:val="center"/>
              <w:rPr>
                <w:sz w:val="22"/>
                <w:szCs w:val="22"/>
              </w:rPr>
            </w:pPr>
            <w:r w:rsidRPr="00115F14">
              <w:rPr>
                <w:rFonts w:ascii="Calibri" w:eastAsia="Calibri" w:hAnsi="Calibri" w:cs="Calibri"/>
                <w:b/>
                <w:szCs w:val="22"/>
              </w:rPr>
              <w:t>1</w:t>
            </w:r>
          </w:p>
        </w:tc>
        <w:tc>
          <w:tcPr>
            <w:tcW w:w="1804" w:type="dxa"/>
            <w:tcBorders>
              <w:top w:val="single" w:sz="24" w:space="0" w:color="FFFFFF"/>
              <w:left w:val="single" w:sz="24" w:space="0" w:color="FFFFFF"/>
              <w:bottom w:val="single" w:sz="8" w:space="0" w:color="FFFFFF"/>
              <w:right w:val="single" w:sz="24" w:space="0" w:color="FFFFFF"/>
            </w:tcBorders>
            <w:shd w:val="clear" w:color="auto" w:fill="D6D5D2"/>
          </w:tcPr>
          <w:p w:rsidR="00C17600" w:rsidRPr="00115F14" w:rsidRDefault="00C17600" w:rsidP="005A2A80">
            <w:pPr>
              <w:spacing w:line="259" w:lineRule="auto"/>
              <w:jc w:val="center"/>
              <w:rPr>
                <w:sz w:val="22"/>
                <w:szCs w:val="22"/>
              </w:rPr>
            </w:pPr>
            <w:r w:rsidRPr="00115F14">
              <w:rPr>
                <w:rFonts w:ascii="Calibri" w:eastAsia="Calibri" w:hAnsi="Calibri" w:cs="Calibri"/>
                <w:b/>
                <w:szCs w:val="22"/>
              </w:rPr>
              <w:t>2</w:t>
            </w:r>
          </w:p>
        </w:tc>
        <w:tc>
          <w:tcPr>
            <w:tcW w:w="2039" w:type="dxa"/>
            <w:tcBorders>
              <w:top w:val="single" w:sz="24" w:space="0" w:color="FFFFFF"/>
              <w:left w:val="single" w:sz="24" w:space="0" w:color="FFFFFF"/>
              <w:bottom w:val="single" w:sz="8" w:space="0" w:color="FFFFFF"/>
              <w:right w:val="nil"/>
            </w:tcBorders>
            <w:shd w:val="clear" w:color="auto" w:fill="D6D5D2"/>
          </w:tcPr>
          <w:p w:rsidR="00C17600" w:rsidRPr="00115F14" w:rsidRDefault="00C17600" w:rsidP="005A2A80">
            <w:pPr>
              <w:spacing w:line="259" w:lineRule="auto"/>
              <w:jc w:val="center"/>
              <w:rPr>
                <w:sz w:val="22"/>
                <w:szCs w:val="22"/>
              </w:rPr>
            </w:pPr>
            <w:r w:rsidRPr="00115F14">
              <w:rPr>
                <w:rFonts w:ascii="Calibri" w:eastAsia="Calibri" w:hAnsi="Calibri" w:cs="Calibri"/>
                <w:b/>
                <w:szCs w:val="22"/>
              </w:rPr>
              <w:t>3</w:t>
            </w:r>
          </w:p>
        </w:tc>
      </w:tr>
      <w:tr w:rsidR="00C17600" w:rsidRPr="00115F14" w:rsidTr="005A2A80">
        <w:trPr>
          <w:trHeight w:val="249"/>
        </w:trPr>
        <w:tc>
          <w:tcPr>
            <w:tcW w:w="2987" w:type="dxa"/>
            <w:gridSpan w:val="2"/>
            <w:tcBorders>
              <w:top w:val="nil"/>
              <w:left w:val="nil"/>
              <w:bottom w:val="nil"/>
              <w:right w:val="single" w:sz="24" w:space="0" w:color="FFFFFF"/>
            </w:tcBorders>
            <w:shd w:val="clear" w:color="auto" w:fill="D6D5D2"/>
            <w:vAlign w:val="bottom"/>
          </w:tcPr>
          <w:p w:rsidR="00C17600" w:rsidRPr="00FE4991" w:rsidRDefault="00C17600" w:rsidP="005A2A80">
            <w:pPr>
              <w:tabs>
                <w:tab w:val="center" w:pos="1985"/>
                <w:tab w:val="right" w:pos="3454"/>
              </w:tabs>
              <w:spacing w:line="259" w:lineRule="auto"/>
              <w:rPr>
                <w:rFonts w:ascii="Calibri" w:eastAsia="Calibri" w:hAnsi="Calibri" w:cs="Calibri"/>
                <w:bCs/>
                <w:i/>
                <w:iCs/>
                <w:sz w:val="17"/>
                <w:szCs w:val="17"/>
              </w:rPr>
            </w:pPr>
            <w:r>
              <w:rPr>
                <w:rFonts w:ascii="Calibri" w:eastAsia="Calibri" w:hAnsi="Calibri" w:cs="Calibri"/>
                <w:b/>
                <w:szCs w:val="22"/>
              </w:rPr>
              <w:t xml:space="preserve">                                                        </w:t>
            </w:r>
            <w:r w:rsidRPr="00FE4991">
              <w:rPr>
                <w:rFonts w:ascii="Calibri" w:eastAsia="Calibri" w:hAnsi="Calibri" w:cs="Calibri"/>
                <w:bCs/>
                <w:i/>
                <w:iCs/>
                <w:sz w:val="17"/>
                <w:szCs w:val="17"/>
              </w:rPr>
              <w:t>2017</w:t>
            </w:r>
          </w:p>
        </w:tc>
        <w:tc>
          <w:tcPr>
            <w:tcW w:w="1804" w:type="dxa"/>
            <w:tcBorders>
              <w:top w:val="single" w:sz="8" w:space="0" w:color="FFFFFF"/>
              <w:left w:val="single" w:sz="24" w:space="0" w:color="FFFFFF"/>
              <w:bottom w:val="single" w:sz="8" w:space="0" w:color="FFFFFF"/>
              <w:right w:val="single" w:sz="24" w:space="0" w:color="FFFFFF"/>
            </w:tcBorders>
            <w:shd w:val="clear" w:color="auto" w:fill="D6D5D2"/>
          </w:tcPr>
          <w:p w:rsidR="00C17600" w:rsidRPr="00115F14" w:rsidRDefault="00C17600" w:rsidP="005A2A80">
            <w:pPr>
              <w:spacing w:line="259" w:lineRule="auto"/>
              <w:jc w:val="center"/>
              <w:rPr>
                <w:sz w:val="22"/>
                <w:szCs w:val="22"/>
              </w:rPr>
            </w:pPr>
            <w:r w:rsidRPr="00115F14">
              <w:rPr>
                <w:rFonts w:ascii="Calibri" w:eastAsia="Calibri" w:hAnsi="Calibri" w:cs="Calibri"/>
                <w:szCs w:val="22"/>
              </w:rPr>
              <w:t>1</w:t>
            </w:r>
          </w:p>
        </w:tc>
        <w:tc>
          <w:tcPr>
            <w:tcW w:w="1804" w:type="dxa"/>
            <w:tcBorders>
              <w:top w:val="single" w:sz="8" w:space="0" w:color="FFFFFF"/>
              <w:left w:val="single" w:sz="24" w:space="0" w:color="FFFFFF"/>
              <w:bottom w:val="single" w:sz="8" w:space="0" w:color="FFFFFF"/>
              <w:right w:val="single" w:sz="24" w:space="0" w:color="FFFFFF"/>
            </w:tcBorders>
            <w:shd w:val="clear" w:color="auto" w:fill="D6D5D2"/>
          </w:tcPr>
          <w:p w:rsidR="00C17600" w:rsidRPr="00115F14" w:rsidRDefault="00C17600" w:rsidP="005A2A80">
            <w:pPr>
              <w:spacing w:line="259" w:lineRule="auto"/>
              <w:jc w:val="center"/>
              <w:rPr>
                <w:sz w:val="22"/>
                <w:szCs w:val="22"/>
              </w:rPr>
            </w:pPr>
            <w:r w:rsidRPr="00115F14">
              <w:rPr>
                <w:rFonts w:ascii="Calibri" w:eastAsia="Calibri" w:hAnsi="Calibri" w:cs="Calibri"/>
                <w:szCs w:val="22"/>
              </w:rPr>
              <w:t>1</w:t>
            </w:r>
          </w:p>
        </w:tc>
        <w:tc>
          <w:tcPr>
            <w:tcW w:w="2039" w:type="dxa"/>
            <w:tcBorders>
              <w:top w:val="single" w:sz="8" w:space="0" w:color="FFFFFF"/>
              <w:left w:val="single" w:sz="24" w:space="0" w:color="FFFFFF"/>
              <w:bottom w:val="single" w:sz="8" w:space="0" w:color="FFFFFF"/>
              <w:right w:val="nil"/>
            </w:tcBorders>
            <w:shd w:val="clear" w:color="auto" w:fill="D6D5D2"/>
          </w:tcPr>
          <w:p w:rsidR="00C17600" w:rsidRPr="00115F14" w:rsidRDefault="00C17600" w:rsidP="005A2A80">
            <w:pPr>
              <w:spacing w:line="259" w:lineRule="auto"/>
              <w:jc w:val="center"/>
              <w:rPr>
                <w:sz w:val="22"/>
                <w:szCs w:val="22"/>
              </w:rPr>
            </w:pPr>
            <w:r w:rsidRPr="00115F14">
              <w:rPr>
                <w:rFonts w:ascii="Calibri" w:eastAsia="Calibri" w:hAnsi="Calibri" w:cs="Calibri"/>
                <w:szCs w:val="22"/>
              </w:rPr>
              <w:t>2</w:t>
            </w:r>
          </w:p>
        </w:tc>
      </w:tr>
      <w:tr w:rsidR="00C17600" w:rsidRPr="00115F14" w:rsidTr="005A2A80">
        <w:trPr>
          <w:trHeight w:val="249"/>
        </w:trPr>
        <w:tc>
          <w:tcPr>
            <w:tcW w:w="2987" w:type="dxa"/>
            <w:gridSpan w:val="2"/>
            <w:tcBorders>
              <w:top w:val="nil"/>
              <w:left w:val="nil"/>
              <w:bottom w:val="nil"/>
              <w:right w:val="single" w:sz="24" w:space="0" w:color="FFFFFF"/>
            </w:tcBorders>
            <w:shd w:val="clear" w:color="auto" w:fill="D6D5D2"/>
          </w:tcPr>
          <w:p w:rsidR="00C17600" w:rsidRPr="005F3775" w:rsidRDefault="00C17600" w:rsidP="005A2A80">
            <w:pPr>
              <w:tabs>
                <w:tab w:val="center" w:pos="2694"/>
                <w:tab w:val="right" w:pos="3454"/>
              </w:tabs>
              <w:spacing w:line="259" w:lineRule="auto"/>
              <w:rPr>
                <w:rFonts w:ascii="Calibri" w:eastAsia="Calibri" w:hAnsi="Calibri" w:cs="Calibri"/>
                <w:sz w:val="22"/>
                <w:szCs w:val="22"/>
              </w:rPr>
            </w:pPr>
            <w:r>
              <w:rPr>
                <w:rFonts w:ascii="Calibri" w:eastAsia="Calibri" w:hAnsi="Calibri" w:cs="Calibri"/>
                <w:sz w:val="22"/>
                <w:szCs w:val="22"/>
              </w:rPr>
              <w:t xml:space="preserve">               A</w:t>
            </w:r>
            <w:r w:rsidRPr="00115F14">
              <w:rPr>
                <w:rFonts w:ascii="Calibri" w:eastAsia="Calibri" w:hAnsi="Calibri" w:cs="Calibri"/>
                <w:b/>
                <w:szCs w:val="22"/>
              </w:rPr>
              <w:t>kcijski dnevi</w:t>
            </w:r>
            <w:r w:rsidRPr="00115F14">
              <w:rPr>
                <w:rFonts w:ascii="Calibri" w:eastAsia="Calibri" w:hAnsi="Calibri" w:cs="Calibri"/>
                <w:b/>
                <w:szCs w:val="22"/>
              </w:rPr>
              <w:tab/>
            </w:r>
            <w:r w:rsidRPr="00115F14">
              <w:rPr>
                <w:rFonts w:ascii="Calibri" w:eastAsia="Calibri" w:hAnsi="Calibri" w:cs="Calibri"/>
                <w:i/>
                <w:sz w:val="17"/>
                <w:szCs w:val="22"/>
              </w:rPr>
              <w:t>2016</w:t>
            </w:r>
          </w:p>
        </w:tc>
        <w:tc>
          <w:tcPr>
            <w:tcW w:w="1804" w:type="dxa"/>
            <w:tcBorders>
              <w:top w:val="single" w:sz="8" w:space="0" w:color="FFFFFF"/>
              <w:left w:val="single" w:sz="24" w:space="0" w:color="FFFFFF"/>
              <w:bottom w:val="single" w:sz="8" w:space="0" w:color="FFFFFF"/>
              <w:right w:val="single" w:sz="24" w:space="0" w:color="FFFFFF"/>
            </w:tcBorders>
            <w:shd w:val="clear" w:color="auto" w:fill="D6D5D2"/>
          </w:tcPr>
          <w:p w:rsidR="00C17600" w:rsidRPr="00115F14" w:rsidRDefault="00C17600" w:rsidP="005A2A80">
            <w:pPr>
              <w:spacing w:line="259" w:lineRule="auto"/>
              <w:jc w:val="center"/>
              <w:rPr>
                <w:sz w:val="22"/>
                <w:szCs w:val="22"/>
              </w:rPr>
            </w:pPr>
            <w:r w:rsidRPr="00115F14">
              <w:rPr>
                <w:rFonts w:ascii="Calibri" w:eastAsia="Calibri" w:hAnsi="Calibri" w:cs="Calibri"/>
                <w:szCs w:val="22"/>
              </w:rPr>
              <w:t>-</w:t>
            </w:r>
          </w:p>
        </w:tc>
        <w:tc>
          <w:tcPr>
            <w:tcW w:w="1804" w:type="dxa"/>
            <w:tcBorders>
              <w:top w:val="single" w:sz="8" w:space="0" w:color="FFFFFF"/>
              <w:left w:val="single" w:sz="24" w:space="0" w:color="FFFFFF"/>
              <w:bottom w:val="single" w:sz="8" w:space="0" w:color="FFFFFF"/>
              <w:right w:val="single" w:sz="24" w:space="0" w:color="FFFFFF"/>
            </w:tcBorders>
            <w:shd w:val="clear" w:color="auto" w:fill="D6D5D2"/>
          </w:tcPr>
          <w:p w:rsidR="00C17600" w:rsidRPr="00115F14" w:rsidRDefault="00C17600" w:rsidP="005A2A80">
            <w:pPr>
              <w:spacing w:line="259" w:lineRule="auto"/>
              <w:jc w:val="center"/>
              <w:rPr>
                <w:sz w:val="22"/>
                <w:szCs w:val="22"/>
              </w:rPr>
            </w:pPr>
            <w:r w:rsidRPr="00115F14">
              <w:rPr>
                <w:rFonts w:ascii="Calibri" w:eastAsia="Calibri" w:hAnsi="Calibri" w:cs="Calibri"/>
                <w:szCs w:val="22"/>
              </w:rPr>
              <w:t>-</w:t>
            </w:r>
          </w:p>
        </w:tc>
        <w:tc>
          <w:tcPr>
            <w:tcW w:w="2039" w:type="dxa"/>
            <w:tcBorders>
              <w:top w:val="single" w:sz="8" w:space="0" w:color="FFFFFF"/>
              <w:left w:val="single" w:sz="24" w:space="0" w:color="FFFFFF"/>
              <w:bottom w:val="single" w:sz="8" w:space="0" w:color="FFFFFF"/>
              <w:right w:val="nil"/>
            </w:tcBorders>
            <w:shd w:val="clear" w:color="auto" w:fill="D6D5D2"/>
          </w:tcPr>
          <w:p w:rsidR="00C17600" w:rsidRPr="00115F14" w:rsidRDefault="00C17600" w:rsidP="005A2A80">
            <w:pPr>
              <w:spacing w:line="259" w:lineRule="auto"/>
              <w:jc w:val="center"/>
              <w:rPr>
                <w:sz w:val="22"/>
                <w:szCs w:val="22"/>
              </w:rPr>
            </w:pPr>
            <w:r w:rsidRPr="00115F14">
              <w:rPr>
                <w:rFonts w:ascii="Calibri" w:eastAsia="Calibri" w:hAnsi="Calibri" w:cs="Calibri"/>
                <w:szCs w:val="22"/>
              </w:rPr>
              <w:t>-</w:t>
            </w:r>
          </w:p>
        </w:tc>
      </w:tr>
      <w:tr w:rsidR="00C17600" w:rsidRPr="00115F14" w:rsidTr="005A2A80">
        <w:trPr>
          <w:trHeight w:val="249"/>
        </w:trPr>
        <w:tc>
          <w:tcPr>
            <w:tcW w:w="2987" w:type="dxa"/>
            <w:gridSpan w:val="2"/>
            <w:tcBorders>
              <w:top w:val="nil"/>
              <w:left w:val="nil"/>
              <w:bottom w:val="nil"/>
              <w:right w:val="single" w:sz="24" w:space="0" w:color="FFFFFF"/>
            </w:tcBorders>
            <w:shd w:val="clear" w:color="auto" w:fill="D6D5D2"/>
          </w:tcPr>
          <w:p w:rsidR="00C17600" w:rsidRPr="00115F14" w:rsidRDefault="00C17600" w:rsidP="005A2A80">
            <w:pPr>
              <w:spacing w:line="259" w:lineRule="auto"/>
              <w:ind w:right="47"/>
              <w:jc w:val="right"/>
              <w:rPr>
                <w:sz w:val="22"/>
                <w:szCs w:val="22"/>
              </w:rPr>
            </w:pPr>
            <w:r w:rsidRPr="00115F14">
              <w:rPr>
                <w:rFonts w:ascii="Calibri" w:eastAsia="Calibri" w:hAnsi="Calibri" w:cs="Calibri"/>
                <w:i/>
                <w:sz w:val="17"/>
                <w:szCs w:val="22"/>
              </w:rPr>
              <w:t>2015</w:t>
            </w:r>
          </w:p>
        </w:tc>
        <w:tc>
          <w:tcPr>
            <w:tcW w:w="1804" w:type="dxa"/>
            <w:tcBorders>
              <w:top w:val="single" w:sz="8" w:space="0" w:color="FFFFFF"/>
              <w:left w:val="single" w:sz="24" w:space="0" w:color="FFFFFF"/>
              <w:bottom w:val="nil"/>
              <w:right w:val="single" w:sz="24" w:space="0" w:color="FFFFFF"/>
            </w:tcBorders>
            <w:shd w:val="clear" w:color="auto" w:fill="D6D5D2"/>
          </w:tcPr>
          <w:p w:rsidR="00C17600" w:rsidRPr="00115F14" w:rsidRDefault="00C17600" w:rsidP="005A2A80">
            <w:pPr>
              <w:spacing w:line="259" w:lineRule="auto"/>
              <w:jc w:val="center"/>
              <w:rPr>
                <w:sz w:val="22"/>
                <w:szCs w:val="22"/>
              </w:rPr>
            </w:pPr>
            <w:r w:rsidRPr="00115F14">
              <w:rPr>
                <w:rFonts w:ascii="Calibri" w:eastAsia="Calibri" w:hAnsi="Calibri" w:cs="Calibri"/>
                <w:szCs w:val="22"/>
              </w:rPr>
              <w:t>1</w:t>
            </w:r>
          </w:p>
        </w:tc>
        <w:tc>
          <w:tcPr>
            <w:tcW w:w="1804" w:type="dxa"/>
            <w:tcBorders>
              <w:top w:val="single" w:sz="8" w:space="0" w:color="FFFFFF"/>
              <w:left w:val="single" w:sz="24" w:space="0" w:color="FFFFFF"/>
              <w:bottom w:val="nil"/>
              <w:right w:val="single" w:sz="24" w:space="0" w:color="FFFFFF"/>
            </w:tcBorders>
            <w:shd w:val="clear" w:color="auto" w:fill="D6D5D2"/>
          </w:tcPr>
          <w:p w:rsidR="00C17600" w:rsidRPr="00115F14" w:rsidRDefault="00C17600" w:rsidP="005A2A80">
            <w:pPr>
              <w:spacing w:line="259" w:lineRule="auto"/>
              <w:jc w:val="center"/>
              <w:rPr>
                <w:sz w:val="22"/>
                <w:szCs w:val="22"/>
              </w:rPr>
            </w:pPr>
            <w:r w:rsidRPr="00115F14">
              <w:rPr>
                <w:rFonts w:ascii="Calibri" w:eastAsia="Calibri" w:hAnsi="Calibri" w:cs="Calibri"/>
                <w:szCs w:val="22"/>
              </w:rPr>
              <w:t>1</w:t>
            </w:r>
          </w:p>
        </w:tc>
        <w:tc>
          <w:tcPr>
            <w:tcW w:w="2039" w:type="dxa"/>
            <w:tcBorders>
              <w:top w:val="single" w:sz="8" w:space="0" w:color="FFFFFF"/>
              <w:left w:val="single" w:sz="24" w:space="0" w:color="FFFFFF"/>
              <w:bottom w:val="nil"/>
              <w:right w:val="nil"/>
            </w:tcBorders>
            <w:shd w:val="clear" w:color="auto" w:fill="D6D5D2"/>
          </w:tcPr>
          <w:p w:rsidR="00C17600" w:rsidRPr="00115F14" w:rsidRDefault="00C17600" w:rsidP="005A2A80">
            <w:pPr>
              <w:spacing w:line="259" w:lineRule="auto"/>
              <w:jc w:val="center"/>
              <w:rPr>
                <w:sz w:val="22"/>
                <w:szCs w:val="22"/>
              </w:rPr>
            </w:pPr>
            <w:r w:rsidRPr="00115F14">
              <w:rPr>
                <w:rFonts w:ascii="Calibri" w:eastAsia="Calibri" w:hAnsi="Calibri" w:cs="Calibri"/>
                <w:szCs w:val="22"/>
              </w:rPr>
              <w:t>1</w:t>
            </w:r>
          </w:p>
        </w:tc>
      </w:tr>
    </w:tbl>
    <w:p w:rsidR="005771B0" w:rsidRDefault="005771B0" w:rsidP="005771B0">
      <w:pPr>
        <w:spacing w:line="288" w:lineRule="auto"/>
        <w:jc w:val="both"/>
        <w:rPr>
          <w:rFonts w:cs="Arial"/>
        </w:rPr>
      </w:pPr>
    </w:p>
    <w:p w:rsidR="00AE2155" w:rsidRPr="00115F14" w:rsidRDefault="00AE2155" w:rsidP="00B644CC">
      <w:pPr>
        <w:spacing w:line="288" w:lineRule="auto"/>
        <w:jc w:val="both"/>
        <w:rPr>
          <w:rFonts w:cs="Arial"/>
        </w:rPr>
      </w:pPr>
    </w:p>
    <w:p w:rsidR="00AE2155" w:rsidRPr="00B644CC" w:rsidRDefault="004F1D99" w:rsidP="00B644CC">
      <w:pPr>
        <w:spacing w:line="288" w:lineRule="auto"/>
        <w:jc w:val="both"/>
        <w:rPr>
          <w:rFonts w:cs="Arial"/>
        </w:rPr>
      </w:pPr>
      <w:r w:rsidRPr="00115F14">
        <w:rPr>
          <w:rFonts w:cs="Arial"/>
        </w:rPr>
        <w:t>Iz leta v leto aktivnosti Eurojusta kažejo na porast pravosodnega sodelovanja med državami članicami pri preprečevanju in odkrivanju kaznivih dejanj terorizma, kibernetske kriminalitete in tihotapljenja migrantov.</w:t>
      </w:r>
      <w:r w:rsidR="00B644CC">
        <w:rPr>
          <w:rFonts w:cs="Arial"/>
        </w:rPr>
        <w:t xml:space="preserve"> Zato i</w:t>
      </w:r>
      <w:r w:rsidR="00AE2155" w:rsidRPr="00115F14">
        <w:rPr>
          <w:rFonts w:cs="Arial"/>
        </w:rPr>
        <w:t xml:space="preserve">z navedenih razlogov nova </w:t>
      </w:r>
      <w:r w:rsidR="00AE2155" w:rsidRPr="00115F14">
        <w:rPr>
          <w:rFonts w:eastAsia="Calibri" w:cs="Arial"/>
          <w:szCs w:val="20"/>
        </w:rPr>
        <w:t>Uredba (EU) 2018/1727 Evropskega parlamenta in Sveta z dne 14. novembra 2018 o Agenciji Evropske unije za pravosodno sodelovanje v kazenskih zadevah (Eurojust) ter nadomestitvi in razveljavitvi Sklepa Sveta 2002/187/PNZ (UL L št. 295 z dne 21. 11. 2018, str. 138; v nadaljnjem besedilu: Uredba 2018/1727/EU)</w:t>
      </w:r>
      <w:r w:rsidR="00AE2155">
        <w:rPr>
          <w:rFonts w:eastAsia="Calibri" w:cs="Arial"/>
          <w:szCs w:val="20"/>
        </w:rPr>
        <w:t xml:space="preserve"> </w:t>
      </w:r>
      <w:r w:rsidR="00AE2155" w:rsidRPr="00115F14">
        <w:rPr>
          <w:rFonts w:cs="Arial"/>
        </w:rPr>
        <w:t>zagotavlja enoten in prenovljen pravni okvir nove</w:t>
      </w:r>
      <w:r w:rsidR="00AE2155">
        <w:rPr>
          <w:rFonts w:cs="Arial"/>
        </w:rPr>
        <w:t xml:space="preserve"> </w:t>
      </w:r>
      <w:r w:rsidR="00AE2155" w:rsidRPr="00115F14">
        <w:rPr>
          <w:rFonts w:cs="Arial"/>
        </w:rPr>
        <w:t xml:space="preserve">Agencije za pravosodno sodelovanje v kazenskih zadevah (Eurojust), ki je pravni naslednik Eurojusta, kakor je bil </w:t>
      </w:r>
      <w:r w:rsidR="00AE2155" w:rsidRPr="00115F14">
        <w:rPr>
          <w:rFonts w:cs="Arial"/>
        </w:rPr>
        <w:lastRenderedPageBreak/>
        <w:t>ustanovljen s Sklepom 2002/187/PNZ.</w:t>
      </w:r>
      <w:r w:rsidR="00AE2155" w:rsidRPr="00115F14">
        <w:rPr>
          <w:rFonts w:cs="Arial"/>
          <w:szCs w:val="20"/>
        </w:rPr>
        <w:t xml:space="preserve"> Pravno podlago za njeno delovanje določa 85. člen Pogodbe o delovanju Evropske unije (PDEU), ki se glasi:</w:t>
      </w:r>
    </w:p>
    <w:p w:rsidR="00AE2155" w:rsidRPr="00115F14" w:rsidRDefault="00AE2155" w:rsidP="00B644CC">
      <w:pPr>
        <w:spacing w:line="288" w:lineRule="auto"/>
        <w:jc w:val="both"/>
      </w:pPr>
    </w:p>
    <w:p w:rsidR="00AE2155" w:rsidRPr="00115F14" w:rsidRDefault="00AE2155" w:rsidP="00B644CC">
      <w:pPr>
        <w:spacing w:line="288" w:lineRule="auto"/>
        <w:jc w:val="both"/>
        <w:rPr>
          <w:rFonts w:cs="Arial"/>
          <w:szCs w:val="20"/>
        </w:rPr>
      </w:pPr>
      <w:r w:rsidRPr="00115F14">
        <w:rPr>
          <w:rFonts w:cs="Arial"/>
          <w:szCs w:val="20"/>
        </w:rPr>
        <w:t xml:space="preserve">»Naloga Eurojusta je podpirati in krepiti koordinacijo in sodelovanje nacionalnih organov, pristojnih za preiskave in pregon hudih oblik kriminala, ki se nanašajo na dve ali več držav članic ali zahtevajo skupni pregon, na podlagi postopkov, ki jih izvajajo in informacij, ki jih pošljejo organi držav članic </w:t>
      </w:r>
      <w:r>
        <w:rPr>
          <w:rFonts w:cs="Arial"/>
          <w:szCs w:val="20"/>
        </w:rPr>
        <w:t>ter</w:t>
      </w:r>
      <w:r w:rsidRPr="00115F14">
        <w:rPr>
          <w:rFonts w:cs="Arial"/>
          <w:szCs w:val="20"/>
        </w:rPr>
        <w:t xml:space="preserve"> Europol.«</w:t>
      </w:r>
    </w:p>
    <w:p w:rsidR="00AE2155" w:rsidRPr="00115F14" w:rsidRDefault="00AE2155" w:rsidP="00B644CC">
      <w:pPr>
        <w:spacing w:line="288" w:lineRule="auto"/>
        <w:jc w:val="both"/>
        <w:rPr>
          <w:rFonts w:cs="Arial"/>
          <w:szCs w:val="20"/>
        </w:rPr>
      </w:pPr>
    </w:p>
    <w:p w:rsidR="00AE2155" w:rsidRPr="00115F14" w:rsidRDefault="00AE2155" w:rsidP="00B644CC">
      <w:pPr>
        <w:spacing w:line="288" w:lineRule="auto"/>
        <w:jc w:val="both"/>
        <w:rPr>
          <w:rFonts w:cs="Arial"/>
          <w:szCs w:val="20"/>
        </w:rPr>
      </w:pPr>
      <w:r w:rsidRPr="00115F14">
        <w:rPr>
          <w:rFonts w:cs="Arial"/>
          <w:szCs w:val="20"/>
        </w:rPr>
        <w:t>V tej zvezi Evropski parlament in Svet z uredbami, sprejetimi po rednem zakonodajnem postopku, določita strukturo, delovanje, področje ukrepanja in naloge Eurojusta. Te naloge lahko zajemajo</w:t>
      </w:r>
      <w:r>
        <w:rPr>
          <w:rFonts w:cs="Arial"/>
          <w:szCs w:val="20"/>
        </w:rPr>
        <w:t xml:space="preserve"> </w:t>
      </w:r>
      <w:r w:rsidRPr="00115F14">
        <w:rPr>
          <w:rFonts w:cs="Arial"/>
          <w:szCs w:val="20"/>
        </w:rPr>
        <w:t>uvedbo kazenskih preiskav, kakor tudi uvedbe pregona, ki ga izvajajo pristojni nacionalni organi, zlasti v primeru kršitev finančnih interesov Unije, koordinacijo preiskav in pregona, krepitev pravosodnega sodelovanja, skupaj z reševanjem sporov o pristojnosti in s tesnim sodelovanjem z Evropsko pravosodno mrežo.</w:t>
      </w:r>
      <w:r>
        <w:rPr>
          <w:rFonts w:cs="Arial"/>
          <w:szCs w:val="20"/>
        </w:rPr>
        <w:t xml:space="preserve"> </w:t>
      </w:r>
      <w:r w:rsidRPr="00115F14">
        <w:rPr>
          <w:rFonts w:cs="Arial"/>
          <w:szCs w:val="20"/>
        </w:rPr>
        <w:t>S temi uredbami se določijo tudi podrobnosti glede sodelovanja Evropskega parlamenta in nacionalnih parlamentov držav članic pri ocenjevanju dejavnosti Eurojusta.</w:t>
      </w:r>
    </w:p>
    <w:p w:rsidR="00AE2155" w:rsidRPr="00115F14" w:rsidRDefault="00AE2155" w:rsidP="00B644CC">
      <w:pPr>
        <w:spacing w:line="288" w:lineRule="auto"/>
        <w:jc w:val="both"/>
        <w:rPr>
          <w:rFonts w:cs="Arial"/>
          <w:szCs w:val="20"/>
        </w:rPr>
      </w:pPr>
    </w:p>
    <w:p w:rsidR="00AE2155" w:rsidRPr="00115F14" w:rsidRDefault="00AE2155" w:rsidP="00B644CC">
      <w:pPr>
        <w:spacing w:line="288" w:lineRule="auto"/>
        <w:jc w:val="both"/>
        <w:rPr>
          <w:rFonts w:cs="Arial"/>
        </w:rPr>
      </w:pPr>
      <w:r w:rsidRPr="00115F14">
        <w:rPr>
          <w:rFonts w:eastAsia="Calibri" w:cs="Arial"/>
          <w:szCs w:val="20"/>
        </w:rPr>
        <w:t>Uredba 2018/1727/EU</w:t>
      </w:r>
      <w:r w:rsidRPr="00115F14">
        <w:rPr>
          <w:rFonts w:cs="Arial"/>
        </w:rPr>
        <w:t xml:space="preserve"> po eni strani ohranja tiste elemente, ki so se izkazali za učinkovite pri upravljanju in delovanju Eurojusta v preteklosti, po drugi strani pa posodablja njegov pravni okvir ter racionalizira njegovo delovanje in organizacijsko strukturo v skladu z Lizbonsko pogodbo. </w:t>
      </w:r>
    </w:p>
    <w:p w:rsidR="00AE2155" w:rsidRPr="00115F14" w:rsidRDefault="00AE2155" w:rsidP="00B644CC">
      <w:pPr>
        <w:spacing w:line="288" w:lineRule="auto"/>
        <w:jc w:val="both"/>
        <w:rPr>
          <w:rFonts w:cs="Arial"/>
        </w:rPr>
      </w:pPr>
    </w:p>
    <w:p w:rsidR="00AE2155" w:rsidRPr="00115F14" w:rsidRDefault="00AE2155" w:rsidP="00B644CC">
      <w:pPr>
        <w:spacing w:line="288" w:lineRule="auto"/>
        <w:jc w:val="both"/>
        <w:rPr>
          <w:rFonts w:cs="Arial"/>
        </w:rPr>
      </w:pPr>
      <w:r w:rsidRPr="00115F14">
        <w:rPr>
          <w:rFonts w:cs="Arial"/>
        </w:rPr>
        <w:t xml:space="preserve">Glavni cilji, ki jih </w:t>
      </w:r>
      <w:r w:rsidRPr="00115F14">
        <w:rPr>
          <w:rFonts w:eastAsia="Calibri" w:cs="Arial"/>
          <w:szCs w:val="20"/>
        </w:rPr>
        <w:t xml:space="preserve">Uredba 2018/1727/EU zasleduje, so usmerjeni k </w:t>
      </w:r>
      <w:r w:rsidRPr="00115F14">
        <w:rPr>
          <w:rFonts w:cs="Arial"/>
        </w:rPr>
        <w:t>povečanju učinkovitosti</w:t>
      </w:r>
      <w:r>
        <w:rPr>
          <w:rFonts w:cs="Arial"/>
        </w:rPr>
        <w:t xml:space="preserve"> </w:t>
      </w:r>
      <w:r w:rsidRPr="00115F14">
        <w:rPr>
          <w:rFonts w:cs="Arial"/>
        </w:rPr>
        <w:t>Eurojusta, tako da se zagotovi nova struktura upravljanja,</w:t>
      </w:r>
      <w:r>
        <w:rPr>
          <w:rFonts w:cs="Arial"/>
        </w:rPr>
        <w:t xml:space="preserve"> </w:t>
      </w:r>
      <w:r w:rsidRPr="00115F14">
        <w:rPr>
          <w:rFonts w:cs="Arial"/>
        </w:rPr>
        <w:t>izboljša njegova operativna učinkovitost</w:t>
      </w:r>
      <w:r>
        <w:rPr>
          <w:rFonts w:cs="Arial"/>
        </w:rPr>
        <w:t xml:space="preserve"> </w:t>
      </w:r>
      <w:r w:rsidRPr="00115F14">
        <w:rPr>
          <w:rFonts w:cs="Arial"/>
        </w:rPr>
        <w:t xml:space="preserve">z enotno opredelitvijo položaja in pooblastil nacionalnih članov. Uredba </w:t>
      </w:r>
      <w:r w:rsidRPr="00115F14">
        <w:rPr>
          <w:rFonts w:eastAsia="Calibri" w:cs="Arial"/>
          <w:szCs w:val="20"/>
        </w:rPr>
        <w:t>2018/1727/EU</w:t>
      </w:r>
      <w:r>
        <w:rPr>
          <w:rFonts w:eastAsia="Calibri" w:cs="Arial"/>
          <w:szCs w:val="20"/>
        </w:rPr>
        <w:t xml:space="preserve"> </w:t>
      </w:r>
      <w:r w:rsidRPr="00115F14">
        <w:rPr>
          <w:rFonts w:cs="Arial"/>
        </w:rPr>
        <w:t>na podlagi</w:t>
      </w:r>
      <w:r>
        <w:rPr>
          <w:rFonts w:cs="Arial"/>
        </w:rPr>
        <w:t xml:space="preserve"> </w:t>
      </w:r>
      <w:r w:rsidRPr="00115F14">
        <w:rPr>
          <w:rFonts w:cs="Arial"/>
        </w:rPr>
        <w:t>nedavnih reform Europola in Frontexa ter ustanovitve</w:t>
      </w:r>
      <w:r>
        <w:rPr>
          <w:rFonts w:cs="Arial"/>
        </w:rPr>
        <w:t xml:space="preserve"> </w:t>
      </w:r>
      <w:r w:rsidRPr="00115F14">
        <w:rPr>
          <w:rFonts w:cs="Arial"/>
        </w:rPr>
        <w:t>Evropskega javnega tožilstva dopolnjuje</w:t>
      </w:r>
      <w:r>
        <w:rPr>
          <w:rFonts w:cs="Arial"/>
        </w:rPr>
        <w:t xml:space="preserve"> </w:t>
      </w:r>
      <w:r w:rsidRPr="00115F14">
        <w:rPr>
          <w:rFonts w:cs="Arial"/>
        </w:rPr>
        <w:t>nov okvir EU za kazensko pravosodje in po</w:t>
      </w:r>
      <w:r>
        <w:rPr>
          <w:rFonts w:cs="Arial"/>
        </w:rPr>
        <w:t xml:space="preserve"> </w:t>
      </w:r>
      <w:r w:rsidRPr="00115F14">
        <w:rPr>
          <w:rFonts w:cs="Arial"/>
        </w:rPr>
        <w:t>celotni EU vzpostavlja novo varnostno strukturo</w:t>
      </w:r>
      <w:r>
        <w:rPr>
          <w:rFonts w:cs="Arial"/>
        </w:rPr>
        <w:t xml:space="preserve"> </w:t>
      </w:r>
      <w:r w:rsidRPr="00115F14">
        <w:rPr>
          <w:rFonts w:cs="Arial"/>
        </w:rPr>
        <w:t>v podporo boju proti čezmejnemu kriminalu.</w:t>
      </w:r>
    </w:p>
    <w:p w:rsidR="00AE2155" w:rsidRPr="00115F14" w:rsidRDefault="00AE2155" w:rsidP="00B644CC">
      <w:pPr>
        <w:spacing w:line="288" w:lineRule="auto"/>
        <w:jc w:val="both"/>
        <w:rPr>
          <w:rFonts w:cs="Arial"/>
        </w:rPr>
      </w:pPr>
    </w:p>
    <w:p w:rsidR="00AE2155" w:rsidRPr="00115F14" w:rsidRDefault="00AE2155" w:rsidP="00B644CC">
      <w:pPr>
        <w:spacing w:line="288" w:lineRule="auto"/>
        <w:jc w:val="both"/>
        <w:rPr>
          <w:rFonts w:cs="Arial"/>
        </w:rPr>
      </w:pPr>
      <w:r w:rsidRPr="00115F14">
        <w:rPr>
          <w:rFonts w:cs="Arial"/>
        </w:rPr>
        <w:t>Eurojust sestavljajo nacionalni člani, kolegij, izvršni odbor</w:t>
      </w:r>
      <w:r>
        <w:rPr>
          <w:rFonts w:cs="Arial"/>
        </w:rPr>
        <w:t xml:space="preserve"> </w:t>
      </w:r>
      <w:r w:rsidRPr="00115F14">
        <w:rPr>
          <w:rFonts w:cs="Arial"/>
        </w:rPr>
        <w:t>in</w:t>
      </w:r>
      <w:r>
        <w:rPr>
          <w:rFonts w:cs="Arial"/>
        </w:rPr>
        <w:t xml:space="preserve"> </w:t>
      </w:r>
      <w:r w:rsidRPr="00115F14">
        <w:rPr>
          <w:rFonts w:cs="Arial"/>
        </w:rPr>
        <w:t>upravni direktor.</w:t>
      </w:r>
    </w:p>
    <w:p w:rsidR="00AE2155" w:rsidRPr="00115F14" w:rsidRDefault="00AE2155" w:rsidP="00B644CC">
      <w:pPr>
        <w:spacing w:line="288" w:lineRule="auto"/>
        <w:jc w:val="both"/>
        <w:rPr>
          <w:rFonts w:cs="Arial"/>
        </w:rPr>
      </w:pPr>
    </w:p>
    <w:p w:rsidR="004F1D99" w:rsidRPr="004F1D99" w:rsidRDefault="00AE2155" w:rsidP="00B644CC">
      <w:pPr>
        <w:spacing w:line="288" w:lineRule="auto"/>
        <w:jc w:val="both"/>
        <w:rPr>
          <w:rFonts w:cs="Arial"/>
        </w:rPr>
      </w:pPr>
      <w:r w:rsidRPr="00115F14">
        <w:rPr>
          <w:rFonts w:cs="Arial"/>
        </w:rPr>
        <w:t xml:space="preserve">V Eurojust vsaka država članica v skladu s svojim pravnim sistemom začasno imenuje po enega </w:t>
      </w:r>
      <w:r w:rsidRPr="00115F14">
        <w:rPr>
          <w:rFonts w:cs="Arial"/>
          <w:b/>
        </w:rPr>
        <w:t xml:space="preserve">nacionalnega </w:t>
      </w:r>
      <w:r>
        <w:rPr>
          <w:rFonts w:cs="Arial"/>
          <w:b/>
        </w:rPr>
        <w:t>predstavnika</w:t>
      </w:r>
      <w:r w:rsidRPr="00115F14">
        <w:rPr>
          <w:rFonts w:cs="Arial"/>
        </w:rPr>
        <w:t>, katerega stalno delovno mesto je na sedežu Eurojusta.</w:t>
      </w:r>
      <w:r>
        <w:rPr>
          <w:rFonts w:cs="Arial"/>
        </w:rPr>
        <w:t xml:space="preserve"> </w:t>
      </w:r>
      <w:r w:rsidRPr="00115F14">
        <w:rPr>
          <w:rFonts w:cs="Arial"/>
        </w:rPr>
        <w:t xml:space="preserve">Vsakemu nacionalnemu </w:t>
      </w:r>
      <w:r>
        <w:rPr>
          <w:rFonts w:cs="Arial"/>
        </w:rPr>
        <w:t>predstavniku</w:t>
      </w:r>
      <w:r w:rsidRPr="00115F14">
        <w:rPr>
          <w:rFonts w:cs="Arial"/>
        </w:rPr>
        <w:t xml:space="preserve"> pomagata </w:t>
      </w:r>
      <w:r w:rsidRPr="00115F14">
        <w:rPr>
          <w:rFonts w:cs="Arial"/>
          <w:b/>
        </w:rPr>
        <w:t>namestnik</w:t>
      </w:r>
      <w:r w:rsidRPr="00115F14">
        <w:rPr>
          <w:rFonts w:cs="Arial"/>
        </w:rPr>
        <w:t xml:space="preserve"> in </w:t>
      </w:r>
      <w:r w:rsidRPr="00115F14">
        <w:rPr>
          <w:rFonts w:cs="Arial"/>
          <w:b/>
        </w:rPr>
        <w:t>pomočnik</w:t>
      </w:r>
      <w:r w:rsidRPr="00115F14">
        <w:rPr>
          <w:rFonts w:cs="Arial"/>
        </w:rPr>
        <w:t>. Namestnik in pomočnik imata lahko stalno delovno mesto v</w:t>
      </w:r>
      <w:r>
        <w:rPr>
          <w:rFonts w:cs="Arial"/>
        </w:rPr>
        <w:t xml:space="preserve"> </w:t>
      </w:r>
      <w:r w:rsidRPr="00115F14">
        <w:rPr>
          <w:rFonts w:cs="Arial"/>
        </w:rPr>
        <w:t xml:space="preserve">Eurojustu ali v svoji državi članici. Odločitev o kraju delovnega mesta namestnika in pomočnika je v diskreciji države članice. </w:t>
      </w:r>
      <w:r w:rsidR="004F1D99" w:rsidRPr="004F1D99">
        <w:rPr>
          <w:rFonts w:cs="Arial"/>
        </w:rPr>
        <w:t xml:space="preserve">Če država članica sprejme odločitev o tem, da bosta namestnik in pomočnik svoje stalno delovno mesto imela v državi članici, o tem uradno obvesti kolegij. V vsakem primeru pa lahko, če to zahtevajo operativne potrebe Eurojusta, kolegij od države članice zahteva, da namestnika ali pomočnika ali oba za določen čas namesti na sedežu Eurojusta. </w:t>
      </w:r>
    </w:p>
    <w:p w:rsidR="004F1D99" w:rsidRDefault="004F1D99" w:rsidP="00B644CC">
      <w:pPr>
        <w:spacing w:line="288" w:lineRule="auto"/>
        <w:jc w:val="both"/>
        <w:rPr>
          <w:rFonts w:cs="Arial"/>
        </w:rPr>
      </w:pPr>
    </w:p>
    <w:p w:rsidR="00AE2155" w:rsidRPr="00115F14" w:rsidRDefault="00AE2155" w:rsidP="00B644CC">
      <w:pPr>
        <w:spacing w:line="288" w:lineRule="auto"/>
        <w:jc w:val="both"/>
        <w:rPr>
          <w:rFonts w:cs="Arial"/>
        </w:rPr>
      </w:pPr>
      <w:r w:rsidRPr="00115F14">
        <w:rPr>
          <w:rFonts w:cs="Arial"/>
        </w:rPr>
        <w:t xml:space="preserve">Nacionalni </w:t>
      </w:r>
      <w:r>
        <w:rPr>
          <w:rFonts w:cs="Arial"/>
        </w:rPr>
        <w:t>predstavniki</w:t>
      </w:r>
      <w:r w:rsidRPr="00115F14">
        <w:rPr>
          <w:rFonts w:cs="Arial"/>
        </w:rPr>
        <w:t xml:space="preserve"> in namestniki imajo položaj tožilca, sodnika ali predstavnika sodnega organa z enakovrednimi pristojnostmi, kot jih ima tožilec ali sodnik v skladu z nacionalnim pravom. Pristojni nacionalni organi jim podelijo pooblastila iz te uredbe, da lahko izpolnjujejo svoje naloge.</w:t>
      </w:r>
      <w:r>
        <w:rPr>
          <w:rFonts w:cs="Arial"/>
        </w:rPr>
        <w:t xml:space="preserve"> </w:t>
      </w:r>
      <w:r w:rsidRPr="00115F14">
        <w:rPr>
          <w:rFonts w:cs="Arial"/>
        </w:rPr>
        <w:t xml:space="preserve">Namestnik in pomočnik lahko delujeta v imenu nacionalnega </w:t>
      </w:r>
      <w:r>
        <w:rPr>
          <w:rFonts w:cs="Arial"/>
        </w:rPr>
        <w:t>predstavnika</w:t>
      </w:r>
      <w:r w:rsidRPr="00115F14">
        <w:rPr>
          <w:rFonts w:cs="Arial"/>
        </w:rPr>
        <w:t xml:space="preserve"> ali ga nadomeščata. Plače in drugi prejemki nacionalnih </w:t>
      </w:r>
      <w:r>
        <w:rPr>
          <w:rFonts w:cs="Arial"/>
        </w:rPr>
        <w:t>predstavnikov</w:t>
      </w:r>
      <w:r w:rsidRPr="00115F14">
        <w:rPr>
          <w:rFonts w:cs="Arial"/>
        </w:rPr>
        <w:t>, namestnikov in pomočnikov se zagotovijo v proračunu države članice iz katere prihajajo.</w:t>
      </w:r>
    </w:p>
    <w:p w:rsidR="00AE2155" w:rsidRPr="00115F14" w:rsidRDefault="00AE2155" w:rsidP="00B644CC">
      <w:pPr>
        <w:spacing w:line="288" w:lineRule="auto"/>
        <w:jc w:val="both"/>
        <w:rPr>
          <w:rFonts w:cs="Arial"/>
        </w:rPr>
      </w:pPr>
    </w:p>
    <w:p w:rsidR="00AE2155" w:rsidRPr="00115F14" w:rsidRDefault="00AE2155" w:rsidP="00B644CC">
      <w:pPr>
        <w:spacing w:line="288" w:lineRule="auto"/>
        <w:jc w:val="both"/>
        <w:rPr>
          <w:rFonts w:cs="Arial"/>
        </w:rPr>
      </w:pPr>
      <w:r w:rsidRPr="00115F14">
        <w:rPr>
          <w:rFonts w:cs="Arial"/>
        </w:rPr>
        <w:t xml:space="preserve">Mandat nacionalnih </w:t>
      </w:r>
      <w:r>
        <w:rPr>
          <w:rFonts w:cs="Arial"/>
        </w:rPr>
        <w:t>predstavnikov</w:t>
      </w:r>
      <w:r w:rsidRPr="00115F14">
        <w:rPr>
          <w:rFonts w:cs="Arial"/>
        </w:rPr>
        <w:t xml:space="preserve"> in njihovih namestnikov je pet let in se lahko enkrat podaljša.</w:t>
      </w:r>
      <w:r w:rsidR="00F93359">
        <w:rPr>
          <w:rFonts w:cs="Arial"/>
        </w:rPr>
        <w:t xml:space="preserve"> Upoštevaje jezikovno terminologijo </w:t>
      </w:r>
      <w:r w:rsidR="00F93359" w:rsidRPr="00115F14">
        <w:rPr>
          <w:rFonts w:cs="Arial"/>
        </w:rPr>
        <w:t xml:space="preserve">Uredba </w:t>
      </w:r>
      <w:r w:rsidR="00F93359" w:rsidRPr="00115F14">
        <w:rPr>
          <w:rFonts w:eastAsia="Calibri" w:cs="Arial"/>
          <w:szCs w:val="20"/>
        </w:rPr>
        <w:t>2018/1727/EU</w:t>
      </w:r>
      <w:r w:rsidR="00F93359">
        <w:rPr>
          <w:rFonts w:eastAsia="Calibri" w:cs="Arial"/>
          <w:szCs w:val="20"/>
        </w:rPr>
        <w:t xml:space="preserve"> v angleškem, nemškem, hrvaškem, francoskem besedilu se navedeno nanaša na možnost </w:t>
      </w:r>
      <w:r w:rsidR="00D55A71">
        <w:rPr>
          <w:rFonts w:eastAsia="Calibri" w:cs="Arial"/>
          <w:szCs w:val="20"/>
        </w:rPr>
        <w:t>enkratne obnov</w:t>
      </w:r>
      <w:r w:rsidR="009208A1">
        <w:rPr>
          <w:rFonts w:eastAsia="Calibri" w:cs="Arial"/>
          <w:szCs w:val="20"/>
        </w:rPr>
        <w:t>itve</w:t>
      </w:r>
      <w:r w:rsidR="00D55A71">
        <w:rPr>
          <w:rFonts w:eastAsia="Calibri" w:cs="Arial"/>
          <w:szCs w:val="20"/>
        </w:rPr>
        <w:t xml:space="preserve"> mandata. V izjemnih </w:t>
      </w:r>
      <w:r w:rsidR="00D55A71">
        <w:rPr>
          <w:rFonts w:eastAsia="Calibri" w:cs="Arial"/>
          <w:szCs w:val="20"/>
        </w:rPr>
        <w:lastRenderedPageBreak/>
        <w:t>primerih pa lahko po izteku mandata nacionalni predstavnik nadaljuje z delom nacionalnega predstavnika v Eurojust do obnov</w:t>
      </w:r>
      <w:r w:rsidR="009208A1">
        <w:rPr>
          <w:rFonts w:eastAsia="Calibri" w:cs="Arial"/>
          <w:szCs w:val="20"/>
        </w:rPr>
        <w:t>itve</w:t>
      </w:r>
      <w:r w:rsidR="00D55A71">
        <w:rPr>
          <w:rFonts w:eastAsia="Calibri" w:cs="Arial"/>
          <w:szCs w:val="20"/>
        </w:rPr>
        <w:t xml:space="preserve"> mandata oziroma njegove zamenjave. </w:t>
      </w:r>
      <w:r w:rsidR="002545A3">
        <w:rPr>
          <w:rFonts w:eastAsia="Calibri" w:cs="Arial"/>
          <w:szCs w:val="20"/>
        </w:rPr>
        <w:t xml:space="preserve">Določitev postopka ponovnega </w:t>
      </w:r>
      <w:r w:rsidR="009208A1">
        <w:rPr>
          <w:rFonts w:eastAsia="Calibri" w:cs="Arial"/>
          <w:szCs w:val="20"/>
        </w:rPr>
        <w:t xml:space="preserve">imenovanja oziroma obnovitve mandata </w:t>
      </w:r>
      <w:r w:rsidR="002545A3">
        <w:rPr>
          <w:rFonts w:eastAsia="Calibri" w:cs="Arial"/>
          <w:szCs w:val="20"/>
        </w:rPr>
        <w:t xml:space="preserve">je v diskreciji držav članic. </w:t>
      </w:r>
      <w:r w:rsidR="00D55A71">
        <w:rPr>
          <w:rFonts w:eastAsia="Calibri" w:cs="Arial"/>
          <w:szCs w:val="20"/>
        </w:rPr>
        <w:t xml:space="preserve">Trajanje </w:t>
      </w:r>
      <w:r w:rsidR="00D55A71">
        <w:rPr>
          <w:rFonts w:cs="Arial"/>
        </w:rPr>
        <w:t>m</w:t>
      </w:r>
      <w:r w:rsidRPr="00115F14">
        <w:rPr>
          <w:rFonts w:cs="Arial"/>
        </w:rPr>
        <w:t xml:space="preserve">andata pomočnika nacionalnega predstavnika </w:t>
      </w:r>
      <w:r w:rsidRPr="00115F14">
        <w:rPr>
          <w:rFonts w:eastAsia="Calibri" w:cs="Arial"/>
          <w:szCs w:val="20"/>
        </w:rPr>
        <w:t>Uredba 2018/1727/EU ne določa, zato je njegova določitev v diskreciji držav članic.</w:t>
      </w:r>
      <w:r w:rsidR="002545A3">
        <w:rPr>
          <w:rFonts w:eastAsia="Calibri" w:cs="Arial"/>
          <w:szCs w:val="20"/>
        </w:rPr>
        <w:t xml:space="preserve"> </w:t>
      </w:r>
      <w:r w:rsidR="00D55A71">
        <w:rPr>
          <w:rFonts w:eastAsia="Calibri" w:cs="Arial"/>
          <w:szCs w:val="20"/>
        </w:rPr>
        <w:t xml:space="preserve"> </w:t>
      </w:r>
    </w:p>
    <w:p w:rsidR="00AE2155" w:rsidRDefault="00AE2155" w:rsidP="00B644CC">
      <w:pPr>
        <w:spacing w:line="288" w:lineRule="auto"/>
        <w:jc w:val="both"/>
        <w:rPr>
          <w:rFonts w:cs="Arial"/>
        </w:rPr>
      </w:pPr>
    </w:p>
    <w:p w:rsidR="009208A1" w:rsidRPr="009208A1" w:rsidRDefault="009208A1" w:rsidP="00B644CC">
      <w:pPr>
        <w:spacing w:line="288" w:lineRule="auto"/>
        <w:jc w:val="both"/>
        <w:rPr>
          <w:rFonts w:cs="Arial"/>
        </w:rPr>
      </w:pPr>
      <w:bookmarkStart w:id="6" w:name="_Hlk40860320"/>
      <w:r w:rsidRPr="009208A1">
        <w:rPr>
          <w:rFonts w:cs="Arial"/>
        </w:rPr>
        <w:t>V zvezi z vprašanjem postopka podaljšanja</w:t>
      </w:r>
      <w:r>
        <w:rPr>
          <w:rFonts w:cs="Arial"/>
        </w:rPr>
        <w:t xml:space="preserve"> oziroma </w:t>
      </w:r>
      <w:r w:rsidRPr="009208A1">
        <w:rPr>
          <w:rFonts w:cs="Arial"/>
        </w:rPr>
        <w:t xml:space="preserve">obnovitve mandata nacionalnega člana je pomembno, da gre za nacionalnega člana, ki je napoten </w:t>
      </w:r>
      <w:r w:rsidR="00863752">
        <w:rPr>
          <w:rFonts w:cs="Arial"/>
        </w:rPr>
        <w:t xml:space="preserve">v Eurojust </w:t>
      </w:r>
      <w:r w:rsidRPr="009208A1">
        <w:rPr>
          <w:rFonts w:cs="Arial"/>
        </w:rPr>
        <w:t>(</w:t>
      </w:r>
      <w:r>
        <w:rPr>
          <w:rFonts w:cs="Arial"/>
        </w:rPr>
        <w:t>prvi odstavek 7. člena</w:t>
      </w:r>
      <w:r w:rsidRPr="009208A1">
        <w:rPr>
          <w:rFonts w:cs="Arial"/>
        </w:rPr>
        <w:t>. Uredbe</w:t>
      </w:r>
      <w:r>
        <w:rPr>
          <w:rFonts w:cs="Arial"/>
        </w:rPr>
        <w:t xml:space="preserve"> </w:t>
      </w:r>
      <w:r w:rsidRPr="00115F14">
        <w:rPr>
          <w:rFonts w:eastAsia="Calibri" w:cs="Arial"/>
          <w:szCs w:val="20"/>
        </w:rPr>
        <w:t>2018/1727/EU</w:t>
      </w:r>
      <w:r w:rsidRPr="009208A1">
        <w:rPr>
          <w:rFonts w:cs="Arial"/>
        </w:rPr>
        <w:t xml:space="preserve">). Sam obseg veljavnosti Uredbe </w:t>
      </w:r>
      <w:r w:rsidRPr="00115F14">
        <w:rPr>
          <w:rFonts w:eastAsia="Calibri" w:cs="Arial"/>
          <w:szCs w:val="20"/>
        </w:rPr>
        <w:t xml:space="preserve">2018/1727/EU </w:t>
      </w:r>
      <w:r w:rsidRPr="009208A1">
        <w:rPr>
          <w:rFonts w:cs="Arial"/>
        </w:rPr>
        <w:t>se ne razteza na nacionalni postopek imenovanja oz</w:t>
      </w:r>
      <w:r>
        <w:rPr>
          <w:rFonts w:cs="Arial"/>
        </w:rPr>
        <w:t>iroma</w:t>
      </w:r>
      <w:r w:rsidRPr="009208A1">
        <w:rPr>
          <w:rFonts w:cs="Arial"/>
        </w:rPr>
        <w:t xml:space="preserve"> tega postopka Uredba</w:t>
      </w:r>
      <w:r>
        <w:rPr>
          <w:rFonts w:cs="Arial"/>
        </w:rPr>
        <w:t xml:space="preserve"> </w:t>
      </w:r>
      <w:r w:rsidRPr="00115F14">
        <w:rPr>
          <w:rFonts w:eastAsia="Calibri" w:cs="Arial"/>
          <w:szCs w:val="20"/>
        </w:rPr>
        <w:t>2018/1727/EU</w:t>
      </w:r>
      <w:r w:rsidRPr="009208A1">
        <w:rPr>
          <w:rFonts w:cs="Arial"/>
        </w:rPr>
        <w:t xml:space="preserve"> ne ureja. Države članice zgolj notificirajo Eurojust in Evropsko komisijo o imenovanju nacionalnega člana (</w:t>
      </w:r>
      <w:r>
        <w:rPr>
          <w:rFonts w:cs="Arial"/>
        </w:rPr>
        <w:t>tretji odstavek 7. člena</w:t>
      </w:r>
      <w:r w:rsidRPr="009208A1">
        <w:rPr>
          <w:rFonts w:cs="Arial"/>
        </w:rPr>
        <w:t xml:space="preserve"> Uredbe</w:t>
      </w:r>
      <w:r>
        <w:rPr>
          <w:rFonts w:cs="Arial"/>
        </w:rPr>
        <w:t xml:space="preserve"> </w:t>
      </w:r>
      <w:r w:rsidRPr="00115F14">
        <w:rPr>
          <w:rFonts w:eastAsia="Calibri" w:cs="Arial"/>
          <w:szCs w:val="20"/>
        </w:rPr>
        <w:t>2018/1727/EU</w:t>
      </w:r>
      <w:r w:rsidRPr="009208A1">
        <w:rPr>
          <w:rFonts w:cs="Arial"/>
        </w:rPr>
        <w:t xml:space="preserve">). </w:t>
      </w:r>
    </w:p>
    <w:p w:rsidR="009208A1" w:rsidRPr="009208A1" w:rsidRDefault="009208A1" w:rsidP="00B644CC">
      <w:pPr>
        <w:spacing w:line="288" w:lineRule="auto"/>
        <w:jc w:val="both"/>
        <w:rPr>
          <w:rFonts w:cs="Arial"/>
        </w:rPr>
      </w:pPr>
    </w:p>
    <w:p w:rsidR="009208A1" w:rsidRDefault="009208A1" w:rsidP="00B644CC">
      <w:pPr>
        <w:spacing w:line="288" w:lineRule="auto"/>
        <w:jc w:val="both"/>
        <w:rPr>
          <w:rFonts w:cs="Arial"/>
        </w:rPr>
      </w:pPr>
      <w:r w:rsidRPr="009208A1">
        <w:rPr>
          <w:rFonts w:cs="Arial"/>
        </w:rPr>
        <w:t xml:space="preserve">Uredba </w:t>
      </w:r>
      <w:r w:rsidRPr="00115F14">
        <w:rPr>
          <w:rFonts w:eastAsia="Calibri" w:cs="Arial"/>
          <w:szCs w:val="20"/>
        </w:rPr>
        <w:t xml:space="preserve">2018/1727/EU </w:t>
      </w:r>
      <w:r w:rsidRPr="009208A1">
        <w:rPr>
          <w:rFonts w:cs="Arial"/>
        </w:rPr>
        <w:t xml:space="preserve">v </w:t>
      </w:r>
      <w:r>
        <w:rPr>
          <w:rFonts w:cs="Arial"/>
        </w:rPr>
        <w:t>petem odstavku 7. člena</w:t>
      </w:r>
      <w:r w:rsidRPr="009208A1">
        <w:rPr>
          <w:rFonts w:cs="Arial"/>
        </w:rPr>
        <w:t xml:space="preserve"> omejuje število mandatov na dva. Slovenska jezikovna različica uporablja termin »podaljšanje« mandata, pri čemer iz terminološke neenotnosti jezikovnih različic izhaja, da samega pojma “podaljšanje” (</w:t>
      </w:r>
      <w:r>
        <w:rPr>
          <w:rFonts w:cs="Arial"/>
        </w:rPr>
        <w:t>angleška</w:t>
      </w:r>
      <w:r w:rsidRPr="009208A1">
        <w:rPr>
          <w:rFonts w:cs="Arial"/>
        </w:rPr>
        <w:t xml:space="preserve"> in </w:t>
      </w:r>
      <w:r>
        <w:rPr>
          <w:rFonts w:cs="Arial"/>
        </w:rPr>
        <w:t xml:space="preserve">francoska </w:t>
      </w:r>
      <w:r w:rsidRPr="009208A1">
        <w:rPr>
          <w:rFonts w:cs="Arial"/>
        </w:rPr>
        <w:t>jezikovn</w:t>
      </w:r>
      <w:r>
        <w:rPr>
          <w:rFonts w:cs="Arial"/>
        </w:rPr>
        <w:t>a</w:t>
      </w:r>
      <w:r w:rsidRPr="009208A1">
        <w:rPr>
          <w:rFonts w:cs="Arial"/>
        </w:rPr>
        <w:t xml:space="preserve"> različic</w:t>
      </w:r>
      <w:r>
        <w:rPr>
          <w:rFonts w:cs="Arial"/>
        </w:rPr>
        <w:t>a</w:t>
      </w:r>
      <w:r w:rsidRPr="009208A1">
        <w:rPr>
          <w:rFonts w:cs="Arial"/>
        </w:rPr>
        <w:t xml:space="preserve"> uporablja termin »obnovitev«) ne gre razumeti ozko</w:t>
      </w:r>
      <w:r w:rsidR="005E00EF">
        <w:rPr>
          <w:rFonts w:cs="Arial"/>
        </w:rPr>
        <w:t>, da bi se moral mandat nacionalnemu predstavniku po izteku dobe imenovanja še enkrat podaljšati brez novega pozivnega postopka</w:t>
      </w:r>
      <w:r w:rsidRPr="009208A1">
        <w:rPr>
          <w:rFonts w:cs="Arial"/>
        </w:rPr>
        <w:t xml:space="preserve">. Tako iz določb Uredbe </w:t>
      </w:r>
      <w:r w:rsidR="005E00EF" w:rsidRPr="00115F14">
        <w:rPr>
          <w:rFonts w:eastAsia="Calibri" w:cs="Arial"/>
          <w:szCs w:val="20"/>
        </w:rPr>
        <w:t xml:space="preserve">2018/1727/EU </w:t>
      </w:r>
      <w:r w:rsidRPr="009208A1">
        <w:rPr>
          <w:rFonts w:cs="Arial"/>
        </w:rPr>
        <w:t xml:space="preserve">o statusu nacionalnih članov, kot tudi iz primerjalne analize ostalih jezikovnih različic izhaja, da </w:t>
      </w:r>
      <w:r w:rsidR="005E00EF">
        <w:rPr>
          <w:rFonts w:cs="Arial"/>
        </w:rPr>
        <w:t>se</w:t>
      </w:r>
      <w:r w:rsidRPr="009208A1">
        <w:rPr>
          <w:rFonts w:cs="Arial"/>
        </w:rPr>
        <w:t xml:space="preserve"> pomen pojma »podaljšanje« </w:t>
      </w:r>
      <w:r w:rsidR="005E00EF">
        <w:rPr>
          <w:rFonts w:cs="Arial"/>
        </w:rPr>
        <w:t xml:space="preserve">ne nanaša na </w:t>
      </w:r>
      <w:r w:rsidR="005E00EF" w:rsidRPr="005E00EF">
        <w:rPr>
          <w:rFonts w:cs="Arial"/>
          <w:i/>
          <w:iCs/>
        </w:rPr>
        <w:t>de lege ferenda</w:t>
      </w:r>
      <w:r w:rsidRPr="005E00EF">
        <w:rPr>
          <w:rFonts w:cs="Arial"/>
          <w:i/>
          <w:iCs/>
        </w:rPr>
        <w:t xml:space="preserve">  </w:t>
      </w:r>
      <w:r w:rsidRPr="009208A1">
        <w:rPr>
          <w:rFonts w:cs="Arial"/>
        </w:rPr>
        <w:t xml:space="preserve">urejanje nacionalnih postopkov imenovanja, pač pa </w:t>
      </w:r>
      <w:r w:rsidR="005E00EF">
        <w:rPr>
          <w:rFonts w:cs="Arial"/>
        </w:rPr>
        <w:t>na</w:t>
      </w:r>
      <w:r w:rsidRPr="009208A1">
        <w:rPr>
          <w:rFonts w:cs="Arial"/>
        </w:rPr>
        <w:t xml:space="preserve"> omejitev na dva mandata. Iz neenotnosti jezikovnih različic (</w:t>
      </w:r>
      <w:r w:rsidR="005E00EF">
        <w:rPr>
          <w:rFonts w:cs="Arial"/>
        </w:rPr>
        <w:t>v slovenskem jeziku</w:t>
      </w:r>
      <w:r w:rsidRPr="009208A1">
        <w:rPr>
          <w:rFonts w:cs="Arial"/>
        </w:rPr>
        <w:t xml:space="preserve">: podaljša; </w:t>
      </w:r>
      <w:r w:rsidR="005E00EF">
        <w:rPr>
          <w:rFonts w:cs="Arial"/>
        </w:rPr>
        <w:t>angleškem</w:t>
      </w:r>
      <w:r w:rsidRPr="009208A1">
        <w:rPr>
          <w:rFonts w:cs="Arial"/>
        </w:rPr>
        <w:t xml:space="preserve">: renewable, </w:t>
      </w:r>
      <w:r w:rsidR="005E00EF">
        <w:rPr>
          <w:rFonts w:cs="Arial"/>
        </w:rPr>
        <w:t>francoskem</w:t>
      </w:r>
      <w:r w:rsidRPr="009208A1">
        <w:rPr>
          <w:rFonts w:cs="Arial"/>
        </w:rPr>
        <w:t xml:space="preserve">: renouvelable; </w:t>
      </w:r>
      <w:r w:rsidR="005E00EF">
        <w:rPr>
          <w:rFonts w:cs="Arial"/>
        </w:rPr>
        <w:t>nemškem</w:t>
      </w:r>
      <w:r w:rsidRPr="009208A1">
        <w:rPr>
          <w:rFonts w:cs="Arial"/>
        </w:rPr>
        <w:t xml:space="preserve">: verlängert; </w:t>
      </w:r>
      <w:r w:rsidR="005E00EF">
        <w:rPr>
          <w:rFonts w:cs="Arial"/>
        </w:rPr>
        <w:t>hrvaškem</w:t>
      </w:r>
      <w:r w:rsidRPr="009208A1">
        <w:rPr>
          <w:rFonts w:cs="Arial"/>
        </w:rPr>
        <w:t>: obnoviti ) izhaja, da gre pri terminu podaljšanje/obno</w:t>
      </w:r>
      <w:r w:rsidR="005E00EF">
        <w:rPr>
          <w:rFonts w:cs="Arial"/>
        </w:rPr>
        <w:t>vitev</w:t>
      </w:r>
      <w:r w:rsidRPr="009208A1">
        <w:rPr>
          <w:rFonts w:cs="Arial"/>
        </w:rPr>
        <w:t xml:space="preserve"> za splošnejši termin, ki ga gre razumeti v okviru </w:t>
      </w:r>
      <w:r w:rsidR="005E00EF">
        <w:rPr>
          <w:rFonts w:cs="Arial"/>
        </w:rPr>
        <w:t xml:space="preserve">namena </w:t>
      </w:r>
      <w:r w:rsidRPr="009208A1">
        <w:rPr>
          <w:rFonts w:cs="Arial"/>
        </w:rPr>
        <w:t>Uredbe</w:t>
      </w:r>
      <w:r w:rsidR="005E00EF">
        <w:rPr>
          <w:rFonts w:cs="Arial"/>
        </w:rPr>
        <w:t xml:space="preserve">, ki pa ni v </w:t>
      </w:r>
      <w:r w:rsidR="00E7688C">
        <w:rPr>
          <w:rFonts w:cs="Arial"/>
        </w:rPr>
        <w:t>posrednem ali neposrednem določanju nacionalnih postopkov imenovanja članov Eurojusta temveč omejitvi trajnega mandata</w:t>
      </w:r>
      <w:r w:rsidRPr="009208A1">
        <w:rPr>
          <w:rFonts w:cs="Arial"/>
        </w:rPr>
        <w:t xml:space="preserve">. </w:t>
      </w:r>
    </w:p>
    <w:p w:rsidR="005E00EF" w:rsidRPr="009208A1" w:rsidRDefault="005E00EF" w:rsidP="00B644CC">
      <w:pPr>
        <w:spacing w:line="288" w:lineRule="auto"/>
        <w:jc w:val="both"/>
        <w:rPr>
          <w:rFonts w:cs="Arial"/>
        </w:rPr>
      </w:pPr>
    </w:p>
    <w:p w:rsidR="009208A1" w:rsidRDefault="009208A1" w:rsidP="00B644CC">
      <w:pPr>
        <w:spacing w:line="288" w:lineRule="auto"/>
        <w:jc w:val="both"/>
        <w:rPr>
          <w:rFonts w:cs="Arial"/>
        </w:rPr>
      </w:pPr>
      <w:r w:rsidRPr="009208A1">
        <w:rPr>
          <w:rFonts w:cs="Arial"/>
        </w:rPr>
        <w:t>Sicer zgoraj navedene jezikovne različice v analogni določbi 9. čl</w:t>
      </w:r>
      <w:r w:rsidR="00E7688C">
        <w:rPr>
          <w:rFonts w:cs="Arial"/>
        </w:rPr>
        <w:t>ena</w:t>
      </w:r>
      <w:r w:rsidRPr="009208A1">
        <w:rPr>
          <w:rFonts w:cs="Arial"/>
        </w:rPr>
        <w:t xml:space="preserve"> konsolidirane različice prej veljavnega Sklepa </w:t>
      </w:r>
      <w:r w:rsidR="00863752" w:rsidRPr="00115F14">
        <w:rPr>
          <w:rFonts w:cs="Arial"/>
        </w:rPr>
        <w:t>2002/187/PNZ</w:t>
      </w:r>
      <w:r w:rsidR="00863752" w:rsidRPr="009208A1">
        <w:rPr>
          <w:rFonts w:cs="Arial"/>
        </w:rPr>
        <w:t xml:space="preserve"> </w:t>
      </w:r>
      <w:r w:rsidRPr="009208A1">
        <w:rPr>
          <w:rFonts w:cs="Arial"/>
        </w:rPr>
        <w:t>uporabljajo iste izraze (</w:t>
      </w:r>
      <w:r w:rsidR="00E7688C">
        <w:rPr>
          <w:rFonts w:cs="Arial"/>
        </w:rPr>
        <w:t>v angleškem jeziku</w:t>
      </w:r>
      <w:r w:rsidRPr="009208A1">
        <w:rPr>
          <w:rFonts w:cs="Arial"/>
        </w:rPr>
        <w:t xml:space="preserve">: renew; </w:t>
      </w:r>
      <w:r w:rsidR="00E7688C">
        <w:rPr>
          <w:rFonts w:cs="Arial"/>
        </w:rPr>
        <w:t>nemškem</w:t>
      </w:r>
      <w:r w:rsidRPr="009208A1">
        <w:rPr>
          <w:rFonts w:cs="Arial"/>
        </w:rPr>
        <w:t xml:space="preserve">: verlängern; </w:t>
      </w:r>
      <w:r w:rsidR="00E7688C">
        <w:rPr>
          <w:rFonts w:cs="Arial"/>
        </w:rPr>
        <w:t>francoskem</w:t>
      </w:r>
      <w:r w:rsidRPr="009208A1">
        <w:rPr>
          <w:rFonts w:cs="Arial"/>
        </w:rPr>
        <w:t>: renouveler) kot relevantne jezikovne različice sedaj veljavne Uredbe</w:t>
      </w:r>
      <w:r w:rsidR="00E7688C">
        <w:rPr>
          <w:rFonts w:cs="Arial"/>
        </w:rPr>
        <w:t xml:space="preserve"> </w:t>
      </w:r>
      <w:r w:rsidR="00E7688C" w:rsidRPr="00115F14">
        <w:rPr>
          <w:rFonts w:eastAsia="Calibri" w:cs="Arial"/>
          <w:szCs w:val="20"/>
        </w:rPr>
        <w:t>2018/1727/EU</w:t>
      </w:r>
      <w:r w:rsidRPr="009208A1">
        <w:rPr>
          <w:rFonts w:cs="Arial"/>
        </w:rPr>
        <w:t xml:space="preserve">. Izjema je slovenska jezikovna različica, ki v prejšnjem Sklepu </w:t>
      </w:r>
      <w:r w:rsidR="00863752" w:rsidRPr="00115F14">
        <w:rPr>
          <w:rFonts w:cs="Arial"/>
        </w:rPr>
        <w:t>2002/187/PNZ</w:t>
      </w:r>
      <w:r w:rsidR="00863752" w:rsidRPr="009208A1">
        <w:rPr>
          <w:rFonts w:cs="Arial"/>
        </w:rPr>
        <w:t xml:space="preserve"> </w:t>
      </w:r>
      <w:r w:rsidRPr="009208A1">
        <w:rPr>
          <w:rFonts w:cs="Arial"/>
        </w:rPr>
        <w:t xml:space="preserve">uporablja izraz »obnovi«. Gre za terminološko rešitev slovenskega prevajalca, vsebinsko pa tako prejšnji </w:t>
      </w:r>
      <w:r w:rsidR="00863752">
        <w:rPr>
          <w:rFonts w:cs="Arial"/>
        </w:rPr>
        <w:t>S</w:t>
      </w:r>
      <w:r w:rsidRPr="009208A1">
        <w:rPr>
          <w:rFonts w:cs="Arial"/>
        </w:rPr>
        <w:t xml:space="preserve">klep </w:t>
      </w:r>
      <w:r w:rsidR="00863752" w:rsidRPr="00115F14">
        <w:rPr>
          <w:rFonts w:cs="Arial"/>
        </w:rPr>
        <w:t>2002/187/PNZ</w:t>
      </w:r>
      <w:r w:rsidRPr="009208A1">
        <w:rPr>
          <w:rFonts w:cs="Arial"/>
        </w:rPr>
        <w:t xml:space="preserve">, kot tudi nova </w:t>
      </w:r>
      <w:r w:rsidR="00863752">
        <w:rPr>
          <w:rFonts w:cs="Arial"/>
        </w:rPr>
        <w:t>u</w:t>
      </w:r>
      <w:r w:rsidRPr="009208A1">
        <w:rPr>
          <w:rFonts w:cs="Arial"/>
        </w:rPr>
        <w:t>redba</w:t>
      </w:r>
      <w:r w:rsidR="00E7688C">
        <w:rPr>
          <w:rFonts w:cs="Arial"/>
        </w:rPr>
        <w:t xml:space="preserve"> </w:t>
      </w:r>
      <w:r w:rsidR="00E7688C" w:rsidRPr="00115F14">
        <w:rPr>
          <w:rFonts w:eastAsia="Calibri" w:cs="Arial"/>
          <w:szCs w:val="20"/>
        </w:rPr>
        <w:t>2018/1727/EU</w:t>
      </w:r>
      <w:r w:rsidRPr="009208A1">
        <w:rPr>
          <w:rFonts w:cs="Arial"/>
        </w:rPr>
        <w:t xml:space="preserve"> ne urejata nacionalnih postopkov imenovanja nacionalnih </w:t>
      </w:r>
      <w:r w:rsidR="00E7688C">
        <w:rPr>
          <w:rFonts w:cs="Arial"/>
        </w:rPr>
        <w:t>članov v Eurojustu</w:t>
      </w:r>
      <w:r w:rsidRPr="009208A1">
        <w:rPr>
          <w:rFonts w:cs="Arial"/>
        </w:rPr>
        <w:t xml:space="preserve">.  </w:t>
      </w:r>
    </w:p>
    <w:bookmarkEnd w:id="6"/>
    <w:p w:rsidR="00E7688C" w:rsidRPr="00115F14" w:rsidRDefault="00E7688C" w:rsidP="00B644CC">
      <w:pPr>
        <w:spacing w:line="288" w:lineRule="auto"/>
        <w:jc w:val="both"/>
        <w:rPr>
          <w:rFonts w:cs="Arial"/>
        </w:rPr>
      </w:pPr>
    </w:p>
    <w:p w:rsidR="00AE2155" w:rsidRPr="00115F14" w:rsidRDefault="00AE2155" w:rsidP="00B644CC">
      <w:pPr>
        <w:spacing w:line="288" w:lineRule="auto"/>
        <w:jc w:val="both"/>
        <w:rPr>
          <w:rFonts w:cs="Arial"/>
        </w:rPr>
      </w:pPr>
      <w:r w:rsidRPr="00115F14">
        <w:rPr>
          <w:rFonts w:cs="Arial"/>
          <w:b/>
        </w:rPr>
        <w:t xml:space="preserve">Kolegij </w:t>
      </w:r>
      <w:r w:rsidRPr="00115F14">
        <w:rPr>
          <w:rFonts w:cs="Arial"/>
        </w:rPr>
        <w:t xml:space="preserve">Eurojusta, ki ga sestavljajo vsi nacionalni </w:t>
      </w:r>
      <w:r>
        <w:rPr>
          <w:rFonts w:cs="Arial"/>
        </w:rPr>
        <w:t>predstavniki</w:t>
      </w:r>
      <w:r w:rsidRPr="00115F14">
        <w:rPr>
          <w:rFonts w:cs="Arial"/>
        </w:rPr>
        <w:t>, bo še naprej opravljal svoje naloge, prav tako ohranja svojo vlogo tudi upravni direktor. Kolegij je odgovoren za operativno delo in ima ključne upravljavske funkcije, kot so sprejetje proračuna, letni in večletni program dela, letno poročilo, izvolitev predsednika in dveh podpredsednikov Eurojusta</w:t>
      </w:r>
      <w:r>
        <w:rPr>
          <w:rFonts w:cs="Arial"/>
        </w:rPr>
        <w:t xml:space="preserve"> </w:t>
      </w:r>
      <w:r w:rsidRPr="00115F14">
        <w:rPr>
          <w:rFonts w:cs="Arial"/>
        </w:rPr>
        <w:t>ter imenovanje upravnega direktorja.</w:t>
      </w:r>
    </w:p>
    <w:p w:rsidR="00AE2155" w:rsidRPr="00115F14" w:rsidRDefault="00AE2155" w:rsidP="00B644CC">
      <w:pPr>
        <w:spacing w:line="288" w:lineRule="auto"/>
        <w:jc w:val="both"/>
        <w:rPr>
          <w:rFonts w:cs="Arial"/>
        </w:rPr>
      </w:pPr>
    </w:p>
    <w:p w:rsidR="00AE2155" w:rsidRPr="00115F14" w:rsidRDefault="00AE2155" w:rsidP="00B644CC">
      <w:pPr>
        <w:spacing w:line="288" w:lineRule="auto"/>
        <w:jc w:val="both"/>
        <w:rPr>
          <w:rFonts w:cs="Arial"/>
        </w:rPr>
      </w:pPr>
      <w:r w:rsidRPr="00115F14">
        <w:rPr>
          <w:rFonts w:cs="Arial"/>
        </w:rPr>
        <w:t xml:space="preserve">Za pomoč kolegiju je bil z </w:t>
      </w:r>
      <w:r w:rsidRPr="00115F14">
        <w:rPr>
          <w:rFonts w:eastAsia="Calibri" w:cs="Arial"/>
          <w:szCs w:val="20"/>
        </w:rPr>
        <w:t>Uredbo 2018/1727/EU</w:t>
      </w:r>
      <w:r>
        <w:rPr>
          <w:rFonts w:eastAsia="Calibri" w:cs="Arial"/>
          <w:szCs w:val="20"/>
        </w:rPr>
        <w:t xml:space="preserve"> </w:t>
      </w:r>
      <w:r w:rsidRPr="00115F14">
        <w:rPr>
          <w:rFonts w:cs="Arial"/>
        </w:rPr>
        <w:t xml:space="preserve">ustanovljen </w:t>
      </w:r>
      <w:r w:rsidRPr="00115F14">
        <w:rPr>
          <w:rFonts w:cs="Arial"/>
          <w:b/>
        </w:rPr>
        <w:t>izvršni odbor</w:t>
      </w:r>
      <w:r w:rsidRPr="00115F14">
        <w:rPr>
          <w:rFonts w:cs="Arial"/>
        </w:rPr>
        <w:t>, ki ga sestavljajo:</w:t>
      </w:r>
    </w:p>
    <w:p w:rsidR="00AE2155" w:rsidRPr="00115F14" w:rsidRDefault="00AE2155" w:rsidP="008647C7">
      <w:pPr>
        <w:numPr>
          <w:ilvl w:val="0"/>
          <w:numId w:val="4"/>
        </w:numPr>
        <w:spacing w:line="288" w:lineRule="auto"/>
        <w:ind w:left="284" w:hanging="284"/>
        <w:jc w:val="both"/>
        <w:rPr>
          <w:rFonts w:cs="Arial"/>
        </w:rPr>
      </w:pPr>
      <w:r w:rsidRPr="00115F14">
        <w:rPr>
          <w:rFonts w:cs="Arial"/>
        </w:rPr>
        <w:t>predsednik in podpredsednik</w:t>
      </w:r>
      <w:r>
        <w:rPr>
          <w:rFonts w:cs="Arial"/>
        </w:rPr>
        <w:t xml:space="preserve"> </w:t>
      </w:r>
      <w:r w:rsidRPr="00115F14">
        <w:rPr>
          <w:rFonts w:cs="Arial"/>
        </w:rPr>
        <w:t>Eurojusta,</w:t>
      </w:r>
    </w:p>
    <w:p w:rsidR="00AE2155" w:rsidRPr="00115F14" w:rsidRDefault="00AE2155" w:rsidP="008647C7">
      <w:pPr>
        <w:numPr>
          <w:ilvl w:val="0"/>
          <w:numId w:val="4"/>
        </w:numPr>
        <w:spacing w:line="288" w:lineRule="auto"/>
        <w:ind w:left="284" w:hanging="284"/>
        <w:jc w:val="both"/>
        <w:rPr>
          <w:rFonts w:cs="Arial"/>
        </w:rPr>
      </w:pPr>
      <w:r w:rsidRPr="00115F14">
        <w:rPr>
          <w:rFonts w:cs="Arial"/>
        </w:rPr>
        <w:t>predstavnik Evropske komisije</w:t>
      </w:r>
      <w:r>
        <w:rPr>
          <w:rFonts w:cs="Arial"/>
        </w:rPr>
        <w:t xml:space="preserve"> </w:t>
      </w:r>
      <w:r w:rsidRPr="00115F14">
        <w:rPr>
          <w:rFonts w:cs="Arial"/>
        </w:rPr>
        <w:t>in</w:t>
      </w:r>
    </w:p>
    <w:p w:rsidR="00AE2155" w:rsidRPr="00115F14" w:rsidRDefault="00AE2155" w:rsidP="008647C7">
      <w:pPr>
        <w:numPr>
          <w:ilvl w:val="0"/>
          <w:numId w:val="4"/>
        </w:numPr>
        <w:spacing w:line="288" w:lineRule="auto"/>
        <w:ind w:left="284" w:hanging="284"/>
        <w:jc w:val="both"/>
        <w:rPr>
          <w:rFonts w:cs="Arial"/>
        </w:rPr>
      </w:pPr>
      <w:r w:rsidRPr="00115F14">
        <w:rPr>
          <w:rFonts w:cs="Arial"/>
        </w:rPr>
        <w:t xml:space="preserve">dva druga nacionalna </w:t>
      </w:r>
      <w:r>
        <w:rPr>
          <w:rFonts w:cs="Arial"/>
        </w:rPr>
        <w:t>predstavnika</w:t>
      </w:r>
      <w:r w:rsidRPr="00115F14">
        <w:rPr>
          <w:rFonts w:cs="Arial"/>
        </w:rPr>
        <w:t xml:space="preserve"> imenovana po dvoletnem načelu rotacije.</w:t>
      </w:r>
    </w:p>
    <w:p w:rsidR="00AE2155" w:rsidRPr="00115F14" w:rsidRDefault="00AE2155" w:rsidP="00B644CC">
      <w:pPr>
        <w:spacing w:line="288" w:lineRule="auto"/>
        <w:jc w:val="both"/>
        <w:rPr>
          <w:rFonts w:cs="Arial"/>
        </w:rPr>
      </w:pPr>
    </w:p>
    <w:p w:rsidR="00AE2155" w:rsidRPr="00115F14" w:rsidRDefault="00AE2155" w:rsidP="00B644CC">
      <w:pPr>
        <w:spacing w:line="288" w:lineRule="auto"/>
        <w:jc w:val="both"/>
        <w:rPr>
          <w:rFonts w:cs="Arial"/>
        </w:rPr>
      </w:pPr>
      <w:r w:rsidRPr="00115F14">
        <w:rPr>
          <w:rFonts w:cs="Arial"/>
        </w:rPr>
        <w:t xml:space="preserve">Izvršni odbor je tako pristojen za sprejemanje upravnih odločitev za zagotovitev pravilnega delovanja Eurojusta, za sprejem finančnih pravil, za pregled letnega poročila Eurojusta ter drugih upravnih dokumentov, za vzpostavitev in spreminjanje notranjih upravnih struktur, za sprejem </w:t>
      </w:r>
      <w:r w:rsidRPr="00115F14">
        <w:rPr>
          <w:rFonts w:cs="Arial"/>
        </w:rPr>
        <w:lastRenderedPageBreak/>
        <w:t>strategije Eurojusta za boj proti goljufijam in za sprejem izvedbenih pravil za uveljavitev kadrovskih predpisov za uradnike EU in Pogojev za zaposlitev drugih uslužbencev EU. V operativne funkcije Eurojusta izvršni odbor ni vključen.</w:t>
      </w:r>
    </w:p>
    <w:p w:rsidR="00AE2155" w:rsidRPr="00115F14" w:rsidRDefault="00AE2155" w:rsidP="00B644CC">
      <w:pPr>
        <w:spacing w:line="288" w:lineRule="auto"/>
        <w:jc w:val="both"/>
        <w:rPr>
          <w:rFonts w:cs="Arial"/>
        </w:rPr>
      </w:pPr>
    </w:p>
    <w:p w:rsidR="00AE2155" w:rsidRPr="00115F14" w:rsidRDefault="00AE2155" w:rsidP="00B644CC">
      <w:pPr>
        <w:spacing w:line="288" w:lineRule="auto"/>
        <w:jc w:val="both"/>
        <w:rPr>
          <w:rFonts w:cs="Arial"/>
        </w:rPr>
      </w:pPr>
      <w:r w:rsidRPr="00115F14">
        <w:rPr>
          <w:rFonts w:cs="Arial"/>
          <w:b/>
        </w:rPr>
        <w:t>Upravni direktor</w:t>
      </w:r>
      <w:r w:rsidRPr="00115F14">
        <w:rPr>
          <w:rFonts w:cs="Arial"/>
        </w:rPr>
        <w:t xml:space="preserve"> je začasni uslužbenec Eurojusta, imenuje ga kolegij na predlog izvršnega odbora po izvedenem javnem izbirnem postopku, Upravni direktor se imenuje za obdobje štirih let z možnostjo, da se mu  mandat enkrat podaljša za največ štiri leta. Upravni direktor se udeležuje sej izvršnega odbora vendar nima</w:t>
      </w:r>
      <w:r>
        <w:rPr>
          <w:rFonts w:cs="Arial"/>
        </w:rPr>
        <w:t xml:space="preserve"> </w:t>
      </w:r>
      <w:r w:rsidRPr="00115F14">
        <w:rPr>
          <w:rFonts w:cs="Arial"/>
        </w:rPr>
        <w:t>glasovalne pravice. Kadar se na seji izvršnega odbora obravnavajo vprašanja pomembna za delovanje Evropskega javnega tožilstva se na sejo povabi tudi predstavnika Evropskega javnega tožilstva.</w:t>
      </w:r>
    </w:p>
    <w:p w:rsidR="00AE2155" w:rsidRPr="00115F14" w:rsidRDefault="00AE2155" w:rsidP="00B644CC">
      <w:pPr>
        <w:spacing w:line="288" w:lineRule="auto"/>
        <w:jc w:val="both"/>
        <w:rPr>
          <w:rFonts w:cs="Arial"/>
        </w:rPr>
      </w:pPr>
    </w:p>
    <w:p w:rsidR="00AE2155" w:rsidRPr="00115F14" w:rsidRDefault="00AE2155" w:rsidP="00B644CC">
      <w:pPr>
        <w:spacing w:line="288" w:lineRule="auto"/>
        <w:jc w:val="both"/>
        <w:rPr>
          <w:rFonts w:cs="Arial"/>
          <w:szCs w:val="20"/>
        </w:rPr>
      </w:pPr>
      <w:r w:rsidRPr="00115F14">
        <w:rPr>
          <w:rFonts w:eastAsia="Calibri" w:cs="Arial"/>
          <w:szCs w:val="20"/>
        </w:rPr>
        <w:t xml:space="preserve">Uredba 2018/1727/EU </w:t>
      </w:r>
      <w:r w:rsidRPr="00115F14">
        <w:rPr>
          <w:rFonts w:cs="Arial"/>
          <w:szCs w:val="20"/>
        </w:rPr>
        <w:t>je začela veljati 11. decembra 2018, uporabljati pa se je začela leto kasneje 12. decembra 2019. J</w:t>
      </w:r>
      <w:r w:rsidRPr="00115F14">
        <w:t>e v celoti zavezujoča in se neposredno uporablja v državah članicah.</w:t>
      </w:r>
      <w:r>
        <w:t xml:space="preserve"> </w:t>
      </w:r>
      <w:r w:rsidRPr="00115F14">
        <w:rPr>
          <w:rFonts w:cs="Arial"/>
          <w:szCs w:val="20"/>
        </w:rPr>
        <w:t xml:space="preserve">Po prehodni določbi 80. člena </w:t>
      </w:r>
      <w:r w:rsidRPr="00115F14">
        <w:rPr>
          <w:rFonts w:eastAsia="Calibri" w:cs="Arial"/>
          <w:szCs w:val="20"/>
        </w:rPr>
        <w:t>Uredbe 2018/1727/EU</w:t>
      </w:r>
      <w:r w:rsidRPr="00115F14">
        <w:rPr>
          <w:rFonts w:cs="Arial"/>
          <w:szCs w:val="20"/>
        </w:rPr>
        <w:t xml:space="preserve"> je Eurojust splošni pravni naslednik glede vseh pogodb, ki jih je sklenil Eurojust, kakor je bil ustanovljen s Sklepom 2002/187/PNZ, ter glede vseh njegovih obveznosti in lastnine, ki jo je pridobil.</w:t>
      </w:r>
      <w:r>
        <w:rPr>
          <w:rFonts w:cs="Arial"/>
          <w:szCs w:val="20"/>
        </w:rPr>
        <w:t xml:space="preserve"> </w:t>
      </w:r>
      <w:r w:rsidRPr="00115F14">
        <w:rPr>
          <w:rFonts w:cs="Arial"/>
          <w:szCs w:val="20"/>
        </w:rPr>
        <w:t>Nacionalni</w:t>
      </w:r>
      <w:r>
        <w:rPr>
          <w:rFonts w:cs="Arial"/>
          <w:szCs w:val="20"/>
        </w:rPr>
        <w:t xml:space="preserve"> predstavnik</w:t>
      </w:r>
      <w:r w:rsidRPr="00115F14">
        <w:rPr>
          <w:rFonts w:cs="Arial"/>
          <w:szCs w:val="20"/>
        </w:rPr>
        <w:t xml:space="preserve"> Eurojusta, ki ga je po Sklepu 2002/187/PNZ imenovala vsaka država članica, prevzame</w:t>
      </w:r>
      <w:r>
        <w:rPr>
          <w:rFonts w:cs="Arial"/>
          <w:szCs w:val="20"/>
        </w:rPr>
        <w:t xml:space="preserve"> </w:t>
      </w:r>
      <w:r w:rsidRPr="00115F14">
        <w:rPr>
          <w:rFonts w:cs="Arial"/>
          <w:szCs w:val="20"/>
        </w:rPr>
        <w:t xml:space="preserve">na podlagi drugega oddelka poglavja II </w:t>
      </w:r>
      <w:r w:rsidRPr="00115F14">
        <w:rPr>
          <w:rFonts w:eastAsia="Calibri" w:cs="Arial"/>
          <w:szCs w:val="20"/>
        </w:rPr>
        <w:t>Uredbe 2018/1727/EU</w:t>
      </w:r>
      <w:r>
        <w:rPr>
          <w:rFonts w:eastAsia="Calibri" w:cs="Arial"/>
          <w:szCs w:val="20"/>
        </w:rPr>
        <w:t xml:space="preserve"> </w:t>
      </w:r>
      <w:r w:rsidRPr="00115F14">
        <w:rPr>
          <w:rFonts w:cs="Arial"/>
          <w:szCs w:val="20"/>
        </w:rPr>
        <w:t xml:space="preserve">vlogo nacionalnega </w:t>
      </w:r>
      <w:r>
        <w:rPr>
          <w:rFonts w:cs="Arial"/>
          <w:szCs w:val="20"/>
        </w:rPr>
        <w:t xml:space="preserve">predstavnika </w:t>
      </w:r>
      <w:r w:rsidRPr="00115F14">
        <w:rPr>
          <w:rFonts w:cs="Arial"/>
          <w:szCs w:val="20"/>
        </w:rPr>
        <w:t>Eurojusta kot ga določa ta uredba. Mandat nacionalnega predstavnika se lahko po začetku veljavnosti te uredbe enkrat</w:t>
      </w:r>
      <w:r>
        <w:rPr>
          <w:rFonts w:cs="Arial"/>
          <w:szCs w:val="20"/>
        </w:rPr>
        <w:t xml:space="preserve"> </w:t>
      </w:r>
      <w:r w:rsidRPr="00115F14">
        <w:rPr>
          <w:rFonts w:cs="Arial"/>
          <w:szCs w:val="20"/>
        </w:rPr>
        <w:t>podaljša, ne glede na morebitna prejšnja podaljšanja.</w:t>
      </w:r>
    </w:p>
    <w:p w:rsidR="00AE2155" w:rsidRPr="00115F14" w:rsidRDefault="00AE2155" w:rsidP="00B644CC">
      <w:pPr>
        <w:spacing w:line="288" w:lineRule="auto"/>
        <w:jc w:val="both"/>
        <w:rPr>
          <w:rFonts w:cs="Arial"/>
          <w:szCs w:val="20"/>
          <w:highlight w:val="yellow"/>
        </w:rPr>
      </w:pPr>
    </w:p>
    <w:p w:rsidR="00AE2155" w:rsidRPr="00115F14" w:rsidRDefault="00AE2155" w:rsidP="00B644CC">
      <w:pPr>
        <w:spacing w:line="288" w:lineRule="auto"/>
        <w:jc w:val="both"/>
        <w:rPr>
          <w:rFonts w:cs="Arial"/>
        </w:rPr>
      </w:pPr>
      <w:r w:rsidRPr="00115F14">
        <w:rPr>
          <w:rFonts w:cs="Arial"/>
        </w:rPr>
        <w:t xml:space="preserve">Glavne spremembe, ki jih je uvedla </w:t>
      </w:r>
      <w:r w:rsidRPr="00115F14">
        <w:rPr>
          <w:rFonts w:eastAsia="Calibri" w:cs="Arial"/>
          <w:szCs w:val="20"/>
        </w:rPr>
        <w:t>Uredba 2018/1727/EU so:</w:t>
      </w:r>
    </w:p>
    <w:p w:rsidR="00AE2155" w:rsidRPr="00115F14" w:rsidRDefault="00AE2155" w:rsidP="008647C7">
      <w:pPr>
        <w:numPr>
          <w:ilvl w:val="0"/>
          <w:numId w:val="4"/>
        </w:numPr>
        <w:spacing w:line="288" w:lineRule="auto"/>
        <w:ind w:left="284" w:hanging="284"/>
        <w:jc w:val="both"/>
        <w:rPr>
          <w:rFonts w:cs="Arial"/>
        </w:rPr>
      </w:pPr>
      <w:r w:rsidRPr="00115F14">
        <w:rPr>
          <w:rFonts w:cs="Arial"/>
        </w:rPr>
        <w:t>nova struktura upravljanja z izvršnim odborom šestih članov;</w:t>
      </w:r>
    </w:p>
    <w:p w:rsidR="00AE2155" w:rsidRPr="00115F14" w:rsidRDefault="00AE2155" w:rsidP="008647C7">
      <w:pPr>
        <w:numPr>
          <w:ilvl w:val="0"/>
          <w:numId w:val="4"/>
        </w:numPr>
        <w:spacing w:line="288" w:lineRule="auto"/>
        <w:ind w:left="284" w:hanging="284"/>
        <w:jc w:val="both"/>
        <w:rPr>
          <w:rFonts w:cs="Arial"/>
        </w:rPr>
      </w:pPr>
      <w:r w:rsidRPr="00115F14">
        <w:rPr>
          <w:rFonts w:cs="Arial"/>
        </w:rPr>
        <w:t>nov režim varstva podatkov, ki se prilagaja spremenjenemu pravnemu okviru EU o varstvu osebnih podatkov;</w:t>
      </w:r>
    </w:p>
    <w:p w:rsidR="00AE2155" w:rsidRPr="00115F14" w:rsidRDefault="00AE2155" w:rsidP="008647C7">
      <w:pPr>
        <w:numPr>
          <w:ilvl w:val="0"/>
          <w:numId w:val="4"/>
        </w:numPr>
        <w:spacing w:line="288" w:lineRule="auto"/>
        <w:ind w:left="284" w:hanging="284"/>
        <w:jc w:val="both"/>
        <w:rPr>
          <w:rFonts w:cs="Arial"/>
        </w:rPr>
      </w:pPr>
      <w:r w:rsidRPr="00115F14">
        <w:rPr>
          <w:rFonts w:cs="Arial"/>
        </w:rPr>
        <w:t>usklajevanje zunanjih odnosov Eurojusta z načeli, ki jih na tem področju uvaja Lizbonska pogodba;</w:t>
      </w:r>
    </w:p>
    <w:p w:rsidR="00AE2155" w:rsidRPr="00115F14" w:rsidRDefault="00AE2155" w:rsidP="008647C7">
      <w:pPr>
        <w:numPr>
          <w:ilvl w:val="0"/>
          <w:numId w:val="4"/>
        </w:numPr>
        <w:spacing w:line="288" w:lineRule="auto"/>
        <w:ind w:left="284" w:hanging="284"/>
        <w:jc w:val="both"/>
        <w:rPr>
          <w:rFonts w:cs="Arial"/>
        </w:rPr>
      </w:pPr>
      <w:r w:rsidRPr="00115F14">
        <w:rPr>
          <w:rFonts w:cs="Arial"/>
        </w:rPr>
        <w:t>okrepitev vloge evropskega parlamenta in nacionalnih parlamentov pri demokratičnem nadzoru nad delovanjem Eurojusta;</w:t>
      </w:r>
    </w:p>
    <w:p w:rsidR="00AE2155" w:rsidRPr="00115F14" w:rsidRDefault="00AE2155" w:rsidP="008647C7">
      <w:pPr>
        <w:numPr>
          <w:ilvl w:val="0"/>
          <w:numId w:val="4"/>
        </w:numPr>
        <w:spacing w:line="288" w:lineRule="auto"/>
        <w:ind w:left="284" w:hanging="284"/>
        <w:jc w:val="both"/>
        <w:rPr>
          <w:rFonts w:cs="Arial"/>
        </w:rPr>
      </w:pPr>
      <w:r w:rsidRPr="00115F14">
        <w:rPr>
          <w:rFonts w:cs="Arial"/>
        </w:rPr>
        <w:t>razmerje med Eurojustom in Evropskim javnim tožilstvom</w:t>
      </w:r>
      <w:r>
        <w:rPr>
          <w:rFonts w:cs="Arial"/>
        </w:rPr>
        <w:t xml:space="preserve"> </w:t>
      </w:r>
      <w:r w:rsidRPr="00115F14">
        <w:rPr>
          <w:rFonts w:cs="Arial"/>
        </w:rPr>
        <w:t>temelji na medsebojnem sodelovanju v okviru njihovih pooblastil in pristojnosti ter nadaljnjem razvoju njunih operativnih, upravljavskih in morda upravnih povezav;</w:t>
      </w:r>
    </w:p>
    <w:p w:rsidR="00AE2155" w:rsidRPr="00115F14" w:rsidRDefault="00AE2155" w:rsidP="008647C7">
      <w:pPr>
        <w:numPr>
          <w:ilvl w:val="0"/>
          <w:numId w:val="4"/>
        </w:numPr>
        <w:spacing w:line="288" w:lineRule="auto"/>
        <w:ind w:left="284" w:hanging="284"/>
        <w:jc w:val="both"/>
        <w:rPr>
          <w:rFonts w:cs="Arial"/>
        </w:rPr>
      </w:pPr>
      <w:r w:rsidRPr="00115F14">
        <w:rPr>
          <w:rFonts w:cs="Arial"/>
        </w:rPr>
        <w:t xml:space="preserve">vojni zločini in genocid so bili dodani </w:t>
      </w:r>
      <w:r>
        <w:rPr>
          <w:rFonts w:cs="Arial"/>
        </w:rPr>
        <w:t xml:space="preserve">k </w:t>
      </w:r>
      <w:r w:rsidRPr="00115F14">
        <w:rPr>
          <w:rFonts w:cs="Arial"/>
        </w:rPr>
        <w:t>oblikam hudih kaznivih dejanj, za katere je pristojen Eurojust, in našteti v Prilogi 1 k Uredbi;</w:t>
      </w:r>
    </w:p>
    <w:p w:rsidR="00AE2155" w:rsidRPr="00115F14" w:rsidRDefault="00AE2155" w:rsidP="008647C7">
      <w:pPr>
        <w:numPr>
          <w:ilvl w:val="0"/>
          <w:numId w:val="4"/>
        </w:numPr>
        <w:spacing w:line="288" w:lineRule="auto"/>
        <w:ind w:left="284" w:hanging="284"/>
        <w:jc w:val="both"/>
        <w:rPr>
          <w:rFonts w:cs="Arial"/>
        </w:rPr>
      </w:pPr>
      <w:r w:rsidRPr="00115F14">
        <w:rPr>
          <w:rFonts w:cs="Arial"/>
        </w:rPr>
        <w:t>mandat nacionalnega predstavnika in njegovega namestnika in</w:t>
      </w:r>
    </w:p>
    <w:p w:rsidR="00AE2155" w:rsidRPr="00115F14" w:rsidRDefault="00AE2155" w:rsidP="008647C7">
      <w:pPr>
        <w:numPr>
          <w:ilvl w:val="0"/>
          <w:numId w:val="4"/>
        </w:numPr>
        <w:spacing w:line="288" w:lineRule="auto"/>
        <w:ind w:left="284" w:hanging="284"/>
        <w:jc w:val="both"/>
        <w:rPr>
          <w:rFonts w:cs="Arial"/>
        </w:rPr>
      </w:pPr>
      <w:r w:rsidRPr="00115F14">
        <w:rPr>
          <w:rFonts w:cs="Arial"/>
        </w:rPr>
        <w:t>širši nabor kandidatov za imenovanje nacionalnega predstavnika in njegovega namestnika tudi iz vrst sodnikov oziroma predstavnikov sodnega organa z enakovrednimi pristojnostmi, kot jih ima državni tožilec ali sodnik v skladu z nacionalnim pravom.</w:t>
      </w:r>
    </w:p>
    <w:p w:rsidR="00AE2155" w:rsidRPr="00115F14" w:rsidRDefault="00AE2155" w:rsidP="00B644CC">
      <w:pPr>
        <w:spacing w:line="288" w:lineRule="auto"/>
        <w:jc w:val="center"/>
        <w:rPr>
          <w:rFonts w:cs="Arial"/>
          <w:szCs w:val="20"/>
        </w:rPr>
      </w:pPr>
    </w:p>
    <w:p w:rsidR="00AE2155" w:rsidRPr="00115F14" w:rsidRDefault="00AE2155" w:rsidP="00B644CC">
      <w:pPr>
        <w:autoSpaceDE w:val="0"/>
        <w:autoSpaceDN w:val="0"/>
        <w:adjustRightInd w:val="0"/>
        <w:spacing w:line="288" w:lineRule="auto"/>
        <w:jc w:val="both"/>
        <w:rPr>
          <w:rFonts w:cs="Arial"/>
          <w:szCs w:val="20"/>
        </w:rPr>
      </w:pPr>
      <w:r w:rsidRPr="00115F14">
        <w:rPr>
          <w:rFonts w:cs="Arial"/>
          <w:szCs w:val="20"/>
        </w:rPr>
        <w:t xml:space="preserve">Z Uredbo </w:t>
      </w:r>
      <w:bookmarkStart w:id="7" w:name="_Hlk40861071"/>
      <w:r w:rsidRPr="00115F14">
        <w:rPr>
          <w:rFonts w:eastAsia="Calibri" w:cs="Arial"/>
          <w:szCs w:val="20"/>
        </w:rPr>
        <w:t xml:space="preserve">2018/1727/EU </w:t>
      </w:r>
      <w:bookmarkEnd w:id="7"/>
      <w:r w:rsidRPr="00115F14">
        <w:rPr>
          <w:rFonts w:eastAsia="Calibri" w:cs="Arial"/>
          <w:szCs w:val="20"/>
        </w:rPr>
        <w:t xml:space="preserve">se določa tudi </w:t>
      </w:r>
      <w:r w:rsidRPr="00115F14">
        <w:rPr>
          <w:rFonts w:cs="Arial"/>
          <w:szCs w:val="20"/>
        </w:rPr>
        <w:t xml:space="preserve">Nacionalni sistem za usklajevanje dejavnosti Eurojusta, ki  v svojem bistvu ne odstopa od uveljavljene ureditve v ZDT-1 z nekoliko drugačno sestavo. </w:t>
      </w:r>
    </w:p>
    <w:p w:rsidR="00AE2155" w:rsidRPr="00115F14" w:rsidRDefault="00AE2155" w:rsidP="00B644CC">
      <w:pPr>
        <w:spacing w:line="288" w:lineRule="auto"/>
        <w:jc w:val="center"/>
        <w:rPr>
          <w:rFonts w:cs="Arial"/>
          <w:szCs w:val="20"/>
        </w:rPr>
      </w:pPr>
    </w:p>
    <w:p w:rsidR="00AE2155" w:rsidRPr="00115F14" w:rsidRDefault="00AE2155" w:rsidP="00B644CC">
      <w:pPr>
        <w:autoSpaceDE w:val="0"/>
        <w:autoSpaceDN w:val="0"/>
        <w:adjustRightInd w:val="0"/>
        <w:spacing w:line="288" w:lineRule="auto"/>
        <w:jc w:val="both"/>
        <w:rPr>
          <w:rFonts w:cs="Arial"/>
          <w:szCs w:val="20"/>
        </w:rPr>
      </w:pPr>
      <w:r w:rsidRPr="00115F14">
        <w:rPr>
          <w:rFonts w:cs="Arial"/>
          <w:szCs w:val="20"/>
        </w:rPr>
        <w:t>Nacionalni sistem za usklajevanje dejavnosti Eurojusta sestavljajo:</w:t>
      </w:r>
    </w:p>
    <w:p w:rsidR="00AE2155" w:rsidRPr="00115F14" w:rsidRDefault="00AE2155" w:rsidP="008647C7">
      <w:pPr>
        <w:pStyle w:val="Odstavekseznama"/>
        <w:numPr>
          <w:ilvl w:val="0"/>
          <w:numId w:val="12"/>
        </w:numPr>
        <w:suppressAutoHyphens/>
        <w:autoSpaceDE w:val="0"/>
        <w:autoSpaceDN w:val="0"/>
        <w:adjustRightInd w:val="0"/>
        <w:spacing w:line="288" w:lineRule="auto"/>
        <w:ind w:left="360"/>
        <w:jc w:val="both"/>
        <w:rPr>
          <w:rFonts w:cs="Arial"/>
          <w:szCs w:val="20"/>
        </w:rPr>
      </w:pPr>
      <w:r w:rsidRPr="00115F14">
        <w:rPr>
          <w:rFonts w:cs="Arial"/>
          <w:szCs w:val="20"/>
        </w:rPr>
        <w:t xml:space="preserve">nacionalni korespondent Eurojusta;   </w:t>
      </w:r>
    </w:p>
    <w:p w:rsidR="00AE2155" w:rsidRPr="00115F14" w:rsidRDefault="00AE2155" w:rsidP="008647C7">
      <w:pPr>
        <w:pStyle w:val="Odstavekseznama"/>
        <w:numPr>
          <w:ilvl w:val="0"/>
          <w:numId w:val="12"/>
        </w:numPr>
        <w:suppressAutoHyphens/>
        <w:autoSpaceDE w:val="0"/>
        <w:autoSpaceDN w:val="0"/>
        <w:adjustRightInd w:val="0"/>
        <w:spacing w:line="288" w:lineRule="auto"/>
        <w:ind w:left="360"/>
        <w:jc w:val="both"/>
        <w:rPr>
          <w:rFonts w:cs="Arial"/>
          <w:szCs w:val="20"/>
        </w:rPr>
      </w:pPr>
      <w:r w:rsidRPr="00115F14">
        <w:rPr>
          <w:rFonts w:cs="Arial"/>
          <w:szCs w:val="20"/>
        </w:rPr>
        <w:t>nacionalni korespondent za vprašanja, povezana s pristojnostmi Evropskega javnega tožilstva;</w:t>
      </w:r>
    </w:p>
    <w:p w:rsidR="00AE2155" w:rsidRPr="00115F14" w:rsidRDefault="00AE2155" w:rsidP="008647C7">
      <w:pPr>
        <w:pStyle w:val="Odstavekseznama"/>
        <w:numPr>
          <w:ilvl w:val="0"/>
          <w:numId w:val="12"/>
        </w:numPr>
        <w:suppressAutoHyphens/>
        <w:autoSpaceDE w:val="0"/>
        <w:autoSpaceDN w:val="0"/>
        <w:adjustRightInd w:val="0"/>
        <w:spacing w:line="288" w:lineRule="auto"/>
        <w:ind w:left="360"/>
        <w:jc w:val="both"/>
        <w:rPr>
          <w:rFonts w:cs="Arial"/>
          <w:szCs w:val="20"/>
        </w:rPr>
      </w:pPr>
      <w:r w:rsidRPr="00115F14">
        <w:rPr>
          <w:rFonts w:cs="Arial"/>
          <w:szCs w:val="20"/>
        </w:rPr>
        <w:t xml:space="preserve">nacionalni korespondent Eurojusta za področje terorizma;   </w:t>
      </w:r>
    </w:p>
    <w:p w:rsidR="00AE2155" w:rsidRPr="00115F14" w:rsidRDefault="00AE2155" w:rsidP="008647C7">
      <w:pPr>
        <w:pStyle w:val="Odstavekseznama"/>
        <w:numPr>
          <w:ilvl w:val="0"/>
          <w:numId w:val="12"/>
        </w:numPr>
        <w:suppressAutoHyphens/>
        <w:autoSpaceDE w:val="0"/>
        <w:autoSpaceDN w:val="0"/>
        <w:adjustRightInd w:val="0"/>
        <w:spacing w:line="288" w:lineRule="auto"/>
        <w:ind w:left="360"/>
        <w:jc w:val="both"/>
        <w:rPr>
          <w:rFonts w:cs="Arial"/>
          <w:szCs w:val="20"/>
        </w:rPr>
      </w:pPr>
      <w:r w:rsidRPr="00115F14">
        <w:rPr>
          <w:rFonts w:cs="Arial"/>
          <w:szCs w:val="20"/>
        </w:rPr>
        <w:t>nacionalni korespondent Evropske pravosodne mreže in še največ tri druge kontaktne točke</w:t>
      </w:r>
    </w:p>
    <w:p w:rsidR="00AE2155" w:rsidRPr="00115F14" w:rsidRDefault="00AE2155" w:rsidP="008647C7">
      <w:pPr>
        <w:pStyle w:val="Odstavekseznama"/>
        <w:suppressAutoHyphens/>
        <w:autoSpaceDE w:val="0"/>
        <w:autoSpaceDN w:val="0"/>
        <w:adjustRightInd w:val="0"/>
        <w:spacing w:line="288" w:lineRule="auto"/>
        <w:ind w:left="360"/>
        <w:jc w:val="both"/>
        <w:rPr>
          <w:rFonts w:cs="Arial"/>
          <w:szCs w:val="20"/>
        </w:rPr>
      </w:pPr>
      <w:r w:rsidRPr="00115F14">
        <w:rPr>
          <w:rFonts w:cs="Arial"/>
          <w:szCs w:val="20"/>
        </w:rPr>
        <w:t>Evropske pravosodne mreže, ki jih slednja za to določi;</w:t>
      </w:r>
    </w:p>
    <w:p w:rsidR="00AE2155" w:rsidRPr="00115F14" w:rsidRDefault="00AE2155" w:rsidP="008647C7">
      <w:pPr>
        <w:pStyle w:val="Odstavekseznama"/>
        <w:numPr>
          <w:ilvl w:val="0"/>
          <w:numId w:val="12"/>
        </w:numPr>
        <w:suppressAutoHyphens/>
        <w:autoSpaceDE w:val="0"/>
        <w:autoSpaceDN w:val="0"/>
        <w:adjustRightInd w:val="0"/>
        <w:spacing w:line="288" w:lineRule="auto"/>
        <w:ind w:left="360"/>
        <w:jc w:val="both"/>
        <w:rPr>
          <w:rFonts w:cs="Arial"/>
          <w:szCs w:val="20"/>
        </w:rPr>
      </w:pPr>
      <w:r w:rsidRPr="00115F14">
        <w:rPr>
          <w:rFonts w:cs="Arial"/>
          <w:szCs w:val="20"/>
        </w:rPr>
        <w:t>kontaktna točka mreže za področje genocida, vojnih zločinov in zločinov proti človeštvu;</w:t>
      </w:r>
    </w:p>
    <w:p w:rsidR="00AE2155" w:rsidRPr="00115F14" w:rsidRDefault="00AE2155" w:rsidP="008647C7">
      <w:pPr>
        <w:pStyle w:val="Odstavekseznama"/>
        <w:numPr>
          <w:ilvl w:val="0"/>
          <w:numId w:val="12"/>
        </w:numPr>
        <w:suppressAutoHyphens/>
        <w:autoSpaceDE w:val="0"/>
        <w:autoSpaceDN w:val="0"/>
        <w:adjustRightInd w:val="0"/>
        <w:spacing w:line="288" w:lineRule="auto"/>
        <w:ind w:left="360"/>
        <w:jc w:val="both"/>
        <w:rPr>
          <w:rFonts w:cs="Arial"/>
          <w:szCs w:val="20"/>
        </w:rPr>
      </w:pPr>
      <w:r w:rsidRPr="00115F14">
        <w:rPr>
          <w:rFonts w:cs="Arial"/>
          <w:szCs w:val="20"/>
        </w:rPr>
        <w:lastRenderedPageBreak/>
        <w:t>kontaktne točke mreže skupnih preiskovalnih skupin;</w:t>
      </w:r>
    </w:p>
    <w:p w:rsidR="00AE2155" w:rsidRPr="00115F14" w:rsidRDefault="00AE2155" w:rsidP="008647C7">
      <w:pPr>
        <w:pStyle w:val="Odstavekseznama"/>
        <w:numPr>
          <w:ilvl w:val="0"/>
          <w:numId w:val="12"/>
        </w:numPr>
        <w:suppressAutoHyphens/>
        <w:autoSpaceDE w:val="0"/>
        <w:autoSpaceDN w:val="0"/>
        <w:adjustRightInd w:val="0"/>
        <w:spacing w:line="288" w:lineRule="auto"/>
        <w:ind w:left="360"/>
        <w:jc w:val="both"/>
        <w:rPr>
          <w:rFonts w:cs="Arial"/>
          <w:szCs w:val="20"/>
        </w:rPr>
      </w:pPr>
      <w:r w:rsidRPr="00115F14">
        <w:rPr>
          <w:rFonts w:cs="Arial"/>
          <w:szCs w:val="20"/>
        </w:rPr>
        <w:t xml:space="preserve">kontaktna točka </w:t>
      </w:r>
      <w:r w:rsidRPr="00115F14">
        <w:t>mreže za boj proti korupciji</w:t>
      </w:r>
      <w:r>
        <w:t xml:space="preserve"> </w:t>
      </w:r>
      <w:r w:rsidRPr="00115F14">
        <w:rPr>
          <w:rFonts w:cs="Arial"/>
          <w:szCs w:val="20"/>
        </w:rPr>
        <w:t>in</w:t>
      </w:r>
    </w:p>
    <w:p w:rsidR="00AE2155" w:rsidRPr="00115F14" w:rsidRDefault="00AE2155" w:rsidP="008647C7">
      <w:pPr>
        <w:pStyle w:val="Odstavekseznama"/>
        <w:numPr>
          <w:ilvl w:val="0"/>
          <w:numId w:val="12"/>
        </w:numPr>
        <w:suppressAutoHyphens/>
        <w:autoSpaceDE w:val="0"/>
        <w:autoSpaceDN w:val="0"/>
        <w:adjustRightInd w:val="0"/>
        <w:spacing w:line="288" w:lineRule="auto"/>
        <w:ind w:left="360"/>
        <w:jc w:val="both"/>
        <w:rPr>
          <w:rFonts w:cs="Arial"/>
          <w:szCs w:val="20"/>
        </w:rPr>
      </w:pPr>
      <w:r w:rsidRPr="00115F14">
        <w:rPr>
          <w:rFonts w:cs="Arial"/>
          <w:szCs w:val="20"/>
        </w:rPr>
        <w:t>kontaktna točka uradov za odvzem premoženjske koristi (ARO).</w:t>
      </w:r>
    </w:p>
    <w:p w:rsidR="00AE2155" w:rsidRPr="00115F14" w:rsidRDefault="00AE2155" w:rsidP="00B644CC">
      <w:pPr>
        <w:spacing w:line="288" w:lineRule="auto"/>
        <w:jc w:val="both"/>
        <w:rPr>
          <w:rFonts w:eastAsia="Calibri" w:cs="Arial"/>
          <w:szCs w:val="20"/>
        </w:rPr>
      </w:pPr>
    </w:p>
    <w:p w:rsidR="00AE2155" w:rsidRPr="00115F14" w:rsidRDefault="00AE2155" w:rsidP="00B644CC">
      <w:pPr>
        <w:spacing w:line="288" w:lineRule="auto"/>
        <w:jc w:val="both"/>
        <w:rPr>
          <w:rFonts w:eastAsia="Calibri" w:cs="Arial"/>
          <w:szCs w:val="20"/>
        </w:rPr>
      </w:pPr>
      <w:r w:rsidRPr="00115F14">
        <w:rPr>
          <w:rFonts w:eastAsia="Calibri" w:cs="Arial"/>
          <w:szCs w:val="20"/>
        </w:rPr>
        <w:t>Po potrebi lahko sestavljajo nacionalni sistem za usklajevanje dejavnosti Eurojusta tudi drugi pravosodni organi.</w:t>
      </w:r>
    </w:p>
    <w:p w:rsidR="00AE2155" w:rsidRPr="00115F14" w:rsidRDefault="00AE2155" w:rsidP="00B644CC">
      <w:pPr>
        <w:spacing w:line="288" w:lineRule="auto"/>
        <w:jc w:val="center"/>
        <w:rPr>
          <w:rFonts w:cs="Arial"/>
          <w:szCs w:val="20"/>
        </w:rPr>
      </w:pPr>
    </w:p>
    <w:p w:rsidR="00AE2155" w:rsidRPr="00115F14" w:rsidRDefault="00AE2155" w:rsidP="00B644CC">
      <w:pPr>
        <w:spacing w:line="288" w:lineRule="auto"/>
        <w:jc w:val="center"/>
        <w:rPr>
          <w:rFonts w:cs="Arial"/>
          <w:szCs w:val="20"/>
        </w:rPr>
      </w:pPr>
      <w:r w:rsidRPr="00115F14">
        <w:rPr>
          <w:rFonts w:cs="Arial"/>
          <w:szCs w:val="20"/>
        </w:rPr>
        <w:t>Organizacijska shema EUROJUST:</w:t>
      </w:r>
    </w:p>
    <w:p w:rsidR="00AE2155" w:rsidRPr="00115F14" w:rsidRDefault="00AE2155" w:rsidP="00B644CC">
      <w:pPr>
        <w:spacing w:line="288" w:lineRule="auto"/>
        <w:jc w:val="both"/>
        <w:rPr>
          <w:rFonts w:cs="Arial"/>
          <w:szCs w:val="20"/>
        </w:rPr>
      </w:pPr>
    </w:p>
    <w:p w:rsidR="00AE2155" w:rsidRPr="00115F14" w:rsidRDefault="009A57DF" w:rsidP="00B644CC">
      <w:pPr>
        <w:spacing w:line="288" w:lineRule="auto"/>
        <w:jc w:val="center"/>
        <w:rPr>
          <w:rFonts w:cs="Arial"/>
          <w:szCs w:val="20"/>
        </w:rPr>
      </w:pPr>
      <w:r>
        <w:rPr>
          <w:rFonts w:cs="Arial"/>
          <w:noProof/>
          <w:szCs w:val="20"/>
          <w:lang w:eastAsia="sl-SI"/>
        </w:rPr>
        <w:drawing>
          <wp:inline distT="0" distB="0" distL="0" distR="0">
            <wp:extent cx="5334000" cy="3152775"/>
            <wp:effectExtent l="0" t="0" r="0" b="0"/>
            <wp:docPr id="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0" cy="3152775"/>
                    </a:xfrm>
                    <a:prstGeom prst="rect">
                      <a:avLst/>
                    </a:prstGeom>
                    <a:noFill/>
                    <a:ln>
                      <a:noFill/>
                    </a:ln>
                  </pic:spPr>
                </pic:pic>
              </a:graphicData>
            </a:graphic>
          </wp:inline>
        </w:drawing>
      </w:r>
    </w:p>
    <w:p w:rsidR="00AE2155" w:rsidRPr="00115F14" w:rsidRDefault="00AE2155" w:rsidP="00B644CC">
      <w:pPr>
        <w:pStyle w:val="Navaden2"/>
        <w:spacing w:before="0" w:beforeAutospacing="0" w:after="0" w:afterAutospacing="0" w:line="288" w:lineRule="auto"/>
        <w:jc w:val="both"/>
        <w:rPr>
          <w:rFonts w:ascii="Arial" w:hAnsi="Arial" w:cs="Arial"/>
          <w:b/>
          <w:bCs/>
          <w:sz w:val="20"/>
          <w:szCs w:val="20"/>
        </w:rPr>
      </w:pPr>
    </w:p>
    <w:p w:rsidR="00AE2155" w:rsidRPr="00115F14" w:rsidRDefault="00AE2155" w:rsidP="00B644CC">
      <w:pPr>
        <w:spacing w:line="288" w:lineRule="auto"/>
        <w:jc w:val="both"/>
        <w:rPr>
          <w:rFonts w:eastAsia="Calibri" w:cs="Arial"/>
          <w:szCs w:val="20"/>
        </w:rPr>
      </w:pPr>
      <w:r w:rsidRPr="00115F14">
        <w:rPr>
          <w:rFonts w:eastAsia="Calibri" w:cs="Arial"/>
          <w:szCs w:val="20"/>
        </w:rPr>
        <w:t>V skladu z 20. členom Uredbe 2018/1727/EU vsaka država članica imenuje enega ali več nacionalnih korespondentov Eurojusta. Nacionalni sistem za usklajevanje dejavnosti Eurojusta</w:t>
      </w:r>
      <w:r>
        <w:rPr>
          <w:rFonts w:eastAsia="Calibri" w:cs="Arial"/>
          <w:szCs w:val="20"/>
        </w:rPr>
        <w:t xml:space="preserve"> po veljavni ureditvi</w:t>
      </w:r>
      <w:r w:rsidRPr="00115F14">
        <w:rPr>
          <w:rFonts w:eastAsia="Calibri" w:cs="Arial"/>
          <w:szCs w:val="20"/>
        </w:rPr>
        <w:t xml:space="preserve"> z navodilom določi generalni državni tožilec.</w:t>
      </w:r>
    </w:p>
    <w:p w:rsidR="00AE2155" w:rsidRPr="00115F14" w:rsidRDefault="00AE2155" w:rsidP="00B644CC">
      <w:pPr>
        <w:spacing w:line="288" w:lineRule="auto"/>
        <w:jc w:val="both"/>
        <w:rPr>
          <w:rFonts w:eastAsia="Calibri" w:cs="Arial"/>
          <w:szCs w:val="20"/>
        </w:rPr>
      </w:pPr>
    </w:p>
    <w:p w:rsidR="00AE2155" w:rsidRPr="00115F14" w:rsidRDefault="00AE2155" w:rsidP="00B644CC">
      <w:pPr>
        <w:spacing w:line="288" w:lineRule="auto"/>
        <w:jc w:val="both"/>
        <w:rPr>
          <w:rFonts w:eastAsia="Calibri" w:cs="Arial"/>
          <w:szCs w:val="20"/>
        </w:rPr>
      </w:pPr>
      <w:r w:rsidRPr="00115F14">
        <w:rPr>
          <w:rFonts w:eastAsia="Calibri" w:cs="Arial"/>
          <w:szCs w:val="20"/>
        </w:rPr>
        <w:t xml:space="preserve">Ker je za izvajanje Uredbe 2018/1727/EU treba spremeniti in dopolniti veljavno ureditev drugega poglavja ZDT-1 (8. oddelek), se s predlogom zakona določa postopek in pogoje za imenovanje nacionalnega </w:t>
      </w:r>
      <w:r>
        <w:rPr>
          <w:rFonts w:eastAsia="Calibri" w:cs="Arial"/>
          <w:szCs w:val="20"/>
        </w:rPr>
        <w:t>predstavnika</w:t>
      </w:r>
      <w:r w:rsidRPr="00115F14">
        <w:rPr>
          <w:rFonts w:eastAsia="Calibri" w:cs="Arial"/>
          <w:szCs w:val="20"/>
        </w:rPr>
        <w:t>, njegovega namestnika in pomočnika, doba imenovanja ter pravice in pooblastila, ki gredo imenovanim</w:t>
      </w:r>
      <w:r w:rsidR="00822DD6">
        <w:rPr>
          <w:rFonts w:eastAsia="Calibri" w:cs="Arial"/>
          <w:szCs w:val="20"/>
        </w:rPr>
        <w:t xml:space="preserve"> članom</w:t>
      </w:r>
      <w:r>
        <w:rPr>
          <w:rFonts w:eastAsia="Calibri" w:cs="Arial"/>
          <w:szCs w:val="20"/>
        </w:rPr>
        <w:t xml:space="preserve"> </w:t>
      </w:r>
      <w:r w:rsidRPr="00115F14">
        <w:rPr>
          <w:rFonts w:eastAsia="Calibri" w:cs="Arial"/>
          <w:szCs w:val="20"/>
        </w:rPr>
        <w:t>Eurojusta iz Republike Slovenije.</w:t>
      </w:r>
    </w:p>
    <w:p w:rsidR="00B644CC" w:rsidRPr="00115F14" w:rsidRDefault="00B644CC" w:rsidP="00B644CC">
      <w:pPr>
        <w:spacing w:line="288" w:lineRule="auto"/>
        <w:jc w:val="both"/>
        <w:rPr>
          <w:rFonts w:eastAsia="Calibri" w:cs="Arial"/>
          <w:szCs w:val="20"/>
        </w:rPr>
      </w:pPr>
    </w:p>
    <w:p w:rsidR="00AE2155" w:rsidRPr="00115F14" w:rsidRDefault="00AE2155" w:rsidP="00B644CC">
      <w:pPr>
        <w:spacing w:line="288" w:lineRule="auto"/>
        <w:jc w:val="both"/>
        <w:rPr>
          <w:rFonts w:cs="Arial"/>
          <w:b/>
        </w:rPr>
      </w:pPr>
      <w:r w:rsidRPr="00115F14">
        <w:rPr>
          <w:rFonts w:cs="Arial"/>
          <w:b/>
        </w:rPr>
        <w:t>1.2 Priporočila Računskega sodišča RS</w:t>
      </w:r>
    </w:p>
    <w:p w:rsidR="00AE2155" w:rsidRPr="00115F14" w:rsidRDefault="00AE2155" w:rsidP="00B644CC">
      <w:pPr>
        <w:spacing w:line="288" w:lineRule="auto"/>
        <w:jc w:val="both"/>
        <w:rPr>
          <w:rFonts w:cs="Arial"/>
          <w:b/>
        </w:rPr>
      </w:pPr>
    </w:p>
    <w:p w:rsidR="00AE2155" w:rsidRPr="00115F14" w:rsidRDefault="00AE2155" w:rsidP="00B644CC">
      <w:pPr>
        <w:pStyle w:val="Golobesedilo"/>
        <w:spacing w:line="288" w:lineRule="auto"/>
        <w:jc w:val="both"/>
        <w:rPr>
          <w:rFonts w:ascii="Arial" w:eastAsia="Times New Roman" w:hAnsi="Arial" w:cs="Arial"/>
          <w:sz w:val="20"/>
          <w:szCs w:val="24"/>
        </w:rPr>
      </w:pPr>
      <w:bookmarkStart w:id="8" w:name="_Hlk530400995"/>
      <w:bookmarkStart w:id="9" w:name="_Hlk532289015"/>
      <w:r w:rsidRPr="00115F14">
        <w:rPr>
          <w:rFonts w:ascii="Arial" w:eastAsia="Times New Roman" w:hAnsi="Arial" w:cs="Arial"/>
          <w:sz w:val="20"/>
          <w:szCs w:val="24"/>
        </w:rPr>
        <w:t>Računsko sodišče je izvedlo revizijo učinkovitosti sistema opravljanja nujnih procesnih dejanj v pravosodnih organih v obdobju od 1. 1. 2014 do 31. 5. 2016. Sistem opravljanja nujnih procesnih dejanj je proučevalo na Ministrstvu za pravosodje, Vrhovnem državnem tožilstvu Republike Slovenije, Vrhovnem sodišču Republike Slovenije, Okrožnem sodišču v Celju, Okrožnem državnem tožilstvu v Celju in Specializiranem državnem tožilstvu Republike Slovenije.</w:t>
      </w:r>
    </w:p>
    <w:p w:rsidR="00AE2155" w:rsidRPr="00115F14" w:rsidRDefault="00AE2155" w:rsidP="00B644CC">
      <w:pPr>
        <w:pStyle w:val="Golobesedilo"/>
        <w:spacing w:line="288" w:lineRule="auto"/>
        <w:jc w:val="both"/>
        <w:rPr>
          <w:rFonts w:ascii="Arial" w:eastAsia="Times New Roman" w:hAnsi="Arial" w:cs="Arial"/>
          <w:sz w:val="20"/>
          <w:szCs w:val="24"/>
        </w:rPr>
      </w:pPr>
    </w:p>
    <w:p w:rsidR="00AE2155" w:rsidRPr="00115F14" w:rsidRDefault="00AE2155" w:rsidP="00B644CC">
      <w:pPr>
        <w:pStyle w:val="Golobesedilo"/>
        <w:spacing w:line="288" w:lineRule="auto"/>
        <w:jc w:val="both"/>
        <w:rPr>
          <w:rFonts w:ascii="Arial" w:eastAsia="Times New Roman" w:hAnsi="Arial" w:cs="Arial"/>
          <w:sz w:val="20"/>
          <w:szCs w:val="24"/>
        </w:rPr>
      </w:pPr>
      <w:r w:rsidRPr="00115F14">
        <w:rPr>
          <w:rFonts w:ascii="Arial" w:eastAsia="Times New Roman" w:hAnsi="Arial" w:cs="Arial"/>
          <w:sz w:val="20"/>
          <w:szCs w:val="24"/>
        </w:rPr>
        <w:t>Iz ocene računskega sodišča izhaja, da je sistem opravljanja nujnih procesnih dejanj v pravosodnih organih delno učinkovit, saj ni bil v celoti vzpostavljen normativni okvir za</w:t>
      </w:r>
      <w:r>
        <w:rPr>
          <w:rFonts w:ascii="Arial" w:eastAsia="Times New Roman" w:hAnsi="Arial" w:cs="Arial"/>
          <w:sz w:val="20"/>
          <w:szCs w:val="24"/>
        </w:rPr>
        <w:t xml:space="preserve"> </w:t>
      </w:r>
      <w:r w:rsidRPr="00115F14">
        <w:rPr>
          <w:rFonts w:ascii="Arial" w:eastAsia="Times New Roman" w:hAnsi="Arial" w:cs="Arial"/>
          <w:sz w:val="20"/>
          <w:szCs w:val="24"/>
        </w:rPr>
        <w:t>ureditev pravic in obveznosti javnih uslužbencev, ko sodelujejo pri opravljanju nujnih procesnih dejanj.</w:t>
      </w:r>
    </w:p>
    <w:p w:rsidR="00AE2155" w:rsidRPr="00115F14" w:rsidRDefault="00AE2155" w:rsidP="00B644CC">
      <w:pPr>
        <w:pStyle w:val="Golobesedilo"/>
        <w:spacing w:line="288" w:lineRule="auto"/>
        <w:jc w:val="both"/>
        <w:rPr>
          <w:rFonts w:ascii="Arial" w:eastAsia="Times New Roman" w:hAnsi="Arial" w:cs="Arial"/>
          <w:sz w:val="20"/>
          <w:szCs w:val="24"/>
        </w:rPr>
      </w:pPr>
    </w:p>
    <w:p w:rsidR="00AE2155" w:rsidRPr="00115F14" w:rsidRDefault="00AE2155" w:rsidP="00B644CC">
      <w:pPr>
        <w:pStyle w:val="Golobesedilo"/>
        <w:spacing w:line="288" w:lineRule="auto"/>
        <w:jc w:val="both"/>
        <w:rPr>
          <w:rFonts w:ascii="Arial" w:eastAsia="Times New Roman" w:hAnsi="Arial" w:cs="Arial"/>
          <w:sz w:val="20"/>
          <w:szCs w:val="24"/>
        </w:rPr>
      </w:pPr>
      <w:r w:rsidRPr="00115F14">
        <w:rPr>
          <w:rFonts w:ascii="Arial" w:eastAsia="Times New Roman" w:hAnsi="Arial" w:cs="Arial"/>
          <w:sz w:val="20"/>
          <w:szCs w:val="24"/>
        </w:rPr>
        <w:lastRenderedPageBreak/>
        <w:t>Ker področni zakoni ne določajo posebnih pravic in dolžnosti sodnega oziroma državno tožilskega osebja, da opravlja svoje delo tudi v dežurstvu in pripravljenosti, ko sodeluje pri izvajanju nujnih procesnih dejanj izven delovnega časa, pri obračunih in izplačilih plač pa se v praksi niso upoštevala določila Zakona o sistemu plač v javnem sektorju</w:t>
      </w:r>
      <w:r w:rsidRPr="00115F14">
        <w:rPr>
          <w:rStyle w:val="Sprotnaopomba-sklic"/>
          <w:rFonts w:ascii="Arial" w:eastAsia="Times New Roman" w:hAnsi="Arial" w:cs="Arial"/>
          <w:sz w:val="20"/>
          <w:szCs w:val="24"/>
        </w:rPr>
        <w:footnoteReference w:id="3"/>
      </w:r>
      <w:r w:rsidRPr="00115F14">
        <w:rPr>
          <w:rFonts w:ascii="Arial" w:eastAsia="Times New Roman" w:hAnsi="Arial" w:cs="Arial"/>
          <w:sz w:val="20"/>
          <w:szCs w:val="24"/>
        </w:rPr>
        <w:t xml:space="preserve"> (</w:t>
      </w:r>
      <w:r>
        <w:rPr>
          <w:rFonts w:ascii="Arial" w:eastAsia="Times New Roman" w:hAnsi="Arial" w:cs="Arial"/>
          <w:sz w:val="20"/>
          <w:szCs w:val="24"/>
        </w:rPr>
        <w:t xml:space="preserve">v nadaljnjem besedilu: </w:t>
      </w:r>
      <w:r w:rsidRPr="00115F14">
        <w:rPr>
          <w:rFonts w:ascii="Arial" w:eastAsia="Times New Roman" w:hAnsi="Arial" w:cs="Arial"/>
          <w:sz w:val="20"/>
          <w:szCs w:val="24"/>
        </w:rPr>
        <w:t>ZSPJS), se s predlogom tega zakona sledi priporočilu Računskega sodišča.</w:t>
      </w:r>
    </w:p>
    <w:p w:rsidR="00AE2155" w:rsidRPr="00115F14" w:rsidRDefault="00AE2155" w:rsidP="00B644CC">
      <w:pPr>
        <w:pStyle w:val="Golobesedilo"/>
        <w:spacing w:line="288" w:lineRule="auto"/>
        <w:jc w:val="both"/>
        <w:rPr>
          <w:rFonts w:ascii="Arial" w:eastAsia="Times New Roman" w:hAnsi="Arial" w:cs="Arial"/>
          <w:sz w:val="20"/>
          <w:szCs w:val="24"/>
        </w:rPr>
      </w:pPr>
    </w:p>
    <w:p w:rsidR="00AE2155" w:rsidRPr="00115F14" w:rsidRDefault="00AE2155" w:rsidP="00B644CC">
      <w:pPr>
        <w:pStyle w:val="Golobesedilo"/>
        <w:spacing w:line="288" w:lineRule="auto"/>
        <w:jc w:val="both"/>
        <w:rPr>
          <w:rFonts w:ascii="Arial" w:hAnsi="Arial" w:cs="Arial"/>
          <w:sz w:val="20"/>
          <w:szCs w:val="20"/>
        </w:rPr>
      </w:pPr>
      <w:r w:rsidRPr="00115F14">
        <w:rPr>
          <w:rFonts w:ascii="Arial" w:eastAsia="Times New Roman" w:hAnsi="Arial" w:cs="Arial"/>
          <w:sz w:val="20"/>
          <w:szCs w:val="24"/>
        </w:rPr>
        <w:t>Predlagatelj ugotavlja, da delovnopravna zakonodaja, zlasti Zakon o javnih uslužbencih</w:t>
      </w:r>
      <w:r w:rsidRPr="00115F14">
        <w:rPr>
          <w:rStyle w:val="Sprotnaopomba-sklic"/>
          <w:rFonts w:ascii="Arial" w:hAnsi="Arial" w:cs="Arial"/>
          <w:sz w:val="20"/>
          <w:szCs w:val="20"/>
        </w:rPr>
        <w:footnoteReference w:id="4"/>
      </w:r>
      <w:r>
        <w:rPr>
          <w:rFonts w:ascii="Arial" w:eastAsia="Times New Roman" w:hAnsi="Arial" w:cs="Arial"/>
          <w:sz w:val="20"/>
          <w:szCs w:val="24"/>
        </w:rPr>
        <w:t xml:space="preserve"> </w:t>
      </w:r>
      <w:r w:rsidRPr="00115F14">
        <w:rPr>
          <w:rFonts w:ascii="Arial" w:eastAsia="Times New Roman" w:hAnsi="Arial" w:cs="Arial"/>
          <w:sz w:val="20"/>
          <w:szCs w:val="24"/>
        </w:rPr>
        <w:t>(</w:t>
      </w:r>
      <w:r>
        <w:rPr>
          <w:rFonts w:ascii="Arial" w:eastAsia="Times New Roman" w:hAnsi="Arial" w:cs="Arial"/>
          <w:sz w:val="20"/>
          <w:szCs w:val="24"/>
        </w:rPr>
        <w:t xml:space="preserve">v nadaljnjem besedilu: </w:t>
      </w:r>
      <w:r w:rsidRPr="00115F14">
        <w:rPr>
          <w:rFonts w:ascii="Arial" w:eastAsia="Times New Roman" w:hAnsi="Arial" w:cs="Arial"/>
          <w:sz w:val="20"/>
          <w:szCs w:val="24"/>
        </w:rPr>
        <w:t>ZJU) in ZSPJS na</w:t>
      </w:r>
      <w:r>
        <w:rPr>
          <w:rFonts w:ascii="Arial" w:eastAsia="Times New Roman" w:hAnsi="Arial" w:cs="Arial"/>
          <w:sz w:val="20"/>
          <w:szCs w:val="24"/>
        </w:rPr>
        <w:t xml:space="preserve"> </w:t>
      </w:r>
      <w:r w:rsidRPr="00115F14">
        <w:rPr>
          <w:rFonts w:ascii="Arial" w:eastAsia="Times New Roman" w:hAnsi="Arial" w:cs="Arial"/>
          <w:sz w:val="20"/>
          <w:szCs w:val="24"/>
        </w:rPr>
        <w:t xml:space="preserve">področju dežurstev in nadurnega dela ter pripravljenosti ne določajo posebnosti, ki bi veljale za sodno oziroma državnotožilsko osebje. </w:t>
      </w:r>
      <w:r w:rsidRPr="00115F14">
        <w:rPr>
          <w:rFonts w:ascii="Arial" w:hAnsi="Arial" w:cs="Arial"/>
          <w:sz w:val="20"/>
          <w:szCs w:val="20"/>
        </w:rPr>
        <w:t xml:space="preserve">Ker se na podlagi tretjega odstavka 22. člena ZJU lahko posamezna vprašanja za sodno osebje in osebje državnih tožilstev z zakonom uredi drugače, kot so urejena v ZJU, se s predlogom zakona dopolnjujejo zakonske podlage za sodelovanje državnotožilskega osebja pri opravljanju nujnih procesnih dejanj. V primerih sodelovanja javnih uslužbencev pri zagotavljanju izvajanja nujnih procesnih dejanj gre za specifično naravo njihovih nalog, hkrati pa za sistemsko ureditev posebnih dolžnosti državnotožilskega osebja, ki v času dežurstva in pripravljenosti sodeluje z državnimi tožilci pri opravljanju nujnih procesnih dejanj. Zato se s predlogom zakona urejajo pogoji in plačilo za opravljeno delo z navezavo na sistemski predpis, ki enotno ureja podlage in postopek določitve plač ter dodatkov za celotni javni sektor. </w:t>
      </w:r>
    </w:p>
    <w:p w:rsidR="00AE2155" w:rsidRDefault="00AE2155" w:rsidP="00B644CC">
      <w:pPr>
        <w:pStyle w:val="Golobesedilo"/>
        <w:spacing w:line="288" w:lineRule="auto"/>
        <w:jc w:val="both"/>
        <w:rPr>
          <w:rFonts w:ascii="Arial" w:eastAsia="Times New Roman" w:hAnsi="Arial" w:cs="Arial"/>
          <w:sz w:val="20"/>
          <w:szCs w:val="24"/>
        </w:rPr>
      </w:pPr>
    </w:p>
    <w:p w:rsidR="00E762CA" w:rsidRDefault="00E762CA" w:rsidP="00E762CA">
      <w:pPr>
        <w:spacing w:line="288" w:lineRule="auto"/>
        <w:jc w:val="both"/>
        <w:rPr>
          <w:rFonts w:cs="Arial"/>
          <w:szCs w:val="20"/>
        </w:rPr>
      </w:pPr>
      <w:r>
        <w:rPr>
          <w:rFonts w:cs="Arial"/>
          <w:color w:val="000000"/>
          <w:szCs w:val="20"/>
        </w:rPr>
        <w:t>Dodatke za delo</w:t>
      </w:r>
      <w:r>
        <w:rPr>
          <w:rFonts w:ascii="Arial;sans-serif" w:hAnsi="Arial;sans-serif"/>
          <w:color w:val="000000"/>
          <w:szCs w:val="20"/>
        </w:rPr>
        <w:t xml:space="preserve"> v manj ugodnem delovnem času in za čas pripravljenosti za javne uslužbence določa ZSPJS. Izjemoma so do teh dodatkov upravičeni tudi sodniki in državni tožilce, ostali funkcionarji pa do dodatkov, razen dodatka na delovno dobo, niso upravičeni. Glede višine dodatkov zakon napotuje na kolektivne pogodbe dejavnosti. Vsebinska opredelitev kategorij dela v manj ugodnem delovnem času je prepuščena kolektivnim pogodbam in področnim zakonom, kjer so določene posebnosti glede na naravo dela posameznega področja.</w:t>
      </w:r>
      <w:r>
        <w:rPr>
          <w:rFonts w:cs="Arial"/>
          <w:color w:val="000000"/>
          <w:szCs w:val="20"/>
        </w:rPr>
        <w:t xml:space="preserve"> V nadaljevanju se osredotočamo na institut dela v manj ugodnem delovnem času, še posebej pa na institut pripravljenosti za delo. </w:t>
      </w:r>
    </w:p>
    <w:p w:rsidR="00E762CA" w:rsidRDefault="00E762CA" w:rsidP="00B644CC">
      <w:pPr>
        <w:pStyle w:val="Golobesedilo"/>
        <w:spacing w:line="288" w:lineRule="auto"/>
        <w:jc w:val="both"/>
        <w:rPr>
          <w:rFonts w:ascii="Arial" w:eastAsia="Times New Roman" w:hAnsi="Arial" w:cs="Arial"/>
          <w:sz w:val="20"/>
          <w:szCs w:val="24"/>
        </w:rPr>
      </w:pPr>
    </w:p>
    <w:p w:rsidR="0055102A" w:rsidRPr="00115F14" w:rsidRDefault="0055102A" w:rsidP="0055102A">
      <w:pPr>
        <w:pStyle w:val="rkovnatokazaodstavkom"/>
        <w:numPr>
          <w:ilvl w:val="0"/>
          <w:numId w:val="0"/>
        </w:numPr>
        <w:spacing w:line="288" w:lineRule="auto"/>
        <w:rPr>
          <w:rFonts w:cs="Arial"/>
        </w:rPr>
      </w:pPr>
      <w:r w:rsidRPr="00115F14">
        <w:rPr>
          <w:rFonts w:cs="Arial"/>
        </w:rPr>
        <w:t>Zakon o delovnih razmerjih</w:t>
      </w:r>
      <w:r w:rsidRPr="00115F14">
        <w:rPr>
          <w:rStyle w:val="Sprotnaopomba-sklic"/>
          <w:rFonts w:cs="Arial"/>
        </w:rPr>
        <w:footnoteReference w:id="5"/>
      </w:r>
      <w:r>
        <w:rPr>
          <w:rFonts w:cs="Arial"/>
        </w:rPr>
        <w:t xml:space="preserve"> </w:t>
      </w:r>
      <w:r w:rsidRPr="00115F14">
        <w:rPr>
          <w:rFonts w:cs="Arial"/>
        </w:rPr>
        <w:t>(</w:t>
      </w:r>
      <w:r>
        <w:rPr>
          <w:rFonts w:cs="Arial"/>
        </w:rPr>
        <w:t xml:space="preserve">v nadaljnjem besedilu: </w:t>
      </w:r>
      <w:r w:rsidRPr="00115F14">
        <w:rPr>
          <w:rFonts w:cs="Arial"/>
        </w:rPr>
        <w:t>ZDR-1), ki v Republiki Sloveniji predstavlja krovni zakon na področju delovnih razmerij, pojma pripravljenosti na delo ne opredeljuje. Glede delovnega časa pa splošno določa, da je delovni čas efektivni delovni čas in čas odmora po 154. členu tega zakona ter čas upravičenih odsotnosti z dela v skladu z zakonom in kolektivno pogodbo oziroma splošnim aktom (prvi odstavek 142. člena ZDR-1). Efektivni delovni čas je vsak čas, v katerem delavec dela, kar pomeni, da je na razpolago delodajalcu in izpolnjuje svoje delovne obveznosti iz pogodbe o zaposlitvi in je osnova za izračun produktivnosti dela (drugi in tretji odstavek 142. člena ZDR-1).</w:t>
      </w:r>
    </w:p>
    <w:p w:rsidR="0055102A" w:rsidRPr="00115F14" w:rsidRDefault="0055102A" w:rsidP="00B644CC">
      <w:pPr>
        <w:pStyle w:val="Golobesedilo"/>
        <w:spacing w:line="288" w:lineRule="auto"/>
        <w:jc w:val="both"/>
        <w:rPr>
          <w:rFonts w:ascii="Arial" w:eastAsia="Times New Roman" w:hAnsi="Arial" w:cs="Arial"/>
          <w:sz w:val="20"/>
          <w:szCs w:val="24"/>
        </w:rPr>
      </w:pPr>
    </w:p>
    <w:p w:rsidR="00E762CA" w:rsidRDefault="00E762CA" w:rsidP="00E762CA">
      <w:pPr>
        <w:pStyle w:val="rkovnatokazaodstavkom"/>
        <w:numPr>
          <w:ilvl w:val="0"/>
          <w:numId w:val="0"/>
        </w:numPr>
        <w:spacing w:line="288" w:lineRule="auto"/>
        <w:rPr>
          <w:rFonts w:cs="Arial"/>
          <w:color w:val="000000"/>
        </w:rPr>
      </w:pPr>
      <w:r>
        <w:rPr>
          <w:rFonts w:cs="Arial"/>
          <w:color w:val="000000"/>
        </w:rPr>
        <w:t>Pripravljenost je kot institut predmet ureditve nekaterih specialnih zakonov na področju javnega sektorja, kjer je prisotna potreba, da je delavec izven delovnega mesta dosegljiv za opravljanje delovnih nalog, predvsem na področju zdravstva, organizacije in dela policije, obrambe, zaščite in reševanja, veterinarstva, sodniške službe, državnega tožilstva, zunanjih zadev in gasilstva.</w:t>
      </w:r>
    </w:p>
    <w:p w:rsidR="00E762CA" w:rsidRDefault="00E762CA" w:rsidP="00E762CA">
      <w:pPr>
        <w:pStyle w:val="rkovnatokazaodstavkom"/>
        <w:numPr>
          <w:ilvl w:val="0"/>
          <w:numId w:val="0"/>
        </w:numPr>
        <w:spacing w:line="288" w:lineRule="auto"/>
        <w:rPr>
          <w:rFonts w:cs="Arial"/>
          <w:color w:val="000000"/>
        </w:rPr>
      </w:pPr>
    </w:p>
    <w:p w:rsidR="00E762CA" w:rsidRPr="00A616EE" w:rsidRDefault="00E762CA" w:rsidP="00E762CA">
      <w:pPr>
        <w:spacing w:line="288" w:lineRule="auto"/>
        <w:jc w:val="both"/>
        <w:rPr>
          <w:rFonts w:cs="Arial"/>
          <w:szCs w:val="20"/>
        </w:rPr>
      </w:pPr>
      <w:r w:rsidRPr="00A616EE">
        <w:rPr>
          <w:rFonts w:ascii="Arial;sans-serif" w:hAnsi="Arial;sans-serif"/>
          <w:color w:val="000000"/>
          <w:szCs w:val="20"/>
        </w:rPr>
        <w:lastRenderedPageBreak/>
        <w:t>Glede pripravljenosti</w:t>
      </w:r>
      <w:r w:rsidRPr="00A616EE">
        <w:rPr>
          <w:rFonts w:cs="Arial"/>
          <w:color w:val="000000"/>
          <w:szCs w:val="20"/>
        </w:rPr>
        <w:t xml:space="preserve"> za delo </w:t>
      </w:r>
      <w:r w:rsidRPr="00A616EE">
        <w:rPr>
          <w:rFonts w:ascii="Arial;sans-serif" w:hAnsi="Arial;sans-serif"/>
          <w:color w:val="000000"/>
          <w:szCs w:val="20"/>
        </w:rPr>
        <w:t>Zakon o organiziranosti in delu v policiji</w:t>
      </w:r>
      <w:r w:rsidRPr="00A616EE">
        <w:rPr>
          <w:rStyle w:val="Sidrosprotneopombe"/>
          <w:rFonts w:cs="Arial"/>
          <w:szCs w:val="20"/>
        </w:rPr>
        <w:footnoteReference w:id="6"/>
      </w:r>
      <w:r w:rsidRPr="00A616EE">
        <w:rPr>
          <w:rFonts w:cs="Arial"/>
          <w:szCs w:val="20"/>
        </w:rPr>
        <w:t xml:space="preserve"> (ZODPol) določa, da je to poseben delovni pogoj, </w:t>
      </w:r>
      <w:r w:rsidRPr="00A616EE">
        <w:rPr>
          <w:rFonts w:ascii="Arial;sans-serif" w:hAnsi="Arial;sans-serif" w:cs="Arial"/>
          <w:color w:val="000000"/>
          <w:szCs w:val="20"/>
        </w:rPr>
        <w:t>pri katerem mora biti uslužbenec policije, ki mu je pripravljenost odrejena, v pripravljenosti za delo doma ali na določenem kraju. Pripravljenost pomeni dosegljivost uslužbenca policije po telefonu ali drugih sredstvih za potrebe prihoda na delovno mesto ali na kraj, kjer je treba opraviti nujno nalogo.</w:t>
      </w:r>
      <w:r w:rsidRPr="00A616EE">
        <w:rPr>
          <w:rFonts w:cs="Arial"/>
          <w:szCs w:val="20"/>
        </w:rPr>
        <w:t xml:space="preserve"> </w:t>
      </w:r>
      <w:r w:rsidRPr="00A616EE">
        <w:rPr>
          <w:rFonts w:ascii="Arial;sans-serif" w:hAnsi="Arial;sans-serif" w:cs="Arial"/>
          <w:color w:val="000000"/>
          <w:szCs w:val="20"/>
        </w:rPr>
        <w:t>Uslužbenec policije, ki je v času pripravljenosti poklican na delo, se mora v najkrajšem možnem času zglasiti na delovnem mestu ali kraju, kjer je treba opraviti nujno nalogo.</w:t>
      </w:r>
      <w:r w:rsidRPr="00A616EE">
        <w:rPr>
          <w:rFonts w:cs="Arial"/>
          <w:color w:val="000000"/>
          <w:szCs w:val="20"/>
        </w:rPr>
        <w:t xml:space="preserve"> Pripravljenost za delo se ne šteje v delovni čas. </w:t>
      </w:r>
      <w:r w:rsidRPr="00A616EE">
        <w:rPr>
          <w:rFonts w:ascii="Arial;sans-serif" w:hAnsi="Arial;sans-serif"/>
          <w:color w:val="000000"/>
          <w:szCs w:val="20"/>
        </w:rPr>
        <w:t>Če uslužbenec policije med pripravljenostjo za delo začne opravljati delo, se mu čas opravljanja dela šteje v delovni čas. Pripravljenost za delo je podrobneje urejena še v Kolektivni pogodbi za policiste</w:t>
      </w:r>
      <w:r w:rsidRPr="00A616EE">
        <w:rPr>
          <w:rStyle w:val="Sidrosprotneopombe"/>
          <w:rFonts w:ascii="Arial;sans-serif" w:hAnsi="Arial;sans-serif"/>
          <w:color w:val="000000"/>
          <w:szCs w:val="20"/>
        </w:rPr>
        <w:footnoteReference w:id="7"/>
      </w:r>
    </w:p>
    <w:p w:rsidR="00E762CA" w:rsidRPr="00115F14" w:rsidRDefault="00E762CA" w:rsidP="00E762CA">
      <w:pPr>
        <w:pStyle w:val="rkovnatokazaodstavkom"/>
        <w:numPr>
          <w:ilvl w:val="0"/>
          <w:numId w:val="0"/>
        </w:numPr>
        <w:spacing w:line="288" w:lineRule="auto"/>
        <w:rPr>
          <w:rFonts w:cs="Arial"/>
        </w:rPr>
      </w:pPr>
    </w:p>
    <w:p w:rsidR="00E762CA" w:rsidRDefault="00E762CA" w:rsidP="00E762CA">
      <w:pPr>
        <w:spacing w:line="288" w:lineRule="auto"/>
        <w:jc w:val="both"/>
        <w:rPr>
          <w:rFonts w:ascii="Arial;sans-serif" w:hAnsi="Arial;sans-serif"/>
          <w:color w:val="000000"/>
          <w:szCs w:val="20"/>
        </w:rPr>
      </w:pPr>
      <w:r w:rsidRPr="00A616EE">
        <w:rPr>
          <w:rFonts w:cs="Arial"/>
          <w:szCs w:val="20"/>
        </w:rPr>
        <w:t>Pripravljenost za delo je možna tudi pri uslužbencih finančne uprave, in sicer je opredeljena v 82. členu Zakona o finančni upravi</w:t>
      </w:r>
      <w:r w:rsidRPr="00A616EE">
        <w:rPr>
          <w:rStyle w:val="Sidrosprotneopombe"/>
          <w:rFonts w:cs="Arial"/>
          <w:szCs w:val="20"/>
        </w:rPr>
        <w:footnoteReference w:id="8"/>
      </w:r>
      <w:r w:rsidRPr="00A616EE">
        <w:rPr>
          <w:rFonts w:cs="Arial"/>
          <w:szCs w:val="20"/>
        </w:rPr>
        <w:t xml:space="preserve"> (ZFU). Pripravljenost kot posebni delovni pogoj</w:t>
      </w:r>
      <w:r w:rsidRPr="00A616EE">
        <w:rPr>
          <w:rFonts w:ascii="Arial;sans-serif" w:hAnsi="Arial;sans-serif" w:cs="Arial"/>
          <w:color w:val="000000"/>
          <w:szCs w:val="20"/>
        </w:rPr>
        <w:t xml:space="preserve"> pomeni dosegljivost uslužbenca finančne uprave po telefonu ali drugih sredstvih zaradi morebitnega prihoda na delovno mesto ali na kraj, kjer je treba nujno opraviti nalogo. Pripravljenost se uslužbencu finančne uprave odreja glede na potrebe delovnega procesa.</w:t>
      </w:r>
      <w:r w:rsidRPr="00A616EE">
        <w:rPr>
          <w:rFonts w:cs="Arial"/>
          <w:szCs w:val="20"/>
        </w:rPr>
        <w:t xml:space="preserve"> </w:t>
      </w:r>
      <w:r w:rsidRPr="00A616EE">
        <w:rPr>
          <w:rFonts w:cs="Arial"/>
          <w:color w:val="000000"/>
          <w:szCs w:val="20"/>
        </w:rPr>
        <w:t>Uslužbenec finančne uprave, ki je med pripravljenostjo poklican na delo, se mora v najkrajšem mogočem času zglasiti na delovnem mestu ali kraju, kjer je treba opraviti določeno nalogo. P</w:t>
      </w:r>
      <w:r w:rsidRPr="00A616EE">
        <w:rPr>
          <w:rFonts w:ascii="Arial;sans-serif" w:hAnsi="Arial;sans-serif"/>
          <w:color w:val="000000"/>
          <w:szCs w:val="20"/>
        </w:rPr>
        <w:t>ripravljenost se ne všteva v število ur tedenske oziroma mesečne delovne obveznosti. Če mora uslužbenec finančne uprave med pripravljenostjo dejansko delati, se ure dejanskega dela vštevajo v število ur tedenske oziroma mesečne delovne obveznosti.</w:t>
      </w:r>
    </w:p>
    <w:p w:rsidR="00E762CA" w:rsidRDefault="00E762CA" w:rsidP="00E762CA">
      <w:pPr>
        <w:spacing w:line="288" w:lineRule="auto"/>
        <w:jc w:val="both"/>
        <w:rPr>
          <w:rFonts w:ascii="Arial;sans-serif" w:hAnsi="Arial;sans-serif"/>
          <w:color w:val="000000"/>
          <w:szCs w:val="20"/>
        </w:rPr>
      </w:pPr>
    </w:p>
    <w:p w:rsidR="00E762CA" w:rsidRDefault="00E762CA" w:rsidP="00E762CA">
      <w:pPr>
        <w:spacing w:line="288" w:lineRule="auto"/>
        <w:jc w:val="both"/>
        <w:rPr>
          <w:rFonts w:cs="Arial"/>
          <w:szCs w:val="20"/>
        </w:rPr>
      </w:pPr>
      <w:r>
        <w:rPr>
          <w:rFonts w:cs="Arial"/>
          <w:szCs w:val="20"/>
        </w:rPr>
        <w:t>Za delavce na obrambnem področju pripravljenost za delo določa Zakon o obrambi</w:t>
      </w:r>
      <w:r>
        <w:rPr>
          <w:rStyle w:val="Sidrosprotneopombe"/>
          <w:rFonts w:cs="Arial"/>
          <w:szCs w:val="20"/>
        </w:rPr>
        <w:footnoteReference w:id="9"/>
      </w:r>
      <w:r>
        <w:rPr>
          <w:rFonts w:cs="Arial"/>
          <w:szCs w:val="20"/>
        </w:rPr>
        <w:t xml:space="preserve"> (ZObr), ki v 97.e členu določa, da mora biti delavec </w:t>
      </w:r>
      <w:r>
        <w:rPr>
          <w:rFonts w:cs="Arial"/>
          <w:color w:val="000000"/>
          <w:szCs w:val="20"/>
        </w:rPr>
        <w:t>v pripravljenosti za delo na delovnem mestu, na določenem kraju ali na domu.</w:t>
      </w:r>
      <w:r>
        <w:rPr>
          <w:rFonts w:cs="Arial"/>
          <w:szCs w:val="20"/>
        </w:rPr>
        <w:t xml:space="preserve"> </w:t>
      </w:r>
      <w:r>
        <w:rPr>
          <w:rFonts w:cs="Arial"/>
          <w:color w:val="000000"/>
          <w:szCs w:val="20"/>
        </w:rPr>
        <w:t>Pripravljenost za delo se ne všteva v število ur tedenske oziroma mesečne delovne obveznosti. Če mora delavec v času pripravljenosti za delo dejansko delati, se te ure dejanskega dela vštevajo v število ur tedenske oziroma mesečne delovne obveznosti.</w:t>
      </w:r>
      <w:r>
        <w:rPr>
          <w:rFonts w:cs="Arial"/>
          <w:szCs w:val="20"/>
        </w:rPr>
        <w:t xml:space="preserve"> </w:t>
      </w:r>
      <w:r>
        <w:rPr>
          <w:rFonts w:cs="Arial"/>
          <w:color w:val="000000"/>
          <w:szCs w:val="20"/>
        </w:rPr>
        <w:t>Pripravljenost za delo na določenem kraju je izenačena s pripravljenostjo za delo na delovnem mestu.</w:t>
      </w:r>
      <w:r>
        <w:rPr>
          <w:rFonts w:cs="Arial"/>
          <w:szCs w:val="20"/>
        </w:rPr>
        <w:t xml:space="preserve"> </w:t>
      </w:r>
    </w:p>
    <w:p w:rsidR="00E762CA" w:rsidRPr="00A616EE" w:rsidRDefault="00E762CA" w:rsidP="00E762CA">
      <w:pPr>
        <w:spacing w:line="288" w:lineRule="auto"/>
        <w:jc w:val="both"/>
        <w:rPr>
          <w:rFonts w:cs="Arial"/>
          <w:szCs w:val="20"/>
        </w:rPr>
      </w:pPr>
    </w:p>
    <w:p w:rsidR="00E762CA" w:rsidRDefault="00E762CA" w:rsidP="00E762CA">
      <w:pPr>
        <w:pStyle w:val="rkovnatokazaodstavkom"/>
        <w:numPr>
          <w:ilvl w:val="0"/>
          <w:numId w:val="0"/>
        </w:numPr>
        <w:spacing w:line="288" w:lineRule="auto"/>
      </w:pPr>
      <w:r>
        <w:rPr>
          <w:rFonts w:cs="Arial"/>
        </w:rPr>
        <w:t xml:space="preserve">Za državne tožilce pravice in obveznosti iz državnotožilske službe ureja ZDT-1. Državni tožilci opravljajo delo v okviru poslovnega časa državnih tožilstev, zaradi opravljanja nujnih procesnih dejanj pa tudi izven poslovnega časa, kar ima izvor v procesni zakonodaji in se šteje za specifiko glede na naravo dela. </w:t>
      </w:r>
      <w:r w:rsidRPr="00115F14">
        <w:t xml:space="preserve">Pripravljenost pomeni dosegljivost državnega tožilca po telefonu ali z uporabo drugih sredstev za potrebe opravljanja nujnih procesnih dejanj oziroma usmerjanja. Ure pripravljenosti se ne štejejo v delovni čas. V času dežurstva državni tožilec opravlja nujna procesna dejanja oziroma usmerjanja na delovnem mestu ali na drugem kraju, kjer </w:t>
      </w:r>
      <w:r>
        <w:t>se opravljajo nujna procesna dejanja</w:t>
      </w:r>
      <w:r w:rsidRPr="00115F14">
        <w:t xml:space="preserve">. Ure dežurstva se štejejo v delovni čas. </w:t>
      </w:r>
    </w:p>
    <w:p w:rsidR="00E762CA" w:rsidRPr="00115F14" w:rsidRDefault="00E762CA" w:rsidP="00E762CA">
      <w:pPr>
        <w:pStyle w:val="rkovnatokazaodstavkom"/>
        <w:numPr>
          <w:ilvl w:val="0"/>
          <w:numId w:val="0"/>
        </w:numPr>
        <w:spacing w:line="288" w:lineRule="auto"/>
      </w:pPr>
    </w:p>
    <w:p w:rsidR="00E762CA" w:rsidRDefault="00E762CA" w:rsidP="00E762CA">
      <w:pPr>
        <w:pStyle w:val="Navadensplet"/>
        <w:suppressAutoHyphens/>
        <w:spacing w:before="0" w:beforeAutospacing="0" w:after="0" w:afterAutospacing="0" w:line="288" w:lineRule="auto"/>
        <w:jc w:val="both"/>
        <w:rPr>
          <w:rFonts w:ascii="Arial" w:hAnsi="Arial" w:cs="Arial"/>
          <w:sz w:val="20"/>
          <w:szCs w:val="20"/>
        </w:rPr>
      </w:pPr>
      <w:r>
        <w:rPr>
          <w:rFonts w:ascii="Arial" w:hAnsi="Arial" w:cs="Arial"/>
          <w:sz w:val="20"/>
          <w:szCs w:val="20"/>
        </w:rPr>
        <w:t>Funkcionarjem dodatki k plači ne pripadajo, razen dodatka na delovno dobo. Izjemoma pripada omejen nabor dodatkov državnim tožilcem, in sicer d</w:t>
      </w:r>
      <w:r>
        <w:rPr>
          <w:rFonts w:ascii="Arial;sans-serif" w:hAnsi="Arial;sans-serif" w:cs="Arial"/>
          <w:color w:val="000000"/>
          <w:sz w:val="20"/>
          <w:szCs w:val="20"/>
        </w:rPr>
        <w:t>odatki za dvojezičnost, položajni dodatek, dodatek za delo v manj ugodnem delovnem času ter za pripravljenost.</w:t>
      </w:r>
      <w:r>
        <w:rPr>
          <w:rFonts w:ascii="Arial" w:hAnsi="Arial" w:cs="Arial"/>
          <w:sz w:val="20"/>
          <w:szCs w:val="20"/>
        </w:rPr>
        <w:t xml:space="preserve"> Dodatki državnih tožilcev za delo v manj ugodnem delovnem času in za stalno pripravljenost so urejeni v 32.a členu ZSPJS. Dodatek se obračuna na osnovno plačo funkcionarja. </w:t>
      </w:r>
      <w:r>
        <w:rPr>
          <w:rFonts w:ascii="Arial" w:hAnsi="Arial" w:cs="Arial"/>
          <w:color w:val="000000"/>
          <w:sz w:val="20"/>
          <w:szCs w:val="20"/>
        </w:rPr>
        <w:t>Državnim tožilcem pripadajo naslednji dodatki za delo v manj ugodnem delovnem času:</w:t>
      </w:r>
    </w:p>
    <w:p w:rsidR="00E762CA" w:rsidRDefault="00E762CA" w:rsidP="00E762CA">
      <w:pPr>
        <w:pStyle w:val="Telobesedila"/>
        <w:spacing w:after="0" w:line="288" w:lineRule="auto"/>
        <w:ind w:left="425" w:hanging="425"/>
        <w:jc w:val="both"/>
        <w:rPr>
          <w:rFonts w:ascii="Arial" w:hAnsi="Arial" w:cs="Arial"/>
          <w:sz w:val="20"/>
          <w:szCs w:val="20"/>
        </w:rPr>
      </w:pPr>
      <w:r>
        <w:rPr>
          <w:rFonts w:ascii="Arial;sans-serif" w:hAnsi="Arial;sans-serif"/>
          <w:color w:val="000000"/>
          <w:sz w:val="20"/>
          <w:szCs w:val="20"/>
        </w:rPr>
        <w:t>- za delo preko polnega delovnega časa,</w:t>
      </w:r>
    </w:p>
    <w:p w:rsidR="00E762CA" w:rsidRDefault="00E762CA" w:rsidP="00E762CA">
      <w:pPr>
        <w:pStyle w:val="Telobesedila"/>
        <w:spacing w:after="0" w:line="288" w:lineRule="auto"/>
        <w:ind w:left="425" w:hanging="425"/>
        <w:jc w:val="both"/>
        <w:rPr>
          <w:rFonts w:ascii="Arial" w:hAnsi="Arial" w:cs="Arial"/>
          <w:sz w:val="20"/>
          <w:szCs w:val="20"/>
        </w:rPr>
      </w:pPr>
      <w:r>
        <w:rPr>
          <w:rFonts w:ascii="Arial;sans-serif" w:hAnsi="Arial;sans-serif"/>
          <w:color w:val="000000"/>
          <w:sz w:val="20"/>
          <w:szCs w:val="20"/>
        </w:rPr>
        <w:t>- za čas dežurstva, ki presega polni delovni čas,</w:t>
      </w:r>
    </w:p>
    <w:p w:rsidR="00E762CA" w:rsidRDefault="00E762CA" w:rsidP="00E762CA">
      <w:pPr>
        <w:pStyle w:val="Telobesedila"/>
        <w:spacing w:after="0" w:line="288" w:lineRule="auto"/>
        <w:ind w:left="425" w:hanging="425"/>
        <w:jc w:val="both"/>
        <w:rPr>
          <w:rFonts w:ascii="Arial" w:hAnsi="Arial" w:cs="Arial"/>
          <w:sz w:val="20"/>
          <w:szCs w:val="20"/>
        </w:rPr>
      </w:pPr>
      <w:r>
        <w:rPr>
          <w:rFonts w:ascii="Arial;sans-serif" w:hAnsi="Arial;sans-serif"/>
          <w:color w:val="000000"/>
          <w:sz w:val="20"/>
          <w:szCs w:val="20"/>
        </w:rPr>
        <w:lastRenderedPageBreak/>
        <w:t>- za delo ponoči,</w:t>
      </w:r>
    </w:p>
    <w:p w:rsidR="00E762CA" w:rsidRDefault="00E762CA" w:rsidP="00E762CA">
      <w:pPr>
        <w:pStyle w:val="Telobesedila"/>
        <w:spacing w:after="0" w:line="288" w:lineRule="auto"/>
        <w:ind w:left="425" w:hanging="425"/>
        <w:jc w:val="both"/>
        <w:rPr>
          <w:rFonts w:ascii="Arial" w:hAnsi="Arial" w:cs="Arial"/>
          <w:sz w:val="20"/>
          <w:szCs w:val="20"/>
        </w:rPr>
      </w:pPr>
      <w:r>
        <w:rPr>
          <w:rFonts w:ascii="Arial;sans-serif" w:hAnsi="Arial;sans-serif"/>
          <w:color w:val="000000"/>
          <w:sz w:val="20"/>
          <w:szCs w:val="20"/>
        </w:rPr>
        <w:t>- za delo v nedeljo in</w:t>
      </w:r>
    </w:p>
    <w:p w:rsidR="00E762CA" w:rsidRDefault="00E762CA" w:rsidP="00E762CA">
      <w:pPr>
        <w:pStyle w:val="Telobesedila"/>
        <w:spacing w:after="0" w:line="288" w:lineRule="auto"/>
        <w:ind w:left="425" w:hanging="425"/>
        <w:jc w:val="both"/>
        <w:rPr>
          <w:rFonts w:ascii="Arial" w:hAnsi="Arial" w:cs="Arial"/>
          <w:sz w:val="20"/>
          <w:szCs w:val="20"/>
        </w:rPr>
      </w:pPr>
      <w:r>
        <w:rPr>
          <w:rFonts w:ascii="Arial;sans-serif" w:hAnsi="Arial;sans-serif"/>
          <w:color w:val="000000"/>
          <w:sz w:val="20"/>
          <w:szCs w:val="20"/>
        </w:rPr>
        <w:t>- za delo na dan, ki je z zakonom določen kot dela prost dan.</w:t>
      </w:r>
    </w:p>
    <w:p w:rsidR="00E762CA" w:rsidRDefault="00E762CA" w:rsidP="00E762CA">
      <w:pPr>
        <w:pStyle w:val="Telobesedila"/>
        <w:spacing w:after="0" w:line="288" w:lineRule="auto"/>
        <w:ind w:left="425" w:hanging="425"/>
        <w:jc w:val="both"/>
        <w:rPr>
          <w:rFonts w:ascii="Arial" w:hAnsi="Arial" w:cs="Arial"/>
          <w:sz w:val="20"/>
          <w:szCs w:val="20"/>
        </w:rPr>
      </w:pPr>
    </w:p>
    <w:p w:rsidR="00E762CA" w:rsidRDefault="00E762CA" w:rsidP="00E762CA">
      <w:pPr>
        <w:pStyle w:val="Telobesedila"/>
        <w:spacing w:after="0" w:line="288" w:lineRule="auto"/>
        <w:ind w:left="425" w:hanging="425"/>
        <w:jc w:val="both"/>
        <w:rPr>
          <w:rFonts w:ascii="Arial" w:hAnsi="Arial" w:cs="Arial"/>
          <w:sz w:val="20"/>
          <w:szCs w:val="20"/>
        </w:rPr>
      </w:pPr>
      <w:r>
        <w:rPr>
          <w:rFonts w:ascii="Arial" w:hAnsi="Arial" w:cs="Arial"/>
          <w:color w:val="000000"/>
          <w:sz w:val="20"/>
          <w:szCs w:val="20"/>
        </w:rPr>
        <w:t>Dodatek za pripravljenost je določen kot poseben dodatek.</w:t>
      </w:r>
    </w:p>
    <w:p w:rsidR="00E762CA" w:rsidRDefault="00E762CA" w:rsidP="00E762CA">
      <w:pPr>
        <w:pStyle w:val="Telobesedila"/>
        <w:spacing w:after="0"/>
        <w:jc w:val="both"/>
        <w:rPr>
          <w:rFonts w:ascii="Arial" w:hAnsi="Arial" w:cs="Arial"/>
          <w:sz w:val="20"/>
          <w:szCs w:val="20"/>
        </w:rPr>
      </w:pPr>
    </w:p>
    <w:p w:rsidR="00E762CA" w:rsidRDefault="00E762CA" w:rsidP="00E762CA">
      <w:pPr>
        <w:pStyle w:val="Navadensplet"/>
        <w:suppressAutoHyphens/>
        <w:spacing w:beforeAutospacing="0" w:afterAutospacing="0" w:line="288" w:lineRule="auto"/>
        <w:rPr>
          <w:rFonts w:ascii="Arial" w:hAnsi="Arial" w:cs="Arial"/>
          <w:sz w:val="20"/>
          <w:szCs w:val="20"/>
        </w:rPr>
      </w:pPr>
      <w:r>
        <w:rPr>
          <w:rFonts w:ascii="Arial" w:hAnsi="Arial" w:cs="Arial"/>
          <w:sz w:val="20"/>
          <w:szCs w:val="20"/>
        </w:rPr>
        <w:t>Višina dodatkov za državne tožilce:</w:t>
      </w: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2"/>
        <w:gridCol w:w="3545"/>
      </w:tblGrid>
      <w:tr w:rsidR="00E762CA" w:rsidTr="00F25413">
        <w:tc>
          <w:tcPr>
            <w:tcW w:w="5102" w:type="dxa"/>
            <w:shd w:val="clear" w:color="auto" w:fill="auto"/>
          </w:tcPr>
          <w:p w:rsidR="00E762CA" w:rsidRPr="00925AFB" w:rsidRDefault="00E762CA" w:rsidP="00925AFB">
            <w:pPr>
              <w:pStyle w:val="Navadensplet"/>
              <w:suppressAutoHyphens/>
              <w:spacing w:beforeAutospacing="0" w:afterAutospacing="0" w:line="288" w:lineRule="auto"/>
              <w:jc w:val="center"/>
              <w:rPr>
                <w:rFonts w:ascii="Arial" w:hAnsi="Arial" w:cs="Arial"/>
                <w:b/>
                <w:sz w:val="20"/>
                <w:szCs w:val="20"/>
              </w:rPr>
            </w:pPr>
            <w:r w:rsidRPr="00925AFB">
              <w:rPr>
                <w:rFonts w:ascii="Arial" w:hAnsi="Arial" w:cs="Arial"/>
                <w:sz w:val="20"/>
                <w:szCs w:val="20"/>
              </w:rPr>
              <w:t>DODATEK</w:t>
            </w:r>
          </w:p>
        </w:tc>
        <w:tc>
          <w:tcPr>
            <w:tcW w:w="3545" w:type="dxa"/>
            <w:shd w:val="clear" w:color="auto" w:fill="auto"/>
          </w:tcPr>
          <w:p w:rsidR="00E762CA" w:rsidRPr="00925AFB" w:rsidRDefault="00E762CA" w:rsidP="00925AFB">
            <w:pPr>
              <w:pStyle w:val="Navadensplet"/>
              <w:suppressAutoHyphens/>
              <w:spacing w:beforeAutospacing="0" w:afterAutospacing="0" w:line="288" w:lineRule="auto"/>
              <w:jc w:val="center"/>
              <w:rPr>
                <w:rFonts w:ascii="Arial" w:hAnsi="Arial" w:cs="Arial"/>
                <w:b/>
                <w:sz w:val="20"/>
                <w:szCs w:val="20"/>
              </w:rPr>
            </w:pPr>
            <w:r w:rsidRPr="00925AFB">
              <w:rPr>
                <w:rFonts w:ascii="Arial" w:hAnsi="Arial" w:cs="Arial"/>
                <w:sz w:val="20"/>
                <w:szCs w:val="20"/>
              </w:rPr>
              <w:t>VIŠINA DODATKA</w:t>
            </w:r>
          </w:p>
        </w:tc>
      </w:tr>
      <w:tr w:rsidR="00E762CA" w:rsidTr="00F25413">
        <w:trPr>
          <w:trHeight w:val="327"/>
        </w:trPr>
        <w:tc>
          <w:tcPr>
            <w:tcW w:w="5102" w:type="dxa"/>
            <w:shd w:val="clear" w:color="auto" w:fill="auto"/>
          </w:tcPr>
          <w:p w:rsidR="00E762CA" w:rsidRPr="00925AFB" w:rsidRDefault="00E762CA" w:rsidP="00925AFB">
            <w:pPr>
              <w:pStyle w:val="Navadensplet"/>
              <w:suppressAutoHyphens/>
              <w:spacing w:beforeAutospacing="0" w:afterAutospacing="0" w:line="288" w:lineRule="auto"/>
              <w:rPr>
                <w:rFonts w:ascii="Arial" w:hAnsi="Arial" w:cs="Arial"/>
                <w:sz w:val="20"/>
                <w:szCs w:val="20"/>
              </w:rPr>
            </w:pPr>
            <w:r w:rsidRPr="00925AFB">
              <w:rPr>
                <w:rFonts w:ascii="Arial" w:hAnsi="Arial" w:cs="Arial"/>
                <w:sz w:val="20"/>
                <w:szCs w:val="20"/>
              </w:rPr>
              <w:t>Delo ponoči</w:t>
            </w:r>
          </w:p>
        </w:tc>
        <w:tc>
          <w:tcPr>
            <w:tcW w:w="3545" w:type="dxa"/>
            <w:shd w:val="clear" w:color="auto" w:fill="auto"/>
          </w:tcPr>
          <w:p w:rsidR="00E762CA" w:rsidRPr="00925AFB" w:rsidRDefault="00E762CA" w:rsidP="00925AFB">
            <w:pPr>
              <w:pStyle w:val="Navadensplet"/>
              <w:suppressAutoHyphens/>
              <w:spacing w:beforeAutospacing="0" w:afterAutospacing="0" w:line="288" w:lineRule="auto"/>
              <w:jc w:val="center"/>
              <w:rPr>
                <w:rFonts w:ascii="Arial" w:hAnsi="Arial" w:cs="Arial"/>
                <w:sz w:val="20"/>
                <w:szCs w:val="20"/>
              </w:rPr>
            </w:pPr>
            <w:r w:rsidRPr="00925AFB">
              <w:rPr>
                <w:rFonts w:ascii="Arial" w:hAnsi="Arial" w:cs="Arial"/>
                <w:sz w:val="20"/>
                <w:szCs w:val="20"/>
              </w:rPr>
              <w:t>30%</w:t>
            </w:r>
          </w:p>
        </w:tc>
      </w:tr>
      <w:tr w:rsidR="00E762CA" w:rsidTr="00F25413">
        <w:tc>
          <w:tcPr>
            <w:tcW w:w="5102" w:type="dxa"/>
            <w:shd w:val="clear" w:color="auto" w:fill="auto"/>
          </w:tcPr>
          <w:p w:rsidR="00E762CA" w:rsidRPr="00925AFB" w:rsidRDefault="00E762CA" w:rsidP="00925AFB">
            <w:pPr>
              <w:pStyle w:val="Navadensplet"/>
              <w:suppressAutoHyphens/>
              <w:spacing w:beforeAutospacing="0" w:afterAutospacing="0" w:line="288" w:lineRule="auto"/>
              <w:rPr>
                <w:rFonts w:ascii="Arial" w:hAnsi="Arial" w:cs="Arial"/>
                <w:sz w:val="20"/>
                <w:szCs w:val="20"/>
              </w:rPr>
            </w:pPr>
            <w:r w:rsidRPr="00925AFB">
              <w:rPr>
                <w:rFonts w:ascii="Arial" w:hAnsi="Arial" w:cs="Arial"/>
                <w:sz w:val="20"/>
                <w:szCs w:val="20"/>
              </w:rPr>
              <w:t>Delo v nedeljo</w:t>
            </w:r>
          </w:p>
        </w:tc>
        <w:tc>
          <w:tcPr>
            <w:tcW w:w="3545" w:type="dxa"/>
            <w:shd w:val="clear" w:color="auto" w:fill="auto"/>
          </w:tcPr>
          <w:p w:rsidR="00E762CA" w:rsidRPr="00925AFB" w:rsidRDefault="00E762CA" w:rsidP="00925AFB">
            <w:pPr>
              <w:pStyle w:val="Navadensplet"/>
              <w:suppressAutoHyphens/>
              <w:spacing w:beforeAutospacing="0" w:afterAutospacing="0" w:line="288" w:lineRule="auto"/>
              <w:jc w:val="center"/>
              <w:rPr>
                <w:rFonts w:ascii="Arial" w:hAnsi="Arial" w:cs="Arial"/>
                <w:sz w:val="20"/>
                <w:szCs w:val="20"/>
              </w:rPr>
            </w:pPr>
            <w:r w:rsidRPr="00925AFB">
              <w:rPr>
                <w:rFonts w:ascii="Arial" w:hAnsi="Arial" w:cs="Arial"/>
                <w:sz w:val="20"/>
                <w:szCs w:val="20"/>
              </w:rPr>
              <w:t>75%</w:t>
            </w:r>
          </w:p>
        </w:tc>
      </w:tr>
      <w:tr w:rsidR="00E762CA" w:rsidTr="00F25413">
        <w:tc>
          <w:tcPr>
            <w:tcW w:w="5102" w:type="dxa"/>
            <w:shd w:val="clear" w:color="auto" w:fill="auto"/>
          </w:tcPr>
          <w:p w:rsidR="00E762CA" w:rsidRPr="00925AFB" w:rsidRDefault="00E762CA" w:rsidP="00925AFB">
            <w:pPr>
              <w:pStyle w:val="Navadensplet"/>
              <w:suppressAutoHyphens/>
              <w:spacing w:beforeAutospacing="0" w:afterAutospacing="0" w:line="288" w:lineRule="auto"/>
              <w:rPr>
                <w:rFonts w:ascii="Arial" w:hAnsi="Arial" w:cs="Arial"/>
                <w:sz w:val="20"/>
                <w:szCs w:val="20"/>
              </w:rPr>
            </w:pPr>
            <w:r w:rsidRPr="00925AFB">
              <w:rPr>
                <w:rFonts w:ascii="Arial" w:hAnsi="Arial" w:cs="Arial"/>
                <w:sz w:val="20"/>
                <w:szCs w:val="20"/>
              </w:rPr>
              <w:t>Dela prost dan (praznik)</w:t>
            </w:r>
          </w:p>
        </w:tc>
        <w:tc>
          <w:tcPr>
            <w:tcW w:w="3545" w:type="dxa"/>
            <w:shd w:val="clear" w:color="auto" w:fill="auto"/>
          </w:tcPr>
          <w:p w:rsidR="00E762CA" w:rsidRPr="00925AFB" w:rsidRDefault="00E762CA" w:rsidP="00925AFB">
            <w:pPr>
              <w:pStyle w:val="Navadensplet"/>
              <w:suppressAutoHyphens/>
              <w:spacing w:beforeAutospacing="0" w:afterAutospacing="0" w:line="288" w:lineRule="auto"/>
              <w:jc w:val="center"/>
              <w:rPr>
                <w:rFonts w:ascii="Arial" w:hAnsi="Arial" w:cs="Arial"/>
                <w:sz w:val="20"/>
                <w:szCs w:val="20"/>
              </w:rPr>
            </w:pPr>
            <w:r w:rsidRPr="00925AFB">
              <w:rPr>
                <w:rFonts w:ascii="Arial" w:hAnsi="Arial" w:cs="Arial"/>
                <w:sz w:val="20"/>
                <w:szCs w:val="20"/>
              </w:rPr>
              <w:t>90%</w:t>
            </w:r>
          </w:p>
        </w:tc>
      </w:tr>
      <w:tr w:rsidR="00E762CA" w:rsidTr="00F25413">
        <w:tc>
          <w:tcPr>
            <w:tcW w:w="5102" w:type="dxa"/>
            <w:shd w:val="clear" w:color="auto" w:fill="auto"/>
          </w:tcPr>
          <w:p w:rsidR="00E762CA" w:rsidRPr="00925AFB" w:rsidRDefault="00E762CA" w:rsidP="00925AFB">
            <w:pPr>
              <w:pStyle w:val="Navadensplet"/>
              <w:suppressAutoHyphens/>
              <w:spacing w:beforeAutospacing="0" w:afterAutospacing="0" w:line="288" w:lineRule="auto"/>
              <w:rPr>
                <w:rFonts w:ascii="Arial" w:hAnsi="Arial" w:cs="Arial"/>
                <w:sz w:val="20"/>
                <w:szCs w:val="20"/>
              </w:rPr>
            </w:pPr>
            <w:r w:rsidRPr="00925AFB">
              <w:rPr>
                <w:rFonts w:ascii="Arial" w:hAnsi="Arial" w:cs="Arial"/>
                <w:sz w:val="20"/>
                <w:szCs w:val="20"/>
              </w:rPr>
              <w:t>Delo preko polnega delovnega časa (nadurno delo)</w:t>
            </w:r>
          </w:p>
        </w:tc>
        <w:tc>
          <w:tcPr>
            <w:tcW w:w="3545" w:type="dxa"/>
            <w:shd w:val="clear" w:color="auto" w:fill="auto"/>
          </w:tcPr>
          <w:p w:rsidR="00E762CA" w:rsidRPr="00925AFB" w:rsidRDefault="00E762CA" w:rsidP="00925AFB">
            <w:pPr>
              <w:pStyle w:val="Navadensplet"/>
              <w:suppressAutoHyphens/>
              <w:spacing w:beforeAutospacing="0" w:afterAutospacing="0" w:line="288" w:lineRule="auto"/>
              <w:jc w:val="center"/>
              <w:rPr>
                <w:rFonts w:ascii="Arial" w:hAnsi="Arial" w:cs="Arial"/>
                <w:sz w:val="20"/>
                <w:szCs w:val="20"/>
              </w:rPr>
            </w:pPr>
            <w:r w:rsidRPr="00925AFB">
              <w:rPr>
                <w:rFonts w:ascii="Arial" w:hAnsi="Arial" w:cs="Arial"/>
                <w:sz w:val="20"/>
                <w:szCs w:val="20"/>
              </w:rPr>
              <w:t>30%</w:t>
            </w:r>
          </w:p>
        </w:tc>
      </w:tr>
      <w:tr w:rsidR="00E762CA" w:rsidTr="00F25413">
        <w:tc>
          <w:tcPr>
            <w:tcW w:w="5102" w:type="dxa"/>
            <w:shd w:val="clear" w:color="auto" w:fill="auto"/>
          </w:tcPr>
          <w:p w:rsidR="00E762CA" w:rsidRPr="00925AFB" w:rsidRDefault="00E762CA" w:rsidP="00925AFB">
            <w:pPr>
              <w:pStyle w:val="Navadensplet"/>
              <w:suppressAutoHyphens/>
              <w:spacing w:beforeAutospacing="0" w:afterAutospacing="0" w:line="288" w:lineRule="auto"/>
              <w:rPr>
                <w:rFonts w:ascii="Arial" w:hAnsi="Arial" w:cs="Arial"/>
                <w:sz w:val="20"/>
                <w:szCs w:val="20"/>
              </w:rPr>
            </w:pPr>
            <w:r w:rsidRPr="00925AFB">
              <w:rPr>
                <w:rFonts w:ascii="Arial" w:hAnsi="Arial" w:cs="Arial"/>
                <w:sz w:val="20"/>
                <w:szCs w:val="20"/>
              </w:rPr>
              <w:t>Dodatek za čas dežurstva</w:t>
            </w:r>
          </w:p>
        </w:tc>
        <w:tc>
          <w:tcPr>
            <w:tcW w:w="3545" w:type="dxa"/>
            <w:shd w:val="clear" w:color="auto" w:fill="auto"/>
          </w:tcPr>
          <w:p w:rsidR="00E762CA" w:rsidRPr="00925AFB" w:rsidRDefault="00E762CA" w:rsidP="00925AFB">
            <w:pPr>
              <w:pStyle w:val="Navadensplet"/>
              <w:suppressAutoHyphens/>
              <w:spacing w:beforeAutospacing="0" w:afterAutospacing="0" w:line="288" w:lineRule="auto"/>
              <w:jc w:val="center"/>
              <w:rPr>
                <w:rFonts w:ascii="Arial" w:hAnsi="Arial" w:cs="Arial"/>
                <w:sz w:val="20"/>
                <w:szCs w:val="20"/>
              </w:rPr>
            </w:pPr>
            <w:r w:rsidRPr="00925AFB">
              <w:rPr>
                <w:rFonts w:ascii="Arial" w:hAnsi="Arial" w:cs="Arial"/>
                <w:sz w:val="20"/>
                <w:szCs w:val="20"/>
              </w:rPr>
              <w:t>20%</w:t>
            </w:r>
          </w:p>
        </w:tc>
      </w:tr>
      <w:tr w:rsidR="00E762CA" w:rsidTr="00F25413">
        <w:trPr>
          <w:trHeight w:val="163"/>
        </w:trPr>
        <w:tc>
          <w:tcPr>
            <w:tcW w:w="5102" w:type="dxa"/>
            <w:shd w:val="clear" w:color="auto" w:fill="auto"/>
          </w:tcPr>
          <w:p w:rsidR="00E762CA" w:rsidRPr="00925AFB" w:rsidRDefault="00E762CA" w:rsidP="00925AFB">
            <w:pPr>
              <w:pStyle w:val="Navadensplet"/>
              <w:suppressAutoHyphens/>
              <w:spacing w:beforeAutospacing="0" w:afterAutospacing="0" w:line="288" w:lineRule="auto"/>
              <w:rPr>
                <w:rFonts w:ascii="Arial" w:hAnsi="Arial" w:cs="Arial"/>
                <w:sz w:val="20"/>
                <w:szCs w:val="20"/>
              </w:rPr>
            </w:pPr>
            <w:r w:rsidRPr="00925AFB">
              <w:rPr>
                <w:rFonts w:ascii="Arial" w:hAnsi="Arial" w:cs="Arial"/>
                <w:sz w:val="20"/>
                <w:szCs w:val="20"/>
              </w:rPr>
              <w:t>Dodatek za pripravljenost</w:t>
            </w:r>
          </w:p>
        </w:tc>
        <w:tc>
          <w:tcPr>
            <w:tcW w:w="3545" w:type="dxa"/>
            <w:shd w:val="clear" w:color="auto" w:fill="auto"/>
          </w:tcPr>
          <w:p w:rsidR="00E762CA" w:rsidRPr="00925AFB" w:rsidRDefault="00E762CA" w:rsidP="00925AFB">
            <w:pPr>
              <w:pStyle w:val="Navadensplet"/>
              <w:suppressAutoHyphens/>
              <w:spacing w:beforeAutospacing="0" w:afterAutospacing="0" w:line="288" w:lineRule="auto"/>
              <w:jc w:val="center"/>
              <w:rPr>
                <w:rFonts w:ascii="Arial" w:hAnsi="Arial" w:cs="Arial"/>
                <w:sz w:val="20"/>
                <w:szCs w:val="20"/>
              </w:rPr>
            </w:pPr>
            <w:r w:rsidRPr="00925AFB">
              <w:rPr>
                <w:rFonts w:ascii="Arial" w:hAnsi="Arial" w:cs="Arial"/>
                <w:sz w:val="20"/>
                <w:szCs w:val="20"/>
              </w:rPr>
              <w:t>30%</w:t>
            </w:r>
          </w:p>
        </w:tc>
      </w:tr>
    </w:tbl>
    <w:p w:rsidR="00E762CA" w:rsidRDefault="00E762CA" w:rsidP="00B644CC">
      <w:pPr>
        <w:spacing w:line="288" w:lineRule="auto"/>
        <w:jc w:val="both"/>
        <w:rPr>
          <w:rFonts w:eastAsia="Calibri" w:cs="Arial"/>
          <w:szCs w:val="20"/>
        </w:rPr>
      </w:pPr>
    </w:p>
    <w:p w:rsidR="006A6AAA" w:rsidRPr="007C1380" w:rsidRDefault="006A6AAA" w:rsidP="006A6AAA">
      <w:pPr>
        <w:spacing w:line="288" w:lineRule="auto"/>
        <w:jc w:val="both"/>
        <w:rPr>
          <w:rFonts w:cs="Arial"/>
          <w:szCs w:val="20"/>
          <w:lang w:eastAsia="sl-SI"/>
        </w:rPr>
      </w:pPr>
      <w:r>
        <w:rPr>
          <w:rFonts w:cs="Arial"/>
          <w:szCs w:val="20"/>
          <w:lang w:eastAsia="sl-SI"/>
        </w:rPr>
        <w:t xml:space="preserve">Javnim uslužbencem pripadajo za delo v delovnem času, ki </w:t>
      </w:r>
      <w:r w:rsidRPr="007C1380">
        <w:rPr>
          <w:rFonts w:cs="Arial"/>
          <w:szCs w:val="20"/>
          <w:lang w:eastAsia="sl-SI"/>
        </w:rPr>
        <w:t>je zanje manj ugoden, dodatki za</w:t>
      </w:r>
      <w:r>
        <w:rPr>
          <w:rFonts w:cs="Arial"/>
          <w:szCs w:val="20"/>
          <w:lang w:eastAsia="sl-SI"/>
        </w:rPr>
        <w:t xml:space="preserve"> (32. člen</w:t>
      </w:r>
      <w:r w:rsidRPr="00F177DE">
        <w:rPr>
          <w:rFonts w:cs="Arial"/>
          <w:szCs w:val="20"/>
          <w:lang w:eastAsia="sl-SI"/>
        </w:rPr>
        <w:t xml:space="preserve"> </w:t>
      </w:r>
      <w:r>
        <w:rPr>
          <w:rFonts w:cs="Arial"/>
          <w:szCs w:val="20"/>
          <w:lang w:eastAsia="sl-SI"/>
        </w:rPr>
        <w:t>ZSPJS)</w:t>
      </w:r>
      <w:r w:rsidRPr="007C1380">
        <w:rPr>
          <w:rFonts w:cs="Arial"/>
          <w:szCs w:val="20"/>
          <w:lang w:eastAsia="sl-SI"/>
        </w:rPr>
        <w:t>:</w:t>
      </w:r>
    </w:p>
    <w:p w:rsidR="006A6AAA" w:rsidRPr="007C1380" w:rsidRDefault="006A6AAA" w:rsidP="006A6AAA">
      <w:pPr>
        <w:spacing w:line="288" w:lineRule="auto"/>
        <w:jc w:val="both"/>
        <w:rPr>
          <w:rFonts w:cs="Arial"/>
          <w:szCs w:val="20"/>
          <w:lang w:eastAsia="sl-SI"/>
        </w:rPr>
      </w:pPr>
      <w:r w:rsidRPr="007C1380">
        <w:rPr>
          <w:rFonts w:cs="Arial"/>
          <w:szCs w:val="20"/>
          <w:lang w:eastAsia="sl-SI"/>
        </w:rPr>
        <w:t>-       izmensko delo,</w:t>
      </w:r>
    </w:p>
    <w:p w:rsidR="006A6AAA" w:rsidRPr="007C1380" w:rsidRDefault="006A6AAA" w:rsidP="006A6AAA">
      <w:pPr>
        <w:spacing w:line="288" w:lineRule="auto"/>
        <w:jc w:val="both"/>
        <w:rPr>
          <w:rFonts w:cs="Arial"/>
          <w:szCs w:val="20"/>
          <w:lang w:eastAsia="sl-SI"/>
        </w:rPr>
      </w:pPr>
      <w:r w:rsidRPr="007C1380">
        <w:rPr>
          <w:rFonts w:cs="Arial"/>
          <w:szCs w:val="20"/>
          <w:lang w:eastAsia="sl-SI"/>
        </w:rPr>
        <w:t>-       delo v deljenem delovnem času,</w:t>
      </w:r>
    </w:p>
    <w:p w:rsidR="006A6AAA" w:rsidRPr="007C1380" w:rsidRDefault="006A6AAA" w:rsidP="006A6AAA">
      <w:pPr>
        <w:spacing w:line="288" w:lineRule="auto"/>
        <w:jc w:val="both"/>
        <w:rPr>
          <w:rFonts w:cs="Arial"/>
          <w:szCs w:val="20"/>
          <w:lang w:eastAsia="sl-SI"/>
        </w:rPr>
      </w:pPr>
      <w:r w:rsidRPr="007C1380">
        <w:rPr>
          <w:rFonts w:cs="Arial"/>
          <w:szCs w:val="20"/>
          <w:lang w:eastAsia="sl-SI"/>
        </w:rPr>
        <w:t>-       delo v neenakomerno razporejenem delovnem času</w:t>
      </w:r>
    </w:p>
    <w:p w:rsidR="006A6AAA" w:rsidRPr="007C1380" w:rsidRDefault="006A6AAA" w:rsidP="006A6AAA">
      <w:pPr>
        <w:spacing w:line="288" w:lineRule="auto"/>
        <w:jc w:val="both"/>
        <w:rPr>
          <w:rFonts w:cs="Arial"/>
          <w:szCs w:val="20"/>
          <w:lang w:eastAsia="sl-SI"/>
        </w:rPr>
      </w:pPr>
      <w:r w:rsidRPr="007C1380">
        <w:rPr>
          <w:rFonts w:cs="Arial"/>
          <w:szCs w:val="20"/>
          <w:lang w:eastAsia="sl-SI"/>
        </w:rPr>
        <w:t>-       delo ponoči, v nedeljo in na dan, ki je z zakonom določen kot dela prost dan ali praznik ter</w:t>
      </w:r>
    </w:p>
    <w:p w:rsidR="006A6AAA" w:rsidRDefault="006A6AAA" w:rsidP="006A6AAA">
      <w:pPr>
        <w:spacing w:line="288" w:lineRule="auto"/>
        <w:jc w:val="both"/>
        <w:rPr>
          <w:rFonts w:cs="Arial"/>
          <w:szCs w:val="20"/>
          <w:lang w:eastAsia="sl-SI"/>
        </w:rPr>
      </w:pPr>
      <w:r w:rsidRPr="007C1380">
        <w:rPr>
          <w:rFonts w:cs="Arial"/>
          <w:szCs w:val="20"/>
          <w:lang w:eastAsia="sl-SI"/>
        </w:rPr>
        <w:t>-       delo preko polnega delovnega časa.</w:t>
      </w:r>
    </w:p>
    <w:p w:rsidR="006A6AAA" w:rsidRDefault="006A6AAA" w:rsidP="006A6AAA">
      <w:pPr>
        <w:spacing w:line="288" w:lineRule="auto"/>
        <w:jc w:val="both"/>
        <w:rPr>
          <w:rFonts w:cs="Arial"/>
          <w:szCs w:val="20"/>
          <w:lang w:eastAsia="sl-SI"/>
        </w:rPr>
      </w:pPr>
      <w:r>
        <w:rPr>
          <w:rFonts w:cs="Arial"/>
          <w:szCs w:val="20"/>
          <w:lang w:eastAsia="sl-SI"/>
        </w:rPr>
        <w:t>Dodatki iz prve, druge in tretje alinee se med seboj izključujejo. Javnim uslužbencem pripada tudi dodatek za stalno pripravljenost. Dodatki pripadajo le za čas, ko dela v času, ki je manj ugoden.</w:t>
      </w:r>
    </w:p>
    <w:p w:rsidR="006A6AAA" w:rsidRDefault="006A6AAA" w:rsidP="006A6AAA">
      <w:pPr>
        <w:spacing w:beforeAutospacing="1" w:afterAutospacing="1" w:line="288" w:lineRule="auto"/>
        <w:jc w:val="both"/>
        <w:rPr>
          <w:rFonts w:cs="Arial"/>
          <w:szCs w:val="20"/>
          <w:lang w:eastAsia="sl-SI"/>
        </w:rPr>
      </w:pPr>
      <w:r>
        <w:rPr>
          <w:rFonts w:cs="Arial"/>
          <w:szCs w:val="20"/>
          <w:lang w:eastAsia="sl-SI"/>
        </w:rPr>
        <w:t xml:space="preserve">Višina dodatkov se za javne uslužbence določi s kolektivno pogodbo za javni sektor. Osnova za obračun dodatkov je osnovna plača javnega uslužbenca. V času dežurstva pripada javnim uslužbencem dodatek za delo preko polnega delovnega časa v višini, določeni s KPJS in ostali dodatki za delo v delovnem času, ki je zanje manj ugoden, ki pa se v času dežurstva izplačujejo v višini 50% višine, ki je za te dodatke določena v Kolektivni pogodbi za javni sektor. </w:t>
      </w:r>
    </w:p>
    <w:p w:rsidR="006A6AAA" w:rsidRPr="00E762CA" w:rsidRDefault="006A6AAA" w:rsidP="006A6AAA">
      <w:pPr>
        <w:pStyle w:val="Navadensplet"/>
        <w:suppressAutoHyphens/>
        <w:spacing w:beforeAutospacing="0" w:afterAutospacing="0" w:line="288" w:lineRule="auto"/>
        <w:jc w:val="both"/>
        <w:rPr>
          <w:rFonts w:ascii="Arial" w:hAnsi="Arial" w:cs="Arial"/>
          <w:sz w:val="20"/>
          <w:szCs w:val="20"/>
        </w:rPr>
      </w:pPr>
      <w:r>
        <w:rPr>
          <w:rFonts w:ascii="Arial" w:hAnsi="Arial" w:cs="Arial"/>
          <w:sz w:val="20"/>
          <w:szCs w:val="20"/>
        </w:rPr>
        <w:t>Višina dodatkov za delo javnih uslužbencev v manj ugodnem delovnem času in za čas pripravljenosti:</w:t>
      </w: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95"/>
        <w:gridCol w:w="1156"/>
        <w:gridCol w:w="3596"/>
      </w:tblGrid>
      <w:tr w:rsidR="006A6AAA" w:rsidTr="00F25413">
        <w:trPr>
          <w:trHeight w:val="687"/>
        </w:trPr>
        <w:tc>
          <w:tcPr>
            <w:tcW w:w="3895" w:type="dxa"/>
            <w:shd w:val="clear" w:color="auto" w:fill="auto"/>
            <w:vAlign w:val="center"/>
          </w:tcPr>
          <w:p w:rsidR="006A6AAA" w:rsidRPr="00925AFB" w:rsidRDefault="006A6AAA" w:rsidP="00925AFB">
            <w:pPr>
              <w:pStyle w:val="Navadensplet"/>
              <w:suppressAutoHyphens/>
              <w:spacing w:beforeAutospacing="0" w:afterAutospacing="0" w:line="288" w:lineRule="auto"/>
              <w:jc w:val="center"/>
              <w:rPr>
                <w:rFonts w:ascii="Arial" w:hAnsi="Arial" w:cs="Arial"/>
                <w:bCs/>
                <w:sz w:val="20"/>
                <w:szCs w:val="20"/>
              </w:rPr>
            </w:pPr>
            <w:r w:rsidRPr="00925AFB">
              <w:rPr>
                <w:rFonts w:ascii="Arial" w:hAnsi="Arial" w:cs="Arial"/>
                <w:bCs/>
                <w:sz w:val="20"/>
                <w:szCs w:val="20"/>
              </w:rPr>
              <w:t>DODATEK</w:t>
            </w:r>
          </w:p>
        </w:tc>
        <w:tc>
          <w:tcPr>
            <w:tcW w:w="1156" w:type="dxa"/>
            <w:shd w:val="clear" w:color="auto" w:fill="auto"/>
            <w:vAlign w:val="center"/>
          </w:tcPr>
          <w:p w:rsidR="006A6AAA" w:rsidRPr="00925AFB" w:rsidRDefault="006A6AAA" w:rsidP="00925AFB">
            <w:pPr>
              <w:pStyle w:val="Navadensplet"/>
              <w:suppressAutoHyphens/>
              <w:spacing w:beforeAutospacing="0" w:afterAutospacing="0" w:line="288" w:lineRule="auto"/>
              <w:jc w:val="center"/>
              <w:rPr>
                <w:rFonts w:ascii="Arial" w:hAnsi="Arial" w:cs="Arial"/>
                <w:sz w:val="20"/>
                <w:szCs w:val="20"/>
              </w:rPr>
            </w:pPr>
            <w:r w:rsidRPr="00925AFB">
              <w:rPr>
                <w:rFonts w:ascii="Arial" w:hAnsi="Arial" w:cs="Arial"/>
                <w:sz w:val="20"/>
                <w:szCs w:val="20"/>
              </w:rPr>
              <w:t>KPJS</w:t>
            </w:r>
          </w:p>
        </w:tc>
        <w:tc>
          <w:tcPr>
            <w:tcW w:w="3596" w:type="dxa"/>
            <w:shd w:val="clear" w:color="auto" w:fill="auto"/>
            <w:vAlign w:val="center"/>
          </w:tcPr>
          <w:p w:rsidR="006A6AAA" w:rsidRPr="00925AFB" w:rsidRDefault="006A6AAA" w:rsidP="00925AFB">
            <w:pPr>
              <w:pStyle w:val="Navadensplet"/>
              <w:suppressAutoHyphens/>
              <w:spacing w:beforeAutospacing="0" w:afterAutospacing="0" w:line="288" w:lineRule="auto"/>
              <w:jc w:val="center"/>
              <w:rPr>
                <w:rFonts w:ascii="Arial" w:hAnsi="Arial" w:cs="Arial"/>
                <w:sz w:val="20"/>
                <w:szCs w:val="20"/>
              </w:rPr>
            </w:pPr>
            <w:r w:rsidRPr="00925AFB">
              <w:rPr>
                <w:rFonts w:ascii="Arial" w:hAnsi="Arial" w:cs="Arial"/>
                <w:sz w:val="20"/>
                <w:szCs w:val="20"/>
              </w:rPr>
              <w:t>Višina dodatka</w:t>
            </w:r>
          </w:p>
        </w:tc>
      </w:tr>
      <w:tr w:rsidR="006A6AAA" w:rsidTr="00F25413">
        <w:trPr>
          <w:trHeight w:val="426"/>
        </w:trPr>
        <w:tc>
          <w:tcPr>
            <w:tcW w:w="3895" w:type="dxa"/>
            <w:shd w:val="clear" w:color="auto" w:fill="auto"/>
          </w:tcPr>
          <w:p w:rsidR="006A6AAA" w:rsidRPr="00925AFB" w:rsidRDefault="006A6AAA" w:rsidP="00925AFB">
            <w:pPr>
              <w:pStyle w:val="Navadensplet"/>
              <w:suppressAutoHyphens/>
              <w:spacing w:beforeAutospacing="0" w:afterAutospacing="0" w:line="288" w:lineRule="auto"/>
              <w:rPr>
                <w:rFonts w:ascii="Arial" w:hAnsi="Arial" w:cs="Arial"/>
                <w:sz w:val="20"/>
                <w:szCs w:val="20"/>
              </w:rPr>
            </w:pPr>
            <w:r w:rsidRPr="00925AFB">
              <w:rPr>
                <w:rFonts w:ascii="Arial" w:hAnsi="Arial" w:cs="Arial"/>
                <w:sz w:val="20"/>
                <w:szCs w:val="20"/>
              </w:rPr>
              <w:t>Izmensko delo</w:t>
            </w:r>
          </w:p>
        </w:tc>
        <w:tc>
          <w:tcPr>
            <w:tcW w:w="1156" w:type="dxa"/>
            <w:shd w:val="clear" w:color="auto" w:fill="auto"/>
            <w:vAlign w:val="center"/>
          </w:tcPr>
          <w:p w:rsidR="006A6AAA" w:rsidRPr="00925AFB" w:rsidRDefault="006A6AAA" w:rsidP="00925AFB">
            <w:pPr>
              <w:pStyle w:val="Navadensplet"/>
              <w:suppressAutoHyphens/>
              <w:spacing w:beforeAutospacing="0" w:afterAutospacing="0" w:line="288" w:lineRule="auto"/>
              <w:jc w:val="center"/>
              <w:rPr>
                <w:rFonts w:ascii="Arial" w:hAnsi="Arial" w:cs="Arial"/>
                <w:sz w:val="20"/>
                <w:szCs w:val="20"/>
              </w:rPr>
            </w:pPr>
            <w:r w:rsidRPr="00925AFB">
              <w:rPr>
                <w:rFonts w:ascii="Arial" w:hAnsi="Arial" w:cs="Arial"/>
                <w:sz w:val="20"/>
                <w:szCs w:val="20"/>
              </w:rPr>
              <w:t>40. člen</w:t>
            </w:r>
          </w:p>
        </w:tc>
        <w:tc>
          <w:tcPr>
            <w:tcW w:w="3596" w:type="dxa"/>
            <w:shd w:val="clear" w:color="auto" w:fill="auto"/>
            <w:vAlign w:val="center"/>
          </w:tcPr>
          <w:p w:rsidR="006A6AAA" w:rsidRPr="00925AFB" w:rsidRDefault="006A6AAA" w:rsidP="00925AFB">
            <w:pPr>
              <w:pStyle w:val="Navadensplet"/>
              <w:suppressAutoHyphens/>
              <w:spacing w:beforeAutospacing="0" w:afterAutospacing="0" w:line="288" w:lineRule="auto"/>
              <w:jc w:val="center"/>
              <w:rPr>
                <w:rFonts w:ascii="Arial" w:hAnsi="Arial" w:cs="Arial"/>
                <w:sz w:val="20"/>
                <w:szCs w:val="20"/>
              </w:rPr>
            </w:pPr>
            <w:r w:rsidRPr="00925AFB">
              <w:rPr>
                <w:rFonts w:ascii="Arial" w:hAnsi="Arial" w:cs="Arial"/>
                <w:sz w:val="20"/>
                <w:szCs w:val="20"/>
              </w:rPr>
              <w:t>7%</w:t>
            </w:r>
          </w:p>
        </w:tc>
      </w:tr>
      <w:tr w:rsidR="006A6AAA" w:rsidTr="00F25413">
        <w:trPr>
          <w:trHeight w:val="440"/>
        </w:trPr>
        <w:tc>
          <w:tcPr>
            <w:tcW w:w="3895" w:type="dxa"/>
            <w:shd w:val="clear" w:color="auto" w:fill="auto"/>
          </w:tcPr>
          <w:p w:rsidR="006A6AAA" w:rsidRPr="00925AFB" w:rsidRDefault="006A6AAA" w:rsidP="00925AFB">
            <w:pPr>
              <w:pStyle w:val="Navadensplet"/>
              <w:suppressAutoHyphens/>
              <w:spacing w:beforeAutospacing="0" w:afterAutospacing="0" w:line="288" w:lineRule="auto"/>
              <w:rPr>
                <w:rFonts w:ascii="Arial" w:hAnsi="Arial" w:cs="Arial"/>
                <w:sz w:val="20"/>
                <w:szCs w:val="20"/>
              </w:rPr>
            </w:pPr>
            <w:r w:rsidRPr="00925AFB">
              <w:rPr>
                <w:rFonts w:ascii="Arial" w:hAnsi="Arial" w:cs="Arial"/>
                <w:sz w:val="20"/>
                <w:szCs w:val="20"/>
              </w:rPr>
              <w:t>Delo v deljenem delovnem času</w:t>
            </w:r>
          </w:p>
        </w:tc>
        <w:tc>
          <w:tcPr>
            <w:tcW w:w="1156" w:type="dxa"/>
            <w:shd w:val="clear" w:color="auto" w:fill="auto"/>
            <w:vAlign w:val="center"/>
          </w:tcPr>
          <w:p w:rsidR="006A6AAA" w:rsidRPr="00925AFB" w:rsidRDefault="006A6AAA" w:rsidP="00925AFB">
            <w:pPr>
              <w:pStyle w:val="Navadensplet"/>
              <w:suppressAutoHyphens/>
              <w:spacing w:beforeAutospacing="0" w:afterAutospacing="0" w:line="288" w:lineRule="auto"/>
              <w:jc w:val="center"/>
              <w:rPr>
                <w:rFonts w:ascii="Arial" w:hAnsi="Arial" w:cs="Arial"/>
                <w:sz w:val="20"/>
                <w:szCs w:val="20"/>
              </w:rPr>
            </w:pPr>
            <w:r w:rsidRPr="00925AFB">
              <w:rPr>
                <w:rFonts w:ascii="Arial" w:hAnsi="Arial" w:cs="Arial"/>
                <w:sz w:val="20"/>
                <w:szCs w:val="20"/>
              </w:rPr>
              <w:t>41. člen</w:t>
            </w:r>
          </w:p>
        </w:tc>
        <w:tc>
          <w:tcPr>
            <w:tcW w:w="3596" w:type="dxa"/>
            <w:shd w:val="clear" w:color="auto" w:fill="auto"/>
            <w:vAlign w:val="center"/>
          </w:tcPr>
          <w:p w:rsidR="006A6AAA" w:rsidRPr="00925AFB" w:rsidRDefault="006A6AAA" w:rsidP="00925AFB">
            <w:pPr>
              <w:pStyle w:val="Navadensplet"/>
              <w:suppressAutoHyphens/>
              <w:spacing w:beforeAutospacing="0" w:afterAutospacing="0" w:line="288" w:lineRule="auto"/>
              <w:jc w:val="center"/>
              <w:rPr>
                <w:rFonts w:ascii="Arial" w:hAnsi="Arial" w:cs="Arial"/>
                <w:sz w:val="20"/>
                <w:szCs w:val="20"/>
              </w:rPr>
            </w:pPr>
            <w:r w:rsidRPr="00925AFB">
              <w:rPr>
                <w:rFonts w:ascii="Arial" w:hAnsi="Arial" w:cs="Arial"/>
                <w:sz w:val="20"/>
                <w:szCs w:val="20"/>
              </w:rPr>
              <w:t>15%</w:t>
            </w:r>
          </w:p>
        </w:tc>
      </w:tr>
      <w:tr w:rsidR="006A6AAA" w:rsidTr="00F25413">
        <w:trPr>
          <w:trHeight w:val="426"/>
        </w:trPr>
        <w:tc>
          <w:tcPr>
            <w:tcW w:w="3895" w:type="dxa"/>
            <w:shd w:val="clear" w:color="auto" w:fill="auto"/>
          </w:tcPr>
          <w:p w:rsidR="006A6AAA" w:rsidRPr="00925AFB" w:rsidRDefault="006A6AAA" w:rsidP="00925AFB">
            <w:pPr>
              <w:pStyle w:val="Navadensplet"/>
              <w:suppressAutoHyphens/>
              <w:spacing w:beforeAutospacing="0" w:afterAutospacing="0" w:line="288" w:lineRule="auto"/>
              <w:rPr>
                <w:rFonts w:ascii="Arial" w:hAnsi="Arial" w:cs="Arial"/>
                <w:sz w:val="20"/>
                <w:szCs w:val="20"/>
              </w:rPr>
            </w:pPr>
            <w:r w:rsidRPr="00925AFB">
              <w:rPr>
                <w:rFonts w:ascii="Arial" w:hAnsi="Arial" w:cs="Arial"/>
                <w:sz w:val="20"/>
                <w:szCs w:val="20"/>
              </w:rPr>
              <w:t>Neenakomerno razporejen delovni čas</w:t>
            </w:r>
          </w:p>
        </w:tc>
        <w:tc>
          <w:tcPr>
            <w:tcW w:w="1156" w:type="dxa"/>
            <w:shd w:val="clear" w:color="auto" w:fill="auto"/>
            <w:vAlign w:val="center"/>
          </w:tcPr>
          <w:p w:rsidR="006A6AAA" w:rsidRPr="00925AFB" w:rsidRDefault="006A6AAA" w:rsidP="00925AFB">
            <w:pPr>
              <w:pStyle w:val="Navadensplet"/>
              <w:suppressAutoHyphens/>
              <w:spacing w:beforeAutospacing="0" w:afterAutospacing="0" w:line="288" w:lineRule="auto"/>
              <w:jc w:val="center"/>
              <w:rPr>
                <w:rFonts w:ascii="Arial" w:hAnsi="Arial" w:cs="Arial"/>
                <w:sz w:val="20"/>
                <w:szCs w:val="20"/>
              </w:rPr>
            </w:pPr>
            <w:r w:rsidRPr="00925AFB">
              <w:rPr>
                <w:rFonts w:ascii="Arial" w:hAnsi="Arial" w:cs="Arial"/>
                <w:sz w:val="20"/>
                <w:szCs w:val="20"/>
              </w:rPr>
              <w:t>42. člen</w:t>
            </w:r>
          </w:p>
        </w:tc>
        <w:tc>
          <w:tcPr>
            <w:tcW w:w="3596" w:type="dxa"/>
            <w:shd w:val="clear" w:color="auto" w:fill="auto"/>
            <w:vAlign w:val="center"/>
          </w:tcPr>
          <w:p w:rsidR="006A6AAA" w:rsidRPr="00925AFB" w:rsidRDefault="006A6AAA" w:rsidP="00925AFB">
            <w:pPr>
              <w:pStyle w:val="Navadensplet"/>
              <w:suppressAutoHyphens/>
              <w:spacing w:beforeAutospacing="0" w:afterAutospacing="0" w:line="288" w:lineRule="auto"/>
              <w:jc w:val="center"/>
              <w:rPr>
                <w:rFonts w:ascii="Arial" w:hAnsi="Arial" w:cs="Arial"/>
                <w:sz w:val="20"/>
                <w:szCs w:val="20"/>
              </w:rPr>
            </w:pPr>
            <w:r w:rsidRPr="00925AFB">
              <w:rPr>
                <w:rFonts w:ascii="Arial" w:hAnsi="Arial" w:cs="Arial"/>
                <w:sz w:val="20"/>
                <w:szCs w:val="20"/>
              </w:rPr>
              <w:t>10-20%</w:t>
            </w:r>
          </w:p>
        </w:tc>
      </w:tr>
      <w:tr w:rsidR="006A6AAA" w:rsidTr="00F25413">
        <w:trPr>
          <w:trHeight w:val="426"/>
        </w:trPr>
        <w:tc>
          <w:tcPr>
            <w:tcW w:w="3895" w:type="dxa"/>
            <w:shd w:val="clear" w:color="auto" w:fill="auto"/>
          </w:tcPr>
          <w:p w:rsidR="006A6AAA" w:rsidRPr="00925AFB" w:rsidRDefault="006A6AAA" w:rsidP="00925AFB">
            <w:pPr>
              <w:pStyle w:val="Navadensplet"/>
              <w:suppressAutoHyphens/>
              <w:spacing w:beforeAutospacing="0" w:afterAutospacing="0" w:line="288" w:lineRule="auto"/>
              <w:rPr>
                <w:rFonts w:ascii="Arial" w:hAnsi="Arial" w:cs="Arial"/>
                <w:sz w:val="20"/>
                <w:szCs w:val="20"/>
              </w:rPr>
            </w:pPr>
            <w:r w:rsidRPr="00925AFB">
              <w:rPr>
                <w:rFonts w:ascii="Arial" w:hAnsi="Arial" w:cs="Arial"/>
                <w:sz w:val="20"/>
                <w:szCs w:val="20"/>
              </w:rPr>
              <w:t>Delo ponoči</w:t>
            </w:r>
          </w:p>
        </w:tc>
        <w:tc>
          <w:tcPr>
            <w:tcW w:w="1156" w:type="dxa"/>
            <w:shd w:val="clear" w:color="auto" w:fill="auto"/>
            <w:vAlign w:val="center"/>
          </w:tcPr>
          <w:p w:rsidR="006A6AAA" w:rsidRPr="00925AFB" w:rsidRDefault="006A6AAA" w:rsidP="00925AFB">
            <w:pPr>
              <w:pStyle w:val="Navadensplet"/>
              <w:suppressAutoHyphens/>
              <w:spacing w:beforeAutospacing="0" w:afterAutospacing="0" w:line="288" w:lineRule="auto"/>
              <w:jc w:val="center"/>
              <w:rPr>
                <w:rFonts w:ascii="Arial" w:hAnsi="Arial" w:cs="Arial"/>
                <w:sz w:val="20"/>
                <w:szCs w:val="20"/>
              </w:rPr>
            </w:pPr>
            <w:r w:rsidRPr="00925AFB">
              <w:rPr>
                <w:rFonts w:ascii="Arial" w:hAnsi="Arial" w:cs="Arial"/>
                <w:sz w:val="20"/>
                <w:szCs w:val="20"/>
              </w:rPr>
              <w:t>43. člen</w:t>
            </w:r>
          </w:p>
        </w:tc>
        <w:tc>
          <w:tcPr>
            <w:tcW w:w="3596" w:type="dxa"/>
            <w:shd w:val="clear" w:color="auto" w:fill="auto"/>
            <w:vAlign w:val="center"/>
          </w:tcPr>
          <w:p w:rsidR="006A6AAA" w:rsidRPr="00925AFB" w:rsidRDefault="006A6AAA" w:rsidP="00925AFB">
            <w:pPr>
              <w:pStyle w:val="Navadensplet"/>
              <w:suppressAutoHyphens/>
              <w:spacing w:beforeAutospacing="0" w:afterAutospacing="0" w:line="288" w:lineRule="auto"/>
              <w:jc w:val="center"/>
              <w:rPr>
                <w:rFonts w:ascii="Arial" w:hAnsi="Arial" w:cs="Arial"/>
                <w:sz w:val="20"/>
                <w:szCs w:val="20"/>
              </w:rPr>
            </w:pPr>
            <w:r w:rsidRPr="00925AFB">
              <w:rPr>
                <w:rFonts w:ascii="Arial" w:hAnsi="Arial" w:cs="Arial"/>
                <w:sz w:val="20"/>
                <w:szCs w:val="20"/>
              </w:rPr>
              <w:t>40%</w:t>
            </w:r>
          </w:p>
        </w:tc>
      </w:tr>
      <w:tr w:rsidR="006A6AAA" w:rsidTr="00F25413">
        <w:trPr>
          <w:trHeight w:val="440"/>
        </w:trPr>
        <w:tc>
          <w:tcPr>
            <w:tcW w:w="3895" w:type="dxa"/>
            <w:shd w:val="clear" w:color="auto" w:fill="auto"/>
          </w:tcPr>
          <w:p w:rsidR="006A6AAA" w:rsidRPr="00925AFB" w:rsidRDefault="006A6AAA" w:rsidP="00925AFB">
            <w:pPr>
              <w:pStyle w:val="Navadensplet"/>
              <w:suppressAutoHyphens/>
              <w:spacing w:beforeAutospacing="0" w:afterAutospacing="0" w:line="288" w:lineRule="auto"/>
              <w:rPr>
                <w:rFonts w:ascii="Arial" w:hAnsi="Arial" w:cs="Arial"/>
                <w:sz w:val="20"/>
                <w:szCs w:val="20"/>
              </w:rPr>
            </w:pPr>
            <w:r w:rsidRPr="00925AFB">
              <w:rPr>
                <w:rFonts w:ascii="Arial" w:hAnsi="Arial" w:cs="Arial"/>
                <w:sz w:val="20"/>
                <w:szCs w:val="20"/>
              </w:rPr>
              <w:lastRenderedPageBreak/>
              <w:t>Delo v nedeljo</w:t>
            </w:r>
          </w:p>
        </w:tc>
        <w:tc>
          <w:tcPr>
            <w:tcW w:w="1156" w:type="dxa"/>
            <w:shd w:val="clear" w:color="auto" w:fill="auto"/>
            <w:vAlign w:val="center"/>
          </w:tcPr>
          <w:p w:rsidR="006A6AAA" w:rsidRPr="00925AFB" w:rsidRDefault="006A6AAA" w:rsidP="00925AFB">
            <w:pPr>
              <w:pStyle w:val="Navadensplet"/>
              <w:suppressAutoHyphens/>
              <w:spacing w:beforeAutospacing="0" w:afterAutospacing="0" w:line="288" w:lineRule="auto"/>
              <w:jc w:val="center"/>
              <w:rPr>
                <w:rFonts w:ascii="Arial" w:hAnsi="Arial" w:cs="Arial"/>
                <w:sz w:val="20"/>
                <w:szCs w:val="20"/>
              </w:rPr>
            </w:pPr>
            <w:r w:rsidRPr="00925AFB">
              <w:rPr>
                <w:rFonts w:ascii="Arial" w:hAnsi="Arial" w:cs="Arial"/>
                <w:sz w:val="20"/>
                <w:szCs w:val="20"/>
              </w:rPr>
              <w:t>44. člen</w:t>
            </w:r>
          </w:p>
        </w:tc>
        <w:tc>
          <w:tcPr>
            <w:tcW w:w="3596" w:type="dxa"/>
            <w:shd w:val="clear" w:color="auto" w:fill="auto"/>
            <w:vAlign w:val="center"/>
          </w:tcPr>
          <w:p w:rsidR="006A6AAA" w:rsidRPr="00925AFB" w:rsidRDefault="006A6AAA" w:rsidP="00925AFB">
            <w:pPr>
              <w:pStyle w:val="Navadensplet"/>
              <w:suppressAutoHyphens/>
              <w:spacing w:beforeAutospacing="0" w:afterAutospacing="0" w:line="288" w:lineRule="auto"/>
              <w:jc w:val="center"/>
              <w:rPr>
                <w:rFonts w:ascii="Arial" w:hAnsi="Arial" w:cs="Arial"/>
                <w:sz w:val="20"/>
                <w:szCs w:val="20"/>
              </w:rPr>
            </w:pPr>
            <w:r w:rsidRPr="00925AFB">
              <w:rPr>
                <w:rFonts w:ascii="Arial" w:hAnsi="Arial" w:cs="Arial"/>
                <w:sz w:val="20"/>
                <w:szCs w:val="20"/>
              </w:rPr>
              <w:t>90%</w:t>
            </w:r>
          </w:p>
        </w:tc>
      </w:tr>
      <w:tr w:rsidR="006A6AAA" w:rsidTr="00F25413">
        <w:trPr>
          <w:trHeight w:val="426"/>
        </w:trPr>
        <w:tc>
          <w:tcPr>
            <w:tcW w:w="3895" w:type="dxa"/>
            <w:shd w:val="clear" w:color="auto" w:fill="auto"/>
          </w:tcPr>
          <w:p w:rsidR="006A6AAA" w:rsidRPr="00925AFB" w:rsidRDefault="006A6AAA" w:rsidP="00925AFB">
            <w:pPr>
              <w:pStyle w:val="Navadensplet"/>
              <w:suppressAutoHyphens/>
              <w:spacing w:beforeAutospacing="0" w:afterAutospacing="0" w:line="288" w:lineRule="auto"/>
              <w:rPr>
                <w:rFonts w:ascii="Arial" w:hAnsi="Arial" w:cs="Arial"/>
                <w:sz w:val="20"/>
                <w:szCs w:val="20"/>
              </w:rPr>
            </w:pPr>
            <w:r w:rsidRPr="00925AFB">
              <w:rPr>
                <w:rFonts w:ascii="Arial" w:hAnsi="Arial" w:cs="Arial"/>
                <w:sz w:val="20"/>
                <w:szCs w:val="20"/>
              </w:rPr>
              <w:t>Dela prost dan (praznik)</w:t>
            </w:r>
          </w:p>
        </w:tc>
        <w:tc>
          <w:tcPr>
            <w:tcW w:w="1156" w:type="dxa"/>
            <w:shd w:val="clear" w:color="auto" w:fill="auto"/>
            <w:vAlign w:val="center"/>
          </w:tcPr>
          <w:p w:rsidR="006A6AAA" w:rsidRPr="00925AFB" w:rsidRDefault="006A6AAA" w:rsidP="00925AFB">
            <w:pPr>
              <w:pStyle w:val="Navadensplet"/>
              <w:suppressAutoHyphens/>
              <w:spacing w:beforeAutospacing="0" w:afterAutospacing="0" w:line="288" w:lineRule="auto"/>
              <w:jc w:val="center"/>
              <w:rPr>
                <w:rFonts w:ascii="Arial" w:hAnsi="Arial" w:cs="Arial"/>
                <w:sz w:val="20"/>
                <w:szCs w:val="20"/>
              </w:rPr>
            </w:pPr>
            <w:r w:rsidRPr="00925AFB">
              <w:rPr>
                <w:rFonts w:ascii="Arial" w:hAnsi="Arial" w:cs="Arial"/>
                <w:sz w:val="20"/>
                <w:szCs w:val="20"/>
              </w:rPr>
              <w:t>44. člen</w:t>
            </w:r>
          </w:p>
        </w:tc>
        <w:tc>
          <w:tcPr>
            <w:tcW w:w="3596" w:type="dxa"/>
            <w:shd w:val="clear" w:color="auto" w:fill="auto"/>
            <w:vAlign w:val="center"/>
          </w:tcPr>
          <w:p w:rsidR="006A6AAA" w:rsidRPr="00925AFB" w:rsidRDefault="006A6AAA" w:rsidP="00925AFB">
            <w:pPr>
              <w:pStyle w:val="Navadensplet"/>
              <w:suppressAutoHyphens/>
              <w:spacing w:beforeAutospacing="0" w:afterAutospacing="0" w:line="288" w:lineRule="auto"/>
              <w:jc w:val="center"/>
              <w:rPr>
                <w:rFonts w:ascii="Arial" w:hAnsi="Arial" w:cs="Arial"/>
                <w:sz w:val="20"/>
                <w:szCs w:val="20"/>
              </w:rPr>
            </w:pPr>
            <w:r w:rsidRPr="00925AFB">
              <w:rPr>
                <w:rFonts w:ascii="Arial" w:hAnsi="Arial" w:cs="Arial"/>
                <w:sz w:val="20"/>
                <w:szCs w:val="20"/>
              </w:rPr>
              <w:t>120%</w:t>
            </w:r>
          </w:p>
        </w:tc>
      </w:tr>
      <w:tr w:rsidR="006A6AAA" w:rsidTr="00F25413">
        <w:trPr>
          <w:trHeight w:val="687"/>
        </w:trPr>
        <w:tc>
          <w:tcPr>
            <w:tcW w:w="3895" w:type="dxa"/>
            <w:shd w:val="clear" w:color="auto" w:fill="auto"/>
          </w:tcPr>
          <w:p w:rsidR="006A6AAA" w:rsidRPr="00925AFB" w:rsidRDefault="006A6AAA" w:rsidP="00925AFB">
            <w:pPr>
              <w:pStyle w:val="Navadensplet"/>
              <w:suppressAutoHyphens/>
              <w:spacing w:beforeAutospacing="0" w:afterAutospacing="0" w:line="288" w:lineRule="auto"/>
              <w:rPr>
                <w:rFonts w:ascii="Arial" w:hAnsi="Arial" w:cs="Arial"/>
                <w:sz w:val="20"/>
                <w:szCs w:val="20"/>
              </w:rPr>
            </w:pPr>
            <w:r w:rsidRPr="00925AFB">
              <w:rPr>
                <w:rFonts w:ascii="Arial" w:hAnsi="Arial" w:cs="Arial"/>
                <w:sz w:val="20"/>
                <w:szCs w:val="20"/>
              </w:rPr>
              <w:t>Delo preko polnega delovnega časa (nadurno delo)</w:t>
            </w:r>
          </w:p>
        </w:tc>
        <w:tc>
          <w:tcPr>
            <w:tcW w:w="1156" w:type="dxa"/>
            <w:shd w:val="clear" w:color="auto" w:fill="auto"/>
            <w:vAlign w:val="center"/>
          </w:tcPr>
          <w:p w:rsidR="006A6AAA" w:rsidRPr="00925AFB" w:rsidRDefault="006A6AAA" w:rsidP="00925AFB">
            <w:pPr>
              <w:pStyle w:val="Navadensplet"/>
              <w:suppressAutoHyphens/>
              <w:spacing w:beforeAutospacing="0" w:afterAutospacing="0" w:line="288" w:lineRule="auto"/>
              <w:jc w:val="center"/>
              <w:rPr>
                <w:rFonts w:ascii="Arial" w:hAnsi="Arial" w:cs="Arial"/>
                <w:sz w:val="20"/>
                <w:szCs w:val="20"/>
              </w:rPr>
            </w:pPr>
            <w:r w:rsidRPr="00925AFB">
              <w:rPr>
                <w:rFonts w:ascii="Arial" w:hAnsi="Arial" w:cs="Arial"/>
                <w:sz w:val="20"/>
                <w:szCs w:val="20"/>
              </w:rPr>
              <w:t>45. člen</w:t>
            </w:r>
          </w:p>
        </w:tc>
        <w:tc>
          <w:tcPr>
            <w:tcW w:w="3596" w:type="dxa"/>
            <w:shd w:val="clear" w:color="auto" w:fill="auto"/>
            <w:vAlign w:val="center"/>
          </w:tcPr>
          <w:p w:rsidR="006A6AAA" w:rsidRPr="00925AFB" w:rsidRDefault="006A6AAA" w:rsidP="00925AFB">
            <w:pPr>
              <w:pStyle w:val="Navadensplet"/>
              <w:suppressAutoHyphens/>
              <w:spacing w:beforeAutospacing="0" w:afterAutospacing="0" w:line="288" w:lineRule="auto"/>
              <w:jc w:val="center"/>
              <w:rPr>
                <w:rFonts w:ascii="Arial" w:hAnsi="Arial" w:cs="Arial"/>
                <w:sz w:val="20"/>
                <w:szCs w:val="20"/>
              </w:rPr>
            </w:pPr>
            <w:r w:rsidRPr="00925AFB">
              <w:rPr>
                <w:rFonts w:ascii="Arial" w:hAnsi="Arial" w:cs="Arial"/>
                <w:sz w:val="20"/>
                <w:szCs w:val="20"/>
              </w:rPr>
              <w:t>30%</w:t>
            </w:r>
          </w:p>
        </w:tc>
      </w:tr>
      <w:tr w:rsidR="006A6AAA" w:rsidTr="00F25413">
        <w:trPr>
          <w:trHeight w:val="426"/>
        </w:trPr>
        <w:tc>
          <w:tcPr>
            <w:tcW w:w="3895" w:type="dxa"/>
            <w:shd w:val="clear" w:color="auto" w:fill="auto"/>
          </w:tcPr>
          <w:p w:rsidR="006A6AAA" w:rsidRPr="00925AFB" w:rsidRDefault="006A6AAA" w:rsidP="00925AFB">
            <w:pPr>
              <w:pStyle w:val="Navadensplet"/>
              <w:suppressAutoHyphens/>
              <w:spacing w:beforeAutospacing="0" w:afterAutospacing="0" w:line="288" w:lineRule="auto"/>
              <w:rPr>
                <w:rFonts w:ascii="Arial" w:hAnsi="Arial" w:cs="Arial"/>
                <w:sz w:val="20"/>
                <w:szCs w:val="20"/>
              </w:rPr>
            </w:pPr>
            <w:r w:rsidRPr="00925AFB">
              <w:rPr>
                <w:rFonts w:ascii="Arial" w:hAnsi="Arial" w:cs="Arial"/>
                <w:sz w:val="20"/>
                <w:szCs w:val="20"/>
              </w:rPr>
              <w:t>Dodatek za pripravljenost</w:t>
            </w:r>
          </w:p>
        </w:tc>
        <w:tc>
          <w:tcPr>
            <w:tcW w:w="1156" w:type="dxa"/>
            <w:shd w:val="clear" w:color="auto" w:fill="auto"/>
            <w:vAlign w:val="center"/>
          </w:tcPr>
          <w:p w:rsidR="006A6AAA" w:rsidRPr="00925AFB" w:rsidRDefault="006A6AAA" w:rsidP="00925AFB">
            <w:pPr>
              <w:pStyle w:val="Navadensplet"/>
              <w:suppressAutoHyphens/>
              <w:spacing w:beforeAutospacing="0" w:afterAutospacing="0" w:line="288" w:lineRule="auto"/>
              <w:jc w:val="center"/>
              <w:rPr>
                <w:rFonts w:ascii="Arial" w:hAnsi="Arial" w:cs="Arial"/>
                <w:sz w:val="20"/>
                <w:szCs w:val="20"/>
              </w:rPr>
            </w:pPr>
            <w:r w:rsidRPr="00925AFB">
              <w:rPr>
                <w:rFonts w:ascii="Arial" w:hAnsi="Arial" w:cs="Arial"/>
                <w:sz w:val="20"/>
                <w:szCs w:val="20"/>
              </w:rPr>
              <w:t>46. člen</w:t>
            </w:r>
          </w:p>
        </w:tc>
        <w:tc>
          <w:tcPr>
            <w:tcW w:w="3596" w:type="dxa"/>
            <w:shd w:val="clear" w:color="auto" w:fill="auto"/>
            <w:vAlign w:val="center"/>
          </w:tcPr>
          <w:p w:rsidR="006A6AAA" w:rsidRPr="00925AFB" w:rsidRDefault="006A6AAA" w:rsidP="00925AFB">
            <w:pPr>
              <w:pStyle w:val="Navadensplet"/>
              <w:suppressAutoHyphens/>
              <w:spacing w:beforeAutospacing="0" w:afterAutospacing="0" w:line="288" w:lineRule="auto"/>
              <w:jc w:val="center"/>
              <w:rPr>
                <w:rFonts w:ascii="Arial" w:hAnsi="Arial" w:cs="Arial"/>
                <w:sz w:val="20"/>
                <w:szCs w:val="20"/>
              </w:rPr>
            </w:pPr>
            <w:r w:rsidRPr="00925AFB">
              <w:rPr>
                <w:rFonts w:ascii="Arial" w:hAnsi="Arial" w:cs="Arial"/>
                <w:sz w:val="20"/>
                <w:szCs w:val="20"/>
              </w:rPr>
              <w:t>20%</w:t>
            </w:r>
          </w:p>
        </w:tc>
      </w:tr>
      <w:tr w:rsidR="006A6AAA" w:rsidTr="00F25413">
        <w:trPr>
          <w:trHeight w:val="426"/>
        </w:trPr>
        <w:tc>
          <w:tcPr>
            <w:tcW w:w="3895" w:type="dxa"/>
            <w:shd w:val="clear" w:color="auto" w:fill="auto"/>
          </w:tcPr>
          <w:p w:rsidR="006A6AAA" w:rsidRPr="00925AFB" w:rsidRDefault="006A6AAA" w:rsidP="00925AFB">
            <w:pPr>
              <w:pStyle w:val="Navadensplet"/>
              <w:suppressAutoHyphens/>
              <w:spacing w:beforeAutospacing="0" w:afterAutospacing="0" w:line="288" w:lineRule="auto"/>
              <w:rPr>
                <w:rFonts w:ascii="Arial" w:hAnsi="Arial" w:cs="Arial"/>
                <w:sz w:val="20"/>
                <w:szCs w:val="20"/>
              </w:rPr>
            </w:pPr>
            <w:r w:rsidRPr="00925AFB">
              <w:rPr>
                <w:rFonts w:ascii="Arial" w:hAnsi="Arial" w:cs="Arial"/>
                <w:sz w:val="20"/>
                <w:szCs w:val="20"/>
              </w:rPr>
              <w:t>Dodatek za čas dežurstva</w:t>
            </w:r>
          </w:p>
        </w:tc>
        <w:tc>
          <w:tcPr>
            <w:tcW w:w="1156" w:type="dxa"/>
            <w:shd w:val="clear" w:color="auto" w:fill="auto"/>
            <w:vAlign w:val="center"/>
          </w:tcPr>
          <w:p w:rsidR="006A6AAA" w:rsidRPr="00925AFB" w:rsidRDefault="006A6AAA" w:rsidP="00925AFB">
            <w:pPr>
              <w:pStyle w:val="Navadensplet"/>
              <w:suppressAutoHyphens/>
              <w:spacing w:beforeAutospacing="0" w:afterAutospacing="0" w:line="288" w:lineRule="auto"/>
              <w:jc w:val="center"/>
              <w:rPr>
                <w:rFonts w:ascii="Arial" w:hAnsi="Arial" w:cs="Arial"/>
                <w:sz w:val="20"/>
                <w:szCs w:val="20"/>
              </w:rPr>
            </w:pPr>
            <w:r w:rsidRPr="00925AFB">
              <w:rPr>
                <w:rFonts w:ascii="Arial" w:hAnsi="Arial" w:cs="Arial"/>
                <w:sz w:val="20"/>
                <w:szCs w:val="20"/>
              </w:rPr>
              <w:t xml:space="preserve">48. člen </w:t>
            </w:r>
          </w:p>
        </w:tc>
        <w:tc>
          <w:tcPr>
            <w:tcW w:w="3596" w:type="dxa"/>
            <w:shd w:val="clear" w:color="auto" w:fill="auto"/>
            <w:vAlign w:val="center"/>
          </w:tcPr>
          <w:p w:rsidR="006A6AAA" w:rsidRPr="00925AFB" w:rsidRDefault="006A6AAA" w:rsidP="00925AFB">
            <w:pPr>
              <w:pStyle w:val="Navadensplet"/>
              <w:suppressAutoHyphens/>
              <w:spacing w:beforeAutospacing="0" w:afterAutospacing="0" w:line="288" w:lineRule="auto"/>
              <w:jc w:val="center"/>
              <w:rPr>
                <w:rFonts w:ascii="Arial" w:hAnsi="Arial" w:cs="Arial"/>
                <w:sz w:val="20"/>
                <w:szCs w:val="20"/>
              </w:rPr>
            </w:pPr>
            <w:r w:rsidRPr="00925AFB">
              <w:rPr>
                <w:rFonts w:ascii="Arial" w:hAnsi="Arial" w:cs="Arial"/>
                <w:sz w:val="20"/>
                <w:szCs w:val="20"/>
              </w:rPr>
              <w:t>30%</w:t>
            </w:r>
          </w:p>
        </w:tc>
      </w:tr>
    </w:tbl>
    <w:p w:rsidR="006A6AAA" w:rsidRDefault="006A6AAA" w:rsidP="0055102A">
      <w:pPr>
        <w:pStyle w:val="rkovnatokazaodstavkom"/>
        <w:numPr>
          <w:ilvl w:val="0"/>
          <w:numId w:val="0"/>
        </w:numPr>
        <w:spacing w:line="288" w:lineRule="auto"/>
      </w:pPr>
    </w:p>
    <w:p w:rsidR="0055102A" w:rsidRPr="00115F14" w:rsidRDefault="0055102A" w:rsidP="0055102A">
      <w:pPr>
        <w:pStyle w:val="rkovnatokazaodstavkom"/>
        <w:numPr>
          <w:ilvl w:val="0"/>
          <w:numId w:val="0"/>
        </w:numPr>
        <w:spacing w:line="288" w:lineRule="auto"/>
      </w:pPr>
      <w:r w:rsidRPr="00115F14">
        <w:t>Računsko sodišče ugotavlja, da ZDT-1 za opravljanje nujnih procesnih dejanj ustrezno ureja bistvene pravice in obveznosti državnih tožilcev, ki opravljajo nujna procesna dejanja, saj določa obveznost opravljanja tožilske službe tudi izven poslovnega časa, ter pravico do dnevnega in tedenskega počitka.</w:t>
      </w:r>
    </w:p>
    <w:p w:rsidR="0055102A" w:rsidRPr="00115F14" w:rsidRDefault="0055102A" w:rsidP="0055102A">
      <w:pPr>
        <w:pStyle w:val="rkovnatokazaodstavkom"/>
        <w:numPr>
          <w:ilvl w:val="0"/>
          <w:numId w:val="0"/>
        </w:numPr>
        <w:spacing w:line="288" w:lineRule="auto"/>
      </w:pPr>
    </w:p>
    <w:p w:rsidR="0055102A" w:rsidRPr="00115F14" w:rsidRDefault="0055102A" w:rsidP="0055102A">
      <w:pPr>
        <w:pStyle w:val="rkovnatokazaodstavkom"/>
        <w:numPr>
          <w:ilvl w:val="0"/>
          <w:numId w:val="0"/>
        </w:numPr>
        <w:spacing w:line="288" w:lineRule="auto"/>
      </w:pPr>
      <w:r w:rsidRPr="00115F14">
        <w:t xml:space="preserve">Drugačne pa so ugotovitve glede državnotožilske osebja. Tretji odstavek 22. člena ZJU določa, da so lahko posamezna vprašanja za osebje državnih tožilstev z zakonom drugače urejena, kot so urejena v ZJU, če je to potrebno zaradi specifične narave njihovih nalog oziroma za izvrševanje posebnih dolžnosti in pooblastil. Obveznosti sodelovanja državnotožilskega osebja pri opravljanju nujnih procesnih dejanj </w:t>
      </w:r>
      <w:r w:rsidR="006A6AAA">
        <w:t xml:space="preserve">veljavni </w:t>
      </w:r>
      <w:r w:rsidRPr="00115F14">
        <w:t>ZDT-1 oziroma drug zakon neposredno ne ureja</w:t>
      </w:r>
      <w:r w:rsidR="006A6AAA">
        <w:t>, zato je slednje predmet urejanja v te novele zakona.</w:t>
      </w:r>
      <w:r w:rsidRPr="00115F14">
        <w:t xml:space="preserve"> </w:t>
      </w:r>
    </w:p>
    <w:p w:rsidR="00134E4C" w:rsidRDefault="00134E4C" w:rsidP="0055102A">
      <w:pPr>
        <w:pStyle w:val="rkovnatokazaodstavkom"/>
        <w:numPr>
          <w:ilvl w:val="0"/>
          <w:numId w:val="0"/>
        </w:numPr>
        <w:spacing w:line="288" w:lineRule="auto"/>
      </w:pPr>
    </w:p>
    <w:p w:rsidR="00AE2155" w:rsidRDefault="006A6AAA" w:rsidP="00B644CC">
      <w:pPr>
        <w:spacing w:line="288" w:lineRule="auto"/>
        <w:jc w:val="both"/>
        <w:rPr>
          <w:rFonts w:eastAsia="Calibri" w:cs="Arial"/>
          <w:szCs w:val="20"/>
        </w:rPr>
      </w:pPr>
      <w:r>
        <w:rPr>
          <w:rFonts w:eastAsia="Calibri" w:cs="Arial"/>
          <w:szCs w:val="20"/>
        </w:rPr>
        <w:t>Poleg navedenega je a</w:t>
      </w:r>
      <w:r w:rsidR="00AE2155" w:rsidRPr="00115F14">
        <w:rPr>
          <w:rFonts w:eastAsia="Calibri" w:cs="Arial"/>
          <w:szCs w:val="20"/>
        </w:rPr>
        <w:t xml:space="preserve">ktualnost predlagane problematike v delu, ki zadeva izvajanje dežurne službe državnega tožilstva in nujni ureditvi dejanskih aktivnosti državnega tožilca v delu, ki niso zajete z zakonskimi rešitvami, odraz </w:t>
      </w:r>
      <w:r>
        <w:rPr>
          <w:rFonts w:eastAsia="Calibri" w:cs="Arial"/>
          <w:szCs w:val="20"/>
        </w:rPr>
        <w:t xml:space="preserve">tudi </w:t>
      </w:r>
      <w:r w:rsidR="00AE2155" w:rsidRPr="00115F14">
        <w:rPr>
          <w:rFonts w:eastAsia="Calibri" w:cs="Arial"/>
          <w:szCs w:val="20"/>
        </w:rPr>
        <w:t xml:space="preserve">različnih tolmačenj veljavne ureditve </w:t>
      </w:r>
      <w:r w:rsidR="00E25A13">
        <w:rPr>
          <w:rFonts w:eastAsia="Calibri" w:cs="Arial"/>
          <w:szCs w:val="20"/>
        </w:rPr>
        <w:t xml:space="preserve">pri evidentiranju opravljenega dela v fazi pripravljenosti. </w:t>
      </w:r>
      <w:r w:rsidR="00AE2155" w:rsidRPr="00115F14">
        <w:rPr>
          <w:rFonts w:eastAsia="Calibri" w:cs="Arial"/>
          <w:szCs w:val="20"/>
        </w:rPr>
        <w:t>V revizijskem poročilu je med drugim Računsko sodišče ocenilo, da je ureditev, po kateri se aktivnosti v zvezi s pozivi evidentirajo po dejansko porabljenem času</w:t>
      </w:r>
      <w:r w:rsidR="00E25A13">
        <w:rPr>
          <w:rFonts w:eastAsia="Calibri" w:cs="Arial"/>
          <w:szCs w:val="20"/>
        </w:rPr>
        <w:t xml:space="preserve"> in ne pavšalno</w:t>
      </w:r>
      <w:r w:rsidR="00AE2155" w:rsidRPr="00115F14">
        <w:rPr>
          <w:rFonts w:eastAsia="Calibri" w:cs="Arial"/>
          <w:szCs w:val="20"/>
        </w:rPr>
        <w:t xml:space="preserve">, najustreznejša podlaga za obračun opravljenega dela.  </w:t>
      </w:r>
    </w:p>
    <w:p w:rsidR="00FE5F88" w:rsidRPr="00115F14" w:rsidRDefault="00FE5F88" w:rsidP="00B644CC">
      <w:pPr>
        <w:pStyle w:val="Golobesedilo"/>
        <w:spacing w:line="288" w:lineRule="auto"/>
        <w:jc w:val="both"/>
        <w:rPr>
          <w:rFonts w:ascii="Arial" w:eastAsia="Times New Roman" w:hAnsi="Arial" w:cs="Arial"/>
          <w:sz w:val="20"/>
          <w:szCs w:val="24"/>
        </w:rPr>
      </w:pPr>
    </w:p>
    <w:p w:rsidR="00FE5F88" w:rsidRDefault="00FE5F88" w:rsidP="00FE5F88">
      <w:pPr>
        <w:spacing w:line="288" w:lineRule="auto"/>
        <w:jc w:val="both"/>
        <w:rPr>
          <w:rFonts w:eastAsia="Calibri" w:cs="Arial"/>
          <w:b/>
          <w:bCs/>
          <w:szCs w:val="20"/>
        </w:rPr>
      </w:pPr>
      <w:r w:rsidRPr="00456775">
        <w:rPr>
          <w:rFonts w:eastAsia="Calibri" w:cs="Arial"/>
          <w:b/>
          <w:bCs/>
          <w:szCs w:val="20"/>
        </w:rPr>
        <w:t>1.</w:t>
      </w:r>
      <w:r>
        <w:rPr>
          <w:rFonts w:eastAsia="Calibri" w:cs="Arial"/>
          <w:b/>
          <w:bCs/>
          <w:szCs w:val="20"/>
        </w:rPr>
        <w:t>3</w:t>
      </w:r>
      <w:r w:rsidRPr="00456775">
        <w:rPr>
          <w:rFonts w:eastAsia="Calibri" w:cs="Arial"/>
          <w:b/>
          <w:bCs/>
          <w:szCs w:val="20"/>
        </w:rPr>
        <w:t xml:space="preserve"> </w:t>
      </w:r>
      <w:r>
        <w:rPr>
          <w:rFonts w:eastAsia="Calibri" w:cs="Arial"/>
          <w:b/>
          <w:bCs/>
          <w:szCs w:val="20"/>
        </w:rPr>
        <w:t>K</w:t>
      </w:r>
      <w:r w:rsidRPr="00456775">
        <w:rPr>
          <w:rFonts w:eastAsia="Calibri" w:cs="Arial"/>
          <w:b/>
          <w:bCs/>
          <w:szCs w:val="20"/>
        </w:rPr>
        <w:t>repitev odgovornosti vodje državnega tožilstva</w:t>
      </w:r>
    </w:p>
    <w:p w:rsidR="00FE5F88" w:rsidRDefault="00FE5F88" w:rsidP="00FE5F88">
      <w:pPr>
        <w:spacing w:line="288" w:lineRule="auto"/>
        <w:jc w:val="both"/>
        <w:rPr>
          <w:rFonts w:eastAsia="Calibri" w:cs="Arial"/>
          <w:b/>
          <w:bCs/>
          <w:szCs w:val="20"/>
        </w:rPr>
      </w:pPr>
    </w:p>
    <w:p w:rsidR="00FE5F88" w:rsidRDefault="00FE5F88" w:rsidP="00FE5F88">
      <w:pPr>
        <w:spacing w:line="288" w:lineRule="auto"/>
        <w:jc w:val="both"/>
        <w:rPr>
          <w:rFonts w:eastAsia="Calibri" w:cs="Arial"/>
          <w:szCs w:val="20"/>
          <w:lang w:eastAsia="sl-SI"/>
        </w:rPr>
      </w:pPr>
      <w:r>
        <w:rPr>
          <w:rFonts w:eastAsia="Calibri" w:cs="Arial"/>
          <w:szCs w:val="20"/>
          <w:lang w:eastAsia="sl-SI"/>
        </w:rPr>
        <w:t xml:space="preserve">Z uveljavitvijo </w:t>
      </w:r>
      <w:r w:rsidRPr="00076E88">
        <w:rPr>
          <w:rFonts w:eastAsia="Calibri" w:cs="Arial"/>
          <w:szCs w:val="20"/>
          <w:lang w:eastAsia="sl-SI"/>
        </w:rPr>
        <w:t>ZDT-1</w:t>
      </w:r>
      <w:r>
        <w:rPr>
          <w:rFonts w:eastAsia="Calibri" w:cs="Arial"/>
          <w:szCs w:val="20"/>
          <w:lang w:eastAsia="sl-SI"/>
        </w:rPr>
        <w:t xml:space="preserve"> leta 2011</w:t>
      </w:r>
      <w:r w:rsidRPr="00076E88">
        <w:rPr>
          <w:rFonts w:eastAsia="Calibri" w:cs="Arial"/>
          <w:szCs w:val="20"/>
          <w:lang w:eastAsia="sl-SI"/>
        </w:rPr>
        <w:t xml:space="preserve"> je bila poudarjena vloga vodje tožilstva, ki je sicer ohranil vlogo organizacijskega in izvedbenega usklajevanja in zagotavljanja enotnosti pregona, vendar pa je zakon njegovo vlogo odločanja v posameznih zadevah omejil. Ohranil je institut prevzema zadeve, ki upravičuje, da vodja poleg strokovnega usmerjanja izenačuje funkcijo pregona z neposrednim posegom, vendar ob večjem zagotovilu naknadnega preizkusa pravilnosti odločitve na podlagi zahteve državnega tožilca, ki mu je bila zadeva odvzeta.</w:t>
      </w:r>
    </w:p>
    <w:p w:rsidR="00FE5F88" w:rsidRDefault="00FE5F88" w:rsidP="00FE5F88">
      <w:pPr>
        <w:spacing w:line="288" w:lineRule="auto"/>
        <w:jc w:val="both"/>
        <w:rPr>
          <w:rFonts w:eastAsia="Calibri" w:cs="Arial"/>
          <w:szCs w:val="20"/>
          <w:lang w:eastAsia="sl-SI"/>
        </w:rPr>
      </w:pPr>
    </w:p>
    <w:p w:rsidR="00FE5F88" w:rsidRDefault="00FE5F88" w:rsidP="00FE5F88">
      <w:pPr>
        <w:spacing w:line="288" w:lineRule="auto"/>
        <w:jc w:val="both"/>
        <w:rPr>
          <w:rFonts w:eastAsia="Calibri" w:cs="Arial"/>
          <w:szCs w:val="20"/>
          <w:lang w:eastAsia="sl-SI"/>
        </w:rPr>
      </w:pPr>
      <w:r>
        <w:rPr>
          <w:rFonts w:eastAsia="Calibri" w:cs="Arial"/>
          <w:szCs w:val="20"/>
          <w:lang w:eastAsia="sl-SI"/>
        </w:rPr>
        <w:t>Z d</w:t>
      </w:r>
      <w:r w:rsidRPr="00076E88">
        <w:rPr>
          <w:rFonts w:eastAsia="Calibri" w:cs="Arial"/>
          <w:szCs w:val="20"/>
          <w:lang w:eastAsia="sl-SI"/>
        </w:rPr>
        <w:t>oločb</w:t>
      </w:r>
      <w:r>
        <w:rPr>
          <w:rFonts w:eastAsia="Calibri" w:cs="Arial"/>
          <w:szCs w:val="20"/>
          <w:lang w:eastAsia="sl-SI"/>
        </w:rPr>
        <w:t>o</w:t>
      </w:r>
      <w:r w:rsidRPr="00076E88">
        <w:rPr>
          <w:rFonts w:eastAsia="Calibri" w:cs="Arial"/>
          <w:szCs w:val="20"/>
          <w:lang w:eastAsia="sl-SI"/>
        </w:rPr>
        <w:t xml:space="preserve"> 169. člena </w:t>
      </w:r>
      <w:r>
        <w:rPr>
          <w:rFonts w:eastAsia="Calibri" w:cs="Arial"/>
          <w:szCs w:val="20"/>
          <w:lang w:eastAsia="sl-SI"/>
        </w:rPr>
        <w:t xml:space="preserve">se je v novo ureditev državnotožilske organizacije </w:t>
      </w:r>
      <w:r w:rsidRPr="00076E88">
        <w:rPr>
          <w:rFonts w:eastAsia="Calibri" w:cs="Arial"/>
          <w:szCs w:val="20"/>
          <w:lang w:eastAsia="sl-SI"/>
        </w:rPr>
        <w:t>uvedla novost, ki dotlej v zakonu ni bila poznana. Gre za določitev načinov zagotavljanja učinkovitosti in enotnosti pregona. Z določbo 169. člena se je v povezavi z določbo o prevzemu zadeve (170. člen</w:t>
      </w:r>
      <w:r>
        <w:rPr>
          <w:rFonts w:eastAsia="Calibri" w:cs="Arial"/>
          <w:szCs w:val="20"/>
          <w:lang w:eastAsia="sl-SI"/>
        </w:rPr>
        <w:t xml:space="preserve"> ZDT-1</w:t>
      </w:r>
      <w:r w:rsidRPr="00076E88">
        <w:rPr>
          <w:rFonts w:eastAsia="Calibri" w:cs="Arial"/>
          <w:szCs w:val="20"/>
          <w:lang w:eastAsia="sl-SI"/>
        </w:rPr>
        <w:t>) uredilo postopanje vodje državnega tožilstva v zadevah, v katerih si bo vodja pridržal predhodno seznanitev z odločitvijo državnega tožilca. Vodja državnega tožilstva naj bi tako najprej (tj. vnaprej) določil vrsto zadev in način obveščanja o zadevah, v katerih mu morajo državni tožilci pred odločitvijo predložiti na vpogled osnutek svojega akta zaradi zagotavljanja enotnosti pregona.</w:t>
      </w:r>
    </w:p>
    <w:p w:rsidR="00FE5F88" w:rsidRDefault="00FE5F88" w:rsidP="00FE5F88">
      <w:pPr>
        <w:spacing w:line="288" w:lineRule="auto"/>
        <w:jc w:val="both"/>
        <w:rPr>
          <w:rFonts w:eastAsia="Calibri" w:cs="Arial"/>
          <w:szCs w:val="20"/>
          <w:lang w:eastAsia="sl-SI"/>
        </w:rPr>
      </w:pPr>
    </w:p>
    <w:p w:rsidR="00FE5F88" w:rsidRDefault="00FE5F88" w:rsidP="00FE5F88">
      <w:pPr>
        <w:spacing w:line="288" w:lineRule="auto"/>
        <w:jc w:val="both"/>
        <w:rPr>
          <w:rFonts w:eastAsia="Calibri" w:cs="Arial"/>
          <w:szCs w:val="20"/>
        </w:rPr>
      </w:pPr>
      <w:r>
        <w:rPr>
          <w:rFonts w:eastAsia="Calibri" w:cs="Arial"/>
          <w:szCs w:val="20"/>
          <w:lang w:eastAsia="sl-SI"/>
        </w:rPr>
        <w:t>Izvajanje določbe 169. člena ZDT-1 je v praksi pokazalo, da navedena določba</w:t>
      </w:r>
      <w:r w:rsidRPr="00076E88">
        <w:rPr>
          <w:rFonts w:eastAsia="Calibri" w:cs="Arial"/>
          <w:szCs w:val="20"/>
          <w:lang w:eastAsia="sl-SI"/>
        </w:rPr>
        <w:t xml:space="preserve"> pri večini državnih tožilstev ni bila razumljena na način, kot je bila ob sprejemu ZDT-1 oblikovana</w:t>
      </w:r>
      <w:r>
        <w:rPr>
          <w:rFonts w:eastAsia="Calibri" w:cs="Arial"/>
          <w:szCs w:val="20"/>
          <w:lang w:eastAsia="sl-SI"/>
        </w:rPr>
        <w:t>.</w:t>
      </w:r>
    </w:p>
    <w:p w:rsidR="00FE5F88" w:rsidRDefault="00FE5F88" w:rsidP="00FE5F88">
      <w:pPr>
        <w:spacing w:line="288" w:lineRule="auto"/>
        <w:jc w:val="both"/>
        <w:rPr>
          <w:rFonts w:eastAsia="Calibri" w:cs="Arial"/>
          <w:szCs w:val="20"/>
        </w:rPr>
      </w:pPr>
    </w:p>
    <w:p w:rsidR="00FE5F88" w:rsidRPr="000E3AFF" w:rsidRDefault="00FE5F88" w:rsidP="00FE5F88">
      <w:pPr>
        <w:spacing w:line="288" w:lineRule="auto"/>
        <w:jc w:val="both"/>
        <w:rPr>
          <w:rFonts w:eastAsia="Calibri" w:cs="Arial"/>
          <w:szCs w:val="20"/>
        </w:rPr>
      </w:pPr>
      <w:r>
        <w:rPr>
          <w:rFonts w:eastAsia="Calibri" w:cs="Arial"/>
          <w:szCs w:val="20"/>
          <w:lang w:eastAsia="sl-SI"/>
        </w:rPr>
        <w:lastRenderedPageBreak/>
        <w:t>D</w:t>
      </w:r>
      <w:r w:rsidRPr="000E3AFF">
        <w:rPr>
          <w:rFonts w:eastAsia="Calibri" w:cs="Arial"/>
          <w:szCs w:val="20"/>
          <w:lang w:eastAsia="sl-SI"/>
        </w:rPr>
        <w:t>ržavni tožilec na podlagi 161. člena ZKP zavrže kazensko ovadbo:</w:t>
      </w:r>
    </w:p>
    <w:p w:rsidR="00FE5F88" w:rsidRPr="001A24F5" w:rsidRDefault="00FE5F88" w:rsidP="00FE5F88">
      <w:pPr>
        <w:pStyle w:val="Odstavekseznama"/>
        <w:numPr>
          <w:ilvl w:val="0"/>
          <w:numId w:val="26"/>
        </w:numPr>
        <w:spacing w:line="288" w:lineRule="auto"/>
        <w:jc w:val="both"/>
        <w:rPr>
          <w:rFonts w:eastAsia="Calibri" w:cs="Arial"/>
          <w:szCs w:val="20"/>
          <w:lang w:eastAsia="sl-SI"/>
        </w:rPr>
      </w:pPr>
      <w:r w:rsidRPr="001A24F5">
        <w:rPr>
          <w:rFonts w:eastAsia="Calibri" w:cs="Arial"/>
          <w:szCs w:val="20"/>
          <w:lang w:eastAsia="sl-SI"/>
        </w:rPr>
        <w:t xml:space="preserve">če iz nje izhaja, da naznanjeno dejanje ni kaznivo dejanje, za katero se storilec preganja po uradni dolžnosti; </w:t>
      </w:r>
    </w:p>
    <w:p w:rsidR="00FE5F88" w:rsidRPr="001A24F5" w:rsidRDefault="00FE5F88" w:rsidP="00FE5F88">
      <w:pPr>
        <w:pStyle w:val="Odstavekseznama"/>
        <w:numPr>
          <w:ilvl w:val="0"/>
          <w:numId w:val="26"/>
        </w:numPr>
        <w:spacing w:line="288" w:lineRule="auto"/>
        <w:jc w:val="both"/>
        <w:rPr>
          <w:rFonts w:eastAsia="Calibri" w:cs="Arial"/>
          <w:szCs w:val="20"/>
          <w:lang w:eastAsia="sl-SI"/>
        </w:rPr>
      </w:pPr>
      <w:r w:rsidRPr="001A24F5">
        <w:rPr>
          <w:rFonts w:eastAsia="Calibri" w:cs="Arial"/>
          <w:szCs w:val="20"/>
          <w:lang w:eastAsia="sl-SI"/>
        </w:rPr>
        <w:t xml:space="preserve">če je pregon zastaran ali je dejanje obseženo z amnestijo oziroma pomilostitvijo ali če so podane druge okoliščine, ki izključujejo pregon; </w:t>
      </w:r>
    </w:p>
    <w:p w:rsidR="00FE5F88" w:rsidRPr="001A24F5" w:rsidRDefault="00FE5F88" w:rsidP="00FE5F88">
      <w:pPr>
        <w:pStyle w:val="Odstavekseznama"/>
        <w:numPr>
          <w:ilvl w:val="0"/>
          <w:numId w:val="26"/>
        </w:numPr>
        <w:spacing w:line="288" w:lineRule="auto"/>
        <w:jc w:val="both"/>
        <w:rPr>
          <w:rFonts w:eastAsia="Calibri" w:cs="Arial"/>
          <w:szCs w:val="20"/>
          <w:lang w:eastAsia="sl-SI"/>
        </w:rPr>
      </w:pPr>
      <w:r w:rsidRPr="001A24F5">
        <w:rPr>
          <w:rFonts w:eastAsia="Calibri" w:cs="Arial"/>
          <w:szCs w:val="20"/>
          <w:lang w:eastAsia="sl-SI"/>
        </w:rPr>
        <w:t xml:space="preserve">če ni podanega utemeljenega suma, da je osumljenec storil naznanjeno kaznivo dejanje </w:t>
      </w:r>
    </w:p>
    <w:p w:rsidR="00FE5F88" w:rsidRPr="001A24F5" w:rsidRDefault="00FE5F88" w:rsidP="00FE5F88">
      <w:pPr>
        <w:pStyle w:val="Odstavekseznama"/>
        <w:numPr>
          <w:ilvl w:val="0"/>
          <w:numId w:val="26"/>
        </w:numPr>
        <w:spacing w:line="288" w:lineRule="auto"/>
        <w:jc w:val="both"/>
        <w:rPr>
          <w:rFonts w:eastAsia="Calibri" w:cs="Arial"/>
          <w:szCs w:val="20"/>
          <w:lang w:eastAsia="sl-SI"/>
        </w:rPr>
      </w:pPr>
      <w:r w:rsidRPr="001A24F5">
        <w:rPr>
          <w:rFonts w:eastAsia="Calibri" w:cs="Arial"/>
          <w:szCs w:val="20"/>
          <w:lang w:eastAsia="sl-SI"/>
        </w:rPr>
        <w:t xml:space="preserve">ali če je podana nesorazmernost med majhnim pomenom kaznivega dejanja in posledicami, ki bi jih povzročil kazenski pregon. </w:t>
      </w:r>
    </w:p>
    <w:p w:rsidR="00FE5F88" w:rsidRDefault="00FE5F88" w:rsidP="00FE5F88">
      <w:pPr>
        <w:spacing w:line="288" w:lineRule="auto"/>
        <w:jc w:val="both"/>
        <w:rPr>
          <w:rFonts w:eastAsia="Calibri" w:cs="Arial"/>
          <w:szCs w:val="20"/>
          <w:lang w:eastAsia="sl-SI"/>
        </w:rPr>
      </w:pPr>
    </w:p>
    <w:p w:rsidR="00FE5F88" w:rsidRDefault="00FE5F88" w:rsidP="00FE5F88">
      <w:pPr>
        <w:spacing w:line="288" w:lineRule="auto"/>
        <w:jc w:val="both"/>
        <w:rPr>
          <w:rFonts w:eastAsia="Calibri" w:cs="Arial"/>
          <w:szCs w:val="20"/>
          <w:lang w:eastAsia="sl-SI"/>
        </w:rPr>
      </w:pPr>
      <w:r>
        <w:rPr>
          <w:rFonts w:eastAsia="Calibri" w:cs="Arial"/>
          <w:szCs w:val="20"/>
          <w:lang w:eastAsia="sl-SI"/>
        </w:rPr>
        <w:t>Upoštevaje vsebino in pomen odločitve državnega tožilca o zavrženju ovadbe se z namenom zagotovitve dodatnih orodij in vzvodov vodjem državnih tožilstev pri zagotavljanju enotnosti pregona ter širše krepitvi ugleda pravosodja v javnosti, predlaga predhodna predložitev osnutka akta o zavrženju ovadbe na pogled vodji državnega tožilstva ne le v zadevah posebnega pomena kot to izhaja iz veljavne določbe 90. člena Državnotožilskega reda, temveč tudi v primerih zavrženja ovadb za kazniva dejanja, za katera je v Kazenskem zakoniku predpisana kazen zapora več kot tri leta.</w:t>
      </w:r>
    </w:p>
    <w:p w:rsidR="00FE5F88" w:rsidRDefault="00FE5F88" w:rsidP="00FE5F88">
      <w:pPr>
        <w:spacing w:line="288" w:lineRule="auto"/>
        <w:jc w:val="both"/>
        <w:rPr>
          <w:rFonts w:eastAsia="Calibri" w:cs="Arial"/>
          <w:szCs w:val="20"/>
          <w:lang w:eastAsia="sl-SI"/>
        </w:rPr>
      </w:pPr>
    </w:p>
    <w:p w:rsidR="00FE5F88" w:rsidRDefault="00FE5F88" w:rsidP="00FE5F88">
      <w:pPr>
        <w:spacing w:line="288" w:lineRule="auto"/>
        <w:jc w:val="both"/>
        <w:rPr>
          <w:rFonts w:eastAsia="Calibri" w:cs="Arial"/>
          <w:szCs w:val="20"/>
          <w:lang w:eastAsia="sl-SI"/>
        </w:rPr>
      </w:pPr>
      <w:r>
        <w:rPr>
          <w:rFonts w:eastAsia="Calibri" w:cs="Arial"/>
          <w:szCs w:val="20"/>
        </w:rPr>
        <w:t xml:space="preserve">V </w:t>
      </w:r>
      <w:r w:rsidRPr="000E3AFF">
        <w:rPr>
          <w:rFonts w:eastAsia="Calibri" w:cs="Arial"/>
          <w:szCs w:val="20"/>
        </w:rPr>
        <w:t>Skupne</w:t>
      </w:r>
      <w:r>
        <w:rPr>
          <w:rFonts w:eastAsia="Calibri" w:cs="Arial"/>
          <w:szCs w:val="20"/>
        </w:rPr>
        <w:t>m</w:t>
      </w:r>
      <w:r w:rsidRPr="000E3AFF">
        <w:rPr>
          <w:rFonts w:eastAsia="Calibri" w:cs="Arial"/>
          <w:szCs w:val="20"/>
        </w:rPr>
        <w:t xml:space="preserve"> letne</w:t>
      </w:r>
      <w:r>
        <w:rPr>
          <w:rFonts w:eastAsia="Calibri" w:cs="Arial"/>
          <w:szCs w:val="20"/>
        </w:rPr>
        <w:t>m</w:t>
      </w:r>
      <w:r w:rsidRPr="000E3AFF">
        <w:rPr>
          <w:rFonts w:eastAsia="Calibri" w:cs="Arial"/>
          <w:szCs w:val="20"/>
        </w:rPr>
        <w:t xml:space="preserve"> poročil</w:t>
      </w:r>
      <w:r>
        <w:rPr>
          <w:rFonts w:eastAsia="Calibri" w:cs="Arial"/>
          <w:szCs w:val="20"/>
        </w:rPr>
        <w:t>u</w:t>
      </w:r>
      <w:r w:rsidRPr="000E3AFF">
        <w:rPr>
          <w:rFonts w:eastAsia="Calibri" w:cs="Arial"/>
          <w:szCs w:val="20"/>
        </w:rPr>
        <w:t xml:space="preserve"> državnega tožilstva za leto 2019</w:t>
      </w:r>
      <w:r>
        <w:rPr>
          <w:rFonts w:eastAsia="Calibri" w:cs="Arial"/>
          <w:szCs w:val="20"/>
        </w:rPr>
        <w:t>, v</w:t>
      </w:r>
      <w:r w:rsidRPr="000E3AFF">
        <w:rPr>
          <w:rFonts w:eastAsia="Calibri" w:cs="Arial"/>
          <w:szCs w:val="20"/>
          <w:lang w:eastAsia="sl-SI"/>
        </w:rPr>
        <w:t xml:space="preserve"> tabelah 11 (p), 11 (m), 11 (po) </w:t>
      </w:r>
      <w:r>
        <w:rPr>
          <w:rFonts w:eastAsia="Calibri" w:cs="Arial"/>
          <w:szCs w:val="20"/>
          <w:lang w:eastAsia="sl-SI"/>
        </w:rPr>
        <w:t xml:space="preserve">so </w:t>
      </w:r>
      <w:r w:rsidRPr="000E3AFF">
        <w:rPr>
          <w:rFonts w:eastAsia="Calibri" w:cs="Arial"/>
          <w:szCs w:val="20"/>
          <w:lang w:eastAsia="sl-SI"/>
        </w:rPr>
        <w:t xml:space="preserve">predstavljeni statistični podatki </w:t>
      </w:r>
      <w:r>
        <w:rPr>
          <w:rFonts w:eastAsia="Calibri" w:cs="Arial"/>
          <w:szCs w:val="20"/>
          <w:lang w:eastAsia="sl-SI"/>
        </w:rPr>
        <w:t>o zavrženju ovadb zoper polnoletne storilce kaznivih dejanj, proti mladoletnikom in zoper pravne osebe, ki se</w:t>
      </w:r>
      <w:r w:rsidRPr="000E3AFF">
        <w:rPr>
          <w:rFonts w:eastAsia="Calibri" w:cs="Arial"/>
          <w:szCs w:val="20"/>
          <w:lang w:eastAsia="sl-SI"/>
        </w:rPr>
        <w:t xml:space="preserve"> ustrezno  dopolnjujejo  s podatki o zavrženju ovadb na podlagi opravljenega postopka alternativnega  pregona</w:t>
      </w:r>
      <w:r>
        <w:rPr>
          <w:rFonts w:eastAsia="Calibri" w:cs="Arial"/>
          <w:szCs w:val="20"/>
          <w:lang w:eastAsia="sl-SI"/>
        </w:rPr>
        <w:t xml:space="preserve">. </w:t>
      </w:r>
    </w:p>
    <w:p w:rsidR="00FE5F88" w:rsidRDefault="00FE5F88" w:rsidP="00FE5F88">
      <w:pPr>
        <w:pStyle w:val="Tabela-naslov"/>
      </w:pPr>
      <w:bookmarkStart w:id="10" w:name="_Toc502925397"/>
      <w:bookmarkStart w:id="11" w:name="_Toc504122495"/>
      <w:bookmarkStart w:id="12" w:name="_Toc37710496"/>
    </w:p>
    <w:p w:rsidR="00FE5F88" w:rsidRPr="00AB09A1" w:rsidRDefault="00FE5F88" w:rsidP="00FE5F88">
      <w:pPr>
        <w:pStyle w:val="Tabela-naslov"/>
      </w:pPr>
      <w:r w:rsidRPr="00AB09A1">
        <w:t>Tabela 11(p): Zavrženje ovadb zoper polnoletne storilce</w:t>
      </w:r>
      <w:bookmarkEnd w:id="10"/>
      <w:bookmarkEnd w:id="11"/>
      <w:bookmarkEnd w:id="12"/>
    </w:p>
    <w:tbl>
      <w:tblPr>
        <w:tblW w:w="5000" w:type="pct"/>
        <w:tblCellMar>
          <w:top w:w="28" w:type="dxa"/>
          <w:left w:w="57" w:type="dxa"/>
          <w:bottom w:w="28" w:type="dxa"/>
          <w:right w:w="57" w:type="dxa"/>
        </w:tblCellMar>
        <w:tblLook w:val="0000" w:firstRow="0" w:lastRow="0" w:firstColumn="0" w:lastColumn="0" w:noHBand="0" w:noVBand="0"/>
      </w:tblPr>
      <w:tblGrid>
        <w:gridCol w:w="772"/>
        <w:gridCol w:w="788"/>
        <w:gridCol w:w="1144"/>
        <w:gridCol w:w="472"/>
        <w:gridCol w:w="1181"/>
        <w:gridCol w:w="438"/>
        <w:gridCol w:w="1104"/>
        <w:gridCol w:w="550"/>
        <w:gridCol w:w="616"/>
        <w:gridCol w:w="483"/>
        <w:gridCol w:w="636"/>
        <w:gridCol w:w="463"/>
      </w:tblGrid>
      <w:tr w:rsidR="00FE5F88" w:rsidRPr="00B76559" w:rsidTr="000E1911">
        <w:trPr>
          <w:cantSplit/>
          <w:trHeight w:val="1135"/>
          <w:tblHeader/>
        </w:trPr>
        <w:tc>
          <w:tcPr>
            <w:tcW w:w="449" w:type="pct"/>
            <w:tcBorders>
              <w:right w:val="single" w:sz="8" w:space="0" w:color="FFFFFF"/>
            </w:tcBorders>
            <w:shd w:val="clear" w:color="auto" w:fill="877850"/>
            <w:vAlign w:val="center"/>
          </w:tcPr>
          <w:p w:rsidR="00FE5F88" w:rsidRPr="00B76559" w:rsidRDefault="00FE5F88" w:rsidP="000E1911">
            <w:pPr>
              <w:pStyle w:val="Tabela-vsebina-bold-center"/>
              <w:spacing w:line="160" w:lineRule="exact"/>
              <w:rPr>
                <w:rFonts w:cs="Calibri"/>
                <w:color w:val="FFFFFF"/>
                <w:sz w:val="18"/>
                <w:szCs w:val="18"/>
              </w:rPr>
            </w:pPr>
            <w:bookmarkStart w:id="13" w:name="LP11p"/>
            <w:r w:rsidRPr="00B76559">
              <w:rPr>
                <w:rFonts w:cs="Calibri"/>
                <w:color w:val="FFFFFF"/>
                <w:sz w:val="18"/>
                <w:szCs w:val="18"/>
              </w:rPr>
              <w:t>Državno tožilstvo</w:t>
            </w:r>
          </w:p>
        </w:tc>
        <w:tc>
          <w:tcPr>
            <w:tcW w:w="449" w:type="pct"/>
            <w:tcBorders>
              <w:left w:val="single" w:sz="8" w:space="0" w:color="FFFFFF"/>
              <w:right w:val="single" w:sz="8" w:space="0" w:color="FFFFFF"/>
            </w:tcBorders>
            <w:shd w:val="clear" w:color="auto" w:fill="877850"/>
            <w:vAlign w:val="center"/>
          </w:tcPr>
          <w:p w:rsidR="00FE5F88" w:rsidRPr="00B76559" w:rsidRDefault="00FE5F88" w:rsidP="000E1911">
            <w:pPr>
              <w:pStyle w:val="Tabela-vsebina-bold-center"/>
              <w:spacing w:line="160" w:lineRule="exact"/>
              <w:rPr>
                <w:rFonts w:cs="Calibri"/>
                <w:color w:val="FFFFFF"/>
                <w:sz w:val="18"/>
                <w:szCs w:val="18"/>
              </w:rPr>
            </w:pPr>
            <w:r w:rsidRPr="00B76559">
              <w:rPr>
                <w:rFonts w:cs="Calibri"/>
                <w:color w:val="FFFFFF"/>
                <w:sz w:val="18"/>
                <w:szCs w:val="18"/>
              </w:rPr>
              <w:t>Zavržene ovadbe skupaj</w:t>
            </w:r>
          </w:p>
        </w:tc>
        <w:tc>
          <w:tcPr>
            <w:tcW w:w="641" w:type="pct"/>
            <w:tcBorders>
              <w:left w:val="single" w:sz="8" w:space="0" w:color="FFFFFF"/>
              <w:right w:val="single" w:sz="8" w:space="0" w:color="FFFFFF"/>
            </w:tcBorders>
            <w:shd w:val="clear" w:color="auto" w:fill="877850"/>
            <w:vAlign w:val="center"/>
          </w:tcPr>
          <w:p w:rsidR="00FE5F88" w:rsidRPr="00B76559" w:rsidRDefault="00FE5F88" w:rsidP="000E1911">
            <w:pPr>
              <w:pStyle w:val="Tabela-vsebina-bold-center"/>
              <w:spacing w:line="160" w:lineRule="exact"/>
              <w:rPr>
                <w:rFonts w:cs="Calibri"/>
                <w:color w:val="FFFFFF"/>
                <w:sz w:val="18"/>
                <w:szCs w:val="18"/>
              </w:rPr>
            </w:pPr>
            <w:r w:rsidRPr="00B76559">
              <w:rPr>
                <w:rFonts w:cs="Calibri"/>
                <w:color w:val="FFFFFF"/>
                <w:sz w:val="18"/>
                <w:szCs w:val="18"/>
              </w:rPr>
              <w:t>Zavrženja po poravnavanju ali odloženem pregonu</w:t>
            </w:r>
          </w:p>
        </w:tc>
        <w:tc>
          <w:tcPr>
            <w:tcW w:w="276" w:type="pct"/>
            <w:tcBorders>
              <w:left w:val="single" w:sz="8" w:space="0" w:color="FFFFFF"/>
              <w:right w:val="single" w:sz="8" w:space="0" w:color="FFFFFF"/>
            </w:tcBorders>
            <w:shd w:val="clear" w:color="auto" w:fill="877850"/>
            <w:textDirection w:val="tbRl"/>
            <w:vAlign w:val="center"/>
          </w:tcPr>
          <w:p w:rsidR="00FE5F88" w:rsidRPr="00B76559" w:rsidRDefault="00FE5F88" w:rsidP="000E1911">
            <w:pPr>
              <w:pStyle w:val="Tabela-vsebina-bold-center"/>
              <w:spacing w:line="160" w:lineRule="exact"/>
              <w:rPr>
                <w:rFonts w:cs="Calibri"/>
                <w:color w:val="FFFFFF"/>
                <w:sz w:val="18"/>
                <w:szCs w:val="18"/>
              </w:rPr>
            </w:pPr>
            <w:r w:rsidRPr="00B76559">
              <w:rPr>
                <w:rFonts w:cs="Calibri"/>
                <w:color w:val="FFFFFF"/>
                <w:sz w:val="18"/>
                <w:szCs w:val="18"/>
              </w:rPr>
              <w:t>Odstotek od zavrženih</w:t>
            </w:r>
          </w:p>
        </w:tc>
        <w:tc>
          <w:tcPr>
            <w:tcW w:w="686" w:type="pct"/>
            <w:tcBorders>
              <w:left w:val="single" w:sz="8" w:space="0" w:color="FFFFFF"/>
              <w:right w:val="single" w:sz="8" w:space="0" w:color="FFFFFF"/>
            </w:tcBorders>
            <w:shd w:val="clear" w:color="auto" w:fill="877850"/>
            <w:vAlign w:val="center"/>
          </w:tcPr>
          <w:p w:rsidR="00FE5F88" w:rsidRPr="00B76559" w:rsidRDefault="00FE5F88" w:rsidP="000E1911">
            <w:pPr>
              <w:pStyle w:val="Tabela-vsebina-bold-center"/>
              <w:spacing w:line="160" w:lineRule="exact"/>
              <w:rPr>
                <w:rFonts w:cs="Calibri"/>
                <w:color w:val="FFFFFF"/>
                <w:sz w:val="18"/>
                <w:szCs w:val="18"/>
              </w:rPr>
            </w:pPr>
            <w:r w:rsidRPr="00B76559">
              <w:rPr>
                <w:rFonts w:cs="Calibri"/>
                <w:color w:val="FFFFFF"/>
                <w:sz w:val="18"/>
                <w:szCs w:val="18"/>
              </w:rPr>
              <w:t>Zavrženja zaradi majhnega pomena in načela sorazmernosti</w:t>
            </w:r>
          </w:p>
        </w:tc>
        <w:tc>
          <w:tcPr>
            <w:tcW w:w="256" w:type="pct"/>
            <w:tcBorders>
              <w:left w:val="single" w:sz="8" w:space="0" w:color="FFFFFF"/>
              <w:right w:val="single" w:sz="8" w:space="0" w:color="FFFFFF"/>
            </w:tcBorders>
            <w:shd w:val="clear" w:color="auto" w:fill="877850"/>
            <w:textDirection w:val="tbRl"/>
            <w:vAlign w:val="center"/>
          </w:tcPr>
          <w:p w:rsidR="00FE5F88" w:rsidRPr="00B76559" w:rsidRDefault="00FE5F88" w:rsidP="000E1911">
            <w:pPr>
              <w:pStyle w:val="Tabela-vsebina-bold-center"/>
              <w:spacing w:line="160" w:lineRule="exact"/>
              <w:rPr>
                <w:rFonts w:cs="Calibri"/>
                <w:color w:val="FFFFFF"/>
                <w:sz w:val="18"/>
                <w:szCs w:val="18"/>
              </w:rPr>
            </w:pPr>
            <w:r w:rsidRPr="00B76559">
              <w:rPr>
                <w:rFonts w:cs="Calibri"/>
                <w:color w:val="FFFFFF"/>
                <w:sz w:val="18"/>
                <w:szCs w:val="18"/>
              </w:rPr>
              <w:t>Odstotek od zavrženih</w:t>
            </w:r>
          </w:p>
        </w:tc>
        <w:tc>
          <w:tcPr>
            <w:tcW w:w="641" w:type="pct"/>
            <w:tcBorders>
              <w:left w:val="single" w:sz="8" w:space="0" w:color="FFFFFF"/>
              <w:right w:val="single" w:sz="8" w:space="0" w:color="FFFFFF"/>
            </w:tcBorders>
            <w:shd w:val="clear" w:color="auto" w:fill="877850"/>
            <w:vAlign w:val="center"/>
          </w:tcPr>
          <w:p w:rsidR="00FE5F88" w:rsidRPr="00B76559" w:rsidRDefault="00FE5F88" w:rsidP="000E1911">
            <w:pPr>
              <w:pStyle w:val="Tabela-vsebina-bold-center"/>
              <w:spacing w:line="160" w:lineRule="exact"/>
              <w:rPr>
                <w:rFonts w:cs="Calibri"/>
                <w:color w:val="FFFFFF"/>
                <w:sz w:val="18"/>
                <w:szCs w:val="18"/>
              </w:rPr>
            </w:pPr>
            <w:r w:rsidRPr="00B76559">
              <w:rPr>
                <w:rFonts w:cs="Calibri"/>
                <w:color w:val="FFFFFF"/>
                <w:sz w:val="18"/>
                <w:szCs w:val="18"/>
              </w:rPr>
              <w:t>Zavrženja zaradi umika predloga oškodovanca</w:t>
            </w:r>
          </w:p>
        </w:tc>
        <w:tc>
          <w:tcPr>
            <w:tcW w:w="321" w:type="pct"/>
            <w:tcBorders>
              <w:left w:val="single" w:sz="8" w:space="0" w:color="FFFFFF"/>
              <w:right w:val="single" w:sz="8" w:space="0" w:color="FFFFFF"/>
            </w:tcBorders>
            <w:shd w:val="clear" w:color="auto" w:fill="877850"/>
            <w:textDirection w:val="tbRl"/>
            <w:vAlign w:val="center"/>
          </w:tcPr>
          <w:p w:rsidR="00FE5F88" w:rsidRPr="00B76559" w:rsidRDefault="00FE5F88" w:rsidP="000E1911">
            <w:pPr>
              <w:pStyle w:val="Tabela-vsebina-bold-center"/>
              <w:spacing w:line="160" w:lineRule="exact"/>
              <w:rPr>
                <w:rFonts w:cs="Calibri"/>
                <w:color w:val="FFFFFF"/>
                <w:sz w:val="18"/>
                <w:szCs w:val="18"/>
              </w:rPr>
            </w:pPr>
            <w:r w:rsidRPr="00B76559">
              <w:rPr>
                <w:rFonts w:cs="Calibri"/>
                <w:color w:val="FFFFFF"/>
                <w:sz w:val="18"/>
                <w:szCs w:val="18"/>
              </w:rPr>
              <w:t>Odstotek od zavrženih</w:t>
            </w:r>
          </w:p>
        </w:tc>
        <w:tc>
          <w:tcPr>
            <w:tcW w:w="359" w:type="pct"/>
            <w:tcBorders>
              <w:left w:val="single" w:sz="8" w:space="0" w:color="FFFFFF"/>
              <w:right w:val="single" w:sz="8" w:space="0" w:color="FFFFFF"/>
            </w:tcBorders>
            <w:shd w:val="clear" w:color="auto" w:fill="877850"/>
            <w:textDirection w:val="tbRl"/>
            <w:vAlign w:val="center"/>
          </w:tcPr>
          <w:p w:rsidR="00FE5F88" w:rsidRPr="00B76559" w:rsidRDefault="00FE5F88" w:rsidP="000E1911">
            <w:pPr>
              <w:pStyle w:val="Tabela-vsebina-bold-center"/>
              <w:spacing w:line="160" w:lineRule="exact"/>
              <w:rPr>
                <w:rFonts w:cs="Calibri"/>
                <w:color w:val="FFFFFF"/>
                <w:sz w:val="18"/>
                <w:szCs w:val="18"/>
              </w:rPr>
            </w:pPr>
            <w:r w:rsidRPr="00B76559">
              <w:rPr>
                <w:rFonts w:cs="Calibri"/>
                <w:color w:val="FFFFFF"/>
                <w:sz w:val="18"/>
                <w:szCs w:val="18"/>
              </w:rPr>
              <w:t>Zavrženo zaradi zastaranja</w:t>
            </w:r>
          </w:p>
        </w:tc>
        <w:tc>
          <w:tcPr>
            <w:tcW w:w="282" w:type="pct"/>
            <w:tcBorders>
              <w:left w:val="single" w:sz="8" w:space="0" w:color="FFFFFF"/>
              <w:right w:val="single" w:sz="8" w:space="0" w:color="FFFFFF"/>
            </w:tcBorders>
            <w:shd w:val="clear" w:color="auto" w:fill="877850"/>
            <w:textDirection w:val="tbRl"/>
            <w:vAlign w:val="center"/>
          </w:tcPr>
          <w:p w:rsidR="00FE5F88" w:rsidRPr="00B76559" w:rsidRDefault="00FE5F88" w:rsidP="000E1911">
            <w:pPr>
              <w:pStyle w:val="Tabela-vsebina-bold-center"/>
              <w:spacing w:line="160" w:lineRule="exact"/>
              <w:rPr>
                <w:rFonts w:cs="Calibri"/>
                <w:color w:val="FFFFFF"/>
                <w:sz w:val="18"/>
                <w:szCs w:val="18"/>
              </w:rPr>
            </w:pPr>
            <w:r w:rsidRPr="00B76559">
              <w:rPr>
                <w:rFonts w:cs="Calibri"/>
                <w:color w:val="FFFFFF"/>
                <w:sz w:val="18"/>
                <w:szCs w:val="18"/>
              </w:rPr>
              <w:t>Odstotek od zavrženih</w:t>
            </w:r>
          </w:p>
        </w:tc>
        <w:tc>
          <w:tcPr>
            <w:tcW w:w="370" w:type="pct"/>
            <w:tcBorders>
              <w:left w:val="single" w:sz="8" w:space="0" w:color="FFFFFF"/>
              <w:right w:val="single" w:sz="8" w:space="0" w:color="FFFFFF"/>
            </w:tcBorders>
            <w:shd w:val="clear" w:color="auto" w:fill="877850"/>
            <w:textDirection w:val="tbRl"/>
            <w:vAlign w:val="center"/>
          </w:tcPr>
          <w:p w:rsidR="00FE5F88" w:rsidRPr="00B76559" w:rsidRDefault="00FE5F88" w:rsidP="000E1911">
            <w:pPr>
              <w:pStyle w:val="Tabela-vsebina-bold-center"/>
              <w:spacing w:line="160" w:lineRule="exact"/>
              <w:rPr>
                <w:rFonts w:cs="Calibri"/>
                <w:color w:val="FFFFFF"/>
                <w:sz w:val="18"/>
                <w:szCs w:val="18"/>
              </w:rPr>
            </w:pPr>
            <w:r w:rsidRPr="00B76559">
              <w:rPr>
                <w:rFonts w:cs="Calibri"/>
                <w:color w:val="FFFFFF"/>
                <w:sz w:val="18"/>
                <w:szCs w:val="18"/>
              </w:rPr>
              <w:t>Zavrženo iz drugih razlogov</w:t>
            </w:r>
          </w:p>
        </w:tc>
        <w:tc>
          <w:tcPr>
            <w:tcW w:w="270" w:type="pct"/>
            <w:tcBorders>
              <w:left w:val="single" w:sz="8" w:space="0" w:color="FFFFFF"/>
            </w:tcBorders>
            <w:shd w:val="clear" w:color="auto" w:fill="877850"/>
            <w:textDirection w:val="tbRl"/>
            <w:vAlign w:val="center"/>
          </w:tcPr>
          <w:p w:rsidR="00FE5F88" w:rsidRPr="00B76559" w:rsidRDefault="00FE5F88" w:rsidP="000E1911">
            <w:pPr>
              <w:pStyle w:val="Tabela-vsebina-bold-center"/>
              <w:spacing w:line="160" w:lineRule="exact"/>
              <w:rPr>
                <w:rFonts w:cs="Calibri"/>
                <w:color w:val="FFFFFF"/>
                <w:sz w:val="18"/>
                <w:szCs w:val="18"/>
              </w:rPr>
            </w:pPr>
            <w:r w:rsidRPr="00B76559">
              <w:rPr>
                <w:rFonts w:cs="Calibri"/>
                <w:color w:val="FFFFFF"/>
                <w:sz w:val="18"/>
                <w:szCs w:val="18"/>
              </w:rPr>
              <w:t>Odstotek od zavrženih</w:t>
            </w:r>
          </w:p>
        </w:tc>
      </w:tr>
      <w:tr w:rsidR="00FE5F88" w:rsidRPr="00B76559" w:rsidTr="000E1911">
        <w:trPr>
          <w:cantSplit/>
        </w:trPr>
        <w:tc>
          <w:tcPr>
            <w:tcW w:w="449" w:type="pct"/>
            <w:tcBorders>
              <w:bottom w:val="single" w:sz="4" w:space="0" w:color="877850"/>
            </w:tcBorders>
            <w:shd w:val="clear" w:color="auto" w:fill="auto"/>
            <w:vAlign w:val="center"/>
          </w:tcPr>
          <w:p w:rsidR="00FE5F88" w:rsidRPr="00B76559" w:rsidRDefault="00FE5F88" w:rsidP="000E1911">
            <w:pPr>
              <w:pStyle w:val="Tabela-vsebina-bold-left"/>
              <w:rPr>
                <w:rFonts w:cs="Calibri"/>
                <w:sz w:val="18"/>
                <w:szCs w:val="18"/>
              </w:rPr>
            </w:pPr>
            <w:r w:rsidRPr="00B76559">
              <w:rPr>
                <w:rFonts w:cs="Calibri"/>
                <w:sz w:val="18"/>
                <w:szCs w:val="18"/>
              </w:rPr>
              <w:t>ODT CE</w:t>
            </w:r>
          </w:p>
        </w:tc>
        <w:tc>
          <w:tcPr>
            <w:tcW w:w="449" w:type="pct"/>
            <w:tcBorders>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2.215</w:t>
            </w:r>
          </w:p>
        </w:tc>
        <w:tc>
          <w:tcPr>
            <w:tcW w:w="641" w:type="pct"/>
            <w:tcBorders>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249</w:t>
            </w:r>
          </w:p>
        </w:tc>
        <w:tc>
          <w:tcPr>
            <w:tcW w:w="276" w:type="pct"/>
            <w:tcBorders>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11</w:t>
            </w:r>
          </w:p>
        </w:tc>
        <w:tc>
          <w:tcPr>
            <w:tcW w:w="686" w:type="pct"/>
            <w:tcBorders>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235</w:t>
            </w:r>
          </w:p>
        </w:tc>
        <w:tc>
          <w:tcPr>
            <w:tcW w:w="256" w:type="pct"/>
            <w:tcBorders>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11</w:t>
            </w:r>
          </w:p>
        </w:tc>
        <w:tc>
          <w:tcPr>
            <w:tcW w:w="641" w:type="pct"/>
            <w:tcBorders>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502</w:t>
            </w:r>
          </w:p>
        </w:tc>
        <w:tc>
          <w:tcPr>
            <w:tcW w:w="321" w:type="pct"/>
            <w:tcBorders>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23</w:t>
            </w:r>
          </w:p>
        </w:tc>
        <w:tc>
          <w:tcPr>
            <w:tcW w:w="359" w:type="pct"/>
            <w:tcBorders>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11</w:t>
            </w:r>
          </w:p>
        </w:tc>
        <w:tc>
          <w:tcPr>
            <w:tcW w:w="282" w:type="pct"/>
            <w:tcBorders>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370" w:type="pct"/>
            <w:tcBorders>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1.218</w:t>
            </w:r>
          </w:p>
        </w:tc>
        <w:tc>
          <w:tcPr>
            <w:tcW w:w="270" w:type="pct"/>
            <w:tcBorders>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55</w:t>
            </w:r>
          </w:p>
        </w:tc>
      </w:tr>
      <w:tr w:rsidR="00FE5F88" w:rsidRPr="00B76559" w:rsidTr="000E1911">
        <w:trPr>
          <w:cantSplit/>
        </w:trPr>
        <w:tc>
          <w:tcPr>
            <w:tcW w:w="4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bold-left"/>
              <w:rPr>
                <w:rFonts w:cs="Calibri"/>
                <w:sz w:val="18"/>
                <w:szCs w:val="18"/>
              </w:rPr>
            </w:pPr>
            <w:r w:rsidRPr="00B76559">
              <w:rPr>
                <w:rFonts w:cs="Calibri"/>
                <w:sz w:val="18"/>
                <w:szCs w:val="18"/>
              </w:rPr>
              <w:t>ODT KK</w:t>
            </w:r>
          </w:p>
        </w:tc>
        <w:tc>
          <w:tcPr>
            <w:tcW w:w="4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536</w:t>
            </w:r>
          </w:p>
        </w:tc>
        <w:tc>
          <w:tcPr>
            <w:tcW w:w="641"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116</w:t>
            </w:r>
          </w:p>
        </w:tc>
        <w:tc>
          <w:tcPr>
            <w:tcW w:w="276"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22</w:t>
            </w:r>
          </w:p>
        </w:tc>
        <w:tc>
          <w:tcPr>
            <w:tcW w:w="686"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44</w:t>
            </w:r>
          </w:p>
        </w:tc>
        <w:tc>
          <w:tcPr>
            <w:tcW w:w="256"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8</w:t>
            </w:r>
          </w:p>
        </w:tc>
        <w:tc>
          <w:tcPr>
            <w:tcW w:w="641"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44</w:t>
            </w:r>
          </w:p>
        </w:tc>
        <w:tc>
          <w:tcPr>
            <w:tcW w:w="321"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8</w:t>
            </w:r>
          </w:p>
        </w:tc>
        <w:tc>
          <w:tcPr>
            <w:tcW w:w="35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5</w:t>
            </w:r>
          </w:p>
        </w:tc>
        <w:tc>
          <w:tcPr>
            <w:tcW w:w="282"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w:t>
            </w:r>
          </w:p>
        </w:tc>
        <w:tc>
          <w:tcPr>
            <w:tcW w:w="370"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327</w:t>
            </w:r>
          </w:p>
        </w:tc>
        <w:tc>
          <w:tcPr>
            <w:tcW w:w="270"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61</w:t>
            </w:r>
          </w:p>
        </w:tc>
      </w:tr>
      <w:tr w:rsidR="00FE5F88" w:rsidRPr="00B76559" w:rsidTr="000E1911">
        <w:trPr>
          <w:cantSplit/>
        </w:trPr>
        <w:tc>
          <w:tcPr>
            <w:tcW w:w="4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bold-left"/>
              <w:rPr>
                <w:rFonts w:cs="Calibri"/>
                <w:sz w:val="18"/>
                <w:szCs w:val="18"/>
              </w:rPr>
            </w:pPr>
            <w:r w:rsidRPr="00B76559">
              <w:rPr>
                <w:rFonts w:cs="Calibri"/>
                <w:sz w:val="18"/>
                <w:szCs w:val="18"/>
              </w:rPr>
              <w:t>ODT KP</w:t>
            </w:r>
          </w:p>
        </w:tc>
        <w:tc>
          <w:tcPr>
            <w:tcW w:w="4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1.300</w:t>
            </w:r>
          </w:p>
        </w:tc>
        <w:tc>
          <w:tcPr>
            <w:tcW w:w="641"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80</w:t>
            </w:r>
          </w:p>
        </w:tc>
        <w:tc>
          <w:tcPr>
            <w:tcW w:w="276"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6</w:t>
            </w:r>
          </w:p>
        </w:tc>
        <w:tc>
          <w:tcPr>
            <w:tcW w:w="686"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168</w:t>
            </w:r>
          </w:p>
        </w:tc>
        <w:tc>
          <w:tcPr>
            <w:tcW w:w="256"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13</w:t>
            </w:r>
          </w:p>
        </w:tc>
        <w:tc>
          <w:tcPr>
            <w:tcW w:w="641"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81</w:t>
            </w:r>
          </w:p>
        </w:tc>
        <w:tc>
          <w:tcPr>
            <w:tcW w:w="321"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6</w:t>
            </w:r>
          </w:p>
        </w:tc>
        <w:tc>
          <w:tcPr>
            <w:tcW w:w="35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5</w:t>
            </w:r>
          </w:p>
        </w:tc>
        <w:tc>
          <w:tcPr>
            <w:tcW w:w="282"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370"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966</w:t>
            </w:r>
          </w:p>
        </w:tc>
        <w:tc>
          <w:tcPr>
            <w:tcW w:w="270"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74</w:t>
            </w:r>
          </w:p>
        </w:tc>
      </w:tr>
      <w:tr w:rsidR="00FE5F88" w:rsidRPr="00B76559" w:rsidTr="000E1911">
        <w:trPr>
          <w:cantSplit/>
        </w:trPr>
        <w:tc>
          <w:tcPr>
            <w:tcW w:w="4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bold-left"/>
              <w:rPr>
                <w:rFonts w:cs="Calibri"/>
                <w:sz w:val="18"/>
                <w:szCs w:val="18"/>
              </w:rPr>
            </w:pPr>
            <w:r w:rsidRPr="00B76559">
              <w:rPr>
                <w:rFonts w:cs="Calibri"/>
                <w:sz w:val="18"/>
                <w:szCs w:val="18"/>
              </w:rPr>
              <w:t>ODT KR</w:t>
            </w:r>
          </w:p>
        </w:tc>
        <w:tc>
          <w:tcPr>
            <w:tcW w:w="4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1.000</w:t>
            </w:r>
          </w:p>
        </w:tc>
        <w:tc>
          <w:tcPr>
            <w:tcW w:w="641"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120</w:t>
            </w:r>
          </w:p>
        </w:tc>
        <w:tc>
          <w:tcPr>
            <w:tcW w:w="276"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12</w:t>
            </w:r>
          </w:p>
        </w:tc>
        <w:tc>
          <w:tcPr>
            <w:tcW w:w="686"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143</w:t>
            </w:r>
          </w:p>
        </w:tc>
        <w:tc>
          <w:tcPr>
            <w:tcW w:w="256"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14</w:t>
            </w:r>
          </w:p>
        </w:tc>
        <w:tc>
          <w:tcPr>
            <w:tcW w:w="641"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122</w:t>
            </w:r>
          </w:p>
        </w:tc>
        <w:tc>
          <w:tcPr>
            <w:tcW w:w="321"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12</w:t>
            </w:r>
          </w:p>
        </w:tc>
        <w:tc>
          <w:tcPr>
            <w:tcW w:w="35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2</w:t>
            </w:r>
          </w:p>
        </w:tc>
        <w:tc>
          <w:tcPr>
            <w:tcW w:w="282"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370"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613</w:t>
            </w:r>
          </w:p>
        </w:tc>
        <w:tc>
          <w:tcPr>
            <w:tcW w:w="270"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61</w:t>
            </w:r>
          </w:p>
        </w:tc>
      </w:tr>
      <w:tr w:rsidR="00FE5F88" w:rsidRPr="00B76559" w:rsidTr="000E1911">
        <w:trPr>
          <w:cantSplit/>
        </w:trPr>
        <w:tc>
          <w:tcPr>
            <w:tcW w:w="4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bold-left"/>
              <w:rPr>
                <w:rFonts w:cs="Calibri"/>
                <w:sz w:val="18"/>
                <w:szCs w:val="18"/>
              </w:rPr>
            </w:pPr>
            <w:r w:rsidRPr="00B76559">
              <w:rPr>
                <w:rFonts w:cs="Calibri"/>
                <w:sz w:val="18"/>
                <w:szCs w:val="18"/>
              </w:rPr>
              <w:t>ODT LJ</w:t>
            </w:r>
          </w:p>
        </w:tc>
        <w:tc>
          <w:tcPr>
            <w:tcW w:w="4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5.383</w:t>
            </w:r>
          </w:p>
        </w:tc>
        <w:tc>
          <w:tcPr>
            <w:tcW w:w="641"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385</w:t>
            </w:r>
          </w:p>
        </w:tc>
        <w:tc>
          <w:tcPr>
            <w:tcW w:w="276"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7</w:t>
            </w:r>
          </w:p>
        </w:tc>
        <w:tc>
          <w:tcPr>
            <w:tcW w:w="686"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1.232</w:t>
            </w:r>
          </w:p>
        </w:tc>
        <w:tc>
          <w:tcPr>
            <w:tcW w:w="256"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23</w:t>
            </w:r>
          </w:p>
        </w:tc>
        <w:tc>
          <w:tcPr>
            <w:tcW w:w="641"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602</w:t>
            </w:r>
          </w:p>
        </w:tc>
        <w:tc>
          <w:tcPr>
            <w:tcW w:w="321"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11</w:t>
            </w:r>
          </w:p>
        </w:tc>
        <w:tc>
          <w:tcPr>
            <w:tcW w:w="35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24</w:t>
            </w:r>
          </w:p>
        </w:tc>
        <w:tc>
          <w:tcPr>
            <w:tcW w:w="282"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370"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3.140</w:t>
            </w:r>
          </w:p>
        </w:tc>
        <w:tc>
          <w:tcPr>
            <w:tcW w:w="270"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58</w:t>
            </w:r>
          </w:p>
        </w:tc>
      </w:tr>
      <w:tr w:rsidR="00FE5F88" w:rsidRPr="00B76559" w:rsidTr="000E1911">
        <w:trPr>
          <w:cantSplit/>
        </w:trPr>
        <w:tc>
          <w:tcPr>
            <w:tcW w:w="4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bold-left"/>
              <w:rPr>
                <w:rFonts w:cs="Calibri"/>
                <w:sz w:val="18"/>
                <w:szCs w:val="18"/>
              </w:rPr>
            </w:pPr>
            <w:r w:rsidRPr="00B76559">
              <w:rPr>
                <w:rFonts w:cs="Calibri"/>
                <w:sz w:val="18"/>
                <w:szCs w:val="18"/>
              </w:rPr>
              <w:t>ODT MB</w:t>
            </w:r>
          </w:p>
        </w:tc>
        <w:tc>
          <w:tcPr>
            <w:tcW w:w="4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2.226</w:t>
            </w:r>
          </w:p>
        </w:tc>
        <w:tc>
          <w:tcPr>
            <w:tcW w:w="641"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183</w:t>
            </w:r>
          </w:p>
        </w:tc>
        <w:tc>
          <w:tcPr>
            <w:tcW w:w="276"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8</w:t>
            </w:r>
          </w:p>
        </w:tc>
        <w:tc>
          <w:tcPr>
            <w:tcW w:w="686"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299</w:t>
            </w:r>
          </w:p>
        </w:tc>
        <w:tc>
          <w:tcPr>
            <w:tcW w:w="256"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13</w:t>
            </w:r>
          </w:p>
        </w:tc>
        <w:tc>
          <w:tcPr>
            <w:tcW w:w="641"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476</w:t>
            </w:r>
          </w:p>
        </w:tc>
        <w:tc>
          <w:tcPr>
            <w:tcW w:w="321"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21</w:t>
            </w:r>
          </w:p>
        </w:tc>
        <w:tc>
          <w:tcPr>
            <w:tcW w:w="35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8</w:t>
            </w:r>
          </w:p>
        </w:tc>
        <w:tc>
          <w:tcPr>
            <w:tcW w:w="282"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370"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1.260</w:t>
            </w:r>
          </w:p>
        </w:tc>
        <w:tc>
          <w:tcPr>
            <w:tcW w:w="270"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57</w:t>
            </w:r>
          </w:p>
        </w:tc>
      </w:tr>
      <w:tr w:rsidR="00FE5F88" w:rsidRPr="00B76559" w:rsidTr="000E1911">
        <w:trPr>
          <w:cantSplit/>
        </w:trPr>
        <w:tc>
          <w:tcPr>
            <w:tcW w:w="4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bold-left"/>
              <w:rPr>
                <w:rFonts w:cs="Calibri"/>
                <w:sz w:val="18"/>
                <w:szCs w:val="18"/>
              </w:rPr>
            </w:pPr>
            <w:r w:rsidRPr="00B76559">
              <w:rPr>
                <w:rFonts w:cs="Calibri"/>
                <w:sz w:val="18"/>
                <w:szCs w:val="18"/>
              </w:rPr>
              <w:t>ODT MS</w:t>
            </w:r>
          </w:p>
        </w:tc>
        <w:tc>
          <w:tcPr>
            <w:tcW w:w="4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705</w:t>
            </w:r>
          </w:p>
        </w:tc>
        <w:tc>
          <w:tcPr>
            <w:tcW w:w="641"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122</w:t>
            </w:r>
          </w:p>
        </w:tc>
        <w:tc>
          <w:tcPr>
            <w:tcW w:w="276"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17</w:t>
            </w:r>
          </w:p>
        </w:tc>
        <w:tc>
          <w:tcPr>
            <w:tcW w:w="686"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96</w:t>
            </w:r>
          </w:p>
        </w:tc>
        <w:tc>
          <w:tcPr>
            <w:tcW w:w="256"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14</w:t>
            </w:r>
          </w:p>
        </w:tc>
        <w:tc>
          <w:tcPr>
            <w:tcW w:w="641"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187</w:t>
            </w:r>
          </w:p>
        </w:tc>
        <w:tc>
          <w:tcPr>
            <w:tcW w:w="321"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27</w:t>
            </w:r>
          </w:p>
        </w:tc>
        <w:tc>
          <w:tcPr>
            <w:tcW w:w="35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3</w:t>
            </w:r>
          </w:p>
        </w:tc>
        <w:tc>
          <w:tcPr>
            <w:tcW w:w="282"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370"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297</w:t>
            </w:r>
          </w:p>
        </w:tc>
        <w:tc>
          <w:tcPr>
            <w:tcW w:w="270"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42</w:t>
            </w:r>
          </w:p>
        </w:tc>
      </w:tr>
      <w:tr w:rsidR="00FE5F88" w:rsidRPr="00B76559" w:rsidTr="000E1911">
        <w:trPr>
          <w:cantSplit/>
        </w:trPr>
        <w:tc>
          <w:tcPr>
            <w:tcW w:w="4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bold-left"/>
              <w:rPr>
                <w:rFonts w:cs="Calibri"/>
                <w:sz w:val="18"/>
                <w:szCs w:val="18"/>
              </w:rPr>
            </w:pPr>
            <w:r w:rsidRPr="00B76559">
              <w:rPr>
                <w:rFonts w:cs="Calibri"/>
                <w:sz w:val="18"/>
                <w:szCs w:val="18"/>
              </w:rPr>
              <w:t>ODT NG</w:t>
            </w:r>
          </w:p>
        </w:tc>
        <w:tc>
          <w:tcPr>
            <w:tcW w:w="4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668</w:t>
            </w:r>
          </w:p>
        </w:tc>
        <w:tc>
          <w:tcPr>
            <w:tcW w:w="641"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48</w:t>
            </w:r>
          </w:p>
        </w:tc>
        <w:tc>
          <w:tcPr>
            <w:tcW w:w="276"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7</w:t>
            </w:r>
          </w:p>
        </w:tc>
        <w:tc>
          <w:tcPr>
            <w:tcW w:w="686"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109</w:t>
            </w:r>
          </w:p>
        </w:tc>
        <w:tc>
          <w:tcPr>
            <w:tcW w:w="256"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16</w:t>
            </w:r>
          </w:p>
        </w:tc>
        <w:tc>
          <w:tcPr>
            <w:tcW w:w="641"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134</w:t>
            </w:r>
          </w:p>
        </w:tc>
        <w:tc>
          <w:tcPr>
            <w:tcW w:w="321"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20</w:t>
            </w:r>
          </w:p>
        </w:tc>
        <w:tc>
          <w:tcPr>
            <w:tcW w:w="35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5</w:t>
            </w:r>
          </w:p>
        </w:tc>
        <w:tc>
          <w:tcPr>
            <w:tcW w:w="282"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w:t>
            </w:r>
          </w:p>
        </w:tc>
        <w:tc>
          <w:tcPr>
            <w:tcW w:w="370"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372</w:t>
            </w:r>
          </w:p>
        </w:tc>
        <w:tc>
          <w:tcPr>
            <w:tcW w:w="270"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56</w:t>
            </w:r>
          </w:p>
        </w:tc>
      </w:tr>
      <w:tr w:rsidR="00FE5F88" w:rsidRPr="00B76559" w:rsidTr="000E1911">
        <w:trPr>
          <w:cantSplit/>
        </w:trPr>
        <w:tc>
          <w:tcPr>
            <w:tcW w:w="4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bold-left"/>
              <w:rPr>
                <w:rFonts w:cs="Calibri"/>
                <w:sz w:val="18"/>
                <w:szCs w:val="18"/>
              </w:rPr>
            </w:pPr>
            <w:r w:rsidRPr="00B76559">
              <w:rPr>
                <w:rFonts w:cs="Calibri"/>
                <w:sz w:val="18"/>
                <w:szCs w:val="18"/>
              </w:rPr>
              <w:t>ODT NM</w:t>
            </w:r>
          </w:p>
        </w:tc>
        <w:tc>
          <w:tcPr>
            <w:tcW w:w="4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915</w:t>
            </w:r>
          </w:p>
        </w:tc>
        <w:tc>
          <w:tcPr>
            <w:tcW w:w="641"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40</w:t>
            </w:r>
          </w:p>
        </w:tc>
        <w:tc>
          <w:tcPr>
            <w:tcW w:w="276"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4</w:t>
            </w:r>
          </w:p>
        </w:tc>
        <w:tc>
          <w:tcPr>
            <w:tcW w:w="686"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141</w:t>
            </w:r>
          </w:p>
        </w:tc>
        <w:tc>
          <w:tcPr>
            <w:tcW w:w="256"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15</w:t>
            </w:r>
          </w:p>
        </w:tc>
        <w:tc>
          <w:tcPr>
            <w:tcW w:w="641"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56</w:t>
            </w:r>
          </w:p>
        </w:tc>
        <w:tc>
          <w:tcPr>
            <w:tcW w:w="321"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6</w:t>
            </w:r>
          </w:p>
        </w:tc>
        <w:tc>
          <w:tcPr>
            <w:tcW w:w="35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w:t>
            </w:r>
          </w:p>
        </w:tc>
        <w:tc>
          <w:tcPr>
            <w:tcW w:w="282"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370"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677</w:t>
            </w:r>
          </w:p>
        </w:tc>
        <w:tc>
          <w:tcPr>
            <w:tcW w:w="270"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74</w:t>
            </w:r>
          </w:p>
        </w:tc>
      </w:tr>
      <w:tr w:rsidR="00FE5F88" w:rsidRPr="00B76559" w:rsidTr="000E1911">
        <w:trPr>
          <w:cantSplit/>
        </w:trPr>
        <w:tc>
          <w:tcPr>
            <w:tcW w:w="4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bold-left"/>
              <w:rPr>
                <w:rFonts w:cs="Calibri"/>
                <w:sz w:val="18"/>
                <w:szCs w:val="18"/>
              </w:rPr>
            </w:pPr>
            <w:r w:rsidRPr="00B76559">
              <w:rPr>
                <w:rFonts w:cs="Calibri"/>
                <w:sz w:val="18"/>
                <w:szCs w:val="18"/>
              </w:rPr>
              <w:t>ODT PT</w:t>
            </w:r>
          </w:p>
        </w:tc>
        <w:tc>
          <w:tcPr>
            <w:tcW w:w="4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596</w:t>
            </w:r>
          </w:p>
        </w:tc>
        <w:tc>
          <w:tcPr>
            <w:tcW w:w="641"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65</w:t>
            </w:r>
          </w:p>
        </w:tc>
        <w:tc>
          <w:tcPr>
            <w:tcW w:w="276"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11</w:t>
            </w:r>
          </w:p>
        </w:tc>
        <w:tc>
          <w:tcPr>
            <w:tcW w:w="686"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69</w:t>
            </w:r>
          </w:p>
        </w:tc>
        <w:tc>
          <w:tcPr>
            <w:tcW w:w="256"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12</w:t>
            </w:r>
          </w:p>
        </w:tc>
        <w:tc>
          <w:tcPr>
            <w:tcW w:w="641"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112</w:t>
            </w:r>
          </w:p>
        </w:tc>
        <w:tc>
          <w:tcPr>
            <w:tcW w:w="321"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19</w:t>
            </w:r>
          </w:p>
        </w:tc>
        <w:tc>
          <w:tcPr>
            <w:tcW w:w="35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w:t>
            </w:r>
          </w:p>
        </w:tc>
        <w:tc>
          <w:tcPr>
            <w:tcW w:w="282"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370"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349</w:t>
            </w:r>
          </w:p>
        </w:tc>
        <w:tc>
          <w:tcPr>
            <w:tcW w:w="270"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59</w:t>
            </w:r>
          </w:p>
        </w:tc>
      </w:tr>
      <w:tr w:rsidR="00FE5F88" w:rsidRPr="00B76559" w:rsidTr="000E1911">
        <w:trPr>
          <w:cantSplit/>
        </w:trPr>
        <w:tc>
          <w:tcPr>
            <w:tcW w:w="4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bold-left"/>
              <w:rPr>
                <w:rFonts w:cs="Calibri"/>
                <w:sz w:val="18"/>
                <w:szCs w:val="18"/>
              </w:rPr>
            </w:pPr>
            <w:r w:rsidRPr="00B76559">
              <w:rPr>
                <w:rFonts w:cs="Calibri"/>
                <w:sz w:val="18"/>
                <w:szCs w:val="18"/>
              </w:rPr>
              <w:t>ODT SG</w:t>
            </w:r>
          </w:p>
        </w:tc>
        <w:tc>
          <w:tcPr>
            <w:tcW w:w="4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417</w:t>
            </w:r>
          </w:p>
        </w:tc>
        <w:tc>
          <w:tcPr>
            <w:tcW w:w="641"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63</w:t>
            </w:r>
          </w:p>
        </w:tc>
        <w:tc>
          <w:tcPr>
            <w:tcW w:w="276"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15</w:t>
            </w:r>
          </w:p>
        </w:tc>
        <w:tc>
          <w:tcPr>
            <w:tcW w:w="686"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47</w:t>
            </w:r>
          </w:p>
        </w:tc>
        <w:tc>
          <w:tcPr>
            <w:tcW w:w="256"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11</w:t>
            </w:r>
          </w:p>
        </w:tc>
        <w:tc>
          <w:tcPr>
            <w:tcW w:w="641"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33</w:t>
            </w:r>
          </w:p>
        </w:tc>
        <w:tc>
          <w:tcPr>
            <w:tcW w:w="321"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8</w:t>
            </w:r>
          </w:p>
        </w:tc>
        <w:tc>
          <w:tcPr>
            <w:tcW w:w="35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2</w:t>
            </w:r>
          </w:p>
        </w:tc>
        <w:tc>
          <w:tcPr>
            <w:tcW w:w="282"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370"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272</w:t>
            </w:r>
          </w:p>
        </w:tc>
        <w:tc>
          <w:tcPr>
            <w:tcW w:w="270"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65</w:t>
            </w:r>
          </w:p>
        </w:tc>
      </w:tr>
      <w:tr w:rsidR="00FE5F88" w:rsidRPr="00B76559" w:rsidTr="000E1911">
        <w:trPr>
          <w:cantSplit/>
        </w:trPr>
        <w:tc>
          <w:tcPr>
            <w:tcW w:w="4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bold-left"/>
              <w:rPr>
                <w:rFonts w:cs="Calibri"/>
                <w:sz w:val="18"/>
                <w:szCs w:val="18"/>
              </w:rPr>
            </w:pPr>
            <w:r w:rsidRPr="00B76559">
              <w:rPr>
                <w:rFonts w:cs="Calibri"/>
                <w:sz w:val="18"/>
                <w:szCs w:val="18"/>
              </w:rPr>
              <w:t>OPP</w:t>
            </w:r>
          </w:p>
        </w:tc>
        <w:tc>
          <w:tcPr>
            <w:tcW w:w="4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387</w:t>
            </w:r>
          </w:p>
        </w:tc>
        <w:tc>
          <w:tcPr>
            <w:tcW w:w="641"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5</w:t>
            </w:r>
          </w:p>
        </w:tc>
        <w:tc>
          <w:tcPr>
            <w:tcW w:w="276"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w:t>
            </w:r>
          </w:p>
        </w:tc>
        <w:tc>
          <w:tcPr>
            <w:tcW w:w="686"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11</w:t>
            </w:r>
          </w:p>
        </w:tc>
        <w:tc>
          <w:tcPr>
            <w:tcW w:w="256"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3</w:t>
            </w:r>
          </w:p>
        </w:tc>
        <w:tc>
          <w:tcPr>
            <w:tcW w:w="641"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w:t>
            </w:r>
          </w:p>
        </w:tc>
        <w:tc>
          <w:tcPr>
            <w:tcW w:w="321"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35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282"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370"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370</w:t>
            </w:r>
          </w:p>
        </w:tc>
        <w:tc>
          <w:tcPr>
            <w:tcW w:w="270"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96</w:t>
            </w:r>
          </w:p>
        </w:tc>
      </w:tr>
      <w:tr w:rsidR="00FE5F88" w:rsidRPr="00B76559" w:rsidTr="000E1911">
        <w:trPr>
          <w:cantSplit/>
        </w:trPr>
        <w:tc>
          <w:tcPr>
            <w:tcW w:w="449" w:type="pct"/>
            <w:tcBorders>
              <w:top w:val="single" w:sz="4" w:space="0" w:color="877850"/>
              <w:bottom w:val="single" w:sz="4" w:space="0" w:color="877850"/>
            </w:tcBorders>
            <w:shd w:val="clear" w:color="auto" w:fill="auto"/>
            <w:vAlign w:val="center"/>
          </w:tcPr>
          <w:p w:rsidR="00FE5F88" w:rsidRPr="00AD12C4" w:rsidRDefault="00FE5F88" w:rsidP="000E1911">
            <w:pPr>
              <w:pStyle w:val="Tabela-vsebina-bold-left"/>
              <w:rPr>
                <w:rFonts w:cs="Calibri"/>
                <w:sz w:val="18"/>
                <w:szCs w:val="18"/>
              </w:rPr>
            </w:pPr>
            <w:r w:rsidRPr="00B76559">
              <w:rPr>
                <w:rFonts w:cs="Calibri"/>
                <w:sz w:val="18"/>
                <w:szCs w:val="18"/>
              </w:rPr>
              <w:t>SDT</w:t>
            </w:r>
            <w:r>
              <w:rPr>
                <w:rFonts w:cs="Calibri"/>
                <w:sz w:val="18"/>
                <w:szCs w:val="18"/>
              </w:rPr>
              <w:t xml:space="preserve"> RS</w:t>
            </w:r>
          </w:p>
        </w:tc>
        <w:tc>
          <w:tcPr>
            <w:tcW w:w="4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206</w:t>
            </w:r>
          </w:p>
        </w:tc>
        <w:tc>
          <w:tcPr>
            <w:tcW w:w="641"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276"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686"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256"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641"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321"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35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w:t>
            </w:r>
          </w:p>
        </w:tc>
        <w:tc>
          <w:tcPr>
            <w:tcW w:w="282"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370"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205</w:t>
            </w:r>
          </w:p>
        </w:tc>
        <w:tc>
          <w:tcPr>
            <w:tcW w:w="270"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100</w:t>
            </w:r>
          </w:p>
        </w:tc>
      </w:tr>
      <w:tr w:rsidR="00FE5F88" w:rsidRPr="00B76559" w:rsidTr="000E1911">
        <w:trPr>
          <w:cantSplit/>
        </w:trPr>
        <w:tc>
          <w:tcPr>
            <w:tcW w:w="449" w:type="pct"/>
            <w:tcBorders>
              <w:top w:val="single" w:sz="4" w:space="0" w:color="877850"/>
              <w:bottom w:val="single" w:sz="4" w:space="0" w:color="877850"/>
            </w:tcBorders>
            <w:shd w:val="clear" w:color="auto" w:fill="auto"/>
            <w:vAlign w:val="center"/>
          </w:tcPr>
          <w:p w:rsidR="00FE5F88" w:rsidRPr="00AD12C4" w:rsidRDefault="00FE5F88" w:rsidP="000E1911">
            <w:pPr>
              <w:pStyle w:val="Tabela-vsebina-bold-left"/>
              <w:rPr>
                <w:rFonts w:cs="Calibri"/>
                <w:sz w:val="18"/>
                <w:szCs w:val="18"/>
              </w:rPr>
            </w:pPr>
            <w:r w:rsidRPr="00B76559">
              <w:rPr>
                <w:rFonts w:cs="Calibri"/>
                <w:sz w:val="18"/>
                <w:szCs w:val="18"/>
              </w:rPr>
              <w:t>VDT</w:t>
            </w:r>
            <w:r>
              <w:rPr>
                <w:rFonts w:cs="Calibri"/>
                <w:sz w:val="18"/>
                <w:szCs w:val="18"/>
              </w:rPr>
              <w:t xml:space="preserve"> RS</w:t>
            </w:r>
          </w:p>
        </w:tc>
        <w:tc>
          <w:tcPr>
            <w:tcW w:w="4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641"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276"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686"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256"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641"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321"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35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282"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370"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270"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r>
      <w:tr w:rsidR="00FE5F88" w:rsidRPr="00B76559" w:rsidTr="000E1911">
        <w:trPr>
          <w:cantSplit/>
        </w:trPr>
        <w:tc>
          <w:tcPr>
            <w:tcW w:w="4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bold-left"/>
              <w:rPr>
                <w:rFonts w:cs="Calibri"/>
                <w:sz w:val="18"/>
                <w:szCs w:val="18"/>
              </w:rPr>
            </w:pPr>
            <w:r w:rsidRPr="00B76559">
              <w:rPr>
                <w:rFonts w:cs="Calibri"/>
                <w:sz w:val="18"/>
                <w:szCs w:val="18"/>
              </w:rPr>
              <w:t>Skupaj</w:t>
            </w:r>
          </w:p>
        </w:tc>
        <w:tc>
          <w:tcPr>
            <w:tcW w:w="4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b/>
                <w:bCs/>
                <w:sz w:val="18"/>
                <w:szCs w:val="18"/>
              </w:rPr>
            </w:pPr>
            <w:r w:rsidRPr="00B76559">
              <w:rPr>
                <w:rFonts w:cs="Calibri"/>
                <w:b/>
                <w:bCs/>
                <w:sz w:val="18"/>
                <w:szCs w:val="18"/>
              </w:rPr>
              <w:t>16.554</w:t>
            </w:r>
          </w:p>
        </w:tc>
        <w:tc>
          <w:tcPr>
            <w:tcW w:w="641"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b/>
                <w:bCs/>
                <w:sz w:val="18"/>
                <w:szCs w:val="18"/>
              </w:rPr>
            </w:pPr>
            <w:r w:rsidRPr="00B76559">
              <w:rPr>
                <w:rFonts w:cs="Calibri"/>
                <w:b/>
                <w:bCs/>
                <w:sz w:val="18"/>
                <w:szCs w:val="18"/>
              </w:rPr>
              <w:t>1.476</w:t>
            </w:r>
          </w:p>
        </w:tc>
        <w:tc>
          <w:tcPr>
            <w:tcW w:w="276"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b/>
                <w:bCs/>
                <w:sz w:val="18"/>
                <w:szCs w:val="18"/>
              </w:rPr>
            </w:pPr>
            <w:r w:rsidRPr="00B76559">
              <w:rPr>
                <w:rFonts w:cs="Calibri"/>
                <w:b/>
                <w:bCs/>
                <w:sz w:val="18"/>
                <w:szCs w:val="18"/>
              </w:rPr>
              <w:t>9</w:t>
            </w:r>
          </w:p>
        </w:tc>
        <w:tc>
          <w:tcPr>
            <w:tcW w:w="686"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b/>
                <w:bCs/>
                <w:sz w:val="18"/>
                <w:szCs w:val="18"/>
              </w:rPr>
            </w:pPr>
            <w:r w:rsidRPr="00B76559">
              <w:rPr>
                <w:rFonts w:cs="Calibri"/>
                <w:b/>
                <w:bCs/>
                <w:sz w:val="18"/>
                <w:szCs w:val="18"/>
              </w:rPr>
              <w:t>2.594</w:t>
            </w:r>
          </w:p>
        </w:tc>
        <w:tc>
          <w:tcPr>
            <w:tcW w:w="256"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b/>
                <w:bCs/>
                <w:sz w:val="18"/>
                <w:szCs w:val="18"/>
              </w:rPr>
            </w:pPr>
            <w:r w:rsidRPr="00B76559">
              <w:rPr>
                <w:rFonts w:cs="Calibri"/>
                <w:b/>
                <w:bCs/>
                <w:sz w:val="18"/>
                <w:szCs w:val="18"/>
              </w:rPr>
              <w:t>16</w:t>
            </w:r>
          </w:p>
        </w:tc>
        <w:tc>
          <w:tcPr>
            <w:tcW w:w="641"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b/>
                <w:bCs/>
                <w:sz w:val="18"/>
                <w:szCs w:val="18"/>
              </w:rPr>
            </w:pPr>
            <w:r w:rsidRPr="00B76559">
              <w:rPr>
                <w:rFonts w:cs="Calibri"/>
                <w:b/>
                <w:bCs/>
                <w:sz w:val="18"/>
                <w:szCs w:val="18"/>
              </w:rPr>
              <w:t>2.350</w:t>
            </w:r>
          </w:p>
        </w:tc>
        <w:tc>
          <w:tcPr>
            <w:tcW w:w="321"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b/>
                <w:bCs/>
                <w:sz w:val="18"/>
                <w:szCs w:val="18"/>
              </w:rPr>
            </w:pPr>
            <w:r w:rsidRPr="00B76559">
              <w:rPr>
                <w:rFonts w:cs="Calibri"/>
                <w:b/>
                <w:bCs/>
                <w:sz w:val="18"/>
                <w:szCs w:val="18"/>
              </w:rPr>
              <w:t>14</w:t>
            </w:r>
          </w:p>
        </w:tc>
        <w:tc>
          <w:tcPr>
            <w:tcW w:w="35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b/>
                <w:bCs/>
                <w:sz w:val="18"/>
                <w:szCs w:val="18"/>
              </w:rPr>
            </w:pPr>
            <w:r w:rsidRPr="00B76559">
              <w:rPr>
                <w:rFonts w:cs="Calibri"/>
                <w:b/>
                <w:bCs/>
                <w:sz w:val="18"/>
                <w:szCs w:val="18"/>
              </w:rPr>
              <w:t>68</w:t>
            </w:r>
          </w:p>
        </w:tc>
        <w:tc>
          <w:tcPr>
            <w:tcW w:w="282"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b/>
                <w:bCs/>
                <w:sz w:val="18"/>
                <w:szCs w:val="18"/>
              </w:rPr>
            </w:pPr>
            <w:r w:rsidRPr="00B76559">
              <w:rPr>
                <w:rFonts w:cs="Calibri"/>
                <w:b/>
                <w:bCs/>
                <w:sz w:val="18"/>
                <w:szCs w:val="18"/>
              </w:rPr>
              <w:t>0</w:t>
            </w:r>
          </w:p>
        </w:tc>
        <w:tc>
          <w:tcPr>
            <w:tcW w:w="370"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b/>
                <w:bCs/>
                <w:sz w:val="18"/>
                <w:szCs w:val="18"/>
              </w:rPr>
            </w:pPr>
            <w:r w:rsidRPr="00B76559">
              <w:rPr>
                <w:rFonts w:cs="Calibri"/>
                <w:b/>
                <w:bCs/>
                <w:sz w:val="18"/>
                <w:szCs w:val="18"/>
              </w:rPr>
              <w:t>10.066</w:t>
            </w:r>
          </w:p>
        </w:tc>
        <w:tc>
          <w:tcPr>
            <w:tcW w:w="270"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b/>
                <w:bCs/>
                <w:sz w:val="18"/>
                <w:szCs w:val="18"/>
              </w:rPr>
            </w:pPr>
            <w:r w:rsidRPr="00B76559">
              <w:rPr>
                <w:rFonts w:cs="Calibri"/>
                <w:b/>
                <w:bCs/>
                <w:sz w:val="18"/>
                <w:szCs w:val="18"/>
              </w:rPr>
              <w:t>61</w:t>
            </w:r>
          </w:p>
        </w:tc>
      </w:tr>
      <w:tr w:rsidR="00FE5F88" w:rsidRPr="00B76559" w:rsidTr="000E1911">
        <w:trPr>
          <w:cantSplit/>
        </w:trPr>
        <w:tc>
          <w:tcPr>
            <w:tcW w:w="4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bold-left"/>
              <w:rPr>
                <w:rFonts w:cs="Calibri"/>
                <w:sz w:val="18"/>
                <w:szCs w:val="18"/>
              </w:rPr>
            </w:pPr>
            <w:r w:rsidRPr="00B76559">
              <w:rPr>
                <w:rFonts w:cs="Calibri"/>
                <w:sz w:val="18"/>
                <w:szCs w:val="18"/>
              </w:rPr>
              <w:t>Poprečje ODT</w:t>
            </w:r>
          </w:p>
        </w:tc>
        <w:tc>
          <w:tcPr>
            <w:tcW w:w="4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1.451</w:t>
            </w:r>
          </w:p>
        </w:tc>
        <w:tc>
          <w:tcPr>
            <w:tcW w:w="641"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134</w:t>
            </w:r>
          </w:p>
        </w:tc>
        <w:tc>
          <w:tcPr>
            <w:tcW w:w="276"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11</w:t>
            </w:r>
          </w:p>
        </w:tc>
        <w:tc>
          <w:tcPr>
            <w:tcW w:w="686"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235</w:t>
            </w:r>
          </w:p>
        </w:tc>
        <w:tc>
          <w:tcPr>
            <w:tcW w:w="256"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14</w:t>
            </w:r>
          </w:p>
        </w:tc>
        <w:tc>
          <w:tcPr>
            <w:tcW w:w="641"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214</w:t>
            </w:r>
          </w:p>
        </w:tc>
        <w:tc>
          <w:tcPr>
            <w:tcW w:w="321"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15</w:t>
            </w:r>
          </w:p>
        </w:tc>
        <w:tc>
          <w:tcPr>
            <w:tcW w:w="35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6</w:t>
            </w:r>
          </w:p>
        </w:tc>
        <w:tc>
          <w:tcPr>
            <w:tcW w:w="282"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370"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863</w:t>
            </w:r>
          </w:p>
        </w:tc>
        <w:tc>
          <w:tcPr>
            <w:tcW w:w="270"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60</w:t>
            </w:r>
          </w:p>
        </w:tc>
      </w:tr>
      <w:tr w:rsidR="00FE5F88" w:rsidRPr="00B76559" w:rsidTr="000E1911">
        <w:trPr>
          <w:cantSplit/>
        </w:trPr>
        <w:tc>
          <w:tcPr>
            <w:tcW w:w="449" w:type="pct"/>
            <w:tcBorders>
              <w:top w:val="single" w:sz="4" w:space="0" w:color="877850"/>
              <w:bottom w:val="single" w:sz="12" w:space="0" w:color="877850"/>
            </w:tcBorders>
            <w:shd w:val="clear" w:color="auto" w:fill="auto"/>
            <w:vAlign w:val="center"/>
          </w:tcPr>
          <w:p w:rsidR="00FE5F88" w:rsidRPr="00B76559" w:rsidRDefault="00FE5F88" w:rsidP="000E1911">
            <w:pPr>
              <w:pStyle w:val="Tabela-vsebina-bold-left"/>
              <w:rPr>
                <w:rFonts w:cs="Calibri"/>
                <w:sz w:val="18"/>
                <w:szCs w:val="18"/>
              </w:rPr>
            </w:pPr>
            <w:r>
              <w:rPr>
                <w:rFonts w:cs="Calibri"/>
                <w:sz w:val="18"/>
                <w:szCs w:val="18"/>
              </w:rPr>
              <w:t>Poprečje ODT OPP SDT RS</w:t>
            </w:r>
          </w:p>
        </w:tc>
        <w:tc>
          <w:tcPr>
            <w:tcW w:w="449" w:type="pct"/>
            <w:tcBorders>
              <w:top w:val="single" w:sz="4" w:space="0" w:color="877850"/>
              <w:bottom w:val="single" w:sz="12"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1.273</w:t>
            </w:r>
          </w:p>
        </w:tc>
        <w:tc>
          <w:tcPr>
            <w:tcW w:w="641" w:type="pct"/>
            <w:tcBorders>
              <w:top w:val="single" w:sz="4" w:space="0" w:color="877850"/>
              <w:bottom w:val="single" w:sz="12"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114</w:t>
            </w:r>
          </w:p>
        </w:tc>
        <w:tc>
          <w:tcPr>
            <w:tcW w:w="276" w:type="pct"/>
            <w:tcBorders>
              <w:top w:val="single" w:sz="4" w:space="0" w:color="877850"/>
              <w:bottom w:val="single" w:sz="12"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9</w:t>
            </w:r>
          </w:p>
        </w:tc>
        <w:tc>
          <w:tcPr>
            <w:tcW w:w="686" w:type="pct"/>
            <w:tcBorders>
              <w:top w:val="single" w:sz="4" w:space="0" w:color="877850"/>
              <w:bottom w:val="single" w:sz="12"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200</w:t>
            </w:r>
          </w:p>
        </w:tc>
        <w:tc>
          <w:tcPr>
            <w:tcW w:w="256" w:type="pct"/>
            <w:tcBorders>
              <w:top w:val="single" w:sz="4" w:space="0" w:color="877850"/>
              <w:bottom w:val="single" w:sz="12"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12</w:t>
            </w:r>
          </w:p>
        </w:tc>
        <w:tc>
          <w:tcPr>
            <w:tcW w:w="641" w:type="pct"/>
            <w:tcBorders>
              <w:top w:val="single" w:sz="4" w:space="0" w:color="877850"/>
              <w:bottom w:val="single" w:sz="12"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181</w:t>
            </w:r>
          </w:p>
        </w:tc>
        <w:tc>
          <w:tcPr>
            <w:tcW w:w="321" w:type="pct"/>
            <w:tcBorders>
              <w:top w:val="single" w:sz="4" w:space="0" w:color="877850"/>
              <w:bottom w:val="single" w:sz="12"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12</w:t>
            </w:r>
          </w:p>
        </w:tc>
        <w:tc>
          <w:tcPr>
            <w:tcW w:w="359" w:type="pct"/>
            <w:tcBorders>
              <w:top w:val="single" w:sz="4" w:space="0" w:color="877850"/>
              <w:bottom w:val="single" w:sz="12"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5</w:t>
            </w:r>
          </w:p>
        </w:tc>
        <w:tc>
          <w:tcPr>
            <w:tcW w:w="282" w:type="pct"/>
            <w:tcBorders>
              <w:top w:val="single" w:sz="4" w:space="0" w:color="877850"/>
              <w:bottom w:val="single" w:sz="12"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370" w:type="pct"/>
            <w:tcBorders>
              <w:top w:val="single" w:sz="4" w:space="0" w:color="877850"/>
              <w:bottom w:val="single" w:sz="12"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774</w:t>
            </w:r>
          </w:p>
        </w:tc>
        <w:tc>
          <w:tcPr>
            <w:tcW w:w="270" w:type="pct"/>
            <w:tcBorders>
              <w:top w:val="single" w:sz="4" w:space="0" w:color="877850"/>
              <w:bottom w:val="single" w:sz="12"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66</w:t>
            </w:r>
          </w:p>
        </w:tc>
      </w:tr>
    </w:tbl>
    <w:p w:rsidR="00FE5F88" w:rsidRPr="00AB09A1" w:rsidRDefault="00FE5F88" w:rsidP="00FE5F88">
      <w:pPr>
        <w:pStyle w:val="Tabela-naslov"/>
      </w:pPr>
      <w:bookmarkStart w:id="14" w:name="_Toc502925398"/>
      <w:bookmarkStart w:id="15" w:name="_Toc504122496"/>
      <w:bookmarkStart w:id="16" w:name="_Toc37710497"/>
      <w:bookmarkEnd w:id="13"/>
      <w:r w:rsidRPr="00AB09A1">
        <w:lastRenderedPageBreak/>
        <w:t>Tabela 11(m): Zavrženje ovadb proti mladoletnikom</w:t>
      </w:r>
      <w:bookmarkEnd w:id="14"/>
      <w:bookmarkEnd w:id="15"/>
      <w:bookmarkEnd w:id="16"/>
      <w:r w:rsidRPr="00AB09A1">
        <w:t xml:space="preserve"> </w:t>
      </w:r>
    </w:p>
    <w:tbl>
      <w:tblPr>
        <w:tblW w:w="5000" w:type="pct"/>
        <w:tblCellMar>
          <w:top w:w="28" w:type="dxa"/>
          <w:left w:w="57" w:type="dxa"/>
          <w:bottom w:w="28" w:type="dxa"/>
          <w:right w:w="57" w:type="dxa"/>
        </w:tblCellMar>
        <w:tblLook w:val="0000" w:firstRow="0" w:lastRow="0" w:firstColumn="0" w:lastColumn="0" w:noHBand="0" w:noVBand="0"/>
      </w:tblPr>
      <w:tblGrid>
        <w:gridCol w:w="1056"/>
        <w:gridCol w:w="517"/>
        <w:gridCol w:w="920"/>
        <w:gridCol w:w="431"/>
        <w:gridCol w:w="920"/>
        <w:gridCol w:w="431"/>
        <w:gridCol w:w="671"/>
        <w:gridCol w:w="431"/>
        <w:gridCol w:w="671"/>
        <w:gridCol w:w="424"/>
        <w:gridCol w:w="669"/>
        <w:gridCol w:w="410"/>
        <w:gridCol w:w="669"/>
        <w:gridCol w:w="427"/>
      </w:tblGrid>
      <w:tr w:rsidR="00FE5F88" w:rsidRPr="00B76559" w:rsidTr="000E1911">
        <w:trPr>
          <w:cantSplit/>
          <w:trHeight w:val="1567"/>
          <w:tblHeader/>
        </w:trPr>
        <w:tc>
          <w:tcPr>
            <w:tcW w:w="611" w:type="pct"/>
            <w:tcBorders>
              <w:right w:val="single" w:sz="8" w:space="0" w:color="FFFFFF"/>
            </w:tcBorders>
            <w:shd w:val="clear" w:color="auto" w:fill="877850"/>
            <w:vAlign w:val="center"/>
          </w:tcPr>
          <w:p w:rsidR="00FE5F88" w:rsidRPr="00B76559" w:rsidRDefault="00FE5F88" w:rsidP="000E1911">
            <w:pPr>
              <w:pStyle w:val="Tabela-vsebina-bold-center"/>
              <w:spacing w:line="160" w:lineRule="exact"/>
              <w:rPr>
                <w:rFonts w:cs="Calibri"/>
                <w:color w:val="FFFFFF"/>
                <w:sz w:val="18"/>
                <w:szCs w:val="18"/>
              </w:rPr>
            </w:pPr>
            <w:bookmarkStart w:id="17" w:name="LP11m"/>
            <w:r w:rsidRPr="00B76559">
              <w:rPr>
                <w:rFonts w:cs="Calibri"/>
                <w:color w:val="FFFFFF"/>
                <w:sz w:val="18"/>
                <w:szCs w:val="18"/>
              </w:rPr>
              <w:t>Državno tožilstvo</w:t>
            </w:r>
          </w:p>
        </w:tc>
        <w:tc>
          <w:tcPr>
            <w:tcW w:w="299" w:type="pct"/>
            <w:tcBorders>
              <w:left w:val="single" w:sz="8" w:space="0" w:color="FFFFFF"/>
              <w:right w:val="single" w:sz="8" w:space="0" w:color="FFFFFF"/>
            </w:tcBorders>
            <w:shd w:val="clear" w:color="auto" w:fill="877850"/>
            <w:textDirection w:val="tbRl"/>
            <w:vAlign w:val="center"/>
          </w:tcPr>
          <w:p w:rsidR="00FE5F88" w:rsidRPr="00B76559" w:rsidRDefault="00FE5F88" w:rsidP="000E1911">
            <w:pPr>
              <w:pStyle w:val="Tabela-vsebina-bold-center"/>
              <w:spacing w:line="160" w:lineRule="exact"/>
              <w:rPr>
                <w:rFonts w:cs="Calibri"/>
                <w:color w:val="FFFFFF"/>
                <w:sz w:val="18"/>
                <w:szCs w:val="18"/>
              </w:rPr>
            </w:pPr>
            <w:r w:rsidRPr="00B76559">
              <w:rPr>
                <w:rFonts w:cs="Calibri"/>
                <w:color w:val="FFFFFF"/>
                <w:sz w:val="18"/>
                <w:szCs w:val="18"/>
              </w:rPr>
              <w:t>Zavržene ovadbe skupaj</w:t>
            </w:r>
          </w:p>
        </w:tc>
        <w:tc>
          <w:tcPr>
            <w:tcW w:w="532" w:type="pct"/>
            <w:tcBorders>
              <w:left w:val="single" w:sz="8" w:space="0" w:color="FFFFFF"/>
              <w:right w:val="single" w:sz="8" w:space="0" w:color="FFFFFF"/>
            </w:tcBorders>
            <w:shd w:val="clear" w:color="auto" w:fill="877850"/>
            <w:textDirection w:val="tbRl"/>
            <w:vAlign w:val="center"/>
          </w:tcPr>
          <w:p w:rsidR="00FE5F88" w:rsidRPr="00B76559" w:rsidRDefault="00FE5F88" w:rsidP="000E1911">
            <w:pPr>
              <w:pStyle w:val="Tabela-vsebina-bold-center"/>
              <w:spacing w:line="160" w:lineRule="exact"/>
              <w:rPr>
                <w:rFonts w:cs="Calibri"/>
                <w:color w:val="FFFFFF"/>
                <w:sz w:val="18"/>
                <w:szCs w:val="18"/>
              </w:rPr>
            </w:pPr>
            <w:r w:rsidRPr="00B76559">
              <w:rPr>
                <w:rFonts w:cs="Calibri"/>
                <w:color w:val="FFFFFF"/>
                <w:sz w:val="18"/>
                <w:szCs w:val="18"/>
              </w:rPr>
              <w:t>Zavrženja po poravnavanju ali odloženem pregonu</w:t>
            </w:r>
          </w:p>
        </w:tc>
        <w:tc>
          <w:tcPr>
            <w:tcW w:w="249" w:type="pct"/>
            <w:tcBorders>
              <w:left w:val="single" w:sz="8" w:space="0" w:color="FFFFFF"/>
              <w:right w:val="single" w:sz="8" w:space="0" w:color="FFFFFF"/>
            </w:tcBorders>
            <w:shd w:val="clear" w:color="auto" w:fill="877850"/>
            <w:textDirection w:val="tbRl"/>
            <w:vAlign w:val="center"/>
          </w:tcPr>
          <w:p w:rsidR="00FE5F88" w:rsidRPr="00B76559" w:rsidRDefault="00FE5F88" w:rsidP="000E1911">
            <w:pPr>
              <w:pStyle w:val="Tabela-vsebina-bold-center"/>
              <w:spacing w:line="160" w:lineRule="exact"/>
              <w:rPr>
                <w:rFonts w:cs="Calibri"/>
                <w:color w:val="FFFFFF"/>
                <w:sz w:val="18"/>
                <w:szCs w:val="18"/>
              </w:rPr>
            </w:pPr>
            <w:r w:rsidRPr="00B76559">
              <w:rPr>
                <w:rFonts w:cs="Calibri"/>
                <w:color w:val="FFFFFF"/>
                <w:sz w:val="18"/>
                <w:szCs w:val="18"/>
              </w:rPr>
              <w:t>Odstotek od zavrženih</w:t>
            </w:r>
          </w:p>
        </w:tc>
        <w:tc>
          <w:tcPr>
            <w:tcW w:w="532" w:type="pct"/>
            <w:tcBorders>
              <w:left w:val="single" w:sz="8" w:space="0" w:color="FFFFFF"/>
              <w:right w:val="single" w:sz="8" w:space="0" w:color="FFFFFF"/>
            </w:tcBorders>
            <w:shd w:val="clear" w:color="auto" w:fill="877850"/>
            <w:textDirection w:val="tbRl"/>
            <w:vAlign w:val="center"/>
          </w:tcPr>
          <w:p w:rsidR="00FE5F88" w:rsidRPr="00B76559" w:rsidRDefault="00FE5F88" w:rsidP="000E1911">
            <w:pPr>
              <w:pStyle w:val="Tabela-vsebina-bold-center"/>
              <w:spacing w:line="160" w:lineRule="exact"/>
              <w:rPr>
                <w:rFonts w:cs="Calibri"/>
                <w:color w:val="FFFFFF"/>
                <w:sz w:val="18"/>
                <w:szCs w:val="18"/>
              </w:rPr>
            </w:pPr>
            <w:r w:rsidRPr="00B76559">
              <w:rPr>
                <w:rFonts w:cs="Calibri"/>
                <w:color w:val="FFFFFF"/>
                <w:sz w:val="18"/>
                <w:szCs w:val="18"/>
              </w:rPr>
              <w:t>Zavrženja zaradi majhnega pomena in načela sorazmernosti</w:t>
            </w:r>
          </w:p>
        </w:tc>
        <w:tc>
          <w:tcPr>
            <w:tcW w:w="249" w:type="pct"/>
            <w:tcBorders>
              <w:left w:val="single" w:sz="8" w:space="0" w:color="FFFFFF"/>
              <w:right w:val="single" w:sz="8" w:space="0" w:color="FFFFFF"/>
            </w:tcBorders>
            <w:shd w:val="clear" w:color="auto" w:fill="877850"/>
            <w:textDirection w:val="tbRl"/>
            <w:vAlign w:val="center"/>
          </w:tcPr>
          <w:p w:rsidR="00FE5F88" w:rsidRPr="00B76559" w:rsidRDefault="00FE5F88" w:rsidP="000E1911">
            <w:pPr>
              <w:pStyle w:val="Tabela-vsebina-bold-center"/>
              <w:spacing w:line="160" w:lineRule="exact"/>
              <w:rPr>
                <w:rFonts w:cs="Calibri"/>
                <w:color w:val="FFFFFF"/>
                <w:sz w:val="18"/>
                <w:szCs w:val="18"/>
              </w:rPr>
            </w:pPr>
            <w:r w:rsidRPr="00B76559">
              <w:rPr>
                <w:rFonts w:cs="Calibri"/>
                <w:color w:val="FFFFFF"/>
                <w:sz w:val="18"/>
                <w:szCs w:val="18"/>
              </w:rPr>
              <w:t>Odstotek od zavrženih</w:t>
            </w:r>
          </w:p>
        </w:tc>
        <w:tc>
          <w:tcPr>
            <w:tcW w:w="388" w:type="pct"/>
            <w:tcBorders>
              <w:left w:val="single" w:sz="8" w:space="0" w:color="FFFFFF"/>
              <w:right w:val="single" w:sz="8" w:space="0" w:color="FFFFFF"/>
            </w:tcBorders>
            <w:shd w:val="clear" w:color="auto" w:fill="877850"/>
            <w:textDirection w:val="tbRl"/>
            <w:vAlign w:val="center"/>
          </w:tcPr>
          <w:p w:rsidR="00FE5F88" w:rsidRPr="00B76559" w:rsidRDefault="00FE5F88" w:rsidP="000E1911">
            <w:pPr>
              <w:pStyle w:val="Tabela-vsebina-bold-center"/>
              <w:spacing w:line="160" w:lineRule="exact"/>
              <w:rPr>
                <w:rFonts w:cs="Calibri"/>
                <w:color w:val="FFFFFF"/>
                <w:sz w:val="18"/>
                <w:szCs w:val="18"/>
              </w:rPr>
            </w:pPr>
            <w:r w:rsidRPr="00B76559">
              <w:rPr>
                <w:rFonts w:cs="Calibri"/>
                <w:color w:val="FFFFFF"/>
                <w:sz w:val="18"/>
                <w:szCs w:val="18"/>
              </w:rPr>
              <w:t>Zavrženje zaradi smotrnosti</w:t>
            </w:r>
          </w:p>
        </w:tc>
        <w:tc>
          <w:tcPr>
            <w:tcW w:w="249" w:type="pct"/>
            <w:tcBorders>
              <w:left w:val="single" w:sz="8" w:space="0" w:color="FFFFFF"/>
              <w:right w:val="single" w:sz="8" w:space="0" w:color="FFFFFF"/>
            </w:tcBorders>
            <w:shd w:val="clear" w:color="auto" w:fill="877850"/>
            <w:textDirection w:val="tbRl"/>
            <w:vAlign w:val="center"/>
          </w:tcPr>
          <w:p w:rsidR="00FE5F88" w:rsidRPr="00B76559" w:rsidRDefault="00FE5F88" w:rsidP="000E1911">
            <w:pPr>
              <w:pStyle w:val="Tabela-vsebina-bold-center"/>
              <w:spacing w:line="160" w:lineRule="exact"/>
              <w:rPr>
                <w:rFonts w:cs="Calibri"/>
                <w:color w:val="FFFFFF"/>
                <w:sz w:val="18"/>
                <w:szCs w:val="18"/>
              </w:rPr>
            </w:pPr>
            <w:r w:rsidRPr="00B76559">
              <w:rPr>
                <w:rFonts w:cs="Calibri"/>
                <w:color w:val="FFFFFF"/>
                <w:sz w:val="18"/>
                <w:szCs w:val="18"/>
              </w:rPr>
              <w:t>Odstotek od zavrženih</w:t>
            </w:r>
          </w:p>
        </w:tc>
        <w:tc>
          <w:tcPr>
            <w:tcW w:w="388" w:type="pct"/>
            <w:tcBorders>
              <w:left w:val="single" w:sz="8" w:space="0" w:color="FFFFFF"/>
              <w:right w:val="single" w:sz="8" w:space="0" w:color="FFFFFF"/>
            </w:tcBorders>
            <w:shd w:val="clear" w:color="auto" w:fill="877850"/>
            <w:textDirection w:val="tbRl"/>
            <w:vAlign w:val="center"/>
          </w:tcPr>
          <w:p w:rsidR="00FE5F88" w:rsidRPr="00B76559" w:rsidRDefault="00FE5F88" w:rsidP="000E1911">
            <w:pPr>
              <w:pStyle w:val="Tabela-vsebina-bold-center"/>
              <w:spacing w:line="160" w:lineRule="exact"/>
              <w:rPr>
                <w:rFonts w:cs="Calibri"/>
                <w:color w:val="FFFFFF"/>
                <w:sz w:val="18"/>
                <w:szCs w:val="18"/>
              </w:rPr>
            </w:pPr>
            <w:r w:rsidRPr="00B76559">
              <w:rPr>
                <w:rFonts w:cs="Calibri"/>
                <w:color w:val="FFFFFF"/>
                <w:sz w:val="18"/>
                <w:szCs w:val="18"/>
              </w:rPr>
              <w:t>Zavrženja zaradi umika predloga oškodovanca</w:t>
            </w:r>
          </w:p>
        </w:tc>
        <w:tc>
          <w:tcPr>
            <w:tcW w:w="245" w:type="pct"/>
            <w:tcBorders>
              <w:left w:val="single" w:sz="8" w:space="0" w:color="FFFFFF"/>
              <w:right w:val="single" w:sz="8" w:space="0" w:color="FFFFFF"/>
            </w:tcBorders>
            <w:shd w:val="clear" w:color="auto" w:fill="877850"/>
            <w:textDirection w:val="tbRl"/>
            <w:vAlign w:val="center"/>
          </w:tcPr>
          <w:p w:rsidR="00FE5F88" w:rsidRPr="00B76559" w:rsidRDefault="00FE5F88" w:rsidP="000E1911">
            <w:pPr>
              <w:pStyle w:val="Tabela-vsebina-bold-center"/>
              <w:spacing w:line="160" w:lineRule="exact"/>
              <w:rPr>
                <w:rFonts w:cs="Calibri"/>
                <w:color w:val="FFFFFF"/>
                <w:sz w:val="18"/>
                <w:szCs w:val="18"/>
              </w:rPr>
            </w:pPr>
            <w:r w:rsidRPr="00B76559">
              <w:rPr>
                <w:rFonts w:cs="Calibri"/>
                <w:color w:val="FFFFFF"/>
                <w:sz w:val="18"/>
                <w:szCs w:val="18"/>
              </w:rPr>
              <w:t>Odstotek od zavrženih</w:t>
            </w:r>
          </w:p>
        </w:tc>
        <w:tc>
          <w:tcPr>
            <w:tcW w:w="387" w:type="pct"/>
            <w:tcBorders>
              <w:left w:val="single" w:sz="8" w:space="0" w:color="FFFFFF"/>
              <w:right w:val="single" w:sz="8" w:space="0" w:color="FFFFFF"/>
            </w:tcBorders>
            <w:shd w:val="clear" w:color="auto" w:fill="877850"/>
            <w:textDirection w:val="tbRl"/>
            <w:vAlign w:val="center"/>
          </w:tcPr>
          <w:p w:rsidR="00FE5F88" w:rsidRPr="00B76559" w:rsidRDefault="00FE5F88" w:rsidP="000E1911">
            <w:pPr>
              <w:pStyle w:val="Tabela-vsebina-bold-center"/>
              <w:spacing w:line="160" w:lineRule="exact"/>
              <w:rPr>
                <w:rFonts w:cs="Calibri"/>
                <w:color w:val="FFFFFF"/>
                <w:sz w:val="18"/>
                <w:szCs w:val="18"/>
              </w:rPr>
            </w:pPr>
            <w:r w:rsidRPr="00B76559">
              <w:rPr>
                <w:rFonts w:cs="Calibri"/>
                <w:color w:val="FFFFFF"/>
                <w:sz w:val="18"/>
                <w:szCs w:val="18"/>
              </w:rPr>
              <w:t>Zavrženo zaradi zastaranja</w:t>
            </w:r>
          </w:p>
        </w:tc>
        <w:tc>
          <w:tcPr>
            <w:tcW w:w="237" w:type="pct"/>
            <w:tcBorders>
              <w:left w:val="single" w:sz="8" w:space="0" w:color="FFFFFF"/>
              <w:right w:val="single" w:sz="8" w:space="0" w:color="FFFFFF"/>
            </w:tcBorders>
            <w:shd w:val="clear" w:color="auto" w:fill="877850"/>
            <w:textDirection w:val="tbRl"/>
            <w:vAlign w:val="center"/>
          </w:tcPr>
          <w:p w:rsidR="00FE5F88" w:rsidRPr="00B76559" w:rsidRDefault="00FE5F88" w:rsidP="000E1911">
            <w:pPr>
              <w:pStyle w:val="Tabela-vsebina-bold-center"/>
              <w:spacing w:line="160" w:lineRule="exact"/>
              <w:rPr>
                <w:rFonts w:cs="Calibri"/>
                <w:color w:val="FFFFFF"/>
                <w:sz w:val="18"/>
                <w:szCs w:val="18"/>
              </w:rPr>
            </w:pPr>
            <w:r w:rsidRPr="00B76559">
              <w:rPr>
                <w:rFonts w:cs="Calibri"/>
                <w:color w:val="FFFFFF"/>
                <w:sz w:val="18"/>
                <w:szCs w:val="18"/>
              </w:rPr>
              <w:t>Odstotek od zavrženih</w:t>
            </w:r>
          </w:p>
        </w:tc>
        <w:tc>
          <w:tcPr>
            <w:tcW w:w="387" w:type="pct"/>
            <w:tcBorders>
              <w:left w:val="single" w:sz="8" w:space="0" w:color="FFFFFF"/>
              <w:right w:val="single" w:sz="8" w:space="0" w:color="FFFFFF"/>
            </w:tcBorders>
            <w:shd w:val="clear" w:color="auto" w:fill="877850"/>
            <w:textDirection w:val="tbRl"/>
            <w:vAlign w:val="center"/>
          </w:tcPr>
          <w:p w:rsidR="00FE5F88" w:rsidRPr="00B76559" w:rsidRDefault="00FE5F88" w:rsidP="000E1911">
            <w:pPr>
              <w:pStyle w:val="Tabela-vsebina-bold-center"/>
              <w:spacing w:line="160" w:lineRule="exact"/>
              <w:rPr>
                <w:rFonts w:cs="Calibri"/>
                <w:color w:val="FFFFFF"/>
                <w:sz w:val="18"/>
                <w:szCs w:val="18"/>
              </w:rPr>
            </w:pPr>
            <w:r w:rsidRPr="00B76559">
              <w:rPr>
                <w:rFonts w:cs="Calibri"/>
                <w:color w:val="FFFFFF"/>
                <w:sz w:val="18"/>
                <w:szCs w:val="18"/>
              </w:rPr>
              <w:t>Zavrženo iz drugih razlogov</w:t>
            </w:r>
          </w:p>
        </w:tc>
        <w:tc>
          <w:tcPr>
            <w:tcW w:w="247" w:type="pct"/>
            <w:tcBorders>
              <w:left w:val="single" w:sz="8" w:space="0" w:color="FFFFFF"/>
            </w:tcBorders>
            <w:shd w:val="clear" w:color="auto" w:fill="877850"/>
            <w:textDirection w:val="tbRl"/>
            <w:vAlign w:val="center"/>
          </w:tcPr>
          <w:p w:rsidR="00FE5F88" w:rsidRPr="00B76559" w:rsidRDefault="00FE5F88" w:rsidP="000E1911">
            <w:pPr>
              <w:pStyle w:val="Tabela-vsebina-bold-center"/>
              <w:spacing w:line="160" w:lineRule="exact"/>
              <w:rPr>
                <w:rFonts w:cs="Calibri"/>
                <w:color w:val="FFFFFF"/>
                <w:sz w:val="18"/>
                <w:szCs w:val="18"/>
              </w:rPr>
            </w:pPr>
            <w:r w:rsidRPr="00B76559">
              <w:rPr>
                <w:rFonts w:cs="Calibri"/>
                <w:color w:val="FFFFFF"/>
                <w:sz w:val="18"/>
                <w:szCs w:val="18"/>
              </w:rPr>
              <w:t>Odstotek od zavrženih</w:t>
            </w:r>
          </w:p>
        </w:tc>
      </w:tr>
      <w:tr w:rsidR="00FE5F88" w:rsidRPr="00B76559" w:rsidTr="000E1911">
        <w:trPr>
          <w:cantSplit/>
        </w:trPr>
        <w:tc>
          <w:tcPr>
            <w:tcW w:w="611" w:type="pct"/>
            <w:tcBorders>
              <w:bottom w:val="single" w:sz="4" w:space="0" w:color="877850"/>
            </w:tcBorders>
            <w:shd w:val="clear" w:color="auto" w:fill="auto"/>
            <w:vAlign w:val="center"/>
          </w:tcPr>
          <w:p w:rsidR="00FE5F88" w:rsidRPr="00B76559" w:rsidRDefault="00FE5F88" w:rsidP="000E1911">
            <w:pPr>
              <w:pStyle w:val="Tabela-vsebina-bold-left"/>
              <w:rPr>
                <w:rFonts w:cs="Calibri"/>
                <w:sz w:val="18"/>
                <w:szCs w:val="18"/>
              </w:rPr>
            </w:pPr>
            <w:r w:rsidRPr="00B76559">
              <w:rPr>
                <w:rFonts w:cs="Calibri"/>
                <w:sz w:val="18"/>
                <w:szCs w:val="18"/>
              </w:rPr>
              <w:t>ODT CE</w:t>
            </w:r>
          </w:p>
        </w:tc>
        <w:tc>
          <w:tcPr>
            <w:tcW w:w="299" w:type="pct"/>
            <w:tcBorders>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96</w:t>
            </w:r>
          </w:p>
        </w:tc>
        <w:tc>
          <w:tcPr>
            <w:tcW w:w="532" w:type="pct"/>
            <w:tcBorders>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34</w:t>
            </w:r>
          </w:p>
        </w:tc>
        <w:tc>
          <w:tcPr>
            <w:tcW w:w="249" w:type="pct"/>
            <w:tcBorders>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35</w:t>
            </w:r>
          </w:p>
        </w:tc>
        <w:tc>
          <w:tcPr>
            <w:tcW w:w="532" w:type="pct"/>
            <w:tcBorders>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31</w:t>
            </w:r>
          </w:p>
        </w:tc>
        <w:tc>
          <w:tcPr>
            <w:tcW w:w="249" w:type="pct"/>
            <w:tcBorders>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32</w:t>
            </w:r>
          </w:p>
        </w:tc>
        <w:tc>
          <w:tcPr>
            <w:tcW w:w="388" w:type="pct"/>
            <w:tcBorders>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249" w:type="pct"/>
            <w:tcBorders>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388" w:type="pct"/>
            <w:tcBorders>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17</w:t>
            </w:r>
          </w:p>
        </w:tc>
        <w:tc>
          <w:tcPr>
            <w:tcW w:w="245" w:type="pct"/>
            <w:tcBorders>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18</w:t>
            </w:r>
          </w:p>
        </w:tc>
        <w:tc>
          <w:tcPr>
            <w:tcW w:w="387" w:type="pct"/>
            <w:tcBorders>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237" w:type="pct"/>
            <w:tcBorders>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387" w:type="pct"/>
            <w:tcBorders>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14</w:t>
            </w:r>
          </w:p>
        </w:tc>
        <w:tc>
          <w:tcPr>
            <w:tcW w:w="247" w:type="pct"/>
            <w:tcBorders>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15</w:t>
            </w:r>
          </w:p>
        </w:tc>
      </w:tr>
      <w:tr w:rsidR="00FE5F88" w:rsidRPr="00B76559" w:rsidTr="000E1911">
        <w:trPr>
          <w:cantSplit/>
        </w:trPr>
        <w:tc>
          <w:tcPr>
            <w:tcW w:w="611"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bold-left"/>
              <w:rPr>
                <w:rFonts w:cs="Calibri"/>
                <w:sz w:val="18"/>
                <w:szCs w:val="18"/>
              </w:rPr>
            </w:pPr>
            <w:r w:rsidRPr="00B76559">
              <w:rPr>
                <w:rFonts w:cs="Calibri"/>
                <w:sz w:val="18"/>
                <w:szCs w:val="18"/>
              </w:rPr>
              <w:t>ODT KK</w:t>
            </w:r>
          </w:p>
        </w:tc>
        <w:tc>
          <w:tcPr>
            <w:tcW w:w="29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30</w:t>
            </w:r>
          </w:p>
        </w:tc>
        <w:tc>
          <w:tcPr>
            <w:tcW w:w="532"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5</w:t>
            </w:r>
          </w:p>
        </w:tc>
        <w:tc>
          <w:tcPr>
            <w:tcW w:w="2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17</w:t>
            </w:r>
          </w:p>
        </w:tc>
        <w:tc>
          <w:tcPr>
            <w:tcW w:w="532"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10</w:t>
            </w:r>
          </w:p>
        </w:tc>
        <w:tc>
          <w:tcPr>
            <w:tcW w:w="2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33</w:t>
            </w:r>
          </w:p>
        </w:tc>
        <w:tc>
          <w:tcPr>
            <w:tcW w:w="388"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2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388"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3</w:t>
            </w:r>
          </w:p>
        </w:tc>
        <w:tc>
          <w:tcPr>
            <w:tcW w:w="245"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10</w:t>
            </w:r>
          </w:p>
        </w:tc>
        <w:tc>
          <w:tcPr>
            <w:tcW w:w="387"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237"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387"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12</w:t>
            </w:r>
          </w:p>
        </w:tc>
        <w:tc>
          <w:tcPr>
            <w:tcW w:w="247"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40</w:t>
            </w:r>
          </w:p>
        </w:tc>
      </w:tr>
      <w:tr w:rsidR="00FE5F88" w:rsidRPr="00B76559" w:rsidTr="000E1911">
        <w:trPr>
          <w:cantSplit/>
        </w:trPr>
        <w:tc>
          <w:tcPr>
            <w:tcW w:w="611"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bold-left"/>
              <w:rPr>
                <w:rFonts w:cs="Calibri"/>
                <w:sz w:val="18"/>
                <w:szCs w:val="18"/>
              </w:rPr>
            </w:pPr>
            <w:r w:rsidRPr="00B76559">
              <w:rPr>
                <w:rFonts w:cs="Calibri"/>
                <w:sz w:val="18"/>
                <w:szCs w:val="18"/>
              </w:rPr>
              <w:t>ODT KP</w:t>
            </w:r>
          </w:p>
        </w:tc>
        <w:tc>
          <w:tcPr>
            <w:tcW w:w="29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78</w:t>
            </w:r>
          </w:p>
        </w:tc>
        <w:tc>
          <w:tcPr>
            <w:tcW w:w="532"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22</w:t>
            </w:r>
          </w:p>
        </w:tc>
        <w:tc>
          <w:tcPr>
            <w:tcW w:w="2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28</w:t>
            </w:r>
          </w:p>
        </w:tc>
        <w:tc>
          <w:tcPr>
            <w:tcW w:w="532"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14</w:t>
            </w:r>
          </w:p>
        </w:tc>
        <w:tc>
          <w:tcPr>
            <w:tcW w:w="2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18</w:t>
            </w:r>
          </w:p>
        </w:tc>
        <w:tc>
          <w:tcPr>
            <w:tcW w:w="388"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7</w:t>
            </w:r>
          </w:p>
        </w:tc>
        <w:tc>
          <w:tcPr>
            <w:tcW w:w="2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9</w:t>
            </w:r>
          </w:p>
        </w:tc>
        <w:tc>
          <w:tcPr>
            <w:tcW w:w="388"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6</w:t>
            </w:r>
          </w:p>
        </w:tc>
        <w:tc>
          <w:tcPr>
            <w:tcW w:w="245"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8</w:t>
            </w:r>
          </w:p>
        </w:tc>
        <w:tc>
          <w:tcPr>
            <w:tcW w:w="387"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237"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387"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29</w:t>
            </w:r>
          </w:p>
        </w:tc>
        <w:tc>
          <w:tcPr>
            <w:tcW w:w="247"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37</w:t>
            </w:r>
          </w:p>
        </w:tc>
      </w:tr>
      <w:tr w:rsidR="00FE5F88" w:rsidRPr="00B76559" w:rsidTr="000E1911">
        <w:trPr>
          <w:cantSplit/>
        </w:trPr>
        <w:tc>
          <w:tcPr>
            <w:tcW w:w="611"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bold-left"/>
              <w:rPr>
                <w:rFonts w:cs="Calibri"/>
                <w:sz w:val="18"/>
                <w:szCs w:val="18"/>
              </w:rPr>
            </w:pPr>
            <w:r w:rsidRPr="00B76559">
              <w:rPr>
                <w:rFonts w:cs="Calibri"/>
                <w:sz w:val="18"/>
                <w:szCs w:val="18"/>
              </w:rPr>
              <w:t>ODT KR</w:t>
            </w:r>
          </w:p>
        </w:tc>
        <w:tc>
          <w:tcPr>
            <w:tcW w:w="29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76</w:t>
            </w:r>
          </w:p>
        </w:tc>
        <w:tc>
          <w:tcPr>
            <w:tcW w:w="532"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20</w:t>
            </w:r>
          </w:p>
        </w:tc>
        <w:tc>
          <w:tcPr>
            <w:tcW w:w="2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26</w:t>
            </w:r>
          </w:p>
        </w:tc>
        <w:tc>
          <w:tcPr>
            <w:tcW w:w="532"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21</w:t>
            </w:r>
          </w:p>
        </w:tc>
        <w:tc>
          <w:tcPr>
            <w:tcW w:w="2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28</w:t>
            </w:r>
          </w:p>
        </w:tc>
        <w:tc>
          <w:tcPr>
            <w:tcW w:w="388"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w:t>
            </w:r>
          </w:p>
        </w:tc>
        <w:tc>
          <w:tcPr>
            <w:tcW w:w="2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w:t>
            </w:r>
          </w:p>
        </w:tc>
        <w:tc>
          <w:tcPr>
            <w:tcW w:w="388"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7</w:t>
            </w:r>
          </w:p>
        </w:tc>
        <w:tc>
          <w:tcPr>
            <w:tcW w:w="245"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9</w:t>
            </w:r>
          </w:p>
        </w:tc>
        <w:tc>
          <w:tcPr>
            <w:tcW w:w="387"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237"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387"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27</w:t>
            </w:r>
          </w:p>
        </w:tc>
        <w:tc>
          <w:tcPr>
            <w:tcW w:w="247"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36</w:t>
            </w:r>
          </w:p>
        </w:tc>
      </w:tr>
      <w:tr w:rsidR="00FE5F88" w:rsidRPr="00B76559" w:rsidTr="000E1911">
        <w:trPr>
          <w:cantSplit/>
        </w:trPr>
        <w:tc>
          <w:tcPr>
            <w:tcW w:w="611"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bold-left"/>
              <w:rPr>
                <w:rFonts w:cs="Calibri"/>
                <w:sz w:val="18"/>
                <w:szCs w:val="18"/>
              </w:rPr>
            </w:pPr>
            <w:r w:rsidRPr="00B76559">
              <w:rPr>
                <w:rFonts w:cs="Calibri"/>
                <w:sz w:val="18"/>
                <w:szCs w:val="18"/>
              </w:rPr>
              <w:t>ODT LJ</w:t>
            </w:r>
          </w:p>
        </w:tc>
        <w:tc>
          <w:tcPr>
            <w:tcW w:w="29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295</w:t>
            </w:r>
          </w:p>
        </w:tc>
        <w:tc>
          <w:tcPr>
            <w:tcW w:w="532"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26</w:t>
            </w:r>
          </w:p>
        </w:tc>
        <w:tc>
          <w:tcPr>
            <w:tcW w:w="2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9</w:t>
            </w:r>
          </w:p>
        </w:tc>
        <w:tc>
          <w:tcPr>
            <w:tcW w:w="532"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146</w:t>
            </w:r>
          </w:p>
        </w:tc>
        <w:tc>
          <w:tcPr>
            <w:tcW w:w="2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49</w:t>
            </w:r>
          </w:p>
        </w:tc>
        <w:tc>
          <w:tcPr>
            <w:tcW w:w="388"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4</w:t>
            </w:r>
          </w:p>
        </w:tc>
        <w:tc>
          <w:tcPr>
            <w:tcW w:w="2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w:t>
            </w:r>
          </w:p>
        </w:tc>
        <w:tc>
          <w:tcPr>
            <w:tcW w:w="388"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52</w:t>
            </w:r>
          </w:p>
        </w:tc>
        <w:tc>
          <w:tcPr>
            <w:tcW w:w="245"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18</w:t>
            </w:r>
          </w:p>
        </w:tc>
        <w:tc>
          <w:tcPr>
            <w:tcW w:w="387"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237"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387"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67</w:t>
            </w:r>
          </w:p>
        </w:tc>
        <w:tc>
          <w:tcPr>
            <w:tcW w:w="247"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23</w:t>
            </w:r>
          </w:p>
        </w:tc>
      </w:tr>
      <w:tr w:rsidR="00FE5F88" w:rsidRPr="00B76559" w:rsidTr="000E1911">
        <w:trPr>
          <w:cantSplit/>
        </w:trPr>
        <w:tc>
          <w:tcPr>
            <w:tcW w:w="611"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bold-left"/>
              <w:rPr>
                <w:rFonts w:cs="Calibri"/>
                <w:sz w:val="18"/>
                <w:szCs w:val="18"/>
              </w:rPr>
            </w:pPr>
            <w:r w:rsidRPr="00B76559">
              <w:rPr>
                <w:rFonts w:cs="Calibri"/>
                <w:sz w:val="18"/>
                <w:szCs w:val="18"/>
              </w:rPr>
              <w:t>ODT MB</w:t>
            </w:r>
          </w:p>
        </w:tc>
        <w:tc>
          <w:tcPr>
            <w:tcW w:w="29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86</w:t>
            </w:r>
          </w:p>
        </w:tc>
        <w:tc>
          <w:tcPr>
            <w:tcW w:w="532"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18</w:t>
            </w:r>
          </w:p>
        </w:tc>
        <w:tc>
          <w:tcPr>
            <w:tcW w:w="2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21</w:t>
            </w:r>
          </w:p>
        </w:tc>
        <w:tc>
          <w:tcPr>
            <w:tcW w:w="532"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24</w:t>
            </w:r>
          </w:p>
        </w:tc>
        <w:tc>
          <w:tcPr>
            <w:tcW w:w="2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28</w:t>
            </w:r>
          </w:p>
        </w:tc>
        <w:tc>
          <w:tcPr>
            <w:tcW w:w="388"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2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388"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22</w:t>
            </w:r>
          </w:p>
        </w:tc>
        <w:tc>
          <w:tcPr>
            <w:tcW w:w="245"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26</w:t>
            </w:r>
          </w:p>
        </w:tc>
        <w:tc>
          <w:tcPr>
            <w:tcW w:w="387"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237"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387"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22</w:t>
            </w:r>
          </w:p>
        </w:tc>
        <w:tc>
          <w:tcPr>
            <w:tcW w:w="247"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26</w:t>
            </w:r>
          </w:p>
        </w:tc>
      </w:tr>
      <w:tr w:rsidR="00FE5F88" w:rsidRPr="00B76559" w:rsidTr="000E1911">
        <w:trPr>
          <w:cantSplit/>
        </w:trPr>
        <w:tc>
          <w:tcPr>
            <w:tcW w:w="611"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bold-left"/>
              <w:rPr>
                <w:rFonts w:cs="Calibri"/>
                <w:sz w:val="18"/>
                <w:szCs w:val="18"/>
              </w:rPr>
            </w:pPr>
            <w:r w:rsidRPr="00B76559">
              <w:rPr>
                <w:rFonts w:cs="Calibri"/>
                <w:sz w:val="18"/>
                <w:szCs w:val="18"/>
              </w:rPr>
              <w:t>ODT MS</w:t>
            </w:r>
          </w:p>
        </w:tc>
        <w:tc>
          <w:tcPr>
            <w:tcW w:w="29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17</w:t>
            </w:r>
          </w:p>
        </w:tc>
        <w:tc>
          <w:tcPr>
            <w:tcW w:w="532"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3</w:t>
            </w:r>
          </w:p>
        </w:tc>
        <w:tc>
          <w:tcPr>
            <w:tcW w:w="2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18</w:t>
            </w:r>
          </w:p>
        </w:tc>
        <w:tc>
          <w:tcPr>
            <w:tcW w:w="532"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5</w:t>
            </w:r>
          </w:p>
        </w:tc>
        <w:tc>
          <w:tcPr>
            <w:tcW w:w="2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29</w:t>
            </w:r>
          </w:p>
        </w:tc>
        <w:tc>
          <w:tcPr>
            <w:tcW w:w="388"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2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388"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6</w:t>
            </w:r>
          </w:p>
        </w:tc>
        <w:tc>
          <w:tcPr>
            <w:tcW w:w="245"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35</w:t>
            </w:r>
          </w:p>
        </w:tc>
        <w:tc>
          <w:tcPr>
            <w:tcW w:w="387"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237"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387"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3</w:t>
            </w:r>
          </w:p>
        </w:tc>
        <w:tc>
          <w:tcPr>
            <w:tcW w:w="247"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18</w:t>
            </w:r>
          </w:p>
        </w:tc>
      </w:tr>
      <w:tr w:rsidR="00FE5F88" w:rsidRPr="00B76559" w:rsidTr="000E1911">
        <w:trPr>
          <w:cantSplit/>
        </w:trPr>
        <w:tc>
          <w:tcPr>
            <w:tcW w:w="611"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bold-left"/>
              <w:rPr>
                <w:rFonts w:cs="Calibri"/>
                <w:sz w:val="18"/>
                <w:szCs w:val="18"/>
              </w:rPr>
            </w:pPr>
            <w:r w:rsidRPr="00B76559">
              <w:rPr>
                <w:rFonts w:cs="Calibri"/>
                <w:sz w:val="18"/>
                <w:szCs w:val="18"/>
              </w:rPr>
              <w:t>ODT NG</w:t>
            </w:r>
          </w:p>
        </w:tc>
        <w:tc>
          <w:tcPr>
            <w:tcW w:w="29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56</w:t>
            </w:r>
          </w:p>
        </w:tc>
        <w:tc>
          <w:tcPr>
            <w:tcW w:w="532"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8</w:t>
            </w:r>
          </w:p>
        </w:tc>
        <w:tc>
          <w:tcPr>
            <w:tcW w:w="2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14</w:t>
            </w:r>
          </w:p>
        </w:tc>
        <w:tc>
          <w:tcPr>
            <w:tcW w:w="532"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7</w:t>
            </w:r>
          </w:p>
        </w:tc>
        <w:tc>
          <w:tcPr>
            <w:tcW w:w="2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12</w:t>
            </w:r>
          </w:p>
        </w:tc>
        <w:tc>
          <w:tcPr>
            <w:tcW w:w="388"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4</w:t>
            </w:r>
          </w:p>
        </w:tc>
        <w:tc>
          <w:tcPr>
            <w:tcW w:w="2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7</w:t>
            </w:r>
          </w:p>
        </w:tc>
        <w:tc>
          <w:tcPr>
            <w:tcW w:w="388"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13</w:t>
            </w:r>
          </w:p>
        </w:tc>
        <w:tc>
          <w:tcPr>
            <w:tcW w:w="245"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23</w:t>
            </w:r>
          </w:p>
        </w:tc>
        <w:tc>
          <w:tcPr>
            <w:tcW w:w="387"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237"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387"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24</w:t>
            </w:r>
          </w:p>
        </w:tc>
        <w:tc>
          <w:tcPr>
            <w:tcW w:w="247"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43</w:t>
            </w:r>
          </w:p>
        </w:tc>
      </w:tr>
      <w:tr w:rsidR="00FE5F88" w:rsidRPr="00B76559" w:rsidTr="000E1911">
        <w:trPr>
          <w:cantSplit/>
        </w:trPr>
        <w:tc>
          <w:tcPr>
            <w:tcW w:w="611"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bold-left"/>
              <w:rPr>
                <w:rFonts w:cs="Calibri"/>
                <w:sz w:val="18"/>
                <w:szCs w:val="18"/>
              </w:rPr>
            </w:pPr>
            <w:r w:rsidRPr="00B76559">
              <w:rPr>
                <w:rFonts w:cs="Calibri"/>
                <w:sz w:val="18"/>
                <w:szCs w:val="18"/>
              </w:rPr>
              <w:t>ODT NM</w:t>
            </w:r>
          </w:p>
        </w:tc>
        <w:tc>
          <w:tcPr>
            <w:tcW w:w="29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85</w:t>
            </w:r>
          </w:p>
        </w:tc>
        <w:tc>
          <w:tcPr>
            <w:tcW w:w="532"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2</w:t>
            </w:r>
          </w:p>
        </w:tc>
        <w:tc>
          <w:tcPr>
            <w:tcW w:w="2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2</w:t>
            </w:r>
          </w:p>
        </w:tc>
        <w:tc>
          <w:tcPr>
            <w:tcW w:w="532"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60</w:t>
            </w:r>
          </w:p>
        </w:tc>
        <w:tc>
          <w:tcPr>
            <w:tcW w:w="2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71</w:t>
            </w:r>
          </w:p>
        </w:tc>
        <w:tc>
          <w:tcPr>
            <w:tcW w:w="388"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2</w:t>
            </w:r>
          </w:p>
        </w:tc>
        <w:tc>
          <w:tcPr>
            <w:tcW w:w="2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2</w:t>
            </w:r>
          </w:p>
        </w:tc>
        <w:tc>
          <w:tcPr>
            <w:tcW w:w="388"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245"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387"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237"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387"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21</w:t>
            </w:r>
          </w:p>
        </w:tc>
        <w:tc>
          <w:tcPr>
            <w:tcW w:w="247"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25</w:t>
            </w:r>
          </w:p>
        </w:tc>
      </w:tr>
      <w:tr w:rsidR="00FE5F88" w:rsidRPr="00B76559" w:rsidTr="000E1911">
        <w:trPr>
          <w:cantSplit/>
        </w:trPr>
        <w:tc>
          <w:tcPr>
            <w:tcW w:w="611"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bold-left"/>
              <w:rPr>
                <w:rFonts w:cs="Calibri"/>
                <w:sz w:val="18"/>
                <w:szCs w:val="18"/>
              </w:rPr>
            </w:pPr>
            <w:r w:rsidRPr="00B76559">
              <w:rPr>
                <w:rFonts w:cs="Calibri"/>
                <w:sz w:val="18"/>
                <w:szCs w:val="18"/>
              </w:rPr>
              <w:t>ODT PT</w:t>
            </w:r>
          </w:p>
        </w:tc>
        <w:tc>
          <w:tcPr>
            <w:tcW w:w="29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18</w:t>
            </w:r>
          </w:p>
        </w:tc>
        <w:tc>
          <w:tcPr>
            <w:tcW w:w="532"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2</w:t>
            </w:r>
          </w:p>
        </w:tc>
        <w:tc>
          <w:tcPr>
            <w:tcW w:w="2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11</w:t>
            </w:r>
          </w:p>
        </w:tc>
        <w:tc>
          <w:tcPr>
            <w:tcW w:w="532"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6</w:t>
            </w:r>
          </w:p>
        </w:tc>
        <w:tc>
          <w:tcPr>
            <w:tcW w:w="2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33</w:t>
            </w:r>
          </w:p>
        </w:tc>
        <w:tc>
          <w:tcPr>
            <w:tcW w:w="388"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2</w:t>
            </w:r>
          </w:p>
        </w:tc>
        <w:tc>
          <w:tcPr>
            <w:tcW w:w="2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11</w:t>
            </w:r>
          </w:p>
        </w:tc>
        <w:tc>
          <w:tcPr>
            <w:tcW w:w="388"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4</w:t>
            </w:r>
          </w:p>
        </w:tc>
        <w:tc>
          <w:tcPr>
            <w:tcW w:w="245"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22</w:t>
            </w:r>
          </w:p>
        </w:tc>
        <w:tc>
          <w:tcPr>
            <w:tcW w:w="387"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237"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387"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4</w:t>
            </w:r>
          </w:p>
        </w:tc>
        <w:tc>
          <w:tcPr>
            <w:tcW w:w="247"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22</w:t>
            </w:r>
          </w:p>
        </w:tc>
      </w:tr>
      <w:tr w:rsidR="00FE5F88" w:rsidRPr="00B76559" w:rsidTr="000E1911">
        <w:trPr>
          <w:cantSplit/>
        </w:trPr>
        <w:tc>
          <w:tcPr>
            <w:tcW w:w="611"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bold-left"/>
              <w:rPr>
                <w:rFonts w:cs="Calibri"/>
                <w:sz w:val="18"/>
                <w:szCs w:val="18"/>
              </w:rPr>
            </w:pPr>
            <w:r w:rsidRPr="00B76559">
              <w:rPr>
                <w:rFonts w:cs="Calibri"/>
                <w:sz w:val="18"/>
                <w:szCs w:val="18"/>
              </w:rPr>
              <w:t>ODT SG</w:t>
            </w:r>
          </w:p>
        </w:tc>
        <w:tc>
          <w:tcPr>
            <w:tcW w:w="29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13</w:t>
            </w:r>
          </w:p>
        </w:tc>
        <w:tc>
          <w:tcPr>
            <w:tcW w:w="532"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5</w:t>
            </w:r>
          </w:p>
        </w:tc>
        <w:tc>
          <w:tcPr>
            <w:tcW w:w="2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38</w:t>
            </w:r>
          </w:p>
        </w:tc>
        <w:tc>
          <w:tcPr>
            <w:tcW w:w="532"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3</w:t>
            </w:r>
          </w:p>
        </w:tc>
        <w:tc>
          <w:tcPr>
            <w:tcW w:w="2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23</w:t>
            </w:r>
          </w:p>
        </w:tc>
        <w:tc>
          <w:tcPr>
            <w:tcW w:w="388"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w:t>
            </w:r>
          </w:p>
        </w:tc>
        <w:tc>
          <w:tcPr>
            <w:tcW w:w="2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8</w:t>
            </w:r>
          </w:p>
        </w:tc>
        <w:tc>
          <w:tcPr>
            <w:tcW w:w="388"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3</w:t>
            </w:r>
          </w:p>
        </w:tc>
        <w:tc>
          <w:tcPr>
            <w:tcW w:w="245"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23</w:t>
            </w:r>
          </w:p>
        </w:tc>
        <w:tc>
          <w:tcPr>
            <w:tcW w:w="387"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237"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387"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w:t>
            </w:r>
          </w:p>
        </w:tc>
        <w:tc>
          <w:tcPr>
            <w:tcW w:w="247"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8</w:t>
            </w:r>
          </w:p>
        </w:tc>
      </w:tr>
      <w:tr w:rsidR="00FE5F88" w:rsidRPr="00B76559" w:rsidTr="000E1911">
        <w:trPr>
          <w:cantSplit/>
        </w:trPr>
        <w:tc>
          <w:tcPr>
            <w:tcW w:w="611"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bold-left"/>
              <w:rPr>
                <w:rFonts w:cs="Calibri"/>
                <w:sz w:val="18"/>
                <w:szCs w:val="18"/>
              </w:rPr>
            </w:pPr>
            <w:r w:rsidRPr="00B76559">
              <w:rPr>
                <w:rFonts w:cs="Calibri"/>
                <w:sz w:val="18"/>
                <w:szCs w:val="18"/>
              </w:rPr>
              <w:t>OPP</w:t>
            </w:r>
          </w:p>
        </w:tc>
        <w:tc>
          <w:tcPr>
            <w:tcW w:w="29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532"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2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532"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2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388"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2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388"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245"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387"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237"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387"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247"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r>
      <w:tr w:rsidR="00FE5F88" w:rsidRPr="00B76559" w:rsidTr="000E1911">
        <w:trPr>
          <w:cantSplit/>
        </w:trPr>
        <w:tc>
          <w:tcPr>
            <w:tcW w:w="611" w:type="pct"/>
            <w:tcBorders>
              <w:top w:val="single" w:sz="4" w:space="0" w:color="877850"/>
              <w:bottom w:val="single" w:sz="4" w:space="0" w:color="877850"/>
            </w:tcBorders>
            <w:shd w:val="clear" w:color="auto" w:fill="auto"/>
            <w:vAlign w:val="center"/>
          </w:tcPr>
          <w:p w:rsidR="00FE5F88" w:rsidRPr="00AD12C4" w:rsidRDefault="00FE5F88" w:rsidP="000E1911">
            <w:pPr>
              <w:pStyle w:val="Tabela-vsebina-bold-left"/>
              <w:rPr>
                <w:rFonts w:cs="Calibri"/>
                <w:sz w:val="18"/>
                <w:szCs w:val="18"/>
              </w:rPr>
            </w:pPr>
            <w:r w:rsidRPr="00B76559">
              <w:rPr>
                <w:rFonts w:cs="Calibri"/>
                <w:sz w:val="18"/>
                <w:szCs w:val="18"/>
              </w:rPr>
              <w:t>SDT</w:t>
            </w:r>
            <w:r>
              <w:rPr>
                <w:rFonts w:cs="Calibri"/>
                <w:sz w:val="18"/>
                <w:szCs w:val="18"/>
              </w:rPr>
              <w:t xml:space="preserve"> RS</w:t>
            </w:r>
          </w:p>
        </w:tc>
        <w:tc>
          <w:tcPr>
            <w:tcW w:w="29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4</w:t>
            </w:r>
          </w:p>
        </w:tc>
        <w:tc>
          <w:tcPr>
            <w:tcW w:w="532"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2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532"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2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388"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2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388"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245"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387"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237"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387"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4</w:t>
            </w:r>
          </w:p>
        </w:tc>
        <w:tc>
          <w:tcPr>
            <w:tcW w:w="247"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100</w:t>
            </w:r>
          </w:p>
        </w:tc>
      </w:tr>
      <w:tr w:rsidR="00FE5F88" w:rsidRPr="00B76559" w:rsidTr="000E1911">
        <w:trPr>
          <w:cantSplit/>
        </w:trPr>
        <w:tc>
          <w:tcPr>
            <w:tcW w:w="611" w:type="pct"/>
            <w:tcBorders>
              <w:top w:val="single" w:sz="4" w:space="0" w:color="877850"/>
              <w:bottom w:val="single" w:sz="4" w:space="0" w:color="877850"/>
            </w:tcBorders>
            <w:shd w:val="clear" w:color="auto" w:fill="auto"/>
            <w:vAlign w:val="center"/>
          </w:tcPr>
          <w:p w:rsidR="00FE5F88" w:rsidRPr="00AD12C4" w:rsidRDefault="00FE5F88" w:rsidP="000E1911">
            <w:pPr>
              <w:pStyle w:val="Tabela-vsebina-bold-left"/>
              <w:rPr>
                <w:rFonts w:cs="Calibri"/>
                <w:sz w:val="18"/>
                <w:szCs w:val="18"/>
              </w:rPr>
            </w:pPr>
            <w:r w:rsidRPr="00B76559">
              <w:rPr>
                <w:rFonts w:cs="Calibri"/>
                <w:sz w:val="18"/>
                <w:szCs w:val="18"/>
              </w:rPr>
              <w:t>VDT</w:t>
            </w:r>
            <w:r>
              <w:rPr>
                <w:rFonts w:cs="Calibri"/>
                <w:sz w:val="18"/>
                <w:szCs w:val="18"/>
              </w:rPr>
              <w:t xml:space="preserve"> RS</w:t>
            </w:r>
          </w:p>
        </w:tc>
        <w:tc>
          <w:tcPr>
            <w:tcW w:w="29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532"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2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532"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2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388"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2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388"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245"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387"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237"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387"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247"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r>
      <w:tr w:rsidR="00FE5F88" w:rsidRPr="00B76559" w:rsidTr="000E1911">
        <w:trPr>
          <w:cantSplit/>
        </w:trPr>
        <w:tc>
          <w:tcPr>
            <w:tcW w:w="611"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bold-left"/>
              <w:rPr>
                <w:rFonts w:cs="Calibri"/>
                <w:sz w:val="18"/>
                <w:szCs w:val="18"/>
              </w:rPr>
            </w:pPr>
            <w:r w:rsidRPr="00B76559">
              <w:rPr>
                <w:rFonts w:cs="Calibri"/>
                <w:sz w:val="18"/>
                <w:szCs w:val="18"/>
              </w:rPr>
              <w:t>Skupaj</w:t>
            </w:r>
          </w:p>
        </w:tc>
        <w:tc>
          <w:tcPr>
            <w:tcW w:w="29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b/>
                <w:bCs/>
                <w:sz w:val="18"/>
                <w:szCs w:val="18"/>
              </w:rPr>
            </w:pPr>
            <w:r w:rsidRPr="00B76559">
              <w:rPr>
                <w:rFonts w:cs="Calibri"/>
                <w:b/>
                <w:bCs/>
                <w:sz w:val="18"/>
                <w:szCs w:val="18"/>
              </w:rPr>
              <w:t>854</w:t>
            </w:r>
          </w:p>
        </w:tc>
        <w:tc>
          <w:tcPr>
            <w:tcW w:w="532"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b/>
                <w:bCs/>
                <w:sz w:val="18"/>
                <w:szCs w:val="18"/>
              </w:rPr>
            </w:pPr>
            <w:r w:rsidRPr="00B76559">
              <w:rPr>
                <w:rFonts w:cs="Calibri"/>
                <w:b/>
                <w:bCs/>
                <w:sz w:val="18"/>
                <w:szCs w:val="18"/>
              </w:rPr>
              <w:t>145</w:t>
            </w:r>
          </w:p>
        </w:tc>
        <w:tc>
          <w:tcPr>
            <w:tcW w:w="2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b/>
                <w:bCs/>
                <w:sz w:val="18"/>
                <w:szCs w:val="18"/>
              </w:rPr>
            </w:pPr>
            <w:r w:rsidRPr="00B76559">
              <w:rPr>
                <w:rFonts w:cs="Calibri"/>
                <w:b/>
                <w:bCs/>
                <w:sz w:val="18"/>
                <w:szCs w:val="18"/>
              </w:rPr>
              <w:t>17</w:t>
            </w:r>
          </w:p>
        </w:tc>
        <w:tc>
          <w:tcPr>
            <w:tcW w:w="532"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b/>
                <w:bCs/>
                <w:sz w:val="18"/>
                <w:szCs w:val="18"/>
              </w:rPr>
            </w:pPr>
            <w:r w:rsidRPr="00B76559">
              <w:rPr>
                <w:rFonts w:cs="Calibri"/>
                <w:b/>
                <w:bCs/>
                <w:sz w:val="18"/>
                <w:szCs w:val="18"/>
              </w:rPr>
              <w:t>327</w:t>
            </w:r>
          </w:p>
        </w:tc>
        <w:tc>
          <w:tcPr>
            <w:tcW w:w="2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b/>
                <w:bCs/>
                <w:sz w:val="18"/>
                <w:szCs w:val="18"/>
              </w:rPr>
            </w:pPr>
            <w:r w:rsidRPr="00B76559">
              <w:rPr>
                <w:rFonts w:cs="Calibri"/>
                <w:b/>
                <w:bCs/>
                <w:sz w:val="18"/>
                <w:szCs w:val="18"/>
              </w:rPr>
              <w:t>38</w:t>
            </w:r>
          </w:p>
        </w:tc>
        <w:tc>
          <w:tcPr>
            <w:tcW w:w="388"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b/>
                <w:bCs/>
                <w:sz w:val="18"/>
                <w:szCs w:val="18"/>
              </w:rPr>
            </w:pPr>
            <w:r w:rsidRPr="00B76559">
              <w:rPr>
                <w:rFonts w:cs="Calibri"/>
                <w:b/>
                <w:bCs/>
                <w:sz w:val="18"/>
                <w:szCs w:val="18"/>
              </w:rPr>
              <w:t>21</w:t>
            </w:r>
          </w:p>
        </w:tc>
        <w:tc>
          <w:tcPr>
            <w:tcW w:w="2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b/>
                <w:bCs/>
                <w:sz w:val="18"/>
                <w:szCs w:val="18"/>
              </w:rPr>
            </w:pPr>
            <w:r w:rsidRPr="00B76559">
              <w:rPr>
                <w:rFonts w:cs="Calibri"/>
                <w:b/>
                <w:bCs/>
                <w:sz w:val="18"/>
                <w:szCs w:val="18"/>
              </w:rPr>
              <w:t>2</w:t>
            </w:r>
          </w:p>
        </w:tc>
        <w:tc>
          <w:tcPr>
            <w:tcW w:w="388"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b/>
                <w:bCs/>
                <w:sz w:val="18"/>
                <w:szCs w:val="18"/>
              </w:rPr>
            </w:pPr>
            <w:r w:rsidRPr="00B76559">
              <w:rPr>
                <w:rFonts w:cs="Calibri"/>
                <w:b/>
                <w:bCs/>
                <w:sz w:val="18"/>
                <w:szCs w:val="18"/>
              </w:rPr>
              <w:t>133</w:t>
            </w:r>
          </w:p>
        </w:tc>
        <w:tc>
          <w:tcPr>
            <w:tcW w:w="245"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b/>
                <w:bCs/>
                <w:sz w:val="18"/>
                <w:szCs w:val="18"/>
              </w:rPr>
            </w:pPr>
            <w:r w:rsidRPr="00B76559">
              <w:rPr>
                <w:rFonts w:cs="Calibri"/>
                <w:b/>
                <w:bCs/>
                <w:sz w:val="18"/>
                <w:szCs w:val="18"/>
              </w:rPr>
              <w:t>16</w:t>
            </w:r>
          </w:p>
        </w:tc>
        <w:tc>
          <w:tcPr>
            <w:tcW w:w="387"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b/>
                <w:bCs/>
                <w:sz w:val="18"/>
                <w:szCs w:val="18"/>
              </w:rPr>
            </w:pPr>
            <w:r w:rsidRPr="00B76559">
              <w:rPr>
                <w:rFonts w:cs="Calibri"/>
                <w:b/>
                <w:bCs/>
                <w:sz w:val="18"/>
                <w:szCs w:val="18"/>
              </w:rPr>
              <w:t>0</w:t>
            </w:r>
          </w:p>
        </w:tc>
        <w:tc>
          <w:tcPr>
            <w:tcW w:w="237"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b/>
                <w:bCs/>
                <w:sz w:val="18"/>
                <w:szCs w:val="18"/>
              </w:rPr>
            </w:pPr>
            <w:r w:rsidRPr="00B76559">
              <w:rPr>
                <w:rFonts w:cs="Calibri"/>
                <w:b/>
                <w:bCs/>
                <w:sz w:val="18"/>
                <w:szCs w:val="18"/>
              </w:rPr>
              <w:t>0</w:t>
            </w:r>
          </w:p>
        </w:tc>
        <w:tc>
          <w:tcPr>
            <w:tcW w:w="387"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b/>
                <w:bCs/>
                <w:sz w:val="18"/>
                <w:szCs w:val="18"/>
              </w:rPr>
            </w:pPr>
            <w:r w:rsidRPr="00B76559">
              <w:rPr>
                <w:rFonts w:cs="Calibri"/>
                <w:b/>
                <w:bCs/>
                <w:sz w:val="18"/>
                <w:szCs w:val="18"/>
              </w:rPr>
              <w:t>228</w:t>
            </w:r>
          </w:p>
        </w:tc>
        <w:tc>
          <w:tcPr>
            <w:tcW w:w="247"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b/>
                <w:bCs/>
                <w:sz w:val="18"/>
                <w:szCs w:val="18"/>
              </w:rPr>
            </w:pPr>
            <w:r w:rsidRPr="00B76559">
              <w:rPr>
                <w:rFonts w:cs="Calibri"/>
                <w:b/>
                <w:bCs/>
                <w:sz w:val="18"/>
                <w:szCs w:val="18"/>
              </w:rPr>
              <w:t>27</w:t>
            </w:r>
          </w:p>
        </w:tc>
      </w:tr>
      <w:tr w:rsidR="00FE5F88" w:rsidRPr="00B76559" w:rsidTr="000E1911">
        <w:trPr>
          <w:cantSplit/>
        </w:trPr>
        <w:tc>
          <w:tcPr>
            <w:tcW w:w="611"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bold-left"/>
              <w:rPr>
                <w:rFonts w:cs="Calibri"/>
                <w:sz w:val="18"/>
                <w:szCs w:val="18"/>
              </w:rPr>
            </w:pPr>
            <w:r w:rsidRPr="00B76559">
              <w:rPr>
                <w:rFonts w:cs="Calibri"/>
                <w:sz w:val="18"/>
                <w:szCs w:val="18"/>
              </w:rPr>
              <w:t>Poprečje ODT</w:t>
            </w:r>
          </w:p>
        </w:tc>
        <w:tc>
          <w:tcPr>
            <w:tcW w:w="29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77</w:t>
            </w:r>
          </w:p>
        </w:tc>
        <w:tc>
          <w:tcPr>
            <w:tcW w:w="532"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13</w:t>
            </w:r>
          </w:p>
        </w:tc>
        <w:tc>
          <w:tcPr>
            <w:tcW w:w="2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20</w:t>
            </w:r>
          </w:p>
        </w:tc>
        <w:tc>
          <w:tcPr>
            <w:tcW w:w="532"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30</w:t>
            </w:r>
          </w:p>
        </w:tc>
        <w:tc>
          <w:tcPr>
            <w:tcW w:w="2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32</w:t>
            </w:r>
          </w:p>
        </w:tc>
        <w:tc>
          <w:tcPr>
            <w:tcW w:w="388"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2</w:t>
            </w:r>
          </w:p>
        </w:tc>
        <w:tc>
          <w:tcPr>
            <w:tcW w:w="2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4</w:t>
            </w:r>
          </w:p>
        </w:tc>
        <w:tc>
          <w:tcPr>
            <w:tcW w:w="388"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12</w:t>
            </w:r>
          </w:p>
        </w:tc>
        <w:tc>
          <w:tcPr>
            <w:tcW w:w="245"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17</w:t>
            </w:r>
          </w:p>
        </w:tc>
        <w:tc>
          <w:tcPr>
            <w:tcW w:w="387"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237"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387"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20</w:t>
            </w:r>
          </w:p>
        </w:tc>
        <w:tc>
          <w:tcPr>
            <w:tcW w:w="247"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27</w:t>
            </w:r>
          </w:p>
        </w:tc>
      </w:tr>
      <w:tr w:rsidR="00FE5F88" w:rsidRPr="00B76559" w:rsidTr="000E1911">
        <w:trPr>
          <w:cantSplit/>
        </w:trPr>
        <w:tc>
          <w:tcPr>
            <w:tcW w:w="611" w:type="pct"/>
            <w:tcBorders>
              <w:top w:val="single" w:sz="4" w:space="0" w:color="877850"/>
              <w:bottom w:val="single" w:sz="12" w:space="0" w:color="877850"/>
            </w:tcBorders>
            <w:shd w:val="clear" w:color="auto" w:fill="auto"/>
            <w:vAlign w:val="center"/>
          </w:tcPr>
          <w:p w:rsidR="00FE5F88" w:rsidRPr="00B76559" w:rsidRDefault="00FE5F88" w:rsidP="000E1911">
            <w:pPr>
              <w:pStyle w:val="Tabela-vsebina-bold-left"/>
              <w:rPr>
                <w:rFonts w:cs="Calibri"/>
                <w:sz w:val="18"/>
                <w:szCs w:val="18"/>
              </w:rPr>
            </w:pPr>
            <w:r>
              <w:rPr>
                <w:rFonts w:cs="Calibri"/>
                <w:sz w:val="18"/>
                <w:szCs w:val="18"/>
              </w:rPr>
              <w:t>Poprečje ODT OPP SDT RS</w:t>
            </w:r>
          </w:p>
        </w:tc>
        <w:tc>
          <w:tcPr>
            <w:tcW w:w="299" w:type="pct"/>
            <w:tcBorders>
              <w:top w:val="single" w:sz="4" w:space="0" w:color="877850"/>
              <w:bottom w:val="single" w:sz="12"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66</w:t>
            </w:r>
          </w:p>
        </w:tc>
        <w:tc>
          <w:tcPr>
            <w:tcW w:w="532" w:type="pct"/>
            <w:tcBorders>
              <w:top w:val="single" w:sz="4" w:space="0" w:color="877850"/>
              <w:bottom w:val="single" w:sz="12"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11</w:t>
            </w:r>
          </w:p>
        </w:tc>
        <w:tc>
          <w:tcPr>
            <w:tcW w:w="249" w:type="pct"/>
            <w:tcBorders>
              <w:top w:val="single" w:sz="4" w:space="0" w:color="877850"/>
              <w:bottom w:val="single" w:sz="12"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17</w:t>
            </w:r>
          </w:p>
        </w:tc>
        <w:tc>
          <w:tcPr>
            <w:tcW w:w="532" w:type="pct"/>
            <w:tcBorders>
              <w:top w:val="single" w:sz="4" w:space="0" w:color="877850"/>
              <w:bottom w:val="single" w:sz="12"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25</w:t>
            </w:r>
          </w:p>
        </w:tc>
        <w:tc>
          <w:tcPr>
            <w:tcW w:w="249" w:type="pct"/>
            <w:tcBorders>
              <w:top w:val="single" w:sz="4" w:space="0" w:color="877850"/>
              <w:bottom w:val="single" w:sz="12"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27</w:t>
            </w:r>
          </w:p>
        </w:tc>
        <w:tc>
          <w:tcPr>
            <w:tcW w:w="388" w:type="pct"/>
            <w:tcBorders>
              <w:top w:val="single" w:sz="4" w:space="0" w:color="877850"/>
              <w:bottom w:val="single" w:sz="12"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2</w:t>
            </w:r>
          </w:p>
        </w:tc>
        <w:tc>
          <w:tcPr>
            <w:tcW w:w="249" w:type="pct"/>
            <w:tcBorders>
              <w:top w:val="single" w:sz="4" w:space="0" w:color="877850"/>
              <w:bottom w:val="single" w:sz="12"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3</w:t>
            </w:r>
          </w:p>
        </w:tc>
        <w:tc>
          <w:tcPr>
            <w:tcW w:w="388" w:type="pct"/>
            <w:tcBorders>
              <w:top w:val="single" w:sz="4" w:space="0" w:color="877850"/>
              <w:bottom w:val="single" w:sz="12"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10</w:t>
            </w:r>
          </w:p>
        </w:tc>
        <w:tc>
          <w:tcPr>
            <w:tcW w:w="245" w:type="pct"/>
            <w:tcBorders>
              <w:top w:val="single" w:sz="4" w:space="0" w:color="877850"/>
              <w:bottom w:val="single" w:sz="12"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15</w:t>
            </w:r>
          </w:p>
        </w:tc>
        <w:tc>
          <w:tcPr>
            <w:tcW w:w="387" w:type="pct"/>
            <w:tcBorders>
              <w:top w:val="single" w:sz="4" w:space="0" w:color="877850"/>
              <w:bottom w:val="single" w:sz="12"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237" w:type="pct"/>
            <w:tcBorders>
              <w:top w:val="single" w:sz="4" w:space="0" w:color="877850"/>
              <w:bottom w:val="single" w:sz="12"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387" w:type="pct"/>
            <w:tcBorders>
              <w:top w:val="single" w:sz="4" w:space="0" w:color="877850"/>
              <w:bottom w:val="single" w:sz="12"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18</w:t>
            </w:r>
          </w:p>
        </w:tc>
        <w:tc>
          <w:tcPr>
            <w:tcW w:w="247" w:type="pct"/>
            <w:tcBorders>
              <w:top w:val="single" w:sz="4" w:space="0" w:color="877850"/>
              <w:bottom w:val="single" w:sz="12"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30</w:t>
            </w:r>
          </w:p>
        </w:tc>
      </w:tr>
      <w:bookmarkEnd w:id="17"/>
    </w:tbl>
    <w:p w:rsidR="00FE5F88" w:rsidRPr="00FC0194" w:rsidRDefault="00FE5F88" w:rsidP="00FE5F88">
      <w:pPr>
        <w:pStyle w:val="Zatabelo"/>
      </w:pPr>
    </w:p>
    <w:p w:rsidR="00FE5F88" w:rsidRPr="00AB09A1" w:rsidRDefault="00FE5F88" w:rsidP="00FE5F88">
      <w:pPr>
        <w:pStyle w:val="Tabela-naslov"/>
      </w:pPr>
      <w:bookmarkStart w:id="18" w:name="_Toc502925399"/>
      <w:bookmarkStart w:id="19" w:name="_Toc504122497"/>
      <w:bookmarkStart w:id="20" w:name="_Toc37710498"/>
      <w:r w:rsidRPr="00AB09A1">
        <w:t>Tabela 11(po): Zavrženje ovadb zoper pravne osebe</w:t>
      </w:r>
      <w:bookmarkEnd w:id="18"/>
      <w:bookmarkEnd w:id="19"/>
      <w:bookmarkEnd w:id="20"/>
    </w:p>
    <w:tbl>
      <w:tblPr>
        <w:tblW w:w="5000" w:type="pct"/>
        <w:tblCellMar>
          <w:top w:w="28" w:type="dxa"/>
          <w:left w:w="57" w:type="dxa"/>
          <w:bottom w:w="28" w:type="dxa"/>
          <w:right w:w="57" w:type="dxa"/>
        </w:tblCellMar>
        <w:tblLook w:val="0000" w:firstRow="0" w:lastRow="0" w:firstColumn="0" w:lastColumn="0" w:noHBand="0" w:noVBand="0"/>
      </w:tblPr>
      <w:tblGrid>
        <w:gridCol w:w="772"/>
        <w:gridCol w:w="788"/>
        <w:gridCol w:w="1144"/>
        <w:gridCol w:w="472"/>
        <w:gridCol w:w="1181"/>
        <w:gridCol w:w="438"/>
        <w:gridCol w:w="1104"/>
        <w:gridCol w:w="550"/>
        <w:gridCol w:w="616"/>
        <w:gridCol w:w="483"/>
        <w:gridCol w:w="636"/>
        <w:gridCol w:w="463"/>
      </w:tblGrid>
      <w:tr w:rsidR="00FE5F88" w:rsidRPr="009D1835" w:rsidTr="000E1911">
        <w:trPr>
          <w:cantSplit/>
          <w:trHeight w:val="1091"/>
          <w:tblHeader/>
        </w:trPr>
        <w:tc>
          <w:tcPr>
            <w:tcW w:w="449" w:type="pct"/>
            <w:tcBorders>
              <w:right w:val="single" w:sz="8" w:space="0" w:color="FFFFFF"/>
            </w:tcBorders>
            <w:shd w:val="clear" w:color="auto" w:fill="877850"/>
            <w:vAlign w:val="center"/>
          </w:tcPr>
          <w:p w:rsidR="00FE5F88" w:rsidRPr="009D1835" w:rsidRDefault="00FE5F88" w:rsidP="000E1911">
            <w:pPr>
              <w:pStyle w:val="Tabela-vsebina-bold-center"/>
              <w:spacing w:line="160" w:lineRule="exact"/>
              <w:rPr>
                <w:rFonts w:cs="Calibri"/>
                <w:color w:val="FFFFFF"/>
                <w:sz w:val="18"/>
                <w:szCs w:val="18"/>
              </w:rPr>
            </w:pPr>
            <w:bookmarkStart w:id="21" w:name="LP11po"/>
            <w:r w:rsidRPr="009D1835">
              <w:rPr>
                <w:rFonts w:cs="Calibri"/>
                <w:color w:val="FFFFFF"/>
                <w:sz w:val="18"/>
                <w:szCs w:val="18"/>
              </w:rPr>
              <w:t>Državno tožilstvo</w:t>
            </w:r>
          </w:p>
        </w:tc>
        <w:tc>
          <w:tcPr>
            <w:tcW w:w="449" w:type="pct"/>
            <w:tcBorders>
              <w:left w:val="single" w:sz="8" w:space="0" w:color="FFFFFF"/>
              <w:right w:val="single" w:sz="8" w:space="0" w:color="FFFFFF"/>
            </w:tcBorders>
            <w:shd w:val="clear" w:color="auto" w:fill="877850"/>
            <w:vAlign w:val="center"/>
          </w:tcPr>
          <w:p w:rsidR="00FE5F88" w:rsidRPr="009D1835" w:rsidRDefault="00FE5F88" w:rsidP="000E1911">
            <w:pPr>
              <w:pStyle w:val="Tabela-vsebina-bold-center"/>
              <w:spacing w:line="160" w:lineRule="exact"/>
              <w:rPr>
                <w:rFonts w:cs="Calibri"/>
                <w:color w:val="FFFFFF"/>
                <w:sz w:val="18"/>
                <w:szCs w:val="18"/>
              </w:rPr>
            </w:pPr>
            <w:r w:rsidRPr="009D1835">
              <w:rPr>
                <w:rFonts w:cs="Calibri"/>
                <w:color w:val="FFFFFF"/>
                <w:sz w:val="18"/>
                <w:szCs w:val="18"/>
              </w:rPr>
              <w:t>Zavržene ovadbe skupaj</w:t>
            </w:r>
          </w:p>
        </w:tc>
        <w:tc>
          <w:tcPr>
            <w:tcW w:w="641" w:type="pct"/>
            <w:tcBorders>
              <w:left w:val="single" w:sz="8" w:space="0" w:color="FFFFFF"/>
              <w:right w:val="single" w:sz="8" w:space="0" w:color="FFFFFF"/>
            </w:tcBorders>
            <w:shd w:val="clear" w:color="auto" w:fill="877850"/>
            <w:vAlign w:val="center"/>
          </w:tcPr>
          <w:p w:rsidR="00FE5F88" w:rsidRPr="009D1835" w:rsidRDefault="00FE5F88" w:rsidP="000E1911">
            <w:pPr>
              <w:pStyle w:val="Tabela-vsebina-bold-center"/>
              <w:spacing w:line="160" w:lineRule="exact"/>
              <w:rPr>
                <w:rFonts w:cs="Calibri"/>
                <w:color w:val="FFFFFF"/>
                <w:sz w:val="18"/>
                <w:szCs w:val="18"/>
              </w:rPr>
            </w:pPr>
            <w:r w:rsidRPr="009D1835">
              <w:rPr>
                <w:rFonts w:cs="Calibri"/>
                <w:color w:val="FFFFFF"/>
                <w:sz w:val="18"/>
                <w:szCs w:val="18"/>
              </w:rPr>
              <w:t>Zavrženja po poravnavanju ali odloženem pregonu</w:t>
            </w:r>
          </w:p>
        </w:tc>
        <w:tc>
          <w:tcPr>
            <w:tcW w:w="276" w:type="pct"/>
            <w:tcBorders>
              <w:left w:val="single" w:sz="8" w:space="0" w:color="FFFFFF"/>
              <w:right w:val="single" w:sz="8" w:space="0" w:color="FFFFFF"/>
            </w:tcBorders>
            <w:shd w:val="clear" w:color="auto" w:fill="877850"/>
            <w:textDirection w:val="tbRl"/>
            <w:vAlign w:val="center"/>
          </w:tcPr>
          <w:p w:rsidR="00FE5F88" w:rsidRPr="009D1835" w:rsidRDefault="00FE5F88" w:rsidP="000E1911">
            <w:pPr>
              <w:pStyle w:val="Tabela-vsebina-bold-center"/>
              <w:spacing w:line="160" w:lineRule="exact"/>
              <w:rPr>
                <w:rFonts w:cs="Calibri"/>
                <w:color w:val="FFFFFF"/>
                <w:sz w:val="18"/>
                <w:szCs w:val="18"/>
              </w:rPr>
            </w:pPr>
            <w:r w:rsidRPr="009D1835">
              <w:rPr>
                <w:rFonts w:cs="Calibri"/>
                <w:color w:val="FFFFFF"/>
                <w:sz w:val="18"/>
                <w:szCs w:val="18"/>
              </w:rPr>
              <w:t>Odstotek od zavrženih</w:t>
            </w:r>
          </w:p>
        </w:tc>
        <w:tc>
          <w:tcPr>
            <w:tcW w:w="686" w:type="pct"/>
            <w:tcBorders>
              <w:left w:val="single" w:sz="8" w:space="0" w:color="FFFFFF"/>
              <w:right w:val="single" w:sz="8" w:space="0" w:color="FFFFFF"/>
            </w:tcBorders>
            <w:shd w:val="clear" w:color="auto" w:fill="877850"/>
            <w:vAlign w:val="center"/>
          </w:tcPr>
          <w:p w:rsidR="00FE5F88" w:rsidRPr="009D1835" w:rsidRDefault="00FE5F88" w:rsidP="000E1911">
            <w:pPr>
              <w:pStyle w:val="Tabela-vsebina-bold-center"/>
              <w:spacing w:line="160" w:lineRule="exact"/>
              <w:rPr>
                <w:rFonts w:cs="Calibri"/>
                <w:color w:val="FFFFFF"/>
                <w:sz w:val="18"/>
                <w:szCs w:val="18"/>
              </w:rPr>
            </w:pPr>
            <w:r w:rsidRPr="009D1835">
              <w:rPr>
                <w:rFonts w:cs="Calibri"/>
                <w:color w:val="FFFFFF"/>
                <w:sz w:val="18"/>
                <w:szCs w:val="18"/>
              </w:rPr>
              <w:t>Zavrženja zaradi majhnega pomena in načela sorazmernosti</w:t>
            </w:r>
          </w:p>
        </w:tc>
        <w:tc>
          <w:tcPr>
            <w:tcW w:w="256" w:type="pct"/>
            <w:tcBorders>
              <w:left w:val="single" w:sz="8" w:space="0" w:color="FFFFFF"/>
              <w:right w:val="single" w:sz="8" w:space="0" w:color="FFFFFF"/>
            </w:tcBorders>
            <w:shd w:val="clear" w:color="auto" w:fill="877850"/>
            <w:textDirection w:val="tbRl"/>
            <w:vAlign w:val="center"/>
          </w:tcPr>
          <w:p w:rsidR="00FE5F88" w:rsidRPr="009D1835" w:rsidRDefault="00FE5F88" w:rsidP="000E1911">
            <w:pPr>
              <w:pStyle w:val="Tabela-vsebina-bold-center"/>
              <w:spacing w:line="160" w:lineRule="exact"/>
              <w:rPr>
                <w:rFonts w:cs="Calibri"/>
                <w:color w:val="FFFFFF"/>
                <w:sz w:val="18"/>
                <w:szCs w:val="18"/>
              </w:rPr>
            </w:pPr>
            <w:r w:rsidRPr="009D1835">
              <w:rPr>
                <w:rFonts w:cs="Calibri"/>
                <w:color w:val="FFFFFF"/>
                <w:sz w:val="18"/>
                <w:szCs w:val="18"/>
              </w:rPr>
              <w:t>Odstotek od zavrženih</w:t>
            </w:r>
          </w:p>
        </w:tc>
        <w:tc>
          <w:tcPr>
            <w:tcW w:w="641" w:type="pct"/>
            <w:tcBorders>
              <w:left w:val="single" w:sz="8" w:space="0" w:color="FFFFFF"/>
              <w:right w:val="single" w:sz="8" w:space="0" w:color="FFFFFF"/>
            </w:tcBorders>
            <w:shd w:val="clear" w:color="auto" w:fill="877850"/>
            <w:vAlign w:val="center"/>
          </w:tcPr>
          <w:p w:rsidR="00FE5F88" w:rsidRPr="009D1835" w:rsidRDefault="00FE5F88" w:rsidP="000E1911">
            <w:pPr>
              <w:pStyle w:val="Tabela-vsebina-bold-center"/>
              <w:spacing w:line="160" w:lineRule="exact"/>
              <w:rPr>
                <w:rFonts w:cs="Calibri"/>
                <w:color w:val="FFFFFF"/>
                <w:sz w:val="18"/>
                <w:szCs w:val="18"/>
              </w:rPr>
            </w:pPr>
            <w:r w:rsidRPr="009D1835">
              <w:rPr>
                <w:rFonts w:cs="Calibri"/>
                <w:color w:val="FFFFFF"/>
                <w:sz w:val="18"/>
                <w:szCs w:val="18"/>
              </w:rPr>
              <w:t>Zavrženja zaradi umika predloga oškodovanca</w:t>
            </w:r>
          </w:p>
        </w:tc>
        <w:tc>
          <w:tcPr>
            <w:tcW w:w="321" w:type="pct"/>
            <w:tcBorders>
              <w:left w:val="single" w:sz="8" w:space="0" w:color="FFFFFF"/>
              <w:right w:val="single" w:sz="8" w:space="0" w:color="FFFFFF"/>
            </w:tcBorders>
            <w:shd w:val="clear" w:color="auto" w:fill="877850"/>
            <w:textDirection w:val="tbRl"/>
            <w:vAlign w:val="center"/>
          </w:tcPr>
          <w:p w:rsidR="00FE5F88" w:rsidRPr="009D1835" w:rsidRDefault="00FE5F88" w:rsidP="000E1911">
            <w:pPr>
              <w:pStyle w:val="Tabela-vsebina-bold-center"/>
              <w:spacing w:line="160" w:lineRule="exact"/>
              <w:rPr>
                <w:rFonts w:cs="Calibri"/>
                <w:color w:val="FFFFFF"/>
                <w:sz w:val="18"/>
                <w:szCs w:val="18"/>
              </w:rPr>
            </w:pPr>
            <w:r w:rsidRPr="009D1835">
              <w:rPr>
                <w:rFonts w:cs="Calibri"/>
                <w:color w:val="FFFFFF"/>
                <w:sz w:val="18"/>
                <w:szCs w:val="18"/>
              </w:rPr>
              <w:t>Odstotek od zavrženih</w:t>
            </w:r>
          </w:p>
        </w:tc>
        <w:tc>
          <w:tcPr>
            <w:tcW w:w="359" w:type="pct"/>
            <w:tcBorders>
              <w:left w:val="single" w:sz="8" w:space="0" w:color="FFFFFF"/>
              <w:right w:val="single" w:sz="8" w:space="0" w:color="FFFFFF"/>
            </w:tcBorders>
            <w:shd w:val="clear" w:color="auto" w:fill="877850"/>
            <w:textDirection w:val="tbRl"/>
            <w:vAlign w:val="center"/>
          </w:tcPr>
          <w:p w:rsidR="00FE5F88" w:rsidRPr="009D1835" w:rsidRDefault="00FE5F88" w:rsidP="000E1911">
            <w:pPr>
              <w:pStyle w:val="Tabela-vsebina-bold-center"/>
              <w:spacing w:line="160" w:lineRule="exact"/>
              <w:rPr>
                <w:rFonts w:cs="Calibri"/>
                <w:color w:val="FFFFFF"/>
                <w:sz w:val="18"/>
                <w:szCs w:val="18"/>
              </w:rPr>
            </w:pPr>
            <w:r w:rsidRPr="009D1835">
              <w:rPr>
                <w:rFonts w:cs="Calibri"/>
                <w:color w:val="FFFFFF"/>
                <w:sz w:val="18"/>
                <w:szCs w:val="18"/>
              </w:rPr>
              <w:t>Zavrženo zaradi zastaranja</w:t>
            </w:r>
          </w:p>
        </w:tc>
        <w:tc>
          <w:tcPr>
            <w:tcW w:w="282" w:type="pct"/>
            <w:tcBorders>
              <w:left w:val="single" w:sz="8" w:space="0" w:color="FFFFFF"/>
              <w:right w:val="single" w:sz="8" w:space="0" w:color="FFFFFF"/>
            </w:tcBorders>
            <w:shd w:val="clear" w:color="auto" w:fill="877850"/>
            <w:textDirection w:val="tbRl"/>
            <w:vAlign w:val="center"/>
          </w:tcPr>
          <w:p w:rsidR="00FE5F88" w:rsidRPr="009D1835" w:rsidRDefault="00FE5F88" w:rsidP="000E1911">
            <w:pPr>
              <w:pStyle w:val="Tabela-vsebina-bold-center"/>
              <w:spacing w:line="160" w:lineRule="exact"/>
              <w:rPr>
                <w:rFonts w:cs="Calibri"/>
                <w:color w:val="FFFFFF"/>
                <w:sz w:val="18"/>
                <w:szCs w:val="18"/>
              </w:rPr>
            </w:pPr>
            <w:r w:rsidRPr="009D1835">
              <w:rPr>
                <w:rFonts w:cs="Calibri"/>
                <w:color w:val="FFFFFF"/>
                <w:sz w:val="18"/>
                <w:szCs w:val="18"/>
              </w:rPr>
              <w:t>Odstotek od zavrženih</w:t>
            </w:r>
          </w:p>
        </w:tc>
        <w:tc>
          <w:tcPr>
            <w:tcW w:w="370" w:type="pct"/>
            <w:tcBorders>
              <w:left w:val="single" w:sz="8" w:space="0" w:color="FFFFFF"/>
              <w:right w:val="single" w:sz="8" w:space="0" w:color="FFFFFF"/>
            </w:tcBorders>
            <w:shd w:val="clear" w:color="auto" w:fill="877850"/>
            <w:textDirection w:val="tbRl"/>
            <w:vAlign w:val="center"/>
          </w:tcPr>
          <w:p w:rsidR="00FE5F88" w:rsidRPr="009D1835" w:rsidRDefault="00FE5F88" w:rsidP="000E1911">
            <w:pPr>
              <w:pStyle w:val="Tabela-vsebina-bold-center"/>
              <w:spacing w:line="160" w:lineRule="exact"/>
              <w:rPr>
                <w:rFonts w:cs="Calibri"/>
                <w:color w:val="FFFFFF"/>
                <w:sz w:val="18"/>
                <w:szCs w:val="18"/>
              </w:rPr>
            </w:pPr>
            <w:r w:rsidRPr="009D1835">
              <w:rPr>
                <w:rFonts w:cs="Calibri"/>
                <w:color w:val="FFFFFF"/>
                <w:sz w:val="18"/>
                <w:szCs w:val="18"/>
              </w:rPr>
              <w:t>Zavrženo iz drugih razlogov</w:t>
            </w:r>
          </w:p>
        </w:tc>
        <w:tc>
          <w:tcPr>
            <w:tcW w:w="270" w:type="pct"/>
            <w:tcBorders>
              <w:left w:val="single" w:sz="8" w:space="0" w:color="FFFFFF"/>
            </w:tcBorders>
            <w:shd w:val="clear" w:color="auto" w:fill="877850"/>
            <w:textDirection w:val="tbRl"/>
            <w:vAlign w:val="center"/>
          </w:tcPr>
          <w:p w:rsidR="00FE5F88" w:rsidRPr="009D1835" w:rsidRDefault="00FE5F88" w:rsidP="000E1911">
            <w:pPr>
              <w:pStyle w:val="Tabela-vsebina-bold-center"/>
              <w:spacing w:line="160" w:lineRule="exact"/>
              <w:rPr>
                <w:rFonts w:cs="Calibri"/>
                <w:color w:val="FFFFFF"/>
                <w:sz w:val="18"/>
                <w:szCs w:val="18"/>
              </w:rPr>
            </w:pPr>
            <w:r w:rsidRPr="009D1835">
              <w:rPr>
                <w:rFonts w:cs="Calibri"/>
                <w:color w:val="FFFFFF"/>
                <w:sz w:val="18"/>
                <w:szCs w:val="18"/>
              </w:rPr>
              <w:t>Odstotek od zavrženih</w:t>
            </w:r>
          </w:p>
        </w:tc>
      </w:tr>
      <w:tr w:rsidR="00FE5F88" w:rsidRPr="009D1835" w:rsidTr="000E1911">
        <w:trPr>
          <w:cantSplit/>
        </w:trPr>
        <w:tc>
          <w:tcPr>
            <w:tcW w:w="449" w:type="pct"/>
            <w:tcBorders>
              <w:bottom w:val="single" w:sz="4" w:space="0" w:color="877850"/>
            </w:tcBorders>
            <w:shd w:val="clear" w:color="auto" w:fill="auto"/>
            <w:vAlign w:val="center"/>
          </w:tcPr>
          <w:p w:rsidR="00FE5F88" w:rsidRPr="009D1835" w:rsidRDefault="00FE5F88" w:rsidP="000E1911">
            <w:pPr>
              <w:pStyle w:val="Tabela-vsebina-bold-left"/>
              <w:rPr>
                <w:rFonts w:cs="Calibri"/>
                <w:sz w:val="18"/>
                <w:szCs w:val="18"/>
              </w:rPr>
            </w:pPr>
            <w:r w:rsidRPr="009D1835">
              <w:rPr>
                <w:rFonts w:cs="Calibri"/>
                <w:sz w:val="18"/>
                <w:szCs w:val="18"/>
              </w:rPr>
              <w:t>ODT CE</w:t>
            </w:r>
          </w:p>
        </w:tc>
        <w:tc>
          <w:tcPr>
            <w:tcW w:w="449" w:type="pct"/>
            <w:tcBorders>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137</w:t>
            </w:r>
          </w:p>
        </w:tc>
        <w:tc>
          <w:tcPr>
            <w:tcW w:w="641" w:type="pct"/>
            <w:tcBorders>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5</w:t>
            </w:r>
          </w:p>
        </w:tc>
        <w:tc>
          <w:tcPr>
            <w:tcW w:w="276" w:type="pct"/>
            <w:tcBorders>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4</w:t>
            </w:r>
          </w:p>
        </w:tc>
        <w:tc>
          <w:tcPr>
            <w:tcW w:w="686" w:type="pct"/>
            <w:tcBorders>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31</w:t>
            </w:r>
          </w:p>
        </w:tc>
        <w:tc>
          <w:tcPr>
            <w:tcW w:w="256" w:type="pct"/>
            <w:tcBorders>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23</w:t>
            </w:r>
          </w:p>
        </w:tc>
        <w:tc>
          <w:tcPr>
            <w:tcW w:w="641" w:type="pct"/>
            <w:tcBorders>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1</w:t>
            </w:r>
          </w:p>
        </w:tc>
        <w:tc>
          <w:tcPr>
            <w:tcW w:w="321" w:type="pct"/>
            <w:tcBorders>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1</w:t>
            </w:r>
          </w:p>
        </w:tc>
        <w:tc>
          <w:tcPr>
            <w:tcW w:w="359" w:type="pct"/>
            <w:tcBorders>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0</w:t>
            </w:r>
          </w:p>
        </w:tc>
        <w:tc>
          <w:tcPr>
            <w:tcW w:w="282" w:type="pct"/>
            <w:tcBorders>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0</w:t>
            </w:r>
          </w:p>
        </w:tc>
        <w:tc>
          <w:tcPr>
            <w:tcW w:w="370" w:type="pct"/>
            <w:tcBorders>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100</w:t>
            </w:r>
          </w:p>
        </w:tc>
        <w:tc>
          <w:tcPr>
            <w:tcW w:w="270" w:type="pct"/>
            <w:tcBorders>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73</w:t>
            </w:r>
          </w:p>
        </w:tc>
      </w:tr>
      <w:tr w:rsidR="00FE5F88" w:rsidRPr="009D1835" w:rsidTr="000E1911">
        <w:trPr>
          <w:cantSplit/>
        </w:trPr>
        <w:tc>
          <w:tcPr>
            <w:tcW w:w="449"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bold-left"/>
              <w:rPr>
                <w:rFonts w:cs="Calibri"/>
                <w:sz w:val="18"/>
                <w:szCs w:val="18"/>
              </w:rPr>
            </w:pPr>
            <w:r w:rsidRPr="009D1835">
              <w:rPr>
                <w:rFonts w:cs="Calibri"/>
                <w:sz w:val="18"/>
                <w:szCs w:val="18"/>
              </w:rPr>
              <w:t>ODT KK</w:t>
            </w:r>
          </w:p>
        </w:tc>
        <w:tc>
          <w:tcPr>
            <w:tcW w:w="449"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44</w:t>
            </w:r>
          </w:p>
        </w:tc>
        <w:tc>
          <w:tcPr>
            <w:tcW w:w="641"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3</w:t>
            </w:r>
          </w:p>
        </w:tc>
        <w:tc>
          <w:tcPr>
            <w:tcW w:w="276"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7</w:t>
            </w:r>
          </w:p>
        </w:tc>
        <w:tc>
          <w:tcPr>
            <w:tcW w:w="686"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8</w:t>
            </w:r>
          </w:p>
        </w:tc>
        <w:tc>
          <w:tcPr>
            <w:tcW w:w="256"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18</w:t>
            </w:r>
          </w:p>
        </w:tc>
        <w:tc>
          <w:tcPr>
            <w:tcW w:w="641"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1</w:t>
            </w:r>
          </w:p>
        </w:tc>
        <w:tc>
          <w:tcPr>
            <w:tcW w:w="321"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2</w:t>
            </w:r>
          </w:p>
        </w:tc>
        <w:tc>
          <w:tcPr>
            <w:tcW w:w="359"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0</w:t>
            </w:r>
          </w:p>
        </w:tc>
        <w:tc>
          <w:tcPr>
            <w:tcW w:w="282"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0</w:t>
            </w:r>
          </w:p>
        </w:tc>
        <w:tc>
          <w:tcPr>
            <w:tcW w:w="370"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32</w:t>
            </w:r>
          </w:p>
        </w:tc>
        <w:tc>
          <w:tcPr>
            <w:tcW w:w="270"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73</w:t>
            </w:r>
          </w:p>
        </w:tc>
      </w:tr>
      <w:tr w:rsidR="00FE5F88" w:rsidRPr="009D1835" w:rsidTr="000E1911">
        <w:trPr>
          <w:cantSplit/>
        </w:trPr>
        <w:tc>
          <w:tcPr>
            <w:tcW w:w="449"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bold-left"/>
              <w:rPr>
                <w:rFonts w:cs="Calibri"/>
                <w:sz w:val="18"/>
                <w:szCs w:val="18"/>
              </w:rPr>
            </w:pPr>
            <w:r w:rsidRPr="009D1835">
              <w:rPr>
                <w:rFonts w:cs="Calibri"/>
                <w:sz w:val="18"/>
                <w:szCs w:val="18"/>
              </w:rPr>
              <w:t>ODT KP</w:t>
            </w:r>
          </w:p>
        </w:tc>
        <w:tc>
          <w:tcPr>
            <w:tcW w:w="449"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71</w:t>
            </w:r>
          </w:p>
        </w:tc>
        <w:tc>
          <w:tcPr>
            <w:tcW w:w="641"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0</w:t>
            </w:r>
          </w:p>
        </w:tc>
        <w:tc>
          <w:tcPr>
            <w:tcW w:w="276"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0</w:t>
            </w:r>
          </w:p>
        </w:tc>
        <w:tc>
          <w:tcPr>
            <w:tcW w:w="686"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10</w:t>
            </w:r>
          </w:p>
        </w:tc>
        <w:tc>
          <w:tcPr>
            <w:tcW w:w="256"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14</w:t>
            </w:r>
          </w:p>
        </w:tc>
        <w:tc>
          <w:tcPr>
            <w:tcW w:w="641"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0</w:t>
            </w:r>
          </w:p>
        </w:tc>
        <w:tc>
          <w:tcPr>
            <w:tcW w:w="321"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0</w:t>
            </w:r>
          </w:p>
        </w:tc>
        <w:tc>
          <w:tcPr>
            <w:tcW w:w="359"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0</w:t>
            </w:r>
          </w:p>
        </w:tc>
        <w:tc>
          <w:tcPr>
            <w:tcW w:w="282"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0</w:t>
            </w:r>
          </w:p>
        </w:tc>
        <w:tc>
          <w:tcPr>
            <w:tcW w:w="370"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61</w:t>
            </w:r>
          </w:p>
        </w:tc>
        <w:tc>
          <w:tcPr>
            <w:tcW w:w="270"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86</w:t>
            </w:r>
          </w:p>
        </w:tc>
      </w:tr>
      <w:tr w:rsidR="00FE5F88" w:rsidRPr="009D1835" w:rsidTr="000E1911">
        <w:trPr>
          <w:cantSplit/>
        </w:trPr>
        <w:tc>
          <w:tcPr>
            <w:tcW w:w="449"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bold-left"/>
              <w:rPr>
                <w:rFonts w:cs="Calibri"/>
                <w:sz w:val="18"/>
                <w:szCs w:val="18"/>
              </w:rPr>
            </w:pPr>
            <w:r w:rsidRPr="009D1835">
              <w:rPr>
                <w:rFonts w:cs="Calibri"/>
                <w:sz w:val="18"/>
                <w:szCs w:val="18"/>
              </w:rPr>
              <w:t>ODT KR</w:t>
            </w:r>
          </w:p>
        </w:tc>
        <w:tc>
          <w:tcPr>
            <w:tcW w:w="449"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38</w:t>
            </w:r>
          </w:p>
        </w:tc>
        <w:tc>
          <w:tcPr>
            <w:tcW w:w="641"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0</w:t>
            </w:r>
          </w:p>
        </w:tc>
        <w:tc>
          <w:tcPr>
            <w:tcW w:w="276"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0</w:t>
            </w:r>
          </w:p>
        </w:tc>
        <w:tc>
          <w:tcPr>
            <w:tcW w:w="686"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3</w:t>
            </w:r>
          </w:p>
        </w:tc>
        <w:tc>
          <w:tcPr>
            <w:tcW w:w="256"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8</w:t>
            </w:r>
          </w:p>
        </w:tc>
        <w:tc>
          <w:tcPr>
            <w:tcW w:w="641"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0</w:t>
            </w:r>
          </w:p>
        </w:tc>
        <w:tc>
          <w:tcPr>
            <w:tcW w:w="321"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0</w:t>
            </w:r>
          </w:p>
        </w:tc>
        <w:tc>
          <w:tcPr>
            <w:tcW w:w="359"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1</w:t>
            </w:r>
          </w:p>
        </w:tc>
        <w:tc>
          <w:tcPr>
            <w:tcW w:w="282"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3</w:t>
            </w:r>
          </w:p>
        </w:tc>
        <w:tc>
          <w:tcPr>
            <w:tcW w:w="370"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34</w:t>
            </w:r>
          </w:p>
        </w:tc>
        <w:tc>
          <w:tcPr>
            <w:tcW w:w="270"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89</w:t>
            </w:r>
          </w:p>
        </w:tc>
      </w:tr>
      <w:tr w:rsidR="00FE5F88" w:rsidRPr="009D1835" w:rsidTr="000E1911">
        <w:trPr>
          <w:cantSplit/>
        </w:trPr>
        <w:tc>
          <w:tcPr>
            <w:tcW w:w="449"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bold-left"/>
              <w:rPr>
                <w:rFonts w:cs="Calibri"/>
                <w:sz w:val="18"/>
                <w:szCs w:val="18"/>
              </w:rPr>
            </w:pPr>
            <w:r w:rsidRPr="009D1835">
              <w:rPr>
                <w:rFonts w:cs="Calibri"/>
                <w:sz w:val="18"/>
                <w:szCs w:val="18"/>
              </w:rPr>
              <w:t>ODT LJ</w:t>
            </w:r>
          </w:p>
        </w:tc>
        <w:tc>
          <w:tcPr>
            <w:tcW w:w="449"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355</w:t>
            </w:r>
          </w:p>
        </w:tc>
        <w:tc>
          <w:tcPr>
            <w:tcW w:w="641"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5</w:t>
            </w:r>
          </w:p>
        </w:tc>
        <w:tc>
          <w:tcPr>
            <w:tcW w:w="276"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1</w:t>
            </w:r>
          </w:p>
        </w:tc>
        <w:tc>
          <w:tcPr>
            <w:tcW w:w="686"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38</w:t>
            </w:r>
          </w:p>
        </w:tc>
        <w:tc>
          <w:tcPr>
            <w:tcW w:w="256"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11</w:t>
            </w:r>
          </w:p>
        </w:tc>
        <w:tc>
          <w:tcPr>
            <w:tcW w:w="641"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0</w:t>
            </w:r>
          </w:p>
        </w:tc>
        <w:tc>
          <w:tcPr>
            <w:tcW w:w="321"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0</w:t>
            </w:r>
          </w:p>
        </w:tc>
        <w:tc>
          <w:tcPr>
            <w:tcW w:w="359"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0</w:t>
            </w:r>
          </w:p>
        </w:tc>
        <w:tc>
          <w:tcPr>
            <w:tcW w:w="282"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0</w:t>
            </w:r>
          </w:p>
        </w:tc>
        <w:tc>
          <w:tcPr>
            <w:tcW w:w="370"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312</w:t>
            </w:r>
          </w:p>
        </w:tc>
        <w:tc>
          <w:tcPr>
            <w:tcW w:w="270"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88</w:t>
            </w:r>
          </w:p>
        </w:tc>
      </w:tr>
      <w:tr w:rsidR="00FE5F88" w:rsidRPr="009D1835" w:rsidTr="000E1911">
        <w:trPr>
          <w:cantSplit/>
        </w:trPr>
        <w:tc>
          <w:tcPr>
            <w:tcW w:w="449"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bold-left"/>
              <w:rPr>
                <w:rFonts w:cs="Calibri"/>
                <w:sz w:val="18"/>
                <w:szCs w:val="18"/>
              </w:rPr>
            </w:pPr>
            <w:r w:rsidRPr="009D1835">
              <w:rPr>
                <w:rFonts w:cs="Calibri"/>
                <w:sz w:val="18"/>
                <w:szCs w:val="18"/>
              </w:rPr>
              <w:t>ODT MB</w:t>
            </w:r>
          </w:p>
        </w:tc>
        <w:tc>
          <w:tcPr>
            <w:tcW w:w="449"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148</w:t>
            </w:r>
          </w:p>
        </w:tc>
        <w:tc>
          <w:tcPr>
            <w:tcW w:w="641"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4</w:t>
            </w:r>
          </w:p>
        </w:tc>
        <w:tc>
          <w:tcPr>
            <w:tcW w:w="276"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3</w:t>
            </w:r>
          </w:p>
        </w:tc>
        <w:tc>
          <w:tcPr>
            <w:tcW w:w="686"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39</w:t>
            </w:r>
          </w:p>
        </w:tc>
        <w:tc>
          <w:tcPr>
            <w:tcW w:w="256"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26</w:t>
            </w:r>
          </w:p>
        </w:tc>
        <w:tc>
          <w:tcPr>
            <w:tcW w:w="641"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1</w:t>
            </w:r>
          </w:p>
        </w:tc>
        <w:tc>
          <w:tcPr>
            <w:tcW w:w="321"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1</w:t>
            </w:r>
          </w:p>
        </w:tc>
        <w:tc>
          <w:tcPr>
            <w:tcW w:w="359"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0</w:t>
            </w:r>
          </w:p>
        </w:tc>
        <w:tc>
          <w:tcPr>
            <w:tcW w:w="282"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0</w:t>
            </w:r>
          </w:p>
        </w:tc>
        <w:tc>
          <w:tcPr>
            <w:tcW w:w="370"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104</w:t>
            </w:r>
          </w:p>
        </w:tc>
        <w:tc>
          <w:tcPr>
            <w:tcW w:w="270"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70</w:t>
            </w:r>
          </w:p>
        </w:tc>
      </w:tr>
      <w:tr w:rsidR="00FE5F88" w:rsidRPr="009D1835" w:rsidTr="000E1911">
        <w:trPr>
          <w:cantSplit/>
        </w:trPr>
        <w:tc>
          <w:tcPr>
            <w:tcW w:w="449"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bold-left"/>
              <w:rPr>
                <w:rFonts w:cs="Calibri"/>
                <w:sz w:val="18"/>
                <w:szCs w:val="18"/>
              </w:rPr>
            </w:pPr>
            <w:r w:rsidRPr="009D1835">
              <w:rPr>
                <w:rFonts w:cs="Calibri"/>
                <w:sz w:val="18"/>
                <w:szCs w:val="18"/>
              </w:rPr>
              <w:t>ODT MS</w:t>
            </w:r>
          </w:p>
        </w:tc>
        <w:tc>
          <w:tcPr>
            <w:tcW w:w="449"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36</w:t>
            </w:r>
          </w:p>
        </w:tc>
        <w:tc>
          <w:tcPr>
            <w:tcW w:w="641"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3</w:t>
            </w:r>
          </w:p>
        </w:tc>
        <w:tc>
          <w:tcPr>
            <w:tcW w:w="276"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8</w:t>
            </w:r>
          </w:p>
        </w:tc>
        <w:tc>
          <w:tcPr>
            <w:tcW w:w="686"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3</w:t>
            </w:r>
          </w:p>
        </w:tc>
        <w:tc>
          <w:tcPr>
            <w:tcW w:w="256"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8</w:t>
            </w:r>
          </w:p>
        </w:tc>
        <w:tc>
          <w:tcPr>
            <w:tcW w:w="641"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0</w:t>
            </w:r>
          </w:p>
        </w:tc>
        <w:tc>
          <w:tcPr>
            <w:tcW w:w="321"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0</w:t>
            </w:r>
          </w:p>
        </w:tc>
        <w:tc>
          <w:tcPr>
            <w:tcW w:w="359"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0</w:t>
            </w:r>
          </w:p>
        </w:tc>
        <w:tc>
          <w:tcPr>
            <w:tcW w:w="282"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0</w:t>
            </w:r>
          </w:p>
        </w:tc>
        <w:tc>
          <w:tcPr>
            <w:tcW w:w="370"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30</w:t>
            </w:r>
          </w:p>
        </w:tc>
        <w:tc>
          <w:tcPr>
            <w:tcW w:w="270"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83</w:t>
            </w:r>
          </w:p>
        </w:tc>
      </w:tr>
      <w:tr w:rsidR="00FE5F88" w:rsidRPr="009D1835" w:rsidTr="000E1911">
        <w:trPr>
          <w:cantSplit/>
        </w:trPr>
        <w:tc>
          <w:tcPr>
            <w:tcW w:w="449"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bold-left"/>
              <w:rPr>
                <w:rFonts w:cs="Calibri"/>
                <w:sz w:val="18"/>
                <w:szCs w:val="18"/>
              </w:rPr>
            </w:pPr>
            <w:r w:rsidRPr="009D1835">
              <w:rPr>
                <w:rFonts w:cs="Calibri"/>
                <w:sz w:val="18"/>
                <w:szCs w:val="18"/>
              </w:rPr>
              <w:t>ODT NG</w:t>
            </w:r>
          </w:p>
        </w:tc>
        <w:tc>
          <w:tcPr>
            <w:tcW w:w="449"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39</w:t>
            </w:r>
          </w:p>
        </w:tc>
        <w:tc>
          <w:tcPr>
            <w:tcW w:w="641"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1</w:t>
            </w:r>
          </w:p>
        </w:tc>
        <w:tc>
          <w:tcPr>
            <w:tcW w:w="276"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3</w:t>
            </w:r>
          </w:p>
        </w:tc>
        <w:tc>
          <w:tcPr>
            <w:tcW w:w="686"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6</w:t>
            </w:r>
          </w:p>
        </w:tc>
        <w:tc>
          <w:tcPr>
            <w:tcW w:w="256"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15</w:t>
            </w:r>
          </w:p>
        </w:tc>
        <w:tc>
          <w:tcPr>
            <w:tcW w:w="641"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0</w:t>
            </w:r>
          </w:p>
        </w:tc>
        <w:tc>
          <w:tcPr>
            <w:tcW w:w="321"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0</w:t>
            </w:r>
          </w:p>
        </w:tc>
        <w:tc>
          <w:tcPr>
            <w:tcW w:w="359"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0</w:t>
            </w:r>
          </w:p>
        </w:tc>
        <w:tc>
          <w:tcPr>
            <w:tcW w:w="282"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0</w:t>
            </w:r>
          </w:p>
        </w:tc>
        <w:tc>
          <w:tcPr>
            <w:tcW w:w="370"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32</w:t>
            </w:r>
          </w:p>
        </w:tc>
        <w:tc>
          <w:tcPr>
            <w:tcW w:w="270"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82</w:t>
            </w:r>
          </w:p>
        </w:tc>
      </w:tr>
      <w:tr w:rsidR="00FE5F88" w:rsidRPr="009D1835" w:rsidTr="000E1911">
        <w:trPr>
          <w:cantSplit/>
        </w:trPr>
        <w:tc>
          <w:tcPr>
            <w:tcW w:w="449"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bold-left"/>
              <w:rPr>
                <w:rFonts w:cs="Calibri"/>
                <w:sz w:val="18"/>
                <w:szCs w:val="18"/>
              </w:rPr>
            </w:pPr>
            <w:r w:rsidRPr="009D1835">
              <w:rPr>
                <w:rFonts w:cs="Calibri"/>
                <w:sz w:val="18"/>
                <w:szCs w:val="18"/>
              </w:rPr>
              <w:t>ODT NM</w:t>
            </w:r>
          </w:p>
        </w:tc>
        <w:tc>
          <w:tcPr>
            <w:tcW w:w="449"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54</w:t>
            </w:r>
          </w:p>
        </w:tc>
        <w:tc>
          <w:tcPr>
            <w:tcW w:w="641"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0</w:t>
            </w:r>
          </w:p>
        </w:tc>
        <w:tc>
          <w:tcPr>
            <w:tcW w:w="276"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0</w:t>
            </w:r>
          </w:p>
        </w:tc>
        <w:tc>
          <w:tcPr>
            <w:tcW w:w="686"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10</w:t>
            </w:r>
          </w:p>
        </w:tc>
        <w:tc>
          <w:tcPr>
            <w:tcW w:w="256"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19</w:t>
            </w:r>
          </w:p>
        </w:tc>
        <w:tc>
          <w:tcPr>
            <w:tcW w:w="641"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1</w:t>
            </w:r>
          </w:p>
        </w:tc>
        <w:tc>
          <w:tcPr>
            <w:tcW w:w="321"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2</w:t>
            </w:r>
          </w:p>
        </w:tc>
        <w:tc>
          <w:tcPr>
            <w:tcW w:w="359"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0</w:t>
            </w:r>
          </w:p>
        </w:tc>
        <w:tc>
          <w:tcPr>
            <w:tcW w:w="282"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0</w:t>
            </w:r>
          </w:p>
        </w:tc>
        <w:tc>
          <w:tcPr>
            <w:tcW w:w="370"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43</w:t>
            </w:r>
          </w:p>
        </w:tc>
        <w:tc>
          <w:tcPr>
            <w:tcW w:w="270"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80</w:t>
            </w:r>
          </w:p>
        </w:tc>
      </w:tr>
      <w:tr w:rsidR="00FE5F88" w:rsidRPr="009D1835" w:rsidTr="000E1911">
        <w:trPr>
          <w:cantSplit/>
        </w:trPr>
        <w:tc>
          <w:tcPr>
            <w:tcW w:w="449"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bold-left"/>
              <w:rPr>
                <w:rFonts w:cs="Calibri"/>
                <w:sz w:val="18"/>
                <w:szCs w:val="18"/>
              </w:rPr>
            </w:pPr>
            <w:r w:rsidRPr="009D1835">
              <w:rPr>
                <w:rFonts w:cs="Calibri"/>
                <w:sz w:val="18"/>
                <w:szCs w:val="18"/>
              </w:rPr>
              <w:t>ODT PT</w:t>
            </w:r>
          </w:p>
        </w:tc>
        <w:tc>
          <w:tcPr>
            <w:tcW w:w="449"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37</w:t>
            </w:r>
          </w:p>
        </w:tc>
        <w:tc>
          <w:tcPr>
            <w:tcW w:w="641"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1</w:t>
            </w:r>
          </w:p>
        </w:tc>
        <w:tc>
          <w:tcPr>
            <w:tcW w:w="276"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3</w:t>
            </w:r>
          </w:p>
        </w:tc>
        <w:tc>
          <w:tcPr>
            <w:tcW w:w="686"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8</w:t>
            </w:r>
          </w:p>
        </w:tc>
        <w:tc>
          <w:tcPr>
            <w:tcW w:w="256"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22</w:t>
            </w:r>
          </w:p>
        </w:tc>
        <w:tc>
          <w:tcPr>
            <w:tcW w:w="641"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3</w:t>
            </w:r>
          </w:p>
        </w:tc>
        <w:tc>
          <w:tcPr>
            <w:tcW w:w="321"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8</w:t>
            </w:r>
          </w:p>
        </w:tc>
        <w:tc>
          <w:tcPr>
            <w:tcW w:w="359"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0</w:t>
            </w:r>
          </w:p>
        </w:tc>
        <w:tc>
          <w:tcPr>
            <w:tcW w:w="282"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0</w:t>
            </w:r>
          </w:p>
        </w:tc>
        <w:tc>
          <w:tcPr>
            <w:tcW w:w="370"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25</w:t>
            </w:r>
          </w:p>
        </w:tc>
        <w:tc>
          <w:tcPr>
            <w:tcW w:w="270"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68</w:t>
            </w:r>
          </w:p>
        </w:tc>
      </w:tr>
      <w:tr w:rsidR="00FE5F88" w:rsidRPr="009D1835" w:rsidTr="000E1911">
        <w:trPr>
          <w:cantSplit/>
        </w:trPr>
        <w:tc>
          <w:tcPr>
            <w:tcW w:w="449"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bold-left"/>
              <w:rPr>
                <w:rFonts w:cs="Calibri"/>
                <w:sz w:val="18"/>
                <w:szCs w:val="18"/>
              </w:rPr>
            </w:pPr>
            <w:r w:rsidRPr="009D1835">
              <w:rPr>
                <w:rFonts w:cs="Calibri"/>
                <w:sz w:val="18"/>
                <w:szCs w:val="18"/>
              </w:rPr>
              <w:t>ODT SG</w:t>
            </w:r>
          </w:p>
        </w:tc>
        <w:tc>
          <w:tcPr>
            <w:tcW w:w="449"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23</w:t>
            </w:r>
          </w:p>
        </w:tc>
        <w:tc>
          <w:tcPr>
            <w:tcW w:w="641"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2</w:t>
            </w:r>
          </w:p>
        </w:tc>
        <w:tc>
          <w:tcPr>
            <w:tcW w:w="276"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9</w:t>
            </w:r>
          </w:p>
        </w:tc>
        <w:tc>
          <w:tcPr>
            <w:tcW w:w="686"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3</w:t>
            </w:r>
          </w:p>
        </w:tc>
        <w:tc>
          <w:tcPr>
            <w:tcW w:w="256"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13</w:t>
            </w:r>
          </w:p>
        </w:tc>
        <w:tc>
          <w:tcPr>
            <w:tcW w:w="641"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0</w:t>
            </w:r>
          </w:p>
        </w:tc>
        <w:tc>
          <w:tcPr>
            <w:tcW w:w="321"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0</w:t>
            </w:r>
          </w:p>
        </w:tc>
        <w:tc>
          <w:tcPr>
            <w:tcW w:w="359"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1</w:t>
            </w:r>
          </w:p>
        </w:tc>
        <w:tc>
          <w:tcPr>
            <w:tcW w:w="282"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4</w:t>
            </w:r>
          </w:p>
        </w:tc>
        <w:tc>
          <w:tcPr>
            <w:tcW w:w="370"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17</w:t>
            </w:r>
          </w:p>
        </w:tc>
        <w:tc>
          <w:tcPr>
            <w:tcW w:w="270"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74</w:t>
            </w:r>
          </w:p>
        </w:tc>
      </w:tr>
      <w:tr w:rsidR="00FE5F88" w:rsidRPr="009D1835" w:rsidTr="000E1911">
        <w:trPr>
          <w:cantSplit/>
        </w:trPr>
        <w:tc>
          <w:tcPr>
            <w:tcW w:w="449"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bold-left"/>
              <w:rPr>
                <w:rFonts w:cs="Calibri"/>
                <w:sz w:val="18"/>
                <w:szCs w:val="18"/>
              </w:rPr>
            </w:pPr>
            <w:r w:rsidRPr="009D1835">
              <w:rPr>
                <w:rFonts w:cs="Calibri"/>
                <w:sz w:val="18"/>
                <w:szCs w:val="18"/>
              </w:rPr>
              <w:t>OPP</w:t>
            </w:r>
          </w:p>
        </w:tc>
        <w:tc>
          <w:tcPr>
            <w:tcW w:w="449"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3</w:t>
            </w:r>
          </w:p>
        </w:tc>
        <w:tc>
          <w:tcPr>
            <w:tcW w:w="641"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0</w:t>
            </w:r>
          </w:p>
        </w:tc>
        <w:tc>
          <w:tcPr>
            <w:tcW w:w="276"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0</w:t>
            </w:r>
          </w:p>
        </w:tc>
        <w:tc>
          <w:tcPr>
            <w:tcW w:w="686"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0</w:t>
            </w:r>
          </w:p>
        </w:tc>
        <w:tc>
          <w:tcPr>
            <w:tcW w:w="256"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0</w:t>
            </w:r>
          </w:p>
        </w:tc>
        <w:tc>
          <w:tcPr>
            <w:tcW w:w="641"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0</w:t>
            </w:r>
          </w:p>
        </w:tc>
        <w:tc>
          <w:tcPr>
            <w:tcW w:w="321"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0</w:t>
            </w:r>
          </w:p>
        </w:tc>
        <w:tc>
          <w:tcPr>
            <w:tcW w:w="359"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0</w:t>
            </w:r>
          </w:p>
        </w:tc>
        <w:tc>
          <w:tcPr>
            <w:tcW w:w="282"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0</w:t>
            </w:r>
          </w:p>
        </w:tc>
        <w:tc>
          <w:tcPr>
            <w:tcW w:w="370"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3</w:t>
            </w:r>
          </w:p>
        </w:tc>
        <w:tc>
          <w:tcPr>
            <w:tcW w:w="270"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100</w:t>
            </w:r>
          </w:p>
        </w:tc>
      </w:tr>
      <w:tr w:rsidR="00FE5F88" w:rsidRPr="009D1835" w:rsidTr="000E1911">
        <w:trPr>
          <w:cantSplit/>
        </w:trPr>
        <w:tc>
          <w:tcPr>
            <w:tcW w:w="449"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bold-left"/>
              <w:rPr>
                <w:rFonts w:cs="Calibri"/>
                <w:sz w:val="18"/>
                <w:szCs w:val="18"/>
              </w:rPr>
            </w:pPr>
            <w:r w:rsidRPr="009D1835">
              <w:rPr>
                <w:rFonts w:cs="Calibri"/>
                <w:sz w:val="18"/>
                <w:szCs w:val="18"/>
              </w:rPr>
              <w:t>SDT RS</w:t>
            </w:r>
          </w:p>
        </w:tc>
        <w:tc>
          <w:tcPr>
            <w:tcW w:w="449"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30</w:t>
            </w:r>
          </w:p>
        </w:tc>
        <w:tc>
          <w:tcPr>
            <w:tcW w:w="641"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0</w:t>
            </w:r>
          </w:p>
        </w:tc>
        <w:tc>
          <w:tcPr>
            <w:tcW w:w="276"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0</w:t>
            </w:r>
          </w:p>
        </w:tc>
        <w:tc>
          <w:tcPr>
            <w:tcW w:w="686"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9</w:t>
            </w:r>
          </w:p>
        </w:tc>
        <w:tc>
          <w:tcPr>
            <w:tcW w:w="256"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30</w:t>
            </w:r>
          </w:p>
        </w:tc>
        <w:tc>
          <w:tcPr>
            <w:tcW w:w="641"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0</w:t>
            </w:r>
          </w:p>
        </w:tc>
        <w:tc>
          <w:tcPr>
            <w:tcW w:w="321"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0</w:t>
            </w:r>
          </w:p>
        </w:tc>
        <w:tc>
          <w:tcPr>
            <w:tcW w:w="359"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0</w:t>
            </w:r>
          </w:p>
        </w:tc>
        <w:tc>
          <w:tcPr>
            <w:tcW w:w="282"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0</w:t>
            </w:r>
          </w:p>
        </w:tc>
        <w:tc>
          <w:tcPr>
            <w:tcW w:w="370"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21</w:t>
            </w:r>
          </w:p>
        </w:tc>
        <w:tc>
          <w:tcPr>
            <w:tcW w:w="270"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70</w:t>
            </w:r>
          </w:p>
        </w:tc>
      </w:tr>
      <w:tr w:rsidR="00FE5F88" w:rsidRPr="009D1835" w:rsidTr="000E1911">
        <w:trPr>
          <w:cantSplit/>
        </w:trPr>
        <w:tc>
          <w:tcPr>
            <w:tcW w:w="449"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bold-left"/>
              <w:rPr>
                <w:rFonts w:cs="Calibri"/>
                <w:sz w:val="18"/>
                <w:szCs w:val="18"/>
              </w:rPr>
            </w:pPr>
            <w:r w:rsidRPr="009D1835">
              <w:rPr>
                <w:rFonts w:cs="Calibri"/>
                <w:sz w:val="18"/>
                <w:szCs w:val="18"/>
              </w:rPr>
              <w:t>VDT RS</w:t>
            </w:r>
          </w:p>
        </w:tc>
        <w:tc>
          <w:tcPr>
            <w:tcW w:w="449"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0</w:t>
            </w:r>
          </w:p>
        </w:tc>
        <w:tc>
          <w:tcPr>
            <w:tcW w:w="641"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0</w:t>
            </w:r>
          </w:p>
        </w:tc>
        <w:tc>
          <w:tcPr>
            <w:tcW w:w="276"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0</w:t>
            </w:r>
          </w:p>
        </w:tc>
        <w:tc>
          <w:tcPr>
            <w:tcW w:w="686"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0</w:t>
            </w:r>
          </w:p>
        </w:tc>
        <w:tc>
          <w:tcPr>
            <w:tcW w:w="256"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0</w:t>
            </w:r>
          </w:p>
        </w:tc>
        <w:tc>
          <w:tcPr>
            <w:tcW w:w="641"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0</w:t>
            </w:r>
          </w:p>
        </w:tc>
        <w:tc>
          <w:tcPr>
            <w:tcW w:w="321"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0</w:t>
            </w:r>
          </w:p>
        </w:tc>
        <w:tc>
          <w:tcPr>
            <w:tcW w:w="359"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0</w:t>
            </w:r>
          </w:p>
        </w:tc>
        <w:tc>
          <w:tcPr>
            <w:tcW w:w="282"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0</w:t>
            </w:r>
          </w:p>
        </w:tc>
        <w:tc>
          <w:tcPr>
            <w:tcW w:w="370"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0</w:t>
            </w:r>
          </w:p>
        </w:tc>
        <w:tc>
          <w:tcPr>
            <w:tcW w:w="270"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0</w:t>
            </w:r>
          </w:p>
        </w:tc>
      </w:tr>
      <w:tr w:rsidR="00FE5F88" w:rsidRPr="009D1835" w:rsidTr="000E1911">
        <w:trPr>
          <w:cantSplit/>
        </w:trPr>
        <w:tc>
          <w:tcPr>
            <w:tcW w:w="449"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bold-left"/>
              <w:rPr>
                <w:rFonts w:cs="Calibri"/>
                <w:sz w:val="18"/>
                <w:szCs w:val="18"/>
              </w:rPr>
            </w:pPr>
            <w:r w:rsidRPr="009D1835">
              <w:rPr>
                <w:rFonts w:cs="Calibri"/>
                <w:sz w:val="18"/>
                <w:szCs w:val="18"/>
              </w:rPr>
              <w:t>Skupaj</w:t>
            </w:r>
          </w:p>
        </w:tc>
        <w:tc>
          <w:tcPr>
            <w:tcW w:w="449"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b/>
                <w:bCs/>
                <w:sz w:val="18"/>
                <w:szCs w:val="18"/>
              </w:rPr>
            </w:pPr>
            <w:r w:rsidRPr="009D1835">
              <w:rPr>
                <w:rFonts w:cs="Calibri"/>
                <w:b/>
                <w:bCs/>
                <w:sz w:val="18"/>
                <w:szCs w:val="18"/>
              </w:rPr>
              <w:t>1.015</w:t>
            </w:r>
          </w:p>
        </w:tc>
        <w:tc>
          <w:tcPr>
            <w:tcW w:w="641"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b/>
                <w:bCs/>
                <w:sz w:val="18"/>
                <w:szCs w:val="18"/>
              </w:rPr>
            </w:pPr>
            <w:r w:rsidRPr="009D1835">
              <w:rPr>
                <w:rFonts w:cs="Calibri"/>
                <w:b/>
                <w:bCs/>
                <w:sz w:val="18"/>
                <w:szCs w:val="18"/>
              </w:rPr>
              <w:t>24</w:t>
            </w:r>
          </w:p>
        </w:tc>
        <w:tc>
          <w:tcPr>
            <w:tcW w:w="276"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b/>
                <w:bCs/>
                <w:sz w:val="18"/>
                <w:szCs w:val="18"/>
              </w:rPr>
            </w:pPr>
            <w:r w:rsidRPr="009D1835">
              <w:rPr>
                <w:rFonts w:cs="Calibri"/>
                <w:b/>
                <w:bCs/>
                <w:sz w:val="18"/>
                <w:szCs w:val="18"/>
              </w:rPr>
              <w:t>2</w:t>
            </w:r>
          </w:p>
        </w:tc>
        <w:tc>
          <w:tcPr>
            <w:tcW w:w="686"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b/>
                <w:bCs/>
                <w:sz w:val="18"/>
                <w:szCs w:val="18"/>
              </w:rPr>
            </w:pPr>
            <w:r w:rsidRPr="009D1835">
              <w:rPr>
                <w:rFonts w:cs="Calibri"/>
                <w:b/>
                <w:bCs/>
                <w:sz w:val="18"/>
                <w:szCs w:val="18"/>
              </w:rPr>
              <w:t>168</w:t>
            </w:r>
          </w:p>
        </w:tc>
        <w:tc>
          <w:tcPr>
            <w:tcW w:w="256"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b/>
                <w:bCs/>
                <w:sz w:val="18"/>
                <w:szCs w:val="18"/>
              </w:rPr>
            </w:pPr>
            <w:r w:rsidRPr="009D1835">
              <w:rPr>
                <w:rFonts w:cs="Calibri"/>
                <w:b/>
                <w:bCs/>
                <w:sz w:val="18"/>
                <w:szCs w:val="18"/>
              </w:rPr>
              <w:t>17</w:t>
            </w:r>
          </w:p>
        </w:tc>
        <w:tc>
          <w:tcPr>
            <w:tcW w:w="641"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b/>
                <w:bCs/>
                <w:sz w:val="18"/>
                <w:szCs w:val="18"/>
              </w:rPr>
            </w:pPr>
            <w:r w:rsidRPr="009D1835">
              <w:rPr>
                <w:rFonts w:cs="Calibri"/>
                <w:b/>
                <w:bCs/>
                <w:sz w:val="18"/>
                <w:szCs w:val="18"/>
              </w:rPr>
              <w:t>7</w:t>
            </w:r>
          </w:p>
        </w:tc>
        <w:tc>
          <w:tcPr>
            <w:tcW w:w="321"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b/>
                <w:bCs/>
                <w:sz w:val="18"/>
                <w:szCs w:val="18"/>
              </w:rPr>
            </w:pPr>
            <w:r w:rsidRPr="009D1835">
              <w:rPr>
                <w:rFonts w:cs="Calibri"/>
                <w:b/>
                <w:bCs/>
                <w:sz w:val="18"/>
                <w:szCs w:val="18"/>
              </w:rPr>
              <w:t>1</w:t>
            </w:r>
          </w:p>
        </w:tc>
        <w:tc>
          <w:tcPr>
            <w:tcW w:w="359"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b/>
                <w:bCs/>
                <w:sz w:val="18"/>
                <w:szCs w:val="18"/>
              </w:rPr>
            </w:pPr>
            <w:r w:rsidRPr="009D1835">
              <w:rPr>
                <w:rFonts w:cs="Calibri"/>
                <w:b/>
                <w:bCs/>
                <w:sz w:val="18"/>
                <w:szCs w:val="18"/>
              </w:rPr>
              <w:t>2</w:t>
            </w:r>
          </w:p>
        </w:tc>
        <w:tc>
          <w:tcPr>
            <w:tcW w:w="282"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b/>
                <w:bCs/>
                <w:sz w:val="18"/>
                <w:szCs w:val="18"/>
              </w:rPr>
            </w:pPr>
            <w:r w:rsidRPr="009D1835">
              <w:rPr>
                <w:rFonts w:cs="Calibri"/>
                <w:b/>
                <w:bCs/>
                <w:sz w:val="18"/>
                <w:szCs w:val="18"/>
              </w:rPr>
              <w:t>0</w:t>
            </w:r>
          </w:p>
        </w:tc>
        <w:tc>
          <w:tcPr>
            <w:tcW w:w="370"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b/>
                <w:bCs/>
                <w:sz w:val="18"/>
                <w:szCs w:val="18"/>
              </w:rPr>
            </w:pPr>
            <w:r w:rsidRPr="009D1835">
              <w:rPr>
                <w:rFonts w:cs="Calibri"/>
                <w:b/>
                <w:bCs/>
                <w:sz w:val="18"/>
                <w:szCs w:val="18"/>
              </w:rPr>
              <w:t>814</w:t>
            </w:r>
          </w:p>
        </w:tc>
        <w:tc>
          <w:tcPr>
            <w:tcW w:w="270"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b/>
                <w:bCs/>
                <w:sz w:val="18"/>
                <w:szCs w:val="18"/>
              </w:rPr>
            </w:pPr>
            <w:r w:rsidRPr="009D1835">
              <w:rPr>
                <w:rFonts w:cs="Calibri"/>
                <w:b/>
                <w:bCs/>
                <w:sz w:val="18"/>
                <w:szCs w:val="18"/>
              </w:rPr>
              <w:t>80</w:t>
            </w:r>
          </w:p>
        </w:tc>
      </w:tr>
      <w:tr w:rsidR="00FE5F88" w:rsidRPr="009D1835" w:rsidTr="000E1911">
        <w:trPr>
          <w:cantSplit/>
        </w:trPr>
        <w:tc>
          <w:tcPr>
            <w:tcW w:w="449"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bold-left"/>
              <w:rPr>
                <w:rFonts w:cs="Calibri"/>
                <w:sz w:val="18"/>
                <w:szCs w:val="18"/>
              </w:rPr>
            </w:pPr>
            <w:r w:rsidRPr="009D1835">
              <w:rPr>
                <w:rFonts w:cs="Calibri"/>
                <w:sz w:val="18"/>
                <w:szCs w:val="18"/>
              </w:rPr>
              <w:lastRenderedPageBreak/>
              <w:t>Poprečje ODT</w:t>
            </w:r>
          </w:p>
        </w:tc>
        <w:tc>
          <w:tcPr>
            <w:tcW w:w="449"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89</w:t>
            </w:r>
          </w:p>
        </w:tc>
        <w:tc>
          <w:tcPr>
            <w:tcW w:w="641"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2</w:t>
            </w:r>
          </w:p>
        </w:tc>
        <w:tc>
          <w:tcPr>
            <w:tcW w:w="276"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3</w:t>
            </w:r>
          </w:p>
        </w:tc>
        <w:tc>
          <w:tcPr>
            <w:tcW w:w="686"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14</w:t>
            </w:r>
          </w:p>
        </w:tc>
        <w:tc>
          <w:tcPr>
            <w:tcW w:w="256"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16</w:t>
            </w:r>
          </w:p>
        </w:tc>
        <w:tc>
          <w:tcPr>
            <w:tcW w:w="641"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1</w:t>
            </w:r>
          </w:p>
        </w:tc>
        <w:tc>
          <w:tcPr>
            <w:tcW w:w="321"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1</w:t>
            </w:r>
          </w:p>
        </w:tc>
        <w:tc>
          <w:tcPr>
            <w:tcW w:w="359"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0</w:t>
            </w:r>
          </w:p>
        </w:tc>
        <w:tc>
          <w:tcPr>
            <w:tcW w:w="282"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1</w:t>
            </w:r>
          </w:p>
        </w:tc>
        <w:tc>
          <w:tcPr>
            <w:tcW w:w="370"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72</w:t>
            </w:r>
          </w:p>
        </w:tc>
        <w:tc>
          <w:tcPr>
            <w:tcW w:w="270"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79</w:t>
            </w:r>
          </w:p>
        </w:tc>
      </w:tr>
      <w:tr w:rsidR="00FE5F88" w:rsidRPr="009D1835" w:rsidTr="000E1911">
        <w:trPr>
          <w:cantSplit/>
        </w:trPr>
        <w:tc>
          <w:tcPr>
            <w:tcW w:w="449" w:type="pct"/>
            <w:tcBorders>
              <w:top w:val="single" w:sz="4" w:space="0" w:color="877850"/>
              <w:bottom w:val="single" w:sz="12" w:space="0" w:color="877850"/>
            </w:tcBorders>
            <w:shd w:val="clear" w:color="auto" w:fill="auto"/>
            <w:vAlign w:val="center"/>
          </w:tcPr>
          <w:p w:rsidR="00FE5F88" w:rsidRPr="009D1835" w:rsidRDefault="00FE5F88" w:rsidP="000E1911">
            <w:pPr>
              <w:pStyle w:val="Tabela-vsebina-bold-left"/>
              <w:rPr>
                <w:rFonts w:cs="Calibri"/>
                <w:sz w:val="18"/>
                <w:szCs w:val="18"/>
              </w:rPr>
            </w:pPr>
            <w:r>
              <w:rPr>
                <w:rFonts w:cs="Calibri"/>
                <w:sz w:val="18"/>
                <w:szCs w:val="18"/>
              </w:rPr>
              <w:t>Poprečje ODT OPP SDT RS</w:t>
            </w:r>
          </w:p>
        </w:tc>
        <w:tc>
          <w:tcPr>
            <w:tcW w:w="449" w:type="pct"/>
            <w:tcBorders>
              <w:top w:val="single" w:sz="4" w:space="0" w:color="877850"/>
              <w:bottom w:val="single" w:sz="12"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78</w:t>
            </w:r>
          </w:p>
        </w:tc>
        <w:tc>
          <w:tcPr>
            <w:tcW w:w="641" w:type="pct"/>
            <w:tcBorders>
              <w:top w:val="single" w:sz="4" w:space="0" w:color="877850"/>
              <w:bottom w:val="single" w:sz="12"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2</w:t>
            </w:r>
          </w:p>
        </w:tc>
        <w:tc>
          <w:tcPr>
            <w:tcW w:w="276" w:type="pct"/>
            <w:tcBorders>
              <w:top w:val="single" w:sz="4" w:space="0" w:color="877850"/>
              <w:bottom w:val="single" w:sz="12"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3</w:t>
            </w:r>
          </w:p>
        </w:tc>
        <w:tc>
          <w:tcPr>
            <w:tcW w:w="686" w:type="pct"/>
            <w:tcBorders>
              <w:top w:val="single" w:sz="4" w:space="0" w:color="877850"/>
              <w:bottom w:val="single" w:sz="12"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13</w:t>
            </w:r>
          </w:p>
        </w:tc>
        <w:tc>
          <w:tcPr>
            <w:tcW w:w="256" w:type="pct"/>
            <w:tcBorders>
              <w:top w:val="single" w:sz="4" w:space="0" w:color="877850"/>
              <w:bottom w:val="single" w:sz="12"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16</w:t>
            </w:r>
          </w:p>
        </w:tc>
        <w:tc>
          <w:tcPr>
            <w:tcW w:w="641" w:type="pct"/>
            <w:tcBorders>
              <w:top w:val="single" w:sz="4" w:space="0" w:color="877850"/>
              <w:bottom w:val="single" w:sz="12"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1</w:t>
            </w:r>
          </w:p>
        </w:tc>
        <w:tc>
          <w:tcPr>
            <w:tcW w:w="321" w:type="pct"/>
            <w:tcBorders>
              <w:top w:val="single" w:sz="4" w:space="0" w:color="877850"/>
              <w:bottom w:val="single" w:sz="12"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1</w:t>
            </w:r>
          </w:p>
        </w:tc>
        <w:tc>
          <w:tcPr>
            <w:tcW w:w="359" w:type="pct"/>
            <w:tcBorders>
              <w:top w:val="single" w:sz="4" w:space="0" w:color="877850"/>
              <w:bottom w:val="single" w:sz="12"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0</w:t>
            </w:r>
          </w:p>
        </w:tc>
        <w:tc>
          <w:tcPr>
            <w:tcW w:w="282" w:type="pct"/>
            <w:tcBorders>
              <w:top w:val="single" w:sz="4" w:space="0" w:color="877850"/>
              <w:bottom w:val="single" w:sz="12"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1</w:t>
            </w:r>
          </w:p>
        </w:tc>
        <w:tc>
          <w:tcPr>
            <w:tcW w:w="370" w:type="pct"/>
            <w:tcBorders>
              <w:top w:val="single" w:sz="4" w:space="0" w:color="877850"/>
              <w:bottom w:val="single" w:sz="12"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63</w:t>
            </w:r>
          </w:p>
        </w:tc>
        <w:tc>
          <w:tcPr>
            <w:tcW w:w="270" w:type="pct"/>
            <w:tcBorders>
              <w:top w:val="single" w:sz="4" w:space="0" w:color="877850"/>
              <w:bottom w:val="single" w:sz="12"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80</w:t>
            </w:r>
          </w:p>
        </w:tc>
      </w:tr>
      <w:bookmarkEnd w:id="21"/>
    </w:tbl>
    <w:p w:rsidR="00FE5F88" w:rsidRPr="00AB09A1" w:rsidRDefault="00FE5F88" w:rsidP="00FE5F88">
      <w:pPr>
        <w:pStyle w:val="Zatabelo"/>
      </w:pPr>
    </w:p>
    <w:p w:rsidR="00FE5F88" w:rsidRDefault="00FE5F88" w:rsidP="00FE5F88">
      <w:pPr>
        <w:spacing w:line="288" w:lineRule="auto"/>
        <w:jc w:val="both"/>
        <w:rPr>
          <w:rFonts w:eastAsia="Calibri" w:cs="Arial"/>
          <w:szCs w:val="20"/>
          <w:lang w:eastAsia="sl-SI"/>
        </w:rPr>
      </w:pPr>
      <w:r w:rsidRPr="001A24F5">
        <w:rPr>
          <w:rFonts w:eastAsia="Calibri" w:cs="Arial"/>
          <w:szCs w:val="20"/>
          <w:lang w:eastAsia="sl-SI"/>
        </w:rPr>
        <w:t xml:space="preserve">Zbrani statistični podatki izkazujejo, da je </w:t>
      </w:r>
      <w:r w:rsidRPr="001A24F5">
        <w:rPr>
          <w:rFonts w:eastAsia="Calibri" w:cs="Arial"/>
          <w:b/>
          <w:bCs/>
          <w:szCs w:val="20"/>
          <w:lang w:eastAsia="sl-SI"/>
        </w:rPr>
        <w:t>bilo po poravnavanju ali odloženem pregonu zavrženih ovadb</w:t>
      </w:r>
      <w:r w:rsidRPr="001A24F5">
        <w:rPr>
          <w:rFonts w:eastAsia="Calibri" w:cs="Arial"/>
          <w:szCs w:val="20"/>
          <w:lang w:eastAsia="sl-SI"/>
        </w:rPr>
        <w:t xml:space="preserve"> zoper 1.476 oziroma 9 % polnoletnih storilcev, kar je enak odstotek kot leta 2018. Iz navedenega razloga je bilo leta 2019 zavrženih ovadb proti 145 oziroma 17 % mladoletnikom ter zoper 24 oziroma 2 % pravnih oseb. </w:t>
      </w:r>
    </w:p>
    <w:p w:rsidR="00FE5F88" w:rsidRDefault="00FE5F88" w:rsidP="00FE5F88">
      <w:pPr>
        <w:spacing w:line="288" w:lineRule="auto"/>
        <w:jc w:val="both"/>
        <w:rPr>
          <w:rFonts w:eastAsia="Calibri" w:cs="Arial"/>
          <w:szCs w:val="20"/>
          <w:lang w:eastAsia="sl-SI"/>
        </w:rPr>
      </w:pPr>
    </w:p>
    <w:p w:rsidR="00FE5F88" w:rsidRDefault="00FE5F88" w:rsidP="00FE5F88">
      <w:pPr>
        <w:spacing w:line="288" w:lineRule="auto"/>
        <w:jc w:val="both"/>
        <w:rPr>
          <w:rFonts w:eastAsia="Calibri" w:cs="Arial"/>
          <w:szCs w:val="20"/>
          <w:lang w:eastAsia="sl-SI"/>
        </w:rPr>
      </w:pPr>
      <w:r w:rsidRPr="001A24F5">
        <w:rPr>
          <w:rFonts w:eastAsia="Calibri" w:cs="Arial"/>
          <w:szCs w:val="20"/>
          <w:lang w:eastAsia="sl-SI"/>
        </w:rPr>
        <w:t>Državna tožilstva so zoper 2.594 oziroma 16 % polnoletnih storilcev</w:t>
      </w:r>
      <w:r w:rsidRPr="001A24F5">
        <w:rPr>
          <w:rFonts w:eastAsia="Calibri" w:cs="Arial"/>
          <w:b/>
          <w:bCs/>
          <w:szCs w:val="20"/>
          <w:lang w:eastAsia="sl-SI"/>
        </w:rPr>
        <w:t xml:space="preserve"> zavrgla ovadbe zaradi majhnega pomena dejanja in uporabe načela sorazmernosti</w:t>
      </w:r>
      <w:r w:rsidRPr="001A24F5">
        <w:rPr>
          <w:rFonts w:eastAsia="Calibri" w:cs="Arial"/>
          <w:szCs w:val="20"/>
          <w:lang w:eastAsia="sl-SI"/>
        </w:rPr>
        <w:t xml:space="preserve"> </w:t>
      </w:r>
      <w:bookmarkStart w:id="22" w:name="_Hlk34397706"/>
      <w:r w:rsidRPr="001A24F5">
        <w:rPr>
          <w:rFonts w:eastAsia="Calibri" w:cs="Arial"/>
          <w:szCs w:val="20"/>
          <w:lang w:eastAsia="sl-SI"/>
        </w:rPr>
        <w:t>(17 % leta 2018)</w:t>
      </w:r>
      <w:bookmarkEnd w:id="22"/>
      <w:r w:rsidRPr="001A24F5">
        <w:rPr>
          <w:rFonts w:eastAsia="Calibri" w:cs="Arial"/>
          <w:szCs w:val="20"/>
          <w:lang w:eastAsia="sl-SI"/>
        </w:rPr>
        <w:t xml:space="preserve">. Iz istega razloga je bilo zavrženih ovadb proti 327 oziroma 38 % mladoletnikom (37 % leta 2018) in 168 oziroma 17 % zoper pravne osebe (13 % leta 2018). </w:t>
      </w:r>
    </w:p>
    <w:p w:rsidR="00FE5F88" w:rsidRDefault="00FE5F88" w:rsidP="00FE5F88">
      <w:pPr>
        <w:spacing w:line="288" w:lineRule="auto"/>
        <w:jc w:val="both"/>
        <w:rPr>
          <w:rFonts w:eastAsia="Calibri" w:cs="Arial"/>
          <w:szCs w:val="20"/>
          <w:lang w:eastAsia="sl-SI"/>
        </w:rPr>
      </w:pPr>
    </w:p>
    <w:p w:rsidR="00FE5F88" w:rsidRDefault="00FE5F88" w:rsidP="00FE5F88">
      <w:pPr>
        <w:spacing w:line="288" w:lineRule="auto"/>
        <w:jc w:val="both"/>
        <w:rPr>
          <w:rFonts w:eastAsia="Calibri" w:cs="Arial"/>
          <w:szCs w:val="20"/>
          <w:lang w:eastAsia="sl-SI"/>
        </w:rPr>
      </w:pPr>
      <w:r w:rsidRPr="001A24F5">
        <w:rPr>
          <w:rFonts w:eastAsia="Calibri" w:cs="Arial"/>
          <w:szCs w:val="20"/>
          <w:lang w:eastAsia="sl-SI"/>
        </w:rPr>
        <w:t xml:space="preserve">Zaradi </w:t>
      </w:r>
      <w:r w:rsidRPr="001A24F5">
        <w:rPr>
          <w:rFonts w:eastAsia="Calibri" w:cs="Arial"/>
          <w:b/>
          <w:bCs/>
          <w:szCs w:val="20"/>
          <w:lang w:eastAsia="sl-SI"/>
        </w:rPr>
        <w:t>umika predloga oškodovanca za kazniva dejanja, ki se preganjajo na predlog</w:t>
      </w:r>
      <w:r w:rsidRPr="001A24F5">
        <w:rPr>
          <w:rFonts w:eastAsia="Calibri" w:cs="Arial"/>
          <w:szCs w:val="20"/>
          <w:lang w:eastAsia="sl-SI"/>
        </w:rPr>
        <w:t>, so državna tožilstva v letu poročanja zavrgla ovadbe zoper 2.650 ali 14 % polnoletnih oseb in zoper 7 ali 1 % pravnih oseb. Iz enakega razloga je bilo zavrženih ovadb proti 133 ali 16 % mladoletnikom</w:t>
      </w:r>
      <w:r>
        <w:rPr>
          <w:rFonts w:eastAsia="Calibri" w:cs="Arial"/>
          <w:szCs w:val="20"/>
          <w:lang w:eastAsia="sl-SI"/>
        </w:rPr>
        <w:t xml:space="preserve">. </w:t>
      </w:r>
    </w:p>
    <w:p w:rsidR="00FE5F88" w:rsidRDefault="00FE5F88" w:rsidP="00FE5F88">
      <w:pPr>
        <w:spacing w:line="288" w:lineRule="auto"/>
        <w:jc w:val="both"/>
        <w:rPr>
          <w:rFonts w:eastAsia="Calibri" w:cs="Arial"/>
          <w:szCs w:val="20"/>
          <w:lang w:eastAsia="sl-SI"/>
        </w:rPr>
      </w:pPr>
    </w:p>
    <w:p w:rsidR="00FE5F88" w:rsidRDefault="00FE5F88" w:rsidP="00FE5F88">
      <w:pPr>
        <w:spacing w:line="288" w:lineRule="auto"/>
        <w:jc w:val="both"/>
        <w:rPr>
          <w:rFonts w:eastAsia="Calibri" w:cs="Arial"/>
          <w:szCs w:val="20"/>
          <w:lang w:eastAsia="sl-SI"/>
        </w:rPr>
      </w:pPr>
      <w:r w:rsidRPr="001A24F5">
        <w:rPr>
          <w:rFonts w:eastAsia="Calibri" w:cs="Arial"/>
          <w:szCs w:val="20"/>
          <w:lang w:eastAsia="sl-SI"/>
        </w:rPr>
        <w:t xml:space="preserve">Državni tožilec lahko - ob upoštevanju okoliščin posameznega primera- glede kaznivih dejanj, za katera je predpisana kazen zapora do treh let ali denarna kazen, iz </w:t>
      </w:r>
      <w:r w:rsidRPr="00162626">
        <w:rPr>
          <w:rFonts w:eastAsia="Calibri" w:cs="Arial"/>
          <w:b/>
          <w:bCs/>
          <w:szCs w:val="20"/>
          <w:lang w:eastAsia="sl-SI"/>
        </w:rPr>
        <w:t>razlogov smotrnosti</w:t>
      </w:r>
      <w:r w:rsidRPr="001A24F5">
        <w:rPr>
          <w:rFonts w:eastAsia="Calibri" w:cs="Arial"/>
          <w:szCs w:val="20"/>
          <w:lang w:eastAsia="sl-SI"/>
        </w:rPr>
        <w:t xml:space="preserve"> odloči, da ne bo zahteval uvedbe kazenskega postopka proti mladoletniku. Iz tega razloga je bilo leta 2019 zavrženih 21 ovadb proti mladoletnikom, kar predstavlja 2 % zavrženih ovadb</w:t>
      </w:r>
      <w:r>
        <w:rPr>
          <w:rFonts w:eastAsia="Calibri" w:cs="Arial"/>
          <w:szCs w:val="20"/>
          <w:lang w:eastAsia="sl-SI"/>
        </w:rPr>
        <w:t xml:space="preserve">. </w:t>
      </w:r>
    </w:p>
    <w:p w:rsidR="00FE5F88" w:rsidRPr="001A24F5" w:rsidRDefault="00FE5F88" w:rsidP="00FE5F88">
      <w:pPr>
        <w:spacing w:line="288" w:lineRule="auto"/>
        <w:jc w:val="both"/>
        <w:rPr>
          <w:rFonts w:eastAsia="Calibri" w:cs="Arial"/>
          <w:szCs w:val="20"/>
          <w:lang w:eastAsia="sl-SI"/>
        </w:rPr>
      </w:pPr>
    </w:p>
    <w:p w:rsidR="00FE5F88" w:rsidRPr="001A24F5" w:rsidRDefault="00FE5F88" w:rsidP="00FE5F88">
      <w:pPr>
        <w:spacing w:line="288" w:lineRule="auto"/>
        <w:jc w:val="both"/>
        <w:rPr>
          <w:rFonts w:eastAsia="Calibri" w:cs="Arial"/>
          <w:szCs w:val="20"/>
          <w:lang w:eastAsia="sl-SI"/>
        </w:rPr>
      </w:pPr>
      <w:r w:rsidRPr="001A24F5">
        <w:rPr>
          <w:rFonts w:eastAsia="Calibri" w:cs="Arial"/>
          <w:szCs w:val="20"/>
          <w:lang w:eastAsia="sl-SI"/>
        </w:rPr>
        <w:t xml:space="preserve">Razlog, pri katerem se pojavlja najmanjši delež zavrženja ovadb, je </w:t>
      </w:r>
      <w:r w:rsidRPr="00162626">
        <w:rPr>
          <w:rFonts w:eastAsia="Calibri" w:cs="Arial"/>
          <w:b/>
          <w:bCs/>
          <w:szCs w:val="20"/>
          <w:lang w:eastAsia="sl-SI"/>
        </w:rPr>
        <w:t>zastaranje</w:t>
      </w:r>
      <w:r w:rsidRPr="001A24F5">
        <w:rPr>
          <w:rFonts w:eastAsia="Calibri" w:cs="Arial"/>
          <w:szCs w:val="20"/>
          <w:lang w:eastAsia="sl-SI"/>
        </w:rPr>
        <w:t>, saj znaša delež pri polnoletnih in pravnih osebah manj kot 0,5 %, medtem ko pri mladoletnikih leta 2019 zavrženih ovadb zaradi zastaranja ni bilo. Do zavrženj zaradi zastaranja kazenskega pregona navadno prihaja že ob prejemu kazenske ovadbe, ko se ugotovi, da je do zastaranja prišlo že pred vložitvijo kazenske ovadbe.</w:t>
      </w:r>
    </w:p>
    <w:p w:rsidR="00FE5F88" w:rsidRDefault="00FE5F88" w:rsidP="00FE5F88">
      <w:pPr>
        <w:spacing w:line="288" w:lineRule="auto"/>
        <w:jc w:val="both"/>
        <w:rPr>
          <w:rFonts w:eastAsia="Calibri" w:cs="Arial"/>
          <w:szCs w:val="20"/>
          <w:lang w:eastAsia="sl-SI"/>
        </w:rPr>
      </w:pPr>
    </w:p>
    <w:p w:rsidR="00FE5F88" w:rsidRDefault="00FE5F88" w:rsidP="00FE5F88">
      <w:pPr>
        <w:spacing w:line="288" w:lineRule="auto"/>
        <w:jc w:val="both"/>
        <w:rPr>
          <w:rFonts w:eastAsia="Calibri" w:cs="Arial"/>
          <w:szCs w:val="20"/>
          <w:lang w:eastAsia="sl-SI"/>
        </w:rPr>
      </w:pPr>
      <w:r>
        <w:rPr>
          <w:rFonts w:eastAsia="Calibri" w:cs="Arial"/>
          <w:szCs w:val="20"/>
          <w:lang w:eastAsia="sl-SI"/>
        </w:rPr>
        <w:t>M</w:t>
      </w:r>
      <w:r w:rsidRPr="001A24F5">
        <w:rPr>
          <w:rFonts w:eastAsia="Calibri" w:cs="Arial"/>
          <w:szCs w:val="20"/>
          <w:lang w:eastAsia="sl-SI"/>
        </w:rPr>
        <w:t xml:space="preserve">ed </w:t>
      </w:r>
      <w:r w:rsidRPr="009B4D00">
        <w:rPr>
          <w:rFonts w:eastAsia="Calibri" w:cs="Arial"/>
          <w:b/>
          <w:bCs/>
          <w:szCs w:val="20"/>
          <w:lang w:eastAsia="sl-SI"/>
        </w:rPr>
        <w:t>ovadbe, zavržene iz drugih razlogov</w:t>
      </w:r>
      <w:r w:rsidRPr="001A24F5">
        <w:rPr>
          <w:rFonts w:eastAsia="Calibri" w:cs="Arial"/>
          <w:szCs w:val="20"/>
          <w:lang w:eastAsia="sl-SI"/>
        </w:rPr>
        <w:t>,</w:t>
      </w:r>
      <w:r>
        <w:rPr>
          <w:rFonts w:eastAsia="Calibri" w:cs="Arial"/>
          <w:szCs w:val="20"/>
          <w:lang w:eastAsia="sl-SI"/>
        </w:rPr>
        <w:t xml:space="preserve"> se</w:t>
      </w:r>
      <w:r w:rsidRPr="001A24F5">
        <w:rPr>
          <w:rFonts w:eastAsia="Calibri" w:cs="Arial"/>
          <w:szCs w:val="20"/>
          <w:lang w:eastAsia="sl-SI"/>
        </w:rPr>
        <w:t xml:space="preserve"> uvrščajo predvsem ovadbe, ki so zavržene zaradi nezadostne podlage za utemeljen sum, da je storilec storil naznanjeno kaznivo dejanje, ki se preganja po uradni dolžnosti, ker dejanje iz ovadbe ni kaznivo dejanje ali zaradi drugih okoliščin, ki izključujejo kazenski pregon.</w:t>
      </w:r>
    </w:p>
    <w:p w:rsidR="00FE5F88" w:rsidRDefault="00FE5F88" w:rsidP="00FE5F88">
      <w:pPr>
        <w:spacing w:line="288" w:lineRule="auto"/>
        <w:jc w:val="both"/>
        <w:rPr>
          <w:rFonts w:eastAsia="Calibri" w:cs="Arial"/>
          <w:szCs w:val="20"/>
          <w:lang w:eastAsia="sl-SI"/>
        </w:rPr>
      </w:pPr>
    </w:p>
    <w:p w:rsidR="00FE5F88" w:rsidRDefault="00FE5F88" w:rsidP="00FE5F88">
      <w:pPr>
        <w:spacing w:line="288" w:lineRule="auto"/>
        <w:jc w:val="both"/>
        <w:rPr>
          <w:rFonts w:eastAsia="Calibri" w:cs="Arial"/>
          <w:szCs w:val="20"/>
          <w:lang w:eastAsia="sl-SI"/>
        </w:rPr>
      </w:pPr>
      <w:r w:rsidRPr="001A24F5">
        <w:rPr>
          <w:rFonts w:eastAsia="Calibri" w:cs="Arial"/>
          <w:szCs w:val="20"/>
          <w:lang w:eastAsia="sl-SI"/>
        </w:rPr>
        <w:t xml:space="preserve">Državni tožilci so v največjem deležu </w:t>
      </w:r>
      <w:r w:rsidRPr="009B4D00">
        <w:rPr>
          <w:rFonts w:eastAsia="Calibri" w:cs="Arial"/>
          <w:szCs w:val="20"/>
          <w:lang w:eastAsia="sl-SI"/>
        </w:rPr>
        <w:t>zavrgli ovadbe iz drugih razlogov</w:t>
      </w:r>
      <w:r w:rsidRPr="001A24F5">
        <w:rPr>
          <w:rFonts w:eastAsia="Calibri" w:cs="Arial"/>
          <w:szCs w:val="20"/>
          <w:lang w:eastAsia="sl-SI"/>
        </w:rPr>
        <w:t xml:space="preserve">, med katere se uvrščajo primeri, v katerih zaradi pomanjkanja procesnih in materialnih predpostavk postopka ni bilo mogoče nadaljevati (dejanje ni kaznivo dejanje, ni podan utemeljen sum, da je osumljenec storil kaznivo dejanje, ki se preganja po uradni dolžnosti, druge procesne ovire). Državna tožilstva poročajo, da je največ zavrženj iz drugih razlogov, ker ni podanega utemeljenega suma, da je osumljenec storil naznanjeno kaznivo dejanje. </w:t>
      </w:r>
      <w:r w:rsidR="00C756F2">
        <w:rPr>
          <w:rFonts w:eastAsia="Calibri" w:cs="Arial"/>
          <w:szCs w:val="20"/>
          <w:lang w:eastAsia="sl-SI"/>
        </w:rPr>
        <w:t xml:space="preserve">Tudi </w:t>
      </w:r>
      <w:r w:rsidRPr="001A24F5">
        <w:rPr>
          <w:rFonts w:eastAsia="Calibri" w:cs="Arial"/>
          <w:szCs w:val="20"/>
          <w:lang w:eastAsia="sl-SI"/>
        </w:rPr>
        <w:t>kakovost ovadb lahko vpliva na odločitev državnega tožilca, saj je pomanjkanje dokazov ali neizkazanost ustreznega dokaznega standarda (neobstoj utemeljenega suma) razlog za zavrženje, to pa je lahko tudi posledica neuspešnega dopolnjevanja ovadb.</w:t>
      </w:r>
      <w:r>
        <w:rPr>
          <w:rFonts w:eastAsia="Calibri" w:cs="Arial"/>
          <w:szCs w:val="20"/>
          <w:lang w:eastAsia="sl-SI"/>
        </w:rPr>
        <w:t xml:space="preserve"> </w:t>
      </w:r>
      <w:r w:rsidRPr="001A24F5">
        <w:rPr>
          <w:rFonts w:eastAsia="Calibri" w:cs="Arial"/>
          <w:szCs w:val="20"/>
          <w:lang w:eastAsia="sl-SI"/>
        </w:rPr>
        <w:t xml:space="preserve">Državna tožilstva poročajo, da so ovadbe iz drugih razlogov pogosto zavrgli, kadar je policija </w:t>
      </w:r>
      <w:r w:rsidRPr="001A24F5">
        <w:rPr>
          <w:rFonts w:eastAsia="Calibri" w:cs="Arial"/>
          <w:szCs w:val="20"/>
          <w:lang w:eastAsia="sl-SI"/>
        </w:rPr>
        <w:lastRenderedPageBreak/>
        <w:t>na podlagi desetega odstavka 148. člena ZKP državnemu tožilcu poslala poročilo, saj na podlagi zbranih obvestil ni bilo podlage za kazensko ovadbo. V takšnih primerih je treba vseeno odločiti o kazenski ovadbi oškodovanca. Neutemeljene ovadbe in naznanila, ki se zavračajo iz drugih razlogov, so neredko tudi posledica odškodninskih in drugih spornih civilnopravnih razmerij, ko posamezniki poskušajo doseči poplačilo svojih terjatev ali povrnitev nastale škode v kazenskih postopkih, vendar za uvedbo pregona niso izpolnjeni zakonski pogoji.</w:t>
      </w:r>
      <w:r w:rsidR="00F25413">
        <w:rPr>
          <w:rFonts w:eastAsia="Calibri" w:cs="Arial"/>
          <w:szCs w:val="20"/>
          <w:lang w:eastAsia="sl-SI"/>
        </w:rPr>
        <w:t xml:space="preserve"> Tako</w:t>
      </w:r>
      <w:r>
        <w:rPr>
          <w:rFonts w:eastAsia="Calibri" w:cs="Arial"/>
          <w:szCs w:val="20"/>
          <w:lang w:eastAsia="sl-SI"/>
        </w:rPr>
        <w:t xml:space="preserve"> so d</w:t>
      </w:r>
      <w:r w:rsidRPr="001A24F5">
        <w:rPr>
          <w:rFonts w:eastAsia="Calibri" w:cs="Arial"/>
          <w:szCs w:val="20"/>
          <w:lang w:eastAsia="sl-SI"/>
        </w:rPr>
        <w:t>ržavni tožilci</w:t>
      </w:r>
      <w:r>
        <w:rPr>
          <w:rFonts w:eastAsia="Calibri" w:cs="Arial"/>
          <w:szCs w:val="20"/>
          <w:lang w:eastAsia="sl-SI"/>
        </w:rPr>
        <w:t xml:space="preserve"> l</w:t>
      </w:r>
      <w:r w:rsidRPr="001A24F5">
        <w:rPr>
          <w:rFonts w:eastAsia="Calibri" w:cs="Arial"/>
          <w:szCs w:val="20"/>
          <w:lang w:eastAsia="sl-SI"/>
        </w:rPr>
        <w:t>eta 2019 iz »drugih razlogov« zavrgli ovadbe zoper 10.066 oziroma 61 % polnoletnih storilcev</w:t>
      </w:r>
      <w:r>
        <w:rPr>
          <w:rFonts w:eastAsia="Calibri" w:cs="Arial"/>
          <w:szCs w:val="20"/>
          <w:lang w:eastAsia="sl-SI"/>
        </w:rPr>
        <w:t>.</w:t>
      </w:r>
      <w:r w:rsidRPr="001A24F5">
        <w:rPr>
          <w:rFonts w:eastAsia="Calibri" w:cs="Arial"/>
          <w:szCs w:val="20"/>
          <w:lang w:eastAsia="sl-SI"/>
        </w:rPr>
        <w:t xml:space="preserve"> Tako zavrženih ovadb je bilo 228 ali 27 % proti mladoletnikom in 814 ali 80 % zoper pravne osebe (82 % leta 2018). </w:t>
      </w:r>
    </w:p>
    <w:p w:rsidR="005C3358" w:rsidRDefault="005C3358" w:rsidP="00FE5F88">
      <w:pPr>
        <w:spacing w:line="288" w:lineRule="auto"/>
        <w:jc w:val="both"/>
        <w:rPr>
          <w:rFonts w:eastAsia="Calibri" w:cs="Arial"/>
          <w:szCs w:val="20"/>
          <w:lang w:eastAsia="sl-SI"/>
        </w:rPr>
      </w:pPr>
    </w:p>
    <w:p w:rsidR="005C3358" w:rsidRDefault="005C3358" w:rsidP="005C3358">
      <w:pPr>
        <w:spacing w:line="288" w:lineRule="auto"/>
        <w:ind w:left="-6" w:right="-11"/>
        <w:jc w:val="both"/>
      </w:pPr>
      <w:r>
        <w:t xml:space="preserve">Po podatkih Vrhovnega državnega tožilstva, posredovanih v odzivu št. </w:t>
      </w:r>
      <w:r w:rsidRPr="005C3358">
        <w:t>VDT-Tu-10-1/2/2020/44</w:t>
      </w:r>
      <w:r>
        <w:t xml:space="preserve"> z dne 1.6.2020</w:t>
      </w:r>
      <w:r w:rsidR="00612510">
        <w:t xml:space="preserve"> </w:t>
      </w:r>
      <w:r>
        <w:t>so v spodnji razpredelnici zbirno predstavljeni podatki za obdobje zadnjih petih let, v katerem so državni tožilci zavrgli kazenske ovadbe – šteto po vseh zavrženih kaznivih dejanjih (predstavljeno ločeno po kaznivih dejanjih iz okrajne oziroma okrožne pristojnosti).</w:t>
      </w:r>
    </w:p>
    <w:p w:rsidR="005C3358" w:rsidRDefault="005C3358" w:rsidP="005C3358">
      <w:pPr>
        <w:ind w:left="-5" w:right="-14"/>
      </w:pPr>
    </w:p>
    <w:tbl>
      <w:tblPr>
        <w:tblStyle w:val="TableGrid"/>
        <w:tblW w:w="8761" w:type="dxa"/>
        <w:tblInd w:w="5" w:type="dxa"/>
        <w:tblCellMar>
          <w:top w:w="65" w:type="dxa"/>
          <w:left w:w="62" w:type="dxa"/>
          <w:right w:w="115" w:type="dxa"/>
        </w:tblCellMar>
        <w:tblLook w:val="04A0" w:firstRow="1" w:lastRow="0" w:firstColumn="1" w:lastColumn="0" w:noHBand="0" w:noVBand="1"/>
      </w:tblPr>
      <w:tblGrid>
        <w:gridCol w:w="3250"/>
        <w:gridCol w:w="1904"/>
        <w:gridCol w:w="2003"/>
        <w:gridCol w:w="1604"/>
      </w:tblGrid>
      <w:tr w:rsidR="005C3358" w:rsidRPr="00C756F2" w:rsidTr="00180313">
        <w:trPr>
          <w:trHeight w:val="327"/>
        </w:trPr>
        <w:tc>
          <w:tcPr>
            <w:tcW w:w="3249" w:type="dxa"/>
            <w:tcBorders>
              <w:top w:val="single" w:sz="18" w:space="0" w:color="000000"/>
              <w:left w:val="single" w:sz="18" w:space="0" w:color="000000"/>
              <w:bottom w:val="single" w:sz="18" w:space="0" w:color="000000"/>
              <w:right w:val="single" w:sz="18" w:space="0" w:color="000000"/>
            </w:tcBorders>
            <w:shd w:val="clear" w:color="auto" w:fill="B1B1D2"/>
          </w:tcPr>
          <w:p w:rsidR="005C3358" w:rsidRPr="00C756F2" w:rsidRDefault="005C3358" w:rsidP="00180313">
            <w:pPr>
              <w:spacing w:line="259" w:lineRule="auto"/>
              <w:rPr>
                <w:sz w:val="18"/>
                <w:szCs w:val="18"/>
              </w:rPr>
            </w:pPr>
            <w:r w:rsidRPr="00C756F2">
              <w:rPr>
                <w:sz w:val="18"/>
                <w:szCs w:val="18"/>
              </w:rPr>
              <w:t>LETO / PRISTOJNOST</w:t>
            </w:r>
          </w:p>
        </w:tc>
        <w:tc>
          <w:tcPr>
            <w:tcW w:w="1904" w:type="dxa"/>
            <w:tcBorders>
              <w:top w:val="single" w:sz="18" w:space="0" w:color="000000"/>
              <w:left w:val="single" w:sz="18" w:space="0" w:color="000000"/>
              <w:bottom w:val="single" w:sz="18" w:space="0" w:color="000000"/>
              <w:right w:val="single" w:sz="18" w:space="0" w:color="000000"/>
            </w:tcBorders>
            <w:shd w:val="clear" w:color="auto" w:fill="B1B1D2"/>
          </w:tcPr>
          <w:p w:rsidR="005C3358" w:rsidRPr="00C756F2" w:rsidRDefault="005C3358" w:rsidP="00180313">
            <w:pPr>
              <w:spacing w:line="259" w:lineRule="auto"/>
              <w:ind w:left="99"/>
              <w:jc w:val="center"/>
              <w:rPr>
                <w:sz w:val="18"/>
                <w:szCs w:val="18"/>
              </w:rPr>
            </w:pPr>
            <w:r w:rsidRPr="00C756F2">
              <w:rPr>
                <w:sz w:val="18"/>
                <w:szCs w:val="18"/>
              </w:rPr>
              <w:t>OKRAJNA</w:t>
            </w:r>
          </w:p>
        </w:tc>
        <w:tc>
          <w:tcPr>
            <w:tcW w:w="2003" w:type="dxa"/>
            <w:tcBorders>
              <w:top w:val="single" w:sz="18" w:space="0" w:color="000000"/>
              <w:left w:val="single" w:sz="18" w:space="0" w:color="000000"/>
              <w:bottom w:val="single" w:sz="18" w:space="0" w:color="000000"/>
              <w:right w:val="single" w:sz="18" w:space="0" w:color="000000"/>
            </w:tcBorders>
            <w:shd w:val="clear" w:color="auto" w:fill="B1B1D2"/>
          </w:tcPr>
          <w:p w:rsidR="005C3358" w:rsidRPr="00C756F2" w:rsidRDefault="005C3358" w:rsidP="00180313">
            <w:pPr>
              <w:spacing w:line="259" w:lineRule="auto"/>
              <w:ind w:left="98"/>
              <w:jc w:val="center"/>
              <w:rPr>
                <w:sz w:val="18"/>
                <w:szCs w:val="18"/>
              </w:rPr>
            </w:pPr>
            <w:r w:rsidRPr="00C756F2">
              <w:rPr>
                <w:sz w:val="18"/>
                <w:szCs w:val="18"/>
              </w:rPr>
              <w:t>OKROŽNA</w:t>
            </w:r>
          </w:p>
        </w:tc>
        <w:tc>
          <w:tcPr>
            <w:tcW w:w="1604" w:type="dxa"/>
            <w:tcBorders>
              <w:top w:val="single" w:sz="18" w:space="0" w:color="000000"/>
              <w:left w:val="single" w:sz="18" w:space="0" w:color="000000"/>
              <w:bottom w:val="single" w:sz="18" w:space="0" w:color="000000"/>
              <w:right w:val="single" w:sz="18" w:space="0" w:color="000000"/>
            </w:tcBorders>
            <w:shd w:val="clear" w:color="auto" w:fill="B1B1D2"/>
          </w:tcPr>
          <w:p w:rsidR="005C3358" w:rsidRPr="00C756F2" w:rsidRDefault="005C3358" w:rsidP="00180313">
            <w:pPr>
              <w:spacing w:line="259" w:lineRule="auto"/>
              <w:ind w:left="104"/>
              <w:jc w:val="center"/>
              <w:rPr>
                <w:sz w:val="18"/>
                <w:szCs w:val="18"/>
              </w:rPr>
            </w:pPr>
            <w:r w:rsidRPr="00C756F2">
              <w:rPr>
                <w:sz w:val="18"/>
                <w:szCs w:val="18"/>
              </w:rPr>
              <w:t>SKUPAJ</w:t>
            </w:r>
          </w:p>
        </w:tc>
      </w:tr>
      <w:tr w:rsidR="005C3358" w:rsidRPr="00C756F2" w:rsidTr="00180313">
        <w:trPr>
          <w:trHeight w:val="344"/>
        </w:trPr>
        <w:tc>
          <w:tcPr>
            <w:tcW w:w="3249" w:type="dxa"/>
            <w:tcBorders>
              <w:top w:val="single" w:sz="18" w:space="0" w:color="000000"/>
              <w:left w:val="single" w:sz="18" w:space="0" w:color="000000"/>
              <w:bottom w:val="single" w:sz="18" w:space="0" w:color="000000"/>
              <w:right w:val="single" w:sz="18" w:space="0" w:color="000000"/>
            </w:tcBorders>
          </w:tcPr>
          <w:p w:rsidR="005C3358" w:rsidRPr="00C756F2" w:rsidRDefault="005C3358" w:rsidP="00180313">
            <w:pPr>
              <w:spacing w:line="259" w:lineRule="auto"/>
              <w:rPr>
                <w:sz w:val="18"/>
                <w:szCs w:val="18"/>
              </w:rPr>
            </w:pPr>
            <w:r w:rsidRPr="00C756F2">
              <w:rPr>
                <w:sz w:val="18"/>
                <w:szCs w:val="18"/>
              </w:rPr>
              <w:t>2015</w:t>
            </w:r>
          </w:p>
        </w:tc>
        <w:tc>
          <w:tcPr>
            <w:tcW w:w="1904" w:type="dxa"/>
            <w:tcBorders>
              <w:top w:val="single" w:sz="18" w:space="0" w:color="000000"/>
              <w:left w:val="single" w:sz="18" w:space="0" w:color="000000"/>
              <w:bottom w:val="single" w:sz="18" w:space="0" w:color="000000"/>
              <w:right w:val="single" w:sz="18" w:space="0" w:color="000000"/>
            </w:tcBorders>
          </w:tcPr>
          <w:p w:rsidR="005C3358" w:rsidRPr="00C756F2" w:rsidRDefault="005C3358" w:rsidP="00180313">
            <w:pPr>
              <w:spacing w:line="259" w:lineRule="auto"/>
              <w:ind w:left="98"/>
              <w:jc w:val="center"/>
              <w:rPr>
                <w:sz w:val="18"/>
                <w:szCs w:val="18"/>
              </w:rPr>
            </w:pPr>
            <w:r w:rsidRPr="00C756F2">
              <w:rPr>
                <w:sz w:val="18"/>
                <w:szCs w:val="18"/>
              </w:rPr>
              <w:t>27.975</w:t>
            </w:r>
          </w:p>
        </w:tc>
        <w:tc>
          <w:tcPr>
            <w:tcW w:w="2003" w:type="dxa"/>
            <w:tcBorders>
              <w:top w:val="single" w:sz="18" w:space="0" w:color="000000"/>
              <w:left w:val="single" w:sz="18" w:space="0" w:color="000000"/>
              <w:bottom w:val="single" w:sz="18" w:space="0" w:color="000000"/>
              <w:right w:val="single" w:sz="18" w:space="0" w:color="000000"/>
            </w:tcBorders>
          </w:tcPr>
          <w:p w:rsidR="005C3358" w:rsidRPr="00C756F2" w:rsidRDefault="005C3358" w:rsidP="00180313">
            <w:pPr>
              <w:spacing w:line="259" w:lineRule="auto"/>
              <w:ind w:left="98"/>
              <w:jc w:val="center"/>
              <w:rPr>
                <w:sz w:val="18"/>
                <w:szCs w:val="18"/>
              </w:rPr>
            </w:pPr>
            <w:r w:rsidRPr="00C756F2">
              <w:rPr>
                <w:sz w:val="18"/>
                <w:szCs w:val="18"/>
              </w:rPr>
              <w:t>6.260</w:t>
            </w:r>
          </w:p>
        </w:tc>
        <w:tc>
          <w:tcPr>
            <w:tcW w:w="1604" w:type="dxa"/>
            <w:tcBorders>
              <w:top w:val="single" w:sz="18" w:space="0" w:color="000000"/>
              <w:left w:val="single" w:sz="18" w:space="0" w:color="000000"/>
              <w:bottom w:val="single" w:sz="18" w:space="0" w:color="000000"/>
              <w:right w:val="single" w:sz="18" w:space="0" w:color="000000"/>
            </w:tcBorders>
          </w:tcPr>
          <w:p w:rsidR="005C3358" w:rsidRPr="00C756F2" w:rsidRDefault="005C3358" w:rsidP="00180313">
            <w:pPr>
              <w:spacing w:line="259" w:lineRule="auto"/>
              <w:ind w:left="104"/>
              <w:jc w:val="center"/>
              <w:rPr>
                <w:sz w:val="18"/>
                <w:szCs w:val="18"/>
              </w:rPr>
            </w:pPr>
            <w:r w:rsidRPr="00C756F2">
              <w:rPr>
                <w:sz w:val="18"/>
                <w:szCs w:val="18"/>
              </w:rPr>
              <w:t>34.235</w:t>
            </w:r>
          </w:p>
        </w:tc>
      </w:tr>
      <w:tr w:rsidR="005C3358" w:rsidRPr="00C756F2" w:rsidTr="00180313">
        <w:trPr>
          <w:trHeight w:val="338"/>
        </w:trPr>
        <w:tc>
          <w:tcPr>
            <w:tcW w:w="3249" w:type="dxa"/>
            <w:tcBorders>
              <w:top w:val="single" w:sz="18" w:space="0" w:color="000000"/>
              <w:left w:val="single" w:sz="18" w:space="0" w:color="000000"/>
              <w:bottom w:val="single" w:sz="18" w:space="0" w:color="000000"/>
              <w:right w:val="single" w:sz="18" w:space="0" w:color="000000"/>
            </w:tcBorders>
          </w:tcPr>
          <w:p w:rsidR="005C3358" w:rsidRPr="00C756F2" w:rsidRDefault="005C3358" w:rsidP="00180313">
            <w:pPr>
              <w:spacing w:line="259" w:lineRule="auto"/>
              <w:rPr>
                <w:sz w:val="18"/>
                <w:szCs w:val="18"/>
              </w:rPr>
            </w:pPr>
            <w:r w:rsidRPr="00C756F2">
              <w:rPr>
                <w:sz w:val="18"/>
                <w:szCs w:val="18"/>
              </w:rPr>
              <w:t>2016</w:t>
            </w:r>
          </w:p>
        </w:tc>
        <w:tc>
          <w:tcPr>
            <w:tcW w:w="1904" w:type="dxa"/>
            <w:tcBorders>
              <w:top w:val="single" w:sz="18" w:space="0" w:color="000000"/>
              <w:left w:val="single" w:sz="18" w:space="0" w:color="000000"/>
              <w:bottom w:val="single" w:sz="18" w:space="0" w:color="000000"/>
              <w:right w:val="single" w:sz="18" w:space="0" w:color="000000"/>
            </w:tcBorders>
          </w:tcPr>
          <w:p w:rsidR="005C3358" w:rsidRPr="00C756F2" w:rsidRDefault="005C3358" w:rsidP="00180313">
            <w:pPr>
              <w:spacing w:line="259" w:lineRule="auto"/>
              <w:ind w:left="98"/>
              <w:jc w:val="center"/>
              <w:rPr>
                <w:sz w:val="18"/>
                <w:szCs w:val="18"/>
              </w:rPr>
            </w:pPr>
            <w:r w:rsidRPr="00C756F2">
              <w:rPr>
                <w:sz w:val="18"/>
                <w:szCs w:val="18"/>
              </w:rPr>
              <w:t>26.806</w:t>
            </w:r>
          </w:p>
        </w:tc>
        <w:tc>
          <w:tcPr>
            <w:tcW w:w="2003" w:type="dxa"/>
            <w:tcBorders>
              <w:top w:val="single" w:sz="18" w:space="0" w:color="000000"/>
              <w:left w:val="single" w:sz="18" w:space="0" w:color="000000"/>
              <w:bottom w:val="single" w:sz="18" w:space="0" w:color="000000"/>
              <w:right w:val="single" w:sz="18" w:space="0" w:color="000000"/>
            </w:tcBorders>
          </w:tcPr>
          <w:p w:rsidR="005C3358" w:rsidRPr="00C756F2" w:rsidRDefault="005C3358" w:rsidP="00180313">
            <w:pPr>
              <w:spacing w:line="259" w:lineRule="auto"/>
              <w:ind w:left="98"/>
              <w:jc w:val="center"/>
              <w:rPr>
                <w:sz w:val="18"/>
                <w:szCs w:val="18"/>
              </w:rPr>
            </w:pPr>
            <w:r w:rsidRPr="00C756F2">
              <w:rPr>
                <w:sz w:val="18"/>
                <w:szCs w:val="18"/>
              </w:rPr>
              <w:t>5.886</w:t>
            </w:r>
          </w:p>
        </w:tc>
        <w:tc>
          <w:tcPr>
            <w:tcW w:w="1604" w:type="dxa"/>
            <w:tcBorders>
              <w:top w:val="single" w:sz="18" w:space="0" w:color="000000"/>
              <w:left w:val="single" w:sz="18" w:space="0" w:color="000000"/>
              <w:bottom w:val="single" w:sz="18" w:space="0" w:color="000000"/>
              <w:right w:val="single" w:sz="18" w:space="0" w:color="000000"/>
            </w:tcBorders>
          </w:tcPr>
          <w:p w:rsidR="005C3358" w:rsidRPr="00C756F2" w:rsidRDefault="005C3358" w:rsidP="00180313">
            <w:pPr>
              <w:spacing w:line="259" w:lineRule="auto"/>
              <w:ind w:left="104"/>
              <w:jc w:val="center"/>
              <w:rPr>
                <w:sz w:val="18"/>
                <w:szCs w:val="18"/>
              </w:rPr>
            </w:pPr>
            <w:r w:rsidRPr="00C756F2">
              <w:rPr>
                <w:sz w:val="18"/>
                <w:szCs w:val="18"/>
              </w:rPr>
              <w:t>32.692</w:t>
            </w:r>
          </w:p>
        </w:tc>
      </w:tr>
      <w:tr w:rsidR="005C3358" w:rsidRPr="00C756F2" w:rsidTr="00180313">
        <w:trPr>
          <w:trHeight w:val="338"/>
        </w:trPr>
        <w:tc>
          <w:tcPr>
            <w:tcW w:w="3249" w:type="dxa"/>
            <w:tcBorders>
              <w:top w:val="single" w:sz="18" w:space="0" w:color="000000"/>
              <w:left w:val="single" w:sz="18" w:space="0" w:color="000000"/>
              <w:bottom w:val="single" w:sz="18" w:space="0" w:color="000000"/>
              <w:right w:val="single" w:sz="18" w:space="0" w:color="000000"/>
            </w:tcBorders>
          </w:tcPr>
          <w:p w:rsidR="005C3358" w:rsidRPr="00C756F2" w:rsidRDefault="005C3358" w:rsidP="00180313">
            <w:pPr>
              <w:spacing w:line="259" w:lineRule="auto"/>
              <w:rPr>
                <w:sz w:val="18"/>
                <w:szCs w:val="18"/>
              </w:rPr>
            </w:pPr>
            <w:r w:rsidRPr="00C756F2">
              <w:rPr>
                <w:sz w:val="18"/>
                <w:szCs w:val="18"/>
              </w:rPr>
              <w:t>2017</w:t>
            </w:r>
          </w:p>
        </w:tc>
        <w:tc>
          <w:tcPr>
            <w:tcW w:w="1904" w:type="dxa"/>
            <w:tcBorders>
              <w:top w:val="single" w:sz="18" w:space="0" w:color="000000"/>
              <w:left w:val="single" w:sz="18" w:space="0" w:color="000000"/>
              <w:bottom w:val="single" w:sz="18" w:space="0" w:color="000000"/>
              <w:right w:val="single" w:sz="18" w:space="0" w:color="000000"/>
            </w:tcBorders>
          </w:tcPr>
          <w:p w:rsidR="005C3358" w:rsidRPr="00C756F2" w:rsidRDefault="005C3358" w:rsidP="00180313">
            <w:pPr>
              <w:spacing w:line="259" w:lineRule="auto"/>
              <w:ind w:left="98"/>
              <w:jc w:val="center"/>
              <w:rPr>
                <w:sz w:val="18"/>
                <w:szCs w:val="18"/>
              </w:rPr>
            </w:pPr>
            <w:r w:rsidRPr="00C756F2">
              <w:rPr>
                <w:sz w:val="18"/>
                <w:szCs w:val="18"/>
              </w:rPr>
              <w:t>23.782</w:t>
            </w:r>
          </w:p>
        </w:tc>
        <w:tc>
          <w:tcPr>
            <w:tcW w:w="2003" w:type="dxa"/>
            <w:tcBorders>
              <w:top w:val="single" w:sz="18" w:space="0" w:color="000000"/>
              <w:left w:val="single" w:sz="18" w:space="0" w:color="000000"/>
              <w:bottom w:val="single" w:sz="18" w:space="0" w:color="000000"/>
              <w:right w:val="single" w:sz="18" w:space="0" w:color="000000"/>
            </w:tcBorders>
          </w:tcPr>
          <w:p w:rsidR="005C3358" w:rsidRPr="00C756F2" w:rsidRDefault="005C3358" w:rsidP="00180313">
            <w:pPr>
              <w:spacing w:line="259" w:lineRule="auto"/>
              <w:ind w:left="98"/>
              <w:jc w:val="center"/>
              <w:rPr>
                <w:sz w:val="18"/>
                <w:szCs w:val="18"/>
              </w:rPr>
            </w:pPr>
            <w:r w:rsidRPr="00C756F2">
              <w:rPr>
                <w:sz w:val="18"/>
                <w:szCs w:val="18"/>
              </w:rPr>
              <w:t>5.187</w:t>
            </w:r>
          </w:p>
        </w:tc>
        <w:tc>
          <w:tcPr>
            <w:tcW w:w="1604" w:type="dxa"/>
            <w:tcBorders>
              <w:top w:val="single" w:sz="18" w:space="0" w:color="000000"/>
              <w:left w:val="single" w:sz="18" w:space="0" w:color="000000"/>
              <w:bottom w:val="single" w:sz="18" w:space="0" w:color="000000"/>
              <w:right w:val="single" w:sz="18" w:space="0" w:color="000000"/>
            </w:tcBorders>
          </w:tcPr>
          <w:p w:rsidR="005C3358" w:rsidRPr="00C756F2" w:rsidRDefault="005C3358" w:rsidP="00180313">
            <w:pPr>
              <w:spacing w:line="259" w:lineRule="auto"/>
              <w:ind w:left="104"/>
              <w:jc w:val="center"/>
              <w:rPr>
                <w:sz w:val="18"/>
                <w:szCs w:val="18"/>
              </w:rPr>
            </w:pPr>
            <w:r w:rsidRPr="00C756F2">
              <w:rPr>
                <w:sz w:val="18"/>
                <w:szCs w:val="18"/>
              </w:rPr>
              <w:t>28.969</w:t>
            </w:r>
          </w:p>
        </w:tc>
      </w:tr>
      <w:tr w:rsidR="005C3358" w:rsidRPr="00C756F2" w:rsidTr="00180313">
        <w:trPr>
          <w:trHeight w:val="338"/>
        </w:trPr>
        <w:tc>
          <w:tcPr>
            <w:tcW w:w="3249" w:type="dxa"/>
            <w:tcBorders>
              <w:top w:val="single" w:sz="18" w:space="0" w:color="000000"/>
              <w:left w:val="single" w:sz="18" w:space="0" w:color="000000"/>
              <w:bottom w:val="single" w:sz="18" w:space="0" w:color="000000"/>
              <w:right w:val="single" w:sz="18" w:space="0" w:color="000000"/>
            </w:tcBorders>
          </w:tcPr>
          <w:p w:rsidR="005C3358" w:rsidRPr="00C756F2" w:rsidRDefault="005C3358" w:rsidP="00180313">
            <w:pPr>
              <w:spacing w:line="259" w:lineRule="auto"/>
              <w:rPr>
                <w:sz w:val="18"/>
                <w:szCs w:val="18"/>
              </w:rPr>
            </w:pPr>
            <w:r w:rsidRPr="00C756F2">
              <w:rPr>
                <w:sz w:val="18"/>
                <w:szCs w:val="18"/>
              </w:rPr>
              <w:t>2018</w:t>
            </w:r>
          </w:p>
        </w:tc>
        <w:tc>
          <w:tcPr>
            <w:tcW w:w="1904" w:type="dxa"/>
            <w:tcBorders>
              <w:top w:val="single" w:sz="18" w:space="0" w:color="000000"/>
              <w:left w:val="single" w:sz="18" w:space="0" w:color="000000"/>
              <w:bottom w:val="single" w:sz="18" w:space="0" w:color="000000"/>
              <w:right w:val="single" w:sz="18" w:space="0" w:color="000000"/>
            </w:tcBorders>
          </w:tcPr>
          <w:p w:rsidR="005C3358" w:rsidRPr="00C756F2" w:rsidRDefault="005C3358" w:rsidP="00180313">
            <w:pPr>
              <w:spacing w:line="259" w:lineRule="auto"/>
              <w:ind w:left="98"/>
              <w:jc w:val="center"/>
              <w:rPr>
                <w:sz w:val="18"/>
                <w:szCs w:val="18"/>
              </w:rPr>
            </w:pPr>
            <w:r w:rsidRPr="00C756F2">
              <w:rPr>
                <w:sz w:val="18"/>
                <w:szCs w:val="18"/>
              </w:rPr>
              <w:t>25.566</w:t>
            </w:r>
          </w:p>
        </w:tc>
        <w:tc>
          <w:tcPr>
            <w:tcW w:w="2003" w:type="dxa"/>
            <w:tcBorders>
              <w:top w:val="single" w:sz="18" w:space="0" w:color="000000"/>
              <w:left w:val="single" w:sz="18" w:space="0" w:color="000000"/>
              <w:bottom w:val="single" w:sz="18" w:space="0" w:color="000000"/>
              <w:right w:val="single" w:sz="18" w:space="0" w:color="000000"/>
            </w:tcBorders>
          </w:tcPr>
          <w:p w:rsidR="005C3358" w:rsidRPr="00C756F2" w:rsidRDefault="005C3358" w:rsidP="00180313">
            <w:pPr>
              <w:spacing w:line="259" w:lineRule="auto"/>
              <w:ind w:left="98"/>
              <w:jc w:val="center"/>
              <w:rPr>
                <w:sz w:val="18"/>
                <w:szCs w:val="18"/>
              </w:rPr>
            </w:pPr>
            <w:r w:rsidRPr="00C756F2">
              <w:rPr>
                <w:sz w:val="18"/>
                <w:szCs w:val="18"/>
              </w:rPr>
              <w:t>4.913</w:t>
            </w:r>
          </w:p>
        </w:tc>
        <w:tc>
          <w:tcPr>
            <w:tcW w:w="1604" w:type="dxa"/>
            <w:tcBorders>
              <w:top w:val="single" w:sz="18" w:space="0" w:color="000000"/>
              <w:left w:val="single" w:sz="18" w:space="0" w:color="000000"/>
              <w:bottom w:val="single" w:sz="18" w:space="0" w:color="000000"/>
              <w:right w:val="single" w:sz="18" w:space="0" w:color="000000"/>
            </w:tcBorders>
          </w:tcPr>
          <w:p w:rsidR="005C3358" w:rsidRPr="00C756F2" w:rsidRDefault="005C3358" w:rsidP="00180313">
            <w:pPr>
              <w:spacing w:line="259" w:lineRule="auto"/>
              <w:ind w:left="104"/>
              <w:jc w:val="center"/>
              <w:rPr>
                <w:sz w:val="18"/>
                <w:szCs w:val="18"/>
              </w:rPr>
            </w:pPr>
            <w:r w:rsidRPr="00C756F2">
              <w:rPr>
                <w:sz w:val="18"/>
                <w:szCs w:val="18"/>
              </w:rPr>
              <w:t>30.479</w:t>
            </w:r>
          </w:p>
        </w:tc>
      </w:tr>
      <w:tr w:rsidR="005C3358" w:rsidRPr="00C756F2" w:rsidTr="00180313">
        <w:trPr>
          <w:trHeight w:val="338"/>
        </w:trPr>
        <w:tc>
          <w:tcPr>
            <w:tcW w:w="3249" w:type="dxa"/>
            <w:tcBorders>
              <w:top w:val="single" w:sz="18" w:space="0" w:color="000000"/>
              <w:left w:val="single" w:sz="18" w:space="0" w:color="000000"/>
              <w:bottom w:val="single" w:sz="18" w:space="0" w:color="000000"/>
              <w:right w:val="single" w:sz="18" w:space="0" w:color="000000"/>
            </w:tcBorders>
          </w:tcPr>
          <w:p w:rsidR="005C3358" w:rsidRPr="00C756F2" w:rsidRDefault="005C3358" w:rsidP="00180313">
            <w:pPr>
              <w:spacing w:line="259" w:lineRule="auto"/>
              <w:rPr>
                <w:sz w:val="18"/>
                <w:szCs w:val="18"/>
              </w:rPr>
            </w:pPr>
            <w:r w:rsidRPr="00C756F2">
              <w:rPr>
                <w:sz w:val="18"/>
                <w:szCs w:val="18"/>
              </w:rPr>
              <w:t>2019</w:t>
            </w:r>
          </w:p>
        </w:tc>
        <w:tc>
          <w:tcPr>
            <w:tcW w:w="1904" w:type="dxa"/>
            <w:tcBorders>
              <w:top w:val="single" w:sz="18" w:space="0" w:color="000000"/>
              <w:left w:val="single" w:sz="18" w:space="0" w:color="000000"/>
              <w:bottom w:val="single" w:sz="18" w:space="0" w:color="000000"/>
              <w:right w:val="single" w:sz="18" w:space="0" w:color="000000"/>
            </w:tcBorders>
          </w:tcPr>
          <w:p w:rsidR="005C3358" w:rsidRPr="00C756F2" w:rsidRDefault="005C3358" w:rsidP="00180313">
            <w:pPr>
              <w:spacing w:line="259" w:lineRule="auto"/>
              <w:ind w:left="98"/>
              <w:jc w:val="center"/>
              <w:rPr>
                <w:sz w:val="18"/>
                <w:szCs w:val="18"/>
              </w:rPr>
            </w:pPr>
            <w:r w:rsidRPr="00C756F2">
              <w:rPr>
                <w:sz w:val="18"/>
                <w:szCs w:val="18"/>
              </w:rPr>
              <w:t>26.127</w:t>
            </w:r>
          </w:p>
        </w:tc>
        <w:tc>
          <w:tcPr>
            <w:tcW w:w="2003" w:type="dxa"/>
            <w:tcBorders>
              <w:top w:val="single" w:sz="18" w:space="0" w:color="000000"/>
              <w:left w:val="single" w:sz="18" w:space="0" w:color="000000"/>
              <w:bottom w:val="single" w:sz="18" w:space="0" w:color="000000"/>
              <w:right w:val="single" w:sz="18" w:space="0" w:color="000000"/>
            </w:tcBorders>
          </w:tcPr>
          <w:p w:rsidR="005C3358" w:rsidRPr="00C756F2" w:rsidRDefault="005C3358" w:rsidP="00180313">
            <w:pPr>
              <w:spacing w:line="259" w:lineRule="auto"/>
              <w:ind w:left="98"/>
              <w:jc w:val="center"/>
              <w:rPr>
                <w:sz w:val="18"/>
                <w:szCs w:val="18"/>
              </w:rPr>
            </w:pPr>
            <w:r w:rsidRPr="00C756F2">
              <w:rPr>
                <w:sz w:val="18"/>
                <w:szCs w:val="18"/>
              </w:rPr>
              <w:t>4.945</w:t>
            </w:r>
          </w:p>
        </w:tc>
        <w:tc>
          <w:tcPr>
            <w:tcW w:w="1604" w:type="dxa"/>
            <w:tcBorders>
              <w:top w:val="single" w:sz="18" w:space="0" w:color="000000"/>
              <w:left w:val="single" w:sz="18" w:space="0" w:color="000000"/>
              <w:bottom w:val="single" w:sz="18" w:space="0" w:color="000000"/>
              <w:right w:val="single" w:sz="18" w:space="0" w:color="000000"/>
            </w:tcBorders>
          </w:tcPr>
          <w:p w:rsidR="005C3358" w:rsidRPr="00C756F2" w:rsidRDefault="005C3358" w:rsidP="00180313">
            <w:pPr>
              <w:spacing w:line="259" w:lineRule="auto"/>
              <w:ind w:left="104"/>
              <w:jc w:val="center"/>
              <w:rPr>
                <w:sz w:val="18"/>
                <w:szCs w:val="18"/>
              </w:rPr>
            </w:pPr>
            <w:r w:rsidRPr="00C756F2">
              <w:rPr>
                <w:sz w:val="18"/>
                <w:szCs w:val="18"/>
              </w:rPr>
              <w:t>31.072</w:t>
            </w:r>
          </w:p>
        </w:tc>
      </w:tr>
    </w:tbl>
    <w:p w:rsidR="005C3358" w:rsidRDefault="005C3358" w:rsidP="00FE5F88">
      <w:pPr>
        <w:spacing w:line="288" w:lineRule="auto"/>
        <w:jc w:val="both"/>
        <w:rPr>
          <w:rFonts w:eastAsia="Calibri" w:cs="Arial"/>
          <w:szCs w:val="20"/>
          <w:lang w:eastAsia="sl-SI"/>
        </w:rPr>
      </w:pPr>
    </w:p>
    <w:p w:rsidR="00612510" w:rsidRPr="00612510" w:rsidRDefault="00612510" w:rsidP="00C756F2">
      <w:pPr>
        <w:spacing w:after="377" w:line="265" w:lineRule="auto"/>
        <w:jc w:val="both"/>
        <w:rPr>
          <w:color w:val="010000"/>
          <w:szCs w:val="20"/>
        </w:rPr>
      </w:pPr>
      <w:r w:rsidRPr="00612510">
        <w:rPr>
          <w:color w:val="010000"/>
          <w:szCs w:val="20"/>
        </w:rPr>
        <w:t>Po podatkih (VDT-Tu-10-1/2/2020/48 z dne 3. 6. 2020) o skupnem številu vseh kaznivih dejanj, ki so jih državni tožilci zavrgli v obdobju med 2015 in 2019 (zajeti so tudi podatki za obdobje januar – maj 2020)</w:t>
      </w:r>
      <w:r w:rsidR="008D35C2">
        <w:rPr>
          <w:color w:val="010000"/>
          <w:szCs w:val="20"/>
        </w:rPr>
        <w:t>,</w:t>
      </w:r>
      <w:r w:rsidRPr="00612510">
        <w:rPr>
          <w:color w:val="010000"/>
          <w:szCs w:val="20"/>
        </w:rPr>
        <w:t xml:space="preserve"> se prikazuje skupna vsota vseh kaznivih dejanj, ki so bila predmet zavrženj v navedenem obdobju, in znaša 169.575, pri čemer vsota zajema vsa kazniva dejanja iz okrajne pristojnosti ter okrožne pristojnosti. </w:t>
      </w:r>
    </w:p>
    <w:p w:rsidR="00612510" w:rsidRPr="00612510" w:rsidRDefault="00612510" w:rsidP="00612510">
      <w:pPr>
        <w:spacing w:after="352" w:line="288" w:lineRule="auto"/>
        <w:ind w:left="-5" w:right="-15" w:hanging="10"/>
        <w:jc w:val="both"/>
        <w:rPr>
          <w:szCs w:val="20"/>
        </w:rPr>
      </w:pPr>
      <w:r w:rsidRPr="00612510">
        <w:rPr>
          <w:szCs w:val="20"/>
        </w:rPr>
        <w:t>V spodnji tabeli so prikazani statistični podatki, ki se vodijo po ovadenih osebah, pri čemer je podatek vezan na glavno kaznivo dejanje na obdolženca (primerljiva metodologija kot se uporablja pri Skupnem letnem poročilu o delu državnih tožilstev).</w:t>
      </w:r>
      <w:r w:rsidRPr="00612510">
        <w:rPr>
          <w:color w:val="010000"/>
          <w:szCs w:val="20"/>
        </w:rPr>
        <w:t xml:space="preserve"> </w:t>
      </w:r>
    </w:p>
    <w:tbl>
      <w:tblPr>
        <w:tblStyle w:val="TableGrid"/>
        <w:tblW w:w="8641" w:type="dxa"/>
        <w:tblInd w:w="1" w:type="dxa"/>
        <w:tblCellMar>
          <w:top w:w="52" w:type="dxa"/>
          <w:left w:w="69" w:type="dxa"/>
          <w:bottom w:w="4" w:type="dxa"/>
          <w:right w:w="104" w:type="dxa"/>
        </w:tblCellMar>
        <w:tblLook w:val="04A0" w:firstRow="1" w:lastRow="0" w:firstColumn="1" w:lastColumn="0" w:noHBand="0" w:noVBand="1"/>
      </w:tblPr>
      <w:tblGrid>
        <w:gridCol w:w="6007"/>
        <w:gridCol w:w="1201"/>
        <w:gridCol w:w="1433"/>
      </w:tblGrid>
      <w:tr w:rsidR="00612510" w:rsidTr="00F25413">
        <w:trPr>
          <w:trHeight w:val="593"/>
        </w:trPr>
        <w:tc>
          <w:tcPr>
            <w:tcW w:w="6007" w:type="dxa"/>
            <w:tcBorders>
              <w:top w:val="single" w:sz="4" w:space="0" w:color="000000"/>
              <w:left w:val="single" w:sz="4" w:space="0" w:color="000000"/>
              <w:bottom w:val="single" w:sz="4" w:space="0" w:color="000000"/>
              <w:right w:val="single" w:sz="4" w:space="0" w:color="000000"/>
            </w:tcBorders>
            <w:shd w:val="clear" w:color="auto" w:fill="BDD7EE"/>
            <w:vAlign w:val="bottom"/>
          </w:tcPr>
          <w:p w:rsidR="00612510" w:rsidRPr="00C756F2" w:rsidRDefault="00C756F2" w:rsidP="00180313">
            <w:pPr>
              <w:rPr>
                <w:sz w:val="18"/>
                <w:szCs w:val="18"/>
              </w:rPr>
            </w:pPr>
            <w:r w:rsidRPr="00C756F2">
              <w:rPr>
                <w:b/>
                <w:sz w:val="18"/>
                <w:szCs w:val="18"/>
              </w:rPr>
              <w:t>ZAVRŽENE OVADBE SKUPAJ - 2019</w:t>
            </w:r>
          </w:p>
        </w:tc>
        <w:tc>
          <w:tcPr>
            <w:tcW w:w="1201" w:type="dxa"/>
            <w:tcBorders>
              <w:top w:val="single" w:sz="4" w:space="0" w:color="000000"/>
              <w:left w:val="single" w:sz="4" w:space="0" w:color="000000"/>
              <w:bottom w:val="single" w:sz="4" w:space="0" w:color="000000"/>
              <w:right w:val="single" w:sz="4" w:space="0" w:color="000000"/>
            </w:tcBorders>
            <w:shd w:val="clear" w:color="auto" w:fill="BDD7EE"/>
            <w:vAlign w:val="bottom"/>
          </w:tcPr>
          <w:p w:rsidR="00612510" w:rsidRPr="00C756F2" w:rsidRDefault="00612510" w:rsidP="00180313">
            <w:pPr>
              <w:ind w:left="49"/>
              <w:jc w:val="center"/>
              <w:rPr>
                <w:sz w:val="18"/>
                <w:szCs w:val="18"/>
              </w:rPr>
            </w:pPr>
            <w:r w:rsidRPr="00C756F2">
              <w:rPr>
                <w:b/>
                <w:sz w:val="18"/>
                <w:szCs w:val="18"/>
              </w:rPr>
              <w:t>18.423</w:t>
            </w:r>
          </w:p>
        </w:tc>
        <w:tc>
          <w:tcPr>
            <w:tcW w:w="1433" w:type="dxa"/>
            <w:tcBorders>
              <w:top w:val="single" w:sz="4" w:space="0" w:color="000000"/>
              <w:left w:val="single" w:sz="4" w:space="0" w:color="000000"/>
              <w:bottom w:val="single" w:sz="4" w:space="0" w:color="000000"/>
              <w:right w:val="single" w:sz="4" w:space="0" w:color="000000"/>
            </w:tcBorders>
            <w:shd w:val="clear" w:color="auto" w:fill="BDD7EE"/>
          </w:tcPr>
          <w:p w:rsidR="00612510" w:rsidRPr="00C756F2" w:rsidRDefault="00612510" w:rsidP="00180313">
            <w:pPr>
              <w:jc w:val="center"/>
              <w:rPr>
                <w:sz w:val="18"/>
                <w:szCs w:val="18"/>
              </w:rPr>
            </w:pPr>
            <w:r w:rsidRPr="00C756F2">
              <w:rPr>
                <w:b/>
                <w:sz w:val="18"/>
                <w:szCs w:val="18"/>
              </w:rPr>
              <w:t>Odstotek od zavrženih</w:t>
            </w:r>
          </w:p>
        </w:tc>
      </w:tr>
      <w:tr w:rsidR="00612510" w:rsidTr="00F25413">
        <w:trPr>
          <w:trHeight w:val="302"/>
        </w:trPr>
        <w:tc>
          <w:tcPr>
            <w:tcW w:w="6007" w:type="dxa"/>
            <w:tcBorders>
              <w:top w:val="single" w:sz="4" w:space="0" w:color="000000"/>
              <w:left w:val="single" w:sz="4" w:space="0" w:color="000000"/>
              <w:bottom w:val="single" w:sz="4" w:space="0" w:color="000000"/>
              <w:right w:val="single" w:sz="4" w:space="0" w:color="000000"/>
            </w:tcBorders>
            <w:shd w:val="clear" w:color="auto" w:fill="auto"/>
          </w:tcPr>
          <w:p w:rsidR="00612510" w:rsidRPr="00C756F2" w:rsidRDefault="00C756F2" w:rsidP="00180313">
            <w:pPr>
              <w:rPr>
                <w:sz w:val="18"/>
                <w:szCs w:val="18"/>
              </w:rPr>
            </w:pPr>
            <w:r w:rsidRPr="00C756F2">
              <w:rPr>
                <w:sz w:val="18"/>
                <w:szCs w:val="18"/>
              </w:rPr>
              <w:t>NI UTEMELJENEGA SUMA</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612510" w:rsidRPr="00C756F2" w:rsidRDefault="00612510" w:rsidP="00180313">
            <w:pPr>
              <w:ind w:left="38"/>
              <w:jc w:val="center"/>
              <w:rPr>
                <w:sz w:val="18"/>
                <w:szCs w:val="18"/>
              </w:rPr>
            </w:pPr>
            <w:r w:rsidRPr="00C756F2">
              <w:rPr>
                <w:sz w:val="18"/>
                <w:szCs w:val="18"/>
              </w:rPr>
              <w:t>7.423</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612510" w:rsidRPr="00C756F2" w:rsidRDefault="00612510" w:rsidP="00180313">
            <w:pPr>
              <w:ind w:left="38"/>
              <w:jc w:val="center"/>
              <w:rPr>
                <w:sz w:val="18"/>
                <w:szCs w:val="18"/>
              </w:rPr>
            </w:pPr>
            <w:r w:rsidRPr="00C756F2">
              <w:rPr>
                <w:sz w:val="18"/>
                <w:szCs w:val="18"/>
              </w:rPr>
              <w:t>40</w:t>
            </w:r>
          </w:p>
        </w:tc>
      </w:tr>
      <w:tr w:rsidR="00612510" w:rsidTr="00F25413">
        <w:trPr>
          <w:trHeight w:val="596"/>
        </w:trPr>
        <w:tc>
          <w:tcPr>
            <w:tcW w:w="6007" w:type="dxa"/>
            <w:tcBorders>
              <w:top w:val="single" w:sz="4" w:space="0" w:color="000000"/>
              <w:left w:val="single" w:sz="4" w:space="0" w:color="000000"/>
              <w:bottom w:val="single" w:sz="4" w:space="0" w:color="000000"/>
              <w:right w:val="single" w:sz="4" w:space="0" w:color="000000"/>
            </w:tcBorders>
            <w:shd w:val="clear" w:color="auto" w:fill="auto"/>
          </w:tcPr>
          <w:p w:rsidR="00612510" w:rsidRPr="00C756F2" w:rsidRDefault="00C756F2" w:rsidP="00180313">
            <w:pPr>
              <w:rPr>
                <w:sz w:val="18"/>
                <w:szCs w:val="18"/>
              </w:rPr>
            </w:pPr>
            <w:r w:rsidRPr="00C756F2">
              <w:rPr>
                <w:sz w:val="18"/>
                <w:szCs w:val="18"/>
              </w:rPr>
              <w:t>NESORAZMERJE MED MAJHNIM POMENOM KD IN POSLEDICAMI KAZENSKEGA PREGONA</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12510" w:rsidRPr="00C756F2" w:rsidRDefault="00612510" w:rsidP="00180313">
            <w:pPr>
              <w:ind w:left="38"/>
              <w:jc w:val="center"/>
              <w:rPr>
                <w:sz w:val="18"/>
                <w:szCs w:val="18"/>
              </w:rPr>
            </w:pPr>
            <w:r w:rsidRPr="00C756F2">
              <w:rPr>
                <w:sz w:val="18"/>
                <w:szCs w:val="18"/>
              </w:rPr>
              <w:t>2.853</w:t>
            </w:r>
          </w:p>
        </w:tc>
        <w:tc>
          <w:tcPr>
            <w:tcW w:w="14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12510" w:rsidRPr="00C756F2" w:rsidRDefault="00612510" w:rsidP="00180313">
            <w:pPr>
              <w:ind w:left="38"/>
              <w:jc w:val="center"/>
              <w:rPr>
                <w:sz w:val="18"/>
                <w:szCs w:val="18"/>
              </w:rPr>
            </w:pPr>
            <w:r w:rsidRPr="00C756F2">
              <w:rPr>
                <w:sz w:val="18"/>
                <w:szCs w:val="18"/>
              </w:rPr>
              <w:t>15</w:t>
            </w:r>
          </w:p>
        </w:tc>
      </w:tr>
      <w:tr w:rsidR="00612510" w:rsidTr="00F25413">
        <w:trPr>
          <w:trHeight w:val="303"/>
        </w:trPr>
        <w:tc>
          <w:tcPr>
            <w:tcW w:w="6007" w:type="dxa"/>
            <w:tcBorders>
              <w:top w:val="single" w:sz="4" w:space="0" w:color="000000"/>
              <w:left w:val="single" w:sz="4" w:space="0" w:color="000000"/>
              <w:bottom w:val="single" w:sz="4" w:space="0" w:color="000000"/>
              <w:right w:val="single" w:sz="4" w:space="0" w:color="000000"/>
            </w:tcBorders>
            <w:shd w:val="clear" w:color="auto" w:fill="auto"/>
          </w:tcPr>
          <w:p w:rsidR="00612510" w:rsidRPr="00C756F2" w:rsidRDefault="00C756F2" w:rsidP="00180313">
            <w:pPr>
              <w:rPr>
                <w:sz w:val="18"/>
                <w:szCs w:val="18"/>
              </w:rPr>
            </w:pPr>
            <w:r w:rsidRPr="00C756F2">
              <w:rPr>
                <w:sz w:val="18"/>
                <w:szCs w:val="18"/>
              </w:rPr>
              <w:t>UMIK PREDLOGA ZA PREGON</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612510" w:rsidRPr="00C756F2" w:rsidRDefault="00612510" w:rsidP="00180313">
            <w:pPr>
              <w:ind w:left="38"/>
              <w:jc w:val="center"/>
              <w:rPr>
                <w:sz w:val="18"/>
                <w:szCs w:val="18"/>
              </w:rPr>
            </w:pPr>
            <w:r w:rsidRPr="00C756F2">
              <w:rPr>
                <w:sz w:val="18"/>
                <w:szCs w:val="18"/>
              </w:rPr>
              <w:t>2.492</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612510" w:rsidRPr="00C756F2" w:rsidRDefault="00612510" w:rsidP="00180313">
            <w:pPr>
              <w:ind w:left="38"/>
              <w:jc w:val="center"/>
              <w:rPr>
                <w:sz w:val="18"/>
                <w:szCs w:val="18"/>
              </w:rPr>
            </w:pPr>
            <w:r w:rsidRPr="00C756F2">
              <w:rPr>
                <w:sz w:val="18"/>
                <w:szCs w:val="18"/>
              </w:rPr>
              <w:t>14</w:t>
            </w:r>
          </w:p>
        </w:tc>
      </w:tr>
      <w:tr w:rsidR="00612510" w:rsidTr="00F25413">
        <w:trPr>
          <w:trHeight w:val="303"/>
        </w:trPr>
        <w:tc>
          <w:tcPr>
            <w:tcW w:w="6007" w:type="dxa"/>
            <w:tcBorders>
              <w:top w:val="single" w:sz="4" w:space="0" w:color="000000"/>
              <w:left w:val="single" w:sz="4" w:space="0" w:color="000000"/>
              <w:bottom w:val="single" w:sz="4" w:space="0" w:color="000000"/>
              <w:right w:val="single" w:sz="4" w:space="0" w:color="000000"/>
            </w:tcBorders>
            <w:shd w:val="clear" w:color="auto" w:fill="auto"/>
          </w:tcPr>
          <w:p w:rsidR="00612510" w:rsidRPr="00C756F2" w:rsidRDefault="00C756F2" w:rsidP="00180313">
            <w:pPr>
              <w:rPr>
                <w:sz w:val="18"/>
                <w:szCs w:val="18"/>
              </w:rPr>
            </w:pPr>
            <w:r w:rsidRPr="00C756F2">
              <w:rPr>
                <w:sz w:val="18"/>
                <w:szCs w:val="18"/>
              </w:rPr>
              <w:t>IZKLJUČEN PREGON (ZASTARANJE)</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612510" w:rsidRPr="00C756F2" w:rsidRDefault="00612510" w:rsidP="00180313">
            <w:pPr>
              <w:ind w:left="38"/>
              <w:rPr>
                <w:sz w:val="18"/>
                <w:szCs w:val="18"/>
              </w:rPr>
            </w:pPr>
            <w:r w:rsidRPr="00C756F2">
              <w:rPr>
                <w:sz w:val="18"/>
                <w:szCs w:val="18"/>
              </w:rPr>
              <w:t>1.787 (70)</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612510" w:rsidRPr="00C756F2" w:rsidRDefault="00612510" w:rsidP="00180313">
            <w:pPr>
              <w:ind w:left="38"/>
              <w:jc w:val="center"/>
              <w:rPr>
                <w:sz w:val="18"/>
                <w:szCs w:val="18"/>
              </w:rPr>
            </w:pPr>
            <w:r w:rsidRPr="00C756F2">
              <w:rPr>
                <w:sz w:val="18"/>
                <w:szCs w:val="18"/>
              </w:rPr>
              <w:t>10</w:t>
            </w:r>
          </w:p>
        </w:tc>
      </w:tr>
      <w:tr w:rsidR="00C756F2" w:rsidTr="00F25413">
        <w:trPr>
          <w:trHeight w:val="303"/>
        </w:trPr>
        <w:tc>
          <w:tcPr>
            <w:tcW w:w="6007" w:type="dxa"/>
            <w:tcBorders>
              <w:top w:val="single" w:sz="4" w:space="0" w:color="000000"/>
              <w:left w:val="single" w:sz="4" w:space="0" w:color="000000"/>
              <w:bottom w:val="single" w:sz="4" w:space="0" w:color="000000"/>
              <w:right w:val="single" w:sz="4" w:space="0" w:color="000000"/>
            </w:tcBorders>
            <w:shd w:val="clear" w:color="auto" w:fill="auto"/>
          </w:tcPr>
          <w:p w:rsidR="00C756F2" w:rsidRPr="00C756F2" w:rsidRDefault="00C756F2" w:rsidP="00180313">
            <w:pPr>
              <w:rPr>
                <w:sz w:val="18"/>
                <w:szCs w:val="18"/>
              </w:rPr>
            </w:pPr>
            <w:r w:rsidRPr="00C756F2">
              <w:rPr>
                <w:sz w:val="18"/>
                <w:szCs w:val="18"/>
              </w:rPr>
              <w:t>NI ZNAKOV KAZNIVEGA DEJANJA, KI SE PREGANJA PO URADNI DOLŽNOSTI</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C756F2" w:rsidRPr="00C756F2" w:rsidRDefault="00C756F2" w:rsidP="00C756F2">
            <w:pPr>
              <w:ind w:left="38"/>
              <w:jc w:val="center"/>
              <w:rPr>
                <w:sz w:val="18"/>
                <w:szCs w:val="18"/>
              </w:rPr>
            </w:pPr>
            <w:r w:rsidRPr="00C756F2">
              <w:rPr>
                <w:sz w:val="18"/>
                <w:szCs w:val="18"/>
              </w:rPr>
              <w:t>1.743</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C756F2" w:rsidRPr="00C756F2" w:rsidRDefault="00C756F2" w:rsidP="00180313">
            <w:pPr>
              <w:ind w:left="38"/>
              <w:jc w:val="center"/>
              <w:rPr>
                <w:sz w:val="18"/>
                <w:szCs w:val="18"/>
              </w:rPr>
            </w:pPr>
            <w:r w:rsidRPr="00C756F2">
              <w:rPr>
                <w:sz w:val="18"/>
                <w:szCs w:val="18"/>
              </w:rPr>
              <w:t>9</w:t>
            </w:r>
          </w:p>
        </w:tc>
      </w:tr>
      <w:tr w:rsidR="00612510" w:rsidTr="00F25413">
        <w:trPr>
          <w:trHeight w:val="304"/>
        </w:trPr>
        <w:tc>
          <w:tcPr>
            <w:tcW w:w="6007" w:type="dxa"/>
            <w:tcBorders>
              <w:top w:val="single" w:sz="4" w:space="0" w:color="000000"/>
              <w:left w:val="single" w:sz="4" w:space="0" w:color="000000"/>
              <w:bottom w:val="single" w:sz="4" w:space="0" w:color="000000"/>
              <w:right w:val="single" w:sz="4" w:space="0" w:color="000000"/>
            </w:tcBorders>
          </w:tcPr>
          <w:p w:rsidR="00612510" w:rsidRPr="00C756F2" w:rsidRDefault="00C756F2" w:rsidP="00180313">
            <w:pPr>
              <w:rPr>
                <w:sz w:val="18"/>
                <w:szCs w:val="18"/>
              </w:rPr>
            </w:pPr>
            <w:r w:rsidRPr="00C756F2">
              <w:rPr>
                <w:sz w:val="18"/>
                <w:szCs w:val="18"/>
              </w:rPr>
              <w:t>PO ODLOŽENEM KAZENSKEM PREGONU</w:t>
            </w:r>
          </w:p>
        </w:tc>
        <w:tc>
          <w:tcPr>
            <w:tcW w:w="1201" w:type="dxa"/>
            <w:tcBorders>
              <w:top w:val="single" w:sz="4" w:space="0" w:color="000000"/>
              <w:left w:val="single" w:sz="4" w:space="0" w:color="000000"/>
              <w:bottom w:val="single" w:sz="4" w:space="0" w:color="000000"/>
              <w:right w:val="single" w:sz="4" w:space="0" w:color="000000"/>
            </w:tcBorders>
          </w:tcPr>
          <w:p w:rsidR="00612510" w:rsidRPr="00C756F2" w:rsidRDefault="00612510" w:rsidP="00180313">
            <w:pPr>
              <w:ind w:left="38"/>
              <w:jc w:val="center"/>
              <w:rPr>
                <w:sz w:val="18"/>
                <w:szCs w:val="18"/>
              </w:rPr>
            </w:pPr>
            <w:r w:rsidRPr="00C756F2">
              <w:rPr>
                <w:sz w:val="18"/>
                <w:szCs w:val="18"/>
              </w:rPr>
              <w:t>1.322</w:t>
            </w:r>
          </w:p>
        </w:tc>
        <w:tc>
          <w:tcPr>
            <w:tcW w:w="1433" w:type="dxa"/>
            <w:tcBorders>
              <w:top w:val="single" w:sz="4" w:space="0" w:color="000000"/>
              <w:left w:val="single" w:sz="4" w:space="0" w:color="000000"/>
              <w:bottom w:val="single" w:sz="4" w:space="0" w:color="000000"/>
              <w:right w:val="single" w:sz="4" w:space="0" w:color="000000"/>
            </w:tcBorders>
          </w:tcPr>
          <w:p w:rsidR="00612510" w:rsidRPr="00C756F2" w:rsidRDefault="00612510" w:rsidP="00180313">
            <w:pPr>
              <w:ind w:left="38"/>
              <w:jc w:val="center"/>
              <w:rPr>
                <w:sz w:val="18"/>
                <w:szCs w:val="18"/>
              </w:rPr>
            </w:pPr>
            <w:r w:rsidRPr="00C756F2">
              <w:rPr>
                <w:sz w:val="18"/>
                <w:szCs w:val="18"/>
              </w:rPr>
              <w:t>7</w:t>
            </w:r>
          </w:p>
        </w:tc>
      </w:tr>
      <w:tr w:rsidR="00612510" w:rsidTr="00F25413">
        <w:trPr>
          <w:trHeight w:val="303"/>
        </w:trPr>
        <w:tc>
          <w:tcPr>
            <w:tcW w:w="6007" w:type="dxa"/>
            <w:tcBorders>
              <w:top w:val="single" w:sz="4" w:space="0" w:color="000000"/>
              <w:left w:val="single" w:sz="4" w:space="0" w:color="000000"/>
              <w:bottom w:val="single" w:sz="4" w:space="0" w:color="000000"/>
              <w:right w:val="single" w:sz="4" w:space="0" w:color="000000"/>
            </w:tcBorders>
          </w:tcPr>
          <w:p w:rsidR="00612510" w:rsidRPr="00C756F2" w:rsidRDefault="00C756F2" w:rsidP="00180313">
            <w:pPr>
              <w:rPr>
                <w:sz w:val="18"/>
                <w:szCs w:val="18"/>
              </w:rPr>
            </w:pPr>
            <w:r w:rsidRPr="00C756F2">
              <w:rPr>
                <w:sz w:val="18"/>
                <w:szCs w:val="18"/>
              </w:rPr>
              <w:t>PO PORAVNAVI</w:t>
            </w:r>
          </w:p>
        </w:tc>
        <w:tc>
          <w:tcPr>
            <w:tcW w:w="1201" w:type="dxa"/>
            <w:tcBorders>
              <w:top w:val="single" w:sz="4" w:space="0" w:color="000000"/>
              <w:left w:val="single" w:sz="4" w:space="0" w:color="000000"/>
              <w:bottom w:val="single" w:sz="4" w:space="0" w:color="000000"/>
              <w:right w:val="single" w:sz="4" w:space="0" w:color="000000"/>
            </w:tcBorders>
          </w:tcPr>
          <w:p w:rsidR="00612510" w:rsidRPr="00C756F2" w:rsidRDefault="00612510" w:rsidP="00180313">
            <w:pPr>
              <w:ind w:left="38"/>
              <w:jc w:val="center"/>
              <w:rPr>
                <w:sz w:val="18"/>
                <w:szCs w:val="18"/>
              </w:rPr>
            </w:pPr>
            <w:r w:rsidRPr="00C756F2">
              <w:rPr>
                <w:sz w:val="18"/>
                <w:szCs w:val="18"/>
              </w:rPr>
              <w:t>323</w:t>
            </w:r>
          </w:p>
        </w:tc>
        <w:tc>
          <w:tcPr>
            <w:tcW w:w="1433" w:type="dxa"/>
            <w:tcBorders>
              <w:top w:val="single" w:sz="4" w:space="0" w:color="000000"/>
              <w:left w:val="single" w:sz="4" w:space="0" w:color="000000"/>
              <w:bottom w:val="single" w:sz="4" w:space="0" w:color="000000"/>
              <w:right w:val="single" w:sz="4" w:space="0" w:color="000000"/>
            </w:tcBorders>
          </w:tcPr>
          <w:p w:rsidR="00612510" w:rsidRPr="00C756F2" w:rsidRDefault="00612510" w:rsidP="00180313">
            <w:pPr>
              <w:ind w:left="38"/>
              <w:jc w:val="center"/>
              <w:rPr>
                <w:sz w:val="18"/>
                <w:szCs w:val="18"/>
              </w:rPr>
            </w:pPr>
            <w:r w:rsidRPr="00C756F2">
              <w:rPr>
                <w:sz w:val="18"/>
                <w:szCs w:val="18"/>
              </w:rPr>
              <w:t>2</w:t>
            </w:r>
          </w:p>
        </w:tc>
      </w:tr>
    </w:tbl>
    <w:p w:rsidR="008647C7" w:rsidRDefault="008647C7" w:rsidP="00442EF2">
      <w:pPr>
        <w:spacing w:line="288" w:lineRule="auto"/>
        <w:ind w:right="-17"/>
        <w:jc w:val="both"/>
        <w:rPr>
          <w:szCs w:val="20"/>
        </w:rPr>
      </w:pPr>
    </w:p>
    <w:p w:rsidR="00612510" w:rsidRPr="00612510" w:rsidRDefault="00612510" w:rsidP="00442EF2">
      <w:pPr>
        <w:spacing w:line="288" w:lineRule="auto"/>
        <w:ind w:right="-17"/>
        <w:jc w:val="both"/>
        <w:rPr>
          <w:szCs w:val="20"/>
        </w:rPr>
      </w:pPr>
      <w:r w:rsidRPr="00612510">
        <w:rPr>
          <w:szCs w:val="20"/>
        </w:rPr>
        <w:t>Statistični podatek: zavržene ovadbe skupaj – 2019, katerih število znaša 18.423 predstavlja seštevek zavrženj ovadb proti fizičnim osebam, pravnim osebam in mladoletnikom.</w:t>
      </w:r>
    </w:p>
    <w:p w:rsidR="00612510" w:rsidRDefault="00612510" w:rsidP="00612510">
      <w:pPr>
        <w:spacing w:line="288" w:lineRule="auto"/>
        <w:ind w:left="-6" w:right="-17" w:hanging="11"/>
        <w:jc w:val="both"/>
        <w:rPr>
          <w:sz w:val="24"/>
        </w:rPr>
      </w:pPr>
    </w:p>
    <w:p w:rsidR="00612510" w:rsidRDefault="00612510" w:rsidP="00612510">
      <w:pPr>
        <w:spacing w:line="288" w:lineRule="auto"/>
        <w:ind w:left="-6" w:right="-17" w:hanging="11"/>
        <w:jc w:val="both"/>
        <w:rPr>
          <w:szCs w:val="20"/>
        </w:rPr>
      </w:pPr>
      <w:r w:rsidRPr="00612510">
        <w:rPr>
          <w:szCs w:val="20"/>
        </w:rPr>
        <w:t xml:space="preserve">Najvišji delež (40 %) predstavljajo zavrženja, kjer je kot razlog evidentirano – »ni utemeljenega suma«. V to kategorijo zavrženj praviloma sodijo primeri, ko policija že na podlagi lastnih zaznav in zbranih obvestil oceni, da ni podlage za kazensko ovadbo ter v skladu z desetim odstavkom 148. člena ZKP pošlje državnemu tožilcu poročilo, ki o ovadbi oškodovanca odloči s sklepom o zavrženju iz razloga, ker ni utemeljenega suma. V to kategorijo sodijo primeri, ko državni tožilec prejme kazensko ovadbo, vendar po proučitvi zadeve (ter po morebitnih dopolnitvah) odloči, da dokazno gradivo, ki je bilo s strani policije predloženo državnemu tožilcu, ne dosega dokaznega standarda utemeljenega suma, da je ovadeni storil očitano kaznivo dejanje. </w:t>
      </w:r>
    </w:p>
    <w:p w:rsidR="00612510" w:rsidRPr="00612510" w:rsidRDefault="00612510" w:rsidP="00612510">
      <w:pPr>
        <w:spacing w:line="288" w:lineRule="auto"/>
        <w:ind w:left="-6" w:right="-17" w:hanging="11"/>
        <w:jc w:val="both"/>
        <w:rPr>
          <w:szCs w:val="20"/>
        </w:rPr>
      </w:pPr>
    </w:p>
    <w:p w:rsidR="00612510" w:rsidRPr="00612510" w:rsidRDefault="00612510" w:rsidP="00612510">
      <w:pPr>
        <w:spacing w:line="288" w:lineRule="auto"/>
        <w:ind w:left="-5" w:right="-15" w:hanging="10"/>
        <w:jc w:val="both"/>
        <w:rPr>
          <w:szCs w:val="20"/>
        </w:rPr>
      </w:pPr>
      <w:r w:rsidRPr="00612510">
        <w:rPr>
          <w:szCs w:val="20"/>
        </w:rPr>
        <w:t xml:space="preserve">Zavrženja v primerih nesorazmernosti med majhnim pomenom kaznivega dejanja in posledicami, ki bi jih povzročil kazenski pregon predstavljajo 15 % vseh zavrženj. Nesorazmernost med majhnim pomenom kaznivega dejanja in posledicami, ki bi jih povzročil kazenski pregon, je podana predvsem takrat kadar gre za lažje oblike kaznivega dejanja, majhne vrednosti predmeta dejanja, če je škoda, ki je nastala s kaznivim dejanjem majhna ali je sploh ni, itd.. Enotnost pregona (in s tem enotno upoštevanje okoliščin in pogojev, ki so razlog za navedeno kategorijo zavrženj) je v sklopu tožilske organizacije zagotovljena s Splošnimi navodili o pogojih pri odločanju v primerih nesorazmernosti med majhnim pomenom kaznivega dejanja in posledicami, ki bi jih povzročil kazenski pregon z dne 7. 12. 2012. </w:t>
      </w:r>
    </w:p>
    <w:p w:rsidR="00612510" w:rsidRDefault="00612510" w:rsidP="00612510">
      <w:pPr>
        <w:spacing w:line="288" w:lineRule="auto"/>
        <w:ind w:left="-5" w:right="-15" w:hanging="10"/>
        <w:jc w:val="both"/>
        <w:rPr>
          <w:sz w:val="24"/>
          <w:u w:val="single"/>
        </w:rPr>
      </w:pPr>
    </w:p>
    <w:p w:rsidR="00612510" w:rsidRPr="001553AF" w:rsidRDefault="00612510" w:rsidP="00612510">
      <w:pPr>
        <w:spacing w:line="288" w:lineRule="auto"/>
        <w:ind w:left="-5" w:right="-15" w:hanging="10"/>
        <w:jc w:val="both"/>
        <w:rPr>
          <w:szCs w:val="20"/>
        </w:rPr>
      </w:pPr>
      <w:r w:rsidRPr="001553AF">
        <w:rPr>
          <w:szCs w:val="20"/>
        </w:rPr>
        <w:t>Po številčnosti sledi kot razlog zavrženja – »umik predloga za pregon«, ki predstavlja 14 % vseh zavrženj. Pod navedeno kategorijo se torej beležijo t. i. predlagalni deli</w:t>
      </w:r>
      <w:r w:rsidR="001553AF" w:rsidRPr="001553AF">
        <w:rPr>
          <w:szCs w:val="20"/>
        </w:rPr>
        <w:t>k</w:t>
      </w:r>
      <w:r w:rsidRPr="001553AF">
        <w:rPr>
          <w:szCs w:val="20"/>
        </w:rPr>
        <w:t>ti v zvezi s katerimi ovaditelji istočasno s podajo kazenske ovadbe umaknejo tudi predlog za pregon, kar povezujemo z prakso zavarovalnic, ki to od oškodovancev zahtevajo pri uveljavljanju njihovih zahtevkov.</w:t>
      </w:r>
    </w:p>
    <w:p w:rsidR="00612510" w:rsidRDefault="00612510" w:rsidP="00FE5F88">
      <w:pPr>
        <w:spacing w:line="288" w:lineRule="auto"/>
        <w:jc w:val="both"/>
        <w:rPr>
          <w:rFonts w:eastAsia="Calibri" w:cs="Arial"/>
          <w:szCs w:val="20"/>
          <w:lang w:eastAsia="sl-SI"/>
        </w:rPr>
      </w:pPr>
    </w:p>
    <w:p w:rsidR="00C17600" w:rsidRDefault="00612510" w:rsidP="00C17600">
      <w:pPr>
        <w:spacing w:after="377" w:line="265" w:lineRule="auto"/>
        <w:ind w:left="-5" w:hanging="10"/>
        <w:jc w:val="both"/>
        <w:rPr>
          <w:color w:val="010000"/>
          <w:szCs w:val="20"/>
        </w:rPr>
      </w:pPr>
      <w:r w:rsidRPr="00612510">
        <w:rPr>
          <w:color w:val="010000"/>
          <w:szCs w:val="20"/>
        </w:rPr>
        <w:t xml:space="preserve">V nadaljnjih stolpcih tabele pa so izkazani podatki za kazniva dejanja iz okrožne pristojnosti, in sicer ločeno po višini kazni zapora, ki se lahko zanje izreče (5 let, več kot 5 let, 8 let, več kot 8 let, 10 let, več kot 10 let, 12 let, več kot 12 let, 15 let, več kot 15 let, 20 let, več kot 20 let). </w:t>
      </w:r>
    </w:p>
    <w:p w:rsidR="00612510" w:rsidRPr="00C17600" w:rsidRDefault="00612510" w:rsidP="00C17600">
      <w:pPr>
        <w:spacing w:line="288" w:lineRule="auto"/>
        <w:ind w:left="-6" w:hanging="11"/>
        <w:jc w:val="both"/>
        <w:rPr>
          <w:color w:val="010000"/>
          <w:szCs w:val="20"/>
        </w:rPr>
      </w:pPr>
      <w:r w:rsidRPr="001553AF">
        <w:rPr>
          <w:rFonts w:cs="Arial"/>
          <w:bCs/>
          <w:szCs w:val="20"/>
        </w:rPr>
        <w:t>Tabela: Podatki o številu zavrženih kaznivih dejanj</w:t>
      </w:r>
    </w:p>
    <w:p w:rsidR="00612510" w:rsidRDefault="00C17600" w:rsidP="00FE5F88">
      <w:pPr>
        <w:spacing w:line="288" w:lineRule="auto"/>
        <w:jc w:val="both"/>
        <w:rPr>
          <w:rFonts w:eastAsia="Calibri" w:cs="Arial"/>
          <w:szCs w:val="20"/>
          <w:lang w:eastAsia="sl-SI"/>
        </w:rPr>
      </w:pPr>
      <w:r>
        <w:rPr>
          <w:rFonts w:eastAsia="Calibri" w:cs="Arial"/>
          <w:noProof/>
          <w:szCs w:val="20"/>
          <w:lang w:eastAsia="sl-SI"/>
        </w:rPr>
        <w:drawing>
          <wp:inline distT="0" distB="0" distL="0" distR="0">
            <wp:extent cx="5848350" cy="2577239"/>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77094" cy="2589906"/>
                    </a:xfrm>
                    <a:prstGeom prst="rect">
                      <a:avLst/>
                    </a:prstGeom>
                    <a:noFill/>
                    <a:ln>
                      <a:noFill/>
                    </a:ln>
                  </pic:spPr>
                </pic:pic>
              </a:graphicData>
            </a:graphic>
          </wp:inline>
        </w:drawing>
      </w:r>
    </w:p>
    <w:p w:rsidR="00442EF2" w:rsidRDefault="00442EF2" w:rsidP="00B644CC">
      <w:pPr>
        <w:pStyle w:val="Golobesedilo"/>
        <w:spacing w:line="288" w:lineRule="auto"/>
        <w:jc w:val="both"/>
        <w:rPr>
          <w:rFonts w:ascii="Arial" w:hAnsi="Arial" w:cs="Arial"/>
          <w:b/>
          <w:sz w:val="20"/>
          <w:szCs w:val="20"/>
        </w:rPr>
      </w:pPr>
    </w:p>
    <w:p w:rsidR="00AE2155" w:rsidRPr="00115F14" w:rsidRDefault="00AE2155" w:rsidP="00B644CC">
      <w:pPr>
        <w:pStyle w:val="Golobesedilo"/>
        <w:spacing w:line="288" w:lineRule="auto"/>
        <w:jc w:val="both"/>
        <w:rPr>
          <w:rFonts w:ascii="Arial" w:hAnsi="Arial" w:cs="Arial"/>
          <w:b/>
          <w:sz w:val="20"/>
          <w:szCs w:val="20"/>
        </w:rPr>
      </w:pPr>
      <w:r w:rsidRPr="00115F14">
        <w:rPr>
          <w:rFonts w:ascii="Arial" w:hAnsi="Arial" w:cs="Arial"/>
          <w:b/>
          <w:sz w:val="20"/>
          <w:szCs w:val="20"/>
        </w:rPr>
        <w:lastRenderedPageBreak/>
        <w:t>1.</w:t>
      </w:r>
      <w:r w:rsidR="00FE5F88">
        <w:rPr>
          <w:rFonts w:ascii="Arial" w:hAnsi="Arial" w:cs="Arial"/>
          <w:b/>
          <w:sz w:val="20"/>
          <w:szCs w:val="20"/>
        </w:rPr>
        <w:t>4</w:t>
      </w:r>
      <w:r w:rsidRPr="00115F14">
        <w:rPr>
          <w:rFonts w:ascii="Arial" w:hAnsi="Arial" w:cs="Arial"/>
          <w:b/>
          <w:sz w:val="20"/>
          <w:szCs w:val="20"/>
        </w:rPr>
        <w:t xml:space="preserve"> Redakcijski popravki</w:t>
      </w:r>
    </w:p>
    <w:p w:rsidR="00AE2155" w:rsidRPr="00115F14" w:rsidRDefault="00AE2155" w:rsidP="00B644CC">
      <w:pPr>
        <w:pStyle w:val="Golobesedilo"/>
        <w:spacing w:line="288" w:lineRule="auto"/>
        <w:jc w:val="both"/>
        <w:rPr>
          <w:rFonts w:ascii="Arial" w:hAnsi="Arial" w:cs="Arial"/>
          <w:b/>
          <w:sz w:val="20"/>
          <w:szCs w:val="20"/>
        </w:rPr>
      </w:pPr>
    </w:p>
    <w:p w:rsidR="009B4D00" w:rsidRPr="00FE5F88" w:rsidRDefault="00AE2155" w:rsidP="00FE5F88">
      <w:pPr>
        <w:pStyle w:val="Golobesedilo"/>
        <w:spacing w:line="288" w:lineRule="auto"/>
        <w:jc w:val="both"/>
        <w:rPr>
          <w:rFonts w:ascii="Arial" w:hAnsi="Arial" w:cs="Arial"/>
          <w:sz w:val="20"/>
          <w:szCs w:val="20"/>
        </w:rPr>
      </w:pPr>
      <w:r w:rsidRPr="00115F14">
        <w:rPr>
          <w:rFonts w:ascii="Arial" w:hAnsi="Arial" w:cs="Arial"/>
          <w:sz w:val="20"/>
          <w:szCs w:val="20"/>
        </w:rPr>
        <w:t>Poleg tega se predlaga odprava</w:t>
      </w:r>
      <w:r>
        <w:rPr>
          <w:rFonts w:ascii="Arial" w:hAnsi="Arial" w:cs="Arial"/>
          <w:sz w:val="20"/>
          <w:szCs w:val="20"/>
        </w:rPr>
        <w:t xml:space="preserve"> </w:t>
      </w:r>
      <w:r w:rsidRPr="00115F14">
        <w:rPr>
          <w:rFonts w:ascii="Arial" w:hAnsi="Arial" w:cs="Arial"/>
          <w:sz w:val="20"/>
          <w:szCs w:val="20"/>
        </w:rPr>
        <w:t xml:space="preserve">nekaterih očitnih </w:t>
      </w:r>
      <w:bookmarkStart w:id="23" w:name="_Hlk41037211"/>
      <w:r w:rsidRPr="00115F14">
        <w:rPr>
          <w:rFonts w:ascii="Arial" w:hAnsi="Arial" w:cs="Arial"/>
          <w:sz w:val="20"/>
          <w:szCs w:val="20"/>
        </w:rPr>
        <w:t>nesistemskih rešitev, ki so v nasprotju z namenom posamezne zakonske določbe.</w:t>
      </w:r>
      <w:bookmarkEnd w:id="8"/>
      <w:bookmarkEnd w:id="9"/>
    </w:p>
    <w:bookmarkEnd w:id="23"/>
    <w:p w:rsidR="009B4D00" w:rsidRDefault="009B4D00" w:rsidP="00B644CC">
      <w:pPr>
        <w:spacing w:line="288" w:lineRule="auto"/>
        <w:jc w:val="both"/>
        <w:rPr>
          <w:rFonts w:eastAsia="Calibri" w:cs="Arial"/>
          <w:szCs w:val="20"/>
        </w:rPr>
      </w:pPr>
    </w:p>
    <w:p w:rsidR="00FE5F88" w:rsidRPr="00115F14" w:rsidRDefault="00FE5F88" w:rsidP="00B644CC">
      <w:pPr>
        <w:spacing w:line="288" w:lineRule="auto"/>
        <w:jc w:val="both"/>
        <w:rPr>
          <w:rFonts w:eastAsia="Calibri" w:cs="Arial"/>
          <w:szCs w:val="20"/>
        </w:rPr>
      </w:pPr>
    </w:p>
    <w:tbl>
      <w:tblPr>
        <w:tblW w:w="9355" w:type="dxa"/>
        <w:tblLook w:val="04A0" w:firstRow="1" w:lastRow="0" w:firstColumn="1" w:lastColumn="0" w:noHBand="0" w:noVBand="1"/>
      </w:tblPr>
      <w:tblGrid>
        <w:gridCol w:w="8755"/>
        <w:gridCol w:w="600"/>
      </w:tblGrid>
      <w:tr w:rsidR="00AE2155" w:rsidRPr="00115F14" w:rsidTr="005363D0">
        <w:tc>
          <w:tcPr>
            <w:tcW w:w="9355" w:type="dxa"/>
            <w:gridSpan w:val="2"/>
          </w:tcPr>
          <w:p w:rsidR="00AE2155" w:rsidRPr="00115F14" w:rsidRDefault="00AE2155" w:rsidP="00B644CC">
            <w:pPr>
              <w:pStyle w:val="Oddelek"/>
              <w:numPr>
                <w:ilvl w:val="0"/>
                <w:numId w:val="0"/>
              </w:numPr>
              <w:spacing w:before="0" w:after="0" w:line="288" w:lineRule="auto"/>
              <w:jc w:val="left"/>
              <w:rPr>
                <w:sz w:val="20"/>
                <w:szCs w:val="20"/>
              </w:rPr>
            </w:pPr>
            <w:r w:rsidRPr="00115F14">
              <w:rPr>
                <w:sz w:val="20"/>
                <w:szCs w:val="20"/>
              </w:rPr>
              <w:t>2. CILJI, NAČELA IN POGLAVITNE REŠITVE PREDLOGA ZAKONA</w:t>
            </w:r>
          </w:p>
          <w:p w:rsidR="00AE2155" w:rsidRPr="00115F14" w:rsidRDefault="00AE2155" w:rsidP="00B644CC">
            <w:pPr>
              <w:pStyle w:val="Oddelek"/>
              <w:numPr>
                <w:ilvl w:val="0"/>
                <w:numId w:val="0"/>
              </w:numPr>
              <w:spacing w:before="0" w:after="0" w:line="288" w:lineRule="auto"/>
              <w:jc w:val="left"/>
              <w:rPr>
                <w:sz w:val="20"/>
                <w:szCs w:val="20"/>
              </w:rPr>
            </w:pPr>
          </w:p>
        </w:tc>
      </w:tr>
      <w:tr w:rsidR="00AE2155" w:rsidRPr="00115F14" w:rsidTr="005363D0">
        <w:trPr>
          <w:gridAfter w:val="1"/>
          <w:wAfter w:w="600" w:type="dxa"/>
        </w:trPr>
        <w:tc>
          <w:tcPr>
            <w:tcW w:w="8755" w:type="dxa"/>
          </w:tcPr>
          <w:p w:rsidR="00AE2155" w:rsidRPr="00115F14" w:rsidRDefault="00AE2155" w:rsidP="00B644CC">
            <w:pPr>
              <w:pStyle w:val="Odsek"/>
              <w:numPr>
                <w:ilvl w:val="0"/>
                <w:numId w:val="0"/>
              </w:numPr>
              <w:spacing w:before="0" w:after="0" w:line="288" w:lineRule="auto"/>
              <w:jc w:val="left"/>
              <w:rPr>
                <w:sz w:val="20"/>
                <w:szCs w:val="20"/>
              </w:rPr>
            </w:pPr>
            <w:r w:rsidRPr="00115F14">
              <w:rPr>
                <w:sz w:val="20"/>
                <w:szCs w:val="20"/>
              </w:rPr>
              <w:t>2.1 Cilji</w:t>
            </w:r>
          </w:p>
          <w:p w:rsidR="00AE2155" w:rsidRPr="00115F14" w:rsidRDefault="00AE2155" w:rsidP="00B644CC">
            <w:pPr>
              <w:pStyle w:val="Odsek"/>
              <w:numPr>
                <w:ilvl w:val="0"/>
                <w:numId w:val="0"/>
              </w:numPr>
              <w:spacing w:before="0" w:after="0" w:line="288" w:lineRule="auto"/>
              <w:jc w:val="left"/>
              <w:rPr>
                <w:sz w:val="20"/>
                <w:szCs w:val="20"/>
              </w:rPr>
            </w:pPr>
          </w:p>
          <w:p w:rsidR="00A95049" w:rsidRDefault="00AE2155" w:rsidP="00B644CC">
            <w:pPr>
              <w:pStyle w:val="Odsek"/>
              <w:numPr>
                <w:ilvl w:val="0"/>
                <w:numId w:val="0"/>
              </w:numPr>
              <w:spacing w:before="0" w:after="0" w:line="288" w:lineRule="auto"/>
              <w:ind w:right="-104"/>
              <w:jc w:val="both"/>
              <w:rPr>
                <w:b w:val="0"/>
                <w:sz w:val="20"/>
                <w:szCs w:val="20"/>
              </w:rPr>
            </w:pPr>
            <w:r w:rsidRPr="00115F14">
              <w:rPr>
                <w:b w:val="0"/>
                <w:sz w:val="20"/>
                <w:szCs w:val="20"/>
              </w:rPr>
              <w:t>Cilj predlaganih rešitev je doseči skladnost, zakonitost in izvršljivost Uredbe 2018/1727/EU v slovenskem pravnem redu ter enotno uporabo in interpretacijo zakonskih določb v praksi. Da bi pri izvajanju</w:t>
            </w:r>
            <w:r>
              <w:rPr>
                <w:b w:val="0"/>
                <w:sz w:val="20"/>
                <w:szCs w:val="20"/>
              </w:rPr>
              <w:t xml:space="preserve"> </w:t>
            </w:r>
            <w:r w:rsidRPr="00115F14">
              <w:rPr>
                <w:b w:val="0"/>
                <w:sz w:val="20"/>
                <w:szCs w:val="20"/>
              </w:rPr>
              <w:t>zakona</w:t>
            </w:r>
            <w:r>
              <w:rPr>
                <w:b w:val="0"/>
                <w:sz w:val="20"/>
                <w:szCs w:val="20"/>
              </w:rPr>
              <w:t xml:space="preserve"> </w:t>
            </w:r>
            <w:r w:rsidRPr="00115F14">
              <w:rPr>
                <w:b w:val="0"/>
                <w:sz w:val="20"/>
                <w:szCs w:val="20"/>
              </w:rPr>
              <w:t>dosegli dosledno upoštevanje nacionalnega pravnega reda ter učinkovitost načela pravne države in pravne varnosti, je treba nujno</w:t>
            </w:r>
            <w:r w:rsidR="00A95049">
              <w:rPr>
                <w:b w:val="0"/>
                <w:sz w:val="20"/>
                <w:szCs w:val="20"/>
              </w:rPr>
              <w:t>:</w:t>
            </w:r>
          </w:p>
          <w:p w:rsidR="00A95049" w:rsidRDefault="00AE2155" w:rsidP="00A95049">
            <w:pPr>
              <w:pStyle w:val="Odsek"/>
              <w:numPr>
                <w:ilvl w:val="0"/>
                <w:numId w:val="12"/>
              </w:numPr>
              <w:spacing w:before="0" w:after="0" w:line="288" w:lineRule="auto"/>
              <w:ind w:left="284" w:right="-104" w:hanging="284"/>
              <w:jc w:val="both"/>
              <w:rPr>
                <w:b w:val="0"/>
                <w:sz w:val="20"/>
                <w:szCs w:val="20"/>
              </w:rPr>
            </w:pPr>
            <w:r w:rsidRPr="00115F14">
              <w:rPr>
                <w:b w:val="0"/>
                <w:sz w:val="20"/>
                <w:szCs w:val="20"/>
              </w:rPr>
              <w:t xml:space="preserve">prilagoditi veljavne določbe ZDT-1 tako, </w:t>
            </w:r>
            <w:bookmarkStart w:id="24" w:name="_Hlk41037068"/>
            <w:r w:rsidRPr="00115F14">
              <w:rPr>
                <w:b w:val="0"/>
                <w:sz w:val="20"/>
                <w:szCs w:val="20"/>
              </w:rPr>
              <w:t>da ne bodo v nasprotju z vsebino Uredbe</w:t>
            </w:r>
            <w:r>
              <w:rPr>
                <w:b w:val="0"/>
                <w:sz w:val="20"/>
                <w:szCs w:val="20"/>
              </w:rPr>
              <w:t xml:space="preserve"> </w:t>
            </w:r>
            <w:r w:rsidRPr="00115F14">
              <w:rPr>
                <w:b w:val="0"/>
                <w:sz w:val="20"/>
                <w:szCs w:val="20"/>
              </w:rPr>
              <w:t>2017/1939/EU</w:t>
            </w:r>
            <w:r w:rsidR="00A95049">
              <w:rPr>
                <w:b w:val="0"/>
                <w:sz w:val="20"/>
                <w:szCs w:val="20"/>
              </w:rPr>
              <w:t>,</w:t>
            </w:r>
          </w:p>
          <w:p w:rsidR="00A95049" w:rsidRDefault="00A95049" w:rsidP="00A95049">
            <w:pPr>
              <w:pStyle w:val="Odsek"/>
              <w:numPr>
                <w:ilvl w:val="0"/>
                <w:numId w:val="12"/>
              </w:numPr>
              <w:spacing w:before="0" w:after="0" w:line="288" w:lineRule="auto"/>
              <w:ind w:left="284" w:right="-104" w:hanging="284"/>
              <w:jc w:val="both"/>
              <w:rPr>
                <w:b w:val="0"/>
                <w:sz w:val="20"/>
                <w:szCs w:val="20"/>
              </w:rPr>
            </w:pPr>
            <w:r w:rsidRPr="00A95049">
              <w:rPr>
                <w:b w:val="0"/>
                <w:sz w:val="20"/>
                <w:szCs w:val="20"/>
              </w:rPr>
              <w:t>odprav</w:t>
            </w:r>
            <w:r>
              <w:rPr>
                <w:b w:val="0"/>
                <w:sz w:val="20"/>
                <w:szCs w:val="20"/>
              </w:rPr>
              <w:t>iti</w:t>
            </w:r>
            <w:r w:rsidRPr="00A95049">
              <w:rPr>
                <w:b w:val="0"/>
                <w:sz w:val="20"/>
                <w:szCs w:val="20"/>
              </w:rPr>
              <w:t xml:space="preserve"> nepravilnosti, ki jih je pri izvajanju in evidentiranju pripravljenosti in dežurstva državnega tožilstva ugotovilo Računsko sodišče, </w:t>
            </w:r>
          </w:p>
          <w:p w:rsidR="00A95049" w:rsidRDefault="00A95049" w:rsidP="00A95049">
            <w:pPr>
              <w:pStyle w:val="Odsek"/>
              <w:numPr>
                <w:ilvl w:val="0"/>
                <w:numId w:val="12"/>
              </w:numPr>
              <w:spacing w:before="0" w:after="0" w:line="288" w:lineRule="auto"/>
              <w:ind w:left="284" w:right="-104" w:hanging="284"/>
              <w:jc w:val="both"/>
              <w:rPr>
                <w:b w:val="0"/>
                <w:sz w:val="20"/>
                <w:szCs w:val="20"/>
              </w:rPr>
            </w:pPr>
            <w:r w:rsidRPr="00A95049">
              <w:rPr>
                <w:b w:val="0"/>
                <w:sz w:val="20"/>
                <w:szCs w:val="20"/>
              </w:rPr>
              <w:t xml:space="preserve">določiti zakonske podlage za delovnopravno ureditev sodelovanja državnotožilskega osebja pri opravljanju nujnih procesnih dejanj, </w:t>
            </w:r>
          </w:p>
          <w:p w:rsidR="00A840AF" w:rsidRDefault="00A840AF" w:rsidP="00A95049">
            <w:pPr>
              <w:pStyle w:val="Odsek"/>
              <w:numPr>
                <w:ilvl w:val="0"/>
                <w:numId w:val="12"/>
              </w:numPr>
              <w:spacing w:before="0" w:after="0" w:line="288" w:lineRule="auto"/>
              <w:ind w:left="284" w:right="-104" w:hanging="284"/>
              <w:jc w:val="both"/>
              <w:rPr>
                <w:b w:val="0"/>
                <w:sz w:val="20"/>
                <w:szCs w:val="20"/>
              </w:rPr>
            </w:pPr>
            <w:r w:rsidRPr="00A95049">
              <w:rPr>
                <w:b w:val="0"/>
                <w:sz w:val="20"/>
                <w:szCs w:val="20"/>
              </w:rPr>
              <w:t>okrepiti vlogo vodje državnega tožilstva pri zagotavljanju učinkovitosti in enotnosti pregona</w:t>
            </w:r>
            <w:r w:rsidR="008D35C2">
              <w:rPr>
                <w:b w:val="0"/>
                <w:sz w:val="20"/>
                <w:szCs w:val="20"/>
              </w:rPr>
              <w:t>,</w:t>
            </w:r>
          </w:p>
          <w:p w:rsidR="00A95049" w:rsidRDefault="00A95049" w:rsidP="00A95049">
            <w:pPr>
              <w:pStyle w:val="Odsek"/>
              <w:numPr>
                <w:ilvl w:val="0"/>
                <w:numId w:val="12"/>
              </w:numPr>
              <w:spacing w:before="0" w:after="0" w:line="288" w:lineRule="auto"/>
              <w:ind w:left="284" w:right="-104" w:hanging="284"/>
              <w:jc w:val="both"/>
              <w:rPr>
                <w:b w:val="0"/>
                <w:sz w:val="20"/>
                <w:szCs w:val="20"/>
              </w:rPr>
            </w:pPr>
            <w:r w:rsidRPr="00A95049">
              <w:rPr>
                <w:b w:val="0"/>
                <w:sz w:val="20"/>
                <w:szCs w:val="20"/>
              </w:rPr>
              <w:t>redakcijsko odpraviti anomalije, ki so posledica normativnih sprememb oziroma odpraviti nesistemske rešitve, ki so v nasprotju z namenom posamezne zakonske določbe ter</w:t>
            </w:r>
          </w:p>
          <w:p w:rsidR="00A95049" w:rsidRDefault="00A840AF" w:rsidP="00A95049">
            <w:pPr>
              <w:pStyle w:val="Odsek"/>
              <w:numPr>
                <w:ilvl w:val="0"/>
                <w:numId w:val="12"/>
              </w:numPr>
              <w:spacing w:before="0" w:after="0" w:line="288" w:lineRule="auto"/>
              <w:ind w:left="284" w:right="-104" w:hanging="284"/>
              <w:jc w:val="both"/>
              <w:rPr>
                <w:b w:val="0"/>
                <w:sz w:val="20"/>
                <w:szCs w:val="20"/>
              </w:rPr>
            </w:pPr>
            <w:r>
              <w:rPr>
                <w:b w:val="0"/>
                <w:sz w:val="20"/>
                <w:szCs w:val="20"/>
              </w:rPr>
              <w:t>odpraviti terminološka razhajanja.</w:t>
            </w:r>
          </w:p>
          <w:bookmarkEnd w:id="24"/>
          <w:p w:rsidR="00E762CA" w:rsidRPr="00115F14" w:rsidRDefault="00E762CA" w:rsidP="00A95049">
            <w:pPr>
              <w:pStyle w:val="Odsek"/>
              <w:numPr>
                <w:ilvl w:val="0"/>
                <w:numId w:val="0"/>
              </w:numPr>
              <w:spacing w:before="0" w:after="0" w:line="288" w:lineRule="auto"/>
              <w:ind w:right="-104"/>
              <w:jc w:val="both"/>
              <w:rPr>
                <w:b w:val="0"/>
                <w:sz w:val="20"/>
                <w:szCs w:val="20"/>
              </w:rPr>
            </w:pPr>
          </w:p>
        </w:tc>
      </w:tr>
      <w:tr w:rsidR="00AE2155" w:rsidRPr="00115F14" w:rsidTr="005363D0">
        <w:trPr>
          <w:gridAfter w:val="1"/>
          <w:wAfter w:w="600" w:type="dxa"/>
        </w:trPr>
        <w:tc>
          <w:tcPr>
            <w:tcW w:w="8755" w:type="dxa"/>
          </w:tcPr>
          <w:p w:rsidR="00AE2155" w:rsidRPr="00115F14" w:rsidRDefault="00AE2155" w:rsidP="00B644CC">
            <w:pPr>
              <w:pStyle w:val="Odsek"/>
              <w:numPr>
                <w:ilvl w:val="0"/>
                <w:numId w:val="0"/>
              </w:numPr>
              <w:spacing w:before="0" w:after="0" w:line="288" w:lineRule="auto"/>
              <w:jc w:val="left"/>
              <w:rPr>
                <w:sz w:val="20"/>
                <w:szCs w:val="20"/>
              </w:rPr>
            </w:pPr>
            <w:r w:rsidRPr="00115F14">
              <w:rPr>
                <w:sz w:val="20"/>
                <w:szCs w:val="20"/>
              </w:rPr>
              <w:t>2.2 Načela</w:t>
            </w:r>
          </w:p>
          <w:p w:rsidR="00AE2155" w:rsidRPr="00115F14" w:rsidRDefault="00AE2155" w:rsidP="00B644CC">
            <w:pPr>
              <w:spacing w:line="288" w:lineRule="auto"/>
              <w:jc w:val="both"/>
              <w:rPr>
                <w:rFonts w:cs="Arial"/>
                <w:szCs w:val="20"/>
              </w:rPr>
            </w:pPr>
          </w:p>
          <w:p w:rsidR="00AE2155" w:rsidRPr="00115F14" w:rsidRDefault="00AE2155" w:rsidP="00B644CC">
            <w:pPr>
              <w:spacing w:line="288" w:lineRule="auto"/>
              <w:jc w:val="both"/>
            </w:pPr>
            <w:r w:rsidRPr="00115F14">
              <w:t>Temeljnih načel dosedanjega zakona predlog zakona ne spreminja in še vedno uresničuje:</w:t>
            </w:r>
          </w:p>
          <w:p w:rsidR="00AE2155" w:rsidRPr="00115F14" w:rsidRDefault="00AE2155" w:rsidP="00B644CC">
            <w:pPr>
              <w:spacing w:line="288" w:lineRule="auto"/>
              <w:jc w:val="both"/>
            </w:pPr>
            <w:r w:rsidRPr="00115F14">
              <w:t>– načelo ustavnosti in zakonitosti,</w:t>
            </w:r>
          </w:p>
          <w:p w:rsidR="00872098" w:rsidRDefault="00AE2155" w:rsidP="00B644CC">
            <w:pPr>
              <w:spacing w:line="288" w:lineRule="auto"/>
              <w:jc w:val="both"/>
              <w:rPr>
                <w:rFonts w:cs="Arial"/>
                <w:szCs w:val="20"/>
              </w:rPr>
            </w:pPr>
            <w:r w:rsidRPr="00115F14">
              <w:rPr>
                <w:rFonts w:cs="Arial"/>
              </w:rPr>
              <w:t xml:space="preserve">– </w:t>
            </w:r>
            <w:r w:rsidRPr="00115F14">
              <w:rPr>
                <w:rFonts w:cs="Arial"/>
                <w:szCs w:val="20"/>
              </w:rPr>
              <w:t>načelo enakosti,</w:t>
            </w:r>
          </w:p>
          <w:p w:rsidR="00872098" w:rsidRDefault="00872098" w:rsidP="00872098">
            <w:pPr>
              <w:spacing w:line="288" w:lineRule="auto"/>
              <w:jc w:val="both"/>
              <w:rPr>
                <w:rFonts w:cs="Arial"/>
                <w:szCs w:val="20"/>
              </w:rPr>
            </w:pPr>
            <w:r w:rsidRPr="00115F14">
              <w:rPr>
                <w:rFonts w:cs="Arial"/>
              </w:rPr>
              <w:t xml:space="preserve">– </w:t>
            </w:r>
            <w:r>
              <w:rPr>
                <w:rFonts w:cs="Arial"/>
                <w:szCs w:val="20"/>
              </w:rPr>
              <w:t>načelo ekonomičnosti in smotrnosti,</w:t>
            </w:r>
          </w:p>
          <w:p w:rsidR="00503F6A" w:rsidRDefault="00503F6A" w:rsidP="00503F6A">
            <w:pPr>
              <w:spacing w:line="288" w:lineRule="auto"/>
              <w:rPr>
                <w:rFonts w:cs="Arial"/>
                <w:bCs/>
                <w:szCs w:val="20"/>
              </w:rPr>
            </w:pPr>
            <w:r>
              <w:rPr>
                <w:rFonts w:cs="Arial"/>
                <w:bCs/>
                <w:szCs w:val="20"/>
              </w:rPr>
              <w:t>– načelo optimizacije poslovanja,</w:t>
            </w:r>
          </w:p>
          <w:p w:rsidR="00503F6A" w:rsidRPr="00503F6A" w:rsidRDefault="00503F6A" w:rsidP="00503F6A">
            <w:pPr>
              <w:spacing w:line="288" w:lineRule="auto"/>
              <w:rPr>
                <w:rFonts w:cs="Arial"/>
                <w:bCs/>
                <w:szCs w:val="20"/>
              </w:rPr>
            </w:pPr>
            <w:r>
              <w:rPr>
                <w:rFonts w:cs="Arial"/>
                <w:bCs/>
                <w:szCs w:val="20"/>
              </w:rPr>
              <w:t>– načelo optimalne izrabe kadrovskih virov,</w:t>
            </w:r>
          </w:p>
          <w:p w:rsidR="00AE2155" w:rsidRPr="00115F14" w:rsidRDefault="00AE2155" w:rsidP="00B644CC">
            <w:pPr>
              <w:spacing w:line="288" w:lineRule="auto"/>
              <w:jc w:val="both"/>
            </w:pPr>
            <w:r w:rsidRPr="00115F14">
              <w:t xml:space="preserve">– načelo nepristranskosti in neodvisnosti, </w:t>
            </w:r>
          </w:p>
          <w:p w:rsidR="00AE2155" w:rsidRPr="00115F14" w:rsidRDefault="00AE2155" w:rsidP="00B644CC">
            <w:pPr>
              <w:spacing w:line="288" w:lineRule="auto"/>
              <w:jc w:val="both"/>
            </w:pPr>
            <w:r w:rsidRPr="00115F14">
              <w:t>– načelo samostojnosti državnih tožilcev,</w:t>
            </w:r>
          </w:p>
          <w:p w:rsidR="00AE2155" w:rsidRPr="00115F14" w:rsidRDefault="00AE2155" w:rsidP="00B644CC">
            <w:pPr>
              <w:spacing w:line="288" w:lineRule="auto"/>
              <w:jc w:val="both"/>
              <w:rPr>
                <w:rFonts w:cs="Arial"/>
                <w:szCs w:val="20"/>
              </w:rPr>
            </w:pPr>
            <w:r w:rsidRPr="00115F14">
              <w:rPr>
                <w:rFonts w:cs="Arial"/>
              </w:rPr>
              <w:t xml:space="preserve">– </w:t>
            </w:r>
            <w:r w:rsidRPr="00115F14">
              <w:rPr>
                <w:rFonts w:cs="Arial"/>
                <w:szCs w:val="20"/>
              </w:rPr>
              <w:t>načelo učinkovitosti opravljanja funkcije državnega tožilca,</w:t>
            </w:r>
          </w:p>
          <w:p w:rsidR="00AE2155" w:rsidRPr="00115F14" w:rsidRDefault="00AE2155" w:rsidP="00B644CC">
            <w:pPr>
              <w:spacing w:line="288" w:lineRule="auto"/>
              <w:jc w:val="both"/>
              <w:rPr>
                <w:rFonts w:cs="Arial"/>
                <w:szCs w:val="20"/>
              </w:rPr>
            </w:pPr>
            <w:r w:rsidRPr="00115F14">
              <w:rPr>
                <w:rFonts w:cs="Arial"/>
                <w:szCs w:val="20"/>
              </w:rPr>
              <w:t>– načelo neposredne uporabnosti uredbe EU in</w:t>
            </w:r>
          </w:p>
          <w:p w:rsidR="00AE2155" w:rsidRDefault="00AE2155" w:rsidP="00B644CC">
            <w:pPr>
              <w:spacing w:line="288" w:lineRule="auto"/>
              <w:jc w:val="both"/>
              <w:rPr>
                <w:rFonts w:cs="Arial"/>
                <w:szCs w:val="20"/>
              </w:rPr>
            </w:pPr>
            <w:r w:rsidRPr="00115F14">
              <w:rPr>
                <w:rFonts w:cs="Arial"/>
                <w:szCs w:val="20"/>
              </w:rPr>
              <w:t>– načelo neposredne učinkovitosti uredbe EU.</w:t>
            </w:r>
          </w:p>
          <w:p w:rsidR="00A95049" w:rsidRPr="00115F14" w:rsidRDefault="00A95049" w:rsidP="00B644CC">
            <w:pPr>
              <w:spacing w:line="288" w:lineRule="auto"/>
              <w:jc w:val="both"/>
            </w:pPr>
          </w:p>
        </w:tc>
      </w:tr>
      <w:tr w:rsidR="00AE2155" w:rsidRPr="00115F14" w:rsidTr="005363D0">
        <w:tc>
          <w:tcPr>
            <w:tcW w:w="9355" w:type="dxa"/>
            <w:gridSpan w:val="2"/>
          </w:tcPr>
          <w:p w:rsidR="00AE2155" w:rsidRPr="00115F14" w:rsidRDefault="00503F6A" w:rsidP="00503F6A">
            <w:pPr>
              <w:pStyle w:val="Odsek"/>
              <w:numPr>
                <w:ilvl w:val="0"/>
                <w:numId w:val="0"/>
              </w:numPr>
              <w:spacing w:before="0" w:after="0" w:line="288" w:lineRule="auto"/>
              <w:jc w:val="left"/>
              <w:rPr>
                <w:sz w:val="20"/>
                <w:szCs w:val="20"/>
              </w:rPr>
            </w:pPr>
            <w:bookmarkStart w:id="25" w:name="_Hlk531169178"/>
            <w:r>
              <w:rPr>
                <w:sz w:val="20"/>
                <w:szCs w:val="20"/>
              </w:rPr>
              <w:t xml:space="preserve">2.3 </w:t>
            </w:r>
            <w:r w:rsidR="00AE2155" w:rsidRPr="00115F14">
              <w:rPr>
                <w:sz w:val="20"/>
                <w:szCs w:val="20"/>
              </w:rPr>
              <w:t>Poglavitne rešitve</w:t>
            </w:r>
          </w:p>
          <w:p w:rsidR="00AE2155" w:rsidRPr="00115F14" w:rsidRDefault="00AE2155" w:rsidP="00B644CC">
            <w:pPr>
              <w:pStyle w:val="Odsek"/>
              <w:numPr>
                <w:ilvl w:val="0"/>
                <w:numId w:val="0"/>
              </w:numPr>
              <w:spacing w:before="0" w:after="0" w:line="288" w:lineRule="auto"/>
              <w:jc w:val="left"/>
              <w:rPr>
                <w:sz w:val="20"/>
                <w:szCs w:val="20"/>
              </w:rPr>
            </w:pPr>
          </w:p>
          <w:p w:rsidR="00AE2155" w:rsidRPr="00115F14" w:rsidRDefault="00AE2155" w:rsidP="00B644CC">
            <w:pPr>
              <w:pStyle w:val="rkovnatokazaodstavkom"/>
              <w:numPr>
                <w:ilvl w:val="0"/>
                <w:numId w:val="0"/>
              </w:numPr>
              <w:spacing w:line="288" w:lineRule="auto"/>
            </w:pPr>
            <w:r w:rsidRPr="00115F14">
              <w:rPr>
                <w:rFonts w:cs="Arial"/>
                <w:b/>
              </w:rPr>
              <w:t>2.3.1 Pogoji in postopek imenovanja nacionalnega predstavnika in njegovega namestnika</w:t>
            </w:r>
          </w:p>
        </w:tc>
      </w:tr>
    </w:tbl>
    <w:p w:rsidR="00AE2155" w:rsidRPr="00115F14" w:rsidRDefault="00AE2155" w:rsidP="00B644CC">
      <w:pPr>
        <w:spacing w:line="288" w:lineRule="auto"/>
        <w:jc w:val="both"/>
        <w:rPr>
          <w:rFonts w:cs="Arial"/>
        </w:rPr>
      </w:pPr>
    </w:p>
    <w:p w:rsidR="00AE2155" w:rsidRPr="00115F14" w:rsidRDefault="00AE2155" w:rsidP="00B644CC">
      <w:pPr>
        <w:spacing w:line="288" w:lineRule="auto"/>
        <w:jc w:val="both"/>
        <w:rPr>
          <w:rFonts w:cs="Arial"/>
          <w:szCs w:val="20"/>
        </w:rPr>
      </w:pPr>
      <w:r w:rsidRPr="00115F14">
        <w:rPr>
          <w:rFonts w:cs="Arial"/>
        </w:rPr>
        <w:t>Predlog zakona ne posega v veljavno ureditev, ki s</w:t>
      </w:r>
      <w:r w:rsidRPr="00115F14">
        <w:rPr>
          <w:rFonts w:cs="Arial"/>
          <w:szCs w:val="20"/>
        </w:rPr>
        <w:t xml:space="preserve">kladno z naravo dela Eurojusta določa pogoje za imenovanje glede na ustrezni tožilski naziv, kar odseva pridobljeno strokovnost in izkušnje. Pogoji so stopnjevani, tako je za nacionalnega predstavnika oziroma njegovega namestnika lahko imenovan vrhovni ali višji državni tožilec oziroma državni tožilec, ki izpolnjuje pogoje za imenovanje v naziv višjega državnega tožilca. Za pomočnika pa je lahko imenovan okrožni državni tožilec oziroma okrajni državni tožilec, ki izpolnjuje pogoje za imenovanje v naziv okrožnega državnega tožilca. Zakon določa še dodatni pogoj glede znanja tujega jezika, ki ga zahteva narava dela v </w:t>
      </w:r>
      <w:r w:rsidRPr="00115F14">
        <w:rPr>
          <w:rFonts w:cs="Arial"/>
          <w:szCs w:val="20"/>
        </w:rPr>
        <w:lastRenderedPageBreak/>
        <w:t>Eurojustu. Imenovanje poteka s smiselno uporaba postopka, ki ga ZDT-1 določa za dodelitev državnega tožilca v organ. Ministrstvo po prejemu predloga objavi poziv k prijavam za dodelitev v Eurojust. Vse prejete vloge se posredujejo Državnotožilskemu svetu. Nacionalnega predstavnika in njegovega namestnika imenuje Vlada RS na predlog Državnotožilskega sveta, pomočnika pa Državnotožilski svet na predlog generalnega državnega tožilca.</w:t>
      </w:r>
    </w:p>
    <w:p w:rsidR="00AE2155" w:rsidRPr="00115F14" w:rsidRDefault="00AE2155" w:rsidP="00B644CC">
      <w:pPr>
        <w:pStyle w:val="rkovnatokazaodstavkom"/>
        <w:numPr>
          <w:ilvl w:val="0"/>
          <w:numId w:val="0"/>
        </w:numPr>
        <w:spacing w:line="288" w:lineRule="auto"/>
        <w:rPr>
          <w:rFonts w:cs="Arial"/>
        </w:rPr>
      </w:pPr>
    </w:p>
    <w:p w:rsidR="00AE2155" w:rsidRPr="00115F14" w:rsidRDefault="00AE2155" w:rsidP="00B644CC">
      <w:pPr>
        <w:spacing w:line="288" w:lineRule="auto"/>
        <w:jc w:val="both"/>
      </w:pPr>
      <w:r w:rsidRPr="00115F14">
        <w:rPr>
          <w:rFonts w:cs="Arial"/>
        </w:rPr>
        <w:t>Ker o dodelitvi državnega tožilca v organ po 62. členu ZDT-1</w:t>
      </w:r>
      <w:r>
        <w:rPr>
          <w:rFonts w:cs="Arial"/>
        </w:rPr>
        <w:t xml:space="preserve"> </w:t>
      </w:r>
      <w:r w:rsidRPr="00115F14">
        <w:rPr>
          <w:rFonts w:cs="Arial"/>
        </w:rPr>
        <w:t>odloča Državnotožilski svet, nacionalnega predstavnika in njegovega namestnika pa imenuje Vlada Republike Slovenije, se  predlaga odprava sistemske nedoslednosti</w:t>
      </w:r>
      <w:r w:rsidR="007D4385">
        <w:rPr>
          <w:rFonts w:cs="Arial"/>
        </w:rPr>
        <w:t xml:space="preserve"> tudi z določitvijo organa pristojnega za podajo predloga za uvedbo pozivnega postopka</w:t>
      </w:r>
      <w:r w:rsidRPr="00115F14">
        <w:rPr>
          <w:rFonts w:cs="Arial"/>
        </w:rPr>
        <w:t xml:space="preserve"> ter ob tem upošteva rešitev, ki jo je uvedel veljavni 71.č člen ZDT-1. </w:t>
      </w:r>
      <w:r w:rsidR="00822DD6">
        <w:rPr>
          <w:rFonts w:cs="Arial"/>
        </w:rPr>
        <w:t xml:space="preserve">S predlogom zakona se v nasprotju z veljavno ureditvijo določa neodvisen postopek imenovanja nacionalnega predstavnika, njegovega namestnika in pomočnika. </w:t>
      </w:r>
      <w:r w:rsidRPr="00115F14">
        <w:rPr>
          <w:rFonts w:cs="Arial"/>
        </w:rPr>
        <w:t>P</w:t>
      </w:r>
      <w:r w:rsidRPr="00115F14">
        <w:t>ravico, da predlaga pomočnika nacionalnega predstavnika, se namesto nacionalnemu predstavniku, kot je to določeno v veljavni ureditvi, prepušča generalnemu državnemu tožilcu, nacionalni predstavnik pa je v postopek vključen s podajo mnenja. Generalni državni tožilec tako prevzema odgovornost za predlaganje pomočnika</w:t>
      </w:r>
      <w:r w:rsidR="007D4385">
        <w:t xml:space="preserve"> ter podajo predhodnega mnenja k imenovanju nacionalnega predstavnika in njegovega namestnika, </w:t>
      </w:r>
      <w:r w:rsidRPr="00115F14">
        <w:t>s čimer se okrepi njegova vloga pri odločanju o predstavnikih državnega tožilstva, ki delujejo v sklopu Eurojusta.</w:t>
      </w:r>
    </w:p>
    <w:p w:rsidR="00AE2155" w:rsidRPr="00115F14" w:rsidRDefault="00AE2155" w:rsidP="00B644CC">
      <w:pPr>
        <w:pStyle w:val="rkovnatokazaodstavkom"/>
        <w:numPr>
          <w:ilvl w:val="0"/>
          <w:numId w:val="0"/>
        </w:numPr>
        <w:spacing w:line="288" w:lineRule="auto"/>
        <w:rPr>
          <w:rFonts w:cs="Arial"/>
        </w:rPr>
      </w:pPr>
    </w:p>
    <w:p w:rsidR="007D4385" w:rsidRDefault="00AE2155" w:rsidP="00B644CC">
      <w:pPr>
        <w:spacing w:line="288" w:lineRule="auto"/>
        <w:jc w:val="both"/>
        <w:rPr>
          <w:rFonts w:cs="Arial"/>
          <w:szCs w:val="20"/>
        </w:rPr>
      </w:pPr>
      <w:r w:rsidRPr="00115F14">
        <w:rPr>
          <w:rFonts w:cs="Arial"/>
          <w:szCs w:val="20"/>
        </w:rPr>
        <w:t>Z</w:t>
      </w:r>
      <w:r>
        <w:rPr>
          <w:rFonts w:cs="Arial"/>
          <w:szCs w:val="20"/>
        </w:rPr>
        <w:t xml:space="preserve"> </w:t>
      </w:r>
      <w:r w:rsidRPr="00115F14">
        <w:rPr>
          <w:rFonts w:cs="Arial"/>
          <w:szCs w:val="20"/>
        </w:rPr>
        <w:t>Uredbo 2017/1939/EU</w:t>
      </w:r>
      <w:r>
        <w:rPr>
          <w:rFonts w:cs="Arial"/>
          <w:szCs w:val="20"/>
        </w:rPr>
        <w:t xml:space="preserve"> </w:t>
      </w:r>
      <w:r w:rsidRPr="00115F14">
        <w:rPr>
          <w:rFonts w:cs="Arial"/>
          <w:szCs w:val="20"/>
        </w:rPr>
        <w:t>se mandat nacionalnega predstavnika</w:t>
      </w:r>
      <w:r w:rsidR="007D4385">
        <w:rPr>
          <w:rFonts w:cs="Arial"/>
          <w:szCs w:val="20"/>
        </w:rPr>
        <w:t>,</w:t>
      </w:r>
      <w:r w:rsidR="00B644CC">
        <w:rPr>
          <w:rFonts w:cs="Arial"/>
          <w:szCs w:val="20"/>
        </w:rPr>
        <w:t xml:space="preserve"> </w:t>
      </w:r>
      <w:r w:rsidRPr="00115F14">
        <w:rPr>
          <w:rFonts w:cs="Arial"/>
          <w:szCs w:val="20"/>
        </w:rPr>
        <w:t>njegovega namestnika</w:t>
      </w:r>
      <w:r w:rsidR="007D4385">
        <w:rPr>
          <w:rFonts w:cs="Arial"/>
          <w:szCs w:val="20"/>
        </w:rPr>
        <w:t xml:space="preserve"> in pomočnika</w:t>
      </w:r>
      <w:r w:rsidRPr="00115F14">
        <w:rPr>
          <w:rFonts w:cs="Arial"/>
          <w:szCs w:val="20"/>
        </w:rPr>
        <w:t xml:space="preserve"> podaljšuje na pet let z možnostjo enkratnega podaljšanja</w:t>
      </w:r>
      <w:r>
        <w:rPr>
          <w:rFonts w:cs="Arial"/>
          <w:szCs w:val="20"/>
        </w:rPr>
        <w:t>,</w:t>
      </w:r>
      <w:r w:rsidRPr="00115F14">
        <w:rPr>
          <w:rFonts w:cs="Arial"/>
          <w:szCs w:val="20"/>
        </w:rPr>
        <w:t xml:space="preserve"> zato se v tem delu predlaga uskladitev veljavne določbe 69. člena ZDT-1, ki sedaj določa štiri letni mandat nacionalnega predstavnika, namestnika in pomočnika nacionalnega predstavnika. Dobo imenovanja pomočnika nacionalnega predstavnika nova Uredba 2017/1939/EU</w:t>
      </w:r>
      <w:r w:rsidR="007D4385">
        <w:rPr>
          <w:rFonts w:cs="Arial"/>
          <w:szCs w:val="20"/>
        </w:rPr>
        <w:t xml:space="preserve"> sicer</w:t>
      </w:r>
      <w:r w:rsidRPr="00115F14">
        <w:rPr>
          <w:rFonts w:cs="Arial"/>
          <w:szCs w:val="20"/>
        </w:rPr>
        <w:t xml:space="preserve"> ne določa, </w:t>
      </w:r>
      <w:r w:rsidR="007D4385">
        <w:rPr>
          <w:rFonts w:cs="Arial"/>
          <w:szCs w:val="20"/>
        </w:rPr>
        <w:t>se pa s predlogom zakona sledi veljavni ureditvi in ohranja enako dobo imenovanja za vse tri člane Eurojusta. S to razliko, da se bo mandat</w:t>
      </w:r>
      <w:r w:rsidR="00427223">
        <w:rPr>
          <w:rFonts w:cs="Arial"/>
          <w:szCs w:val="20"/>
        </w:rPr>
        <w:t xml:space="preserve"> lahko enkrat podaljšal zgolj nacionalnemu predstavniku in njegovemu namestniku. Uredba</w:t>
      </w:r>
      <w:r w:rsidR="007D4385">
        <w:rPr>
          <w:rFonts w:cs="Arial"/>
          <w:szCs w:val="20"/>
        </w:rPr>
        <w:t xml:space="preserve"> </w:t>
      </w:r>
      <w:r w:rsidR="00427223" w:rsidRPr="00115F14">
        <w:rPr>
          <w:rFonts w:cs="Arial"/>
          <w:szCs w:val="20"/>
        </w:rPr>
        <w:t>2017/1939/EU</w:t>
      </w:r>
      <w:r w:rsidR="00427223">
        <w:rPr>
          <w:rFonts w:cs="Arial"/>
          <w:szCs w:val="20"/>
        </w:rPr>
        <w:t xml:space="preserve"> omogoča možnost obnov</w:t>
      </w:r>
      <w:r w:rsidR="00B644CC">
        <w:rPr>
          <w:rFonts w:cs="Arial"/>
          <w:szCs w:val="20"/>
        </w:rPr>
        <w:t>itve</w:t>
      </w:r>
      <w:r w:rsidR="00427223">
        <w:rPr>
          <w:rFonts w:cs="Arial"/>
          <w:szCs w:val="20"/>
        </w:rPr>
        <w:t xml:space="preserve"> mandata zgolj nacionalnemu predstavniku in njegovemu namestniku. </w:t>
      </w:r>
      <w:r w:rsidR="00427223">
        <w:rPr>
          <w:rFonts w:eastAsia="Calibri" w:cs="Arial"/>
          <w:szCs w:val="20"/>
        </w:rPr>
        <w:t>V izjemnih primerih pa lahko tudi po izteku mandata, nacionalni predstavnik v soglasju z državo članico nadaljuje z delom nacionalnega predstavnika v Eurojust do obnov</w:t>
      </w:r>
      <w:r w:rsidR="00B644CC">
        <w:rPr>
          <w:rFonts w:eastAsia="Calibri" w:cs="Arial"/>
          <w:szCs w:val="20"/>
        </w:rPr>
        <w:t>itve</w:t>
      </w:r>
      <w:r w:rsidR="00427223">
        <w:rPr>
          <w:rFonts w:eastAsia="Calibri" w:cs="Arial"/>
          <w:szCs w:val="20"/>
        </w:rPr>
        <w:t xml:space="preserve"> mandata oziroma njegove zamenjave.</w:t>
      </w:r>
    </w:p>
    <w:p w:rsidR="00AE2155" w:rsidRPr="00115F14" w:rsidRDefault="00AE2155" w:rsidP="00B644CC">
      <w:pPr>
        <w:spacing w:line="288" w:lineRule="auto"/>
        <w:jc w:val="both"/>
        <w:rPr>
          <w:rFonts w:cs="Arial"/>
          <w:szCs w:val="20"/>
        </w:rPr>
      </w:pPr>
    </w:p>
    <w:p w:rsidR="00AE2155" w:rsidRPr="005B1C7D" w:rsidRDefault="00AE2155" w:rsidP="00B644CC">
      <w:pPr>
        <w:spacing w:line="288" w:lineRule="auto"/>
        <w:jc w:val="both"/>
      </w:pPr>
      <w:r w:rsidRPr="00115F14">
        <w:rPr>
          <w:rFonts w:cs="Arial"/>
          <w:szCs w:val="20"/>
        </w:rPr>
        <w:t xml:space="preserve">Predlaga se črtanje </w:t>
      </w:r>
      <w:r w:rsidRPr="00115F14">
        <w:rPr>
          <w:rFonts w:cs="Arial"/>
          <w:i/>
          <w:szCs w:val="20"/>
        </w:rPr>
        <w:t>»ex lege«</w:t>
      </w:r>
      <w:r w:rsidRPr="00115F14">
        <w:rPr>
          <w:rFonts w:cs="Arial"/>
          <w:szCs w:val="20"/>
        </w:rPr>
        <w:t xml:space="preserve"> napredovanja za tiste državne tožilce, ki izpolnjujejo pogoje za napredovanje na višje državnotožilsko mesto in bi z imenovanjem za nacionalnega predstavnika oziroma njegovega namestnika ali pomočnika pridobil višji naziv. Glede na pristojnosti in naloge, ki jih določa Uredba 2017/1939/EU</w:t>
      </w:r>
      <w:r>
        <w:rPr>
          <w:rFonts w:cs="Arial"/>
          <w:szCs w:val="20"/>
        </w:rPr>
        <w:t xml:space="preserve"> </w:t>
      </w:r>
      <w:r w:rsidRPr="00115F14">
        <w:rPr>
          <w:rFonts w:cs="Arial"/>
          <w:szCs w:val="20"/>
        </w:rPr>
        <w:t>predlagatelj ocenjuje, da takšno</w:t>
      </w:r>
      <w:r>
        <w:rPr>
          <w:rFonts w:cs="Arial"/>
          <w:szCs w:val="20"/>
        </w:rPr>
        <w:t xml:space="preserve"> </w:t>
      </w:r>
      <w:r w:rsidRPr="00115F14">
        <w:rPr>
          <w:rFonts w:cs="Arial"/>
          <w:szCs w:val="20"/>
        </w:rPr>
        <w:t>ne</w:t>
      </w:r>
      <w:r>
        <w:rPr>
          <w:rFonts w:cs="Arial"/>
          <w:szCs w:val="20"/>
        </w:rPr>
        <w:t xml:space="preserve"> </w:t>
      </w:r>
      <w:r w:rsidRPr="00115F14">
        <w:rPr>
          <w:rFonts w:cs="Arial"/>
          <w:szCs w:val="20"/>
        </w:rPr>
        <w:t>karierno</w:t>
      </w:r>
      <w:r>
        <w:rPr>
          <w:rFonts w:cs="Arial"/>
          <w:szCs w:val="20"/>
        </w:rPr>
        <w:t xml:space="preserve"> </w:t>
      </w:r>
      <w:r w:rsidRPr="00115F14">
        <w:rPr>
          <w:rFonts w:cs="Arial"/>
          <w:szCs w:val="20"/>
        </w:rPr>
        <w:t xml:space="preserve">»ex lege« napredovanje ni potrebno. Državni tožilec ima namreč varovano pravico do napredovanja in bo </w:t>
      </w:r>
      <w:r w:rsidR="00083264">
        <w:rPr>
          <w:rFonts w:cs="Arial"/>
          <w:szCs w:val="20"/>
        </w:rPr>
        <w:t xml:space="preserve">v času mandata </w:t>
      </w:r>
      <w:r w:rsidRPr="00115F14">
        <w:rPr>
          <w:rFonts w:cs="Arial"/>
          <w:szCs w:val="20"/>
        </w:rPr>
        <w:t>pridobil</w:t>
      </w:r>
      <w:r w:rsidR="00083264">
        <w:rPr>
          <w:rFonts w:cs="Arial"/>
          <w:szCs w:val="20"/>
        </w:rPr>
        <w:t xml:space="preserve"> redno</w:t>
      </w:r>
      <w:r w:rsidRPr="00115F14">
        <w:rPr>
          <w:rFonts w:cs="Arial"/>
          <w:szCs w:val="20"/>
        </w:rPr>
        <w:t xml:space="preserve"> oceno državnotožilske službe zaradi napredovanja v višji naziv. Poleg tega plača nacionalnega predstavnika, namestnika in pomočnika ni vezana na doseženi</w:t>
      </w:r>
      <w:r>
        <w:rPr>
          <w:rFonts w:cs="Arial"/>
          <w:szCs w:val="20"/>
        </w:rPr>
        <w:t xml:space="preserve"> </w:t>
      </w:r>
      <w:r w:rsidRPr="00115F14">
        <w:rPr>
          <w:rFonts w:cs="Arial"/>
          <w:szCs w:val="20"/>
        </w:rPr>
        <w:t>državnotožilski</w:t>
      </w:r>
      <w:r>
        <w:rPr>
          <w:rFonts w:cs="Arial"/>
          <w:szCs w:val="20"/>
        </w:rPr>
        <w:t xml:space="preserve"> </w:t>
      </w:r>
      <w:r w:rsidRPr="00115F14">
        <w:rPr>
          <w:rFonts w:cs="Arial"/>
          <w:szCs w:val="20"/>
        </w:rPr>
        <w:t xml:space="preserve">naziv temveč jo </w:t>
      </w:r>
      <w:r>
        <w:rPr>
          <w:rFonts w:cs="Arial"/>
          <w:szCs w:val="20"/>
        </w:rPr>
        <w:t>določa</w:t>
      </w:r>
      <w:r w:rsidRPr="00115F14">
        <w:rPr>
          <w:rFonts w:cs="Arial"/>
          <w:szCs w:val="20"/>
        </w:rPr>
        <w:t xml:space="preserve"> Uredba o plačah in drugih prejemkih javnih uslužbencev za delo v tujini</w:t>
      </w:r>
      <w:r>
        <w:rPr>
          <w:rFonts w:cs="Arial"/>
          <w:szCs w:val="20"/>
        </w:rPr>
        <w:t xml:space="preserve"> (v nadaljnjem besedilu: </w:t>
      </w:r>
      <w:r w:rsidRPr="005B1C7D">
        <w:rPr>
          <w:rFonts w:cs="Arial"/>
          <w:szCs w:val="20"/>
        </w:rPr>
        <w:t>uredba).</w:t>
      </w:r>
      <w:r w:rsidRPr="005B1C7D">
        <w:rPr>
          <w:rStyle w:val="Sprotnaopomba-sklic"/>
          <w:rFonts w:cs="Arial"/>
          <w:szCs w:val="20"/>
        </w:rPr>
        <w:footnoteReference w:id="10"/>
      </w:r>
      <w:r w:rsidRPr="005B1C7D">
        <w:rPr>
          <w:rFonts w:cs="Arial"/>
          <w:szCs w:val="20"/>
        </w:rPr>
        <w:t xml:space="preserve"> </w:t>
      </w:r>
      <w:r w:rsidRPr="005B1C7D">
        <w:t xml:space="preserve">Ta uredba ureja tudi plače funkcionarjev, ki so napoteni na delo v tujino in jim funkcija v skladu z zakonom med napotitvijo miruje, ter plače in druge prejemke državnih tožilcev, ki so imenovani za nacionalnega predstavnika, namestnika in pomočnika nacionalnega predstavnika v Eurojustu, za čas, ko funkcijo opravljajo v tujini. </w:t>
      </w:r>
    </w:p>
    <w:p w:rsidR="00AE2155" w:rsidRPr="005B1C7D" w:rsidRDefault="00AE2155" w:rsidP="00B644CC">
      <w:pPr>
        <w:spacing w:line="288" w:lineRule="auto"/>
        <w:jc w:val="both"/>
      </w:pPr>
    </w:p>
    <w:p w:rsidR="00AE2155" w:rsidRPr="005B1C7D" w:rsidRDefault="00AE2155" w:rsidP="00B644CC">
      <w:pPr>
        <w:spacing w:line="288" w:lineRule="auto"/>
        <w:jc w:val="both"/>
      </w:pPr>
      <w:r w:rsidRPr="005B1C7D">
        <w:t xml:space="preserve">Osnova za izračun plače za delo v tujini je določena z nominalno osnovo za delo v tujini, ki je za posamezno funkcijo, delovno mesto oziroma naziv za delo v tujini določena v prilogi 4 te uredbe </w:t>
      </w:r>
      <w:r w:rsidRPr="005B1C7D">
        <w:lastRenderedPageBreak/>
        <w:t xml:space="preserve">(7. člen uredbe). Vrednosti stopenj nominalnih osnov so določene v prilogi 1, ki je sestavni del te uredbe. Plače funkcionarjev, ki so napoteni na delo v tujino ter jim v skladu z zakonom v času napotitve funkcija miruje, se določijo glede na delovna mesta iz priloge 4 pod šiframi TA17001, TA17002 ali TA17003 (napoteni vrhovni sodnik ali vrhovni državni tožilec oziroma napoteni višji sodnik ali višji državni tožilec ter drugi napoteni funkcionarji v pravosodnih organih). </w:t>
      </w:r>
    </w:p>
    <w:p w:rsidR="00AE2155" w:rsidRPr="005B1C7D" w:rsidRDefault="00AE2155" w:rsidP="00B644CC">
      <w:pPr>
        <w:spacing w:line="288" w:lineRule="auto"/>
        <w:jc w:val="both"/>
      </w:pPr>
    </w:p>
    <w:p w:rsidR="00AE2155" w:rsidRPr="005B1C7D" w:rsidRDefault="00AE2155" w:rsidP="00B644CC">
      <w:pPr>
        <w:spacing w:line="288" w:lineRule="auto"/>
        <w:jc w:val="both"/>
      </w:pPr>
      <w:r w:rsidRPr="005B1C7D">
        <w:t>Nekoliko drugače pa uredba določa plače in druge prejemke državnih tožilcev, ki so imenovani za nacionalnega predstavnika, namestnika in pomočnika nacionalnega predstavnika v Eurojustu, za čas, ko funkcijo opravljajo v tujini. V tem času je osnova za izračun njihove plače določena s stopnjo nominalne osnove za delo v tujini, ki je za nacionalnega predstavnika, njegovega namestnika in pomočnika fiksno določena v prilogi 4 pod šifro delovnega mesta TA17004, TA17005 in TA17006. Poleg tega so v tem času upravičeni do zneska, ki ustreza višini akontacije dohodnine in prispevkov delojemalca za socialno varnost, obračunanih od plače za delo v Republiki Sloveniji (4. člen uredbe).</w:t>
      </w:r>
    </w:p>
    <w:p w:rsidR="00AE2155" w:rsidRPr="00115F14" w:rsidRDefault="00AE2155" w:rsidP="00B644CC">
      <w:pPr>
        <w:spacing w:line="288" w:lineRule="auto"/>
        <w:jc w:val="both"/>
        <w:rPr>
          <w:rFonts w:cs="Arial"/>
        </w:rPr>
      </w:pPr>
    </w:p>
    <w:p w:rsidR="00AE2155" w:rsidRPr="00115F14" w:rsidRDefault="00AE2155" w:rsidP="00B644CC">
      <w:pPr>
        <w:spacing w:line="288" w:lineRule="auto"/>
        <w:jc w:val="both"/>
        <w:rPr>
          <w:rFonts w:cs="Arial"/>
          <w:szCs w:val="22"/>
        </w:rPr>
      </w:pPr>
      <w:r w:rsidRPr="00115F14">
        <w:rPr>
          <w:rFonts w:cs="Arial"/>
        </w:rPr>
        <w:t xml:space="preserve">Veljavna ureditev, ki ureja </w:t>
      </w:r>
      <w:r>
        <w:rPr>
          <w:rFonts w:cs="Arial"/>
        </w:rPr>
        <w:t>»</w:t>
      </w:r>
      <w:r w:rsidRPr="00B54E8A">
        <w:rPr>
          <w:rFonts w:cs="Arial"/>
          <w:i/>
          <w:iCs/>
        </w:rPr>
        <w:t>ex lege</w:t>
      </w:r>
      <w:r>
        <w:rPr>
          <w:rFonts w:cs="Arial"/>
          <w:i/>
          <w:iCs/>
        </w:rPr>
        <w:t>«</w:t>
      </w:r>
      <w:r w:rsidRPr="00115F14">
        <w:rPr>
          <w:rFonts w:cs="Arial"/>
        </w:rPr>
        <w:t xml:space="preserve"> imenovanje v višji naziv za člane E</w:t>
      </w:r>
      <w:r w:rsidR="00D00563">
        <w:rPr>
          <w:rFonts w:cs="Arial"/>
        </w:rPr>
        <w:t>urojust</w:t>
      </w:r>
      <w:r w:rsidRPr="00115F14">
        <w:rPr>
          <w:rFonts w:cs="Arial"/>
        </w:rPr>
        <w:t xml:space="preserve"> je sistemsko neustrezna tudi v razmerju do ostalih imenovanj v organe Evropske unije, kjer bodo državni tožilci za razliko od državnih tožilcev v E</w:t>
      </w:r>
      <w:r w:rsidR="00D00563">
        <w:rPr>
          <w:rFonts w:cs="Arial"/>
        </w:rPr>
        <w:t>urojust</w:t>
      </w:r>
      <w:r w:rsidR="00083264">
        <w:rPr>
          <w:rFonts w:cs="Arial"/>
        </w:rPr>
        <w:t xml:space="preserve">, katerega primarna naloga je </w:t>
      </w:r>
      <w:r w:rsidR="00D00563">
        <w:rPr>
          <w:rFonts w:cs="Arial"/>
        </w:rPr>
        <w:t>krepitev usklajevanja in sodelovanja nacionalnih organov, pristojnih za preiskovanje in pregon, v zvezi s hudimi kaznivimi dejanji s čezmejnim elementom,</w:t>
      </w:r>
      <w:r w:rsidRPr="00115F14">
        <w:rPr>
          <w:rFonts w:cs="Arial"/>
        </w:rPr>
        <w:t xml:space="preserve"> kariero gradili z izvajanjem temeljne tožilske funkcije, to je pregona storilcev kaznivih dejanj. Tako tudi z zadnjo novelo </w:t>
      </w:r>
      <w:r w:rsidR="00D00563">
        <w:rPr>
          <w:rFonts w:cs="Arial"/>
        </w:rPr>
        <w:t xml:space="preserve">tega zakona </w:t>
      </w:r>
      <w:r w:rsidRPr="00115F14">
        <w:rPr>
          <w:rFonts w:cs="Arial"/>
        </w:rPr>
        <w:t xml:space="preserve">(ZDT-1C) za evropskega tožilca ni bila predvidena možnosti </w:t>
      </w:r>
      <w:r w:rsidRPr="00115F14">
        <w:rPr>
          <w:rFonts w:cs="Arial"/>
          <w:i/>
          <w:iCs/>
        </w:rPr>
        <w:t>»ex lege«</w:t>
      </w:r>
      <w:r w:rsidRPr="00115F14">
        <w:rPr>
          <w:rFonts w:cs="Arial"/>
        </w:rPr>
        <w:t xml:space="preserve"> napredovanja v višji naziv tistih državnih tožilcev, ki bodo imenovani na funkcijo v Evropskem javnem tožilstvu.</w:t>
      </w:r>
    </w:p>
    <w:p w:rsidR="00AE2155" w:rsidRPr="00115F14" w:rsidRDefault="00AE2155" w:rsidP="00B644CC">
      <w:pPr>
        <w:spacing w:line="288" w:lineRule="auto"/>
        <w:jc w:val="both"/>
        <w:rPr>
          <w:rFonts w:cs="Arial"/>
          <w:szCs w:val="20"/>
        </w:rPr>
      </w:pPr>
    </w:p>
    <w:p w:rsidR="00AE2155" w:rsidRPr="00115F14" w:rsidRDefault="00AE2155" w:rsidP="00B644CC">
      <w:pPr>
        <w:spacing w:line="288" w:lineRule="auto"/>
        <w:jc w:val="both"/>
        <w:rPr>
          <w:rFonts w:cs="Arial"/>
          <w:szCs w:val="20"/>
        </w:rPr>
      </w:pPr>
      <w:bookmarkStart w:id="26" w:name="_Hlk33623723"/>
      <w:r w:rsidRPr="00115F14">
        <w:rPr>
          <w:rFonts w:cs="Arial"/>
          <w:szCs w:val="20"/>
        </w:rPr>
        <w:t>Pogoja, ki ga Uredba 2017/1939/EU določa za imenovanje nacionalnega predstavnika in namestnika (ustrezne delovne izkušnje na visoki ravni na področju kazenskih zadev) ni enačiti s pogojem, ki je določen za uvrstitev na listo kandidatov za imenovanje evropskega tožilca (potrebne kvalifikacije za imenovanje na visoko tožilsko funkcijo v svojih državah članicah ter</w:t>
      </w:r>
      <w:r>
        <w:rPr>
          <w:rFonts w:cs="Arial"/>
          <w:szCs w:val="20"/>
        </w:rPr>
        <w:t xml:space="preserve"> </w:t>
      </w:r>
      <w:r w:rsidRPr="00115F14">
        <w:rPr>
          <w:rFonts w:cs="Arial"/>
          <w:szCs w:val="20"/>
        </w:rPr>
        <w:t xml:space="preserve">ustrezne praktične izkušnje z nacionalnimi pravnimi sistemi, finančnimi preiskavami in mednarodnim pravosodnim sodelovanjem v kazenskih zadevah). Vse navedeno po mnenju predlagatelja opravičuje črtanje </w:t>
      </w:r>
      <w:r w:rsidRPr="00115F14">
        <w:rPr>
          <w:rFonts w:cs="Arial"/>
          <w:i/>
          <w:szCs w:val="20"/>
        </w:rPr>
        <w:t>»ex lege«</w:t>
      </w:r>
      <w:r w:rsidRPr="00115F14">
        <w:rPr>
          <w:rFonts w:cs="Arial"/>
          <w:szCs w:val="20"/>
        </w:rPr>
        <w:t xml:space="preserve"> napredovanja tudi</w:t>
      </w:r>
      <w:r w:rsidR="00D00563">
        <w:rPr>
          <w:rFonts w:cs="Arial"/>
          <w:szCs w:val="20"/>
        </w:rPr>
        <w:t xml:space="preserve"> za</w:t>
      </w:r>
      <w:r w:rsidRPr="00115F14">
        <w:rPr>
          <w:rFonts w:cs="Arial"/>
          <w:szCs w:val="20"/>
        </w:rPr>
        <w:t xml:space="preserve"> nacionaln</w:t>
      </w:r>
      <w:r w:rsidR="00D00563">
        <w:rPr>
          <w:rFonts w:cs="Arial"/>
          <w:szCs w:val="20"/>
        </w:rPr>
        <w:t>ega</w:t>
      </w:r>
      <w:r w:rsidRPr="00115F14">
        <w:rPr>
          <w:rFonts w:cs="Arial"/>
          <w:szCs w:val="20"/>
        </w:rPr>
        <w:t xml:space="preserve"> predstavnik</w:t>
      </w:r>
      <w:r w:rsidR="00D00563">
        <w:rPr>
          <w:rFonts w:cs="Arial"/>
          <w:szCs w:val="20"/>
        </w:rPr>
        <w:t>a</w:t>
      </w:r>
      <w:r w:rsidRPr="00115F14">
        <w:rPr>
          <w:rFonts w:cs="Arial"/>
          <w:szCs w:val="20"/>
        </w:rPr>
        <w:t xml:space="preserve"> v Eurojust</w:t>
      </w:r>
      <w:r>
        <w:rPr>
          <w:rFonts w:cs="Arial"/>
          <w:szCs w:val="20"/>
        </w:rPr>
        <w:t>u</w:t>
      </w:r>
      <w:r w:rsidRPr="00115F14">
        <w:rPr>
          <w:rFonts w:cs="Arial"/>
          <w:szCs w:val="20"/>
        </w:rPr>
        <w:t>, njegove</w:t>
      </w:r>
      <w:r w:rsidR="00D00563">
        <w:rPr>
          <w:rFonts w:cs="Arial"/>
          <w:szCs w:val="20"/>
        </w:rPr>
        <w:t>ga</w:t>
      </w:r>
      <w:r w:rsidRPr="00115F14">
        <w:rPr>
          <w:rFonts w:cs="Arial"/>
          <w:szCs w:val="20"/>
        </w:rPr>
        <w:t xml:space="preserve"> namestnik</w:t>
      </w:r>
      <w:r w:rsidR="00D00563">
        <w:rPr>
          <w:rFonts w:cs="Arial"/>
          <w:szCs w:val="20"/>
        </w:rPr>
        <w:t>a</w:t>
      </w:r>
      <w:r w:rsidRPr="00115F14">
        <w:rPr>
          <w:rFonts w:cs="Arial"/>
          <w:szCs w:val="20"/>
        </w:rPr>
        <w:t xml:space="preserve"> in pomočnik</w:t>
      </w:r>
      <w:r w:rsidR="00D00563">
        <w:rPr>
          <w:rFonts w:cs="Arial"/>
          <w:szCs w:val="20"/>
        </w:rPr>
        <w:t>a</w:t>
      </w:r>
      <w:r w:rsidRPr="00115F14">
        <w:rPr>
          <w:rFonts w:cs="Arial"/>
          <w:szCs w:val="20"/>
        </w:rPr>
        <w:t>.</w:t>
      </w:r>
    </w:p>
    <w:p w:rsidR="0011486F" w:rsidRPr="00952421" w:rsidRDefault="0011486F" w:rsidP="0011486F">
      <w:pPr>
        <w:spacing w:line="288" w:lineRule="auto"/>
        <w:jc w:val="both"/>
      </w:pPr>
    </w:p>
    <w:p w:rsidR="00AE2155" w:rsidRPr="00115F14" w:rsidRDefault="00AE2155" w:rsidP="00B644CC">
      <w:pPr>
        <w:spacing w:line="288" w:lineRule="auto"/>
        <w:jc w:val="both"/>
        <w:rPr>
          <w:rFonts w:eastAsia="Calibri" w:cs="Arial"/>
          <w:szCs w:val="20"/>
        </w:rPr>
      </w:pPr>
      <w:r w:rsidRPr="00115F14">
        <w:rPr>
          <w:rFonts w:eastAsia="Calibri" w:cs="Arial"/>
          <w:szCs w:val="20"/>
        </w:rPr>
        <w:t>Predčasno prenehanje izvajanja pooblastil in strokovnih nalog nacionalnega predstavnika v Eurojustu Uredba 2018/1727/EU</w:t>
      </w:r>
      <w:r w:rsidR="00D00563">
        <w:rPr>
          <w:rFonts w:eastAsia="Calibri" w:cs="Arial"/>
          <w:szCs w:val="20"/>
        </w:rPr>
        <w:t xml:space="preserve"> v primerjavo s Sklepom </w:t>
      </w:r>
      <w:r w:rsidR="002701C1" w:rsidRPr="002701C1">
        <w:rPr>
          <w:rFonts w:eastAsia="Calibri" w:cs="Arial"/>
          <w:szCs w:val="20"/>
        </w:rPr>
        <w:t xml:space="preserve"> S</w:t>
      </w:r>
      <w:r w:rsidR="002701C1">
        <w:rPr>
          <w:rFonts w:eastAsia="Calibri" w:cs="Arial"/>
          <w:szCs w:val="20"/>
        </w:rPr>
        <w:t>veta</w:t>
      </w:r>
      <w:r w:rsidR="002701C1" w:rsidRPr="002701C1">
        <w:rPr>
          <w:rFonts w:eastAsia="Calibri" w:cs="Arial"/>
          <w:szCs w:val="20"/>
        </w:rPr>
        <w:t xml:space="preserve"> 2009/426/PNZ</w:t>
      </w:r>
      <w:r w:rsidR="002701C1">
        <w:rPr>
          <w:rFonts w:eastAsia="Calibri" w:cs="Arial"/>
          <w:szCs w:val="20"/>
        </w:rPr>
        <w:t xml:space="preserve"> </w:t>
      </w:r>
      <w:r w:rsidR="002701C1" w:rsidRPr="002701C1">
        <w:rPr>
          <w:rFonts w:eastAsia="Calibri" w:cs="Arial"/>
          <w:szCs w:val="20"/>
        </w:rPr>
        <w:t>z dne 16. decembra 2008</w:t>
      </w:r>
      <w:r w:rsidR="002701C1">
        <w:rPr>
          <w:rFonts w:eastAsia="Calibri" w:cs="Arial"/>
          <w:szCs w:val="20"/>
        </w:rPr>
        <w:t xml:space="preserve"> </w:t>
      </w:r>
      <w:r w:rsidR="002701C1" w:rsidRPr="002701C1">
        <w:rPr>
          <w:rFonts w:eastAsia="Calibri" w:cs="Arial"/>
          <w:szCs w:val="20"/>
        </w:rPr>
        <w:t>o okrepitvi Eurojusta</w:t>
      </w:r>
      <w:r w:rsidR="002701C1">
        <w:rPr>
          <w:rFonts w:eastAsia="Calibri" w:cs="Arial"/>
          <w:szCs w:val="20"/>
        </w:rPr>
        <w:t xml:space="preserve">, ki je spremenil </w:t>
      </w:r>
      <w:r w:rsidR="002701C1" w:rsidRPr="002701C1">
        <w:rPr>
          <w:rFonts w:eastAsia="Calibri" w:cs="Arial"/>
          <w:szCs w:val="20"/>
        </w:rPr>
        <w:t>Sklep 2002/187/PNZ o ustanovitvi Eurojusta</w:t>
      </w:r>
      <w:r w:rsidR="002701C1">
        <w:rPr>
          <w:rFonts w:eastAsia="Calibri" w:cs="Arial"/>
          <w:szCs w:val="20"/>
        </w:rPr>
        <w:t>,</w:t>
      </w:r>
      <w:r w:rsidR="002701C1" w:rsidRPr="002701C1">
        <w:rPr>
          <w:rFonts w:eastAsia="Calibri" w:cs="Arial"/>
          <w:szCs w:val="20"/>
        </w:rPr>
        <w:t xml:space="preserve"> </w:t>
      </w:r>
      <w:r w:rsidRPr="00115F14">
        <w:rPr>
          <w:rFonts w:eastAsia="Calibri" w:cs="Arial"/>
          <w:szCs w:val="20"/>
        </w:rPr>
        <w:t>ne ureja, zato se s predlogom zakona črta možnost odpoklica nacionalnega predstavnika pred potekom dobe, za katero je imenovan.</w:t>
      </w:r>
    </w:p>
    <w:bookmarkEnd w:id="26"/>
    <w:p w:rsidR="00AE2155" w:rsidRPr="00115F14" w:rsidRDefault="00AE2155" w:rsidP="00B644CC">
      <w:pPr>
        <w:pStyle w:val="Odstavekseznama"/>
        <w:ind w:left="0"/>
        <w:rPr>
          <w:rFonts w:cs="Arial"/>
        </w:rPr>
      </w:pPr>
    </w:p>
    <w:p w:rsidR="00AE2155" w:rsidRPr="00115F14" w:rsidRDefault="00AE2155" w:rsidP="00503ED9">
      <w:pPr>
        <w:pStyle w:val="rkovnatokazaodstavkom"/>
        <w:numPr>
          <w:ilvl w:val="0"/>
          <w:numId w:val="0"/>
        </w:numPr>
        <w:spacing w:line="288" w:lineRule="auto"/>
        <w:rPr>
          <w:rFonts w:cs="Arial"/>
          <w:b/>
        </w:rPr>
      </w:pPr>
      <w:r w:rsidRPr="00115F14">
        <w:rPr>
          <w:rFonts w:cs="Arial"/>
          <w:b/>
        </w:rPr>
        <w:t>2.3.2 Dežurna služba državnega tožilstva</w:t>
      </w:r>
    </w:p>
    <w:p w:rsidR="00AE2155" w:rsidRPr="00115F14" w:rsidRDefault="00AE2155" w:rsidP="00B644CC">
      <w:pPr>
        <w:pStyle w:val="rkovnatokazaodstavkom"/>
        <w:numPr>
          <w:ilvl w:val="0"/>
          <w:numId w:val="0"/>
        </w:numPr>
        <w:spacing w:line="288" w:lineRule="auto"/>
        <w:rPr>
          <w:rFonts w:cs="Arial"/>
        </w:rPr>
      </w:pPr>
    </w:p>
    <w:p w:rsidR="00BC7776" w:rsidRPr="00BC7776" w:rsidRDefault="00BC7776" w:rsidP="00C17600">
      <w:pPr>
        <w:pStyle w:val="rkovnatokazaodstavkom"/>
        <w:numPr>
          <w:ilvl w:val="0"/>
          <w:numId w:val="27"/>
        </w:numPr>
        <w:spacing w:line="288" w:lineRule="auto"/>
        <w:ind w:left="284" w:hanging="284"/>
        <w:rPr>
          <w:rFonts w:cs="Arial"/>
          <w:u w:val="single"/>
        </w:rPr>
      </w:pPr>
      <w:r w:rsidRPr="00BC7776">
        <w:rPr>
          <w:u w:val="single"/>
        </w:rPr>
        <w:t>Sodelovanj</w:t>
      </w:r>
      <w:r w:rsidR="008D35C2">
        <w:rPr>
          <w:u w:val="single"/>
        </w:rPr>
        <w:t>e</w:t>
      </w:r>
      <w:r w:rsidRPr="00BC7776">
        <w:rPr>
          <w:u w:val="single"/>
        </w:rPr>
        <w:t xml:space="preserve"> državnotožilskega osebja pri opravljanju nujnih procesnih dejanj</w:t>
      </w:r>
    </w:p>
    <w:p w:rsidR="00BC7776" w:rsidRDefault="00BC7776" w:rsidP="00BC7776">
      <w:pPr>
        <w:pStyle w:val="rkovnatokazaodstavkom"/>
        <w:numPr>
          <w:ilvl w:val="0"/>
          <w:numId w:val="0"/>
        </w:numPr>
        <w:spacing w:line="288" w:lineRule="auto"/>
        <w:ind w:left="360"/>
        <w:rPr>
          <w:rFonts w:cs="Arial"/>
        </w:rPr>
      </w:pPr>
    </w:p>
    <w:p w:rsidR="00AE2155" w:rsidRPr="00115F14" w:rsidRDefault="00AE2155" w:rsidP="00B644CC">
      <w:pPr>
        <w:pStyle w:val="rkovnatokazaodstavkom"/>
        <w:numPr>
          <w:ilvl w:val="0"/>
          <w:numId w:val="0"/>
        </w:numPr>
        <w:spacing w:line="288" w:lineRule="auto"/>
        <w:rPr>
          <w:rFonts w:cs="Arial"/>
        </w:rPr>
      </w:pPr>
      <w:r w:rsidRPr="00115F14">
        <w:rPr>
          <w:rFonts w:cs="Arial"/>
        </w:rPr>
        <w:t xml:space="preserve">Zunaj poslovnega časa državnega tožilstva se za sodelovanje državnega tožilstva s policijo ter drugimi pristojnimi državnimi organi v predkazenskem postopku, ki obsega medsebojno obveščanje in usmerjanje predkazenskega postopka, za zagotovitev udeležbe pri nujnih procesnih dejanjih in drugih opravilih predkazenskega ali kazenskega postopka ter za druga nujna dejanja v predkazenskem postopku organizira dežurna služba. </w:t>
      </w:r>
    </w:p>
    <w:p w:rsidR="00AE2155" w:rsidRPr="00115F14" w:rsidRDefault="00AE2155" w:rsidP="00B644CC">
      <w:pPr>
        <w:pStyle w:val="rkovnatokazaodstavkom"/>
        <w:numPr>
          <w:ilvl w:val="0"/>
          <w:numId w:val="0"/>
        </w:numPr>
        <w:spacing w:line="288" w:lineRule="auto"/>
        <w:rPr>
          <w:rFonts w:cs="Arial"/>
        </w:rPr>
      </w:pPr>
    </w:p>
    <w:p w:rsidR="00AE2155" w:rsidRPr="00115F14" w:rsidRDefault="00AE2155" w:rsidP="00B644CC">
      <w:pPr>
        <w:pStyle w:val="rkovnatokazaodstavkom"/>
        <w:numPr>
          <w:ilvl w:val="0"/>
          <w:numId w:val="0"/>
        </w:numPr>
        <w:spacing w:line="288" w:lineRule="auto"/>
        <w:rPr>
          <w:rFonts w:cs="Arial"/>
        </w:rPr>
      </w:pPr>
      <w:r w:rsidRPr="00115F14">
        <w:rPr>
          <w:rFonts w:cs="Arial"/>
        </w:rPr>
        <w:lastRenderedPageBreak/>
        <w:t>Pri izvajanju nujnih procesnih dejanj ima državni tožilec zlasti naloge, ki so povezane z izvajanjem aktivnosti in navzočnost na kraju opravljanja nujnih procesnih dejanj in drugih nujnih opravil, z ogledi in zaslišanji, usmerjanjem predkazenskega postopka, usmerjanjem policije, odgovarjanje na pozive policije z obveznimi</w:t>
      </w:r>
      <w:r>
        <w:rPr>
          <w:rFonts w:cs="Arial"/>
        </w:rPr>
        <w:t xml:space="preserve"> </w:t>
      </w:r>
      <w:r w:rsidRPr="00115F14">
        <w:rPr>
          <w:rFonts w:cs="Arial"/>
        </w:rPr>
        <w:t>navodili, strokovnimi mnenji in predlogi za zbiranje obvestil in drugih ukrepov, za katere je pristojna</w:t>
      </w:r>
      <w:r>
        <w:rPr>
          <w:rFonts w:cs="Arial"/>
        </w:rPr>
        <w:t xml:space="preserve"> </w:t>
      </w:r>
      <w:r w:rsidRPr="00115F14">
        <w:rPr>
          <w:rFonts w:cs="Arial"/>
        </w:rPr>
        <w:t>policija, z namenom, da se odkrijeta kaznivo dejanje in storilec, sprejemanjem obvestil policije glede zaslišanj osumljencev, na katerih je državni tožilec lahko navzoč, dajanjem navodil policiji, ko prejme obvestilo policije o odvzemu prostosti oseb, sprejemanjem obvestil policije o privedbi osumljenca pred preiskovalnega sodnika zaradi podanih</w:t>
      </w:r>
      <w:r>
        <w:rPr>
          <w:rFonts w:cs="Arial"/>
        </w:rPr>
        <w:t xml:space="preserve"> </w:t>
      </w:r>
      <w:r w:rsidRPr="00115F14">
        <w:rPr>
          <w:rFonts w:cs="Arial"/>
        </w:rPr>
        <w:t>pripornih razlogov, sprejemanjem obvestil policije v primerih, ko ta zaseže predmete, opravi hišno in osebno preiskavo ter</w:t>
      </w:r>
      <w:r>
        <w:rPr>
          <w:rFonts w:cs="Arial"/>
        </w:rPr>
        <w:t xml:space="preserve"> z</w:t>
      </w:r>
      <w:r w:rsidRPr="00115F14">
        <w:rPr>
          <w:rFonts w:cs="Arial"/>
        </w:rPr>
        <w:t xml:space="preserve"> odreditvijo izvedenskega dela.</w:t>
      </w:r>
    </w:p>
    <w:p w:rsidR="00AE2155" w:rsidRPr="00115F14" w:rsidRDefault="00AE2155" w:rsidP="00B644CC">
      <w:pPr>
        <w:pStyle w:val="rkovnatokazaodstavkom"/>
        <w:numPr>
          <w:ilvl w:val="0"/>
          <w:numId w:val="0"/>
        </w:numPr>
        <w:spacing w:line="288" w:lineRule="auto"/>
        <w:rPr>
          <w:rFonts w:cs="Arial"/>
        </w:rPr>
      </w:pPr>
    </w:p>
    <w:p w:rsidR="00AE2155" w:rsidRPr="00115F14" w:rsidRDefault="00AE2155" w:rsidP="00B644CC">
      <w:pPr>
        <w:pStyle w:val="rkovnatokazaodstavkom"/>
        <w:numPr>
          <w:ilvl w:val="0"/>
          <w:numId w:val="0"/>
        </w:numPr>
        <w:spacing w:line="288" w:lineRule="auto"/>
        <w:rPr>
          <w:rFonts w:cs="Arial"/>
        </w:rPr>
      </w:pPr>
      <w:r w:rsidRPr="00115F14">
        <w:rPr>
          <w:rFonts w:cs="Arial"/>
        </w:rPr>
        <w:t xml:space="preserve">Postopek, roke in način usmerjanja </w:t>
      </w:r>
      <w:r>
        <w:rPr>
          <w:rFonts w:cs="Arial"/>
        </w:rPr>
        <w:t>ter</w:t>
      </w:r>
      <w:r w:rsidRPr="00115F14">
        <w:rPr>
          <w:rFonts w:cs="Arial"/>
        </w:rPr>
        <w:t xml:space="preserve"> obveščanja med državnimi tožilstvi in policijo je na podlagi</w:t>
      </w:r>
      <w:r>
        <w:rPr>
          <w:rFonts w:cs="Arial"/>
        </w:rPr>
        <w:t xml:space="preserve"> </w:t>
      </w:r>
      <w:r w:rsidRPr="00115F14">
        <w:rPr>
          <w:rFonts w:cs="Arial"/>
        </w:rPr>
        <w:t>160.a člena Zakona o kazenskem postopku</w:t>
      </w:r>
      <w:r w:rsidRPr="00115F14">
        <w:rPr>
          <w:rStyle w:val="Sprotnaopomba-sklic"/>
          <w:rFonts w:cs="Arial"/>
        </w:rPr>
        <w:footnoteReference w:id="11"/>
      </w:r>
      <w:r>
        <w:rPr>
          <w:rFonts w:cs="Arial"/>
        </w:rPr>
        <w:t xml:space="preserve"> </w:t>
      </w:r>
      <w:r w:rsidRPr="00115F14">
        <w:rPr>
          <w:rFonts w:cs="Arial"/>
        </w:rPr>
        <w:t>predpisala Vlada Republike Slovenije z Uredbo o sodelovanju državnega tožilstva,</w:t>
      </w:r>
      <w:r>
        <w:rPr>
          <w:rFonts w:cs="Arial"/>
        </w:rPr>
        <w:t xml:space="preserve"> </w:t>
      </w:r>
      <w:r w:rsidRPr="00115F14">
        <w:rPr>
          <w:rFonts w:cs="Arial"/>
        </w:rPr>
        <w:t>policije in drugih pristojnih državnih organov in institucij pri odkrivanju in pregonu storilcev kaznivih dejanj</w:t>
      </w:r>
      <w:r>
        <w:rPr>
          <w:rFonts w:cs="Arial"/>
        </w:rPr>
        <w:t xml:space="preserve"> </w:t>
      </w:r>
      <w:r w:rsidRPr="00115F14">
        <w:rPr>
          <w:rFonts w:cs="Arial"/>
        </w:rPr>
        <w:t>ter delovanju specializiranih in skupnih preiskovalnih skupin</w:t>
      </w:r>
      <w:r w:rsidRPr="00115F14">
        <w:rPr>
          <w:rStyle w:val="Sprotnaopomba-sklic"/>
          <w:rFonts w:cs="Arial"/>
        </w:rPr>
        <w:footnoteReference w:id="12"/>
      </w:r>
      <w:r w:rsidRPr="00115F14">
        <w:rPr>
          <w:rFonts w:cs="Arial"/>
        </w:rPr>
        <w:t xml:space="preserve">. </w:t>
      </w:r>
    </w:p>
    <w:p w:rsidR="00AE2155" w:rsidRPr="00115F14" w:rsidRDefault="00AE2155" w:rsidP="00B644CC">
      <w:pPr>
        <w:pStyle w:val="rkovnatokazaodstavkom"/>
        <w:numPr>
          <w:ilvl w:val="0"/>
          <w:numId w:val="0"/>
        </w:numPr>
        <w:spacing w:line="288" w:lineRule="auto"/>
        <w:rPr>
          <w:rFonts w:cs="Arial"/>
        </w:rPr>
      </w:pPr>
    </w:p>
    <w:p w:rsidR="00AE2155" w:rsidRDefault="00AE2155" w:rsidP="00B644CC">
      <w:pPr>
        <w:pStyle w:val="rkovnatokazaodstavkom"/>
        <w:numPr>
          <w:ilvl w:val="0"/>
          <w:numId w:val="0"/>
        </w:numPr>
        <w:spacing w:line="288" w:lineRule="auto"/>
      </w:pPr>
      <w:r w:rsidRPr="00115F14">
        <w:t>Pravice in obveznosti državnih tožilcev, ki opravljajo nujna procesna dejanja določa</w:t>
      </w:r>
      <w:r>
        <w:t xml:space="preserve"> </w:t>
      </w:r>
      <w:r w:rsidRPr="00115F14">
        <w:t xml:space="preserve">ZDT-1.  Državni tožilci opravljajo državnotožilsko službo v poslovnem času državnega tožilstva, določenem v Državnotožilskem redu, v dežurstvu in pripravljenosti. V izjemnih primerih lahko državni tožilec pisno soglaša, da bo opravljanje državnotožilske službe preseglo omejitve, ki izhajajo iz pravice do dnevnega in tedenskega počitka. S pripravljenostjo in dežurstvom izven poslovnega časa državnega tožilstva se zagotavlja opravljanje nujnih procesnih dejanj, določenih v zakonu, ter usmerjanje policije in drugih pristojnih organov v predkazenskem postopku. Dodatno je v Državnotožilskem redu urejeno, da se pri okrožnih državnih tožilstvih za usmerjanje predkazenskega postopka, zagotovitev udeležbe pri procesnih dejanjih in drugih opravilih predkazenskega postopka ter za druga nujna dejanja organizira dežurna služba, tako da je zagotovljeno državnotožilsko delo ob delavnikih in praznikih ter dela prostih dnevih neprekinjeno 24 ur na dan. </w:t>
      </w:r>
    </w:p>
    <w:p w:rsidR="00730ABF" w:rsidRDefault="00730ABF" w:rsidP="00B644CC">
      <w:pPr>
        <w:pStyle w:val="rkovnatokazaodstavkom"/>
        <w:numPr>
          <w:ilvl w:val="0"/>
          <w:numId w:val="0"/>
        </w:numPr>
        <w:spacing w:line="288" w:lineRule="auto"/>
      </w:pPr>
    </w:p>
    <w:p w:rsidR="0055102A" w:rsidRDefault="00134E4C" w:rsidP="00B644CC">
      <w:pPr>
        <w:pStyle w:val="rkovnatokazaodstavkom"/>
        <w:numPr>
          <w:ilvl w:val="0"/>
          <w:numId w:val="0"/>
        </w:numPr>
        <w:spacing w:line="288" w:lineRule="auto"/>
        <w:rPr>
          <w:rFonts w:eastAsia="Calibri" w:cs="Arial"/>
        </w:rPr>
      </w:pPr>
      <w:r w:rsidRPr="00D2204A">
        <w:rPr>
          <w:rFonts w:eastAsia="Calibri" w:cs="Arial"/>
        </w:rPr>
        <w:t xml:space="preserve">Pojma pripravljenosti in dežurstva državnih tožilcev </w:t>
      </w:r>
      <w:r>
        <w:rPr>
          <w:rFonts w:eastAsia="Calibri" w:cs="Arial"/>
        </w:rPr>
        <w:t xml:space="preserve">se </w:t>
      </w:r>
      <w:r w:rsidRPr="00D2204A">
        <w:rPr>
          <w:rFonts w:eastAsia="Calibri" w:cs="Arial"/>
        </w:rPr>
        <w:t xml:space="preserve">glede dejanskih aktivnosti, ki jih državni tožilec </w:t>
      </w:r>
      <w:r>
        <w:rPr>
          <w:rFonts w:eastAsia="Calibri" w:cs="Arial"/>
        </w:rPr>
        <w:t>v času pripravljenosti in času dežurstvu opravi, r</w:t>
      </w:r>
      <w:r w:rsidRPr="00D2204A">
        <w:rPr>
          <w:rFonts w:eastAsia="Calibri" w:cs="Arial"/>
        </w:rPr>
        <w:t>azlikujeta</w:t>
      </w:r>
      <w:r>
        <w:rPr>
          <w:rFonts w:eastAsia="Calibri" w:cs="Arial"/>
        </w:rPr>
        <w:t xml:space="preserve">. </w:t>
      </w:r>
      <w:r w:rsidRPr="00D2204A">
        <w:rPr>
          <w:rFonts w:eastAsia="Calibri" w:cs="Arial"/>
        </w:rPr>
        <w:t xml:space="preserve">Ker veljavna ureditev teh aktivnosti izrecno ne konkretizira se </w:t>
      </w:r>
      <w:r>
        <w:rPr>
          <w:rFonts w:eastAsia="Calibri" w:cs="Arial"/>
        </w:rPr>
        <w:t xml:space="preserve">predlaga </w:t>
      </w:r>
      <w:r w:rsidRPr="00D2204A">
        <w:rPr>
          <w:rFonts w:eastAsia="Calibri" w:cs="Arial"/>
        </w:rPr>
        <w:t>jasn</w:t>
      </w:r>
      <w:r>
        <w:rPr>
          <w:rFonts w:eastAsia="Calibri" w:cs="Arial"/>
        </w:rPr>
        <w:t>a</w:t>
      </w:r>
      <w:r w:rsidRPr="00D2204A">
        <w:rPr>
          <w:rFonts w:eastAsia="Calibri" w:cs="Arial"/>
        </w:rPr>
        <w:t xml:space="preserve"> razmejit</w:t>
      </w:r>
      <w:r>
        <w:rPr>
          <w:rFonts w:eastAsia="Calibri" w:cs="Arial"/>
        </w:rPr>
        <w:t>e</w:t>
      </w:r>
      <w:r w:rsidRPr="00D2204A">
        <w:rPr>
          <w:rFonts w:eastAsia="Calibri" w:cs="Arial"/>
        </w:rPr>
        <w:t>v aktivnosti, ki jih državni tožilec opravlja v fazi pripravljenosti in v fazi dežurstva.</w:t>
      </w:r>
    </w:p>
    <w:p w:rsidR="00134E4C" w:rsidRDefault="00134E4C" w:rsidP="00B644CC">
      <w:pPr>
        <w:pStyle w:val="rkovnatokazaodstavkom"/>
        <w:numPr>
          <w:ilvl w:val="0"/>
          <w:numId w:val="0"/>
        </w:numPr>
        <w:spacing w:line="288" w:lineRule="auto"/>
      </w:pPr>
    </w:p>
    <w:p w:rsidR="00134E4C" w:rsidRPr="00115F14" w:rsidRDefault="00134E4C" w:rsidP="00B644CC">
      <w:pPr>
        <w:pStyle w:val="rkovnatokazaodstavkom"/>
        <w:numPr>
          <w:ilvl w:val="0"/>
          <w:numId w:val="0"/>
        </w:numPr>
        <w:spacing w:line="288" w:lineRule="auto"/>
      </w:pPr>
      <w:r>
        <w:rPr>
          <w:rFonts w:cs="Arial"/>
        </w:rPr>
        <w:t>Računsko sodišče je v revizijskem poročilu med drugim izpostavilo, da ZDT-1 ne določa posebnih pravic in dolžnosti državnotožilskega osebja, da opravljajo svoje delo tudi v dežurstvu in pripravljenosti, ko sodelujejo pri izvajanju zagotavljanja nujnih procesnih dejanj izven poslovnega časa.</w:t>
      </w:r>
    </w:p>
    <w:p w:rsidR="00134E4C" w:rsidRDefault="00134E4C" w:rsidP="00B644CC">
      <w:pPr>
        <w:pStyle w:val="rkovnatokazaodstavkom"/>
        <w:numPr>
          <w:ilvl w:val="0"/>
          <w:numId w:val="0"/>
        </w:numPr>
        <w:spacing w:line="288" w:lineRule="auto"/>
        <w:rPr>
          <w:rFonts w:cs="Arial"/>
        </w:rPr>
      </w:pPr>
    </w:p>
    <w:p w:rsidR="00AE2155" w:rsidRDefault="00AE2155" w:rsidP="00B644CC">
      <w:pPr>
        <w:pStyle w:val="rkovnatokazaodstavkom"/>
        <w:numPr>
          <w:ilvl w:val="0"/>
          <w:numId w:val="0"/>
        </w:numPr>
        <w:spacing w:line="288" w:lineRule="auto"/>
        <w:rPr>
          <w:rFonts w:cs="Arial"/>
        </w:rPr>
      </w:pPr>
      <w:r w:rsidRPr="00115F14">
        <w:rPr>
          <w:rFonts w:cs="Arial"/>
        </w:rPr>
        <w:t xml:space="preserve">S predlogom dopolnitve zakona se zato določa zakonska podlaga za sodelovanje državnotožilskega osebja pri opravljanju nujnih procesnih dejanj, katera primarno opravljajo državni tožilci in ustrezno plačilo za opravljeno delo z navezavo na sistemski predpis, ki enotno ureja podlage in postopek določitve plač ter dodatkov za celotni javni sektor, to je ZSPJS. </w:t>
      </w:r>
    </w:p>
    <w:p w:rsidR="00052C7C" w:rsidRDefault="00052C7C" w:rsidP="00052C7C">
      <w:pPr>
        <w:pStyle w:val="rkovnatokazaodstavkom"/>
        <w:numPr>
          <w:ilvl w:val="0"/>
          <w:numId w:val="0"/>
        </w:numPr>
        <w:spacing w:line="288" w:lineRule="auto"/>
        <w:rPr>
          <w:rFonts w:cs="Arial"/>
        </w:rPr>
      </w:pPr>
    </w:p>
    <w:p w:rsidR="00052C7C" w:rsidRDefault="00052C7C" w:rsidP="00052C7C">
      <w:pPr>
        <w:pStyle w:val="rkovnatokazaodstavkom"/>
        <w:numPr>
          <w:ilvl w:val="0"/>
          <w:numId w:val="0"/>
        </w:numPr>
        <w:spacing w:line="288" w:lineRule="auto"/>
      </w:pPr>
      <w:r w:rsidRPr="00115F14">
        <w:rPr>
          <w:rFonts w:cs="Arial"/>
        </w:rPr>
        <w:lastRenderedPageBreak/>
        <w:t>Po veljavni ureditvi predstavljajo državnotožilsko osebje javni uslužbenci, zaposleni pri državnih tožilstvih, in sicer: generalni direktor, direktorji, strokovni sodelavci, pripravniki in drugi javni uslužbenci državnega tožilstva. Število in vrste teh delovnih mest se določijo v skladu s predpisi, ki urejajo kadrovske načrte za pravosodne organe. Na podzakonski ravni Državnotožilski red</w:t>
      </w:r>
      <w:r w:rsidRPr="00115F14">
        <w:rPr>
          <w:rStyle w:val="Sprotnaopomba-sklic"/>
        </w:rPr>
        <w:footnoteReference w:id="13"/>
      </w:r>
      <w:r w:rsidRPr="00115F14">
        <w:rPr>
          <w:rFonts w:cs="Arial"/>
        </w:rPr>
        <w:t xml:space="preserve"> v 76. členu določa, da lahko državnotožilsko osebje sodeluje pri opravljanju nujnih procesnih dejanj, če to terjajo posebne okoliščine. V takšnem primeru </w:t>
      </w:r>
      <w:r w:rsidRPr="00115F14">
        <w:t>lahko vodja državnega tožilstva v razpored dežurstev določi tudi dodatno dežurstvo in pripravljenost državnotožilskega osebja, upoštevajoč delovnopravno zakonodajo oziroma predpise o delovnem času po zakonu, ki ureja javne uslužbence. Državnotožilski red tudi določa, da se v Posebnem oddelku organizira dežurna služba za opravljanje policijskih nalog.</w:t>
      </w:r>
    </w:p>
    <w:p w:rsidR="00313CB9" w:rsidRDefault="00313CB9" w:rsidP="00B644CC">
      <w:pPr>
        <w:pStyle w:val="rkovnatokazaodstavkom"/>
        <w:numPr>
          <w:ilvl w:val="0"/>
          <w:numId w:val="0"/>
        </w:numPr>
        <w:spacing w:line="288" w:lineRule="auto"/>
        <w:rPr>
          <w:rFonts w:cs="Arial"/>
        </w:rPr>
      </w:pPr>
    </w:p>
    <w:p w:rsidR="00AE2155" w:rsidRPr="00115F14" w:rsidRDefault="00730ABF" w:rsidP="00B644CC">
      <w:pPr>
        <w:spacing w:line="288" w:lineRule="auto"/>
        <w:jc w:val="both"/>
        <w:rPr>
          <w:rFonts w:cs="Arial"/>
          <w:szCs w:val="20"/>
          <w:lang w:eastAsia="ar-SA"/>
        </w:rPr>
      </w:pPr>
      <w:r>
        <w:rPr>
          <w:rFonts w:cs="Arial"/>
        </w:rPr>
        <w:t>Z</w:t>
      </w:r>
      <w:r w:rsidR="00AE2155" w:rsidRPr="00115F14">
        <w:rPr>
          <w:rFonts w:cs="Arial"/>
        </w:rPr>
        <w:t>aradi sodelovanja pri opravljanju nujnih procesnih dejanjih</w:t>
      </w:r>
      <w:r>
        <w:rPr>
          <w:rFonts w:cs="Arial"/>
        </w:rPr>
        <w:t xml:space="preserve"> tudi d</w:t>
      </w:r>
      <w:r w:rsidRPr="00115F14">
        <w:rPr>
          <w:rFonts w:cs="Arial"/>
        </w:rPr>
        <w:t>ržavnotožilsko osebje</w:t>
      </w:r>
      <w:r>
        <w:rPr>
          <w:rFonts w:cs="Arial"/>
        </w:rPr>
        <w:t xml:space="preserve"> </w:t>
      </w:r>
      <w:r w:rsidRPr="00115F14">
        <w:rPr>
          <w:rFonts w:cs="Arial"/>
        </w:rPr>
        <w:t>opravlja delo</w:t>
      </w:r>
      <w:r w:rsidR="00AE2155" w:rsidRPr="00115F14">
        <w:rPr>
          <w:rFonts w:cs="Arial"/>
        </w:rPr>
        <w:t xml:space="preserve"> </w:t>
      </w:r>
      <w:r w:rsidRPr="00115F14">
        <w:rPr>
          <w:rFonts w:cs="Arial"/>
        </w:rPr>
        <w:t>v manj ugodnem delovnem času</w:t>
      </w:r>
      <w:r>
        <w:rPr>
          <w:rFonts w:cs="Arial"/>
        </w:rPr>
        <w:t>,</w:t>
      </w:r>
      <w:r w:rsidRPr="00115F14">
        <w:rPr>
          <w:rFonts w:cs="Arial"/>
        </w:rPr>
        <w:t xml:space="preserve"> </w:t>
      </w:r>
      <w:r w:rsidR="00AE2155" w:rsidRPr="00115F14">
        <w:rPr>
          <w:rFonts w:cs="Arial"/>
        </w:rPr>
        <w:t xml:space="preserve">izven delovnega časa, pri čemer je treba razlikovati efektivno delo, ko se delo dejansko izvaja, in čas pripravljenosti na delo. </w:t>
      </w:r>
      <w:r w:rsidR="00AE2155" w:rsidRPr="00115F14">
        <w:rPr>
          <w:rFonts w:cs="Arial"/>
          <w:szCs w:val="20"/>
          <w:lang w:eastAsia="ar-SA"/>
        </w:rPr>
        <w:t>Ker delo v manj ugodnem delovnem času že ureja ZDR-1, medtem ko institut pripravljenosti (enako velja za dežurstvo) na ravni javnega sektorja ni opredeljen, se s predlogom zakona določa ureditev instituta pripravljenosti primerljivo ureditvam kot izhajajo iz nekaterih drugih področnih zakonov (npr. 71. člen Zakona o organiziranosti in delu v policiji</w:t>
      </w:r>
      <w:r w:rsidR="00AE2155" w:rsidRPr="00115F14">
        <w:rPr>
          <w:rStyle w:val="Sprotnaopomba-sklic"/>
          <w:rFonts w:cs="Arial"/>
          <w:szCs w:val="20"/>
          <w:lang w:eastAsia="ar-SA"/>
        </w:rPr>
        <w:footnoteReference w:id="14"/>
      </w:r>
      <w:r w:rsidR="00AE2155" w:rsidRPr="00115F14">
        <w:rPr>
          <w:rFonts w:cs="Arial"/>
          <w:szCs w:val="20"/>
          <w:lang w:eastAsia="ar-SA"/>
        </w:rPr>
        <w:t>, 227.e člen Zakona o izvrševanju kazenskih sankcij</w:t>
      </w:r>
      <w:r w:rsidR="00AE2155" w:rsidRPr="00115F14">
        <w:rPr>
          <w:rStyle w:val="Sprotnaopomba-sklic"/>
          <w:rFonts w:cs="Arial"/>
          <w:szCs w:val="20"/>
          <w:lang w:eastAsia="ar-SA"/>
        </w:rPr>
        <w:footnoteReference w:id="15"/>
      </w:r>
      <w:r w:rsidR="00AE2155" w:rsidRPr="00115F14">
        <w:rPr>
          <w:rFonts w:cs="Arial"/>
          <w:szCs w:val="20"/>
          <w:lang w:eastAsia="ar-SA"/>
        </w:rPr>
        <w:t xml:space="preserve"> in 82. člen Zakona o finančni upravi</w:t>
      </w:r>
      <w:r w:rsidR="00AE2155" w:rsidRPr="00115F14">
        <w:rPr>
          <w:rStyle w:val="Sprotnaopomba-sklic"/>
          <w:rFonts w:cs="Arial"/>
          <w:szCs w:val="20"/>
          <w:lang w:eastAsia="ar-SA"/>
        </w:rPr>
        <w:footnoteReference w:id="16"/>
      </w:r>
      <w:r w:rsidR="00AE2155" w:rsidRPr="00115F14">
        <w:rPr>
          <w:rFonts w:cs="Arial"/>
          <w:szCs w:val="20"/>
          <w:lang w:eastAsia="ar-SA"/>
        </w:rPr>
        <w:t>), vključno z določitvijo neposredne podlage za plačilo opravljenega dela in pripravljenosti v okviru enotnega plačnega sistema (ZSPJS). Na ta način se glede na to, da javni uslužbenci v okviru aktivnega sodelovanja pri opravljanju nujnih procesnih dejanj, delo opravljajo z enako intenzivnostjo kot v rednem delovnem času, zagotavlja tudi njihov ustrezen plačni položaj.</w:t>
      </w:r>
    </w:p>
    <w:p w:rsidR="00AE2155" w:rsidRDefault="00AE2155" w:rsidP="00B644CC">
      <w:pPr>
        <w:tabs>
          <w:tab w:val="left" w:pos="1701"/>
        </w:tabs>
        <w:spacing w:line="288" w:lineRule="auto"/>
        <w:jc w:val="both"/>
        <w:rPr>
          <w:rFonts w:cs="Arial"/>
          <w:szCs w:val="20"/>
          <w:lang w:eastAsia="sl-SI"/>
        </w:rPr>
      </w:pPr>
    </w:p>
    <w:p w:rsidR="00052C7C" w:rsidRDefault="00052C7C" w:rsidP="00052C7C">
      <w:pPr>
        <w:pStyle w:val="datumtevilka"/>
        <w:suppressAutoHyphens/>
        <w:spacing w:line="288" w:lineRule="auto"/>
        <w:jc w:val="both"/>
        <w:rPr>
          <w:rFonts w:cs="Arial"/>
        </w:rPr>
      </w:pPr>
      <w:r>
        <w:rPr>
          <w:rFonts w:cs="Arial"/>
        </w:rPr>
        <w:t xml:space="preserve">Državnotožilskemu osebju se zaradi </w:t>
      </w:r>
      <w:r w:rsidRPr="00052C7C">
        <w:rPr>
          <w:rFonts w:cs="Arial"/>
          <w:color w:val="000000"/>
        </w:rPr>
        <w:t>sodelovanja pri opravljanju nujnih procesnih dejanj</w:t>
      </w:r>
      <w:r>
        <w:rPr>
          <w:rFonts w:cs="Arial"/>
        </w:rPr>
        <w:t xml:space="preserve"> lahko odredi pripravljenost za delo izven delovnega časa. Čas pripravljenosti je treba vezati na delovni čas uslužbencev in ne na poslovni čas državnih tožilstev. Poslovni čas državnih tožilstev namreč nima vsebinske povezave z izvajanjem nujnih procesnih dejanj. Pripravljenost za delo je poseben delovni pogoj  in je vezan na naravo in organizacijo dela, kar utemeljuje tudi različno plačilo v primerjavi z rednim delom, ki ga državnotožilsko osebje opravlja v okviru svojih rednih delovnih zadolžitev. V času pripravljenosti mora biti državnotožilsko osebje dosegljivo po telefonu ali drugih komunikacijskih sredstvih za potrebe prihoda na delovno mesto ali kraj, kjer se opravlja nujno procesno dejanje. Državnotožilsko osebje je v času pripravljenosti v vsakem trenutku na razpolago delodajalcu, da ga pozove na opravljanje obveznosti, zaradi česar je njegova pravica do odmora in počitka v tem času bistveno okrnjena. Ker veljavna ureditev ne določa najdaljši sprejemljiv čas prihoda na delovno mesto, se določa podlag</w:t>
      </w:r>
      <w:r w:rsidR="00AB3019">
        <w:rPr>
          <w:rFonts w:cs="Arial"/>
        </w:rPr>
        <w:t>a za njegovo ureditev v Državnotožilskem redu.</w:t>
      </w:r>
      <w:r>
        <w:rPr>
          <w:rFonts w:cs="Arial"/>
        </w:rPr>
        <w:t xml:space="preserve"> Pripravljenost za delo se ne šteje v delovni čas.</w:t>
      </w:r>
    </w:p>
    <w:p w:rsidR="00052C7C" w:rsidRPr="00115F14" w:rsidRDefault="00052C7C" w:rsidP="00B644CC">
      <w:pPr>
        <w:tabs>
          <w:tab w:val="left" w:pos="1701"/>
        </w:tabs>
        <w:spacing w:line="288" w:lineRule="auto"/>
        <w:jc w:val="both"/>
        <w:rPr>
          <w:rFonts w:cs="Arial"/>
          <w:szCs w:val="20"/>
          <w:lang w:eastAsia="sl-SI"/>
        </w:rPr>
      </w:pPr>
    </w:p>
    <w:p w:rsidR="00674506" w:rsidRPr="00674506" w:rsidRDefault="00674506" w:rsidP="00674506">
      <w:pPr>
        <w:jc w:val="both"/>
        <w:rPr>
          <w:rFonts w:cs="Arial"/>
          <w:szCs w:val="20"/>
          <w:lang w:eastAsia="ar-SA"/>
        </w:rPr>
      </w:pPr>
      <w:r>
        <w:rPr>
          <w:rFonts w:cs="Arial"/>
          <w:szCs w:val="20"/>
          <w:lang w:eastAsia="ar-SA"/>
        </w:rPr>
        <w:t xml:space="preserve">ZDT-1 kot veljavni materialni predpis za državnotožilsko osebje za sodelovanje pri </w:t>
      </w:r>
      <w:r w:rsidRPr="00674506">
        <w:rPr>
          <w:rFonts w:cs="Arial"/>
          <w:szCs w:val="20"/>
          <w:lang w:eastAsia="ar-SA"/>
        </w:rPr>
        <w:t xml:space="preserve">opravljanju nujnih procesnih dejanj ne predvideva posebnih delovnih pogojev, na primer pripravljenosti za delo, kot to določajo že predstavljeni področni zakoni s področja obrambe, policije, finančne uprave in drugi. Zato se glede na mnenje Računskega sodišča in zagotavljanje enotne uporabe predpisov s področja javnih uslužbencev s predlogom zakona ureja delovnopravno področje sodelovanja </w:t>
      </w:r>
      <w:r>
        <w:rPr>
          <w:rFonts w:cs="Arial"/>
          <w:szCs w:val="20"/>
          <w:lang w:eastAsia="ar-SA"/>
        </w:rPr>
        <w:t xml:space="preserve">državnotožilskega </w:t>
      </w:r>
      <w:r w:rsidRPr="00674506">
        <w:rPr>
          <w:rFonts w:cs="Arial"/>
          <w:szCs w:val="20"/>
          <w:lang w:eastAsia="ar-SA"/>
        </w:rPr>
        <w:t xml:space="preserve">osebja pri opravljanju nujnih procesnih dejanj, tako da se določa zakonsko </w:t>
      </w:r>
      <w:r w:rsidRPr="00674506">
        <w:rPr>
          <w:rFonts w:cs="Arial"/>
          <w:szCs w:val="20"/>
          <w:lang w:eastAsia="ar-SA"/>
        </w:rPr>
        <w:lastRenderedPageBreak/>
        <w:t>podlago za opravljanje dela v manj ugodnem delovnem času, opredelitev pripravljenosti za delo in ustrezen način plačila.</w:t>
      </w:r>
    </w:p>
    <w:p w:rsidR="00C671C8" w:rsidRDefault="00C671C8" w:rsidP="00C671C8">
      <w:pPr>
        <w:spacing w:line="288" w:lineRule="auto"/>
        <w:jc w:val="both"/>
        <w:rPr>
          <w:rFonts w:cs="Arial"/>
          <w:szCs w:val="20"/>
        </w:rPr>
      </w:pPr>
    </w:p>
    <w:p w:rsidR="00C671C8" w:rsidRDefault="00C671C8" w:rsidP="00C671C8">
      <w:pPr>
        <w:spacing w:line="288" w:lineRule="auto"/>
        <w:jc w:val="both"/>
        <w:rPr>
          <w:rFonts w:cs="Arial"/>
          <w:color w:val="FF0000"/>
          <w:szCs w:val="20"/>
        </w:rPr>
      </w:pPr>
      <w:r>
        <w:rPr>
          <w:rFonts w:cs="Arial"/>
          <w:szCs w:val="20"/>
        </w:rPr>
        <w:t>Ko mora državnotožilsko osebje v času odrejene pripravljenosti opravljati delo, se čas odrejene pripravljenosti prekine, čas opravljanja dela pa se šteje v delovni čas, za katerega se prejme tudi ustrezno plačilo. Višina dodatka je odvisna od časa, v katerem se delo opravlja, vedno pa gre za delo v manj ugodnem delovnem času. Državnotožilskemu osebju pripada dodatek, če gre za delo v neenakomerno razporejenem delovnem času, delo preko polnega delovnega časa, delo ponoči, ob nedeljah, praznikih in na dan, ki je z zakonom določen kot dela prost dan. ZSPJS glede višine dodatkov napotuje na KPJS, ki v 44. do 46. členu opredeljuje odstotek dodatka od urne postavke osnovne plače javnega uslužbenca.</w:t>
      </w:r>
      <w:bookmarkStart w:id="27" w:name="_Hlk33617493"/>
      <w:bookmarkEnd w:id="27"/>
    </w:p>
    <w:p w:rsidR="00C671C8" w:rsidRDefault="00C671C8" w:rsidP="00C671C8">
      <w:pPr>
        <w:rPr>
          <w:rFonts w:cs="Arial"/>
          <w:b/>
          <w:szCs w:val="20"/>
        </w:rPr>
      </w:pPr>
    </w:p>
    <w:p w:rsidR="00C671C8" w:rsidRDefault="00C671C8" w:rsidP="00C671C8">
      <w:pPr>
        <w:pStyle w:val="datumtevilka"/>
        <w:suppressAutoHyphens/>
        <w:spacing w:line="288" w:lineRule="auto"/>
        <w:jc w:val="both"/>
        <w:rPr>
          <w:rFonts w:cs="Arial"/>
        </w:rPr>
      </w:pPr>
      <w:r>
        <w:rPr>
          <w:rFonts w:cs="Arial"/>
        </w:rPr>
        <w:t>ZSPJS v tretjem odstavku 32. člena opredeljuje dodatek za stalno pripravljenost, ki pa je v KPJS razdelan na dodatek za pripravljenost in dodatek za stalno pripravljenost. V primeru pripravljenosti državnotožilskega osebja za sodelovanje pri opravljanju nujnih procesnih dejanj gre za dodatek za pripravljenost, ki se obračuna v višini 20% urne postavke plače (prvi odstavek 46. člena KPJS). Razlikovanje med pripravljenostjo in stalno pripravljenostjo je bilo uveljavljeno leta 2017 z Aneksom št. 9 h Kolektivni pogodbi za javni sektor</w:t>
      </w:r>
      <w:r>
        <w:rPr>
          <w:rStyle w:val="Sidrosprotneopombe"/>
          <w:rFonts w:cs="Arial"/>
        </w:rPr>
        <w:footnoteReference w:id="17"/>
      </w:r>
      <w:r>
        <w:rPr>
          <w:rFonts w:cs="Arial"/>
        </w:rPr>
        <w:t>.</w:t>
      </w:r>
    </w:p>
    <w:p w:rsidR="00AE2155" w:rsidRPr="00115F14" w:rsidRDefault="00AE2155" w:rsidP="00B644CC">
      <w:pPr>
        <w:spacing w:line="288" w:lineRule="auto"/>
        <w:jc w:val="both"/>
        <w:rPr>
          <w:rFonts w:cs="Arial"/>
          <w:szCs w:val="20"/>
          <w:lang w:eastAsia="ar-SA"/>
        </w:rPr>
      </w:pPr>
    </w:p>
    <w:p w:rsidR="00BC7776" w:rsidRPr="00BC7776" w:rsidRDefault="00BC7776" w:rsidP="00C17600">
      <w:pPr>
        <w:numPr>
          <w:ilvl w:val="0"/>
          <w:numId w:val="27"/>
        </w:numPr>
        <w:spacing w:line="288" w:lineRule="auto"/>
        <w:ind w:left="284" w:hanging="284"/>
        <w:jc w:val="both"/>
        <w:rPr>
          <w:rFonts w:cs="Arial"/>
          <w:szCs w:val="20"/>
          <w:u w:val="single"/>
          <w:lang w:eastAsia="ar-SA"/>
        </w:rPr>
      </w:pPr>
      <w:r w:rsidRPr="00BC7776">
        <w:rPr>
          <w:rFonts w:cs="Arial"/>
          <w:szCs w:val="20"/>
          <w:u w:val="single"/>
          <w:lang w:eastAsia="ar-SA"/>
        </w:rPr>
        <w:t>Prihod na kraj opravljanja nujnega procesnega dejanja</w:t>
      </w:r>
    </w:p>
    <w:p w:rsidR="00BC7776" w:rsidRDefault="00BC7776" w:rsidP="00BC7776">
      <w:pPr>
        <w:spacing w:line="288" w:lineRule="auto"/>
        <w:jc w:val="both"/>
        <w:rPr>
          <w:rFonts w:cs="Arial"/>
          <w:szCs w:val="20"/>
          <w:lang w:eastAsia="ar-SA"/>
        </w:rPr>
      </w:pPr>
    </w:p>
    <w:p w:rsidR="00AB3019" w:rsidRDefault="00AE2155" w:rsidP="00AB3019">
      <w:pPr>
        <w:spacing w:line="288" w:lineRule="auto"/>
        <w:jc w:val="both"/>
        <w:rPr>
          <w:rFonts w:cs="Arial"/>
          <w:szCs w:val="20"/>
        </w:rPr>
      </w:pPr>
      <w:r w:rsidRPr="00115F14">
        <w:rPr>
          <w:rFonts w:cs="Arial"/>
          <w:szCs w:val="20"/>
          <w:lang w:eastAsia="ar-SA"/>
        </w:rPr>
        <w:t xml:space="preserve">V zvezi z ugotovitvijo iz revizijskega poročila, da je v Državnotožilskem redu treba jasneje urediti način upoštevanja časa prihoda na delovno mesto oziroma na drug kraj oprave nujnega procesnega dejanja državnih tožilcev in državnotožilskega osebja, pri čemer časa za prihod na delovno mesto in odhod ali drug kraj, kjer je treba opraviti nujno procesno dejanje, po vsebini ni mogoče enačiti s pripravljenostjo, prav tako pa ne ustreza definiciji dežurstva, </w:t>
      </w:r>
      <w:r w:rsidR="00674506">
        <w:rPr>
          <w:rFonts w:cs="Arial"/>
          <w:szCs w:val="20"/>
          <w:lang w:eastAsia="ar-SA"/>
        </w:rPr>
        <w:t>se s predlogom zakona predlaga rešitev</w:t>
      </w:r>
      <w:r w:rsidR="00AB3019">
        <w:rPr>
          <w:rFonts w:cs="Arial"/>
          <w:szCs w:val="20"/>
          <w:lang w:eastAsia="ar-SA"/>
        </w:rPr>
        <w:t>,</w:t>
      </w:r>
      <w:r w:rsidR="00674506">
        <w:rPr>
          <w:rFonts w:cs="Arial"/>
          <w:szCs w:val="20"/>
          <w:lang w:eastAsia="ar-SA"/>
        </w:rPr>
        <w:t xml:space="preserve"> po kateri se čas prihoda na kraj kjer je treba opraviti nujno procesno dejanje </w:t>
      </w:r>
      <w:r w:rsidR="00AB3019">
        <w:rPr>
          <w:rFonts w:cs="Arial"/>
          <w:szCs w:val="20"/>
        </w:rPr>
        <w:t xml:space="preserve">šteje </w:t>
      </w:r>
      <w:r w:rsidR="00AB0804">
        <w:rPr>
          <w:rFonts w:cs="Arial"/>
          <w:szCs w:val="20"/>
        </w:rPr>
        <w:t xml:space="preserve">kot čas, ki se šteje </w:t>
      </w:r>
      <w:r w:rsidR="00AB3019">
        <w:rPr>
          <w:rFonts w:cs="Arial"/>
          <w:szCs w:val="20"/>
        </w:rPr>
        <w:t>v delovni čas, pri čemer se navedeno vprašanje ureja enotno tako za državnotožilsko osebje, ki sodeluje pri izvajanju nujnih procesnih dejanj, kot tudi za državne tožilce, ki opravljajo dežurno službo.</w:t>
      </w:r>
    </w:p>
    <w:p w:rsidR="00AE2155" w:rsidRDefault="00AE2155" w:rsidP="00B644CC">
      <w:pPr>
        <w:spacing w:line="288" w:lineRule="auto"/>
        <w:jc w:val="both"/>
        <w:rPr>
          <w:rFonts w:cs="Arial"/>
          <w:szCs w:val="20"/>
          <w:lang w:eastAsia="ar-SA"/>
        </w:rPr>
      </w:pPr>
    </w:p>
    <w:p w:rsidR="00674506" w:rsidRDefault="00AB3019" w:rsidP="00B644CC">
      <w:pPr>
        <w:spacing w:line="288" w:lineRule="auto"/>
        <w:jc w:val="both"/>
        <w:rPr>
          <w:rFonts w:cs="Arial"/>
          <w:szCs w:val="20"/>
          <w:lang w:eastAsia="ar-SA"/>
        </w:rPr>
      </w:pPr>
      <w:r>
        <w:rPr>
          <w:rFonts w:cs="Arial"/>
          <w:szCs w:val="20"/>
        </w:rPr>
        <w:t>V zvezi z ugotovitvijo iz revizijskega poročila, da je v</w:t>
      </w:r>
      <w:r w:rsidR="00AB0804">
        <w:rPr>
          <w:rFonts w:cs="Arial"/>
          <w:szCs w:val="20"/>
        </w:rPr>
        <w:t xml:space="preserve"> podzakonskem aktu</w:t>
      </w:r>
      <w:r>
        <w:rPr>
          <w:rFonts w:cs="Arial"/>
          <w:szCs w:val="20"/>
        </w:rPr>
        <w:t xml:space="preserve"> treba urediti način upoštevanja časa prihoda na delovno mesto oziroma na drug kraj oprave nujnega procesnega dejanja državnih tožilcev in državnotožilskega osebja, </w:t>
      </w:r>
      <w:r w:rsidR="00AB0804">
        <w:rPr>
          <w:rFonts w:cs="Arial"/>
          <w:szCs w:val="20"/>
        </w:rPr>
        <w:t>predlagatelj ugotavlja</w:t>
      </w:r>
      <w:r>
        <w:rPr>
          <w:rFonts w:cs="Arial"/>
          <w:szCs w:val="20"/>
        </w:rPr>
        <w:t>, da je izpostavljena vsebina in potreba po spremembi le - te zakonska materija.</w:t>
      </w:r>
    </w:p>
    <w:p w:rsidR="00AB3019" w:rsidRDefault="00AB3019" w:rsidP="00B644CC">
      <w:pPr>
        <w:spacing w:line="288" w:lineRule="auto"/>
        <w:jc w:val="both"/>
        <w:rPr>
          <w:rFonts w:cs="Arial"/>
          <w:szCs w:val="20"/>
          <w:lang w:eastAsia="ar-SA"/>
        </w:rPr>
      </w:pPr>
    </w:p>
    <w:p w:rsidR="00456775" w:rsidRDefault="00AE2155" w:rsidP="00B644CC">
      <w:pPr>
        <w:spacing w:line="288" w:lineRule="auto"/>
        <w:jc w:val="both"/>
        <w:rPr>
          <w:rFonts w:cs="Arial"/>
          <w:szCs w:val="20"/>
        </w:rPr>
      </w:pPr>
      <w:r w:rsidRPr="00115F14">
        <w:rPr>
          <w:rFonts w:cs="Arial"/>
          <w:szCs w:val="20"/>
          <w:lang w:eastAsia="ar-SA"/>
        </w:rPr>
        <w:t xml:space="preserve">Iz določbe </w:t>
      </w:r>
      <w:r w:rsidR="00AB3019">
        <w:rPr>
          <w:rFonts w:cs="Arial"/>
          <w:szCs w:val="20"/>
          <w:lang w:eastAsia="ar-SA"/>
        </w:rPr>
        <w:t xml:space="preserve">veljavnega </w:t>
      </w:r>
      <w:r w:rsidRPr="00115F14">
        <w:rPr>
          <w:rFonts w:cs="Arial"/>
          <w:szCs w:val="20"/>
          <w:lang w:eastAsia="ar-SA"/>
        </w:rPr>
        <w:t xml:space="preserve">drugega odstavka 45. člena ZDT-1 namreč izhaja, da pripravljenost med drugim pomeni dosegljivost državnega tožilca po telefonu za potrebe prihoda na delovno mesto ali na kraj, kjer je treba opraviti nujno procesno dejanje, kar po sklepanju »a contrario« vodi do razlage, da se čas prihoda po veljavni ureditvi šteje v čas pripravljenosti. </w:t>
      </w:r>
      <w:r w:rsidRPr="00115F14">
        <w:rPr>
          <w:rFonts w:cs="Arial"/>
          <w:szCs w:val="20"/>
        </w:rPr>
        <w:t>Glede na navedeno in dejstvo, da z</w:t>
      </w:r>
      <w:r>
        <w:rPr>
          <w:rFonts w:cs="Arial"/>
          <w:szCs w:val="20"/>
        </w:rPr>
        <w:t xml:space="preserve"> </w:t>
      </w:r>
      <w:r w:rsidRPr="00115F14">
        <w:rPr>
          <w:rFonts w:cs="Arial"/>
          <w:szCs w:val="20"/>
        </w:rPr>
        <w:t>Državnotožilskim redom kot podzakonskim predpisom ni moč določati večjega obsega pravic kot jih določa zakon, je potrebno spremembe glede načina upoštevanja časa prihoda na delovno mesto oziroma na drug kraj oprave nujnega procesnega dejanja uveljaviti na zakonski ravni.</w:t>
      </w:r>
      <w:r>
        <w:rPr>
          <w:rFonts w:cs="Arial"/>
          <w:szCs w:val="20"/>
        </w:rPr>
        <w:t xml:space="preserve"> </w:t>
      </w:r>
    </w:p>
    <w:p w:rsidR="00456775" w:rsidRDefault="00456775" w:rsidP="00A63720">
      <w:pPr>
        <w:spacing w:line="288" w:lineRule="auto"/>
        <w:jc w:val="both"/>
        <w:rPr>
          <w:rFonts w:cs="Arial"/>
          <w:szCs w:val="20"/>
        </w:rPr>
      </w:pPr>
    </w:p>
    <w:p w:rsidR="00A63720" w:rsidRDefault="00A63720" w:rsidP="00A63720">
      <w:pPr>
        <w:spacing w:line="288" w:lineRule="auto"/>
        <w:jc w:val="both"/>
        <w:rPr>
          <w:rFonts w:cs="Arial"/>
          <w:szCs w:val="20"/>
        </w:rPr>
      </w:pPr>
      <w:r>
        <w:rPr>
          <w:rFonts w:cs="Arial"/>
          <w:szCs w:val="20"/>
        </w:rPr>
        <w:t>V</w:t>
      </w:r>
      <w:r w:rsidRPr="00C51AC6">
        <w:rPr>
          <w:rFonts w:cs="Arial"/>
          <w:szCs w:val="20"/>
        </w:rPr>
        <w:t xml:space="preserve">prašanja, katero obdobje, ki se navezuje na opravljanje delovnih obveznosti, je treba šteti v delovni čas, </w:t>
      </w:r>
      <w:r>
        <w:rPr>
          <w:rFonts w:cs="Arial"/>
          <w:szCs w:val="20"/>
        </w:rPr>
        <w:t xml:space="preserve">se presoja </w:t>
      </w:r>
      <w:r w:rsidRPr="00C51AC6">
        <w:rPr>
          <w:rFonts w:cs="Arial"/>
          <w:szCs w:val="20"/>
        </w:rPr>
        <w:t xml:space="preserve">v okviru vsake konkretne situacije v luči razumevanja pomena efektivnega delovnega časa, kot ga določa Direktiva 2003/88/ES Evropskega parlamenta in Sveta z dne 4. </w:t>
      </w:r>
      <w:r w:rsidRPr="00C51AC6">
        <w:rPr>
          <w:rFonts w:cs="Arial"/>
          <w:szCs w:val="20"/>
        </w:rPr>
        <w:lastRenderedPageBreak/>
        <w:t>novembra 2003 o določenih vidikih organizacije delovnega časa</w:t>
      </w:r>
      <w:r w:rsidRPr="00115F14">
        <w:rPr>
          <w:rStyle w:val="Sprotnaopomba-sklic"/>
          <w:rFonts w:cs="Arial"/>
          <w:szCs w:val="20"/>
        </w:rPr>
        <w:footnoteReference w:id="18"/>
      </w:r>
      <w:r w:rsidRPr="00C51AC6">
        <w:rPr>
          <w:rFonts w:cs="Arial"/>
          <w:szCs w:val="20"/>
        </w:rPr>
        <w:t xml:space="preserve"> (v nadaljnjem besedilu: Direktiva 2003/88/ES) ter na njeni podlagi sprejete odločitve Sodišča EU.  </w:t>
      </w:r>
    </w:p>
    <w:p w:rsidR="00A63720" w:rsidRDefault="00A63720" w:rsidP="00A63720">
      <w:pPr>
        <w:spacing w:line="288" w:lineRule="auto"/>
        <w:jc w:val="both"/>
        <w:rPr>
          <w:rFonts w:cs="Arial"/>
          <w:szCs w:val="20"/>
        </w:rPr>
      </w:pPr>
    </w:p>
    <w:p w:rsidR="00A63720" w:rsidRPr="00C51AC6" w:rsidRDefault="00A63720" w:rsidP="00A63720">
      <w:pPr>
        <w:spacing w:line="288" w:lineRule="auto"/>
        <w:jc w:val="both"/>
        <w:rPr>
          <w:rFonts w:cs="Arial"/>
          <w:szCs w:val="20"/>
        </w:rPr>
      </w:pPr>
      <w:r w:rsidRPr="00C51AC6">
        <w:rPr>
          <w:rFonts w:cs="Arial"/>
          <w:szCs w:val="20"/>
        </w:rPr>
        <w:t>Zahtevam Direktive 2003/88/ES pri opredelitvi efektivnega delovnega časa sledi tudi Zakon o delovnih razmerjih</w:t>
      </w:r>
      <w:r>
        <w:rPr>
          <w:rStyle w:val="Sprotnaopomba-sklic"/>
          <w:rFonts w:cs="Arial"/>
          <w:szCs w:val="20"/>
        </w:rPr>
        <w:footnoteReference w:id="19"/>
      </w:r>
      <w:r w:rsidRPr="00C51AC6">
        <w:rPr>
          <w:rFonts w:cs="Arial"/>
          <w:szCs w:val="20"/>
        </w:rPr>
        <w:t xml:space="preserve"> (v nadaljnjem besedilu: ZDR-1), ki v drugem odstavku 142. člena kot efektivni delovni čas opredeljuje vsak čas, v katerem delavec dela, kar pomeni, da je na razpolago delodajalcu in izpolnjuje svoje delovne obveznosti iz pogodbe o zaposlitvi. Ta zakonska določba širi pomen efektivnega delovnega časa tudi na obdobja, ko je delavec na razpolago delodajalcu in izpolnjuje delovne obveznosti iz pogodbe o zaposlitvi. </w:t>
      </w:r>
    </w:p>
    <w:p w:rsidR="00A63720" w:rsidRDefault="00A63720" w:rsidP="00A63720">
      <w:pPr>
        <w:spacing w:line="288" w:lineRule="auto"/>
        <w:jc w:val="both"/>
        <w:rPr>
          <w:rFonts w:cs="Arial"/>
          <w:szCs w:val="20"/>
        </w:rPr>
      </w:pPr>
    </w:p>
    <w:p w:rsidR="00A63720" w:rsidRDefault="00A63720" w:rsidP="00A63720">
      <w:pPr>
        <w:spacing w:line="288" w:lineRule="auto"/>
        <w:jc w:val="both"/>
        <w:rPr>
          <w:rFonts w:cs="Arial"/>
          <w:szCs w:val="20"/>
        </w:rPr>
      </w:pPr>
      <w:r w:rsidRPr="00A63720">
        <w:rPr>
          <w:rFonts w:cs="Arial"/>
          <w:szCs w:val="20"/>
        </w:rPr>
        <w:t>Glede na to, da je treba prvenstveno razlikovati obdobje delovnega časa od obdobja počitka, je v vsakem konkretnem primeru primerno presoditi, ali in kako z določenim časom delavec razpolaga kot s prostim časom oziroma ali in koliko aktivnosti v teh primerih omejujejo njegov prosti čas. Kot bistveno pa je pri sami opredelitvi treba upoštevati, da čas počitka pomeni čas, ki ni delovni čas. Opredelitev pojma »delovni čas« je pomembna prav zaradi zaščite varnosti in zdravja delavcev s tem, da so delavci upravičeni do minimalnega počitka, zlasti dnevnega in tedenskega ter z določitvijo trajanja povprečnega maksimalnega tedenskega delovnega časa.</w:t>
      </w:r>
    </w:p>
    <w:p w:rsidR="00A63720" w:rsidRDefault="00A63720" w:rsidP="00A63720">
      <w:pPr>
        <w:spacing w:line="288" w:lineRule="auto"/>
        <w:jc w:val="both"/>
        <w:rPr>
          <w:rFonts w:cs="Arial"/>
          <w:szCs w:val="20"/>
        </w:rPr>
      </w:pPr>
    </w:p>
    <w:p w:rsidR="00AE2155" w:rsidRPr="00115F14" w:rsidRDefault="00AE2155" w:rsidP="00B644CC">
      <w:pPr>
        <w:spacing w:line="288" w:lineRule="auto"/>
        <w:jc w:val="both"/>
        <w:rPr>
          <w:rFonts w:cs="Arial"/>
          <w:szCs w:val="20"/>
        </w:rPr>
      </w:pPr>
      <w:r w:rsidRPr="00115F14">
        <w:rPr>
          <w:rFonts w:cs="Arial"/>
          <w:szCs w:val="20"/>
        </w:rPr>
        <w:t xml:space="preserve">Pri iskanju rešitev je </w:t>
      </w:r>
      <w:r w:rsidR="00456775">
        <w:rPr>
          <w:rFonts w:cs="Arial"/>
          <w:szCs w:val="20"/>
        </w:rPr>
        <w:t>predlagatelj izhajal</w:t>
      </w:r>
      <w:r w:rsidRPr="00115F14">
        <w:rPr>
          <w:rFonts w:cs="Arial"/>
          <w:szCs w:val="20"/>
        </w:rPr>
        <w:t xml:space="preserve"> iz Direktive 2003/88/ES</w:t>
      </w:r>
      <w:r w:rsidR="00A63720">
        <w:rPr>
          <w:rFonts w:cs="Arial"/>
          <w:szCs w:val="20"/>
        </w:rPr>
        <w:t>, ki kot rečeno</w:t>
      </w:r>
      <w:r w:rsidRPr="00115F14">
        <w:rPr>
          <w:rFonts w:cs="Arial"/>
          <w:szCs w:val="20"/>
        </w:rPr>
        <w:t xml:space="preserve"> ne pozna vmesne kategorije med delovnim časom in počitkom, pri čemer časa porabljenega na poti ni moč enačiti s počitkom, saj državni tožilec in državnotožilsko</w:t>
      </w:r>
      <w:r>
        <w:rPr>
          <w:rFonts w:cs="Arial"/>
          <w:szCs w:val="20"/>
        </w:rPr>
        <w:t xml:space="preserve"> </w:t>
      </w:r>
      <w:r w:rsidRPr="00115F14">
        <w:rPr>
          <w:rFonts w:cs="Arial"/>
          <w:szCs w:val="20"/>
        </w:rPr>
        <w:t>osebje v tem času ne razpolagajo prosto s svojim časom</w:t>
      </w:r>
      <w:r w:rsidRPr="00115F14">
        <w:rPr>
          <w:rStyle w:val="Sprotnaopomba-sklic"/>
          <w:rFonts w:cs="Arial"/>
          <w:szCs w:val="20"/>
        </w:rPr>
        <w:footnoteReference w:id="20"/>
      </w:r>
      <w:r w:rsidRPr="00115F14">
        <w:rPr>
          <w:rFonts w:cs="Arial"/>
          <w:szCs w:val="20"/>
        </w:rPr>
        <w:t>.</w:t>
      </w:r>
      <w:r w:rsidR="00AB3019">
        <w:rPr>
          <w:rFonts w:cs="Arial"/>
          <w:szCs w:val="20"/>
        </w:rPr>
        <w:t xml:space="preserve"> </w:t>
      </w:r>
      <w:r w:rsidRPr="00115F14">
        <w:rPr>
          <w:rFonts w:cs="Arial"/>
          <w:szCs w:val="20"/>
        </w:rPr>
        <w:t>Ni namreč upravičenih razlogov, da bi se pot osebe, ki je v pripravljenosti, od delovnega mesta do kraja opravljanja nujnega procesnega dejanja obravnavala drugače od neposredne poti te osebe na kraj oprave nujnega procesnega dejanja. Taka ureditev je smiselna tudi z vidika načela ekonomičnosti in hitrosti postopkov. Zato se predlaga ureditev, skladno s katero bi se čas, porabljen za pot</w:t>
      </w:r>
      <w:r>
        <w:rPr>
          <w:rFonts w:cs="Arial"/>
          <w:szCs w:val="20"/>
        </w:rPr>
        <w:t xml:space="preserve"> </w:t>
      </w:r>
      <w:r w:rsidRPr="00115F14">
        <w:rPr>
          <w:rFonts w:cs="Arial"/>
          <w:szCs w:val="20"/>
        </w:rPr>
        <w:t>všteval v delovni čas, pri čemer se navedeno vprašanje ureja enotno tako za državnotožilsko osebje, ki sodeluje pri izvajanju nujnih procesnih dejanj, kot tudi za</w:t>
      </w:r>
      <w:r>
        <w:rPr>
          <w:rFonts w:cs="Arial"/>
          <w:szCs w:val="20"/>
        </w:rPr>
        <w:t xml:space="preserve"> </w:t>
      </w:r>
      <w:r w:rsidRPr="00115F14">
        <w:rPr>
          <w:rFonts w:cs="Arial"/>
          <w:szCs w:val="20"/>
        </w:rPr>
        <w:t xml:space="preserve">državne tožilce, ki opravljajo dežurno službo. </w:t>
      </w:r>
    </w:p>
    <w:p w:rsidR="00AE2155" w:rsidRPr="00115F14" w:rsidRDefault="00AE2155" w:rsidP="00B644CC">
      <w:pPr>
        <w:spacing w:line="288" w:lineRule="auto"/>
        <w:jc w:val="both"/>
        <w:rPr>
          <w:rFonts w:cs="Arial"/>
          <w:szCs w:val="20"/>
        </w:rPr>
      </w:pPr>
    </w:p>
    <w:p w:rsidR="00236D7C" w:rsidRDefault="00236D7C" w:rsidP="00236D7C">
      <w:pPr>
        <w:spacing w:line="288" w:lineRule="auto"/>
        <w:jc w:val="both"/>
        <w:rPr>
          <w:rFonts w:cs="Arial"/>
          <w:szCs w:val="20"/>
        </w:rPr>
      </w:pPr>
      <w:r>
        <w:rPr>
          <w:rFonts w:cs="Arial"/>
          <w:szCs w:val="20"/>
        </w:rPr>
        <w:t>Podlago za takšno razlago lahko najdemo tudi v Razlagalnem sporočilu o Direktivi 2003/88/ES Evropskega parlamenta in Sveta z dne 4. novembra 2003 o določenih vidikih organizacije delovnega časa, kjer je v IV. poglavju Uporaba opredelitev pojmov, A2. Uporaba opredelitve pojma iz Direktive za posebna časovna obdobja, navedeno, da »so lahko delavci, če morajo biti stalno dosegljivi, vendar jim ni treba ostati na kraju, ki ga določi delodajalec, manj omejeni pri upravljanju časa in posvečanju svojim interesom. V tem primeru, ki se imenuje tudi „pripravljenost“, je treba kot delovni čas v smislu Direktive obravnavati le čas, povezan z dejanskim opravljanjem storitev, vključno s časom, potrebnim za potovanje na kraj opravljanja storitev.«</w:t>
      </w:r>
      <w:r>
        <w:rPr>
          <w:rStyle w:val="Sidrosprotneopombe"/>
          <w:rFonts w:cs="Arial"/>
          <w:szCs w:val="20"/>
        </w:rPr>
        <w:footnoteReference w:id="21"/>
      </w:r>
      <w:r>
        <w:rPr>
          <w:rFonts w:cs="Arial"/>
          <w:szCs w:val="20"/>
        </w:rPr>
        <w:t xml:space="preserve">  </w:t>
      </w:r>
    </w:p>
    <w:p w:rsidR="00A63720" w:rsidRDefault="00A63720" w:rsidP="00236D7C">
      <w:pPr>
        <w:spacing w:line="288" w:lineRule="auto"/>
        <w:jc w:val="both"/>
        <w:rPr>
          <w:rFonts w:cs="Arial"/>
          <w:szCs w:val="20"/>
        </w:rPr>
      </w:pPr>
    </w:p>
    <w:p w:rsidR="00A63720" w:rsidRDefault="00A63720" w:rsidP="00236D7C">
      <w:pPr>
        <w:spacing w:line="288" w:lineRule="auto"/>
        <w:jc w:val="both"/>
        <w:rPr>
          <w:rFonts w:cs="Arial"/>
          <w:szCs w:val="20"/>
        </w:rPr>
      </w:pPr>
      <w:r w:rsidRPr="00A63720">
        <w:rPr>
          <w:rFonts w:cs="Arial"/>
          <w:szCs w:val="20"/>
        </w:rPr>
        <w:t xml:space="preserve">Iz sodne prakse Sodišča EU je razvidno, da sta pojma »delovni čas« in »počitek« v smislu Direktive 2003/88/ES pojma prava Unije, ki ju je treba opredeliti glede na objektivne značilnosti, ob sklicevanju na sistem in namen te direktive, ki je vzpostavitev minimalnih zahtev za izboljšanje življenjskih in delovnih razmer delavcev. Možnost, da delavci upravljajo s svojim časom brez večjih omejitev in da se posvečajo lastnim interesom, je tisti element, ki dokazuje, da zadevno časovno </w:t>
      </w:r>
      <w:r w:rsidRPr="00A63720">
        <w:rPr>
          <w:rFonts w:cs="Arial"/>
          <w:szCs w:val="20"/>
        </w:rPr>
        <w:lastRenderedPageBreak/>
        <w:t xml:space="preserve">obdobje ni delovni čas v smislu Direktive 2003/88/ES.  Čeprav se Sodišče EU ni izrecno opredelilo do vprašanja opredelitve časa, ki ga delavec porabi za pot od doma (v primeru stalne pripravljenosti) do kraja, ki ga določi delodajalec, je po mnenju predlagatelja, ob upoštevanju gornje sodne prakse sodišča EU, treba šteti, da je delavec v tem času že na razpolago delodajalcu, saj mora biti v določenem času na določenem kraju in ne more prosto razpolagati s svojim interesi oziroma mu je v celoti omejena možnost opravljati druge dejavnosti ter se posvečati lastnim interesom. </w:t>
      </w:r>
    </w:p>
    <w:p w:rsidR="00A63720" w:rsidRDefault="00A63720" w:rsidP="00236D7C">
      <w:pPr>
        <w:spacing w:line="288" w:lineRule="auto"/>
        <w:jc w:val="both"/>
        <w:rPr>
          <w:rFonts w:cs="Arial"/>
          <w:szCs w:val="20"/>
        </w:rPr>
      </w:pPr>
    </w:p>
    <w:p w:rsidR="00A63720" w:rsidRDefault="00A63720" w:rsidP="00236D7C">
      <w:pPr>
        <w:spacing w:line="288" w:lineRule="auto"/>
        <w:jc w:val="both"/>
        <w:rPr>
          <w:rFonts w:cs="Arial"/>
          <w:szCs w:val="20"/>
        </w:rPr>
      </w:pPr>
      <w:r w:rsidRPr="00A63720">
        <w:rPr>
          <w:rFonts w:cs="Arial"/>
          <w:szCs w:val="20"/>
        </w:rPr>
        <w:t xml:space="preserve">V zvezi z izpostavljenim vprašanjem naj opozorimo na sodbo Sodišča EU v zadevi C-266/14 z dne 10. 9. 2015, v kateri se je sodišče ukvarjalo z vprašanjem, ali se pot na delo in z dela v primeru terenskega dela všteva v delovni čas glede na določbe Direktive 2003/88/ES. Sodišče EU je v tej sodbi odločilo, da je člen 2, točko 1 Direktive 2003/88/ES treba razlagati tako, da v okoliščinah, kakršne so v postopku v glavni stvari, v katerih delavci nimajo stalnega ali običajnega kraja opravljanja dela, čas, ki ga ti delavci namenijo za vsakodnevni prevoz med svojim prebivališčem in prostori prve in zadnje stranke, ki ju določi njihov delodajalec, pomeni delovni čas v smislu te določbe. Glede na to, da ima ta sodba pomemben vpliv na prakso v primerljivih zadevah, </w:t>
      </w:r>
      <w:r>
        <w:rPr>
          <w:rFonts w:cs="Arial"/>
          <w:szCs w:val="20"/>
        </w:rPr>
        <w:t>je po mnenju predlagatelja treba</w:t>
      </w:r>
      <w:r w:rsidRPr="00A63720">
        <w:rPr>
          <w:rFonts w:cs="Arial"/>
          <w:szCs w:val="20"/>
        </w:rPr>
        <w:t xml:space="preserve"> v vsakem posameznem primeru presojati vse tri elemente pojma delovni čas, kot je to storilo sodišče v obravnavani zadevi. Gre za prostorsko merilo (biti na delovnem mestu), merilo avtoritete (biti na razpolago delodajalcu) in poklicno merilo (opravljati svoje naloge in dolžnosti). Prav slednje je podlaga, da se s predlogom zakona v nov</w:t>
      </w:r>
      <w:r w:rsidR="00C70B41">
        <w:rPr>
          <w:rFonts w:cs="Arial"/>
          <w:szCs w:val="20"/>
        </w:rPr>
        <w:t>em</w:t>
      </w:r>
      <w:r w:rsidRPr="00A63720">
        <w:rPr>
          <w:rFonts w:cs="Arial"/>
          <w:szCs w:val="20"/>
        </w:rPr>
        <w:t xml:space="preserve"> 45. člen</w:t>
      </w:r>
      <w:r w:rsidR="00C70B41">
        <w:rPr>
          <w:rFonts w:cs="Arial"/>
          <w:szCs w:val="20"/>
        </w:rPr>
        <w:t>u</w:t>
      </w:r>
      <w:r w:rsidRPr="00A63720">
        <w:rPr>
          <w:rFonts w:cs="Arial"/>
          <w:szCs w:val="20"/>
        </w:rPr>
        <w:t xml:space="preserve"> izrecno določa, da se čas, ki ga državni tožilec porabi za prihod na delovno mesto ali na drug kraj</w:t>
      </w:r>
      <w:r w:rsidR="00C70B41">
        <w:rPr>
          <w:rFonts w:cs="Arial"/>
          <w:szCs w:val="20"/>
        </w:rPr>
        <w:t xml:space="preserve"> (merilo </w:t>
      </w:r>
      <w:r w:rsidR="00C70B41" w:rsidRPr="00A63720">
        <w:rPr>
          <w:rFonts w:cs="Arial"/>
          <w:szCs w:val="20"/>
        </w:rPr>
        <w:t>biti na razpolago delodajalcu</w:t>
      </w:r>
      <w:r w:rsidR="00C70B41">
        <w:rPr>
          <w:rFonts w:cs="Arial"/>
          <w:szCs w:val="20"/>
        </w:rPr>
        <w:t>)</w:t>
      </w:r>
      <w:r w:rsidRPr="00A63720">
        <w:rPr>
          <w:rFonts w:cs="Arial"/>
          <w:szCs w:val="20"/>
        </w:rPr>
        <w:t>, kjer je potrebno opraviti nujna procesna dejanja</w:t>
      </w:r>
      <w:r>
        <w:rPr>
          <w:rFonts w:cs="Arial"/>
          <w:szCs w:val="20"/>
        </w:rPr>
        <w:t xml:space="preserve"> (</w:t>
      </w:r>
      <w:r w:rsidR="00C70B41">
        <w:rPr>
          <w:rFonts w:cs="Arial"/>
          <w:szCs w:val="20"/>
        </w:rPr>
        <w:t xml:space="preserve">merilo biti na delovnem mestu in </w:t>
      </w:r>
      <w:r>
        <w:rPr>
          <w:rFonts w:cs="Arial"/>
          <w:szCs w:val="20"/>
        </w:rPr>
        <w:t>poklicno merilo)</w:t>
      </w:r>
      <w:r w:rsidRPr="00A63720">
        <w:rPr>
          <w:rFonts w:cs="Arial"/>
          <w:szCs w:val="20"/>
        </w:rPr>
        <w:t xml:space="preserve"> ter čas povratka šteje v čas dejansko opravljenega dela </w:t>
      </w:r>
      <w:r>
        <w:rPr>
          <w:rFonts w:cs="Arial"/>
          <w:szCs w:val="20"/>
        </w:rPr>
        <w:t>oziroma v delovni čas</w:t>
      </w:r>
      <w:r w:rsidR="00C70B41">
        <w:rPr>
          <w:rFonts w:cs="Arial"/>
          <w:szCs w:val="20"/>
        </w:rPr>
        <w:t>.</w:t>
      </w:r>
    </w:p>
    <w:p w:rsidR="00A63720" w:rsidRDefault="00A63720" w:rsidP="00C671C8">
      <w:pPr>
        <w:spacing w:line="288" w:lineRule="auto"/>
        <w:jc w:val="both"/>
        <w:rPr>
          <w:rFonts w:cs="Arial"/>
          <w:szCs w:val="20"/>
        </w:rPr>
      </w:pPr>
    </w:p>
    <w:p w:rsidR="00C671C8" w:rsidRPr="00A63720" w:rsidRDefault="00AE2155" w:rsidP="00C671C8">
      <w:pPr>
        <w:spacing w:line="288" w:lineRule="auto"/>
        <w:jc w:val="both"/>
        <w:rPr>
          <w:rFonts w:cs="Arial"/>
          <w:szCs w:val="20"/>
        </w:rPr>
      </w:pPr>
      <w:r w:rsidRPr="00115F14">
        <w:rPr>
          <w:rFonts w:cs="Arial"/>
        </w:rPr>
        <w:t xml:space="preserve">Poleg tega se predlaga jasnejša definicija posameznih aktivnosti v času dežurstva in aktivnosti, ki se v času pripravljenosti štejejo za dežurstvo ter evidentirajo </w:t>
      </w:r>
      <w:r w:rsidR="00A63720" w:rsidRPr="00A63720">
        <w:rPr>
          <w:rFonts w:cs="Arial"/>
          <w:szCs w:val="20"/>
        </w:rPr>
        <w:t>po minutah oziroma dejanski porabi časa</w:t>
      </w:r>
      <w:r w:rsidR="00A63720">
        <w:rPr>
          <w:rFonts w:cs="Arial"/>
          <w:szCs w:val="20"/>
        </w:rPr>
        <w:t xml:space="preserve"> </w:t>
      </w:r>
      <w:r w:rsidRPr="00115F14">
        <w:rPr>
          <w:rFonts w:cs="Arial"/>
        </w:rPr>
        <w:t>in ne pavšalno.</w:t>
      </w:r>
      <w:r w:rsidR="00C671C8">
        <w:rPr>
          <w:rFonts w:cs="Arial"/>
        </w:rPr>
        <w:t xml:space="preserve"> </w:t>
      </w:r>
    </w:p>
    <w:p w:rsidR="00AE2155" w:rsidRDefault="00AE2155" w:rsidP="00B644CC">
      <w:pPr>
        <w:pStyle w:val="Alineazatoko"/>
        <w:spacing w:line="288" w:lineRule="auto"/>
        <w:ind w:left="0" w:firstLine="0"/>
        <w:rPr>
          <w:sz w:val="20"/>
          <w:szCs w:val="20"/>
        </w:rPr>
      </w:pPr>
      <w:bookmarkStart w:id="28" w:name="_Hlk530491953"/>
      <w:bookmarkEnd w:id="25"/>
    </w:p>
    <w:p w:rsidR="00456775" w:rsidRDefault="00456775" w:rsidP="00B644CC">
      <w:pPr>
        <w:pStyle w:val="Alineazatoko"/>
        <w:spacing w:line="288" w:lineRule="auto"/>
        <w:ind w:left="0" w:firstLine="0"/>
        <w:rPr>
          <w:rFonts w:cs="Arial"/>
          <w:b/>
          <w:bCs/>
          <w:color w:val="000000"/>
          <w:sz w:val="20"/>
          <w:szCs w:val="20"/>
        </w:rPr>
      </w:pPr>
      <w:r w:rsidRPr="00456775">
        <w:rPr>
          <w:b/>
          <w:bCs/>
          <w:sz w:val="20"/>
          <w:szCs w:val="20"/>
        </w:rPr>
        <w:t>2.3.3 K</w:t>
      </w:r>
      <w:r w:rsidRPr="00456775">
        <w:rPr>
          <w:rFonts w:cs="Arial"/>
          <w:b/>
          <w:bCs/>
          <w:color w:val="000000"/>
          <w:sz w:val="20"/>
          <w:szCs w:val="20"/>
        </w:rPr>
        <w:t>repitev odgovornost vodje državnega tožilstva</w:t>
      </w:r>
    </w:p>
    <w:p w:rsidR="00696BEC" w:rsidRDefault="00696BEC" w:rsidP="00B644CC">
      <w:pPr>
        <w:pStyle w:val="Alineazatoko"/>
        <w:spacing w:line="288" w:lineRule="auto"/>
        <w:ind w:left="0" w:firstLine="0"/>
        <w:rPr>
          <w:rFonts w:eastAsia="Calibri" w:cs="Arial"/>
          <w:sz w:val="20"/>
          <w:szCs w:val="20"/>
          <w:lang w:eastAsia="sl-SI"/>
        </w:rPr>
      </w:pPr>
    </w:p>
    <w:p w:rsidR="005E7A87" w:rsidRDefault="00696BEC" w:rsidP="00B644CC">
      <w:pPr>
        <w:pStyle w:val="Alineazatoko"/>
        <w:spacing w:line="288" w:lineRule="auto"/>
        <w:ind w:left="0" w:firstLine="0"/>
        <w:rPr>
          <w:rFonts w:eastAsia="Calibri" w:cs="Arial"/>
          <w:sz w:val="20"/>
          <w:szCs w:val="20"/>
          <w:lang w:eastAsia="sl-SI"/>
        </w:rPr>
      </w:pPr>
      <w:r>
        <w:rPr>
          <w:rFonts w:eastAsia="Calibri" w:cs="Arial"/>
          <w:sz w:val="20"/>
          <w:szCs w:val="20"/>
          <w:lang w:eastAsia="sl-SI"/>
        </w:rPr>
        <w:t xml:space="preserve">Z </w:t>
      </w:r>
      <w:r w:rsidRPr="00696BEC">
        <w:rPr>
          <w:rFonts w:eastAsia="Calibri" w:cs="Arial"/>
          <w:sz w:val="20"/>
          <w:szCs w:val="20"/>
          <w:lang w:eastAsia="sl-SI"/>
        </w:rPr>
        <w:t>namenom zagotavljanja učinkovitega izvajanja enotne politike pregona se s predlogom zakona krepi odgovornost vodje državnega tožilstva tako, da se veljavna ureditev v 169. členu ZDT-1 dopolni z obveznostjo predložitve osnutka akta na vpogled oziroma v sopodpis vodji državnega tožilstva vselej pred odločitvijo državnega tožilca o zavrženju ovadbe za kaznivo dejanje, za katero je v zakonu predpisana kazen zapora več kot tri leta. Za osnutke zavrženja ovadb za kaznivo dejanje, za katero je v zakonu predpisana kazen zapora več kot osem let</w:t>
      </w:r>
      <w:r w:rsidR="008D35C2">
        <w:rPr>
          <w:rFonts w:eastAsia="Calibri" w:cs="Arial"/>
          <w:sz w:val="20"/>
          <w:szCs w:val="20"/>
          <w:lang w:eastAsia="sl-SI"/>
        </w:rPr>
        <w:t>,</w:t>
      </w:r>
      <w:r w:rsidRPr="00696BEC">
        <w:rPr>
          <w:rFonts w:eastAsia="Calibri" w:cs="Arial"/>
          <w:sz w:val="20"/>
          <w:szCs w:val="20"/>
          <w:lang w:eastAsia="sl-SI"/>
        </w:rPr>
        <w:t xml:space="preserve"> </w:t>
      </w:r>
      <w:r w:rsidR="005E7A87">
        <w:rPr>
          <w:rFonts w:eastAsia="Calibri" w:cs="Arial"/>
          <w:sz w:val="20"/>
          <w:szCs w:val="20"/>
          <w:lang w:eastAsia="sl-SI"/>
        </w:rPr>
        <w:t>sprejme odločitev vodja državnega tožilstva v sodelovanju z</w:t>
      </w:r>
      <w:r w:rsidR="005E7A87" w:rsidRPr="005E7A87">
        <w:rPr>
          <w:rFonts w:eastAsia="Calibri" w:cs="Arial"/>
          <w:sz w:val="20"/>
          <w:szCs w:val="20"/>
          <w:lang w:eastAsia="sl-SI"/>
        </w:rPr>
        <w:t xml:space="preserve"> dve</w:t>
      </w:r>
      <w:r w:rsidR="005E7A87">
        <w:rPr>
          <w:rFonts w:eastAsia="Calibri" w:cs="Arial"/>
          <w:sz w:val="20"/>
          <w:szCs w:val="20"/>
          <w:lang w:eastAsia="sl-SI"/>
        </w:rPr>
        <w:t>ma</w:t>
      </w:r>
      <w:r w:rsidR="005E7A87" w:rsidRPr="005E7A87">
        <w:rPr>
          <w:rFonts w:eastAsia="Calibri" w:cs="Arial"/>
          <w:sz w:val="20"/>
          <w:szCs w:val="20"/>
          <w:lang w:eastAsia="sl-SI"/>
        </w:rPr>
        <w:t xml:space="preserve"> državni</w:t>
      </w:r>
      <w:r w:rsidR="005E7A87">
        <w:rPr>
          <w:rFonts w:eastAsia="Calibri" w:cs="Arial"/>
          <w:sz w:val="20"/>
          <w:szCs w:val="20"/>
          <w:lang w:eastAsia="sl-SI"/>
        </w:rPr>
        <w:t>ma</w:t>
      </w:r>
      <w:r w:rsidR="005E7A87" w:rsidRPr="005E7A87">
        <w:rPr>
          <w:rFonts w:eastAsia="Calibri" w:cs="Arial"/>
          <w:sz w:val="20"/>
          <w:szCs w:val="20"/>
          <w:lang w:eastAsia="sl-SI"/>
        </w:rPr>
        <w:t xml:space="preserve"> tožilce</w:t>
      </w:r>
      <w:r w:rsidR="005E7A87">
        <w:rPr>
          <w:rFonts w:eastAsia="Calibri" w:cs="Arial"/>
          <w:sz w:val="20"/>
          <w:szCs w:val="20"/>
          <w:lang w:eastAsia="sl-SI"/>
        </w:rPr>
        <w:t>ma</w:t>
      </w:r>
      <w:r w:rsidR="005E7A87" w:rsidRPr="005E7A87">
        <w:rPr>
          <w:rFonts w:eastAsia="Calibri" w:cs="Arial"/>
          <w:sz w:val="20"/>
          <w:szCs w:val="20"/>
          <w:lang w:eastAsia="sl-SI"/>
        </w:rPr>
        <w:t>, ki sta z letnim razporedom določena za vodenje oddelka. Če na državnem tožilstvu ni oblikovanega oddelka, mnenje podata državna tožilca, ki ju z odredbo določi vodja državnega tožilstva. V zadevah iz pristojnosti Oddelka za preiskovanje in pregon uradnih oseb s posebnimi pooblastili lahko mnenje podata državna tožilca, ki državnotožilsko službo opravljata na Specializiranem državnem tožilstvu Republike Slovenije.</w:t>
      </w:r>
    </w:p>
    <w:p w:rsidR="005E7A87" w:rsidRDefault="005E7A87" w:rsidP="00B644CC">
      <w:pPr>
        <w:pStyle w:val="Alineazatoko"/>
        <w:spacing w:line="288" w:lineRule="auto"/>
        <w:ind w:left="0" w:firstLine="0"/>
        <w:rPr>
          <w:rFonts w:eastAsia="Calibri" w:cs="Arial"/>
          <w:sz w:val="20"/>
          <w:szCs w:val="20"/>
          <w:lang w:eastAsia="sl-SI"/>
        </w:rPr>
      </w:pPr>
    </w:p>
    <w:p w:rsidR="00B73FBD" w:rsidRPr="0067206F" w:rsidRDefault="009B4D00" w:rsidP="0067206F">
      <w:pPr>
        <w:spacing w:line="288" w:lineRule="auto"/>
        <w:jc w:val="both"/>
        <w:rPr>
          <w:rFonts w:eastAsia="Calibri" w:cs="Arial"/>
          <w:szCs w:val="20"/>
          <w:lang w:eastAsia="sl-SI"/>
        </w:rPr>
      </w:pPr>
      <w:r>
        <w:rPr>
          <w:rFonts w:eastAsia="Calibri" w:cs="Arial"/>
          <w:szCs w:val="20"/>
          <w:lang w:eastAsia="sl-SI"/>
        </w:rPr>
        <w:t>S predlagano ureditvijo se nadgrajujejo tudi že sprejete rešitve v Zakonu o spremembah in dopolnitvah Zakona o kazenskem postopku (ZKP-N), saj se vnaša dodatna varovalka, ki preprečuje neutemeljeno oziroma prezgodnje zavrženje ovadb in ki omogoča bolj kakovostne</w:t>
      </w:r>
      <w:r w:rsidR="008D35C2">
        <w:rPr>
          <w:rFonts w:eastAsia="Calibri" w:cs="Arial"/>
          <w:szCs w:val="20"/>
          <w:lang w:eastAsia="sl-SI"/>
        </w:rPr>
        <w:t xml:space="preserve"> in</w:t>
      </w:r>
      <w:r>
        <w:rPr>
          <w:rFonts w:eastAsia="Calibri" w:cs="Arial"/>
          <w:szCs w:val="20"/>
          <w:lang w:eastAsia="sl-SI"/>
        </w:rPr>
        <w:t xml:space="preserve"> utemeljene odločitve državnega tožilca v primerih, kjer je glede na višino predpisane kazni še posebej izražen javni interes za nadaljevanje pregona.</w:t>
      </w:r>
    </w:p>
    <w:p w:rsidR="00C17600" w:rsidRPr="00115F14" w:rsidRDefault="00C17600" w:rsidP="00B644CC">
      <w:pPr>
        <w:pStyle w:val="Alineazatoko"/>
        <w:spacing w:line="288" w:lineRule="auto"/>
        <w:ind w:left="0" w:firstLine="0"/>
        <w:rPr>
          <w:sz w:val="20"/>
          <w:szCs w:val="20"/>
        </w:rPr>
      </w:pPr>
    </w:p>
    <w:p w:rsidR="00AE2155" w:rsidRPr="00115F14" w:rsidRDefault="00AE2155" w:rsidP="00B644CC">
      <w:pPr>
        <w:pStyle w:val="Alineazatoko"/>
        <w:spacing w:line="288" w:lineRule="auto"/>
        <w:ind w:left="0" w:firstLine="0"/>
        <w:rPr>
          <w:b/>
          <w:sz w:val="20"/>
          <w:szCs w:val="20"/>
        </w:rPr>
      </w:pPr>
      <w:r w:rsidRPr="00115F14">
        <w:rPr>
          <w:b/>
          <w:sz w:val="20"/>
          <w:szCs w:val="20"/>
        </w:rPr>
        <w:lastRenderedPageBreak/>
        <w:t xml:space="preserve">3. OCENA FINANČNIH POSLEDIC PREDLOGA ZAKONA ZA DRŽAVNI PRORAČUN IN DRUGA JAVNA FINANČNA SREDSTVA </w:t>
      </w:r>
    </w:p>
    <w:p w:rsidR="00AE2155" w:rsidRPr="00115F14" w:rsidRDefault="00AE2155" w:rsidP="00B644CC">
      <w:pPr>
        <w:pStyle w:val="Alineazatoko"/>
        <w:spacing w:line="288" w:lineRule="auto"/>
        <w:ind w:left="0" w:firstLine="0"/>
        <w:rPr>
          <w:sz w:val="20"/>
          <w:szCs w:val="20"/>
        </w:rPr>
      </w:pPr>
    </w:p>
    <w:p w:rsidR="00AE2155" w:rsidRPr="00115F14" w:rsidRDefault="00AE2155" w:rsidP="00B644CC">
      <w:pPr>
        <w:spacing w:line="288" w:lineRule="auto"/>
        <w:jc w:val="both"/>
        <w:rPr>
          <w:rFonts w:cs="Arial"/>
          <w:szCs w:val="20"/>
        </w:rPr>
      </w:pPr>
      <w:r w:rsidRPr="00115F14">
        <w:rPr>
          <w:rFonts w:cs="Arial"/>
          <w:szCs w:val="20"/>
        </w:rPr>
        <w:t>Ker ZDR-1</w:t>
      </w:r>
      <w:r w:rsidR="00AC3422">
        <w:rPr>
          <w:rFonts w:cs="Arial"/>
          <w:szCs w:val="20"/>
        </w:rPr>
        <w:t xml:space="preserve"> </w:t>
      </w:r>
      <w:r w:rsidRPr="00115F14">
        <w:rPr>
          <w:rFonts w:cs="Arial"/>
          <w:szCs w:val="20"/>
        </w:rPr>
        <w:t>delo v manj ugodnem delovnem času že ureja, medtem ko institut pripravljenosti (enako velja za dežurstvo) na ravni javnega sektorja ni enotno opredeljen, predlagamo ureditev instituta pripravljenosti primerljivo ureditvam kot izhajajo iz nekaterih drugih področnih zakonov, vključno z določitvijo neposredne podlage za plačilo opravljenega dela in pripravljenosti v okviru enotnega plačnega sistema (ZSPJS). Na ta način bi glede na to, da javni uslužbenci v okviru aktivnega sodelovanja pri opravljanju nujnih procesnih dejanj, delo opravljajo z enako intenzivnostjo kot v rednem delovnem času, zagotovili tudi njihov ustrezen plačni položaj. Sodelovanje v obliki dežurstva upoštevaje določbo šestega odstavka 32. člena ZSPJS je namreč nižje ovrednoteno iz naslova nižje osnove za obračun dodatka in nižje višine izplačanega dodatka za opravljeno delo. Slednje glede na podatke iz Analize plač v javnem sektorju za leto 2018 (dokument št. 0100-647/2019/1, 30. 8. 2019, objavljen na spletni strani Ministrstva za javno upravo) tudi ne bi predstavljalo odstopa od siceršnje višine tovrstnih izplačil pri ostalih neposrednih proračunskih uporabnikih. Upoštevaje vsebino navedene analize je namreč pri neposrednih uporabnikih proračunov delež izplačil za dežurno delo znašal slaba 2 % vseh izplačil, namenjenih za dežurno delo, ki se izplačuje le na področju pravosodja (pri tem velja posebej izpostaviti, da določba šestega odstavka 32. člena ZSPJS, ki določa plačila v času dežurstva, za pravosodne funkcionarje ne velja).</w:t>
      </w:r>
    </w:p>
    <w:p w:rsidR="00AE2155" w:rsidRPr="00115F14" w:rsidRDefault="00AE2155" w:rsidP="00B644CC">
      <w:pPr>
        <w:pStyle w:val="Alineazatoko"/>
        <w:spacing w:line="288" w:lineRule="auto"/>
        <w:ind w:left="0" w:firstLine="0"/>
        <w:rPr>
          <w:sz w:val="20"/>
          <w:szCs w:val="20"/>
          <w:highlight w:val="yellow"/>
        </w:rPr>
      </w:pPr>
    </w:p>
    <w:p w:rsidR="00AE2155" w:rsidRDefault="00AE2155" w:rsidP="00B644CC">
      <w:pPr>
        <w:pStyle w:val="Alineazatoko"/>
        <w:spacing w:line="288" w:lineRule="auto"/>
        <w:ind w:left="0" w:firstLine="0"/>
        <w:rPr>
          <w:sz w:val="20"/>
          <w:szCs w:val="20"/>
        </w:rPr>
      </w:pPr>
      <w:r w:rsidRPr="00115F14">
        <w:rPr>
          <w:sz w:val="20"/>
          <w:szCs w:val="20"/>
        </w:rPr>
        <w:t>Vrhovno državno tožilstvo</w:t>
      </w:r>
      <w:r>
        <w:rPr>
          <w:sz w:val="20"/>
          <w:szCs w:val="20"/>
        </w:rPr>
        <w:t xml:space="preserve"> je</w:t>
      </w:r>
      <w:r w:rsidRPr="00115F14">
        <w:rPr>
          <w:sz w:val="20"/>
          <w:szCs w:val="20"/>
        </w:rPr>
        <w:t xml:space="preserve"> na letni ravni</w:t>
      </w:r>
      <w:r>
        <w:rPr>
          <w:sz w:val="20"/>
          <w:szCs w:val="20"/>
        </w:rPr>
        <w:t xml:space="preserve"> ocenilo, da bodo finančne posledice za</w:t>
      </w:r>
      <w:r w:rsidRPr="00115F14">
        <w:rPr>
          <w:sz w:val="20"/>
          <w:szCs w:val="20"/>
        </w:rPr>
        <w:t xml:space="preserve"> na novo predlagano ureditev 45. člena Zakona o državnem tožilstvu (vštevanje časa porabljenega za prihod na delovno mesto oziroma kraj, kjer se opravljajo nujna procesna dejanja ter čas povratka), za vsa prvostopenjska državna tožilstva znašal</w:t>
      </w:r>
      <w:r>
        <w:rPr>
          <w:sz w:val="20"/>
          <w:szCs w:val="20"/>
        </w:rPr>
        <w:t>e</w:t>
      </w:r>
      <w:r w:rsidRPr="00115F14">
        <w:rPr>
          <w:sz w:val="20"/>
          <w:szCs w:val="20"/>
        </w:rPr>
        <w:t xml:space="preserve"> 22.550 evrov za državne tožilce ter 1.000 evrov za javne uslužbence (javni uslužbenci izjemoma sodelujejo pri opravi nujnih procesnih dejanj), skupaj bo imel predlog zakona iz tega naslova 23.550 evrov finančnih posledic za državni proračun.</w:t>
      </w:r>
    </w:p>
    <w:p w:rsidR="003B1DC1" w:rsidRDefault="003B1DC1" w:rsidP="00B644CC">
      <w:pPr>
        <w:pStyle w:val="Alineazatoko"/>
        <w:spacing w:line="288" w:lineRule="auto"/>
        <w:ind w:left="0" w:firstLine="0"/>
        <w:rPr>
          <w:sz w:val="20"/>
          <w:szCs w:val="20"/>
        </w:rPr>
      </w:pPr>
    </w:p>
    <w:p w:rsidR="003B1DC1" w:rsidRPr="00115F14" w:rsidRDefault="003B1DC1" w:rsidP="00B644CC">
      <w:pPr>
        <w:pStyle w:val="Alineazatoko"/>
        <w:spacing w:line="288" w:lineRule="auto"/>
        <w:ind w:left="0" w:firstLine="0"/>
        <w:rPr>
          <w:sz w:val="20"/>
          <w:szCs w:val="20"/>
          <w:highlight w:val="yellow"/>
        </w:rPr>
      </w:pPr>
      <w:r>
        <w:rPr>
          <w:sz w:val="20"/>
          <w:szCs w:val="20"/>
        </w:rPr>
        <w:t>Predlog zakona ne bo imel finančnih posledic za druga javnofinančna sredstva.</w:t>
      </w:r>
    </w:p>
    <w:p w:rsidR="00AE2155" w:rsidRDefault="00AE2155" w:rsidP="00B644CC">
      <w:pPr>
        <w:pStyle w:val="Alineazatoko"/>
        <w:spacing w:line="288" w:lineRule="auto"/>
        <w:ind w:left="0" w:firstLine="0"/>
        <w:rPr>
          <w:sz w:val="20"/>
          <w:szCs w:val="20"/>
        </w:rPr>
      </w:pPr>
    </w:p>
    <w:p w:rsidR="00503F6A" w:rsidRPr="00115F14" w:rsidRDefault="00503F6A" w:rsidP="00B644CC">
      <w:pPr>
        <w:pStyle w:val="Alineazatoko"/>
        <w:spacing w:line="288" w:lineRule="auto"/>
        <w:ind w:left="0" w:firstLine="0"/>
        <w:rPr>
          <w:sz w:val="20"/>
          <w:szCs w:val="20"/>
        </w:rPr>
      </w:pPr>
    </w:p>
    <w:tbl>
      <w:tblPr>
        <w:tblW w:w="8897" w:type="dxa"/>
        <w:tblLook w:val="04A0" w:firstRow="1" w:lastRow="0" w:firstColumn="1" w:lastColumn="0" w:noHBand="0" w:noVBand="1"/>
      </w:tblPr>
      <w:tblGrid>
        <w:gridCol w:w="8755"/>
        <w:gridCol w:w="142"/>
      </w:tblGrid>
      <w:tr w:rsidR="00AE2155" w:rsidRPr="00115F14" w:rsidTr="005363D0">
        <w:tc>
          <w:tcPr>
            <w:tcW w:w="8897" w:type="dxa"/>
            <w:gridSpan w:val="2"/>
          </w:tcPr>
          <w:p w:rsidR="00AE2155" w:rsidRPr="00115F14" w:rsidRDefault="00AE2155" w:rsidP="00B644CC">
            <w:pPr>
              <w:pStyle w:val="Oddelek"/>
              <w:numPr>
                <w:ilvl w:val="0"/>
                <w:numId w:val="0"/>
              </w:numPr>
              <w:spacing w:before="0" w:after="0" w:line="288" w:lineRule="auto"/>
              <w:jc w:val="both"/>
              <w:rPr>
                <w:sz w:val="20"/>
                <w:szCs w:val="20"/>
              </w:rPr>
            </w:pPr>
            <w:r w:rsidRPr="00115F14">
              <w:rPr>
                <w:sz w:val="20"/>
                <w:szCs w:val="20"/>
              </w:rPr>
              <w:t>4. NAVEDBA, DA SO SREDSTVA ZA IZVAJANJE ZAKONA V DRŽAVNEM PRORAČUNU ZAGOTOVLJENA, ČE PREDLOG ZAKONA PREDVIDEVA PORABO PRORAČUNSKIH SREDSTEV V OBDOBJU, ZA KATERO JE BIL DRŽAVNI PRORAČUN ŽE SPREJET</w:t>
            </w:r>
          </w:p>
        </w:tc>
      </w:tr>
      <w:tr w:rsidR="00AE2155" w:rsidRPr="00115F14" w:rsidTr="005363D0">
        <w:tc>
          <w:tcPr>
            <w:tcW w:w="8897" w:type="dxa"/>
            <w:gridSpan w:val="2"/>
          </w:tcPr>
          <w:p w:rsidR="00AE2155" w:rsidRPr="00115F14" w:rsidRDefault="00AE2155" w:rsidP="00B644CC">
            <w:pPr>
              <w:spacing w:line="288" w:lineRule="auto"/>
              <w:jc w:val="both"/>
              <w:rPr>
                <w:rFonts w:cs="Arial"/>
                <w:szCs w:val="20"/>
              </w:rPr>
            </w:pPr>
          </w:p>
          <w:p w:rsidR="008316DB" w:rsidRDefault="008316DB" w:rsidP="008316DB">
            <w:pPr>
              <w:spacing w:line="288" w:lineRule="auto"/>
              <w:jc w:val="both"/>
              <w:rPr>
                <w:rFonts w:cs="Arial"/>
                <w:szCs w:val="20"/>
              </w:rPr>
            </w:pPr>
            <w:r w:rsidRPr="00115F14">
              <w:rPr>
                <w:rFonts w:cs="Arial"/>
                <w:szCs w:val="20"/>
              </w:rPr>
              <w:t xml:space="preserve">Za obdobje, za katero je proračun že sprejet (leto 2020), ni potrebno predvideti porabe proračunskih sredstev zaradi predlaganih rešitev. </w:t>
            </w:r>
          </w:p>
          <w:p w:rsidR="008316DB" w:rsidRDefault="008316DB" w:rsidP="008316DB">
            <w:pPr>
              <w:spacing w:line="288" w:lineRule="auto"/>
              <w:jc w:val="both"/>
              <w:rPr>
                <w:rFonts w:cs="Arial"/>
                <w:szCs w:val="20"/>
              </w:rPr>
            </w:pPr>
          </w:p>
          <w:p w:rsidR="008316DB" w:rsidRDefault="008316DB" w:rsidP="008316DB">
            <w:pPr>
              <w:spacing w:line="288" w:lineRule="auto"/>
              <w:jc w:val="both"/>
              <w:rPr>
                <w:rFonts w:cs="Arial"/>
                <w:szCs w:val="20"/>
              </w:rPr>
            </w:pPr>
            <w:r w:rsidRPr="003B1DC1">
              <w:rPr>
                <w:rFonts w:cs="Arial"/>
                <w:szCs w:val="20"/>
              </w:rPr>
              <w:t xml:space="preserve">Pravice porabe za izvedbo predlaganih rešitev so zagotovljene </w:t>
            </w:r>
            <w:r>
              <w:rPr>
                <w:rFonts w:cs="Arial"/>
                <w:szCs w:val="20"/>
              </w:rPr>
              <w:t xml:space="preserve">na proračunski postavki Vrhovnega državnega tožilstva, kot sredstva </w:t>
            </w:r>
            <w:r w:rsidRPr="009B1994">
              <w:rPr>
                <w:rFonts w:cs="Arial"/>
                <w:bCs/>
                <w:kern w:val="32"/>
                <w:szCs w:val="20"/>
                <w:lang w:eastAsia="sl-SI"/>
              </w:rPr>
              <w:t>za obračun deviznih plač nacionalnih članov v Eurojust</w:t>
            </w:r>
            <w:r>
              <w:rPr>
                <w:rFonts w:cs="Arial"/>
                <w:bCs/>
                <w:kern w:val="32"/>
                <w:szCs w:val="20"/>
                <w:lang w:eastAsia="sl-SI"/>
              </w:rPr>
              <w:t xml:space="preserve"> ter po posameznih državnih tožilstvih, ki so samostojni proračunski uporabniki s svojo proračunsko postavko.</w:t>
            </w:r>
          </w:p>
          <w:p w:rsidR="00503F6A" w:rsidRDefault="00503F6A" w:rsidP="00B644CC">
            <w:pPr>
              <w:spacing w:line="288" w:lineRule="auto"/>
              <w:jc w:val="both"/>
              <w:rPr>
                <w:rFonts w:cs="Arial"/>
                <w:szCs w:val="20"/>
              </w:rPr>
            </w:pPr>
          </w:p>
          <w:p w:rsidR="008316DB" w:rsidRPr="00115F14" w:rsidRDefault="008316DB" w:rsidP="00B644CC">
            <w:pPr>
              <w:spacing w:line="288" w:lineRule="auto"/>
              <w:jc w:val="both"/>
              <w:rPr>
                <w:rFonts w:cs="Arial"/>
                <w:szCs w:val="20"/>
              </w:rPr>
            </w:pPr>
          </w:p>
        </w:tc>
      </w:tr>
      <w:tr w:rsidR="00AE2155" w:rsidRPr="00115F14" w:rsidTr="005363D0">
        <w:trPr>
          <w:gridAfter w:val="1"/>
          <w:wAfter w:w="142" w:type="dxa"/>
        </w:trPr>
        <w:tc>
          <w:tcPr>
            <w:tcW w:w="8755" w:type="dxa"/>
          </w:tcPr>
          <w:p w:rsidR="00AE2155" w:rsidRPr="00115F14" w:rsidRDefault="00AE2155" w:rsidP="00B644CC">
            <w:pPr>
              <w:pStyle w:val="Oddelek"/>
              <w:numPr>
                <w:ilvl w:val="0"/>
                <w:numId w:val="0"/>
              </w:numPr>
              <w:spacing w:before="0" w:after="0" w:line="288" w:lineRule="auto"/>
              <w:jc w:val="both"/>
              <w:rPr>
                <w:sz w:val="20"/>
                <w:szCs w:val="20"/>
              </w:rPr>
            </w:pPr>
            <w:bookmarkStart w:id="29" w:name="_Hlk535495137"/>
            <w:r w:rsidRPr="00115F14">
              <w:rPr>
                <w:sz w:val="20"/>
                <w:szCs w:val="20"/>
              </w:rPr>
              <w:t>5. PRIKAZ UREDITVE V DRUGIH PRAVNIH SISTEMIH IN PRILAGOJENOSTI PREDLAGANE UREDITVE PRAVU EVROPSKE UNIJE</w:t>
            </w:r>
          </w:p>
          <w:p w:rsidR="008316DB" w:rsidRPr="00115F14" w:rsidRDefault="008316DB" w:rsidP="00B644CC">
            <w:pPr>
              <w:pStyle w:val="Oddelek"/>
              <w:numPr>
                <w:ilvl w:val="0"/>
                <w:numId w:val="0"/>
              </w:numPr>
              <w:spacing w:before="0" w:after="0" w:line="288" w:lineRule="auto"/>
              <w:jc w:val="both"/>
              <w:rPr>
                <w:sz w:val="20"/>
                <w:szCs w:val="20"/>
              </w:rPr>
            </w:pPr>
          </w:p>
          <w:p w:rsidR="00AE2155" w:rsidRPr="00115F14" w:rsidRDefault="00AE2155" w:rsidP="00B644CC">
            <w:pPr>
              <w:pStyle w:val="Oddelek"/>
              <w:numPr>
                <w:ilvl w:val="0"/>
                <w:numId w:val="0"/>
              </w:numPr>
              <w:spacing w:before="0" w:after="0" w:line="288" w:lineRule="auto"/>
              <w:jc w:val="both"/>
              <w:rPr>
                <w:sz w:val="20"/>
                <w:szCs w:val="20"/>
              </w:rPr>
            </w:pPr>
            <w:r w:rsidRPr="00115F14">
              <w:rPr>
                <w:sz w:val="20"/>
                <w:szCs w:val="20"/>
                <w:lang w:eastAsia="sl-SI"/>
              </w:rPr>
              <w:t>5.1 Prikaz ureditve v državah članicah EU</w:t>
            </w:r>
          </w:p>
          <w:p w:rsidR="00503F6A" w:rsidRDefault="00503F6A" w:rsidP="00B644CC">
            <w:pPr>
              <w:pStyle w:val="Oddelek"/>
              <w:numPr>
                <w:ilvl w:val="0"/>
                <w:numId w:val="0"/>
              </w:numPr>
              <w:spacing w:before="0" w:after="0" w:line="288" w:lineRule="auto"/>
              <w:jc w:val="both"/>
              <w:rPr>
                <w:sz w:val="20"/>
                <w:szCs w:val="20"/>
              </w:rPr>
            </w:pPr>
          </w:p>
          <w:p w:rsidR="00AE2155" w:rsidRPr="00115F14" w:rsidRDefault="00AE2155" w:rsidP="00B644CC">
            <w:pPr>
              <w:pStyle w:val="Oddelek"/>
              <w:numPr>
                <w:ilvl w:val="0"/>
                <w:numId w:val="0"/>
              </w:numPr>
              <w:spacing w:before="0" w:after="0" w:line="288" w:lineRule="auto"/>
              <w:jc w:val="both"/>
              <w:rPr>
                <w:sz w:val="20"/>
                <w:szCs w:val="20"/>
              </w:rPr>
            </w:pPr>
            <w:r w:rsidRPr="00115F14">
              <w:rPr>
                <w:sz w:val="20"/>
                <w:szCs w:val="20"/>
              </w:rPr>
              <w:lastRenderedPageBreak/>
              <w:t>Avstrija</w:t>
            </w:r>
          </w:p>
          <w:p w:rsidR="00AE2155" w:rsidRPr="00115F14" w:rsidRDefault="00AE2155" w:rsidP="00B644CC">
            <w:pPr>
              <w:pStyle w:val="Oddelek"/>
              <w:numPr>
                <w:ilvl w:val="0"/>
                <w:numId w:val="0"/>
              </w:numPr>
              <w:spacing w:before="0" w:after="0" w:line="288" w:lineRule="auto"/>
              <w:jc w:val="both"/>
              <w:rPr>
                <w:b w:val="0"/>
                <w:bCs/>
                <w:sz w:val="20"/>
                <w:szCs w:val="20"/>
              </w:rPr>
            </w:pPr>
          </w:p>
          <w:p w:rsidR="00AE2155" w:rsidRPr="00115F14" w:rsidRDefault="00AE2155" w:rsidP="00B644CC">
            <w:pPr>
              <w:pStyle w:val="Oddelek"/>
              <w:numPr>
                <w:ilvl w:val="0"/>
                <w:numId w:val="0"/>
              </w:numPr>
              <w:spacing w:before="0" w:after="0" w:line="288" w:lineRule="auto"/>
              <w:jc w:val="both"/>
              <w:rPr>
                <w:b w:val="0"/>
                <w:bCs/>
                <w:sz w:val="20"/>
                <w:szCs w:val="20"/>
              </w:rPr>
            </w:pPr>
            <w:r w:rsidRPr="00115F14">
              <w:rPr>
                <w:b w:val="0"/>
                <w:bCs/>
                <w:sz w:val="20"/>
                <w:szCs w:val="20"/>
              </w:rPr>
              <w:t>Avstrijsko državno tožilstvo je poseben organ, ločen od sodišč, ki varuje javni interes pri zastopanju obtožb in pregonu storilcev kaznivih dejanj.</w:t>
            </w:r>
          </w:p>
          <w:p w:rsidR="00AE2155" w:rsidRPr="00115F14" w:rsidRDefault="00AE2155" w:rsidP="00B644CC">
            <w:pPr>
              <w:pStyle w:val="Oddelek"/>
              <w:numPr>
                <w:ilvl w:val="0"/>
                <w:numId w:val="0"/>
              </w:numPr>
              <w:spacing w:before="0" w:after="0" w:line="288" w:lineRule="auto"/>
              <w:jc w:val="both"/>
              <w:rPr>
                <w:b w:val="0"/>
                <w:bCs/>
                <w:sz w:val="20"/>
                <w:szCs w:val="20"/>
              </w:rPr>
            </w:pPr>
          </w:p>
          <w:p w:rsidR="00AE2155" w:rsidRPr="00115F14" w:rsidRDefault="00AE2155" w:rsidP="00B644CC">
            <w:pPr>
              <w:pStyle w:val="Oddelek"/>
              <w:numPr>
                <w:ilvl w:val="0"/>
                <w:numId w:val="0"/>
              </w:numPr>
              <w:spacing w:before="0" w:after="0" w:line="288" w:lineRule="auto"/>
              <w:jc w:val="both"/>
              <w:rPr>
                <w:b w:val="0"/>
                <w:bCs/>
                <w:sz w:val="20"/>
                <w:szCs w:val="20"/>
              </w:rPr>
            </w:pPr>
            <w:r w:rsidRPr="00115F14">
              <w:rPr>
                <w:b w:val="0"/>
                <w:bCs/>
                <w:sz w:val="20"/>
                <w:szCs w:val="20"/>
              </w:rPr>
              <w:t>Državna tožilstva so pravosodni organi, vendar v nasprotju s sodišči niso neodvisni</w:t>
            </w:r>
            <w:r>
              <w:rPr>
                <w:b w:val="0"/>
                <w:bCs/>
                <w:sz w:val="20"/>
                <w:szCs w:val="20"/>
              </w:rPr>
              <w:t xml:space="preserve"> </w:t>
            </w:r>
            <w:r w:rsidRPr="00115F14">
              <w:rPr>
                <w:b w:val="0"/>
                <w:bCs/>
                <w:sz w:val="20"/>
                <w:szCs w:val="20"/>
              </w:rPr>
              <w:t>in imajo strogo hierarhično strukturo ter so vezani na navodila višjega državnega tožilstva, še posebej pa zveznega Ministrstva za pravosodje.</w:t>
            </w:r>
          </w:p>
          <w:p w:rsidR="00AE2155" w:rsidRPr="00115F14" w:rsidRDefault="00AE2155" w:rsidP="00B644CC">
            <w:pPr>
              <w:pStyle w:val="Oddelek"/>
              <w:numPr>
                <w:ilvl w:val="0"/>
                <w:numId w:val="0"/>
              </w:numPr>
              <w:spacing w:before="0" w:after="0" w:line="288" w:lineRule="auto"/>
              <w:jc w:val="both"/>
              <w:rPr>
                <w:b w:val="0"/>
                <w:bCs/>
                <w:sz w:val="20"/>
                <w:szCs w:val="20"/>
              </w:rPr>
            </w:pPr>
          </w:p>
          <w:p w:rsidR="00AE2155" w:rsidRPr="00115F14" w:rsidRDefault="00AE2155" w:rsidP="00B644CC">
            <w:pPr>
              <w:pStyle w:val="Oddelek"/>
              <w:numPr>
                <w:ilvl w:val="0"/>
                <w:numId w:val="0"/>
              </w:numPr>
              <w:spacing w:before="0" w:after="0" w:line="288" w:lineRule="auto"/>
              <w:jc w:val="both"/>
              <w:rPr>
                <w:b w:val="0"/>
                <w:bCs/>
                <w:sz w:val="20"/>
                <w:szCs w:val="20"/>
              </w:rPr>
            </w:pPr>
            <w:r w:rsidRPr="00115F14">
              <w:rPr>
                <w:b w:val="0"/>
                <w:bCs/>
                <w:sz w:val="20"/>
                <w:szCs w:val="20"/>
              </w:rPr>
              <w:t>Na zakonski ravni obstaja natančna pravila in način izdaje obveznih navodil. Višji državni tožilec in Zvezni minister lahko izdata navodilo zgolj v pisni obliki z utemeljeno obrazložitvijo. Vsa navodila morajo biti zabeležena v kazenskem spisu konkretne zadeve.</w:t>
            </w:r>
          </w:p>
          <w:p w:rsidR="00AE2155" w:rsidRPr="00115F14" w:rsidRDefault="00AE2155" w:rsidP="00B644CC">
            <w:pPr>
              <w:pStyle w:val="Oddelek"/>
              <w:numPr>
                <w:ilvl w:val="0"/>
                <w:numId w:val="0"/>
              </w:numPr>
              <w:spacing w:before="0" w:after="0" w:line="288" w:lineRule="auto"/>
              <w:jc w:val="both"/>
              <w:rPr>
                <w:b w:val="0"/>
                <w:bCs/>
                <w:sz w:val="20"/>
                <w:szCs w:val="20"/>
              </w:rPr>
            </w:pPr>
          </w:p>
          <w:p w:rsidR="00AE2155" w:rsidRPr="00115F14" w:rsidRDefault="00AE2155" w:rsidP="00B644CC">
            <w:pPr>
              <w:pStyle w:val="Oddelek"/>
              <w:numPr>
                <w:ilvl w:val="0"/>
                <w:numId w:val="0"/>
              </w:numPr>
              <w:spacing w:before="0" w:after="0" w:line="288" w:lineRule="auto"/>
              <w:jc w:val="both"/>
              <w:rPr>
                <w:b w:val="0"/>
                <w:bCs/>
                <w:sz w:val="20"/>
                <w:szCs w:val="20"/>
              </w:rPr>
            </w:pPr>
            <w:r w:rsidRPr="00115F14">
              <w:rPr>
                <w:b w:val="0"/>
                <w:bCs/>
                <w:sz w:val="20"/>
                <w:szCs w:val="20"/>
              </w:rPr>
              <w:t>Državna tožilstva so zato organizirana</w:t>
            </w:r>
            <w:r>
              <w:rPr>
                <w:b w:val="0"/>
                <w:bCs/>
                <w:sz w:val="20"/>
                <w:szCs w:val="20"/>
              </w:rPr>
              <w:t xml:space="preserve"> </w:t>
            </w:r>
            <w:r w:rsidRPr="00115F14">
              <w:rPr>
                <w:b w:val="0"/>
                <w:bCs/>
                <w:sz w:val="20"/>
                <w:szCs w:val="20"/>
              </w:rPr>
              <w:t>na podrejeni in nadrejeni ravni. V nasprotju s sodnimi odločbami odločitev državnih tožilcev ni mogoče izpodbijati z nobenim pravnim sredstvom. S sistemskega vidika je organizacijska struktura tožilstva enaka organizaciji sodišča.</w:t>
            </w:r>
          </w:p>
          <w:p w:rsidR="00AE2155" w:rsidRPr="00115F14" w:rsidRDefault="00AE2155" w:rsidP="00B644CC">
            <w:pPr>
              <w:pStyle w:val="Oddelek"/>
              <w:numPr>
                <w:ilvl w:val="0"/>
                <w:numId w:val="0"/>
              </w:numPr>
              <w:spacing w:before="0" w:after="0" w:line="288" w:lineRule="auto"/>
              <w:jc w:val="both"/>
              <w:rPr>
                <w:b w:val="0"/>
                <w:bCs/>
                <w:sz w:val="20"/>
                <w:szCs w:val="20"/>
              </w:rPr>
            </w:pPr>
          </w:p>
          <w:p w:rsidR="00AE2155" w:rsidRPr="00115F14" w:rsidRDefault="00AE2155" w:rsidP="00B644CC">
            <w:pPr>
              <w:pStyle w:val="Oddelek"/>
              <w:numPr>
                <w:ilvl w:val="0"/>
                <w:numId w:val="0"/>
              </w:numPr>
              <w:spacing w:before="0" w:after="0" w:line="288" w:lineRule="auto"/>
              <w:jc w:val="both"/>
              <w:rPr>
                <w:b w:val="0"/>
                <w:bCs/>
                <w:sz w:val="20"/>
                <w:szCs w:val="20"/>
              </w:rPr>
            </w:pPr>
            <w:r w:rsidRPr="00115F14">
              <w:rPr>
                <w:b w:val="0"/>
                <w:bCs/>
                <w:sz w:val="20"/>
                <w:szCs w:val="20"/>
              </w:rPr>
              <w:t>Za vsako regijsko sodišče, ki je pristojno za kazenske zadeve, je ustanovljeno državno tožilstvo. Državni tožilci so pristojni zastopat kazensko obtožbo pred regijskim in okrožnim sodiščem tega regijskega sodišča. Po pravilu bodo okrožni državni tožilci zastopali kazenske obtožbe pred okrožnimi sodišči. To so javni uslužbenci, s posebnim strokovnim znanjem, vendar ne potrebujejo univerzitetnega usposabljanja.</w:t>
            </w:r>
          </w:p>
          <w:p w:rsidR="00AE2155" w:rsidRPr="00115F14" w:rsidRDefault="00AE2155" w:rsidP="00B644CC">
            <w:pPr>
              <w:pStyle w:val="Oddelek"/>
              <w:numPr>
                <w:ilvl w:val="0"/>
                <w:numId w:val="0"/>
              </w:numPr>
              <w:spacing w:before="0" w:after="0" w:line="288" w:lineRule="auto"/>
              <w:jc w:val="both"/>
              <w:rPr>
                <w:b w:val="0"/>
                <w:bCs/>
                <w:sz w:val="20"/>
                <w:szCs w:val="20"/>
              </w:rPr>
            </w:pPr>
          </w:p>
          <w:p w:rsidR="00AE2155" w:rsidRPr="00115F14" w:rsidRDefault="00AE2155" w:rsidP="00B644CC">
            <w:pPr>
              <w:pStyle w:val="Oddelek"/>
              <w:numPr>
                <w:ilvl w:val="0"/>
                <w:numId w:val="0"/>
              </w:numPr>
              <w:spacing w:before="0" w:after="0" w:line="288" w:lineRule="auto"/>
              <w:jc w:val="both"/>
              <w:rPr>
                <w:b w:val="0"/>
                <w:bCs/>
                <w:sz w:val="20"/>
                <w:szCs w:val="20"/>
              </w:rPr>
            </w:pPr>
            <w:r w:rsidRPr="00115F14">
              <w:rPr>
                <w:b w:val="0"/>
                <w:bCs/>
                <w:sz w:val="20"/>
                <w:szCs w:val="20"/>
              </w:rPr>
              <w:t>Višji državni tožilci so hierarhično nadrejeni državnim tožilcem. Ustanovljeni so bili za zastopanje pred regijskimi pritožbenimi sodišči na Dunaju, v Gra</w:t>
            </w:r>
            <w:r>
              <w:rPr>
                <w:b w:val="0"/>
                <w:bCs/>
                <w:sz w:val="20"/>
                <w:szCs w:val="20"/>
              </w:rPr>
              <w:t>dcu</w:t>
            </w:r>
            <w:r w:rsidRPr="00115F14">
              <w:rPr>
                <w:b w:val="0"/>
                <w:bCs/>
                <w:sz w:val="20"/>
                <w:szCs w:val="20"/>
              </w:rPr>
              <w:t>, Lin</w:t>
            </w:r>
            <w:r>
              <w:rPr>
                <w:b w:val="0"/>
                <w:bCs/>
                <w:sz w:val="20"/>
                <w:szCs w:val="20"/>
              </w:rPr>
              <w:t>z</w:t>
            </w:r>
            <w:r w:rsidRPr="00115F14">
              <w:rPr>
                <w:b w:val="0"/>
                <w:bCs/>
                <w:sz w:val="20"/>
                <w:szCs w:val="20"/>
              </w:rPr>
              <w:t>u in Innsbrucku. Pristojni so za opravljanje nadzora nad državnimi tožilstvi v njihovem okrožju. Poro</w:t>
            </w:r>
            <w:r>
              <w:rPr>
                <w:b w:val="0"/>
                <w:bCs/>
                <w:sz w:val="20"/>
                <w:szCs w:val="20"/>
              </w:rPr>
              <w:t>č</w:t>
            </w:r>
            <w:r w:rsidRPr="00115F14">
              <w:rPr>
                <w:b w:val="0"/>
                <w:bCs/>
                <w:sz w:val="20"/>
                <w:szCs w:val="20"/>
              </w:rPr>
              <w:t>ilo o nadzoru morajo posredovati neposredno Zveznemu ministru za pravosodje. Urad generalnega državnega tožilstva ima poseben položaj. Generalni državni tožilec poroča neposredno Zveznemu ministru za pravosodje, nima pa pooblastila za izdajo navodil višjim državnim tožilcem ali državnim tožilcem.</w:t>
            </w:r>
          </w:p>
          <w:p w:rsidR="00AE2155" w:rsidRPr="00115F14" w:rsidRDefault="00AE2155" w:rsidP="00B644CC">
            <w:pPr>
              <w:pStyle w:val="Oddelek"/>
              <w:numPr>
                <w:ilvl w:val="0"/>
                <w:numId w:val="0"/>
              </w:numPr>
              <w:spacing w:before="0" w:after="0" w:line="288" w:lineRule="auto"/>
              <w:jc w:val="both"/>
              <w:rPr>
                <w:b w:val="0"/>
                <w:bCs/>
                <w:sz w:val="20"/>
                <w:szCs w:val="20"/>
              </w:rPr>
            </w:pPr>
          </w:p>
          <w:p w:rsidR="00AE2155" w:rsidRPr="00115F14" w:rsidRDefault="00AE2155" w:rsidP="00B644CC">
            <w:pPr>
              <w:pStyle w:val="Oddelek"/>
              <w:numPr>
                <w:ilvl w:val="0"/>
                <w:numId w:val="0"/>
              </w:numPr>
              <w:spacing w:before="0" w:after="0" w:line="288" w:lineRule="auto"/>
              <w:jc w:val="both"/>
              <w:rPr>
                <w:b w:val="0"/>
                <w:bCs/>
                <w:sz w:val="20"/>
                <w:szCs w:val="20"/>
              </w:rPr>
            </w:pPr>
            <w:r w:rsidRPr="00115F14">
              <w:rPr>
                <w:b w:val="0"/>
                <w:bCs/>
                <w:sz w:val="20"/>
                <w:szCs w:val="20"/>
              </w:rPr>
              <w:t>Samo sodnik, ki izpolnjuje pogoje za imenovanje v poklicnega sodnika in ima opravljeno minimalno enoletno pripravništvo kot sodnik na sodišču ali kot tožilec je lahko imenovan v državnega tožilca. Prosta mesta za sodnike in državne tožilce so uradno objavljena. Državne tožilce imenuje Zvezni predsednik po predlogu personalnega sveta. Vendar pa je za večino razpisanih državnotožilskih mest pravica do imenovanja pridržana Zveznemu ministru za pravosodje.</w:t>
            </w:r>
          </w:p>
          <w:p w:rsidR="00AE2155" w:rsidRPr="00115F14" w:rsidRDefault="00AE2155" w:rsidP="00B644CC">
            <w:pPr>
              <w:pStyle w:val="Oddelek"/>
              <w:numPr>
                <w:ilvl w:val="0"/>
                <w:numId w:val="0"/>
              </w:numPr>
              <w:spacing w:before="0" w:after="0" w:line="288" w:lineRule="auto"/>
              <w:jc w:val="both"/>
              <w:rPr>
                <w:b w:val="0"/>
                <w:bCs/>
                <w:sz w:val="20"/>
                <w:szCs w:val="20"/>
              </w:rPr>
            </w:pPr>
          </w:p>
          <w:p w:rsidR="00AE2155" w:rsidRPr="00115F14" w:rsidRDefault="00AE2155" w:rsidP="00B644CC">
            <w:pPr>
              <w:pStyle w:val="Oddelek"/>
              <w:numPr>
                <w:ilvl w:val="0"/>
                <w:numId w:val="0"/>
              </w:numPr>
              <w:spacing w:before="0" w:after="0" w:line="288" w:lineRule="auto"/>
              <w:jc w:val="both"/>
              <w:rPr>
                <w:b w:val="0"/>
                <w:bCs/>
                <w:sz w:val="20"/>
                <w:szCs w:val="20"/>
              </w:rPr>
            </w:pPr>
            <w:r w:rsidRPr="00115F14">
              <w:rPr>
                <w:b w:val="0"/>
                <w:bCs/>
                <w:sz w:val="20"/>
                <w:szCs w:val="20"/>
              </w:rPr>
              <w:t>Tudi postopek izbire in imenovanja avstrijskega nacionalnega člana v Eurojustu ali njegovega namestnika, je v pristojnosti Zveznega ministrstva za pravosodje.</w:t>
            </w:r>
            <w:r>
              <w:rPr>
                <w:b w:val="0"/>
                <w:bCs/>
                <w:sz w:val="20"/>
                <w:szCs w:val="20"/>
              </w:rPr>
              <w:t xml:space="preserve"> </w:t>
            </w:r>
            <w:r w:rsidRPr="00115F14">
              <w:rPr>
                <w:b w:val="0"/>
                <w:bCs/>
                <w:sz w:val="20"/>
                <w:szCs w:val="20"/>
              </w:rPr>
              <w:t>Zvezno ministrstvo za pravosodje izbere kandidate po izvedenem internem pozivu. Izbira temelji na naslednjih obligatornih kriterijih:</w:t>
            </w:r>
          </w:p>
          <w:p w:rsidR="00AE2155" w:rsidRPr="00115F14" w:rsidRDefault="00AE2155" w:rsidP="00B644CC">
            <w:pPr>
              <w:pStyle w:val="Oddelek"/>
              <w:numPr>
                <w:ilvl w:val="0"/>
                <w:numId w:val="0"/>
              </w:numPr>
              <w:spacing w:before="0" w:after="0" w:line="288" w:lineRule="auto"/>
              <w:jc w:val="both"/>
              <w:rPr>
                <w:b w:val="0"/>
                <w:bCs/>
                <w:sz w:val="20"/>
                <w:szCs w:val="20"/>
              </w:rPr>
            </w:pPr>
          </w:p>
          <w:p w:rsidR="00AE2155" w:rsidRDefault="00AE2155" w:rsidP="00B644CC">
            <w:pPr>
              <w:pStyle w:val="Oddelek"/>
              <w:numPr>
                <w:ilvl w:val="0"/>
                <w:numId w:val="24"/>
              </w:numPr>
              <w:spacing w:before="0" w:after="0" w:line="288" w:lineRule="auto"/>
              <w:jc w:val="both"/>
              <w:rPr>
                <w:b w:val="0"/>
                <w:bCs/>
                <w:sz w:val="20"/>
                <w:szCs w:val="20"/>
              </w:rPr>
            </w:pPr>
            <w:r w:rsidRPr="00115F14">
              <w:rPr>
                <w:b w:val="0"/>
                <w:bCs/>
                <w:sz w:val="20"/>
                <w:szCs w:val="20"/>
              </w:rPr>
              <w:t>status državnega tožilca ali sodnika,</w:t>
            </w:r>
          </w:p>
          <w:p w:rsidR="00AE2155" w:rsidRPr="00507A34" w:rsidRDefault="00AE2155" w:rsidP="00B644CC">
            <w:pPr>
              <w:pStyle w:val="Oddelek"/>
              <w:numPr>
                <w:ilvl w:val="0"/>
                <w:numId w:val="24"/>
              </w:numPr>
              <w:spacing w:before="0" w:after="0" w:line="288" w:lineRule="auto"/>
              <w:jc w:val="both"/>
              <w:rPr>
                <w:b w:val="0"/>
                <w:bCs/>
                <w:sz w:val="20"/>
                <w:szCs w:val="20"/>
              </w:rPr>
            </w:pPr>
            <w:r w:rsidRPr="00507A34">
              <w:rPr>
                <w:b w:val="0"/>
                <w:bCs/>
                <w:sz w:val="20"/>
                <w:szCs w:val="20"/>
              </w:rPr>
              <w:t>uspešna kariera sodnika ali državnega tožilca pri državnem tožilstvu oz. v Zveznem Ministrstvu</w:t>
            </w:r>
            <w:r w:rsidR="00507A34" w:rsidRPr="00507A34">
              <w:rPr>
                <w:b w:val="0"/>
                <w:bCs/>
                <w:sz w:val="20"/>
                <w:szCs w:val="20"/>
              </w:rPr>
              <w:t xml:space="preserve"> </w:t>
            </w:r>
            <w:r w:rsidRPr="00507A34">
              <w:rPr>
                <w:b w:val="0"/>
                <w:bCs/>
                <w:sz w:val="20"/>
                <w:szCs w:val="20"/>
              </w:rPr>
              <w:t>za pravosodje (po možnosti v Oddelku za mednarodne zadeve),</w:t>
            </w:r>
          </w:p>
          <w:p w:rsidR="00AE2155" w:rsidRPr="00115F14" w:rsidRDefault="00AE2155" w:rsidP="00B644CC">
            <w:pPr>
              <w:pStyle w:val="Oddelek"/>
              <w:numPr>
                <w:ilvl w:val="0"/>
                <w:numId w:val="24"/>
              </w:numPr>
              <w:spacing w:before="0" w:after="0" w:line="288" w:lineRule="auto"/>
              <w:jc w:val="both"/>
              <w:rPr>
                <w:b w:val="0"/>
                <w:bCs/>
                <w:sz w:val="20"/>
                <w:szCs w:val="20"/>
              </w:rPr>
            </w:pPr>
            <w:r w:rsidRPr="00115F14">
              <w:rPr>
                <w:b w:val="0"/>
                <w:bCs/>
                <w:sz w:val="20"/>
                <w:szCs w:val="20"/>
              </w:rPr>
              <w:t>dobro ustno in pisno znanje vsaj enega drugega skupnega uradnega jezika Evropske unije</w:t>
            </w:r>
            <w:r>
              <w:rPr>
                <w:b w:val="0"/>
                <w:bCs/>
                <w:sz w:val="20"/>
                <w:szCs w:val="20"/>
              </w:rPr>
              <w:t xml:space="preserve"> </w:t>
            </w:r>
            <w:r w:rsidRPr="00115F14">
              <w:rPr>
                <w:b w:val="0"/>
                <w:bCs/>
                <w:sz w:val="20"/>
                <w:szCs w:val="20"/>
              </w:rPr>
              <w:t>ali več tujih jezikov,</w:t>
            </w:r>
          </w:p>
          <w:p w:rsidR="00AE2155" w:rsidRPr="00115F14" w:rsidRDefault="00AE2155" w:rsidP="00B644CC">
            <w:pPr>
              <w:pStyle w:val="Oddelek"/>
              <w:numPr>
                <w:ilvl w:val="0"/>
                <w:numId w:val="24"/>
              </w:numPr>
              <w:spacing w:before="0" w:after="0" w:line="288" w:lineRule="auto"/>
              <w:jc w:val="both"/>
              <w:rPr>
                <w:b w:val="0"/>
                <w:bCs/>
                <w:sz w:val="20"/>
                <w:szCs w:val="20"/>
              </w:rPr>
            </w:pPr>
            <w:r w:rsidRPr="00115F14">
              <w:rPr>
                <w:b w:val="0"/>
                <w:bCs/>
                <w:sz w:val="20"/>
                <w:szCs w:val="20"/>
              </w:rPr>
              <w:lastRenderedPageBreak/>
              <w:t>odlično strokovno znanje s področja procesnega in materialnega kazenskega prava (tudi na mednarodni ravni),</w:t>
            </w:r>
          </w:p>
          <w:p w:rsidR="00AE2155" w:rsidRPr="00115F14" w:rsidRDefault="00AE2155" w:rsidP="00B644CC">
            <w:pPr>
              <w:pStyle w:val="Oddelek"/>
              <w:numPr>
                <w:ilvl w:val="0"/>
                <w:numId w:val="24"/>
              </w:numPr>
              <w:spacing w:before="0" w:after="0" w:line="288" w:lineRule="auto"/>
              <w:jc w:val="both"/>
              <w:rPr>
                <w:b w:val="0"/>
                <w:bCs/>
                <w:sz w:val="20"/>
                <w:szCs w:val="20"/>
              </w:rPr>
            </w:pPr>
            <w:r w:rsidRPr="00115F14">
              <w:rPr>
                <w:b w:val="0"/>
                <w:bCs/>
                <w:sz w:val="20"/>
                <w:szCs w:val="20"/>
              </w:rPr>
              <w:t>dobro poznavanje evropskega in mednarodnega prava,</w:t>
            </w:r>
          </w:p>
          <w:p w:rsidR="00AE2155" w:rsidRPr="00115F14" w:rsidRDefault="00AE2155" w:rsidP="00B644CC">
            <w:pPr>
              <w:pStyle w:val="Oddelek"/>
              <w:numPr>
                <w:ilvl w:val="0"/>
                <w:numId w:val="24"/>
              </w:numPr>
              <w:spacing w:before="0" w:after="0" w:line="288" w:lineRule="auto"/>
              <w:jc w:val="both"/>
              <w:rPr>
                <w:b w:val="0"/>
                <w:bCs/>
                <w:sz w:val="20"/>
                <w:szCs w:val="20"/>
              </w:rPr>
            </w:pPr>
            <w:r w:rsidRPr="00115F14">
              <w:rPr>
                <w:b w:val="0"/>
                <w:bCs/>
                <w:sz w:val="20"/>
                <w:szCs w:val="20"/>
              </w:rPr>
              <w:t>poznavanje organizacijske strukture Zveznega Ministrstva za pravosodje</w:t>
            </w:r>
          </w:p>
          <w:p w:rsidR="00AE2155" w:rsidRPr="00115F14" w:rsidRDefault="00AE2155" w:rsidP="00B644CC">
            <w:pPr>
              <w:pStyle w:val="Oddelek"/>
              <w:numPr>
                <w:ilvl w:val="0"/>
                <w:numId w:val="24"/>
              </w:numPr>
              <w:spacing w:before="0" w:after="0" w:line="288" w:lineRule="auto"/>
              <w:jc w:val="both"/>
              <w:rPr>
                <w:b w:val="0"/>
                <w:bCs/>
                <w:sz w:val="20"/>
                <w:szCs w:val="20"/>
              </w:rPr>
            </w:pPr>
            <w:r w:rsidRPr="00115F14">
              <w:rPr>
                <w:b w:val="0"/>
                <w:bCs/>
                <w:sz w:val="20"/>
                <w:szCs w:val="20"/>
              </w:rPr>
              <w:t>sposobnost učinkovitega in ciljno usmerjenega dela, sposobnost obvladovanja velikega obsega dela,</w:t>
            </w:r>
          </w:p>
          <w:p w:rsidR="00AE2155" w:rsidRPr="00115F14" w:rsidRDefault="00AE2155" w:rsidP="00B644CC">
            <w:pPr>
              <w:pStyle w:val="Oddelek"/>
              <w:numPr>
                <w:ilvl w:val="0"/>
                <w:numId w:val="24"/>
              </w:numPr>
              <w:spacing w:before="0" w:after="0" w:line="288" w:lineRule="auto"/>
              <w:jc w:val="both"/>
              <w:rPr>
                <w:b w:val="0"/>
                <w:bCs/>
                <w:sz w:val="20"/>
                <w:szCs w:val="20"/>
              </w:rPr>
            </w:pPr>
            <w:r w:rsidRPr="00115F14">
              <w:rPr>
                <w:b w:val="0"/>
                <w:bCs/>
                <w:sz w:val="20"/>
                <w:szCs w:val="20"/>
              </w:rPr>
              <w:t>nadpovprečne socialne spretnosti, sposobnost dela v skupini, iznajdljivost in diplomatski bonton,</w:t>
            </w:r>
          </w:p>
          <w:p w:rsidR="00AE2155" w:rsidRPr="00115F14" w:rsidRDefault="00AE2155" w:rsidP="00B644CC">
            <w:pPr>
              <w:pStyle w:val="Oddelek"/>
              <w:numPr>
                <w:ilvl w:val="0"/>
                <w:numId w:val="24"/>
              </w:numPr>
              <w:spacing w:before="0" w:after="0" w:line="288" w:lineRule="auto"/>
              <w:jc w:val="both"/>
              <w:rPr>
                <w:b w:val="0"/>
                <w:bCs/>
                <w:sz w:val="20"/>
                <w:szCs w:val="20"/>
              </w:rPr>
            </w:pPr>
            <w:r w:rsidRPr="00115F14">
              <w:rPr>
                <w:b w:val="0"/>
                <w:bCs/>
                <w:sz w:val="20"/>
                <w:szCs w:val="20"/>
              </w:rPr>
              <w:t>prilagodljivost in pripravljenost na pogosta</w:t>
            </w:r>
            <w:r>
              <w:rPr>
                <w:b w:val="0"/>
                <w:bCs/>
                <w:sz w:val="20"/>
                <w:szCs w:val="20"/>
              </w:rPr>
              <w:t xml:space="preserve"> </w:t>
            </w:r>
            <w:r w:rsidRPr="00115F14">
              <w:rPr>
                <w:b w:val="0"/>
                <w:bCs/>
                <w:sz w:val="20"/>
                <w:szCs w:val="20"/>
              </w:rPr>
              <w:t>redna kratkoročna in občasno zelo pogosta poslovna potovanja.</w:t>
            </w:r>
          </w:p>
          <w:p w:rsidR="00AE2155" w:rsidRPr="00115F14" w:rsidRDefault="00AE2155" w:rsidP="00B644CC">
            <w:pPr>
              <w:pStyle w:val="Oddelek"/>
              <w:numPr>
                <w:ilvl w:val="0"/>
                <w:numId w:val="0"/>
              </w:numPr>
              <w:spacing w:before="0" w:after="0" w:line="288" w:lineRule="auto"/>
              <w:jc w:val="both"/>
              <w:rPr>
                <w:b w:val="0"/>
                <w:bCs/>
                <w:sz w:val="20"/>
                <w:szCs w:val="20"/>
                <w:shd w:val="clear" w:color="auto" w:fill="FFFFFF"/>
              </w:rPr>
            </w:pPr>
          </w:p>
          <w:p w:rsidR="00AE2155" w:rsidRPr="00115F14" w:rsidRDefault="00AE2155" w:rsidP="00B644CC">
            <w:pPr>
              <w:pStyle w:val="Oddelek"/>
              <w:numPr>
                <w:ilvl w:val="0"/>
                <w:numId w:val="0"/>
              </w:numPr>
              <w:spacing w:before="0" w:after="0" w:line="288" w:lineRule="auto"/>
              <w:jc w:val="both"/>
              <w:rPr>
                <w:b w:val="0"/>
                <w:bCs/>
                <w:sz w:val="20"/>
                <w:szCs w:val="20"/>
              </w:rPr>
            </w:pPr>
            <w:r w:rsidRPr="00115F14">
              <w:rPr>
                <w:b w:val="0"/>
                <w:bCs/>
                <w:sz w:val="20"/>
                <w:szCs w:val="20"/>
                <w:shd w:val="clear" w:color="auto" w:fill="FFFFFF"/>
              </w:rPr>
              <w:t xml:space="preserve">Na podlagi ugotovitev, ki temeljijo </w:t>
            </w:r>
            <w:r w:rsidRPr="00115F14">
              <w:rPr>
                <w:b w:val="0"/>
                <w:bCs/>
                <w:sz w:val="20"/>
                <w:szCs w:val="20"/>
              </w:rPr>
              <w:t>na razpoložljivi dokumentaciji (personalna mapa, ocene državnotožilske službe, po potrebi tudi poročila o nadzorstvenih pregledih in sami nadzorstveni pregledi ali pripombe vodje oddelka) in razgovoru s kandidati se določi primernost in ustreznost kandidata.</w:t>
            </w:r>
          </w:p>
          <w:p w:rsidR="00AE2155" w:rsidRPr="00115F14" w:rsidRDefault="00AE2155" w:rsidP="00B644CC">
            <w:pPr>
              <w:pStyle w:val="Oddelek"/>
              <w:numPr>
                <w:ilvl w:val="0"/>
                <w:numId w:val="0"/>
              </w:numPr>
              <w:spacing w:before="0" w:after="0" w:line="288" w:lineRule="auto"/>
              <w:jc w:val="both"/>
              <w:rPr>
                <w:b w:val="0"/>
                <w:bCs/>
                <w:sz w:val="20"/>
                <w:szCs w:val="20"/>
              </w:rPr>
            </w:pPr>
          </w:p>
          <w:p w:rsidR="00AE2155" w:rsidRPr="00115F14" w:rsidRDefault="00AE2155" w:rsidP="00B644CC">
            <w:pPr>
              <w:spacing w:line="288" w:lineRule="auto"/>
              <w:jc w:val="both"/>
              <w:rPr>
                <w:rFonts w:cs="Arial"/>
                <w:szCs w:val="20"/>
              </w:rPr>
            </w:pPr>
            <w:r w:rsidRPr="00115F14">
              <w:rPr>
                <w:rFonts w:cs="Arial"/>
                <w:szCs w:val="20"/>
              </w:rPr>
              <w:t>Imenovani nacionalni predstavnik, njegov namestnik in pomočnik so za čas imenovanja v Eurojustu dodeljeni na Zvezno Ministrstvo za pravosodje.</w:t>
            </w:r>
            <w:r w:rsidRPr="00115F14">
              <w:rPr>
                <w:rStyle w:val="Sprotnaopomba-sklic"/>
                <w:szCs w:val="20"/>
              </w:rPr>
              <w:footnoteReference w:id="22"/>
            </w:r>
          </w:p>
          <w:p w:rsidR="00AE2155" w:rsidRPr="00115F14" w:rsidRDefault="00AE2155" w:rsidP="00B644CC">
            <w:pPr>
              <w:pStyle w:val="Oddelek"/>
              <w:numPr>
                <w:ilvl w:val="0"/>
                <w:numId w:val="0"/>
              </w:numPr>
              <w:spacing w:before="0" w:after="0" w:line="288" w:lineRule="auto"/>
              <w:jc w:val="both"/>
              <w:rPr>
                <w:b w:val="0"/>
                <w:bCs/>
                <w:sz w:val="20"/>
                <w:szCs w:val="20"/>
              </w:rPr>
            </w:pPr>
          </w:p>
          <w:p w:rsidR="00AE2155" w:rsidRPr="00115F14" w:rsidRDefault="00AE2155" w:rsidP="00B644CC">
            <w:pPr>
              <w:pStyle w:val="Oddelek"/>
              <w:numPr>
                <w:ilvl w:val="0"/>
                <w:numId w:val="0"/>
              </w:numPr>
              <w:spacing w:before="0" w:after="0" w:line="288" w:lineRule="auto"/>
              <w:jc w:val="both"/>
              <w:rPr>
                <w:bCs/>
                <w:sz w:val="20"/>
                <w:szCs w:val="20"/>
              </w:rPr>
            </w:pPr>
            <w:r w:rsidRPr="00115F14">
              <w:rPr>
                <w:bCs/>
                <w:sz w:val="20"/>
                <w:szCs w:val="20"/>
              </w:rPr>
              <w:t>Hrvaška</w:t>
            </w:r>
          </w:p>
          <w:p w:rsidR="00AE2155" w:rsidRPr="00115F14" w:rsidRDefault="00AE2155" w:rsidP="00B644CC">
            <w:pPr>
              <w:pStyle w:val="Oddelek"/>
              <w:numPr>
                <w:ilvl w:val="0"/>
                <w:numId w:val="0"/>
              </w:numPr>
              <w:spacing w:before="0" w:after="0" w:line="288" w:lineRule="auto"/>
              <w:jc w:val="both"/>
              <w:rPr>
                <w:bCs/>
                <w:sz w:val="20"/>
                <w:szCs w:val="20"/>
              </w:rPr>
            </w:pPr>
          </w:p>
          <w:p w:rsidR="00AE2155" w:rsidRPr="00115F14" w:rsidRDefault="00AE2155" w:rsidP="00B644CC">
            <w:pPr>
              <w:pStyle w:val="Oddelek"/>
              <w:numPr>
                <w:ilvl w:val="0"/>
                <w:numId w:val="0"/>
              </w:numPr>
              <w:spacing w:before="0" w:after="0" w:line="288" w:lineRule="auto"/>
              <w:jc w:val="both"/>
              <w:rPr>
                <w:b w:val="0"/>
                <w:sz w:val="20"/>
                <w:szCs w:val="20"/>
              </w:rPr>
            </w:pPr>
            <w:r w:rsidRPr="00115F14">
              <w:rPr>
                <w:b w:val="0"/>
                <w:sz w:val="20"/>
                <w:szCs w:val="20"/>
              </w:rPr>
              <w:t>Državno tožilstvo je samostojen in neodvisen pravosodni organ, ki je pristojen in dolžen ukrepati zoper storilce kaznivih dejanj in drugih kaznivih ravnanj, opravljati pravna dejanja za zaščito premoženja Republike Hrvaške ter uporabiti pravna sredstva za zaščito ustave in zakonov.</w:t>
            </w:r>
          </w:p>
          <w:p w:rsidR="00AE2155" w:rsidRPr="00115F14" w:rsidRDefault="00AE2155" w:rsidP="00B644CC">
            <w:pPr>
              <w:pStyle w:val="Oddelek"/>
              <w:numPr>
                <w:ilvl w:val="0"/>
                <w:numId w:val="0"/>
              </w:numPr>
              <w:spacing w:before="0" w:after="0" w:line="288" w:lineRule="auto"/>
              <w:jc w:val="both"/>
              <w:rPr>
                <w:sz w:val="20"/>
                <w:szCs w:val="20"/>
              </w:rPr>
            </w:pPr>
          </w:p>
          <w:p w:rsidR="00AE2155" w:rsidRPr="00115F14" w:rsidRDefault="00AE2155" w:rsidP="00B644CC">
            <w:pPr>
              <w:pStyle w:val="Oddelek"/>
              <w:numPr>
                <w:ilvl w:val="0"/>
                <w:numId w:val="0"/>
              </w:numPr>
              <w:spacing w:before="0" w:after="0" w:line="288" w:lineRule="auto"/>
              <w:jc w:val="both"/>
              <w:rPr>
                <w:b w:val="0"/>
                <w:sz w:val="20"/>
                <w:szCs w:val="20"/>
              </w:rPr>
            </w:pPr>
            <w:r w:rsidRPr="00115F14">
              <w:rPr>
                <w:b w:val="0"/>
                <w:sz w:val="20"/>
                <w:szCs w:val="20"/>
              </w:rPr>
              <w:t>Državno tožilstvo izvaja svoje pristojnosti na podlagi ustave, zakonov, mednarodnih pogodb, ki so del hrvaškega pravnega reda, in drugih predpisov, sprejetih v skladu s hrvaško ustavo, mednarodno pogodbo ali zakonom.</w:t>
            </w:r>
            <w:r w:rsidRPr="00115F14">
              <w:rPr>
                <w:rStyle w:val="Sprotnaopomba-sklic"/>
                <w:b w:val="0"/>
                <w:sz w:val="20"/>
                <w:szCs w:val="20"/>
              </w:rPr>
              <w:footnoteReference w:id="23"/>
            </w:r>
          </w:p>
          <w:p w:rsidR="00AE2155" w:rsidRPr="00115F14" w:rsidRDefault="00AE2155" w:rsidP="00B644CC">
            <w:pPr>
              <w:pStyle w:val="Oddelek"/>
              <w:numPr>
                <w:ilvl w:val="0"/>
                <w:numId w:val="0"/>
              </w:numPr>
              <w:spacing w:before="0" w:after="0" w:line="288" w:lineRule="auto"/>
              <w:jc w:val="both"/>
              <w:rPr>
                <w:b w:val="0"/>
                <w:bCs/>
                <w:sz w:val="20"/>
                <w:szCs w:val="20"/>
              </w:rPr>
            </w:pPr>
          </w:p>
          <w:p w:rsidR="00AE2155" w:rsidRPr="00115F14" w:rsidRDefault="00AE2155" w:rsidP="00B644CC">
            <w:pPr>
              <w:pStyle w:val="Oddelek"/>
              <w:numPr>
                <w:ilvl w:val="0"/>
                <w:numId w:val="0"/>
              </w:numPr>
              <w:spacing w:before="0" w:after="0" w:line="288" w:lineRule="auto"/>
              <w:jc w:val="both"/>
              <w:rPr>
                <w:bCs/>
                <w:sz w:val="20"/>
                <w:szCs w:val="20"/>
              </w:rPr>
            </w:pPr>
            <w:r w:rsidRPr="00115F14">
              <w:rPr>
                <w:b w:val="0"/>
                <w:sz w:val="20"/>
                <w:szCs w:val="20"/>
              </w:rPr>
              <w:t>Državno tožilstvo Republike Hrvaške je po Zakonu o državnem tožilstvu vertikalno hierarhično strukturirana organizacija, ki jo vodi glavni državni tožilec Republike Hrvaške.</w:t>
            </w:r>
          </w:p>
          <w:p w:rsidR="00AE2155" w:rsidRPr="00115F14" w:rsidRDefault="00AE2155" w:rsidP="00B644CC">
            <w:pPr>
              <w:pStyle w:val="Oddelek"/>
              <w:numPr>
                <w:ilvl w:val="0"/>
                <w:numId w:val="0"/>
              </w:numPr>
              <w:spacing w:before="0" w:after="0" w:line="288" w:lineRule="auto"/>
              <w:jc w:val="both"/>
              <w:rPr>
                <w:b w:val="0"/>
                <w:sz w:val="20"/>
                <w:szCs w:val="20"/>
              </w:rPr>
            </w:pPr>
          </w:p>
          <w:p w:rsidR="00AE2155" w:rsidRPr="00115F14" w:rsidRDefault="00AE2155" w:rsidP="00B644CC">
            <w:pPr>
              <w:pStyle w:val="Oddelek"/>
              <w:numPr>
                <w:ilvl w:val="0"/>
                <w:numId w:val="0"/>
              </w:numPr>
              <w:spacing w:before="0" w:after="0" w:line="288" w:lineRule="auto"/>
              <w:jc w:val="both"/>
              <w:rPr>
                <w:b w:val="0"/>
                <w:sz w:val="20"/>
                <w:szCs w:val="20"/>
              </w:rPr>
            </w:pPr>
            <w:r w:rsidRPr="00115F14">
              <w:rPr>
                <w:b w:val="0"/>
                <w:sz w:val="20"/>
                <w:szCs w:val="20"/>
              </w:rPr>
              <w:t>Glavni državni tožilec vodi in zastopa državno tožilstvo in je odgovoren za delo celotnega državnega tožilstva. Prav tako opravlja naloge iz pristojnosti državnega tožilstva Republike Hrvaške in vodi državno tožilstvo Republike Hrvaške.</w:t>
            </w:r>
          </w:p>
          <w:p w:rsidR="00AE2155" w:rsidRPr="00115F14" w:rsidRDefault="00AE2155" w:rsidP="00B644CC">
            <w:pPr>
              <w:pStyle w:val="Oddelek"/>
              <w:numPr>
                <w:ilvl w:val="0"/>
                <w:numId w:val="0"/>
              </w:numPr>
              <w:spacing w:before="0" w:after="0" w:line="288" w:lineRule="auto"/>
              <w:jc w:val="both"/>
              <w:rPr>
                <w:b w:val="0"/>
                <w:sz w:val="20"/>
                <w:szCs w:val="20"/>
              </w:rPr>
            </w:pPr>
          </w:p>
          <w:p w:rsidR="00AE2155" w:rsidRPr="00115F14" w:rsidRDefault="00AE2155" w:rsidP="00B644CC">
            <w:pPr>
              <w:pStyle w:val="Oddelek"/>
              <w:numPr>
                <w:ilvl w:val="0"/>
                <w:numId w:val="0"/>
              </w:numPr>
              <w:spacing w:before="0" w:after="0" w:line="288" w:lineRule="auto"/>
              <w:jc w:val="both"/>
              <w:rPr>
                <w:b w:val="0"/>
                <w:sz w:val="20"/>
                <w:szCs w:val="20"/>
              </w:rPr>
            </w:pPr>
            <w:r w:rsidRPr="00115F14">
              <w:rPr>
                <w:b w:val="0"/>
                <w:sz w:val="20"/>
                <w:szCs w:val="20"/>
              </w:rPr>
              <w:t>Glede na strogo hierarhično strukturo državnega tožilstva lahko višji državni tožilec da nižjemu državnemu tožilcu obvezna navodila za delo, kadar je to potrebno za zakonito in enotno opravljanje funkcije, po potrebi pa se lahko ta navodila nanašajo tudi na vodenje posameznih zadev.</w:t>
            </w:r>
          </w:p>
          <w:p w:rsidR="00AE2155" w:rsidRPr="00115F14" w:rsidRDefault="00AE2155" w:rsidP="00B644CC">
            <w:pPr>
              <w:pStyle w:val="HTML-oblikovano"/>
              <w:spacing w:line="288" w:lineRule="auto"/>
              <w:jc w:val="both"/>
              <w:rPr>
                <w:rFonts w:ascii="Arial" w:hAnsi="Arial" w:cs="Arial"/>
              </w:rPr>
            </w:pPr>
          </w:p>
          <w:p w:rsidR="00AE2155" w:rsidRPr="00115F14" w:rsidRDefault="00AE2155" w:rsidP="00B644CC">
            <w:pPr>
              <w:pStyle w:val="HTML-oblikovano"/>
              <w:spacing w:line="288" w:lineRule="auto"/>
              <w:jc w:val="both"/>
              <w:rPr>
                <w:rFonts w:ascii="Arial" w:hAnsi="Arial" w:cs="Arial"/>
              </w:rPr>
            </w:pPr>
            <w:r w:rsidRPr="00115F14">
              <w:rPr>
                <w:rFonts w:ascii="Arial" w:hAnsi="Arial" w:cs="Arial"/>
              </w:rPr>
              <w:t>Višji državni tožilec lahko prevzame izvajanje določenih nalog, za katere je pristojen nižji državni tožilec (avokacija), in lahko v skladu z zakonom pooblasti nižjega državnega tožilca za opravljanje procesnih dejanj v določeni zadevi ali za izvajanje določenih dejanj v zadevi, ki je dodeljena drugemu nižjemu državnemu tožilcu (delegacija).</w:t>
            </w:r>
          </w:p>
          <w:p w:rsidR="00AE2155" w:rsidRPr="00115F14" w:rsidRDefault="00AE2155" w:rsidP="00B644CC">
            <w:pPr>
              <w:pStyle w:val="HTML-oblikovano"/>
              <w:spacing w:line="288" w:lineRule="auto"/>
              <w:jc w:val="both"/>
              <w:rPr>
                <w:rFonts w:ascii="Arial" w:hAnsi="Arial" w:cs="Arial"/>
              </w:rPr>
            </w:pPr>
          </w:p>
          <w:p w:rsidR="00AE2155" w:rsidRPr="00115F14" w:rsidRDefault="00AE2155" w:rsidP="00B644CC">
            <w:pPr>
              <w:pStyle w:val="HTML-oblikovano"/>
              <w:spacing w:line="288" w:lineRule="auto"/>
              <w:jc w:val="both"/>
              <w:rPr>
                <w:rFonts w:ascii="Arial" w:hAnsi="Arial" w:cs="Arial"/>
              </w:rPr>
            </w:pPr>
            <w:r w:rsidRPr="00115F14">
              <w:rPr>
                <w:rFonts w:ascii="Arial" w:hAnsi="Arial" w:cs="Arial"/>
              </w:rPr>
              <w:lastRenderedPageBreak/>
              <w:t>Državni tožilec glede na velikost posameznega državnega tožilstva opravlja</w:t>
            </w:r>
            <w:r>
              <w:rPr>
                <w:rFonts w:ascii="Arial" w:hAnsi="Arial" w:cs="Arial"/>
              </w:rPr>
              <w:t xml:space="preserve"> </w:t>
            </w:r>
            <w:r w:rsidRPr="00115F14">
              <w:rPr>
                <w:rFonts w:ascii="Arial" w:hAnsi="Arial" w:cs="Arial"/>
              </w:rPr>
              <w:t xml:space="preserve">državnotožilsko funkcijo sam ali pa ima enega ali več namestnikov. Namestnik zastopa kazenske obtožbe in je pristojen opravljati vsa procesna dejanja upravičenega državnega tožilca v postopku pred sodiščem ali drugim državnim organom, za katera je po zakonu pristojen državni tožilec. </w:t>
            </w:r>
          </w:p>
          <w:p w:rsidR="00AE2155" w:rsidRPr="00115F14" w:rsidRDefault="00AE2155" w:rsidP="00B644CC">
            <w:pPr>
              <w:pStyle w:val="HTML-oblikovano"/>
              <w:spacing w:line="288" w:lineRule="auto"/>
              <w:jc w:val="both"/>
              <w:rPr>
                <w:rFonts w:ascii="Arial" w:hAnsi="Arial" w:cs="Arial"/>
              </w:rPr>
            </w:pPr>
          </w:p>
          <w:p w:rsidR="00AE2155" w:rsidRPr="00115F14" w:rsidRDefault="00AE2155" w:rsidP="00B644CC">
            <w:pPr>
              <w:pStyle w:val="HTML-oblikovano"/>
              <w:spacing w:line="288" w:lineRule="auto"/>
              <w:jc w:val="both"/>
              <w:rPr>
                <w:rFonts w:ascii="Arial" w:hAnsi="Arial" w:cs="Arial"/>
              </w:rPr>
            </w:pPr>
            <w:r w:rsidRPr="00115F14">
              <w:rPr>
                <w:rFonts w:ascii="Arial" w:hAnsi="Arial" w:cs="Arial"/>
              </w:rPr>
              <w:t xml:space="preserve">Državno tožilstvo Republike Hrvaške sestavlja: </w:t>
            </w:r>
          </w:p>
          <w:p w:rsidR="00AE2155" w:rsidRPr="00115F14" w:rsidRDefault="00AE2155" w:rsidP="00B644CC">
            <w:pPr>
              <w:pStyle w:val="HTML-oblikovano"/>
              <w:spacing w:line="288" w:lineRule="auto"/>
              <w:jc w:val="both"/>
              <w:rPr>
                <w:rFonts w:ascii="Arial" w:hAnsi="Arial" w:cs="Arial"/>
              </w:rPr>
            </w:pPr>
            <w:r w:rsidRPr="00115F14">
              <w:rPr>
                <w:rFonts w:ascii="Arial" w:hAnsi="Arial" w:cs="Arial"/>
              </w:rPr>
              <w:t>- 25 občinskih državnotožilskih pisarn,</w:t>
            </w:r>
          </w:p>
          <w:p w:rsidR="00AE2155" w:rsidRPr="00115F14" w:rsidRDefault="00AE2155" w:rsidP="00B644CC">
            <w:pPr>
              <w:pStyle w:val="HTML-oblikovano"/>
              <w:spacing w:line="288" w:lineRule="auto"/>
              <w:jc w:val="both"/>
              <w:rPr>
                <w:rFonts w:ascii="Arial" w:hAnsi="Arial" w:cs="Arial"/>
              </w:rPr>
            </w:pPr>
            <w:r w:rsidRPr="00115F14">
              <w:rPr>
                <w:rFonts w:ascii="Arial" w:hAnsi="Arial" w:cs="Arial"/>
              </w:rPr>
              <w:t>- 15 okrožnih državnotožilskih pisarn,</w:t>
            </w:r>
          </w:p>
          <w:p w:rsidR="00AE2155" w:rsidRPr="00115F14" w:rsidRDefault="00AE2155" w:rsidP="00B644CC">
            <w:pPr>
              <w:pStyle w:val="HTML-oblikovano"/>
              <w:spacing w:line="288" w:lineRule="auto"/>
              <w:jc w:val="both"/>
              <w:rPr>
                <w:rFonts w:ascii="Arial" w:hAnsi="Arial" w:cs="Arial"/>
              </w:rPr>
            </w:pPr>
            <w:r w:rsidRPr="00115F14">
              <w:rPr>
                <w:rFonts w:ascii="Arial" w:hAnsi="Arial" w:cs="Arial"/>
              </w:rPr>
              <w:t>- Urad za preprečevanje korupcije in organiziranega kriminala in</w:t>
            </w:r>
          </w:p>
          <w:p w:rsidR="00AE2155" w:rsidRPr="00115F14" w:rsidRDefault="00AE2155" w:rsidP="00B644CC">
            <w:pPr>
              <w:pStyle w:val="HTML-oblikovano"/>
              <w:spacing w:line="288" w:lineRule="auto"/>
              <w:jc w:val="both"/>
              <w:rPr>
                <w:rFonts w:ascii="Arial" w:hAnsi="Arial" w:cs="Arial"/>
              </w:rPr>
            </w:pPr>
            <w:r w:rsidRPr="00115F14">
              <w:rPr>
                <w:rFonts w:ascii="Arial" w:hAnsi="Arial" w:cs="Arial"/>
              </w:rPr>
              <w:t>- Državno tožilstvo Republike Hrvaške.</w:t>
            </w:r>
            <w:r w:rsidRPr="00115F14">
              <w:rPr>
                <w:rStyle w:val="Sprotnaopomba-sklic"/>
                <w:rFonts w:ascii="Arial" w:hAnsi="Arial" w:cs="Arial"/>
              </w:rPr>
              <w:footnoteReference w:id="24"/>
            </w:r>
          </w:p>
          <w:p w:rsidR="00AE2155" w:rsidRPr="00115F14" w:rsidRDefault="00AE2155" w:rsidP="00B644CC">
            <w:pPr>
              <w:pStyle w:val="HTML-oblikovano"/>
              <w:spacing w:line="288" w:lineRule="auto"/>
              <w:jc w:val="both"/>
              <w:rPr>
                <w:rFonts w:ascii="Arial" w:hAnsi="Arial" w:cs="Arial"/>
              </w:rPr>
            </w:pPr>
          </w:p>
          <w:p w:rsidR="00AE2155" w:rsidRPr="00115F14" w:rsidRDefault="00AE2155" w:rsidP="00B644CC">
            <w:pPr>
              <w:pStyle w:val="HTML-oblikovano"/>
              <w:spacing w:line="288" w:lineRule="auto"/>
              <w:jc w:val="both"/>
              <w:rPr>
                <w:rFonts w:ascii="Arial" w:hAnsi="Arial" w:cs="Arial"/>
              </w:rPr>
            </w:pPr>
            <w:r w:rsidRPr="00115F14">
              <w:rPr>
                <w:rFonts w:ascii="Arial" w:hAnsi="Arial" w:cs="Arial"/>
              </w:rPr>
              <w:t>Državnotožilski svet je samostojen in neodvisen organ, ki zagotavlja samostojnost in neodvisnost Državnega tožilstva v Republiki Hrvaški.</w:t>
            </w:r>
            <w:r w:rsidRPr="00115F14">
              <w:rPr>
                <w:rStyle w:val="Sprotnaopomba-sklic"/>
                <w:rFonts w:ascii="Arial" w:hAnsi="Arial" w:cs="Arial"/>
              </w:rPr>
              <w:footnoteReference w:id="25"/>
            </w:r>
            <w:r w:rsidRPr="00115F14">
              <w:rPr>
                <w:rFonts w:ascii="Arial" w:hAnsi="Arial" w:cs="Arial"/>
              </w:rPr>
              <w:t xml:space="preserve"> Pristojen je za imenovanje in razrešitev občinskih in okrožnih državnih tožilcev, premestitev namestnikov državnih tožilcev, vodenje postopkov in odločanje o disciplinski odgovornosti namestnikov državnih tožilcev. Sodeluje pri usposabljanju in izpopolnjevanju državnih tožilcev in namestnikov državnih tožilcev, odloča o ugovoru opravljanja nalog, vodi register državnih tožilcev in namestnikov državnih tožilcev, podaja soglasje za opravljanje drugih funkcij ali dela pri opravljanju dolžnosti državnega tožilca</w:t>
            </w:r>
            <w:r>
              <w:rPr>
                <w:rFonts w:ascii="Arial" w:hAnsi="Arial" w:cs="Arial"/>
              </w:rPr>
              <w:t xml:space="preserve"> </w:t>
            </w:r>
            <w:r w:rsidRPr="00115F14">
              <w:rPr>
                <w:rFonts w:ascii="Arial" w:hAnsi="Arial" w:cs="Arial"/>
              </w:rPr>
              <w:t>ter opravlja</w:t>
            </w:r>
            <w:r>
              <w:rPr>
                <w:rFonts w:ascii="Arial" w:hAnsi="Arial" w:cs="Arial"/>
              </w:rPr>
              <w:t xml:space="preserve"> </w:t>
            </w:r>
            <w:r w:rsidRPr="00115F14">
              <w:rPr>
                <w:rFonts w:ascii="Arial" w:hAnsi="Arial" w:cs="Arial"/>
              </w:rPr>
              <w:t>druge naloge v skladu z zakonom.</w:t>
            </w:r>
          </w:p>
          <w:p w:rsidR="00AE2155" w:rsidRPr="00115F14" w:rsidRDefault="00AE2155" w:rsidP="00B644CC">
            <w:pPr>
              <w:pStyle w:val="HTML-oblikovano"/>
              <w:spacing w:line="288" w:lineRule="auto"/>
              <w:jc w:val="both"/>
              <w:rPr>
                <w:rFonts w:ascii="Arial" w:hAnsi="Arial" w:cs="Arial"/>
              </w:rPr>
            </w:pPr>
          </w:p>
          <w:p w:rsidR="00AE2155" w:rsidRPr="00115F14" w:rsidRDefault="00AE2155" w:rsidP="00B644CC">
            <w:pPr>
              <w:pStyle w:val="HTML-oblikovano"/>
              <w:spacing w:line="288" w:lineRule="auto"/>
              <w:jc w:val="both"/>
              <w:rPr>
                <w:rFonts w:ascii="Arial" w:hAnsi="Arial" w:cs="Arial"/>
              </w:rPr>
            </w:pPr>
            <w:r w:rsidRPr="00115F14">
              <w:rPr>
                <w:rFonts w:ascii="Arial" w:hAnsi="Arial" w:cs="Arial"/>
              </w:rPr>
              <w:t>Glavnega državnega tožilca Republike Hrvaške imenuje državni zbor za dobo štirih let na predlog Vlade Republike Hrvaške, po predhodnem mnenju pristojnega odbora državnega zbora in je po poteku mandata lahko enkrat ponovno imenovan.</w:t>
            </w:r>
            <w:r w:rsidRPr="00115F14">
              <w:rPr>
                <w:rStyle w:val="Sprotnaopomba-sklic"/>
                <w:rFonts w:ascii="Arial" w:hAnsi="Arial" w:cs="Arial"/>
              </w:rPr>
              <w:footnoteReference w:id="26"/>
            </w:r>
          </w:p>
          <w:p w:rsidR="00AE2155" w:rsidRPr="00115F14" w:rsidRDefault="00AE2155" w:rsidP="00B644CC">
            <w:pPr>
              <w:pStyle w:val="HTML-oblikovano"/>
              <w:spacing w:line="288" w:lineRule="auto"/>
              <w:jc w:val="both"/>
              <w:rPr>
                <w:rFonts w:ascii="Arial" w:hAnsi="Arial" w:cs="Arial"/>
              </w:rPr>
            </w:pPr>
          </w:p>
          <w:p w:rsidR="00AE2155" w:rsidRPr="00115F14" w:rsidRDefault="00AE2155" w:rsidP="00B644CC">
            <w:pPr>
              <w:pStyle w:val="HTML-oblikovano"/>
              <w:spacing w:line="288" w:lineRule="auto"/>
              <w:jc w:val="both"/>
              <w:rPr>
                <w:rFonts w:ascii="Arial" w:hAnsi="Arial" w:cs="Arial"/>
              </w:rPr>
            </w:pPr>
            <w:r w:rsidRPr="00115F14">
              <w:rPr>
                <w:rFonts w:ascii="Arial" w:hAnsi="Arial" w:cs="Arial"/>
              </w:rPr>
              <w:t>Nacionalnega predstavnika v Eurojustu imenuje na predlog generalnega državnega tožilca minister za pravosodje. Imenovani predstavnik  ima položaj namestnika generalnega državnega tožilca Republike Hrvaške. Imenovan je za obdobje štirih let, z možnostjo ponovnega imenovanja.</w:t>
            </w:r>
          </w:p>
          <w:p w:rsidR="00AE2155" w:rsidRPr="00115F14" w:rsidRDefault="00AE2155" w:rsidP="00B644CC">
            <w:pPr>
              <w:pStyle w:val="Oddelek"/>
              <w:numPr>
                <w:ilvl w:val="0"/>
                <w:numId w:val="0"/>
              </w:numPr>
              <w:spacing w:before="0" w:after="0" w:line="288" w:lineRule="auto"/>
              <w:jc w:val="both"/>
              <w:rPr>
                <w:b w:val="0"/>
                <w:sz w:val="20"/>
                <w:szCs w:val="20"/>
              </w:rPr>
            </w:pPr>
          </w:p>
          <w:p w:rsidR="00AE2155" w:rsidRPr="00115F14" w:rsidRDefault="00AE2155" w:rsidP="00B644CC">
            <w:pPr>
              <w:pStyle w:val="Oddelek"/>
              <w:numPr>
                <w:ilvl w:val="0"/>
                <w:numId w:val="0"/>
              </w:numPr>
              <w:spacing w:before="0" w:after="0" w:line="288" w:lineRule="auto"/>
              <w:jc w:val="both"/>
              <w:rPr>
                <w:b w:val="0"/>
                <w:sz w:val="20"/>
                <w:szCs w:val="20"/>
              </w:rPr>
            </w:pPr>
            <w:r w:rsidRPr="00115F14">
              <w:rPr>
                <w:b w:val="0"/>
                <w:sz w:val="20"/>
                <w:szCs w:val="20"/>
              </w:rPr>
              <w:t>Pomočnik nacionalnega predstavnika v Eurojustu ima položaj namestnika občinskega državnega tožilca ali namestnika okrožnega državnega tožilca. Imenuje ga generalni državni tožilec Republike Hrvaške za obdobje šestih mesecev, z možnostjo ponovnega imenovanja.</w:t>
            </w:r>
          </w:p>
          <w:p w:rsidR="00AE2155" w:rsidRPr="00115F14" w:rsidRDefault="00AE2155" w:rsidP="00B644CC">
            <w:pPr>
              <w:pStyle w:val="Oddelek"/>
              <w:numPr>
                <w:ilvl w:val="0"/>
                <w:numId w:val="0"/>
              </w:numPr>
              <w:spacing w:before="0" w:after="0" w:line="288" w:lineRule="auto"/>
              <w:jc w:val="both"/>
              <w:rPr>
                <w:b w:val="0"/>
                <w:sz w:val="20"/>
                <w:szCs w:val="20"/>
              </w:rPr>
            </w:pPr>
          </w:p>
          <w:p w:rsidR="00AE2155" w:rsidRPr="00115F14" w:rsidRDefault="00AE2155" w:rsidP="00B644CC">
            <w:pPr>
              <w:pStyle w:val="Oddelek"/>
              <w:numPr>
                <w:ilvl w:val="0"/>
                <w:numId w:val="0"/>
              </w:numPr>
              <w:spacing w:before="0" w:after="0" w:line="288" w:lineRule="auto"/>
              <w:jc w:val="both"/>
              <w:rPr>
                <w:b w:val="0"/>
                <w:sz w:val="20"/>
                <w:szCs w:val="20"/>
              </w:rPr>
            </w:pPr>
            <w:r w:rsidRPr="00115F14">
              <w:rPr>
                <w:b w:val="0"/>
                <w:sz w:val="20"/>
                <w:szCs w:val="20"/>
              </w:rPr>
              <w:t>Nacionalnega predstavnika v Eurojustu o svojem delu redno poroča generalnemu državnemu tožilcu Republike Hrvaške.</w:t>
            </w:r>
          </w:p>
          <w:p w:rsidR="00AE2155" w:rsidRPr="00115F14" w:rsidRDefault="00AE2155" w:rsidP="00B644CC">
            <w:pPr>
              <w:pStyle w:val="Oddelek"/>
              <w:numPr>
                <w:ilvl w:val="0"/>
                <w:numId w:val="0"/>
              </w:numPr>
              <w:spacing w:before="0" w:after="0" w:line="288" w:lineRule="auto"/>
              <w:jc w:val="both"/>
              <w:rPr>
                <w:b w:val="0"/>
                <w:sz w:val="20"/>
                <w:szCs w:val="20"/>
              </w:rPr>
            </w:pPr>
          </w:p>
          <w:p w:rsidR="00AE2155" w:rsidRPr="00115F14" w:rsidRDefault="00AE2155" w:rsidP="00B644CC">
            <w:pPr>
              <w:pStyle w:val="Oddelek"/>
              <w:numPr>
                <w:ilvl w:val="0"/>
                <w:numId w:val="0"/>
              </w:numPr>
              <w:spacing w:before="0" w:after="0" w:line="288" w:lineRule="auto"/>
              <w:jc w:val="both"/>
              <w:rPr>
                <w:b w:val="0"/>
                <w:sz w:val="20"/>
                <w:szCs w:val="20"/>
              </w:rPr>
            </w:pPr>
            <w:r w:rsidRPr="00115F14">
              <w:rPr>
                <w:b w:val="0"/>
                <w:sz w:val="20"/>
                <w:szCs w:val="20"/>
              </w:rPr>
              <w:t>Nacionalni član ima za dosego ciljev Eurojusta dostop do podatkov iz kazenskih evidenc ali drugih evidenc v Republiki Hrvaški na enak način, kot jih hrvaška zakonodaja določa za državnega tožilca ali za namestnika državnega tožilca, lahko pa od</w:t>
            </w:r>
            <w:r>
              <w:rPr>
                <w:b w:val="0"/>
                <w:sz w:val="20"/>
                <w:szCs w:val="20"/>
              </w:rPr>
              <w:t xml:space="preserve"> </w:t>
            </w:r>
            <w:r w:rsidRPr="00115F14">
              <w:rPr>
                <w:b w:val="0"/>
                <w:sz w:val="20"/>
                <w:szCs w:val="20"/>
              </w:rPr>
              <w:t>nacionalnih pravosodnih organov v imenu Eurojusta zahteva izvedbo določenih ukrepov ter predložitev podatkov, potrebnih za izvajanje posebnih dokaznih dejanj ali drugih dejanj z namenom kazenskega pregona.</w:t>
            </w:r>
          </w:p>
          <w:p w:rsidR="00AE2155" w:rsidRPr="00115F14" w:rsidRDefault="00AE2155" w:rsidP="00B644CC">
            <w:pPr>
              <w:pStyle w:val="Oddelek"/>
              <w:numPr>
                <w:ilvl w:val="0"/>
                <w:numId w:val="0"/>
              </w:numPr>
              <w:spacing w:before="0" w:after="0" w:line="288" w:lineRule="auto"/>
              <w:jc w:val="both"/>
              <w:rPr>
                <w:b w:val="0"/>
                <w:sz w:val="20"/>
                <w:szCs w:val="20"/>
              </w:rPr>
            </w:pPr>
          </w:p>
          <w:p w:rsidR="00AE2155" w:rsidRPr="00115F14" w:rsidRDefault="00AE2155" w:rsidP="00B644CC">
            <w:pPr>
              <w:pStyle w:val="Oddelek"/>
              <w:numPr>
                <w:ilvl w:val="0"/>
                <w:numId w:val="0"/>
              </w:numPr>
              <w:spacing w:before="0" w:after="0" w:line="288" w:lineRule="auto"/>
              <w:jc w:val="both"/>
              <w:rPr>
                <w:b w:val="0"/>
                <w:sz w:val="20"/>
                <w:szCs w:val="20"/>
              </w:rPr>
            </w:pPr>
            <w:r w:rsidRPr="00115F14">
              <w:rPr>
                <w:b w:val="0"/>
                <w:sz w:val="20"/>
                <w:szCs w:val="20"/>
              </w:rPr>
              <w:t>Imenovani nacionalni predstavnik Republike Hrvaške je vodja oddelka za mednarodno pravno pomoč in mednarodno sodelovanje v Državnem tožilstvu Republike Hrvaške</w:t>
            </w:r>
          </w:p>
          <w:p w:rsidR="00503F6A" w:rsidRDefault="00503F6A" w:rsidP="00B644CC">
            <w:pPr>
              <w:pStyle w:val="Oddelek"/>
              <w:numPr>
                <w:ilvl w:val="0"/>
                <w:numId w:val="0"/>
              </w:numPr>
              <w:spacing w:before="0" w:after="0" w:line="288" w:lineRule="auto"/>
              <w:jc w:val="both"/>
              <w:rPr>
                <w:bCs/>
                <w:sz w:val="20"/>
                <w:szCs w:val="20"/>
              </w:rPr>
            </w:pPr>
          </w:p>
          <w:p w:rsidR="008316DB" w:rsidRDefault="008316DB" w:rsidP="00B644CC">
            <w:pPr>
              <w:pStyle w:val="Oddelek"/>
              <w:numPr>
                <w:ilvl w:val="0"/>
                <w:numId w:val="0"/>
              </w:numPr>
              <w:spacing w:before="0" w:after="0" w:line="288" w:lineRule="auto"/>
              <w:jc w:val="both"/>
              <w:rPr>
                <w:bCs/>
                <w:sz w:val="20"/>
                <w:szCs w:val="20"/>
              </w:rPr>
            </w:pPr>
          </w:p>
          <w:p w:rsidR="008316DB" w:rsidRDefault="008316DB" w:rsidP="00B644CC">
            <w:pPr>
              <w:pStyle w:val="Oddelek"/>
              <w:numPr>
                <w:ilvl w:val="0"/>
                <w:numId w:val="0"/>
              </w:numPr>
              <w:spacing w:before="0" w:after="0" w:line="288" w:lineRule="auto"/>
              <w:jc w:val="both"/>
              <w:rPr>
                <w:bCs/>
                <w:sz w:val="20"/>
                <w:szCs w:val="20"/>
              </w:rPr>
            </w:pPr>
          </w:p>
          <w:p w:rsidR="00AE2155" w:rsidRPr="00115F14" w:rsidRDefault="00AE2155" w:rsidP="00B644CC">
            <w:pPr>
              <w:pStyle w:val="Oddelek"/>
              <w:numPr>
                <w:ilvl w:val="0"/>
                <w:numId w:val="0"/>
              </w:numPr>
              <w:spacing w:before="0" w:after="0" w:line="288" w:lineRule="auto"/>
              <w:jc w:val="both"/>
              <w:rPr>
                <w:bCs/>
                <w:sz w:val="20"/>
                <w:szCs w:val="20"/>
              </w:rPr>
            </w:pPr>
            <w:r w:rsidRPr="00115F14">
              <w:rPr>
                <w:bCs/>
                <w:sz w:val="20"/>
                <w:szCs w:val="20"/>
              </w:rPr>
              <w:lastRenderedPageBreak/>
              <w:t>Malta</w:t>
            </w:r>
          </w:p>
          <w:p w:rsidR="00AE2155" w:rsidRPr="00115F14" w:rsidRDefault="00AE2155" w:rsidP="00B644CC">
            <w:pPr>
              <w:pStyle w:val="Oddelek"/>
              <w:numPr>
                <w:ilvl w:val="0"/>
                <w:numId w:val="0"/>
              </w:numPr>
              <w:spacing w:before="0" w:after="0" w:line="288" w:lineRule="auto"/>
              <w:jc w:val="both"/>
              <w:rPr>
                <w:bCs/>
                <w:sz w:val="20"/>
                <w:szCs w:val="20"/>
              </w:rPr>
            </w:pPr>
          </w:p>
          <w:p w:rsidR="00AE2155" w:rsidRPr="00115F14" w:rsidRDefault="00AE2155" w:rsidP="00B644CC">
            <w:pPr>
              <w:pStyle w:val="Oddelek"/>
              <w:numPr>
                <w:ilvl w:val="0"/>
                <w:numId w:val="0"/>
              </w:numPr>
              <w:spacing w:before="0" w:after="0" w:line="288" w:lineRule="auto"/>
              <w:jc w:val="both"/>
              <w:rPr>
                <w:b w:val="0"/>
                <w:sz w:val="20"/>
                <w:szCs w:val="20"/>
              </w:rPr>
            </w:pPr>
            <w:r w:rsidRPr="00115F14">
              <w:rPr>
                <w:b w:val="0"/>
                <w:sz w:val="20"/>
                <w:szCs w:val="20"/>
              </w:rPr>
              <w:t>Maltešk</w:t>
            </w:r>
            <w:r>
              <w:rPr>
                <w:b w:val="0"/>
                <w:sz w:val="20"/>
                <w:szCs w:val="20"/>
              </w:rPr>
              <w:t>a</w:t>
            </w:r>
            <w:r w:rsidRPr="00115F14">
              <w:rPr>
                <w:b w:val="0"/>
                <w:sz w:val="20"/>
                <w:szCs w:val="20"/>
              </w:rPr>
              <w:t xml:space="preserve"> ustav</w:t>
            </w:r>
            <w:r>
              <w:rPr>
                <w:b w:val="0"/>
                <w:sz w:val="20"/>
                <w:szCs w:val="20"/>
              </w:rPr>
              <w:t>a</w:t>
            </w:r>
            <w:r w:rsidRPr="00115F14">
              <w:rPr>
                <w:b w:val="0"/>
                <w:sz w:val="20"/>
                <w:szCs w:val="20"/>
              </w:rPr>
              <w:t xml:space="preserve"> v 91. členu ureja naloge </w:t>
            </w:r>
            <w:r w:rsidRPr="00115F14">
              <w:rPr>
                <w:rStyle w:val="Krepko"/>
                <w:sz w:val="20"/>
                <w:szCs w:val="20"/>
                <w:bdr w:val="none" w:sz="0" w:space="0" w:color="auto" w:frame="1"/>
              </w:rPr>
              <w:t>generalnega državnega tožilca</w:t>
            </w:r>
            <w:r w:rsidRPr="00115F14">
              <w:rPr>
                <w:b w:val="0"/>
                <w:sz w:val="20"/>
                <w:szCs w:val="20"/>
              </w:rPr>
              <w:t>. Urad generalnega državnega tožilca je ustanovljen kot vladni organ v skladu z Odlokom o generalnem državnem tožilcu. V skladu z ustavo Malte ima generalni državni tožilec enako varen mandat kot sodnik ter izvaja neodvisno presojo v zadevah, povezanih s kazenskim pregonom, in opravlja naloge, ki jih določa kazenski zakonik v zvezi s kazenskim pregonom.</w:t>
            </w:r>
          </w:p>
          <w:p w:rsidR="00AE2155" w:rsidRPr="00115F14" w:rsidRDefault="00AE2155" w:rsidP="00B644CC">
            <w:pPr>
              <w:pStyle w:val="Oddelek"/>
              <w:numPr>
                <w:ilvl w:val="0"/>
                <w:numId w:val="0"/>
              </w:numPr>
              <w:spacing w:before="0" w:after="0" w:line="288" w:lineRule="auto"/>
              <w:jc w:val="both"/>
              <w:rPr>
                <w:b w:val="0"/>
                <w:sz w:val="20"/>
                <w:szCs w:val="20"/>
              </w:rPr>
            </w:pPr>
          </w:p>
          <w:p w:rsidR="00AE2155" w:rsidRPr="00115F14" w:rsidRDefault="00AE2155" w:rsidP="00B644CC">
            <w:pPr>
              <w:pStyle w:val="Oddelek"/>
              <w:numPr>
                <w:ilvl w:val="0"/>
                <w:numId w:val="0"/>
              </w:numPr>
              <w:spacing w:before="0" w:after="0" w:line="288" w:lineRule="auto"/>
              <w:jc w:val="both"/>
              <w:rPr>
                <w:b w:val="0"/>
                <w:bCs/>
                <w:sz w:val="20"/>
                <w:szCs w:val="20"/>
              </w:rPr>
            </w:pPr>
            <w:r w:rsidRPr="00115F14">
              <w:rPr>
                <w:b w:val="0"/>
                <w:sz w:val="20"/>
                <w:szCs w:val="20"/>
              </w:rPr>
              <w:t>Generalnemu državnemu tožilcu pomagajo namestnik generalnega državnega tožilca, pomočnik generalnega državnega tožilca in drugi pravni uslužbenci.</w:t>
            </w:r>
          </w:p>
          <w:p w:rsidR="00AE2155" w:rsidRPr="00115F14" w:rsidRDefault="00AE2155" w:rsidP="00B644CC">
            <w:pPr>
              <w:pStyle w:val="Oddelek"/>
              <w:numPr>
                <w:ilvl w:val="0"/>
                <w:numId w:val="0"/>
              </w:numPr>
              <w:spacing w:before="0" w:after="0" w:line="288" w:lineRule="auto"/>
              <w:jc w:val="both"/>
              <w:rPr>
                <w:b w:val="0"/>
                <w:sz w:val="20"/>
                <w:szCs w:val="20"/>
              </w:rPr>
            </w:pPr>
          </w:p>
          <w:p w:rsidR="00AE2155" w:rsidRPr="00115F14" w:rsidRDefault="00AE2155" w:rsidP="00B644CC">
            <w:pPr>
              <w:pStyle w:val="Oddelek"/>
              <w:numPr>
                <w:ilvl w:val="0"/>
                <w:numId w:val="0"/>
              </w:numPr>
              <w:spacing w:before="0" w:after="0" w:line="288" w:lineRule="auto"/>
              <w:jc w:val="both"/>
              <w:rPr>
                <w:b w:val="0"/>
                <w:sz w:val="20"/>
                <w:szCs w:val="20"/>
              </w:rPr>
            </w:pPr>
            <w:r w:rsidRPr="00115F14">
              <w:rPr>
                <w:b w:val="0"/>
                <w:sz w:val="20"/>
                <w:szCs w:val="20"/>
              </w:rPr>
              <w:t xml:space="preserve">Generalni državni tožilec je glavni tožilec na Malti, ki je pristojen za pregon storilcev kaznivih dejanj in zastopanje kazenske obtožbe. Generalni državni tožilec se po lastni presoji odloča ali bo uvedel, nadaljeval ali prekinil kazenski postopek. Pri svojem delu je popolnoma samostojen in neodvisen. </w:t>
            </w:r>
          </w:p>
          <w:p w:rsidR="00AE2155" w:rsidRPr="00115F14" w:rsidRDefault="00AE2155" w:rsidP="00B644CC">
            <w:pPr>
              <w:pStyle w:val="Oddelek"/>
              <w:numPr>
                <w:ilvl w:val="0"/>
                <w:numId w:val="0"/>
              </w:numPr>
              <w:spacing w:before="0" w:after="0" w:line="288" w:lineRule="auto"/>
              <w:jc w:val="both"/>
              <w:rPr>
                <w:b w:val="0"/>
                <w:sz w:val="20"/>
                <w:szCs w:val="20"/>
              </w:rPr>
            </w:pPr>
          </w:p>
          <w:p w:rsidR="00AE2155" w:rsidRPr="00115F14" w:rsidRDefault="00AE2155" w:rsidP="00B644CC">
            <w:pPr>
              <w:pStyle w:val="Oddelek"/>
              <w:numPr>
                <w:ilvl w:val="0"/>
                <w:numId w:val="0"/>
              </w:numPr>
              <w:spacing w:before="0" w:after="0" w:line="288" w:lineRule="auto"/>
              <w:jc w:val="both"/>
              <w:rPr>
                <w:b w:val="0"/>
                <w:sz w:val="20"/>
                <w:szCs w:val="20"/>
              </w:rPr>
            </w:pPr>
            <w:r w:rsidRPr="00115F14">
              <w:rPr>
                <w:b w:val="0"/>
                <w:sz w:val="20"/>
                <w:szCs w:val="20"/>
              </w:rPr>
              <w:t>Generalni državni tožilec je</w:t>
            </w:r>
            <w:r w:rsidRPr="00115F14">
              <w:rPr>
                <w:sz w:val="20"/>
                <w:szCs w:val="20"/>
              </w:rPr>
              <w:t> </w:t>
            </w:r>
            <w:r w:rsidRPr="00115F14">
              <w:rPr>
                <w:rStyle w:val="Krepko"/>
                <w:sz w:val="20"/>
                <w:szCs w:val="20"/>
                <w:bdr w:val="none" w:sz="0" w:space="0" w:color="auto" w:frame="1"/>
              </w:rPr>
              <w:t>javni tožilec</w:t>
            </w:r>
            <w:r w:rsidRPr="00115F14">
              <w:rPr>
                <w:sz w:val="20"/>
                <w:szCs w:val="20"/>
              </w:rPr>
              <w:t> </w:t>
            </w:r>
            <w:r w:rsidRPr="00115F14">
              <w:rPr>
                <w:b w:val="0"/>
                <w:sz w:val="20"/>
                <w:szCs w:val="20"/>
              </w:rPr>
              <w:t>v postopkih pred </w:t>
            </w:r>
            <w:r w:rsidRPr="00115F14">
              <w:rPr>
                <w:rStyle w:val="Krepko"/>
                <w:sz w:val="20"/>
                <w:szCs w:val="20"/>
                <w:bdr w:val="none" w:sz="0" w:space="0" w:color="auto" w:frame="1"/>
              </w:rPr>
              <w:t>kazenskim sodiščem in kazenskim pritožbenim sodiščem</w:t>
            </w:r>
            <w:r w:rsidRPr="00115F14">
              <w:rPr>
                <w:b w:val="0"/>
                <w:sz w:val="20"/>
                <w:szCs w:val="20"/>
              </w:rPr>
              <w:t>. Nekatere postopke kazenskega pregona, ki jih začne policija, mora predhodno odobriti generalni državni tožilec.</w:t>
            </w:r>
          </w:p>
          <w:p w:rsidR="00AE2155" w:rsidRPr="00115F14" w:rsidRDefault="00AE2155" w:rsidP="00B644CC">
            <w:pPr>
              <w:pStyle w:val="Oddelek"/>
              <w:numPr>
                <w:ilvl w:val="0"/>
                <w:numId w:val="0"/>
              </w:numPr>
              <w:spacing w:before="0" w:after="0" w:line="288" w:lineRule="auto"/>
              <w:jc w:val="both"/>
              <w:rPr>
                <w:b w:val="0"/>
                <w:sz w:val="20"/>
                <w:szCs w:val="20"/>
              </w:rPr>
            </w:pPr>
          </w:p>
          <w:p w:rsidR="00AE2155" w:rsidRPr="00115F14" w:rsidRDefault="00AE2155" w:rsidP="00B644CC">
            <w:pPr>
              <w:pStyle w:val="Oddelek"/>
              <w:numPr>
                <w:ilvl w:val="0"/>
                <w:numId w:val="0"/>
              </w:numPr>
              <w:spacing w:before="0" w:after="0" w:line="288" w:lineRule="auto"/>
              <w:jc w:val="both"/>
              <w:rPr>
                <w:b w:val="0"/>
                <w:sz w:val="20"/>
                <w:szCs w:val="20"/>
              </w:rPr>
            </w:pPr>
            <w:r w:rsidRPr="00115F14">
              <w:rPr>
                <w:b w:val="0"/>
                <w:sz w:val="20"/>
                <w:szCs w:val="20"/>
              </w:rPr>
              <w:t xml:space="preserve">Generalni državni tožilec pri izvajanju pristojnosti za začetek, izvajanje ali ustavitev kazenskih postopkov, ki so mu podeljene </w:t>
            </w:r>
            <w:r>
              <w:rPr>
                <w:b w:val="0"/>
                <w:sz w:val="20"/>
                <w:szCs w:val="20"/>
              </w:rPr>
              <w:t xml:space="preserve">z </w:t>
            </w:r>
            <w:r w:rsidRPr="00115F14">
              <w:rPr>
                <w:b w:val="0"/>
                <w:sz w:val="20"/>
                <w:szCs w:val="20"/>
              </w:rPr>
              <w:t>zakonom, ki določa izvajanje takih pristojnosti, ne prejema navodil oziroma ni pod nadzorom nobene druge osebe ali organa.</w:t>
            </w:r>
          </w:p>
          <w:p w:rsidR="00AE2155" w:rsidRPr="00115F14" w:rsidRDefault="00AE2155" w:rsidP="00B644CC">
            <w:pPr>
              <w:pStyle w:val="Oddelek"/>
              <w:numPr>
                <w:ilvl w:val="0"/>
                <w:numId w:val="0"/>
              </w:numPr>
              <w:spacing w:before="0" w:after="0" w:line="288" w:lineRule="auto"/>
              <w:jc w:val="both"/>
              <w:rPr>
                <w:b w:val="0"/>
                <w:sz w:val="20"/>
                <w:szCs w:val="20"/>
              </w:rPr>
            </w:pPr>
          </w:p>
          <w:p w:rsidR="00AE2155" w:rsidRPr="00115F14" w:rsidRDefault="00AE2155" w:rsidP="00B644CC">
            <w:pPr>
              <w:pStyle w:val="Oddelek"/>
              <w:numPr>
                <w:ilvl w:val="0"/>
                <w:numId w:val="0"/>
              </w:numPr>
              <w:spacing w:before="0" w:after="0" w:line="288" w:lineRule="auto"/>
              <w:jc w:val="both"/>
              <w:rPr>
                <w:b w:val="0"/>
                <w:sz w:val="20"/>
                <w:szCs w:val="20"/>
              </w:rPr>
            </w:pPr>
            <w:r w:rsidRPr="00115F14">
              <w:rPr>
                <w:b w:val="0"/>
                <w:sz w:val="20"/>
                <w:szCs w:val="20"/>
              </w:rPr>
              <w:t>Poleg tega generalni državni tožilec nastopa tudi kot </w:t>
            </w:r>
            <w:r w:rsidRPr="00115F14">
              <w:rPr>
                <w:rStyle w:val="Krepko"/>
                <w:sz w:val="20"/>
                <w:szCs w:val="20"/>
                <w:bdr w:val="none" w:sz="0" w:space="0" w:color="auto" w:frame="1"/>
              </w:rPr>
              <w:t>pravni svetovalec</w:t>
            </w:r>
            <w:r w:rsidRPr="00115F14">
              <w:rPr>
                <w:b w:val="0"/>
                <w:sz w:val="20"/>
                <w:szCs w:val="20"/>
              </w:rPr>
              <w:t> vlade, pravni uslužbenci Urada generalnega državnega tožilca pa </w:t>
            </w:r>
            <w:r w:rsidRPr="00115F14">
              <w:rPr>
                <w:rStyle w:val="Krepko"/>
                <w:sz w:val="20"/>
                <w:szCs w:val="20"/>
                <w:bdr w:val="none" w:sz="0" w:space="0" w:color="auto" w:frame="1"/>
              </w:rPr>
              <w:t>zastopajo vlado</w:t>
            </w:r>
            <w:r w:rsidRPr="00115F14">
              <w:rPr>
                <w:b w:val="0"/>
                <w:sz w:val="20"/>
                <w:szCs w:val="20"/>
              </w:rPr>
              <w:t> pred civilnim in ustavnim sodiščem.</w:t>
            </w:r>
          </w:p>
          <w:p w:rsidR="00AE2155" w:rsidRPr="00115F14" w:rsidRDefault="00AE2155" w:rsidP="00B644CC">
            <w:pPr>
              <w:pStyle w:val="Oddelek"/>
              <w:numPr>
                <w:ilvl w:val="0"/>
                <w:numId w:val="0"/>
              </w:numPr>
              <w:spacing w:before="0" w:after="0" w:line="288" w:lineRule="auto"/>
              <w:jc w:val="both"/>
              <w:rPr>
                <w:b w:val="0"/>
                <w:sz w:val="20"/>
                <w:szCs w:val="20"/>
              </w:rPr>
            </w:pPr>
          </w:p>
          <w:p w:rsidR="00AE2155" w:rsidRPr="00115F14" w:rsidRDefault="00AE2155" w:rsidP="00B644CC">
            <w:pPr>
              <w:pStyle w:val="Oddelek"/>
              <w:numPr>
                <w:ilvl w:val="0"/>
                <w:numId w:val="0"/>
              </w:numPr>
              <w:spacing w:before="0" w:after="0" w:line="288" w:lineRule="auto"/>
              <w:jc w:val="both"/>
              <w:rPr>
                <w:b w:val="0"/>
                <w:sz w:val="20"/>
                <w:szCs w:val="20"/>
              </w:rPr>
            </w:pPr>
            <w:r w:rsidRPr="00115F14">
              <w:rPr>
                <w:b w:val="0"/>
                <w:sz w:val="20"/>
                <w:szCs w:val="20"/>
              </w:rPr>
              <w:t>Urad generalnega državnega tožilca je tudi pristojen v večini zadev, povezanih s </w:t>
            </w:r>
            <w:r w:rsidRPr="00115F14">
              <w:rPr>
                <w:rStyle w:val="Krepko"/>
                <w:sz w:val="20"/>
                <w:szCs w:val="20"/>
                <w:bdr w:val="none" w:sz="0" w:space="0" w:color="auto" w:frame="1"/>
              </w:rPr>
              <w:t>pravnim sodelovanjem</w:t>
            </w:r>
            <w:r w:rsidRPr="00115F14">
              <w:rPr>
                <w:b w:val="0"/>
                <w:sz w:val="20"/>
                <w:szCs w:val="20"/>
              </w:rPr>
              <w:t> na področju civilnega, gospodarskega in kazenskega prava.</w:t>
            </w:r>
          </w:p>
          <w:p w:rsidR="00AE2155" w:rsidRPr="00115F14" w:rsidRDefault="00AE2155" w:rsidP="00B644CC">
            <w:pPr>
              <w:pStyle w:val="Oddelek"/>
              <w:numPr>
                <w:ilvl w:val="0"/>
                <w:numId w:val="0"/>
              </w:numPr>
              <w:spacing w:before="0" w:after="0" w:line="288" w:lineRule="auto"/>
              <w:jc w:val="both"/>
              <w:rPr>
                <w:b w:val="0"/>
                <w:sz w:val="20"/>
                <w:szCs w:val="20"/>
              </w:rPr>
            </w:pPr>
          </w:p>
          <w:p w:rsidR="00AE2155" w:rsidRPr="00115F14" w:rsidRDefault="00AE2155" w:rsidP="00B644CC">
            <w:pPr>
              <w:pStyle w:val="Oddelek"/>
              <w:numPr>
                <w:ilvl w:val="0"/>
                <w:numId w:val="0"/>
              </w:numPr>
              <w:spacing w:before="0" w:after="0" w:line="288" w:lineRule="auto"/>
              <w:jc w:val="both"/>
              <w:rPr>
                <w:b w:val="0"/>
                <w:sz w:val="20"/>
                <w:szCs w:val="20"/>
              </w:rPr>
            </w:pPr>
            <w:r w:rsidRPr="00115F14">
              <w:rPr>
                <w:b w:val="0"/>
                <w:sz w:val="20"/>
                <w:szCs w:val="20"/>
              </w:rPr>
              <w:t>Urad generalnega državnega tožilca </w:t>
            </w:r>
            <w:r w:rsidRPr="00115F14">
              <w:rPr>
                <w:rStyle w:val="Krepko"/>
                <w:sz w:val="20"/>
                <w:szCs w:val="20"/>
                <w:bdr w:val="none" w:sz="0" w:space="0" w:color="auto" w:frame="1"/>
              </w:rPr>
              <w:t>zastopa Republiko Malto</w:t>
            </w:r>
            <w:r w:rsidRPr="00115F14">
              <w:rPr>
                <w:b w:val="0"/>
                <w:sz w:val="20"/>
                <w:szCs w:val="20"/>
              </w:rPr>
              <w:t> pred mednarodnimi sodišči ter vlado Malte na mednarodnih srečanjih na področju pravnega in pravosodnega sodelovanja.</w:t>
            </w:r>
          </w:p>
          <w:p w:rsidR="00AE2155" w:rsidRPr="00115F14" w:rsidRDefault="00AE2155" w:rsidP="00B644CC">
            <w:pPr>
              <w:pStyle w:val="Oddelek"/>
              <w:numPr>
                <w:ilvl w:val="0"/>
                <w:numId w:val="0"/>
              </w:numPr>
              <w:spacing w:before="0" w:after="0" w:line="288" w:lineRule="auto"/>
              <w:jc w:val="both"/>
              <w:rPr>
                <w:b w:val="0"/>
                <w:sz w:val="20"/>
                <w:szCs w:val="20"/>
              </w:rPr>
            </w:pPr>
          </w:p>
          <w:p w:rsidR="00AE2155" w:rsidRPr="00115F14" w:rsidRDefault="00AE2155" w:rsidP="00B644CC">
            <w:pPr>
              <w:pStyle w:val="Oddelek"/>
              <w:numPr>
                <w:ilvl w:val="0"/>
                <w:numId w:val="0"/>
              </w:numPr>
              <w:spacing w:before="0" w:after="0" w:line="288" w:lineRule="auto"/>
              <w:jc w:val="both"/>
              <w:rPr>
                <w:b w:val="0"/>
                <w:sz w:val="20"/>
                <w:szCs w:val="20"/>
              </w:rPr>
            </w:pPr>
            <w:r w:rsidRPr="00115F14">
              <w:rPr>
                <w:b w:val="0"/>
                <w:sz w:val="20"/>
                <w:szCs w:val="20"/>
              </w:rPr>
              <w:t>Prav tako Urad generalnega državnega tožilca </w:t>
            </w:r>
            <w:r w:rsidRPr="00115F14">
              <w:rPr>
                <w:rStyle w:val="Krepko"/>
                <w:sz w:val="20"/>
                <w:szCs w:val="20"/>
                <w:bdr w:val="none" w:sz="0" w:space="0" w:color="auto" w:frame="1"/>
              </w:rPr>
              <w:t>pripravlja zakonodajne predloge</w:t>
            </w:r>
            <w:r w:rsidRPr="00115F14">
              <w:rPr>
                <w:b w:val="0"/>
                <w:sz w:val="20"/>
                <w:szCs w:val="20"/>
              </w:rPr>
              <w:t> in nudi pomoč v postopku njihovega sprejetja v parlamentu.</w:t>
            </w:r>
            <w:r w:rsidRPr="00115F14">
              <w:rPr>
                <w:rStyle w:val="Sprotnaopomba-sklic"/>
                <w:b w:val="0"/>
                <w:sz w:val="20"/>
                <w:szCs w:val="20"/>
              </w:rPr>
              <w:footnoteReference w:id="27"/>
            </w:r>
          </w:p>
          <w:p w:rsidR="00AE2155" w:rsidRPr="00115F14" w:rsidRDefault="00AE2155" w:rsidP="00B644CC">
            <w:pPr>
              <w:pStyle w:val="Oddelek"/>
              <w:numPr>
                <w:ilvl w:val="0"/>
                <w:numId w:val="0"/>
              </w:numPr>
              <w:spacing w:before="0" w:after="0" w:line="288" w:lineRule="auto"/>
              <w:jc w:val="both"/>
              <w:rPr>
                <w:b w:val="0"/>
                <w:sz w:val="20"/>
                <w:szCs w:val="20"/>
              </w:rPr>
            </w:pPr>
          </w:p>
          <w:p w:rsidR="00AE2155" w:rsidRPr="00115F14" w:rsidRDefault="00AE2155" w:rsidP="00B644CC">
            <w:pPr>
              <w:pStyle w:val="Oddelek"/>
              <w:numPr>
                <w:ilvl w:val="0"/>
                <w:numId w:val="0"/>
              </w:numPr>
              <w:spacing w:before="0" w:after="0" w:line="288" w:lineRule="auto"/>
              <w:jc w:val="both"/>
              <w:rPr>
                <w:b w:val="0"/>
                <w:sz w:val="20"/>
                <w:szCs w:val="20"/>
              </w:rPr>
            </w:pPr>
            <w:r w:rsidRPr="00115F14">
              <w:rPr>
                <w:b w:val="0"/>
                <w:sz w:val="20"/>
                <w:szCs w:val="20"/>
              </w:rPr>
              <w:t>Minister za pravosodje imenuje posebno izbirno komisijo, sestavljeno iz zaupanja vrednih strokovnjakov. Komisijo sestavljajo predsednik in dva do štirje člani, ki so pristojni za presojo in oceno ustreznih kvalifikacij prijavljenih kandidatov za imenovanje generalnega državnega tožilca. Poročilo o ustreznosti kandidatov komisija posreduje ministru. Generalnega državnega tožilca imenuje predsednik države po predlogu predsednika vlade. Ima enega namestnika. Generalno državno tožilstvo je državna agencija, v kateri so zaposleni drugi uradniki, ki opravljajo naloge in izvršujejo pristojnosti po pooblastilu generalnega državnega tožilca. Pristojno je tudi za nudenje mednarodne pravne pomoči v kazenskih zadevah. Sodeluje pri pripravi zakonskih in podzakonskih aktov.</w:t>
            </w:r>
            <w:r w:rsidRPr="00115F14">
              <w:rPr>
                <w:rStyle w:val="Sprotnaopomba-sklic"/>
                <w:b w:val="0"/>
                <w:sz w:val="20"/>
                <w:szCs w:val="20"/>
              </w:rPr>
              <w:footnoteReference w:id="28"/>
            </w:r>
          </w:p>
          <w:p w:rsidR="00503F6A" w:rsidRDefault="00503F6A" w:rsidP="00B644CC">
            <w:pPr>
              <w:pStyle w:val="Oddelek"/>
              <w:numPr>
                <w:ilvl w:val="0"/>
                <w:numId w:val="0"/>
              </w:numPr>
              <w:spacing w:before="0" w:after="0" w:line="288" w:lineRule="auto"/>
              <w:jc w:val="both"/>
              <w:rPr>
                <w:b w:val="0"/>
                <w:bCs/>
                <w:sz w:val="20"/>
                <w:szCs w:val="20"/>
              </w:rPr>
            </w:pPr>
          </w:p>
          <w:p w:rsidR="00AE2155" w:rsidRPr="00115F14" w:rsidRDefault="00AE2155" w:rsidP="00B644CC">
            <w:pPr>
              <w:pStyle w:val="Oddelek"/>
              <w:numPr>
                <w:ilvl w:val="0"/>
                <w:numId w:val="0"/>
              </w:numPr>
              <w:spacing w:before="0" w:after="0" w:line="288" w:lineRule="auto"/>
              <w:jc w:val="both"/>
              <w:rPr>
                <w:b w:val="0"/>
                <w:bCs/>
                <w:sz w:val="20"/>
                <w:szCs w:val="20"/>
              </w:rPr>
            </w:pPr>
            <w:r w:rsidRPr="00115F14">
              <w:rPr>
                <w:b w:val="0"/>
                <w:bCs/>
                <w:sz w:val="20"/>
                <w:szCs w:val="20"/>
              </w:rPr>
              <w:lastRenderedPageBreak/>
              <w:t>Nacionalnega predstavnika v Eurojustu in njegovega namestnika imenuje generalni državni tožilec.</w:t>
            </w:r>
          </w:p>
          <w:p w:rsidR="006B4D55" w:rsidRPr="00115F14" w:rsidRDefault="006B4D55" w:rsidP="00B644CC">
            <w:pPr>
              <w:spacing w:line="288" w:lineRule="auto"/>
            </w:pPr>
          </w:p>
          <w:p w:rsidR="00AE2155" w:rsidRPr="00115F14" w:rsidRDefault="00AE2155" w:rsidP="00B644CC">
            <w:pPr>
              <w:pStyle w:val="Oddelek"/>
              <w:numPr>
                <w:ilvl w:val="0"/>
                <w:numId w:val="0"/>
              </w:numPr>
              <w:spacing w:before="0" w:after="0" w:line="288" w:lineRule="auto"/>
              <w:jc w:val="both"/>
              <w:rPr>
                <w:bCs/>
                <w:sz w:val="20"/>
                <w:szCs w:val="20"/>
              </w:rPr>
            </w:pPr>
            <w:r w:rsidRPr="00115F14">
              <w:rPr>
                <w:bCs/>
                <w:sz w:val="20"/>
                <w:szCs w:val="20"/>
              </w:rPr>
              <w:t>Češka</w:t>
            </w:r>
          </w:p>
          <w:p w:rsidR="00AE2155" w:rsidRPr="00115F14" w:rsidRDefault="00AE2155" w:rsidP="00B644CC">
            <w:pPr>
              <w:pStyle w:val="Oddelek"/>
              <w:numPr>
                <w:ilvl w:val="0"/>
                <w:numId w:val="0"/>
              </w:numPr>
              <w:spacing w:before="0" w:after="0" w:line="288" w:lineRule="auto"/>
              <w:jc w:val="both"/>
              <w:rPr>
                <w:sz w:val="20"/>
                <w:szCs w:val="20"/>
                <w:highlight w:val="yellow"/>
              </w:rPr>
            </w:pPr>
          </w:p>
          <w:p w:rsidR="00AE2155" w:rsidRPr="00115F14" w:rsidRDefault="00AE2155" w:rsidP="00B644CC">
            <w:pPr>
              <w:pStyle w:val="Oddelek"/>
              <w:numPr>
                <w:ilvl w:val="0"/>
                <w:numId w:val="0"/>
              </w:numPr>
              <w:spacing w:before="0" w:after="0" w:line="288" w:lineRule="auto"/>
              <w:jc w:val="both"/>
              <w:rPr>
                <w:bCs/>
                <w:sz w:val="20"/>
                <w:szCs w:val="20"/>
              </w:rPr>
            </w:pPr>
            <w:r w:rsidRPr="00115F14">
              <w:rPr>
                <w:b w:val="0"/>
                <w:sz w:val="20"/>
                <w:szCs w:val="20"/>
              </w:rPr>
              <w:t>Sistem javnega tožilstva po Češkem Zakonu o državnem tožilstvu sestavlja:</w:t>
            </w:r>
          </w:p>
          <w:p w:rsidR="00AE2155" w:rsidRPr="00115F14" w:rsidRDefault="00AE2155" w:rsidP="00B644CC">
            <w:pPr>
              <w:pStyle w:val="Oddelek"/>
              <w:numPr>
                <w:ilvl w:val="0"/>
                <w:numId w:val="0"/>
              </w:numPr>
              <w:spacing w:before="0" w:after="0" w:line="288" w:lineRule="auto"/>
              <w:jc w:val="both"/>
              <w:rPr>
                <w:b w:val="0"/>
                <w:sz w:val="20"/>
                <w:szCs w:val="20"/>
              </w:rPr>
            </w:pPr>
            <w:r w:rsidRPr="00115F14">
              <w:rPr>
                <w:b w:val="0"/>
                <w:sz w:val="20"/>
                <w:szCs w:val="20"/>
              </w:rPr>
              <w:t>- Generalno državno tožilstvo,</w:t>
            </w:r>
          </w:p>
          <w:p w:rsidR="00AE2155" w:rsidRPr="00115F14" w:rsidRDefault="00AE2155" w:rsidP="00B644CC">
            <w:pPr>
              <w:pStyle w:val="Oddelek"/>
              <w:numPr>
                <w:ilvl w:val="0"/>
                <w:numId w:val="0"/>
              </w:numPr>
              <w:spacing w:before="0" w:after="0" w:line="288" w:lineRule="auto"/>
              <w:jc w:val="both"/>
              <w:rPr>
                <w:b w:val="0"/>
                <w:sz w:val="20"/>
                <w:szCs w:val="20"/>
              </w:rPr>
            </w:pPr>
            <w:r w:rsidRPr="00115F14">
              <w:rPr>
                <w:b w:val="0"/>
                <w:sz w:val="20"/>
                <w:szCs w:val="20"/>
              </w:rPr>
              <w:t>- Višja državna tožilstva,</w:t>
            </w:r>
          </w:p>
          <w:p w:rsidR="00AE2155" w:rsidRPr="00115F14" w:rsidRDefault="00AE2155" w:rsidP="00B644CC">
            <w:pPr>
              <w:pStyle w:val="Oddelek"/>
              <w:numPr>
                <w:ilvl w:val="0"/>
                <w:numId w:val="0"/>
              </w:numPr>
              <w:spacing w:before="0" w:after="0" w:line="288" w:lineRule="auto"/>
              <w:jc w:val="both"/>
              <w:rPr>
                <w:b w:val="0"/>
                <w:sz w:val="20"/>
                <w:szCs w:val="20"/>
              </w:rPr>
            </w:pPr>
            <w:r w:rsidRPr="00115F14">
              <w:rPr>
                <w:b w:val="0"/>
                <w:sz w:val="20"/>
                <w:szCs w:val="20"/>
              </w:rPr>
              <w:t>- Območna državna tožilstva in</w:t>
            </w:r>
          </w:p>
          <w:p w:rsidR="00AE2155" w:rsidRPr="00115F14" w:rsidRDefault="00AE2155" w:rsidP="00B644CC">
            <w:pPr>
              <w:pStyle w:val="Oddelek"/>
              <w:numPr>
                <w:ilvl w:val="0"/>
                <w:numId w:val="0"/>
              </w:numPr>
              <w:spacing w:before="0" w:after="0" w:line="288" w:lineRule="auto"/>
              <w:jc w:val="both"/>
              <w:rPr>
                <w:b w:val="0"/>
                <w:sz w:val="20"/>
                <w:szCs w:val="20"/>
              </w:rPr>
            </w:pPr>
            <w:r w:rsidRPr="00115F14">
              <w:rPr>
                <w:b w:val="0"/>
                <w:sz w:val="20"/>
                <w:szCs w:val="20"/>
              </w:rPr>
              <w:t>- Okrožna državna tožilstva.</w:t>
            </w:r>
          </w:p>
          <w:p w:rsidR="00AE2155" w:rsidRPr="00115F14" w:rsidRDefault="00AE2155" w:rsidP="00B644CC">
            <w:pPr>
              <w:pStyle w:val="Oddelek"/>
              <w:numPr>
                <w:ilvl w:val="0"/>
                <w:numId w:val="0"/>
              </w:numPr>
              <w:spacing w:before="0" w:after="0" w:line="288" w:lineRule="auto"/>
              <w:jc w:val="both"/>
              <w:rPr>
                <w:b w:val="0"/>
                <w:sz w:val="20"/>
                <w:szCs w:val="20"/>
              </w:rPr>
            </w:pPr>
          </w:p>
          <w:p w:rsidR="00AE2155" w:rsidRPr="00115F14" w:rsidRDefault="00AE2155" w:rsidP="00B644CC">
            <w:pPr>
              <w:pStyle w:val="Oddelek"/>
              <w:numPr>
                <w:ilvl w:val="0"/>
                <w:numId w:val="0"/>
              </w:numPr>
              <w:spacing w:before="0" w:after="0" w:line="288" w:lineRule="auto"/>
              <w:jc w:val="both"/>
              <w:rPr>
                <w:b w:val="0"/>
                <w:sz w:val="20"/>
                <w:szCs w:val="20"/>
              </w:rPr>
            </w:pPr>
            <w:r w:rsidRPr="00115F14">
              <w:rPr>
                <w:b w:val="0"/>
                <w:sz w:val="20"/>
                <w:szCs w:val="20"/>
              </w:rPr>
              <w:t>Državnotožilska služba je sistem državnih uradov, ki zastopajo državo pri zaščiti javnega interesa v tistih zadevah, ki ji določa zakon. Za opravljanje državnega tožilstva je pristojno Ministrstvo za pravosodje. Navedeno pa ne pomeni, da je ministrstvo (ali minister) nadrejeno državnemu tožilstvu ali javnemu tožilcu. Naloga ministrstva je zagotavljati pogoje za delovanje tožilstva in pravilno izvajati svoja pooblastila v zvezi s kadrovskimi, organizacijskimi, gospodarskimi, finančnimi in izobraževalnimi vprašanji. Druga naloga ministrstva je v preverjanju pravilnega izpolnjevanja nalog državnega tožilstva. Imenovanje državnih tožilcev, njihovo zaposlitev in zlasti njihov položaj ter kazenska odgovornost ureja zakon št. 283/1993 Coll.</w:t>
            </w:r>
            <w:r>
              <w:rPr>
                <w:b w:val="0"/>
                <w:sz w:val="20"/>
                <w:szCs w:val="20"/>
              </w:rPr>
              <w:t xml:space="preserve"> </w:t>
            </w:r>
            <w:r w:rsidRPr="00115F14">
              <w:rPr>
                <w:b w:val="0"/>
                <w:sz w:val="20"/>
                <w:szCs w:val="20"/>
              </w:rPr>
              <w:t>Generalni državni tožilec je imenovan s strani Vlade Češke Republike, po predlogu ministra za pravosodje.</w:t>
            </w:r>
            <w:r w:rsidRPr="00115F14">
              <w:rPr>
                <w:rStyle w:val="Sprotnaopomba-sklic"/>
                <w:b w:val="0"/>
                <w:sz w:val="20"/>
                <w:szCs w:val="20"/>
              </w:rPr>
              <w:footnoteReference w:id="29"/>
            </w:r>
          </w:p>
          <w:p w:rsidR="00AE2155" w:rsidRPr="00115F14" w:rsidRDefault="00AE2155" w:rsidP="00B644CC">
            <w:pPr>
              <w:pStyle w:val="Oddelek"/>
              <w:numPr>
                <w:ilvl w:val="0"/>
                <w:numId w:val="0"/>
              </w:numPr>
              <w:spacing w:before="0" w:after="0" w:line="288" w:lineRule="auto"/>
              <w:jc w:val="both"/>
              <w:rPr>
                <w:b w:val="0"/>
                <w:bCs/>
                <w:sz w:val="20"/>
                <w:szCs w:val="20"/>
              </w:rPr>
            </w:pPr>
          </w:p>
          <w:p w:rsidR="00AE2155" w:rsidRPr="00115F14" w:rsidRDefault="00AE2155" w:rsidP="00B644CC">
            <w:pPr>
              <w:pStyle w:val="Oddelek"/>
              <w:numPr>
                <w:ilvl w:val="0"/>
                <w:numId w:val="0"/>
              </w:numPr>
              <w:spacing w:before="0" w:after="0" w:line="288" w:lineRule="auto"/>
              <w:jc w:val="both"/>
              <w:rPr>
                <w:b w:val="0"/>
                <w:bCs/>
                <w:sz w:val="20"/>
                <w:szCs w:val="20"/>
              </w:rPr>
            </w:pPr>
            <w:r w:rsidRPr="00115F14">
              <w:rPr>
                <w:b w:val="0"/>
                <w:bCs/>
                <w:sz w:val="20"/>
                <w:szCs w:val="20"/>
              </w:rPr>
              <w:t>Na podlagi veljavnega Zakona o državnem tožilstvu št. 283/1993 Coll., je ministrstvo za pravosodje izdalo Uredbo št. 23/1994 Coll. o poslovniku državnega tožilstva in ustanavljanju zunanjih oddelkov nekaterih državnih tožilstvih in o nalogah, ki jih izvajajo sodni pripravniki. V pripravljalnih fazah priprave nove zakonodaje so tekle razprave o različnih modelih možne rešitve statusa javne tožilske službe v sistemu državnih organov, vključno z idejo o ustanovitvi tožilstva kot ločenega sistema državnih uradov, ki zastopajo državo v primerih, ki jih določa zakon. Nastali model je državnotožilska služba kot del Ministrstva za pravosodje. V tretjem poglavju ustave je državno tožilstvo opredeljeno kot del izvršilne veje oblasti.</w:t>
            </w:r>
          </w:p>
          <w:p w:rsidR="00AE2155" w:rsidRPr="00115F14" w:rsidRDefault="00AE2155" w:rsidP="00B644CC">
            <w:pPr>
              <w:pStyle w:val="Oddelek"/>
              <w:numPr>
                <w:ilvl w:val="0"/>
                <w:numId w:val="0"/>
              </w:numPr>
              <w:spacing w:before="0" w:after="0" w:line="288" w:lineRule="auto"/>
              <w:jc w:val="both"/>
              <w:rPr>
                <w:b w:val="0"/>
                <w:bCs/>
                <w:sz w:val="20"/>
                <w:szCs w:val="20"/>
              </w:rPr>
            </w:pPr>
          </w:p>
          <w:p w:rsidR="00AE2155" w:rsidRPr="00115F14" w:rsidRDefault="00AE2155" w:rsidP="00B644CC">
            <w:pPr>
              <w:pStyle w:val="Oddelek"/>
              <w:numPr>
                <w:ilvl w:val="0"/>
                <w:numId w:val="0"/>
              </w:numPr>
              <w:spacing w:before="0" w:after="0" w:line="288" w:lineRule="auto"/>
              <w:jc w:val="both"/>
              <w:rPr>
                <w:b w:val="0"/>
                <w:sz w:val="20"/>
                <w:szCs w:val="20"/>
                <w:highlight w:val="yellow"/>
              </w:rPr>
            </w:pPr>
            <w:r w:rsidRPr="00115F14">
              <w:rPr>
                <w:b w:val="0"/>
                <w:bCs/>
                <w:sz w:val="20"/>
                <w:szCs w:val="20"/>
              </w:rPr>
              <w:t>Na podlagi poziva generalnega državnega tožilca, imenuje nacionalnega predstavnika v Eurojustu in njegovega namestnika minister za pravosodje iz vrst državnih tožilcev</w:t>
            </w:r>
            <w:r w:rsidRPr="00115F14">
              <w:rPr>
                <w:sz w:val="20"/>
                <w:szCs w:val="20"/>
              </w:rPr>
              <w:t xml:space="preserve">, </w:t>
            </w:r>
            <w:r w:rsidRPr="00115F14">
              <w:rPr>
                <w:b w:val="0"/>
                <w:bCs/>
                <w:sz w:val="20"/>
                <w:szCs w:val="20"/>
              </w:rPr>
              <w:t>imenovanih za opravljanje funkcije vrhovnega državnega tožilca, katerih strokovno in jezikovno znanje ter izkušnje zagotavljajo jamstvo za ustrezno opravljanje te funkcije.</w:t>
            </w:r>
          </w:p>
          <w:p w:rsidR="00AE2155" w:rsidRPr="00115F14" w:rsidRDefault="00AE2155" w:rsidP="00B644CC">
            <w:pPr>
              <w:spacing w:line="288" w:lineRule="auto"/>
              <w:rPr>
                <w:rFonts w:cs="Arial"/>
                <w:szCs w:val="20"/>
              </w:rPr>
            </w:pPr>
          </w:p>
          <w:p w:rsidR="00AE2155" w:rsidRPr="00115F14" w:rsidRDefault="00AE2155" w:rsidP="00B644CC">
            <w:pPr>
              <w:spacing w:line="288" w:lineRule="auto"/>
              <w:jc w:val="both"/>
              <w:rPr>
                <w:rFonts w:cs="Arial"/>
                <w:szCs w:val="20"/>
              </w:rPr>
            </w:pPr>
            <w:r w:rsidRPr="00115F14">
              <w:rPr>
                <w:rFonts w:cs="Arial"/>
                <w:szCs w:val="20"/>
              </w:rPr>
              <w:t>Namestnik nacionalnega predstavnika izpolnjuje naloge in izvršuje pristojnosti v odsotnosti nacionalnega predstavnika. Deluje v imenu in</w:t>
            </w:r>
            <w:r>
              <w:rPr>
                <w:rFonts w:cs="Arial"/>
                <w:szCs w:val="20"/>
              </w:rPr>
              <w:t xml:space="preserve"> </w:t>
            </w:r>
            <w:r w:rsidRPr="00115F14">
              <w:rPr>
                <w:rFonts w:cs="Arial"/>
                <w:szCs w:val="20"/>
              </w:rPr>
              <w:t>v obsegu pooblastila, ki mu ga je podelil nacionalni</w:t>
            </w:r>
            <w:r>
              <w:rPr>
                <w:rFonts w:cs="Arial"/>
                <w:szCs w:val="20"/>
              </w:rPr>
              <w:t xml:space="preserve"> </w:t>
            </w:r>
            <w:r w:rsidRPr="00115F14">
              <w:rPr>
                <w:rFonts w:cs="Arial"/>
                <w:szCs w:val="20"/>
              </w:rPr>
              <w:t>predstavnik.</w:t>
            </w:r>
          </w:p>
          <w:p w:rsidR="00AE2155" w:rsidRPr="00115F14" w:rsidRDefault="00AE2155" w:rsidP="00B644CC">
            <w:pPr>
              <w:spacing w:line="288" w:lineRule="auto"/>
              <w:jc w:val="both"/>
              <w:rPr>
                <w:rFonts w:cs="Arial"/>
                <w:szCs w:val="20"/>
              </w:rPr>
            </w:pPr>
          </w:p>
          <w:p w:rsidR="00AE2155" w:rsidRPr="00115F14" w:rsidRDefault="00AE2155" w:rsidP="00B644CC">
            <w:pPr>
              <w:spacing w:line="288" w:lineRule="auto"/>
              <w:jc w:val="both"/>
              <w:rPr>
                <w:rFonts w:cs="Arial"/>
                <w:szCs w:val="20"/>
              </w:rPr>
            </w:pPr>
            <w:r w:rsidRPr="00115F14">
              <w:rPr>
                <w:rFonts w:cs="Arial"/>
                <w:szCs w:val="20"/>
              </w:rPr>
              <w:t>Pomočnika nacionalnega predstavnika imenuje na predlog nacionalnega predstavnika minister za pravosodje, iz vrst sodnikov ali sodnih uslužbencev, državnih tožilcev ali drugih uslužbencev državnega tožilstva ali uslužbencev Ministrstva za pravosodje, ki mu strokovna in jezikovna znanja ter izkušnje zagotavljajo dobro opravljanje te funkcije. Imenovan je za obdobje petih let z možnostjo ponovnega imenovanja.</w:t>
            </w:r>
          </w:p>
          <w:p w:rsidR="00AE2155" w:rsidRPr="00115F14" w:rsidRDefault="00AE2155" w:rsidP="00B644CC">
            <w:pPr>
              <w:spacing w:line="288" w:lineRule="auto"/>
              <w:jc w:val="both"/>
              <w:rPr>
                <w:rFonts w:cs="Arial"/>
                <w:szCs w:val="20"/>
              </w:rPr>
            </w:pPr>
          </w:p>
          <w:p w:rsidR="00AE2155" w:rsidRPr="00503F6A" w:rsidRDefault="00AE2155" w:rsidP="00503F6A">
            <w:pPr>
              <w:spacing w:line="288" w:lineRule="auto"/>
              <w:jc w:val="both"/>
              <w:rPr>
                <w:rFonts w:cs="Arial"/>
                <w:szCs w:val="20"/>
              </w:rPr>
            </w:pPr>
            <w:r w:rsidRPr="00115F14">
              <w:rPr>
                <w:rFonts w:cs="Arial"/>
                <w:szCs w:val="20"/>
              </w:rPr>
              <w:t>Imenovani nacionalni predstavnik Republike Češke je državni tožilec mednarodnega oddelka Vrhovnega državnega tožilstva Republike Češke.</w:t>
            </w:r>
          </w:p>
          <w:p w:rsidR="006B4D55" w:rsidRDefault="006B4D55" w:rsidP="00B644CC">
            <w:pPr>
              <w:spacing w:line="288" w:lineRule="auto"/>
              <w:rPr>
                <w:b/>
                <w:bCs/>
              </w:rPr>
            </w:pPr>
          </w:p>
          <w:p w:rsidR="00AE2155" w:rsidRPr="00115F14" w:rsidRDefault="00AE2155" w:rsidP="00B644CC">
            <w:pPr>
              <w:spacing w:line="288" w:lineRule="auto"/>
              <w:rPr>
                <w:b/>
                <w:bCs/>
              </w:rPr>
            </w:pPr>
            <w:r w:rsidRPr="00115F14">
              <w:rPr>
                <w:b/>
                <w:bCs/>
              </w:rPr>
              <w:lastRenderedPageBreak/>
              <w:t>Belgija</w:t>
            </w:r>
          </w:p>
          <w:p w:rsidR="00AE2155" w:rsidRPr="00115F14" w:rsidRDefault="00AE2155" w:rsidP="00B644CC">
            <w:pPr>
              <w:spacing w:line="288" w:lineRule="auto"/>
            </w:pPr>
          </w:p>
          <w:p w:rsidR="00AE2155" w:rsidRPr="00115F14" w:rsidRDefault="00AE2155" w:rsidP="00B644CC">
            <w:pPr>
              <w:spacing w:line="288" w:lineRule="auto"/>
              <w:jc w:val="both"/>
              <w:rPr>
                <w:rFonts w:cs="Arial"/>
                <w:szCs w:val="20"/>
                <w:shd w:val="clear" w:color="auto" w:fill="FFFFFF"/>
              </w:rPr>
            </w:pPr>
            <w:r w:rsidRPr="00115F14">
              <w:rPr>
                <w:rStyle w:val="Krepko"/>
                <w:rFonts w:cs="Arial"/>
                <w:b w:val="0"/>
                <w:szCs w:val="20"/>
                <w:bdr w:val="none" w:sz="0" w:space="0" w:color="auto" w:frame="1"/>
                <w:shd w:val="clear" w:color="auto" w:fill="FFFFFF"/>
              </w:rPr>
              <w:t>Državno tožilstvo</w:t>
            </w:r>
            <w:r w:rsidRPr="00115F14">
              <w:rPr>
                <w:rFonts w:cs="Arial"/>
                <w:szCs w:val="20"/>
                <w:shd w:val="clear" w:color="auto" w:fill="FFFFFF"/>
              </w:rPr>
              <w:t> oziroma javno tožilstvo (</w:t>
            </w:r>
            <w:r w:rsidRPr="00115F14">
              <w:rPr>
                <w:rStyle w:val="Poudarek"/>
                <w:rFonts w:cs="Arial"/>
                <w:szCs w:val="20"/>
                <w:shd w:val="clear" w:color="auto" w:fill="FFFFFF"/>
              </w:rPr>
              <w:t>ministère public/openbaar ministerie</w:t>
            </w:r>
            <w:r w:rsidRPr="00115F14">
              <w:rPr>
                <w:rFonts w:cs="Arial"/>
                <w:szCs w:val="20"/>
                <w:shd w:val="clear" w:color="auto" w:fill="FFFFFF"/>
              </w:rPr>
              <w:t>, znano tudi kot </w:t>
            </w:r>
            <w:r w:rsidRPr="00115F14">
              <w:rPr>
                <w:rStyle w:val="Poudarek"/>
                <w:rFonts w:cs="Arial"/>
                <w:szCs w:val="20"/>
                <w:shd w:val="clear" w:color="auto" w:fill="FFFFFF"/>
              </w:rPr>
              <w:t>parquet/parket</w:t>
            </w:r>
            <w:r w:rsidRPr="00115F14">
              <w:rPr>
                <w:rFonts w:cs="Arial"/>
                <w:szCs w:val="20"/>
                <w:shd w:val="clear" w:color="auto" w:fill="FFFFFF"/>
              </w:rPr>
              <w:t>), ki dejansko začne sodni pregon sestavljajo pravosodni uslužbenci, ki so kvalificirani sodniki (</w:t>
            </w:r>
            <w:r w:rsidRPr="00115F14">
              <w:rPr>
                <w:rStyle w:val="Poudarek"/>
                <w:rFonts w:cs="Arial"/>
                <w:szCs w:val="20"/>
                <w:shd w:val="clear" w:color="auto" w:fill="FFFFFF"/>
              </w:rPr>
              <w:t>magistrats/magistraten</w:t>
            </w:r>
            <w:r w:rsidRPr="00115F14">
              <w:rPr>
                <w:rFonts w:cs="Arial"/>
                <w:szCs w:val="20"/>
                <w:shd w:val="clear" w:color="auto" w:fill="FFFFFF"/>
              </w:rPr>
              <w:t>) in izvajajo svoje naloge v okviru pristojnosti </w:t>
            </w:r>
            <w:r w:rsidRPr="00115F14">
              <w:rPr>
                <w:rStyle w:val="Krepko"/>
                <w:rFonts w:cs="Arial"/>
                <w:b w:val="0"/>
                <w:szCs w:val="20"/>
                <w:bdr w:val="none" w:sz="0" w:space="0" w:color="auto" w:frame="1"/>
                <w:shd w:val="clear" w:color="auto" w:fill="FFFFFF"/>
              </w:rPr>
              <w:t>sodišča</w:t>
            </w:r>
            <w:r w:rsidRPr="00115F14">
              <w:rPr>
                <w:rFonts w:cs="Arial"/>
                <w:szCs w:val="20"/>
                <w:shd w:val="clear" w:color="auto" w:fill="FFFFFF"/>
              </w:rPr>
              <w:t>, ki so mu dodeljeni.</w:t>
            </w:r>
          </w:p>
          <w:p w:rsidR="00AE2155" w:rsidRPr="00115F14" w:rsidRDefault="00AE2155" w:rsidP="00B644CC">
            <w:pPr>
              <w:spacing w:line="288" w:lineRule="auto"/>
              <w:jc w:val="both"/>
            </w:pPr>
          </w:p>
          <w:p w:rsidR="00AE2155" w:rsidRPr="00115F14" w:rsidRDefault="00AE2155" w:rsidP="00B644CC">
            <w:pPr>
              <w:spacing w:line="288" w:lineRule="auto"/>
              <w:jc w:val="both"/>
            </w:pPr>
            <w:r w:rsidRPr="00115F14">
              <w:t xml:space="preserve">V skladu z 153. členom belgijske Ustave državne tožilce imenuje in razrešuje kralj. Imenovanje predlaga minister za pravosodje. Za razliko od sodnikov nimajo trajnega mandata. </w:t>
            </w:r>
          </w:p>
          <w:p w:rsidR="00AE2155" w:rsidRPr="00115F14" w:rsidRDefault="00AE2155" w:rsidP="00B644CC">
            <w:pPr>
              <w:spacing w:line="288" w:lineRule="auto"/>
              <w:jc w:val="both"/>
            </w:pPr>
          </w:p>
          <w:p w:rsidR="00AE2155" w:rsidRPr="00115F14" w:rsidRDefault="00AE2155" w:rsidP="00B644CC">
            <w:pPr>
              <w:spacing w:line="288" w:lineRule="auto"/>
              <w:jc w:val="both"/>
            </w:pPr>
            <w:r w:rsidRPr="00115F14">
              <w:t>V postopku imenovanja sodeluje poseben organ, Vrhovni pravosodni svet (le Conseilsupérieur de la Justice), uveden leta 1999, ki naj bi zagotovil oz. povrnil zaupanje belgijske javnosti v pravosodni sistem. Vrhovni pravosodni svet je pristojen, da predlaga kandidate za državne tožilce in za vodje tožilstev (fonctions de chef de corps). Poleg tega je pristojen za izobraževanje sodnikov in tožilcev.</w:t>
            </w:r>
          </w:p>
          <w:p w:rsidR="00AE2155" w:rsidRPr="00115F14" w:rsidRDefault="00AE2155" w:rsidP="00B644CC">
            <w:pPr>
              <w:spacing w:line="288" w:lineRule="auto"/>
              <w:jc w:val="both"/>
            </w:pPr>
          </w:p>
          <w:p w:rsidR="00AE2155" w:rsidRPr="00115F14" w:rsidRDefault="00AE2155" w:rsidP="00B644CC">
            <w:pPr>
              <w:spacing w:line="288" w:lineRule="auto"/>
              <w:jc w:val="both"/>
            </w:pPr>
            <w:r w:rsidRPr="00115F14">
              <w:t xml:space="preserve">Tožilstva v Belgiji so hierarhično organizirana. Imenujejo se z izrazom ministèrepublic. Na prvem nivoju je 27 kraljevih tožilcev (procureurduroi), pri vsakem sodnem okrožju (judicaldistrict) eden. Pomagajo mu prvi namestniki in namestniki (premierssubstituts et substituts). Delujejo pred sodišči prve stopnje (tribunal de première instance), policijskim sodiščem (tribunal de police) in gospodarskim sodiščem (tribunal decommerce). </w:t>
            </w:r>
          </w:p>
          <w:p w:rsidR="00AE2155" w:rsidRPr="00115F14" w:rsidRDefault="00AE2155" w:rsidP="00B644CC">
            <w:pPr>
              <w:spacing w:line="288" w:lineRule="auto"/>
              <w:jc w:val="both"/>
              <w:rPr>
                <w:szCs w:val="20"/>
              </w:rPr>
            </w:pPr>
          </w:p>
          <w:p w:rsidR="00AE2155" w:rsidRPr="00115F14" w:rsidRDefault="00AE2155" w:rsidP="00B644CC">
            <w:pPr>
              <w:spacing w:line="288" w:lineRule="auto"/>
              <w:jc w:val="both"/>
              <w:rPr>
                <w:rFonts w:cs="Arial"/>
                <w:szCs w:val="20"/>
                <w:shd w:val="clear" w:color="auto" w:fill="FFFFFF"/>
              </w:rPr>
            </w:pPr>
            <w:r w:rsidRPr="00115F14">
              <w:rPr>
                <w:rFonts w:cs="Arial"/>
                <w:szCs w:val="20"/>
                <w:shd w:val="clear" w:color="auto" w:fill="FFFFFF"/>
              </w:rPr>
              <w:t>V </w:t>
            </w:r>
            <w:r w:rsidRPr="00115F14">
              <w:rPr>
                <w:rStyle w:val="Krepko"/>
                <w:rFonts w:cs="Arial"/>
                <w:b w:val="0"/>
                <w:szCs w:val="20"/>
                <w:bdr w:val="none" w:sz="0" w:space="0" w:color="auto" w:frame="1"/>
                <w:shd w:val="clear" w:color="auto" w:fill="FFFFFF"/>
              </w:rPr>
              <w:t>sodnem okrožju</w:t>
            </w:r>
            <w:r w:rsidRPr="00115F14">
              <w:rPr>
                <w:rStyle w:val="Krepko"/>
                <w:rFonts w:cs="Arial"/>
                <w:szCs w:val="20"/>
                <w:bdr w:val="none" w:sz="0" w:space="0" w:color="auto" w:frame="1"/>
                <w:shd w:val="clear" w:color="auto" w:fill="FFFFFF"/>
              </w:rPr>
              <w:t> </w:t>
            </w:r>
            <w:r w:rsidRPr="00115F14">
              <w:rPr>
                <w:rFonts w:cs="Arial"/>
                <w:szCs w:val="20"/>
                <w:shd w:val="clear" w:color="auto" w:fill="FFFFFF"/>
              </w:rPr>
              <w:t>(</w:t>
            </w:r>
            <w:r w:rsidRPr="00115F14">
              <w:rPr>
                <w:rStyle w:val="Poudarek"/>
                <w:rFonts w:cs="Arial"/>
                <w:szCs w:val="20"/>
                <w:shd w:val="clear" w:color="auto" w:fill="FFFFFF"/>
              </w:rPr>
              <w:t>arrondissement judiciare/gerechtelijk arrondissement</w:t>
            </w:r>
            <w:r w:rsidRPr="00115F14">
              <w:rPr>
                <w:rFonts w:cs="Arial"/>
                <w:szCs w:val="20"/>
                <w:shd w:val="clear" w:color="auto" w:fill="FFFFFF"/>
              </w:rPr>
              <w:t>) so uradniki, ki zastopajo državno tožilstvo na sodišču prve stopnje (</w:t>
            </w:r>
            <w:r w:rsidRPr="00115F14">
              <w:rPr>
                <w:rStyle w:val="Poudarek"/>
                <w:rFonts w:cs="Arial"/>
                <w:szCs w:val="20"/>
                <w:shd w:val="clear" w:color="auto" w:fill="FFFFFF"/>
              </w:rPr>
              <w:t>tribunal de première instance/rechtbank van eerste aanleg</w:t>
            </w:r>
            <w:r w:rsidRPr="00115F14">
              <w:rPr>
                <w:rFonts w:cs="Arial"/>
                <w:szCs w:val="20"/>
                <w:shd w:val="clear" w:color="auto" w:fill="FFFFFF"/>
              </w:rPr>
              <w:t>) in zlasti na sodišču za mladoletnike (</w:t>
            </w:r>
            <w:r w:rsidRPr="00115F14">
              <w:rPr>
                <w:rStyle w:val="Poudarek"/>
                <w:rFonts w:cs="Arial"/>
                <w:szCs w:val="20"/>
                <w:shd w:val="clear" w:color="auto" w:fill="FFFFFF"/>
              </w:rPr>
              <w:t>tribunal de la jeunesse/jeugdrechtbank</w:t>
            </w:r>
            <w:r w:rsidRPr="00115F14">
              <w:rPr>
                <w:rFonts w:cs="Arial"/>
                <w:szCs w:val="20"/>
                <w:shd w:val="clear" w:color="auto" w:fill="FFFFFF"/>
              </w:rPr>
              <w:t>), ki je eden od oddelkov sodišča prve stopnje, </w:t>
            </w:r>
            <w:r w:rsidRPr="00115F14">
              <w:rPr>
                <w:rStyle w:val="Krepko"/>
                <w:rFonts w:cs="Arial"/>
                <w:b w:val="0"/>
                <w:szCs w:val="20"/>
                <w:bdr w:val="none" w:sz="0" w:space="0" w:color="auto" w:frame="1"/>
                <w:shd w:val="clear" w:color="auto" w:fill="FFFFFF"/>
              </w:rPr>
              <w:t>državni tožilec</w:t>
            </w:r>
            <w:r w:rsidRPr="00115F14">
              <w:rPr>
                <w:rFonts w:cs="Arial"/>
                <w:szCs w:val="20"/>
                <w:shd w:val="clear" w:color="auto" w:fill="FFFFFF"/>
              </w:rPr>
              <w:t> (</w:t>
            </w:r>
            <w:r w:rsidRPr="00115F14">
              <w:rPr>
                <w:rStyle w:val="Poudarek"/>
                <w:rFonts w:cs="Arial"/>
                <w:szCs w:val="20"/>
                <w:shd w:val="clear" w:color="auto" w:fill="FFFFFF"/>
              </w:rPr>
              <w:t>procureur du Roi/procureur des Konings</w:t>
            </w:r>
            <w:r w:rsidRPr="00115F14">
              <w:rPr>
                <w:rFonts w:cs="Arial"/>
                <w:szCs w:val="20"/>
                <w:shd w:val="clear" w:color="auto" w:fill="FFFFFF"/>
              </w:rPr>
              <w:t>), prvi namestnik državnega tožilca (</w:t>
            </w:r>
            <w:r w:rsidRPr="00115F14">
              <w:rPr>
                <w:rStyle w:val="Poudarek"/>
                <w:rFonts w:cs="Arial"/>
                <w:szCs w:val="20"/>
                <w:shd w:val="clear" w:color="auto" w:fill="FFFFFF"/>
              </w:rPr>
              <w:t>premiers substituts/eerste substituten</w:t>
            </w:r>
            <w:r w:rsidRPr="00115F14">
              <w:rPr>
                <w:rFonts w:cs="Arial"/>
                <w:szCs w:val="20"/>
                <w:shd w:val="clear" w:color="auto" w:fill="FFFFFF"/>
              </w:rPr>
              <w:t>) in namestnik državnega tožilca (</w:t>
            </w:r>
            <w:r w:rsidRPr="00115F14">
              <w:rPr>
                <w:rStyle w:val="Poudarek"/>
                <w:rFonts w:cs="Arial"/>
                <w:szCs w:val="20"/>
                <w:shd w:val="clear" w:color="auto" w:fill="FFFFFF"/>
              </w:rPr>
              <w:t>substituts/subsituten</w:t>
            </w:r>
            <w:r w:rsidRPr="00115F14">
              <w:rPr>
                <w:rFonts w:cs="Arial"/>
                <w:szCs w:val="20"/>
                <w:shd w:val="clear" w:color="auto" w:fill="FFFFFF"/>
              </w:rPr>
              <w:t>). Enako nastopajo tudi pred sodiščem ali sodišči za prekrške (</w:t>
            </w:r>
            <w:r w:rsidRPr="00115F14">
              <w:rPr>
                <w:rStyle w:val="Poudarek"/>
                <w:rFonts w:cs="Arial"/>
                <w:szCs w:val="20"/>
                <w:shd w:val="clear" w:color="auto" w:fill="FFFFFF"/>
              </w:rPr>
              <w:t>tribunal de police/politierechtbank</w:t>
            </w:r>
            <w:r w:rsidRPr="00115F14">
              <w:rPr>
                <w:rFonts w:cs="Arial"/>
                <w:szCs w:val="20"/>
                <w:shd w:val="clear" w:color="auto" w:fill="FFFFFF"/>
              </w:rPr>
              <w:t>) ter gospodarskim sodiščem (</w:t>
            </w:r>
            <w:r w:rsidRPr="00115F14">
              <w:rPr>
                <w:rStyle w:val="Poudarek"/>
                <w:rFonts w:cs="Arial"/>
                <w:szCs w:val="20"/>
                <w:shd w:val="clear" w:color="auto" w:fill="FFFFFF"/>
              </w:rPr>
              <w:t>tribunal de commerce/handelsrechtbank</w:t>
            </w:r>
            <w:r w:rsidRPr="00115F14">
              <w:rPr>
                <w:rFonts w:cs="Arial"/>
                <w:szCs w:val="20"/>
                <w:shd w:val="clear" w:color="auto" w:fill="FFFFFF"/>
              </w:rPr>
              <w:t xml:space="preserve">) v okviru svojega delovnega področja. </w:t>
            </w:r>
          </w:p>
          <w:p w:rsidR="00AE2155" w:rsidRPr="00115F14" w:rsidRDefault="00AE2155" w:rsidP="00B644CC">
            <w:pPr>
              <w:spacing w:line="288" w:lineRule="auto"/>
              <w:jc w:val="both"/>
              <w:rPr>
                <w:rFonts w:cs="Arial"/>
                <w:szCs w:val="20"/>
                <w:shd w:val="clear" w:color="auto" w:fill="FFFFFF"/>
              </w:rPr>
            </w:pPr>
          </w:p>
          <w:p w:rsidR="00AE2155" w:rsidRPr="00115F14" w:rsidRDefault="00AE2155" w:rsidP="00B644CC">
            <w:pPr>
              <w:spacing w:line="288" w:lineRule="auto"/>
              <w:jc w:val="both"/>
              <w:rPr>
                <w:rFonts w:cs="Arial"/>
                <w:szCs w:val="20"/>
              </w:rPr>
            </w:pPr>
            <w:r w:rsidRPr="00115F14">
              <w:rPr>
                <w:rStyle w:val="Krepko"/>
                <w:rFonts w:cs="Arial"/>
                <w:b w:val="0"/>
                <w:szCs w:val="20"/>
                <w:bdr w:val="none" w:sz="0" w:space="0" w:color="auto" w:frame="1"/>
              </w:rPr>
              <w:t>Na ravni pritožbenih</w:t>
            </w:r>
            <w:r w:rsidRPr="00115F14">
              <w:rPr>
                <w:rStyle w:val="Krepko"/>
                <w:rFonts w:cs="Arial"/>
                <w:szCs w:val="20"/>
                <w:bdr w:val="none" w:sz="0" w:space="0" w:color="auto" w:frame="1"/>
              </w:rPr>
              <w:t> </w:t>
            </w:r>
            <w:r w:rsidRPr="00115F14">
              <w:rPr>
                <w:rFonts w:cs="Arial"/>
                <w:szCs w:val="20"/>
              </w:rPr>
              <w:t>(</w:t>
            </w:r>
            <w:r w:rsidRPr="00115F14">
              <w:rPr>
                <w:rStyle w:val="Poudarek"/>
                <w:rFonts w:cs="Arial"/>
                <w:szCs w:val="20"/>
              </w:rPr>
              <w:t>cour d’appel/hof van beroep</w:t>
            </w:r>
            <w:r w:rsidRPr="00115F14">
              <w:rPr>
                <w:rFonts w:cs="Arial"/>
                <w:szCs w:val="20"/>
              </w:rPr>
              <w:t>) in</w:t>
            </w:r>
            <w:r w:rsidRPr="00115F14">
              <w:rPr>
                <w:rStyle w:val="Krepko"/>
                <w:rFonts w:cs="Arial"/>
                <w:szCs w:val="20"/>
                <w:bdr w:val="none" w:sz="0" w:space="0" w:color="auto" w:frame="1"/>
              </w:rPr>
              <w:t> </w:t>
            </w:r>
            <w:r w:rsidRPr="00115F14">
              <w:rPr>
                <w:rStyle w:val="Krepko"/>
                <w:rFonts w:cs="Arial"/>
                <w:b w:val="0"/>
                <w:szCs w:val="20"/>
                <w:bdr w:val="none" w:sz="0" w:space="0" w:color="auto" w:frame="1"/>
              </w:rPr>
              <w:t>delovnih sodišč</w:t>
            </w:r>
            <w:r w:rsidRPr="00115F14">
              <w:rPr>
                <w:rFonts w:cs="Arial"/>
                <w:szCs w:val="20"/>
              </w:rPr>
              <w:t> (</w:t>
            </w:r>
            <w:r w:rsidRPr="00115F14">
              <w:rPr>
                <w:rStyle w:val="Poudarek"/>
                <w:rFonts w:cs="Arial"/>
                <w:szCs w:val="20"/>
              </w:rPr>
              <w:t>cour du travail/arbeidshof</w:t>
            </w:r>
            <w:r w:rsidRPr="00115F14">
              <w:rPr>
                <w:rFonts w:cs="Arial"/>
                <w:szCs w:val="20"/>
              </w:rPr>
              <w:t>) to funkcijo izvaja </w:t>
            </w:r>
            <w:r w:rsidRPr="00115F14">
              <w:rPr>
                <w:rStyle w:val="Krepko"/>
                <w:rFonts w:cs="Arial"/>
                <w:b w:val="0"/>
                <w:szCs w:val="20"/>
                <w:bdr w:val="none" w:sz="0" w:space="0" w:color="auto" w:frame="1"/>
              </w:rPr>
              <w:t>generalni državni tožilec</w:t>
            </w:r>
            <w:r w:rsidRPr="00115F14">
              <w:rPr>
                <w:rFonts w:cs="Arial"/>
                <w:szCs w:val="20"/>
              </w:rPr>
              <w:t> (</w:t>
            </w:r>
            <w:r w:rsidRPr="00115F14">
              <w:rPr>
                <w:rStyle w:val="Poudarek"/>
                <w:rFonts w:cs="Arial"/>
                <w:szCs w:val="20"/>
              </w:rPr>
              <w:t>procureur-général/procureur-generaal</w:t>
            </w:r>
            <w:r w:rsidRPr="00115F14">
              <w:rPr>
                <w:rFonts w:cs="Arial"/>
                <w:szCs w:val="20"/>
              </w:rPr>
              <w:t>), ki vodi in nadzira pravosodne uslužbence generalnega državnega tožilstva na pritožbenem sodišču (</w:t>
            </w:r>
            <w:r w:rsidRPr="00115F14">
              <w:rPr>
                <w:rStyle w:val="Poudarek"/>
                <w:rFonts w:cs="Arial"/>
                <w:szCs w:val="20"/>
              </w:rPr>
              <w:t>parquet général/parket-generaaal</w:t>
            </w:r>
            <w:r w:rsidRPr="00115F14">
              <w:rPr>
                <w:rFonts w:cs="Arial"/>
                <w:szCs w:val="20"/>
              </w:rPr>
              <w:t>) ter ustreznega organa na delovnem sodišču (</w:t>
            </w:r>
            <w:r w:rsidRPr="00115F14">
              <w:rPr>
                <w:rStyle w:val="Poudarek"/>
                <w:rFonts w:cs="Arial"/>
                <w:szCs w:val="20"/>
              </w:rPr>
              <w:t>auditorat général/arbeidsauditoraat-generaal</w:t>
            </w:r>
            <w:r w:rsidRPr="00115F14">
              <w:rPr>
                <w:rFonts w:cs="Arial"/>
                <w:szCs w:val="20"/>
              </w:rPr>
              <w:t>). Na pritožbenem sodišču generalnemu državnemu tožilcu pomagajo prvi generalni pravobranilec (</w:t>
            </w:r>
            <w:r w:rsidRPr="00115F14">
              <w:rPr>
                <w:rStyle w:val="Poudarek"/>
                <w:rFonts w:cs="Arial"/>
                <w:szCs w:val="20"/>
              </w:rPr>
              <w:t>premier avocat-général/eerste advocaat-generaal</w:t>
            </w:r>
            <w:r w:rsidRPr="00115F14">
              <w:rPr>
                <w:rFonts w:cs="Arial"/>
                <w:szCs w:val="20"/>
              </w:rPr>
              <w:t>), generalni pravobranilci (</w:t>
            </w:r>
            <w:r w:rsidRPr="00115F14">
              <w:rPr>
                <w:rStyle w:val="Poudarek"/>
                <w:rFonts w:cs="Arial"/>
                <w:szCs w:val="20"/>
              </w:rPr>
              <w:t>avocats-généraux/advocaten-generaal</w:t>
            </w:r>
            <w:r w:rsidRPr="00115F14">
              <w:rPr>
                <w:rFonts w:cs="Arial"/>
                <w:szCs w:val="20"/>
              </w:rPr>
              <w:t>) in namestniki generalnega državnega tožilca (</w:t>
            </w:r>
            <w:r w:rsidRPr="00115F14">
              <w:rPr>
                <w:rStyle w:val="Poudarek"/>
                <w:rFonts w:cs="Arial"/>
                <w:szCs w:val="20"/>
              </w:rPr>
              <w:t>substituts généraux/substituten-generaal</w:t>
            </w:r>
            <w:r w:rsidRPr="00115F14">
              <w:rPr>
                <w:rFonts w:cs="Arial"/>
                <w:szCs w:val="20"/>
              </w:rPr>
              <w:t>). Na delovnem sodišču generalnemu državnemu tožilcu pomagajo prvi generalni pravobranilec, generalni pravobranilci in namestniki generalnega državnega tožilca.</w:t>
            </w:r>
          </w:p>
          <w:p w:rsidR="00AE2155" w:rsidRPr="00115F14" w:rsidRDefault="00AE2155" w:rsidP="00B644CC">
            <w:pPr>
              <w:spacing w:line="288" w:lineRule="auto"/>
              <w:jc w:val="both"/>
              <w:rPr>
                <w:rFonts w:cs="Arial"/>
                <w:szCs w:val="20"/>
              </w:rPr>
            </w:pPr>
          </w:p>
          <w:p w:rsidR="00AE2155" w:rsidRPr="00115F14" w:rsidRDefault="00AE2155" w:rsidP="00B644CC">
            <w:pPr>
              <w:spacing w:line="288" w:lineRule="auto"/>
              <w:jc w:val="both"/>
              <w:rPr>
                <w:szCs w:val="20"/>
              </w:rPr>
            </w:pPr>
            <w:r w:rsidRPr="00115F14">
              <w:rPr>
                <w:rStyle w:val="Krepko"/>
                <w:rFonts w:cs="Arial"/>
                <w:b w:val="0"/>
                <w:szCs w:val="20"/>
                <w:bdr w:val="none" w:sz="0" w:space="0" w:color="auto" w:frame="1"/>
              </w:rPr>
              <w:t>Na kasacijskem sodišču</w:t>
            </w:r>
            <w:r w:rsidRPr="00115F14">
              <w:rPr>
                <w:rFonts w:cs="Arial"/>
                <w:b/>
                <w:szCs w:val="20"/>
              </w:rPr>
              <w:t> </w:t>
            </w:r>
            <w:r w:rsidRPr="00115F14">
              <w:rPr>
                <w:rFonts w:cs="Arial"/>
                <w:szCs w:val="20"/>
              </w:rPr>
              <w:t>(</w:t>
            </w:r>
            <w:r w:rsidRPr="00115F14">
              <w:rPr>
                <w:rStyle w:val="Poudarek"/>
                <w:rFonts w:cs="Arial"/>
                <w:szCs w:val="20"/>
              </w:rPr>
              <w:t>Cour de cassation/Hof van cassatie</w:t>
            </w:r>
            <w:r w:rsidRPr="00115F14">
              <w:rPr>
                <w:rFonts w:cs="Arial"/>
                <w:szCs w:val="20"/>
              </w:rPr>
              <w:t>) funkcijo državnega tožilstva izvaja </w:t>
            </w:r>
            <w:r w:rsidRPr="00115F14">
              <w:rPr>
                <w:rStyle w:val="Krepko"/>
                <w:rFonts w:cs="Arial"/>
                <w:b w:val="0"/>
                <w:szCs w:val="20"/>
                <w:bdr w:val="none" w:sz="0" w:space="0" w:color="auto" w:frame="1"/>
              </w:rPr>
              <w:t>generalni državni tožilec pri kasacijskem sodišču</w:t>
            </w:r>
            <w:r w:rsidRPr="00115F14">
              <w:rPr>
                <w:rFonts w:cs="Arial"/>
                <w:szCs w:val="20"/>
              </w:rPr>
              <w:t>, pomagajo pa mu prvi generalni pravobranilec in generalni pravobranilci. Kljub terminološki enakosti je funkcija državnega tožilstva tukaj popolnoma drugačna. Kasacijsko sodišče ne odloča o vsebini zadeve, temveč preverja zakonitost in pravilnost postopka.</w:t>
            </w:r>
          </w:p>
          <w:p w:rsidR="00AE2155" w:rsidRPr="00115F14" w:rsidRDefault="00AE2155" w:rsidP="00B644CC">
            <w:pPr>
              <w:spacing w:line="288" w:lineRule="auto"/>
              <w:jc w:val="both"/>
            </w:pPr>
          </w:p>
          <w:p w:rsidR="00AE2155" w:rsidRPr="00115F14" w:rsidRDefault="00AE2155" w:rsidP="00B644CC">
            <w:pPr>
              <w:spacing w:line="288" w:lineRule="auto"/>
              <w:jc w:val="both"/>
              <w:rPr>
                <w:szCs w:val="20"/>
              </w:rPr>
            </w:pPr>
            <w:r w:rsidRPr="00115F14">
              <w:rPr>
                <w:rFonts w:cs="Arial"/>
                <w:szCs w:val="20"/>
                <w:shd w:val="clear" w:color="auto" w:fill="FFFFFF"/>
              </w:rPr>
              <w:lastRenderedPageBreak/>
              <w:t>Državno tožilstvo je </w:t>
            </w:r>
            <w:r w:rsidRPr="00115F14">
              <w:rPr>
                <w:rStyle w:val="Krepko"/>
                <w:rFonts w:cs="Arial"/>
                <w:b w:val="0"/>
                <w:szCs w:val="20"/>
                <w:bdr w:val="none" w:sz="0" w:space="0" w:color="auto" w:frame="1"/>
                <w:shd w:val="clear" w:color="auto" w:fill="FFFFFF"/>
              </w:rPr>
              <w:t>neodvisno</w:t>
            </w:r>
            <w:r w:rsidRPr="00115F14">
              <w:rPr>
                <w:rFonts w:cs="Arial"/>
                <w:szCs w:val="20"/>
                <w:shd w:val="clear" w:color="auto" w:fill="FFFFFF"/>
              </w:rPr>
              <w:t> pri posameznih preiskavah in postopkih pregona, omejeno je zgolj s pravico pristojnega ministra za odreditev pregona in določitev zavezujočih smernic na področju kazenske politike, vključno s politiko preiskave in pregona.</w:t>
            </w:r>
            <w:r w:rsidRPr="00115F14">
              <w:rPr>
                <w:rStyle w:val="Sprotnaopomba-sklic"/>
                <w:rFonts w:cs="Arial"/>
                <w:szCs w:val="20"/>
                <w:shd w:val="clear" w:color="auto" w:fill="FFFFFF"/>
              </w:rPr>
              <w:footnoteReference w:id="30"/>
            </w:r>
          </w:p>
          <w:p w:rsidR="00AE2155" w:rsidRPr="00115F14" w:rsidRDefault="00AE2155" w:rsidP="00B644CC">
            <w:pPr>
              <w:spacing w:line="288" w:lineRule="auto"/>
            </w:pPr>
          </w:p>
          <w:p w:rsidR="00AE2155" w:rsidRPr="00115F14" w:rsidRDefault="00AE2155" w:rsidP="00B644CC">
            <w:pPr>
              <w:spacing w:line="288" w:lineRule="auto"/>
              <w:jc w:val="both"/>
            </w:pPr>
            <w:r w:rsidRPr="00115F14">
              <w:t>Kraljevi tožilci so imenovani za dobo 5 let in so lahko enkrat ponovno imenovani na isto funkcijo. Prvi namestniki kraljevega tožilca so imenovani za dobo treh let, pred iztekom dobe imenovanja se ocenijo. To funkcijo opravljajo že 9 let, so po ponovni oceni lahko imenovaniza nedoločen čas (povzeto po: spletna stran Le Conseilsupérieur de la Justice in po Sodnem zakoniku - Codejudiciaire).</w:t>
            </w:r>
            <w:r w:rsidRPr="00115F14">
              <w:rPr>
                <w:rStyle w:val="Sprotnaopomba-sklic"/>
              </w:rPr>
              <w:footnoteReference w:id="31"/>
            </w:r>
          </w:p>
          <w:p w:rsidR="00AE2155" w:rsidRPr="00115F14" w:rsidRDefault="00AE2155" w:rsidP="00B644CC">
            <w:pPr>
              <w:spacing w:line="288" w:lineRule="auto"/>
              <w:jc w:val="both"/>
              <w:rPr>
                <w:rFonts w:cs="Arial"/>
                <w:szCs w:val="20"/>
              </w:rPr>
            </w:pPr>
          </w:p>
          <w:p w:rsidR="00AE2155" w:rsidRPr="00115F14" w:rsidRDefault="00AE2155" w:rsidP="00B644CC">
            <w:pPr>
              <w:spacing w:line="288" w:lineRule="auto"/>
              <w:jc w:val="both"/>
              <w:rPr>
                <w:rFonts w:cs="Arial"/>
                <w:szCs w:val="20"/>
              </w:rPr>
            </w:pPr>
            <w:r w:rsidRPr="00115F14">
              <w:rPr>
                <w:rFonts w:cs="Arial"/>
                <w:szCs w:val="20"/>
              </w:rPr>
              <w:t xml:space="preserve">Na podlagi 309. člena Sodnega zakonika </w:t>
            </w:r>
            <w:r w:rsidRPr="00115F14">
              <w:rPr>
                <w:rFonts w:cs="Arial"/>
                <w:bCs/>
                <w:szCs w:val="20"/>
              </w:rPr>
              <w:t xml:space="preserve">(CodeJudiciaire) </w:t>
            </w:r>
            <w:r w:rsidRPr="00115F14">
              <w:rPr>
                <w:rFonts w:cs="Arial"/>
                <w:szCs w:val="20"/>
              </w:rPr>
              <w:t>n</w:t>
            </w:r>
            <w:r w:rsidRPr="00115F14">
              <w:rPr>
                <w:rFonts w:cs="Arial"/>
                <w:bCs/>
                <w:szCs w:val="20"/>
              </w:rPr>
              <w:t>acionalnega člana v Eurojustu in njegovega namestnika</w:t>
            </w:r>
            <w:r w:rsidRPr="00115F14">
              <w:rPr>
                <w:rFonts w:cs="Arial"/>
                <w:szCs w:val="20"/>
              </w:rPr>
              <w:t xml:space="preserve"> imenuje minister za pravosodje na podlagi mnenja generalnega državnega tožilca, ki je pristojen za mednarodne odnose.  Nacionalni član in namestnik se imenujeta izmed zveznih magistratov (tožilcev oziroma sodnikov). Pomočnika nacionalnega predstavnika izmed pravnikov zaposlenih na zveznem tožilstvu imenuje minister po predhodnem mnenju generalnega državnega tožilca pristojnega za mednarodne odnose.</w:t>
            </w:r>
          </w:p>
          <w:p w:rsidR="00AE2155" w:rsidRPr="00115F14" w:rsidRDefault="00AE2155" w:rsidP="00B644CC">
            <w:pPr>
              <w:spacing w:line="288" w:lineRule="auto"/>
              <w:jc w:val="both"/>
              <w:rPr>
                <w:rFonts w:cs="Arial"/>
                <w:szCs w:val="20"/>
              </w:rPr>
            </w:pPr>
          </w:p>
          <w:p w:rsidR="00AE2155" w:rsidRPr="00115F14" w:rsidRDefault="00AE2155" w:rsidP="00B644CC">
            <w:pPr>
              <w:spacing w:line="288" w:lineRule="auto"/>
              <w:jc w:val="both"/>
              <w:rPr>
                <w:rFonts w:cs="Arial"/>
                <w:szCs w:val="20"/>
              </w:rPr>
            </w:pPr>
            <w:r w:rsidRPr="00115F14">
              <w:rPr>
                <w:rFonts w:cs="Arial"/>
                <w:szCs w:val="20"/>
              </w:rPr>
              <w:t>Imenovani nacionalni predstavnik Belgije je vodja enote za posebne zadev, ki se ukvarja s posebnimi preiskovalnimi ukrepi, prikrite preiskave in vire človeške inteligence znotraj Urada generalnega državnega tožilstva.</w:t>
            </w:r>
          </w:p>
          <w:p w:rsidR="00AE2155" w:rsidRDefault="00AE2155" w:rsidP="00B644CC">
            <w:pPr>
              <w:jc w:val="both"/>
              <w:rPr>
                <w:rFonts w:cs="Arial"/>
                <w:b/>
                <w:bCs/>
                <w:szCs w:val="20"/>
              </w:rPr>
            </w:pPr>
          </w:p>
          <w:p w:rsidR="00AE2155" w:rsidRPr="00E50A1B" w:rsidRDefault="00AE2155" w:rsidP="00B644CC">
            <w:pPr>
              <w:jc w:val="both"/>
              <w:rPr>
                <w:rFonts w:cs="Arial"/>
                <w:b/>
                <w:bCs/>
                <w:szCs w:val="20"/>
              </w:rPr>
            </w:pPr>
            <w:r w:rsidRPr="00E50A1B">
              <w:rPr>
                <w:rFonts w:cs="Arial"/>
                <w:b/>
                <w:bCs/>
                <w:szCs w:val="20"/>
              </w:rPr>
              <w:t>Latvija</w:t>
            </w:r>
          </w:p>
          <w:p w:rsidR="00AE2155" w:rsidRPr="00115F14" w:rsidRDefault="00AE2155" w:rsidP="00B644CC">
            <w:pPr>
              <w:jc w:val="both"/>
              <w:rPr>
                <w:rFonts w:cs="Arial"/>
                <w:szCs w:val="20"/>
              </w:rPr>
            </w:pPr>
          </w:p>
          <w:p w:rsidR="00AE2155" w:rsidRPr="00115F14" w:rsidRDefault="00AE2155" w:rsidP="00B644CC">
            <w:pPr>
              <w:jc w:val="both"/>
              <w:rPr>
                <w:rFonts w:cs="Arial"/>
                <w:szCs w:val="20"/>
                <w:lang w:eastAsia="sl-SI"/>
              </w:rPr>
            </w:pPr>
            <w:r w:rsidRPr="00115F14">
              <w:rPr>
                <w:rFonts w:cs="Arial"/>
                <w:szCs w:val="20"/>
                <w:lang w:eastAsia="sl-SI"/>
              </w:rPr>
              <w:t>Latvijsko dr</w:t>
            </w:r>
            <w:hyperlink r:id="rId11" w:tgtFrame="_blank" w:history="1">
              <w:r w:rsidRPr="00115F14">
                <w:rPr>
                  <w:rFonts w:cs="Arial"/>
                  <w:szCs w:val="20"/>
                  <w:lang w:eastAsia="sl-SI"/>
                </w:rPr>
                <w:t>žavno tožilstvo (</w:t>
              </w:r>
              <w:r w:rsidRPr="00115F14">
                <w:rPr>
                  <w:rFonts w:cs="Arial"/>
                  <w:i/>
                  <w:iCs/>
                  <w:szCs w:val="20"/>
                  <w:lang w:eastAsia="sl-SI"/>
                </w:rPr>
                <w:t>Prokuratūra</w:t>
              </w:r>
              <w:r w:rsidRPr="00115F14">
                <w:rPr>
                  <w:rFonts w:cs="Arial"/>
                  <w:szCs w:val="20"/>
                  <w:lang w:eastAsia="sl-SI"/>
                </w:rPr>
                <w:t>)</w:t>
              </w:r>
            </w:hyperlink>
            <w:r w:rsidRPr="00115F14">
              <w:rPr>
                <w:rFonts w:cs="Arial"/>
                <w:szCs w:val="20"/>
                <w:lang w:eastAsia="sl-SI"/>
              </w:rPr>
              <w:t> je enoten centraliziran </w:t>
            </w:r>
            <w:r w:rsidRPr="00115F14">
              <w:rPr>
                <w:rFonts w:cs="Arial"/>
                <w:bCs/>
                <w:szCs w:val="20"/>
                <w:lang w:eastAsia="sl-SI"/>
              </w:rPr>
              <w:t>pravosodni organ</w:t>
            </w:r>
            <w:r w:rsidRPr="00115F14">
              <w:rPr>
                <w:rFonts w:cs="Arial"/>
                <w:szCs w:val="20"/>
                <w:lang w:eastAsia="sl-SI"/>
              </w:rPr>
              <w:t> s tristopenjskim sistemom. Vodi ga </w:t>
            </w:r>
            <w:r w:rsidRPr="00115F14">
              <w:rPr>
                <w:rFonts w:cs="Arial"/>
                <w:bCs/>
                <w:szCs w:val="20"/>
                <w:lang w:eastAsia="sl-SI"/>
              </w:rPr>
              <w:t>generalni državni tožilec </w:t>
            </w:r>
            <w:r w:rsidRPr="00115F14">
              <w:rPr>
                <w:rFonts w:cs="Arial"/>
                <w:szCs w:val="20"/>
                <w:lang w:eastAsia="sl-SI"/>
              </w:rPr>
              <w:t>(</w:t>
            </w:r>
            <w:r w:rsidRPr="00115F14">
              <w:rPr>
                <w:rFonts w:cs="Arial"/>
                <w:i/>
                <w:iCs/>
                <w:szCs w:val="20"/>
                <w:lang w:eastAsia="sl-SI"/>
              </w:rPr>
              <w:t>ģenerālprokurors</w:t>
            </w:r>
            <w:r w:rsidRPr="00115F14">
              <w:rPr>
                <w:rFonts w:cs="Arial"/>
                <w:szCs w:val="20"/>
                <w:lang w:eastAsia="sl-SI"/>
              </w:rPr>
              <w:t>). Naloga državnega tožilstva je </w:t>
            </w:r>
            <w:r w:rsidRPr="00115F14">
              <w:rPr>
                <w:rFonts w:cs="Arial"/>
                <w:bCs/>
                <w:szCs w:val="20"/>
                <w:lang w:eastAsia="sl-SI"/>
              </w:rPr>
              <w:t>odzivati se na kršitve zakona in zagotoviti, da se o kršitvah odloča</w:t>
            </w:r>
            <w:r w:rsidRPr="00115F14">
              <w:rPr>
                <w:rFonts w:cs="Arial"/>
                <w:szCs w:val="20"/>
                <w:lang w:eastAsia="sl-SI"/>
              </w:rPr>
              <w:t xml:space="preserve"> v skladu z zakonom. </w:t>
            </w:r>
          </w:p>
          <w:p w:rsidR="00AE2155" w:rsidRPr="00115F14" w:rsidRDefault="00AE2155" w:rsidP="00B644CC">
            <w:pPr>
              <w:jc w:val="both"/>
              <w:rPr>
                <w:rFonts w:cs="Arial"/>
                <w:szCs w:val="20"/>
                <w:lang w:eastAsia="sl-SI"/>
              </w:rPr>
            </w:pPr>
          </w:p>
          <w:p w:rsidR="00AE2155" w:rsidRPr="00115F14" w:rsidRDefault="00AE2155" w:rsidP="00B644CC">
            <w:pPr>
              <w:jc w:val="both"/>
              <w:rPr>
                <w:rFonts w:cs="Arial"/>
                <w:szCs w:val="20"/>
              </w:rPr>
            </w:pPr>
            <w:r w:rsidRPr="00115F14">
              <w:rPr>
                <w:rFonts w:cs="Arial"/>
                <w:szCs w:val="20"/>
                <w:lang w:eastAsia="sl-SI"/>
              </w:rPr>
              <w:t>Državno tožilstvo sestavljajo:</w:t>
            </w:r>
          </w:p>
          <w:p w:rsidR="00AE2155" w:rsidRPr="00115F14" w:rsidRDefault="00AE2155" w:rsidP="00B644CC">
            <w:pPr>
              <w:pStyle w:val="Odstavekseznama"/>
              <w:numPr>
                <w:ilvl w:val="0"/>
                <w:numId w:val="23"/>
              </w:numPr>
              <w:ind w:hanging="255"/>
              <w:jc w:val="both"/>
              <w:rPr>
                <w:rFonts w:cs="Arial"/>
                <w:szCs w:val="20"/>
              </w:rPr>
            </w:pPr>
            <w:r w:rsidRPr="00115F14">
              <w:rPr>
                <w:rFonts w:cs="Arial"/>
                <w:szCs w:val="20"/>
                <w:lang w:eastAsia="sl-SI"/>
              </w:rPr>
              <w:t>generalno državno tožilstvo (</w:t>
            </w:r>
            <w:r w:rsidRPr="00115F14">
              <w:rPr>
                <w:rFonts w:cs="Arial"/>
                <w:i/>
                <w:iCs/>
                <w:szCs w:val="20"/>
                <w:lang w:eastAsia="sl-SI"/>
              </w:rPr>
              <w:t>Ģenerālprokuratūra</w:t>
            </w:r>
            <w:r w:rsidRPr="00115F14">
              <w:rPr>
                <w:rFonts w:cs="Arial"/>
                <w:szCs w:val="20"/>
                <w:lang w:eastAsia="sl-SI"/>
              </w:rPr>
              <w:t>);</w:t>
            </w:r>
          </w:p>
          <w:p w:rsidR="00AE2155" w:rsidRPr="00115F14" w:rsidRDefault="00AE2155" w:rsidP="00B644CC">
            <w:pPr>
              <w:pStyle w:val="Odstavekseznama"/>
              <w:numPr>
                <w:ilvl w:val="0"/>
                <w:numId w:val="23"/>
              </w:numPr>
              <w:ind w:hanging="255"/>
              <w:jc w:val="both"/>
              <w:rPr>
                <w:rFonts w:cs="Arial"/>
                <w:szCs w:val="20"/>
              </w:rPr>
            </w:pPr>
            <w:r w:rsidRPr="00115F14">
              <w:rPr>
                <w:rFonts w:cs="Arial"/>
                <w:szCs w:val="20"/>
                <w:lang w:eastAsia="sl-SI"/>
              </w:rPr>
              <w:t>regionalna državna tožilstva (</w:t>
            </w:r>
            <w:r w:rsidRPr="00115F14">
              <w:rPr>
                <w:rFonts w:cs="Arial"/>
                <w:i/>
                <w:iCs/>
                <w:szCs w:val="20"/>
                <w:lang w:eastAsia="sl-SI"/>
              </w:rPr>
              <w:t>tiesu apgabalu prokuratūras</w:t>
            </w:r>
            <w:r w:rsidRPr="00115F14">
              <w:rPr>
                <w:rFonts w:cs="Arial"/>
                <w:szCs w:val="20"/>
                <w:lang w:eastAsia="sl-SI"/>
              </w:rPr>
              <w:t>);</w:t>
            </w:r>
          </w:p>
          <w:p w:rsidR="00AE2155" w:rsidRPr="00115F14" w:rsidRDefault="00AE2155" w:rsidP="00B644CC">
            <w:pPr>
              <w:pStyle w:val="Odstavekseznama"/>
              <w:numPr>
                <w:ilvl w:val="0"/>
                <w:numId w:val="23"/>
              </w:numPr>
              <w:ind w:hanging="255"/>
              <w:jc w:val="both"/>
              <w:rPr>
                <w:rFonts w:cs="Arial"/>
                <w:szCs w:val="20"/>
              </w:rPr>
            </w:pPr>
            <w:r w:rsidRPr="00115F14">
              <w:rPr>
                <w:rFonts w:cs="Arial"/>
                <w:szCs w:val="20"/>
                <w:lang w:eastAsia="sl-SI"/>
              </w:rPr>
              <w:t>okrožna ali mestna državna tožilstva (</w:t>
            </w:r>
            <w:r w:rsidRPr="00115F14">
              <w:rPr>
                <w:rFonts w:cs="Arial"/>
                <w:i/>
                <w:iCs/>
                <w:szCs w:val="20"/>
                <w:lang w:eastAsia="sl-SI"/>
              </w:rPr>
              <w:t>rajona vai republikas pilsētu prokuratūras</w:t>
            </w:r>
            <w:r w:rsidRPr="00115F14">
              <w:rPr>
                <w:rFonts w:cs="Arial"/>
                <w:szCs w:val="20"/>
                <w:lang w:eastAsia="sl-SI"/>
              </w:rPr>
              <w:t>);</w:t>
            </w:r>
          </w:p>
          <w:p w:rsidR="00AE2155" w:rsidRPr="00115F14" w:rsidRDefault="00AE2155" w:rsidP="00B644CC">
            <w:pPr>
              <w:pStyle w:val="Odstavekseznama"/>
              <w:numPr>
                <w:ilvl w:val="0"/>
                <w:numId w:val="23"/>
              </w:numPr>
              <w:ind w:hanging="255"/>
              <w:jc w:val="both"/>
              <w:rPr>
                <w:rFonts w:cs="Arial"/>
                <w:szCs w:val="20"/>
              </w:rPr>
            </w:pPr>
            <w:r w:rsidRPr="00115F14">
              <w:rPr>
                <w:rFonts w:cs="Arial"/>
                <w:szCs w:val="20"/>
                <w:lang w:eastAsia="sl-SI"/>
              </w:rPr>
              <w:t>specializirana državna tožilstva (</w:t>
            </w:r>
            <w:r w:rsidRPr="00115F14">
              <w:rPr>
                <w:rFonts w:cs="Arial"/>
                <w:i/>
                <w:iCs/>
                <w:szCs w:val="20"/>
                <w:lang w:eastAsia="sl-SI"/>
              </w:rPr>
              <w:t>specializētas prokuratūras</w:t>
            </w:r>
            <w:r w:rsidRPr="00115F14">
              <w:rPr>
                <w:rFonts w:cs="Arial"/>
                <w:szCs w:val="20"/>
                <w:lang w:eastAsia="sl-SI"/>
              </w:rPr>
              <w:t>).</w:t>
            </w:r>
          </w:p>
          <w:p w:rsidR="00AE2155" w:rsidRPr="00115F14" w:rsidRDefault="00AE2155" w:rsidP="00B644CC">
            <w:pPr>
              <w:jc w:val="both"/>
              <w:rPr>
                <w:rFonts w:cs="Arial"/>
                <w:szCs w:val="20"/>
                <w:lang w:eastAsia="sl-SI"/>
              </w:rPr>
            </w:pPr>
          </w:p>
          <w:p w:rsidR="00AE2155" w:rsidRDefault="00AE2155" w:rsidP="00B644CC">
            <w:pPr>
              <w:jc w:val="both"/>
              <w:rPr>
                <w:rFonts w:cs="Arial"/>
                <w:szCs w:val="20"/>
                <w:lang w:eastAsia="sl-SI"/>
              </w:rPr>
            </w:pPr>
            <w:r w:rsidRPr="00115F14">
              <w:rPr>
                <w:rFonts w:cs="Arial"/>
                <w:szCs w:val="20"/>
                <w:lang w:eastAsia="sl-SI"/>
              </w:rPr>
              <w:t>Po potrebi lahko generalni državni tožilec ustanovi specializirano tožilstvo za posebno področje, ki ima status okrožnega ali regionalnega državnega tožilstva. V Latviji je trenutno </w:t>
            </w:r>
            <w:r w:rsidRPr="00115F14">
              <w:rPr>
                <w:rFonts w:cs="Arial"/>
                <w:bCs/>
                <w:szCs w:val="20"/>
                <w:lang w:eastAsia="sl-SI"/>
              </w:rPr>
              <w:t>pet specializiranih državnih tožilstev</w:t>
            </w:r>
            <w:r w:rsidRPr="00115F14">
              <w:rPr>
                <w:rFonts w:cs="Arial"/>
                <w:szCs w:val="20"/>
                <w:lang w:eastAsia="sl-SI"/>
              </w:rPr>
              <w:t xml:space="preserve"> in sicer:</w:t>
            </w:r>
          </w:p>
          <w:p w:rsidR="00B644CC" w:rsidRPr="00115F14" w:rsidRDefault="00B644CC" w:rsidP="00B644CC">
            <w:pPr>
              <w:jc w:val="both"/>
              <w:rPr>
                <w:rFonts w:cs="Arial"/>
                <w:szCs w:val="20"/>
                <w:lang w:eastAsia="sl-SI"/>
              </w:rPr>
            </w:pPr>
          </w:p>
          <w:p w:rsidR="00AE2155" w:rsidRPr="00115F14" w:rsidRDefault="00AE2155" w:rsidP="00B644CC">
            <w:pPr>
              <w:pStyle w:val="Odstavekseznama"/>
              <w:numPr>
                <w:ilvl w:val="0"/>
                <w:numId w:val="22"/>
              </w:numPr>
              <w:ind w:left="284" w:hanging="284"/>
              <w:jc w:val="both"/>
              <w:rPr>
                <w:rFonts w:cs="Arial"/>
                <w:szCs w:val="20"/>
              </w:rPr>
            </w:pPr>
            <w:r w:rsidRPr="00115F14">
              <w:rPr>
                <w:rFonts w:cs="Arial"/>
                <w:szCs w:val="20"/>
                <w:lang w:eastAsia="sl-SI"/>
              </w:rPr>
              <w:t>specializirano državno tožilstvo za organizirani kriminal in druga področja (</w:t>
            </w:r>
            <w:r w:rsidRPr="00115F14">
              <w:rPr>
                <w:rFonts w:cs="Arial"/>
                <w:i/>
                <w:iCs/>
                <w:szCs w:val="20"/>
                <w:lang w:eastAsia="sl-SI"/>
              </w:rPr>
              <w:t>Organizētās</w:t>
            </w:r>
            <w:r w:rsidR="00B644CC">
              <w:rPr>
                <w:rFonts w:cs="Arial"/>
                <w:i/>
                <w:iCs/>
                <w:szCs w:val="20"/>
                <w:lang w:eastAsia="sl-SI"/>
              </w:rPr>
              <w:t xml:space="preserve"> </w:t>
            </w:r>
            <w:r w:rsidRPr="00115F14">
              <w:rPr>
                <w:rFonts w:cs="Arial"/>
                <w:i/>
                <w:iCs/>
                <w:szCs w:val="20"/>
                <w:lang w:eastAsia="sl-SI"/>
              </w:rPr>
              <w:t>noziedzības un citu nozaru specializētā prokuratūra</w:t>
            </w:r>
            <w:r w:rsidRPr="00115F14">
              <w:rPr>
                <w:rFonts w:cs="Arial"/>
                <w:szCs w:val="20"/>
                <w:lang w:eastAsia="sl-SI"/>
              </w:rPr>
              <w:t>);</w:t>
            </w:r>
          </w:p>
          <w:p w:rsidR="00AE2155" w:rsidRPr="00115F14" w:rsidRDefault="00AE2155" w:rsidP="00B644CC">
            <w:pPr>
              <w:pStyle w:val="Odstavekseznama"/>
              <w:numPr>
                <w:ilvl w:val="0"/>
                <w:numId w:val="22"/>
              </w:numPr>
              <w:ind w:left="284" w:hanging="284"/>
              <w:jc w:val="both"/>
              <w:rPr>
                <w:rFonts w:cs="Arial"/>
                <w:szCs w:val="20"/>
              </w:rPr>
            </w:pPr>
            <w:r w:rsidRPr="00115F14">
              <w:rPr>
                <w:rFonts w:cs="Arial"/>
                <w:szCs w:val="20"/>
                <w:lang w:eastAsia="sl-SI"/>
              </w:rPr>
              <w:t>specializirano več področno državno tožilstvo (</w:t>
            </w:r>
            <w:r w:rsidRPr="00115F14">
              <w:rPr>
                <w:rFonts w:cs="Arial"/>
                <w:i/>
                <w:iCs/>
                <w:szCs w:val="20"/>
                <w:lang w:eastAsia="sl-SI"/>
              </w:rPr>
              <w:t>Specializētā vairāku nozaru prokuratūra</w:t>
            </w:r>
            <w:r w:rsidRPr="00115F14">
              <w:rPr>
                <w:rFonts w:cs="Arial"/>
                <w:szCs w:val="20"/>
                <w:lang w:eastAsia="sl-SI"/>
              </w:rPr>
              <w:t>);</w:t>
            </w:r>
          </w:p>
          <w:p w:rsidR="00AE2155" w:rsidRPr="00115F14" w:rsidRDefault="00AE2155" w:rsidP="00B644CC">
            <w:pPr>
              <w:pStyle w:val="Odstavekseznama"/>
              <w:numPr>
                <w:ilvl w:val="0"/>
                <w:numId w:val="22"/>
              </w:numPr>
              <w:ind w:left="284" w:hanging="284"/>
              <w:jc w:val="both"/>
              <w:rPr>
                <w:rFonts w:cs="Arial"/>
                <w:szCs w:val="20"/>
              </w:rPr>
            </w:pPr>
            <w:r w:rsidRPr="00115F14">
              <w:rPr>
                <w:rFonts w:cs="Arial"/>
                <w:szCs w:val="20"/>
                <w:lang w:eastAsia="sl-SI"/>
              </w:rPr>
              <w:t>državno tožilstvo Rige za cestni promet (</w:t>
            </w:r>
            <w:r w:rsidRPr="00115F14">
              <w:rPr>
                <w:rFonts w:cs="Arial"/>
                <w:i/>
                <w:iCs/>
                <w:szCs w:val="20"/>
                <w:lang w:eastAsia="sl-SI"/>
              </w:rPr>
              <w:t>Rīgas autotransporta prokuratūra</w:t>
            </w:r>
            <w:r w:rsidRPr="00115F14">
              <w:rPr>
                <w:rFonts w:cs="Arial"/>
                <w:szCs w:val="20"/>
                <w:lang w:eastAsia="sl-SI"/>
              </w:rPr>
              <w:t>);</w:t>
            </w:r>
          </w:p>
          <w:p w:rsidR="00AE2155" w:rsidRPr="00115F14" w:rsidRDefault="00AE2155" w:rsidP="00B644CC">
            <w:pPr>
              <w:numPr>
                <w:ilvl w:val="0"/>
                <w:numId w:val="22"/>
              </w:numPr>
              <w:shd w:val="clear" w:color="auto" w:fill="FFFFFF"/>
              <w:spacing w:line="288" w:lineRule="auto"/>
              <w:ind w:left="284" w:hanging="284"/>
              <w:jc w:val="both"/>
              <w:rPr>
                <w:rFonts w:cs="Arial"/>
                <w:szCs w:val="20"/>
                <w:lang w:eastAsia="sl-SI"/>
              </w:rPr>
            </w:pPr>
            <w:r w:rsidRPr="00115F14">
              <w:rPr>
                <w:rFonts w:cs="Arial"/>
                <w:szCs w:val="20"/>
                <w:lang w:eastAsia="sl-SI"/>
              </w:rPr>
              <w:t>državno tožilstvo za preiskovanje finančnega in gospodarskega kriminala (</w:t>
            </w:r>
            <w:r w:rsidRPr="00115F14">
              <w:rPr>
                <w:rFonts w:cs="Arial"/>
                <w:i/>
                <w:iCs/>
                <w:szCs w:val="20"/>
                <w:lang w:eastAsia="sl-SI"/>
              </w:rPr>
              <w:t>Finanšu un ekonomisko noziegumu izmeklēšanas prokuratūra</w:t>
            </w:r>
            <w:r w:rsidRPr="00115F14">
              <w:rPr>
                <w:rFonts w:cs="Arial"/>
                <w:szCs w:val="20"/>
                <w:lang w:eastAsia="sl-SI"/>
              </w:rPr>
              <w:t xml:space="preserve">) ter </w:t>
            </w:r>
          </w:p>
          <w:p w:rsidR="00AE2155" w:rsidRPr="00115F14" w:rsidRDefault="00AE2155" w:rsidP="00B644CC">
            <w:pPr>
              <w:numPr>
                <w:ilvl w:val="0"/>
                <w:numId w:val="22"/>
              </w:numPr>
              <w:shd w:val="clear" w:color="auto" w:fill="FFFFFF"/>
              <w:spacing w:line="288" w:lineRule="auto"/>
              <w:ind w:left="284" w:hanging="284"/>
              <w:jc w:val="both"/>
              <w:rPr>
                <w:rFonts w:cs="Arial"/>
                <w:szCs w:val="20"/>
                <w:lang w:eastAsia="sl-SI"/>
              </w:rPr>
            </w:pPr>
            <w:r w:rsidRPr="00115F14">
              <w:rPr>
                <w:rFonts w:cs="Arial"/>
                <w:szCs w:val="20"/>
                <w:lang w:eastAsia="sl-SI"/>
              </w:rPr>
              <w:t>državno tožilstvo za preiskovanje kaznivih dejanj v zvezi z nedovoljenim prometom s prepovedanimi drogami (</w:t>
            </w:r>
            <w:r w:rsidRPr="00115F14">
              <w:rPr>
                <w:rFonts w:cs="Arial"/>
                <w:i/>
                <w:iCs/>
                <w:szCs w:val="20"/>
                <w:lang w:eastAsia="sl-SI"/>
              </w:rPr>
              <w:t>Narkotiku nelegālas aprites noziegumu izmeklēšanas prokuratūra</w:t>
            </w:r>
            <w:r w:rsidRPr="00115F14">
              <w:rPr>
                <w:rFonts w:cs="Arial"/>
                <w:szCs w:val="20"/>
                <w:lang w:eastAsia="sl-SI"/>
              </w:rPr>
              <w:t>).</w:t>
            </w:r>
          </w:p>
          <w:p w:rsidR="00AE2155" w:rsidRPr="00115F14" w:rsidRDefault="00AE2155" w:rsidP="00B644CC">
            <w:pPr>
              <w:shd w:val="clear" w:color="auto" w:fill="FFFFFF"/>
              <w:spacing w:line="288" w:lineRule="auto"/>
              <w:jc w:val="both"/>
              <w:rPr>
                <w:rFonts w:cs="Arial"/>
                <w:szCs w:val="20"/>
                <w:lang w:eastAsia="sl-SI"/>
              </w:rPr>
            </w:pPr>
          </w:p>
          <w:p w:rsidR="00AE2155" w:rsidRPr="00115F14" w:rsidRDefault="00AE2155" w:rsidP="00B644CC">
            <w:pPr>
              <w:shd w:val="clear" w:color="auto" w:fill="FFFFFF"/>
              <w:spacing w:line="288" w:lineRule="auto"/>
              <w:jc w:val="both"/>
              <w:rPr>
                <w:rFonts w:cs="Arial"/>
                <w:szCs w:val="20"/>
                <w:lang w:eastAsia="sl-SI"/>
              </w:rPr>
            </w:pPr>
            <w:r w:rsidRPr="00115F14">
              <w:rPr>
                <w:rFonts w:cs="Arial"/>
                <w:szCs w:val="20"/>
                <w:lang w:eastAsia="sl-SI"/>
              </w:rPr>
              <w:lastRenderedPageBreak/>
              <w:t>Generalno državno tožilstvo lahko nadzoruje delo javnih organov, ki sami ne delujejo kot tožilstva, a opravljajo določene naloge v kazenskem postopku, ki spadajo v njihovo pristojnost. Te organe ustanovi, reorganizira in razpusti generalni državni tožilec. Na podlagi dodeljenih proračunskih sredstev generalni državni tožilec prav tako določi strukturo in število osebja teh organov. Do sedaj je bil ustanovljen le en tak organ, in sicer </w:t>
            </w:r>
            <w:hyperlink r:id="rId12" w:tgtFrame="_blank" w:history="1">
              <w:r w:rsidRPr="00115F14">
                <w:rPr>
                  <w:rFonts w:cs="Arial"/>
                  <w:szCs w:val="20"/>
                  <w:lang w:eastAsia="sl-SI"/>
                </w:rPr>
                <w:t>Urad za boj proti pranju denarja</w:t>
              </w:r>
            </w:hyperlink>
            <w:r w:rsidRPr="00115F14">
              <w:rPr>
                <w:rFonts w:cs="Arial"/>
                <w:szCs w:val="20"/>
                <w:lang w:eastAsia="sl-SI"/>
              </w:rPr>
              <w:t> (</w:t>
            </w:r>
            <w:r w:rsidRPr="00115F14">
              <w:rPr>
                <w:rFonts w:cs="Arial"/>
                <w:i/>
                <w:iCs/>
                <w:szCs w:val="20"/>
                <w:lang w:eastAsia="sl-SI"/>
              </w:rPr>
              <w:t>Noziedzīgi iegūtu līdzekļu legalizācijas novēršanas dienests</w:t>
            </w:r>
            <w:r w:rsidRPr="00115F14">
              <w:rPr>
                <w:rFonts w:cs="Arial"/>
                <w:szCs w:val="20"/>
                <w:lang w:eastAsia="sl-SI"/>
              </w:rPr>
              <w:t>).</w:t>
            </w:r>
          </w:p>
          <w:p w:rsidR="00AE2155" w:rsidRPr="00115F14" w:rsidRDefault="00AE2155" w:rsidP="00B644CC">
            <w:pPr>
              <w:shd w:val="clear" w:color="auto" w:fill="FFFFFF"/>
              <w:spacing w:line="288" w:lineRule="auto"/>
              <w:jc w:val="both"/>
              <w:rPr>
                <w:rFonts w:cs="Arial"/>
                <w:szCs w:val="20"/>
                <w:lang w:eastAsia="sl-SI"/>
              </w:rPr>
            </w:pPr>
          </w:p>
          <w:p w:rsidR="00AE2155" w:rsidRPr="00115F14" w:rsidRDefault="00AE2155" w:rsidP="00B644CC">
            <w:pPr>
              <w:shd w:val="clear" w:color="auto" w:fill="FFFFFF"/>
              <w:spacing w:line="288" w:lineRule="auto"/>
              <w:jc w:val="both"/>
              <w:rPr>
                <w:rFonts w:cs="Arial"/>
                <w:szCs w:val="20"/>
                <w:lang w:eastAsia="sl-SI"/>
              </w:rPr>
            </w:pPr>
            <w:r w:rsidRPr="00115F14">
              <w:rPr>
                <w:rFonts w:cs="Arial"/>
                <w:szCs w:val="20"/>
                <w:lang w:eastAsia="sl-SI"/>
              </w:rPr>
              <w:t>Državna tožilstva so del sodnega sistema. To pomeni, da delujejo neodvisno od zakonodajne in izvršilne oblasti. Saeima (latvijski parlament), kabinet ministrov in predsednik države lahko državnemu tožilstvu dajo navodilo, da preveri dejstva v zvezi s kršitvami zakona, in lahko prejemajo pojasnila od generalnega državnega tožilstva, ne smejo pa posegati v delo državnega tožilstva, tudi če preiskuje kršitve, ki imajo velik nacionalni pomen.</w:t>
            </w:r>
          </w:p>
          <w:p w:rsidR="00AE2155" w:rsidRPr="00115F14" w:rsidRDefault="00AE2155" w:rsidP="00B644CC">
            <w:pPr>
              <w:shd w:val="clear" w:color="auto" w:fill="FFFFFF"/>
              <w:spacing w:line="288" w:lineRule="auto"/>
              <w:jc w:val="both"/>
              <w:rPr>
                <w:rFonts w:cs="Arial"/>
                <w:szCs w:val="20"/>
                <w:lang w:eastAsia="sl-SI"/>
              </w:rPr>
            </w:pPr>
          </w:p>
          <w:p w:rsidR="00AE2155" w:rsidRPr="00115F14" w:rsidRDefault="00AE2155" w:rsidP="00B644CC">
            <w:pPr>
              <w:shd w:val="clear" w:color="auto" w:fill="FFFFFF"/>
              <w:spacing w:line="288" w:lineRule="auto"/>
              <w:jc w:val="both"/>
              <w:rPr>
                <w:rFonts w:cs="Arial"/>
                <w:szCs w:val="20"/>
                <w:lang w:eastAsia="sl-SI"/>
              </w:rPr>
            </w:pPr>
            <w:r w:rsidRPr="00115F14">
              <w:rPr>
                <w:rFonts w:cs="Arial"/>
                <w:szCs w:val="20"/>
                <w:lang w:eastAsia="sl-SI"/>
              </w:rPr>
              <w:t>Državni tožilci lahko izpodbijajo pravne akte, ki jih je sprejel kabinet ministrov ali javni organi, če niso v skladu z zakonom. Generalni državni tožilec in glavni tožilci oddelkov generalnega</w:t>
            </w:r>
          </w:p>
          <w:p w:rsidR="00AE2155" w:rsidRPr="00115F14" w:rsidRDefault="00AE2155" w:rsidP="00B644CC">
            <w:pPr>
              <w:shd w:val="clear" w:color="auto" w:fill="FFFFFF"/>
              <w:spacing w:line="288" w:lineRule="auto"/>
              <w:jc w:val="both"/>
              <w:rPr>
                <w:rFonts w:cs="Arial"/>
                <w:szCs w:val="20"/>
                <w:lang w:eastAsia="sl-SI"/>
              </w:rPr>
            </w:pPr>
            <w:r w:rsidRPr="00115F14">
              <w:rPr>
                <w:rFonts w:cs="Arial"/>
                <w:szCs w:val="20"/>
                <w:lang w:eastAsia="sl-SI"/>
              </w:rPr>
              <w:t>državnega tožilstva se lahko udeležijo sej kabineta ministrov in izrazijo svoje mnenje o vprašanjih, ki so predmet razprav.</w:t>
            </w:r>
          </w:p>
          <w:p w:rsidR="00AE2155" w:rsidRPr="00115F14" w:rsidRDefault="00AE2155" w:rsidP="00B644CC">
            <w:pPr>
              <w:shd w:val="clear" w:color="auto" w:fill="FFFFFF"/>
              <w:spacing w:line="288" w:lineRule="auto"/>
              <w:jc w:val="both"/>
              <w:rPr>
                <w:rFonts w:cs="Arial"/>
                <w:szCs w:val="20"/>
                <w:lang w:eastAsia="sl-SI"/>
              </w:rPr>
            </w:pPr>
          </w:p>
          <w:p w:rsidR="00AE2155" w:rsidRPr="00115F14" w:rsidRDefault="00AE2155" w:rsidP="00B644CC">
            <w:pPr>
              <w:shd w:val="clear" w:color="auto" w:fill="FFFFFF"/>
              <w:spacing w:line="288" w:lineRule="auto"/>
              <w:jc w:val="both"/>
              <w:rPr>
                <w:rFonts w:cs="Arial"/>
                <w:szCs w:val="20"/>
                <w:lang w:eastAsia="sl-SI"/>
              </w:rPr>
            </w:pPr>
            <w:r w:rsidRPr="00115F14">
              <w:rPr>
                <w:rFonts w:cs="Arial"/>
                <w:szCs w:val="20"/>
              </w:rPr>
              <w:t>Državno tožilstvo je pristojno za nadzor nad delom preiskovalnih organov in drugih organov; organizira, upravlja in vodi preiskavo v predhodnem postopku ter daje navodila preiskovalnim organom pri izvajanju preiskav kaznivih dejanj; začne in vodi kazenski pregon; varuje pravice in pravne interese posameznikov in države; v zadevah, določenih z zakonom, pri sodišču vloži predlog za začetek postopka ali vlogo. Državni tožilec v skladu s 36 členom </w:t>
            </w:r>
            <w:r w:rsidRPr="00115F14">
              <w:rPr>
                <w:rFonts w:cs="Arial"/>
                <w:szCs w:val="20"/>
                <w:bdr w:val="none" w:sz="0" w:space="0" w:color="auto" w:frame="1"/>
              </w:rPr>
              <w:t>Zakona o kazenskem postopku</w:t>
            </w:r>
            <w:r w:rsidRPr="00115F14">
              <w:rPr>
                <w:rFonts w:cs="Arial"/>
                <w:szCs w:val="20"/>
              </w:rPr>
              <w:t> nadzira in vodi preiskavo, vodi kazenski pregon, zastopa obtožnico pred sodiščem v imenu države in opravlja druge naloge v kazenskem postopku.</w:t>
            </w:r>
            <w:r w:rsidRPr="00115F14">
              <w:rPr>
                <w:rStyle w:val="Sprotnaopomba-sklic"/>
                <w:rFonts w:cs="Arial"/>
                <w:szCs w:val="20"/>
              </w:rPr>
              <w:footnoteReference w:id="32"/>
            </w:r>
          </w:p>
          <w:p w:rsidR="00AE2155" w:rsidRPr="00115F14" w:rsidRDefault="00AE2155" w:rsidP="00B644CC">
            <w:pPr>
              <w:shd w:val="clear" w:color="auto" w:fill="FFFFFF"/>
              <w:spacing w:line="288" w:lineRule="auto"/>
              <w:jc w:val="both"/>
              <w:rPr>
                <w:rFonts w:cs="Arial"/>
                <w:szCs w:val="20"/>
                <w:lang w:eastAsia="sl-SI"/>
              </w:rPr>
            </w:pPr>
          </w:p>
          <w:p w:rsidR="00696BEC" w:rsidRPr="00F25413" w:rsidRDefault="00AE2155" w:rsidP="00F25413">
            <w:pPr>
              <w:spacing w:line="288" w:lineRule="auto"/>
              <w:jc w:val="both"/>
              <w:rPr>
                <w:rFonts w:cs="Arial"/>
                <w:szCs w:val="20"/>
              </w:rPr>
            </w:pPr>
            <w:r w:rsidRPr="00115F14">
              <w:rPr>
                <w:rFonts w:cs="Arial"/>
                <w:szCs w:val="20"/>
              </w:rPr>
              <w:t>Latvijskega nacionalnega predstavnika in njegovega namestnika ter pomočnika imenuje generalni državni tožilec po prejemu mnenja kandidacijske komisije, ki jo je sam imenoval. Za razliko d nacionalnega predstavnika in njegovega namestnika, pomočnika imenuje generalni državni tožilec brez mnenja kandidacijske komisije za neomejen mandat s pooblastili, ki jih predlaga nacionalni predstavnik v Eurojustu.</w:t>
            </w:r>
            <w:r w:rsidRPr="00115F14">
              <w:rPr>
                <w:rStyle w:val="Sprotnaopomba-sklic"/>
                <w:rFonts w:cs="Arial"/>
                <w:szCs w:val="20"/>
              </w:rPr>
              <w:footnoteReference w:id="33"/>
            </w:r>
          </w:p>
          <w:p w:rsidR="00696BEC" w:rsidRPr="00115F14" w:rsidRDefault="00696BEC" w:rsidP="00B644CC">
            <w:pPr>
              <w:jc w:val="both"/>
            </w:pPr>
          </w:p>
          <w:p w:rsidR="00AE2155" w:rsidRPr="00115F14" w:rsidRDefault="00AE2155" w:rsidP="00B644CC">
            <w:pPr>
              <w:jc w:val="both"/>
              <w:rPr>
                <w:rFonts w:cs="Arial"/>
                <w:b/>
                <w:szCs w:val="20"/>
                <w:lang w:eastAsia="sl-SI"/>
              </w:rPr>
            </w:pPr>
            <w:r w:rsidRPr="00115F14">
              <w:rPr>
                <w:rFonts w:cs="Arial"/>
                <w:b/>
                <w:szCs w:val="20"/>
                <w:lang w:eastAsia="sl-SI"/>
              </w:rPr>
              <w:t>5.2 Prikaz ureditve v drugih pravnih sistemih</w:t>
            </w:r>
          </w:p>
          <w:p w:rsidR="00AE2155" w:rsidRPr="00115F14" w:rsidRDefault="00AE2155" w:rsidP="00B644CC">
            <w:pPr>
              <w:jc w:val="both"/>
              <w:rPr>
                <w:rFonts w:cs="Arial"/>
                <w:b/>
                <w:szCs w:val="20"/>
                <w:lang w:eastAsia="sl-SI"/>
              </w:rPr>
            </w:pPr>
          </w:p>
          <w:p w:rsidR="00AE2155" w:rsidRPr="00115F14" w:rsidRDefault="00AE2155" w:rsidP="00B644CC">
            <w:pPr>
              <w:jc w:val="both"/>
              <w:rPr>
                <w:rFonts w:cs="Arial"/>
                <w:szCs w:val="20"/>
                <w:lang w:eastAsia="sl-SI"/>
              </w:rPr>
            </w:pPr>
            <w:r w:rsidRPr="00115F14">
              <w:rPr>
                <w:rFonts w:cs="Arial"/>
                <w:szCs w:val="20"/>
                <w:lang w:eastAsia="sl-SI"/>
              </w:rPr>
              <w:t xml:space="preserve">Ureditev, ki jo zasleduje predlog zakona ni predmet urejanja v drugih pravnih sistemih, saj Uredba </w:t>
            </w:r>
            <w:r w:rsidRPr="00115F14">
              <w:rPr>
                <w:szCs w:val="20"/>
              </w:rPr>
              <w:t xml:space="preserve">2018/1727/EU </w:t>
            </w:r>
            <w:r w:rsidRPr="00115F14">
              <w:rPr>
                <w:rFonts w:cs="Arial"/>
                <w:szCs w:val="20"/>
                <w:lang w:eastAsia="sl-SI"/>
              </w:rPr>
              <w:t xml:space="preserve">zavezuje le države članice EU. </w:t>
            </w:r>
          </w:p>
          <w:p w:rsidR="00AE2155" w:rsidRPr="00115F14" w:rsidRDefault="00AE2155" w:rsidP="00B644CC">
            <w:pPr>
              <w:jc w:val="both"/>
              <w:rPr>
                <w:rFonts w:cs="Arial"/>
                <w:szCs w:val="20"/>
                <w:lang w:eastAsia="sl-SI"/>
              </w:rPr>
            </w:pPr>
          </w:p>
          <w:p w:rsidR="00AE2155" w:rsidRPr="00115F14" w:rsidRDefault="00AE2155" w:rsidP="00B644CC">
            <w:pPr>
              <w:jc w:val="both"/>
              <w:rPr>
                <w:rFonts w:cs="Arial"/>
                <w:szCs w:val="20"/>
                <w:lang w:eastAsia="sl-SI"/>
              </w:rPr>
            </w:pPr>
            <w:r w:rsidRPr="00115F14">
              <w:rPr>
                <w:rFonts w:cs="Arial"/>
                <w:b/>
                <w:szCs w:val="20"/>
                <w:lang w:eastAsia="sl-SI"/>
              </w:rPr>
              <w:t>5.3 Prikaz prilagojenosti predlagane ureditve pravu Evropske unije</w:t>
            </w:r>
          </w:p>
          <w:p w:rsidR="00AE2155" w:rsidRPr="00115F14" w:rsidRDefault="00AE2155" w:rsidP="00B644CC">
            <w:pPr>
              <w:spacing w:line="288" w:lineRule="auto"/>
              <w:jc w:val="both"/>
              <w:rPr>
                <w:rFonts w:cs="Arial"/>
                <w:szCs w:val="20"/>
              </w:rPr>
            </w:pPr>
          </w:p>
          <w:p w:rsidR="00507A34" w:rsidRDefault="00AE2155" w:rsidP="00B644CC">
            <w:pPr>
              <w:spacing w:line="288" w:lineRule="auto"/>
              <w:jc w:val="both"/>
              <w:rPr>
                <w:szCs w:val="20"/>
              </w:rPr>
            </w:pPr>
            <w:r w:rsidRPr="00115F14">
              <w:rPr>
                <w:rFonts w:cs="Arial"/>
                <w:szCs w:val="20"/>
              </w:rPr>
              <w:t xml:space="preserve">Uredba je pravni akt, sprejet v okviru EU, ki se po 3.a členu Ustave v Sloveniji uporablja neposredno in v skladu s pravno ureditvijo EU. </w:t>
            </w:r>
            <w:r w:rsidRPr="00115F14">
              <w:rPr>
                <w:szCs w:val="20"/>
              </w:rPr>
              <w:t>Da bi pri izvajanju Uredbe 2018/1727/EU dosegli dosledno upoštevanje nacionalnega pravnega reda ter učinkovitost načela pravne države in pravne varnosti, je nujno treba prilagoditi veljavne določbe ZDT-1 tako, da ne bodo v nasprotju z vsebino</w:t>
            </w:r>
            <w:r w:rsidR="00507A34">
              <w:rPr>
                <w:szCs w:val="20"/>
              </w:rPr>
              <w:t xml:space="preserve"> </w:t>
            </w:r>
            <w:r w:rsidRPr="00115F14">
              <w:rPr>
                <w:szCs w:val="20"/>
              </w:rPr>
              <w:t xml:space="preserve">Uredbe 2018/1727/EU oziroma bo zagotovljena njena uporaba. </w:t>
            </w:r>
          </w:p>
          <w:p w:rsidR="00507A34" w:rsidRDefault="00507A34" w:rsidP="00B644CC">
            <w:pPr>
              <w:spacing w:line="288" w:lineRule="auto"/>
              <w:jc w:val="both"/>
              <w:rPr>
                <w:szCs w:val="20"/>
              </w:rPr>
            </w:pPr>
          </w:p>
          <w:p w:rsidR="00AE2155" w:rsidRPr="00115F14" w:rsidRDefault="00AE2155" w:rsidP="00B644CC">
            <w:pPr>
              <w:spacing w:line="288" w:lineRule="auto"/>
              <w:jc w:val="both"/>
              <w:rPr>
                <w:szCs w:val="20"/>
              </w:rPr>
            </w:pPr>
            <w:r w:rsidRPr="00115F14">
              <w:rPr>
                <w:szCs w:val="20"/>
              </w:rPr>
              <w:t xml:space="preserve">Ker Uredba 2018/1727/EU ne ureja postopka imenovanja nacionalnega predstavnika, njegovega namestnika in pomočnika, se s predlogom tega zakona določa nov postopek imenovanja in </w:t>
            </w:r>
            <w:r w:rsidRPr="00115F14">
              <w:rPr>
                <w:szCs w:val="20"/>
              </w:rPr>
              <w:lastRenderedPageBreak/>
              <w:t>podaljšuje doba imenovanja nacionalnega predstavnika in njegovega namestnika. Hkrati se urejajo tudi s tem povezana statusna delovnopravna  vprašanja, ki so predmet ureditve v nacionalnem pravnem sistemu.</w:t>
            </w:r>
          </w:p>
          <w:p w:rsidR="00AE2155" w:rsidRPr="00115F14" w:rsidRDefault="00AE2155" w:rsidP="00B644CC">
            <w:pPr>
              <w:spacing w:line="288" w:lineRule="auto"/>
              <w:jc w:val="both"/>
              <w:rPr>
                <w:szCs w:val="20"/>
              </w:rPr>
            </w:pPr>
          </w:p>
          <w:p w:rsidR="00AE2155" w:rsidRPr="00115F14" w:rsidRDefault="00AE2155" w:rsidP="00B644CC">
            <w:pPr>
              <w:spacing w:line="288" w:lineRule="auto"/>
              <w:jc w:val="both"/>
              <w:rPr>
                <w:szCs w:val="20"/>
              </w:rPr>
            </w:pPr>
            <w:r w:rsidRPr="00115F14">
              <w:rPr>
                <w:rFonts w:cs="Arial"/>
                <w:szCs w:val="20"/>
                <w:lang w:eastAsia="sl-SI"/>
              </w:rPr>
              <w:t>Predlog zakona je z organizacijsko statusnega vidika v delu, ki se nanaša na ukrepe potrebne za imenovanje in delovanje nacionalnega predstavnika, njegovega namestnika in pomočnika v Republiki Sloveniji usklajen s pravnim redom EU.</w:t>
            </w:r>
          </w:p>
          <w:bookmarkEnd w:id="29"/>
          <w:p w:rsidR="006B4D55" w:rsidRDefault="006B4D55" w:rsidP="00B644CC">
            <w:pPr>
              <w:jc w:val="both"/>
              <w:rPr>
                <w:szCs w:val="20"/>
              </w:rPr>
            </w:pPr>
          </w:p>
          <w:p w:rsidR="00547375" w:rsidRDefault="00547375" w:rsidP="00B644CC">
            <w:pPr>
              <w:jc w:val="both"/>
              <w:rPr>
                <w:szCs w:val="20"/>
              </w:rPr>
            </w:pPr>
          </w:p>
          <w:p w:rsidR="00547375" w:rsidRPr="00C923FF" w:rsidRDefault="00547375" w:rsidP="00547375">
            <w:pPr>
              <w:spacing w:line="288" w:lineRule="auto"/>
              <w:jc w:val="both"/>
              <w:rPr>
                <w:rFonts w:cs="Arial"/>
                <w:b/>
                <w:szCs w:val="20"/>
              </w:rPr>
            </w:pPr>
            <w:r w:rsidRPr="00C923FF">
              <w:rPr>
                <w:rFonts w:cs="Arial"/>
                <w:b/>
                <w:szCs w:val="20"/>
              </w:rPr>
              <w:t>6. PRESOJA POSLEDIC, KI JIH BO IMEL SPREJEM ZAKONA</w:t>
            </w:r>
          </w:p>
          <w:p w:rsidR="00547375" w:rsidRPr="00C923FF" w:rsidRDefault="00547375" w:rsidP="00547375">
            <w:pPr>
              <w:spacing w:line="288" w:lineRule="auto"/>
              <w:jc w:val="both"/>
              <w:rPr>
                <w:rFonts w:cs="Arial"/>
                <w:b/>
                <w:szCs w:val="20"/>
              </w:rPr>
            </w:pPr>
          </w:p>
          <w:p w:rsidR="00547375" w:rsidRDefault="00547375" w:rsidP="00547375">
            <w:pPr>
              <w:spacing w:line="288" w:lineRule="auto"/>
              <w:jc w:val="both"/>
              <w:rPr>
                <w:rFonts w:cs="Arial"/>
                <w:b/>
                <w:szCs w:val="20"/>
              </w:rPr>
            </w:pPr>
            <w:r w:rsidRPr="00C923FF">
              <w:rPr>
                <w:rFonts w:cs="Arial"/>
                <w:b/>
                <w:szCs w:val="20"/>
              </w:rPr>
              <w:t xml:space="preserve">6.1 Presoja administrativnih posledic </w:t>
            </w:r>
          </w:p>
          <w:p w:rsidR="00547375" w:rsidRPr="00C923FF" w:rsidRDefault="00547375" w:rsidP="00547375">
            <w:pPr>
              <w:spacing w:line="288" w:lineRule="auto"/>
              <w:ind w:left="-142"/>
              <w:jc w:val="both"/>
              <w:rPr>
                <w:rFonts w:cs="Arial"/>
                <w:b/>
                <w:szCs w:val="20"/>
              </w:rPr>
            </w:pPr>
          </w:p>
          <w:p w:rsidR="00547375" w:rsidRDefault="00547375" w:rsidP="00547375">
            <w:pPr>
              <w:spacing w:line="288" w:lineRule="auto"/>
              <w:ind w:left="37"/>
              <w:jc w:val="both"/>
              <w:rPr>
                <w:rFonts w:cs="Arial"/>
                <w:b/>
                <w:szCs w:val="20"/>
              </w:rPr>
            </w:pPr>
            <w:r w:rsidRPr="00C923FF">
              <w:rPr>
                <w:rFonts w:cs="Arial"/>
                <w:b/>
                <w:szCs w:val="20"/>
              </w:rPr>
              <w:t xml:space="preserve">a) v postopkih oziroma poslovanju javne uprave ali pravosodnih organov: </w:t>
            </w:r>
          </w:p>
          <w:p w:rsidR="00547375" w:rsidRDefault="00547375" w:rsidP="00547375">
            <w:pPr>
              <w:spacing w:line="288" w:lineRule="auto"/>
              <w:ind w:left="37"/>
              <w:jc w:val="both"/>
              <w:rPr>
                <w:rFonts w:cs="Arial"/>
                <w:b/>
                <w:szCs w:val="20"/>
              </w:rPr>
            </w:pPr>
          </w:p>
          <w:p w:rsidR="00B24032" w:rsidRDefault="00B24032" w:rsidP="00547375">
            <w:pPr>
              <w:spacing w:line="288" w:lineRule="auto"/>
              <w:ind w:left="37"/>
              <w:jc w:val="both"/>
              <w:rPr>
                <w:rFonts w:cs="Arial"/>
                <w:szCs w:val="20"/>
              </w:rPr>
            </w:pPr>
            <w:r w:rsidRPr="00667924">
              <w:rPr>
                <w:rFonts w:cs="Arial"/>
                <w:color w:val="000000" w:themeColor="text1"/>
                <w:szCs w:val="20"/>
              </w:rPr>
              <w:t>Predlog zakona nima pomembnejših posledic za poslovanje javne uprave ali pravosodnih organov</w:t>
            </w:r>
            <w:r>
              <w:rPr>
                <w:rFonts w:cs="Arial"/>
                <w:szCs w:val="20"/>
              </w:rPr>
              <w:t>. Administrativne posledice se bodo kazale zgolj v obliki notranjega poslovanja državnega tožilstva z razporejanju j</w:t>
            </w:r>
            <w:r w:rsidRPr="00115F14">
              <w:rPr>
                <w:szCs w:val="20"/>
              </w:rPr>
              <w:t>avni</w:t>
            </w:r>
            <w:r>
              <w:rPr>
                <w:szCs w:val="20"/>
              </w:rPr>
              <w:t>h</w:t>
            </w:r>
            <w:r w:rsidRPr="00115F14">
              <w:rPr>
                <w:szCs w:val="20"/>
              </w:rPr>
              <w:t xml:space="preserve"> uslužbenc</w:t>
            </w:r>
            <w:r>
              <w:rPr>
                <w:szCs w:val="20"/>
              </w:rPr>
              <w:t>ev, ki bodo</w:t>
            </w:r>
            <w:r w:rsidRPr="00115F14">
              <w:rPr>
                <w:szCs w:val="20"/>
              </w:rPr>
              <w:t xml:space="preserve"> sodel</w:t>
            </w:r>
            <w:r>
              <w:rPr>
                <w:szCs w:val="20"/>
              </w:rPr>
              <w:t xml:space="preserve">ovali </w:t>
            </w:r>
            <w:r w:rsidRPr="00115F14">
              <w:rPr>
                <w:szCs w:val="20"/>
              </w:rPr>
              <w:t>pri opravi nujnih procesnih dejanj</w:t>
            </w:r>
            <w:r w:rsidR="00547375">
              <w:rPr>
                <w:rFonts w:cs="Arial"/>
                <w:szCs w:val="20"/>
              </w:rPr>
              <w:t>.</w:t>
            </w:r>
          </w:p>
          <w:p w:rsidR="008D340F" w:rsidRDefault="008D340F" w:rsidP="00547375">
            <w:pPr>
              <w:spacing w:line="288" w:lineRule="auto"/>
              <w:ind w:left="37"/>
              <w:jc w:val="both"/>
              <w:rPr>
                <w:szCs w:val="20"/>
              </w:rPr>
            </w:pPr>
          </w:p>
          <w:p w:rsidR="00547375" w:rsidRDefault="00547375" w:rsidP="00547375">
            <w:pPr>
              <w:spacing w:line="288" w:lineRule="auto"/>
              <w:ind w:left="37"/>
              <w:jc w:val="both"/>
              <w:rPr>
                <w:szCs w:val="20"/>
              </w:rPr>
            </w:pPr>
            <w:r>
              <w:rPr>
                <w:szCs w:val="20"/>
              </w:rPr>
              <w:t xml:space="preserve">Predlog zakona ne ukinja ali odpravlja administrativnih bremen. </w:t>
            </w:r>
          </w:p>
          <w:p w:rsidR="00547375" w:rsidRDefault="00547375" w:rsidP="00547375">
            <w:pPr>
              <w:spacing w:line="288" w:lineRule="auto"/>
              <w:ind w:left="37"/>
              <w:jc w:val="both"/>
              <w:rPr>
                <w:szCs w:val="20"/>
              </w:rPr>
            </w:pPr>
          </w:p>
          <w:p w:rsidR="00547375" w:rsidRDefault="00547375" w:rsidP="00547375">
            <w:pPr>
              <w:spacing w:line="288" w:lineRule="auto"/>
              <w:ind w:left="37"/>
              <w:jc w:val="both"/>
              <w:rPr>
                <w:szCs w:val="20"/>
              </w:rPr>
            </w:pPr>
            <w:r>
              <w:rPr>
                <w:szCs w:val="20"/>
              </w:rPr>
              <w:t>Predlog zakona ne uvaja novih obveznosti za državljane oziroma druge osebe</w:t>
            </w:r>
          </w:p>
          <w:p w:rsidR="00547375" w:rsidRDefault="00547375" w:rsidP="00547375">
            <w:pPr>
              <w:pStyle w:val="Alineazaodstavkom"/>
              <w:numPr>
                <w:ilvl w:val="0"/>
                <w:numId w:val="0"/>
              </w:numPr>
              <w:spacing w:line="260" w:lineRule="exact"/>
              <w:ind w:left="37"/>
              <w:rPr>
                <w:sz w:val="20"/>
                <w:szCs w:val="20"/>
              </w:rPr>
            </w:pPr>
          </w:p>
          <w:p w:rsidR="00547375" w:rsidRPr="008E238E" w:rsidRDefault="00547375" w:rsidP="00547375">
            <w:pPr>
              <w:pStyle w:val="Alineazaodstavkom"/>
              <w:numPr>
                <w:ilvl w:val="0"/>
                <w:numId w:val="0"/>
              </w:numPr>
              <w:spacing w:line="260" w:lineRule="exact"/>
              <w:ind w:left="37"/>
              <w:rPr>
                <w:sz w:val="20"/>
                <w:szCs w:val="20"/>
              </w:rPr>
            </w:pPr>
            <w:r>
              <w:rPr>
                <w:sz w:val="20"/>
                <w:szCs w:val="20"/>
              </w:rPr>
              <w:t>Predlog zakona ne predvideva ustanovitve novih organov, reorganizacije ali ukinitve obstoječih organov.</w:t>
            </w:r>
          </w:p>
          <w:p w:rsidR="00547375" w:rsidRDefault="00547375" w:rsidP="00547375">
            <w:pPr>
              <w:pStyle w:val="Alineazaodstavkom"/>
              <w:numPr>
                <w:ilvl w:val="0"/>
                <w:numId w:val="0"/>
              </w:numPr>
              <w:spacing w:line="260" w:lineRule="exact"/>
              <w:ind w:left="37"/>
              <w:rPr>
                <w:sz w:val="20"/>
                <w:szCs w:val="20"/>
              </w:rPr>
            </w:pPr>
          </w:p>
          <w:p w:rsidR="00547375" w:rsidRPr="008D41C2" w:rsidRDefault="00547375" w:rsidP="00547375">
            <w:pPr>
              <w:pStyle w:val="Alineazaodstavkom"/>
              <w:numPr>
                <w:ilvl w:val="0"/>
                <w:numId w:val="0"/>
              </w:numPr>
              <w:spacing w:line="260" w:lineRule="exact"/>
              <w:ind w:left="37"/>
              <w:rPr>
                <w:b/>
                <w:i/>
                <w:sz w:val="20"/>
                <w:szCs w:val="20"/>
              </w:rPr>
            </w:pPr>
            <w:r w:rsidRPr="008D41C2">
              <w:rPr>
                <w:sz w:val="20"/>
                <w:szCs w:val="20"/>
              </w:rPr>
              <w:t>Zaradi izvajanja zakona bodo potrebne nove zaposlitve</w:t>
            </w:r>
            <w:r>
              <w:rPr>
                <w:b/>
                <w:i/>
                <w:sz w:val="20"/>
                <w:szCs w:val="20"/>
              </w:rPr>
              <w:t xml:space="preserve">, </w:t>
            </w:r>
            <w:r>
              <w:rPr>
                <w:sz w:val="20"/>
                <w:szCs w:val="20"/>
              </w:rPr>
              <w:t>usposabljanja ter finančna in materialna sredstva.</w:t>
            </w:r>
          </w:p>
          <w:p w:rsidR="00547375" w:rsidRPr="00C923FF" w:rsidRDefault="00547375" w:rsidP="00547375">
            <w:pPr>
              <w:spacing w:line="288" w:lineRule="auto"/>
              <w:ind w:left="37"/>
              <w:jc w:val="both"/>
              <w:rPr>
                <w:rFonts w:cs="Arial"/>
                <w:szCs w:val="20"/>
              </w:rPr>
            </w:pPr>
          </w:p>
          <w:p w:rsidR="00547375" w:rsidRDefault="00547375" w:rsidP="00547375">
            <w:pPr>
              <w:spacing w:line="288" w:lineRule="auto"/>
              <w:ind w:left="37"/>
              <w:jc w:val="both"/>
              <w:rPr>
                <w:rFonts w:cs="Arial"/>
                <w:b/>
                <w:szCs w:val="20"/>
              </w:rPr>
            </w:pPr>
            <w:r>
              <w:rPr>
                <w:rFonts w:cs="Arial"/>
                <w:b/>
                <w:szCs w:val="20"/>
              </w:rPr>
              <w:t xml:space="preserve">b) </w:t>
            </w:r>
            <w:r w:rsidRPr="00C923FF">
              <w:rPr>
                <w:rFonts w:cs="Arial"/>
                <w:b/>
                <w:szCs w:val="20"/>
              </w:rPr>
              <w:t>pri obveznostih strank do javne uprave ali pravosodnih organov:</w:t>
            </w:r>
          </w:p>
          <w:p w:rsidR="00547375" w:rsidRDefault="00547375" w:rsidP="00547375">
            <w:pPr>
              <w:spacing w:line="288" w:lineRule="auto"/>
              <w:ind w:left="37"/>
              <w:jc w:val="both"/>
              <w:rPr>
                <w:rFonts w:cs="Arial"/>
                <w:b/>
                <w:szCs w:val="20"/>
              </w:rPr>
            </w:pPr>
          </w:p>
          <w:p w:rsidR="00547375" w:rsidRDefault="00547375" w:rsidP="00547375">
            <w:pPr>
              <w:spacing w:line="288" w:lineRule="auto"/>
              <w:ind w:left="37"/>
              <w:jc w:val="both"/>
              <w:rPr>
                <w:rFonts w:cs="Arial"/>
                <w:szCs w:val="20"/>
              </w:rPr>
            </w:pPr>
            <w:r w:rsidRPr="00C923FF">
              <w:rPr>
                <w:rFonts w:cs="Arial"/>
                <w:szCs w:val="20"/>
              </w:rPr>
              <w:t xml:space="preserve">Določbe predloga zakona ne prinašajo </w:t>
            </w:r>
            <w:r>
              <w:rPr>
                <w:rFonts w:cs="Arial"/>
                <w:szCs w:val="20"/>
              </w:rPr>
              <w:t xml:space="preserve">administrativnih posledic za obveznosti strank. </w:t>
            </w:r>
          </w:p>
          <w:p w:rsidR="00547375" w:rsidRDefault="00547375" w:rsidP="00547375">
            <w:pPr>
              <w:spacing w:line="288" w:lineRule="auto"/>
              <w:ind w:left="37"/>
              <w:jc w:val="both"/>
              <w:rPr>
                <w:rFonts w:cs="Arial"/>
                <w:szCs w:val="20"/>
              </w:rPr>
            </w:pPr>
          </w:p>
          <w:p w:rsidR="00547375" w:rsidRDefault="00547375" w:rsidP="00547375">
            <w:pPr>
              <w:spacing w:line="288" w:lineRule="auto"/>
              <w:ind w:left="37"/>
              <w:jc w:val="both"/>
              <w:rPr>
                <w:rFonts w:cs="Arial"/>
                <w:szCs w:val="20"/>
              </w:rPr>
            </w:pPr>
            <w:r w:rsidRPr="008D41C2">
              <w:rPr>
                <w:rFonts w:cs="Arial"/>
                <w:szCs w:val="20"/>
              </w:rPr>
              <w:t>Predlog zakona ne predvideva povečanja stroškov strank ali njihove razbremenitve.</w:t>
            </w:r>
          </w:p>
          <w:p w:rsidR="00547375" w:rsidRDefault="00547375" w:rsidP="00547375">
            <w:pPr>
              <w:spacing w:line="288" w:lineRule="auto"/>
              <w:ind w:left="37"/>
              <w:jc w:val="both"/>
              <w:rPr>
                <w:rFonts w:cs="Arial"/>
                <w:szCs w:val="20"/>
              </w:rPr>
            </w:pPr>
          </w:p>
          <w:p w:rsidR="00547375" w:rsidRDefault="00547375" w:rsidP="00547375">
            <w:pPr>
              <w:spacing w:line="288" w:lineRule="auto"/>
              <w:ind w:left="37"/>
              <w:jc w:val="both"/>
              <w:rPr>
                <w:rFonts w:cs="Arial"/>
                <w:szCs w:val="20"/>
              </w:rPr>
            </w:pPr>
            <w:r w:rsidRPr="008D41C2">
              <w:rPr>
                <w:rFonts w:cs="Arial"/>
                <w:szCs w:val="20"/>
              </w:rPr>
              <w:t>Predlog zakona ne vpliva na čas urejanja zadev strank.</w:t>
            </w:r>
          </w:p>
          <w:p w:rsidR="00547375" w:rsidRPr="00C923FF" w:rsidRDefault="00547375" w:rsidP="00547375">
            <w:pPr>
              <w:spacing w:line="288" w:lineRule="auto"/>
              <w:ind w:left="37"/>
              <w:jc w:val="both"/>
              <w:rPr>
                <w:rFonts w:cs="Arial"/>
                <w:szCs w:val="20"/>
              </w:rPr>
            </w:pPr>
          </w:p>
          <w:p w:rsidR="00547375" w:rsidRPr="00C923FF" w:rsidRDefault="00547375" w:rsidP="00547375">
            <w:pPr>
              <w:spacing w:line="288" w:lineRule="auto"/>
              <w:ind w:left="37"/>
              <w:jc w:val="both"/>
              <w:rPr>
                <w:rFonts w:cs="Arial"/>
                <w:b/>
                <w:szCs w:val="20"/>
              </w:rPr>
            </w:pPr>
            <w:r w:rsidRPr="00C923FF">
              <w:rPr>
                <w:rFonts w:cs="Arial"/>
                <w:b/>
                <w:szCs w:val="20"/>
              </w:rPr>
              <w:t>6.2 Presoja posledic za okolje, vključno s prostorskimi in varstvenimi vidiki, in sicer za:</w:t>
            </w:r>
          </w:p>
          <w:p w:rsidR="00547375" w:rsidRPr="00C923FF" w:rsidRDefault="00547375" w:rsidP="00547375">
            <w:pPr>
              <w:spacing w:line="288" w:lineRule="auto"/>
              <w:ind w:left="37"/>
              <w:jc w:val="both"/>
              <w:rPr>
                <w:rFonts w:cs="Arial"/>
                <w:szCs w:val="20"/>
              </w:rPr>
            </w:pPr>
          </w:p>
          <w:p w:rsidR="00547375" w:rsidRPr="00C923FF" w:rsidRDefault="00547375" w:rsidP="00547375">
            <w:pPr>
              <w:spacing w:line="288" w:lineRule="auto"/>
              <w:ind w:left="37" w:right="284"/>
              <w:jc w:val="both"/>
              <w:rPr>
                <w:rFonts w:cs="Arial"/>
                <w:szCs w:val="20"/>
              </w:rPr>
            </w:pPr>
            <w:r w:rsidRPr="00C923FF">
              <w:rPr>
                <w:rFonts w:cs="Arial"/>
                <w:szCs w:val="20"/>
              </w:rPr>
              <w:t>Določbe predloga zakona ne prinašajo posledic za okolje, vključno s prostorskimi in varstvenimi vidiki.</w:t>
            </w:r>
          </w:p>
          <w:p w:rsidR="00547375" w:rsidRPr="00C923FF" w:rsidRDefault="00547375" w:rsidP="00547375">
            <w:pPr>
              <w:spacing w:line="288" w:lineRule="auto"/>
              <w:ind w:left="37"/>
              <w:jc w:val="both"/>
              <w:rPr>
                <w:rFonts w:cs="Arial"/>
                <w:szCs w:val="20"/>
              </w:rPr>
            </w:pPr>
          </w:p>
          <w:p w:rsidR="00547375" w:rsidRPr="00C923FF" w:rsidRDefault="00547375" w:rsidP="00547375">
            <w:pPr>
              <w:spacing w:line="288" w:lineRule="auto"/>
              <w:ind w:left="37"/>
              <w:jc w:val="both"/>
              <w:rPr>
                <w:rFonts w:cs="Arial"/>
                <w:b/>
                <w:szCs w:val="20"/>
              </w:rPr>
            </w:pPr>
            <w:r w:rsidRPr="00C923FF">
              <w:rPr>
                <w:rFonts w:cs="Arial"/>
                <w:b/>
                <w:szCs w:val="20"/>
              </w:rPr>
              <w:t>6.3 Presoja posledic za gospodarstvo, in sicer za:</w:t>
            </w:r>
          </w:p>
          <w:p w:rsidR="00547375" w:rsidRPr="00C923FF" w:rsidRDefault="00547375" w:rsidP="00547375">
            <w:pPr>
              <w:spacing w:line="288" w:lineRule="auto"/>
              <w:ind w:left="37"/>
              <w:jc w:val="both"/>
              <w:rPr>
                <w:rFonts w:cs="Arial"/>
                <w:szCs w:val="20"/>
              </w:rPr>
            </w:pPr>
          </w:p>
          <w:p w:rsidR="00547375" w:rsidRPr="00C923FF" w:rsidRDefault="00547375" w:rsidP="00547375">
            <w:pPr>
              <w:spacing w:line="288" w:lineRule="auto"/>
              <w:ind w:left="37"/>
              <w:jc w:val="both"/>
              <w:rPr>
                <w:rFonts w:cs="Arial"/>
                <w:szCs w:val="20"/>
              </w:rPr>
            </w:pPr>
            <w:r w:rsidRPr="00C923FF">
              <w:rPr>
                <w:rFonts w:cs="Arial"/>
                <w:szCs w:val="20"/>
              </w:rPr>
              <w:t>Določbe predloga zakona ne prinašajo posledic za gospodarstvo.</w:t>
            </w:r>
          </w:p>
          <w:p w:rsidR="00547375" w:rsidRPr="00C923FF" w:rsidRDefault="00547375" w:rsidP="00547375">
            <w:pPr>
              <w:spacing w:line="288" w:lineRule="auto"/>
              <w:ind w:left="37"/>
              <w:jc w:val="both"/>
              <w:rPr>
                <w:rFonts w:cs="Arial"/>
                <w:szCs w:val="20"/>
              </w:rPr>
            </w:pPr>
          </w:p>
          <w:p w:rsidR="00547375" w:rsidRPr="00C923FF" w:rsidRDefault="00547375" w:rsidP="00547375">
            <w:pPr>
              <w:spacing w:line="288" w:lineRule="auto"/>
              <w:ind w:left="37"/>
              <w:jc w:val="both"/>
              <w:rPr>
                <w:rFonts w:cs="Arial"/>
                <w:b/>
                <w:szCs w:val="20"/>
              </w:rPr>
            </w:pPr>
            <w:r w:rsidRPr="00C923FF">
              <w:rPr>
                <w:rFonts w:cs="Arial"/>
                <w:b/>
                <w:szCs w:val="20"/>
              </w:rPr>
              <w:t>6.4 Presoja posledic za socialno področje, in sicer za:</w:t>
            </w:r>
          </w:p>
          <w:p w:rsidR="00547375" w:rsidRDefault="00547375" w:rsidP="008D340F">
            <w:pPr>
              <w:spacing w:line="288" w:lineRule="auto"/>
              <w:jc w:val="both"/>
              <w:rPr>
                <w:rFonts w:cs="Arial"/>
                <w:szCs w:val="20"/>
              </w:rPr>
            </w:pPr>
          </w:p>
          <w:p w:rsidR="008D340F" w:rsidRPr="00C923FF" w:rsidRDefault="008D340F" w:rsidP="008D340F">
            <w:pPr>
              <w:spacing w:line="288" w:lineRule="auto"/>
              <w:ind w:left="37"/>
              <w:jc w:val="both"/>
              <w:rPr>
                <w:rFonts w:cs="Arial"/>
                <w:szCs w:val="20"/>
              </w:rPr>
            </w:pPr>
            <w:r w:rsidRPr="00C923FF">
              <w:rPr>
                <w:rFonts w:cs="Arial"/>
                <w:szCs w:val="20"/>
              </w:rPr>
              <w:t xml:space="preserve">Določbe predloga zakona ne prinašajo posledic za </w:t>
            </w:r>
            <w:r>
              <w:rPr>
                <w:rFonts w:cs="Arial"/>
                <w:szCs w:val="20"/>
              </w:rPr>
              <w:t>socialno področje</w:t>
            </w:r>
            <w:r w:rsidRPr="00C923FF">
              <w:rPr>
                <w:rFonts w:cs="Arial"/>
                <w:szCs w:val="20"/>
              </w:rPr>
              <w:t>.</w:t>
            </w:r>
          </w:p>
          <w:p w:rsidR="008D340F" w:rsidRPr="00C923FF" w:rsidRDefault="008D340F" w:rsidP="008D340F">
            <w:pPr>
              <w:spacing w:line="288" w:lineRule="auto"/>
              <w:jc w:val="both"/>
              <w:rPr>
                <w:rFonts w:cs="Arial"/>
                <w:szCs w:val="20"/>
              </w:rPr>
            </w:pPr>
          </w:p>
          <w:p w:rsidR="00547375" w:rsidRPr="00C923FF" w:rsidRDefault="00547375" w:rsidP="00547375">
            <w:pPr>
              <w:spacing w:line="288" w:lineRule="auto"/>
              <w:ind w:left="37"/>
              <w:jc w:val="both"/>
              <w:rPr>
                <w:rFonts w:cs="Arial"/>
                <w:b/>
                <w:szCs w:val="20"/>
              </w:rPr>
            </w:pPr>
            <w:r w:rsidRPr="00C923FF">
              <w:rPr>
                <w:rFonts w:cs="Arial"/>
                <w:b/>
                <w:szCs w:val="20"/>
              </w:rPr>
              <w:lastRenderedPageBreak/>
              <w:t>6.5 Presoja posledic za dokumente razvojnega načrtovanja, in sicer za:</w:t>
            </w:r>
          </w:p>
          <w:p w:rsidR="00547375" w:rsidRPr="00C923FF" w:rsidRDefault="00547375" w:rsidP="00547375">
            <w:pPr>
              <w:spacing w:line="288" w:lineRule="auto"/>
              <w:ind w:left="37"/>
              <w:jc w:val="both"/>
              <w:rPr>
                <w:rFonts w:cs="Arial"/>
                <w:szCs w:val="20"/>
              </w:rPr>
            </w:pPr>
          </w:p>
          <w:p w:rsidR="00547375" w:rsidRPr="00C923FF" w:rsidRDefault="00547375" w:rsidP="00547375">
            <w:pPr>
              <w:spacing w:line="288" w:lineRule="auto"/>
              <w:ind w:left="37"/>
              <w:jc w:val="both"/>
              <w:rPr>
                <w:rFonts w:cs="Arial"/>
                <w:szCs w:val="20"/>
              </w:rPr>
            </w:pPr>
            <w:r w:rsidRPr="00C923FF">
              <w:rPr>
                <w:rFonts w:cs="Arial"/>
                <w:szCs w:val="20"/>
              </w:rPr>
              <w:t xml:space="preserve">Določbe predloga zakona ne prinašajo posledic za dokumente razvojnega načrtovanja. </w:t>
            </w:r>
          </w:p>
          <w:p w:rsidR="00547375" w:rsidRPr="00C923FF" w:rsidRDefault="00547375" w:rsidP="00547375">
            <w:pPr>
              <w:spacing w:line="288" w:lineRule="auto"/>
              <w:ind w:left="37"/>
              <w:jc w:val="both"/>
              <w:rPr>
                <w:rFonts w:cs="Arial"/>
                <w:szCs w:val="20"/>
              </w:rPr>
            </w:pPr>
          </w:p>
          <w:p w:rsidR="00547375" w:rsidRPr="00C923FF" w:rsidRDefault="00547375" w:rsidP="00547375">
            <w:pPr>
              <w:spacing w:line="288" w:lineRule="auto"/>
              <w:ind w:left="37"/>
              <w:jc w:val="both"/>
              <w:rPr>
                <w:rFonts w:cs="Arial"/>
                <w:b/>
                <w:szCs w:val="20"/>
              </w:rPr>
            </w:pPr>
            <w:r w:rsidRPr="00C923FF">
              <w:rPr>
                <w:rFonts w:cs="Arial"/>
                <w:b/>
                <w:szCs w:val="20"/>
              </w:rPr>
              <w:t>6.6 Presoja posledic za druga področja</w:t>
            </w:r>
          </w:p>
          <w:p w:rsidR="00547375" w:rsidRDefault="00547375" w:rsidP="00547375">
            <w:pPr>
              <w:pStyle w:val="Alineazaodstavkom"/>
              <w:numPr>
                <w:ilvl w:val="0"/>
                <w:numId w:val="0"/>
              </w:numPr>
              <w:spacing w:line="260" w:lineRule="exact"/>
              <w:ind w:left="37"/>
              <w:rPr>
                <w:sz w:val="20"/>
                <w:szCs w:val="20"/>
              </w:rPr>
            </w:pPr>
          </w:p>
          <w:p w:rsidR="00547375" w:rsidRPr="00084A2C" w:rsidRDefault="00547375" w:rsidP="00547375">
            <w:pPr>
              <w:pStyle w:val="Alineazaodstavkom"/>
              <w:numPr>
                <w:ilvl w:val="0"/>
                <w:numId w:val="0"/>
              </w:numPr>
              <w:spacing w:line="260" w:lineRule="exact"/>
              <w:ind w:left="37"/>
              <w:rPr>
                <w:sz w:val="20"/>
                <w:szCs w:val="20"/>
              </w:rPr>
            </w:pPr>
            <w:r>
              <w:rPr>
                <w:sz w:val="20"/>
                <w:szCs w:val="20"/>
              </w:rPr>
              <w:t>Določbe predloga zakona ne prinašajo posledic za druga področja.</w:t>
            </w:r>
          </w:p>
          <w:p w:rsidR="00547375" w:rsidRPr="00C923FF" w:rsidRDefault="00547375" w:rsidP="00547375">
            <w:pPr>
              <w:spacing w:line="288" w:lineRule="auto"/>
              <w:ind w:left="37"/>
              <w:jc w:val="both"/>
              <w:rPr>
                <w:rFonts w:cs="Arial"/>
                <w:szCs w:val="20"/>
              </w:rPr>
            </w:pPr>
          </w:p>
          <w:p w:rsidR="00547375" w:rsidRPr="00C923FF" w:rsidRDefault="00547375" w:rsidP="00547375">
            <w:pPr>
              <w:spacing w:line="288" w:lineRule="auto"/>
              <w:ind w:left="37"/>
              <w:jc w:val="both"/>
              <w:rPr>
                <w:rFonts w:cs="Arial"/>
                <w:b/>
                <w:szCs w:val="20"/>
              </w:rPr>
            </w:pPr>
            <w:r w:rsidRPr="00C923FF">
              <w:rPr>
                <w:rFonts w:cs="Arial"/>
                <w:b/>
                <w:szCs w:val="20"/>
              </w:rPr>
              <w:t>6.7 Izvajanje sprejetega predpisa:</w:t>
            </w:r>
          </w:p>
          <w:p w:rsidR="00547375" w:rsidRPr="00C923FF" w:rsidRDefault="00547375" w:rsidP="00547375">
            <w:pPr>
              <w:spacing w:line="288" w:lineRule="auto"/>
              <w:ind w:left="37"/>
              <w:jc w:val="both"/>
              <w:rPr>
                <w:rFonts w:cs="Arial"/>
                <w:szCs w:val="20"/>
              </w:rPr>
            </w:pPr>
          </w:p>
          <w:p w:rsidR="00547375" w:rsidRPr="00C923FF" w:rsidRDefault="00547375" w:rsidP="00547375">
            <w:pPr>
              <w:numPr>
                <w:ilvl w:val="0"/>
                <w:numId w:val="39"/>
              </w:numPr>
              <w:spacing w:line="288" w:lineRule="auto"/>
              <w:ind w:left="37"/>
              <w:jc w:val="both"/>
              <w:rPr>
                <w:rFonts w:cs="Arial"/>
                <w:b/>
                <w:szCs w:val="20"/>
              </w:rPr>
            </w:pPr>
            <w:r w:rsidRPr="00C923FF">
              <w:rPr>
                <w:rFonts w:cs="Arial"/>
                <w:b/>
                <w:szCs w:val="20"/>
              </w:rPr>
              <w:t>Predstavitev sprejetega zakona:</w:t>
            </w:r>
          </w:p>
          <w:p w:rsidR="00547375" w:rsidRDefault="00547375" w:rsidP="00547375">
            <w:pPr>
              <w:spacing w:line="288" w:lineRule="auto"/>
              <w:ind w:left="37"/>
              <w:jc w:val="both"/>
              <w:rPr>
                <w:szCs w:val="20"/>
              </w:rPr>
            </w:pPr>
          </w:p>
          <w:p w:rsidR="00547375" w:rsidRDefault="00547375" w:rsidP="00547375">
            <w:pPr>
              <w:spacing w:line="288" w:lineRule="auto"/>
              <w:ind w:left="37"/>
              <w:jc w:val="both"/>
              <w:rPr>
                <w:szCs w:val="20"/>
              </w:rPr>
            </w:pPr>
            <w:r>
              <w:rPr>
                <w:szCs w:val="20"/>
              </w:rPr>
              <w:t>Sprejeti zakon bo v skladu z ustaljeno prakso predstavljen državnim tožilcem na usposabljanjih, ki jih organizira Center za izobraževanje v pravosodju.</w:t>
            </w:r>
          </w:p>
          <w:p w:rsidR="00547375" w:rsidRPr="00C923FF" w:rsidRDefault="00547375" w:rsidP="00547375">
            <w:pPr>
              <w:spacing w:line="288" w:lineRule="auto"/>
              <w:ind w:left="37"/>
              <w:jc w:val="both"/>
              <w:rPr>
                <w:rFonts w:cs="Arial"/>
                <w:szCs w:val="20"/>
              </w:rPr>
            </w:pPr>
          </w:p>
          <w:p w:rsidR="00547375" w:rsidRPr="00C923FF" w:rsidRDefault="00547375" w:rsidP="00547375">
            <w:pPr>
              <w:numPr>
                <w:ilvl w:val="0"/>
                <w:numId w:val="39"/>
              </w:numPr>
              <w:spacing w:line="288" w:lineRule="auto"/>
              <w:ind w:left="37"/>
              <w:jc w:val="both"/>
              <w:rPr>
                <w:rFonts w:cs="Arial"/>
                <w:b/>
                <w:szCs w:val="20"/>
              </w:rPr>
            </w:pPr>
            <w:r w:rsidRPr="00C923FF">
              <w:rPr>
                <w:rFonts w:cs="Arial"/>
                <w:b/>
                <w:szCs w:val="20"/>
              </w:rPr>
              <w:t>Spremljanje izvajanja sprejetega predpisa:</w:t>
            </w:r>
          </w:p>
          <w:p w:rsidR="00547375" w:rsidRPr="00C923FF" w:rsidRDefault="00547375" w:rsidP="00547375">
            <w:pPr>
              <w:spacing w:line="288" w:lineRule="auto"/>
              <w:ind w:left="37"/>
              <w:jc w:val="both"/>
              <w:rPr>
                <w:rFonts w:cs="Arial"/>
                <w:szCs w:val="20"/>
              </w:rPr>
            </w:pPr>
          </w:p>
          <w:p w:rsidR="00547375" w:rsidRPr="00C923FF" w:rsidRDefault="00547375" w:rsidP="00547375">
            <w:pPr>
              <w:spacing w:line="288" w:lineRule="auto"/>
              <w:ind w:left="37"/>
              <w:jc w:val="both"/>
              <w:rPr>
                <w:rFonts w:cs="Arial"/>
                <w:szCs w:val="20"/>
              </w:rPr>
            </w:pPr>
            <w:r w:rsidRPr="00C923FF">
              <w:rPr>
                <w:rFonts w:cs="Arial"/>
                <w:szCs w:val="20"/>
              </w:rPr>
              <w:t>Ministrstvo za pravosodje bo v skladu s svojimi pristojnostmi spremljalo izvajanje</w:t>
            </w:r>
            <w:r>
              <w:rPr>
                <w:rFonts w:cs="Arial"/>
                <w:szCs w:val="20"/>
              </w:rPr>
              <w:t xml:space="preserve"> Uredbe </w:t>
            </w:r>
            <w:r w:rsidR="008D340F" w:rsidRPr="00115F14">
              <w:rPr>
                <w:rFonts w:eastAsia="Calibri" w:cs="Arial"/>
                <w:szCs w:val="20"/>
              </w:rPr>
              <w:t>2018/1727/EU</w:t>
            </w:r>
            <w:r w:rsidR="008D340F">
              <w:rPr>
                <w:rFonts w:eastAsia="Calibri" w:cs="Arial"/>
                <w:szCs w:val="20"/>
              </w:rPr>
              <w:t xml:space="preserve"> </w:t>
            </w:r>
            <w:r>
              <w:rPr>
                <w:rFonts w:cs="Arial"/>
                <w:szCs w:val="20"/>
              </w:rPr>
              <w:t>v praksi</w:t>
            </w:r>
            <w:r w:rsidR="008316DB">
              <w:rPr>
                <w:rFonts w:cs="Arial"/>
                <w:szCs w:val="20"/>
              </w:rPr>
              <w:t>.</w:t>
            </w:r>
          </w:p>
          <w:p w:rsidR="008D340F" w:rsidRPr="00C923FF" w:rsidRDefault="008D340F" w:rsidP="008D340F">
            <w:pPr>
              <w:spacing w:line="288" w:lineRule="auto"/>
              <w:jc w:val="both"/>
              <w:rPr>
                <w:rFonts w:cs="Arial"/>
                <w:szCs w:val="20"/>
              </w:rPr>
            </w:pPr>
          </w:p>
          <w:p w:rsidR="00547375" w:rsidRPr="00C923FF" w:rsidRDefault="00547375" w:rsidP="00547375">
            <w:pPr>
              <w:spacing w:line="288" w:lineRule="auto"/>
              <w:ind w:left="37"/>
              <w:jc w:val="both"/>
              <w:rPr>
                <w:rFonts w:cs="Arial"/>
                <w:szCs w:val="20"/>
              </w:rPr>
            </w:pPr>
            <w:r w:rsidRPr="00C923FF">
              <w:rPr>
                <w:rFonts w:cs="Arial"/>
                <w:szCs w:val="20"/>
              </w:rPr>
              <w:t>Glede na vsebino predloga zakona ne bo potrebna priprava poročil. Če bodo v praksi ugotovljene pomanjkljivosti predlaganih določb, bo Ministrstvo za pravosodje to ugotovilo v sodelovanju s pristojnimi organi.</w:t>
            </w:r>
          </w:p>
          <w:p w:rsidR="00547375" w:rsidRPr="00C923FF" w:rsidRDefault="00547375" w:rsidP="00547375">
            <w:pPr>
              <w:spacing w:line="288" w:lineRule="auto"/>
              <w:ind w:left="37"/>
              <w:jc w:val="both"/>
              <w:rPr>
                <w:rFonts w:cs="Arial"/>
                <w:szCs w:val="20"/>
              </w:rPr>
            </w:pPr>
          </w:p>
          <w:p w:rsidR="00547375" w:rsidRPr="00C923FF" w:rsidRDefault="00547375" w:rsidP="00547375">
            <w:pPr>
              <w:spacing w:line="288" w:lineRule="auto"/>
              <w:ind w:left="37"/>
              <w:jc w:val="both"/>
              <w:rPr>
                <w:rFonts w:cs="Arial"/>
                <w:szCs w:val="20"/>
              </w:rPr>
            </w:pPr>
            <w:r>
              <w:rPr>
                <w:rFonts w:cs="Arial"/>
                <w:szCs w:val="20"/>
              </w:rPr>
              <w:t>Upoštevaje statusno in organizacijsko</w:t>
            </w:r>
            <w:r w:rsidRPr="00C923FF">
              <w:rPr>
                <w:rFonts w:cs="Arial"/>
                <w:szCs w:val="20"/>
              </w:rPr>
              <w:t xml:space="preserve"> vsebino predloga</w:t>
            </w:r>
            <w:r>
              <w:rPr>
                <w:rFonts w:cs="Arial"/>
                <w:szCs w:val="20"/>
              </w:rPr>
              <w:t xml:space="preserve"> zakona</w:t>
            </w:r>
            <w:r w:rsidRPr="00C923FF">
              <w:rPr>
                <w:rFonts w:cs="Arial"/>
                <w:szCs w:val="20"/>
              </w:rPr>
              <w:t>, poročila o izvajanju zakona in doseženih ciljih niso potrebna.</w:t>
            </w:r>
          </w:p>
          <w:p w:rsidR="00547375" w:rsidRPr="00C923FF" w:rsidRDefault="00547375" w:rsidP="00547375">
            <w:pPr>
              <w:spacing w:line="288" w:lineRule="auto"/>
              <w:ind w:left="37"/>
              <w:jc w:val="both"/>
              <w:rPr>
                <w:rFonts w:cs="Arial"/>
                <w:szCs w:val="20"/>
              </w:rPr>
            </w:pPr>
          </w:p>
          <w:p w:rsidR="00547375" w:rsidRPr="00C923FF" w:rsidRDefault="00547375" w:rsidP="00547375">
            <w:pPr>
              <w:spacing w:line="288" w:lineRule="auto"/>
              <w:ind w:left="37"/>
              <w:jc w:val="both"/>
              <w:rPr>
                <w:rFonts w:cs="Arial"/>
                <w:b/>
                <w:szCs w:val="20"/>
              </w:rPr>
            </w:pPr>
            <w:r w:rsidRPr="00C923FF">
              <w:rPr>
                <w:rFonts w:cs="Arial"/>
                <w:b/>
                <w:szCs w:val="20"/>
              </w:rPr>
              <w:t>6.8 Druge pomembne okoliščine v zvezi z vprašanji, ki jih ureja predlog zakona</w:t>
            </w:r>
          </w:p>
          <w:p w:rsidR="00547375" w:rsidRPr="00C923FF" w:rsidRDefault="00547375" w:rsidP="00547375">
            <w:pPr>
              <w:spacing w:line="288" w:lineRule="auto"/>
              <w:ind w:left="37"/>
              <w:jc w:val="both"/>
              <w:rPr>
                <w:rFonts w:cs="Arial"/>
                <w:szCs w:val="20"/>
              </w:rPr>
            </w:pPr>
          </w:p>
          <w:p w:rsidR="00547375" w:rsidRPr="00C923FF" w:rsidRDefault="00547375" w:rsidP="00547375">
            <w:pPr>
              <w:spacing w:line="288" w:lineRule="auto"/>
              <w:ind w:left="37"/>
              <w:jc w:val="both"/>
              <w:rPr>
                <w:rFonts w:cs="Arial"/>
                <w:b/>
                <w:szCs w:val="20"/>
              </w:rPr>
            </w:pPr>
            <w:r w:rsidRPr="00C923FF">
              <w:rPr>
                <w:rFonts w:cs="Arial"/>
                <w:b/>
                <w:szCs w:val="20"/>
              </w:rPr>
              <w:t>7. PRIKAZ SODELOVANJA JAVNOSTI PRI PRIPRAVI PREDLOGA ZAKONA:</w:t>
            </w:r>
          </w:p>
          <w:p w:rsidR="00547375" w:rsidRPr="00C923FF" w:rsidRDefault="00547375" w:rsidP="00547375">
            <w:pPr>
              <w:spacing w:line="288" w:lineRule="auto"/>
              <w:ind w:left="37"/>
              <w:jc w:val="both"/>
              <w:rPr>
                <w:rFonts w:cs="Arial"/>
                <w:szCs w:val="20"/>
              </w:rPr>
            </w:pPr>
          </w:p>
          <w:p w:rsidR="008D340F" w:rsidRDefault="008D340F" w:rsidP="008D340F">
            <w:pPr>
              <w:widowControl w:val="0"/>
              <w:overflowPunct w:val="0"/>
              <w:autoSpaceDE w:val="0"/>
              <w:autoSpaceDN w:val="0"/>
              <w:adjustRightInd w:val="0"/>
              <w:spacing w:line="288" w:lineRule="auto"/>
              <w:jc w:val="both"/>
              <w:textAlignment w:val="baseline"/>
              <w:rPr>
                <w:rFonts w:cs="Arial"/>
                <w:iCs/>
                <w:szCs w:val="20"/>
                <w:lang w:eastAsia="sl-SI"/>
              </w:rPr>
            </w:pPr>
            <w:r w:rsidRPr="009809C0">
              <w:rPr>
                <w:rFonts w:cs="Arial"/>
                <w:iCs/>
                <w:szCs w:val="20"/>
                <w:lang w:eastAsia="sl-SI"/>
              </w:rPr>
              <w:t xml:space="preserve">V </w:t>
            </w:r>
            <w:r>
              <w:rPr>
                <w:rFonts w:cs="Arial"/>
                <w:iCs/>
                <w:szCs w:val="20"/>
                <w:lang w:eastAsia="sl-SI"/>
              </w:rPr>
              <w:t xml:space="preserve">strokovno razpravo glede predlaganih rešitev </w:t>
            </w:r>
            <w:r w:rsidRPr="009809C0">
              <w:rPr>
                <w:rFonts w:cs="Arial"/>
                <w:iCs/>
                <w:szCs w:val="20"/>
                <w:lang w:eastAsia="sl-SI"/>
              </w:rPr>
              <w:t xml:space="preserve">so bili vključeni </w:t>
            </w:r>
            <w:r>
              <w:rPr>
                <w:rFonts w:cs="Arial"/>
                <w:iCs/>
                <w:szCs w:val="20"/>
                <w:lang w:eastAsia="sl-SI"/>
              </w:rPr>
              <w:t>Vrhovno državno tožilstvo, Državnotožilski svet, Društvo državnih tožilcev Slovenije in Sindikat delavcev v pravosodju.</w:t>
            </w:r>
          </w:p>
          <w:p w:rsidR="008D340F" w:rsidRDefault="008D340F" w:rsidP="008D340F">
            <w:pPr>
              <w:widowControl w:val="0"/>
              <w:overflowPunct w:val="0"/>
              <w:autoSpaceDE w:val="0"/>
              <w:autoSpaceDN w:val="0"/>
              <w:adjustRightInd w:val="0"/>
              <w:spacing w:line="288" w:lineRule="auto"/>
              <w:jc w:val="both"/>
              <w:textAlignment w:val="baseline"/>
              <w:rPr>
                <w:rFonts w:cs="Arial"/>
                <w:iCs/>
                <w:szCs w:val="20"/>
                <w:lang w:eastAsia="sl-SI"/>
              </w:rPr>
            </w:pPr>
          </w:p>
          <w:p w:rsidR="008D340F" w:rsidRDefault="008D340F" w:rsidP="008D340F">
            <w:pPr>
              <w:widowControl w:val="0"/>
              <w:overflowPunct w:val="0"/>
              <w:autoSpaceDE w:val="0"/>
              <w:autoSpaceDN w:val="0"/>
              <w:adjustRightInd w:val="0"/>
              <w:spacing w:line="288" w:lineRule="auto"/>
              <w:jc w:val="both"/>
              <w:textAlignment w:val="baseline"/>
              <w:rPr>
                <w:rFonts w:cs="Arial"/>
                <w:iCs/>
                <w:szCs w:val="20"/>
                <w:lang w:eastAsia="sl-SI"/>
              </w:rPr>
            </w:pPr>
            <w:r>
              <w:rPr>
                <w:rFonts w:cs="Arial"/>
                <w:iCs/>
                <w:szCs w:val="20"/>
                <w:lang w:eastAsia="sl-SI"/>
              </w:rPr>
              <w:t>D</w:t>
            </w:r>
            <w:r w:rsidRPr="00AA1CCE">
              <w:rPr>
                <w:rFonts w:cs="Arial"/>
                <w:iCs/>
                <w:szCs w:val="20"/>
                <w:lang w:eastAsia="sl-SI"/>
              </w:rPr>
              <w:t xml:space="preserve">ne 18. 11. 2019 </w:t>
            </w:r>
            <w:r>
              <w:rPr>
                <w:rFonts w:cs="Arial"/>
                <w:iCs/>
                <w:szCs w:val="20"/>
                <w:lang w:eastAsia="sl-SI"/>
              </w:rPr>
              <w:t xml:space="preserve">je bil </w:t>
            </w:r>
            <w:r w:rsidRPr="00AA1CCE">
              <w:rPr>
                <w:rFonts w:cs="Arial"/>
                <w:iCs/>
                <w:szCs w:val="20"/>
                <w:lang w:eastAsia="sl-SI"/>
              </w:rPr>
              <w:t xml:space="preserve">opravljen sestanek s predstavniki Ministrstva za javno upravo glede možnih rešitev normativnega urejanja sodelovanja državnotožilskega osebja pri delu v dežurni službi državnega tožilstva in ureditve plačila za opravljeno delo v okviru enotnega plačnega sistema za javni sektor. </w:t>
            </w:r>
            <w:r>
              <w:rPr>
                <w:rFonts w:cs="Arial"/>
                <w:iCs/>
                <w:szCs w:val="20"/>
                <w:lang w:eastAsia="sl-SI"/>
              </w:rPr>
              <w:t xml:space="preserve">Dne </w:t>
            </w:r>
            <w:r w:rsidRPr="00AA1CCE">
              <w:rPr>
                <w:rFonts w:cs="Arial"/>
                <w:iCs/>
                <w:szCs w:val="20"/>
                <w:lang w:eastAsia="sl-SI"/>
              </w:rPr>
              <w:t>11. 12. 2019</w:t>
            </w:r>
            <w:r>
              <w:rPr>
                <w:rFonts w:cs="Arial"/>
                <w:iCs/>
                <w:szCs w:val="20"/>
                <w:lang w:eastAsia="sl-SI"/>
              </w:rPr>
              <w:t xml:space="preserve"> je sledil sestanek </w:t>
            </w:r>
            <w:r w:rsidRPr="00AA1CCE">
              <w:rPr>
                <w:rFonts w:cs="Arial"/>
                <w:iCs/>
                <w:szCs w:val="20"/>
                <w:lang w:eastAsia="sl-SI"/>
              </w:rPr>
              <w:t>s predstavniki Vrhovnega državnega tožilstva Republike Slovenije</w:t>
            </w:r>
            <w:r>
              <w:rPr>
                <w:rFonts w:cs="Arial"/>
                <w:iCs/>
                <w:szCs w:val="20"/>
                <w:lang w:eastAsia="sl-SI"/>
              </w:rPr>
              <w:t>.</w:t>
            </w:r>
            <w:r w:rsidR="00252372">
              <w:rPr>
                <w:rFonts w:cs="Arial"/>
                <w:iCs/>
                <w:szCs w:val="20"/>
                <w:lang w:eastAsia="sl-SI"/>
              </w:rPr>
              <w:t xml:space="preserve"> </w:t>
            </w:r>
            <w:r>
              <w:rPr>
                <w:rFonts w:cs="Arial"/>
                <w:iCs/>
                <w:szCs w:val="20"/>
                <w:lang w:eastAsia="sl-SI"/>
              </w:rPr>
              <w:t>Z</w:t>
            </w:r>
            <w:r w:rsidRPr="00AA1CCE">
              <w:rPr>
                <w:rFonts w:cs="Arial"/>
                <w:iCs/>
                <w:szCs w:val="20"/>
                <w:lang w:eastAsia="sl-SI"/>
              </w:rPr>
              <w:t xml:space="preserve"> namenom izmenjave strokovnih stališč glede nakazane rešitve za potrebe nadaljnje priprave strokovnega gradiva</w:t>
            </w:r>
            <w:r>
              <w:rPr>
                <w:rFonts w:cs="Arial"/>
                <w:iCs/>
                <w:szCs w:val="20"/>
                <w:lang w:eastAsia="sl-SI"/>
              </w:rPr>
              <w:t xml:space="preserve"> je bil dne 8. 1. 2020 izveden sestanek s </w:t>
            </w:r>
            <w:r w:rsidRPr="00AA1CCE">
              <w:rPr>
                <w:rFonts w:cs="Arial"/>
                <w:iCs/>
                <w:szCs w:val="20"/>
                <w:lang w:eastAsia="sl-SI"/>
              </w:rPr>
              <w:t>predstavniki Sindikata delavcev v pravosodju</w:t>
            </w:r>
            <w:r>
              <w:rPr>
                <w:rFonts w:cs="Arial"/>
                <w:iCs/>
                <w:szCs w:val="20"/>
                <w:lang w:eastAsia="sl-SI"/>
              </w:rPr>
              <w:t xml:space="preserve">. </w:t>
            </w:r>
          </w:p>
          <w:p w:rsidR="008D340F" w:rsidRDefault="008D340F" w:rsidP="008D340F">
            <w:pPr>
              <w:widowControl w:val="0"/>
              <w:overflowPunct w:val="0"/>
              <w:autoSpaceDE w:val="0"/>
              <w:autoSpaceDN w:val="0"/>
              <w:adjustRightInd w:val="0"/>
              <w:spacing w:line="288" w:lineRule="auto"/>
              <w:jc w:val="both"/>
              <w:textAlignment w:val="baseline"/>
              <w:rPr>
                <w:rFonts w:cs="Arial"/>
                <w:iCs/>
                <w:szCs w:val="20"/>
                <w:lang w:eastAsia="sl-SI"/>
              </w:rPr>
            </w:pPr>
          </w:p>
          <w:p w:rsidR="008D340F" w:rsidRPr="00252372" w:rsidRDefault="00252372" w:rsidP="00252372">
            <w:pPr>
              <w:widowControl w:val="0"/>
              <w:overflowPunct w:val="0"/>
              <w:autoSpaceDE w:val="0"/>
              <w:autoSpaceDN w:val="0"/>
              <w:adjustRightInd w:val="0"/>
              <w:spacing w:line="288" w:lineRule="auto"/>
              <w:jc w:val="both"/>
              <w:textAlignment w:val="baseline"/>
              <w:rPr>
                <w:rFonts w:cs="Arial"/>
                <w:iCs/>
                <w:szCs w:val="20"/>
                <w:lang w:eastAsia="sl-SI"/>
              </w:rPr>
            </w:pPr>
            <w:r>
              <w:rPr>
                <w:rFonts w:cs="Arial"/>
                <w:iCs/>
                <w:szCs w:val="20"/>
                <w:lang w:eastAsia="sl-SI"/>
              </w:rPr>
              <w:t>G</w:t>
            </w:r>
            <w:r w:rsidR="008D340F">
              <w:rPr>
                <w:rFonts w:cs="Arial"/>
                <w:iCs/>
                <w:szCs w:val="20"/>
                <w:lang w:eastAsia="sl-SI"/>
              </w:rPr>
              <w:t xml:space="preserve">radivo delovnega osnutka zakona </w:t>
            </w:r>
            <w:r>
              <w:rPr>
                <w:rFonts w:cs="Arial"/>
                <w:iCs/>
                <w:szCs w:val="20"/>
                <w:lang w:eastAsia="sl-SI"/>
              </w:rPr>
              <w:t xml:space="preserve">je bilo dne 28. 2. 2020 </w:t>
            </w:r>
            <w:r w:rsidR="008D340F">
              <w:rPr>
                <w:rFonts w:cs="Arial"/>
                <w:iCs/>
                <w:szCs w:val="20"/>
                <w:lang w:eastAsia="sl-SI"/>
              </w:rPr>
              <w:t>posredovano v strokovno usklajevanje Vrhovnemu državnemu tožilstvu,</w:t>
            </w:r>
            <w:r>
              <w:rPr>
                <w:rFonts w:cs="Arial"/>
                <w:iCs/>
                <w:szCs w:val="20"/>
                <w:lang w:eastAsia="sl-SI"/>
              </w:rPr>
              <w:t xml:space="preserve"> </w:t>
            </w:r>
            <w:r w:rsidR="008D340F">
              <w:rPr>
                <w:rFonts w:cs="Arial"/>
                <w:iCs/>
                <w:szCs w:val="20"/>
                <w:lang w:eastAsia="sl-SI"/>
              </w:rPr>
              <w:t>Državnotožilskemu svetu, Društvu državnih tožilcev Slovenije in Sindikatu delavcev v pravosodju</w:t>
            </w:r>
            <w:r>
              <w:rPr>
                <w:rFonts w:cs="Arial"/>
                <w:iCs/>
                <w:szCs w:val="20"/>
                <w:lang w:eastAsia="sl-SI"/>
              </w:rPr>
              <w:t xml:space="preserve">, dne 3. 3. 2020 pa tudi </w:t>
            </w:r>
            <w:r w:rsidR="008D340F">
              <w:rPr>
                <w:rFonts w:cs="Arial"/>
                <w:iCs/>
                <w:szCs w:val="20"/>
                <w:lang w:eastAsia="sl-SI"/>
              </w:rPr>
              <w:t>Ministrstvu za javno upravo in Računskemu sodišču.</w:t>
            </w:r>
            <w:r>
              <w:rPr>
                <w:rFonts w:cs="Arial"/>
                <w:iCs/>
                <w:szCs w:val="20"/>
                <w:lang w:eastAsia="sl-SI"/>
              </w:rPr>
              <w:t xml:space="preserve"> </w:t>
            </w:r>
            <w:r w:rsidR="008D340F" w:rsidRPr="009809C0">
              <w:rPr>
                <w:rFonts w:cs="Arial"/>
                <w:szCs w:val="20"/>
              </w:rPr>
              <w:t>Besedilo predloga zakona pa je bilo strokovno usklajevano tudi na sestanku dne 14. 5. 2020 s predstavniki Vrhovnega državnega tožilstva</w:t>
            </w:r>
            <w:r w:rsidR="008D340F">
              <w:rPr>
                <w:rFonts w:cs="Arial"/>
                <w:szCs w:val="20"/>
              </w:rPr>
              <w:t xml:space="preserve">, </w:t>
            </w:r>
            <w:r w:rsidR="008D340F" w:rsidRPr="009809C0">
              <w:rPr>
                <w:rFonts w:cs="Arial"/>
                <w:szCs w:val="20"/>
              </w:rPr>
              <w:t>Državnotožilskega sveta</w:t>
            </w:r>
            <w:r w:rsidR="008D340F">
              <w:rPr>
                <w:rFonts w:cs="Arial"/>
                <w:szCs w:val="20"/>
              </w:rPr>
              <w:t xml:space="preserve"> in Društva državnih tožilcev Slovenije</w:t>
            </w:r>
            <w:r w:rsidR="008D340F" w:rsidRPr="009809C0">
              <w:rPr>
                <w:rFonts w:cs="Arial"/>
                <w:szCs w:val="20"/>
              </w:rPr>
              <w:t xml:space="preserve"> ter dne 18. 5. 2020 s predstavniki Ministrstva za javno upravo. </w:t>
            </w:r>
          </w:p>
          <w:p w:rsidR="008D340F" w:rsidRPr="009809C0" w:rsidRDefault="008D340F" w:rsidP="008D340F">
            <w:pPr>
              <w:widowControl w:val="0"/>
              <w:overflowPunct w:val="0"/>
              <w:autoSpaceDE w:val="0"/>
              <w:autoSpaceDN w:val="0"/>
              <w:adjustRightInd w:val="0"/>
              <w:spacing w:line="260" w:lineRule="exact"/>
              <w:jc w:val="both"/>
              <w:textAlignment w:val="baseline"/>
              <w:rPr>
                <w:rFonts w:cs="Arial"/>
                <w:iCs/>
                <w:szCs w:val="20"/>
                <w:lang w:eastAsia="sl-SI"/>
              </w:rPr>
            </w:pPr>
          </w:p>
          <w:p w:rsidR="00547375" w:rsidRDefault="003B1DC1" w:rsidP="003B1DC1">
            <w:pPr>
              <w:widowControl w:val="0"/>
              <w:overflowPunct w:val="0"/>
              <w:autoSpaceDE w:val="0"/>
              <w:autoSpaceDN w:val="0"/>
              <w:adjustRightInd w:val="0"/>
              <w:spacing w:line="260" w:lineRule="exact"/>
              <w:jc w:val="both"/>
              <w:textAlignment w:val="baseline"/>
              <w:rPr>
                <w:rFonts w:cs="Arial"/>
                <w:iCs/>
                <w:szCs w:val="20"/>
                <w:lang w:eastAsia="sl-SI"/>
              </w:rPr>
            </w:pPr>
            <w:r>
              <w:rPr>
                <w:rFonts w:cs="Arial"/>
                <w:iCs/>
                <w:szCs w:val="20"/>
                <w:lang w:eastAsia="sl-SI"/>
              </w:rPr>
              <w:lastRenderedPageBreak/>
              <w:t xml:space="preserve">Končno besedilo predloga zakona je bilo </w:t>
            </w:r>
            <w:r w:rsidR="008D340F">
              <w:rPr>
                <w:rFonts w:cs="Arial"/>
                <w:iCs/>
                <w:szCs w:val="20"/>
                <w:lang w:eastAsia="sl-SI"/>
              </w:rPr>
              <w:t xml:space="preserve">ponovno </w:t>
            </w:r>
            <w:r w:rsidR="008D340F" w:rsidRPr="009809C0">
              <w:rPr>
                <w:rFonts w:cs="Arial"/>
                <w:iCs/>
                <w:szCs w:val="20"/>
                <w:lang w:eastAsia="sl-SI"/>
              </w:rPr>
              <w:t>strokovn</w:t>
            </w:r>
            <w:r w:rsidR="008D340F">
              <w:rPr>
                <w:rFonts w:cs="Arial"/>
                <w:iCs/>
                <w:szCs w:val="20"/>
                <w:lang w:eastAsia="sl-SI"/>
              </w:rPr>
              <w:t>o</w:t>
            </w:r>
            <w:r w:rsidR="008D340F" w:rsidRPr="009809C0">
              <w:rPr>
                <w:rFonts w:cs="Arial"/>
                <w:iCs/>
                <w:szCs w:val="20"/>
                <w:lang w:eastAsia="sl-SI"/>
              </w:rPr>
              <w:t xml:space="preserve"> usklajevanj</w:t>
            </w:r>
            <w:r w:rsidR="008D340F">
              <w:rPr>
                <w:rFonts w:cs="Arial"/>
                <w:iCs/>
                <w:szCs w:val="20"/>
                <w:lang w:eastAsia="sl-SI"/>
              </w:rPr>
              <w:t>e</w:t>
            </w:r>
            <w:r w:rsidR="008D340F" w:rsidRPr="009809C0">
              <w:rPr>
                <w:rFonts w:cs="Arial"/>
                <w:iCs/>
                <w:szCs w:val="20"/>
                <w:lang w:eastAsia="sl-SI"/>
              </w:rPr>
              <w:t xml:space="preserve"> dne </w:t>
            </w:r>
            <w:r w:rsidR="008D340F">
              <w:rPr>
                <w:rFonts w:cs="Arial"/>
                <w:iCs/>
                <w:szCs w:val="20"/>
                <w:lang w:eastAsia="sl-SI"/>
              </w:rPr>
              <w:t>25. 5. 2020</w:t>
            </w:r>
            <w:r w:rsidR="008D340F" w:rsidRPr="009809C0">
              <w:rPr>
                <w:rFonts w:cs="Arial"/>
                <w:iCs/>
                <w:szCs w:val="20"/>
                <w:lang w:eastAsia="sl-SI"/>
              </w:rPr>
              <w:t xml:space="preserve"> </w:t>
            </w:r>
            <w:r>
              <w:rPr>
                <w:rFonts w:cs="Arial"/>
                <w:iCs/>
                <w:szCs w:val="20"/>
                <w:lang w:eastAsia="sl-SI"/>
              </w:rPr>
              <w:t xml:space="preserve">s predstavniki </w:t>
            </w:r>
            <w:r w:rsidR="008D340F" w:rsidRPr="009809C0">
              <w:rPr>
                <w:rFonts w:cs="Arial"/>
                <w:iCs/>
                <w:szCs w:val="20"/>
                <w:lang w:eastAsia="sl-SI"/>
              </w:rPr>
              <w:t>Vrhovnemu državnemu tožilstvu RS,</w:t>
            </w:r>
            <w:r>
              <w:rPr>
                <w:rFonts w:cs="Arial"/>
                <w:iCs/>
                <w:szCs w:val="20"/>
                <w:lang w:eastAsia="sl-SI"/>
              </w:rPr>
              <w:t xml:space="preserve"> </w:t>
            </w:r>
            <w:r w:rsidR="008D340F" w:rsidRPr="009809C0">
              <w:rPr>
                <w:rFonts w:cs="Arial"/>
                <w:iCs/>
                <w:szCs w:val="20"/>
                <w:lang w:eastAsia="sl-SI"/>
              </w:rPr>
              <w:t>Državnotožilsk</w:t>
            </w:r>
            <w:r>
              <w:rPr>
                <w:rFonts w:cs="Arial"/>
                <w:iCs/>
                <w:szCs w:val="20"/>
                <w:lang w:eastAsia="sl-SI"/>
              </w:rPr>
              <w:t>ega</w:t>
            </w:r>
            <w:r w:rsidR="008D340F" w:rsidRPr="009809C0">
              <w:rPr>
                <w:rFonts w:cs="Arial"/>
                <w:iCs/>
                <w:szCs w:val="20"/>
                <w:lang w:eastAsia="sl-SI"/>
              </w:rPr>
              <w:t xml:space="preserve"> svet</w:t>
            </w:r>
            <w:r>
              <w:rPr>
                <w:rFonts w:cs="Arial"/>
                <w:iCs/>
                <w:szCs w:val="20"/>
                <w:lang w:eastAsia="sl-SI"/>
              </w:rPr>
              <w:t xml:space="preserve">a in </w:t>
            </w:r>
            <w:r w:rsidR="008D340F" w:rsidRPr="009809C0">
              <w:rPr>
                <w:rFonts w:cs="Arial"/>
                <w:iCs/>
                <w:szCs w:val="20"/>
                <w:lang w:eastAsia="sl-SI"/>
              </w:rPr>
              <w:t>Društv</w:t>
            </w:r>
            <w:r>
              <w:rPr>
                <w:rFonts w:cs="Arial"/>
                <w:iCs/>
                <w:szCs w:val="20"/>
                <w:lang w:eastAsia="sl-SI"/>
              </w:rPr>
              <w:t>a</w:t>
            </w:r>
            <w:r w:rsidR="008D340F" w:rsidRPr="009809C0">
              <w:rPr>
                <w:rFonts w:cs="Arial"/>
                <w:iCs/>
                <w:szCs w:val="20"/>
                <w:lang w:eastAsia="sl-SI"/>
              </w:rPr>
              <w:t xml:space="preserve"> državnih tožilcev</w:t>
            </w:r>
            <w:r w:rsidR="008D340F">
              <w:rPr>
                <w:rFonts w:cs="Arial"/>
                <w:iCs/>
                <w:szCs w:val="20"/>
                <w:lang w:eastAsia="sl-SI"/>
              </w:rPr>
              <w:t>.</w:t>
            </w:r>
          </w:p>
          <w:p w:rsidR="008316DB" w:rsidRPr="003B1DC1" w:rsidRDefault="008316DB" w:rsidP="003B1DC1">
            <w:pPr>
              <w:widowControl w:val="0"/>
              <w:overflowPunct w:val="0"/>
              <w:autoSpaceDE w:val="0"/>
              <w:autoSpaceDN w:val="0"/>
              <w:adjustRightInd w:val="0"/>
              <w:spacing w:line="260" w:lineRule="exact"/>
              <w:jc w:val="both"/>
              <w:textAlignment w:val="baseline"/>
              <w:rPr>
                <w:rFonts w:cs="Arial"/>
                <w:iCs/>
                <w:szCs w:val="20"/>
                <w:lang w:eastAsia="sl-SI"/>
              </w:rPr>
            </w:pPr>
          </w:p>
          <w:p w:rsidR="00547375" w:rsidRPr="00C923FF" w:rsidRDefault="00547375" w:rsidP="00547375">
            <w:pPr>
              <w:spacing w:line="288" w:lineRule="auto"/>
              <w:ind w:left="37"/>
              <w:jc w:val="both"/>
              <w:rPr>
                <w:rFonts w:cs="Arial"/>
                <w:b/>
                <w:szCs w:val="20"/>
              </w:rPr>
            </w:pPr>
            <w:r w:rsidRPr="00C923FF">
              <w:rPr>
                <w:rFonts w:cs="Arial"/>
                <w:b/>
                <w:szCs w:val="20"/>
              </w:rPr>
              <w:t>8. PODATEK O ZUNANJEM STROKOVNJAKU OZIROMA PRAVNI OSEBI, KI JE SODELOVALA PRI PRIPRAVI PREDLOGA ZAKONA, IN ZNESKU PLAČILA ZA TA NAMEN:</w:t>
            </w:r>
          </w:p>
          <w:p w:rsidR="00547375" w:rsidRPr="00C923FF" w:rsidRDefault="00547375" w:rsidP="00547375">
            <w:pPr>
              <w:spacing w:line="288" w:lineRule="auto"/>
              <w:ind w:left="37"/>
              <w:jc w:val="both"/>
              <w:rPr>
                <w:rFonts w:cs="Arial"/>
                <w:szCs w:val="20"/>
              </w:rPr>
            </w:pPr>
          </w:p>
          <w:p w:rsidR="00547375" w:rsidRDefault="00547375" w:rsidP="00547375">
            <w:pPr>
              <w:spacing w:line="288" w:lineRule="auto"/>
              <w:ind w:left="37"/>
              <w:jc w:val="both"/>
              <w:rPr>
                <w:rFonts w:cs="Arial"/>
                <w:szCs w:val="20"/>
              </w:rPr>
            </w:pPr>
            <w:r>
              <w:rPr>
                <w:rFonts w:cs="Arial"/>
                <w:szCs w:val="20"/>
              </w:rPr>
              <w:t>Zunanji strokovnjaki oziroma pravne osebe</w:t>
            </w:r>
            <w:r w:rsidRPr="00C923FF">
              <w:rPr>
                <w:rFonts w:cs="Arial"/>
                <w:szCs w:val="20"/>
              </w:rPr>
              <w:t xml:space="preserve"> </w:t>
            </w:r>
            <w:r>
              <w:rPr>
                <w:rFonts w:cs="Arial"/>
                <w:szCs w:val="20"/>
              </w:rPr>
              <w:t xml:space="preserve">niso sodelovali </w:t>
            </w:r>
            <w:r w:rsidRPr="00C923FF">
              <w:rPr>
                <w:rFonts w:cs="Arial"/>
                <w:szCs w:val="20"/>
              </w:rPr>
              <w:t xml:space="preserve">pri pripravi predloga zakona. </w:t>
            </w:r>
          </w:p>
          <w:p w:rsidR="00547375" w:rsidRPr="00C923FF" w:rsidRDefault="00547375" w:rsidP="00547375">
            <w:pPr>
              <w:spacing w:line="288" w:lineRule="auto"/>
              <w:ind w:left="37"/>
              <w:jc w:val="both"/>
              <w:rPr>
                <w:rFonts w:cs="Arial"/>
                <w:szCs w:val="20"/>
              </w:rPr>
            </w:pPr>
          </w:p>
          <w:p w:rsidR="00547375" w:rsidRDefault="00547375" w:rsidP="00547375">
            <w:pPr>
              <w:spacing w:line="288" w:lineRule="auto"/>
              <w:ind w:left="37"/>
              <w:jc w:val="both"/>
              <w:rPr>
                <w:rFonts w:cs="Arial"/>
                <w:b/>
                <w:szCs w:val="20"/>
              </w:rPr>
            </w:pPr>
            <w:r w:rsidRPr="00C923FF">
              <w:rPr>
                <w:rFonts w:cs="Arial"/>
                <w:b/>
                <w:szCs w:val="20"/>
              </w:rPr>
              <w:t>9. NAVEDBA, KATERI PREDSTAVNIKI PREDLAGATELJA BODO SODELOVALI PRI DELU DRŽAVNEGA ZBORA IN DELOVNIH TELES</w:t>
            </w:r>
          </w:p>
          <w:p w:rsidR="003B1DC1" w:rsidRPr="00EB2843" w:rsidRDefault="003B1DC1" w:rsidP="003B1DC1">
            <w:pPr>
              <w:spacing w:before="120" w:line="288" w:lineRule="auto"/>
              <w:jc w:val="both"/>
              <w:rPr>
                <w:rFonts w:cs="Arial"/>
                <w:szCs w:val="20"/>
              </w:rPr>
            </w:pPr>
            <w:r>
              <w:rPr>
                <w:rFonts w:cs="Arial"/>
                <w:szCs w:val="20"/>
              </w:rPr>
              <w:t>m</w:t>
            </w:r>
            <w:r w:rsidRPr="00EB2843">
              <w:rPr>
                <w:rFonts w:cs="Arial"/>
                <w:szCs w:val="20"/>
              </w:rPr>
              <w:t xml:space="preserve">ag. Liljana Kozlovič, ministrica za pravosodje, </w:t>
            </w:r>
          </w:p>
          <w:p w:rsidR="003B1DC1" w:rsidRPr="00EB2843" w:rsidRDefault="003B1DC1" w:rsidP="003B1DC1">
            <w:pPr>
              <w:spacing w:line="288" w:lineRule="auto"/>
              <w:jc w:val="both"/>
              <w:rPr>
                <w:rFonts w:cs="Arial"/>
                <w:szCs w:val="20"/>
              </w:rPr>
            </w:pPr>
            <w:r w:rsidRPr="00EB2843">
              <w:rPr>
                <w:rFonts w:cs="Arial"/>
                <w:szCs w:val="20"/>
              </w:rPr>
              <w:t>Zlatko Rat</w:t>
            </w:r>
            <w:r>
              <w:rPr>
                <w:rFonts w:cs="Arial"/>
                <w:szCs w:val="20"/>
              </w:rPr>
              <w:t>e</w:t>
            </w:r>
            <w:r w:rsidRPr="00EB2843">
              <w:rPr>
                <w:rFonts w:cs="Arial"/>
                <w:szCs w:val="20"/>
              </w:rPr>
              <w:t>j, državn</w:t>
            </w:r>
            <w:r>
              <w:rPr>
                <w:rFonts w:cs="Arial"/>
                <w:szCs w:val="20"/>
              </w:rPr>
              <w:t>i</w:t>
            </w:r>
            <w:r w:rsidRPr="00EB2843">
              <w:rPr>
                <w:rFonts w:cs="Arial"/>
                <w:szCs w:val="20"/>
              </w:rPr>
              <w:t xml:space="preserve"> sekretar, Ministrstvo za pravosodje </w:t>
            </w:r>
          </w:p>
          <w:p w:rsidR="003B1DC1" w:rsidRPr="00EB2843" w:rsidRDefault="003B1DC1" w:rsidP="003B1DC1">
            <w:pPr>
              <w:spacing w:line="288" w:lineRule="auto"/>
              <w:jc w:val="both"/>
              <w:rPr>
                <w:rFonts w:cs="Arial"/>
                <w:szCs w:val="20"/>
              </w:rPr>
            </w:pPr>
            <w:r w:rsidRPr="00EB2843">
              <w:rPr>
                <w:rFonts w:cs="Arial"/>
                <w:szCs w:val="20"/>
              </w:rPr>
              <w:t xml:space="preserve">Matic Zupan, državni sekretar, Ministrstvo za pravosodje </w:t>
            </w:r>
          </w:p>
          <w:p w:rsidR="003B1DC1" w:rsidRDefault="003B1DC1" w:rsidP="003B1DC1">
            <w:pPr>
              <w:spacing w:line="288" w:lineRule="auto"/>
              <w:jc w:val="both"/>
              <w:rPr>
                <w:rFonts w:cs="Arial"/>
                <w:szCs w:val="20"/>
              </w:rPr>
            </w:pPr>
            <w:r w:rsidRPr="00C923FF">
              <w:rPr>
                <w:rFonts w:cs="Arial"/>
                <w:szCs w:val="20"/>
              </w:rPr>
              <w:t>mag. Evelin Pristavec Tratar, generalna direktorica Direktorata za organizacijsko zakonodajo in</w:t>
            </w:r>
          </w:p>
          <w:p w:rsidR="00547375" w:rsidRPr="003B1DC1" w:rsidRDefault="003B1DC1" w:rsidP="003B1DC1">
            <w:pPr>
              <w:spacing w:line="288" w:lineRule="auto"/>
              <w:jc w:val="both"/>
              <w:rPr>
                <w:rFonts w:cs="Arial"/>
                <w:szCs w:val="20"/>
              </w:rPr>
            </w:pPr>
            <w:r w:rsidRPr="003B1DC1">
              <w:rPr>
                <w:rFonts w:cs="Arial"/>
                <w:szCs w:val="20"/>
              </w:rPr>
              <w:t>pravosodno upravo, Ministrstvo za pravosodje</w:t>
            </w:r>
          </w:p>
          <w:p w:rsidR="00C17600" w:rsidRDefault="00C17600" w:rsidP="00B644CC">
            <w:pPr>
              <w:jc w:val="both"/>
              <w:rPr>
                <w:szCs w:val="20"/>
              </w:rPr>
            </w:pPr>
          </w:p>
          <w:p w:rsidR="003B1DC1" w:rsidRDefault="003B1DC1" w:rsidP="00B644CC">
            <w:pPr>
              <w:jc w:val="both"/>
              <w:rPr>
                <w:szCs w:val="20"/>
              </w:rPr>
            </w:pPr>
          </w:p>
          <w:p w:rsidR="003B1DC1" w:rsidRDefault="003B1DC1" w:rsidP="00B644CC">
            <w:pPr>
              <w:jc w:val="both"/>
              <w:rPr>
                <w:szCs w:val="20"/>
              </w:rPr>
            </w:pPr>
          </w:p>
          <w:p w:rsidR="003B1DC1" w:rsidRDefault="003B1DC1" w:rsidP="00B644CC">
            <w:pPr>
              <w:jc w:val="both"/>
              <w:rPr>
                <w:szCs w:val="20"/>
              </w:rPr>
            </w:pPr>
          </w:p>
          <w:p w:rsidR="003B1DC1" w:rsidRDefault="003B1DC1" w:rsidP="00B644CC">
            <w:pPr>
              <w:jc w:val="both"/>
              <w:rPr>
                <w:szCs w:val="20"/>
              </w:rPr>
            </w:pPr>
          </w:p>
          <w:p w:rsidR="003B1DC1" w:rsidRDefault="003B1DC1" w:rsidP="00B644CC">
            <w:pPr>
              <w:jc w:val="both"/>
              <w:rPr>
                <w:szCs w:val="20"/>
              </w:rPr>
            </w:pPr>
          </w:p>
          <w:p w:rsidR="003B1DC1" w:rsidRDefault="003B1DC1" w:rsidP="00B644CC">
            <w:pPr>
              <w:jc w:val="both"/>
              <w:rPr>
                <w:szCs w:val="20"/>
              </w:rPr>
            </w:pPr>
          </w:p>
          <w:p w:rsidR="003B1DC1" w:rsidRDefault="003B1DC1" w:rsidP="00B644CC">
            <w:pPr>
              <w:jc w:val="both"/>
              <w:rPr>
                <w:szCs w:val="20"/>
              </w:rPr>
            </w:pPr>
          </w:p>
          <w:p w:rsidR="003B1DC1" w:rsidRDefault="003B1DC1" w:rsidP="00B644CC">
            <w:pPr>
              <w:jc w:val="both"/>
              <w:rPr>
                <w:szCs w:val="20"/>
              </w:rPr>
            </w:pPr>
          </w:p>
          <w:p w:rsidR="003B1DC1" w:rsidRDefault="003B1DC1" w:rsidP="00B644CC">
            <w:pPr>
              <w:jc w:val="both"/>
              <w:rPr>
                <w:szCs w:val="20"/>
              </w:rPr>
            </w:pPr>
          </w:p>
          <w:p w:rsidR="003B1DC1" w:rsidRDefault="003B1DC1" w:rsidP="00B644CC">
            <w:pPr>
              <w:jc w:val="both"/>
              <w:rPr>
                <w:szCs w:val="20"/>
              </w:rPr>
            </w:pPr>
          </w:p>
          <w:p w:rsidR="003B1DC1" w:rsidRDefault="003B1DC1" w:rsidP="00B644CC">
            <w:pPr>
              <w:jc w:val="both"/>
              <w:rPr>
                <w:szCs w:val="20"/>
              </w:rPr>
            </w:pPr>
          </w:p>
          <w:p w:rsidR="003B1DC1" w:rsidRDefault="003B1DC1" w:rsidP="00B644CC">
            <w:pPr>
              <w:jc w:val="both"/>
              <w:rPr>
                <w:szCs w:val="20"/>
              </w:rPr>
            </w:pPr>
          </w:p>
          <w:p w:rsidR="003B1DC1" w:rsidRDefault="003B1DC1" w:rsidP="00B644CC">
            <w:pPr>
              <w:jc w:val="both"/>
              <w:rPr>
                <w:szCs w:val="20"/>
              </w:rPr>
            </w:pPr>
          </w:p>
          <w:p w:rsidR="003B1DC1" w:rsidRDefault="003B1DC1" w:rsidP="00B644CC">
            <w:pPr>
              <w:jc w:val="both"/>
              <w:rPr>
                <w:szCs w:val="20"/>
              </w:rPr>
            </w:pPr>
          </w:p>
          <w:p w:rsidR="003B1DC1" w:rsidRDefault="003B1DC1" w:rsidP="00B644CC">
            <w:pPr>
              <w:jc w:val="both"/>
              <w:rPr>
                <w:szCs w:val="20"/>
              </w:rPr>
            </w:pPr>
          </w:p>
          <w:p w:rsidR="003B1DC1" w:rsidRDefault="003B1DC1" w:rsidP="00B644CC">
            <w:pPr>
              <w:jc w:val="both"/>
              <w:rPr>
                <w:szCs w:val="20"/>
              </w:rPr>
            </w:pPr>
          </w:p>
          <w:p w:rsidR="003B1DC1" w:rsidRDefault="003B1DC1" w:rsidP="00B644CC">
            <w:pPr>
              <w:jc w:val="both"/>
              <w:rPr>
                <w:szCs w:val="20"/>
              </w:rPr>
            </w:pPr>
          </w:p>
          <w:p w:rsidR="003B1DC1" w:rsidRDefault="003B1DC1" w:rsidP="00B644CC">
            <w:pPr>
              <w:jc w:val="both"/>
              <w:rPr>
                <w:szCs w:val="20"/>
              </w:rPr>
            </w:pPr>
          </w:p>
          <w:p w:rsidR="003B1DC1" w:rsidRDefault="003B1DC1" w:rsidP="00B644CC">
            <w:pPr>
              <w:jc w:val="both"/>
              <w:rPr>
                <w:szCs w:val="20"/>
              </w:rPr>
            </w:pPr>
          </w:p>
          <w:p w:rsidR="003B1DC1" w:rsidRDefault="003B1DC1" w:rsidP="00B644CC">
            <w:pPr>
              <w:jc w:val="both"/>
              <w:rPr>
                <w:szCs w:val="20"/>
              </w:rPr>
            </w:pPr>
          </w:p>
          <w:p w:rsidR="003B1DC1" w:rsidRDefault="003B1DC1" w:rsidP="00B644CC">
            <w:pPr>
              <w:jc w:val="both"/>
              <w:rPr>
                <w:szCs w:val="20"/>
              </w:rPr>
            </w:pPr>
          </w:p>
          <w:p w:rsidR="003B1DC1" w:rsidRDefault="003B1DC1" w:rsidP="00B644CC">
            <w:pPr>
              <w:jc w:val="both"/>
              <w:rPr>
                <w:szCs w:val="20"/>
              </w:rPr>
            </w:pPr>
          </w:p>
          <w:p w:rsidR="003B1DC1" w:rsidRDefault="003B1DC1" w:rsidP="00B644CC">
            <w:pPr>
              <w:jc w:val="both"/>
              <w:rPr>
                <w:szCs w:val="20"/>
              </w:rPr>
            </w:pPr>
          </w:p>
          <w:p w:rsidR="008316DB" w:rsidRDefault="008316DB" w:rsidP="00B644CC">
            <w:pPr>
              <w:jc w:val="both"/>
              <w:rPr>
                <w:szCs w:val="20"/>
              </w:rPr>
            </w:pPr>
          </w:p>
          <w:p w:rsidR="008316DB" w:rsidRDefault="008316DB" w:rsidP="00B644CC">
            <w:pPr>
              <w:jc w:val="both"/>
              <w:rPr>
                <w:szCs w:val="20"/>
              </w:rPr>
            </w:pPr>
          </w:p>
          <w:p w:rsidR="008316DB" w:rsidRDefault="008316DB" w:rsidP="00B644CC">
            <w:pPr>
              <w:jc w:val="both"/>
              <w:rPr>
                <w:szCs w:val="20"/>
              </w:rPr>
            </w:pPr>
          </w:p>
          <w:p w:rsidR="008316DB" w:rsidRDefault="008316DB" w:rsidP="00B644CC">
            <w:pPr>
              <w:jc w:val="both"/>
              <w:rPr>
                <w:szCs w:val="20"/>
              </w:rPr>
            </w:pPr>
          </w:p>
          <w:p w:rsidR="003B1DC1" w:rsidRDefault="003B1DC1" w:rsidP="00B644CC">
            <w:pPr>
              <w:jc w:val="both"/>
              <w:rPr>
                <w:szCs w:val="20"/>
              </w:rPr>
            </w:pPr>
          </w:p>
          <w:p w:rsidR="003B1DC1" w:rsidRDefault="003B1DC1" w:rsidP="00B644CC">
            <w:pPr>
              <w:jc w:val="both"/>
              <w:rPr>
                <w:szCs w:val="20"/>
              </w:rPr>
            </w:pPr>
          </w:p>
          <w:p w:rsidR="003B1DC1" w:rsidRDefault="003B1DC1" w:rsidP="00B644CC">
            <w:pPr>
              <w:jc w:val="both"/>
              <w:rPr>
                <w:szCs w:val="20"/>
              </w:rPr>
            </w:pPr>
          </w:p>
          <w:p w:rsidR="003B1DC1" w:rsidRDefault="003B1DC1" w:rsidP="00B644CC">
            <w:pPr>
              <w:jc w:val="both"/>
              <w:rPr>
                <w:szCs w:val="20"/>
              </w:rPr>
            </w:pPr>
          </w:p>
          <w:p w:rsidR="003B1DC1" w:rsidRDefault="003B1DC1" w:rsidP="00B644CC">
            <w:pPr>
              <w:jc w:val="both"/>
              <w:rPr>
                <w:szCs w:val="20"/>
              </w:rPr>
            </w:pPr>
          </w:p>
          <w:p w:rsidR="003B1DC1" w:rsidRDefault="003B1DC1" w:rsidP="00B644CC">
            <w:pPr>
              <w:jc w:val="both"/>
              <w:rPr>
                <w:szCs w:val="20"/>
              </w:rPr>
            </w:pPr>
          </w:p>
          <w:p w:rsidR="003B1DC1" w:rsidRPr="00115F14" w:rsidRDefault="003B1DC1" w:rsidP="00B644CC">
            <w:pPr>
              <w:jc w:val="both"/>
              <w:rPr>
                <w:szCs w:val="20"/>
              </w:rPr>
            </w:pPr>
          </w:p>
        </w:tc>
      </w:tr>
    </w:tbl>
    <w:bookmarkEnd w:id="28"/>
    <w:p w:rsidR="00AE2155" w:rsidRDefault="00AE2155" w:rsidP="00B644CC">
      <w:pPr>
        <w:pStyle w:val="Navadensplet"/>
        <w:spacing w:before="0" w:beforeAutospacing="0" w:after="0" w:afterAutospacing="0" w:line="288" w:lineRule="auto"/>
        <w:rPr>
          <w:rFonts w:ascii="Arial" w:hAnsi="Arial" w:cs="Arial"/>
          <w:b/>
          <w:bCs/>
          <w:sz w:val="20"/>
          <w:szCs w:val="20"/>
        </w:rPr>
      </w:pPr>
      <w:r>
        <w:rPr>
          <w:rFonts w:ascii="Arial" w:hAnsi="Arial" w:cs="Arial"/>
          <w:b/>
          <w:sz w:val="20"/>
          <w:szCs w:val="20"/>
        </w:rPr>
        <w:lastRenderedPageBreak/>
        <w:t>II. BESEDILO ČLENOV</w:t>
      </w:r>
    </w:p>
    <w:p w:rsidR="00AE2155" w:rsidRDefault="00AE2155" w:rsidP="00B644CC">
      <w:pPr>
        <w:spacing w:line="288" w:lineRule="auto"/>
        <w:rPr>
          <w:rFonts w:eastAsia="Calibri" w:cs="Arial"/>
          <w:b/>
          <w:szCs w:val="20"/>
        </w:rPr>
      </w:pPr>
    </w:p>
    <w:p w:rsidR="00AE2155" w:rsidRDefault="00AE2155" w:rsidP="00B644CC">
      <w:pPr>
        <w:spacing w:line="288" w:lineRule="auto"/>
        <w:jc w:val="center"/>
        <w:rPr>
          <w:rFonts w:eastAsia="Calibri" w:cs="Arial"/>
          <w:szCs w:val="20"/>
        </w:rPr>
      </w:pPr>
    </w:p>
    <w:p w:rsidR="00AE2155" w:rsidRPr="00746AD7" w:rsidRDefault="00AE2155" w:rsidP="00B644CC">
      <w:pPr>
        <w:pStyle w:val="Odstavekseznama"/>
        <w:spacing w:line="288" w:lineRule="auto"/>
        <w:ind w:left="0"/>
        <w:jc w:val="center"/>
        <w:rPr>
          <w:rFonts w:eastAsia="Calibri" w:cs="Arial"/>
          <w:b/>
          <w:szCs w:val="20"/>
        </w:rPr>
      </w:pPr>
      <w:r w:rsidRPr="001C7A64">
        <w:rPr>
          <w:rFonts w:eastAsia="Calibri" w:cs="Arial"/>
          <w:b/>
          <w:szCs w:val="20"/>
        </w:rPr>
        <w:t>1. člen</w:t>
      </w:r>
    </w:p>
    <w:p w:rsidR="00AE2155" w:rsidRDefault="00AE2155" w:rsidP="00B644CC">
      <w:pPr>
        <w:spacing w:line="288" w:lineRule="auto"/>
        <w:rPr>
          <w:rFonts w:eastAsia="Calibri" w:cs="Arial"/>
          <w:szCs w:val="20"/>
        </w:rPr>
      </w:pPr>
    </w:p>
    <w:p w:rsidR="00AE2155" w:rsidRDefault="00AE2155" w:rsidP="00B644CC">
      <w:pPr>
        <w:spacing w:line="288" w:lineRule="auto"/>
        <w:jc w:val="both"/>
        <w:rPr>
          <w:rFonts w:eastAsia="Calibri" w:cs="Arial"/>
          <w:szCs w:val="20"/>
        </w:rPr>
      </w:pPr>
      <w:r w:rsidRPr="00BB3D7A">
        <w:rPr>
          <w:rFonts w:eastAsia="Calibri" w:cs="Arial"/>
          <w:szCs w:val="20"/>
        </w:rPr>
        <w:t>V Zakonu o državnem tožilstvu (Uradni list RS, št. 58/11, 21/12 – ZDU-1F, 47/12, 15/13 – ZODPol, 47/13 – ZDU-1G, 48/13 – ZSKZDČEU-1, 19/15</w:t>
      </w:r>
      <w:r>
        <w:rPr>
          <w:rFonts w:eastAsia="Calibri" w:cs="Arial"/>
          <w:szCs w:val="20"/>
        </w:rPr>
        <w:t>,</w:t>
      </w:r>
      <w:r w:rsidRPr="00BB3D7A">
        <w:rPr>
          <w:rFonts w:eastAsia="Calibri" w:cs="Arial"/>
          <w:szCs w:val="20"/>
        </w:rPr>
        <w:t xml:space="preserve"> 23/17 – ZSSve</w:t>
      </w:r>
      <w:r>
        <w:rPr>
          <w:rFonts w:eastAsia="Calibri" w:cs="Arial"/>
          <w:szCs w:val="20"/>
        </w:rPr>
        <w:t xml:space="preserve"> in 36/19</w:t>
      </w:r>
      <w:r w:rsidRPr="00BB3D7A">
        <w:rPr>
          <w:rFonts w:eastAsia="Calibri" w:cs="Arial"/>
          <w:szCs w:val="20"/>
        </w:rPr>
        <w:t xml:space="preserve">) se </w:t>
      </w:r>
      <w:r>
        <w:rPr>
          <w:rFonts w:eastAsia="Calibri" w:cs="Arial"/>
          <w:szCs w:val="20"/>
        </w:rPr>
        <w:t>1.a člen</w:t>
      </w:r>
      <w:r w:rsidRPr="00BB3D7A">
        <w:rPr>
          <w:rFonts w:eastAsia="Calibri" w:cs="Arial"/>
          <w:szCs w:val="20"/>
        </w:rPr>
        <w:t xml:space="preserve"> spremeni tako, da se glasi:</w:t>
      </w:r>
    </w:p>
    <w:p w:rsidR="00AE2155" w:rsidRDefault="00AE2155" w:rsidP="00B644CC">
      <w:pPr>
        <w:spacing w:line="288" w:lineRule="auto"/>
        <w:jc w:val="both"/>
        <w:rPr>
          <w:rFonts w:eastAsia="Calibri" w:cs="Arial"/>
          <w:szCs w:val="20"/>
        </w:rPr>
      </w:pPr>
    </w:p>
    <w:p w:rsidR="00AE2155" w:rsidRPr="00C20D0A" w:rsidRDefault="00AE2155" w:rsidP="00B644CC">
      <w:pPr>
        <w:spacing w:line="288" w:lineRule="auto"/>
        <w:jc w:val="center"/>
        <w:rPr>
          <w:rFonts w:eastAsia="Calibri" w:cs="Arial"/>
          <w:b/>
          <w:szCs w:val="20"/>
        </w:rPr>
      </w:pPr>
      <w:r w:rsidRPr="00C20D0A">
        <w:rPr>
          <w:rFonts w:eastAsia="Calibri" w:cs="Arial"/>
          <w:b/>
          <w:szCs w:val="20"/>
        </w:rPr>
        <w:t>»1.a člen</w:t>
      </w:r>
    </w:p>
    <w:p w:rsidR="00AE2155" w:rsidRPr="00BB3D7A" w:rsidRDefault="00AE2155" w:rsidP="00B644CC">
      <w:pPr>
        <w:spacing w:line="288" w:lineRule="auto"/>
        <w:jc w:val="center"/>
        <w:rPr>
          <w:rFonts w:eastAsia="Calibri" w:cs="Arial"/>
          <w:b/>
          <w:szCs w:val="20"/>
        </w:rPr>
      </w:pPr>
      <w:r w:rsidRPr="00C20D0A">
        <w:rPr>
          <w:rFonts w:eastAsia="Calibri" w:cs="Arial"/>
          <w:b/>
          <w:szCs w:val="20"/>
        </w:rPr>
        <w:t>(izvajanje pravnih aktov Evropske unije)</w:t>
      </w:r>
    </w:p>
    <w:p w:rsidR="00AE2155" w:rsidRPr="00BB3D7A" w:rsidRDefault="00AE2155" w:rsidP="00B644CC">
      <w:pPr>
        <w:spacing w:line="288" w:lineRule="auto"/>
        <w:jc w:val="both"/>
        <w:rPr>
          <w:rFonts w:eastAsia="Calibri" w:cs="Arial"/>
          <w:szCs w:val="20"/>
        </w:rPr>
      </w:pPr>
    </w:p>
    <w:p w:rsidR="00C20D0A" w:rsidRDefault="00C20D0A" w:rsidP="00B644CC">
      <w:pPr>
        <w:spacing w:line="288" w:lineRule="auto"/>
        <w:jc w:val="both"/>
        <w:rPr>
          <w:rFonts w:eastAsia="Calibri" w:cs="Arial"/>
          <w:szCs w:val="20"/>
        </w:rPr>
      </w:pPr>
      <w:r>
        <w:rPr>
          <w:rFonts w:eastAsia="Calibri" w:cs="Arial"/>
          <w:szCs w:val="20"/>
        </w:rPr>
        <w:t xml:space="preserve">(1) </w:t>
      </w:r>
      <w:r w:rsidR="00873A7F">
        <w:rPr>
          <w:rFonts w:eastAsia="Calibri" w:cs="Arial"/>
          <w:szCs w:val="20"/>
        </w:rPr>
        <w:t>S tem zakonom se</w:t>
      </w:r>
      <w:r>
        <w:rPr>
          <w:rFonts w:eastAsia="Calibri" w:cs="Arial"/>
          <w:szCs w:val="20"/>
        </w:rPr>
        <w:t xml:space="preserve"> za izvajanje </w:t>
      </w:r>
      <w:r w:rsidRPr="00BB3D7A">
        <w:rPr>
          <w:rFonts w:eastAsia="Calibri" w:cs="Arial"/>
          <w:szCs w:val="20"/>
        </w:rPr>
        <w:t>Uredb</w:t>
      </w:r>
      <w:r>
        <w:rPr>
          <w:rFonts w:eastAsia="Calibri" w:cs="Arial"/>
          <w:szCs w:val="20"/>
        </w:rPr>
        <w:t>e</w:t>
      </w:r>
      <w:r w:rsidRPr="00BB3D7A">
        <w:rPr>
          <w:rFonts w:eastAsia="Calibri" w:cs="Arial"/>
          <w:szCs w:val="20"/>
        </w:rPr>
        <w:t xml:space="preserve"> (EU) 2018/1727 Evropskega parlamenta in Sveta z dne 14. novembra 2018 o Agenciji Evropske unije za pravosodno sodelovanje v kazenskih zadevah (Eurojust) ter nadomestitvi in razveljavitvi Sklepa Sveta 2002/187/PNZ (UL L št. 295 z dne 21. 11. 2018, str. 138; v nadaljnjem besedilu: Uredba 2018/1727/EU)</w:t>
      </w:r>
      <w:r>
        <w:rPr>
          <w:rFonts w:eastAsia="Calibri" w:cs="Arial"/>
          <w:szCs w:val="20"/>
        </w:rPr>
        <w:t xml:space="preserve"> </w:t>
      </w:r>
      <w:r w:rsidR="00873A7F">
        <w:rPr>
          <w:rFonts w:eastAsia="Calibri" w:cs="Arial"/>
          <w:szCs w:val="20"/>
        </w:rPr>
        <w:t xml:space="preserve">določajo </w:t>
      </w:r>
      <w:r w:rsidR="00AE2155" w:rsidRPr="00BB3D7A">
        <w:rPr>
          <w:rFonts w:eastAsia="Calibri" w:cs="Arial"/>
          <w:szCs w:val="20"/>
        </w:rPr>
        <w:t>postopek in pogoj</w:t>
      </w:r>
      <w:r w:rsidR="00B119C6">
        <w:rPr>
          <w:rFonts w:eastAsia="Calibri" w:cs="Arial"/>
          <w:szCs w:val="20"/>
        </w:rPr>
        <w:t>i</w:t>
      </w:r>
      <w:r w:rsidR="00AE2155" w:rsidRPr="00BB3D7A">
        <w:rPr>
          <w:rFonts w:eastAsia="Calibri" w:cs="Arial"/>
          <w:szCs w:val="20"/>
        </w:rPr>
        <w:t xml:space="preserve"> za imenovanje </w:t>
      </w:r>
      <w:r w:rsidR="00023962">
        <w:rPr>
          <w:rFonts w:eastAsia="Calibri" w:cs="Arial"/>
          <w:szCs w:val="20"/>
        </w:rPr>
        <w:t xml:space="preserve">ter pooblastila in pravice </w:t>
      </w:r>
      <w:r w:rsidR="00AE2155" w:rsidRPr="00BB3D7A">
        <w:rPr>
          <w:rFonts w:eastAsia="Calibri" w:cs="Arial"/>
          <w:szCs w:val="20"/>
        </w:rPr>
        <w:t xml:space="preserve">nacionalnega predstavnika, njegovega namestnika in pomočnika v </w:t>
      </w:r>
      <w:r w:rsidR="00AE2155">
        <w:rPr>
          <w:rFonts w:eastAsia="Calibri" w:cs="Arial"/>
          <w:szCs w:val="20"/>
        </w:rPr>
        <w:t>Agenciji Evropske unije</w:t>
      </w:r>
      <w:r w:rsidR="00AE2155" w:rsidRPr="00BB3D7A">
        <w:rPr>
          <w:rFonts w:eastAsia="Calibri" w:cs="Arial"/>
          <w:szCs w:val="20"/>
        </w:rPr>
        <w:t xml:space="preserve"> za pravosodno sodelovanje</w:t>
      </w:r>
      <w:r w:rsidR="00AE2155">
        <w:rPr>
          <w:rFonts w:eastAsia="Calibri" w:cs="Arial"/>
          <w:szCs w:val="20"/>
        </w:rPr>
        <w:t xml:space="preserve"> v kazenskih zadevah</w:t>
      </w:r>
      <w:r>
        <w:rPr>
          <w:rFonts w:eastAsia="Calibri" w:cs="Arial"/>
          <w:szCs w:val="20"/>
        </w:rPr>
        <w:t>.</w:t>
      </w:r>
    </w:p>
    <w:p w:rsidR="00C20D0A" w:rsidRDefault="00C20D0A" w:rsidP="00B644CC">
      <w:pPr>
        <w:spacing w:line="288" w:lineRule="auto"/>
        <w:jc w:val="both"/>
        <w:rPr>
          <w:rFonts w:eastAsia="Calibri" w:cs="Arial"/>
          <w:szCs w:val="20"/>
        </w:rPr>
      </w:pPr>
    </w:p>
    <w:p w:rsidR="00AE2155" w:rsidRPr="00BB3D7A" w:rsidRDefault="00C20D0A" w:rsidP="00B644CC">
      <w:pPr>
        <w:pStyle w:val="Odstavekseznama"/>
        <w:spacing w:line="288" w:lineRule="auto"/>
        <w:ind w:left="0"/>
        <w:jc w:val="both"/>
        <w:rPr>
          <w:rFonts w:eastAsia="Calibri" w:cs="Arial"/>
          <w:szCs w:val="20"/>
        </w:rPr>
      </w:pPr>
      <w:r>
        <w:rPr>
          <w:rFonts w:eastAsia="Calibri" w:cs="Arial"/>
          <w:szCs w:val="20"/>
        </w:rPr>
        <w:t>(2)</w:t>
      </w:r>
      <w:r w:rsidR="008D35C2">
        <w:rPr>
          <w:rFonts w:eastAsia="Calibri" w:cs="Arial"/>
          <w:szCs w:val="20"/>
        </w:rPr>
        <w:t xml:space="preserve"> </w:t>
      </w:r>
      <w:r w:rsidR="00873A7F">
        <w:rPr>
          <w:rFonts w:eastAsia="Calibri" w:cs="Arial"/>
          <w:szCs w:val="20"/>
        </w:rPr>
        <w:t xml:space="preserve">S tem zakonom se za izvajanje </w:t>
      </w:r>
      <w:r w:rsidRPr="00BB3D7A">
        <w:rPr>
          <w:rFonts w:eastAsia="Calibri" w:cs="Arial"/>
          <w:szCs w:val="20"/>
        </w:rPr>
        <w:t>Uredbe Sveta (EU) 2017/1939 z dne 12. oktobra 2017 o izvajanju okrepljenega sodelovanja v zvezi z ustanovitvijo Evropskega javnega tožilstva (UL L št. 283 z dne 31. 10. 2017, str. 1; v nadaljnjem besedilu: Uredba 2017/1939/EU)</w:t>
      </w:r>
      <w:r w:rsidR="00873A7F">
        <w:rPr>
          <w:rFonts w:eastAsia="Calibri" w:cs="Arial"/>
          <w:szCs w:val="20"/>
        </w:rPr>
        <w:t xml:space="preserve"> določajo</w:t>
      </w:r>
      <w:r>
        <w:rPr>
          <w:rFonts w:eastAsia="Calibri" w:cs="Arial"/>
          <w:szCs w:val="20"/>
        </w:rPr>
        <w:t xml:space="preserve"> </w:t>
      </w:r>
      <w:r w:rsidR="00AE2155" w:rsidRPr="00C20D0A">
        <w:rPr>
          <w:rFonts w:eastAsia="Calibri" w:cs="Arial"/>
          <w:szCs w:val="20"/>
        </w:rPr>
        <w:t>kandidacijski postopek in pogoj</w:t>
      </w:r>
      <w:r w:rsidR="00873A7F">
        <w:rPr>
          <w:rFonts w:eastAsia="Calibri" w:cs="Arial"/>
          <w:szCs w:val="20"/>
        </w:rPr>
        <w:t>i</w:t>
      </w:r>
      <w:r w:rsidR="00AE2155" w:rsidRPr="00C20D0A">
        <w:rPr>
          <w:rFonts w:eastAsia="Calibri" w:cs="Arial"/>
          <w:szCs w:val="20"/>
        </w:rPr>
        <w:t xml:space="preserve"> za uvrstitev na listo kandidatov za imenovanje evropskega tožilca in evropskih delegiranih tožilcev v Evropskem javnem tožilstvu, njihovo število, pristojnosti, položaj in pravice</w:t>
      </w:r>
      <w:r>
        <w:rPr>
          <w:rFonts w:eastAsia="Calibri" w:cs="Arial"/>
          <w:szCs w:val="20"/>
        </w:rPr>
        <w:t>.</w:t>
      </w:r>
    </w:p>
    <w:p w:rsidR="00AE2155" w:rsidRDefault="00AE2155" w:rsidP="00B644CC">
      <w:pPr>
        <w:spacing w:line="288" w:lineRule="auto"/>
        <w:jc w:val="both"/>
        <w:rPr>
          <w:rFonts w:eastAsia="Calibri" w:cs="Arial"/>
          <w:szCs w:val="20"/>
        </w:rPr>
      </w:pPr>
    </w:p>
    <w:p w:rsidR="00AE2155" w:rsidRPr="004A6746" w:rsidRDefault="00AE2155" w:rsidP="00B644CC">
      <w:pPr>
        <w:spacing w:line="288" w:lineRule="auto"/>
        <w:jc w:val="center"/>
        <w:rPr>
          <w:rFonts w:eastAsia="Calibri" w:cs="Arial"/>
          <w:b/>
          <w:bCs/>
          <w:szCs w:val="20"/>
        </w:rPr>
      </w:pPr>
      <w:r w:rsidRPr="004A6746">
        <w:rPr>
          <w:rFonts w:eastAsia="Calibri" w:cs="Arial"/>
          <w:b/>
          <w:bCs/>
          <w:szCs w:val="20"/>
        </w:rPr>
        <w:t>2. člen</w:t>
      </w:r>
    </w:p>
    <w:p w:rsidR="00AE2155" w:rsidRPr="004A6746" w:rsidRDefault="00AE2155" w:rsidP="00B644CC">
      <w:pPr>
        <w:spacing w:line="288" w:lineRule="auto"/>
        <w:jc w:val="both"/>
        <w:rPr>
          <w:rFonts w:eastAsia="Calibri" w:cs="Arial"/>
          <w:szCs w:val="20"/>
        </w:rPr>
      </w:pPr>
    </w:p>
    <w:p w:rsidR="00AE2155" w:rsidRDefault="00AE2155" w:rsidP="00B644CC">
      <w:pPr>
        <w:spacing w:line="288" w:lineRule="auto"/>
        <w:jc w:val="both"/>
        <w:rPr>
          <w:rFonts w:eastAsia="Calibri" w:cs="Arial"/>
          <w:szCs w:val="20"/>
        </w:rPr>
      </w:pPr>
      <w:r w:rsidRPr="004A6746">
        <w:rPr>
          <w:rFonts w:eastAsia="Calibri" w:cs="Arial"/>
          <w:szCs w:val="20"/>
        </w:rPr>
        <w:t>V 30. členu se v drugem odstavku v tretji alineji besedilo »</w:t>
      </w:r>
      <w:r w:rsidRPr="004A6746">
        <w:t>državnem pravobranilstvu« nadomesti z besedilom »državnem odvetništvu«.</w:t>
      </w:r>
    </w:p>
    <w:p w:rsidR="00AE2155" w:rsidRPr="00746AD7" w:rsidRDefault="00AE2155" w:rsidP="00B644CC">
      <w:pPr>
        <w:pStyle w:val="Odstavekseznama"/>
        <w:spacing w:line="288" w:lineRule="auto"/>
        <w:ind w:left="0"/>
        <w:jc w:val="center"/>
        <w:rPr>
          <w:rFonts w:eastAsia="Calibri" w:cs="Arial"/>
          <w:b/>
          <w:szCs w:val="20"/>
        </w:rPr>
      </w:pPr>
      <w:r>
        <w:rPr>
          <w:rFonts w:eastAsia="Calibri" w:cs="Arial"/>
          <w:b/>
          <w:szCs w:val="20"/>
        </w:rPr>
        <w:t>3</w:t>
      </w:r>
      <w:r w:rsidRPr="00746AD7">
        <w:rPr>
          <w:rFonts w:eastAsia="Calibri" w:cs="Arial"/>
          <w:b/>
          <w:szCs w:val="20"/>
        </w:rPr>
        <w:t>. člen</w:t>
      </w:r>
    </w:p>
    <w:p w:rsidR="00AE2155" w:rsidRPr="00746AD7" w:rsidRDefault="00AE2155" w:rsidP="00B644CC">
      <w:pPr>
        <w:spacing w:line="288" w:lineRule="auto"/>
        <w:jc w:val="center"/>
        <w:rPr>
          <w:rFonts w:eastAsia="Calibri" w:cs="Arial"/>
          <w:szCs w:val="20"/>
        </w:rPr>
      </w:pPr>
    </w:p>
    <w:p w:rsidR="00AE2155" w:rsidRPr="006E178C" w:rsidRDefault="00AE2155" w:rsidP="00B644CC">
      <w:pPr>
        <w:spacing w:line="288" w:lineRule="auto"/>
        <w:jc w:val="both"/>
        <w:rPr>
          <w:rFonts w:eastAsia="Calibri" w:cs="Arial"/>
          <w:szCs w:val="20"/>
        </w:rPr>
      </w:pPr>
      <w:r w:rsidRPr="006E178C">
        <w:rPr>
          <w:rFonts w:eastAsia="Calibri" w:cs="Arial"/>
          <w:szCs w:val="20"/>
        </w:rPr>
        <w:t>V 44. členu se peti odstavek črta.</w:t>
      </w:r>
    </w:p>
    <w:p w:rsidR="00AE2155" w:rsidRPr="006E178C" w:rsidRDefault="00AE2155" w:rsidP="00B644CC">
      <w:pPr>
        <w:spacing w:line="288" w:lineRule="auto"/>
        <w:jc w:val="both"/>
        <w:rPr>
          <w:rFonts w:eastAsia="Calibri" w:cs="Arial"/>
          <w:szCs w:val="20"/>
        </w:rPr>
      </w:pPr>
    </w:p>
    <w:p w:rsidR="00AE2155" w:rsidRPr="006E178C" w:rsidRDefault="00AE2155" w:rsidP="00B644CC">
      <w:pPr>
        <w:spacing w:line="288" w:lineRule="auto"/>
        <w:jc w:val="center"/>
        <w:rPr>
          <w:rFonts w:eastAsia="Calibri" w:cs="Arial"/>
          <w:b/>
          <w:szCs w:val="20"/>
        </w:rPr>
      </w:pPr>
      <w:r w:rsidRPr="001C7A64">
        <w:rPr>
          <w:rFonts w:eastAsia="Calibri" w:cs="Arial"/>
          <w:b/>
          <w:szCs w:val="20"/>
        </w:rPr>
        <w:t>4. člen</w:t>
      </w:r>
    </w:p>
    <w:p w:rsidR="00AE2155" w:rsidRPr="006E178C" w:rsidRDefault="00AE2155" w:rsidP="00B644CC">
      <w:pPr>
        <w:spacing w:line="288" w:lineRule="auto"/>
        <w:jc w:val="center"/>
        <w:rPr>
          <w:rFonts w:eastAsia="Calibri" w:cs="Arial"/>
          <w:b/>
          <w:szCs w:val="20"/>
        </w:rPr>
      </w:pPr>
    </w:p>
    <w:p w:rsidR="00AE2155" w:rsidRDefault="00AE2155" w:rsidP="00B644CC">
      <w:pPr>
        <w:spacing w:line="288" w:lineRule="auto"/>
        <w:jc w:val="both"/>
        <w:rPr>
          <w:rFonts w:eastAsia="Calibri" w:cs="Arial"/>
          <w:szCs w:val="20"/>
        </w:rPr>
      </w:pPr>
      <w:bookmarkStart w:id="30" w:name="_Hlk29466513"/>
      <w:r w:rsidRPr="00B8339A">
        <w:rPr>
          <w:rFonts w:eastAsia="Calibri" w:cs="Arial"/>
          <w:szCs w:val="20"/>
        </w:rPr>
        <w:t>45. člen se spremeni tako, da se glasi:</w:t>
      </w:r>
    </w:p>
    <w:p w:rsidR="00C20D0A" w:rsidRDefault="00C20D0A" w:rsidP="00B644CC">
      <w:pPr>
        <w:spacing w:line="288" w:lineRule="auto"/>
        <w:jc w:val="both"/>
        <w:rPr>
          <w:rFonts w:eastAsia="Calibri" w:cs="Arial"/>
          <w:szCs w:val="20"/>
        </w:rPr>
      </w:pPr>
    </w:p>
    <w:p w:rsidR="00C20D0A" w:rsidRPr="00C20D0A" w:rsidRDefault="00C20D0A" w:rsidP="00C20D0A">
      <w:pPr>
        <w:spacing w:line="288" w:lineRule="auto"/>
        <w:jc w:val="center"/>
        <w:rPr>
          <w:rFonts w:eastAsia="Calibri" w:cs="Arial"/>
          <w:b/>
          <w:bCs/>
          <w:szCs w:val="20"/>
        </w:rPr>
      </w:pPr>
      <w:r>
        <w:rPr>
          <w:rFonts w:eastAsia="Calibri" w:cs="Arial"/>
          <w:szCs w:val="20"/>
        </w:rPr>
        <w:t>»</w:t>
      </w:r>
      <w:r w:rsidRPr="00C20D0A">
        <w:rPr>
          <w:rFonts w:eastAsia="Calibri" w:cs="Arial"/>
          <w:b/>
          <w:bCs/>
          <w:szCs w:val="20"/>
        </w:rPr>
        <w:t>45. člen</w:t>
      </w:r>
    </w:p>
    <w:p w:rsidR="00C20D0A" w:rsidRPr="00C20D0A" w:rsidRDefault="00C20D0A" w:rsidP="00C20D0A">
      <w:pPr>
        <w:spacing w:line="288" w:lineRule="auto"/>
        <w:jc w:val="center"/>
        <w:rPr>
          <w:rFonts w:eastAsia="Calibri" w:cs="Arial"/>
          <w:b/>
          <w:bCs/>
          <w:szCs w:val="20"/>
        </w:rPr>
      </w:pPr>
      <w:r w:rsidRPr="00C20D0A">
        <w:rPr>
          <w:rFonts w:eastAsia="Calibri" w:cs="Arial"/>
          <w:b/>
          <w:bCs/>
          <w:szCs w:val="20"/>
        </w:rPr>
        <w:t>(pripravljenost in dežurstvo)</w:t>
      </w:r>
    </w:p>
    <w:p w:rsidR="00AE2155" w:rsidRDefault="00AE2155" w:rsidP="00B644CC">
      <w:pPr>
        <w:spacing w:line="288" w:lineRule="auto"/>
        <w:jc w:val="both"/>
        <w:rPr>
          <w:rFonts w:eastAsia="Calibri" w:cs="Arial"/>
          <w:szCs w:val="20"/>
        </w:rPr>
      </w:pPr>
    </w:p>
    <w:p w:rsidR="00AE2155" w:rsidRDefault="00AE2155" w:rsidP="00B644CC">
      <w:pPr>
        <w:spacing w:line="288" w:lineRule="auto"/>
        <w:jc w:val="both"/>
        <w:rPr>
          <w:rFonts w:eastAsia="Calibri" w:cs="Arial"/>
          <w:szCs w:val="20"/>
        </w:rPr>
      </w:pPr>
      <w:r w:rsidRPr="006E178C">
        <w:rPr>
          <w:rFonts w:eastAsia="Calibri" w:cs="Arial"/>
          <w:szCs w:val="20"/>
        </w:rPr>
        <w:t xml:space="preserve">»(1) </w:t>
      </w:r>
      <w:bookmarkStart w:id="31" w:name="_Hlk33690260"/>
      <w:r>
        <w:rPr>
          <w:rFonts w:eastAsia="Calibri" w:cs="Arial"/>
          <w:szCs w:val="20"/>
        </w:rPr>
        <w:t>Z</w:t>
      </w:r>
      <w:r w:rsidRPr="00A53195">
        <w:rPr>
          <w:rFonts w:eastAsia="Calibri" w:cs="Arial"/>
          <w:szCs w:val="20"/>
        </w:rPr>
        <w:t xml:space="preserve">a </w:t>
      </w:r>
      <w:bookmarkStart w:id="32" w:name="_Hlk33689992"/>
      <w:r w:rsidRPr="00A53195">
        <w:rPr>
          <w:rFonts w:eastAsia="Calibri" w:cs="Arial"/>
          <w:szCs w:val="20"/>
        </w:rPr>
        <w:t>sodelovanje državnega tožilstva s policijo ter drugimi pristojnimi državnimi organi</w:t>
      </w:r>
      <w:r>
        <w:rPr>
          <w:rFonts w:eastAsia="Calibri" w:cs="Arial"/>
          <w:szCs w:val="20"/>
        </w:rPr>
        <w:t xml:space="preserve"> v predkazenskem postopku</w:t>
      </w:r>
      <w:r w:rsidRPr="00A53195">
        <w:rPr>
          <w:rFonts w:eastAsia="Calibri" w:cs="Arial"/>
          <w:szCs w:val="20"/>
        </w:rPr>
        <w:t xml:space="preserve">, ki obsega medsebojno obveščanje in usmerjanje predkazenskega postopka, </w:t>
      </w:r>
      <w:r>
        <w:rPr>
          <w:rFonts w:eastAsia="Calibri" w:cs="Arial"/>
          <w:szCs w:val="20"/>
        </w:rPr>
        <w:t xml:space="preserve">za </w:t>
      </w:r>
      <w:r w:rsidRPr="00A53195">
        <w:rPr>
          <w:rFonts w:eastAsia="Calibri" w:cs="Arial"/>
          <w:szCs w:val="20"/>
        </w:rPr>
        <w:t xml:space="preserve">zagotovitev udeležbe pri </w:t>
      </w:r>
      <w:r>
        <w:rPr>
          <w:rFonts w:eastAsia="Calibri" w:cs="Arial"/>
          <w:szCs w:val="20"/>
        </w:rPr>
        <w:t xml:space="preserve">nujnih </w:t>
      </w:r>
      <w:r w:rsidRPr="00A53195">
        <w:rPr>
          <w:rFonts w:eastAsia="Calibri" w:cs="Arial"/>
          <w:szCs w:val="20"/>
        </w:rPr>
        <w:t>procesnih dejanjih in drugih opravilih predkazenskega ali kazenskega postopka ter za druga nujna dejanja</w:t>
      </w:r>
      <w:r>
        <w:rPr>
          <w:rFonts w:eastAsia="Calibri" w:cs="Arial"/>
          <w:szCs w:val="20"/>
        </w:rPr>
        <w:t xml:space="preserve"> v predkazenskem postopku</w:t>
      </w:r>
      <w:bookmarkEnd w:id="32"/>
      <w:r>
        <w:rPr>
          <w:rFonts w:eastAsia="Calibri" w:cs="Arial"/>
          <w:szCs w:val="20"/>
        </w:rPr>
        <w:t xml:space="preserve"> se </w:t>
      </w:r>
      <w:r w:rsidRPr="006E178C">
        <w:rPr>
          <w:rFonts w:eastAsia="Calibri" w:cs="Arial"/>
          <w:szCs w:val="20"/>
        </w:rPr>
        <w:t>zunaj poslovnega časa državnega tožilstva</w:t>
      </w:r>
      <w:r>
        <w:rPr>
          <w:rFonts w:eastAsia="Calibri" w:cs="Arial"/>
          <w:szCs w:val="20"/>
        </w:rPr>
        <w:t xml:space="preserve"> organizira</w:t>
      </w:r>
      <w:r w:rsidRPr="00A53195">
        <w:rPr>
          <w:rFonts w:eastAsia="Calibri" w:cs="Arial"/>
          <w:szCs w:val="20"/>
        </w:rPr>
        <w:t xml:space="preserve"> dežurna služba</w:t>
      </w:r>
      <w:r>
        <w:rPr>
          <w:rFonts w:eastAsia="Calibri" w:cs="Arial"/>
          <w:szCs w:val="20"/>
        </w:rPr>
        <w:t>.</w:t>
      </w:r>
    </w:p>
    <w:bookmarkEnd w:id="31"/>
    <w:p w:rsidR="00AE2155" w:rsidRDefault="00AE2155" w:rsidP="00B644CC">
      <w:pPr>
        <w:spacing w:line="288" w:lineRule="auto"/>
        <w:jc w:val="both"/>
        <w:rPr>
          <w:rFonts w:eastAsia="Calibri" w:cs="Arial"/>
          <w:szCs w:val="20"/>
        </w:rPr>
      </w:pPr>
    </w:p>
    <w:p w:rsidR="00AE2155" w:rsidRPr="00685557" w:rsidRDefault="00AE2155" w:rsidP="00B644CC">
      <w:pPr>
        <w:spacing w:line="288" w:lineRule="auto"/>
        <w:ind w:right="28"/>
        <w:jc w:val="both"/>
        <w:rPr>
          <w:rFonts w:cs="Arial"/>
          <w:szCs w:val="20"/>
        </w:rPr>
      </w:pPr>
      <w:r w:rsidRPr="00685557">
        <w:rPr>
          <w:rFonts w:cs="Arial"/>
          <w:szCs w:val="20"/>
        </w:rPr>
        <w:t>(2) Dežurna služba se zagotavlja s pripravljenostjo za delo in dežurstvom</w:t>
      </w:r>
      <w:r w:rsidR="009A57DF">
        <w:rPr>
          <w:rFonts w:cs="Arial"/>
          <w:noProof/>
          <w:szCs w:val="20"/>
          <w:lang w:eastAsia="sl-SI"/>
        </w:rPr>
        <w:drawing>
          <wp:inline distT="0" distB="0" distL="0" distR="0">
            <wp:extent cx="19050" cy="19050"/>
            <wp:effectExtent l="0" t="0" r="0" b="0"/>
            <wp:docPr id="2" name="Picture 9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9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p w:rsidR="00AE2155" w:rsidRPr="00685557" w:rsidRDefault="00AE2155" w:rsidP="00B644CC">
      <w:pPr>
        <w:spacing w:line="288" w:lineRule="auto"/>
        <w:jc w:val="both"/>
        <w:rPr>
          <w:rFonts w:eastAsia="Calibri" w:cs="Arial"/>
          <w:szCs w:val="20"/>
        </w:rPr>
      </w:pPr>
    </w:p>
    <w:p w:rsidR="00AE2155" w:rsidRPr="006E178C" w:rsidRDefault="00AE2155" w:rsidP="00B644CC">
      <w:pPr>
        <w:spacing w:line="288" w:lineRule="auto"/>
        <w:jc w:val="both"/>
        <w:rPr>
          <w:rFonts w:eastAsia="Calibri" w:cs="Arial"/>
          <w:szCs w:val="20"/>
        </w:rPr>
      </w:pPr>
      <w:r w:rsidRPr="00685557">
        <w:rPr>
          <w:rFonts w:eastAsia="Calibri" w:cs="Arial"/>
          <w:szCs w:val="20"/>
        </w:rPr>
        <w:lastRenderedPageBreak/>
        <w:t xml:space="preserve">(3) Pripravljenost </w:t>
      </w:r>
      <w:r w:rsidRPr="00685557">
        <w:rPr>
          <w:rFonts w:cs="Arial"/>
          <w:szCs w:val="20"/>
        </w:rPr>
        <w:t>za delo</w:t>
      </w:r>
      <w:r w:rsidRPr="00685557">
        <w:rPr>
          <w:rFonts w:eastAsia="Calibri" w:cs="Arial"/>
          <w:szCs w:val="20"/>
        </w:rPr>
        <w:t xml:space="preserve"> pomeni dosegljivost državnega tožilca po telefonu ali z uporabo drugih komunikacijskih sredstev za potrebe opravljanja dejanj iz prvega odstavka tega člena. Ure pripravljenosti </w:t>
      </w:r>
      <w:r w:rsidRPr="00685557">
        <w:rPr>
          <w:rFonts w:cs="Arial"/>
          <w:szCs w:val="20"/>
        </w:rPr>
        <w:t>za delo</w:t>
      </w:r>
      <w:r w:rsidRPr="00685557">
        <w:rPr>
          <w:rFonts w:eastAsia="Calibri" w:cs="Arial"/>
          <w:szCs w:val="20"/>
        </w:rPr>
        <w:t xml:space="preserve"> se ne štejejo v delovni čas.</w:t>
      </w:r>
    </w:p>
    <w:p w:rsidR="00AE2155" w:rsidRDefault="00AE2155" w:rsidP="00B644CC">
      <w:pPr>
        <w:spacing w:line="288" w:lineRule="auto"/>
        <w:jc w:val="both"/>
        <w:rPr>
          <w:rFonts w:eastAsia="Calibri" w:cs="Arial"/>
          <w:szCs w:val="20"/>
        </w:rPr>
      </w:pPr>
    </w:p>
    <w:p w:rsidR="00AE2155" w:rsidRPr="006E178C" w:rsidRDefault="00AE2155" w:rsidP="00B644CC">
      <w:pPr>
        <w:spacing w:line="288" w:lineRule="auto"/>
        <w:jc w:val="both"/>
        <w:rPr>
          <w:rFonts w:eastAsia="Calibri" w:cs="Arial"/>
          <w:szCs w:val="20"/>
        </w:rPr>
      </w:pPr>
      <w:bookmarkStart w:id="33" w:name="_Hlk31289899"/>
      <w:r w:rsidRPr="006E178C">
        <w:rPr>
          <w:rFonts w:eastAsia="Calibri" w:cs="Arial"/>
          <w:szCs w:val="20"/>
        </w:rPr>
        <w:t>(</w:t>
      </w:r>
      <w:r>
        <w:rPr>
          <w:rFonts w:eastAsia="Calibri" w:cs="Arial"/>
          <w:szCs w:val="20"/>
        </w:rPr>
        <w:t>4</w:t>
      </w:r>
      <w:r w:rsidRPr="006E178C">
        <w:rPr>
          <w:rFonts w:eastAsia="Calibri" w:cs="Arial"/>
          <w:szCs w:val="20"/>
        </w:rPr>
        <w:t>) V času dežurstva državni tožilec opravlja dejanja iz prvega odstavka tega člena na delovnem mestu ali na drugem kraju</w:t>
      </w:r>
      <w:r>
        <w:rPr>
          <w:rFonts w:eastAsia="Calibri" w:cs="Arial"/>
          <w:szCs w:val="20"/>
        </w:rPr>
        <w:t xml:space="preserve">, </w:t>
      </w:r>
      <w:r w:rsidRPr="00685557">
        <w:t>kjer je treba opraviti dejanje iz prvega odstavka tega člena</w:t>
      </w:r>
      <w:r w:rsidRPr="00685557">
        <w:rPr>
          <w:rFonts w:eastAsia="Calibri" w:cs="Arial"/>
          <w:szCs w:val="20"/>
        </w:rPr>
        <w:t>. Ure dežurstva se štejejo v delovni čas.</w:t>
      </w:r>
    </w:p>
    <w:p w:rsidR="00AE2155" w:rsidRDefault="00AE2155" w:rsidP="00B644CC">
      <w:pPr>
        <w:spacing w:line="288" w:lineRule="auto"/>
        <w:jc w:val="both"/>
        <w:rPr>
          <w:rFonts w:eastAsia="Calibri" w:cs="Arial"/>
          <w:szCs w:val="20"/>
        </w:rPr>
      </w:pPr>
    </w:p>
    <w:p w:rsidR="00AE2155" w:rsidRDefault="00AE2155" w:rsidP="00B644CC">
      <w:pPr>
        <w:spacing w:line="288" w:lineRule="auto"/>
        <w:jc w:val="both"/>
        <w:rPr>
          <w:rFonts w:eastAsia="Calibri" w:cs="Arial"/>
          <w:szCs w:val="20"/>
        </w:rPr>
      </w:pPr>
      <w:r w:rsidRPr="007618A8">
        <w:rPr>
          <w:rFonts w:eastAsia="Calibri" w:cs="Arial"/>
          <w:szCs w:val="20"/>
        </w:rPr>
        <w:t>(</w:t>
      </w:r>
      <w:r>
        <w:rPr>
          <w:rFonts w:eastAsia="Calibri" w:cs="Arial"/>
          <w:szCs w:val="20"/>
        </w:rPr>
        <w:t>5</w:t>
      </w:r>
      <w:r w:rsidRPr="007618A8">
        <w:rPr>
          <w:rFonts w:eastAsia="Calibri" w:cs="Arial"/>
          <w:szCs w:val="20"/>
        </w:rPr>
        <w:t xml:space="preserve">) </w:t>
      </w:r>
      <w:bookmarkStart w:id="34" w:name="_Hlk31290422"/>
      <w:r w:rsidRPr="007618A8">
        <w:rPr>
          <w:rFonts w:eastAsia="Calibri" w:cs="Arial"/>
          <w:szCs w:val="20"/>
        </w:rPr>
        <w:t>Čas</w:t>
      </w:r>
      <w:r>
        <w:rPr>
          <w:rFonts w:eastAsia="Calibri" w:cs="Arial"/>
          <w:szCs w:val="20"/>
        </w:rPr>
        <w:t>, ki ga državni tožilec porabi za prihod</w:t>
      </w:r>
      <w:r w:rsidRPr="007618A8">
        <w:rPr>
          <w:rFonts w:eastAsia="Calibri" w:cs="Arial"/>
          <w:szCs w:val="20"/>
        </w:rPr>
        <w:t xml:space="preserve"> na kraj, kjer je treba opraviti dejanja iz prvega odstavka tega člena in čas povratka se </w:t>
      </w:r>
      <w:r w:rsidRPr="00EE7582">
        <w:rPr>
          <w:rFonts w:eastAsia="Calibri" w:cs="Arial"/>
          <w:szCs w:val="20"/>
        </w:rPr>
        <w:t xml:space="preserve">šteje </w:t>
      </w:r>
      <w:r w:rsidRPr="00685557">
        <w:rPr>
          <w:rFonts w:eastAsia="Calibri" w:cs="Arial"/>
          <w:szCs w:val="20"/>
        </w:rPr>
        <w:t>v delovni čas.</w:t>
      </w:r>
      <w:r w:rsidRPr="007618A8">
        <w:rPr>
          <w:rFonts w:eastAsia="Calibri" w:cs="Arial"/>
          <w:szCs w:val="20"/>
        </w:rPr>
        <w:t xml:space="preserve"> </w:t>
      </w:r>
    </w:p>
    <w:p w:rsidR="00AE2155" w:rsidRDefault="00AE2155" w:rsidP="00B644CC">
      <w:pPr>
        <w:spacing w:line="288" w:lineRule="auto"/>
        <w:jc w:val="both"/>
        <w:rPr>
          <w:rFonts w:eastAsia="Calibri" w:cs="Arial"/>
          <w:szCs w:val="20"/>
        </w:rPr>
      </w:pPr>
    </w:p>
    <w:bookmarkEnd w:id="33"/>
    <w:bookmarkEnd w:id="34"/>
    <w:p w:rsidR="00AE2155" w:rsidRPr="00AA6478" w:rsidRDefault="00AE2155" w:rsidP="00B644CC">
      <w:pPr>
        <w:spacing w:line="288" w:lineRule="auto"/>
        <w:jc w:val="both"/>
        <w:rPr>
          <w:rFonts w:eastAsia="Calibri" w:cs="Arial"/>
          <w:szCs w:val="20"/>
        </w:rPr>
      </w:pPr>
      <w:r w:rsidRPr="006E178C">
        <w:rPr>
          <w:rFonts w:eastAsia="Calibri" w:cs="Arial"/>
          <w:szCs w:val="20"/>
        </w:rPr>
        <w:t>(</w:t>
      </w:r>
      <w:r>
        <w:rPr>
          <w:rFonts w:eastAsia="Calibri" w:cs="Arial"/>
          <w:szCs w:val="20"/>
        </w:rPr>
        <w:t>6</w:t>
      </w:r>
      <w:r w:rsidRPr="006E178C">
        <w:rPr>
          <w:rFonts w:eastAsia="Calibri" w:cs="Arial"/>
          <w:szCs w:val="20"/>
        </w:rPr>
        <w:t xml:space="preserve">) Vodja državnega tožilstva lahko zaradi njihove pogostosti odredi opravljanje dejanj iz prvega odstavka tega člena izključno z dežurstvom. Načrt opravljanja dežurstva mora predhodno odobriti generalni državni tožilec na podlagi obrazloženega pisnega predloga vodje državnega tožilstva in </w:t>
      </w:r>
      <w:r w:rsidRPr="00AA6478">
        <w:rPr>
          <w:rFonts w:eastAsia="Calibri" w:cs="Arial"/>
          <w:szCs w:val="20"/>
        </w:rPr>
        <w:t>o tem obvestiti ministrstvo.</w:t>
      </w:r>
    </w:p>
    <w:p w:rsidR="00AE2155" w:rsidRDefault="00AE2155" w:rsidP="00B644CC">
      <w:pPr>
        <w:spacing w:line="288" w:lineRule="auto"/>
        <w:jc w:val="both"/>
        <w:rPr>
          <w:rFonts w:eastAsia="Calibri" w:cs="Arial"/>
          <w:szCs w:val="20"/>
        </w:rPr>
      </w:pPr>
    </w:p>
    <w:p w:rsidR="00AE2155" w:rsidRPr="001D5747" w:rsidRDefault="00AE2155" w:rsidP="00B644CC">
      <w:pPr>
        <w:spacing w:line="288" w:lineRule="auto"/>
        <w:jc w:val="both"/>
        <w:rPr>
          <w:rFonts w:eastAsia="Calibri" w:cs="Arial"/>
          <w:strike/>
          <w:szCs w:val="20"/>
        </w:rPr>
      </w:pPr>
      <w:r w:rsidRPr="0022222A">
        <w:rPr>
          <w:rFonts w:eastAsia="Calibri" w:cs="Arial"/>
          <w:szCs w:val="20"/>
        </w:rPr>
        <w:t xml:space="preserve">(7) Ko državni tožilec v </w:t>
      </w:r>
      <w:r w:rsidRPr="002F7AD1">
        <w:rPr>
          <w:rFonts w:eastAsia="Calibri" w:cs="Arial"/>
          <w:szCs w:val="20"/>
        </w:rPr>
        <w:t>času odrejenega dežurstva iz prejšnjega odstavka ne opravlja</w:t>
      </w:r>
      <w:r w:rsidRPr="0022222A">
        <w:rPr>
          <w:rFonts w:eastAsia="Calibri" w:cs="Arial"/>
          <w:szCs w:val="20"/>
        </w:rPr>
        <w:t xml:space="preserve"> dejanj iz prvega odstavka tega člena, mora biti dosegljiv na delovnem mestu. </w:t>
      </w:r>
    </w:p>
    <w:p w:rsidR="00AE2155" w:rsidRPr="006E178C" w:rsidRDefault="00AE2155" w:rsidP="00B644CC">
      <w:pPr>
        <w:spacing w:line="288" w:lineRule="auto"/>
        <w:jc w:val="both"/>
        <w:rPr>
          <w:rFonts w:eastAsia="Calibri" w:cs="Arial"/>
          <w:szCs w:val="20"/>
        </w:rPr>
      </w:pPr>
    </w:p>
    <w:p w:rsidR="00AE2155" w:rsidRPr="00052C7C" w:rsidRDefault="00AE2155" w:rsidP="00052C7C">
      <w:pPr>
        <w:pStyle w:val="datumtevilka"/>
        <w:suppressAutoHyphens/>
        <w:spacing w:line="288" w:lineRule="auto"/>
        <w:jc w:val="both"/>
        <w:rPr>
          <w:rFonts w:cs="Arial"/>
          <w:color w:val="000000"/>
        </w:rPr>
      </w:pPr>
      <w:r w:rsidRPr="006E178C">
        <w:rPr>
          <w:rFonts w:eastAsia="Calibri" w:cs="Arial"/>
        </w:rPr>
        <w:t>(</w:t>
      </w:r>
      <w:r>
        <w:rPr>
          <w:rFonts w:eastAsia="Calibri" w:cs="Arial"/>
        </w:rPr>
        <w:t>8</w:t>
      </w:r>
      <w:r w:rsidRPr="006E178C">
        <w:rPr>
          <w:rFonts w:eastAsia="Calibri" w:cs="Arial"/>
        </w:rPr>
        <w:t xml:space="preserve">) Izvajanje </w:t>
      </w:r>
      <w:r w:rsidRPr="00685557">
        <w:rPr>
          <w:rFonts w:eastAsia="Calibri" w:cs="Arial"/>
        </w:rPr>
        <w:t>pripravljenosti za delo in</w:t>
      </w:r>
      <w:r w:rsidRPr="006E178C">
        <w:rPr>
          <w:rFonts w:eastAsia="Calibri" w:cs="Arial"/>
        </w:rPr>
        <w:t xml:space="preserve"> dežurstva, </w:t>
      </w:r>
      <w:r w:rsidR="00052C7C" w:rsidRPr="001E0D84">
        <w:rPr>
          <w:rFonts w:cs="Arial"/>
          <w:color w:val="000000"/>
        </w:rPr>
        <w:t xml:space="preserve">najdaljši sprejemljivi čas prihoda na delovno mesto ali kraj, kjer se opravlja nujno procesno dejanje, </w:t>
      </w:r>
      <w:r w:rsidRPr="006E178C">
        <w:rPr>
          <w:rFonts w:eastAsia="Calibri" w:cs="Arial"/>
        </w:rPr>
        <w:t>pogoji in način odrejanja se natančneje določijo z Državnotožilskim redom.«.</w:t>
      </w:r>
    </w:p>
    <w:p w:rsidR="00AE2155" w:rsidRDefault="00AE2155" w:rsidP="00B644CC">
      <w:pPr>
        <w:spacing w:line="288" w:lineRule="auto"/>
        <w:jc w:val="both"/>
        <w:rPr>
          <w:rFonts w:eastAsia="Calibri" w:cs="Arial"/>
          <w:szCs w:val="20"/>
        </w:rPr>
      </w:pPr>
    </w:p>
    <w:p w:rsidR="00AE2155" w:rsidRPr="00324027" w:rsidRDefault="00AE2155" w:rsidP="00B644CC">
      <w:pPr>
        <w:spacing w:line="288" w:lineRule="auto"/>
        <w:jc w:val="center"/>
        <w:rPr>
          <w:rFonts w:eastAsia="Calibri" w:cs="Arial"/>
          <w:b/>
          <w:szCs w:val="20"/>
        </w:rPr>
      </w:pPr>
      <w:r>
        <w:rPr>
          <w:rFonts w:eastAsia="Calibri" w:cs="Arial"/>
          <w:b/>
          <w:szCs w:val="20"/>
        </w:rPr>
        <w:t>5</w:t>
      </w:r>
      <w:r w:rsidRPr="00324027">
        <w:rPr>
          <w:rFonts w:eastAsia="Calibri" w:cs="Arial"/>
          <w:b/>
          <w:szCs w:val="20"/>
        </w:rPr>
        <w:t>. člen</w:t>
      </w:r>
    </w:p>
    <w:p w:rsidR="00AE2155" w:rsidRDefault="00AE2155" w:rsidP="00B644CC">
      <w:pPr>
        <w:spacing w:line="288" w:lineRule="auto"/>
        <w:jc w:val="both"/>
        <w:rPr>
          <w:rFonts w:eastAsia="Calibri" w:cs="Arial"/>
          <w:szCs w:val="20"/>
        </w:rPr>
      </w:pPr>
    </w:p>
    <w:p w:rsidR="00AE2155" w:rsidRDefault="00AE2155" w:rsidP="00B644CC">
      <w:pPr>
        <w:spacing w:line="288" w:lineRule="auto"/>
        <w:jc w:val="both"/>
        <w:rPr>
          <w:rFonts w:eastAsia="Calibri" w:cs="Arial"/>
          <w:szCs w:val="20"/>
        </w:rPr>
      </w:pPr>
      <w:r>
        <w:rPr>
          <w:rFonts w:eastAsia="Calibri" w:cs="Arial"/>
          <w:szCs w:val="20"/>
        </w:rPr>
        <w:t>V 46. členu se drugi odstavek spremeni tako, da se glasi:</w:t>
      </w:r>
    </w:p>
    <w:p w:rsidR="00AE2155" w:rsidRDefault="00AE2155" w:rsidP="00B644CC">
      <w:pPr>
        <w:spacing w:line="288" w:lineRule="auto"/>
        <w:jc w:val="both"/>
        <w:rPr>
          <w:rFonts w:eastAsia="Calibri" w:cs="Arial"/>
          <w:szCs w:val="20"/>
        </w:rPr>
      </w:pPr>
    </w:p>
    <w:p w:rsidR="00AE2155" w:rsidRPr="006E178C" w:rsidRDefault="00AE2155" w:rsidP="00B644CC">
      <w:pPr>
        <w:spacing w:line="288" w:lineRule="auto"/>
        <w:jc w:val="both"/>
        <w:rPr>
          <w:rFonts w:eastAsia="Calibri" w:cs="Arial"/>
          <w:szCs w:val="20"/>
        </w:rPr>
      </w:pPr>
      <w:r>
        <w:rPr>
          <w:rFonts w:eastAsia="Calibri" w:cs="Arial"/>
          <w:szCs w:val="20"/>
        </w:rPr>
        <w:t>»(2) Določba prejšnjega odstavka se uporablja tudi, če je državni tožilec izvoljen za poslanca evropskega parlamenta ali evropskega varuha človekovih pravic, imenovan za člana Evropske komisije, imenovan za evropskega glavnega tožilca ali napoten v mednarodno civilno misijo ali mednarodno organizacijo.«.</w:t>
      </w:r>
    </w:p>
    <w:bookmarkEnd w:id="30"/>
    <w:p w:rsidR="00AE2155" w:rsidRPr="006E178C" w:rsidRDefault="00AE2155" w:rsidP="00B644CC">
      <w:pPr>
        <w:spacing w:line="288" w:lineRule="auto"/>
        <w:rPr>
          <w:rFonts w:eastAsia="Calibri" w:cs="Arial"/>
          <w:szCs w:val="20"/>
        </w:rPr>
      </w:pPr>
    </w:p>
    <w:p w:rsidR="00AE2155" w:rsidRPr="006E178C" w:rsidRDefault="00AE2155" w:rsidP="00B644CC">
      <w:pPr>
        <w:spacing w:line="288" w:lineRule="auto"/>
        <w:jc w:val="center"/>
        <w:rPr>
          <w:rFonts w:eastAsia="Calibri" w:cs="Arial"/>
          <w:b/>
          <w:szCs w:val="20"/>
        </w:rPr>
      </w:pPr>
      <w:r>
        <w:rPr>
          <w:rFonts w:eastAsia="Calibri" w:cs="Arial"/>
          <w:b/>
          <w:szCs w:val="20"/>
        </w:rPr>
        <w:t>6</w:t>
      </w:r>
      <w:r w:rsidRPr="006E178C">
        <w:rPr>
          <w:rFonts w:eastAsia="Calibri" w:cs="Arial"/>
          <w:b/>
          <w:szCs w:val="20"/>
        </w:rPr>
        <w:t>. člen</w:t>
      </w:r>
    </w:p>
    <w:p w:rsidR="00AE2155" w:rsidRPr="006E178C" w:rsidRDefault="00AE2155" w:rsidP="00B644CC">
      <w:pPr>
        <w:spacing w:line="288" w:lineRule="auto"/>
        <w:rPr>
          <w:rFonts w:eastAsia="Calibri" w:cs="Arial"/>
          <w:szCs w:val="20"/>
        </w:rPr>
      </w:pPr>
    </w:p>
    <w:p w:rsidR="00AE2155" w:rsidRPr="006E178C" w:rsidRDefault="00AE2155" w:rsidP="00B644CC">
      <w:pPr>
        <w:spacing w:line="288" w:lineRule="auto"/>
        <w:rPr>
          <w:rFonts w:eastAsia="Calibri" w:cs="Arial"/>
          <w:szCs w:val="20"/>
        </w:rPr>
      </w:pPr>
      <w:r w:rsidRPr="006E178C">
        <w:rPr>
          <w:rFonts w:eastAsia="Calibri" w:cs="Arial"/>
          <w:szCs w:val="20"/>
        </w:rPr>
        <w:t>V 50. členu se drugi odstavek spremeni tako, da se glasi:</w:t>
      </w:r>
    </w:p>
    <w:p w:rsidR="00AE2155" w:rsidRDefault="00AE2155" w:rsidP="00B644CC">
      <w:pPr>
        <w:spacing w:line="288" w:lineRule="auto"/>
        <w:rPr>
          <w:rFonts w:eastAsia="Calibri" w:cs="Arial"/>
          <w:szCs w:val="20"/>
        </w:rPr>
      </w:pPr>
    </w:p>
    <w:p w:rsidR="00AE2155" w:rsidRPr="006E178C" w:rsidRDefault="00AE2155" w:rsidP="00B644CC">
      <w:pPr>
        <w:spacing w:line="288" w:lineRule="auto"/>
        <w:jc w:val="both"/>
        <w:rPr>
          <w:rFonts w:eastAsia="Calibri" w:cs="Arial"/>
          <w:szCs w:val="20"/>
        </w:rPr>
      </w:pPr>
      <w:r w:rsidRPr="006E178C">
        <w:rPr>
          <w:rFonts w:eastAsia="Calibri" w:cs="Arial"/>
          <w:szCs w:val="20"/>
        </w:rPr>
        <w:t xml:space="preserve">»(2) Če državni tožilec med </w:t>
      </w:r>
      <w:r w:rsidRPr="00685557">
        <w:rPr>
          <w:rFonts w:eastAsia="Calibri" w:cs="Arial"/>
          <w:szCs w:val="20"/>
        </w:rPr>
        <w:t>pripravljenostjo za delo prevzame opravljanje dejanj iz prvega odstavka 45. člena tega zakona, se ta čas evidentira in vrednoti kot delovni čas.«.</w:t>
      </w:r>
    </w:p>
    <w:p w:rsidR="00AE2155" w:rsidRDefault="00AE2155" w:rsidP="00B644CC">
      <w:pPr>
        <w:spacing w:line="288" w:lineRule="auto"/>
        <w:rPr>
          <w:rFonts w:eastAsia="Calibri" w:cs="Arial"/>
          <w:szCs w:val="20"/>
        </w:rPr>
      </w:pPr>
    </w:p>
    <w:p w:rsidR="00AE2155" w:rsidRPr="009D74CA" w:rsidRDefault="00AE2155" w:rsidP="00B644CC">
      <w:pPr>
        <w:spacing w:line="288" w:lineRule="auto"/>
        <w:jc w:val="center"/>
        <w:rPr>
          <w:rFonts w:eastAsia="Calibri" w:cs="Arial"/>
          <w:b/>
          <w:szCs w:val="20"/>
        </w:rPr>
      </w:pPr>
      <w:r>
        <w:rPr>
          <w:rFonts w:eastAsia="Calibri" w:cs="Arial"/>
          <w:b/>
          <w:szCs w:val="20"/>
        </w:rPr>
        <w:t>7</w:t>
      </w:r>
      <w:r w:rsidRPr="009D74CA">
        <w:rPr>
          <w:rFonts w:eastAsia="Calibri" w:cs="Arial"/>
          <w:b/>
          <w:szCs w:val="20"/>
        </w:rPr>
        <w:t>. člen</w:t>
      </w:r>
    </w:p>
    <w:p w:rsidR="00AE2155" w:rsidRDefault="00AE2155" w:rsidP="00B644CC">
      <w:pPr>
        <w:spacing w:line="288" w:lineRule="auto"/>
        <w:jc w:val="both"/>
        <w:rPr>
          <w:rFonts w:eastAsia="Calibri" w:cs="Arial"/>
          <w:szCs w:val="20"/>
        </w:rPr>
      </w:pPr>
    </w:p>
    <w:p w:rsidR="00AE2155" w:rsidRDefault="00AE2155" w:rsidP="00B644CC">
      <w:pPr>
        <w:spacing w:line="288" w:lineRule="auto"/>
        <w:jc w:val="both"/>
        <w:rPr>
          <w:rFonts w:eastAsia="Calibri" w:cs="Arial"/>
          <w:szCs w:val="20"/>
        </w:rPr>
      </w:pPr>
      <w:r w:rsidRPr="006E178C">
        <w:rPr>
          <w:rFonts w:eastAsia="Calibri" w:cs="Arial"/>
          <w:szCs w:val="20"/>
        </w:rPr>
        <w:t>V 62. členu se šesti odstavek črta</w:t>
      </w:r>
      <w:r>
        <w:rPr>
          <w:rFonts w:eastAsia="Calibri" w:cs="Arial"/>
          <w:szCs w:val="20"/>
        </w:rPr>
        <w:t xml:space="preserve">. </w:t>
      </w:r>
    </w:p>
    <w:p w:rsidR="00AE2155" w:rsidRPr="006E178C" w:rsidRDefault="00AE2155" w:rsidP="00B644CC">
      <w:pPr>
        <w:spacing w:line="288" w:lineRule="auto"/>
        <w:rPr>
          <w:rFonts w:eastAsia="Calibri" w:cs="Arial"/>
          <w:szCs w:val="20"/>
        </w:rPr>
      </w:pPr>
    </w:p>
    <w:p w:rsidR="00AE2155" w:rsidRPr="006E178C" w:rsidRDefault="00AE2155" w:rsidP="00B644CC">
      <w:pPr>
        <w:spacing w:line="288" w:lineRule="auto"/>
        <w:jc w:val="center"/>
        <w:rPr>
          <w:rFonts w:eastAsia="Calibri" w:cs="Arial"/>
          <w:b/>
          <w:szCs w:val="20"/>
        </w:rPr>
      </w:pPr>
      <w:r>
        <w:rPr>
          <w:rFonts w:eastAsia="Calibri" w:cs="Arial"/>
          <w:b/>
          <w:szCs w:val="20"/>
        </w:rPr>
        <w:t>8</w:t>
      </w:r>
      <w:r w:rsidRPr="006E178C">
        <w:rPr>
          <w:rFonts w:eastAsia="Calibri" w:cs="Arial"/>
          <w:b/>
          <w:szCs w:val="20"/>
        </w:rPr>
        <w:t>. člen</w:t>
      </w:r>
    </w:p>
    <w:p w:rsidR="00AE2155" w:rsidRPr="006E178C" w:rsidRDefault="00AE2155" w:rsidP="00B644CC">
      <w:pPr>
        <w:spacing w:line="288" w:lineRule="auto"/>
        <w:jc w:val="center"/>
        <w:rPr>
          <w:rFonts w:eastAsia="Calibri" w:cs="Arial"/>
          <w:szCs w:val="20"/>
          <w:shd w:val="clear" w:color="auto" w:fill="FFFFFF"/>
        </w:rPr>
      </w:pPr>
    </w:p>
    <w:p w:rsidR="00AE2155" w:rsidRDefault="00AE2155" w:rsidP="00B644CC">
      <w:pPr>
        <w:spacing w:line="288" w:lineRule="auto"/>
        <w:jc w:val="both"/>
        <w:rPr>
          <w:rFonts w:eastAsia="Calibri" w:cs="Arial"/>
          <w:szCs w:val="20"/>
          <w:shd w:val="clear" w:color="auto" w:fill="FFFFFF"/>
        </w:rPr>
      </w:pPr>
      <w:r w:rsidRPr="006E178C">
        <w:rPr>
          <w:rFonts w:eastAsia="Calibri" w:cs="Arial"/>
          <w:szCs w:val="20"/>
          <w:shd w:val="clear" w:color="auto" w:fill="FFFFFF"/>
        </w:rPr>
        <w:t xml:space="preserve">V 65. členu se </w:t>
      </w:r>
      <w:r>
        <w:rPr>
          <w:rFonts w:eastAsia="Calibri" w:cs="Arial"/>
          <w:szCs w:val="20"/>
          <w:shd w:val="clear" w:color="auto" w:fill="FFFFFF"/>
        </w:rPr>
        <w:t>v drugem odstavku besedilo »po izteku dodelitve« črta.</w:t>
      </w:r>
    </w:p>
    <w:p w:rsidR="00AE2155" w:rsidRDefault="00AE2155" w:rsidP="00B644CC">
      <w:pPr>
        <w:spacing w:line="288" w:lineRule="auto"/>
        <w:jc w:val="both"/>
        <w:rPr>
          <w:rFonts w:eastAsia="Calibri" w:cs="Arial"/>
          <w:szCs w:val="20"/>
          <w:shd w:val="clear" w:color="auto" w:fill="FFFFFF"/>
        </w:rPr>
      </w:pPr>
    </w:p>
    <w:p w:rsidR="00AE2155" w:rsidRPr="006E178C" w:rsidRDefault="00AE2155" w:rsidP="00B644CC">
      <w:pPr>
        <w:spacing w:line="288" w:lineRule="auto"/>
        <w:jc w:val="both"/>
        <w:rPr>
          <w:rFonts w:eastAsia="Calibri" w:cs="Arial"/>
          <w:szCs w:val="20"/>
          <w:shd w:val="clear" w:color="auto" w:fill="FFFFFF"/>
        </w:rPr>
      </w:pPr>
      <w:r>
        <w:rPr>
          <w:rFonts w:eastAsia="Calibri" w:cs="Arial"/>
          <w:szCs w:val="20"/>
          <w:shd w:val="clear" w:color="auto" w:fill="FFFFFF"/>
        </w:rPr>
        <w:t>T</w:t>
      </w:r>
      <w:r w:rsidRPr="006E178C">
        <w:rPr>
          <w:rFonts w:eastAsia="Calibri" w:cs="Arial"/>
          <w:szCs w:val="20"/>
          <w:shd w:val="clear" w:color="auto" w:fill="FFFFFF"/>
        </w:rPr>
        <w:t xml:space="preserve">retji odstavek </w:t>
      </w:r>
      <w:r>
        <w:rPr>
          <w:rFonts w:eastAsia="Calibri" w:cs="Arial"/>
          <w:szCs w:val="20"/>
          <w:shd w:val="clear" w:color="auto" w:fill="FFFFFF"/>
        </w:rPr>
        <w:t>se spremeni tako, da se glasi:</w:t>
      </w:r>
    </w:p>
    <w:p w:rsidR="00AE2155" w:rsidRDefault="00AE2155" w:rsidP="00B644CC">
      <w:pPr>
        <w:spacing w:line="288" w:lineRule="auto"/>
        <w:jc w:val="both"/>
        <w:rPr>
          <w:rFonts w:eastAsia="Calibri" w:cs="Arial"/>
          <w:szCs w:val="20"/>
          <w:shd w:val="clear" w:color="auto" w:fill="FFFFFF"/>
        </w:rPr>
      </w:pPr>
    </w:p>
    <w:p w:rsidR="00AE2155" w:rsidRPr="006E178C" w:rsidRDefault="00AE2155" w:rsidP="00B644CC">
      <w:pPr>
        <w:spacing w:line="288" w:lineRule="auto"/>
        <w:jc w:val="both"/>
        <w:rPr>
          <w:rFonts w:eastAsia="Calibri" w:cs="Arial"/>
          <w:szCs w:val="20"/>
          <w:shd w:val="clear" w:color="auto" w:fill="FFFFFF"/>
        </w:rPr>
      </w:pPr>
      <w:r>
        <w:rPr>
          <w:rFonts w:eastAsia="Calibri" w:cs="Arial"/>
          <w:szCs w:val="20"/>
          <w:shd w:val="clear" w:color="auto" w:fill="FFFFFF"/>
        </w:rPr>
        <w:lastRenderedPageBreak/>
        <w:t>»</w:t>
      </w:r>
      <w:r w:rsidRPr="006E178C">
        <w:rPr>
          <w:rFonts w:eastAsia="Calibri" w:cs="Arial"/>
          <w:szCs w:val="20"/>
          <w:shd w:val="clear" w:color="auto" w:fill="FFFFFF"/>
        </w:rPr>
        <w:t>(3) Državni tožilec iz prvega odstavka</w:t>
      </w:r>
      <w:r w:rsidR="00C20D0A">
        <w:rPr>
          <w:rFonts w:eastAsia="Calibri" w:cs="Arial"/>
          <w:szCs w:val="20"/>
          <w:shd w:val="clear" w:color="auto" w:fill="FFFFFF"/>
        </w:rPr>
        <w:t xml:space="preserve"> tega člena</w:t>
      </w:r>
      <w:r w:rsidRPr="006E178C">
        <w:rPr>
          <w:rFonts w:eastAsia="Calibri" w:cs="Arial"/>
          <w:szCs w:val="20"/>
          <w:shd w:val="clear" w:color="auto" w:fill="FFFFFF"/>
        </w:rPr>
        <w:t xml:space="preserve"> ima na podlagi dodelitve pravico do dodatkov, določenih z zakonom</w:t>
      </w:r>
      <w:r w:rsidR="008C4D0E">
        <w:rPr>
          <w:rFonts w:eastAsia="Calibri" w:cs="Arial"/>
          <w:szCs w:val="20"/>
          <w:shd w:val="clear" w:color="auto" w:fill="FFFFFF"/>
        </w:rPr>
        <w:t>, ki ureja sistem plač v javnem sektorju</w:t>
      </w:r>
      <w:r w:rsidRPr="006E178C">
        <w:rPr>
          <w:rFonts w:eastAsia="Calibri" w:cs="Arial"/>
          <w:szCs w:val="20"/>
          <w:shd w:val="clear" w:color="auto" w:fill="FFFFFF"/>
        </w:rPr>
        <w:t xml:space="preserve">. Pri oceni državnotožilske službe za čas dodelitve se upošteva </w:t>
      </w:r>
      <w:r w:rsidR="00186C9B">
        <w:rPr>
          <w:rFonts w:eastAsia="Calibri" w:cs="Arial"/>
          <w:szCs w:val="20"/>
          <w:shd w:val="clear" w:color="auto" w:fill="FFFFFF"/>
        </w:rPr>
        <w:t>poročilo o delu, ki ga izdela državni tožilec</w:t>
      </w:r>
      <w:r w:rsidR="00186C9B" w:rsidRPr="006E178C">
        <w:rPr>
          <w:rFonts w:eastAsia="Calibri" w:cs="Arial"/>
          <w:szCs w:val="20"/>
          <w:shd w:val="clear" w:color="auto" w:fill="FFFFFF"/>
        </w:rPr>
        <w:t xml:space="preserve"> </w:t>
      </w:r>
      <w:r w:rsidR="00186C9B">
        <w:rPr>
          <w:rFonts w:eastAsia="Calibri" w:cs="Arial"/>
          <w:szCs w:val="20"/>
          <w:shd w:val="clear" w:color="auto" w:fill="FFFFFF"/>
        </w:rPr>
        <w:t xml:space="preserve">in </w:t>
      </w:r>
      <w:r w:rsidRPr="006E178C">
        <w:rPr>
          <w:rFonts w:eastAsia="Calibri" w:cs="Arial"/>
          <w:szCs w:val="20"/>
          <w:shd w:val="clear" w:color="auto" w:fill="FFFFFF"/>
        </w:rPr>
        <w:t>mnenje o delu državnega tožilca, ki ga za namene ocene državnotožilske službe izdela predstojnik organa, pri katerem je oziroma je bil državni tožilec dodeljen.«.</w:t>
      </w:r>
    </w:p>
    <w:p w:rsidR="00AE2155" w:rsidRPr="00191E11" w:rsidRDefault="00AE2155" w:rsidP="00B644CC">
      <w:pPr>
        <w:spacing w:line="288" w:lineRule="auto"/>
        <w:rPr>
          <w:rFonts w:eastAsia="Calibri" w:cs="Arial"/>
          <w:b/>
          <w:szCs w:val="20"/>
        </w:rPr>
      </w:pPr>
    </w:p>
    <w:p w:rsidR="00AE2155" w:rsidRDefault="00AE2155" w:rsidP="00B644CC">
      <w:pPr>
        <w:pStyle w:val="Odstavekseznama"/>
        <w:spacing w:line="288" w:lineRule="auto"/>
        <w:ind w:left="0"/>
        <w:jc w:val="center"/>
        <w:rPr>
          <w:rFonts w:eastAsia="Calibri" w:cs="Arial"/>
          <w:b/>
          <w:szCs w:val="20"/>
        </w:rPr>
      </w:pPr>
      <w:r>
        <w:rPr>
          <w:rFonts w:eastAsia="Calibri" w:cs="Arial"/>
          <w:b/>
          <w:szCs w:val="20"/>
        </w:rPr>
        <w:t xml:space="preserve">9. </w:t>
      </w:r>
      <w:r w:rsidRPr="00746AD7">
        <w:rPr>
          <w:rFonts w:eastAsia="Calibri" w:cs="Arial"/>
          <w:b/>
          <w:szCs w:val="20"/>
        </w:rPr>
        <w:t>člen</w:t>
      </w:r>
    </w:p>
    <w:p w:rsidR="00AE2155" w:rsidRDefault="00AE2155" w:rsidP="00B644CC">
      <w:pPr>
        <w:pStyle w:val="Odstavekseznama"/>
        <w:spacing w:line="288" w:lineRule="auto"/>
        <w:ind w:left="0"/>
        <w:jc w:val="both"/>
        <w:rPr>
          <w:rFonts w:eastAsia="Calibri" w:cs="Arial"/>
          <w:b/>
          <w:szCs w:val="20"/>
        </w:rPr>
      </w:pPr>
    </w:p>
    <w:p w:rsidR="00AE2155" w:rsidRPr="009A70E3" w:rsidRDefault="00AE2155" w:rsidP="00B644CC">
      <w:pPr>
        <w:pStyle w:val="Odstavekseznama"/>
        <w:spacing w:line="288" w:lineRule="auto"/>
        <w:ind w:left="0"/>
        <w:jc w:val="both"/>
        <w:rPr>
          <w:rFonts w:eastAsia="Calibri" w:cs="Arial"/>
          <w:szCs w:val="20"/>
        </w:rPr>
      </w:pPr>
      <w:r w:rsidRPr="009A70E3">
        <w:rPr>
          <w:rFonts w:eastAsia="Calibri" w:cs="Arial"/>
          <w:szCs w:val="20"/>
        </w:rPr>
        <w:t>Za 67. členom se naslov 8. oddelka spremeni in doda nov 67.a člen, ki se glasi:</w:t>
      </w:r>
    </w:p>
    <w:p w:rsidR="00AE2155" w:rsidRDefault="00AE2155" w:rsidP="00B644CC">
      <w:pPr>
        <w:pStyle w:val="Odstavekseznama"/>
        <w:spacing w:line="288" w:lineRule="auto"/>
        <w:ind w:left="0"/>
        <w:jc w:val="center"/>
        <w:rPr>
          <w:rFonts w:eastAsia="Calibri" w:cs="Arial"/>
          <w:b/>
          <w:szCs w:val="20"/>
        </w:rPr>
      </w:pPr>
    </w:p>
    <w:p w:rsidR="00AE2155" w:rsidRDefault="00AE2155" w:rsidP="00B644CC">
      <w:pPr>
        <w:pStyle w:val="Odstavekseznama"/>
        <w:spacing w:line="288" w:lineRule="auto"/>
        <w:ind w:left="0"/>
        <w:jc w:val="center"/>
        <w:rPr>
          <w:rFonts w:eastAsia="Calibri" w:cs="Arial"/>
          <w:b/>
          <w:szCs w:val="20"/>
        </w:rPr>
      </w:pPr>
      <w:r>
        <w:rPr>
          <w:rFonts w:eastAsia="Calibri" w:cs="Arial"/>
          <w:b/>
          <w:szCs w:val="20"/>
        </w:rPr>
        <w:t>»8. oddelek</w:t>
      </w:r>
    </w:p>
    <w:p w:rsidR="00AE2155" w:rsidRDefault="00AE2155" w:rsidP="00B644CC">
      <w:pPr>
        <w:pStyle w:val="Odstavekseznama"/>
        <w:spacing w:line="288" w:lineRule="auto"/>
        <w:ind w:left="0"/>
        <w:jc w:val="center"/>
        <w:rPr>
          <w:rFonts w:eastAsia="Calibri" w:cs="Arial"/>
          <w:b/>
          <w:szCs w:val="20"/>
        </w:rPr>
      </w:pPr>
      <w:r>
        <w:rPr>
          <w:rFonts w:eastAsia="Calibri" w:cs="Arial"/>
          <w:b/>
          <w:szCs w:val="20"/>
        </w:rPr>
        <w:t>Nacionalni predstavnik, njegov namestnik in pomočnik v Eurojustu</w:t>
      </w:r>
    </w:p>
    <w:p w:rsidR="00AE2155" w:rsidRDefault="00AE2155" w:rsidP="00B644CC">
      <w:pPr>
        <w:pStyle w:val="Odstavekseznama"/>
        <w:spacing w:line="288" w:lineRule="auto"/>
        <w:ind w:left="0"/>
        <w:jc w:val="center"/>
        <w:rPr>
          <w:rFonts w:eastAsia="Calibri" w:cs="Arial"/>
          <w:b/>
          <w:szCs w:val="20"/>
        </w:rPr>
      </w:pPr>
    </w:p>
    <w:p w:rsidR="00AE2155" w:rsidRDefault="00AE2155" w:rsidP="00B644CC">
      <w:pPr>
        <w:pStyle w:val="Odstavekseznama"/>
        <w:spacing w:line="288" w:lineRule="auto"/>
        <w:ind w:left="0"/>
        <w:jc w:val="center"/>
        <w:rPr>
          <w:rFonts w:eastAsia="Calibri" w:cs="Arial"/>
          <w:b/>
          <w:szCs w:val="20"/>
        </w:rPr>
      </w:pPr>
      <w:bookmarkStart w:id="35" w:name="_Hlk43298170"/>
      <w:r>
        <w:rPr>
          <w:rFonts w:eastAsia="Calibri" w:cs="Arial"/>
          <w:b/>
          <w:szCs w:val="20"/>
        </w:rPr>
        <w:t>67.a člen</w:t>
      </w:r>
    </w:p>
    <w:p w:rsidR="00C20D0A" w:rsidRDefault="00C20D0A" w:rsidP="00B644CC">
      <w:pPr>
        <w:pStyle w:val="Odstavekseznama"/>
        <w:spacing w:line="288" w:lineRule="auto"/>
        <w:ind w:left="0"/>
        <w:jc w:val="center"/>
        <w:rPr>
          <w:rFonts w:eastAsia="Calibri" w:cs="Arial"/>
          <w:b/>
          <w:szCs w:val="20"/>
        </w:rPr>
      </w:pPr>
      <w:r>
        <w:rPr>
          <w:rFonts w:eastAsia="Calibri" w:cs="Arial"/>
          <w:b/>
          <w:szCs w:val="20"/>
        </w:rPr>
        <w:t>(nacionalni člani v Eurojustu)</w:t>
      </w:r>
    </w:p>
    <w:p w:rsidR="00AE2155" w:rsidRDefault="00AE2155" w:rsidP="00B644CC">
      <w:pPr>
        <w:pStyle w:val="Odstavekseznama"/>
        <w:spacing w:line="288" w:lineRule="auto"/>
        <w:ind w:left="0"/>
        <w:jc w:val="center"/>
        <w:rPr>
          <w:rFonts w:eastAsia="Calibri" w:cs="Arial"/>
          <w:b/>
          <w:szCs w:val="20"/>
        </w:rPr>
      </w:pPr>
    </w:p>
    <w:p w:rsidR="008C4D0E" w:rsidRDefault="008C4D0E" w:rsidP="00B644CC">
      <w:pPr>
        <w:pStyle w:val="Odstavekseznama"/>
        <w:spacing w:line="288" w:lineRule="auto"/>
        <w:ind w:left="0"/>
        <w:jc w:val="both"/>
        <w:rPr>
          <w:rFonts w:eastAsia="Calibri" w:cs="Arial"/>
          <w:szCs w:val="20"/>
        </w:rPr>
      </w:pPr>
      <w:r>
        <w:rPr>
          <w:rFonts w:eastAsia="Calibri" w:cs="Arial"/>
          <w:szCs w:val="20"/>
        </w:rPr>
        <w:t xml:space="preserve">(1) </w:t>
      </w:r>
      <w:r w:rsidR="0093366C">
        <w:rPr>
          <w:rFonts w:eastAsia="Calibri" w:cs="Arial"/>
          <w:szCs w:val="20"/>
        </w:rPr>
        <w:t>Nacionalni člani v Eurojustu so nacionalni predstavnik, njegov namestnik in pomočnik</w:t>
      </w:r>
      <w:r w:rsidR="00AE2155" w:rsidRPr="00E6158A">
        <w:rPr>
          <w:rFonts w:eastAsia="Calibri" w:cs="Arial"/>
          <w:szCs w:val="20"/>
        </w:rPr>
        <w:t>.</w:t>
      </w:r>
    </w:p>
    <w:p w:rsidR="008C4D0E" w:rsidRDefault="008C4D0E" w:rsidP="00B644CC">
      <w:pPr>
        <w:pStyle w:val="Odstavekseznama"/>
        <w:spacing w:line="288" w:lineRule="auto"/>
        <w:ind w:left="0"/>
        <w:jc w:val="both"/>
        <w:rPr>
          <w:rFonts w:eastAsia="Calibri" w:cs="Arial"/>
          <w:szCs w:val="20"/>
        </w:rPr>
      </w:pPr>
    </w:p>
    <w:p w:rsidR="00AE2155" w:rsidRPr="00E6158A" w:rsidRDefault="008C4D0E" w:rsidP="00B644CC">
      <w:pPr>
        <w:pStyle w:val="Odstavekseznama"/>
        <w:spacing w:line="288" w:lineRule="auto"/>
        <w:ind w:left="0"/>
        <w:jc w:val="both"/>
        <w:rPr>
          <w:rFonts w:eastAsia="Calibri" w:cs="Arial"/>
          <w:szCs w:val="20"/>
        </w:rPr>
      </w:pPr>
      <w:r>
        <w:rPr>
          <w:rFonts w:eastAsia="Calibri" w:cs="Arial"/>
          <w:szCs w:val="20"/>
        </w:rPr>
        <w:t xml:space="preserve">(2) Nacionalni predstavnik </w:t>
      </w:r>
      <w:r w:rsidR="008A4B1B">
        <w:rPr>
          <w:rFonts w:eastAsia="Calibri" w:cs="Arial"/>
          <w:szCs w:val="20"/>
        </w:rPr>
        <w:t xml:space="preserve">in njegov namestnik </w:t>
      </w:r>
      <w:r>
        <w:rPr>
          <w:rFonts w:eastAsia="Calibri" w:cs="Arial"/>
          <w:szCs w:val="20"/>
        </w:rPr>
        <w:t>opravlja</w:t>
      </w:r>
      <w:r w:rsidR="008A4B1B">
        <w:rPr>
          <w:rFonts w:eastAsia="Calibri" w:cs="Arial"/>
          <w:szCs w:val="20"/>
        </w:rPr>
        <w:t>ta</w:t>
      </w:r>
      <w:r>
        <w:rPr>
          <w:rFonts w:eastAsia="Calibri" w:cs="Arial"/>
          <w:szCs w:val="20"/>
        </w:rPr>
        <w:t xml:space="preserve"> naloge na sedežu Eurojusta</w:t>
      </w:r>
      <w:r w:rsidR="00806A01">
        <w:rPr>
          <w:rFonts w:eastAsia="Calibri" w:cs="Arial"/>
          <w:szCs w:val="20"/>
        </w:rPr>
        <w:t>, pomočnik pa na Vrhovnem državnem tožilstvu</w:t>
      </w:r>
      <w:r>
        <w:rPr>
          <w:rFonts w:eastAsia="Calibri" w:cs="Arial"/>
          <w:szCs w:val="20"/>
        </w:rPr>
        <w:t xml:space="preserve">. </w:t>
      </w:r>
      <w:r w:rsidR="00FC1713">
        <w:rPr>
          <w:rFonts w:eastAsia="Calibri" w:cs="Arial"/>
          <w:szCs w:val="20"/>
        </w:rPr>
        <w:t xml:space="preserve">Če je to potrebno lahko na obrazložen predlog </w:t>
      </w:r>
      <w:r>
        <w:rPr>
          <w:rFonts w:eastAsia="Calibri" w:cs="Arial"/>
          <w:szCs w:val="20"/>
        </w:rPr>
        <w:t>nacionalnega predstavnika</w:t>
      </w:r>
      <w:r w:rsidR="008A4B1B">
        <w:rPr>
          <w:rFonts w:eastAsia="Calibri" w:cs="Arial"/>
          <w:szCs w:val="20"/>
        </w:rPr>
        <w:t xml:space="preserve"> pomočnik opravlja naloge tudi na sedežu Eurojusta.</w:t>
      </w:r>
      <w:r w:rsidR="00873A7F">
        <w:rPr>
          <w:rFonts w:eastAsia="Calibri" w:cs="Arial"/>
          <w:szCs w:val="20"/>
        </w:rPr>
        <w:t>«.</w:t>
      </w:r>
    </w:p>
    <w:bookmarkEnd w:id="35"/>
    <w:p w:rsidR="00AE2155" w:rsidRPr="00E6158A" w:rsidRDefault="00AE2155" w:rsidP="00B644CC">
      <w:pPr>
        <w:pStyle w:val="Odstavekseznama"/>
        <w:spacing w:line="288" w:lineRule="auto"/>
        <w:ind w:left="0"/>
        <w:jc w:val="both"/>
        <w:rPr>
          <w:rFonts w:eastAsia="Calibri" w:cs="Arial"/>
          <w:szCs w:val="20"/>
        </w:rPr>
      </w:pPr>
    </w:p>
    <w:p w:rsidR="00AE2155" w:rsidRDefault="00AE2155" w:rsidP="00B644CC">
      <w:pPr>
        <w:pStyle w:val="Odstavekseznama"/>
        <w:spacing w:line="288" w:lineRule="auto"/>
        <w:ind w:left="0"/>
        <w:jc w:val="center"/>
        <w:rPr>
          <w:rFonts w:eastAsia="Calibri" w:cs="Arial"/>
          <w:b/>
          <w:szCs w:val="20"/>
        </w:rPr>
      </w:pPr>
      <w:r>
        <w:rPr>
          <w:rFonts w:eastAsia="Calibri" w:cs="Arial"/>
          <w:b/>
          <w:szCs w:val="20"/>
        </w:rPr>
        <w:t xml:space="preserve">10. </w:t>
      </w:r>
      <w:r w:rsidRPr="00746AD7">
        <w:rPr>
          <w:rFonts w:eastAsia="Calibri" w:cs="Arial"/>
          <w:b/>
          <w:szCs w:val="20"/>
        </w:rPr>
        <w:t>člen</w:t>
      </w:r>
    </w:p>
    <w:p w:rsidR="00AE2155" w:rsidRDefault="00AE2155" w:rsidP="00B644CC">
      <w:pPr>
        <w:pStyle w:val="Odstavekseznama"/>
        <w:spacing w:line="288" w:lineRule="auto"/>
        <w:ind w:left="0"/>
        <w:rPr>
          <w:rFonts w:eastAsia="Calibri" w:cs="Arial"/>
          <w:szCs w:val="20"/>
        </w:rPr>
      </w:pPr>
      <w:r w:rsidRPr="00746AD7">
        <w:rPr>
          <w:rFonts w:eastAsia="Calibri" w:cs="Arial"/>
          <w:szCs w:val="20"/>
        </w:rPr>
        <w:t>68. člen</w:t>
      </w:r>
      <w:r>
        <w:rPr>
          <w:rFonts w:eastAsia="Calibri" w:cs="Arial"/>
          <w:szCs w:val="20"/>
        </w:rPr>
        <w:t xml:space="preserve"> se spremeni tako da se glasi:</w:t>
      </w:r>
    </w:p>
    <w:p w:rsidR="00AE2155" w:rsidRDefault="00AE2155" w:rsidP="00B644CC">
      <w:pPr>
        <w:pStyle w:val="Odstavekseznama"/>
        <w:spacing w:line="288" w:lineRule="auto"/>
        <w:ind w:left="0"/>
        <w:rPr>
          <w:rFonts w:eastAsia="Calibri" w:cs="Arial"/>
          <w:szCs w:val="20"/>
        </w:rPr>
      </w:pPr>
    </w:p>
    <w:p w:rsidR="00AE2155" w:rsidRPr="00EB12C1" w:rsidRDefault="00AE2155" w:rsidP="00B644CC">
      <w:pPr>
        <w:pStyle w:val="Odstavekseznama"/>
        <w:spacing w:line="288" w:lineRule="auto"/>
        <w:ind w:left="0"/>
        <w:jc w:val="center"/>
        <w:rPr>
          <w:rFonts w:eastAsia="Calibri" w:cs="Arial"/>
          <w:b/>
          <w:szCs w:val="20"/>
        </w:rPr>
      </w:pPr>
      <w:r>
        <w:rPr>
          <w:rFonts w:eastAsia="Calibri" w:cs="Arial"/>
          <w:szCs w:val="20"/>
        </w:rPr>
        <w:t>»</w:t>
      </w:r>
      <w:r w:rsidRPr="00EB12C1">
        <w:rPr>
          <w:rFonts w:eastAsia="Calibri" w:cs="Arial"/>
          <w:b/>
          <w:szCs w:val="20"/>
        </w:rPr>
        <w:t>68. člen</w:t>
      </w:r>
    </w:p>
    <w:p w:rsidR="00AE2155" w:rsidRPr="00EB12C1" w:rsidRDefault="00AE2155" w:rsidP="00B644CC">
      <w:pPr>
        <w:pStyle w:val="Odstavekseznama"/>
        <w:spacing w:line="288" w:lineRule="auto"/>
        <w:ind w:left="0"/>
        <w:jc w:val="center"/>
        <w:rPr>
          <w:rFonts w:eastAsia="Calibri" w:cs="Arial"/>
          <w:b/>
          <w:szCs w:val="20"/>
        </w:rPr>
      </w:pPr>
      <w:r w:rsidRPr="00EB12C1">
        <w:rPr>
          <w:rFonts w:eastAsia="Calibri" w:cs="Arial"/>
          <w:b/>
          <w:szCs w:val="20"/>
        </w:rPr>
        <w:t>(pogoji in imenovanje)</w:t>
      </w:r>
    </w:p>
    <w:p w:rsidR="00AE2155" w:rsidRDefault="00AE2155" w:rsidP="00B644CC">
      <w:pPr>
        <w:pStyle w:val="Odstavekseznama"/>
        <w:spacing w:line="288" w:lineRule="auto"/>
        <w:ind w:left="0"/>
        <w:rPr>
          <w:rFonts w:eastAsia="Calibri" w:cs="Arial"/>
          <w:szCs w:val="20"/>
        </w:rPr>
      </w:pPr>
    </w:p>
    <w:p w:rsidR="00AE2155" w:rsidRPr="00EA195F" w:rsidRDefault="00AE2155" w:rsidP="00B644CC">
      <w:pPr>
        <w:spacing w:line="288" w:lineRule="auto"/>
        <w:jc w:val="both"/>
        <w:rPr>
          <w:rFonts w:eastAsia="Calibri" w:cs="Arial"/>
          <w:szCs w:val="20"/>
        </w:rPr>
      </w:pPr>
      <w:r w:rsidRPr="00934956">
        <w:rPr>
          <w:rFonts w:eastAsia="Calibri" w:cs="Arial"/>
          <w:szCs w:val="20"/>
        </w:rPr>
        <w:t>(1) Za nacionalnega predstavnika v Eurojust</w:t>
      </w:r>
      <w:r>
        <w:rPr>
          <w:rFonts w:eastAsia="Calibri" w:cs="Arial"/>
          <w:szCs w:val="20"/>
        </w:rPr>
        <w:t>u</w:t>
      </w:r>
      <w:r w:rsidRPr="00934956">
        <w:rPr>
          <w:rFonts w:eastAsia="Calibri" w:cs="Arial"/>
          <w:szCs w:val="20"/>
        </w:rPr>
        <w:t xml:space="preserve"> in njegovega </w:t>
      </w:r>
      <w:r w:rsidRPr="00EA195F">
        <w:rPr>
          <w:rFonts w:eastAsia="Calibri" w:cs="Arial"/>
          <w:szCs w:val="20"/>
        </w:rPr>
        <w:t>namestnika se lahko imenuje vrhovni ali višji državni tožilec ali okrožni državni tožilec, ki izpolnjuje pogoje za imenovanje v naziv višjega državnega tožilca in izkaže z javno priznanim preizkusom potrjeno višjo raven znanja najmanj enega uradnega jezika Evropske unije, ki je delovni jezik v Eurojustu.</w:t>
      </w:r>
    </w:p>
    <w:p w:rsidR="00AE2155" w:rsidRPr="00EA195F" w:rsidRDefault="00AE2155" w:rsidP="00B644CC">
      <w:pPr>
        <w:spacing w:line="288" w:lineRule="auto"/>
        <w:jc w:val="both"/>
        <w:rPr>
          <w:rFonts w:eastAsia="Calibri" w:cs="Arial"/>
          <w:szCs w:val="20"/>
        </w:rPr>
      </w:pPr>
    </w:p>
    <w:p w:rsidR="00AE2155" w:rsidRPr="00EA195F" w:rsidRDefault="00AE2155" w:rsidP="00B644CC">
      <w:pPr>
        <w:spacing w:line="288" w:lineRule="auto"/>
        <w:jc w:val="both"/>
        <w:rPr>
          <w:rFonts w:eastAsia="Calibri" w:cs="Arial"/>
          <w:szCs w:val="20"/>
        </w:rPr>
      </w:pPr>
      <w:r w:rsidRPr="00EA195F">
        <w:rPr>
          <w:rFonts w:eastAsia="Calibri" w:cs="Arial"/>
          <w:szCs w:val="20"/>
        </w:rPr>
        <w:t>(2) Za pomočnika nacionalnega predstavnika je lahko imenovan okrožni državni tožilec ali okrajni državni tožilec, ki izpolnjuje pogoje za imenovanje v naziv okrožnega državnega tožilca in izkaže z javno priznanim preizkusom potrjeno višjo raven znanja najmanj enega uradnega jezika Evropske unije, ki je delovni jezik v Eurojustu.</w:t>
      </w:r>
      <w:r>
        <w:rPr>
          <w:rFonts w:eastAsia="Calibri" w:cs="Arial"/>
          <w:szCs w:val="20"/>
        </w:rPr>
        <w:t>«.</w:t>
      </w:r>
    </w:p>
    <w:p w:rsidR="00AE2155" w:rsidRDefault="00AE2155" w:rsidP="00B644CC">
      <w:pPr>
        <w:spacing w:line="288" w:lineRule="auto"/>
        <w:jc w:val="both"/>
        <w:rPr>
          <w:rFonts w:eastAsia="Calibri" w:cs="Arial"/>
          <w:szCs w:val="20"/>
        </w:rPr>
      </w:pPr>
    </w:p>
    <w:p w:rsidR="00AE2155" w:rsidRDefault="00AE2155" w:rsidP="00B644CC">
      <w:pPr>
        <w:pStyle w:val="Odstavekseznama"/>
        <w:spacing w:line="288" w:lineRule="auto"/>
        <w:ind w:left="0"/>
        <w:jc w:val="center"/>
        <w:rPr>
          <w:rFonts w:eastAsia="Calibri" w:cs="Arial"/>
          <w:b/>
          <w:szCs w:val="20"/>
        </w:rPr>
      </w:pPr>
      <w:r>
        <w:rPr>
          <w:rFonts w:eastAsia="Calibri" w:cs="Arial"/>
          <w:b/>
          <w:szCs w:val="20"/>
        </w:rPr>
        <w:t xml:space="preserve">11. </w:t>
      </w:r>
      <w:r w:rsidRPr="00746AD7">
        <w:rPr>
          <w:rFonts w:eastAsia="Calibri" w:cs="Arial"/>
          <w:b/>
          <w:szCs w:val="20"/>
        </w:rPr>
        <w:t>člen</w:t>
      </w:r>
    </w:p>
    <w:p w:rsidR="00AE2155" w:rsidRDefault="00AE2155" w:rsidP="00B644CC">
      <w:pPr>
        <w:pStyle w:val="Odstavekseznama"/>
        <w:spacing w:line="288" w:lineRule="auto"/>
        <w:ind w:left="0"/>
        <w:rPr>
          <w:rFonts w:eastAsia="Calibri" w:cs="Arial"/>
          <w:szCs w:val="20"/>
        </w:rPr>
      </w:pPr>
    </w:p>
    <w:p w:rsidR="00AE2155" w:rsidRPr="00746AD7" w:rsidRDefault="00AE2155" w:rsidP="00B644CC">
      <w:pPr>
        <w:pStyle w:val="Odstavekseznama"/>
        <w:spacing w:line="288" w:lineRule="auto"/>
        <w:ind w:left="0"/>
        <w:rPr>
          <w:rFonts w:eastAsia="Calibri" w:cs="Arial"/>
          <w:szCs w:val="20"/>
        </w:rPr>
      </w:pPr>
      <w:r w:rsidRPr="00746AD7">
        <w:rPr>
          <w:rFonts w:eastAsia="Calibri" w:cs="Arial"/>
          <w:szCs w:val="20"/>
        </w:rPr>
        <w:t>6</w:t>
      </w:r>
      <w:r>
        <w:rPr>
          <w:rFonts w:eastAsia="Calibri" w:cs="Arial"/>
          <w:szCs w:val="20"/>
        </w:rPr>
        <w:t>9</w:t>
      </w:r>
      <w:r w:rsidRPr="00746AD7">
        <w:rPr>
          <w:rFonts w:eastAsia="Calibri" w:cs="Arial"/>
          <w:szCs w:val="20"/>
        </w:rPr>
        <w:t>. člen</w:t>
      </w:r>
      <w:r>
        <w:rPr>
          <w:rFonts w:eastAsia="Calibri" w:cs="Arial"/>
          <w:szCs w:val="20"/>
        </w:rPr>
        <w:t xml:space="preserve"> se spremeni </w:t>
      </w:r>
      <w:r w:rsidRPr="00746AD7">
        <w:rPr>
          <w:rFonts w:eastAsia="Calibri" w:cs="Arial"/>
          <w:szCs w:val="20"/>
        </w:rPr>
        <w:t>tako, da se glasi:</w:t>
      </w:r>
    </w:p>
    <w:p w:rsidR="00AE2155" w:rsidRPr="00934956" w:rsidRDefault="00AE2155" w:rsidP="00B644CC">
      <w:pPr>
        <w:spacing w:line="288" w:lineRule="auto"/>
        <w:jc w:val="both"/>
        <w:rPr>
          <w:rFonts w:eastAsia="Calibri" w:cs="Arial"/>
          <w:szCs w:val="20"/>
        </w:rPr>
      </w:pPr>
    </w:p>
    <w:p w:rsidR="00AE2155" w:rsidRPr="00AD554E" w:rsidRDefault="00AE2155" w:rsidP="00B644CC">
      <w:pPr>
        <w:spacing w:line="288" w:lineRule="auto"/>
        <w:jc w:val="center"/>
        <w:rPr>
          <w:rFonts w:eastAsia="Calibri" w:cs="Arial"/>
          <w:b/>
          <w:szCs w:val="20"/>
        </w:rPr>
      </w:pPr>
      <w:r w:rsidRPr="00AD554E">
        <w:rPr>
          <w:rFonts w:eastAsia="Calibri" w:cs="Arial"/>
          <w:b/>
          <w:szCs w:val="20"/>
        </w:rPr>
        <w:t>»69. člen</w:t>
      </w:r>
    </w:p>
    <w:p w:rsidR="00AE2155" w:rsidRPr="00AD554E" w:rsidRDefault="00AE2155" w:rsidP="00B644CC">
      <w:pPr>
        <w:spacing w:line="288" w:lineRule="auto"/>
        <w:jc w:val="center"/>
        <w:rPr>
          <w:rFonts w:eastAsia="Calibri" w:cs="Arial"/>
          <w:b/>
          <w:szCs w:val="20"/>
        </w:rPr>
      </w:pPr>
      <w:r>
        <w:rPr>
          <w:rFonts w:eastAsia="Calibri" w:cs="Arial"/>
          <w:b/>
          <w:szCs w:val="20"/>
        </w:rPr>
        <w:t>(</w:t>
      </w:r>
      <w:r w:rsidRPr="00AD554E">
        <w:rPr>
          <w:rFonts w:eastAsia="Calibri" w:cs="Arial"/>
          <w:b/>
          <w:szCs w:val="20"/>
        </w:rPr>
        <w:t>doba imenovanja)</w:t>
      </w:r>
    </w:p>
    <w:p w:rsidR="00AE2155" w:rsidRPr="00934956" w:rsidRDefault="00AE2155" w:rsidP="00B644CC">
      <w:pPr>
        <w:spacing w:line="288" w:lineRule="auto"/>
        <w:jc w:val="both"/>
        <w:rPr>
          <w:rFonts w:eastAsia="Calibri" w:cs="Arial"/>
          <w:szCs w:val="20"/>
        </w:rPr>
      </w:pPr>
    </w:p>
    <w:p w:rsidR="00AE2155" w:rsidRDefault="00AE2155" w:rsidP="00B644CC">
      <w:pPr>
        <w:spacing w:line="288" w:lineRule="auto"/>
        <w:jc w:val="both"/>
        <w:rPr>
          <w:rFonts w:eastAsia="Calibri" w:cs="Arial"/>
          <w:szCs w:val="20"/>
        </w:rPr>
      </w:pPr>
      <w:r>
        <w:rPr>
          <w:rFonts w:eastAsia="Calibri" w:cs="Arial"/>
          <w:szCs w:val="20"/>
        </w:rPr>
        <w:t>»</w:t>
      </w:r>
      <w:r w:rsidRPr="00FD5D20">
        <w:rPr>
          <w:rFonts w:eastAsia="Calibri" w:cs="Arial"/>
          <w:szCs w:val="20"/>
        </w:rPr>
        <w:t>Nacionalni predstavnik</w:t>
      </w:r>
      <w:r>
        <w:rPr>
          <w:rFonts w:eastAsia="Calibri" w:cs="Arial"/>
          <w:szCs w:val="20"/>
        </w:rPr>
        <w:t>, njegov</w:t>
      </w:r>
      <w:r w:rsidRPr="00FD5D20">
        <w:rPr>
          <w:rFonts w:eastAsia="Calibri" w:cs="Arial"/>
          <w:szCs w:val="20"/>
        </w:rPr>
        <w:t xml:space="preserve"> namestnik</w:t>
      </w:r>
      <w:r>
        <w:rPr>
          <w:rFonts w:eastAsia="Calibri" w:cs="Arial"/>
          <w:szCs w:val="20"/>
        </w:rPr>
        <w:t xml:space="preserve"> in pomočnik</w:t>
      </w:r>
      <w:r w:rsidRPr="00FD5D20">
        <w:rPr>
          <w:rFonts w:eastAsia="Calibri" w:cs="Arial"/>
          <w:szCs w:val="20"/>
        </w:rPr>
        <w:t xml:space="preserve"> </w:t>
      </w:r>
      <w:r>
        <w:rPr>
          <w:rFonts w:eastAsia="Calibri" w:cs="Arial"/>
          <w:szCs w:val="20"/>
        </w:rPr>
        <w:t xml:space="preserve">se </w:t>
      </w:r>
      <w:r w:rsidRPr="00FD5D20">
        <w:rPr>
          <w:rFonts w:eastAsia="Calibri" w:cs="Arial"/>
          <w:szCs w:val="20"/>
        </w:rPr>
        <w:t>za izvajanje pooblastil in strokovnih nalog Eurojusta imenuje</w:t>
      </w:r>
      <w:r>
        <w:rPr>
          <w:rFonts w:eastAsia="Calibri" w:cs="Arial"/>
          <w:szCs w:val="20"/>
        </w:rPr>
        <w:t>jo</w:t>
      </w:r>
      <w:r w:rsidRPr="00FD5D20">
        <w:rPr>
          <w:rFonts w:eastAsia="Calibri" w:cs="Arial"/>
          <w:szCs w:val="20"/>
        </w:rPr>
        <w:t xml:space="preserve"> za pet let. Po poteku navedene dobe sta</w:t>
      </w:r>
      <w:r>
        <w:rPr>
          <w:rFonts w:eastAsia="Calibri" w:cs="Arial"/>
          <w:szCs w:val="20"/>
        </w:rPr>
        <w:t xml:space="preserve"> nacionalni predstavnik in njegov namestnik</w:t>
      </w:r>
      <w:r w:rsidRPr="00FD5D20">
        <w:rPr>
          <w:rFonts w:eastAsia="Calibri" w:cs="Arial"/>
          <w:szCs w:val="20"/>
        </w:rPr>
        <w:t xml:space="preserve"> lahko še enkrat ponovno imenovana.</w:t>
      </w:r>
      <w:r>
        <w:rPr>
          <w:rFonts w:eastAsia="Calibri" w:cs="Arial"/>
          <w:szCs w:val="20"/>
        </w:rPr>
        <w:t>«</w:t>
      </w:r>
      <w:r w:rsidR="00023962">
        <w:rPr>
          <w:rFonts w:eastAsia="Calibri" w:cs="Arial"/>
          <w:szCs w:val="20"/>
        </w:rPr>
        <w:t>.</w:t>
      </w:r>
    </w:p>
    <w:p w:rsidR="00AE2155" w:rsidRDefault="00AE2155" w:rsidP="00B644CC">
      <w:pPr>
        <w:spacing w:line="288" w:lineRule="auto"/>
        <w:jc w:val="both"/>
        <w:rPr>
          <w:rFonts w:eastAsia="Calibri" w:cs="Arial"/>
          <w:szCs w:val="20"/>
        </w:rPr>
      </w:pPr>
    </w:p>
    <w:p w:rsidR="00AE2155" w:rsidRDefault="00AE2155" w:rsidP="00B644CC">
      <w:pPr>
        <w:spacing w:line="288" w:lineRule="auto"/>
        <w:jc w:val="center"/>
        <w:rPr>
          <w:rFonts w:eastAsia="Calibri" w:cs="Arial"/>
          <w:b/>
          <w:bCs/>
          <w:szCs w:val="20"/>
        </w:rPr>
      </w:pPr>
      <w:r w:rsidRPr="00805A81">
        <w:rPr>
          <w:rFonts w:eastAsia="Calibri" w:cs="Arial"/>
          <w:b/>
          <w:bCs/>
          <w:szCs w:val="20"/>
        </w:rPr>
        <w:t>12. člen</w:t>
      </w:r>
    </w:p>
    <w:p w:rsidR="00AE2155" w:rsidRDefault="00AE2155" w:rsidP="00B644CC">
      <w:pPr>
        <w:spacing w:line="288" w:lineRule="auto"/>
        <w:rPr>
          <w:rFonts w:eastAsia="Calibri" w:cs="Arial"/>
          <w:b/>
          <w:bCs/>
          <w:szCs w:val="20"/>
        </w:rPr>
      </w:pPr>
    </w:p>
    <w:p w:rsidR="00AE2155" w:rsidRPr="00805A81" w:rsidRDefault="00AE2155" w:rsidP="00B644CC">
      <w:pPr>
        <w:spacing w:line="288" w:lineRule="auto"/>
        <w:rPr>
          <w:rFonts w:eastAsia="Calibri" w:cs="Arial"/>
          <w:szCs w:val="20"/>
        </w:rPr>
      </w:pPr>
      <w:r w:rsidRPr="00805A81">
        <w:rPr>
          <w:rFonts w:eastAsia="Calibri" w:cs="Arial"/>
          <w:szCs w:val="20"/>
        </w:rPr>
        <w:t>Za 69. členom se doda</w:t>
      </w:r>
      <w:r w:rsidR="009B5194">
        <w:rPr>
          <w:rFonts w:eastAsia="Calibri" w:cs="Arial"/>
          <w:szCs w:val="20"/>
        </w:rPr>
        <w:t>jo</w:t>
      </w:r>
      <w:r w:rsidRPr="00805A81">
        <w:rPr>
          <w:rFonts w:eastAsia="Calibri" w:cs="Arial"/>
          <w:szCs w:val="20"/>
        </w:rPr>
        <w:t xml:space="preserve"> nov</w:t>
      </w:r>
      <w:r w:rsidR="009B5194">
        <w:rPr>
          <w:rFonts w:eastAsia="Calibri" w:cs="Arial"/>
          <w:szCs w:val="20"/>
        </w:rPr>
        <w:t>i</w:t>
      </w:r>
      <w:r w:rsidRPr="00805A81">
        <w:rPr>
          <w:rFonts w:eastAsia="Calibri" w:cs="Arial"/>
          <w:szCs w:val="20"/>
        </w:rPr>
        <w:t xml:space="preserve"> 69.a</w:t>
      </w:r>
      <w:r w:rsidR="009B5194">
        <w:rPr>
          <w:rFonts w:eastAsia="Calibri" w:cs="Arial"/>
          <w:szCs w:val="20"/>
        </w:rPr>
        <w:t>,</w:t>
      </w:r>
      <w:r w:rsidRPr="00805A81">
        <w:rPr>
          <w:rFonts w:eastAsia="Calibri" w:cs="Arial"/>
          <w:szCs w:val="20"/>
        </w:rPr>
        <w:t xml:space="preserve"> 69.b</w:t>
      </w:r>
      <w:r w:rsidR="009B5194">
        <w:rPr>
          <w:rFonts w:eastAsia="Calibri" w:cs="Arial"/>
          <w:szCs w:val="20"/>
        </w:rPr>
        <w:t xml:space="preserve"> in 69.c</w:t>
      </w:r>
      <w:r w:rsidRPr="00805A81">
        <w:rPr>
          <w:rFonts w:eastAsia="Calibri" w:cs="Arial"/>
          <w:szCs w:val="20"/>
        </w:rPr>
        <w:t xml:space="preserve"> člen, ki se glasi</w:t>
      </w:r>
      <w:r w:rsidR="009B5194">
        <w:rPr>
          <w:rFonts w:eastAsia="Calibri" w:cs="Arial"/>
          <w:szCs w:val="20"/>
        </w:rPr>
        <w:t>jo</w:t>
      </w:r>
      <w:r w:rsidRPr="00805A81">
        <w:rPr>
          <w:rFonts w:eastAsia="Calibri" w:cs="Arial"/>
          <w:szCs w:val="20"/>
        </w:rPr>
        <w:t>:</w:t>
      </w:r>
    </w:p>
    <w:p w:rsidR="00AE2155" w:rsidRDefault="00AE2155" w:rsidP="00B644CC">
      <w:pPr>
        <w:spacing w:line="288" w:lineRule="auto"/>
        <w:jc w:val="center"/>
        <w:rPr>
          <w:rFonts w:eastAsia="Calibri" w:cs="Arial"/>
          <w:szCs w:val="20"/>
        </w:rPr>
      </w:pPr>
    </w:p>
    <w:p w:rsidR="00AE2155" w:rsidRPr="00805A81" w:rsidRDefault="00AE2155" w:rsidP="00B644CC">
      <w:pPr>
        <w:spacing w:line="288" w:lineRule="auto"/>
        <w:jc w:val="center"/>
        <w:rPr>
          <w:rFonts w:eastAsia="Calibri" w:cs="Arial"/>
          <w:b/>
          <w:bCs/>
          <w:szCs w:val="20"/>
        </w:rPr>
      </w:pPr>
      <w:r>
        <w:rPr>
          <w:rFonts w:eastAsia="Calibri" w:cs="Arial"/>
          <w:b/>
          <w:bCs/>
          <w:szCs w:val="20"/>
        </w:rPr>
        <w:t>»</w:t>
      </w:r>
      <w:r w:rsidRPr="00805A81">
        <w:rPr>
          <w:rFonts w:eastAsia="Calibri" w:cs="Arial"/>
          <w:b/>
          <w:bCs/>
          <w:szCs w:val="20"/>
        </w:rPr>
        <w:t>69.a člen</w:t>
      </w:r>
    </w:p>
    <w:p w:rsidR="00AE2155" w:rsidRDefault="00AE2155" w:rsidP="00B644CC">
      <w:pPr>
        <w:spacing w:line="288" w:lineRule="auto"/>
        <w:jc w:val="center"/>
        <w:rPr>
          <w:rFonts w:eastAsia="Calibri" w:cs="Arial"/>
          <w:b/>
          <w:szCs w:val="20"/>
        </w:rPr>
      </w:pPr>
      <w:r w:rsidRPr="00AD554E">
        <w:rPr>
          <w:rFonts w:eastAsia="Calibri" w:cs="Arial"/>
          <w:b/>
          <w:szCs w:val="20"/>
        </w:rPr>
        <w:t>(postopek i</w:t>
      </w:r>
      <w:r>
        <w:rPr>
          <w:rFonts w:eastAsia="Calibri" w:cs="Arial"/>
          <w:b/>
          <w:szCs w:val="20"/>
        </w:rPr>
        <w:t>menovanja nacionalnega predstavnika in njegovega namestnika)</w:t>
      </w:r>
    </w:p>
    <w:p w:rsidR="00AE2155" w:rsidRDefault="00AE2155" w:rsidP="00B644CC">
      <w:pPr>
        <w:spacing w:line="288" w:lineRule="auto"/>
        <w:jc w:val="both"/>
        <w:rPr>
          <w:rFonts w:eastAsia="Calibri" w:cs="Arial"/>
          <w:b/>
          <w:szCs w:val="20"/>
        </w:rPr>
      </w:pPr>
    </w:p>
    <w:p w:rsidR="00AE2155" w:rsidRDefault="00AE2155" w:rsidP="00B644CC">
      <w:pPr>
        <w:spacing w:line="288" w:lineRule="auto"/>
        <w:jc w:val="both"/>
        <w:rPr>
          <w:rFonts w:eastAsia="Calibri" w:cs="Arial"/>
          <w:b/>
          <w:szCs w:val="20"/>
        </w:rPr>
      </w:pPr>
      <w:r>
        <w:rPr>
          <w:rFonts w:eastAsia="Calibri" w:cs="Arial"/>
          <w:szCs w:val="20"/>
        </w:rPr>
        <w:t xml:space="preserve">(1) </w:t>
      </w:r>
      <w:r w:rsidRPr="006F4E3C">
        <w:rPr>
          <w:rFonts w:eastAsia="Calibri" w:cs="Arial"/>
          <w:szCs w:val="20"/>
        </w:rPr>
        <w:t>Nacionalnega predstavnika in njegovega namestnika imenuje Vlada Republike Slovenije na predlog Državnotožilskega sveta, po predhodnem mnenju generalnega državnega tožilca.</w:t>
      </w:r>
    </w:p>
    <w:p w:rsidR="00AE2155" w:rsidRDefault="00AE2155" w:rsidP="00B644CC">
      <w:pPr>
        <w:spacing w:line="288" w:lineRule="auto"/>
        <w:jc w:val="both"/>
        <w:rPr>
          <w:rFonts w:eastAsia="Calibri" w:cs="Arial"/>
          <w:b/>
          <w:szCs w:val="20"/>
        </w:rPr>
      </w:pPr>
    </w:p>
    <w:p w:rsidR="00AE2155" w:rsidRDefault="00AE2155" w:rsidP="00B644CC">
      <w:pPr>
        <w:spacing w:line="288" w:lineRule="auto"/>
        <w:jc w:val="both"/>
        <w:rPr>
          <w:rFonts w:eastAsia="Calibri" w:cs="Arial"/>
          <w:szCs w:val="20"/>
        </w:rPr>
      </w:pPr>
      <w:r>
        <w:rPr>
          <w:rFonts w:eastAsia="Calibri" w:cs="Arial"/>
          <w:szCs w:val="20"/>
        </w:rPr>
        <w:t>(2) Poziv k prijavam za imenovanje nacionalnega predstavnika ali njegovega namestnika objavi ministrstvo v Uradnem listu Republike Slovenije po prejemu predloga</w:t>
      </w:r>
      <w:r w:rsidR="001B33DD">
        <w:rPr>
          <w:rFonts w:eastAsia="Calibri" w:cs="Arial"/>
          <w:szCs w:val="20"/>
        </w:rPr>
        <w:t xml:space="preserve"> </w:t>
      </w:r>
      <w:r w:rsidRPr="006F4E3C">
        <w:rPr>
          <w:rFonts w:eastAsia="Calibri" w:cs="Arial"/>
          <w:szCs w:val="20"/>
        </w:rPr>
        <w:t>generalnega državnega tožilca</w:t>
      </w:r>
      <w:r w:rsidR="001B33DD">
        <w:rPr>
          <w:rFonts w:eastAsia="Calibri" w:cs="Arial"/>
          <w:szCs w:val="20"/>
        </w:rPr>
        <w:t xml:space="preserve"> za uvedbo postopka imenovanja</w:t>
      </w:r>
      <w:r>
        <w:rPr>
          <w:rFonts w:eastAsia="Calibri" w:cs="Arial"/>
          <w:szCs w:val="20"/>
        </w:rPr>
        <w:t>. Pozivni rok ne sme biti krajši od 15</w:t>
      </w:r>
      <w:r w:rsidR="00B85884">
        <w:rPr>
          <w:rFonts w:eastAsia="Calibri" w:cs="Arial"/>
          <w:szCs w:val="20"/>
        </w:rPr>
        <w:t xml:space="preserve"> </w:t>
      </w:r>
      <w:r>
        <w:rPr>
          <w:rFonts w:eastAsia="Calibri" w:cs="Arial"/>
          <w:szCs w:val="20"/>
        </w:rPr>
        <w:t>dni.</w:t>
      </w:r>
    </w:p>
    <w:p w:rsidR="00AE2155" w:rsidRDefault="00AE2155" w:rsidP="00B644CC">
      <w:pPr>
        <w:spacing w:line="288" w:lineRule="auto"/>
        <w:jc w:val="both"/>
        <w:rPr>
          <w:rFonts w:eastAsia="Calibri" w:cs="Arial"/>
          <w:szCs w:val="20"/>
        </w:rPr>
      </w:pPr>
    </w:p>
    <w:p w:rsidR="00AE2155" w:rsidRDefault="00AE2155" w:rsidP="00B644CC">
      <w:pPr>
        <w:spacing w:line="288" w:lineRule="auto"/>
        <w:jc w:val="both"/>
        <w:rPr>
          <w:rFonts w:eastAsia="Calibri" w:cs="Arial"/>
          <w:szCs w:val="20"/>
        </w:rPr>
      </w:pPr>
      <w:r>
        <w:rPr>
          <w:rFonts w:eastAsia="Calibri" w:cs="Arial"/>
          <w:szCs w:val="20"/>
        </w:rPr>
        <w:t>(3) Ministrstvo najpozneje v petih dneh po izteku pozivnega roka Državnotožilskemu svetu pošlje vse prijave, ki jih ni zavrglo.</w:t>
      </w:r>
    </w:p>
    <w:p w:rsidR="00AE2155" w:rsidRDefault="00AE2155" w:rsidP="00B644CC">
      <w:pPr>
        <w:spacing w:line="288" w:lineRule="auto"/>
        <w:jc w:val="both"/>
        <w:rPr>
          <w:rFonts w:eastAsia="Calibri" w:cs="Arial"/>
          <w:szCs w:val="20"/>
        </w:rPr>
      </w:pPr>
    </w:p>
    <w:p w:rsidR="00AE2155" w:rsidRDefault="00AE2155" w:rsidP="00B644CC">
      <w:pPr>
        <w:spacing w:line="288" w:lineRule="auto"/>
        <w:jc w:val="both"/>
        <w:rPr>
          <w:rFonts w:eastAsia="Calibri" w:cs="Arial"/>
          <w:szCs w:val="20"/>
        </w:rPr>
      </w:pPr>
      <w:r>
        <w:rPr>
          <w:rFonts w:eastAsia="Calibri" w:cs="Arial"/>
          <w:szCs w:val="20"/>
        </w:rPr>
        <w:t>(4) Za postopek z nepopolnimi prijavami in prijavami vloženimi po izteku pozivnega roka se smiselno uporablja določba 71.č člena tega zakona.</w:t>
      </w:r>
    </w:p>
    <w:p w:rsidR="00AE2155" w:rsidRDefault="00AE2155" w:rsidP="00B644CC">
      <w:pPr>
        <w:spacing w:line="288" w:lineRule="auto"/>
        <w:jc w:val="both"/>
        <w:rPr>
          <w:rFonts w:eastAsia="Calibri" w:cs="Arial"/>
          <w:szCs w:val="20"/>
        </w:rPr>
      </w:pPr>
    </w:p>
    <w:p w:rsidR="00AE2155" w:rsidRDefault="00AE2155" w:rsidP="00B644CC">
      <w:pPr>
        <w:spacing w:line="288" w:lineRule="auto"/>
        <w:jc w:val="both"/>
        <w:rPr>
          <w:rFonts w:eastAsia="Calibri" w:cs="Arial"/>
          <w:szCs w:val="20"/>
        </w:rPr>
      </w:pPr>
      <w:r>
        <w:rPr>
          <w:rFonts w:eastAsia="Calibri" w:cs="Arial"/>
          <w:szCs w:val="20"/>
        </w:rPr>
        <w:t>(5) D</w:t>
      </w:r>
      <w:r w:rsidRPr="005F2E37">
        <w:rPr>
          <w:rFonts w:eastAsia="Calibri" w:cs="Arial"/>
          <w:szCs w:val="20"/>
        </w:rPr>
        <w:t>ržavnotožilski svet se po pridobitvi mnenja generalnega državnega tožilca do prijavljenih kandida</w:t>
      </w:r>
      <w:r>
        <w:rPr>
          <w:rFonts w:eastAsia="Calibri" w:cs="Arial"/>
          <w:szCs w:val="20"/>
        </w:rPr>
        <w:t xml:space="preserve">tov </w:t>
      </w:r>
      <w:r w:rsidRPr="005F2E37">
        <w:rPr>
          <w:rFonts w:eastAsia="Calibri" w:cs="Arial"/>
          <w:szCs w:val="20"/>
        </w:rPr>
        <w:t xml:space="preserve">opredeli in oblikuje predlog </w:t>
      </w:r>
      <w:r>
        <w:rPr>
          <w:rFonts w:eastAsia="Calibri" w:cs="Arial"/>
          <w:szCs w:val="20"/>
        </w:rPr>
        <w:t xml:space="preserve">za imenovanje nacionalnega predstavnika in njegovega namestnika </w:t>
      </w:r>
      <w:r w:rsidRPr="005F2E37">
        <w:rPr>
          <w:rFonts w:eastAsia="Calibri" w:cs="Arial"/>
          <w:szCs w:val="20"/>
        </w:rPr>
        <w:t xml:space="preserve">ter o tem obvesti prijavljene kandidate in </w:t>
      </w:r>
      <w:r>
        <w:rPr>
          <w:rFonts w:eastAsia="Calibri" w:cs="Arial"/>
          <w:szCs w:val="20"/>
        </w:rPr>
        <w:t>predlog posreduje Vladi Republike Slovenije</w:t>
      </w:r>
      <w:r w:rsidRPr="005F2E37">
        <w:rPr>
          <w:rFonts w:eastAsia="Calibri" w:cs="Arial"/>
          <w:szCs w:val="20"/>
        </w:rPr>
        <w:t xml:space="preserve">. </w:t>
      </w:r>
    </w:p>
    <w:p w:rsidR="00AE2155" w:rsidRDefault="00AE2155" w:rsidP="00B644CC">
      <w:pPr>
        <w:spacing w:line="288" w:lineRule="auto"/>
        <w:jc w:val="both"/>
        <w:rPr>
          <w:rFonts w:eastAsia="Calibri" w:cs="Arial"/>
          <w:szCs w:val="20"/>
        </w:rPr>
      </w:pPr>
    </w:p>
    <w:p w:rsidR="00AE2155" w:rsidRDefault="00AE2155" w:rsidP="00B644CC">
      <w:pPr>
        <w:spacing w:line="288" w:lineRule="auto"/>
        <w:jc w:val="both"/>
        <w:rPr>
          <w:rFonts w:eastAsia="Calibri" w:cs="Arial"/>
          <w:szCs w:val="20"/>
        </w:rPr>
      </w:pPr>
      <w:r>
        <w:rPr>
          <w:rFonts w:eastAsia="Calibri" w:cs="Arial"/>
          <w:szCs w:val="20"/>
        </w:rPr>
        <w:t xml:space="preserve">(6) </w:t>
      </w:r>
      <w:r w:rsidRPr="00EB12C1">
        <w:rPr>
          <w:rFonts w:eastAsia="Calibri" w:cs="Arial"/>
          <w:szCs w:val="20"/>
        </w:rPr>
        <w:t>Vlada</w:t>
      </w:r>
      <w:r>
        <w:rPr>
          <w:rFonts w:eastAsia="Calibri" w:cs="Arial"/>
          <w:szCs w:val="20"/>
        </w:rPr>
        <w:t xml:space="preserve"> Republike Slovenije</w:t>
      </w:r>
      <w:r w:rsidRPr="00EB12C1">
        <w:rPr>
          <w:rFonts w:eastAsia="Calibri" w:cs="Arial"/>
          <w:szCs w:val="20"/>
        </w:rPr>
        <w:t xml:space="preserve"> vroči in objavi odločbo o imenovanju nacionalnega predstavnika in njegovega namestnika </w:t>
      </w:r>
      <w:r w:rsidR="001B33DD">
        <w:rPr>
          <w:rFonts w:eastAsia="Calibri" w:cs="Arial"/>
          <w:szCs w:val="20"/>
        </w:rPr>
        <w:t>v skladu s</w:t>
      </w:r>
      <w:r w:rsidRPr="00EB12C1">
        <w:rPr>
          <w:rFonts w:eastAsia="Calibri" w:cs="Arial"/>
          <w:szCs w:val="20"/>
        </w:rPr>
        <w:t xml:space="preserve"> 34. člen</w:t>
      </w:r>
      <w:r w:rsidR="001B33DD">
        <w:rPr>
          <w:rFonts w:eastAsia="Calibri" w:cs="Arial"/>
          <w:szCs w:val="20"/>
        </w:rPr>
        <w:t>om</w:t>
      </w:r>
      <w:r w:rsidRPr="00EB12C1">
        <w:rPr>
          <w:rFonts w:eastAsia="Calibri" w:cs="Arial"/>
          <w:szCs w:val="20"/>
        </w:rPr>
        <w:t xml:space="preserve"> tega zakona.</w:t>
      </w:r>
    </w:p>
    <w:p w:rsidR="00AE2155" w:rsidRDefault="00AE2155" w:rsidP="00B644CC">
      <w:pPr>
        <w:spacing w:line="288" w:lineRule="auto"/>
        <w:jc w:val="both"/>
        <w:rPr>
          <w:rFonts w:eastAsia="Calibri" w:cs="Arial"/>
          <w:szCs w:val="20"/>
        </w:rPr>
      </w:pPr>
    </w:p>
    <w:p w:rsidR="00AE2155" w:rsidRPr="00805A81" w:rsidRDefault="00AE2155" w:rsidP="00B644CC">
      <w:pPr>
        <w:spacing w:line="288" w:lineRule="auto"/>
        <w:jc w:val="center"/>
        <w:rPr>
          <w:rFonts w:eastAsia="Calibri" w:cs="Arial"/>
          <w:b/>
          <w:bCs/>
          <w:szCs w:val="20"/>
        </w:rPr>
      </w:pPr>
      <w:r w:rsidRPr="00805A81">
        <w:rPr>
          <w:rFonts w:eastAsia="Calibri" w:cs="Arial"/>
          <w:b/>
          <w:bCs/>
          <w:szCs w:val="20"/>
        </w:rPr>
        <w:t>69.</w:t>
      </w:r>
      <w:r>
        <w:rPr>
          <w:rFonts w:eastAsia="Calibri" w:cs="Arial"/>
          <w:b/>
          <w:bCs/>
          <w:szCs w:val="20"/>
        </w:rPr>
        <w:t>b</w:t>
      </w:r>
      <w:r w:rsidRPr="00805A81">
        <w:rPr>
          <w:rFonts w:eastAsia="Calibri" w:cs="Arial"/>
          <w:b/>
          <w:bCs/>
          <w:szCs w:val="20"/>
        </w:rPr>
        <w:t xml:space="preserve"> člen</w:t>
      </w:r>
    </w:p>
    <w:p w:rsidR="00AE2155" w:rsidRDefault="00AE2155" w:rsidP="00B644CC">
      <w:pPr>
        <w:spacing w:line="288" w:lineRule="auto"/>
        <w:jc w:val="center"/>
        <w:rPr>
          <w:rFonts w:eastAsia="Calibri" w:cs="Arial"/>
          <w:b/>
          <w:szCs w:val="20"/>
        </w:rPr>
      </w:pPr>
      <w:r w:rsidRPr="00AD554E">
        <w:rPr>
          <w:rFonts w:eastAsia="Calibri" w:cs="Arial"/>
          <w:b/>
          <w:szCs w:val="20"/>
        </w:rPr>
        <w:t>(postopek i</w:t>
      </w:r>
      <w:r>
        <w:rPr>
          <w:rFonts w:eastAsia="Calibri" w:cs="Arial"/>
          <w:b/>
          <w:szCs w:val="20"/>
        </w:rPr>
        <w:t>menovanja pomočnika nacionalnega predstavnika)</w:t>
      </w:r>
    </w:p>
    <w:p w:rsidR="00AE2155" w:rsidRDefault="00AE2155" w:rsidP="00B644CC">
      <w:pPr>
        <w:spacing w:line="288" w:lineRule="auto"/>
        <w:jc w:val="both"/>
        <w:rPr>
          <w:rFonts w:eastAsia="Calibri" w:cs="Arial"/>
          <w:szCs w:val="20"/>
        </w:rPr>
      </w:pPr>
    </w:p>
    <w:p w:rsidR="00AE2155" w:rsidRDefault="00AE2155" w:rsidP="00B644CC">
      <w:pPr>
        <w:spacing w:line="288" w:lineRule="auto"/>
        <w:jc w:val="both"/>
        <w:rPr>
          <w:rFonts w:eastAsia="Calibri" w:cs="Arial"/>
          <w:szCs w:val="20"/>
        </w:rPr>
      </w:pPr>
      <w:r>
        <w:rPr>
          <w:rFonts w:eastAsia="Calibri" w:cs="Arial"/>
          <w:szCs w:val="20"/>
        </w:rPr>
        <w:t xml:space="preserve">(1) </w:t>
      </w:r>
      <w:r w:rsidRPr="006F4E3C">
        <w:rPr>
          <w:rFonts w:eastAsia="Calibri" w:cs="Arial"/>
          <w:szCs w:val="20"/>
        </w:rPr>
        <w:t>Pomočnika nacionalnega predstavnika imenuje Državnotožilski svet na predlog generalnega državnega tožilca, po predhodnem mnenju nacionalnega predstavnika.</w:t>
      </w:r>
    </w:p>
    <w:p w:rsidR="00AE2155" w:rsidRDefault="00AE2155" w:rsidP="00B644CC">
      <w:pPr>
        <w:spacing w:line="288" w:lineRule="auto"/>
        <w:jc w:val="both"/>
        <w:rPr>
          <w:rFonts w:eastAsia="Calibri" w:cs="Arial"/>
          <w:szCs w:val="20"/>
        </w:rPr>
      </w:pPr>
    </w:p>
    <w:p w:rsidR="00AE2155" w:rsidRDefault="00AE2155" w:rsidP="00B644CC">
      <w:pPr>
        <w:spacing w:line="288" w:lineRule="auto"/>
        <w:jc w:val="both"/>
        <w:rPr>
          <w:rFonts w:eastAsia="Calibri" w:cs="Arial"/>
          <w:szCs w:val="20"/>
        </w:rPr>
      </w:pPr>
      <w:r>
        <w:rPr>
          <w:rFonts w:eastAsia="Calibri" w:cs="Arial"/>
          <w:szCs w:val="20"/>
        </w:rPr>
        <w:t xml:space="preserve">(2) </w:t>
      </w:r>
      <w:r w:rsidR="003907C3">
        <w:rPr>
          <w:rFonts w:eastAsia="Calibri" w:cs="Arial"/>
          <w:szCs w:val="20"/>
        </w:rPr>
        <w:t>Generalni državni tožilec s</w:t>
      </w:r>
      <w:r>
        <w:rPr>
          <w:rFonts w:eastAsia="Calibri" w:cs="Arial"/>
          <w:szCs w:val="20"/>
        </w:rPr>
        <w:t xml:space="preserve">e po pridobitvi mnenja nacionalnega predstavnika </w:t>
      </w:r>
      <w:r w:rsidRPr="005F2E37">
        <w:rPr>
          <w:rFonts w:eastAsia="Calibri" w:cs="Arial"/>
          <w:szCs w:val="20"/>
        </w:rPr>
        <w:t>do prijavljenih kandida</w:t>
      </w:r>
      <w:r>
        <w:rPr>
          <w:rFonts w:eastAsia="Calibri" w:cs="Arial"/>
          <w:szCs w:val="20"/>
        </w:rPr>
        <w:t xml:space="preserve">tov </w:t>
      </w:r>
      <w:r w:rsidRPr="005F2E37">
        <w:rPr>
          <w:rFonts w:eastAsia="Calibri" w:cs="Arial"/>
          <w:szCs w:val="20"/>
        </w:rPr>
        <w:t>opredeli in</w:t>
      </w:r>
      <w:r w:rsidR="003907C3">
        <w:rPr>
          <w:rFonts w:eastAsia="Calibri" w:cs="Arial"/>
          <w:szCs w:val="20"/>
        </w:rPr>
        <w:t xml:space="preserve"> </w:t>
      </w:r>
      <w:r w:rsidR="003907C3" w:rsidRPr="005F2E37">
        <w:rPr>
          <w:rFonts w:eastAsia="Calibri" w:cs="Arial"/>
          <w:szCs w:val="20"/>
        </w:rPr>
        <w:t xml:space="preserve">oblikuje predlog </w:t>
      </w:r>
      <w:r w:rsidR="003907C3">
        <w:rPr>
          <w:rFonts w:eastAsia="Calibri" w:cs="Arial"/>
          <w:szCs w:val="20"/>
        </w:rPr>
        <w:t>za imenovanje</w:t>
      </w:r>
      <w:r w:rsidRPr="005F2E37">
        <w:rPr>
          <w:rFonts w:eastAsia="Calibri" w:cs="Arial"/>
          <w:szCs w:val="20"/>
        </w:rPr>
        <w:t xml:space="preserve"> </w:t>
      </w:r>
      <w:r>
        <w:rPr>
          <w:rFonts w:eastAsia="Calibri" w:cs="Arial"/>
          <w:szCs w:val="20"/>
        </w:rPr>
        <w:t>pomočnika nacionalnega predstavnika</w:t>
      </w:r>
      <w:r w:rsidR="003907C3">
        <w:rPr>
          <w:rFonts w:eastAsia="Calibri" w:cs="Arial"/>
          <w:szCs w:val="20"/>
        </w:rPr>
        <w:t xml:space="preserve"> </w:t>
      </w:r>
      <w:r w:rsidR="003907C3" w:rsidRPr="005F2E37">
        <w:rPr>
          <w:rFonts w:eastAsia="Calibri" w:cs="Arial"/>
          <w:szCs w:val="20"/>
        </w:rPr>
        <w:t xml:space="preserve">ter o tem obvesti prijavljene kandidate in </w:t>
      </w:r>
      <w:r w:rsidR="003907C3">
        <w:rPr>
          <w:rFonts w:eastAsia="Calibri" w:cs="Arial"/>
          <w:szCs w:val="20"/>
        </w:rPr>
        <w:t>predlog posreduje Državnotožilskemu svetu</w:t>
      </w:r>
      <w:r>
        <w:rPr>
          <w:rFonts w:eastAsia="Calibri" w:cs="Arial"/>
          <w:szCs w:val="20"/>
        </w:rPr>
        <w:t xml:space="preserve">. </w:t>
      </w:r>
    </w:p>
    <w:p w:rsidR="00AE2155" w:rsidRDefault="00AE2155" w:rsidP="00B644CC">
      <w:pPr>
        <w:spacing w:line="288" w:lineRule="auto"/>
        <w:jc w:val="both"/>
        <w:rPr>
          <w:rFonts w:eastAsia="Calibri" w:cs="Arial"/>
          <w:szCs w:val="20"/>
        </w:rPr>
      </w:pPr>
    </w:p>
    <w:p w:rsidR="00AE2155" w:rsidRDefault="00AE2155" w:rsidP="00B644CC">
      <w:pPr>
        <w:spacing w:line="288" w:lineRule="auto"/>
        <w:jc w:val="both"/>
        <w:rPr>
          <w:rFonts w:eastAsia="Calibri" w:cs="Arial"/>
          <w:szCs w:val="20"/>
        </w:rPr>
      </w:pPr>
      <w:r>
        <w:rPr>
          <w:rFonts w:eastAsia="Calibri" w:cs="Arial"/>
          <w:szCs w:val="20"/>
        </w:rPr>
        <w:t>(3) Za postopek s pozivom k prijavam, z nepopolnimi prijavami in prijavami vloženimi po izteku pozivnega roka ter za vročitev odločbe o imenovanju pomočnika nacionalnega predstavnika se uporablja drugi, tretji, četrti in šesti odstavek prejšnjega člena.</w:t>
      </w:r>
    </w:p>
    <w:p w:rsidR="00AE2155" w:rsidRDefault="00AE2155" w:rsidP="00B644CC">
      <w:pPr>
        <w:spacing w:line="288" w:lineRule="auto"/>
        <w:jc w:val="both"/>
        <w:rPr>
          <w:rFonts w:eastAsia="Calibri" w:cs="Arial"/>
          <w:szCs w:val="20"/>
        </w:rPr>
      </w:pPr>
    </w:p>
    <w:p w:rsidR="001F31FC" w:rsidRPr="006B4D55" w:rsidRDefault="001F31FC" w:rsidP="001F31FC">
      <w:pPr>
        <w:spacing w:line="288" w:lineRule="auto"/>
        <w:jc w:val="center"/>
        <w:rPr>
          <w:rFonts w:eastAsia="Calibri" w:cs="Arial"/>
          <w:b/>
          <w:bCs/>
          <w:szCs w:val="20"/>
        </w:rPr>
      </w:pPr>
      <w:bookmarkStart w:id="36" w:name="_Hlk43287570"/>
      <w:bookmarkStart w:id="37" w:name="_Hlk43299245"/>
      <w:r w:rsidRPr="006B4D55">
        <w:rPr>
          <w:rFonts w:eastAsia="Calibri" w:cs="Arial"/>
          <w:b/>
          <w:bCs/>
          <w:szCs w:val="20"/>
        </w:rPr>
        <w:t>69.c člen</w:t>
      </w:r>
    </w:p>
    <w:p w:rsidR="001F31FC" w:rsidRPr="006B4D55" w:rsidRDefault="001F31FC" w:rsidP="001F31FC">
      <w:pPr>
        <w:spacing w:line="288" w:lineRule="auto"/>
        <w:jc w:val="center"/>
        <w:rPr>
          <w:rFonts w:eastAsia="Calibri" w:cs="Arial"/>
          <w:b/>
          <w:bCs/>
          <w:szCs w:val="20"/>
        </w:rPr>
      </w:pPr>
      <w:r w:rsidRPr="006B4D55">
        <w:rPr>
          <w:rFonts w:eastAsia="Calibri" w:cs="Arial"/>
          <w:b/>
          <w:bCs/>
          <w:szCs w:val="20"/>
        </w:rPr>
        <w:t>(</w:t>
      </w:r>
      <w:r w:rsidR="006B4D55" w:rsidRPr="006B4D55">
        <w:rPr>
          <w:rFonts w:eastAsia="Calibri" w:cs="Arial"/>
          <w:b/>
          <w:bCs/>
          <w:szCs w:val="20"/>
        </w:rPr>
        <w:t xml:space="preserve">prenehanje </w:t>
      </w:r>
      <w:r w:rsidR="00275DD0">
        <w:rPr>
          <w:rFonts w:eastAsia="Calibri" w:cs="Arial"/>
          <w:b/>
          <w:bCs/>
          <w:szCs w:val="20"/>
        </w:rPr>
        <w:t>mandata</w:t>
      </w:r>
      <w:r w:rsidRPr="006B4D55">
        <w:rPr>
          <w:rFonts w:eastAsia="Calibri" w:cs="Arial"/>
          <w:b/>
          <w:bCs/>
          <w:szCs w:val="20"/>
        </w:rPr>
        <w:t>)</w:t>
      </w:r>
    </w:p>
    <w:p w:rsidR="001F31FC" w:rsidRPr="00F95568" w:rsidRDefault="001F31FC" w:rsidP="001F31FC">
      <w:pPr>
        <w:spacing w:line="288" w:lineRule="auto"/>
        <w:jc w:val="center"/>
        <w:rPr>
          <w:rFonts w:eastAsia="Calibri" w:cs="Arial"/>
          <w:b/>
          <w:bCs/>
          <w:szCs w:val="20"/>
          <w:highlight w:val="yellow"/>
        </w:rPr>
      </w:pPr>
    </w:p>
    <w:p w:rsidR="006B4D55" w:rsidRPr="00C15754" w:rsidRDefault="00FD069D" w:rsidP="00C15754">
      <w:pPr>
        <w:shd w:val="clear" w:color="auto" w:fill="FFFFFF" w:themeFill="background1"/>
        <w:spacing w:line="288" w:lineRule="auto"/>
        <w:jc w:val="both"/>
        <w:rPr>
          <w:rFonts w:eastAsia="Calibri" w:cs="Arial"/>
          <w:szCs w:val="20"/>
        </w:rPr>
      </w:pPr>
      <w:r>
        <w:rPr>
          <w:rFonts w:eastAsia="Calibri" w:cs="Arial"/>
          <w:szCs w:val="20"/>
        </w:rPr>
        <w:t xml:space="preserve">(1) </w:t>
      </w:r>
      <w:r w:rsidR="00523C99" w:rsidRPr="00C15754">
        <w:rPr>
          <w:rFonts w:eastAsia="Calibri" w:cs="Arial"/>
          <w:szCs w:val="20"/>
        </w:rPr>
        <w:t>Nacionaln</w:t>
      </w:r>
      <w:r w:rsidR="006B4D55" w:rsidRPr="00C15754">
        <w:rPr>
          <w:rFonts w:eastAsia="Calibri" w:cs="Arial"/>
          <w:szCs w:val="20"/>
        </w:rPr>
        <w:t xml:space="preserve">emu </w:t>
      </w:r>
      <w:r w:rsidR="00523C99" w:rsidRPr="00C15754">
        <w:rPr>
          <w:rFonts w:eastAsia="Calibri" w:cs="Arial"/>
          <w:szCs w:val="20"/>
        </w:rPr>
        <w:t>predstavnik</w:t>
      </w:r>
      <w:r w:rsidR="006B4D55" w:rsidRPr="00C15754">
        <w:rPr>
          <w:rFonts w:eastAsia="Calibri" w:cs="Arial"/>
          <w:szCs w:val="20"/>
        </w:rPr>
        <w:t>u</w:t>
      </w:r>
      <w:r w:rsidR="00523C99" w:rsidRPr="00C15754">
        <w:rPr>
          <w:rFonts w:eastAsia="Calibri" w:cs="Arial"/>
          <w:szCs w:val="20"/>
        </w:rPr>
        <w:t>, njegov</w:t>
      </w:r>
      <w:r w:rsidR="006B4D55" w:rsidRPr="00C15754">
        <w:rPr>
          <w:rFonts w:eastAsia="Calibri" w:cs="Arial"/>
          <w:szCs w:val="20"/>
        </w:rPr>
        <w:t>emu</w:t>
      </w:r>
      <w:r w:rsidR="00523C99" w:rsidRPr="00C15754">
        <w:rPr>
          <w:rFonts w:eastAsia="Calibri" w:cs="Arial"/>
          <w:szCs w:val="20"/>
        </w:rPr>
        <w:t xml:space="preserve"> namestnik</w:t>
      </w:r>
      <w:r w:rsidR="006B4D55" w:rsidRPr="00C15754">
        <w:rPr>
          <w:rFonts w:eastAsia="Calibri" w:cs="Arial"/>
          <w:szCs w:val="20"/>
        </w:rPr>
        <w:t>u</w:t>
      </w:r>
      <w:r w:rsidR="00523C99" w:rsidRPr="00C15754">
        <w:rPr>
          <w:rFonts w:eastAsia="Calibri" w:cs="Arial"/>
          <w:szCs w:val="20"/>
        </w:rPr>
        <w:t xml:space="preserve"> in pomočnik</w:t>
      </w:r>
      <w:r w:rsidR="006B4D55" w:rsidRPr="00C15754">
        <w:rPr>
          <w:rFonts w:eastAsia="Calibri" w:cs="Arial"/>
          <w:szCs w:val="20"/>
        </w:rPr>
        <w:t>u preneha članstvo v Eurojustu pred potekom mandata:</w:t>
      </w:r>
    </w:p>
    <w:p w:rsidR="00C15754" w:rsidRDefault="00C15754" w:rsidP="00C15754">
      <w:pPr>
        <w:pStyle w:val="Odstavekseznama"/>
        <w:numPr>
          <w:ilvl w:val="0"/>
          <w:numId w:val="36"/>
        </w:numPr>
        <w:shd w:val="clear" w:color="auto" w:fill="FFFFFF" w:themeFill="background1"/>
        <w:spacing w:line="288" w:lineRule="auto"/>
        <w:jc w:val="both"/>
        <w:rPr>
          <w:rFonts w:eastAsia="Calibri" w:cs="Arial"/>
          <w:szCs w:val="20"/>
        </w:rPr>
      </w:pPr>
      <w:r>
        <w:rPr>
          <w:rFonts w:eastAsia="Calibri" w:cs="Arial"/>
          <w:szCs w:val="20"/>
        </w:rPr>
        <w:t>z odstopom;</w:t>
      </w:r>
    </w:p>
    <w:p w:rsidR="00C15754" w:rsidRPr="00C15754" w:rsidRDefault="006B4D55" w:rsidP="00C15754">
      <w:pPr>
        <w:pStyle w:val="Odstavekseznama"/>
        <w:numPr>
          <w:ilvl w:val="0"/>
          <w:numId w:val="36"/>
        </w:numPr>
        <w:shd w:val="clear" w:color="auto" w:fill="FFFFFF" w:themeFill="background1"/>
        <w:spacing w:line="288" w:lineRule="auto"/>
        <w:jc w:val="both"/>
        <w:rPr>
          <w:rFonts w:eastAsia="Calibri" w:cs="Arial"/>
          <w:szCs w:val="20"/>
        </w:rPr>
      </w:pPr>
      <w:r w:rsidRPr="00C15754">
        <w:rPr>
          <w:rFonts w:eastAsia="Calibri" w:cs="Arial"/>
          <w:szCs w:val="20"/>
        </w:rPr>
        <w:t>s prenehanjem državnotožilske funkcije ali z razrešitvijo državnega tožilca</w:t>
      </w:r>
      <w:r w:rsidR="00C15754" w:rsidRPr="00C15754">
        <w:rPr>
          <w:rFonts w:eastAsia="Calibri" w:cs="Arial"/>
          <w:szCs w:val="20"/>
        </w:rPr>
        <w:t>;</w:t>
      </w:r>
    </w:p>
    <w:p w:rsidR="00C15754" w:rsidRPr="00C15754" w:rsidRDefault="00C15754" w:rsidP="00C15754">
      <w:pPr>
        <w:pStyle w:val="Odstavekseznama"/>
        <w:numPr>
          <w:ilvl w:val="0"/>
          <w:numId w:val="36"/>
        </w:numPr>
        <w:shd w:val="clear" w:color="auto" w:fill="FFFFFF" w:themeFill="background1"/>
        <w:spacing w:line="288" w:lineRule="auto"/>
        <w:jc w:val="both"/>
        <w:rPr>
          <w:rFonts w:eastAsia="Calibri" w:cs="Arial"/>
          <w:szCs w:val="20"/>
        </w:rPr>
      </w:pPr>
      <w:r w:rsidRPr="00C15754">
        <w:rPr>
          <w:rFonts w:eastAsia="Calibri" w:cs="Arial"/>
          <w:szCs w:val="20"/>
        </w:rPr>
        <w:t>če mu je izrečena disciplinska sankcija</w:t>
      </w:r>
      <w:r w:rsidR="00CE41BC">
        <w:rPr>
          <w:rFonts w:eastAsia="Calibri" w:cs="Arial"/>
          <w:szCs w:val="20"/>
        </w:rPr>
        <w:t xml:space="preserve"> zaradi hujše disciplinske kršitve</w:t>
      </w:r>
      <w:r>
        <w:rPr>
          <w:rFonts w:eastAsia="Calibri" w:cs="Arial"/>
          <w:szCs w:val="20"/>
        </w:rPr>
        <w:t>.</w:t>
      </w:r>
    </w:p>
    <w:p w:rsidR="001F31FC" w:rsidRDefault="001F31FC" w:rsidP="006C33A1">
      <w:pPr>
        <w:spacing w:line="288" w:lineRule="auto"/>
        <w:jc w:val="both"/>
        <w:rPr>
          <w:rFonts w:eastAsia="Calibri" w:cs="Arial"/>
          <w:szCs w:val="20"/>
        </w:rPr>
      </w:pPr>
    </w:p>
    <w:bookmarkEnd w:id="36"/>
    <w:p w:rsidR="00140B43" w:rsidRDefault="00140B43" w:rsidP="00140B43">
      <w:pPr>
        <w:spacing w:line="288" w:lineRule="auto"/>
        <w:jc w:val="both"/>
      </w:pPr>
      <w:r>
        <w:rPr>
          <w:rFonts w:eastAsia="Calibri" w:cs="Arial"/>
          <w:szCs w:val="20"/>
        </w:rPr>
        <w:lastRenderedPageBreak/>
        <w:t xml:space="preserve">(2) </w:t>
      </w:r>
      <w:r w:rsidRPr="00C15754">
        <w:rPr>
          <w:rFonts w:eastAsia="Calibri" w:cs="Arial"/>
          <w:szCs w:val="20"/>
        </w:rPr>
        <w:t xml:space="preserve">Nacionalnemu predstavniku, njegovemu namestniku in pomočniku </w:t>
      </w:r>
      <w:r>
        <w:t>preneha članstvo v Eurojustu:</w:t>
      </w:r>
    </w:p>
    <w:p w:rsidR="00140B43" w:rsidRDefault="00140B43" w:rsidP="00140B43">
      <w:pPr>
        <w:pStyle w:val="Odstavekseznama"/>
        <w:numPr>
          <w:ilvl w:val="0"/>
          <w:numId w:val="27"/>
        </w:numPr>
        <w:spacing w:line="288" w:lineRule="auto"/>
        <w:jc w:val="both"/>
      </w:pPr>
      <w:r>
        <w:t>po 1. točki prejšnjega odstavka z dnem</w:t>
      </w:r>
      <w:r w:rsidRPr="00017F18">
        <w:rPr>
          <w:rFonts w:eastAsia="Calibri" w:cs="Arial"/>
          <w:szCs w:val="20"/>
        </w:rPr>
        <w:t xml:space="preserve">, ki ga državni tožilec predlaga v </w:t>
      </w:r>
      <w:r>
        <w:rPr>
          <w:rFonts w:eastAsia="Calibri" w:cs="Arial"/>
          <w:szCs w:val="20"/>
        </w:rPr>
        <w:t>odstopni izjavi</w:t>
      </w:r>
      <w:r w:rsidR="008D35C2">
        <w:rPr>
          <w:rFonts w:eastAsia="Calibri" w:cs="Arial"/>
          <w:szCs w:val="20"/>
        </w:rPr>
        <w:t>,</w:t>
      </w:r>
      <w:r w:rsidRPr="00017F18">
        <w:rPr>
          <w:rFonts w:eastAsia="Calibri" w:cs="Arial"/>
          <w:szCs w:val="20"/>
        </w:rPr>
        <w:t xml:space="preserve"> vendar ne prej kot </w:t>
      </w:r>
      <w:r>
        <w:rPr>
          <w:rFonts w:eastAsia="Calibri" w:cs="Arial"/>
          <w:szCs w:val="20"/>
        </w:rPr>
        <w:t>30</w:t>
      </w:r>
      <w:r w:rsidRPr="00017F18">
        <w:rPr>
          <w:rFonts w:eastAsia="Calibri" w:cs="Arial"/>
          <w:szCs w:val="20"/>
        </w:rPr>
        <w:t xml:space="preserve">. dan po prispetju </w:t>
      </w:r>
      <w:r>
        <w:rPr>
          <w:rFonts w:eastAsia="Calibri" w:cs="Arial"/>
          <w:szCs w:val="20"/>
        </w:rPr>
        <w:t>odstopne izjave</w:t>
      </w:r>
      <w:r w:rsidR="008D35C2">
        <w:rPr>
          <w:rFonts w:eastAsia="Calibri" w:cs="Arial"/>
          <w:szCs w:val="20"/>
        </w:rPr>
        <w:t xml:space="preserve"> k organu, ki je pristojen za imenovanje</w:t>
      </w:r>
      <w:r>
        <w:rPr>
          <w:rFonts w:eastAsia="Calibri" w:cs="Arial"/>
          <w:szCs w:val="20"/>
        </w:rPr>
        <w:t>;</w:t>
      </w:r>
    </w:p>
    <w:p w:rsidR="00140B43" w:rsidRDefault="00140B43" w:rsidP="00140B43">
      <w:pPr>
        <w:pStyle w:val="Odstavekseznama"/>
        <w:numPr>
          <w:ilvl w:val="0"/>
          <w:numId w:val="27"/>
        </w:numPr>
        <w:spacing w:line="288" w:lineRule="auto"/>
        <w:jc w:val="both"/>
      </w:pPr>
      <w:r>
        <w:t xml:space="preserve">po 2. točki prejšnjega odstavka z dnem, ko je nastopilo prenehanje ali z dnem pravnomočnosti odločitve o razrešitvi in </w:t>
      </w:r>
    </w:p>
    <w:p w:rsidR="00140B43" w:rsidRPr="00FD069D" w:rsidRDefault="00140B43" w:rsidP="00140B43">
      <w:pPr>
        <w:pStyle w:val="Odstavekseznama"/>
        <w:numPr>
          <w:ilvl w:val="0"/>
          <w:numId w:val="27"/>
        </w:numPr>
        <w:spacing w:line="288" w:lineRule="auto"/>
        <w:jc w:val="both"/>
        <w:rPr>
          <w:rFonts w:eastAsia="Calibri" w:cs="Arial"/>
          <w:szCs w:val="20"/>
        </w:rPr>
      </w:pPr>
      <w:r>
        <w:t>po 3. točki prejšnjega odstavka z dnem pravnomočnosti odločbe pristojnega organa.</w:t>
      </w:r>
    </w:p>
    <w:p w:rsidR="00140B43" w:rsidRDefault="00140B43" w:rsidP="00140B43">
      <w:pPr>
        <w:spacing w:line="288" w:lineRule="auto"/>
        <w:jc w:val="both"/>
        <w:rPr>
          <w:rFonts w:eastAsia="Calibri" w:cs="Arial"/>
          <w:szCs w:val="20"/>
        </w:rPr>
      </w:pPr>
    </w:p>
    <w:p w:rsidR="00140B43" w:rsidRDefault="00140B43" w:rsidP="00140B43">
      <w:pPr>
        <w:pStyle w:val="datumtevilka"/>
        <w:spacing w:line="288" w:lineRule="auto"/>
        <w:jc w:val="both"/>
        <w:rPr>
          <w:rFonts w:cs="Arial"/>
        </w:rPr>
      </w:pPr>
      <w:r>
        <w:rPr>
          <w:rFonts w:cs="Arial"/>
        </w:rPr>
        <w:t>(3) O prenehanju</w:t>
      </w:r>
      <w:r w:rsidR="00CB32AF">
        <w:rPr>
          <w:rFonts w:cs="Arial"/>
        </w:rPr>
        <w:t xml:space="preserve"> članstva pred potekom</w:t>
      </w:r>
      <w:r>
        <w:rPr>
          <w:rFonts w:cs="Arial"/>
        </w:rPr>
        <w:t xml:space="preserve"> mandata </w:t>
      </w:r>
      <w:r>
        <w:rPr>
          <w:rFonts w:eastAsia="Calibri" w:cs="Arial"/>
        </w:rPr>
        <w:t>n</w:t>
      </w:r>
      <w:r w:rsidRPr="00C15754">
        <w:rPr>
          <w:rFonts w:eastAsia="Calibri" w:cs="Arial"/>
        </w:rPr>
        <w:t xml:space="preserve">acionalnemu predstavniku, njegovemu namestniku in pomočniku </w:t>
      </w:r>
      <w:r>
        <w:rPr>
          <w:rFonts w:cs="Arial"/>
        </w:rPr>
        <w:t>organ pristojen za imenovanje</w:t>
      </w:r>
      <w:r w:rsidR="008D35C2">
        <w:rPr>
          <w:rFonts w:cs="Arial"/>
        </w:rPr>
        <w:t>,</w:t>
      </w:r>
      <w:r>
        <w:rPr>
          <w:rFonts w:cs="Arial"/>
        </w:rPr>
        <w:t xml:space="preserve"> izda ugotovitveno odločbo.</w:t>
      </w:r>
      <w:r w:rsidR="00B119C6">
        <w:rPr>
          <w:rFonts w:cs="Arial"/>
        </w:rPr>
        <w:t>«.</w:t>
      </w:r>
    </w:p>
    <w:bookmarkEnd w:id="37"/>
    <w:p w:rsidR="00FD069D" w:rsidRDefault="00FD069D" w:rsidP="00B644CC">
      <w:pPr>
        <w:spacing w:line="288" w:lineRule="auto"/>
        <w:jc w:val="both"/>
        <w:rPr>
          <w:rFonts w:eastAsia="Calibri" w:cs="Arial"/>
          <w:szCs w:val="20"/>
        </w:rPr>
      </w:pPr>
    </w:p>
    <w:p w:rsidR="00AE2155" w:rsidRDefault="00AE2155" w:rsidP="00B644CC">
      <w:pPr>
        <w:spacing w:line="288" w:lineRule="auto"/>
        <w:jc w:val="center"/>
        <w:rPr>
          <w:rFonts w:eastAsia="Calibri" w:cs="Arial"/>
          <w:b/>
          <w:szCs w:val="20"/>
        </w:rPr>
      </w:pPr>
      <w:r>
        <w:rPr>
          <w:rFonts w:eastAsia="Calibri" w:cs="Arial"/>
          <w:b/>
          <w:szCs w:val="20"/>
        </w:rPr>
        <w:t>13</w:t>
      </w:r>
      <w:r w:rsidRPr="00BD2F85">
        <w:rPr>
          <w:rFonts w:eastAsia="Calibri" w:cs="Arial"/>
          <w:b/>
          <w:szCs w:val="20"/>
        </w:rPr>
        <w:t>. člen</w:t>
      </w:r>
    </w:p>
    <w:p w:rsidR="00AE2155" w:rsidRPr="00BD2F85" w:rsidRDefault="00AE2155" w:rsidP="00B644CC">
      <w:pPr>
        <w:spacing w:line="288" w:lineRule="auto"/>
        <w:jc w:val="center"/>
        <w:rPr>
          <w:rFonts w:eastAsia="Calibri" w:cs="Arial"/>
          <w:b/>
          <w:szCs w:val="20"/>
        </w:rPr>
      </w:pPr>
    </w:p>
    <w:p w:rsidR="00AE2155" w:rsidRDefault="00AE2155" w:rsidP="00B644CC">
      <w:pPr>
        <w:spacing w:line="288" w:lineRule="auto"/>
        <w:jc w:val="both"/>
        <w:rPr>
          <w:rFonts w:eastAsia="Calibri" w:cs="Arial"/>
          <w:szCs w:val="20"/>
        </w:rPr>
      </w:pPr>
      <w:bookmarkStart w:id="38" w:name="_Hlk40961069"/>
      <w:r>
        <w:rPr>
          <w:rFonts w:eastAsia="Calibri" w:cs="Arial"/>
          <w:szCs w:val="20"/>
        </w:rPr>
        <w:t>V 70. členu se tretji odstavek spremeni tako, da se glasi:</w:t>
      </w:r>
    </w:p>
    <w:p w:rsidR="00AE2155" w:rsidRDefault="00AE2155" w:rsidP="00B644CC">
      <w:pPr>
        <w:spacing w:line="288" w:lineRule="auto"/>
        <w:jc w:val="both"/>
        <w:rPr>
          <w:rFonts w:eastAsia="Calibri" w:cs="Arial"/>
          <w:szCs w:val="20"/>
        </w:rPr>
      </w:pPr>
    </w:p>
    <w:p w:rsidR="00AE2155" w:rsidRDefault="00AE2155" w:rsidP="00B644CC">
      <w:pPr>
        <w:spacing w:line="288" w:lineRule="auto"/>
        <w:jc w:val="both"/>
        <w:rPr>
          <w:rFonts w:eastAsia="Calibri" w:cs="Arial"/>
          <w:szCs w:val="20"/>
        </w:rPr>
      </w:pPr>
      <w:r>
        <w:rPr>
          <w:rFonts w:eastAsia="Calibri" w:cs="Arial"/>
          <w:szCs w:val="20"/>
        </w:rPr>
        <w:t>»</w:t>
      </w:r>
      <w:r w:rsidRPr="000D4EC5">
        <w:rPr>
          <w:rFonts w:eastAsia="Calibri" w:cs="Arial"/>
          <w:szCs w:val="20"/>
        </w:rPr>
        <w:t>(3</w:t>
      </w:r>
      <w:r>
        <w:rPr>
          <w:rFonts w:eastAsia="Calibri" w:cs="Arial"/>
          <w:szCs w:val="20"/>
        </w:rPr>
        <w:t xml:space="preserve">) </w:t>
      </w:r>
      <w:r w:rsidRPr="000D4EC5">
        <w:rPr>
          <w:rFonts w:eastAsia="Calibri" w:cs="Arial"/>
          <w:szCs w:val="20"/>
        </w:rPr>
        <w:t>Državn</w:t>
      </w:r>
      <w:r>
        <w:rPr>
          <w:rFonts w:eastAsia="Calibri" w:cs="Arial"/>
          <w:szCs w:val="20"/>
        </w:rPr>
        <w:t>emu</w:t>
      </w:r>
      <w:r w:rsidRPr="000D4EC5">
        <w:rPr>
          <w:rFonts w:eastAsia="Calibri" w:cs="Arial"/>
          <w:szCs w:val="20"/>
        </w:rPr>
        <w:t xml:space="preserve"> tožil</w:t>
      </w:r>
      <w:r>
        <w:rPr>
          <w:rFonts w:eastAsia="Calibri" w:cs="Arial"/>
          <w:szCs w:val="20"/>
        </w:rPr>
        <w:t>cu</w:t>
      </w:r>
      <w:r w:rsidRPr="000D4EC5">
        <w:rPr>
          <w:rFonts w:eastAsia="Calibri" w:cs="Arial"/>
          <w:szCs w:val="20"/>
        </w:rPr>
        <w:t xml:space="preserve"> z imenovanjem za nacionalnega predstavnika v Eurojustu</w:t>
      </w:r>
      <w:r>
        <w:rPr>
          <w:rFonts w:eastAsia="Calibri" w:cs="Arial"/>
          <w:szCs w:val="20"/>
        </w:rPr>
        <w:t xml:space="preserve"> mirujejo pravice in dolžnosti iz državnotožilske službe, razen državnotožilska funkcija, varovane so vse njegove pravice do napredovanja v skladu s tem </w:t>
      </w:r>
      <w:r w:rsidRPr="00545590">
        <w:rPr>
          <w:rFonts w:eastAsia="Calibri" w:cs="Arial"/>
          <w:szCs w:val="20"/>
        </w:rPr>
        <w:t>zakonom</w:t>
      </w:r>
      <w:r>
        <w:rPr>
          <w:rFonts w:eastAsia="Calibri" w:cs="Arial"/>
          <w:szCs w:val="20"/>
        </w:rPr>
        <w:t>.</w:t>
      </w:r>
      <w:r w:rsidRPr="00545590">
        <w:rPr>
          <w:rFonts w:eastAsia="Calibri" w:cs="Arial"/>
          <w:szCs w:val="20"/>
        </w:rPr>
        <w:t xml:space="preserve"> </w:t>
      </w:r>
      <w:r w:rsidR="00F508A2" w:rsidRPr="006E178C">
        <w:rPr>
          <w:rFonts w:eastAsia="Calibri" w:cs="Arial"/>
          <w:szCs w:val="20"/>
          <w:shd w:val="clear" w:color="auto" w:fill="FFFFFF"/>
        </w:rPr>
        <w:t xml:space="preserve">Pri oceni državnotožilske službe za čas </w:t>
      </w:r>
      <w:r w:rsidR="00F508A2">
        <w:rPr>
          <w:rFonts w:eastAsia="Calibri" w:cs="Arial"/>
          <w:szCs w:val="20"/>
          <w:shd w:val="clear" w:color="auto" w:fill="FFFFFF"/>
        </w:rPr>
        <w:t>imenovanja</w:t>
      </w:r>
      <w:r w:rsidR="00F508A2" w:rsidRPr="006E178C">
        <w:rPr>
          <w:rFonts w:eastAsia="Calibri" w:cs="Arial"/>
          <w:szCs w:val="20"/>
          <w:shd w:val="clear" w:color="auto" w:fill="FFFFFF"/>
        </w:rPr>
        <w:t xml:space="preserve"> se upošteva</w:t>
      </w:r>
      <w:r w:rsidR="00F508A2">
        <w:rPr>
          <w:rFonts w:eastAsia="Calibri" w:cs="Arial"/>
          <w:szCs w:val="20"/>
          <w:shd w:val="clear" w:color="auto" w:fill="FFFFFF"/>
        </w:rPr>
        <w:t xml:space="preserve"> poročilo o delu</w:t>
      </w:r>
      <w:r w:rsidR="003907C3">
        <w:rPr>
          <w:rFonts w:eastAsia="Calibri" w:cs="Arial"/>
          <w:szCs w:val="20"/>
          <w:shd w:val="clear" w:color="auto" w:fill="FFFFFF"/>
        </w:rPr>
        <w:t xml:space="preserve">, ki ga izdela državni tožilec in </w:t>
      </w:r>
      <w:r w:rsidR="00F508A2" w:rsidRPr="006E178C">
        <w:rPr>
          <w:rFonts w:eastAsia="Calibri" w:cs="Arial"/>
          <w:szCs w:val="20"/>
          <w:shd w:val="clear" w:color="auto" w:fill="FFFFFF"/>
        </w:rPr>
        <w:t xml:space="preserve">mnenje o delu državnega tožilca, ki ga za namene ocene državnotožilske službe izdela predstojnik </w:t>
      </w:r>
      <w:r w:rsidR="00F508A2">
        <w:rPr>
          <w:rFonts w:eastAsia="Calibri" w:cs="Arial"/>
          <w:szCs w:val="20"/>
          <w:shd w:val="clear" w:color="auto" w:fill="FFFFFF"/>
        </w:rPr>
        <w:t>Eurojusta.</w:t>
      </w:r>
      <w:r w:rsidR="00F508A2">
        <w:rPr>
          <w:rFonts w:eastAsia="Calibri" w:cs="Arial"/>
          <w:szCs w:val="20"/>
        </w:rPr>
        <w:t xml:space="preserve"> </w:t>
      </w:r>
      <w:r>
        <w:rPr>
          <w:rFonts w:eastAsia="Calibri" w:cs="Arial"/>
          <w:szCs w:val="20"/>
        </w:rPr>
        <w:t xml:space="preserve">Državni tožilec obdrži pravico uporabljati doseženi naziv in položaj. </w:t>
      </w:r>
      <w:r w:rsidRPr="000D4EC5">
        <w:rPr>
          <w:rFonts w:eastAsia="Calibri" w:cs="Arial"/>
          <w:szCs w:val="20"/>
        </w:rPr>
        <w:t xml:space="preserve">Nacionalni predstavnik opravlja funkcijo državnega tožilca s pooblastili, ki jih ima kot član Eurojusta iz Republike Slovenije, </w:t>
      </w:r>
      <w:r w:rsidR="00023962">
        <w:rPr>
          <w:rFonts w:eastAsia="Calibri" w:cs="Arial"/>
          <w:szCs w:val="20"/>
        </w:rPr>
        <w:t>v skladu s tem zakonom</w:t>
      </w:r>
      <w:r w:rsidR="00023962" w:rsidRPr="000D4EC5">
        <w:rPr>
          <w:rFonts w:eastAsia="Calibri" w:cs="Arial"/>
          <w:szCs w:val="20"/>
        </w:rPr>
        <w:t xml:space="preserve"> </w:t>
      </w:r>
      <w:r w:rsidR="00023962">
        <w:rPr>
          <w:rFonts w:eastAsia="Calibri" w:cs="Arial"/>
          <w:szCs w:val="20"/>
        </w:rPr>
        <w:t>in pravnimi akti Evropske unije, ki</w:t>
      </w:r>
      <w:r w:rsidRPr="000D4EC5">
        <w:rPr>
          <w:rFonts w:eastAsia="Calibri" w:cs="Arial"/>
          <w:szCs w:val="20"/>
        </w:rPr>
        <w:t xml:space="preserve"> urejajo delovanje Eurojusta.</w:t>
      </w:r>
      <w:r>
        <w:rPr>
          <w:rFonts w:eastAsia="Calibri" w:cs="Arial"/>
          <w:szCs w:val="20"/>
        </w:rPr>
        <w:t>«.</w:t>
      </w:r>
    </w:p>
    <w:p w:rsidR="006B0380" w:rsidRDefault="006B0380" w:rsidP="00B644CC">
      <w:pPr>
        <w:spacing w:line="288" w:lineRule="auto"/>
        <w:jc w:val="both"/>
        <w:rPr>
          <w:rFonts w:eastAsia="Calibri" w:cs="Arial"/>
          <w:szCs w:val="20"/>
        </w:rPr>
      </w:pPr>
    </w:p>
    <w:p w:rsidR="006B0380" w:rsidRDefault="006B0380" w:rsidP="00B644CC">
      <w:pPr>
        <w:spacing w:line="288" w:lineRule="auto"/>
        <w:jc w:val="both"/>
        <w:rPr>
          <w:rFonts w:eastAsia="Calibri" w:cs="Arial"/>
          <w:szCs w:val="20"/>
        </w:rPr>
      </w:pPr>
      <w:r>
        <w:rPr>
          <w:rFonts w:eastAsia="Calibri" w:cs="Arial"/>
          <w:szCs w:val="20"/>
        </w:rPr>
        <w:t>Peti odstavek se spremeni tako, da se glasi:</w:t>
      </w:r>
    </w:p>
    <w:p w:rsidR="00B119C6" w:rsidRDefault="00B119C6" w:rsidP="00B644CC">
      <w:pPr>
        <w:spacing w:line="288" w:lineRule="auto"/>
        <w:jc w:val="both"/>
        <w:rPr>
          <w:rFonts w:eastAsia="Calibri" w:cs="Arial"/>
          <w:szCs w:val="20"/>
        </w:rPr>
      </w:pPr>
    </w:p>
    <w:p w:rsidR="007F5441" w:rsidRDefault="00877409" w:rsidP="00B644CC">
      <w:pPr>
        <w:spacing w:line="288" w:lineRule="auto"/>
        <w:jc w:val="both"/>
        <w:rPr>
          <w:rFonts w:eastAsia="Calibri" w:cs="Arial"/>
          <w:szCs w:val="20"/>
        </w:rPr>
      </w:pPr>
      <w:r>
        <w:rPr>
          <w:rFonts w:eastAsia="Calibri" w:cs="Arial"/>
          <w:szCs w:val="20"/>
        </w:rPr>
        <w:t xml:space="preserve">»(5) </w:t>
      </w:r>
      <w:r w:rsidR="007F5441" w:rsidRPr="007F5441">
        <w:rPr>
          <w:rFonts w:eastAsia="Calibri" w:cs="Arial"/>
          <w:szCs w:val="20"/>
        </w:rPr>
        <w:t>Plačo nacionalnega predstavnika v Eurojustu, namestnika in pomočnika nacionalnega predstavnika uredi vlada z uredbo na način, kot jo ureja zakon, ki ureja plače v javnem sektorju za funkcionarje, ki so napoteni na delo v tujino ter jim v skladu z zakonom v času napotitve funkcija miruje.</w:t>
      </w:r>
      <w:r w:rsidR="006B0380">
        <w:rPr>
          <w:rFonts w:eastAsia="Calibri" w:cs="Arial"/>
          <w:szCs w:val="20"/>
        </w:rPr>
        <w:t>«.</w:t>
      </w:r>
    </w:p>
    <w:p w:rsidR="006B0380" w:rsidRDefault="006B0380" w:rsidP="00B644CC">
      <w:pPr>
        <w:spacing w:line="288" w:lineRule="auto"/>
        <w:jc w:val="both"/>
        <w:rPr>
          <w:rFonts w:eastAsia="Calibri" w:cs="Arial"/>
          <w:szCs w:val="20"/>
        </w:rPr>
      </w:pPr>
    </w:p>
    <w:p w:rsidR="006B0380" w:rsidRDefault="006B0380" w:rsidP="00B644CC">
      <w:pPr>
        <w:spacing w:line="288" w:lineRule="auto"/>
        <w:jc w:val="both"/>
        <w:rPr>
          <w:rFonts w:eastAsia="Calibri" w:cs="Arial"/>
          <w:szCs w:val="20"/>
        </w:rPr>
      </w:pPr>
      <w:r>
        <w:rPr>
          <w:rFonts w:eastAsia="Calibri" w:cs="Arial"/>
          <w:szCs w:val="20"/>
        </w:rPr>
        <w:t>Za novim petim odstavkom se dodata nova šesti in sedmi odstavek, ki se glasita:</w:t>
      </w:r>
    </w:p>
    <w:p w:rsidR="00B119C6" w:rsidRDefault="00B119C6" w:rsidP="00B644CC">
      <w:pPr>
        <w:spacing w:line="288" w:lineRule="auto"/>
        <w:jc w:val="both"/>
        <w:rPr>
          <w:rFonts w:eastAsia="Calibri" w:cs="Arial"/>
          <w:szCs w:val="20"/>
        </w:rPr>
      </w:pPr>
    </w:p>
    <w:p w:rsidR="004E106F" w:rsidRDefault="006B0380" w:rsidP="004E106F">
      <w:pPr>
        <w:spacing w:line="288" w:lineRule="auto"/>
        <w:jc w:val="both"/>
      </w:pPr>
      <w:r>
        <w:rPr>
          <w:rFonts w:eastAsia="Calibri" w:cs="Arial"/>
          <w:szCs w:val="20"/>
        </w:rPr>
        <w:t>»</w:t>
      </w:r>
      <w:r w:rsidR="004E106F" w:rsidRPr="007F5441">
        <w:rPr>
          <w:rFonts w:eastAsia="Calibri" w:cs="Arial"/>
          <w:szCs w:val="20"/>
        </w:rPr>
        <w:t>(</w:t>
      </w:r>
      <w:r w:rsidR="004E106F">
        <w:rPr>
          <w:rFonts w:eastAsia="Calibri" w:cs="Arial"/>
          <w:szCs w:val="20"/>
        </w:rPr>
        <w:t>6</w:t>
      </w:r>
      <w:r w:rsidR="004E106F" w:rsidRPr="007F5441">
        <w:rPr>
          <w:rFonts w:eastAsia="Calibri" w:cs="Arial"/>
          <w:szCs w:val="20"/>
        </w:rPr>
        <w:t xml:space="preserve">) </w:t>
      </w:r>
      <w:r w:rsidR="00806A01">
        <w:rPr>
          <w:rFonts w:eastAsia="Calibri" w:cs="Arial"/>
          <w:szCs w:val="20"/>
        </w:rPr>
        <w:t>P</w:t>
      </w:r>
      <w:r w:rsidR="004E106F" w:rsidRPr="007F5441">
        <w:rPr>
          <w:rFonts w:eastAsia="Calibri" w:cs="Arial"/>
          <w:szCs w:val="20"/>
        </w:rPr>
        <w:t xml:space="preserve">omočniku nacionalnega predstavnika pripada plača v skladu s prejšnjim </w:t>
      </w:r>
      <w:r w:rsidR="004E106F">
        <w:rPr>
          <w:rFonts w:eastAsia="Calibri" w:cs="Arial"/>
          <w:szCs w:val="20"/>
        </w:rPr>
        <w:t>odstavkom</w:t>
      </w:r>
      <w:r w:rsidR="004E106F" w:rsidRPr="007F5441">
        <w:rPr>
          <w:rFonts w:eastAsia="Calibri" w:cs="Arial"/>
          <w:szCs w:val="20"/>
        </w:rPr>
        <w:t xml:space="preserve">, kadar opravlja naloge </w:t>
      </w:r>
      <w:r w:rsidR="004E106F">
        <w:rPr>
          <w:rFonts w:eastAsia="Calibri" w:cs="Arial"/>
          <w:szCs w:val="20"/>
        </w:rPr>
        <w:t>na sedežu Eurojust</w:t>
      </w:r>
      <w:r>
        <w:rPr>
          <w:rFonts w:eastAsia="Calibri" w:cs="Arial"/>
          <w:szCs w:val="20"/>
        </w:rPr>
        <w:t>a</w:t>
      </w:r>
      <w:r w:rsidR="004E106F" w:rsidRPr="007F5441">
        <w:rPr>
          <w:rFonts w:eastAsia="Calibri" w:cs="Arial"/>
          <w:szCs w:val="20"/>
        </w:rPr>
        <w:t>.</w:t>
      </w:r>
      <w:r w:rsidR="004E106F">
        <w:rPr>
          <w:rFonts w:eastAsia="Calibri" w:cs="Arial"/>
          <w:szCs w:val="20"/>
        </w:rPr>
        <w:t xml:space="preserve"> </w:t>
      </w:r>
    </w:p>
    <w:p w:rsidR="00955211" w:rsidRDefault="00955211" w:rsidP="00B644CC">
      <w:pPr>
        <w:spacing w:line="288" w:lineRule="auto"/>
        <w:jc w:val="both"/>
        <w:rPr>
          <w:rFonts w:eastAsia="Calibri" w:cs="Arial"/>
          <w:szCs w:val="20"/>
        </w:rPr>
      </w:pPr>
    </w:p>
    <w:p w:rsidR="007F5441" w:rsidRDefault="004E106F" w:rsidP="00B644CC">
      <w:pPr>
        <w:spacing w:line="288" w:lineRule="auto"/>
        <w:jc w:val="both"/>
        <w:rPr>
          <w:rFonts w:eastAsia="Calibri" w:cs="Arial"/>
          <w:szCs w:val="20"/>
        </w:rPr>
      </w:pPr>
      <w:r>
        <w:rPr>
          <w:rFonts w:eastAsia="Calibri" w:cs="Arial"/>
          <w:szCs w:val="20"/>
        </w:rPr>
        <w:t xml:space="preserve">(7) </w:t>
      </w:r>
      <w:r w:rsidR="007F5441" w:rsidRPr="007F5441">
        <w:rPr>
          <w:rFonts w:eastAsia="Calibri" w:cs="Arial"/>
          <w:szCs w:val="20"/>
        </w:rPr>
        <w:t xml:space="preserve">Ne glede na </w:t>
      </w:r>
      <w:r w:rsidR="0015453C">
        <w:rPr>
          <w:rFonts w:eastAsia="Calibri" w:cs="Arial"/>
          <w:szCs w:val="20"/>
        </w:rPr>
        <w:t xml:space="preserve">peti in šesti </w:t>
      </w:r>
      <w:r w:rsidR="007F5441">
        <w:rPr>
          <w:rFonts w:eastAsia="Calibri" w:cs="Arial"/>
          <w:szCs w:val="20"/>
        </w:rPr>
        <w:t>odstavek</w:t>
      </w:r>
      <w:r w:rsidR="007F5441" w:rsidRPr="007F5441">
        <w:rPr>
          <w:rFonts w:eastAsia="Calibri" w:cs="Arial"/>
          <w:szCs w:val="20"/>
        </w:rPr>
        <w:t xml:space="preserve"> </w:t>
      </w:r>
      <w:r w:rsidR="0015453C">
        <w:rPr>
          <w:rFonts w:eastAsia="Calibri" w:cs="Arial"/>
          <w:szCs w:val="20"/>
        </w:rPr>
        <w:t xml:space="preserve">tega člena </w:t>
      </w:r>
      <w:r w:rsidR="007F5441" w:rsidRPr="007F5441">
        <w:rPr>
          <w:rFonts w:eastAsia="Calibri" w:cs="Arial"/>
          <w:szCs w:val="20"/>
        </w:rPr>
        <w:t>nacionalnemu predstavniku v Eurojustu, namestniku in pomočniku nacionalnega predstavnika pripada najmanj takšna plača, kakršno bi prejemal, če bi opravljal državnotožilsko službo</w:t>
      </w:r>
      <w:r w:rsidR="007F5441">
        <w:rPr>
          <w:rFonts w:eastAsia="Calibri" w:cs="Arial"/>
          <w:szCs w:val="20"/>
        </w:rPr>
        <w:t xml:space="preserve"> v Republiki Sloveniji.</w:t>
      </w:r>
      <w:r w:rsidR="00955211">
        <w:rPr>
          <w:rFonts w:eastAsia="Calibri" w:cs="Arial"/>
          <w:szCs w:val="20"/>
        </w:rPr>
        <w:t>«.</w:t>
      </w:r>
    </w:p>
    <w:bookmarkEnd w:id="38"/>
    <w:p w:rsidR="0011486F" w:rsidRDefault="0011486F" w:rsidP="00B644CC">
      <w:pPr>
        <w:spacing w:line="288" w:lineRule="auto"/>
        <w:jc w:val="both"/>
        <w:rPr>
          <w:rFonts w:eastAsia="Calibri" w:cs="Arial"/>
          <w:szCs w:val="20"/>
        </w:rPr>
      </w:pPr>
    </w:p>
    <w:p w:rsidR="00AE2155" w:rsidRPr="00785F2E" w:rsidRDefault="00AE2155" w:rsidP="00B644CC">
      <w:pPr>
        <w:spacing w:line="288" w:lineRule="auto"/>
        <w:jc w:val="center"/>
        <w:rPr>
          <w:rFonts w:eastAsia="Calibri" w:cs="Arial"/>
          <w:b/>
          <w:szCs w:val="20"/>
        </w:rPr>
      </w:pPr>
      <w:r>
        <w:rPr>
          <w:rFonts w:eastAsia="Calibri" w:cs="Arial"/>
          <w:b/>
          <w:szCs w:val="20"/>
        </w:rPr>
        <w:t>14</w:t>
      </w:r>
      <w:r w:rsidRPr="00785F2E">
        <w:rPr>
          <w:rFonts w:eastAsia="Calibri" w:cs="Arial"/>
          <w:b/>
          <w:szCs w:val="20"/>
        </w:rPr>
        <w:t>. člen</w:t>
      </w:r>
    </w:p>
    <w:p w:rsidR="00AE2155" w:rsidRPr="00785F2E" w:rsidRDefault="00AE2155" w:rsidP="00B644CC">
      <w:pPr>
        <w:spacing w:line="288" w:lineRule="auto"/>
        <w:jc w:val="center"/>
        <w:rPr>
          <w:rFonts w:eastAsia="Calibri" w:cs="Arial"/>
          <w:szCs w:val="20"/>
          <w:shd w:val="clear" w:color="auto" w:fill="FFFFFF"/>
        </w:rPr>
      </w:pPr>
    </w:p>
    <w:p w:rsidR="00AE2155" w:rsidRDefault="00AE2155" w:rsidP="00B644CC">
      <w:pPr>
        <w:spacing w:line="288" w:lineRule="auto"/>
        <w:jc w:val="both"/>
        <w:rPr>
          <w:rFonts w:eastAsia="Calibri" w:cs="Arial"/>
          <w:szCs w:val="20"/>
          <w:shd w:val="clear" w:color="auto" w:fill="FFFFFF"/>
        </w:rPr>
      </w:pPr>
      <w:r w:rsidRPr="00785F2E">
        <w:rPr>
          <w:rFonts w:eastAsia="Calibri" w:cs="Arial"/>
          <w:szCs w:val="20"/>
          <w:shd w:val="clear" w:color="auto" w:fill="FFFFFF"/>
        </w:rPr>
        <w:t>V 71. b členu se v drugem odstavku besedilo »po izteku imenovanja« črta</w:t>
      </w:r>
      <w:r w:rsidR="00042B7F">
        <w:rPr>
          <w:rFonts w:eastAsia="Calibri" w:cs="Arial"/>
          <w:szCs w:val="20"/>
          <w:shd w:val="clear" w:color="auto" w:fill="FFFFFF"/>
        </w:rPr>
        <w:t>, za piko pa doda nov drugi stavek, ki se glasi: »</w:t>
      </w:r>
      <w:r w:rsidR="00042B7F" w:rsidRPr="006E178C">
        <w:rPr>
          <w:rFonts w:eastAsia="Calibri" w:cs="Arial"/>
          <w:szCs w:val="20"/>
          <w:shd w:val="clear" w:color="auto" w:fill="FFFFFF"/>
        </w:rPr>
        <w:t xml:space="preserve">Pri oceni državnotožilske službe za čas </w:t>
      </w:r>
      <w:r w:rsidR="00042B7F">
        <w:rPr>
          <w:rFonts w:eastAsia="Calibri" w:cs="Arial"/>
          <w:szCs w:val="20"/>
          <w:shd w:val="clear" w:color="auto" w:fill="FFFFFF"/>
        </w:rPr>
        <w:t>imenovanja</w:t>
      </w:r>
      <w:r w:rsidR="00042B7F" w:rsidRPr="006E178C">
        <w:rPr>
          <w:rFonts w:eastAsia="Calibri" w:cs="Arial"/>
          <w:szCs w:val="20"/>
          <w:shd w:val="clear" w:color="auto" w:fill="FFFFFF"/>
        </w:rPr>
        <w:t xml:space="preserve"> se upošteva</w:t>
      </w:r>
      <w:r w:rsidR="00042B7F">
        <w:rPr>
          <w:rFonts w:eastAsia="Calibri" w:cs="Arial"/>
          <w:szCs w:val="20"/>
          <w:shd w:val="clear" w:color="auto" w:fill="FFFFFF"/>
        </w:rPr>
        <w:t xml:space="preserve"> poročilo o delu, ki ga izdela </w:t>
      </w:r>
      <w:r w:rsidR="00EF76BE">
        <w:rPr>
          <w:rFonts w:eastAsia="Calibri" w:cs="Arial"/>
          <w:szCs w:val="20"/>
          <w:shd w:val="clear" w:color="auto" w:fill="FFFFFF"/>
        </w:rPr>
        <w:t>evropski tožilec</w:t>
      </w:r>
      <w:r w:rsidR="00042B7F">
        <w:rPr>
          <w:rFonts w:eastAsia="Calibri" w:cs="Arial"/>
          <w:szCs w:val="20"/>
          <w:shd w:val="clear" w:color="auto" w:fill="FFFFFF"/>
        </w:rPr>
        <w:t xml:space="preserve"> in </w:t>
      </w:r>
      <w:r w:rsidR="00042B7F" w:rsidRPr="006E178C">
        <w:rPr>
          <w:rFonts w:eastAsia="Calibri" w:cs="Arial"/>
          <w:szCs w:val="20"/>
          <w:shd w:val="clear" w:color="auto" w:fill="FFFFFF"/>
        </w:rPr>
        <w:t xml:space="preserve">mnenje o delu </w:t>
      </w:r>
      <w:r w:rsidR="00EF76BE">
        <w:rPr>
          <w:rFonts w:eastAsia="Calibri" w:cs="Arial"/>
          <w:szCs w:val="20"/>
          <w:shd w:val="clear" w:color="auto" w:fill="FFFFFF"/>
        </w:rPr>
        <w:t>evropskega tožilca</w:t>
      </w:r>
      <w:r w:rsidR="00042B7F" w:rsidRPr="006E178C">
        <w:rPr>
          <w:rFonts w:eastAsia="Calibri" w:cs="Arial"/>
          <w:szCs w:val="20"/>
          <w:shd w:val="clear" w:color="auto" w:fill="FFFFFF"/>
        </w:rPr>
        <w:t xml:space="preserve">, ki ga za namene ocene državnotožilske službe izdela predstojnik </w:t>
      </w:r>
      <w:r w:rsidR="00042B7F">
        <w:rPr>
          <w:rFonts w:eastAsia="Calibri" w:cs="Arial"/>
          <w:szCs w:val="20"/>
          <w:shd w:val="clear" w:color="auto" w:fill="FFFFFF"/>
        </w:rPr>
        <w:t>Evropskega javnega tožilstva.</w:t>
      </w:r>
      <w:r w:rsidR="006B0380">
        <w:rPr>
          <w:rFonts w:eastAsia="Calibri" w:cs="Arial"/>
          <w:szCs w:val="20"/>
          <w:shd w:val="clear" w:color="auto" w:fill="FFFFFF"/>
        </w:rPr>
        <w:t>«.</w:t>
      </w:r>
    </w:p>
    <w:p w:rsidR="00180313" w:rsidRDefault="00180313" w:rsidP="00B644CC">
      <w:pPr>
        <w:spacing w:line="288" w:lineRule="auto"/>
        <w:jc w:val="both"/>
        <w:rPr>
          <w:rFonts w:eastAsia="Calibri" w:cs="Arial"/>
          <w:szCs w:val="20"/>
          <w:shd w:val="clear" w:color="auto" w:fill="FFFFFF"/>
        </w:rPr>
      </w:pPr>
    </w:p>
    <w:p w:rsidR="00EF76BE" w:rsidRDefault="006F6D2D" w:rsidP="00180313">
      <w:pPr>
        <w:spacing w:line="288" w:lineRule="auto"/>
        <w:jc w:val="both"/>
        <w:rPr>
          <w:rFonts w:eastAsia="Calibri" w:cs="Arial"/>
          <w:szCs w:val="20"/>
          <w:shd w:val="clear" w:color="auto" w:fill="FFFFFF"/>
        </w:rPr>
      </w:pPr>
      <w:r>
        <w:rPr>
          <w:rFonts w:eastAsia="Calibri" w:cs="Arial"/>
          <w:szCs w:val="20"/>
          <w:shd w:val="clear" w:color="auto" w:fill="FFFFFF"/>
        </w:rPr>
        <w:t xml:space="preserve">Za tretjim odstavkom </w:t>
      </w:r>
      <w:r w:rsidR="00EF76BE">
        <w:rPr>
          <w:rFonts w:eastAsia="Calibri" w:cs="Arial"/>
          <w:szCs w:val="20"/>
          <w:shd w:val="clear" w:color="auto" w:fill="FFFFFF"/>
        </w:rPr>
        <w:t xml:space="preserve">se </w:t>
      </w:r>
      <w:r>
        <w:rPr>
          <w:rFonts w:eastAsia="Calibri" w:cs="Arial"/>
          <w:szCs w:val="20"/>
          <w:shd w:val="clear" w:color="auto" w:fill="FFFFFF"/>
        </w:rPr>
        <w:t xml:space="preserve">doda </w:t>
      </w:r>
      <w:r w:rsidR="00EF76BE">
        <w:rPr>
          <w:rFonts w:eastAsia="Calibri" w:cs="Arial"/>
          <w:szCs w:val="20"/>
          <w:shd w:val="clear" w:color="auto" w:fill="FFFFFF"/>
        </w:rPr>
        <w:t>nov</w:t>
      </w:r>
      <w:r>
        <w:rPr>
          <w:rFonts w:eastAsia="Calibri" w:cs="Arial"/>
          <w:szCs w:val="20"/>
          <w:shd w:val="clear" w:color="auto" w:fill="FFFFFF"/>
        </w:rPr>
        <w:t>i</w:t>
      </w:r>
      <w:r w:rsidR="00EF76BE">
        <w:rPr>
          <w:rFonts w:eastAsia="Calibri" w:cs="Arial"/>
          <w:szCs w:val="20"/>
          <w:shd w:val="clear" w:color="auto" w:fill="FFFFFF"/>
        </w:rPr>
        <w:t xml:space="preserve"> četrti odstavek, ki se glasi</w:t>
      </w:r>
      <w:r w:rsidR="00180313">
        <w:rPr>
          <w:rFonts w:eastAsia="Calibri" w:cs="Arial"/>
          <w:szCs w:val="20"/>
          <w:shd w:val="clear" w:color="auto" w:fill="FFFFFF"/>
        </w:rPr>
        <w:t>:</w:t>
      </w:r>
    </w:p>
    <w:p w:rsidR="00B119C6" w:rsidRDefault="00B119C6" w:rsidP="00180313">
      <w:pPr>
        <w:spacing w:line="288" w:lineRule="auto"/>
        <w:jc w:val="both"/>
        <w:rPr>
          <w:rFonts w:eastAsia="Calibri" w:cs="Arial"/>
          <w:szCs w:val="20"/>
          <w:shd w:val="clear" w:color="auto" w:fill="FFFFFF"/>
        </w:rPr>
      </w:pPr>
    </w:p>
    <w:p w:rsidR="00180313" w:rsidRDefault="00EF76BE" w:rsidP="00180313">
      <w:pPr>
        <w:spacing w:line="288" w:lineRule="auto"/>
        <w:jc w:val="both"/>
        <w:rPr>
          <w:rFonts w:eastAsia="Calibri" w:cs="Arial"/>
          <w:szCs w:val="20"/>
          <w:shd w:val="clear" w:color="auto" w:fill="FFFFFF"/>
        </w:rPr>
      </w:pPr>
      <w:r w:rsidRPr="00A470E5">
        <w:rPr>
          <w:rFonts w:eastAsia="Calibri" w:cs="Arial"/>
          <w:szCs w:val="20"/>
          <w:shd w:val="clear" w:color="auto" w:fill="FFFFFF"/>
        </w:rPr>
        <w:lastRenderedPageBreak/>
        <w:t>»(4)</w:t>
      </w:r>
      <w:r w:rsidR="00180313" w:rsidRPr="00A470E5">
        <w:rPr>
          <w:rFonts w:eastAsia="Calibri" w:cs="Arial"/>
          <w:szCs w:val="20"/>
          <w:shd w:val="clear" w:color="auto" w:fill="FFFFFF"/>
        </w:rPr>
        <w:t xml:space="preserve"> Pri oceni državnotožilske službe </w:t>
      </w:r>
      <w:r w:rsidRPr="00A470E5">
        <w:rPr>
          <w:rFonts w:eastAsia="Calibri" w:cs="Arial"/>
          <w:szCs w:val="20"/>
          <w:shd w:val="clear" w:color="auto" w:fill="FFFFFF"/>
        </w:rPr>
        <w:t xml:space="preserve">za evropskega delegiranega tožilca v delu, v katerem opravlja naloge iz pristojnosti EJT </w:t>
      </w:r>
      <w:r w:rsidR="00180313" w:rsidRPr="00A470E5">
        <w:rPr>
          <w:rFonts w:eastAsia="Calibri" w:cs="Arial"/>
          <w:szCs w:val="20"/>
          <w:shd w:val="clear" w:color="auto" w:fill="FFFFFF"/>
        </w:rPr>
        <w:t xml:space="preserve">se upošteva poročilo o delu, ki ga izdela </w:t>
      </w:r>
      <w:r w:rsidRPr="00A470E5">
        <w:rPr>
          <w:rFonts w:eastAsia="Calibri" w:cs="Arial"/>
          <w:szCs w:val="20"/>
          <w:shd w:val="clear" w:color="auto" w:fill="FFFFFF"/>
        </w:rPr>
        <w:t>evropski delegirani tožilec</w:t>
      </w:r>
      <w:r w:rsidR="00180313" w:rsidRPr="00A470E5">
        <w:rPr>
          <w:rFonts w:eastAsia="Calibri" w:cs="Arial"/>
          <w:szCs w:val="20"/>
          <w:shd w:val="clear" w:color="auto" w:fill="FFFFFF"/>
        </w:rPr>
        <w:t xml:space="preserve"> in mnenje o delu </w:t>
      </w:r>
      <w:r w:rsidRPr="00A470E5">
        <w:rPr>
          <w:rFonts w:eastAsia="Calibri" w:cs="Arial"/>
          <w:szCs w:val="20"/>
          <w:shd w:val="clear" w:color="auto" w:fill="FFFFFF"/>
        </w:rPr>
        <w:t>evropskega delegiranega tožilca</w:t>
      </w:r>
      <w:r w:rsidR="00180313" w:rsidRPr="00A470E5">
        <w:rPr>
          <w:rFonts w:eastAsia="Calibri" w:cs="Arial"/>
          <w:szCs w:val="20"/>
          <w:shd w:val="clear" w:color="auto" w:fill="FFFFFF"/>
        </w:rPr>
        <w:t>, ki ga za namene ocene državnotožilske službe izdela predstojnik Evropskega javnega tožilstva.</w:t>
      </w:r>
      <w:r w:rsidR="00B343AC">
        <w:rPr>
          <w:rFonts w:eastAsia="Calibri" w:cs="Arial"/>
          <w:szCs w:val="20"/>
          <w:shd w:val="clear" w:color="auto" w:fill="FFFFFF"/>
        </w:rPr>
        <w:t>«.</w:t>
      </w:r>
    </w:p>
    <w:p w:rsidR="00180313" w:rsidRDefault="00180313" w:rsidP="00B644CC">
      <w:pPr>
        <w:spacing w:line="288" w:lineRule="auto"/>
        <w:jc w:val="both"/>
        <w:rPr>
          <w:rFonts w:eastAsia="Calibri" w:cs="Arial"/>
          <w:szCs w:val="20"/>
        </w:rPr>
      </w:pPr>
    </w:p>
    <w:p w:rsidR="00EF76BE" w:rsidRDefault="00EF76BE" w:rsidP="00B644CC">
      <w:pPr>
        <w:spacing w:line="288" w:lineRule="auto"/>
        <w:jc w:val="both"/>
        <w:rPr>
          <w:rFonts w:eastAsia="Calibri" w:cs="Arial"/>
          <w:szCs w:val="20"/>
        </w:rPr>
      </w:pPr>
      <w:r>
        <w:rPr>
          <w:rFonts w:eastAsia="Calibri" w:cs="Arial"/>
          <w:szCs w:val="20"/>
        </w:rPr>
        <w:t xml:space="preserve">Dosedanji četrti </w:t>
      </w:r>
      <w:r w:rsidR="006F6D2D">
        <w:rPr>
          <w:rFonts w:eastAsia="Calibri" w:cs="Arial"/>
          <w:szCs w:val="20"/>
        </w:rPr>
        <w:t>do</w:t>
      </w:r>
      <w:r>
        <w:rPr>
          <w:rFonts w:eastAsia="Calibri" w:cs="Arial"/>
          <w:szCs w:val="20"/>
        </w:rPr>
        <w:t xml:space="preserve"> osmi odstavek postanejo peti</w:t>
      </w:r>
      <w:r w:rsidR="006F6D2D">
        <w:rPr>
          <w:rFonts w:eastAsia="Calibri" w:cs="Arial"/>
          <w:szCs w:val="20"/>
        </w:rPr>
        <w:t xml:space="preserve"> do </w:t>
      </w:r>
      <w:r>
        <w:rPr>
          <w:rFonts w:eastAsia="Calibri" w:cs="Arial"/>
          <w:szCs w:val="20"/>
        </w:rPr>
        <w:t>deveti odstavek</w:t>
      </w:r>
      <w:r w:rsidR="00681DA3">
        <w:rPr>
          <w:rFonts w:eastAsia="Calibri" w:cs="Arial"/>
          <w:szCs w:val="20"/>
        </w:rPr>
        <w:t>.</w:t>
      </w:r>
    </w:p>
    <w:p w:rsidR="00AE2155" w:rsidRDefault="00AE2155" w:rsidP="00B644CC">
      <w:pPr>
        <w:spacing w:line="288" w:lineRule="auto"/>
        <w:jc w:val="center"/>
        <w:rPr>
          <w:rFonts w:eastAsia="Calibri" w:cs="Arial"/>
          <w:b/>
          <w:color w:val="FF0000"/>
          <w:szCs w:val="20"/>
          <w:highlight w:val="yellow"/>
        </w:rPr>
      </w:pPr>
    </w:p>
    <w:p w:rsidR="00AE2155" w:rsidRPr="00EA195F" w:rsidRDefault="00AE2155" w:rsidP="00B644CC">
      <w:pPr>
        <w:spacing w:line="288" w:lineRule="auto"/>
        <w:jc w:val="center"/>
        <w:rPr>
          <w:rFonts w:eastAsia="Calibri" w:cs="Arial"/>
          <w:b/>
          <w:szCs w:val="20"/>
        </w:rPr>
      </w:pPr>
      <w:r w:rsidRPr="00EA195F">
        <w:rPr>
          <w:rFonts w:eastAsia="Calibri" w:cs="Arial"/>
          <w:b/>
          <w:szCs w:val="20"/>
        </w:rPr>
        <w:t>1</w:t>
      </w:r>
      <w:r>
        <w:rPr>
          <w:rFonts w:eastAsia="Calibri" w:cs="Arial"/>
          <w:b/>
          <w:szCs w:val="20"/>
        </w:rPr>
        <w:t>5</w:t>
      </w:r>
      <w:r w:rsidRPr="00EA195F">
        <w:rPr>
          <w:rFonts w:eastAsia="Calibri" w:cs="Arial"/>
          <w:b/>
          <w:szCs w:val="20"/>
        </w:rPr>
        <w:t>. člen</w:t>
      </w:r>
    </w:p>
    <w:p w:rsidR="00AE2155" w:rsidRPr="00EA195F" w:rsidRDefault="00AE2155" w:rsidP="00B644CC">
      <w:pPr>
        <w:spacing w:line="288" w:lineRule="auto"/>
        <w:jc w:val="both"/>
        <w:rPr>
          <w:rFonts w:eastAsia="Calibri" w:cs="Arial"/>
          <w:b/>
          <w:szCs w:val="20"/>
        </w:rPr>
      </w:pPr>
    </w:p>
    <w:p w:rsidR="00AE2155" w:rsidRPr="00EA195F" w:rsidRDefault="00AE2155" w:rsidP="00B644CC">
      <w:pPr>
        <w:spacing w:line="288" w:lineRule="auto"/>
        <w:jc w:val="both"/>
        <w:rPr>
          <w:rFonts w:eastAsia="Calibri" w:cs="Arial"/>
          <w:bCs/>
          <w:szCs w:val="20"/>
        </w:rPr>
      </w:pPr>
      <w:r w:rsidRPr="00EA195F">
        <w:rPr>
          <w:rFonts w:eastAsia="Calibri" w:cs="Arial"/>
          <w:bCs/>
          <w:szCs w:val="20"/>
        </w:rPr>
        <w:t>V 77. členu se v petem odstavku beseda »pravobranilstvo« nadomesti z besedo »odvetništvo«.</w:t>
      </w:r>
    </w:p>
    <w:p w:rsidR="00AE2155" w:rsidRPr="00EA195F" w:rsidRDefault="00AE2155" w:rsidP="00B644CC">
      <w:pPr>
        <w:spacing w:line="288" w:lineRule="auto"/>
        <w:jc w:val="both"/>
        <w:rPr>
          <w:rFonts w:eastAsia="Calibri" w:cs="Arial"/>
          <w:szCs w:val="20"/>
        </w:rPr>
      </w:pPr>
    </w:p>
    <w:p w:rsidR="00AE2155" w:rsidRPr="00EA195F" w:rsidRDefault="00AE2155" w:rsidP="00B644CC">
      <w:pPr>
        <w:spacing w:line="288" w:lineRule="auto"/>
        <w:jc w:val="center"/>
        <w:rPr>
          <w:rFonts w:eastAsia="Calibri" w:cs="Arial"/>
          <w:szCs w:val="20"/>
        </w:rPr>
      </w:pPr>
      <w:r w:rsidRPr="00EA195F">
        <w:rPr>
          <w:rFonts w:eastAsia="Calibri" w:cs="Arial"/>
          <w:b/>
          <w:szCs w:val="20"/>
        </w:rPr>
        <w:t>1</w:t>
      </w:r>
      <w:r>
        <w:rPr>
          <w:rFonts w:eastAsia="Calibri" w:cs="Arial"/>
          <w:b/>
          <w:szCs w:val="20"/>
        </w:rPr>
        <w:t>6</w:t>
      </w:r>
      <w:r w:rsidRPr="00EA195F">
        <w:rPr>
          <w:rFonts w:eastAsia="Calibri" w:cs="Arial"/>
          <w:b/>
          <w:szCs w:val="20"/>
        </w:rPr>
        <w:t>. člen</w:t>
      </w:r>
    </w:p>
    <w:p w:rsidR="00AE2155" w:rsidRPr="00EA195F" w:rsidRDefault="00AE2155" w:rsidP="00B644CC">
      <w:pPr>
        <w:spacing w:line="288" w:lineRule="auto"/>
        <w:jc w:val="center"/>
        <w:rPr>
          <w:rFonts w:eastAsia="Calibri" w:cs="Arial"/>
          <w:b/>
          <w:szCs w:val="20"/>
        </w:rPr>
      </w:pPr>
    </w:p>
    <w:p w:rsidR="00AE2155" w:rsidRPr="00EA195F" w:rsidRDefault="00AE2155" w:rsidP="00B644CC">
      <w:pPr>
        <w:spacing w:line="288" w:lineRule="auto"/>
        <w:jc w:val="both"/>
        <w:rPr>
          <w:rFonts w:eastAsia="Calibri" w:cs="Arial"/>
          <w:bCs/>
          <w:szCs w:val="20"/>
        </w:rPr>
      </w:pPr>
      <w:r w:rsidRPr="00EA195F">
        <w:rPr>
          <w:rFonts w:eastAsia="Calibri" w:cs="Arial"/>
          <w:bCs/>
          <w:szCs w:val="20"/>
        </w:rPr>
        <w:t>V 102. členu se v prvem odstavku šestnajsta alineja črta.</w:t>
      </w:r>
    </w:p>
    <w:p w:rsidR="00AE2155" w:rsidRPr="00EA195F" w:rsidRDefault="00AE2155" w:rsidP="00B644CC">
      <w:pPr>
        <w:spacing w:line="288" w:lineRule="auto"/>
        <w:jc w:val="both"/>
        <w:rPr>
          <w:rFonts w:eastAsia="Calibri" w:cs="Arial"/>
          <w:bCs/>
          <w:szCs w:val="20"/>
        </w:rPr>
      </w:pPr>
    </w:p>
    <w:p w:rsidR="00AE2155" w:rsidRPr="00EA195F" w:rsidRDefault="00B343AC" w:rsidP="00B644CC">
      <w:pPr>
        <w:spacing w:line="288" w:lineRule="auto"/>
        <w:jc w:val="both"/>
        <w:rPr>
          <w:rFonts w:eastAsia="Calibri" w:cs="Arial"/>
          <w:bCs/>
          <w:szCs w:val="20"/>
        </w:rPr>
      </w:pPr>
      <w:r>
        <w:rPr>
          <w:rFonts w:eastAsia="Calibri" w:cs="Arial"/>
          <w:bCs/>
          <w:szCs w:val="20"/>
        </w:rPr>
        <w:t>Dosedanja s</w:t>
      </w:r>
      <w:r w:rsidR="00AE2155" w:rsidRPr="00EA195F">
        <w:rPr>
          <w:rFonts w:eastAsia="Calibri" w:cs="Arial"/>
          <w:bCs/>
          <w:szCs w:val="20"/>
        </w:rPr>
        <w:t>edemnajsta</w:t>
      </w:r>
      <w:r w:rsidR="006F6D2D">
        <w:rPr>
          <w:rFonts w:eastAsia="Calibri" w:cs="Arial"/>
          <w:bCs/>
          <w:szCs w:val="20"/>
        </w:rPr>
        <w:t xml:space="preserve"> do </w:t>
      </w:r>
      <w:r w:rsidR="00AE2155" w:rsidRPr="00EA195F">
        <w:rPr>
          <w:rFonts w:eastAsia="Calibri" w:cs="Arial"/>
          <w:bCs/>
          <w:szCs w:val="20"/>
        </w:rPr>
        <w:t xml:space="preserve">enaindvajseta alineja postanejo šestnajsta </w:t>
      </w:r>
      <w:r w:rsidR="006F6D2D">
        <w:rPr>
          <w:rFonts w:eastAsia="Calibri" w:cs="Arial"/>
          <w:bCs/>
          <w:szCs w:val="20"/>
        </w:rPr>
        <w:t xml:space="preserve">do </w:t>
      </w:r>
      <w:r w:rsidR="00AE2155" w:rsidRPr="00EA195F">
        <w:rPr>
          <w:rFonts w:eastAsia="Calibri" w:cs="Arial"/>
          <w:bCs/>
          <w:szCs w:val="20"/>
        </w:rPr>
        <w:t>dvajseta alineja.</w:t>
      </w:r>
    </w:p>
    <w:p w:rsidR="00AE2155" w:rsidRDefault="00AE2155" w:rsidP="00B644CC">
      <w:pPr>
        <w:spacing w:line="288" w:lineRule="auto"/>
        <w:jc w:val="center"/>
        <w:rPr>
          <w:rFonts w:eastAsia="Calibri" w:cs="Arial"/>
          <w:b/>
          <w:szCs w:val="20"/>
        </w:rPr>
      </w:pPr>
    </w:p>
    <w:p w:rsidR="00AE2155" w:rsidRPr="006E178C" w:rsidRDefault="00AE2155" w:rsidP="00B644CC">
      <w:pPr>
        <w:spacing w:line="288" w:lineRule="auto"/>
        <w:jc w:val="center"/>
        <w:rPr>
          <w:rFonts w:eastAsia="Calibri" w:cs="Arial"/>
          <w:szCs w:val="20"/>
        </w:rPr>
      </w:pPr>
      <w:r>
        <w:rPr>
          <w:rFonts w:eastAsia="Calibri" w:cs="Arial"/>
          <w:b/>
          <w:szCs w:val="20"/>
        </w:rPr>
        <w:t>17</w:t>
      </w:r>
      <w:r w:rsidRPr="006E178C">
        <w:rPr>
          <w:rFonts w:eastAsia="Calibri" w:cs="Arial"/>
          <w:b/>
          <w:szCs w:val="20"/>
        </w:rPr>
        <w:t>. člen</w:t>
      </w:r>
    </w:p>
    <w:p w:rsidR="00AE2155" w:rsidRPr="006E178C" w:rsidRDefault="00AE2155" w:rsidP="00B644CC">
      <w:pPr>
        <w:spacing w:line="288" w:lineRule="auto"/>
        <w:jc w:val="both"/>
        <w:rPr>
          <w:rFonts w:eastAsia="Calibri" w:cs="Arial"/>
          <w:szCs w:val="20"/>
        </w:rPr>
      </w:pPr>
    </w:p>
    <w:p w:rsidR="00AE2155" w:rsidRPr="006E178C" w:rsidRDefault="00AE2155" w:rsidP="00B644CC">
      <w:pPr>
        <w:spacing w:line="288" w:lineRule="auto"/>
        <w:rPr>
          <w:rFonts w:eastAsia="Calibri" w:cs="Arial"/>
          <w:szCs w:val="20"/>
        </w:rPr>
      </w:pPr>
      <w:r w:rsidRPr="006E178C">
        <w:rPr>
          <w:rFonts w:eastAsia="Calibri" w:cs="Arial"/>
          <w:szCs w:val="20"/>
        </w:rPr>
        <w:t xml:space="preserve">V 124. členu se tretji odstavek spremeni tako, da se glasi: </w:t>
      </w:r>
    </w:p>
    <w:p w:rsidR="00AE2155" w:rsidRDefault="00AE2155" w:rsidP="00B644CC">
      <w:pPr>
        <w:spacing w:line="288" w:lineRule="auto"/>
        <w:jc w:val="both"/>
        <w:rPr>
          <w:rFonts w:eastAsia="Calibri" w:cs="Arial"/>
          <w:szCs w:val="20"/>
        </w:rPr>
      </w:pPr>
    </w:p>
    <w:p w:rsidR="00AE2155" w:rsidRDefault="00AE2155" w:rsidP="00B644CC">
      <w:pPr>
        <w:spacing w:line="288" w:lineRule="auto"/>
        <w:jc w:val="both"/>
        <w:rPr>
          <w:rFonts w:eastAsia="Calibri" w:cs="Arial"/>
          <w:szCs w:val="20"/>
        </w:rPr>
      </w:pPr>
      <w:r w:rsidRPr="006E178C">
        <w:rPr>
          <w:rFonts w:eastAsia="Calibri" w:cs="Arial"/>
          <w:szCs w:val="20"/>
        </w:rPr>
        <w:t>»(3) </w:t>
      </w:r>
      <w:r w:rsidR="00B343AC">
        <w:rPr>
          <w:rFonts w:eastAsia="Calibri" w:cs="Arial"/>
          <w:szCs w:val="20"/>
        </w:rPr>
        <w:t xml:space="preserve">Na </w:t>
      </w:r>
      <w:r w:rsidR="00E00CB6">
        <w:rPr>
          <w:rFonts w:eastAsia="Calibri" w:cs="Arial"/>
          <w:szCs w:val="20"/>
        </w:rPr>
        <w:t>o</w:t>
      </w:r>
      <w:r w:rsidRPr="006E178C">
        <w:rPr>
          <w:rFonts w:eastAsia="Calibri" w:cs="Arial"/>
          <w:szCs w:val="20"/>
        </w:rPr>
        <w:t>krožn</w:t>
      </w:r>
      <w:r w:rsidR="00B343AC">
        <w:rPr>
          <w:rFonts w:eastAsia="Calibri" w:cs="Arial"/>
          <w:szCs w:val="20"/>
        </w:rPr>
        <w:t>em</w:t>
      </w:r>
      <w:r w:rsidRPr="006E178C">
        <w:rPr>
          <w:rFonts w:eastAsia="Calibri" w:cs="Arial"/>
          <w:szCs w:val="20"/>
        </w:rPr>
        <w:t xml:space="preserve"> državn</w:t>
      </w:r>
      <w:r w:rsidR="00B343AC">
        <w:rPr>
          <w:rFonts w:eastAsia="Calibri" w:cs="Arial"/>
          <w:szCs w:val="20"/>
        </w:rPr>
        <w:t>em</w:t>
      </w:r>
      <w:r w:rsidRPr="006E178C">
        <w:rPr>
          <w:rFonts w:eastAsia="Calibri" w:cs="Arial"/>
          <w:szCs w:val="20"/>
        </w:rPr>
        <w:t xml:space="preserve"> tožilstv</w:t>
      </w:r>
      <w:r w:rsidR="00B343AC">
        <w:rPr>
          <w:rFonts w:eastAsia="Calibri" w:cs="Arial"/>
          <w:szCs w:val="20"/>
        </w:rPr>
        <w:t>u</w:t>
      </w:r>
      <w:r w:rsidRPr="006E178C">
        <w:rPr>
          <w:rFonts w:eastAsia="Calibri" w:cs="Arial"/>
          <w:szCs w:val="20"/>
        </w:rPr>
        <w:t xml:space="preserve">, pri katerem je določeno najmanj 50 državnotožilskih mest, ima </w:t>
      </w:r>
      <w:r w:rsidR="00B343AC">
        <w:rPr>
          <w:rFonts w:eastAsia="Calibri" w:cs="Arial"/>
          <w:szCs w:val="20"/>
        </w:rPr>
        <w:t xml:space="preserve">lahko </w:t>
      </w:r>
      <w:r w:rsidRPr="006E178C">
        <w:rPr>
          <w:rFonts w:eastAsia="Calibri" w:cs="Arial"/>
          <w:szCs w:val="20"/>
        </w:rPr>
        <w:t>vodj</w:t>
      </w:r>
      <w:r w:rsidR="00B343AC">
        <w:rPr>
          <w:rFonts w:eastAsia="Calibri" w:cs="Arial"/>
          <w:szCs w:val="20"/>
        </w:rPr>
        <w:t>a tega tož</w:t>
      </w:r>
      <w:r w:rsidRPr="006E178C">
        <w:rPr>
          <w:rFonts w:eastAsia="Calibri" w:cs="Arial"/>
          <w:szCs w:val="20"/>
        </w:rPr>
        <w:t>ilstva</w:t>
      </w:r>
      <w:r w:rsidR="00B343AC" w:rsidRPr="006E178C">
        <w:rPr>
          <w:rFonts w:eastAsia="Calibri" w:cs="Arial"/>
          <w:szCs w:val="20"/>
        </w:rPr>
        <w:t xml:space="preserve"> dva namestnika</w:t>
      </w:r>
      <w:r w:rsidRPr="00D7625E">
        <w:rPr>
          <w:rFonts w:eastAsia="Calibri" w:cs="Arial"/>
          <w:szCs w:val="20"/>
        </w:rPr>
        <w:t>. Če ima okrožno državno tožilstvo več kot enega namestnika vodje, vodja okrožnega državnega tožilstva pooblasti enega izmed nji</w:t>
      </w:r>
      <w:r w:rsidR="00B343AC" w:rsidRPr="00D7625E">
        <w:rPr>
          <w:rFonts w:eastAsia="Calibri" w:cs="Arial"/>
          <w:szCs w:val="20"/>
        </w:rPr>
        <w:t>ju</w:t>
      </w:r>
      <w:r w:rsidRPr="00D7625E">
        <w:rPr>
          <w:rFonts w:eastAsia="Calibri" w:cs="Arial"/>
          <w:szCs w:val="20"/>
        </w:rPr>
        <w:t xml:space="preserve"> za nadomeščanje, če pooblastila ni, vodjo nadomešča namestnik vodje, ki dalj časa opravlja državnotožilsko službo.«.</w:t>
      </w:r>
    </w:p>
    <w:p w:rsidR="00AE2155" w:rsidRDefault="00AE2155" w:rsidP="00B644CC">
      <w:pPr>
        <w:spacing w:line="288" w:lineRule="auto"/>
        <w:jc w:val="both"/>
        <w:rPr>
          <w:rFonts w:eastAsia="Calibri" w:cs="Arial"/>
          <w:szCs w:val="20"/>
        </w:rPr>
      </w:pPr>
    </w:p>
    <w:p w:rsidR="00AE2155" w:rsidRDefault="00AE2155" w:rsidP="00B644CC">
      <w:pPr>
        <w:spacing w:line="288" w:lineRule="auto"/>
        <w:jc w:val="both"/>
        <w:rPr>
          <w:rFonts w:eastAsia="Calibri" w:cs="Arial"/>
          <w:szCs w:val="20"/>
        </w:rPr>
      </w:pPr>
      <w:r>
        <w:rPr>
          <w:rFonts w:eastAsia="Calibri" w:cs="Arial"/>
          <w:szCs w:val="20"/>
        </w:rPr>
        <w:t>V petem odstavku se za besedo »imenovanje« doda besedilo »in usposabljanje«.</w:t>
      </w:r>
    </w:p>
    <w:p w:rsidR="00AE2155" w:rsidRPr="006E178C" w:rsidRDefault="00AE2155" w:rsidP="00B644CC">
      <w:pPr>
        <w:spacing w:line="288" w:lineRule="auto"/>
        <w:jc w:val="both"/>
        <w:rPr>
          <w:rFonts w:eastAsia="Calibri" w:cs="Arial"/>
          <w:szCs w:val="20"/>
        </w:rPr>
      </w:pPr>
    </w:p>
    <w:p w:rsidR="00AE2155" w:rsidRPr="006E178C" w:rsidRDefault="00AE2155" w:rsidP="00B644CC">
      <w:pPr>
        <w:spacing w:line="288" w:lineRule="auto"/>
        <w:jc w:val="center"/>
        <w:rPr>
          <w:rFonts w:eastAsia="Calibri" w:cs="Arial"/>
          <w:b/>
          <w:szCs w:val="20"/>
        </w:rPr>
      </w:pPr>
      <w:r>
        <w:rPr>
          <w:rFonts w:eastAsia="Calibri" w:cs="Arial"/>
          <w:b/>
          <w:szCs w:val="20"/>
        </w:rPr>
        <w:t>18. člen</w:t>
      </w:r>
    </w:p>
    <w:p w:rsidR="00AE2155" w:rsidRPr="00545590" w:rsidRDefault="00AE2155" w:rsidP="00B644CC">
      <w:pPr>
        <w:spacing w:line="288" w:lineRule="auto"/>
        <w:jc w:val="both"/>
        <w:rPr>
          <w:rFonts w:eastAsia="Calibri" w:cs="Arial"/>
          <w:szCs w:val="20"/>
        </w:rPr>
      </w:pPr>
    </w:p>
    <w:p w:rsidR="00AE2155" w:rsidRDefault="00AE2155" w:rsidP="00B644CC">
      <w:pPr>
        <w:spacing w:line="288" w:lineRule="auto"/>
        <w:jc w:val="both"/>
        <w:rPr>
          <w:rFonts w:eastAsia="Calibri" w:cs="Arial"/>
          <w:szCs w:val="20"/>
        </w:rPr>
      </w:pPr>
      <w:r w:rsidRPr="00545590">
        <w:rPr>
          <w:rFonts w:eastAsia="Calibri" w:cs="Arial"/>
          <w:szCs w:val="20"/>
        </w:rPr>
        <w:t>129. člen</w:t>
      </w:r>
      <w:r w:rsidRPr="00545590">
        <w:rPr>
          <w:rFonts w:eastAsia="Calibri" w:cs="Arial"/>
          <w:b/>
          <w:bCs/>
          <w:szCs w:val="20"/>
        </w:rPr>
        <w:t xml:space="preserve"> </w:t>
      </w:r>
      <w:r w:rsidRPr="00545590">
        <w:rPr>
          <w:rFonts w:eastAsia="Calibri" w:cs="Arial"/>
          <w:szCs w:val="20"/>
        </w:rPr>
        <w:t>se spremeni tako, da se glasi:</w:t>
      </w:r>
    </w:p>
    <w:p w:rsidR="00B119C6" w:rsidRPr="00F7775B" w:rsidRDefault="00B119C6" w:rsidP="00F7775B">
      <w:pPr>
        <w:spacing w:line="288" w:lineRule="auto"/>
        <w:jc w:val="center"/>
        <w:rPr>
          <w:rFonts w:eastAsia="Calibri" w:cs="Arial"/>
          <w:b/>
          <w:szCs w:val="20"/>
        </w:rPr>
      </w:pPr>
      <w:r>
        <w:rPr>
          <w:rFonts w:eastAsia="Calibri" w:cs="Arial"/>
          <w:szCs w:val="20"/>
        </w:rPr>
        <w:t>»</w:t>
      </w:r>
      <w:r w:rsidRPr="00F7775B">
        <w:rPr>
          <w:rFonts w:eastAsia="Calibri" w:cs="Arial"/>
          <w:b/>
          <w:szCs w:val="20"/>
        </w:rPr>
        <w:t>129. člen</w:t>
      </w:r>
    </w:p>
    <w:p w:rsidR="00B119C6" w:rsidRPr="00F7775B" w:rsidRDefault="00B119C6" w:rsidP="00F7775B">
      <w:pPr>
        <w:spacing w:line="288" w:lineRule="auto"/>
        <w:jc w:val="center"/>
        <w:rPr>
          <w:rFonts w:eastAsia="Calibri" w:cs="Arial"/>
          <w:b/>
          <w:szCs w:val="20"/>
        </w:rPr>
      </w:pPr>
      <w:r w:rsidRPr="00F7775B">
        <w:rPr>
          <w:rFonts w:eastAsia="Calibri" w:cs="Arial"/>
          <w:b/>
          <w:szCs w:val="20"/>
        </w:rPr>
        <w:t>(razrešitev funkcije namestnika)</w:t>
      </w:r>
    </w:p>
    <w:p w:rsidR="00B119C6" w:rsidRPr="00545590" w:rsidRDefault="00B119C6" w:rsidP="00F7775B">
      <w:pPr>
        <w:spacing w:line="288" w:lineRule="auto"/>
        <w:jc w:val="center"/>
        <w:rPr>
          <w:rFonts w:eastAsia="Calibri" w:cs="Arial"/>
          <w:szCs w:val="20"/>
        </w:rPr>
      </w:pPr>
    </w:p>
    <w:p w:rsidR="00AE2155" w:rsidRPr="00545590" w:rsidRDefault="00AE2155" w:rsidP="00B644CC">
      <w:pPr>
        <w:spacing w:line="288" w:lineRule="auto"/>
        <w:jc w:val="both"/>
        <w:rPr>
          <w:rFonts w:eastAsia="Calibri" w:cs="Arial"/>
          <w:szCs w:val="20"/>
        </w:rPr>
      </w:pPr>
      <w:r w:rsidRPr="00545590">
        <w:rPr>
          <w:rFonts w:eastAsia="Calibri" w:cs="Arial"/>
          <w:szCs w:val="20"/>
        </w:rPr>
        <w:t>(1) O razrešitvi namestnika generalnega državnega tožilca odloči Vlada Republike Slovenije na obrazložen predlog generalnega državnega tožilca po predhodnem mnenju Državnotožilskega sveta.</w:t>
      </w:r>
    </w:p>
    <w:p w:rsidR="00AE2155" w:rsidRPr="00545590" w:rsidRDefault="00AE2155" w:rsidP="00B644CC">
      <w:pPr>
        <w:spacing w:line="288" w:lineRule="auto"/>
        <w:jc w:val="both"/>
        <w:rPr>
          <w:rFonts w:eastAsia="Calibri" w:cs="Arial"/>
          <w:szCs w:val="20"/>
        </w:rPr>
      </w:pPr>
    </w:p>
    <w:p w:rsidR="00AE2155" w:rsidRDefault="00AE2155" w:rsidP="00B644CC">
      <w:pPr>
        <w:spacing w:line="288" w:lineRule="auto"/>
        <w:jc w:val="both"/>
        <w:rPr>
          <w:rFonts w:eastAsia="Calibri" w:cs="Arial"/>
          <w:szCs w:val="20"/>
        </w:rPr>
      </w:pPr>
      <w:r w:rsidRPr="00545590">
        <w:rPr>
          <w:rFonts w:eastAsia="Calibri" w:cs="Arial"/>
          <w:szCs w:val="20"/>
        </w:rPr>
        <w:t>(2) O razrešitvi namestnika vodje okrožnega državnega tožilstva odloči Državnotožilski svet na obrazložen predlog vodje okrožnega državnega tožilstva po predhodnem mnenju generalnega državnega tožilca.«.</w:t>
      </w:r>
    </w:p>
    <w:p w:rsidR="00AE2155" w:rsidRDefault="00AE2155" w:rsidP="00B644CC">
      <w:pPr>
        <w:spacing w:line="288" w:lineRule="auto"/>
        <w:jc w:val="both"/>
        <w:rPr>
          <w:rFonts w:eastAsia="Calibri" w:cs="Arial"/>
          <w:szCs w:val="20"/>
        </w:rPr>
      </w:pPr>
    </w:p>
    <w:p w:rsidR="00AE2155" w:rsidRPr="009C14A7" w:rsidRDefault="00AE2155" w:rsidP="00B644CC">
      <w:pPr>
        <w:spacing w:line="288" w:lineRule="auto"/>
        <w:jc w:val="center"/>
        <w:rPr>
          <w:rFonts w:eastAsia="Calibri" w:cs="Arial"/>
          <w:b/>
          <w:szCs w:val="20"/>
        </w:rPr>
      </w:pPr>
      <w:r>
        <w:rPr>
          <w:rFonts w:eastAsia="Calibri" w:cs="Arial"/>
          <w:b/>
          <w:szCs w:val="20"/>
        </w:rPr>
        <w:t>19</w:t>
      </w:r>
      <w:r w:rsidRPr="009C14A7">
        <w:rPr>
          <w:rFonts w:eastAsia="Calibri" w:cs="Arial"/>
          <w:b/>
          <w:szCs w:val="20"/>
        </w:rPr>
        <w:t>. člen</w:t>
      </w:r>
    </w:p>
    <w:p w:rsidR="00AE2155" w:rsidRDefault="00AE2155" w:rsidP="00B644CC">
      <w:pPr>
        <w:spacing w:line="288" w:lineRule="auto"/>
        <w:jc w:val="both"/>
        <w:rPr>
          <w:rFonts w:eastAsia="Calibri" w:cs="Arial"/>
          <w:szCs w:val="20"/>
        </w:rPr>
      </w:pPr>
    </w:p>
    <w:p w:rsidR="00AE2155" w:rsidRPr="00740A53" w:rsidRDefault="00AE2155" w:rsidP="00B644CC">
      <w:pPr>
        <w:spacing w:line="288" w:lineRule="auto"/>
        <w:jc w:val="both"/>
        <w:rPr>
          <w:rFonts w:eastAsia="Calibri" w:cs="Arial"/>
          <w:szCs w:val="20"/>
        </w:rPr>
      </w:pPr>
      <w:r w:rsidRPr="00740A53">
        <w:rPr>
          <w:rFonts w:eastAsia="Calibri" w:cs="Arial"/>
          <w:szCs w:val="20"/>
        </w:rPr>
        <w:t>V 132. členu se</w:t>
      </w:r>
      <w:r>
        <w:rPr>
          <w:rFonts w:eastAsia="Calibri" w:cs="Arial"/>
          <w:szCs w:val="20"/>
        </w:rPr>
        <w:t xml:space="preserve"> v</w:t>
      </w:r>
      <w:r w:rsidRPr="00740A53">
        <w:rPr>
          <w:rFonts w:eastAsia="Calibri" w:cs="Arial"/>
          <w:szCs w:val="20"/>
        </w:rPr>
        <w:t xml:space="preserve"> prv</w:t>
      </w:r>
      <w:r>
        <w:rPr>
          <w:rFonts w:eastAsia="Calibri" w:cs="Arial"/>
          <w:szCs w:val="20"/>
        </w:rPr>
        <w:t>em</w:t>
      </w:r>
      <w:r w:rsidRPr="00740A53">
        <w:rPr>
          <w:rFonts w:eastAsia="Calibri" w:cs="Arial"/>
          <w:szCs w:val="20"/>
        </w:rPr>
        <w:t xml:space="preserve"> odstavk</w:t>
      </w:r>
      <w:r>
        <w:rPr>
          <w:rFonts w:eastAsia="Calibri" w:cs="Arial"/>
          <w:szCs w:val="20"/>
        </w:rPr>
        <w:t>u besedilo »strokovni sodelavci in direktor« nadomesti z besedilom »direktor in strokovni sodelavci«.</w:t>
      </w:r>
    </w:p>
    <w:p w:rsidR="00AE2155" w:rsidRDefault="00AE2155" w:rsidP="00B644CC">
      <w:pPr>
        <w:spacing w:line="288" w:lineRule="auto"/>
        <w:rPr>
          <w:rFonts w:eastAsia="Calibri" w:cs="Arial"/>
          <w:b/>
          <w:szCs w:val="20"/>
        </w:rPr>
      </w:pPr>
    </w:p>
    <w:p w:rsidR="00AE2155" w:rsidRDefault="00AE2155" w:rsidP="00B644CC">
      <w:pPr>
        <w:spacing w:line="288" w:lineRule="auto"/>
        <w:jc w:val="center"/>
        <w:rPr>
          <w:rFonts w:eastAsia="Calibri" w:cs="Arial"/>
          <w:b/>
          <w:szCs w:val="20"/>
        </w:rPr>
      </w:pPr>
      <w:r>
        <w:rPr>
          <w:rFonts w:eastAsia="Calibri" w:cs="Arial"/>
          <w:b/>
          <w:szCs w:val="20"/>
        </w:rPr>
        <w:t>20</w:t>
      </w:r>
      <w:r w:rsidRPr="006E178C">
        <w:rPr>
          <w:rFonts w:eastAsia="Calibri" w:cs="Arial"/>
          <w:b/>
          <w:szCs w:val="20"/>
        </w:rPr>
        <w:t>. člen</w:t>
      </w:r>
    </w:p>
    <w:p w:rsidR="00AE2155" w:rsidRPr="006E178C" w:rsidRDefault="00AE2155" w:rsidP="00B644CC">
      <w:pPr>
        <w:spacing w:line="288" w:lineRule="auto"/>
        <w:jc w:val="center"/>
        <w:rPr>
          <w:rFonts w:eastAsia="Calibri" w:cs="Arial"/>
          <w:szCs w:val="20"/>
        </w:rPr>
      </w:pPr>
    </w:p>
    <w:p w:rsidR="00AE2155" w:rsidRPr="006E178C" w:rsidRDefault="00AE2155" w:rsidP="00B644CC">
      <w:pPr>
        <w:spacing w:line="288" w:lineRule="auto"/>
        <w:jc w:val="both"/>
        <w:rPr>
          <w:rFonts w:eastAsia="Calibri" w:cs="Arial"/>
          <w:szCs w:val="20"/>
        </w:rPr>
      </w:pPr>
      <w:r w:rsidRPr="006E178C">
        <w:rPr>
          <w:rFonts w:eastAsia="Calibri" w:cs="Arial"/>
          <w:szCs w:val="20"/>
        </w:rPr>
        <w:lastRenderedPageBreak/>
        <w:t>V 133. členu se v drugem odstavku za besedo »</w:t>
      </w:r>
      <w:r>
        <w:rPr>
          <w:rFonts w:eastAsia="Calibri" w:cs="Arial"/>
          <w:szCs w:val="20"/>
        </w:rPr>
        <w:t>sodelujejo</w:t>
      </w:r>
      <w:r w:rsidRPr="006E178C">
        <w:rPr>
          <w:rFonts w:eastAsia="Calibri" w:cs="Arial"/>
          <w:szCs w:val="20"/>
        </w:rPr>
        <w:t>« doda besedilo »generalni direktor</w:t>
      </w:r>
      <w:r>
        <w:rPr>
          <w:rFonts w:eastAsia="Calibri" w:cs="Arial"/>
          <w:szCs w:val="20"/>
        </w:rPr>
        <w:t xml:space="preserve"> in</w:t>
      </w:r>
      <w:r w:rsidRPr="006E178C">
        <w:rPr>
          <w:rFonts w:eastAsia="Calibri" w:cs="Arial"/>
          <w:szCs w:val="20"/>
        </w:rPr>
        <w:t>«.</w:t>
      </w:r>
    </w:p>
    <w:p w:rsidR="00AE2155" w:rsidRDefault="00AE2155" w:rsidP="00B644CC">
      <w:pPr>
        <w:spacing w:line="288" w:lineRule="auto"/>
        <w:jc w:val="both"/>
        <w:rPr>
          <w:rFonts w:eastAsia="Calibri" w:cs="Arial"/>
          <w:szCs w:val="20"/>
        </w:rPr>
      </w:pPr>
    </w:p>
    <w:p w:rsidR="00AE2155" w:rsidRPr="00202BA6" w:rsidRDefault="00AE2155" w:rsidP="00B644CC">
      <w:pPr>
        <w:spacing w:line="288" w:lineRule="auto"/>
        <w:jc w:val="center"/>
        <w:rPr>
          <w:rFonts w:eastAsia="Calibri" w:cs="Arial"/>
          <w:b/>
          <w:szCs w:val="20"/>
        </w:rPr>
      </w:pPr>
      <w:r>
        <w:rPr>
          <w:rFonts w:eastAsia="Calibri" w:cs="Arial"/>
          <w:b/>
          <w:szCs w:val="20"/>
        </w:rPr>
        <w:t>21</w:t>
      </w:r>
      <w:r w:rsidRPr="00202BA6">
        <w:rPr>
          <w:rFonts w:eastAsia="Calibri" w:cs="Arial"/>
          <w:b/>
          <w:szCs w:val="20"/>
        </w:rPr>
        <w:t>. člen</w:t>
      </w:r>
    </w:p>
    <w:p w:rsidR="00AE2155" w:rsidRDefault="00AE2155" w:rsidP="00B644CC">
      <w:pPr>
        <w:spacing w:line="288" w:lineRule="auto"/>
        <w:jc w:val="both"/>
        <w:rPr>
          <w:rFonts w:eastAsia="Calibri" w:cs="Arial"/>
          <w:szCs w:val="20"/>
        </w:rPr>
      </w:pPr>
    </w:p>
    <w:p w:rsidR="00AE2155" w:rsidRDefault="00AE2155" w:rsidP="00B644CC">
      <w:pPr>
        <w:spacing w:line="288" w:lineRule="auto"/>
        <w:jc w:val="both"/>
        <w:rPr>
          <w:rFonts w:eastAsia="Calibri" w:cs="Arial"/>
          <w:szCs w:val="20"/>
        </w:rPr>
      </w:pPr>
      <w:r w:rsidRPr="00202BA6">
        <w:rPr>
          <w:rFonts w:eastAsia="Calibri" w:cs="Arial"/>
          <w:szCs w:val="20"/>
        </w:rPr>
        <w:t>Za 1</w:t>
      </w:r>
      <w:r>
        <w:rPr>
          <w:rFonts w:eastAsia="Calibri" w:cs="Arial"/>
          <w:szCs w:val="20"/>
        </w:rPr>
        <w:t>37</w:t>
      </w:r>
      <w:r w:rsidRPr="00202BA6">
        <w:rPr>
          <w:rFonts w:eastAsia="Calibri" w:cs="Arial"/>
          <w:szCs w:val="20"/>
        </w:rPr>
        <w:t>. členom se doda nov 1</w:t>
      </w:r>
      <w:r>
        <w:rPr>
          <w:rFonts w:eastAsia="Calibri" w:cs="Arial"/>
          <w:szCs w:val="20"/>
        </w:rPr>
        <w:t>37</w:t>
      </w:r>
      <w:r w:rsidRPr="00202BA6">
        <w:rPr>
          <w:rFonts w:eastAsia="Calibri" w:cs="Arial"/>
          <w:szCs w:val="20"/>
        </w:rPr>
        <w:t>.a člen, ki se glasi:</w:t>
      </w:r>
    </w:p>
    <w:p w:rsidR="00B119C6" w:rsidRPr="00202BA6" w:rsidRDefault="00B119C6" w:rsidP="00B644CC">
      <w:pPr>
        <w:spacing w:line="288" w:lineRule="auto"/>
        <w:jc w:val="both"/>
        <w:rPr>
          <w:rFonts w:eastAsia="Calibri" w:cs="Arial"/>
          <w:szCs w:val="20"/>
        </w:rPr>
      </w:pPr>
    </w:p>
    <w:p w:rsidR="00AE2155" w:rsidRPr="00202BA6" w:rsidRDefault="00AE2155" w:rsidP="00B644CC">
      <w:pPr>
        <w:spacing w:line="288" w:lineRule="auto"/>
        <w:jc w:val="center"/>
        <w:rPr>
          <w:rFonts w:eastAsia="Calibri" w:cs="Arial"/>
          <w:szCs w:val="20"/>
        </w:rPr>
      </w:pPr>
      <w:r w:rsidRPr="002C00AA">
        <w:rPr>
          <w:rFonts w:eastAsia="Calibri" w:cs="Arial"/>
          <w:szCs w:val="20"/>
        </w:rPr>
        <w:t>»</w:t>
      </w:r>
      <w:r w:rsidRPr="009A70E3">
        <w:rPr>
          <w:rFonts w:eastAsia="Calibri" w:cs="Arial"/>
          <w:b/>
          <w:szCs w:val="20"/>
        </w:rPr>
        <w:t>1</w:t>
      </w:r>
      <w:r>
        <w:rPr>
          <w:rFonts w:eastAsia="Calibri" w:cs="Arial"/>
          <w:b/>
          <w:szCs w:val="20"/>
        </w:rPr>
        <w:t>37</w:t>
      </w:r>
      <w:r w:rsidRPr="009A70E3">
        <w:rPr>
          <w:rFonts w:eastAsia="Calibri" w:cs="Arial"/>
          <w:b/>
          <w:szCs w:val="20"/>
        </w:rPr>
        <w:t>.a člen</w:t>
      </w:r>
    </w:p>
    <w:p w:rsidR="00AE2155" w:rsidRPr="009A70E3" w:rsidRDefault="00AE2155" w:rsidP="00B644CC">
      <w:pPr>
        <w:spacing w:line="288" w:lineRule="auto"/>
        <w:jc w:val="center"/>
        <w:rPr>
          <w:rFonts w:eastAsia="Calibri" w:cs="Arial"/>
          <w:b/>
          <w:szCs w:val="20"/>
        </w:rPr>
      </w:pPr>
      <w:r w:rsidRPr="009A70E3">
        <w:rPr>
          <w:rFonts w:eastAsia="Calibri" w:cs="Arial"/>
          <w:b/>
          <w:szCs w:val="20"/>
        </w:rPr>
        <w:t>(sodelovanje pri opravljanju nujnih procesnih dejanj)</w:t>
      </w:r>
    </w:p>
    <w:p w:rsidR="00AE2155" w:rsidRDefault="00AE2155" w:rsidP="00B644CC">
      <w:pPr>
        <w:spacing w:line="288" w:lineRule="auto"/>
        <w:jc w:val="both"/>
        <w:rPr>
          <w:rFonts w:eastAsia="Calibri" w:cs="Arial"/>
          <w:szCs w:val="20"/>
        </w:rPr>
      </w:pPr>
    </w:p>
    <w:p w:rsidR="001E0D84" w:rsidRDefault="00AE2155" w:rsidP="00B644CC">
      <w:pPr>
        <w:spacing w:line="288" w:lineRule="auto"/>
        <w:jc w:val="both"/>
        <w:rPr>
          <w:rFonts w:eastAsia="Calibri" w:cs="Arial"/>
          <w:szCs w:val="20"/>
        </w:rPr>
      </w:pPr>
      <w:r w:rsidRPr="002C00AA">
        <w:rPr>
          <w:rFonts w:eastAsia="Calibri" w:cs="Arial"/>
          <w:szCs w:val="20"/>
        </w:rPr>
        <w:t xml:space="preserve">(1) </w:t>
      </w:r>
      <w:r>
        <w:rPr>
          <w:rFonts w:eastAsia="Calibri" w:cs="Arial"/>
          <w:szCs w:val="20"/>
        </w:rPr>
        <w:t xml:space="preserve">Državnotožilskemu osebju, </w:t>
      </w:r>
      <w:r w:rsidR="001E0D84">
        <w:rPr>
          <w:rFonts w:cs="Arial"/>
          <w:color w:val="000000"/>
          <w:szCs w:val="20"/>
        </w:rPr>
        <w:t>ki sodeluje pri opravljanju nujnih procesnih dejanj izven delovnega časa, se lahko odredi opravljanje dela v manj ugodnem delovnem času in pripravljenost za delo</w:t>
      </w:r>
      <w:r w:rsidR="009F48B1">
        <w:rPr>
          <w:rFonts w:eastAsia="Calibri" w:cs="Arial"/>
          <w:szCs w:val="20"/>
        </w:rPr>
        <w:t>.</w:t>
      </w:r>
    </w:p>
    <w:p w:rsidR="001E0D84" w:rsidRDefault="001E0D84" w:rsidP="00B644CC">
      <w:pPr>
        <w:spacing w:line="288" w:lineRule="auto"/>
        <w:jc w:val="both"/>
        <w:rPr>
          <w:rFonts w:eastAsia="Calibri" w:cs="Arial"/>
          <w:szCs w:val="20"/>
        </w:rPr>
      </w:pPr>
    </w:p>
    <w:p w:rsidR="00AE2155" w:rsidRPr="004A3C4C" w:rsidRDefault="00AE2155" w:rsidP="00B644CC">
      <w:pPr>
        <w:spacing w:line="288" w:lineRule="auto"/>
        <w:jc w:val="both"/>
        <w:rPr>
          <w:rFonts w:eastAsia="Calibri" w:cs="Arial"/>
          <w:szCs w:val="20"/>
        </w:rPr>
      </w:pPr>
      <w:r w:rsidRPr="004A3C4C">
        <w:rPr>
          <w:rFonts w:eastAsia="Calibri" w:cs="Arial"/>
          <w:szCs w:val="20"/>
        </w:rPr>
        <w:t>(2) Delo v manj ugodnem delovnem času je</w:t>
      </w:r>
      <w:r>
        <w:rPr>
          <w:rFonts w:eastAsia="Calibri" w:cs="Arial"/>
          <w:szCs w:val="20"/>
        </w:rPr>
        <w:t>:</w:t>
      </w:r>
    </w:p>
    <w:p w:rsidR="00AE2155" w:rsidRPr="003844C1" w:rsidRDefault="00AE2155" w:rsidP="00B644CC">
      <w:pPr>
        <w:spacing w:line="288" w:lineRule="auto"/>
        <w:jc w:val="both"/>
        <w:rPr>
          <w:rFonts w:eastAsia="Calibri" w:cs="Arial"/>
          <w:szCs w:val="20"/>
        </w:rPr>
      </w:pPr>
      <w:r w:rsidRPr="003844C1">
        <w:rPr>
          <w:rFonts w:eastAsia="Calibri" w:cs="Arial"/>
          <w:szCs w:val="20"/>
        </w:rPr>
        <w:t>– delo v neenakomerno razporejenem delovnem času,</w:t>
      </w:r>
    </w:p>
    <w:p w:rsidR="00AE2155" w:rsidRPr="003844C1" w:rsidRDefault="00AE2155" w:rsidP="00B644CC">
      <w:pPr>
        <w:spacing w:line="288" w:lineRule="auto"/>
        <w:jc w:val="both"/>
        <w:rPr>
          <w:rFonts w:eastAsia="Calibri" w:cs="Arial"/>
          <w:szCs w:val="20"/>
        </w:rPr>
      </w:pPr>
      <w:r w:rsidRPr="003844C1">
        <w:rPr>
          <w:rFonts w:eastAsia="Calibri" w:cs="Arial"/>
          <w:szCs w:val="20"/>
        </w:rPr>
        <w:t>– delo preko polnega delovnega časa</w:t>
      </w:r>
      <w:r>
        <w:rPr>
          <w:rFonts w:eastAsia="Calibri" w:cs="Arial"/>
          <w:szCs w:val="20"/>
        </w:rPr>
        <w:t xml:space="preserve"> in</w:t>
      </w:r>
    </w:p>
    <w:p w:rsidR="00AE2155" w:rsidRDefault="00AE2155" w:rsidP="00B644CC">
      <w:pPr>
        <w:spacing w:line="288" w:lineRule="auto"/>
        <w:jc w:val="both"/>
        <w:rPr>
          <w:rFonts w:eastAsia="Calibri" w:cs="Arial"/>
          <w:szCs w:val="20"/>
        </w:rPr>
      </w:pPr>
      <w:r w:rsidRPr="003844C1">
        <w:rPr>
          <w:rFonts w:eastAsia="Calibri" w:cs="Arial"/>
          <w:szCs w:val="20"/>
        </w:rPr>
        <w:t xml:space="preserve">– delo ponoči, </w:t>
      </w:r>
      <w:r>
        <w:rPr>
          <w:rFonts w:eastAsia="Calibri" w:cs="Arial"/>
          <w:szCs w:val="20"/>
        </w:rPr>
        <w:t xml:space="preserve">v </w:t>
      </w:r>
      <w:r w:rsidRPr="003844C1">
        <w:rPr>
          <w:rFonts w:eastAsia="Calibri" w:cs="Arial"/>
          <w:szCs w:val="20"/>
        </w:rPr>
        <w:t>nedeljah in na dan, ki je z zakonom določen kot dela prost</w:t>
      </w:r>
      <w:r>
        <w:rPr>
          <w:rFonts w:eastAsia="Calibri" w:cs="Arial"/>
          <w:szCs w:val="20"/>
        </w:rPr>
        <w:t xml:space="preserve"> d</w:t>
      </w:r>
      <w:r w:rsidRPr="003844C1">
        <w:rPr>
          <w:rFonts w:eastAsia="Calibri" w:cs="Arial"/>
          <w:szCs w:val="20"/>
        </w:rPr>
        <w:t>an</w:t>
      </w:r>
      <w:r>
        <w:rPr>
          <w:rFonts w:eastAsia="Calibri" w:cs="Arial"/>
          <w:szCs w:val="20"/>
        </w:rPr>
        <w:t xml:space="preserve"> ali praznik</w:t>
      </w:r>
      <w:r w:rsidRPr="003844C1">
        <w:rPr>
          <w:rFonts w:eastAsia="Calibri" w:cs="Arial"/>
          <w:szCs w:val="20"/>
        </w:rPr>
        <w:t>.</w:t>
      </w:r>
    </w:p>
    <w:p w:rsidR="00AE2155" w:rsidRDefault="00AE2155" w:rsidP="00B644CC">
      <w:pPr>
        <w:spacing w:line="288" w:lineRule="auto"/>
        <w:jc w:val="both"/>
        <w:rPr>
          <w:rFonts w:eastAsia="Calibri" w:cs="Arial"/>
          <w:szCs w:val="20"/>
        </w:rPr>
      </w:pPr>
    </w:p>
    <w:p w:rsidR="001E0D84" w:rsidRDefault="00AE2155" w:rsidP="00B644CC">
      <w:pPr>
        <w:spacing w:line="288" w:lineRule="auto"/>
        <w:jc w:val="both"/>
        <w:rPr>
          <w:rFonts w:eastAsia="Calibri" w:cs="Arial"/>
          <w:szCs w:val="20"/>
        </w:rPr>
      </w:pPr>
      <w:r w:rsidRPr="002C00AA">
        <w:rPr>
          <w:rFonts w:eastAsia="Calibri" w:cs="Arial"/>
          <w:szCs w:val="20"/>
        </w:rPr>
        <w:t>(</w:t>
      </w:r>
      <w:r>
        <w:rPr>
          <w:rFonts w:eastAsia="Calibri" w:cs="Arial"/>
          <w:szCs w:val="20"/>
        </w:rPr>
        <w:t>3</w:t>
      </w:r>
      <w:r w:rsidRPr="002C00AA">
        <w:rPr>
          <w:rFonts w:eastAsia="Calibri" w:cs="Arial"/>
          <w:szCs w:val="20"/>
        </w:rPr>
        <w:t xml:space="preserve">) </w:t>
      </w:r>
      <w:r w:rsidRPr="00B145F8">
        <w:rPr>
          <w:rFonts w:eastAsia="Calibri" w:cs="Arial"/>
          <w:szCs w:val="20"/>
        </w:rPr>
        <w:t xml:space="preserve">Pripravljenost na delo je poseben delovni pogoj, ki </w:t>
      </w:r>
      <w:r w:rsidRPr="00B145F8">
        <w:t>pomeni dosegljivost po te</w:t>
      </w:r>
      <w:r>
        <w:t xml:space="preserve">lefonu ali drugih komunikacijskih sredstvih za potrebe prihoda na delovno mesto ali kraj, kjer </w:t>
      </w:r>
      <w:r w:rsidR="001E0D84" w:rsidRPr="001E0D84">
        <w:rPr>
          <w:color w:val="000000"/>
        </w:rPr>
        <w:t>opravlja nujno procesno dejanje</w:t>
      </w:r>
      <w:r>
        <w:t>. P</w:t>
      </w:r>
      <w:r>
        <w:rPr>
          <w:rFonts w:eastAsia="Calibri" w:cs="Arial"/>
          <w:szCs w:val="20"/>
        </w:rPr>
        <w:t>ripravljenost za delo se ne šteje v delovni čas.</w:t>
      </w:r>
    </w:p>
    <w:p w:rsidR="00AE2155" w:rsidRDefault="00AE2155" w:rsidP="00B644CC">
      <w:pPr>
        <w:spacing w:line="288" w:lineRule="auto"/>
        <w:jc w:val="both"/>
        <w:rPr>
          <w:rFonts w:eastAsia="Calibri" w:cs="Arial"/>
          <w:szCs w:val="20"/>
        </w:rPr>
      </w:pPr>
    </w:p>
    <w:p w:rsidR="00AE2155" w:rsidRPr="002C00AA" w:rsidRDefault="00AE2155" w:rsidP="00B644CC">
      <w:pPr>
        <w:spacing w:line="288" w:lineRule="auto"/>
        <w:jc w:val="both"/>
        <w:rPr>
          <w:rFonts w:eastAsia="Calibri" w:cs="Arial"/>
          <w:color w:val="FF0000"/>
          <w:szCs w:val="20"/>
        </w:rPr>
      </w:pPr>
      <w:r>
        <w:rPr>
          <w:rFonts w:eastAsia="Calibri" w:cs="Arial"/>
          <w:szCs w:val="20"/>
        </w:rPr>
        <w:t>(4) D</w:t>
      </w:r>
      <w:r w:rsidRPr="002C00AA">
        <w:rPr>
          <w:rFonts w:eastAsia="Calibri" w:cs="Arial"/>
          <w:szCs w:val="20"/>
        </w:rPr>
        <w:t>el</w:t>
      </w:r>
      <w:r>
        <w:rPr>
          <w:rFonts w:eastAsia="Calibri" w:cs="Arial"/>
          <w:szCs w:val="20"/>
        </w:rPr>
        <w:t xml:space="preserve">o </w:t>
      </w:r>
      <w:r w:rsidRPr="002C00AA">
        <w:rPr>
          <w:rFonts w:eastAsia="Calibri" w:cs="Arial"/>
          <w:szCs w:val="20"/>
        </w:rPr>
        <w:t xml:space="preserve">v času pripravljenosti </w:t>
      </w:r>
      <w:r>
        <w:rPr>
          <w:rFonts w:eastAsia="Calibri" w:cs="Arial"/>
          <w:szCs w:val="20"/>
        </w:rPr>
        <w:t xml:space="preserve">in čas, ki ga državnotožilsko osebje porabi za prihod </w:t>
      </w:r>
      <w:r w:rsidRPr="001A3340">
        <w:rPr>
          <w:rFonts w:eastAsia="Calibri" w:cs="Arial"/>
          <w:szCs w:val="20"/>
        </w:rPr>
        <w:t xml:space="preserve">od doma ali iz delovnega mesta na kraj, kjer je treba opraviti </w:t>
      </w:r>
      <w:r w:rsidR="001E0D84" w:rsidRPr="001E0D84">
        <w:rPr>
          <w:color w:val="000000"/>
        </w:rPr>
        <w:t>nujno procesno dejanje</w:t>
      </w:r>
      <w:r w:rsidR="001E0D84">
        <w:rPr>
          <w:rFonts w:eastAsia="Calibri" w:cs="Arial"/>
          <w:szCs w:val="20"/>
        </w:rPr>
        <w:t xml:space="preserve"> </w:t>
      </w:r>
      <w:r>
        <w:rPr>
          <w:rFonts w:eastAsia="Calibri" w:cs="Arial"/>
          <w:szCs w:val="20"/>
        </w:rPr>
        <w:t xml:space="preserve">ter </w:t>
      </w:r>
      <w:r w:rsidRPr="007618A8">
        <w:rPr>
          <w:rFonts w:eastAsia="Calibri" w:cs="Arial"/>
          <w:szCs w:val="20"/>
        </w:rPr>
        <w:t>čas povratka</w:t>
      </w:r>
      <w:r>
        <w:rPr>
          <w:rFonts w:eastAsia="Calibri" w:cs="Arial"/>
          <w:szCs w:val="20"/>
        </w:rPr>
        <w:t xml:space="preserve"> </w:t>
      </w:r>
      <w:r w:rsidRPr="002C00AA">
        <w:rPr>
          <w:rFonts w:eastAsia="Calibri" w:cs="Arial"/>
          <w:szCs w:val="20"/>
        </w:rPr>
        <w:t>se šteje v delovn</w:t>
      </w:r>
      <w:r>
        <w:rPr>
          <w:rFonts w:eastAsia="Calibri" w:cs="Arial"/>
          <w:szCs w:val="20"/>
        </w:rPr>
        <w:t>i čas</w:t>
      </w:r>
      <w:r w:rsidRPr="002C00AA">
        <w:rPr>
          <w:rFonts w:eastAsia="Calibri" w:cs="Arial"/>
          <w:szCs w:val="20"/>
        </w:rPr>
        <w:t xml:space="preserve">. </w:t>
      </w:r>
    </w:p>
    <w:p w:rsidR="00AE2155" w:rsidRPr="008B4342" w:rsidRDefault="00AE2155" w:rsidP="00B644CC">
      <w:pPr>
        <w:spacing w:line="288" w:lineRule="auto"/>
        <w:jc w:val="both"/>
        <w:rPr>
          <w:rFonts w:eastAsia="Calibri" w:cs="Arial"/>
          <w:szCs w:val="20"/>
        </w:rPr>
      </w:pPr>
    </w:p>
    <w:p w:rsidR="009F48B1" w:rsidRPr="001E0D84" w:rsidRDefault="009F48B1" w:rsidP="009F48B1">
      <w:pPr>
        <w:pStyle w:val="datumtevilka"/>
        <w:suppressAutoHyphens/>
        <w:spacing w:line="288" w:lineRule="auto"/>
        <w:jc w:val="both"/>
        <w:rPr>
          <w:rFonts w:cs="Arial"/>
          <w:color w:val="000000"/>
        </w:rPr>
      </w:pPr>
      <w:r>
        <w:rPr>
          <w:rFonts w:cs="Arial"/>
          <w:color w:val="000000"/>
        </w:rPr>
        <w:t xml:space="preserve">(5) </w:t>
      </w:r>
      <w:r w:rsidRPr="001E0D84">
        <w:rPr>
          <w:rFonts w:cs="Arial"/>
          <w:color w:val="000000"/>
        </w:rPr>
        <w:t xml:space="preserve">Najdaljši sprejemljivi čas prihoda na delovno mesto ali kraj, kjer se opravlja nujno procesno dejanje, se določi </w:t>
      </w:r>
      <w:r>
        <w:rPr>
          <w:rFonts w:cs="Arial"/>
          <w:color w:val="000000"/>
        </w:rPr>
        <w:t xml:space="preserve">z Državnotožilskim </w:t>
      </w:r>
      <w:r w:rsidRPr="001E0D84">
        <w:rPr>
          <w:rFonts w:cs="Arial"/>
          <w:color w:val="000000"/>
        </w:rPr>
        <w:t>redom.</w:t>
      </w:r>
    </w:p>
    <w:p w:rsidR="009F48B1" w:rsidRDefault="009F48B1" w:rsidP="009F48B1">
      <w:pPr>
        <w:spacing w:line="288" w:lineRule="auto"/>
        <w:jc w:val="both"/>
        <w:rPr>
          <w:rFonts w:eastAsia="Calibri" w:cs="Arial"/>
          <w:szCs w:val="20"/>
        </w:rPr>
      </w:pPr>
      <w:r w:rsidRPr="008B4342">
        <w:rPr>
          <w:rFonts w:eastAsia="Calibri" w:cs="Arial"/>
          <w:szCs w:val="20"/>
        </w:rPr>
        <w:t xml:space="preserve"> </w:t>
      </w:r>
    </w:p>
    <w:p w:rsidR="001E0D84" w:rsidRPr="009F48B1" w:rsidRDefault="00AE2155" w:rsidP="009F48B1">
      <w:pPr>
        <w:spacing w:line="288" w:lineRule="auto"/>
        <w:jc w:val="both"/>
        <w:rPr>
          <w:rFonts w:eastAsia="Calibri" w:cs="Arial"/>
          <w:szCs w:val="20"/>
        </w:rPr>
      </w:pPr>
      <w:r w:rsidRPr="008B4342">
        <w:rPr>
          <w:rFonts w:eastAsia="Calibri" w:cs="Arial"/>
          <w:szCs w:val="20"/>
        </w:rPr>
        <w:t>(</w:t>
      </w:r>
      <w:r w:rsidR="009F48B1">
        <w:rPr>
          <w:rFonts w:eastAsia="Calibri" w:cs="Arial"/>
          <w:szCs w:val="20"/>
        </w:rPr>
        <w:t>6</w:t>
      </w:r>
      <w:r w:rsidRPr="008B4342">
        <w:rPr>
          <w:rFonts w:eastAsia="Calibri" w:cs="Arial"/>
          <w:szCs w:val="20"/>
        </w:rPr>
        <w:t xml:space="preserve">) Za </w:t>
      </w:r>
      <w:r w:rsidRPr="00B145F8">
        <w:rPr>
          <w:rFonts w:eastAsia="Calibri" w:cs="Arial"/>
          <w:szCs w:val="20"/>
        </w:rPr>
        <w:t>opravljeno delo v manj ugodnem delovnem času in za čas pripravljenosti za delo, državnotožilskemu osebju pripada</w:t>
      </w:r>
      <w:r w:rsidR="009F48B1">
        <w:rPr>
          <w:rFonts w:eastAsia="Calibri" w:cs="Arial"/>
          <w:szCs w:val="20"/>
        </w:rPr>
        <w:t>jo</w:t>
      </w:r>
      <w:r w:rsidRPr="00B145F8">
        <w:rPr>
          <w:rFonts w:eastAsia="Calibri" w:cs="Arial"/>
          <w:szCs w:val="20"/>
        </w:rPr>
        <w:t xml:space="preserve"> </w:t>
      </w:r>
      <w:r w:rsidR="009F48B1">
        <w:rPr>
          <w:rFonts w:eastAsia="Calibri" w:cs="Arial"/>
          <w:szCs w:val="20"/>
        </w:rPr>
        <w:t>dodatki</w:t>
      </w:r>
      <w:r w:rsidRPr="00B145F8">
        <w:rPr>
          <w:rFonts w:eastAsia="Calibri" w:cs="Arial"/>
          <w:szCs w:val="20"/>
        </w:rPr>
        <w:t xml:space="preserve"> v skladu z zakonom, ki ureja sistem plač v javnem sektorju.</w:t>
      </w:r>
      <w:r w:rsidR="009F48B1" w:rsidRPr="009F48B1">
        <w:rPr>
          <w:rFonts w:eastAsia="Calibri" w:cs="Arial"/>
          <w:szCs w:val="20"/>
        </w:rPr>
        <w:t xml:space="preserve"> </w:t>
      </w:r>
      <w:r w:rsidR="009F48B1" w:rsidRPr="00B145F8">
        <w:rPr>
          <w:rFonts w:eastAsia="Calibri" w:cs="Arial"/>
          <w:szCs w:val="20"/>
        </w:rPr>
        <w:t xml:space="preserve">Višina dodatkov </w:t>
      </w:r>
      <w:r w:rsidR="009F48B1">
        <w:rPr>
          <w:rFonts w:eastAsia="Calibri" w:cs="Arial"/>
          <w:szCs w:val="20"/>
        </w:rPr>
        <w:t xml:space="preserve">iz tega člena </w:t>
      </w:r>
      <w:r w:rsidR="009F48B1" w:rsidRPr="00B145F8">
        <w:rPr>
          <w:rFonts w:eastAsia="Calibri" w:cs="Arial"/>
          <w:szCs w:val="20"/>
        </w:rPr>
        <w:t>se določi s kolektivno pogodbo za javni sektor.</w:t>
      </w:r>
      <w:r w:rsidR="009F48B1" w:rsidRPr="009F48B1">
        <w:rPr>
          <w:rFonts w:cs="Arial"/>
          <w:szCs w:val="20"/>
        </w:rPr>
        <w:t xml:space="preserve"> </w:t>
      </w:r>
      <w:r w:rsidR="009F48B1">
        <w:rPr>
          <w:rFonts w:cs="Arial"/>
          <w:szCs w:val="20"/>
        </w:rPr>
        <w:t>Dodatki iz tega člena pripadajo državnotožilskemu osebju le za čas opravljanja dela v času, ki je manj ugoden oziroma le za čas pripravljenosti za delo</w:t>
      </w:r>
      <w:r w:rsidRPr="002C00AA">
        <w:rPr>
          <w:rFonts w:eastAsia="Calibri" w:cs="Arial"/>
          <w:szCs w:val="20"/>
        </w:rPr>
        <w:t>.«.</w:t>
      </w:r>
    </w:p>
    <w:p w:rsidR="001E0D84" w:rsidRDefault="001E0D84" w:rsidP="009F48B1">
      <w:pPr>
        <w:spacing w:line="288" w:lineRule="auto"/>
        <w:rPr>
          <w:rFonts w:eastAsia="Calibri" w:cs="Arial"/>
          <w:b/>
          <w:szCs w:val="20"/>
        </w:rPr>
      </w:pPr>
    </w:p>
    <w:p w:rsidR="00F41FCE" w:rsidRPr="00785F2E" w:rsidRDefault="00F41FCE" w:rsidP="00F41FCE">
      <w:pPr>
        <w:spacing w:line="288" w:lineRule="auto"/>
        <w:jc w:val="center"/>
        <w:rPr>
          <w:rFonts w:eastAsia="Calibri" w:cs="Arial"/>
          <w:b/>
          <w:szCs w:val="20"/>
        </w:rPr>
      </w:pPr>
      <w:r>
        <w:rPr>
          <w:rFonts w:eastAsia="Calibri" w:cs="Arial"/>
          <w:b/>
          <w:szCs w:val="20"/>
        </w:rPr>
        <w:t>22</w:t>
      </w:r>
      <w:r w:rsidRPr="00785F2E">
        <w:rPr>
          <w:rFonts w:eastAsia="Calibri" w:cs="Arial"/>
          <w:b/>
          <w:szCs w:val="20"/>
        </w:rPr>
        <w:t>. člen</w:t>
      </w:r>
    </w:p>
    <w:p w:rsidR="00F41FCE" w:rsidRPr="00785F2E" w:rsidRDefault="00F41FCE" w:rsidP="00F41FCE">
      <w:pPr>
        <w:spacing w:line="288" w:lineRule="auto"/>
        <w:jc w:val="center"/>
        <w:rPr>
          <w:rFonts w:eastAsia="Calibri" w:cs="Arial"/>
          <w:b/>
          <w:szCs w:val="20"/>
        </w:rPr>
      </w:pPr>
    </w:p>
    <w:p w:rsidR="00F41FCE" w:rsidRPr="00785F2E" w:rsidRDefault="00B85884" w:rsidP="00F41FCE">
      <w:pPr>
        <w:spacing w:line="288" w:lineRule="auto"/>
        <w:jc w:val="both"/>
        <w:rPr>
          <w:rFonts w:eastAsia="Calibri" w:cs="Arial"/>
          <w:szCs w:val="20"/>
        </w:rPr>
      </w:pPr>
      <w:r w:rsidRPr="00B85884">
        <w:t>V</w:t>
      </w:r>
      <w:r w:rsidR="00F41FCE" w:rsidRPr="00B85884">
        <w:t xml:space="preserve"> drugi alineji</w:t>
      </w:r>
      <w:r w:rsidRPr="00B85884">
        <w:t xml:space="preserve"> drugega odstavka 138. člena</w:t>
      </w:r>
      <w:r w:rsidR="00F41FCE" w:rsidRPr="00B85884">
        <w:t>, drugem odstavku</w:t>
      </w:r>
      <w:r w:rsidRPr="00B85884">
        <w:t xml:space="preserve"> 147. člena</w:t>
      </w:r>
      <w:r w:rsidR="00F41FCE" w:rsidRPr="00B85884">
        <w:t>, drugi alineji</w:t>
      </w:r>
      <w:r w:rsidRPr="00B85884">
        <w:t xml:space="preserve"> prvega odstavka 149. člena</w:t>
      </w:r>
      <w:r w:rsidR="00F41FCE" w:rsidRPr="00B85884">
        <w:t>, tretji alineji</w:t>
      </w:r>
      <w:r w:rsidRPr="00B85884">
        <w:t xml:space="preserve"> tretjega odstavka 150. člena</w:t>
      </w:r>
      <w:r w:rsidR="00F41FCE" w:rsidRPr="00B85884">
        <w:t>, osmi alineji</w:t>
      </w:r>
      <w:r w:rsidRPr="00B85884">
        <w:t xml:space="preserve"> drugega odstavka 151. člena</w:t>
      </w:r>
      <w:r w:rsidR="00FD2102">
        <w:t xml:space="preserve"> in</w:t>
      </w:r>
      <w:r w:rsidR="00F41FCE" w:rsidRPr="00B85884">
        <w:t xml:space="preserve"> prvi alineji</w:t>
      </w:r>
      <w:r w:rsidRPr="00B85884">
        <w:t xml:space="preserve"> prvega odstavka 158. člena</w:t>
      </w:r>
      <w:r w:rsidRPr="00B85884">
        <w:rPr>
          <w:rFonts w:cs="Arial"/>
          <w:szCs w:val="20"/>
        </w:rPr>
        <w:t xml:space="preserve"> </w:t>
      </w:r>
      <w:r w:rsidR="00F41FCE" w:rsidRPr="00B85884">
        <w:t xml:space="preserve">se </w:t>
      </w:r>
      <w:r w:rsidR="00F41FCE" w:rsidRPr="00B85884">
        <w:rPr>
          <w:rFonts w:eastAsia="Calibri" w:cs="Arial"/>
          <w:szCs w:val="20"/>
        </w:rPr>
        <w:t>besedilo »tožilskega osebja«</w:t>
      </w:r>
      <w:r w:rsidR="00FD2102">
        <w:rPr>
          <w:rFonts w:eastAsia="Calibri" w:cs="Arial"/>
          <w:szCs w:val="20"/>
        </w:rPr>
        <w:t xml:space="preserve"> </w:t>
      </w:r>
      <w:r w:rsidR="00F41FCE" w:rsidRPr="00B85884">
        <w:rPr>
          <w:rFonts w:eastAsia="Calibri" w:cs="Arial"/>
          <w:szCs w:val="20"/>
        </w:rPr>
        <w:t>nadomesti z besedilom »državnotožilskega osebja«.</w:t>
      </w:r>
    </w:p>
    <w:p w:rsidR="00AE2155" w:rsidRDefault="00AE2155" w:rsidP="00B644CC">
      <w:pPr>
        <w:spacing w:line="288" w:lineRule="auto"/>
        <w:rPr>
          <w:rFonts w:eastAsia="Calibri" w:cs="Arial"/>
          <w:b/>
          <w:szCs w:val="20"/>
        </w:rPr>
      </w:pPr>
    </w:p>
    <w:p w:rsidR="00AE2155" w:rsidRPr="006E178C" w:rsidRDefault="00AE2155" w:rsidP="00B644CC">
      <w:pPr>
        <w:spacing w:line="288" w:lineRule="auto"/>
        <w:jc w:val="center"/>
        <w:rPr>
          <w:rFonts w:eastAsia="Calibri" w:cs="Arial"/>
          <w:b/>
          <w:szCs w:val="20"/>
        </w:rPr>
      </w:pPr>
      <w:r>
        <w:rPr>
          <w:rFonts w:eastAsia="Calibri" w:cs="Arial"/>
          <w:b/>
          <w:szCs w:val="20"/>
        </w:rPr>
        <w:t>2</w:t>
      </w:r>
      <w:r w:rsidR="00F41FCE">
        <w:rPr>
          <w:rFonts w:eastAsia="Calibri" w:cs="Arial"/>
          <w:b/>
          <w:szCs w:val="20"/>
        </w:rPr>
        <w:t>3</w:t>
      </w:r>
      <w:r w:rsidRPr="006E178C">
        <w:rPr>
          <w:rFonts w:eastAsia="Calibri" w:cs="Arial"/>
          <w:b/>
          <w:szCs w:val="20"/>
        </w:rPr>
        <w:t>. člen</w:t>
      </w:r>
    </w:p>
    <w:p w:rsidR="00AE2155" w:rsidRPr="006E178C" w:rsidRDefault="00AE2155" w:rsidP="00B644CC">
      <w:pPr>
        <w:spacing w:line="288" w:lineRule="auto"/>
        <w:jc w:val="both"/>
        <w:rPr>
          <w:rFonts w:eastAsia="Calibri" w:cs="Arial"/>
          <w:szCs w:val="20"/>
        </w:rPr>
      </w:pPr>
    </w:p>
    <w:p w:rsidR="00AE2155" w:rsidRPr="006E178C" w:rsidRDefault="00AE2155" w:rsidP="00B644CC">
      <w:pPr>
        <w:spacing w:line="288" w:lineRule="auto"/>
        <w:jc w:val="both"/>
        <w:rPr>
          <w:rFonts w:eastAsia="Calibri" w:cs="Arial"/>
          <w:szCs w:val="20"/>
        </w:rPr>
      </w:pPr>
      <w:r w:rsidRPr="006E178C">
        <w:rPr>
          <w:rFonts w:eastAsia="Calibri" w:cs="Arial"/>
          <w:szCs w:val="20"/>
        </w:rPr>
        <w:t>V 142. členu se prvi odstavek spremeni tako, da se glasi:</w:t>
      </w:r>
    </w:p>
    <w:p w:rsidR="00AE2155" w:rsidRDefault="00AE2155" w:rsidP="00B644CC">
      <w:pPr>
        <w:spacing w:line="288" w:lineRule="auto"/>
        <w:jc w:val="both"/>
        <w:rPr>
          <w:rFonts w:eastAsia="Calibri" w:cs="Arial"/>
          <w:szCs w:val="20"/>
        </w:rPr>
      </w:pPr>
    </w:p>
    <w:p w:rsidR="00AE2155" w:rsidRDefault="00AE2155" w:rsidP="00B644CC">
      <w:pPr>
        <w:spacing w:line="288" w:lineRule="auto"/>
        <w:jc w:val="both"/>
        <w:rPr>
          <w:rFonts w:cs="Arial"/>
          <w:szCs w:val="20"/>
        </w:rPr>
      </w:pPr>
      <w:r w:rsidRPr="006E178C">
        <w:rPr>
          <w:rFonts w:eastAsia="Calibri" w:cs="Arial"/>
          <w:szCs w:val="20"/>
        </w:rPr>
        <w:t>»</w:t>
      </w:r>
      <w:r w:rsidRPr="006E178C">
        <w:rPr>
          <w:rFonts w:cs="Arial"/>
          <w:szCs w:val="20"/>
        </w:rPr>
        <w:t>(1) Vodja</w:t>
      </w:r>
      <w:r>
        <w:rPr>
          <w:rFonts w:cs="Arial"/>
          <w:szCs w:val="20"/>
        </w:rPr>
        <w:t xml:space="preserve"> </w:t>
      </w:r>
      <w:r w:rsidRPr="006E178C">
        <w:rPr>
          <w:rFonts w:cs="Arial"/>
          <w:szCs w:val="20"/>
        </w:rPr>
        <w:t>državnega</w:t>
      </w:r>
      <w:r>
        <w:rPr>
          <w:rFonts w:cs="Arial"/>
          <w:szCs w:val="20"/>
        </w:rPr>
        <w:t xml:space="preserve"> </w:t>
      </w:r>
      <w:r w:rsidRPr="006E178C">
        <w:rPr>
          <w:rFonts w:cs="Arial"/>
          <w:szCs w:val="20"/>
        </w:rPr>
        <w:t>tožilstva z letnim</w:t>
      </w:r>
      <w:r>
        <w:rPr>
          <w:rFonts w:cs="Arial"/>
          <w:szCs w:val="20"/>
        </w:rPr>
        <w:t xml:space="preserve"> </w:t>
      </w:r>
      <w:r w:rsidRPr="006E178C">
        <w:rPr>
          <w:rFonts w:cs="Arial"/>
          <w:szCs w:val="20"/>
        </w:rPr>
        <w:t>razporedom</w:t>
      </w:r>
      <w:r>
        <w:rPr>
          <w:rFonts w:cs="Arial"/>
          <w:szCs w:val="20"/>
        </w:rPr>
        <w:t xml:space="preserve"> </w:t>
      </w:r>
      <w:r w:rsidRPr="006E178C">
        <w:rPr>
          <w:rFonts w:cs="Arial"/>
          <w:szCs w:val="20"/>
        </w:rPr>
        <w:t>dela</w:t>
      </w:r>
      <w:r>
        <w:rPr>
          <w:rFonts w:cs="Arial"/>
          <w:szCs w:val="20"/>
        </w:rPr>
        <w:t xml:space="preserve"> </w:t>
      </w:r>
      <w:r w:rsidRPr="006E178C">
        <w:rPr>
          <w:rFonts w:cs="Arial"/>
          <w:szCs w:val="20"/>
        </w:rPr>
        <w:t>določi</w:t>
      </w:r>
      <w:r>
        <w:rPr>
          <w:rFonts w:cs="Arial"/>
          <w:szCs w:val="20"/>
        </w:rPr>
        <w:t xml:space="preserve"> </w:t>
      </w:r>
      <w:r w:rsidRPr="006E178C">
        <w:rPr>
          <w:rFonts w:cs="Arial"/>
          <w:szCs w:val="20"/>
        </w:rPr>
        <w:t>razporeditev</w:t>
      </w:r>
      <w:r>
        <w:rPr>
          <w:rFonts w:cs="Arial"/>
          <w:szCs w:val="20"/>
        </w:rPr>
        <w:t xml:space="preserve"> </w:t>
      </w:r>
      <w:r w:rsidRPr="006E178C">
        <w:rPr>
          <w:rFonts w:cs="Arial"/>
          <w:szCs w:val="20"/>
        </w:rPr>
        <w:t>državnih</w:t>
      </w:r>
      <w:r>
        <w:rPr>
          <w:rFonts w:cs="Arial"/>
          <w:szCs w:val="20"/>
        </w:rPr>
        <w:t xml:space="preserve"> </w:t>
      </w:r>
      <w:r w:rsidRPr="006E178C">
        <w:rPr>
          <w:rFonts w:cs="Arial"/>
          <w:szCs w:val="20"/>
        </w:rPr>
        <w:t>tožilcev v oddelke</w:t>
      </w:r>
      <w:r>
        <w:rPr>
          <w:rFonts w:cs="Arial"/>
          <w:szCs w:val="20"/>
        </w:rPr>
        <w:t xml:space="preserve"> </w:t>
      </w:r>
      <w:r w:rsidRPr="006E178C">
        <w:rPr>
          <w:rFonts w:cs="Arial"/>
          <w:szCs w:val="20"/>
        </w:rPr>
        <w:t>oziroma</w:t>
      </w:r>
      <w:r>
        <w:rPr>
          <w:rFonts w:cs="Arial"/>
          <w:szCs w:val="20"/>
        </w:rPr>
        <w:t xml:space="preserve"> </w:t>
      </w:r>
      <w:r w:rsidRPr="006E178C">
        <w:rPr>
          <w:rFonts w:cs="Arial"/>
          <w:szCs w:val="20"/>
        </w:rPr>
        <w:t>notranje</w:t>
      </w:r>
      <w:r>
        <w:rPr>
          <w:rFonts w:cs="Arial"/>
          <w:szCs w:val="20"/>
        </w:rPr>
        <w:t xml:space="preserve"> </w:t>
      </w:r>
      <w:r w:rsidRPr="006E178C">
        <w:rPr>
          <w:rFonts w:cs="Arial"/>
          <w:szCs w:val="20"/>
        </w:rPr>
        <w:t>organizacijske</w:t>
      </w:r>
      <w:r>
        <w:rPr>
          <w:rFonts w:cs="Arial"/>
          <w:szCs w:val="20"/>
        </w:rPr>
        <w:t xml:space="preserve"> </w:t>
      </w:r>
      <w:r w:rsidRPr="006E178C">
        <w:rPr>
          <w:rFonts w:cs="Arial"/>
          <w:szCs w:val="20"/>
        </w:rPr>
        <w:t>enote, njihovo</w:t>
      </w:r>
      <w:r>
        <w:rPr>
          <w:rFonts w:cs="Arial"/>
          <w:szCs w:val="20"/>
        </w:rPr>
        <w:t xml:space="preserve"> </w:t>
      </w:r>
      <w:r w:rsidRPr="006E178C">
        <w:rPr>
          <w:rFonts w:cs="Arial"/>
          <w:szCs w:val="20"/>
        </w:rPr>
        <w:t>pravno</w:t>
      </w:r>
      <w:r>
        <w:rPr>
          <w:rFonts w:cs="Arial"/>
          <w:szCs w:val="20"/>
        </w:rPr>
        <w:t xml:space="preserve"> </w:t>
      </w:r>
      <w:r w:rsidRPr="006E178C">
        <w:rPr>
          <w:rFonts w:cs="Arial"/>
          <w:szCs w:val="20"/>
        </w:rPr>
        <w:t>področje</w:t>
      </w:r>
      <w:r>
        <w:rPr>
          <w:rFonts w:cs="Arial"/>
          <w:szCs w:val="20"/>
        </w:rPr>
        <w:t xml:space="preserve"> </w:t>
      </w:r>
      <w:r w:rsidRPr="006E178C">
        <w:rPr>
          <w:rFonts w:cs="Arial"/>
          <w:szCs w:val="20"/>
        </w:rPr>
        <w:t>dela, vodje</w:t>
      </w:r>
      <w:r>
        <w:rPr>
          <w:rFonts w:cs="Arial"/>
          <w:szCs w:val="20"/>
        </w:rPr>
        <w:t xml:space="preserve"> </w:t>
      </w:r>
      <w:r w:rsidRPr="006E178C">
        <w:rPr>
          <w:rFonts w:cs="Arial"/>
          <w:szCs w:val="20"/>
        </w:rPr>
        <w:t>in name</w:t>
      </w:r>
      <w:r>
        <w:rPr>
          <w:rFonts w:cs="Arial"/>
          <w:szCs w:val="20"/>
        </w:rPr>
        <w:t xml:space="preserve">stnike </w:t>
      </w:r>
      <w:r w:rsidRPr="00785F2E">
        <w:rPr>
          <w:rFonts w:cs="Arial"/>
          <w:szCs w:val="20"/>
        </w:rPr>
        <w:t>vodij</w:t>
      </w:r>
      <w:r>
        <w:rPr>
          <w:rFonts w:cs="Arial"/>
          <w:szCs w:val="20"/>
        </w:rPr>
        <w:t xml:space="preserve"> </w:t>
      </w:r>
      <w:r w:rsidRPr="006E178C">
        <w:rPr>
          <w:rFonts w:cs="Arial"/>
          <w:szCs w:val="20"/>
        </w:rPr>
        <w:t>oddelko</w:t>
      </w:r>
      <w:r>
        <w:rPr>
          <w:rFonts w:cs="Arial"/>
          <w:szCs w:val="20"/>
        </w:rPr>
        <w:t xml:space="preserve">v </w:t>
      </w:r>
      <w:r w:rsidRPr="006E178C">
        <w:rPr>
          <w:rFonts w:cs="Arial"/>
          <w:szCs w:val="20"/>
        </w:rPr>
        <w:t>oziroma</w:t>
      </w:r>
      <w:r>
        <w:rPr>
          <w:rFonts w:cs="Arial"/>
          <w:szCs w:val="20"/>
        </w:rPr>
        <w:t xml:space="preserve"> </w:t>
      </w:r>
      <w:r w:rsidRPr="006E178C">
        <w:rPr>
          <w:rFonts w:cs="Arial"/>
          <w:szCs w:val="20"/>
        </w:rPr>
        <w:t>notranjih</w:t>
      </w:r>
      <w:r>
        <w:rPr>
          <w:rFonts w:cs="Arial"/>
          <w:szCs w:val="20"/>
        </w:rPr>
        <w:t xml:space="preserve"> </w:t>
      </w:r>
      <w:r w:rsidRPr="006E178C">
        <w:rPr>
          <w:rFonts w:cs="Arial"/>
          <w:szCs w:val="20"/>
        </w:rPr>
        <w:t>organizacijskih</w:t>
      </w:r>
      <w:r>
        <w:rPr>
          <w:rFonts w:cs="Arial"/>
          <w:szCs w:val="20"/>
        </w:rPr>
        <w:t xml:space="preserve"> </w:t>
      </w:r>
      <w:r w:rsidRPr="006E178C">
        <w:rPr>
          <w:rFonts w:cs="Arial"/>
          <w:szCs w:val="20"/>
        </w:rPr>
        <w:t>enot</w:t>
      </w:r>
      <w:r>
        <w:rPr>
          <w:rFonts w:cs="Arial"/>
          <w:szCs w:val="20"/>
        </w:rPr>
        <w:t xml:space="preserve">. </w:t>
      </w:r>
      <w:r w:rsidRPr="006E178C">
        <w:rPr>
          <w:rFonts w:cs="Arial"/>
          <w:szCs w:val="20"/>
        </w:rPr>
        <w:t>V letnem razporedu vodja državnega tožilstva določi tudi izhodišča in okvirni način odrejanja  razporeda dežurstev in časa izrabe letnih dopustov.</w:t>
      </w:r>
      <w:r>
        <w:rPr>
          <w:rFonts w:cs="Arial"/>
          <w:szCs w:val="20"/>
        </w:rPr>
        <w:t>«.</w:t>
      </w:r>
    </w:p>
    <w:p w:rsidR="00796EB1" w:rsidRDefault="00796EB1" w:rsidP="00B644CC">
      <w:pPr>
        <w:spacing w:line="288" w:lineRule="auto"/>
        <w:jc w:val="both"/>
        <w:rPr>
          <w:rFonts w:cs="Arial"/>
          <w:szCs w:val="20"/>
        </w:rPr>
      </w:pPr>
    </w:p>
    <w:p w:rsidR="00796EB1" w:rsidRPr="00421E39" w:rsidRDefault="00796EB1" w:rsidP="00B644CC">
      <w:pPr>
        <w:spacing w:line="288" w:lineRule="auto"/>
        <w:jc w:val="center"/>
        <w:rPr>
          <w:rFonts w:eastAsia="Calibri" w:cs="Arial"/>
          <w:b/>
          <w:bCs/>
          <w:szCs w:val="20"/>
          <w:lang w:eastAsia="sl-SI"/>
        </w:rPr>
      </w:pPr>
      <w:bookmarkStart w:id="39" w:name="_Hlk43216990"/>
      <w:r>
        <w:rPr>
          <w:rFonts w:eastAsia="Calibri" w:cs="Arial"/>
          <w:b/>
          <w:bCs/>
          <w:szCs w:val="20"/>
          <w:lang w:eastAsia="sl-SI"/>
        </w:rPr>
        <w:t>2</w:t>
      </w:r>
      <w:r w:rsidR="00F41FCE">
        <w:rPr>
          <w:rFonts w:eastAsia="Calibri" w:cs="Arial"/>
          <w:b/>
          <w:bCs/>
          <w:szCs w:val="20"/>
          <w:lang w:eastAsia="sl-SI"/>
        </w:rPr>
        <w:t>4</w:t>
      </w:r>
      <w:r w:rsidRPr="00421E39">
        <w:rPr>
          <w:rFonts w:eastAsia="Calibri" w:cs="Arial"/>
          <w:b/>
          <w:bCs/>
          <w:szCs w:val="20"/>
          <w:lang w:eastAsia="sl-SI"/>
        </w:rPr>
        <w:t>. člen</w:t>
      </w:r>
    </w:p>
    <w:p w:rsidR="00394573" w:rsidRDefault="00394573" w:rsidP="00394573">
      <w:pPr>
        <w:spacing w:line="288" w:lineRule="auto"/>
        <w:jc w:val="both"/>
        <w:rPr>
          <w:rFonts w:eastAsia="Calibri" w:cs="Arial"/>
          <w:szCs w:val="20"/>
          <w:lang w:eastAsia="sl-SI"/>
        </w:rPr>
      </w:pPr>
      <w:bookmarkStart w:id="40" w:name="_Hlk42851034"/>
    </w:p>
    <w:p w:rsidR="00394573" w:rsidRDefault="009109A5" w:rsidP="00394573">
      <w:pPr>
        <w:spacing w:line="288" w:lineRule="auto"/>
        <w:jc w:val="both"/>
        <w:rPr>
          <w:rFonts w:eastAsia="Calibri" w:cs="Arial"/>
          <w:szCs w:val="20"/>
          <w:lang w:eastAsia="sl-SI"/>
        </w:rPr>
      </w:pPr>
      <w:r w:rsidRPr="009109A5">
        <w:rPr>
          <w:rFonts w:eastAsia="Calibri" w:cs="Arial"/>
          <w:szCs w:val="20"/>
          <w:lang w:eastAsia="sl-SI"/>
        </w:rPr>
        <w:t>V 169. členu se v prvem odstavku besed</w:t>
      </w:r>
      <w:r w:rsidR="00E00CB6">
        <w:rPr>
          <w:rFonts w:eastAsia="Calibri" w:cs="Arial"/>
          <w:szCs w:val="20"/>
          <w:lang w:eastAsia="sl-SI"/>
        </w:rPr>
        <w:t>ilo</w:t>
      </w:r>
      <w:r w:rsidRPr="009109A5">
        <w:rPr>
          <w:rFonts w:eastAsia="Calibri" w:cs="Arial"/>
          <w:szCs w:val="20"/>
          <w:lang w:eastAsia="sl-SI"/>
        </w:rPr>
        <w:t xml:space="preserve"> »na vpogled« nadomesti z bese</w:t>
      </w:r>
      <w:r w:rsidR="00E00CB6">
        <w:rPr>
          <w:rFonts w:eastAsia="Calibri" w:cs="Arial"/>
          <w:szCs w:val="20"/>
          <w:lang w:eastAsia="sl-SI"/>
        </w:rPr>
        <w:t>dilom</w:t>
      </w:r>
      <w:r w:rsidRPr="009109A5">
        <w:rPr>
          <w:rFonts w:eastAsia="Calibri" w:cs="Arial"/>
          <w:szCs w:val="20"/>
          <w:lang w:eastAsia="sl-SI"/>
        </w:rPr>
        <w:t xml:space="preserve"> »v sopodpis«.</w:t>
      </w:r>
    </w:p>
    <w:p w:rsidR="009109A5" w:rsidRPr="00497F1C" w:rsidRDefault="009109A5" w:rsidP="00394573">
      <w:pPr>
        <w:spacing w:line="288" w:lineRule="auto"/>
        <w:jc w:val="both"/>
        <w:rPr>
          <w:rFonts w:eastAsia="Calibri" w:cs="Arial"/>
          <w:szCs w:val="20"/>
          <w:lang w:eastAsia="sl-SI"/>
        </w:rPr>
      </w:pPr>
    </w:p>
    <w:p w:rsidR="00394573" w:rsidRPr="00497F1C" w:rsidRDefault="00394573" w:rsidP="00394573">
      <w:pPr>
        <w:spacing w:line="288" w:lineRule="auto"/>
        <w:jc w:val="both"/>
        <w:rPr>
          <w:rFonts w:eastAsia="Calibri" w:cs="Arial"/>
          <w:szCs w:val="20"/>
          <w:lang w:eastAsia="sl-SI"/>
        </w:rPr>
      </w:pPr>
      <w:r w:rsidRPr="00497F1C">
        <w:rPr>
          <w:rFonts w:eastAsia="Calibri" w:cs="Arial"/>
          <w:szCs w:val="20"/>
          <w:lang w:eastAsia="sl-SI"/>
        </w:rPr>
        <w:t>Za prvim odstavkom se doda</w:t>
      </w:r>
      <w:r w:rsidR="009310B7">
        <w:rPr>
          <w:rFonts w:eastAsia="Calibri" w:cs="Arial"/>
          <w:szCs w:val="20"/>
          <w:lang w:eastAsia="sl-SI"/>
        </w:rPr>
        <w:t>ta</w:t>
      </w:r>
      <w:r w:rsidRPr="00497F1C">
        <w:rPr>
          <w:rFonts w:eastAsia="Calibri" w:cs="Arial"/>
          <w:szCs w:val="20"/>
          <w:lang w:eastAsia="sl-SI"/>
        </w:rPr>
        <w:t xml:space="preserve"> nov</w:t>
      </w:r>
      <w:r w:rsidR="009310B7">
        <w:rPr>
          <w:rFonts w:eastAsia="Calibri" w:cs="Arial"/>
          <w:szCs w:val="20"/>
          <w:lang w:eastAsia="sl-SI"/>
        </w:rPr>
        <w:t>a</w:t>
      </w:r>
      <w:r w:rsidRPr="00497F1C">
        <w:rPr>
          <w:rFonts w:eastAsia="Calibri" w:cs="Arial"/>
          <w:szCs w:val="20"/>
          <w:lang w:eastAsia="sl-SI"/>
        </w:rPr>
        <w:t xml:space="preserve"> drugi</w:t>
      </w:r>
      <w:r w:rsidR="009310B7">
        <w:rPr>
          <w:rFonts w:eastAsia="Calibri" w:cs="Arial"/>
          <w:szCs w:val="20"/>
          <w:lang w:eastAsia="sl-SI"/>
        </w:rPr>
        <w:t xml:space="preserve"> in tretji</w:t>
      </w:r>
      <w:r w:rsidRPr="00497F1C">
        <w:rPr>
          <w:rFonts w:eastAsia="Calibri" w:cs="Arial"/>
          <w:szCs w:val="20"/>
          <w:lang w:eastAsia="sl-SI"/>
        </w:rPr>
        <w:t xml:space="preserve"> odstavek, ki se glasi</w:t>
      </w:r>
      <w:r w:rsidR="009310B7">
        <w:rPr>
          <w:rFonts w:eastAsia="Calibri" w:cs="Arial"/>
          <w:szCs w:val="20"/>
          <w:lang w:eastAsia="sl-SI"/>
        </w:rPr>
        <w:t>ta</w:t>
      </w:r>
      <w:r w:rsidRPr="00497F1C">
        <w:rPr>
          <w:rFonts w:eastAsia="Calibri" w:cs="Arial"/>
          <w:szCs w:val="20"/>
          <w:lang w:eastAsia="sl-SI"/>
        </w:rPr>
        <w:t>:</w:t>
      </w:r>
    </w:p>
    <w:p w:rsidR="00394573" w:rsidRPr="00497F1C" w:rsidRDefault="00394573" w:rsidP="00394573">
      <w:pPr>
        <w:spacing w:line="288" w:lineRule="auto"/>
        <w:jc w:val="both"/>
        <w:rPr>
          <w:rFonts w:eastAsia="Calibri" w:cs="Arial"/>
          <w:szCs w:val="20"/>
          <w:lang w:eastAsia="sl-SI"/>
        </w:rPr>
      </w:pPr>
    </w:p>
    <w:p w:rsidR="006F4150" w:rsidRDefault="009109A5" w:rsidP="00394573">
      <w:pPr>
        <w:spacing w:line="288" w:lineRule="auto"/>
        <w:jc w:val="both"/>
        <w:rPr>
          <w:rFonts w:eastAsia="Calibri" w:cs="Arial"/>
          <w:szCs w:val="20"/>
          <w:lang w:eastAsia="sl-SI"/>
        </w:rPr>
      </w:pPr>
      <w:r w:rsidRPr="009109A5">
        <w:rPr>
          <w:rFonts w:eastAsia="Calibri" w:cs="Arial"/>
          <w:szCs w:val="20"/>
          <w:lang w:eastAsia="sl-SI"/>
        </w:rPr>
        <w:t xml:space="preserve">»(2) Ne glede na prejšnji odstavek </w:t>
      </w:r>
      <w:r w:rsidR="00E00CB6">
        <w:rPr>
          <w:rFonts w:eastAsia="Calibri" w:cs="Arial"/>
          <w:szCs w:val="20"/>
          <w:lang w:eastAsia="sl-SI"/>
        </w:rPr>
        <w:t xml:space="preserve">mora državni tožilec pred </w:t>
      </w:r>
      <w:r w:rsidR="00E00CB6" w:rsidRPr="009109A5">
        <w:rPr>
          <w:rFonts w:eastAsia="Calibri" w:cs="Arial"/>
          <w:szCs w:val="20"/>
          <w:lang w:eastAsia="sl-SI"/>
        </w:rPr>
        <w:t>zavrženj</w:t>
      </w:r>
      <w:r w:rsidR="006F4150">
        <w:rPr>
          <w:rFonts w:eastAsia="Calibri" w:cs="Arial"/>
          <w:szCs w:val="20"/>
          <w:lang w:eastAsia="sl-SI"/>
        </w:rPr>
        <w:t>em</w:t>
      </w:r>
      <w:r w:rsidR="00E00CB6" w:rsidRPr="009109A5">
        <w:rPr>
          <w:rFonts w:eastAsia="Calibri" w:cs="Arial"/>
          <w:szCs w:val="20"/>
          <w:lang w:eastAsia="sl-SI"/>
        </w:rPr>
        <w:t xml:space="preserve"> ovadbe za kaznivo dejanje, za katero je v zakonu predpisana kazen zapora več kot tri leta</w:t>
      </w:r>
      <w:r w:rsidR="00E00CB6">
        <w:rPr>
          <w:rFonts w:eastAsia="Calibri" w:cs="Arial"/>
          <w:szCs w:val="20"/>
          <w:lang w:eastAsia="sl-SI"/>
        </w:rPr>
        <w:t xml:space="preserve">, </w:t>
      </w:r>
      <w:r w:rsidRPr="009109A5">
        <w:rPr>
          <w:rFonts w:eastAsia="Calibri" w:cs="Arial"/>
          <w:szCs w:val="20"/>
          <w:lang w:eastAsia="sl-SI"/>
        </w:rPr>
        <w:t>predložit</w:t>
      </w:r>
      <w:r w:rsidR="00E00CB6">
        <w:rPr>
          <w:rFonts w:eastAsia="Calibri" w:cs="Arial"/>
          <w:szCs w:val="20"/>
          <w:lang w:eastAsia="sl-SI"/>
        </w:rPr>
        <w:t>i</w:t>
      </w:r>
      <w:r w:rsidRPr="009109A5">
        <w:rPr>
          <w:rFonts w:eastAsia="Calibri" w:cs="Arial"/>
          <w:szCs w:val="20"/>
          <w:lang w:eastAsia="sl-SI"/>
        </w:rPr>
        <w:t xml:space="preserve"> osnut</w:t>
      </w:r>
      <w:r w:rsidR="00E00CB6">
        <w:rPr>
          <w:rFonts w:eastAsia="Calibri" w:cs="Arial"/>
          <w:szCs w:val="20"/>
          <w:lang w:eastAsia="sl-SI"/>
        </w:rPr>
        <w:t>e</w:t>
      </w:r>
      <w:r w:rsidRPr="009109A5">
        <w:rPr>
          <w:rFonts w:eastAsia="Calibri" w:cs="Arial"/>
          <w:szCs w:val="20"/>
          <w:lang w:eastAsia="sl-SI"/>
        </w:rPr>
        <w:t xml:space="preserve">k </w:t>
      </w:r>
      <w:r w:rsidR="00E00CB6">
        <w:rPr>
          <w:rFonts w:eastAsia="Calibri" w:cs="Arial"/>
          <w:szCs w:val="20"/>
          <w:lang w:eastAsia="sl-SI"/>
        </w:rPr>
        <w:t xml:space="preserve">tega </w:t>
      </w:r>
      <w:r w:rsidRPr="009109A5">
        <w:rPr>
          <w:rFonts w:eastAsia="Calibri" w:cs="Arial"/>
          <w:szCs w:val="20"/>
          <w:lang w:eastAsia="sl-SI"/>
        </w:rPr>
        <w:t xml:space="preserve">akta v sopodpis vodji državnega tožilstva. </w:t>
      </w:r>
    </w:p>
    <w:p w:rsidR="006F4150" w:rsidRDefault="006F4150" w:rsidP="00394573">
      <w:pPr>
        <w:spacing w:line="288" w:lineRule="auto"/>
        <w:jc w:val="both"/>
        <w:rPr>
          <w:rFonts w:eastAsia="Calibri" w:cs="Arial"/>
          <w:szCs w:val="20"/>
          <w:lang w:eastAsia="sl-SI"/>
        </w:rPr>
      </w:pPr>
    </w:p>
    <w:p w:rsidR="006F4150" w:rsidRDefault="009310B7" w:rsidP="00394573">
      <w:pPr>
        <w:spacing w:line="288" w:lineRule="auto"/>
        <w:jc w:val="both"/>
        <w:rPr>
          <w:rFonts w:eastAsia="Calibri" w:cs="Arial"/>
          <w:szCs w:val="20"/>
          <w:lang w:eastAsia="sl-SI"/>
        </w:rPr>
      </w:pPr>
      <w:r>
        <w:rPr>
          <w:rFonts w:eastAsia="Calibri" w:cs="Arial"/>
          <w:szCs w:val="20"/>
          <w:lang w:eastAsia="sl-SI"/>
        </w:rPr>
        <w:t xml:space="preserve">(3) </w:t>
      </w:r>
      <w:r w:rsidR="006F4150">
        <w:rPr>
          <w:rFonts w:eastAsia="Calibri" w:cs="Arial"/>
          <w:szCs w:val="20"/>
          <w:lang w:eastAsia="sl-SI"/>
        </w:rPr>
        <w:t xml:space="preserve">Če gre za kaznivo dejanje, </w:t>
      </w:r>
      <w:r w:rsidR="006F4150" w:rsidRPr="009109A5">
        <w:rPr>
          <w:rFonts w:eastAsia="Calibri" w:cs="Arial"/>
          <w:szCs w:val="20"/>
          <w:lang w:eastAsia="sl-SI"/>
        </w:rPr>
        <w:t>za katero je v zakonu predpisana kazen zapora več kot osem let</w:t>
      </w:r>
      <w:r w:rsidR="006F4150">
        <w:rPr>
          <w:rFonts w:eastAsia="Calibri" w:cs="Arial"/>
          <w:szCs w:val="20"/>
          <w:lang w:eastAsia="sl-SI"/>
        </w:rPr>
        <w:t>,</w:t>
      </w:r>
      <w:r w:rsidR="006F4150" w:rsidRPr="009109A5">
        <w:rPr>
          <w:rFonts w:eastAsia="Calibri" w:cs="Arial"/>
          <w:szCs w:val="20"/>
          <w:lang w:eastAsia="sl-SI"/>
        </w:rPr>
        <w:t xml:space="preserve"> </w:t>
      </w:r>
      <w:r w:rsidR="006F4150">
        <w:rPr>
          <w:rFonts w:eastAsia="Calibri" w:cs="Arial"/>
          <w:szCs w:val="20"/>
          <w:lang w:eastAsia="sl-SI"/>
        </w:rPr>
        <w:t>v</w:t>
      </w:r>
      <w:r w:rsidR="009109A5" w:rsidRPr="009109A5">
        <w:rPr>
          <w:rFonts w:eastAsia="Calibri" w:cs="Arial"/>
          <w:szCs w:val="20"/>
          <w:lang w:eastAsia="sl-SI"/>
        </w:rPr>
        <w:t>odja državnega tožilstva</w:t>
      </w:r>
      <w:r w:rsidR="006F4150">
        <w:rPr>
          <w:rFonts w:eastAsia="Calibri" w:cs="Arial"/>
          <w:szCs w:val="20"/>
          <w:lang w:eastAsia="sl-SI"/>
        </w:rPr>
        <w:t xml:space="preserve"> predhodno pridobi</w:t>
      </w:r>
      <w:r w:rsidR="009109A5" w:rsidRPr="009109A5">
        <w:rPr>
          <w:rFonts w:eastAsia="Calibri" w:cs="Arial"/>
          <w:szCs w:val="20"/>
          <w:lang w:eastAsia="sl-SI"/>
        </w:rPr>
        <w:t xml:space="preserve"> mnenj</w:t>
      </w:r>
      <w:r w:rsidR="006F4150">
        <w:rPr>
          <w:rFonts w:eastAsia="Calibri" w:cs="Arial"/>
          <w:szCs w:val="20"/>
          <w:lang w:eastAsia="sl-SI"/>
        </w:rPr>
        <w:t>e</w:t>
      </w:r>
      <w:r w:rsidR="009109A5" w:rsidRPr="009109A5">
        <w:rPr>
          <w:rFonts w:eastAsia="Calibri" w:cs="Arial"/>
          <w:szCs w:val="20"/>
          <w:lang w:eastAsia="sl-SI"/>
        </w:rPr>
        <w:t xml:space="preserve"> dveh državnih tožilcev, ki sta z letnim razporedom določena za vodenje oddelka. Če na državnem tožilstvu ni oblikovanega oddelka, mnenje podata državna tožilca, ki ju z odredbo določi vodja </w:t>
      </w:r>
      <w:r>
        <w:rPr>
          <w:rFonts w:eastAsia="Calibri" w:cs="Arial"/>
          <w:szCs w:val="20"/>
          <w:lang w:eastAsia="sl-SI"/>
        </w:rPr>
        <w:t xml:space="preserve">tega </w:t>
      </w:r>
      <w:r w:rsidR="009109A5" w:rsidRPr="009109A5">
        <w:rPr>
          <w:rFonts w:eastAsia="Calibri" w:cs="Arial"/>
          <w:szCs w:val="20"/>
          <w:lang w:eastAsia="sl-SI"/>
        </w:rPr>
        <w:t>državnega tožilstva</w:t>
      </w:r>
      <w:r w:rsidR="003E741A">
        <w:rPr>
          <w:rFonts w:eastAsia="Calibri" w:cs="Arial"/>
          <w:szCs w:val="20"/>
          <w:lang w:eastAsia="sl-SI"/>
        </w:rPr>
        <w:t>.</w:t>
      </w:r>
      <w:r>
        <w:rPr>
          <w:rFonts w:eastAsia="Calibri" w:cs="Arial"/>
          <w:szCs w:val="20"/>
          <w:lang w:eastAsia="sl-SI"/>
        </w:rPr>
        <w:t xml:space="preserve"> </w:t>
      </w:r>
      <w:r w:rsidR="003E741A">
        <w:rPr>
          <w:rFonts w:eastAsia="Calibri" w:cs="Arial"/>
          <w:szCs w:val="20"/>
          <w:lang w:eastAsia="sl-SI"/>
        </w:rPr>
        <w:t xml:space="preserve">V </w:t>
      </w:r>
      <w:r>
        <w:rPr>
          <w:rFonts w:eastAsia="Calibri" w:cs="Arial"/>
          <w:szCs w:val="20"/>
          <w:lang w:eastAsia="sl-SI"/>
        </w:rPr>
        <w:t>zadev</w:t>
      </w:r>
      <w:r w:rsidR="003E741A">
        <w:rPr>
          <w:rFonts w:eastAsia="Calibri" w:cs="Arial"/>
          <w:szCs w:val="20"/>
          <w:lang w:eastAsia="sl-SI"/>
        </w:rPr>
        <w:t>ah</w:t>
      </w:r>
      <w:r>
        <w:rPr>
          <w:rFonts w:eastAsia="Calibri" w:cs="Arial"/>
          <w:szCs w:val="20"/>
          <w:lang w:eastAsia="sl-SI"/>
        </w:rPr>
        <w:t xml:space="preserve"> </w:t>
      </w:r>
      <w:r w:rsidRPr="009109A5">
        <w:rPr>
          <w:rFonts w:eastAsia="Calibri" w:cs="Arial"/>
          <w:szCs w:val="20"/>
          <w:lang w:eastAsia="sl-SI"/>
        </w:rPr>
        <w:t>iz pristojnosti Oddelka za preiskovanje in pregon uradnih oseb s posebnimi pooblastili</w:t>
      </w:r>
      <w:r>
        <w:rPr>
          <w:rFonts w:eastAsia="Calibri" w:cs="Arial"/>
          <w:szCs w:val="20"/>
          <w:lang w:eastAsia="sl-SI"/>
        </w:rPr>
        <w:t xml:space="preserve"> predhodno mnenje </w:t>
      </w:r>
      <w:r w:rsidR="003E741A">
        <w:rPr>
          <w:rFonts w:eastAsia="Calibri" w:cs="Arial"/>
          <w:szCs w:val="20"/>
          <w:lang w:eastAsia="sl-SI"/>
        </w:rPr>
        <w:t xml:space="preserve">podata </w:t>
      </w:r>
      <w:r>
        <w:rPr>
          <w:rFonts w:eastAsia="Calibri" w:cs="Arial"/>
          <w:szCs w:val="20"/>
          <w:lang w:eastAsia="sl-SI"/>
        </w:rPr>
        <w:t>državn</w:t>
      </w:r>
      <w:r w:rsidR="003264A3">
        <w:rPr>
          <w:rFonts w:eastAsia="Calibri" w:cs="Arial"/>
          <w:szCs w:val="20"/>
          <w:lang w:eastAsia="sl-SI"/>
        </w:rPr>
        <w:t>a</w:t>
      </w:r>
      <w:r>
        <w:rPr>
          <w:rFonts w:eastAsia="Calibri" w:cs="Arial"/>
          <w:szCs w:val="20"/>
          <w:lang w:eastAsia="sl-SI"/>
        </w:rPr>
        <w:t xml:space="preserve"> tožilca</w:t>
      </w:r>
      <w:r w:rsidR="003E741A">
        <w:rPr>
          <w:rFonts w:eastAsia="Calibri" w:cs="Arial"/>
          <w:szCs w:val="20"/>
          <w:lang w:eastAsia="sl-SI"/>
        </w:rPr>
        <w:t>, ki državnotožilsko službo opravljata na Specializiranem državnem tožilstvu</w:t>
      </w:r>
      <w:r>
        <w:rPr>
          <w:rFonts w:eastAsia="Calibri" w:cs="Arial"/>
          <w:szCs w:val="20"/>
          <w:lang w:eastAsia="sl-SI"/>
        </w:rPr>
        <w:t>.«.</w:t>
      </w:r>
    </w:p>
    <w:p w:rsidR="009109A5" w:rsidRDefault="009109A5" w:rsidP="00394573">
      <w:pPr>
        <w:spacing w:line="288" w:lineRule="auto"/>
        <w:jc w:val="both"/>
        <w:rPr>
          <w:rFonts w:eastAsia="Calibri" w:cs="Arial"/>
          <w:szCs w:val="20"/>
          <w:lang w:eastAsia="sl-SI"/>
        </w:rPr>
      </w:pPr>
    </w:p>
    <w:p w:rsidR="00394573" w:rsidRPr="00497F1C" w:rsidRDefault="00394573" w:rsidP="00394573">
      <w:pPr>
        <w:spacing w:line="288" w:lineRule="auto"/>
        <w:jc w:val="both"/>
        <w:rPr>
          <w:rFonts w:eastAsia="Calibri" w:cs="Arial"/>
          <w:szCs w:val="20"/>
          <w:lang w:eastAsia="sl-SI"/>
        </w:rPr>
      </w:pPr>
      <w:r w:rsidRPr="00497F1C">
        <w:rPr>
          <w:rFonts w:eastAsia="Calibri" w:cs="Arial"/>
          <w:szCs w:val="20"/>
          <w:lang w:eastAsia="sl-SI"/>
        </w:rPr>
        <w:t xml:space="preserve">V dosedanjem drugem odstavku, ki postane </w:t>
      </w:r>
      <w:r w:rsidR="009310B7">
        <w:rPr>
          <w:rFonts w:eastAsia="Calibri" w:cs="Arial"/>
          <w:szCs w:val="20"/>
          <w:lang w:eastAsia="sl-SI"/>
        </w:rPr>
        <w:t xml:space="preserve">četrti </w:t>
      </w:r>
      <w:r w:rsidRPr="00497F1C">
        <w:rPr>
          <w:rFonts w:eastAsia="Calibri" w:cs="Arial"/>
          <w:szCs w:val="20"/>
          <w:lang w:eastAsia="sl-SI"/>
        </w:rPr>
        <w:t>odstavek, se besedilo »prejšnjega odstavka« nadomesti z besedilom »pr</w:t>
      </w:r>
      <w:r w:rsidR="008D35C2">
        <w:rPr>
          <w:rFonts w:eastAsia="Calibri" w:cs="Arial"/>
          <w:szCs w:val="20"/>
          <w:lang w:eastAsia="sl-SI"/>
        </w:rPr>
        <w:t xml:space="preserve">ejšnjih </w:t>
      </w:r>
      <w:r w:rsidRPr="00497F1C">
        <w:rPr>
          <w:rFonts w:eastAsia="Calibri" w:cs="Arial"/>
          <w:szCs w:val="20"/>
          <w:lang w:eastAsia="sl-SI"/>
        </w:rPr>
        <w:t>odstavk</w:t>
      </w:r>
      <w:r w:rsidR="008D35C2">
        <w:rPr>
          <w:rFonts w:eastAsia="Calibri" w:cs="Arial"/>
          <w:szCs w:val="20"/>
          <w:lang w:eastAsia="sl-SI"/>
        </w:rPr>
        <w:t>ov</w:t>
      </w:r>
      <w:r w:rsidRPr="00497F1C">
        <w:rPr>
          <w:rFonts w:eastAsia="Calibri" w:cs="Arial"/>
          <w:szCs w:val="20"/>
          <w:lang w:eastAsia="sl-SI"/>
        </w:rPr>
        <w:t xml:space="preserve"> tega člena«.</w:t>
      </w:r>
    </w:p>
    <w:p w:rsidR="00394573" w:rsidRPr="00497F1C" w:rsidRDefault="00394573" w:rsidP="00394573">
      <w:pPr>
        <w:spacing w:line="288" w:lineRule="auto"/>
        <w:jc w:val="both"/>
        <w:rPr>
          <w:rFonts w:eastAsia="Calibri" w:cs="Arial"/>
          <w:szCs w:val="20"/>
          <w:lang w:eastAsia="sl-SI"/>
        </w:rPr>
      </w:pPr>
    </w:p>
    <w:p w:rsidR="00394573" w:rsidRDefault="00394573" w:rsidP="009109A5">
      <w:pPr>
        <w:spacing w:line="288" w:lineRule="auto"/>
        <w:jc w:val="both"/>
        <w:rPr>
          <w:rFonts w:eastAsia="Calibri" w:cs="Arial"/>
          <w:szCs w:val="20"/>
          <w:lang w:eastAsia="sl-SI"/>
        </w:rPr>
      </w:pPr>
      <w:r w:rsidRPr="00497F1C">
        <w:rPr>
          <w:rFonts w:eastAsia="Calibri" w:cs="Arial"/>
          <w:szCs w:val="20"/>
          <w:lang w:eastAsia="sl-SI"/>
        </w:rPr>
        <w:t xml:space="preserve">V dosedanjem tretjem odstavku, ki postane </w:t>
      </w:r>
      <w:r w:rsidR="009310B7">
        <w:rPr>
          <w:rFonts w:eastAsia="Calibri" w:cs="Arial"/>
          <w:szCs w:val="20"/>
          <w:lang w:eastAsia="sl-SI"/>
        </w:rPr>
        <w:t>peti</w:t>
      </w:r>
      <w:r w:rsidRPr="00497F1C">
        <w:rPr>
          <w:rFonts w:eastAsia="Calibri" w:cs="Arial"/>
          <w:szCs w:val="20"/>
          <w:lang w:eastAsia="sl-SI"/>
        </w:rPr>
        <w:t xml:space="preserve"> odstavek</w:t>
      </w:r>
      <w:r w:rsidR="00CA4C2C">
        <w:rPr>
          <w:rFonts w:eastAsia="Calibri" w:cs="Arial"/>
          <w:szCs w:val="20"/>
          <w:lang w:eastAsia="sl-SI"/>
        </w:rPr>
        <w:t>,</w:t>
      </w:r>
      <w:r w:rsidRPr="00497F1C">
        <w:rPr>
          <w:rFonts w:eastAsia="Calibri" w:cs="Arial"/>
          <w:szCs w:val="20"/>
          <w:lang w:eastAsia="sl-SI"/>
        </w:rPr>
        <w:t xml:space="preserve"> se </w:t>
      </w:r>
      <w:r w:rsidR="009310B7">
        <w:rPr>
          <w:rFonts w:eastAsia="Calibri" w:cs="Arial"/>
          <w:szCs w:val="20"/>
          <w:lang w:eastAsia="sl-SI"/>
        </w:rPr>
        <w:t xml:space="preserve">za </w:t>
      </w:r>
      <w:r w:rsidRPr="00497F1C">
        <w:rPr>
          <w:rFonts w:eastAsia="Calibri" w:cs="Arial"/>
          <w:szCs w:val="20"/>
          <w:lang w:eastAsia="sl-SI"/>
        </w:rPr>
        <w:t>besed</w:t>
      </w:r>
      <w:r w:rsidR="00CA4C2C">
        <w:rPr>
          <w:rFonts w:eastAsia="Calibri" w:cs="Arial"/>
          <w:szCs w:val="20"/>
          <w:lang w:eastAsia="sl-SI"/>
        </w:rPr>
        <w:t>o</w:t>
      </w:r>
      <w:r w:rsidRPr="00497F1C">
        <w:rPr>
          <w:rFonts w:eastAsia="Calibri" w:cs="Arial"/>
          <w:szCs w:val="20"/>
          <w:lang w:eastAsia="sl-SI"/>
        </w:rPr>
        <w:t xml:space="preserve"> »prvega« </w:t>
      </w:r>
      <w:r>
        <w:rPr>
          <w:rFonts w:eastAsia="Calibri" w:cs="Arial"/>
          <w:szCs w:val="20"/>
          <w:lang w:eastAsia="sl-SI"/>
        </w:rPr>
        <w:t>do</w:t>
      </w:r>
      <w:r w:rsidR="009310B7">
        <w:rPr>
          <w:rFonts w:eastAsia="Calibri" w:cs="Arial"/>
          <w:szCs w:val="20"/>
          <w:lang w:eastAsia="sl-SI"/>
        </w:rPr>
        <w:t>da vejica in</w:t>
      </w:r>
      <w:r>
        <w:rPr>
          <w:rFonts w:eastAsia="Calibri" w:cs="Arial"/>
          <w:szCs w:val="20"/>
          <w:lang w:eastAsia="sl-SI"/>
        </w:rPr>
        <w:t xml:space="preserve"> </w:t>
      </w:r>
      <w:r w:rsidRPr="00497F1C">
        <w:rPr>
          <w:rFonts w:eastAsia="Calibri" w:cs="Arial"/>
          <w:szCs w:val="20"/>
          <w:lang w:eastAsia="sl-SI"/>
        </w:rPr>
        <w:t>besedilo »drugega</w:t>
      </w:r>
      <w:r w:rsidR="008D35C2">
        <w:rPr>
          <w:rFonts w:eastAsia="Calibri" w:cs="Arial"/>
          <w:szCs w:val="20"/>
          <w:lang w:eastAsia="sl-SI"/>
        </w:rPr>
        <w:t xml:space="preserve"> ali tretjega</w:t>
      </w:r>
      <w:r w:rsidRPr="00497F1C">
        <w:rPr>
          <w:rFonts w:eastAsia="Calibri" w:cs="Arial"/>
          <w:szCs w:val="20"/>
          <w:lang w:eastAsia="sl-SI"/>
        </w:rPr>
        <w:t>«.</w:t>
      </w:r>
      <w:bookmarkEnd w:id="40"/>
      <w:bookmarkEnd w:id="39"/>
    </w:p>
    <w:p w:rsidR="009109A5" w:rsidRPr="003827DB" w:rsidRDefault="009109A5" w:rsidP="009109A5">
      <w:pPr>
        <w:spacing w:line="288" w:lineRule="auto"/>
        <w:jc w:val="both"/>
        <w:rPr>
          <w:rFonts w:eastAsia="Calibri" w:cs="Arial"/>
          <w:szCs w:val="20"/>
          <w:lang w:eastAsia="sl-SI"/>
        </w:rPr>
      </w:pPr>
    </w:p>
    <w:p w:rsidR="00AE2155" w:rsidRPr="006E178C" w:rsidRDefault="00AE2155" w:rsidP="00B644CC">
      <w:pPr>
        <w:spacing w:line="288" w:lineRule="auto"/>
        <w:jc w:val="center"/>
        <w:rPr>
          <w:rFonts w:eastAsia="Calibri" w:cs="Arial"/>
          <w:b/>
          <w:szCs w:val="20"/>
        </w:rPr>
      </w:pPr>
      <w:r>
        <w:rPr>
          <w:rFonts w:eastAsia="Calibri" w:cs="Arial"/>
          <w:b/>
          <w:szCs w:val="20"/>
        </w:rPr>
        <w:t>2</w:t>
      </w:r>
      <w:r w:rsidR="00F41FCE">
        <w:rPr>
          <w:rFonts w:eastAsia="Calibri" w:cs="Arial"/>
          <w:b/>
          <w:szCs w:val="20"/>
        </w:rPr>
        <w:t>5</w:t>
      </w:r>
      <w:r w:rsidRPr="006E178C">
        <w:rPr>
          <w:rFonts w:eastAsia="Calibri" w:cs="Arial"/>
          <w:b/>
          <w:szCs w:val="20"/>
        </w:rPr>
        <w:t>. člen</w:t>
      </w:r>
    </w:p>
    <w:p w:rsidR="00AE2155" w:rsidRPr="006E178C" w:rsidRDefault="00AE2155" w:rsidP="00B644CC">
      <w:pPr>
        <w:spacing w:line="288" w:lineRule="auto"/>
        <w:jc w:val="both"/>
        <w:rPr>
          <w:rFonts w:eastAsia="Calibri" w:cs="Arial"/>
          <w:szCs w:val="20"/>
        </w:rPr>
      </w:pPr>
    </w:p>
    <w:p w:rsidR="00AE2155" w:rsidRDefault="00AE2155" w:rsidP="00B644CC">
      <w:pPr>
        <w:spacing w:line="288" w:lineRule="auto"/>
        <w:jc w:val="both"/>
        <w:rPr>
          <w:rFonts w:eastAsia="Calibri" w:cs="Arial"/>
          <w:szCs w:val="20"/>
        </w:rPr>
      </w:pPr>
      <w:r w:rsidRPr="006E178C">
        <w:rPr>
          <w:rFonts w:eastAsia="Calibri" w:cs="Arial"/>
          <w:szCs w:val="20"/>
        </w:rPr>
        <w:t>V 173. členu se v petem odstavku besedilo</w:t>
      </w:r>
      <w:r w:rsidR="00FD2102">
        <w:rPr>
          <w:rFonts w:eastAsia="Calibri" w:cs="Arial"/>
          <w:szCs w:val="20"/>
        </w:rPr>
        <w:t xml:space="preserve"> »tožilsko osebje« nadomesti z besedilom »državnotožilsko osebje«, besedilo</w:t>
      </w:r>
      <w:r w:rsidRPr="006E178C">
        <w:rPr>
          <w:rFonts w:eastAsia="Calibri" w:cs="Arial"/>
          <w:szCs w:val="20"/>
        </w:rPr>
        <w:t xml:space="preserve"> »15 dneh« </w:t>
      </w:r>
      <w:r w:rsidR="00CA4C2C">
        <w:rPr>
          <w:rFonts w:eastAsia="Calibri" w:cs="Arial"/>
          <w:szCs w:val="20"/>
        </w:rPr>
        <w:t xml:space="preserve">pa </w:t>
      </w:r>
      <w:r w:rsidR="00FD2102">
        <w:rPr>
          <w:rFonts w:eastAsia="Calibri" w:cs="Arial"/>
          <w:szCs w:val="20"/>
        </w:rPr>
        <w:t xml:space="preserve">se </w:t>
      </w:r>
      <w:r w:rsidRPr="006E178C">
        <w:rPr>
          <w:rFonts w:eastAsia="Calibri" w:cs="Arial"/>
          <w:szCs w:val="20"/>
        </w:rPr>
        <w:t>nadomesti z besedilom »osmih dneh«.</w:t>
      </w:r>
    </w:p>
    <w:p w:rsidR="00FD2102" w:rsidRDefault="00FD2102" w:rsidP="00B644CC">
      <w:pPr>
        <w:spacing w:line="288" w:lineRule="auto"/>
        <w:jc w:val="both"/>
        <w:rPr>
          <w:rFonts w:eastAsia="Calibri" w:cs="Arial"/>
          <w:szCs w:val="20"/>
        </w:rPr>
      </w:pPr>
    </w:p>
    <w:p w:rsidR="00AE2155" w:rsidRPr="004D0F66" w:rsidRDefault="00AE2155" w:rsidP="00B644CC">
      <w:pPr>
        <w:spacing w:line="288" w:lineRule="auto"/>
        <w:jc w:val="center"/>
        <w:rPr>
          <w:rFonts w:eastAsia="Calibri" w:cs="Arial"/>
          <w:b/>
          <w:szCs w:val="20"/>
        </w:rPr>
      </w:pPr>
      <w:r>
        <w:rPr>
          <w:rFonts w:eastAsia="Calibri" w:cs="Arial"/>
          <w:b/>
          <w:szCs w:val="20"/>
        </w:rPr>
        <w:t>2</w:t>
      </w:r>
      <w:r w:rsidR="00F41FCE">
        <w:rPr>
          <w:rFonts w:eastAsia="Calibri" w:cs="Arial"/>
          <w:b/>
          <w:szCs w:val="20"/>
        </w:rPr>
        <w:t>6</w:t>
      </w:r>
      <w:r w:rsidRPr="004D0F66">
        <w:rPr>
          <w:rFonts w:eastAsia="Calibri" w:cs="Arial"/>
          <w:b/>
          <w:szCs w:val="20"/>
        </w:rPr>
        <w:t>. člen</w:t>
      </w:r>
    </w:p>
    <w:p w:rsidR="00AE2155" w:rsidRDefault="00AE2155" w:rsidP="00B644CC">
      <w:pPr>
        <w:spacing w:line="288" w:lineRule="auto"/>
        <w:jc w:val="both"/>
        <w:rPr>
          <w:rFonts w:eastAsia="Calibri" w:cs="Arial"/>
          <w:szCs w:val="20"/>
        </w:rPr>
      </w:pPr>
    </w:p>
    <w:p w:rsidR="00AE2155" w:rsidRDefault="00AE2155" w:rsidP="00B644CC">
      <w:pPr>
        <w:spacing w:line="288" w:lineRule="auto"/>
        <w:jc w:val="both"/>
        <w:rPr>
          <w:rFonts w:eastAsia="Calibri" w:cs="Arial"/>
          <w:szCs w:val="20"/>
        </w:rPr>
      </w:pPr>
      <w:r>
        <w:rPr>
          <w:rFonts w:eastAsia="Calibri" w:cs="Arial"/>
          <w:szCs w:val="20"/>
        </w:rPr>
        <w:t>V 188. členu se v drugem odstavku besedilo »</w:t>
      </w:r>
      <w:r w:rsidRPr="001E33C8">
        <w:rPr>
          <w:rFonts w:eastAsia="Calibri" w:cs="Arial"/>
          <w:szCs w:val="20"/>
        </w:rPr>
        <w:t xml:space="preserve">Oddelka za preiskovanje in pregon </w:t>
      </w:r>
      <w:r>
        <w:rPr>
          <w:rFonts w:eastAsia="Calibri" w:cs="Arial"/>
          <w:szCs w:val="20"/>
        </w:rPr>
        <w:t>zlorabe policijskih pooblastil« nadomesti z besedilom »</w:t>
      </w:r>
      <w:r w:rsidRPr="001E33C8">
        <w:rPr>
          <w:rFonts w:eastAsia="Calibri" w:cs="Arial"/>
          <w:szCs w:val="20"/>
        </w:rPr>
        <w:t xml:space="preserve">Oddelka za preiskovanje in pregon </w:t>
      </w:r>
      <w:r>
        <w:rPr>
          <w:rFonts w:eastAsia="Calibri" w:cs="Arial"/>
          <w:szCs w:val="20"/>
        </w:rPr>
        <w:t>uradnih oseb s posebnimi</w:t>
      </w:r>
      <w:r w:rsidRPr="001E33C8">
        <w:rPr>
          <w:rFonts w:eastAsia="Calibri" w:cs="Arial"/>
          <w:szCs w:val="20"/>
        </w:rPr>
        <w:t xml:space="preserve"> pooblastil</w:t>
      </w:r>
      <w:r>
        <w:rPr>
          <w:rFonts w:eastAsia="Calibri" w:cs="Arial"/>
          <w:szCs w:val="20"/>
        </w:rPr>
        <w:t>i«</w:t>
      </w:r>
      <w:r w:rsidRPr="001E33C8">
        <w:rPr>
          <w:rFonts w:eastAsia="Calibri" w:cs="Arial"/>
          <w:szCs w:val="20"/>
        </w:rPr>
        <w:t>.</w:t>
      </w:r>
    </w:p>
    <w:p w:rsidR="00AE2155" w:rsidRDefault="00AE2155" w:rsidP="00B644CC">
      <w:pPr>
        <w:spacing w:line="288" w:lineRule="auto"/>
        <w:jc w:val="both"/>
        <w:rPr>
          <w:rFonts w:eastAsia="Calibri" w:cs="Arial"/>
          <w:szCs w:val="20"/>
        </w:rPr>
      </w:pPr>
    </w:p>
    <w:p w:rsidR="00AE2155" w:rsidRDefault="00AE2155" w:rsidP="00B644CC">
      <w:pPr>
        <w:spacing w:line="288" w:lineRule="auto"/>
        <w:jc w:val="center"/>
        <w:rPr>
          <w:rFonts w:eastAsia="Calibri" w:cs="Arial"/>
          <w:b/>
          <w:szCs w:val="20"/>
        </w:rPr>
      </w:pPr>
      <w:r>
        <w:rPr>
          <w:rFonts w:eastAsia="Calibri" w:cs="Arial"/>
          <w:b/>
          <w:szCs w:val="20"/>
        </w:rPr>
        <w:t>2</w:t>
      </w:r>
      <w:r w:rsidR="00F41FCE">
        <w:rPr>
          <w:rFonts w:eastAsia="Calibri" w:cs="Arial"/>
          <w:b/>
          <w:szCs w:val="20"/>
        </w:rPr>
        <w:t>7</w:t>
      </w:r>
      <w:r w:rsidRPr="006E178C">
        <w:rPr>
          <w:rFonts w:eastAsia="Calibri" w:cs="Arial"/>
          <w:b/>
          <w:szCs w:val="20"/>
        </w:rPr>
        <w:t>. člen</w:t>
      </w:r>
    </w:p>
    <w:p w:rsidR="00DE75D4" w:rsidRDefault="00DE75D4" w:rsidP="007B782E">
      <w:pPr>
        <w:spacing w:line="288" w:lineRule="auto"/>
        <w:jc w:val="both"/>
        <w:rPr>
          <w:rFonts w:eastAsia="Calibri" w:cs="Arial"/>
          <w:szCs w:val="20"/>
          <w:lang w:eastAsia="sl-SI"/>
        </w:rPr>
      </w:pPr>
      <w:bookmarkStart w:id="41" w:name="_Hlk42251188"/>
    </w:p>
    <w:p w:rsidR="00DE75D4" w:rsidRDefault="00DE75D4" w:rsidP="00DE75D4">
      <w:pPr>
        <w:spacing w:line="288" w:lineRule="auto"/>
        <w:jc w:val="both"/>
        <w:rPr>
          <w:rFonts w:eastAsia="Calibri" w:cs="Arial"/>
          <w:szCs w:val="20"/>
        </w:rPr>
      </w:pPr>
      <w:r>
        <w:rPr>
          <w:rFonts w:eastAsia="Calibri" w:cs="Arial"/>
          <w:szCs w:val="20"/>
        </w:rPr>
        <w:t>V 196. členu se v prvem odstavku četrta aline</w:t>
      </w:r>
      <w:r w:rsidR="003449C5">
        <w:rPr>
          <w:rFonts w:eastAsia="Calibri" w:cs="Arial"/>
          <w:szCs w:val="20"/>
        </w:rPr>
        <w:t>j</w:t>
      </w:r>
      <w:r>
        <w:rPr>
          <w:rFonts w:eastAsia="Calibri" w:cs="Arial"/>
          <w:szCs w:val="20"/>
        </w:rPr>
        <w:t>a spremeni tako, da se glasi:</w:t>
      </w:r>
    </w:p>
    <w:p w:rsidR="00DE75D4" w:rsidRDefault="00DE75D4" w:rsidP="00DE75D4">
      <w:pPr>
        <w:spacing w:line="288" w:lineRule="auto"/>
        <w:jc w:val="both"/>
        <w:rPr>
          <w:rFonts w:eastAsia="Calibri" w:cs="Arial"/>
          <w:szCs w:val="20"/>
        </w:rPr>
      </w:pPr>
    </w:p>
    <w:p w:rsidR="00DE75D4" w:rsidRPr="007C03A8" w:rsidRDefault="00DE75D4" w:rsidP="00DE75D4">
      <w:pPr>
        <w:spacing w:line="288" w:lineRule="auto"/>
        <w:jc w:val="both"/>
        <w:rPr>
          <w:rFonts w:eastAsia="Calibri" w:cs="Arial"/>
          <w:szCs w:val="20"/>
        </w:rPr>
      </w:pPr>
      <w:r>
        <w:rPr>
          <w:rFonts w:eastAsia="Calibri" w:cs="Arial"/>
          <w:szCs w:val="20"/>
        </w:rPr>
        <w:t xml:space="preserve">»- </w:t>
      </w:r>
      <w:r w:rsidRPr="007C03A8">
        <w:rPr>
          <w:rFonts w:eastAsia="Calibri" w:cs="Arial"/>
          <w:szCs w:val="20"/>
        </w:rPr>
        <w:t>okrožnemu državnemu tožilcu svetniku, višjemu državnemu tožilcu ter vrhovnemu državnemu tožilcu plača vrhovnega državnega tožilca svetnika.</w:t>
      </w:r>
      <w:r>
        <w:rPr>
          <w:rFonts w:eastAsia="Calibri" w:cs="Arial"/>
          <w:szCs w:val="20"/>
        </w:rPr>
        <w:t>«.</w:t>
      </w:r>
    </w:p>
    <w:p w:rsidR="00DE75D4" w:rsidRDefault="00DE75D4" w:rsidP="00DE75D4">
      <w:pPr>
        <w:spacing w:line="288" w:lineRule="auto"/>
        <w:jc w:val="both"/>
        <w:rPr>
          <w:rFonts w:eastAsia="Calibri" w:cs="Arial"/>
          <w:szCs w:val="20"/>
        </w:rPr>
      </w:pPr>
    </w:p>
    <w:p w:rsidR="00DE75D4" w:rsidRDefault="00DE75D4" w:rsidP="00DE75D4">
      <w:pPr>
        <w:spacing w:line="288" w:lineRule="auto"/>
        <w:jc w:val="both"/>
        <w:rPr>
          <w:rFonts w:eastAsia="Calibri" w:cs="Arial"/>
          <w:szCs w:val="20"/>
        </w:rPr>
      </w:pPr>
      <w:r>
        <w:rPr>
          <w:rFonts w:eastAsia="Calibri" w:cs="Arial"/>
          <w:szCs w:val="20"/>
        </w:rPr>
        <w:t>V drugem odstavku se četrta aline</w:t>
      </w:r>
      <w:r w:rsidR="003449C5">
        <w:rPr>
          <w:rFonts w:eastAsia="Calibri" w:cs="Arial"/>
          <w:szCs w:val="20"/>
        </w:rPr>
        <w:t>j</w:t>
      </w:r>
      <w:r>
        <w:rPr>
          <w:rFonts w:eastAsia="Calibri" w:cs="Arial"/>
          <w:szCs w:val="20"/>
        </w:rPr>
        <w:t>a spremeni tako, da se glasi:</w:t>
      </w:r>
    </w:p>
    <w:p w:rsidR="00DE75D4" w:rsidRDefault="00DE75D4" w:rsidP="00DE75D4">
      <w:pPr>
        <w:spacing w:line="288" w:lineRule="auto"/>
        <w:jc w:val="both"/>
        <w:rPr>
          <w:rFonts w:eastAsia="Calibri" w:cs="Arial"/>
          <w:szCs w:val="20"/>
        </w:rPr>
      </w:pPr>
    </w:p>
    <w:p w:rsidR="00DE75D4" w:rsidRDefault="00DE75D4" w:rsidP="00DE75D4">
      <w:pPr>
        <w:spacing w:line="288" w:lineRule="auto"/>
        <w:jc w:val="both"/>
        <w:rPr>
          <w:rFonts w:eastAsia="Calibri" w:cs="Arial"/>
          <w:szCs w:val="20"/>
        </w:rPr>
      </w:pPr>
      <w:r>
        <w:rPr>
          <w:rFonts w:eastAsia="Calibri" w:cs="Arial"/>
          <w:szCs w:val="20"/>
        </w:rPr>
        <w:t xml:space="preserve">»- </w:t>
      </w:r>
      <w:r w:rsidRPr="007C03A8">
        <w:rPr>
          <w:rFonts w:eastAsia="Calibri" w:cs="Arial"/>
          <w:szCs w:val="20"/>
        </w:rPr>
        <w:t>okrožnemu državnemu tožilcu svetniku, višjemu državnemu tožilcu ter vrhovnemu državnemu tožilcu plača vrhovnega državnega tožilca svetnika.</w:t>
      </w:r>
      <w:r>
        <w:rPr>
          <w:rFonts w:eastAsia="Calibri" w:cs="Arial"/>
          <w:szCs w:val="20"/>
        </w:rPr>
        <w:t>«.</w:t>
      </w:r>
    </w:p>
    <w:p w:rsidR="00DE75D4" w:rsidRDefault="00DE75D4" w:rsidP="00DE75D4">
      <w:pPr>
        <w:spacing w:line="288" w:lineRule="auto"/>
        <w:jc w:val="both"/>
        <w:rPr>
          <w:rFonts w:eastAsia="Calibri" w:cs="Arial"/>
          <w:szCs w:val="20"/>
        </w:rPr>
      </w:pPr>
    </w:p>
    <w:p w:rsidR="00DE75D4" w:rsidRDefault="00DE75D4" w:rsidP="007B782E">
      <w:pPr>
        <w:spacing w:line="288" w:lineRule="auto"/>
        <w:jc w:val="both"/>
        <w:rPr>
          <w:rFonts w:eastAsia="Calibri" w:cs="Arial"/>
          <w:szCs w:val="20"/>
        </w:rPr>
      </w:pPr>
      <w:r>
        <w:rPr>
          <w:rFonts w:eastAsia="Calibri" w:cs="Arial"/>
          <w:szCs w:val="20"/>
        </w:rPr>
        <w:t>V četrtem odstavku se drugi stavek črta.</w:t>
      </w:r>
    </w:p>
    <w:bookmarkEnd w:id="41"/>
    <w:p w:rsidR="00AE2155" w:rsidRDefault="00AE2155" w:rsidP="00DE75D4">
      <w:pPr>
        <w:spacing w:line="288" w:lineRule="auto"/>
        <w:rPr>
          <w:rFonts w:eastAsia="Calibri" w:cs="Arial"/>
          <w:b/>
          <w:szCs w:val="20"/>
        </w:rPr>
      </w:pPr>
    </w:p>
    <w:p w:rsidR="00AE2155" w:rsidRDefault="00AE2155" w:rsidP="00B644CC">
      <w:pPr>
        <w:spacing w:line="288" w:lineRule="auto"/>
        <w:jc w:val="center"/>
        <w:rPr>
          <w:rFonts w:eastAsia="Calibri" w:cs="Arial"/>
          <w:b/>
          <w:szCs w:val="20"/>
        </w:rPr>
      </w:pPr>
      <w:r>
        <w:rPr>
          <w:rFonts w:eastAsia="Calibri" w:cs="Arial"/>
          <w:b/>
          <w:szCs w:val="20"/>
        </w:rPr>
        <w:lastRenderedPageBreak/>
        <w:t>2</w:t>
      </w:r>
      <w:r w:rsidR="00F41FCE">
        <w:rPr>
          <w:rFonts w:eastAsia="Calibri" w:cs="Arial"/>
          <w:b/>
          <w:szCs w:val="20"/>
        </w:rPr>
        <w:t>8</w:t>
      </w:r>
      <w:r w:rsidRPr="006E178C">
        <w:rPr>
          <w:rFonts w:eastAsia="Calibri" w:cs="Arial"/>
          <w:b/>
          <w:szCs w:val="20"/>
        </w:rPr>
        <w:t>. člen</w:t>
      </w:r>
    </w:p>
    <w:p w:rsidR="00AE2155" w:rsidRDefault="00AE2155" w:rsidP="00B644CC">
      <w:pPr>
        <w:spacing w:line="288" w:lineRule="auto"/>
        <w:jc w:val="both"/>
        <w:rPr>
          <w:rFonts w:eastAsia="Calibri" w:cs="Arial"/>
          <w:szCs w:val="20"/>
        </w:rPr>
      </w:pPr>
    </w:p>
    <w:p w:rsidR="00AE2155" w:rsidRDefault="00AE2155" w:rsidP="00B644CC">
      <w:pPr>
        <w:spacing w:line="288" w:lineRule="auto"/>
        <w:jc w:val="both"/>
        <w:rPr>
          <w:rFonts w:eastAsia="Calibri" w:cs="Arial"/>
          <w:szCs w:val="20"/>
        </w:rPr>
      </w:pPr>
      <w:bookmarkStart w:id="42" w:name="_Hlk42001807"/>
      <w:r>
        <w:rPr>
          <w:rFonts w:eastAsia="Calibri" w:cs="Arial"/>
          <w:szCs w:val="20"/>
        </w:rPr>
        <w:t>V 198. členu se v prvem odstavku besedilo »drugega in četrtega« nadomesti z besedilom »drugega, četrtega in petega«.</w:t>
      </w:r>
    </w:p>
    <w:p w:rsidR="006378D7" w:rsidRDefault="006378D7" w:rsidP="00B644CC">
      <w:pPr>
        <w:spacing w:line="288" w:lineRule="auto"/>
        <w:jc w:val="both"/>
        <w:rPr>
          <w:rFonts w:eastAsia="Calibri" w:cs="Arial"/>
          <w:szCs w:val="20"/>
        </w:rPr>
      </w:pPr>
    </w:p>
    <w:p w:rsidR="006378D7" w:rsidRDefault="006378D7" w:rsidP="00B644CC">
      <w:pPr>
        <w:spacing w:line="288" w:lineRule="auto"/>
        <w:jc w:val="both"/>
        <w:rPr>
          <w:rFonts w:eastAsia="Calibri" w:cs="Arial"/>
          <w:szCs w:val="20"/>
        </w:rPr>
      </w:pPr>
      <w:bookmarkStart w:id="43" w:name="_Hlk42001520"/>
      <w:r>
        <w:rPr>
          <w:rFonts w:eastAsia="Calibri" w:cs="Arial"/>
          <w:szCs w:val="20"/>
        </w:rPr>
        <w:t>Drugi odstavek se spremeni tako, da se glasi:</w:t>
      </w:r>
    </w:p>
    <w:p w:rsidR="00CA4C2C" w:rsidRDefault="00CA4C2C" w:rsidP="00B644CC">
      <w:pPr>
        <w:spacing w:line="288" w:lineRule="auto"/>
        <w:jc w:val="both"/>
        <w:rPr>
          <w:rFonts w:eastAsia="Calibri" w:cs="Arial"/>
          <w:szCs w:val="20"/>
        </w:rPr>
      </w:pPr>
    </w:p>
    <w:p w:rsidR="006378D7" w:rsidRPr="00FC0F01" w:rsidRDefault="006378D7" w:rsidP="00B644CC">
      <w:pPr>
        <w:spacing w:line="288" w:lineRule="auto"/>
        <w:jc w:val="both"/>
        <w:rPr>
          <w:rFonts w:eastAsia="Calibri" w:cs="Arial"/>
          <w:szCs w:val="20"/>
        </w:rPr>
      </w:pPr>
      <w:r w:rsidRPr="00FC0F01">
        <w:t>»(2) Vodja krajevno pristojnega okrožnega državnega tožilstva oziroma vodja pristojne uprave oziroma enote Policije morata nemudoma obvestiti vodjo SDT o zadevah, glede katerih je podana pristojnost SDT po drugem in petem odstavku 192. člena tega zakona, in mu brez odlašanja posredovati spise zadev z vsemi zbranimi dokazi. E</w:t>
      </w:r>
      <w:r w:rsidR="004C2482" w:rsidRPr="00FC0F01">
        <w:t>vropski</w:t>
      </w:r>
      <w:r w:rsidRPr="00FC0F01">
        <w:t xml:space="preserve"> delegirani tožilec mora pred odstopom zadeve</w:t>
      </w:r>
      <w:r w:rsidR="00000359" w:rsidRPr="00FC0F01">
        <w:t>, glede katere je po 22. in 25. člena Uredbe 2017/1939/EU podana pristojnost EJT</w:t>
      </w:r>
      <w:r w:rsidR="00C8037E" w:rsidRPr="00FC0F01">
        <w:t>,</w:t>
      </w:r>
      <w:r w:rsidR="00000359" w:rsidRPr="00FC0F01">
        <w:t xml:space="preserve"> </w:t>
      </w:r>
      <w:r w:rsidRPr="00FC0F01">
        <w:t xml:space="preserve">in </w:t>
      </w:r>
      <w:r w:rsidR="003449C5">
        <w:t xml:space="preserve">pred </w:t>
      </w:r>
      <w:r w:rsidRPr="00FC0F01">
        <w:t>prenosom pristojnosti z EJT na pristojne nacionalne organe v skladu s 34. členom Uredbe 2017/1939/EU</w:t>
      </w:r>
      <w:r w:rsidR="00000359" w:rsidRPr="00FC0F01">
        <w:t>,</w:t>
      </w:r>
      <w:r w:rsidRPr="00FC0F01">
        <w:t xml:space="preserve"> obvestiti vodjo SDT</w:t>
      </w:r>
      <w:r w:rsidR="00000359" w:rsidRPr="00FC0F01">
        <w:t xml:space="preserve"> in mu brez odlašanja posredovati spis zadeve z vsemi zbranimi dokazi</w:t>
      </w:r>
      <w:r w:rsidRPr="00FC0F01">
        <w:t>.</w:t>
      </w:r>
      <w:r w:rsidR="00EF0732">
        <w:t>«.</w:t>
      </w:r>
      <w:r w:rsidRPr="00FC0F01">
        <w:t xml:space="preserve"> </w:t>
      </w:r>
    </w:p>
    <w:bookmarkEnd w:id="43"/>
    <w:p w:rsidR="00AE2155" w:rsidRDefault="00AE2155" w:rsidP="00B644CC">
      <w:pPr>
        <w:spacing w:line="288" w:lineRule="auto"/>
        <w:jc w:val="both"/>
        <w:rPr>
          <w:rFonts w:eastAsia="Calibri" w:cs="Arial"/>
          <w:szCs w:val="20"/>
        </w:rPr>
      </w:pPr>
    </w:p>
    <w:p w:rsidR="00EF0732" w:rsidRDefault="00AE2155" w:rsidP="00B644CC">
      <w:pPr>
        <w:spacing w:line="288" w:lineRule="auto"/>
        <w:jc w:val="both"/>
        <w:rPr>
          <w:rFonts w:eastAsia="Calibri" w:cs="Arial"/>
          <w:szCs w:val="20"/>
        </w:rPr>
      </w:pPr>
      <w:bookmarkStart w:id="44" w:name="_Hlk43299335"/>
      <w:r>
        <w:rPr>
          <w:rFonts w:eastAsia="Calibri" w:cs="Arial"/>
          <w:szCs w:val="20"/>
        </w:rPr>
        <w:t xml:space="preserve">V tretjem odstavku se za piko doda nov tretji stavek, ki se glasi: </w:t>
      </w:r>
    </w:p>
    <w:p w:rsidR="00CA4C2C" w:rsidRDefault="00CA4C2C" w:rsidP="00B644CC">
      <w:pPr>
        <w:spacing w:line="288" w:lineRule="auto"/>
        <w:jc w:val="both"/>
        <w:rPr>
          <w:rFonts w:eastAsia="Calibri" w:cs="Arial"/>
          <w:szCs w:val="20"/>
        </w:rPr>
      </w:pPr>
    </w:p>
    <w:p w:rsidR="00AE2155" w:rsidRDefault="00AE2155" w:rsidP="00B644CC">
      <w:pPr>
        <w:spacing w:line="288" w:lineRule="auto"/>
        <w:jc w:val="both"/>
        <w:rPr>
          <w:rFonts w:eastAsia="Calibri" w:cs="Arial"/>
          <w:szCs w:val="20"/>
        </w:rPr>
      </w:pPr>
      <w:r>
        <w:rPr>
          <w:rFonts w:eastAsia="Calibri" w:cs="Arial"/>
          <w:szCs w:val="20"/>
        </w:rPr>
        <w:t>»</w:t>
      </w:r>
      <w:r w:rsidR="009C139B">
        <w:rPr>
          <w:rFonts w:eastAsia="Calibri" w:cs="Arial"/>
          <w:szCs w:val="20"/>
        </w:rPr>
        <w:t>Vodja SDT na zahtevo g</w:t>
      </w:r>
      <w:r w:rsidR="003449C5">
        <w:rPr>
          <w:rFonts w:eastAsia="Calibri" w:cs="Arial"/>
          <w:szCs w:val="20"/>
        </w:rPr>
        <w:t>eneraln</w:t>
      </w:r>
      <w:r w:rsidR="009C139B">
        <w:rPr>
          <w:rFonts w:eastAsia="Calibri" w:cs="Arial"/>
          <w:szCs w:val="20"/>
        </w:rPr>
        <w:t>ega</w:t>
      </w:r>
      <w:r w:rsidR="003449C5">
        <w:rPr>
          <w:rFonts w:eastAsia="Calibri" w:cs="Arial"/>
          <w:szCs w:val="20"/>
        </w:rPr>
        <w:t xml:space="preserve"> državn</w:t>
      </w:r>
      <w:r w:rsidR="009C139B">
        <w:rPr>
          <w:rFonts w:eastAsia="Calibri" w:cs="Arial"/>
          <w:szCs w:val="20"/>
        </w:rPr>
        <w:t>ega</w:t>
      </w:r>
      <w:r w:rsidR="003449C5">
        <w:rPr>
          <w:rFonts w:eastAsia="Calibri" w:cs="Arial"/>
          <w:szCs w:val="20"/>
        </w:rPr>
        <w:t xml:space="preserve"> tožilc</w:t>
      </w:r>
      <w:r w:rsidR="009C139B">
        <w:rPr>
          <w:rFonts w:eastAsia="Calibri" w:cs="Arial"/>
          <w:szCs w:val="20"/>
        </w:rPr>
        <w:t>a,</w:t>
      </w:r>
      <w:r w:rsidR="003449C5">
        <w:rPr>
          <w:rFonts w:eastAsia="Calibri" w:cs="Arial"/>
          <w:szCs w:val="20"/>
        </w:rPr>
        <w:t xml:space="preserve"> lahko</w:t>
      </w:r>
      <w:r w:rsidR="009C139B">
        <w:rPr>
          <w:rFonts w:eastAsia="Calibri" w:cs="Arial"/>
          <w:szCs w:val="20"/>
        </w:rPr>
        <w:t xml:space="preserve"> pa tudi na lastno pobudo, pred odločitvijo generalnega državnega tožilca poda dodatno pojasnilo o razlogih za dodelitev</w:t>
      </w:r>
      <w:r w:rsidR="003449C5">
        <w:rPr>
          <w:rFonts w:eastAsia="Calibri" w:cs="Arial"/>
          <w:szCs w:val="20"/>
        </w:rPr>
        <w:t>.«.</w:t>
      </w:r>
    </w:p>
    <w:bookmarkEnd w:id="44"/>
    <w:p w:rsidR="003449C5" w:rsidRDefault="003449C5" w:rsidP="00B644CC">
      <w:pPr>
        <w:spacing w:line="288" w:lineRule="auto"/>
        <w:jc w:val="both"/>
        <w:rPr>
          <w:rFonts w:eastAsia="Calibri" w:cs="Arial"/>
          <w:szCs w:val="20"/>
        </w:rPr>
      </w:pPr>
    </w:p>
    <w:p w:rsidR="00AE2155" w:rsidRDefault="00AE2155" w:rsidP="00B644CC">
      <w:pPr>
        <w:spacing w:line="288" w:lineRule="auto"/>
        <w:jc w:val="both"/>
        <w:rPr>
          <w:rFonts w:eastAsia="Calibri" w:cs="Arial"/>
          <w:szCs w:val="20"/>
        </w:rPr>
      </w:pPr>
      <w:r>
        <w:rPr>
          <w:rFonts w:eastAsia="Calibri" w:cs="Arial"/>
          <w:szCs w:val="20"/>
        </w:rPr>
        <w:t>Šesti odstavek se črta.</w:t>
      </w:r>
    </w:p>
    <w:p w:rsidR="00AE2155" w:rsidRDefault="00AE2155" w:rsidP="00B644CC">
      <w:pPr>
        <w:spacing w:line="288" w:lineRule="auto"/>
        <w:jc w:val="both"/>
        <w:rPr>
          <w:rFonts w:eastAsia="Calibri" w:cs="Arial"/>
          <w:szCs w:val="20"/>
        </w:rPr>
      </w:pPr>
    </w:p>
    <w:p w:rsidR="00AE2155" w:rsidRDefault="00AE2155" w:rsidP="00B644CC">
      <w:pPr>
        <w:spacing w:line="288" w:lineRule="auto"/>
        <w:jc w:val="both"/>
        <w:rPr>
          <w:rFonts w:eastAsia="Calibri" w:cs="Arial"/>
          <w:szCs w:val="20"/>
        </w:rPr>
      </w:pPr>
      <w:r>
        <w:rPr>
          <w:rFonts w:eastAsia="Calibri" w:cs="Arial"/>
          <w:szCs w:val="20"/>
        </w:rPr>
        <w:t>Dosedanj</w:t>
      </w:r>
      <w:r w:rsidR="003449C5">
        <w:rPr>
          <w:rFonts w:eastAsia="Calibri" w:cs="Arial"/>
          <w:szCs w:val="20"/>
        </w:rPr>
        <w:t>a</w:t>
      </w:r>
      <w:r>
        <w:rPr>
          <w:rFonts w:eastAsia="Calibri" w:cs="Arial"/>
          <w:szCs w:val="20"/>
        </w:rPr>
        <w:t xml:space="preserve"> sedmi in osmi odstavek postaneta šesti in sedmi odstavek. </w:t>
      </w:r>
    </w:p>
    <w:p w:rsidR="00AE2155" w:rsidRDefault="00AE2155" w:rsidP="00B644CC">
      <w:pPr>
        <w:spacing w:line="288" w:lineRule="auto"/>
        <w:jc w:val="both"/>
        <w:rPr>
          <w:rFonts w:eastAsia="Calibri" w:cs="Arial"/>
          <w:szCs w:val="20"/>
        </w:rPr>
      </w:pPr>
    </w:p>
    <w:bookmarkEnd w:id="42"/>
    <w:p w:rsidR="00AE2155" w:rsidRPr="00606AE8" w:rsidRDefault="00AE2155" w:rsidP="00B644CC">
      <w:pPr>
        <w:spacing w:line="288" w:lineRule="auto"/>
        <w:jc w:val="center"/>
        <w:rPr>
          <w:rFonts w:eastAsia="Calibri" w:cs="Arial"/>
          <w:b/>
          <w:szCs w:val="20"/>
        </w:rPr>
      </w:pPr>
      <w:r w:rsidRPr="00606AE8">
        <w:rPr>
          <w:rFonts w:eastAsia="Calibri" w:cs="Arial"/>
          <w:b/>
          <w:szCs w:val="20"/>
        </w:rPr>
        <w:t>2</w:t>
      </w:r>
      <w:r w:rsidR="00F41FCE">
        <w:rPr>
          <w:rFonts w:eastAsia="Calibri" w:cs="Arial"/>
          <w:b/>
          <w:szCs w:val="20"/>
        </w:rPr>
        <w:t>9</w:t>
      </w:r>
      <w:r w:rsidRPr="00606AE8">
        <w:rPr>
          <w:rFonts w:eastAsia="Calibri" w:cs="Arial"/>
          <w:b/>
          <w:szCs w:val="20"/>
        </w:rPr>
        <w:t>. člen</w:t>
      </w:r>
    </w:p>
    <w:p w:rsidR="00AE2155" w:rsidRDefault="00AE2155" w:rsidP="00B644CC">
      <w:pPr>
        <w:spacing w:line="288" w:lineRule="auto"/>
        <w:jc w:val="both"/>
        <w:rPr>
          <w:rFonts w:eastAsia="Calibri" w:cs="Arial"/>
          <w:szCs w:val="20"/>
        </w:rPr>
      </w:pPr>
    </w:p>
    <w:p w:rsidR="00AE2155" w:rsidRDefault="00AE2155" w:rsidP="00B644CC">
      <w:pPr>
        <w:spacing w:line="288" w:lineRule="auto"/>
        <w:jc w:val="both"/>
        <w:rPr>
          <w:rFonts w:eastAsia="Calibri" w:cs="Arial"/>
          <w:szCs w:val="20"/>
        </w:rPr>
      </w:pPr>
      <w:r>
        <w:rPr>
          <w:rFonts w:eastAsia="Calibri" w:cs="Arial"/>
          <w:szCs w:val="20"/>
        </w:rPr>
        <w:t>V 203.a členu se v naslovu besedilo »in dodelitev« črta.</w:t>
      </w:r>
    </w:p>
    <w:p w:rsidR="00AE2155" w:rsidRDefault="00AE2155" w:rsidP="00B644CC">
      <w:pPr>
        <w:spacing w:line="288" w:lineRule="auto"/>
        <w:jc w:val="both"/>
        <w:rPr>
          <w:rFonts w:eastAsia="Calibri" w:cs="Arial"/>
          <w:szCs w:val="20"/>
        </w:rPr>
      </w:pPr>
    </w:p>
    <w:p w:rsidR="00AE2155" w:rsidRDefault="00AE2155" w:rsidP="00B644CC">
      <w:pPr>
        <w:spacing w:line="288" w:lineRule="auto"/>
        <w:jc w:val="both"/>
        <w:rPr>
          <w:rFonts w:eastAsia="Calibri" w:cs="Arial"/>
          <w:szCs w:val="20"/>
        </w:rPr>
      </w:pPr>
      <w:r>
        <w:rPr>
          <w:rFonts w:eastAsia="Calibri" w:cs="Arial"/>
          <w:szCs w:val="20"/>
        </w:rPr>
        <w:t>Tretji</w:t>
      </w:r>
      <w:r w:rsidR="007F2A0A">
        <w:rPr>
          <w:rFonts w:eastAsia="Calibri" w:cs="Arial"/>
          <w:szCs w:val="20"/>
        </w:rPr>
        <w:t xml:space="preserve"> do </w:t>
      </w:r>
      <w:r>
        <w:rPr>
          <w:rFonts w:eastAsia="Calibri" w:cs="Arial"/>
          <w:szCs w:val="20"/>
        </w:rPr>
        <w:t>šesti odstavek se črtajo.</w:t>
      </w:r>
    </w:p>
    <w:p w:rsidR="00FC4E26" w:rsidRDefault="00FC4E26" w:rsidP="00FD2102">
      <w:pPr>
        <w:spacing w:line="288" w:lineRule="auto"/>
        <w:rPr>
          <w:rFonts w:eastAsia="Calibri" w:cs="Arial"/>
          <w:b/>
          <w:szCs w:val="20"/>
        </w:rPr>
      </w:pPr>
    </w:p>
    <w:p w:rsidR="00AE2155" w:rsidRDefault="00F41FCE" w:rsidP="00B644CC">
      <w:pPr>
        <w:spacing w:line="288" w:lineRule="auto"/>
        <w:jc w:val="center"/>
        <w:rPr>
          <w:rFonts w:eastAsia="Calibri" w:cs="Arial"/>
          <w:b/>
          <w:szCs w:val="20"/>
        </w:rPr>
      </w:pPr>
      <w:r>
        <w:rPr>
          <w:rFonts w:eastAsia="Calibri" w:cs="Arial"/>
          <w:b/>
          <w:szCs w:val="20"/>
        </w:rPr>
        <w:t>30</w:t>
      </w:r>
      <w:r w:rsidR="00AE2155" w:rsidRPr="00FD3271">
        <w:rPr>
          <w:rFonts w:eastAsia="Calibri" w:cs="Arial"/>
          <w:b/>
          <w:szCs w:val="20"/>
        </w:rPr>
        <w:t>. člen</w:t>
      </w:r>
    </w:p>
    <w:p w:rsidR="00AE2155" w:rsidRDefault="00AE2155" w:rsidP="00B644CC">
      <w:pPr>
        <w:spacing w:line="288" w:lineRule="auto"/>
        <w:rPr>
          <w:rFonts w:eastAsia="Calibri" w:cs="Arial"/>
          <w:b/>
          <w:szCs w:val="20"/>
        </w:rPr>
      </w:pPr>
    </w:p>
    <w:p w:rsidR="00FD2102" w:rsidRDefault="00AE2155" w:rsidP="008647C7">
      <w:pPr>
        <w:spacing w:line="288" w:lineRule="auto"/>
        <w:jc w:val="both"/>
        <w:rPr>
          <w:rFonts w:eastAsia="Calibri" w:cs="Arial"/>
          <w:szCs w:val="20"/>
        </w:rPr>
      </w:pPr>
      <w:r>
        <w:rPr>
          <w:rFonts w:cs="Arial"/>
          <w:szCs w:val="20"/>
        </w:rPr>
        <w:t xml:space="preserve">V 204. členu se </w:t>
      </w:r>
      <w:r w:rsidR="00FD2102" w:rsidRPr="00B85884">
        <w:t>v</w:t>
      </w:r>
      <w:r w:rsidR="00FD2102" w:rsidRPr="00B85884">
        <w:rPr>
          <w:rFonts w:cs="Arial"/>
          <w:szCs w:val="20"/>
        </w:rPr>
        <w:t xml:space="preserve"> tretjem odstavku</w:t>
      </w:r>
      <w:r w:rsidR="00FD2102">
        <w:rPr>
          <w:rFonts w:cs="Arial"/>
          <w:szCs w:val="20"/>
        </w:rPr>
        <w:t xml:space="preserve"> </w:t>
      </w:r>
      <w:r w:rsidR="00FD2102" w:rsidRPr="00B85884">
        <w:rPr>
          <w:rFonts w:eastAsia="Calibri" w:cs="Arial"/>
          <w:szCs w:val="20"/>
        </w:rPr>
        <w:t>besedilo »tožilsk</w:t>
      </w:r>
      <w:r w:rsidR="00FD2102">
        <w:rPr>
          <w:rFonts w:eastAsia="Calibri" w:cs="Arial"/>
          <w:szCs w:val="20"/>
        </w:rPr>
        <w:t>o</w:t>
      </w:r>
      <w:r w:rsidR="00FD2102" w:rsidRPr="00B85884">
        <w:rPr>
          <w:rFonts w:eastAsia="Calibri" w:cs="Arial"/>
          <w:szCs w:val="20"/>
        </w:rPr>
        <w:t xml:space="preserve"> osebj</w:t>
      </w:r>
      <w:r w:rsidR="00FD2102">
        <w:rPr>
          <w:rFonts w:eastAsia="Calibri" w:cs="Arial"/>
          <w:szCs w:val="20"/>
        </w:rPr>
        <w:t>e</w:t>
      </w:r>
      <w:r w:rsidR="00FD2102" w:rsidRPr="00B85884">
        <w:rPr>
          <w:rFonts w:eastAsia="Calibri" w:cs="Arial"/>
          <w:szCs w:val="20"/>
        </w:rPr>
        <w:t>« nadomesti z besedilom »državnotožilsk</w:t>
      </w:r>
      <w:r w:rsidR="00FD2102">
        <w:rPr>
          <w:rFonts w:eastAsia="Calibri" w:cs="Arial"/>
          <w:szCs w:val="20"/>
        </w:rPr>
        <w:t>o</w:t>
      </w:r>
      <w:r w:rsidR="00FD2102" w:rsidRPr="00B85884">
        <w:rPr>
          <w:rFonts w:eastAsia="Calibri" w:cs="Arial"/>
          <w:szCs w:val="20"/>
        </w:rPr>
        <w:t xml:space="preserve"> osebj</w:t>
      </w:r>
      <w:r w:rsidR="00FD2102">
        <w:rPr>
          <w:rFonts w:eastAsia="Calibri" w:cs="Arial"/>
          <w:szCs w:val="20"/>
        </w:rPr>
        <w:t>e</w:t>
      </w:r>
      <w:r w:rsidR="00FD2102" w:rsidRPr="00B85884">
        <w:rPr>
          <w:rFonts w:eastAsia="Calibri" w:cs="Arial"/>
          <w:szCs w:val="20"/>
        </w:rPr>
        <w:t>«.</w:t>
      </w:r>
    </w:p>
    <w:p w:rsidR="00FD2102" w:rsidRDefault="00FD2102" w:rsidP="008647C7">
      <w:pPr>
        <w:spacing w:line="288" w:lineRule="auto"/>
        <w:jc w:val="both"/>
        <w:rPr>
          <w:rFonts w:eastAsia="Calibri" w:cs="Arial"/>
          <w:szCs w:val="20"/>
        </w:rPr>
      </w:pPr>
    </w:p>
    <w:p w:rsidR="00AE2155" w:rsidRDefault="00FD2102" w:rsidP="008647C7">
      <w:pPr>
        <w:spacing w:line="288" w:lineRule="auto"/>
        <w:jc w:val="both"/>
        <w:rPr>
          <w:rFonts w:cs="Arial"/>
          <w:szCs w:val="20"/>
        </w:rPr>
      </w:pPr>
      <w:r>
        <w:rPr>
          <w:rFonts w:cs="Arial"/>
          <w:szCs w:val="20"/>
        </w:rPr>
        <w:t>Č</w:t>
      </w:r>
      <w:r w:rsidR="00AE2155">
        <w:rPr>
          <w:rFonts w:cs="Arial"/>
          <w:szCs w:val="20"/>
        </w:rPr>
        <w:t>etrti odstavek</w:t>
      </w:r>
      <w:r>
        <w:rPr>
          <w:rFonts w:cs="Arial"/>
          <w:szCs w:val="20"/>
        </w:rPr>
        <w:t xml:space="preserve"> se</w:t>
      </w:r>
      <w:r w:rsidR="00AE2155">
        <w:rPr>
          <w:rFonts w:cs="Arial"/>
          <w:szCs w:val="20"/>
        </w:rPr>
        <w:t xml:space="preserve"> črta.</w:t>
      </w:r>
    </w:p>
    <w:p w:rsidR="00EF0732" w:rsidRDefault="00EF0732" w:rsidP="006F6D2D">
      <w:pPr>
        <w:spacing w:line="288" w:lineRule="auto"/>
        <w:rPr>
          <w:rFonts w:eastAsia="Calibri" w:cs="Arial"/>
          <w:b/>
          <w:szCs w:val="20"/>
        </w:rPr>
      </w:pPr>
    </w:p>
    <w:p w:rsidR="00AE2155" w:rsidRDefault="00AE2155" w:rsidP="00B644CC">
      <w:pPr>
        <w:spacing w:line="288" w:lineRule="auto"/>
        <w:jc w:val="center"/>
        <w:rPr>
          <w:rFonts w:eastAsia="Calibri" w:cs="Arial"/>
          <w:b/>
          <w:szCs w:val="20"/>
        </w:rPr>
      </w:pPr>
      <w:r>
        <w:rPr>
          <w:rFonts w:eastAsia="Calibri" w:cs="Arial"/>
          <w:b/>
          <w:szCs w:val="20"/>
        </w:rPr>
        <w:t>PREHODN</w:t>
      </w:r>
      <w:r w:rsidR="007F2A0A">
        <w:rPr>
          <w:rFonts w:eastAsia="Calibri" w:cs="Arial"/>
          <w:b/>
          <w:szCs w:val="20"/>
        </w:rPr>
        <w:t>I</w:t>
      </w:r>
      <w:r>
        <w:rPr>
          <w:rFonts w:eastAsia="Calibri" w:cs="Arial"/>
          <w:b/>
          <w:szCs w:val="20"/>
        </w:rPr>
        <w:t xml:space="preserve"> IN </w:t>
      </w:r>
      <w:r w:rsidRPr="00EB2A42">
        <w:rPr>
          <w:rFonts w:eastAsia="Calibri" w:cs="Arial"/>
          <w:b/>
          <w:szCs w:val="20"/>
        </w:rPr>
        <w:t>KONČN</w:t>
      </w:r>
      <w:r w:rsidR="007F2A0A">
        <w:rPr>
          <w:rFonts w:eastAsia="Calibri" w:cs="Arial"/>
          <w:b/>
          <w:szCs w:val="20"/>
        </w:rPr>
        <w:t>A</w:t>
      </w:r>
      <w:r w:rsidRPr="00EB2A42">
        <w:rPr>
          <w:rFonts w:eastAsia="Calibri" w:cs="Arial"/>
          <w:b/>
          <w:szCs w:val="20"/>
        </w:rPr>
        <w:t xml:space="preserve"> DOLOČB</w:t>
      </w:r>
      <w:r w:rsidR="007F2A0A">
        <w:rPr>
          <w:rFonts w:eastAsia="Calibri" w:cs="Arial"/>
          <w:b/>
          <w:szCs w:val="20"/>
        </w:rPr>
        <w:t>A</w:t>
      </w:r>
    </w:p>
    <w:p w:rsidR="00AE2155" w:rsidRDefault="00AE2155" w:rsidP="00B644CC">
      <w:pPr>
        <w:spacing w:line="288" w:lineRule="auto"/>
        <w:jc w:val="center"/>
        <w:rPr>
          <w:rFonts w:eastAsia="Calibri" w:cs="Arial"/>
          <w:b/>
          <w:szCs w:val="20"/>
        </w:rPr>
      </w:pPr>
    </w:p>
    <w:p w:rsidR="00AE2155" w:rsidRDefault="00AE2155" w:rsidP="00B644CC">
      <w:pPr>
        <w:spacing w:line="288" w:lineRule="auto"/>
        <w:jc w:val="center"/>
        <w:rPr>
          <w:rFonts w:eastAsia="Calibri" w:cs="Arial"/>
          <w:b/>
          <w:szCs w:val="20"/>
        </w:rPr>
      </w:pPr>
      <w:r>
        <w:rPr>
          <w:rFonts w:eastAsia="Calibri" w:cs="Arial"/>
          <w:b/>
          <w:szCs w:val="20"/>
        </w:rPr>
        <w:t>3</w:t>
      </w:r>
      <w:r w:rsidR="00F41FCE">
        <w:rPr>
          <w:rFonts w:eastAsia="Calibri" w:cs="Arial"/>
          <w:b/>
          <w:szCs w:val="20"/>
        </w:rPr>
        <w:t>1</w:t>
      </w:r>
      <w:r w:rsidRPr="00EB2A42">
        <w:rPr>
          <w:rFonts w:eastAsia="Calibri" w:cs="Arial"/>
          <w:b/>
          <w:szCs w:val="20"/>
        </w:rPr>
        <w:t>. člen</w:t>
      </w:r>
    </w:p>
    <w:p w:rsidR="00AE2155" w:rsidRDefault="00AE2155" w:rsidP="00B644CC">
      <w:pPr>
        <w:spacing w:line="288" w:lineRule="auto"/>
        <w:jc w:val="center"/>
        <w:rPr>
          <w:rFonts w:eastAsia="Calibri" w:cs="Arial"/>
          <w:b/>
          <w:szCs w:val="20"/>
        </w:rPr>
      </w:pPr>
      <w:r>
        <w:rPr>
          <w:rFonts w:eastAsia="Calibri" w:cs="Arial"/>
          <w:b/>
          <w:szCs w:val="20"/>
        </w:rPr>
        <w:t>(uskladitev</w:t>
      </w:r>
      <w:r w:rsidR="00F7775B">
        <w:rPr>
          <w:rFonts w:eastAsia="Calibri" w:cs="Arial"/>
          <w:b/>
          <w:szCs w:val="20"/>
        </w:rPr>
        <w:t xml:space="preserve"> </w:t>
      </w:r>
      <w:r w:rsidR="00CA4C2C">
        <w:rPr>
          <w:rFonts w:eastAsia="Calibri" w:cs="Arial"/>
          <w:b/>
          <w:szCs w:val="20"/>
        </w:rPr>
        <w:t>aktov</w:t>
      </w:r>
      <w:r>
        <w:rPr>
          <w:rFonts w:eastAsia="Calibri" w:cs="Arial"/>
          <w:b/>
          <w:szCs w:val="20"/>
        </w:rPr>
        <w:t xml:space="preserve">) </w:t>
      </w:r>
    </w:p>
    <w:p w:rsidR="00AE2155" w:rsidRPr="006323FE" w:rsidRDefault="00AE2155" w:rsidP="00B644CC">
      <w:pPr>
        <w:autoSpaceDE w:val="0"/>
        <w:autoSpaceDN w:val="0"/>
        <w:adjustRightInd w:val="0"/>
        <w:spacing w:line="288" w:lineRule="auto"/>
        <w:jc w:val="both"/>
        <w:rPr>
          <w:rFonts w:cs="Arial"/>
          <w:szCs w:val="20"/>
        </w:rPr>
      </w:pPr>
    </w:p>
    <w:p w:rsidR="00AE2155" w:rsidRPr="009F5032" w:rsidRDefault="00AE2155" w:rsidP="00B644CC">
      <w:pPr>
        <w:autoSpaceDE w:val="0"/>
        <w:autoSpaceDN w:val="0"/>
        <w:adjustRightInd w:val="0"/>
        <w:spacing w:line="288" w:lineRule="auto"/>
        <w:jc w:val="both"/>
        <w:rPr>
          <w:rFonts w:cs="Arial"/>
          <w:szCs w:val="20"/>
        </w:rPr>
      </w:pPr>
      <w:r w:rsidRPr="009F5032">
        <w:rPr>
          <w:rFonts w:cs="Arial"/>
          <w:szCs w:val="20"/>
          <w:shd w:val="clear" w:color="auto" w:fill="FFFFFF"/>
        </w:rPr>
        <w:t xml:space="preserve">(2) Generalni državni tožilec uskladi </w:t>
      </w:r>
      <w:r w:rsidR="004C2821" w:rsidRPr="009F5032">
        <w:rPr>
          <w:rFonts w:cs="Arial"/>
          <w:szCs w:val="20"/>
          <w:shd w:val="clear" w:color="auto" w:fill="FFFFFF"/>
        </w:rPr>
        <w:t xml:space="preserve">Nacionalni sistem za usklajevanje dejavnosti Eurojusta in nacionalne korespondente Eurojusta </w:t>
      </w:r>
      <w:r w:rsidRPr="009F5032">
        <w:rPr>
          <w:rFonts w:cs="Arial"/>
          <w:szCs w:val="20"/>
          <w:shd w:val="clear" w:color="auto" w:fill="FFFFFF"/>
        </w:rPr>
        <w:t>z Uredbo</w:t>
      </w:r>
      <w:r w:rsidR="006A2CEE">
        <w:rPr>
          <w:rFonts w:cs="Arial"/>
          <w:szCs w:val="20"/>
          <w:shd w:val="clear" w:color="auto" w:fill="FFFFFF"/>
        </w:rPr>
        <w:t xml:space="preserve"> </w:t>
      </w:r>
      <w:r w:rsidRPr="009F5032">
        <w:rPr>
          <w:rFonts w:cs="Arial"/>
          <w:szCs w:val="20"/>
          <w:shd w:val="clear" w:color="auto" w:fill="FFFFFF"/>
        </w:rPr>
        <w:t xml:space="preserve">2018/1727/EU in </w:t>
      </w:r>
      <w:r w:rsidR="004C2821">
        <w:rPr>
          <w:rFonts w:cs="Arial"/>
          <w:szCs w:val="20"/>
          <w:shd w:val="clear" w:color="auto" w:fill="FFFFFF"/>
        </w:rPr>
        <w:t xml:space="preserve">jo </w:t>
      </w:r>
      <w:r w:rsidRPr="009F5032">
        <w:rPr>
          <w:rFonts w:cs="Arial"/>
          <w:szCs w:val="20"/>
          <w:shd w:val="clear" w:color="auto" w:fill="FFFFFF"/>
        </w:rPr>
        <w:t xml:space="preserve">objavi </w:t>
      </w:r>
      <w:r w:rsidR="004C2821">
        <w:rPr>
          <w:rFonts w:cs="Arial"/>
          <w:szCs w:val="20"/>
          <w:shd w:val="clear" w:color="auto" w:fill="FFFFFF"/>
        </w:rPr>
        <w:t xml:space="preserve">na spletni strani državnega tožilstva </w:t>
      </w:r>
      <w:r w:rsidRPr="009F5032">
        <w:rPr>
          <w:rFonts w:cs="Arial"/>
          <w:szCs w:val="20"/>
          <w:shd w:val="clear" w:color="auto" w:fill="FFFFFF"/>
        </w:rPr>
        <w:t>najpozneje v šestih mesecih po uveljavitvi tega zakona.</w:t>
      </w:r>
    </w:p>
    <w:p w:rsidR="00AE2155" w:rsidRPr="009F5032" w:rsidRDefault="00AE2155" w:rsidP="00B644CC">
      <w:pPr>
        <w:spacing w:line="288" w:lineRule="auto"/>
        <w:jc w:val="both"/>
        <w:rPr>
          <w:rFonts w:eastAsia="Calibri" w:cs="Arial"/>
          <w:szCs w:val="20"/>
        </w:rPr>
      </w:pPr>
      <w:bookmarkStart w:id="45" w:name="_Hlk33620547"/>
    </w:p>
    <w:p w:rsidR="00AE2155" w:rsidRPr="009F5032" w:rsidRDefault="00AE2155" w:rsidP="00B644CC">
      <w:pPr>
        <w:spacing w:line="288" w:lineRule="auto"/>
        <w:jc w:val="both"/>
        <w:rPr>
          <w:rFonts w:eastAsia="Calibri" w:cs="Arial"/>
          <w:szCs w:val="20"/>
        </w:rPr>
      </w:pPr>
      <w:r w:rsidRPr="009F5032">
        <w:rPr>
          <w:rFonts w:eastAsia="Calibri" w:cs="Arial"/>
          <w:szCs w:val="20"/>
        </w:rPr>
        <w:t xml:space="preserve">(3) </w:t>
      </w:r>
      <w:r w:rsidR="006A2CEE">
        <w:rPr>
          <w:rFonts w:eastAsia="Calibri" w:cs="Arial"/>
          <w:szCs w:val="20"/>
        </w:rPr>
        <w:t>D</w:t>
      </w:r>
      <w:r w:rsidRPr="009F5032">
        <w:rPr>
          <w:rFonts w:eastAsia="Calibri" w:cs="Arial"/>
          <w:szCs w:val="20"/>
        </w:rPr>
        <w:t xml:space="preserve">ržavna tožilstva uskladijo </w:t>
      </w:r>
      <w:r w:rsidR="006A2CEE">
        <w:rPr>
          <w:rFonts w:eastAsia="Calibri" w:cs="Arial"/>
          <w:szCs w:val="20"/>
        </w:rPr>
        <w:t>l</w:t>
      </w:r>
      <w:r w:rsidR="006A2CEE" w:rsidRPr="009F5032">
        <w:rPr>
          <w:rFonts w:eastAsia="Calibri" w:cs="Arial"/>
          <w:szCs w:val="20"/>
        </w:rPr>
        <w:t xml:space="preserve">etne razporede </w:t>
      </w:r>
      <w:r w:rsidRPr="009F5032">
        <w:rPr>
          <w:rFonts w:eastAsia="Calibri" w:cs="Arial"/>
          <w:szCs w:val="20"/>
        </w:rPr>
        <w:t>ob prvi</w:t>
      </w:r>
      <w:r w:rsidR="006A2CEE">
        <w:rPr>
          <w:rFonts w:eastAsia="Calibri" w:cs="Arial"/>
          <w:szCs w:val="20"/>
        </w:rPr>
        <w:t xml:space="preserve"> njihovi</w:t>
      </w:r>
      <w:r w:rsidRPr="009F5032">
        <w:rPr>
          <w:rFonts w:eastAsia="Calibri" w:cs="Arial"/>
          <w:szCs w:val="20"/>
        </w:rPr>
        <w:t xml:space="preserve"> </w:t>
      </w:r>
      <w:r w:rsidR="006A2CEE">
        <w:rPr>
          <w:rFonts w:eastAsia="Calibri" w:cs="Arial"/>
          <w:szCs w:val="20"/>
        </w:rPr>
        <w:t xml:space="preserve">spremembi, </w:t>
      </w:r>
      <w:r w:rsidRPr="009F5032">
        <w:rPr>
          <w:rFonts w:eastAsia="Calibri" w:cs="Arial"/>
          <w:szCs w:val="20"/>
        </w:rPr>
        <w:t>naj</w:t>
      </w:r>
      <w:r w:rsidR="006A2CEE">
        <w:rPr>
          <w:rFonts w:eastAsia="Calibri" w:cs="Arial"/>
          <w:szCs w:val="20"/>
        </w:rPr>
        <w:t>pozneje</w:t>
      </w:r>
      <w:r w:rsidRPr="009F5032">
        <w:rPr>
          <w:rFonts w:eastAsia="Calibri" w:cs="Arial"/>
          <w:szCs w:val="20"/>
        </w:rPr>
        <w:t xml:space="preserve"> pa ob pripravi letnega razporeda za naslednje koledarsko leto. </w:t>
      </w:r>
    </w:p>
    <w:bookmarkEnd w:id="45"/>
    <w:p w:rsidR="00AE2155" w:rsidRPr="009F5032" w:rsidRDefault="00AE2155" w:rsidP="00B644CC">
      <w:pPr>
        <w:spacing w:line="288" w:lineRule="auto"/>
        <w:rPr>
          <w:rFonts w:eastAsia="Calibri" w:cs="Arial"/>
          <w:b/>
          <w:szCs w:val="20"/>
        </w:rPr>
      </w:pPr>
    </w:p>
    <w:p w:rsidR="00AE2155" w:rsidRPr="009F5032" w:rsidRDefault="00AE2155" w:rsidP="00B644CC">
      <w:pPr>
        <w:spacing w:line="288" w:lineRule="auto"/>
        <w:jc w:val="center"/>
        <w:rPr>
          <w:rFonts w:eastAsia="Calibri" w:cs="Arial"/>
          <w:b/>
          <w:szCs w:val="20"/>
        </w:rPr>
      </w:pPr>
      <w:bookmarkStart w:id="46" w:name="_Hlk33621188"/>
      <w:r>
        <w:rPr>
          <w:rFonts w:eastAsia="Calibri" w:cs="Arial"/>
          <w:b/>
          <w:szCs w:val="20"/>
        </w:rPr>
        <w:lastRenderedPageBreak/>
        <w:t>3</w:t>
      </w:r>
      <w:r w:rsidR="00F41FCE">
        <w:rPr>
          <w:rFonts w:eastAsia="Calibri" w:cs="Arial"/>
          <w:b/>
          <w:szCs w:val="20"/>
        </w:rPr>
        <w:t>2</w:t>
      </w:r>
      <w:r w:rsidRPr="009F5032">
        <w:rPr>
          <w:rFonts w:eastAsia="Calibri" w:cs="Arial"/>
          <w:b/>
          <w:szCs w:val="20"/>
        </w:rPr>
        <w:t>. člen</w:t>
      </w:r>
    </w:p>
    <w:p w:rsidR="00AE2155" w:rsidRPr="009F5032" w:rsidRDefault="00AE2155" w:rsidP="00B644CC">
      <w:pPr>
        <w:spacing w:line="288" w:lineRule="auto"/>
        <w:jc w:val="center"/>
        <w:rPr>
          <w:rFonts w:eastAsia="Calibri" w:cs="Arial"/>
          <w:b/>
          <w:szCs w:val="20"/>
        </w:rPr>
      </w:pPr>
      <w:r w:rsidRPr="009F5032">
        <w:rPr>
          <w:rFonts w:eastAsia="Calibri" w:cs="Arial"/>
          <w:b/>
          <w:szCs w:val="20"/>
        </w:rPr>
        <w:t>(dokončanje postopkov)</w:t>
      </w:r>
    </w:p>
    <w:p w:rsidR="00AE2155" w:rsidRPr="009F5032" w:rsidRDefault="00AE2155" w:rsidP="00B644CC">
      <w:pPr>
        <w:spacing w:line="288" w:lineRule="auto"/>
        <w:jc w:val="center"/>
        <w:rPr>
          <w:rFonts w:eastAsia="Calibri" w:cs="Arial"/>
          <w:b/>
          <w:szCs w:val="20"/>
        </w:rPr>
      </w:pPr>
    </w:p>
    <w:p w:rsidR="00BC25A3" w:rsidRDefault="00AE2155" w:rsidP="00B644CC">
      <w:pPr>
        <w:spacing w:line="288" w:lineRule="auto"/>
        <w:jc w:val="both"/>
        <w:rPr>
          <w:rFonts w:eastAsia="Calibri" w:cs="Arial"/>
          <w:szCs w:val="20"/>
        </w:rPr>
      </w:pPr>
      <w:r w:rsidRPr="009F5032">
        <w:rPr>
          <w:rFonts w:eastAsia="Calibri" w:cs="Arial"/>
          <w:szCs w:val="20"/>
        </w:rPr>
        <w:t xml:space="preserve">Postopki imenovanja nacionalnega predstavnika v Eurojustu, njegovega namestnika ali  pomočnika, ki so bili začeti pred začetkom </w:t>
      </w:r>
      <w:r w:rsidR="006A2CEE">
        <w:rPr>
          <w:rFonts w:eastAsia="Calibri" w:cs="Arial"/>
          <w:szCs w:val="20"/>
        </w:rPr>
        <w:t>veljavnosti</w:t>
      </w:r>
      <w:r w:rsidRPr="009F5032">
        <w:rPr>
          <w:rFonts w:eastAsia="Calibri" w:cs="Arial"/>
          <w:szCs w:val="20"/>
        </w:rPr>
        <w:t xml:space="preserve"> tega zakona, se nadaljujejo in dokončajo po določbah Zakona o državnem tožilstvu (Uradni list RS, št. 58/11, 21/12 – ZDU-1F, 47/12, 15/13 – </w:t>
      </w:r>
      <w:r w:rsidRPr="00690F1F">
        <w:rPr>
          <w:rFonts w:eastAsia="Calibri" w:cs="Arial"/>
          <w:szCs w:val="20"/>
        </w:rPr>
        <w:t>ZODPol, 47/13 – ZDU-1G, 48/13 – ZSKZDČEU-1, 19/15, 23/17 – ZSSve in 36/19</w:t>
      </w:r>
      <w:r>
        <w:rPr>
          <w:rFonts w:eastAsia="Calibri" w:cs="Arial"/>
          <w:szCs w:val="20"/>
        </w:rPr>
        <w:t>).</w:t>
      </w:r>
    </w:p>
    <w:bookmarkEnd w:id="46"/>
    <w:p w:rsidR="00AE2155" w:rsidRDefault="00AE2155" w:rsidP="00D92A18">
      <w:pPr>
        <w:spacing w:line="288" w:lineRule="auto"/>
        <w:rPr>
          <w:rFonts w:eastAsia="Calibri" w:cs="Arial"/>
          <w:b/>
          <w:szCs w:val="20"/>
        </w:rPr>
      </w:pPr>
    </w:p>
    <w:p w:rsidR="00AE2155" w:rsidRPr="00EB2A42" w:rsidRDefault="00AE2155" w:rsidP="00B644CC">
      <w:pPr>
        <w:spacing w:line="288" w:lineRule="auto"/>
        <w:jc w:val="center"/>
        <w:rPr>
          <w:rFonts w:eastAsia="Calibri" w:cs="Arial"/>
          <w:b/>
          <w:szCs w:val="20"/>
        </w:rPr>
      </w:pPr>
      <w:r>
        <w:rPr>
          <w:rFonts w:eastAsia="Calibri" w:cs="Arial"/>
          <w:b/>
          <w:szCs w:val="20"/>
        </w:rPr>
        <w:t>3</w:t>
      </w:r>
      <w:r w:rsidR="00F41FCE">
        <w:rPr>
          <w:rFonts w:eastAsia="Calibri" w:cs="Arial"/>
          <w:b/>
          <w:szCs w:val="20"/>
        </w:rPr>
        <w:t>3</w:t>
      </w:r>
      <w:r w:rsidRPr="00EB2A42">
        <w:rPr>
          <w:rFonts w:eastAsia="Calibri" w:cs="Arial"/>
          <w:b/>
          <w:szCs w:val="20"/>
        </w:rPr>
        <w:t>. člen</w:t>
      </w:r>
      <w:r>
        <w:rPr>
          <w:rFonts w:eastAsia="Calibri" w:cs="Arial"/>
          <w:b/>
          <w:szCs w:val="20"/>
        </w:rPr>
        <w:t xml:space="preserve"> </w:t>
      </w:r>
    </w:p>
    <w:p w:rsidR="00AE2155" w:rsidRPr="00EB2A42" w:rsidRDefault="00AE2155" w:rsidP="00B644CC">
      <w:pPr>
        <w:spacing w:line="288" w:lineRule="auto"/>
        <w:jc w:val="center"/>
        <w:rPr>
          <w:rFonts w:eastAsia="Calibri" w:cs="Arial"/>
          <w:b/>
          <w:szCs w:val="20"/>
        </w:rPr>
      </w:pPr>
      <w:r w:rsidRPr="00EB2A42">
        <w:rPr>
          <w:rFonts w:eastAsia="Calibri" w:cs="Arial"/>
          <w:b/>
          <w:szCs w:val="20"/>
        </w:rPr>
        <w:t>(začetek veljavnosti)</w:t>
      </w:r>
    </w:p>
    <w:p w:rsidR="00AE2155" w:rsidRPr="00EB2A42" w:rsidRDefault="00AE2155" w:rsidP="00B644CC">
      <w:pPr>
        <w:spacing w:line="288" w:lineRule="auto"/>
        <w:jc w:val="both"/>
        <w:rPr>
          <w:rFonts w:eastAsia="Calibri" w:cs="Arial"/>
          <w:szCs w:val="20"/>
        </w:rPr>
      </w:pPr>
    </w:p>
    <w:p w:rsidR="00AE2155" w:rsidRPr="00EB2A42" w:rsidRDefault="00AE2155" w:rsidP="00B644CC">
      <w:pPr>
        <w:spacing w:line="288" w:lineRule="auto"/>
        <w:jc w:val="both"/>
        <w:rPr>
          <w:rFonts w:eastAsia="Calibri" w:cs="Arial"/>
          <w:szCs w:val="20"/>
        </w:rPr>
      </w:pPr>
      <w:r w:rsidRPr="00EB2A42">
        <w:rPr>
          <w:rFonts w:eastAsia="Calibri" w:cs="Arial"/>
          <w:szCs w:val="20"/>
        </w:rPr>
        <w:t>Ta zakon začne veljati petnajsti dan po objavi v Uradnem listu Republike Slovenije.</w:t>
      </w:r>
    </w:p>
    <w:p w:rsidR="00AE2155" w:rsidRPr="00864A30" w:rsidRDefault="00AE2155" w:rsidP="00B644CC">
      <w:pPr>
        <w:spacing w:line="288" w:lineRule="auto"/>
        <w:jc w:val="both"/>
        <w:rPr>
          <w:rFonts w:eastAsia="Calibri" w:cs="Calibri"/>
          <w:sz w:val="24"/>
        </w:rPr>
      </w:pPr>
    </w:p>
    <w:p w:rsidR="00AE2155" w:rsidRPr="00E60BAA" w:rsidRDefault="00AE2155" w:rsidP="00B644CC">
      <w:pPr>
        <w:spacing w:line="288" w:lineRule="auto"/>
        <w:jc w:val="both"/>
        <w:rPr>
          <w:rFonts w:cs="Arial"/>
          <w:b/>
          <w:color w:val="000000"/>
          <w:szCs w:val="20"/>
          <w:shd w:val="clear" w:color="auto" w:fill="FFFFFF"/>
        </w:rPr>
      </w:pPr>
    </w:p>
    <w:p w:rsidR="00AE2155" w:rsidRDefault="00AE2155" w:rsidP="00B644CC">
      <w:pPr>
        <w:spacing w:line="288" w:lineRule="auto"/>
        <w:jc w:val="both"/>
        <w:rPr>
          <w:rFonts w:cs="Arial"/>
          <w:b/>
          <w:szCs w:val="20"/>
        </w:rPr>
      </w:pPr>
      <w:r>
        <w:rPr>
          <w:rFonts w:cs="Arial"/>
          <w:b/>
          <w:szCs w:val="20"/>
        </w:rPr>
        <w:br w:type="page"/>
      </w:r>
      <w:r w:rsidRPr="00E60BAA">
        <w:rPr>
          <w:rFonts w:cs="Arial"/>
          <w:b/>
          <w:szCs w:val="20"/>
        </w:rPr>
        <w:lastRenderedPageBreak/>
        <w:t>III. OBRAZLOŽITEV</w:t>
      </w:r>
    </w:p>
    <w:p w:rsidR="00AE2155" w:rsidRPr="00B226C4" w:rsidRDefault="00AE2155" w:rsidP="00B644CC">
      <w:pPr>
        <w:spacing w:line="288" w:lineRule="auto"/>
        <w:jc w:val="both"/>
        <w:rPr>
          <w:rFonts w:cs="Arial"/>
          <w:b/>
          <w:szCs w:val="20"/>
        </w:rPr>
      </w:pPr>
    </w:p>
    <w:p w:rsidR="00AE2155" w:rsidRPr="007378F8" w:rsidRDefault="00AE2155" w:rsidP="00B644CC">
      <w:pPr>
        <w:spacing w:line="288" w:lineRule="auto"/>
        <w:jc w:val="both"/>
        <w:rPr>
          <w:b/>
          <w:szCs w:val="20"/>
        </w:rPr>
      </w:pPr>
      <w:r w:rsidRPr="007378F8">
        <w:rPr>
          <w:b/>
          <w:szCs w:val="20"/>
        </w:rPr>
        <w:t>K 1. členu</w:t>
      </w:r>
    </w:p>
    <w:p w:rsidR="00AE2155" w:rsidRDefault="00AE2155" w:rsidP="00B644CC">
      <w:pPr>
        <w:spacing w:line="288" w:lineRule="auto"/>
        <w:jc w:val="both"/>
        <w:rPr>
          <w:szCs w:val="20"/>
        </w:rPr>
      </w:pPr>
      <w:r>
        <w:rPr>
          <w:szCs w:val="20"/>
        </w:rPr>
        <w:t>S predlagano določbo se konkretizira napovedna določba 1.a člena ZDT-1 tako, da se izrecno določa institute</w:t>
      </w:r>
      <w:r w:rsidRPr="006666AD">
        <w:rPr>
          <w:szCs w:val="20"/>
        </w:rPr>
        <w:t>, ki so povezan</w:t>
      </w:r>
      <w:r>
        <w:rPr>
          <w:szCs w:val="20"/>
        </w:rPr>
        <w:t>i</w:t>
      </w:r>
      <w:r w:rsidRPr="006666AD">
        <w:rPr>
          <w:szCs w:val="20"/>
        </w:rPr>
        <w:t xml:space="preserve"> z imenovanjem evropskega tožilca in evropskega delegiranega tožilca oziroma</w:t>
      </w:r>
      <w:r>
        <w:rPr>
          <w:szCs w:val="20"/>
        </w:rPr>
        <w:t xml:space="preserve"> nacionalnega predstavnika v Eurojustu, njegovega namestnika in pomočnika</w:t>
      </w:r>
      <w:r w:rsidRPr="006666AD">
        <w:rPr>
          <w:szCs w:val="20"/>
        </w:rPr>
        <w:t>. Iz obsega urejanja v tem zakonu je izpuščena zlasti problematika procesnopravne ureditve delovanja Evropskega javnega tožilca (EJT) kot organa pregona z Uredbo določenih kaznivih dejanj, zato je besedilo napovedne</w:t>
      </w:r>
      <w:r>
        <w:rPr>
          <w:szCs w:val="20"/>
        </w:rPr>
        <w:t xml:space="preserve"> določbe spremenjeno. </w:t>
      </w:r>
      <w:r w:rsidRPr="006666AD">
        <w:rPr>
          <w:szCs w:val="20"/>
        </w:rPr>
        <w:t>Iz določb Uredbe, ki se nanašajo na postopkovna pravila o preiskavah, preiskovalnih ukrepih, pregonu in alternativnih ukrepih namesto pregona, je namreč razvidno, da so nekatera vprašanja delovanja Evropskega javnega tožilstva (EJT) odvisna od nacionalne zakonodaje držav članic E</w:t>
      </w:r>
      <w:r>
        <w:rPr>
          <w:szCs w:val="20"/>
        </w:rPr>
        <w:t>U.</w:t>
      </w:r>
    </w:p>
    <w:p w:rsidR="00AE2155" w:rsidRDefault="00AE2155" w:rsidP="00B644CC">
      <w:pPr>
        <w:spacing w:line="288" w:lineRule="auto"/>
        <w:jc w:val="both"/>
        <w:rPr>
          <w:szCs w:val="20"/>
        </w:rPr>
      </w:pPr>
    </w:p>
    <w:p w:rsidR="00F8591D" w:rsidRDefault="00AE2155" w:rsidP="00B644CC">
      <w:pPr>
        <w:spacing w:line="288" w:lineRule="auto"/>
        <w:jc w:val="both"/>
        <w:rPr>
          <w:b/>
          <w:szCs w:val="20"/>
        </w:rPr>
      </w:pPr>
      <w:r w:rsidRPr="007378F8">
        <w:rPr>
          <w:b/>
          <w:szCs w:val="20"/>
        </w:rPr>
        <w:t xml:space="preserve">K </w:t>
      </w:r>
      <w:r w:rsidR="00F8591D">
        <w:rPr>
          <w:b/>
          <w:szCs w:val="20"/>
        </w:rPr>
        <w:t>2. členu</w:t>
      </w:r>
    </w:p>
    <w:p w:rsidR="00D92A18" w:rsidRDefault="00F8591D" w:rsidP="00B644CC">
      <w:pPr>
        <w:spacing w:line="288" w:lineRule="auto"/>
        <w:jc w:val="both"/>
        <w:rPr>
          <w:bCs/>
          <w:szCs w:val="20"/>
        </w:rPr>
      </w:pPr>
      <w:r w:rsidRPr="00F8591D">
        <w:rPr>
          <w:bCs/>
          <w:szCs w:val="20"/>
        </w:rPr>
        <w:t>Z novim Zakonom o državnem odvetništvu</w:t>
      </w:r>
      <w:r>
        <w:rPr>
          <w:bCs/>
          <w:szCs w:val="20"/>
        </w:rPr>
        <w:t xml:space="preserve"> (</w:t>
      </w:r>
      <w:r w:rsidR="008F77DD">
        <w:rPr>
          <w:bCs/>
          <w:szCs w:val="20"/>
        </w:rPr>
        <w:t xml:space="preserve">Uradni list RS, št. 23/17; </w:t>
      </w:r>
      <w:r>
        <w:rPr>
          <w:bCs/>
          <w:szCs w:val="20"/>
        </w:rPr>
        <w:t>ZDOdv)</w:t>
      </w:r>
      <w:r w:rsidRPr="00F8591D">
        <w:rPr>
          <w:bCs/>
          <w:szCs w:val="20"/>
        </w:rPr>
        <w:t xml:space="preserve"> </w:t>
      </w:r>
      <w:r>
        <w:rPr>
          <w:bCs/>
          <w:szCs w:val="20"/>
        </w:rPr>
        <w:t>je D</w:t>
      </w:r>
      <w:r w:rsidRPr="00F8591D">
        <w:rPr>
          <w:bCs/>
          <w:szCs w:val="20"/>
        </w:rPr>
        <w:t>ržavno odvetništvo</w:t>
      </w:r>
      <w:r>
        <w:rPr>
          <w:bCs/>
          <w:szCs w:val="20"/>
        </w:rPr>
        <w:t xml:space="preserve"> </w:t>
      </w:r>
      <w:r w:rsidRPr="00F8591D">
        <w:rPr>
          <w:bCs/>
          <w:szCs w:val="20"/>
        </w:rPr>
        <w:t>prevzelo vse pristojnosti Državnega pravobranilstva, pravice in obveznosti, funkcionarje in javne uslužbence, zaposlene v Državnem pravobranilstvu, finančna sredstva, premično in nepremično premoženje ter dokumentarno in arhivsko gradivo Državnega pravobranilstva.</w:t>
      </w:r>
      <w:r>
        <w:rPr>
          <w:bCs/>
          <w:szCs w:val="20"/>
        </w:rPr>
        <w:t xml:space="preserve"> ZDOdv je s</w:t>
      </w:r>
      <w:r w:rsidRPr="00F8591D">
        <w:rPr>
          <w:bCs/>
          <w:szCs w:val="20"/>
        </w:rPr>
        <w:t xml:space="preserve"> prehodno določbo preimenova</w:t>
      </w:r>
      <w:r>
        <w:rPr>
          <w:bCs/>
          <w:szCs w:val="20"/>
        </w:rPr>
        <w:t xml:space="preserve">l izraze za </w:t>
      </w:r>
      <w:r w:rsidRPr="00F8591D">
        <w:rPr>
          <w:bCs/>
          <w:szCs w:val="20"/>
        </w:rPr>
        <w:t>»Državn</w:t>
      </w:r>
      <w:r>
        <w:rPr>
          <w:bCs/>
          <w:szCs w:val="20"/>
        </w:rPr>
        <w:t>o</w:t>
      </w:r>
      <w:r w:rsidRPr="00F8591D">
        <w:rPr>
          <w:bCs/>
          <w:szCs w:val="20"/>
        </w:rPr>
        <w:t xml:space="preserve"> pravobranilstv</w:t>
      </w:r>
      <w:r>
        <w:rPr>
          <w:bCs/>
          <w:szCs w:val="20"/>
        </w:rPr>
        <w:t>o</w:t>
      </w:r>
      <w:r w:rsidRPr="00F8591D">
        <w:rPr>
          <w:bCs/>
          <w:szCs w:val="20"/>
        </w:rPr>
        <w:t>«, »generaln</w:t>
      </w:r>
      <w:r>
        <w:rPr>
          <w:bCs/>
          <w:szCs w:val="20"/>
        </w:rPr>
        <w:t>i</w:t>
      </w:r>
      <w:r w:rsidRPr="00F8591D">
        <w:rPr>
          <w:bCs/>
          <w:szCs w:val="20"/>
        </w:rPr>
        <w:t xml:space="preserve"> državn</w:t>
      </w:r>
      <w:r>
        <w:rPr>
          <w:bCs/>
          <w:szCs w:val="20"/>
        </w:rPr>
        <w:t>i</w:t>
      </w:r>
      <w:r w:rsidRPr="00F8591D">
        <w:rPr>
          <w:bCs/>
          <w:szCs w:val="20"/>
        </w:rPr>
        <w:t xml:space="preserve"> pravobranil</w:t>
      </w:r>
      <w:r>
        <w:rPr>
          <w:bCs/>
          <w:szCs w:val="20"/>
        </w:rPr>
        <w:t>ec</w:t>
      </w:r>
      <w:r w:rsidRPr="00F8591D">
        <w:rPr>
          <w:bCs/>
          <w:szCs w:val="20"/>
        </w:rPr>
        <w:t>« ter »državn</w:t>
      </w:r>
      <w:r>
        <w:rPr>
          <w:bCs/>
          <w:szCs w:val="20"/>
        </w:rPr>
        <w:t>e</w:t>
      </w:r>
      <w:r w:rsidRPr="00F8591D">
        <w:rPr>
          <w:bCs/>
          <w:szCs w:val="20"/>
        </w:rPr>
        <w:t xml:space="preserve"> pravobranilc</w:t>
      </w:r>
      <w:r>
        <w:rPr>
          <w:bCs/>
          <w:szCs w:val="20"/>
        </w:rPr>
        <w:t>e</w:t>
      </w:r>
      <w:r w:rsidRPr="00F8591D">
        <w:rPr>
          <w:bCs/>
          <w:szCs w:val="20"/>
        </w:rPr>
        <w:t xml:space="preserve">, </w:t>
      </w:r>
      <w:r>
        <w:rPr>
          <w:bCs/>
          <w:szCs w:val="20"/>
        </w:rPr>
        <w:t xml:space="preserve">in </w:t>
      </w:r>
      <w:r w:rsidRPr="00F8591D">
        <w:rPr>
          <w:bCs/>
          <w:szCs w:val="20"/>
        </w:rPr>
        <w:t>»pomočnik</w:t>
      </w:r>
      <w:r>
        <w:rPr>
          <w:bCs/>
          <w:szCs w:val="20"/>
        </w:rPr>
        <w:t>e</w:t>
      </w:r>
      <w:r w:rsidRPr="00F8591D">
        <w:rPr>
          <w:bCs/>
          <w:szCs w:val="20"/>
        </w:rPr>
        <w:t xml:space="preserve"> državnih pravobranilcev« v drugih zakonih in podzakonskih aktih v državno odvetništvo, generalnega državnega odvetnika ter višje državne odvetnike in državne odvetnike. </w:t>
      </w:r>
    </w:p>
    <w:p w:rsidR="00D92A18" w:rsidRDefault="00D92A18" w:rsidP="00B644CC">
      <w:pPr>
        <w:spacing w:line="288" w:lineRule="auto"/>
        <w:jc w:val="both"/>
        <w:rPr>
          <w:bCs/>
          <w:szCs w:val="20"/>
        </w:rPr>
      </w:pPr>
    </w:p>
    <w:p w:rsidR="00F8591D" w:rsidRDefault="00D92A18" w:rsidP="00B644CC">
      <w:pPr>
        <w:spacing w:line="288" w:lineRule="auto"/>
        <w:jc w:val="both"/>
        <w:rPr>
          <w:bCs/>
          <w:szCs w:val="20"/>
        </w:rPr>
      </w:pPr>
      <w:r>
        <w:rPr>
          <w:szCs w:val="20"/>
        </w:rPr>
        <w:t xml:space="preserve">Ne glede na določbo 100. člena ZDOdv, ki sicer določa uporabo izrazov v drugih zakonih, da </w:t>
      </w:r>
      <w:r w:rsidRPr="00EC506D">
        <w:rPr>
          <w:szCs w:val="20"/>
        </w:rPr>
        <w:t>izraz »državno pravobranilstvo« ali »pravobranilstvo« v kateremkoli sklonu, pomeni ta izraz državno odvetništvo v uporabljenem sklonu</w:t>
      </w:r>
      <w:r>
        <w:rPr>
          <w:szCs w:val="20"/>
        </w:rPr>
        <w:t xml:space="preserve">, se s </w:t>
      </w:r>
      <w:r>
        <w:rPr>
          <w:bCs/>
          <w:szCs w:val="20"/>
        </w:rPr>
        <w:t>pre</w:t>
      </w:r>
      <w:r w:rsidR="008F77DD">
        <w:rPr>
          <w:bCs/>
          <w:szCs w:val="20"/>
        </w:rPr>
        <w:t>d</w:t>
      </w:r>
      <w:r>
        <w:rPr>
          <w:bCs/>
          <w:szCs w:val="20"/>
        </w:rPr>
        <w:t xml:space="preserve">lagano spremembo  </w:t>
      </w:r>
      <w:r>
        <w:rPr>
          <w:szCs w:val="20"/>
        </w:rPr>
        <w:t xml:space="preserve">določbe ZDT-1 usklajujejo z novo ureditvijo državnega odvetništva. </w:t>
      </w:r>
    </w:p>
    <w:p w:rsidR="00D92A18" w:rsidRDefault="00D92A18" w:rsidP="00B644CC">
      <w:pPr>
        <w:spacing w:line="288" w:lineRule="auto"/>
        <w:jc w:val="both"/>
        <w:rPr>
          <w:b/>
          <w:szCs w:val="20"/>
        </w:rPr>
      </w:pPr>
    </w:p>
    <w:p w:rsidR="00AE2155" w:rsidRPr="007378F8" w:rsidRDefault="00C671C8" w:rsidP="00B644CC">
      <w:pPr>
        <w:spacing w:line="288" w:lineRule="auto"/>
        <w:jc w:val="both"/>
        <w:rPr>
          <w:b/>
          <w:szCs w:val="20"/>
        </w:rPr>
      </w:pPr>
      <w:r>
        <w:rPr>
          <w:b/>
          <w:szCs w:val="20"/>
        </w:rPr>
        <w:t>K 3.</w:t>
      </w:r>
      <w:r w:rsidR="00AE2155" w:rsidRPr="007378F8">
        <w:rPr>
          <w:b/>
          <w:szCs w:val="20"/>
        </w:rPr>
        <w:t xml:space="preserve"> členu</w:t>
      </w:r>
    </w:p>
    <w:p w:rsidR="00AE2155" w:rsidRDefault="00AE2155" w:rsidP="00B644CC">
      <w:pPr>
        <w:spacing w:line="288" w:lineRule="auto"/>
        <w:jc w:val="both"/>
        <w:rPr>
          <w:szCs w:val="20"/>
        </w:rPr>
      </w:pPr>
      <w:r w:rsidRPr="00DB5CCB">
        <w:rPr>
          <w:szCs w:val="20"/>
        </w:rPr>
        <w:t xml:space="preserve">V petem odstavku </w:t>
      </w:r>
      <w:r>
        <w:rPr>
          <w:szCs w:val="20"/>
        </w:rPr>
        <w:t xml:space="preserve">veljavnega 44. člena se predlaga črtanje dolžnosti vodje državnega tožilstva, da na zahtevo ministrstva ali generalnega državnega tožilca posreduje evidenco o opravljanju pripravljenosti in dežurstva. Evidenca obsega ime državnega tožilca, trajanje pripravljenosti oziroma dežurstva, opravljeno dejanje oziroma usmerjanje. Ker evidenca vsebuje podatke, ki se nanašajo na izvajanje funkcije pregona in na konkretne kazenske zadeve, določba lahko pomeni poseg v samostojnost državnega tožilca pri opravljanju funkcije pregona, zato se </w:t>
      </w:r>
      <w:r w:rsidRPr="00DB5CCB">
        <w:rPr>
          <w:szCs w:val="20"/>
        </w:rPr>
        <w:t>predlaga</w:t>
      </w:r>
      <w:r>
        <w:rPr>
          <w:szCs w:val="20"/>
        </w:rPr>
        <w:t xml:space="preserve"> njeno</w:t>
      </w:r>
      <w:r w:rsidRPr="00DB5CCB">
        <w:rPr>
          <w:szCs w:val="20"/>
        </w:rPr>
        <w:t xml:space="preserve"> črtanje</w:t>
      </w:r>
      <w:r>
        <w:rPr>
          <w:szCs w:val="20"/>
        </w:rPr>
        <w:t xml:space="preserve">. Tudi nadzorne pristojnosti izvršilne veje oblasti so usmerjene zgolj v </w:t>
      </w:r>
      <w:r w:rsidRPr="00DB5CCB">
        <w:rPr>
          <w:szCs w:val="20"/>
        </w:rPr>
        <w:t>poslovanj</w:t>
      </w:r>
      <w:r>
        <w:rPr>
          <w:szCs w:val="20"/>
        </w:rPr>
        <w:t>e</w:t>
      </w:r>
      <w:r w:rsidRPr="00DB5CCB">
        <w:rPr>
          <w:szCs w:val="20"/>
        </w:rPr>
        <w:t xml:space="preserve"> državnega tožilstva, števil</w:t>
      </w:r>
      <w:r>
        <w:rPr>
          <w:szCs w:val="20"/>
        </w:rPr>
        <w:t>o</w:t>
      </w:r>
      <w:r w:rsidRPr="00DB5CCB">
        <w:rPr>
          <w:szCs w:val="20"/>
        </w:rPr>
        <w:t xml:space="preserve"> državnih tožilcev in proračun, nikakor pa ne v nadzor dela državnih tožilcev in s tem </w:t>
      </w:r>
      <w:r>
        <w:rPr>
          <w:szCs w:val="20"/>
        </w:rPr>
        <w:t xml:space="preserve">v </w:t>
      </w:r>
      <w:r w:rsidRPr="00DB5CCB">
        <w:rPr>
          <w:szCs w:val="20"/>
        </w:rPr>
        <w:t>temeljn</w:t>
      </w:r>
      <w:r>
        <w:rPr>
          <w:szCs w:val="20"/>
        </w:rPr>
        <w:t>o</w:t>
      </w:r>
      <w:r w:rsidRPr="00DB5CCB">
        <w:rPr>
          <w:szCs w:val="20"/>
        </w:rPr>
        <w:t xml:space="preserve"> funkcij</w:t>
      </w:r>
      <w:r>
        <w:rPr>
          <w:szCs w:val="20"/>
        </w:rPr>
        <w:t>o</w:t>
      </w:r>
      <w:r w:rsidRPr="00DB5CCB">
        <w:rPr>
          <w:szCs w:val="20"/>
        </w:rPr>
        <w:t xml:space="preserve"> pregona kaznivih dejanj</w:t>
      </w:r>
      <w:r>
        <w:rPr>
          <w:szCs w:val="20"/>
        </w:rPr>
        <w:t xml:space="preserve">. V okviru </w:t>
      </w:r>
      <w:r w:rsidRPr="00504371">
        <w:rPr>
          <w:szCs w:val="20"/>
        </w:rPr>
        <w:t xml:space="preserve">pravosodne uprave lahko ministrstvo za namene izvrševanja svojih pristojnosti po 158. členu </w:t>
      </w:r>
      <w:r>
        <w:rPr>
          <w:szCs w:val="20"/>
        </w:rPr>
        <w:t xml:space="preserve">ZDT-1 od državnih tožilstev zahteva pojasnila, podatke (tudi podatke o opravljanju dežurne službe), poročila, </w:t>
      </w:r>
      <w:r w:rsidRPr="00741C3C">
        <w:rPr>
          <w:szCs w:val="20"/>
        </w:rPr>
        <w:t>v prostorih državnega tožilstva lahko vpogleda v spise ter od državnih tožilstev zahteva izpise iz vpisnikov in drugo dokumentacijo, ki se nanaša na izvrševanje posamezne zadeve ali vrste zadev državnotožilske uprave.</w:t>
      </w:r>
      <w:r>
        <w:rPr>
          <w:szCs w:val="20"/>
        </w:rPr>
        <w:t xml:space="preserve"> Generalni državni tožilec pa lahko navedene podatke zahteva v okviru izvajanja nalog državnotožilske uprave.</w:t>
      </w:r>
    </w:p>
    <w:p w:rsidR="00AE2155" w:rsidRDefault="00AE2155" w:rsidP="00B644CC">
      <w:pPr>
        <w:spacing w:line="288" w:lineRule="auto"/>
        <w:jc w:val="both"/>
        <w:rPr>
          <w:szCs w:val="20"/>
        </w:rPr>
      </w:pPr>
    </w:p>
    <w:p w:rsidR="00AE2155" w:rsidRDefault="00AE2155" w:rsidP="00B644CC">
      <w:pPr>
        <w:spacing w:line="288" w:lineRule="auto"/>
        <w:jc w:val="both"/>
        <w:rPr>
          <w:rFonts w:eastAsia="Calibri" w:cs="Arial"/>
          <w:b/>
          <w:szCs w:val="20"/>
        </w:rPr>
      </w:pPr>
      <w:r w:rsidRPr="00741C3C">
        <w:rPr>
          <w:rFonts w:eastAsia="Calibri" w:cs="Arial"/>
          <w:b/>
          <w:szCs w:val="20"/>
        </w:rPr>
        <w:t xml:space="preserve">K </w:t>
      </w:r>
      <w:r w:rsidR="00C671C8">
        <w:rPr>
          <w:rFonts w:eastAsia="Calibri" w:cs="Arial"/>
          <w:b/>
          <w:szCs w:val="20"/>
        </w:rPr>
        <w:t>4</w:t>
      </w:r>
      <w:r w:rsidRPr="00741C3C">
        <w:rPr>
          <w:rFonts w:eastAsia="Calibri" w:cs="Arial"/>
          <w:b/>
          <w:szCs w:val="20"/>
        </w:rPr>
        <w:t>. členu</w:t>
      </w:r>
    </w:p>
    <w:p w:rsidR="00AE2155" w:rsidRDefault="00AE2155" w:rsidP="00B644CC">
      <w:pPr>
        <w:spacing w:line="288" w:lineRule="auto"/>
        <w:jc w:val="both"/>
        <w:rPr>
          <w:rFonts w:eastAsia="Calibri" w:cs="Arial"/>
          <w:szCs w:val="20"/>
        </w:rPr>
      </w:pPr>
      <w:r w:rsidRPr="00D2204A">
        <w:rPr>
          <w:rFonts w:cs="Arial"/>
          <w:szCs w:val="20"/>
        </w:rPr>
        <w:t>Pripravljenost oziroma dežurstvo sta instituta, neločljivo povezana z opravljanem državnotožilske službe,</w:t>
      </w:r>
      <w:r>
        <w:rPr>
          <w:rFonts w:cs="Arial"/>
          <w:szCs w:val="20"/>
        </w:rPr>
        <w:t xml:space="preserve"> </w:t>
      </w:r>
      <w:r w:rsidRPr="00D2204A">
        <w:rPr>
          <w:rFonts w:cs="Arial"/>
          <w:szCs w:val="20"/>
        </w:rPr>
        <w:t xml:space="preserve">saj predstavljata sredstvo za uspešno opravljanje nujnih procesnih dejanj. </w:t>
      </w:r>
      <w:r w:rsidRPr="00D2204A">
        <w:rPr>
          <w:rFonts w:eastAsia="Calibri" w:cs="Arial"/>
          <w:szCs w:val="20"/>
        </w:rPr>
        <w:t xml:space="preserve">Pojma pripravljenosti in dežurstva državnih tožilcev </w:t>
      </w:r>
      <w:r>
        <w:rPr>
          <w:rFonts w:eastAsia="Calibri" w:cs="Arial"/>
          <w:szCs w:val="20"/>
        </w:rPr>
        <w:t xml:space="preserve">se </w:t>
      </w:r>
      <w:r w:rsidRPr="00D2204A">
        <w:rPr>
          <w:rFonts w:eastAsia="Calibri" w:cs="Arial"/>
          <w:szCs w:val="20"/>
        </w:rPr>
        <w:t xml:space="preserve">glede dejanskih aktivnosti, ki jih državni tožilec </w:t>
      </w:r>
      <w:r>
        <w:rPr>
          <w:rFonts w:eastAsia="Calibri" w:cs="Arial"/>
          <w:szCs w:val="20"/>
        </w:rPr>
        <w:t>v času pripravljenosti in času dežurstvu opravi, r</w:t>
      </w:r>
      <w:r w:rsidRPr="00D2204A">
        <w:rPr>
          <w:rFonts w:eastAsia="Calibri" w:cs="Arial"/>
          <w:szCs w:val="20"/>
        </w:rPr>
        <w:t>azlikujeta</w:t>
      </w:r>
      <w:r>
        <w:rPr>
          <w:rFonts w:eastAsia="Calibri" w:cs="Arial"/>
          <w:szCs w:val="20"/>
        </w:rPr>
        <w:t xml:space="preserve">. </w:t>
      </w:r>
      <w:r w:rsidRPr="00D2204A">
        <w:rPr>
          <w:rFonts w:eastAsia="Calibri" w:cs="Arial"/>
          <w:szCs w:val="20"/>
        </w:rPr>
        <w:t xml:space="preserve">Ker veljavna ureditev teh aktivnosti </w:t>
      </w:r>
      <w:r w:rsidRPr="00D2204A">
        <w:rPr>
          <w:rFonts w:eastAsia="Calibri" w:cs="Arial"/>
          <w:szCs w:val="20"/>
        </w:rPr>
        <w:lastRenderedPageBreak/>
        <w:t xml:space="preserve">izrecno ne konkretizira se </w:t>
      </w:r>
      <w:r>
        <w:rPr>
          <w:rFonts w:eastAsia="Calibri" w:cs="Arial"/>
          <w:szCs w:val="20"/>
        </w:rPr>
        <w:t xml:space="preserve">predlaga </w:t>
      </w:r>
      <w:r w:rsidRPr="00D2204A">
        <w:rPr>
          <w:rFonts w:eastAsia="Calibri" w:cs="Arial"/>
          <w:szCs w:val="20"/>
        </w:rPr>
        <w:t>jasn</w:t>
      </w:r>
      <w:r>
        <w:rPr>
          <w:rFonts w:eastAsia="Calibri" w:cs="Arial"/>
          <w:szCs w:val="20"/>
        </w:rPr>
        <w:t>a</w:t>
      </w:r>
      <w:r w:rsidRPr="00D2204A">
        <w:rPr>
          <w:rFonts w:eastAsia="Calibri" w:cs="Arial"/>
          <w:szCs w:val="20"/>
        </w:rPr>
        <w:t xml:space="preserve"> razmejit</w:t>
      </w:r>
      <w:r>
        <w:rPr>
          <w:rFonts w:eastAsia="Calibri" w:cs="Arial"/>
          <w:szCs w:val="20"/>
        </w:rPr>
        <w:t>e</w:t>
      </w:r>
      <w:r w:rsidRPr="00D2204A">
        <w:rPr>
          <w:rFonts w:eastAsia="Calibri" w:cs="Arial"/>
          <w:szCs w:val="20"/>
        </w:rPr>
        <w:t xml:space="preserve">v aktivnosti, ki jih državni tožilec opravlja v fazi pripravljenosti in v fazi dežurstva. </w:t>
      </w:r>
      <w:r>
        <w:rPr>
          <w:rFonts w:eastAsia="Calibri" w:cs="Arial"/>
          <w:szCs w:val="20"/>
        </w:rPr>
        <w:t xml:space="preserve">Aktivnosti, ki jih državni tožilci dejansko opravljajo zunaj poslovnega časa državnega tožilstva v dežurni službi, so </w:t>
      </w:r>
      <w:r w:rsidRPr="00A53195">
        <w:rPr>
          <w:rFonts w:eastAsia="Calibri" w:cs="Arial"/>
          <w:szCs w:val="20"/>
        </w:rPr>
        <w:t>sodelovanje s policijo ter drugimi pristojnimi državnimi organi</w:t>
      </w:r>
      <w:r>
        <w:rPr>
          <w:rFonts w:eastAsia="Calibri" w:cs="Arial"/>
          <w:szCs w:val="20"/>
        </w:rPr>
        <w:t xml:space="preserve"> v predkazenskem postopku</w:t>
      </w:r>
      <w:r w:rsidRPr="00A53195">
        <w:rPr>
          <w:rFonts w:eastAsia="Calibri" w:cs="Arial"/>
          <w:szCs w:val="20"/>
        </w:rPr>
        <w:t>, ki obsega medsebojno obveščanje in usmerjanje predkazenskega postopka,</w:t>
      </w:r>
      <w:r>
        <w:rPr>
          <w:rFonts w:eastAsia="Calibri" w:cs="Arial"/>
          <w:szCs w:val="20"/>
        </w:rPr>
        <w:t xml:space="preserve"> </w:t>
      </w:r>
      <w:r w:rsidRPr="00A53195">
        <w:rPr>
          <w:rFonts w:eastAsia="Calibri" w:cs="Arial"/>
          <w:szCs w:val="20"/>
        </w:rPr>
        <w:t>zagot</w:t>
      </w:r>
      <w:r>
        <w:rPr>
          <w:rFonts w:eastAsia="Calibri" w:cs="Arial"/>
          <w:szCs w:val="20"/>
        </w:rPr>
        <w:t>avljanje</w:t>
      </w:r>
      <w:r w:rsidRPr="00A53195">
        <w:rPr>
          <w:rFonts w:eastAsia="Calibri" w:cs="Arial"/>
          <w:szCs w:val="20"/>
        </w:rPr>
        <w:t xml:space="preserve"> udeležbe pri </w:t>
      </w:r>
      <w:r>
        <w:rPr>
          <w:rFonts w:eastAsia="Calibri" w:cs="Arial"/>
          <w:szCs w:val="20"/>
        </w:rPr>
        <w:t xml:space="preserve">nujnih </w:t>
      </w:r>
      <w:r w:rsidRPr="00A53195">
        <w:rPr>
          <w:rFonts w:eastAsia="Calibri" w:cs="Arial"/>
          <w:szCs w:val="20"/>
        </w:rPr>
        <w:t>procesnih dejanjih in drugih opravilih predkazenskega ali kazenskega postopka ter druga nujna dejanja</w:t>
      </w:r>
      <w:r>
        <w:rPr>
          <w:rFonts w:eastAsia="Calibri" w:cs="Arial"/>
          <w:szCs w:val="20"/>
        </w:rPr>
        <w:t xml:space="preserve"> v predkazenskem postopku.</w:t>
      </w:r>
    </w:p>
    <w:p w:rsidR="00AE2155" w:rsidRPr="006E178C" w:rsidRDefault="00AE2155" w:rsidP="00B644CC">
      <w:pPr>
        <w:spacing w:line="288" w:lineRule="auto"/>
        <w:jc w:val="both"/>
        <w:rPr>
          <w:rFonts w:eastAsia="Calibri" w:cs="Arial"/>
          <w:szCs w:val="20"/>
        </w:rPr>
      </w:pPr>
    </w:p>
    <w:p w:rsidR="00AE2155" w:rsidRPr="006E178C" w:rsidRDefault="00AE2155" w:rsidP="00B644CC">
      <w:pPr>
        <w:spacing w:line="288" w:lineRule="auto"/>
        <w:jc w:val="both"/>
        <w:rPr>
          <w:rFonts w:eastAsia="Calibri" w:cs="Arial"/>
          <w:szCs w:val="20"/>
        </w:rPr>
      </w:pPr>
      <w:r>
        <w:rPr>
          <w:rFonts w:eastAsia="Calibri" w:cs="Arial"/>
          <w:szCs w:val="20"/>
        </w:rPr>
        <w:t>Nasprotno pa p</w:t>
      </w:r>
      <w:r w:rsidRPr="006E178C">
        <w:rPr>
          <w:rFonts w:eastAsia="Calibri" w:cs="Arial"/>
          <w:szCs w:val="20"/>
        </w:rPr>
        <w:t xml:space="preserve">ripravljenost pomeni dosegljivost državnega tožilca po telefonu ali z uporabo drugih </w:t>
      </w:r>
      <w:r>
        <w:rPr>
          <w:rFonts w:eastAsia="Calibri" w:cs="Arial"/>
          <w:szCs w:val="20"/>
        </w:rPr>
        <w:t xml:space="preserve">komunikacijskih </w:t>
      </w:r>
      <w:r w:rsidRPr="006E178C">
        <w:rPr>
          <w:rFonts w:eastAsia="Calibri" w:cs="Arial"/>
          <w:szCs w:val="20"/>
        </w:rPr>
        <w:t xml:space="preserve">sredstev za potrebe opravljanja </w:t>
      </w:r>
      <w:r>
        <w:rPr>
          <w:rFonts w:eastAsia="Calibri" w:cs="Arial"/>
          <w:szCs w:val="20"/>
        </w:rPr>
        <w:t xml:space="preserve">aktivnosti, ki so opredeljene v predlaganem </w:t>
      </w:r>
      <w:r w:rsidRPr="006E178C">
        <w:rPr>
          <w:rFonts w:eastAsia="Calibri" w:cs="Arial"/>
          <w:szCs w:val="20"/>
        </w:rPr>
        <w:t>pr</w:t>
      </w:r>
      <w:r>
        <w:rPr>
          <w:rFonts w:eastAsia="Calibri" w:cs="Arial"/>
          <w:szCs w:val="20"/>
        </w:rPr>
        <w:t>vem</w:t>
      </w:r>
      <w:r w:rsidRPr="006E178C">
        <w:rPr>
          <w:rFonts w:eastAsia="Calibri" w:cs="Arial"/>
          <w:szCs w:val="20"/>
        </w:rPr>
        <w:t xml:space="preserve"> odstavk</w:t>
      </w:r>
      <w:r>
        <w:rPr>
          <w:rFonts w:eastAsia="Calibri" w:cs="Arial"/>
          <w:szCs w:val="20"/>
        </w:rPr>
        <w:t>u. Medtem, ko se ure dejanskega opravljanja dela državnega tožilca zunaj poslovnega časa državnega tožilstva štejejo za dežurstvo in v delovni čas, se u</w:t>
      </w:r>
      <w:r w:rsidRPr="006E178C">
        <w:rPr>
          <w:rFonts w:eastAsia="Calibri" w:cs="Arial"/>
          <w:szCs w:val="20"/>
        </w:rPr>
        <w:t>re pripravljenosti ne štejejo v delovni čas.</w:t>
      </w:r>
    </w:p>
    <w:p w:rsidR="00AE2155" w:rsidRDefault="00AE2155" w:rsidP="00B644CC">
      <w:pPr>
        <w:spacing w:line="288" w:lineRule="auto"/>
        <w:jc w:val="both"/>
        <w:rPr>
          <w:rFonts w:eastAsia="Calibri" w:cs="Arial"/>
          <w:szCs w:val="20"/>
        </w:rPr>
      </w:pPr>
    </w:p>
    <w:p w:rsidR="00173111" w:rsidRDefault="00AE2155" w:rsidP="00173111">
      <w:pPr>
        <w:spacing w:line="288" w:lineRule="auto"/>
        <w:jc w:val="both"/>
        <w:rPr>
          <w:rFonts w:cs="Arial"/>
          <w:szCs w:val="20"/>
        </w:rPr>
      </w:pPr>
      <w:r>
        <w:rPr>
          <w:rFonts w:eastAsia="Calibri" w:cs="Arial"/>
          <w:szCs w:val="20"/>
        </w:rPr>
        <w:t>Veljavna ureditev v Republiki Sloveniji i</w:t>
      </w:r>
      <w:r w:rsidRPr="00554845">
        <w:rPr>
          <w:rFonts w:eastAsia="Calibri" w:cs="Arial"/>
          <w:szCs w:val="20"/>
        </w:rPr>
        <w:t>nstitut pripravljenosti na delo</w:t>
      </w:r>
      <w:r w:rsidR="0055102A">
        <w:rPr>
          <w:rFonts w:eastAsia="Calibri" w:cs="Arial"/>
          <w:szCs w:val="20"/>
        </w:rPr>
        <w:t xml:space="preserve"> </w:t>
      </w:r>
      <w:r w:rsidRPr="00554845">
        <w:rPr>
          <w:rFonts w:eastAsia="Calibri" w:cs="Arial"/>
          <w:szCs w:val="20"/>
        </w:rPr>
        <w:t>urej</w:t>
      </w:r>
      <w:r>
        <w:rPr>
          <w:rFonts w:eastAsia="Calibri" w:cs="Arial"/>
          <w:szCs w:val="20"/>
        </w:rPr>
        <w:t>a</w:t>
      </w:r>
      <w:r w:rsidRPr="00554845">
        <w:rPr>
          <w:rFonts w:eastAsia="Calibri" w:cs="Arial"/>
          <w:szCs w:val="20"/>
        </w:rPr>
        <w:t xml:space="preserve"> le deloma in ne povsem enako</w:t>
      </w:r>
      <w:r>
        <w:rPr>
          <w:rFonts w:eastAsia="Calibri" w:cs="Arial"/>
          <w:szCs w:val="20"/>
        </w:rPr>
        <w:t>. Poleg tega je treba upoštevati tudi sodno prakso Sodišča EU</w:t>
      </w:r>
      <w:r w:rsidR="00173111">
        <w:rPr>
          <w:rFonts w:eastAsia="Calibri" w:cs="Arial"/>
          <w:szCs w:val="20"/>
        </w:rPr>
        <w:t>. V</w:t>
      </w:r>
      <w:r w:rsidR="00173111" w:rsidRPr="00A63720">
        <w:rPr>
          <w:rFonts w:cs="Arial"/>
          <w:szCs w:val="20"/>
        </w:rPr>
        <w:t xml:space="preserve"> zadevi C-266/14 z dne 10. 9. 2015, se je sodišče</w:t>
      </w:r>
      <w:r w:rsidR="00173111">
        <w:rPr>
          <w:rFonts w:cs="Arial"/>
          <w:szCs w:val="20"/>
        </w:rPr>
        <w:t xml:space="preserve"> EU</w:t>
      </w:r>
      <w:r w:rsidR="00173111" w:rsidRPr="00A63720">
        <w:rPr>
          <w:rFonts w:cs="Arial"/>
          <w:szCs w:val="20"/>
        </w:rPr>
        <w:t xml:space="preserve"> ukvarjalo z vprašanjem, ali se pot na delo in z dela v primeru terenskega dela všteva v delovni čas glede na določbe Direktive 2003/88/ES. Sodišče EU je v tej sodbi odločilo, da je člen 2, točko 1 Direktive 2003/88/ES treba razlagati tako, da v okoliščinah, kakršne so v postopku v glavni stvari, v katerih delavci nimajo stalnega ali običajnega kraja opravljanja dela, čas, ki ga ti delavci namenijo za vsakodnevni prevoz med svojim prebivališčem in prostori prve in zadnje stranke, ki ju določi njihov delodajalec, pomeni delovni čas v smislu te določbe. Glede na to, da ima ta sodba pomemben vpliv na prakso v primerljivih zadevah, </w:t>
      </w:r>
      <w:r w:rsidR="00173111">
        <w:rPr>
          <w:rFonts w:cs="Arial"/>
          <w:szCs w:val="20"/>
        </w:rPr>
        <w:t>je po mnenju predlagatelja treba</w:t>
      </w:r>
      <w:r w:rsidR="00173111" w:rsidRPr="00A63720">
        <w:rPr>
          <w:rFonts w:cs="Arial"/>
          <w:szCs w:val="20"/>
        </w:rPr>
        <w:t xml:space="preserve"> v vsakem posameznem primeru presojati vse tri elemente pojma delovni čas, kot je to storilo sodišče v obravnavani zadevi. Gre za prostorsko merilo (biti na delovnem mestu), merilo avtoritete (biti na razpolago delodajalcu) in poklicno merilo (opravljati svoje naloge in dolžnosti). Prav slednje je podlaga, da se s predlogom zakona v nov</w:t>
      </w:r>
      <w:r w:rsidR="00173111">
        <w:rPr>
          <w:rFonts w:cs="Arial"/>
          <w:szCs w:val="20"/>
        </w:rPr>
        <w:t>em</w:t>
      </w:r>
      <w:r w:rsidR="00173111" w:rsidRPr="00A63720">
        <w:rPr>
          <w:rFonts w:cs="Arial"/>
          <w:szCs w:val="20"/>
        </w:rPr>
        <w:t xml:space="preserve"> 45. člen</w:t>
      </w:r>
      <w:r w:rsidR="00173111">
        <w:rPr>
          <w:rFonts w:cs="Arial"/>
          <w:szCs w:val="20"/>
        </w:rPr>
        <w:t>u</w:t>
      </w:r>
      <w:r w:rsidR="00173111" w:rsidRPr="00A63720">
        <w:rPr>
          <w:rFonts w:cs="Arial"/>
          <w:szCs w:val="20"/>
        </w:rPr>
        <w:t xml:space="preserve"> izrecno določa, da se čas, ki ga državni tožilec porabi za prihod na delovno mesto ali na drug kraj</w:t>
      </w:r>
      <w:r w:rsidR="00173111">
        <w:rPr>
          <w:rFonts w:cs="Arial"/>
          <w:szCs w:val="20"/>
        </w:rPr>
        <w:t xml:space="preserve"> (merilo </w:t>
      </w:r>
      <w:r w:rsidR="00173111" w:rsidRPr="00A63720">
        <w:rPr>
          <w:rFonts w:cs="Arial"/>
          <w:szCs w:val="20"/>
        </w:rPr>
        <w:t>biti na razpolago delodajalcu</w:t>
      </w:r>
      <w:r w:rsidR="00173111">
        <w:rPr>
          <w:rFonts w:cs="Arial"/>
          <w:szCs w:val="20"/>
        </w:rPr>
        <w:t>)</w:t>
      </w:r>
      <w:r w:rsidR="00173111" w:rsidRPr="00A63720">
        <w:rPr>
          <w:rFonts w:cs="Arial"/>
          <w:szCs w:val="20"/>
        </w:rPr>
        <w:t>, kjer je potrebno opraviti nujna procesna dejanja</w:t>
      </w:r>
      <w:r w:rsidR="00173111">
        <w:rPr>
          <w:rFonts w:cs="Arial"/>
          <w:szCs w:val="20"/>
        </w:rPr>
        <w:t xml:space="preserve"> (merilo biti na delovnem mestu in poklicno merilo)</w:t>
      </w:r>
      <w:r w:rsidR="00173111" w:rsidRPr="00A63720">
        <w:rPr>
          <w:rFonts w:cs="Arial"/>
          <w:szCs w:val="20"/>
        </w:rPr>
        <w:t xml:space="preserve"> ter čas povratka šteje v čas dejansko opravljenega dela </w:t>
      </w:r>
      <w:r w:rsidR="00173111">
        <w:rPr>
          <w:rFonts w:cs="Arial"/>
          <w:szCs w:val="20"/>
        </w:rPr>
        <w:t>oziroma v delovni čas.</w:t>
      </w:r>
    </w:p>
    <w:p w:rsidR="00173111" w:rsidRDefault="00173111" w:rsidP="00B644CC">
      <w:pPr>
        <w:spacing w:line="288" w:lineRule="auto"/>
        <w:jc w:val="both"/>
        <w:rPr>
          <w:rFonts w:eastAsia="Calibri" w:cs="Arial"/>
          <w:szCs w:val="20"/>
        </w:rPr>
      </w:pPr>
    </w:p>
    <w:p w:rsidR="00AE2155" w:rsidRDefault="00AE2155" w:rsidP="00B644CC">
      <w:pPr>
        <w:spacing w:line="288" w:lineRule="auto"/>
        <w:jc w:val="both"/>
        <w:rPr>
          <w:rFonts w:eastAsia="Calibri" w:cs="Arial"/>
          <w:szCs w:val="20"/>
        </w:rPr>
      </w:pPr>
      <w:r w:rsidRPr="000200E6">
        <w:rPr>
          <w:rFonts w:eastAsia="Calibri" w:cs="Arial"/>
          <w:szCs w:val="20"/>
        </w:rPr>
        <w:t>Iz sodne prakse Sodišča EU je razvidno, da sta pojma »delovni čas« in »počitek« v smislu Direktive 2003/88/ES pojma prava Unije, ki ju je treba opredeliti glede na objektivne značilnosti, ob sklicevanju na sistem in namen te direktive, ki je vzpostavitev minimalnih zahtev za izboljšanje življenjskih in delovnih razmer delavcev. Možnost, da delavci upravljajo s svojim časom brez večjih omejitev in da se posvečajo lastnim interesom, je tisti element, ki dokazuje, da zadevno časovno obdobje ni delovni čas v smislu Direktive 2003/88/ES.</w:t>
      </w:r>
      <w:r>
        <w:rPr>
          <w:rStyle w:val="Sprotnaopomba-sklic"/>
          <w:rFonts w:eastAsia="Calibri" w:cs="Arial"/>
          <w:szCs w:val="20"/>
        </w:rPr>
        <w:footnoteReference w:id="34"/>
      </w:r>
      <w:r>
        <w:rPr>
          <w:rFonts w:eastAsia="Calibri" w:cs="Arial"/>
          <w:szCs w:val="20"/>
        </w:rPr>
        <w:t xml:space="preserve"> Čeprav se Sodišče EU ni izrecno opredelilo do vprašanja opredelitve časa, ki ga delavec porabi za pot od doma (v primeru stalne pripravljenosti) do kraja, ki ga določi delodajalec, je po mnenju predlagatelja, ob upoštevanju gornje sodne prakse sodišča EU, treba šteti, da je </w:t>
      </w:r>
      <w:r w:rsidR="004C3C07">
        <w:rPr>
          <w:rFonts w:eastAsia="Calibri" w:cs="Arial"/>
          <w:szCs w:val="20"/>
        </w:rPr>
        <w:t xml:space="preserve">državni tožilec </w:t>
      </w:r>
      <w:r>
        <w:rPr>
          <w:rFonts w:eastAsia="Calibri" w:cs="Arial"/>
          <w:szCs w:val="20"/>
        </w:rPr>
        <w:t>v tem času že na razpolago delodajalcu, saj mora biti v določenem času na določenem kraju in ne more prosto razpolagati s svojim interesi oziroma mu je v celoti omejena možnost opravljati druge dejavnosti ter se posvečati lastnim interesom</w:t>
      </w:r>
      <w:r w:rsidR="004C3C07">
        <w:rPr>
          <w:rFonts w:eastAsia="Calibri" w:cs="Arial"/>
          <w:szCs w:val="20"/>
        </w:rPr>
        <w:t xml:space="preserve"> </w:t>
      </w:r>
      <w:r w:rsidRPr="00554845">
        <w:rPr>
          <w:rFonts w:eastAsia="Calibri" w:cs="Arial"/>
          <w:szCs w:val="20"/>
        </w:rPr>
        <w:t xml:space="preserve">(v praksi gre za situacije, ko se državni tožilec s službenim vozilom od doma odpelje na kraj ali pa od doma odpelje </w:t>
      </w:r>
      <w:r>
        <w:rPr>
          <w:rFonts w:eastAsia="Calibri" w:cs="Arial"/>
          <w:szCs w:val="20"/>
        </w:rPr>
        <w:t>na delovno mesto</w:t>
      </w:r>
      <w:r w:rsidRPr="00554845">
        <w:rPr>
          <w:rFonts w:eastAsia="Calibri" w:cs="Arial"/>
          <w:szCs w:val="20"/>
        </w:rPr>
        <w:t>, kjer prevzame službeno vozilo in se odpelje na kraj oprave nujnega procesnega dejanja)</w:t>
      </w:r>
      <w:r w:rsidR="004C3C07">
        <w:rPr>
          <w:rFonts w:eastAsia="Calibri" w:cs="Arial"/>
          <w:szCs w:val="20"/>
        </w:rPr>
        <w:t>.</w:t>
      </w:r>
    </w:p>
    <w:p w:rsidR="00AE2155" w:rsidRDefault="00AE2155" w:rsidP="00B644CC">
      <w:pPr>
        <w:spacing w:line="288" w:lineRule="auto"/>
        <w:jc w:val="both"/>
        <w:rPr>
          <w:rFonts w:eastAsia="Calibri" w:cs="Arial"/>
          <w:color w:val="FF0000"/>
          <w:szCs w:val="20"/>
        </w:rPr>
      </w:pPr>
    </w:p>
    <w:p w:rsidR="00AE2155" w:rsidRPr="004C3C07" w:rsidRDefault="004C3C07" w:rsidP="00B644CC">
      <w:pPr>
        <w:spacing w:line="288" w:lineRule="auto"/>
        <w:jc w:val="both"/>
        <w:rPr>
          <w:rFonts w:cs="Arial"/>
          <w:szCs w:val="20"/>
        </w:rPr>
      </w:pPr>
      <w:r w:rsidRPr="00115F14">
        <w:rPr>
          <w:rFonts w:cs="Arial"/>
        </w:rPr>
        <w:lastRenderedPageBreak/>
        <w:t xml:space="preserve">Poleg tega se predlaga jasnejša definicija posameznih aktivnosti v času dežurstva in aktivnosti, ki se v času pripravljenosti štejejo za dežurstvo ter evidentirajo </w:t>
      </w:r>
      <w:r w:rsidRPr="00A63720">
        <w:rPr>
          <w:rFonts w:cs="Arial"/>
          <w:szCs w:val="20"/>
        </w:rPr>
        <w:t>po minutah oziroma dejanski porabi časa</w:t>
      </w:r>
      <w:r>
        <w:rPr>
          <w:rFonts w:cs="Arial"/>
          <w:szCs w:val="20"/>
        </w:rPr>
        <w:t xml:space="preserve"> </w:t>
      </w:r>
      <w:r w:rsidRPr="00115F14">
        <w:rPr>
          <w:rFonts w:cs="Arial"/>
        </w:rPr>
        <w:t>in ne pavšalno.</w:t>
      </w:r>
      <w:r>
        <w:rPr>
          <w:rFonts w:cs="Arial"/>
        </w:rPr>
        <w:t xml:space="preserve"> </w:t>
      </w:r>
      <w:r w:rsidR="00AE2155" w:rsidRPr="00554845">
        <w:rPr>
          <w:rFonts w:eastAsia="Calibri" w:cs="Arial"/>
          <w:szCs w:val="20"/>
        </w:rPr>
        <w:t>Upoštevaje funkcijo in naravo dela, ki jo državni tožilec opravlja v času izvajanja dežurne službe, predlagatelj ocenjuje, da pavšalno evidentiranje delovnega časa kot podlaga za obračun dežurstva ni mogoče, saj je treba upoštevati dejansk</w:t>
      </w:r>
      <w:r w:rsidR="00AE2155">
        <w:rPr>
          <w:rFonts w:eastAsia="Calibri" w:cs="Arial"/>
          <w:szCs w:val="20"/>
        </w:rPr>
        <w:t xml:space="preserve">i čas opravljenega dela, kar pomeni </w:t>
      </w:r>
      <w:r>
        <w:rPr>
          <w:rFonts w:eastAsia="Calibri" w:cs="Arial"/>
          <w:szCs w:val="20"/>
        </w:rPr>
        <w:t>po dejanski porabi časa.</w:t>
      </w:r>
    </w:p>
    <w:p w:rsidR="00AE2155" w:rsidRDefault="00AE2155" w:rsidP="00B644CC">
      <w:pPr>
        <w:spacing w:line="288" w:lineRule="auto"/>
        <w:jc w:val="both"/>
        <w:rPr>
          <w:rFonts w:eastAsia="Calibri" w:cs="Arial"/>
          <w:szCs w:val="20"/>
          <w:highlight w:val="yellow"/>
        </w:rPr>
      </w:pPr>
    </w:p>
    <w:p w:rsidR="00AE2155" w:rsidRPr="00BA7993" w:rsidRDefault="00AE2155" w:rsidP="00B644CC">
      <w:pPr>
        <w:spacing w:line="288" w:lineRule="auto"/>
        <w:jc w:val="both"/>
        <w:rPr>
          <w:rFonts w:eastAsia="Calibri" w:cs="Arial"/>
          <w:b/>
          <w:szCs w:val="20"/>
        </w:rPr>
      </w:pPr>
      <w:r w:rsidRPr="00BA7993">
        <w:rPr>
          <w:rFonts w:eastAsia="Calibri" w:cs="Arial"/>
          <w:b/>
          <w:szCs w:val="20"/>
        </w:rPr>
        <w:t xml:space="preserve">K </w:t>
      </w:r>
      <w:r w:rsidR="005979F7">
        <w:rPr>
          <w:rFonts w:eastAsia="Calibri" w:cs="Arial"/>
          <w:b/>
          <w:szCs w:val="20"/>
        </w:rPr>
        <w:t>5</w:t>
      </w:r>
      <w:r w:rsidRPr="00BA7993">
        <w:rPr>
          <w:rFonts w:eastAsia="Calibri" w:cs="Arial"/>
          <w:b/>
          <w:szCs w:val="20"/>
        </w:rPr>
        <w:t>. členu</w:t>
      </w:r>
    </w:p>
    <w:p w:rsidR="00AE2155" w:rsidRDefault="00AE2155" w:rsidP="00B644CC">
      <w:pPr>
        <w:spacing w:line="288" w:lineRule="auto"/>
        <w:jc w:val="both"/>
        <w:rPr>
          <w:rFonts w:eastAsia="Calibri" w:cs="Arial"/>
          <w:szCs w:val="20"/>
        </w:rPr>
      </w:pPr>
      <w:r>
        <w:rPr>
          <w:rFonts w:eastAsia="Calibri" w:cs="Arial"/>
          <w:szCs w:val="20"/>
        </w:rPr>
        <w:t xml:space="preserve">S predlagano spremembo veljavnega drugega odstavka 46. člena se za primere izvolitev ali imenovanj na funkcije, ki jih državni tožilci opravljajo v tujih organih določa smiselna uporaba prvega odstavka, ki določa mirovanje funkcije. Poleg tega se predlaga redakcijski popravek glede napotitve v mednarodne civilne misije ali mednarodne organizacije. Pogoje in postopek napotitve državnega tožilca v civilno misijo ali mednarodno organizacijo namreč določa sistemski zakon, to je Zakon o </w:t>
      </w:r>
      <w:r w:rsidRPr="0097438E">
        <w:rPr>
          <w:rFonts w:eastAsia="Calibri" w:cs="Arial"/>
          <w:szCs w:val="20"/>
        </w:rPr>
        <w:t>napotitvi oseb v mednarodne civilne misije in mednarodne organizacije (Uradni list RS, št. 20/06)</w:t>
      </w:r>
      <w:r>
        <w:rPr>
          <w:rFonts w:eastAsia="Calibri" w:cs="Arial"/>
          <w:szCs w:val="20"/>
        </w:rPr>
        <w:t xml:space="preserve">, medtem ko ZDT-1 ureja le status državnega tožilca v času trajanja napotitve.  </w:t>
      </w:r>
    </w:p>
    <w:p w:rsidR="00AE2155" w:rsidRDefault="00AE2155" w:rsidP="00B644CC">
      <w:pPr>
        <w:spacing w:line="288" w:lineRule="auto"/>
        <w:jc w:val="both"/>
        <w:rPr>
          <w:rFonts w:eastAsia="Calibri" w:cs="Arial"/>
          <w:szCs w:val="20"/>
        </w:rPr>
      </w:pPr>
    </w:p>
    <w:p w:rsidR="00AE2155" w:rsidRPr="0028039B" w:rsidRDefault="00AE2155" w:rsidP="00B644CC">
      <w:pPr>
        <w:spacing w:line="288" w:lineRule="auto"/>
        <w:jc w:val="both"/>
        <w:rPr>
          <w:rFonts w:eastAsia="Calibri" w:cs="Arial"/>
          <w:b/>
          <w:szCs w:val="20"/>
        </w:rPr>
      </w:pPr>
      <w:r w:rsidRPr="0028039B">
        <w:rPr>
          <w:rFonts w:eastAsia="Calibri" w:cs="Arial"/>
          <w:b/>
          <w:szCs w:val="20"/>
        </w:rPr>
        <w:t xml:space="preserve">K </w:t>
      </w:r>
      <w:r w:rsidR="005979F7">
        <w:rPr>
          <w:rFonts w:eastAsia="Calibri" w:cs="Arial"/>
          <w:b/>
          <w:szCs w:val="20"/>
        </w:rPr>
        <w:t>6</w:t>
      </w:r>
      <w:r w:rsidRPr="0028039B">
        <w:rPr>
          <w:rFonts w:eastAsia="Calibri" w:cs="Arial"/>
          <w:b/>
          <w:szCs w:val="20"/>
        </w:rPr>
        <w:t>. členu</w:t>
      </w:r>
    </w:p>
    <w:p w:rsidR="00AE2155" w:rsidRPr="0028039B" w:rsidRDefault="00AE2155" w:rsidP="00B644CC">
      <w:pPr>
        <w:spacing w:line="288" w:lineRule="auto"/>
        <w:jc w:val="both"/>
        <w:rPr>
          <w:rFonts w:eastAsia="Calibri" w:cs="Arial"/>
          <w:szCs w:val="20"/>
        </w:rPr>
      </w:pPr>
      <w:r>
        <w:rPr>
          <w:rFonts w:eastAsia="Calibri" w:cs="Arial"/>
          <w:szCs w:val="20"/>
        </w:rPr>
        <w:t>Predlagana sprememba d</w:t>
      </w:r>
      <w:r w:rsidRPr="0028039B">
        <w:rPr>
          <w:rFonts w:eastAsia="Calibri" w:cs="Arial"/>
          <w:szCs w:val="20"/>
        </w:rPr>
        <w:t>rug</w:t>
      </w:r>
      <w:r>
        <w:rPr>
          <w:rFonts w:eastAsia="Calibri" w:cs="Arial"/>
          <w:szCs w:val="20"/>
        </w:rPr>
        <w:t>ega</w:t>
      </w:r>
      <w:r w:rsidRPr="0028039B">
        <w:rPr>
          <w:rFonts w:eastAsia="Calibri" w:cs="Arial"/>
          <w:szCs w:val="20"/>
        </w:rPr>
        <w:t xml:space="preserve"> odstavk</w:t>
      </w:r>
      <w:r>
        <w:rPr>
          <w:rFonts w:eastAsia="Calibri" w:cs="Arial"/>
          <w:szCs w:val="20"/>
        </w:rPr>
        <w:t>a 50. člena</w:t>
      </w:r>
      <w:r w:rsidR="005979F7">
        <w:rPr>
          <w:rFonts w:eastAsia="Calibri" w:cs="Arial"/>
          <w:szCs w:val="20"/>
        </w:rPr>
        <w:t xml:space="preserve"> </w:t>
      </w:r>
      <w:r>
        <w:rPr>
          <w:rFonts w:eastAsia="Calibri" w:cs="Arial"/>
          <w:szCs w:val="20"/>
        </w:rPr>
        <w:t xml:space="preserve">ZDT-1 </w:t>
      </w:r>
      <w:r w:rsidRPr="0028039B">
        <w:rPr>
          <w:rFonts w:eastAsia="Calibri" w:cs="Arial"/>
          <w:szCs w:val="20"/>
        </w:rPr>
        <w:t xml:space="preserve">je </w:t>
      </w:r>
      <w:r>
        <w:rPr>
          <w:rFonts w:eastAsia="Calibri" w:cs="Arial"/>
          <w:szCs w:val="20"/>
        </w:rPr>
        <w:t xml:space="preserve">redakcijske narave </w:t>
      </w:r>
      <w:r w:rsidRPr="0028039B">
        <w:rPr>
          <w:rFonts w:eastAsia="Calibri" w:cs="Arial"/>
          <w:szCs w:val="20"/>
        </w:rPr>
        <w:t xml:space="preserve">glede na </w:t>
      </w:r>
      <w:r>
        <w:rPr>
          <w:rFonts w:eastAsia="Calibri" w:cs="Arial"/>
          <w:szCs w:val="20"/>
        </w:rPr>
        <w:t xml:space="preserve">novo predlagano </w:t>
      </w:r>
      <w:r w:rsidRPr="0028039B">
        <w:rPr>
          <w:rFonts w:eastAsia="Calibri" w:cs="Arial"/>
          <w:szCs w:val="20"/>
        </w:rPr>
        <w:t>določbo 45. člena</w:t>
      </w:r>
      <w:r>
        <w:rPr>
          <w:rFonts w:eastAsia="Calibri" w:cs="Arial"/>
          <w:szCs w:val="20"/>
        </w:rPr>
        <w:t>.</w:t>
      </w:r>
    </w:p>
    <w:p w:rsidR="00AE2155" w:rsidRPr="0028039B" w:rsidRDefault="00AE2155" w:rsidP="00B644CC">
      <w:pPr>
        <w:spacing w:line="288" w:lineRule="auto"/>
        <w:jc w:val="both"/>
        <w:rPr>
          <w:rFonts w:eastAsia="Calibri" w:cs="Arial"/>
          <w:szCs w:val="20"/>
        </w:rPr>
      </w:pPr>
    </w:p>
    <w:p w:rsidR="00AE2155" w:rsidRPr="007A3AD7" w:rsidRDefault="00AE2155" w:rsidP="00B644CC">
      <w:pPr>
        <w:spacing w:line="288" w:lineRule="auto"/>
        <w:jc w:val="both"/>
        <w:rPr>
          <w:rFonts w:eastAsia="Calibri" w:cs="Arial"/>
          <w:b/>
          <w:szCs w:val="20"/>
        </w:rPr>
      </w:pPr>
      <w:r w:rsidRPr="007A3AD7">
        <w:rPr>
          <w:rFonts w:eastAsia="Calibri" w:cs="Arial"/>
          <w:b/>
          <w:szCs w:val="20"/>
        </w:rPr>
        <w:t xml:space="preserve">K </w:t>
      </w:r>
      <w:r w:rsidR="005979F7">
        <w:rPr>
          <w:rFonts w:eastAsia="Calibri" w:cs="Arial"/>
          <w:b/>
          <w:szCs w:val="20"/>
        </w:rPr>
        <w:t>7</w:t>
      </w:r>
      <w:r w:rsidRPr="007A3AD7">
        <w:rPr>
          <w:rFonts w:eastAsia="Calibri" w:cs="Arial"/>
          <w:b/>
          <w:szCs w:val="20"/>
        </w:rPr>
        <w:t>. členu</w:t>
      </w:r>
    </w:p>
    <w:p w:rsidR="00AE2155" w:rsidRDefault="00AE2155" w:rsidP="00B644CC">
      <w:pPr>
        <w:spacing w:line="288" w:lineRule="auto"/>
        <w:jc w:val="both"/>
        <w:rPr>
          <w:rFonts w:eastAsia="Calibri" w:cs="Arial"/>
          <w:szCs w:val="20"/>
        </w:rPr>
      </w:pPr>
      <w:r w:rsidRPr="00F472DF">
        <w:rPr>
          <w:rFonts w:eastAsia="Calibri" w:cs="Arial"/>
          <w:szCs w:val="20"/>
        </w:rPr>
        <w:t xml:space="preserve">Veljavna določba 62. člena ZDT-1 določa institut dodelitve državnega tožilca, ko se v organu izkaže potreba po znanju za opravljanje zahtevnejših strokovnih nalog na Vrhovno državno tožilstvo, strokovno službo Državnotožilskega sveta, za vodenje ali opravo zahtevnejših strokovnih nalog na Nacionalnem preiskovalnem uradu, Komisiji za preprečevanje korupcije ali Uradu za preprečevanje pranja denarja. </w:t>
      </w:r>
      <w:r>
        <w:rPr>
          <w:rFonts w:eastAsia="Calibri" w:cs="Arial"/>
          <w:szCs w:val="20"/>
        </w:rPr>
        <w:t>Šesti odstavek veljavnega 62. člena ZDT-1 določa smiselno uporabo določb tudi za primere dodelitve državnega tožilca v mednarodne civilne misije ali mednarodne organizacije, pri čemer pa v teh primerih ne gre za dodelitev</w:t>
      </w:r>
      <w:r w:rsidR="008D35C2">
        <w:rPr>
          <w:rFonts w:eastAsia="Calibri" w:cs="Arial"/>
          <w:szCs w:val="20"/>
        </w:rPr>
        <w:t>,</w:t>
      </w:r>
      <w:r>
        <w:rPr>
          <w:rFonts w:eastAsia="Calibri" w:cs="Arial"/>
          <w:szCs w:val="20"/>
        </w:rPr>
        <w:t xml:space="preserve"> temveč napotitev. </w:t>
      </w:r>
    </w:p>
    <w:p w:rsidR="00AE2155" w:rsidRPr="00F472DF" w:rsidRDefault="00AE2155" w:rsidP="00B644CC">
      <w:pPr>
        <w:spacing w:line="288" w:lineRule="auto"/>
        <w:jc w:val="both"/>
        <w:rPr>
          <w:rFonts w:eastAsia="Calibri" w:cs="Arial"/>
          <w:szCs w:val="20"/>
        </w:rPr>
      </w:pPr>
    </w:p>
    <w:p w:rsidR="00AE2155" w:rsidRPr="007A3AD7" w:rsidRDefault="00AE2155" w:rsidP="00B644CC">
      <w:pPr>
        <w:spacing w:line="288" w:lineRule="auto"/>
        <w:jc w:val="both"/>
        <w:rPr>
          <w:rFonts w:eastAsia="Calibri" w:cs="Arial"/>
          <w:b/>
          <w:szCs w:val="20"/>
        </w:rPr>
      </w:pPr>
      <w:r w:rsidRPr="007A3AD7">
        <w:rPr>
          <w:rFonts w:eastAsia="Calibri" w:cs="Arial"/>
          <w:b/>
          <w:szCs w:val="20"/>
        </w:rPr>
        <w:t xml:space="preserve">K </w:t>
      </w:r>
      <w:r w:rsidR="005979F7">
        <w:rPr>
          <w:rFonts w:eastAsia="Calibri" w:cs="Arial"/>
          <w:b/>
          <w:szCs w:val="20"/>
        </w:rPr>
        <w:t>8</w:t>
      </w:r>
      <w:r w:rsidRPr="007A3AD7">
        <w:rPr>
          <w:rFonts w:eastAsia="Calibri" w:cs="Arial"/>
          <w:b/>
          <w:szCs w:val="20"/>
        </w:rPr>
        <w:t>. členu</w:t>
      </w:r>
    </w:p>
    <w:p w:rsidR="00AE2155" w:rsidRPr="007A3AD7" w:rsidRDefault="00AE2155" w:rsidP="00B644CC">
      <w:pPr>
        <w:spacing w:line="288" w:lineRule="auto"/>
        <w:jc w:val="both"/>
        <w:rPr>
          <w:rFonts w:eastAsia="Calibri" w:cs="Arial"/>
          <w:szCs w:val="20"/>
        </w:rPr>
      </w:pPr>
      <w:r w:rsidRPr="007A3AD7">
        <w:rPr>
          <w:rFonts w:eastAsia="Calibri" w:cs="Arial"/>
          <w:szCs w:val="20"/>
        </w:rPr>
        <w:t>V zvezi z napredovanjem državnih tožilcev v primeru dodelitve v organ, veljavna ureditev določa, da so varovane vse njegove pravice do napredovanja v skladu s tem zakonom po izteku dodelitve.</w:t>
      </w:r>
      <w:r>
        <w:rPr>
          <w:rFonts w:eastAsia="Calibri" w:cs="Arial"/>
          <w:szCs w:val="20"/>
        </w:rPr>
        <w:t xml:space="preserve"> S predlagano spremembo se po vzoru ureditve kot velja za sodnike (71.c člen Zakona o sodniški službi), odpravlja omejitev, po kateri lahko državni tožilec v primeru dodelitve v organ napreduje šele po izteku dodelitve, ureja pa se tudi način izdelave ocene državnotožilske službe v času dodelitve.</w:t>
      </w:r>
      <w:r w:rsidR="00042B7F">
        <w:rPr>
          <w:rFonts w:eastAsia="Calibri" w:cs="Arial"/>
          <w:szCs w:val="20"/>
        </w:rPr>
        <w:t xml:space="preserve"> </w:t>
      </w:r>
      <w:r w:rsidR="00042B7F">
        <w:t>Kot podlago za izdelavo ocene državnotožilske službe se poleg mnenja o delu državnega tožilca, ki ga izdela predstojnik organa, pri katerem je oziroma je bil državni tožilec dodeljen, kumulativno dodaja tudi poročilo o delu državnega tožilca, ki ga izdela državni tožilec.</w:t>
      </w:r>
    </w:p>
    <w:p w:rsidR="00AE2155" w:rsidRPr="007A3AD7" w:rsidRDefault="00AE2155" w:rsidP="00B644CC">
      <w:pPr>
        <w:spacing w:line="288" w:lineRule="auto"/>
        <w:jc w:val="both"/>
        <w:rPr>
          <w:rFonts w:eastAsia="Calibri" w:cs="Arial"/>
          <w:szCs w:val="20"/>
        </w:rPr>
      </w:pPr>
    </w:p>
    <w:p w:rsidR="00AE2155" w:rsidRPr="00F508A2" w:rsidRDefault="00AE2155" w:rsidP="00B644CC">
      <w:pPr>
        <w:spacing w:line="288" w:lineRule="auto"/>
        <w:jc w:val="both"/>
        <w:rPr>
          <w:rFonts w:eastAsia="Calibri" w:cs="Arial"/>
          <w:b/>
          <w:szCs w:val="20"/>
        </w:rPr>
      </w:pPr>
      <w:r w:rsidRPr="00F508A2">
        <w:rPr>
          <w:rFonts w:eastAsia="Calibri" w:cs="Arial"/>
          <w:b/>
          <w:szCs w:val="20"/>
        </w:rPr>
        <w:t xml:space="preserve">K </w:t>
      </w:r>
      <w:r w:rsidR="00F508A2" w:rsidRPr="00F508A2">
        <w:rPr>
          <w:rFonts w:eastAsia="Calibri" w:cs="Arial"/>
          <w:b/>
          <w:szCs w:val="20"/>
        </w:rPr>
        <w:t>9</w:t>
      </w:r>
      <w:r w:rsidRPr="00F508A2">
        <w:rPr>
          <w:rFonts w:eastAsia="Calibri" w:cs="Arial"/>
          <w:b/>
          <w:szCs w:val="20"/>
        </w:rPr>
        <w:t>. členu</w:t>
      </w:r>
    </w:p>
    <w:p w:rsidR="00AE2155" w:rsidRPr="009B4D00" w:rsidRDefault="00AE2155" w:rsidP="00B644CC">
      <w:pPr>
        <w:spacing w:line="288" w:lineRule="auto"/>
        <w:jc w:val="both"/>
        <w:rPr>
          <w:rFonts w:eastAsia="Calibri" w:cs="Arial"/>
          <w:szCs w:val="20"/>
        </w:rPr>
      </w:pPr>
      <w:r w:rsidRPr="009B4D00">
        <w:rPr>
          <w:rFonts w:eastAsia="Calibri" w:cs="Arial"/>
          <w:szCs w:val="20"/>
        </w:rPr>
        <w:t xml:space="preserve">V predlaganih določbah se veljavna ureditev 8. poglavja z naslovom »Nacionalni predstavnik v Eurojustu« usklajuje z določbami Uredbe 2018/1727/EU. V bistvenih rešitvah se ne odstopa od veljavne ureditve. </w:t>
      </w:r>
    </w:p>
    <w:p w:rsidR="00AE2155" w:rsidRPr="009B4D00" w:rsidRDefault="00AE2155" w:rsidP="00B644CC">
      <w:pPr>
        <w:spacing w:line="288" w:lineRule="auto"/>
        <w:jc w:val="both"/>
        <w:rPr>
          <w:rFonts w:eastAsia="Calibri" w:cs="Arial"/>
          <w:szCs w:val="20"/>
        </w:rPr>
      </w:pPr>
    </w:p>
    <w:p w:rsidR="006E6DDF" w:rsidRPr="002F3ADC" w:rsidRDefault="00AE2155" w:rsidP="006E6DDF">
      <w:pPr>
        <w:spacing w:line="288" w:lineRule="auto"/>
        <w:jc w:val="both"/>
        <w:rPr>
          <w:rFonts w:eastAsia="Calibri" w:cs="Arial"/>
          <w:strike/>
          <w:szCs w:val="20"/>
        </w:rPr>
      </w:pPr>
      <w:r w:rsidRPr="009B4D00">
        <w:rPr>
          <w:rFonts w:eastAsia="Calibri" w:cs="Arial"/>
          <w:szCs w:val="20"/>
        </w:rPr>
        <w:t xml:space="preserve">Z novim 67. a členom se </w:t>
      </w:r>
      <w:r w:rsidR="0093366C">
        <w:rPr>
          <w:rFonts w:eastAsia="Calibri" w:cs="Arial"/>
          <w:szCs w:val="20"/>
        </w:rPr>
        <w:t xml:space="preserve">določajo člani Eurojusta iz Repubilke Slovenije. Ker je  tretji odstavek </w:t>
      </w:r>
      <w:r w:rsidR="0093366C" w:rsidRPr="009B4D00">
        <w:rPr>
          <w:rFonts w:eastAsia="Calibri" w:cs="Arial"/>
          <w:szCs w:val="20"/>
        </w:rPr>
        <w:t>Uredbe 2018/1727/EU</w:t>
      </w:r>
      <w:r w:rsidR="0093366C">
        <w:rPr>
          <w:rFonts w:eastAsia="Calibri" w:cs="Arial"/>
          <w:szCs w:val="20"/>
        </w:rPr>
        <w:t xml:space="preserve"> diskrecijska določba, po kateri lahko nacionalnemu predstavniku pomagajo poleg namestnika in pomočnika še dodatni namestniki in pomočniki, ki imajo lahko po potrebi in v soglasju s kolegijem svoje stalno delovno mesto na Eurojustu, se s predlagano določbo</w:t>
      </w:r>
      <w:r w:rsidR="00F74131">
        <w:rPr>
          <w:rFonts w:eastAsia="Calibri" w:cs="Arial"/>
          <w:szCs w:val="20"/>
        </w:rPr>
        <w:t xml:space="preserve"> omejuje število imenovanih nacionalnih članov v Eurojustu na nacionalnega predstavnika, njegovega namestnika in pomočnika</w:t>
      </w:r>
      <w:r w:rsidR="00001A56">
        <w:rPr>
          <w:rFonts w:eastAsia="Calibri" w:cs="Arial"/>
          <w:szCs w:val="20"/>
        </w:rPr>
        <w:t xml:space="preserve">. </w:t>
      </w:r>
      <w:bookmarkStart w:id="47" w:name="_Hlk40960998"/>
      <w:r w:rsidR="006E6DDF" w:rsidRPr="004F1D99">
        <w:rPr>
          <w:rFonts w:cs="Arial"/>
        </w:rPr>
        <w:t>Uredb</w:t>
      </w:r>
      <w:r w:rsidR="006E6DDF">
        <w:rPr>
          <w:rFonts w:cs="Arial"/>
        </w:rPr>
        <w:t>a</w:t>
      </w:r>
      <w:r w:rsidR="006E6DDF" w:rsidRPr="004F1D99">
        <w:rPr>
          <w:rFonts w:cs="Arial"/>
        </w:rPr>
        <w:t xml:space="preserve"> </w:t>
      </w:r>
      <w:r w:rsidR="006E6DDF" w:rsidRPr="00115F14">
        <w:rPr>
          <w:rFonts w:eastAsia="Calibri" w:cs="Arial"/>
          <w:szCs w:val="20"/>
        </w:rPr>
        <w:t>2018/1727/EU</w:t>
      </w:r>
      <w:r w:rsidR="006E6DDF">
        <w:rPr>
          <w:rFonts w:eastAsia="Calibri" w:cs="Arial"/>
          <w:szCs w:val="20"/>
        </w:rPr>
        <w:t xml:space="preserve"> omogoča državi članici, da določi delovno mesto </w:t>
      </w:r>
      <w:r w:rsidR="006E6DDF">
        <w:rPr>
          <w:rFonts w:eastAsia="Calibri" w:cs="Arial"/>
          <w:szCs w:val="20"/>
        </w:rPr>
        <w:lastRenderedPageBreak/>
        <w:t xml:space="preserve">namestnika nacionalnega predstavnika ali delovno mesto pomočnika v svoji državi. Iz določbe drugega odstavka 7. člena Uredbe </w:t>
      </w:r>
      <w:r w:rsidR="006E6DDF" w:rsidRPr="00115F14">
        <w:rPr>
          <w:rFonts w:eastAsia="Calibri" w:cs="Arial"/>
          <w:szCs w:val="20"/>
        </w:rPr>
        <w:t>2018/1727/EU</w:t>
      </w:r>
      <w:r w:rsidR="006E6DDF">
        <w:rPr>
          <w:rFonts w:eastAsia="Calibri" w:cs="Arial"/>
          <w:szCs w:val="20"/>
        </w:rPr>
        <w:t xml:space="preserve"> </w:t>
      </w:r>
      <w:r w:rsidR="006E6DDF" w:rsidRPr="004F1D99">
        <w:rPr>
          <w:rFonts w:cs="Arial"/>
        </w:rPr>
        <w:t>izhaja, da gre pri odločitvi</w:t>
      </w:r>
      <w:r w:rsidR="006E6DDF">
        <w:rPr>
          <w:rFonts w:cs="Arial"/>
        </w:rPr>
        <w:t xml:space="preserve"> o prenosu stalnega delovnega mesta namestnika nacionalnega predstavnika oziroma pomočnika </w:t>
      </w:r>
      <w:r w:rsidR="006E6DDF" w:rsidRPr="004F1D99">
        <w:rPr>
          <w:rFonts w:cs="Arial"/>
        </w:rPr>
        <w:t>v svoj</w:t>
      </w:r>
      <w:r w:rsidR="006E6DDF">
        <w:rPr>
          <w:rFonts w:cs="Arial"/>
        </w:rPr>
        <w:t>o</w:t>
      </w:r>
      <w:r w:rsidR="006E6DDF" w:rsidRPr="004F1D99">
        <w:rPr>
          <w:rFonts w:cs="Arial"/>
        </w:rPr>
        <w:t xml:space="preserve"> držav</w:t>
      </w:r>
      <w:r w:rsidR="006E6DDF">
        <w:rPr>
          <w:rFonts w:cs="Arial"/>
        </w:rPr>
        <w:t>o</w:t>
      </w:r>
      <w:r w:rsidR="006E6DDF" w:rsidRPr="004F1D99">
        <w:rPr>
          <w:rFonts w:cs="Arial"/>
        </w:rPr>
        <w:t xml:space="preserve"> članic</w:t>
      </w:r>
      <w:r w:rsidR="006E6DDF">
        <w:rPr>
          <w:rFonts w:cs="Arial"/>
        </w:rPr>
        <w:t>o</w:t>
      </w:r>
      <w:r w:rsidR="006E6DDF" w:rsidRPr="004F1D99">
        <w:rPr>
          <w:rFonts w:cs="Arial"/>
        </w:rPr>
        <w:t xml:space="preserve"> za izjemno</w:t>
      </w:r>
      <w:r w:rsidR="006E6DDF">
        <w:rPr>
          <w:rFonts w:cs="Arial"/>
        </w:rPr>
        <w:t xml:space="preserve"> in</w:t>
      </w:r>
      <w:r w:rsidR="006E6DDF" w:rsidRPr="004F1D99">
        <w:rPr>
          <w:rFonts w:cs="Arial"/>
        </w:rPr>
        <w:t xml:space="preserve"> posebej utemeljeno situacijo. Primerjava s prejšnjo relevantno določbo Sklepa </w:t>
      </w:r>
      <w:r w:rsidR="006E6DDF" w:rsidRPr="00115F14">
        <w:rPr>
          <w:rFonts w:cs="Arial"/>
        </w:rPr>
        <w:t>2002/187/PNZ</w:t>
      </w:r>
      <w:r w:rsidR="006E6DDF" w:rsidRPr="004F1D99">
        <w:rPr>
          <w:rFonts w:cs="Arial"/>
        </w:rPr>
        <w:t>, kaže, da se je zakonodajalec namesto prej veljavnega pristopa, ko je bil sedež delovnega mesta za namestnika in pomočnika v Haagu zgolj možnost (</w:t>
      </w:r>
      <w:r w:rsidR="006E6DDF">
        <w:rPr>
          <w:rFonts w:cs="Arial"/>
        </w:rPr>
        <w:t xml:space="preserve">drugi odstavek </w:t>
      </w:r>
      <w:r w:rsidR="006E6DDF" w:rsidRPr="004F1D99">
        <w:rPr>
          <w:rFonts w:cs="Arial"/>
        </w:rPr>
        <w:t>2</w:t>
      </w:r>
      <w:r w:rsidR="006E6DDF">
        <w:rPr>
          <w:rFonts w:cs="Arial"/>
        </w:rPr>
        <w:t xml:space="preserve">. </w:t>
      </w:r>
      <w:r w:rsidR="006E6DDF" w:rsidRPr="004F1D99">
        <w:rPr>
          <w:rFonts w:cs="Arial"/>
        </w:rPr>
        <w:t>b čl</w:t>
      </w:r>
      <w:r w:rsidR="006E6DDF">
        <w:rPr>
          <w:rFonts w:cs="Arial"/>
        </w:rPr>
        <w:t>ena</w:t>
      </w:r>
      <w:r w:rsidR="006E6DDF" w:rsidRPr="004F1D99">
        <w:rPr>
          <w:rFonts w:cs="Arial"/>
        </w:rPr>
        <w:t xml:space="preserve"> Sklepa </w:t>
      </w:r>
      <w:r w:rsidR="006E6DDF" w:rsidRPr="00115F14">
        <w:rPr>
          <w:rFonts w:cs="Arial"/>
        </w:rPr>
        <w:t>2002/187/PNZ</w:t>
      </w:r>
      <w:r w:rsidR="006E6DDF" w:rsidRPr="004F1D99">
        <w:rPr>
          <w:rFonts w:cs="Arial"/>
        </w:rPr>
        <w:t xml:space="preserve">) odločil za </w:t>
      </w:r>
      <w:r w:rsidR="006E6DDF">
        <w:rPr>
          <w:rFonts w:cs="Arial"/>
        </w:rPr>
        <w:t>ureditev</w:t>
      </w:r>
      <w:r w:rsidR="006E6DDF" w:rsidRPr="004F1D99">
        <w:rPr>
          <w:rFonts w:cs="Arial"/>
        </w:rPr>
        <w:t>, po kater</w:t>
      </w:r>
      <w:r w:rsidR="006E6DDF">
        <w:rPr>
          <w:rFonts w:cs="Arial"/>
        </w:rPr>
        <w:t>i</w:t>
      </w:r>
      <w:r w:rsidR="006E6DDF" w:rsidRPr="004F1D99">
        <w:rPr>
          <w:rFonts w:cs="Arial"/>
        </w:rPr>
        <w:t xml:space="preserve"> je ta sedež delovnega mesta zdaj </w:t>
      </w:r>
      <w:r w:rsidR="006E6DDF">
        <w:rPr>
          <w:rFonts w:cs="Arial"/>
        </w:rPr>
        <w:t xml:space="preserve">primarno in </w:t>
      </w:r>
      <w:r w:rsidR="006E6DDF" w:rsidRPr="004F1D99">
        <w:rPr>
          <w:rFonts w:cs="Arial"/>
        </w:rPr>
        <w:t xml:space="preserve">praviloma (»načeloma«) </w:t>
      </w:r>
      <w:r w:rsidR="006E6DDF">
        <w:rPr>
          <w:rFonts w:cs="Arial"/>
        </w:rPr>
        <w:t xml:space="preserve">določen </w:t>
      </w:r>
      <w:r w:rsidR="006E6DDF" w:rsidRPr="004F1D99">
        <w:rPr>
          <w:rFonts w:cs="Arial"/>
        </w:rPr>
        <w:t>v Haagu. Glede na to, da Uredba</w:t>
      </w:r>
      <w:r w:rsidR="006E6DDF">
        <w:rPr>
          <w:rFonts w:cs="Arial"/>
        </w:rPr>
        <w:t xml:space="preserve"> </w:t>
      </w:r>
      <w:r w:rsidR="006E6DDF" w:rsidRPr="00115F14">
        <w:rPr>
          <w:rFonts w:eastAsia="Calibri" w:cs="Arial"/>
          <w:szCs w:val="20"/>
        </w:rPr>
        <w:t>2018/1727/EU</w:t>
      </w:r>
      <w:r w:rsidR="006E6DDF" w:rsidRPr="004F1D99">
        <w:rPr>
          <w:rFonts w:cs="Arial"/>
        </w:rPr>
        <w:t xml:space="preserve"> vendarle omogoča, da imata namestnik in pomočnik sedež delovnega mesta v državi članici, ter da jima izrecno ne prepoveduje reševanja nacionalnih zadev, je </w:t>
      </w:r>
      <w:r w:rsidR="006E6DDF">
        <w:rPr>
          <w:rFonts w:cs="Arial"/>
        </w:rPr>
        <w:t xml:space="preserve">bila </w:t>
      </w:r>
      <w:r w:rsidR="006E6DDF" w:rsidRPr="004F1D99">
        <w:rPr>
          <w:rFonts w:cs="Arial"/>
        </w:rPr>
        <w:t>ključna pri odločitvi o sedežu in možnosti reševanja nacionaln</w:t>
      </w:r>
      <w:r w:rsidR="006E6DDF">
        <w:rPr>
          <w:rFonts w:cs="Arial"/>
        </w:rPr>
        <w:t xml:space="preserve">ih </w:t>
      </w:r>
      <w:r w:rsidR="006E6DDF" w:rsidRPr="004F1D99">
        <w:rPr>
          <w:rFonts w:cs="Arial"/>
        </w:rPr>
        <w:t xml:space="preserve">zadev, ocena smotrnosti </w:t>
      </w:r>
      <w:r w:rsidR="006E6DDF">
        <w:rPr>
          <w:rFonts w:cs="Arial"/>
        </w:rPr>
        <w:t xml:space="preserve">prenosa </w:t>
      </w:r>
      <w:r w:rsidR="006E6DDF" w:rsidRPr="004F1D99">
        <w:rPr>
          <w:rFonts w:cs="Arial"/>
        </w:rPr>
        <w:t xml:space="preserve">sedeža delovnega mesta v </w:t>
      </w:r>
      <w:r w:rsidR="006E6DDF">
        <w:rPr>
          <w:rFonts w:cs="Arial"/>
        </w:rPr>
        <w:t>državo članico</w:t>
      </w:r>
      <w:r w:rsidR="006E6DDF" w:rsidRPr="004F1D99">
        <w:rPr>
          <w:rFonts w:cs="Arial"/>
        </w:rPr>
        <w:t xml:space="preserve"> tudi z vidika samega poteka delovnega procesa znotraj Eurojusta in ocena dejanske delovne obremenitve namestnika in pomočnika v okviru </w:t>
      </w:r>
      <w:r w:rsidR="006E6DDF" w:rsidRPr="00952421">
        <w:rPr>
          <w:rFonts w:cs="Arial"/>
        </w:rPr>
        <w:t>Eurojusta.</w:t>
      </w:r>
      <w:r w:rsidR="006E6DDF" w:rsidRPr="004F1D99">
        <w:rPr>
          <w:rFonts w:cs="Arial"/>
        </w:rPr>
        <w:t xml:space="preserve"> </w:t>
      </w:r>
    </w:p>
    <w:bookmarkEnd w:id="47"/>
    <w:p w:rsidR="006E6DDF" w:rsidRDefault="006E6DDF" w:rsidP="00FC1AFA">
      <w:pPr>
        <w:spacing w:line="288" w:lineRule="auto"/>
        <w:jc w:val="both"/>
        <w:rPr>
          <w:rFonts w:eastAsia="Calibri" w:cs="Arial"/>
          <w:szCs w:val="20"/>
        </w:rPr>
      </w:pPr>
    </w:p>
    <w:p w:rsidR="0093366C" w:rsidRDefault="006E6DDF" w:rsidP="00FC1AFA">
      <w:pPr>
        <w:spacing w:line="288" w:lineRule="auto"/>
        <w:jc w:val="both"/>
        <w:rPr>
          <w:rFonts w:eastAsia="Calibri" w:cs="Arial"/>
          <w:szCs w:val="20"/>
        </w:rPr>
      </w:pPr>
      <w:r>
        <w:rPr>
          <w:rFonts w:eastAsia="Calibri" w:cs="Arial"/>
          <w:szCs w:val="20"/>
        </w:rPr>
        <w:t xml:space="preserve">Dodatnih namestnikov oziroma pomočnikov, kot jih opcijsko določa </w:t>
      </w:r>
      <w:r w:rsidR="00F74131">
        <w:rPr>
          <w:rFonts w:eastAsia="Calibri" w:cs="Arial"/>
          <w:szCs w:val="20"/>
        </w:rPr>
        <w:t xml:space="preserve">Uredba </w:t>
      </w:r>
      <w:r w:rsidR="00F74131" w:rsidRPr="009B4D00">
        <w:rPr>
          <w:rFonts w:eastAsia="Calibri" w:cs="Arial"/>
          <w:szCs w:val="20"/>
        </w:rPr>
        <w:t>2018/1727/EU</w:t>
      </w:r>
      <w:r w:rsidR="00F74131">
        <w:rPr>
          <w:rFonts w:eastAsia="Calibri" w:cs="Arial"/>
          <w:szCs w:val="20"/>
        </w:rPr>
        <w:t xml:space="preserve"> Republika Slovenija</w:t>
      </w:r>
      <w:r w:rsidR="00DD3035">
        <w:rPr>
          <w:rFonts w:eastAsia="Calibri" w:cs="Arial"/>
          <w:szCs w:val="20"/>
        </w:rPr>
        <w:t>, upoštevaje Letno poročilo o delu Eurojusta za leto 2019</w:t>
      </w:r>
      <w:r>
        <w:rPr>
          <w:rFonts w:eastAsia="Calibri" w:cs="Arial"/>
          <w:szCs w:val="20"/>
        </w:rPr>
        <w:t xml:space="preserve"> in</w:t>
      </w:r>
      <w:r w:rsidR="00DD3035">
        <w:rPr>
          <w:rFonts w:eastAsia="Calibri" w:cs="Arial"/>
          <w:szCs w:val="20"/>
        </w:rPr>
        <w:t xml:space="preserve"> po pregledu </w:t>
      </w:r>
      <w:r w:rsidR="00DD3035" w:rsidRPr="00DD3035">
        <w:rPr>
          <w:rFonts w:eastAsia="Calibri" w:cs="Arial"/>
          <w:szCs w:val="20"/>
        </w:rPr>
        <w:t>primerov iz leta 2019</w:t>
      </w:r>
      <w:r>
        <w:rPr>
          <w:rFonts w:eastAsia="Calibri" w:cs="Arial"/>
          <w:szCs w:val="20"/>
        </w:rPr>
        <w:t xml:space="preserve"> (podatki so statistično primerljivi tudi za leto 2018 in 2017)</w:t>
      </w:r>
      <w:r w:rsidR="00DD3035" w:rsidRPr="00DD3035">
        <w:rPr>
          <w:rFonts w:eastAsia="Calibri" w:cs="Arial"/>
          <w:szCs w:val="20"/>
        </w:rPr>
        <w:t>, v katerih so sodelovala nacionalna predstavništva</w:t>
      </w:r>
      <w:r w:rsidR="00DD3035">
        <w:rPr>
          <w:rFonts w:eastAsia="Calibri" w:cs="Arial"/>
          <w:szCs w:val="20"/>
        </w:rPr>
        <w:t xml:space="preserve"> ni v takem obsegu (v letu 2019 je bilo 151 primerov, ki jih je začelo nacionalno predstavništvo RS in sodelovalo v 80 primerih</w:t>
      </w:r>
      <w:r w:rsidR="00FC1AFA">
        <w:rPr>
          <w:rFonts w:eastAsia="Calibri" w:cs="Arial"/>
          <w:szCs w:val="20"/>
        </w:rPr>
        <w:t xml:space="preserve">, </w:t>
      </w:r>
      <w:r w:rsidR="00FC1AFA" w:rsidRPr="00FC1AFA">
        <w:rPr>
          <w:rFonts w:eastAsia="Calibri" w:cs="Arial"/>
          <w:szCs w:val="20"/>
        </w:rPr>
        <w:t>ki jih je začelo predstavništvo</w:t>
      </w:r>
      <w:r w:rsidR="00FC1AFA">
        <w:rPr>
          <w:rFonts w:eastAsia="Calibri" w:cs="Arial"/>
          <w:szCs w:val="20"/>
        </w:rPr>
        <w:t xml:space="preserve"> druge države članice)</w:t>
      </w:r>
      <w:r w:rsidR="00DD3035">
        <w:rPr>
          <w:rFonts w:eastAsia="Calibri" w:cs="Arial"/>
          <w:szCs w:val="20"/>
        </w:rPr>
        <w:t xml:space="preserve">, ki bi narekovala </w:t>
      </w:r>
      <w:r>
        <w:rPr>
          <w:rFonts w:eastAsia="Calibri" w:cs="Arial"/>
          <w:szCs w:val="20"/>
        </w:rPr>
        <w:t xml:space="preserve">potrebo po imenovanju </w:t>
      </w:r>
      <w:r w:rsidR="00DD3035">
        <w:rPr>
          <w:rFonts w:eastAsia="Calibri" w:cs="Arial"/>
          <w:szCs w:val="20"/>
        </w:rPr>
        <w:t>dodatn</w:t>
      </w:r>
      <w:r>
        <w:rPr>
          <w:rFonts w:eastAsia="Calibri" w:cs="Arial"/>
          <w:szCs w:val="20"/>
        </w:rPr>
        <w:t>ih</w:t>
      </w:r>
      <w:r w:rsidR="00DD3035">
        <w:rPr>
          <w:rFonts w:eastAsia="Calibri" w:cs="Arial"/>
          <w:szCs w:val="20"/>
        </w:rPr>
        <w:t xml:space="preserve"> namestnik</w:t>
      </w:r>
      <w:r>
        <w:rPr>
          <w:rFonts w:eastAsia="Calibri" w:cs="Arial"/>
          <w:szCs w:val="20"/>
        </w:rPr>
        <w:t>ov</w:t>
      </w:r>
      <w:r w:rsidR="00DD3035">
        <w:rPr>
          <w:rFonts w:eastAsia="Calibri" w:cs="Arial"/>
          <w:szCs w:val="20"/>
        </w:rPr>
        <w:t xml:space="preserve"> oziroma pomočnik</w:t>
      </w:r>
      <w:r>
        <w:rPr>
          <w:rFonts w:eastAsia="Calibri" w:cs="Arial"/>
          <w:szCs w:val="20"/>
        </w:rPr>
        <w:t xml:space="preserve">ov. </w:t>
      </w:r>
      <w:r w:rsidR="00001A56">
        <w:rPr>
          <w:rFonts w:eastAsia="Calibri" w:cs="Arial"/>
          <w:szCs w:val="20"/>
        </w:rPr>
        <w:t xml:space="preserve"> </w:t>
      </w:r>
    </w:p>
    <w:p w:rsidR="00AE2155" w:rsidRPr="009B4D00" w:rsidRDefault="00AE2155" w:rsidP="00B644CC">
      <w:pPr>
        <w:spacing w:line="288" w:lineRule="auto"/>
        <w:jc w:val="both"/>
        <w:rPr>
          <w:rFonts w:eastAsia="Calibri" w:cs="Arial"/>
          <w:szCs w:val="20"/>
        </w:rPr>
      </w:pPr>
    </w:p>
    <w:p w:rsidR="00AE2155" w:rsidRPr="009B4D00" w:rsidRDefault="00AE2155" w:rsidP="00B644CC">
      <w:pPr>
        <w:spacing w:line="288" w:lineRule="auto"/>
        <w:jc w:val="both"/>
        <w:rPr>
          <w:rFonts w:eastAsia="Calibri" w:cs="Arial"/>
          <w:b/>
          <w:bCs/>
          <w:szCs w:val="20"/>
        </w:rPr>
      </w:pPr>
      <w:r w:rsidRPr="009B4D00">
        <w:rPr>
          <w:rFonts w:eastAsia="Calibri" w:cs="Arial"/>
          <w:b/>
          <w:bCs/>
          <w:szCs w:val="20"/>
        </w:rPr>
        <w:t xml:space="preserve">K </w:t>
      </w:r>
      <w:r w:rsidR="00704F09">
        <w:rPr>
          <w:rFonts w:eastAsia="Calibri" w:cs="Arial"/>
          <w:b/>
          <w:bCs/>
          <w:szCs w:val="20"/>
        </w:rPr>
        <w:t>10</w:t>
      </w:r>
      <w:r w:rsidRPr="009B4D00">
        <w:rPr>
          <w:rFonts w:eastAsia="Calibri" w:cs="Arial"/>
          <w:b/>
          <w:bCs/>
          <w:szCs w:val="20"/>
        </w:rPr>
        <w:t>. členu</w:t>
      </w:r>
    </w:p>
    <w:p w:rsidR="00704F09" w:rsidRDefault="00AE2155" w:rsidP="00B644CC">
      <w:pPr>
        <w:spacing w:line="288" w:lineRule="auto"/>
        <w:jc w:val="both"/>
        <w:rPr>
          <w:rFonts w:eastAsia="Calibri" w:cs="Arial"/>
          <w:szCs w:val="20"/>
        </w:rPr>
      </w:pPr>
      <w:r w:rsidRPr="009B4D00">
        <w:rPr>
          <w:rFonts w:eastAsia="Calibri" w:cs="Arial"/>
          <w:szCs w:val="20"/>
        </w:rPr>
        <w:t xml:space="preserve">Na podlagi 7. člena Uredbe </w:t>
      </w:r>
      <w:r w:rsidRPr="009B4D00">
        <w:t xml:space="preserve">vsaka država članica v skladu s svojim pravnim sistemom v Eurojust začasno napoti po enega nacionalnega člana. Nacionalni član ima stalno delovno mesto na sedežu Eurojusta. </w:t>
      </w:r>
      <w:r w:rsidR="00001A56">
        <w:t xml:space="preserve">Po določbi šestega odstavka 7. člena </w:t>
      </w:r>
      <w:r w:rsidR="00001A56" w:rsidRPr="009B4D00">
        <w:rPr>
          <w:rFonts w:eastAsia="Calibri" w:cs="Arial"/>
          <w:szCs w:val="20"/>
        </w:rPr>
        <w:t>Uredbe 2018/1727/EU</w:t>
      </w:r>
      <w:r w:rsidR="00001A56" w:rsidRPr="009B4D00">
        <w:t xml:space="preserve"> </w:t>
      </w:r>
      <w:r w:rsidR="00001A56">
        <w:t xml:space="preserve">morajo države članice določiti nacionalnega predstavnika in namestnika na podlagi dokazanih ustreznih izkušnjah na visoki ravni na področju kazenskih zadev. </w:t>
      </w:r>
      <w:r w:rsidRPr="009B4D00">
        <w:t xml:space="preserve">Z namenom, da se iz Slovenije napoti v Eurojust strokovno kompetentna oseba se z novim 68. členom določajo pogoji za imenovanje članov Eurojusta. </w:t>
      </w:r>
      <w:r w:rsidR="0033668C">
        <w:rPr>
          <w:rFonts w:eastAsia="Calibri" w:cs="Arial"/>
          <w:szCs w:val="20"/>
        </w:rPr>
        <w:t xml:space="preserve">Za nacionalnega predstavnika v Eurojustu in njegovega namestnika se bo lahko imenoval vrhovni ali višji državni tožilec ali okrožni državni tožilec, ki izpolnjuje pogoje za imenovanje v naziv višjega državnega tožilca. </w:t>
      </w:r>
      <w:r w:rsidRPr="009B4D00">
        <w:rPr>
          <w:rFonts w:eastAsia="Calibri" w:cs="Arial"/>
          <w:szCs w:val="20"/>
        </w:rPr>
        <w:t xml:space="preserve">Pogoji za imenovanje ostajajo nespremenjeni, določeni v skladu z ustreznim tožilskim nazivom, ki odseva pridobljeno strokovnost in </w:t>
      </w:r>
      <w:r w:rsidR="0033668C">
        <w:rPr>
          <w:rFonts w:eastAsia="Calibri" w:cs="Arial"/>
          <w:szCs w:val="20"/>
        </w:rPr>
        <w:t xml:space="preserve">delovne </w:t>
      </w:r>
      <w:r w:rsidRPr="009B4D00">
        <w:rPr>
          <w:rFonts w:eastAsia="Calibri" w:cs="Arial"/>
          <w:szCs w:val="20"/>
        </w:rPr>
        <w:t>izkušnje</w:t>
      </w:r>
      <w:r w:rsidR="0033668C">
        <w:rPr>
          <w:rFonts w:eastAsia="Calibri" w:cs="Arial"/>
          <w:szCs w:val="20"/>
        </w:rPr>
        <w:t xml:space="preserve"> na visoki ravni </w:t>
      </w:r>
      <w:r w:rsidR="0033668C">
        <w:t>na področju kazenskih zadev</w:t>
      </w:r>
      <w:r w:rsidRPr="009B4D00">
        <w:rPr>
          <w:rFonts w:eastAsia="Calibri" w:cs="Arial"/>
          <w:szCs w:val="20"/>
        </w:rPr>
        <w:t xml:space="preserve">, vključno z dodatnimi pogoji glede znanja tujega jezika, ki ga bo zahtevala narava dela v Eurojustu. </w:t>
      </w:r>
    </w:p>
    <w:p w:rsidR="00F74131" w:rsidRDefault="00F74131" w:rsidP="00B644CC">
      <w:pPr>
        <w:spacing w:line="288" w:lineRule="auto"/>
        <w:jc w:val="both"/>
        <w:rPr>
          <w:rFonts w:eastAsia="Calibri" w:cs="Arial"/>
          <w:szCs w:val="20"/>
        </w:rPr>
      </w:pPr>
    </w:p>
    <w:p w:rsidR="00BD7385" w:rsidRPr="00BD7385" w:rsidRDefault="0033668C" w:rsidP="00BD7385">
      <w:pPr>
        <w:spacing w:line="288" w:lineRule="auto"/>
        <w:jc w:val="both"/>
        <w:rPr>
          <w:rFonts w:eastAsia="Calibri" w:cs="Arial"/>
          <w:szCs w:val="20"/>
        </w:rPr>
      </w:pPr>
      <w:r>
        <w:rPr>
          <w:rFonts w:eastAsia="Calibri" w:cs="Arial"/>
          <w:szCs w:val="20"/>
        </w:rPr>
        <w:t xml:space="preserve">Po četrtem odstavku </w:t>
      </w:r>
      <w:r w:rsidR="00BD7385">
        <w:rPr>
          <w:rFonts w:eastAsia="Calibri" w:cs="Arial"/>
          <w:szCs w:val="20"/>
        </w:rPr>
        <w:t xml:space="preserve">7. člena </w:t>
      </w:r>
      <w:r>
        <w:rPr>
          <w:rFonts w:eastAsia="Calibri" w:cs="Arial"/>
          <w:szCs w:val="20"/>
        </w:rPr>
        <w:t xml:space="preserve">Uredbe </w:t>
      </w:r>
      <w:r w:rsidRPr="009B4D00">
        <w:rPr>
          <w:rFonts w:eastAsia="Calibri" w:cs="Arial"/>
          <w:szCs w:val="20"/>
        </w:rPr>
        <w:t>2018/1727/EU</w:t>
      </w:r>
      <w:r>
        <w:rPr>
          <w:rFonts w:eastAsia="Calibri" w:cs="Arial"/>
          <w:szCs w:val="20"/>
        </w:rPr>
        <w:t xml:space="preserve"> mora imeti nacionalni predstavnik in njegov namestnik položaj tožilca, sodnika ali predstavnika sodnega organa z enakovrednimi pristojnostmi, kot jih ima tožilec ali sodnik v skladu z nacionalnim pravom. Na ta način se z uredbo omogoča širok nabor kandidatov za nacionalnega predstavnika oziroma pomočnika, ob tem pa je treba izhajati iz nacionalnih ureditev organizacije pravosodnega sistema.</w:t>
      </w:r>
      <w:r w:rsidR="00264E44">
        <w:rPr>
          <w:rFonts w:eastAsia="Calibri" w:cs="Arial"/>
          <w:szCs w:val="20"/>
        </w:rPr>
        <w:t xml:space="preserve"> Predlagatelj je</w:t>
      </w:r>
      <w:r w:rsidR="00BD7385">
        <w:rPr>
          <w:rFonts w:eastAsia="Calibri" w:cs="Arial"/>
          <w:szCs w:val="20"/>
        </w:rPr>
        <w:t xml:space="preserve"> pri opredelitvi pogojev za imenovanje</w:t>
      </w:r>
      <w:r w:rsidR="00ED6452">
        <w:rPr>
          <w:rFonts w:eastAsia="Calibri" w:cs="Arial"/>
          <w:szCs w:val="20"/>
        </w:rPr>
        <w:t>, ki jih omejuje zgolj na državne tožilce,</w:t>
      </w:r>
      <w:r w:rsidR="00264E44">
        <w:rPr>
          <w:rFonts w:eastAsia="Calibri" w:cs="Arial"/>
          <w:szCs w:val="20"/>
        </w:rPr>
        <w:t xml:space="preserve"> izhajal iz zgodovinskega vidika ustanovitve Eurojusta, notranje ureditve sistemske organizacije pravosodja v posameznih državah članicah ter narave dela nacionalnega predstavnika in njegovega namestnika. Do uveljavitve Uredbe </w:t>
      </w:r>
      <w:r w:rsidR="00264E44" w:rsidRPr="009B4D00">
        <w:rPr>
          <w:rFonts w:eastAsia="Calibri" w:cs="Arial"/>
          <w:szCs w:val="20"/>
        </w:rPr>
        <w:t>2018/1727/EU</w:t>
      </w:r>
      <w:r w:rsidR="00264E44">
        <w:rPr>
          <w:rFonts w:eastAsia="Calibri" w:cs="Arial"/>
          <w:szCs w:val="20"/>
        </w:rPr>
        <w:t xml:space="preserve"> je bila narava dela v Eurojustu izrazito tožilska</w:t>
      </w:r>
      <w:r w:rsidR="00B82654">
        <w:rPr>
          <w:rFonts w:eastAsia="Calibri" w:cs="Arial"/>
          <w:szCs w:val="20"/>
        </w:rPr>
        <w:t>, kar odsevajo tudi imenovani predstavniki iz držav članic, ki prihajajo iz vrst državotožilske organizacije. Upoštevaje kazensko procesno ureditev v Republiki Sloveniji</w:t>
      </w:r>
      <w:r w:rsidR="00BD7385">
        <w:rPr>
          <w:rFonts w:eastAsia="Calibri" w:cs="Arial"/>
          <w:szCs w:val="20"/>
        </w:rPr>
        <w:t>,</w:t>
      </w:r>
      <w:r w:rsidR="00B82654">
        <w:rPr>
          <w:rFonts w:eastAsia="Calibri" w:cs="Arial"/>
          <w:szCs w:val="20"/>
        </w:rPr>
        <w:t xml:space="preserve"> vloga preiskovalnega sodnika ni takšne narave, da bi lahko sam brez tožilca izvajal posamezna procesna dejanja. Prav tako</w:t>
      </w:r>
      <w:r w:rsidR="00BD7385">
        <w:rPr>
          <w:rFonts w:eastAsia="Calibri" w:cs="Arial"/>
          <w:szCs w:val="20"/>
        </w:rPr>
        <w:t xml:space="preserve"> je m</w:t>
      </w:r>
      <w:r w:rsidR="00BD7385">
        <w:rPr>
          <w:rFonts w:cs="Arial"/>
          <w:szCs w:val="20"/>
        </w:rPr>
        <w:t xml:space="preserve">ožnost, ki jo </w:t>
      </w:r>
      <w:r w:rsidR="00BD7385">
        <w:rPr>
          <w:rFonts w:eastAsia="Calibri" w:cs="Arial"/>
          <w:szCs w:val="20"/>
        </w:rPr>
        <w:t xml:space="preserve">Uredba </w:t>
      </w:r>
      <w:r w:rsidR="00BD7385" w:rsidRPr="009B4D00">
        <w:rPr>
          <w:rFonts w:eastAsia="Calibri" w:cs="Arial"/>
          <w:szCs w:val="20"/>
        </w:rPr>
        <w:t>2018/1727/EU</w:t>
      </w:r>
      <w:r w:rsidR="00BD7385">
        <w:rPr>
          <w:rFonts w:cs="Arial"/>
          <w:szCs w:val="20"/>
        </w:rPr>
        <w:t xml:space="preserve"> v zvezi z širokim naborom kandidatov za imenovanje nacionalnega predstavnika oziroma namestnika </w:t>
      </w:r>
      <w:r w:rsidR="00BD7385" w:rsidRPr="00827A9F">
        <w:rPr>
          <w:rFonts w:cs="Arial"/>
          <w:szCs w:val="20"/>
        </w:rPr>
        <w:t>omogoča</w:t>
      </w:r>
      <w:r w:rsidR="00BD7385">
        <w:rPr>
          <w:rFonts w:cs="Arial"/>
          <w:szCs w:val="20"/>
        </w:rPr>
        <w:t>,</w:t>
      </w:r>
      <w:r w:rsidR="00BD7385" w:rsidRPr="00827A9F">
        <w:rPr>
          <w:rFonts w:cs="Arial"/>
          <w:szCs w:val="20"/>
        </w:rPr>
        <w:t xml:space="preserve"> posledica različnih pravnih sistemov držav članic, ki med drugim </w:t>
      </w:r>
      <w:r w:rsidR="00BD7385" w:rsidRPr="00827A9F">
        <w:rPr>
          <w:rFonts w:cs="Arial"/>
          <w:szCs w:val="20"/>
        </w:rPr>
        <w:lastRenderedPageBreak/>
        <w:t xml:space="preserve">dopuščajo </w:t>
      </w:r>
      <w:r w:rsidR="00BD7385">
        <w:rPr>
          <w:rFonts w:cs="Arial"/>
          <w:szCs w:val="20"/>
        </w:rPr>
        <w:t>nezaplet</w:t>
      </w:r>
      <w:r w:rsidR="00BD7385" w:rsidRPr="00827A9F">
        <w:rPr>
          <w:rFonts w:cs="Arial"/>
          <w:szCs w:val="20"/>
        </w:rPr>
        <w:t>ene prehode med pravosodnimi funkcionarji oziroma poklici</w:t>
      </w:r>
      <w:r w:rsidR="00BD7385">
        <w:rPr>
          <w:rFonts w:cs="Arial"/>
          <w:szCs w:val="20"/>
        </w:rPr>
        <w:t xml:space="preserve"> (sistem enotne magistrature)</w:t>
      </w:r>
      <w:r w:rsidR="00BD7385" w:rsidRPr="00827A9F">
        <w:rPr>
          <w:rFonts w:cs="Arial"/>
          <w:szCs w:val="20"/>
        </w:rPr>
        <w:t xml:space="preserve">, kar pa v Republiki Sloveniji ni združljivo z načelom delitve oblasti. </w:t>
      </w:r>
      <w:r w:rsidR="00ED6452">
        <w:rPr>
          <w:rFonts w:cs="Arial"/>
          <w:szCs w:val="20"/>
        </w:rPr>
        <w:t xml:space="preserve">Tudi naloge in pristojnosti, ki jih </w:t>
      </w:r>
      <w:r w:rsidR="00ED6452">
        <w:rPr>
          <w:rFonts w:eastAsia="Calibri" w:cs="Arial"/>
          <w:szCs w:val="20"/>
        </w:rPr>
        <w:t xml:space="preserve">Uredba </w:t>
      </w:r>
      <w:r w:rsidR="00ED6452" w:rsidRPr="009B4D00">
        <w:rPr>
          <w:rFonts w:eastAsia="Calibri" w:cs="Arial"/>
          <w:szCs w:val="20"/>
        </w:rPr>
        <w:t>2018/1727/EU</w:t>
      </w:r>
      <w:r w:rsidR="00ED6452">
        <w:rPr>
          <w:rFonts w:eastAsia="Calibri" w:cs="Arial"/>
          <w:szCs w:val="20"/>
        </w:rPr>
        <w:t xml:space="preserve"> določa oziroma za katera so nacionalni predstavniki v skladu z določbami uredbe pooblaščeni</w:t>
      </w:r>
      <w:r w:rsidR="001B33DD">
        <w:rPr>
          <w:rFonts w:eastAsia="Calibri" w:cs="Arial"/>
          <w:szCs w:val="20"/>
        </w:rPr>
        <w:t>,</w:t>
      </w:r>
      <w:r w:rsidR="00ED6452">
        <w:rPr>
          <w:rFonts w:eastAsia="Calibri" w:cs="Arial"/>
          <w:szCs w:val="20"/>
        </w:rPr>
        <w:t xml:space="preserve"> kaže na </w:t>
      </w:r>
      <w:r w:rsidR="001B33DD">
        <w:rPr>
          <w:rFonts w:eastAsia="Calibri" w:cs="Arial"/>
          <w:szCs w:val="20"/>
        </w:rPr>
        <w:t>pristojnost opravljati procesna dejanja upravičenega tožilca, sodelovati s policijo in drugimi pristojnimi organi v državi članici, tudi z Evropskim javnim tožilstvom. Vse navedeno je predlagatelja vodilo k pripravi predloga novele zakona, ki v tem delu ne odstopa od dosedanje ureditve.</w:t>
      </w:r>
    </w:p>
    <w:p w:rsidR="00D92A18" w:rsidRDefault="00D92A18" w:rsidP="00B644CC">
      <w:pPr>
        <w:spacing w:line="288" w:lineRule="auto"/>
        <w:jc w:val="both"/>
        <w:rPr>
          <w:rFonts w:eastAsia="Calibri" w:cs="Arial"/>
          <w:b/>
          <w:bCs/>
          <w:szCs w:val="20"/>
        </w:rPr>
      </w:pPr>
    </w:p>
    <w:p w:rsidR="00AE2155" w:rsidRPr="009B4D00" w:rsidRDefault="00AE2155" w:rsidP="00B644CC">
      <w:pPr>
        <w:spacing w:line="288" w:lineRule="auto"/>
        <w:jc w:val="both"/>
        <w:rPr>
          <w:rFonts w:eastAsia="Calibri" w:cs="Arial"/>
          <w:b/>
          <w:bCs/>
          <w:szCs w:val="20"/>
        </w:rPr>
      </w:pPr>
      <w:r w:rsidRPr="009B4D00">
        <w:rPr>
          <w:rFonts w:eastAsia="Calibri" w:cs="Arial"/>
          <w:b/>
          <w:bCs/>
          <w:szCs w:val="20"/>
        </w:rPr>
        <w:t>K 1</w:t>
      </w:r>
      <w:r w:rsidR="00704F09">
        <w:rPr>
          <w:rFonts w:eastAsia="Calibri" w:cs="Arial"/>
          <w:b/>
          <w:bCs/>
          <w:szCs w:val="20"/>
        </w:rPr>
        <w:t>1</w:t>
      </w:r>
      <w:r w:rsidRPr="009B4D00">
        <w:rPr>
          <w:rFonts w:eastAsia="Calibri" w:cs="Arial"/>
          <w:b/>
          <w:bCs/>
          <w:szCs w:val="20"/>
        </w:rPr>
        <w:t>. členu</w:t>
      </w:r>
    </w:p>
    <w:p w:rsidR="00AE2155" w:rsidRPr="009B4D00" w:rsidRDefault="00704F09" w:rsidP="00B644CC">
      <w:pPr>
        <w:spacing w:line="288" w:lineRule="auto"/>
        <w:jc w:val="both"/>
      </w:pPr>
      <w:r w:rsidRPr="00115F14">
        <w:rPr>
          <w:rFonts w:cs="Arial"/>
          <w:szCs w:val="20"/>
        </w:rPr>
        <w:t>Z</w:t>
      </w:r>
      <w:r>
        <w:rPr>
          <w:rFonts w:cs="Arial"/>
          <w:szCs w:val="20"/>
        </w:rPr>
        <w:t xml:space="preserve"> </w:t>
      </w:r>
      <w:r w:rsidRPr="00115F14">
        <w:rPr>
          <w:rFonts w:cs="Arial"/>
          <w:szCs w:val="20"/>
        </w:rPr>
        <w:t>Uredbo 2017/1939/EU</w:t>
      </w:r>
      <w:r>
        <w:rPr>
          <w:rFonts w:cs="Arial"/>
          <w:szCs w:val="20"/>
        </w:rPr>
        <w:t xml:space="preserve"> </w:t>
      </w:r>
      <w:r w:rsidRPr="00115F14">
        <w:rPr>
          <w:rFonts w:cs="Arial"/>
          <w:szCs w:val="20"/>
        </w:rPr>
        <w:t>se mandat nacionalnega predstavnika</w:t>
      </w:r>
      <w:r>
        <w:rPr>
          <w:rFonts w:cs="Arial"/>
          <w:szCs w:val="20"/>
        </w:rPr>
        <w:t xml:space="preserve">, </w:t>
      </w:r>
      <w:r w:rsidRPr="00115F14">
        <w:rPr>
          <w:rFonts w:cs="Arial"/>
          <w:szCs w:val="20"/>
        </w:rPr>
        <w:t>njegovega namestnika</w:t>
      </w:r>
      <w:r>
        <w:rPr>
          <w:rFonts w:cs="Arial"/>
          <w:szCs w:val="20"/>
        </w:rPr>
        <w:t xml:space="preserve"> in pomočnika</w:t>
      </w:r>
      <w:r w:rsidRPr="00115F14">
        <w:rPr>
          <w:rFonts w:cs="Arial"/>
          <w:szCs w:val="20"/>
        </w:rPr>
        <w:t xml:space="preserve"> podaljšuje na pet let z možnostjo enkratnega podaljšanja</w:t>
      </w:r>
      <w:r>
        <w:rPr>
          <w:rFonts w:cs="Arial"/>
          <w:szCs w:val="20"/>
        </w:rPr>
        <w:t>,</w:t>
      </w:r>
      <w:r w:rsidRPr="00115F14">
        <w:rPr>
          <w:rFonts w:cs="Arial"/>
          <w:szCs w:val="20"/>
        </w:rPr>
        <w:t xml:space="preserve"> zato se </w:t>
      </w:r>
      <w:r>
        <w:rPr>
          <w:rFonts w:eastAsia="Calibri" w:cs="Arial"/>
          <w:szCs w:val="20"/>
        </w:rPr>
        <w:t>s</w:t>
      </w:r>
      <w:r w:rsidRPr="009B4D00">
        <w:rPr>
          <w:rFonts w:eastAsia="Calibri" w:cs="Arial"/>
          <w:szCs w:val="20"/>
        </w:rPr>
        <w:t xml:space="preserve"> predlogom novega 69. člena</w:t>
      </w:r>
      <w:r w:rsidR="00AE2155" w:rsidRPr="009B4D00">
        <w:rPr>
          <w:rFonts w:eastAsia="Calibri" w:cs="Arial"/>
          <w:szCs w:val="20"/>
        </w:rPr>
        <w:t xml:space="preserve"> doba imenovanja </w:t>
      </w:r>
      <w:r>
        <w:rPr>
          <w:rFonts w:eastAsia="Calibri" w:cs="Arial"/>
          <w:szCs w:val="20"/>
        </w:rPr>
        <w:t>podaljša iz štirih na pet let.</w:t>
      </w:r>
      <w:r w:rsidR="00B10F76">
        <w:rPr>
          <w:rFonts w:eastAsia="Calibri" w:cs="Arial"/>
          <w:szCs w:val="20"/>
        </w:rPr>
        <w:t xml:space="preserve"> Ker sta v skladu z Uredbo </w:t>
      </w:r>
      <w:r w:rsidR="00B10F76" w:rsidRPr="00115F14">
        <w:rPr>
          <w:rFonts w:cs="Arial"/>
          <w:szCs w:val="20"/>
        </w:rPr>
        <w:t>2017/1939/EU</w:t>
      </w:r>
      <w:r w:rsidR="00B10F76">
        <w:rPr>
          <w:rFonts w:eastAsia="Calibri" w:cs="Arial"/>
          <w:szCs w:val="20"/>
        </w:rPr>
        <w:t xml:space="preserve"> do enkratnega ponovnega imenovanja upravičena zgolj nacionalni predstavnik in njegov namestnik</w:t>
      </w:r>
      <w:r>
        <w:rPr>
          <w:rFonts w:eastAsia="Calibri" w:cs="Arial"/>
          <w:szCs w:val="20"/>
        </w:rPr>
        <w:t xml:space="preserve"> </w:t>
      </w:r>
      <w:r w:rsidR="00B10F76">
        <w:rPr>
          <w:rFonts w:eastAsia="Calibri" w:cs="Arial"/>
          <w:szCs w:val="20"/>
        </w:rPr>
        <w:t xml:space="preserve">se </w:t>
      </w:r>
      <w:r>
        <w:rPr>
          <w:rFonts w:eastAsia="Calibri" w:cs="Arial"/>
          <w:szCs w:val="20"/>
        </w:rPr>
        <w:t>ohranja</w:t>
      </w:r>
      <w:r w:rsidR="00B10F76">
        <w:rPr>
          <w:rFonts w:eastAsia="Calibri" w:cs="Arial"/>
          <w:szCs w:val="20"/>
        </w:rPr>
        <w:t xml:space="preserve"> </w:t>
      </w:r>
      <w:r>
        <w:rPr>
          <w:rFonts w:eastAsia="Calibri" w:cs="Arial"/>
          <w:szCs w:val="20"/>
        </w:rPr>
        <w:t>ureditev, po kateri bosta nacionalni predstavnik in njegov namestnik lahko še enkrat ponovno imenovana.</w:t>
      </w:r>
    </w:p>
    <w:p w:rsidR="00AE2155" w:rsidRPr="00A44B41" w:rsidRDefault="00AE2155" w:rsidP="00B644CC">
      <w:pPr>
        <w:spacing w:line="288" w:lineRule="auto"/>
        <w:jc w:val="both"/>
        <w:rPr>
          <w:rFonts w:eastAsia="Calibri" w:cs="Arial"/>
          <w:szCs w:val="20"/>
        </w:rPr>
      </w:pPr>
    </w:p>
    <w:p w:rsidR="00D2336C" w:rsidRDefault="00B10F76" w:rsidP="00B644CC">
      <w:pPr>
        <w:spacing w:line="288" w:lineRule="auto"/>
        <w:jc w:val="both"/>
        <w:rPr>
          <w:rFonts w:eastAsia="Calibri" w:cs="Arial"/>
          <w:b/>
          <w:szCs w:val="20"/>
        </w:rPr>
      </w:pPr>
      <w:r>
        <w:rPr>
          <w:rFonts w:eastAsia="Calibri" w:cs="Arial"/>
          <w:b/>
          <w:szCs w:val="20"/>
        </w:rPr>
        <w:t>K 12. členu</w:t>
      </w:r>
    </w:p>
    <w:p w:rsidR="00B10F76" w:rsidRDefault="00B10F76" w:rsidP="00B10F76">
      <w:pPr>
        <w:spacing w:line="288" w:lineRule="auto"/>
        <w:jc w:val="both"/>
        <w:rPr>
          <w:rFonts w:eastAsia="Calibri" w:cs="Arial"/>
          <w:szCs w:val="20"/>
        </w:rPr>
      </w:pPr>
      <w:r w:rsidRPr="009B4D00">
        <w:rPr>
          <w:rFonts w:eastAsia="Calibri" w:cs="Arial"/>
          <w:szCs w:val="20"/>
        </w:rPr>
        <w:t>S predlogom novega 69.</w:t>
      </w:r>
      <w:r>
        <w:rPr>
          <w:rFonts w:eastAsia="Calibri" w:cs="Arial"/>
          <w:szCs w:val="20"/>
        </w:rPr>
        <w:t xml:space="preserve">a in 69.b </w:t>
      </w:r>
      <w:r w:rsidRPr="009B4D00">
        <w:rPr>
          <w:rFonts w:eastAsia="Calibri" w:cs="Arial"/>
          <w:szCs w:val="20"/>
        </w:rPr>
        <w:t>člena se konkretizira postopek imenovanja nacionalnega predstavnika, njegovega namestnika in pomočnika</w:t>
      </w:r>
      <w:r w:rsidRPr="00704F09">
        <w:rPr>
          <w:rFonts w:eastAsia="Calibri" w:cs="Arial"/>
          <w:szCs w:val="20"/>
        </w:rPr>
        <w:t xml:space="preserve"> </w:t>
      </w:r>
      <w:r>
        <w:rPr>
          <w:rFonts w:eastAsia="Calibri" w:cs="Arial"/>
          <w:szCs w:val="20"/>
        </w:rPr>
        <w:t>ter</w:t>
      </w:r>
      <w:r w:rsidRPr="009B4D00">
        <w:rPr>
          <w:rFonts w:eastAsia="Calibri" w:cs="Arial"/>
          <w:szCs w:val="20"/>
        </w:rPr>
        <w:t xml:space="preserve"> poenotijo pravice imenovanih državnih tožilcev za predstavnike v Eurojustu s pravicami, ki jih veljana ureditev določa za evropskega tožilca. Navedeno sledi načelu enake obravnave vsebinsko podobnih oziroma enakih pravnih položajev državnih tožilcev imenovanih v organe EU, ki sodelujejo z drugimi predstavniki držav članic z namenom učinkovitejšega sodelovanja nacionalnih organov pristojnih za preiskave oziroma pregon storilcev taksativno naštetih čezmejnih kaznivih dejanj. </w:t>
      </w:r>
    </w:p>
    <w:p w:rsidR="00B10F76" w:rsidRDefault="00B10F76" w:rsidP="00B10F76">
      <w:pPr>
        <w:spacing w:line="288" w:lineRule="auto"/>
        <w:jc w:val="both"/>
        <w:rPr>
          <w:rFonts w:eastAsia="Calibri" w:cs="Arial"/>
          <w:szCs w:val="20"/>
        </w:rPr>
      </w:pPr>
    </w:p>
    <w:p w:rsidR="00E8274E" w:rsidRPr="009B4D00" w:rsidRDefault="00E8274E" w:rsidP="00E8274E">
      <w:pPr>
        <w:spacing w:line="288" w:lineRule="auto"/>
        <w:jc w:val="both"/>
        <w:rPr>
          <w:rFonts w:eastAsia="Calibri" w:cs="Arial"/>
          <w:szCs w:val="20"/>
        </w:rPr>
      </w:pPr>
      <w:r w:rsidRPr="00E8274E">
        <w:rPr>
          <w:rFonts w:cs="Arial"/>
          <w:szCs w:val="20"/>
        </w:rPr>
        <w:t xml:space="preserve">Z vidika pristojnosti in razmerij med nosilci državnotožilske uprave, se s predlogom zakona ohranja struktura odločanja, ki jo pozna veljavna ureditev. </w:t>
      </w:r>
      <w:r w:rsidRPr="00E8274E">
        <w:rPr>
          <w:rFonts w:eastAsia="Calibri" w:cs="Arial"/>
          <w:szCs w:val="20"/>
        </w:rPr>
        <w:t xml:space="preserve">Nacionalnega predstavnika in njegovega namestnika bo imenovala Vlada Republike Slovenije na predlog Državnotožilskega sveta, po predhodnem mnenju generalnega državnega tožilca. Pomočnika nacionalnega predstavnika pa bo imenoval Državnotožilski svet na predlog generalnega državnega tožilca, po predhodnem mnenju nacionalnega predstavnika. S predlaganimi spremembami se krepi </w:t>
      </w:r>
      <w:r w:rsidRPr="00E8274E">
        <w:t xml:space="preserve">vloga generalnega državnega tožilca pri odločanju o predstavnikih državnega tožilstva, ki delujejo v sklopu Eurojusta. </w:t>
      </w:r>
    </w:p>
    <w:p w:rsidR="00B10F76" w:rsidRDefault="00B10F76" w:rsidP="00B10F76">
      <w:pPr>
        <w:spacing w:line="288" w:lineRule="auto"/>
        <w:jc w:val="both"/>
        <w:rPr>
          <w:rFonts w:eastAsia="Calibri" w:cs="Arial"/>
          <w:szCs w:val="20"/>
        </w:rPr>
      </w:pPr>
    </w:p>
    <w:p w:rsidR="00B10F76" w:rsidRPr="009B4D00" w:rsidRDefault="00B10F76" w:rsidP="00B10F76">
      <w:pPr>
        <w:spacing w:line="288" w:lineRule="auto"/>
        <w:jc w:val="both"/>
        <w:rPr>
          <w:rFonts w:eastAsia="Calibri" w:cs="Arial"/>
          <w:szCs w:val="20"/>
        </w:rPr>
      </w:pPr>
      <w:r w:rsidRPr="009B4D00">
        <w:rPr>
          <w:rFonts w:eastAsia="Calibri" w:cs="Arial"/>
          <w:szCs w:val="20"/>
        </w:rPr>
        <w:t xml:space="preserve">Po dosedanji ureditvi so se za postopek imenovanja predstavnikov v Eurojustu smiselno uporabljale določbe zakona o dodelitvi državnega tožilca v organ (62. člen ZDT-1). Ker o dodelitvi državnega tožilca v organ odloča Državnotožilski svet, po predlagani ureditvi pa bo nacionalnega predstavnika in njegovega namestnika imenovala Vlada Republike Slovenije, se s predlogom zakona odpravlja sistemska nedoslednost ter ob tem upošteva rešitev, ki jo je uvedel veljavni 71.č člen veljavnega ZDT-1. </w:t>
      </w:r>
    </w:p>
    <w:p w:rsidR="00B10F76" w:rsidRPr="009B4D00" w:rsidRDefault="00B10F76" w:rsidP="00B10F76">
      <w:pPr>
        <w:spacing w:line="288" w:lineRule="auto"/>
        <w:jc w:val="both"/>
        <w:rPr>
          <w:rFonts w:eastAsia="Calibri" w:cs="Arial"/>
          <w:szCs w:val="20"/>
        </w:rPr>
      </w:pPr>
    </w:p>
    <w:p w:rsidR="00B10F76" w:rsidRPr="009B4D00" w:rsidRDefault="00B10F76" w:rsidP="00B10F76">
      <w:pPr>
        <w:spacing w:line="288" w:lineRule="auto"/>
        <w:jc w:val="both"/>
        <w:rPr>
          <w:rFonts w:cs="Arial"/>
          <w:szCs w:val="20"/>
        </w:rPr>
      </w:pPr>
      <w:r w:rsidRPr="009B4D00">
        <w:t xml:space="preserve">Tako bo Ministrstvo za pravosodje po prejemu </w:t>
      </w:r>
      <w:r w:rsidRPr="009B4D00">
        <w:rPr>
          <w:rFonts w:eastAsia="Calibri" w:cs="Arial"/>
          <w:szCs w:val="20"/>
        </w:rPr>
        <w:t>predloga generalnega državnega tožilca</w:t>
      </w:r>
      <w:r w:rsidRPr="009B4D00">
        <w:rPr>
          <w:rFonts w:cs="Arial"/>
          <w:szCs w:val="20"/>
        </w:rPr>
        <w:t xml:space="preserve">, </w:t>
      </w:r>
      <w:r w:rsidRPr="009B4D00">
        <w:t xml:space="preserve">v Uradnem listu Republike Slovenije </w:t>
      </w:r>
      <w:r w:rsidRPr="009B4D00">
        <w:rPr>
          <w:rFonts w:cs="Arial"/>
          <w:szCs w:val="20"/>
        </w:rPr>
        <w:t>objavilo</w:t>
      </w:r>
      <w:r w:rsidRPr="009B4D00">
        <w:t xml:space="preserve"> poziv </w:t>
      </w:r>
      <w:r w:rsidRPr="009B4D00">
        <w:rPr>
          <w:rFonts w:eastAsia="Calibri" w:cs="Arial"/>
          <w:szCs w:val="20"/>
        </w:rPr>
        <w:t>k prijavam za imenovanje nacionalnega predstavnika</w:t>
      </w:r>
      <w:r>
        <w:rPr>
          <w:rFonts w:eastAsia="Calibri" w:cs="Arial"/>
          <w:szCs w:val="20"/>
        </w:rPr>
        <w:t xml:space="preserve">, </w:t>
      </w:r>
      <w:r w:rsidRPr="009B4D00">
        <w:rPr>
          <w:rFonts w:eastAsia="Calibri" w:cs="Arial"/>
          <w:szCs w:val="20"/>
        </w:rPr>
        <w:t>njegovega namestnika</w:t>
      </w:r>
      <w:r>
        <w:rPr>
          <w:rFonts w:eastAsia="Calibri" w:cs="Arial"/>
          <w:szCs w:val="20"/>
        </w:rPr>
        <w:t xml:space="preserve"> in pomočnika</w:t>
      </w:r>
      <w:r w:rsidRPr="009B4D00">
        <w:rPr>
          <w:rFonts w:eastAsia="Calibri" w:cs="Arial"/>
          <w:szCs w:val="20"/>
        </w:rPr>
        <w:t>.</w:t>
      </w:r>
      <w:r w:rsidRPr="009B4D00">
        <w:rPr>
          <w:rFonts w:cs="Arial"/>
          <w:szCs w:val="20"/>
        </w:rPr>
        <w:t xml:space="preserve"> V petih dneh po izteku pozivnega roka, bo ministrstvo vse prijave, ki jih ni zavrglo posredovalo Državnotožilskemu svetu.</w:t>
      </w:r>
    </w:p>
    <w:p w:rsidR="00B10F76" w:rsidRPr="009B4D00" w:rsidRDefault="00B10F76" w:rsidP="00B10F76">
      <w:pPr>
        <w:spacing w:line="288" w:lineRule="auto"/>
        <w:jc w:val="both"/>
        <w:rPr>
          <w:rFonts w:cs="Arial"/>
          <w:szCs w:val="20"/>
        </w:rPr>
      </w:pPr>
    </w:p>
    <w:p w:rsidR="00B10F76" w:rsidRPr="009B4D00" w:rsidRDefault="00B10F76" w:rsidP="00B10F76">
      <w:pPr>
        <w:spacing w:line="288" w:lineRule="auto"/>
        <w:jc w:val="both"/>
        <w:rPr>
          <w:rFonts w:eastAsia="Calibri" w:cs="Arial"/>
          <w:szCs w:val="20"/>
        </w:rPr>
      </w:pPr>
      <w:r w:rsidRPr="009B4D00">
        <w:rPr>
          <w:rFonts w:eastAsia="Calibri" w:cs="Arial"/>
          <w:szCs w:val="20"/>
        </w:rPr>
        <w:t>Državnotožilski svet se</w:t>
      </w:r>
      <w:r>
        <w:rPr>
          <w:rFonts w:eastAsia="Calibri" w:cs="Arial"/>
          <w:szCs w:val="20"/>
        </w:rPr>
        <w:t xml:space="preserve"> bo </w:t>
      </w:r>
      <w:r w:rsidR="00E8274E">
        <w:rPr>
          <w:rFonts w:eastAsia="Calibri" w:cs="Arial"/>
          <w:szCs w:val="20"/>
        </w:rPr>
        <w:t xml:space="preserve">po novi določbi 69.a člena </w:t>
      </w:r>
      <w:r>
        <w:rPr>
          <w:rFonts w:eastAsia="Calibri" w:cs="Arial"/>
          <w:szCs w:val="20"/>
        </w:rPr>
        <w:t>v postopku imenovanja nacionalnega predstavnika in njegovega namestnika</w:t>
      </w:r>
      <w:r w:rsidR="00E8274E">
        <w:rPr>
          <w:rFonts w:eastAsia="Calibri" w:cs="Arial"/>
          <w:szCs w:val="20"/>
        </w:rPr>
        <w:t>,</w:t>
      </w:r>
      <w:r w:rsidRPr="009B4D00">
        <w:rPr>
          <w:rFonts w:eastAsia="Calibri" w:cs="Arial"/>
          <w:szCs w:val="20"/>
        </w:rPr>
        <w:t xml:space="preserve"> po pridobitvi mnenja generalnega državnega tožilca</w:t>
      </w:r>
      <w:r>
        <w:rPr>
          <w:rFonts w:eastAsia="Calibri" w:cs="Arial"/>
          <w:szCs w:val="20"/>
        </w:rPr>
        <w:t xml:space="preserve"> </w:t>
      </w:r>
      <w:r w:rsidRPr="009B4D00">
        <w:rPr>
          <w:rFonts w:eastAsia="Calibri" w:cs="Arial"/>
          <w:szCs w:val="20"/>
        </w:rPr>
        <w:t>do prijavljenih kandidatov</w:t>
      </w:r>
      <w:r w:rsidR="00E8274E">
        <w:rPr>
          <w:rFonts w:eastAsia="Calibri" w:cs="Arial"/>
          <w:szCs w:val="20"/>
        </w:rPr>
        <w:t>,</w:t>
      </w:r>
      <w:r w:rsidRPr="009B4D00">
        <w:rPr>
          <w:rFonts w:eastAsia="Calibri" w:cs="Arial"/>
          <w:szCs w:val="20"/>
        </w:rPr>
        <w:t xml:space="preserve"> opredelil in oblikoval predlog za imenovanje ter o tem obvestil prijavljene kandidate in predlog posredoval Vladi Republike Slovenije. Vloga Državnotožilskega sveta pri oblikovanju predloga za imenovanje je v primerjavi z vlogo, ki jo ima pri oblikovanju liste kandidatov, </w:t>
      </w:r>
      <w:r w:rsidRPr="009B4D00">
        <w:rPr>
          <w:rFonts w:eastAsia="Calibri" w:cs="Arial"/>
          <w:szCs w:val="20"/>
        </w:rPr>
        <w:lastRenderedPageBreak/>
        <w:t xml:space="preserve">ki izpolnjujejo pogoje za imenovanje za evropskega tožilca drugačna, podobna vlogi, ki jo ima v postopku imenovanja državnih tožilcev oziroma v postopku imenovanja vodij okrožnih državnih tožilstev. Državnotožilski svet se bo kot garant samostojnosti državnih tožilcev po pridobitvi mnenja generalnega državnega tožilca do vseh prijav opredelil in oblikoval predlog za imenovanje nacionalnega predstavnika in njegovega namestnika, ki ga bo posredoval Vladi </w:t>
      </w:r>
      <w:r w:rsidR="00E8274E">
        <w:rPr>
          <w:rFonts w:eastAsia="Calibri" w:cs="Arial"/>
          <w:szCs w:val="20"/>
        </w:rPr>
        <w:t>R</w:t>
      </w:r>
      <w:r w:rsidRPr="009B4D00">
        <w:rPr>
          <w:rFonts w:eastAsia="Calibri" w:cs="Arial"/>
          <w:szCs w:val="20"/>
        </w:rPr>
        <w:t xml:space="preserve">epublike Slovenije ter o tem obvesti prijavljene kandidate. </w:t>
      </w:r>
    </w:p>
    <w:p w:rsidR="00B10F76" w:rsidRPr="009B4D00" w:rsidRDefault="00B10F76" w:rsidP="00B10F76">
      <w:pPr>
        <w:spacing w:line="288" w:lineRule="auto"/>
        <w:jc w:val="both"/>
        <w:rPr>
          <w:rFonts w:eastAsia="Calibri" w:cs="Arial"/>
          <w:szCs w:val="20"/>
        </w:rPr>
      </w:pPr>
    </w:p>
    <w:p w:rsidR="00B10F76" w:rsidRPr="009B4D00" w:rsidRDefault="00B10F76" w:rsidP="00B10F76">
      <w:pPr>
        <w:spacing w:line="288" w:lineRule="auto"/>
        <w:jc w:val="both"/>
        <w:rPr>
          <w:rFonts w:eastAsia="Calibri" w:cs="Arial"/>
          <w:szCs w:val="20"/>
        </w:rPr>
      </w:pPr>
      <w:r w:rsidRPr="009B4D00">
        <w:rPr>
          <w:rFonts w:eastAsia="Calibri" w:cs="Arial"/>
          <w:szCs w:val="20"/>
        </w:rPr>
        <w:t>Vlada Republike Slovenije bo vročila in objavila odločbo o imenovanju nacionalnega predstavnika in njegovega namestnika po določbi 34. člena tega zakona.</w:t>
      </w:r>
      <w:r w:rsidR="00E8274E">
        <w:rPr>
          <w:rFonts w:eastAsia="Calibri" w:cs="Arial"/>
          <w:szCs w:val="20"/>
        </w:rPr>
        <w:t xml:space="preserve"> </w:t>
      </w:r>
      <w:r w:rsidRPr="009B4D00">
        <w:rPr>
          <w:rFonts w:eastAsia="Calibri" w:cs="Arial"/>
          <w:szCs w:val="20"/>
        </w:rPr>
        <w:t>Za postopek z nepopolnimi prijavami in prijavami vloženimi po izteku pozivnega roka se smiselno uporablja določba 71.č člena tega zakona. Po tej določbi se bodo prijave, vložene po izteku pozivnega roka, in prijave, ki niso popolne zavrgle po določbah zakona, ki ureja splošni upravni postopek. Zoper sklep o zavrženju je dovoljeno v osmih dneh od njegove vročitve sprožiti upravni spor. Pristojno sodišče pa bo moralo o tožbi odločiti v tridesetih dneh od njene vložitve.</w:t>
      </w:r>
    </w:p>
    <w:p w:rsidR="00B10F76" w:rsidRPr="009B4D00" w:rsidRDefault="00B10F76" w:rsidP="00B10F76">
      <w:pPr>
        <w:spacing w:line="288" w:lineRule="auto"/>
        <w:jc w:val="both"/>
        <w:rPr>
          <w:rFonts w:eastAsia="Calibri" w:cs="Arial"/>
          <w:szCs w:val="20"/>
        </w:rPr>
      </w:pPr>
    </w:p>
    <w:p w:rsidR="00146A02" w:rsidRPr="009B4D00" w:rsidRDefault="00E8274E" w:rsidP="00146A02">
      <w:pPr>
        <w:spacing w:line="288" w:lineRule="auto"/>
        <w:jc w:val="both"/>
        <w:rPr>
          <w:rFonts w:eastAsia="Calibri" w:cs="Arial"/>
          <w:szCs w:val="20"/>
        </w:rPr>
      </w:pPr>
      <w:r>
        <w:rPr>
          <w:rFonts w:eastAsia="Calibri" w:cs="Arial"/>
          <w:szCs w:val="20"/>
        </w:rPr>
        <w:t>V novem 69.b členu pa se ureja postopek imenovanja pomočnika nacionalnega predstavnika. Pomočnika nacionalnega predstavnika bo tako imenoval Državnotožlski svet na predlog generalnega državnega tožilca, po predhodnem mnenju nacionalnega predstavnika.</w:t>
      </w:r>
      <w:r w:rsidR="00146A02">
        <w:rPr>
          <w:rFonts w:eastAsia="Calibri" w:cs="Arial"/>
          <w:szCs w:val="20"/>
        </w:rPr>
        <w:t xml:space="preserve"> </w:t>
      </w:r>
      <w:r w:rsidR="00146A02" w:rsidRPr="00E8274E">
        <w:t>Tako se pravico, da predlaga pomočnika nacionalnega predstavnika, namesto nacionalnemu predstavniku, kot je to določeno v veljavni ureditvi, prepušča generalnemu državnemu tožilcu, nacionalni predstavnik pa je v postopek vključen s podajo mnenja.</w:t>
      </w:r>
    </w:p>
    <w:p w:rsidR="00146A02" w:rsidRDefault="00146A02" w:rsidP="00B10F76">
      <w:pPr>
        <w:spacing w:line="288" w:lineRule="auto"/>
        <w:jc w:val="both"/>
        <w:rPr>
          <w:rFonts w:eastAsia="Calibri" w:cs="Arial"/>
          <w:szCs w:val="20"/>
        </w:rPr>
      </w:pPr>
    </w:p>
    <w:p w:rsidR="00146A02" w:rsidRDefault="00146A02" w:rsidP="00B10F76">
      <w:pPr>
        <w:spacing w:line="288" w:lineRule="auto"/>
        <w:jc w:val="both"/>
        <w:rPr>
          <w:rFonts w:eastAsia="Calibri" w:cs="Arial"/>
          <w:szCs w:val="20"/>
        </w:rPr>
      </w:pPr>
      <w:r>
        <w:rPr>
          <w:rFonts w:eastAsia="Calibri" w:cs="Arial"/>
          <w:szCs w:val="20"/>
        </w:rPr>
        <w:t>Za postopek s pozivom k prijavam, za ravnanje z nepopolnimi prijavami ter prijavami vloženimi po izteku pozivnega roka in za vročitev odločbe o imenovanju pomočnika nacionalnega predstavnika predlog zakona uvaja enako rešitev kot velja za imenovanje nacionalnega predstavnika oziroma njegovega namestnika.</w:t>
      </w:r>
    </w:p>
    <w:p w:rsidR="00146A02" w:rsidRDefault="00146A02" w:rsidP="00B10F76">
      <w:pPr>
        <w:spacing w:line="288" w:lineRule="auto"/>
        <w:jc w:val="both"/>
        <w:rPr>
          <w:rFonts w:eastAsia="Calibri" w:cs="Arial"/>
          <w:szCs w:val="20"/>
        </w:rPr>
      </w:pPr>
    </w:p>
    <w:p w:rsidR="00B10F76" w:rsidRDefault="00B10F76" w:rsidP="00B10F76">
      <w:pPr>
        <w:spacing w:line="288" w:lineRule="auto"/>
        <w:jc w:val="both"/>
        <w:rPr>
          <w:rFonts w:eastAsia="Calibri" w:cs="Arial"/>
          <w:szCs w:val="20"/>
        </w:rPr>
      </w:pPr>
      <w:r w:rsidRPr="009B4D00">
        <w:rPr>
          <w:rFonts w:eastAsia="Calibri" w:cs="Arial"/>
          <w:szCs w:val="20"/>
        </w:rPr>
        <w:t>Poleg navedenega se s predlogom zakona sledi določbi 7. člena Uredbe 2018/1727/EU, po kateri se lahko mandat nacionalnega predstavnika in njegovega namestnika enkrat podaljša</w:t>
      </w:r>
      <w:r w:rsidR="00146A02">
        <w:rPr>
          <w:rFonts w:eastAsia="Calibri" w:cs="Arial"/>
          <w:szCs w:val="20"/>
        </w:rPr>
        <w:t xml:space="preserve"> po postopku imenovanja nacionalnega predstavnika in njegovega namestnika.</w:t>
      </w:r>
    </w:p>
    <w:p w:rsidR="00FD5A74" w:rsidRDefault="00FD5A74" w:rsidP="00B10F76">
      <w:pPr>
        <w:spacing w:line="288" w:lineRule="auto"/>
        <w:jc w:val="both"/>
        <w:rPr>
          <w:rFonts w:eastAsia="Calibri" w:cs="Arial"/>
          <w:szCs w:val="20"/>
        </w:rPr>
      </w:pPr>
    </w:p>
    <w:p w:rsidR="009109A5" w:rsidRPr="00AA3EE7" w:rsidRDefault="00FD5A74" w:rsidP="00AA3EE7">
      <w:pPr>
        <w:spacing w:line="288" w:lineRule="auto"/>
        <w:jc w:val="both"/>
        <w:rPr>
          <w:rFonts w:eastAsia="Calibri" w:cs="Arial"/>
          <w:szCs w:val="20"/>
        </w:rPr>
      </w:pPr>
      <w:r>
        <w:rPr>
          <w:rFonts w:eastAsia="Calibri" w:cs="Arial"/>
          <w:szCs w:val="20"/>
        </w:rPr>
        <w:t>S predlogom zakona se</w:t>
      </w:r>
      <w:r w:rsidR="009109A5">
        <w:rPr>
          <w:rFonts w:eastAsia="Calibri" w:cs="Arial"/>
          <w:szCs w:val="20"/>
        </w:rPr>
        <w:t xml:space="preserve"> z novo določbo 69.c člena</w:t>
      </w:r>
      <w:r>
        <w:rPr>
          <w:rFonts w:eastAsia="Calibri" w:cs="Arial"/>
          <w:szCs w:val="20"/>
        </w:rPr>
        <w:t xml:space="preserve"> </w:t>
      </w:r>
      <w:r w:rsidR="009109A5">
        <w:rPr>
          <w:rFonts w:eastAsia="Calibri" w:cs="Arial"/>
          <w:szCs w:val="20"/>
        </w:rPr>
        <w:t>sistemsko ureja možnost prenehanja članstva v Eurojustu pred potekom dobe imenovanja</w:t>
      </w:r>
      <w:r w:rsidR="006E6DDF">
        <w:rPr>
          <w:rFonts w:eastAsia="Calibri" w:cs="Arial"/>
          <w:szCs w:val="20"/>
        </w:rPr>
        <w:t>, ki v veljavni ureditvi ni bila urejena</w:t>
      </w:r>
      <w:r w:rsidR="009109A5">
        <w:rPr>
          <w:rFonts w:eastAsia="Calibri" w:cs="Arial"/>
          <w:szCs w:val="20"/>
        </w:rPr>
        <w:t xml:space="preserve">. Določa se predčasno prenehanje mandata nacionalnega predstavnika, namestnika in pomočnika iz </w:t>
      </w:r>
      <w:r w:rsidR="00AA3EE7">
        <w:rPr>
          <w:rFonts w:eastAsia="Calibri" w:cs="Arial"/>
          <w:szCs w:val="20"/>
        </w:rPr>
        <w:t xml:space="preserve">naslednjih </w:t>
      </w:r>
      <w:r w:rsidR="009109A5">
        <w:rPr>
          <w:rFonts w:eastAsia="Calibri" w:cs="Arial"/>
          <w:szCs w:val="20"/>
        </w:rPr>
        <w:t>razlog</w:t>
      </w:r>
      <w:r w:rsidR="00AA3EE7">
        <w:rPr>
          <w:rFonts w:eastAsia="Calibri" w:cs="Arial"/>
          <w:szCs w:val="20"/>
        </w:rPr>
        <w:t xml:space="preserve">ov: zaradi </w:t>
      </w:r>
      <w:r w:rsidR="009109A5" w:rsidRPr="00C15754">
        <w:rPr>
          <w:rFonts w:eastAsia="Calibri" w:cs="Arial"/>
          <w:szCs w:val="20"/>
        </w:rPr>
        <w:t>prenehanj</w:t>
      </w:r>
      <w:r w:rsidR="009109A5">
        <w:rPr>
          <w:rFonts w:eastAsia="Calibri" w:cs="Arial"/>
          <w:szCs w:val="20"/>
        </w:rPr>
        <w:t xml:space="preserve">a </w:t>
      </w:r>
      <w:r w:rsidR="009109A5" w:rsidRPr="00C15754">
        <w:rPr>
          <w:rFonts w:eastAsia="Calibri" w:cs="Arial"/>
          <w:szCs w:val="20"/>
        </w:rPr>
        <w:t>državnotožilske funkcije ali razrešitv</w:t>
      </w:r>
      <w:r w:rsidR="009109A5">
        <w:rPr>
          <w:rFonts w:eastAsia="Calibri" w:cs="Arial"/>
          <w:szCs w:val="20"/>
        </w:rPr>
        <w:t>e</w:t>
      </w:r>
      <w:r w:rsidR="009109A5" w:rsidRPr="00C15754">
        <w:rPr>
          <w:rFonts w:eastAsia="Calibri" w:cs="Arial"/>
          <w:szCs w:val="20"/>
        </w:rPr>
        <w:t xml:space="preserve"> državnega tožilca</w:t>
      </w:r>
      <w:r w:rsidR="00AA3EE7">
        <w:rPr>
          <w:rFonts w:eastAsia="Calibri" w:cs="Arial"/>
          <w:szCs w:val="20"/>
        </w:rPr>
        <w:t>;</w:t>
      </w:r>
      <w:r w:rsidR="009109A5">
        <w:rPr>
          <w:rFonts w:eastAsia="Calibri" w:cs="Arial"/>
          <w:szCs w:val="20"/>
        </w:rPr>
        <w:t xml:space="preserve"> </w:t>
      </w:r>
      <w:r w:rsidR="00AA3EE7">
        <w:rPr>
          <w:rFonts w:eastAsia="Calibri" w:cs="Arial"/>
          <w:szCs w:val="20"/>
        </w:rPr>
        <w:t>izrečene disciplinske sankcije za hujše disciplinske kršitve</w:t>
      </w:r>
      <w:r w:rsidR="009109A5">
        <w:rPr>
          <w:rFonts w:eastAsia="Calibri" w:cs="Arial"/>
          <w:szCs w:val="20"/>
        </w:rPr>
        <w:t xml:space="preserve"> </w:t>
      </w:r>
      <w:r w:rsidR="00AA3EE7">
        <w:rPr>
          <w:rFonts w:eastAsia="Calibri" w:cs="Arial"/>
          <w:szCs w:val="20"/>
        </w:rPr>
        <w:t xml:space="preserve">ali zaradi odstopa, na podlagi svoje lastne prošnje. </w:t>
      </w:r>
      <w:r w:rsidR="009109A5">
        <w:rPr>
          <w:rFonts w:cs="Arial"/>
        </w:rPr>
        <w:t xml:space="preserve">O prenehanju članstva pred potekom mandata </w:t>
      </w:r>
      <w:r w:rsidR="009109A5">
        <w:rPr>
          <w:rFonts w:eastAsia="Calibri" w:cs="Arial"/>
        </w:rPr>
        <w:t>n</w:t>
      </w:r>
      <w:r w:rsidR="009109A5" w:rsidRPr="00C15754">
        <w:rPr>
          <w:rFonts w:eastAsia="Calibri" w:cs="Arial"/>
          <w:szCs w:val="20"/>
        </w:rPr>
        <w:t xml:space="preserve">acionalnemu predstavniku, njegovemu namestniku in pomočniku </w:t>
      </w:r>
      <w:r w:rsidR="00AA3EE7">
        <w:rPr>
          <w:rFonts w:eastAsia="Calibri" w:cs="Arial"/>
          <w:szCs w:val="20"/>
        </w:rPr>
        <w:t xml:space="preserve">bo </w:t>
      </w:r>
      <w:r w:rsidR="009109A5">
        <w:rPr>
          <w:rFonts w:cs="Arial"/>
        </w:rPr>
        <w:t>organ pristojen za imenovanje izda</w:t>
      </w:r>
      <w:r w:rsidR="00AA3EE7">
        <w:rPr>
          <w:rFonts w:cs="Arial"/>
        </w:rPr>
        <w:t>l</w:t>
      </w:r>
      <w:r w:rsidR="009109A5">
        <w:rPr>
          <w:rFonts w:cs="Arial"/>
        </w:rPr>
        <w:t xml:space="preserve"> ugotovitveno odločbo.</w:t>
      </w:r>
      <w:r w:rsidR="00AA3EE7">
        <w:rPr>
          <w:rFonts w:cs="Arial"/>
        </w:rPr>
        <w:t xml:space="preserve"> V primeru prenehanja mandata nacionalnemu predstavniku bo po sedmem odstavku 7. člena Uredbe </w:t>
      </w:r>
      <w:r w:rsidR="00AA3EE7" w:rsidRPr="009B4D00">
        <w:rPr>
          <w:rFonts w:eastAsia="Calibri" w:cs="Arial"/>
          <w:szCs w:val="20"/>
        </w:rPr>
        <w:t>2018/1727/EU</w:t>
      </w:r>
      <w:r w:rsidR="00AA3EE7">
        <w:rPr>
          <w:rFonts w:eastAsia="Calibri" w:cs="Arial"/>
          <w:szCs w:val="20"/>
        </w:rPr>
        <w:t xml:space="preserve"> namestnik </w:t>
      </w:r>
      <w:r w:rsidR="003547C9">
        <w:rPr>
          <w:rFonts w:eastAsia="Calibri" w:cs="Arial"/>
          <w:szCs w:val="20"/>
        </w:rPr>
        <w:t xml:space="preserve">ali pomočnik lahko </w:t>
      </w:r>
      <w:r w:rsidR="00AA3EE7">
        <w:rPr>
          <w:rFonts w:eastAsia="Calibri" w:cs="Arial"/>
          <w:szCs w:val="20"/>
        </w:rPr>
        <w:t xml:space="preserve">deloval v imenu nacionalnega predstavnika in ga nadomeščal do imenovanja novega. </w:t>
      </w:r>
    </w:p>
    <w:p w:rsidR="00B10F76" w:rsidRDefault="00B10F76" w:rsidP="00B644CC">
      <w:pPr>
        <w:spacing w:line="288" w:lineRule="auto"/>
        <w:jc w:val="both"/>
        <w:rPr>
          <w:rFonts w:eastAsia="Calibri" w:cs="Arial"/>
          <w:b/>
          <w:szCs w:val="20"/>
        </w:rPr>
      </w:pPr>
    </w:p>
    <w:p w:rsidR="00AE2155" w:rsidRPr="009B4D00" w:rsidRDefault="00AE2155" w:rsidP="00B644CC">
      <w:pPr>
        <w:spacing w:line="288" w:lineRule="auto"/>
        <w:jc w:val="both"/>
        <w:rPr>
          <w:rFonts w:eastAsia="Calibri" w:cs="Arial"/>
          <w:b/>
          <w:szCs w:val="20"/>
        </w:rPr>
      </w:pPr>
      <w:r w:rsidRPr="009B4D00">
        <w:rPr>
          <w:rFonts w:eastAsia="Calibri" w:cs="Arial"/>
          <w:b/>
          <w:szCs w:val="20"/>
        </w:rPr>
        <w:t>K 1</w:t>
      </w:r>
      <w:r w:rsidR="00146A02">
        <w:rPr>
          <w:rFonts w:eastAsia="Calibri" w:cs="Arial"/>
          <w:b/>
          <w:szCs w:val="20"/>
        </w:rPr>
        <w:t>3</w:t>
      </w:r>
      <w:r w:rsidRPr="009B4D00">
        <w:rPr>
          <w:rFonts w:eastAsia="Calibri" w:cs="Arial"/>
          <w:b/>
          <w:szCs w:val="20"/>
        </w:rPr>
        <w:t>. členu</w:t>
      </w:r>
    </w:p>
    <w:p w:rsidR="00AE2155" w:rsidRPr="009B4D00" w:rsidRDefault="00AE2155" w:rsidP="00B644CC">
      <w:pPr>
        <w:spacing w:line="288" w:lineRule="auto"/>
        <w:jc w:val="both"/>
        <w:rPr>
          <w:rFonts w:cs="Arial"/>
          <w:szCs w:val="20"/>
        </w:rPr>
      </w:pPr>
      <w:r w:rsidRPr="009B4D00">
        <w:rPr>
          <w:rFonts w:cs="Arial"/>
          <w:szCs w:val="20"/>
        </w:rPr>
        <w:t xml:space="preserve">S predlagano določbo se sledi ureditvi, ki jo je glede pravic in dolžnosti državnega tožilca, ki je imenovan za nacionalnega predstavnika v Eurojustu, novela ZDT-1C določila za evropskega tožilca. Državnemu tožilcu imenovanemu za nacionalnega predstavnika v Eurojustu, enako kot to velja za evropskega tožilca, funkcija pregona ne bo mirovala, saj mora  imeti  možnost  (čeprav  bo  to  veljalo  le  izjemoma)  izvrševanja procesnih dejanj pred pristojnimi sodišči. Zato mu bodo z imenovanjem za nacionalnega predstavnika v Eurojustu mirovale le pravice in obveznosti iz </w:t>
      </w:r>
      <w:r w:rsidRPr="009B4D00">
        <w:rPr>
          <w:rFonts w:cs="Arial"/>
          <w:szCs w:val="20"/>
        </w:rPr>
        <w:lastRenderedPageBreak/>
        <w:t>državnotožilske službe po ZDT-1, razen pravice do napredovanja. Državni tožilec bo z imenovanjem za nacionalnega predstavnika v Eurojustu obdržal pravico uporabljati doseženi naziv.</w:t>
      </w:r>
    </w:p>
    <w:p w:rsidR="00AE2155" w:rsidRPr="009B4D00" w:rsidRDefault="00AE2155" w:rsidP="00B644CC">
      <w:pPr>
        <w:spacing w:line="288" w:lineRule="auto"/>
        <w:jc w:val="both"/>
        <w:rPr>
          <w:rFonts w:cs="Arial"/>
          <w:szCs w:val="20"/>
        </w:rPr>
      </w:pPr>
    </w:p>
    <w:p w:rsidR="00AE2155" w:rsidRPr="00E01576" w:rsidRDefault="00AE2155" w:rsidP="00B644CC">
      <w:pPr>
        <w:spacing w:line="288" w:lineRule="auto"/>
        <w:jc w:val="both"/>
        <w:rPr>
          <w:rFonts w:eastAsia="Calibri" w:cs="Arial"/>
          <w:szCs w:val="20"/>
          <w:shd w:val="clear" w:color="auto" w:fill="FFFFFF"/>
        </w:rPr>
      </w:pPr>
      <w:r w:rsidRPr="009B4D00">
        <w:t xml:space="preserve">Predlog zakona ne posega v pravico do napredovanja državnega tožilca, ki je bil imenovan za </w:t>
      </w:r>
      <w:r w:rsidRPr="009B4D00">
        <w:rPr>
          <w:rFonts w:cs="Arial"/>
          <w:szCs w:val="20"/>
        </w:rPr>
        <w:t>nacionalnega predstavnika v Eurojustu</w:t>
      </w:r>
      <w:r w:rsidRPr="009B4D00">
        <w:t xml:space="preserve">. Na podlagi predlagane ureditve bo državni tožilec, ki je bil imenovan za </w:t>
      </w:r>
      <w:r w:rsidRPr="009B4D00">
        <w:rPr>
          <w:rFonts w:cs="Arial"/>
          <w:szCs w:val="20"/>
        </w:rPr>
        <w:t>nacionalnega predstavnika v Eurojustu</w:t>
      </w:r>
      <w:r w:rsidRPr="009B4D00">
        <w:t xml:space="preserve">, </w:t>
      </w:r>
      <w:r w:rsidR="00E01576" w:rsidRPr="00E01576">
        <w:t xml:space="preserve">obdržal </w:t>
      </w:r>
      <w:r w:rsidRPr="00E01576">
        <w:t>pravico do napredovanja</w:t>
      </w:r>
      <w:r w:rsidR="00E01576" w:rsidRPr="00E01576">
        <w:t>.</w:t>
      </w:r>
      <w:r w:rsidR="00F508A2">
        <w:t xml:space="preserve"> Enako kot pri dodelitvi v organ se </w:t>
      </w:r>
      <w:r w:rsidR="00F508A2">
        <w:rPr>
          <w:rFonts w:eastAsia="Calibri" w:cs="Arial"/>
          <w:szCs w:val="20"/>
        </w:rPr>
        <w:t>odpravlja omejitev, po kateri lahko državni tožilec v primeru imenovanja za nacionalnega predstavnika napreduje šele po izteku dodelitve</w:t>
      </w:r>
      <w:r w:rsidR="00146A02">
        <w:rPr>
          <w:rFonts w:eastAsia="Calibri" w:cs="Arial"/>
          <w:szCs w:val="20"/>
        </w:rPr>
        <w:t>.</w:t>
      </w:r>
      <w:r w:rsidR="00E01576" w:rsidRPr="00E01576">
        <w:t xml:space="preserve"> </w:t>
      </w:r>
      <w:r w:rsidR="00E01576" w:rsidRPr="006E178C">
        <w:rPr>
          <w:rFonts w:eastAsia="Calibri" w:cs="Arial"/>
          <w:szCs w:val="20"/>
          <w:shd w:val="clear" w:color="auto" w:fill="FFFFFF"/>
        </w:rPr>
        <w:t xml:space="preserve">Pri oceni državnotožilske službe za čas </w:t>
      </w:r>
      <w:r w:rsidR="00E01576">
        <w:rPr>
          <w:rFonts w:eastAsia="Calibri" w:cs="Arial"/>
          <w:szCs w:val="20"/>
          <w:shd w:val="clear" w:color="auto" w:fill="FFFFFF"/>
        </w:rPr>
        <w:t>imenovanja za nacionalnega predstavnika</w:t>
      </w:r>
      <w:r w:rsidR="00E01576" w:rsidRPr="006E178C">
        <w:rPr>
          <w:rFonts w:eastAsia="Calibri" w:cs="Arial"/>
          <w:szCs w:val="20"/>
          <w:shd w:val="clear" w:color="auto" w:fill="FFFFFF"/>
        </w:rPr>
        <w:t xml:space="preserve"> se </w:t>
      </w:r>
      <w:r w:rsidR="00E01576">
        <w:rPr>
          <w:rFonts w:eastAsia="Calibri" w:cs="Arial"/>
          <w:szCs w:val="20"/>
          <w:shd w:val="clear" w:color="auto" w:fill="FFFFFF"/>
        </w:rPr>
        <w:t>bo</w:t>
      </w:r>
      <w:r w:rsidR="00F508A2">
        <w:rPr>
          <w:rFonts w:eastAsia="Calibri" w:cs="Arial"/>
          <w:szCs w:val="20"/>
          <w:shd w:val="clear" w:color="auto" w:fill="FFFFFF"/>
        </w:rPr>
        <w:t xml:space="preserve"> po vzoru izdelave ocene državnotožilske službe v primeru dodelitve v organ</w:t>
      </w:r>
      <w:r w:rsidR="00E01576">
        <w:rPr>
          <w:rFonts w:eastAsia="Calibri" w:cs="Arial"/>
          <w:szCs w:val="20"/>
          <w:shd w:val="clear" w:color="auto" w:fill="FFFFFF"/>
        </w:rPr>
        <w:t xml:space="preserve"> </w:t>
      </w:r>
      <w:r w:rsidR="00E01576" w:rsidRPr="006E178C">
        <w:rPr>
          <w:rFonts w:eastAsia="Calibri" w:cs="Arial"/>
          <w:szCs w:val="20"/>
          <w:shd w:val="clear" w:color="auto" w:fill="FFFFFF"/>
        </w:rPr>
        <w:t>upoštev</w:t>
      </w:r>
      <w:r w:rsidR="00E01576">
        <w:rPr>
          <w:rFonts w:eastAsia="Calibri" w:cs="Arial"/>
          <w:szCs w:val="20"/>
          <w:shd w:val="clear" w:color="auto" w:fill="FFFFFF"/>
        </w:rPr>
        <w:t>alo</w:t>
      </w:r>
      <w:r w:rsidR="00E01576" w:rsidRPr="006E178C">
        <w:rPr>
          <w:rFonts w:eastAsia="Calibri" w:cs="Arial"/>
          <w:szCs w:val="20"/>
          <w:shd w:val="clear" w:color="auto" w:fill="FFFFFF"/>
        </w:rPr>
        <w:t xml:space="preserve"> </w:t>
      </w:r>
      <w:r w:rsidR="00F508A2">
        <w:rPr>
          <w:rFonts w:eastAsia="Calibri" w:cs="Arial"/>
          <w:szCs w:val="20"/>
          <w:shd w:val="clear" w:color="auto" w:fill="FFFFFF"/>
        </w:rPr>
        <w:t xml:space="preserve">poročilo o delu, ki ga izdela državni tožilec </w:t>
      </w:r>
      <w:r w:rsidR="00CD485B">
        <w:rPr>
          <w:rFonts w:eastAsia="Calibri" w:cs="Arial"/>
          <w:szCs w:val="20"/>
          <w:shd w:val="clear" w:color="auto" w:fill="FFFFFF"/>
        </w:rPr>
        <w:t>in</w:t>
      </w:r>
      <w:r w:rsidR="00F508A2">
        <w:rPr>
          <w:rFonts w:eastAsia="Calibri" w:cs="Arial"/>
          <w:szCs w:val="20"/>
          <w:shd w:val="clear" w:color="auto" w:fill="FFFFFF"/>
        </w:rPr>
        <w:t xml:space="preserve"> </w:t>
      </w:r>
      <w:r w:rsidR="00E01576" w:rsidRPr="006E178C">
        <w:rPr>
          <w:rFonts w:eastAsia="Calibri" w:cs="Arial"/>
          <w:szCs w:val="20"/>
          <w:shd w:val="clear" w:color="auto" w:fill="FFFFFF"/>
        </w:rPr>
        <w:t xml:space="preserve">mnenje o delu državnega tožilca, ki ga za namene ocene državnotožilske službe izdela predstojnik </w:t>
      </w:r>
      <w:r w:rsidR="00E01576">
        <w:rPr>
          <w:rFonts w:eastAsia="Calibri" w:cs="Arial"/>
          <w:szCs w:val="20"/>
          <w:shd w:val="clear" w:color="auto" w:fill="FFFFFF"/>
        </w:rPr>
        <w:t xml:space="preserve">Eurojusta. </w:t>
      </w:r>
      <w:r w:rsidR="00D15384">
        <w:rPr>
          <w:rFonts w:eastAsia="Calibri" w:cs="Arial"/>
          <w:szCs w:val="20"/>
          <w:shd w:val="clear" w:color="auto" w:fill="FFFFFF"/>
        </w:rPr>
        <w:t>Tako bo d</w:t>
      </w:r>
      <w:r w:rsidRPr="009B4D00">
        <w:t xml:space="preserve">ržavni tožilec za namen izdelave ocene </w:t>
      </w:r>
      <w:r w:rsidR="00E01576">
        <w:t xml:space="preserve">moral </w:t>
      </w:r>
      <w:r w:rsidRPr="009B4D00">
        <w:t>predložiti Državnotožilskemu svetu poročilo o delu v Eurojustu</w:t>
      </w:r>
      <w:r w:rsidR="00F508A2">
        <w:t xml:space="preserve"> i</w:t>
      </w:r>
      <w:r w:rsidR="00CD485B">
        <w:t>n</w:t>
      </w:r>
      <w:r w:rsidR="00F508A2">
        <w:t xml:space="preserve"> pa mnenje predstojnika Eurojusta</w:t>
      </w:r>
      <w:r w:rsidR="00D15384">
        <w:t>.</w:t>
      </w:r>
    </w:p>
    <w:p w:rsidR="00AE2155" w:rsidRPr="009B4D00" w:rsidRDefault="00AE2155" w:rsidP="00B644CC">
      <w:pPr>
        <w:spacing w:line="288" w:lineRule="auto"/>
        <w:jc w:val="both"/>
        <w:rPr>
          <w:rFonts w:eastAsia="Calibri" w:cs="Arial"/>
          <w:szCs w:val="20"/>
        </w:rPr>
      </w:pPr>
    </w:p>
    <w:p w:rsidR="00D2336C" w:rsidRDefault="00AE2155" w:rsidP="00B644CC">
      <w:pPr>
        <w:spacing w:line="288" w:lineRule="auto"/>
        <w:jc w:val="both"/>
        <w:rPr>
          <w:rFonts w:eastAsia="Calibri" w:cs="Arial"/>
          <w:strike/>
          <w:szCs w:val="20"/>
        </w:rPr>
      </w:pPr>
      <w:r w:rsidRPr="009B4D00">
        <w:rPr>
          <w:rFonts w:eastAsia="Calibri" w:cs="Arial"/>
          <w:szCs w:val="20"/>
        </w:rPr>
        <w:t>Enako kot do sedaj bo nacionalni predstavnik opravljal funkcijo državnega tožilca s pooblastili, ki jih ima kot član Eurojusta iz Republike Slovenije, v skladu s predpisi, ki urejajo delovanje Eurojusta, pa tudi v skladu s tem zakonom. Veljavna ureditev, ki določa plačo in pooblastila nacionalnega predstavnika, njegovega namestnika in pomočnika ostane nespremenjena</w:t>
      </w:r>
      <w:r w:rsidR="002F3ADC">
        <w:rPr>
          <w:rFonts w:eastAsia="Calibri" w:cs="Arial"/>
          <w:szCs w:val="20"/>
        </w:rPr>
        <w:t>.</w:t>
      </w:r>
      <w:r w:rsidR="00D2336C">
        <w:rPr>
          <w:rFonts w:eastAsia="Calibri" w:cs="Arial"/>
          <w:szCs w:val="20"/>
        </w:rPr>
        <w:t xml:space="preserve"> </w:t>
      </w:r>
      <w:r w:rsidR="00613494">
        <w:rPr>
          <w:rFonts w:eastAsia="Calibri" w:cs="Arial"/>
          <w:szCs w:val="20"/>
        </w:rPr>
        <w:t xml:space="preserve">S predlogom zakona se peti odstavek veljavne ureditve nomotehnično </w:t>
      </w:r>
      <w:r w:rsidR="00601948">
        <w:rPr>
          <w:rFonts w:eastAsia="Calibri" w:cs="Arial"/>
          <w:szCs w:val="20"/>
        </w:rPr>
        <w:t xml:space="preserve">ustrezneje zapiše ter poenoti že sprejeta terminologija. </w:t>
      </w:r>
    </w:p>
    <w:p w:rsidR="00AE2155" w:rsidRDefault="00AE2155" w:rsidP="00B644CC">
      <w:pPr>
        <w:spacing w:line="288" w:lineRule="auto"/>
        <w:jc w:val="both"/>
        <w:rPr>
          <w:rFonts w:eastAsia="Calibri" w:cs="Arial"/>
          <w:b/>
          <w:szCs w:val="20"/>
        </w:rPr>
      </w:pPr>
    </w:p>
    <w:p w:rsidR="00BC7D49" w:rsidRDefault="00BC7D49" w:rsidP="00B644CC">
      <w:pPr>
        <w:spacing w:line="288" w:lineRule="auto"/>
        <w:jc w:val="both"/>
        <w:rPr>
          <w:rFonts w:eastAsia="Calibri" w:cs="Arial"/>
          <w:b/>
          <w:szCs w:val="20"/>
        </w:rPr>
      </w:pPr>
      <w:r>
        <w:rPr>
          <w:rFonts w:eastAsia="Calibri" w:cs="Arial"/>
          <w:b/>
          <w:szCs w:val="20"/>
        </w:rPr>
        <w:t>K 14. členu</w:t>
      </w:r>
    </w:p>
    <w:p w:rsidR="00BC7D49" w:rsidRDefault="00BC7D49" w:rsidP="00BC7D49">
      <w:pPr>
        <w:spacing w:line="288" w:lineRule="auto"/>
        <w:jc w:val="both"/>
        <w:rPr>
          <w:rFonts w:eastAsia="Calibri" w:cs="Arial"/>
          <w:szCs w:val="20"/>
        </w:rPr>
      </w:pPr>
      <w:r>
        <w:rPr>
          <w:rFonts w:eastAsia="Calibri" w:cs="Arial"/>
          <w:bCs/>
          <w:szCs w:val="20"/>
        </w:rPr>
        <w:t xml:space="preserve">S predlagano določbo se enako kot se v </w:t>
      </w:r>
      <w:r w:rsidRPr="007A3AD7">
        <w:rPr>
          <w:rFonts w:eastAsia="Calibri" w:cs="Arial"/>
          <w:szCs w:val="20"/>
        </w:rPr>
        <w:t>zvezi z napredovanjem državnih tožilcev v primeru dodelitve v organ</w:t>
      </w:r>
      <w:r>
        <w:rPr>
          <w:rFonts w:eastAsia="Calibri" w:cs="Arial"/>
          <w:szCs w:val="20"/>
        </w:rPr>
        <w:t xml:space="preserve"> in imenovanju v Eurojust</w:t>
      </w:r>
      <w:r w:rsidRPr="007A3AD7">
        <w:rPr>
          <w:rFonts w:eastAsia="Calibri" w:cs="Arial"/>
          <w:szCs w:val="20"/>
        </w:rPr>
        <w:t xml:space="preserve">, </w:t>
      </w:r>
      <w:r>
        <w:rPr>
          <w:rFonts w:eastAsia="Calibri" w:cs="Arial"/>
          <w:szCs w:val="20"/>
        </w:rPr>
        <w:t xml:space="preserve">po vzoru ureditve kot velja za sodnike (71.c člen Zakona o sodniški službi), odpravlja omejitev, po kateri lahko državni tožilec v primeru imenovanja za časa imenovanja za evropskega tožilca napreduje šele po izteku dodelitve. </w:t>
      </w:r>
    </w:p>
    <w:p w:rsidR="00BC7D49" w:rsidRDefault="00BC7D49" w:rsidP="00BC7D49">
      <w:pPr>
        <w:spacing w:line="288" w:lineRule="auto"/>
        <w:jc w:val="both"/>
        <w:rPr>
          <w:rFonts w:eastAsia="Calibri" w:cs="Arial"/>
          <w:szCs w:val="20"/>
        </w:rPr>
      </w:pPr>
    </w:p>
    <w:p w:rsidR="00BC7D49" w:rsidRDefault="00BC7D49" w:rsidP="00BC7D49">
      <w:pPr>
        <w:spacing w:line="288" w:lineRule="auto"/>
        <w:jc w:val="both"/>
        <w:rPr>
          <w:rFonts w:eastAsia="Calibri" w:cs="Arial"/>
          <w:szCs w:val="20"/>
        </w:rPr>
      </w:pPr>
      <w:r>
        <w:rPr>
          <w:rFonts w:eastAsia="Calibri" w:cs="Arial"/>
          <w:szCs w:val="20"/>
        </w:rPr>
        <w:t xml:space="preserve">Državnim tožilcem je tako pri dodelitvi v organ, kot tudi pri imenovanju za člane Eurojust kot pri imenovanju za evropskega tožilca </w:t>
      </w:r>
      <w:r w:rsidRPr="00BC7D49">
        <w:rPr>
          <w:rFonts w:eastAsia="Calibri" w:cs="Arial"/>
          <w:szCs w:val="20"/>
        </w:rPr>
        <w:t>zagotovljena pravica do napredovanja, in sicer tudi v času, ko je</w:t>
      </w:r>
      <w:r>
        <w:rPr>
          <w:rFonts w:eastAsia="Calibri" w:cs="Arial"/>
          <w:szCs w:val="20"/>
        </w:rPr>
        <w:t xml:space="preserve"> državni tožilec</w:t>
      </w:r>
      <w:r w:rsidRPr="00BC7D49">
        <w:rPr>
          <w:rFonts w:eastAsia="Calibri" w:cs="Arial"/>
          <w:szCs w:val="20"/>
        </w:rPr>
        <w:t xml:space="preserve"> začasno dodeljen na delo v drug organ</w:t>
      </w:r>
      <w:r>
        <w:rPr>
          <w:rFonts w:eastAsia="Calibri" w:cs="Arial"/>
          <w:szCs w:val="20"/>
        </w:rPr>
        <w:t xml:space="preserve"> oziroma imenovan v organ EU</w:t>
      </w:r>
      <w:r w:rsidRPr="00BC7D49">
        <w:rPr>
          <w:rFonts w:eastAsia="Calibri" w:cs="Arial"/>
          <w:szCs w:val="20"/>
        </w:rPr>
        <w:t xml:space="preserve">. </w:t>
      </w:r>
      <w:r>
        <w:rPr>
          <w:rFonts w:eastAsia="Calibri" w:cs="Arial"/>
          <w:szCs w:val="20"/>
        </w:rPr>
        <w:t>V teh primerih</w:t>
      </w:r>
      <w:r w:rsidRPr="00BC7D49">
        <w:rPr>
          <w:rFonts w:eastAsia="Calibri" w:cs="Arial"/>
          <w:szCs w:val="20"/>
        </w:rPr>
        <w:t xml:space="preserve"> </w:t>
      </w:r>
      <w:r>
        <w:rPr>
          <w:rFonts w:eastAsia="Calibri" w:cs="Arial"/>
          <w:szCs w:val="20"/>
        </w:rPr>
        <w:t>državnemu tožilcu</w:t>
      </w:r>
      <w:r w:rsidRPr="00BC7D49">
        <w:rPr>
          <w:rFonts w:eastAsia="Calibri" w:cs="Arial"/>
          <w:szCs w:val="20"/>
        </w:rPr>
        <w:t xml:space="preserve"> pripada najmanj takšna</w:t>
      </w:r>
      <w:r>
        <w:rPr>
          <w:rFonts w:eastAsia="Calibri" w:cs="Arial"/>
          <w:szCs w:val="20"/>
        </w:rPr>
        <w:t xml:space="preserve"> </w:t>
      </w:r>
      <w:r w:rsidRPr="00BC7D49">
        <w:rPr>
          <w:rFonts w:eastAsia="Calibri" w:cs="Arial"/>
          <w:szCs w:val="20"/>
        </w:rPr>
        <w:t xml:space="preserve">plača, kot bi jo prejemal, če bi opravljal </w:t>
      </w:r>
      <w:r>
        <w:rPr>
          <w:rFonts w:eastAsia="Calibri" w:cs="Arial"/>
          <w:szCs w:val="20"/>
        </w:rPr>
        <w:t>državnotožilsko</w:t>
      </w:r>
      <w:r w:rsidRPr="00BC7D49">
        <w:rPr>
          <w:rFonts w:eastAsia="Calibri" w:cs="Arial"/>
          <w:szCs w:val="20"/>
        </w:rPr>
        <w:t xml:space="preserve"> službo, varovane pa so tudi vse njegove</w:t>
      </w:r>
      <w:r w:rsidR="00C662D9">
        <w:rPr>
          <w:rFonts w:eastAsia="Calibri" w:cs="Arial"/>
          <w:szCs w:val="20"/>
        </w:rPr>
        <w:t xml:space="preserve"> </w:t>
      </w:r>
      <w:r w:rsidRPr="00BC7D49">
        <w:rPr>
          <w:rFonts w:eastAsia="Calibri" w:cs="Arial"/>
          <w:szCs w:val="20"/>
        </w:rPr>
        <w:t xml:space="preserve">pravice do napredovanja. </w:t>
      </w:r>
      <w:r w:rsidR="00C662D9">
        <w:rPr>
          <w:rFonts w:eastAsia="Calibri" w:cs="Arial"/>
          <w:szCs w:val="20"/>
        </w:rPr>
        <w:t xml:space="preserve">Državnotožilsko napredovanje je </w:t>
      </w:r>
      <w:r w:rsidRPr="00BC7D49">
        <w:rPr>
          <w:rFonts w:eastAsia="Calibri" w:cs="Arial"/>
          <w:szCs w:val="20"/>
        </w:rPr>
        <w:t xml:space="preserve">neločljivo povezano z oceno </w:t>
      </w:r>
      <w:r w:rsidR="00C662D9">
        <w:rPr>
          <w:rFonts w:eastAsia="Calibri" w:cs="Arial"/>
          <w:szCs w:val="20"/>
        </w:rPr>
        <w:t>državnotožilske</w:t>
      </w:r>
      <w:r w:rsidRPr="00BC7D49">
        <w:rPr>
          <w:rFonts w:eastAsia="Calibri" w:cs="Arial"/>
          <w:szCs w:val="20"/>
        </w:rPr>
        <w:t xml:space="preserve"> službe, s katero se ugotavlja, ali </w:t>
      </w:r>
      <w:r w:rsidR="00C662D9">
        <w:rPr>
          <w:rFonts w:eastAsia="Calibri" w:cs="Arial"/>
          <w:szCs w:val="20"/>
        </w:rPr>
        <w:t>državni tožilec</w:t>
      </w:r>
      <w:r w:rsidRPr="00BC7D49">
        <w:rPr>
          <w:rFonts w:eastAsia="Calibri" w:cs="Arial"/>
          <w:szCs w:val="20"/>
        </w:rPr>
        <w:t xml:space="preserve"> izpolnjuje pogoje</w:t>
      </w:r>
      <w:r w:rsidR="00C662D9">
        <w:rPr>
          <w:rFonts w:eastAsia="Calibri" w:cs="Arial"/>
          <w:szCs w:val="20"/>
        </w:rPr>
        <w:t xml:space="preserve"> </w:t>
      </w:r>
      <w:r w:rsidRPr="00BC7D49">
        <w:rPr>
          <w:rFonts w:eastAsia="Calibri" w:cs="Arial"/>
          <w:szCs w:val="20"/>
        </w:rPr>
        <w:t xml:space="preserve">za   napredovanje   in   kakšne   vrste.   Da   se   torej dodeljenim </w:t>
      </w:r>
      <w:r w:rsidR="00C662D9">
        <w:rPr>
          <w:rFonts w:eastAsia="Calibri" w:cs="Arial"/>
          <w:szCs w:val="20"/>
        </w:rPr>
        <w:t>državnim tožilcem v drug</w:t>
      </w:r>
      <w:r w:rsidR="00CD485B">
        <w:rPr>
          <w:rFonts w:eastAsia="Calibri" w:cs="Arial"/>
          <w:szCs w:val="20"/>
        </w:rPr>
        <w:t xml:space="preserve"> </w:t>
      </w:r>
      <w:r w:rsidR="00C662D9">
        <w:rPr>
          <w:rFonts w:eastAsia="Calibri" w:cs="Arial"/>
          <w:szCs w:val="20"/>
        </w:rPr>
        <w:t>organ oziroma imenovanim v organe EU</w:t>
      </w:r>
      <w:r w:rsidRPr="00BC7D49">
        <w:rPr>
          <w:rFonts w:eastAsia="Calibri" w:cs="Arial"/>
          <w:szCs w:val="20"/>
        </w:rPr>
        <w:t xml:space="preserve"> zagotovi pravica do</w:t>
      </w:r>
      <w:r w:rsidR="00C662D9">
        <w:rPr>
          <w:rFonts w:eastAsia="Calibri" w:cs="Arial"/>
          <w:szCs w:val="20"/>
        </w:rPr>
        <w:t xml:space="preserve"> </w:t>
      </w:r>
      <w:r w:rsidRPr="00BC7D49">
        <w:rPr>
          <w:rFonts w:eastAsia="Calibri" w:cs="Arial"/>
          <w:szCs w:val="20"/>
        </w:rPr>
        <w:t>napredovanja tudi v času dodelitve, morajo biti ocenjeni</w:t>
      </w:r>
      <w:r w:rsidR="00C662D9">
        <w:rPr>
          <w:rFonts w:eastAsia="Calibri" w:cs="Arial"/>
          <w:szCs w:val="20"/>
        </w:rPr>
        <w:t>.</w:t>
      </w:r>
    </w:p>
    <w:p w:rsidR="00C662D9" w:rsidRDefault="00C662D9" w:rsidP="00BC7D49">
      <w:pPr>
        <w:spacing w:line="288" w:lineRule="auto"/>
        <w:jc w:val="both"/>
        <w:rPr>
          <w:rFonts w:eastAsia="Calibri" w:cs="Arial"/>
          <w:szCs w:val="20"/>
        </w:rPr>
      </w:pPr>
    </w:p>
    <w:p w:rsidR="00C662D9" w:rsidRDefault="00C662D9" w:rsidP="00C662D9">
      <w:pPr>
        <w:spacing w:line="288" w:lineRule="auto"/>
        <w:jc w:val="both"/>
        <w:rPr>
          <w:rFonts w:eastAsia="Calibri" w:cs="Arial"/>
          <w:szCs w:val="20"/>
        </w:rPr>
      </w:pPr>
      <w:r>
        <w:rPr>
          <w:rFonts w:eastAsia="Calibri" w:cs="Arial"/>
          <w:szCs w:val="20"/>
        </w:rPr>
        <w:t xml:space="preserve">Pri ocenjevanju </w:t>
      </w:r>
      <w:r w:rsidRPr="00C662D9">
        <w:rPr>
          <w:rFonts w:eastAsia="Calibri" w:cs="Arial"/>
          <w:szCs w:val="20"/>
        </w:rPr>
        <w:t>dodeljenih</w:t>
      </w:r>
      <w:r>
        <w:rPr>
          <w:rFonts w:eastAsia="Calibri" w:cs="Arial"/>
          <w:szCs w:val="20"/>
        </w:rPr>
        <w:t xml:space="preserve"> oziroma imenovanih državnih tožilcev je treba izhajati</w:t>
      </w:r>
      <w:r w:rsidRPr="00C662D9">
        <w:rPr>
          <w:rFonts w:eastAsia="Calibri" w:cs="Arial"/>
          <w:szCs w:val="20"/>
        </w:rPr>
        <w:t xml:space="preserve"> iz okoliščine, da dodeljeni </w:t>
      </w:r>
      <w:r>
        <w:rPr>
          <w:rFonts w:eastAsia="Calibri" w:cs="Arial"/>
          <w:szCs w:val="20"/>
        </w:rPr>
        <w:t xml:space="preserve">državni tožilci </w:t>
      </w:r>
      <w:r w:rsidRPr="00C662D9">
        <w:rPr>
          <w:rFonts w:eastAsia="Calibri" w:cs="Arial"/>
          <w:szCs w:val="20"/>
        </w:rPr>
        <w:t xml:space="preserve">ne opravljajo </w:t>
      </w:r>
      <w:r w:rsidR="008E115A">
        <w:rPr>
          <w:rFonts w:eastAsia="Calibri" w:cs="Arial"/>
          <w:szCs w:val="20"/>
        </w:rPr>
        <w:t xml:space="preserve">stroge </w:t>
      </w:r>
      <w:r>
        <w:rPr>
          <w:rFonts w:eastAsia="Calibri" w:cs="Arial"/>
          <w:szCs w:val="20"/>
        </w:rPr>
        <w:t>državnotožilske</w:t>
      </w:r>
      <w:r w:rsidRPr="00C662D9">
        <w:rPr>
          <w:rFonts w:eastAsia="Calibri" w:cs="Arial"/>
          <w:szCs w:val="20"/>
        </w:rPr>
        <w:t xml:space="preserve"> funkcije in ne rešujejo zadev, zato </w:t>
      </w:r>
      <w:r w:rsidR="008E115A">
        <w:rPr>
          <w:rFonts w:eastAsia="Calibri" w:cs="Arial"/>
          <w:szCs w:val="20"/>
        </w:rPr>
        <w:t xml:space="preserve">se zastavlja vprašanje ustreznosti </w:t>
      </w:r>
      <w:r w:rsidRPr="00C662D9">
        <w:rPr>
          <w:rFonts w:eastAsia="Calibri" w:cs="Arial"/>
          <w:szCs w:val="20"/>
        </w:rPr>
        <w:t>ocenjevanj</w:t>
      </w:r>
      <w:r w:rsidR="00A470E5">
        <w:rPr>
          <w:rFonts w:eastAsia="Calibri" w:cs="Arial"/>
          <w:szCs w:val="20"/>
        </w:rPr>
        <w:t>a</w:t>
      </w:r>
      <w:r w:rsidRPr="00C662D9">
        <w:rPr>
          <w:rFonts w:eastAsia="Calibri" w:cs="Arial"/>
          <w:szCs w:val="20"/>
        </w:rPr>
        <w:t xml:space="preserve"> njihovega dela</w:t>
      </w:r>
      <w:r w:rsidR="008E115A">
        <w:rPr>
          <w:rFonts w:eastAsia="Calibri" w:cs="Arial"/>
          <w:szCs w:val="20"/>
        </w:rPr>
        <w:t xml:space="preserve"> </w:t>
      </w:r>
      <w:r w:rsidRPr="00C662D9">
        <w:rPr>
          <w:rFonts w:eastAsia="Calibri" w:cs="Arial"/>
          <w:szCs w:val="20"/>
        </w:rPr>
        <w:t>po kriterijih, ki jih določa</w:t>
      </w:r>
      <w:r w:rsidR="008E115A">
        <w:rPr>
          <w:rFonts w:eastAsia="Calibri" w:cs="Arial"/>
          <w:szCs w:val="20"/>
        </w:rPr>
        <w:t xml:space="preserve">jo Merila </w:t>
      </w:r>
      <w:r w:rsidRPr="00C662D9">
        <w:rPr>
          <w:rFonts w:eastAsia="Calibri" w:cs="Arial"/>
          <w:szCs w:val="20"/>
        </w:rPr>
        <w:t xml:space="preserve"> </w:t>
      </w:r>
      <w:r w:rsidR="008E115A" w:rsidRPr="00C662D9">
        <w:rPr>
          <w:rFonts w:eastAsia="Calibri" w:cs="Arial"/>
          <w:szCs w:val="20"/>
        </w:rPr>
        <w:t xml:space="preserve">za kakovost dela </w:t>
      </w:r>
      <w:r w:rsidR="008E115A">
        <w:t xml:space="preserve">državnih tožilcev </w:t>
      </w:r>
      <w:r w:rsidR="008E115A" w:rsidRPr="00C662D9">
        <w:rPr>
          <w:rFonts w:eastAsia="Calibri" w:cs="Arial"/>
          <w:szCs w:val="20"/>
        </w:rPr>
        <w:t xml:space="preserve">za oceno </w:t>
      </w:r>
      <w:r w:rsidR="008E115A">
        <w:rPr>
          <w:rFonts w:eastAsia="Calibri" w:cs="Arial"/>
          <w:szCs w:val="20"/>
        </w:rPr>
        <w:t>državnotožilske</w:t>
      </w:r>
      <w:r w:rsidR="008E115A" w:rsidRPr="00C662D9">
        <w:rPr>
          <w:rFonts w:eastAsia="Calibri" w:cs="Arial"/>
          <w:szCs w:val="20"/>
        </w:rPr>
        <w:t xml:space="preserve"> službe</w:t>
      </w:r>
      <w:r w:rsidR="008E115A">
        <w:rPr>
          <w:rFonts w:eastAsia="Calibri" w:cs="Arial"/>
          <w:szCs w:val="20"/>
        </w:rPr>
        <w:t>.</w:t>
      </w:r>
      <w:r w:rsidRPr="00C662D9">
        <w:rPr>
          <w:rFonts w:eastAsia="Calibri" w:cs="Arial"/>
          <w:szCs w:val="20"/>
        </w:rPr>
        <w:t xml:space="preserve"> Pri tem se </w:t>
      </w:r>
      <w:r>
        <w:rPr>
          <w:rFonts w:eastAsia="Calibri" w:cs="Arial"/>
          <w:szCs w:val="20"/>
        </w:rPr>
        <w:t xml:space="preserve">bo </w:t>
      </w:r>
      <w:r w:rsidRPr="00C662D9">
        <w:rPr>
          <w:rFonts w:eastAsia="Calibri" w:cs="Arial"/>
          <w:szCs w:val="20"/>
        </w:rPr>
        <w:t xml:space="preserve">pri oceni </w:t>
      </w:r>
      <w:r>
        <w:rPr>
          <w:rFonts w:eastAsia="Calibri" w:cs="Arial"/>
          <w:szCs w:val="20"/>
        </w:rPr>
        <w:t>državnotožilske</w:t>
      </w:r>
      <w:r w:rsidRPr="00C662D9">
        <w:rPr>
          <w:rFonts w:eastAsia="Calibri" w:cs="Arial"/>
          <w:szCs w:val="20"/>
        </w:rPr>
        <w:t xml:space="preserve"> službe za čas dodelitve upošteva</w:t>
      </w:r>
      <w:r>
        <w:rPr>
          <w:rFonts w:eastAsia="Calibri" w:cs="Arial"/>
          <w:szCs w:val="20"/>
        </w:rPr>
        <w:t>lo</w:t>
      </w:r>
      <w:r w:rsidRPr="00C662D9">
        <w:rPr>
          <w:rFonts w:eastAsia="Calibri" w:cs="Arial"/>
          <w:szCs w:val="20"/>
        </w:rPr>
        <w:t xml:space="preserve"> mnenje o delu </w:t>
      </w:r>
      <w:r>
        <w:rPr>
          <w:rFonts w:eastAsia="Calibri" w:cs="Arial"/>
          <w:szCs w:val="20"/>
        </w:rPr>
        <w:t>državnega tožilc</w:t>
      </w:r>
      <w:r w:rsidRPr="00C662D9">
        <w:rPr>
          <w:rFonts w:eastAsia="Calibri" w:cs="Arial"/>
          <w:szCs w:val="20"/>
        </w:rPr>
        <w:t>a, ki ga za namene</w:t>
      </w:r>
      <w:r>
        <w:rPr>
          <w:rFonts w:eastAsia="Calibri" w:cs="Arial"/>
          <w:szCs w:val="20"/>
        </w:rPr>
        <w:t xml:space="preserve"> </w:t>
      </w:r>
      <w:r w:rsidRPr="00C662D9">
        <w:rPr>
          <w:rFonts w:eastAsia="Calibri" w:cs="Arial"/>
          <w:szCs w:val="20"/>
        </w:rPr>
        <w:t xml:space="preserve">ocene </w:t>
      </w:r>
      <w:r>
        <w:rPr>
          <w:rFonts w:eastAsia="Calibri" w:cs="Arial"/>
          <w:szCs w:val="20"/>
        </w:rPr>
        <w:t>državnotožilske</w:t>
      </w:r>
      <w:r w:rsidRPr="00C662D9">
        <w:rPr>
          <w:rFonts w:eastAsia="Calibri" w:cs="Arial"/>
          <w:szCs w:val="20"/>
        </w:rPr>
        <w:t xml:space="preserve"> službe izdela predstojnik organa, pri katerem je oz. je bil</w:t>
      </w:r>
      <w:r>
        <w:rPr>
          <w:rFonts w:eastAsia="Calibri" w:cs="Arial"/>
          <w:szCs w:val="20"/>
        </w:rPr>
        <w:t xml:space="preserve"> državni tožilec</w:t>
      </w:r>
      <w:r w:rsidRPr="00C662D9">
        <w:rPr>
          <w:rFonts w:eastAsia="Calibri" w:cs="Arial"/>
          <w:szCs w:val="20"/>
        </w:rPr>
        <w:t xml:space="preserve"> dodeljen</w:t>
      </w:r>
      <w:r w:rsidR="00A470E5">
        <w:rPr>
          <w:rFonts w:eastAsia="Calibri" w:cs="Arial"/>
          <w:szCs w:val="20"/>
        </w:rPr>
        <w:t>. E</w:t>
      </w:r>
      <w:r w:rsidR="00CD485B">
        <w:rPr>
          <w:rFonts w:eastAsia="Calibri" w:cs="Arial"/>
          <w:szCs w:val="20"/>
        </w:rPr>
        <w:t xml:space="preserve">nako </w:t>
      </w:r>
      <w:r w:rsidR="00A470E5">
        <w:rPr>
          <w:rFonts w:eastAsia="Calibri" w:cs="Arial"/>
          <w:szCs w:val="20"/>
        </w:rPr>
        <w:t>se bo</w:t>
      </w:r>
      <w:r>
        <w:rPr>
          <w:rFonts w:eastAsia="Calibri" w:cs="Arial"/>
          <w:szCs w:val="20"/>
        </w:rPr>
        <w:t xml:space="preserve"> v primeru imenovanja</w:t>
      </w:r>
      <w:r w:rsidR="00A470E5">
        <w:rPr>
          <w:rFonts w:eastAsia="Calibri" w:cs="Arial"/>
          <w:szCs w:val="20"/>
        </w:rPr>
        <w:t xml:space="preserve"> državnega tožilca</w:t>
      </w:r>
      <w:r>
        <w:rPr>
          <w:rFonts w:eastAsia="Calibri" w:cs="Arial"/>
          <w:szCs w:val="20"/>
        </w:rPr>
        <w:t xml:space="preserve"> za člana Eurojusta</w:t>
      </w:r>
      <w:r w:rsidR="00A470E5">
        <w:rPr>
          <w:rFonts w:eastAsia="Calibri" w:cs="Arial"/>
          <w:szCs w:val="20"/>
        </w:rPr>
        <w:t xml:space="preserve"> </w:t>
      </w:r>
      <w:r w:rsidR="00CD485B">
        <w:rPr>
          <w:rFonts w:eastAsia="Calibri" w:cs="Arial"/>
          <w:szCs w:val="20"/>
        </w:rPr>
        <w:t>pri oceni državnotožilske službe upoštevalo</w:t>
      </w:r>
      <w:r>
        <w:rPr>
          <w:rFonts w:eastAsia="Calibri" w:cs="Arial"/>
          <w:szCs w:val="20"/>
        </w:rPr>
        <w:t xml:space="preserve"> tudi poročilo o delu</w:t>
      </w:r>
      <w:r w:rsidR="00CD485B">
        <w:rPr>
          <w:rFonts w:eastAsia="Calibri" w:cs="Arial"/>
          <w:szCs w:val="20"/>
        </w:rPr>
        <w:t>, ki ga za namene ocene državnotožilske službe izdela državni tožilec</w:t>
      </w:r>
      <w:r w:rsidR="00024BA7">
        <w:rPr>
          <w:rFonts w:eastAsia="Calibri" w:cs="Arial"/>
          <w:szCs w:val="20"/>
        </w:rPr>
        <w:t xml:space="preserve"> in mnenje o delu, </w:t>
      </w:r>
      <w:r w:rsidR="00024BA7" w:rsidRPr="00A470E5">
        <w:rPr>
          <w:rFonts w:eastAsia="Calibri" w:cs="Arial"/>
          <w:szCs w:val="20"/>
          <w:shd w:val="clear" w:color="auto" w:fill="FFFFFF"/>
        </w:rPr>
        <w:t>ki ga za namene ocene državnotožilske službe izdela predstojnik E</w:t>
      </w:r>
      <w:r w:rsidR="00024BA7">
        <w:rPr>
          <w:rFonts w:eastAsia="Calibri" w:cs="Arial"/>
          <w:szCs w:val="20"/>
          <w:shd w:val="clear" w:color="auto" w:fill="FFFFFF"/>
        </w:rPr>
        <w:t>urojusta</w:t>
      </w:r>
      <w:r>
        <w:rPr>
          <w:rFonts w:eastAsia="Calibri" w:cs="Arial"/>
          <w:szCs w:val="20"/>
        </w:rPr>
        <w:t xml:space="preserve">. </w:t>
      </w:r>
      <w:r w:rsidR="00024BA7">
        <w:rPr>
          <w:rFonts w:eastAsia="Calibri" w:cs="Arial"/>
          <w:szCs w:val="20"/>
        </w:rPr>
        <w:t>S predlogom zakona pa se določa tudi podlaga za oceno državnotožilske službe za državnega tožilca, ki je</w:t>
      </w:r>
      <w:r w:rsidR="008E115A">
        <w:rPr>
          <w:rFonts w:eastAsia="Calibri" w:cs="Arial"/>
          <w:szCs w:val="20"/>
        </w:rPr>
        <w:t xml:space="preserve"> </w:t>
      </w:r>
      <w:r w:rsidR="00024BA7">
        <w:rPr>
          <w:rFonts w:eastAsia="Calibri" w:cs="Arial"/>
          <w:szCs w:val="20"/>
        </w:rPr>
        <w:t xml:space="preserve">imenovan za </w:t>
      </w:r>
      <w:r w:rsidR="008E115A">
        <w:rPr>
          <w:rFonts w:eastAsia="Calibri" w:cs="Arial"/>
          <w:szCs w:val="20"/>
        </w:rPr>
        <w:t>evropskega tožilca</w:t>
      </w:r>
      <w:r w:rsidR="00A470E5">
        <w:rPr>
          <w:rFonts w:eastAsia="Calibri" w:cs="Arial"/>
          <w:szCs w:val="20"/>
        </w:rPr>
        <w:t xml:space="preserve"> in</w:t>
      </w:r>
      <w:r w:rsidR="00024BA7">
        <w:rPr>
          <w:rFonts w:eastAsia="Calibri" w:cs="Arial"/>
          <w:szCs w:val="20"/>
        </w:rPr>
        <w:t xml:space="preserve"> državnega tožilca, ki je imenovan</w:t>
      </w:r>
      <w:r w:rsidR="00A470E5">
        <w:rPr>
          <w:rFonts w:eastAsia="Calibri" w:cs="Arial"/>
          <w:szCs w:val="20"/>
        </w:rPr>
        <w:t xml:space="preserve"> </w:t>
      </w:r>
      <w:r w:rsidR="00024BA7">
        <w:rPr>
          <w:rFonts w:eastAsia="Calibri" w:cs="Arial"/>
          <w:szCs w:val="20"/>
        </w:rPr>
        <w:t xml:space="preserve">za </w:t>
      </w:r>
      <w:r w:rsidR="00A470E5">
        <w:rPr>
          <w:rFonts w:eastAsia="Calibri" w:cs="Arial"/>
          <w:szCs w:val="20"/>
        </w:rPr>
        <w:t>evropskega delegiranega tožilca</w:t>
      </w:r>
      <w:r w:rsidR="008E115A">
        <w:rPr>
          <w:rFonts w:eastAsia="Calibri" w:cs="Arial"/>
          <w:szCs w:val="20"/>
        </w:rPr>
        <w:t xml:space="preserve">. </w:t>
      </w:r>
      <w:r w:rsidRPr="00C662D9">
        <w:rPr>
          <w:rFonts w:eastAsia="Calibri" w:cs="Arial"/>
          <w:szCs w:val="20"/>
        </w:rPr>
        <w:t>Ta</w:t>
      </w:r>
      <w:r>
        <w:rPr>
          <w:rFonts w:eastAsia="Calibri" w:cs="Arial"/>
          <w:szCs w:val="20"/>
        </w:rPr>
        <w:t xml:space="preserve"> </w:t>
      </w:r>
      <w:r w:rsidRPr="00C662D9">
        <w:rPr>
          <w:rFonts w:eastAsia="Calibri" w:cs="Arial"/>
          <w:szCs w:val="20"/>
        </w:rPr>
        <w:t xml:space="preserve">postopek </w:t>
      </w:r>
      <w:r>
        <w:rPr>
          <w:rFonts w:eastAsia="Calibri" w:cs="Arial"/>
          <w:szCs w:val="20"/>
        </w:rPr>
        <w:t xml:space="preserve">morajo </w:t>
      </w:r>
      <w:r w:rsidRPr="00C662D9">
        <w:rPr>
          <w:rFonts w:eastAsia="Calibri" w:cs="Arial"/>
          <w:szCs w:val="20"/>
        </w:rPr>
        <w:t xml:space="preserve">Merila za kakovost dela </w:t>
      </w:r>
      <w:r>
        <w:t xml:space="preserve">državnih tožilcev </w:t>
      </w:r>
      <w:r w:rsidRPr="00C662D9">
        <w:rPr>
          <w:rFonts w:eastAsia="Calibri" w:cs="Arial"/>
          <w:szCs w:val="20"/>
        </w:rPr>
        <w:t xml:space="preserve">za oceno </w:t>
      </w:r>
      <w:r>
        <w:rPr>
          <w:rFonts w:eastAsia="Calibri" w:cs="Arial"/>
          <w:szCs w:val="20"/>
        </w:rPr>
        <w:t>državnotožilske</w:t>
      </w:r>
      <w:r w:rsidRPr="00C662D9">
        <w:rPr>
          <w:rFonts w:eastAsia="Calibri" w:cs="Arial"/>
          <w:szCs w:val="20"/>
        </w:rPr>
        <w:t xml:space="preserve"> službe še dodatno konkretizira</w:t>
      </w:r>
      <w:r>
        <w:rPr>
          <w:rFonts w:eastAsia="Calibri" w:cs="Arial"/>
          <w:szCs w:val="20"/>
        </w:rPr>
        <w:t>ti.</w:t>
      </w:r>
    </w:p>
    <w:p w:rsidR="00A470E5" w:rsidRDefault="00A470E5" w:rsidP="00C662D9">
      <w:pPr>
        <w:spacing w:line="288" w:lineRule="auto"/>
        <w:jc w:val="both"/>
        <w:rPr>
          <w:rFonts w:eastAsia="Calibri" w:cs="Arial"/>
          <w:szCs w:val="20"/>
        </w:rPr>
      </w:pPr>
    </w:p>
    <w:p w:rsidR="00A470E5" w:rsidRDefault="00024BA7" w:rsidP="00C662D9">
      <w:pPr>
        <w:spacing w:line="288" w:lineRule="auto"/>
        <w:jc w:val="both"/>
        <w:rPr>
          <w:rFonts w:eastAsia="Calibri" w:cs="Arial"/>
          <w:szCs w:val="20"/>
        </w:rPr>
      </w:pPr>
      <w:r>
        <w:rPr>
          <w:rFonts w:eastAsia="Calibri" w:cs="Arial"/>
          <w:szCs w:val="20"/>
        </w:rPr>
        <w:t>Z</w:t>
      </w:r>
      <w:r w:rsidR="00A470E5">
        <w:rPr>
          <w:rFonts w:eastAsia="Calibri" w:cs="Arial"/>
          <w:szCs w:val="20"/>
        </w:rPr>
        <w:t xml:space="preserve">aradi poenotenja primerljivih položajev pri izdelavi ocene državnotožilske službe </w:t>
      </w:r>
      <w:r>
        <w:rPr>
          <w:rFonts w:eastAsia="Calibri" w:cs="Arial"/>
          <w:szCs w:val="20"/>
        </w:rPr>
        <w:t xml:space="preserve">se s predlogom zakona drugi odstavek 71.b člena dopolni in doda nov četrti odstavek, ki določata </w:t>
      </w:r>
      <w:r w:rsidR="00A470E5">
        <w:rPr>
          <w:rFonts w:eastAsia="Calibri" w:cs="Arial"/>
          <w:szCs w:val="20"/>
        </w:rPr>
        <w:t>podla</w:t>
      </w:r>
      <w:r>
        <w:rPr>
          <w:rFonts w:eastAsia="Calibri" w:cs="Arial"/>
          <w:szCs w:val="20"/>
        </w:rPr>
        <w:t>go</w:t>
      </w:r>
      <w:r w:rsidR="00A470E5">
        <w:rPr>
          <w:rFonts w:eastAsia="Calibri" w:cs="Arial"/>
          <w:szCs w:val="20"/>
        </w:rPr>
        <w:t xml:space="preserve"> za oceno državnotožilske službe </w:t>
      </w:r>
      <w:r>
        <w:rPr>
          <w:rFonts w:eastAsia="Calibri" w:cs="Arial"/>
          <w:szCs w:val="20"/>
        </w:rPr>
        <w:t xml:space="preserve">za evropskega tožilca in </w:t>
      </w:r>
      <w:r w:rsidR="00A470E5">
        <w:rPr>
          <w:rFonts w:eastAsia="Calibri" w:cs="Arial"/>
          <w:szCs w:val="20"/>
        </w:rPr>
        <w:t>evropskega delegiranega tožilca in sicer za tisti del nalog, ki jih bo</w:t>
      </w:r>
      <w:r>
        <w:rPr>
          <w:rFonts w:eastAsia="Calibri" w:cs="Arial"/>
          <w:szCs w:val="20"/>
        </w:rPr>
        <w:t>sta</w:t>
      </w:r>
      <w:r w:rsidR="00A470E5">
        <w:rPr>
          <w:rFonts w:eastAsia="Calibri" w:cs="Arial"/>
          <w:szCs w:val="20"/>
        </w:rPr>
        <w:t xml:space="preserve"> opravljal</w:t>
      </w:r>
      <w:r>
        <w:rPr>
          <w:rFonts w:eastAsia="Calibri" w:cs="Arial"/>
          <w:szCs w:val="20"/>
        </w:rPr>
        <w:t>a</w:t>
      </w:r>
      <w:r w:rsidR="00A470E5">
        <w:rPr>
          <w:rFonts w:eastAsia="Calibri" w:cs="Arial"/>
          <w:szCs w:val="20"/>
        </w:rPr>
        <w:t xml:space="preserve"> iz pristojnosti EJT.</w:t>
      </w:r>
    </w:p>
    <w:p w:rsidR="00024BA7" w:rsidRDefault="00024BA7" w:rsidP="00C662D9">
      <w:pPr>
        <w:spacing w:line="288" w:lineRule="auto"/>
        <w:jc w:val="both"/>
        <w:rPr>
          <w:rFonts w:eastAsia="Calibri" w:cs="Arial"/>
          <w:szCs w:val="20"/>
        </w:rPr>
      </w:pPr>
    </w:p>
    <w:p w:rsidR="00BC7D49" w:rsidRDefault="00BC7D49" w:rsidP="00B644CC">
      <w:pPr>
        <w:spacing w:line="288" w:lineRule="auto"/>
        <w:jc w:val="both"/>
        <w:rPr>
          <w:rFonts w:eastAsia="Calibri" w:cs="Arial"/>
          <w:b/>
          <w:szCs w:val="20"/>
        </w:rPr>
      </w:pPr>
      <w:r>
        <w:rPr>
          <w:rFonts w:eastAsia="Calibri" w:cs="Arial"/>
          <w:b/>
          <w:szCs w:val="20"/>
        </w:rPr>
        <w:t>K 15. členu</w:t>
      </w:r>
    </w:p>
    <w:p w:rsidR="008E115A" w:rsidRPr="008E115A" w:rsidRDefault="008E115A" w:rsidP="00B644CC">
      <w:pPr>
        <w:spacing w:line="288" w:lineRule="auto"/>
        <w:jc w:val="both"/>
        <w:rPr>
          <w:rFonts w:eastAsia="Calibri" w:cs="Arial"/>
          <w:bCs/>
          <w:szCs w:val="20"/>
        </w:rPr>
      </w:pPr>
      <w:r w:rsidRPr="008E115A">
        <w:rPr>
          <w:rFonts w:eastAsia="Calibri" w:cs="Arial"/>
          <w:bCs/>
          <w:szCs w:val="20"/>
        </w:rPr>
        <w:t xml:space="preserve">S predlagano določbo se redakcijsko </w:t>
      </w:r>
      <w:r>
        <w:rPr>
          <w:rFonts w:eastAsia="Calibri" w:cs="Arial"/>
          <w:bCs/>
          <w:szCs w:val="20"/>
        </w:rPr>
        <w:t>popravlja</w:t>
      </w:r>
      <w:r w:rsidRPr="008E115A">
        <w:rPr>
          <w:rFonts w:eastAsia="Calibri" w:cs="Arial"/>
          <w:bCs/>
          <w:szCs w:val="20"/>
        </w:rPr>
        <w:t xml:space="preserve"> poimenovanje </w:t>
      </w:r>
      <w:r>
        <w:rPr>
          <w:bCs/>
          <w:szCs w:val="20"/>
        </w:rPr>
        <w:t xml:space="preserve">izraza za </w:t>
      </w:r>
      <w:r w:rsidRPr="00F8591D">
        <w:rPr>
          <w:bCs/>
          <w:szCs w:val="20"/>
        </w:rPr>
        <w:t>»pravobranilstv</w:t>
      </w:r>
      <w:r>
        <w:rPr>
          <w:bCs/>
          <w:szCs w:val="20"/>
        </w:rPr>
        <w:t>o</w:t>
      </w:r>
      <w:r w:rsidRPr="00F8591D">
        <w:rPr>
          <w:bCs/>
          <w:szCs w:val="20"/>
        </w:rPr>
        <w:t xml:space="preserve">«, v </w:t>
      </w:r>
      <w:r>
        <w:rPr>
          <w:bCs/>
          <w:szCs w:val="20"/>
        </w:rPr>
        <w:t>»</w:t>
      </w:r>
      <w:r w:rsidRPr="00F8591D">
        <w:rPr>
          <w:bCs/>
          <w:szCs w:val="20"/>
        </w:rPr>
        <w:t>odvetništvo</w:t>
      </w:r>
      <w:r>
        <w:rPr>
          <w:bCs/>
          <w:szCs w:val="20"/>
        </w:rPr>
        <w:t xml:space="preserve">«. Enako kot pri obrazložitvi </w:t>
      </w:r>
      <w:r w:rsidR="00A419B3">
        <w:rPr>
          <w:bCs/>
          <w:szCs w:val="20"/>
        </w:rPr>
        <w:t>k</w:t>
      </w:r>
      <w:r>
        <w:rPr>
          <w:bCs/>
          <w:szCs w:val="20"/>
        </w:rPr>
        <w:t xml:space="preserve"> 2. členu se sledi prehodni določbi 100. člena ZDOdv.</w:t>
      </w:r>
    </w:p>
    <w:p w:rsidR="00BC7D49" w:rsidRDefault="00BC7D49" w:rsidP="00B644CC">
      <w:pPr>
        <w:spacing w:line="288" w:lineRule="auto"/>
        <w:jc w:val="both"/>
        <w:rPr>
          <w:rFonts w:eastAsia="Calibri" w:cs="Arial"/>
          <w:b/>
          <w:szCs w:val="20"/>
        </w:rPr>
      </w:pPr>
    </w:p>
    <w:p w:rsidR="00BC7D49" w:rsidRDefault="00BC7D49" w:rsidP="00B644CC">
      <w:pPr>
        <w:spacing w:line="288" w:lineRule="auto"/>
        <w:jc w:val="both"/>
        <w:rPr>
          <w:rFonts w:eastAsia="Calibri" w:cs="Arial"/>
          <w:b/>
          <w:szCs w:val="20"/>
        </w:rPr>
      </w:pPr>
      <w:r>
        <w:rPr>
          <w:rFonts w:eastAsia="Calibri" w:cs="Arial"/>
          <w:b/>
          <w:szCs w:val="20"/>
        </w:rPr>
        <w:t>K 16. členu</w:t>
      </w:r>
    </w:p>
    <w:p w:rsidR="008E115A" w:rsidRPr="0028039B" w:rsidRDefault="008E115A" w:rsidP="008E115A">
      <w:pPr>
        <w:spacing w:line="288" w:lineRule="auto"/>
        <w:jc w:val="both"/>
        <w:rPr>
          <w:rFonts w:eastAsia="Calibri" w:cs="Arial"/>
          <w:szCs w:val="20"/>
        </w:rPr>
      </w:pPr>
      <w:r>
        <w:rPr>
          <w:rFonts w:eastAsia="Calibri" w:cs="Arial"/>
          <w:szCs w:val="20"/>
        </w:rPr>
        <w:t xml:space="preserve">Predlagana sprememba črtanja šestnajste alineje prvega odstavka 102. člena </w:t>
      </w:r>
      <w:r w:rsidRPr="0028039B">
        <w:rPr>
          <w:rFonts w:eastAsia="Calibri" w:cs="Arial"/>
          <w:szCs w:val="20"/>
        </w:rPr>
        <w:t xml:space="preserve">je </w:t>
      </w:r>
      <w:r>
        <w:rPr>
          <w:rFonts w:eastAsia="Calibri" w:cs="Arial"/>
          <w:szCs w:val="20"/>
        </w:rPr>
        <w:t xml:space="preserve">redakcijske narave </w:t>
      </w:r>
      <w:r w:rsidRPr="0028039B">
        <w:rPr>
          <w:rFonts w:eastAsia="Calibri" w:cs="Arial"/>
          <w:szCs w:val="20"/>
        </w:rPr>
        <w:t xml:space="preserve">glede na </w:t>
      </w:r>
      <w:r>
        <w:rPr>
          <w:rFonts w:eastAsia="Calibri" w:cs="Arial"/>
          <w:szCs w:val="20"/>
        </w:rPr>
        <w:t xml:space="preserve">novo predlagano </w:t>
      </w:r>
      <w:r w:rsidRPr="0028039B">
        <w:rPr>
          <w:rFonts w:eastAsia="Calibri" w:cs="Arial"/>
          <w:szCs w:val="20"/>
        </w:rPr>
        <w:t xml:space="preserve">določbo </w:t>
      </w:r>
      <w:r>
        <w:rPr>
          <w:rFonts w:eastAsia="Calibri" w:cs="Arial"/>
          <w:szCs w:val="20"/>
        </w:rPr>
        <w:t>203</w:t>
      </w:r>
      <w:r w:rsidRPr="0028039B">
        <w:rPr>
          <w:rFonts w:eastAsia="Calibri" w:cs="Arial"/>
          <w:szCs w:val="20"/>
        </w:rPr>
        <w:t>.</w:t>
      </w:r>
      <w:r>
        <w:rPr>
          <w:rFonts w:eastAsia="Calibri" w:cs="Arial"/>
          <w:szCs w:val="20"/>
        </w:rPr>
        <w:t>a</w:t>
      </w:r>
      <w:r w:rsidRPr="0028039B">
        <w:rPr>
          <w:rFonts w:eastAsia="Calibri" w:cs="Arial"/>
          <w:szCs w:val="20"/>
        </w:rPr>
        <w:t xml:space="preserve"> člena</w:t>
      </w:r>
      <w:r>
        <w:rPr>
          <w:rFonts w:eastAsia="Calibri" w:cs="Arial"/>
          <w:szCs w:val="20"/>
        </w:rPr>
        <w:t>.</w:t>
      </w:r>
    </w:p>
    <w:p w:rsidR="00BC7D49" w:rsidRDefault="00BC7D49" w:rsidP="00B644CC">
      <w:pPr>
        <w:spacing w:line="288" w:lineRule="auto"/>
        <w:jc w:val="both"/>
        <w:rPr>
          <w:rFonts w:eastAsia="Calibri" w:cs="Arial"/>
          <w:b/>
          <w:szCs w:val="20"/>
        </w:rPr>
      </w:pPr>
    </w:p>
    <w:p w:rsidR="00AE2155" w:rsidRPr="00385201" w:rsidRDefault="00AE2155" w:rsidP="00B644CC">
      <w:pPr>
        <w:spacing w:line="288" w:lineRule="auto"/>
        <w:jc w:val="both"/>
        <w:rPr>
          <w:rFonts w:eastAsia="Calibri" w:cs="Arial"/>
          <w:b/>
          <w:szCs w:val="20"/>
        </w:rPr>
      </w:pPr>
      <w:r w:rsidRPr="00385201">
        <w:rPr>
          <w:rFonts w:eastAsia="Calibri" w:cs="Arial"/>
          <w:b/>
          <w:szCs w:val="20"/>
        </w:rPr>
        <w:t>K 1</w:t>
      </w:r>
      <w:r w:rsidR="00BC7D49">
        <w:rPr>
          <w:rFonts w:eastAsia="Calibri" w:cs="Arial"/>
          <w:b/>
          <w:szCs w:val="20"/>
        </w:rPr>
        <w:t>7</w:t>
      </w:r>
      <w:r w:rsidRPr="00385201">
        <w:rPr>
          <w:rFonts w:eastAsia="Calibri" w:cs="Arial"/>
          <w:b/>
          <w:szCs w:val="20"/>
        </w:rPr>
        <w:t>. členu</w:t>
      </w:r>
    </w:p>
    <w:p w:rsidR="00AE2155" w:rsidRDefault="00AE2155" w:rsidP="00B644CC">
      <w:pPr>
        <w:spacing w:line="288" w:lineRule="auto"/>
        <w:jc w:val="both"/>
        <w:rPr>
          <w:rFonts w:eastAsia="Calibri" w:cs="Arial"/>
          <w:szCs w:val="20"/>
        </w:rPr>
      </w:pPr>
      <w:r>
        <w:rPr>
          <w:rFonts w:eastAsia="Calibri" w:cs="Arial"/>
          <w:szCs w:val="20"/>
        </w:rPr>
        <w:t xml:space="preserve">S predlagano spremembo tretjega odstavka 124. člena se ureja primer, ko ima okrožno državno tožilstvo, pri katerem je določeno najmanj </w:t>
      </w:r>
      <w:r w:rsidR="00665575">
        <w:rPr>
          <w:rFonts w:eastAsia="Calibri" w:cs="Arial"/>
          <w:szCs w:val="20"/>
        </w:rPr>
        <w:t>petdeset</w:t>
      </w:r>
      <w:r>
        <w:rPr>
          <w:rFonts w:eastAsia="Calibri" w:cs="Arial"/>
          <w:szCs w:val="20"/>
        </w:rPr>
        <w:t xml:space="preserve"> državnotožilskih mest, dva namestnika vodje. Vodja okrožnega državnega tožilstva enega od namestnikov pooblasti za nadomeščanje, če pooblastila ni, velja zakonska ureditev, po kateri vodjo nadomešča namestnik, ki dalj časa opravlja državnotožilskoslužbo. Predlagana ureditev sledi ureditvi, ki velja za sodišča. Peti odstavek 61. člena Zakona o sodiščih (Uradni list RS, št.</w:t>
      </w:r>
      <w:r w:rsidRPr="00AD4505">
        <w:rPr>
          <w:rFonts w:eastAsia="Calibri" w:cs="Arial"/>
          <w:szCs w:val="20"/>
        </w:rPr>
        <w:t>94/07 – uradno prečiščeno besedilo, 45/08, 96/09, 86/10 – ZJNepS, 33/11, 75/12 – ZSPDSLS-A, 63/13, 17/15, 23/17 – ZSSve, 22/18 – ZSICT in 16/19 – ZNP-1)</w:t>
      </w:r>
      <w:r>
        <w:rPr>
          <w:rFonts w:eastAsia="Calibri" w:cs="Arial"/>
          <w:szCs w:val="20"/>
        </w:rPr>
        <w:t xml:space="preserve"> določa, da v primeru, če ima sodišče dva podpredsednika, predsednik sodišča za nadomeščanje pooblasti podpredsednika oziroma če pooblastila ni, pa predsednika nadomešča podpredsednik sodišča, ki dalj časa opravlja sodniško funkcijo.   </w:t>
      </w:r>
    </w:p>
    <w:p w:rsidR="00AE2155" w:rsidRDefault="00AE2155" w:rsidP="00B644CC">
      <w:pPr>
        <w:spacing w:line="288" w:lineRule="auto"/>
        <w:jc w:val="both"/>
        <w:rPr>
          <w:rFonts w:eastAsia="Calibri" w:cs="Arial"/>
          <w:szCs w:val="20"/>
        </w:rPr>
      </w:pPr>
    </w:p>
    <w:p w:rsidR="00AE2155" w:rsidRDefault="00AE2155" w:rsidP="00B644CC">
      <w:pPr>
        <w:spacing w:line="288" w:lineRule="auto"/>
        <w:jc w:val="both"/>
        <w:rPr>
          <w:rFonts w:eastAsia="Calibri" w:cs="Arial"/>
          <w:szCs w:val="20"/>
        </w:rPr>
      </w:pPr>
      <w:r w:rsidRPr="00385201">
        <w:rPr>
          <w:rFonts w:eastAsia="Calibri" w:cs="Arial"/>
          <w:szCs w:val="20"/>
        </w:rPr>
        <w:t>Kljub temu, da</w:t>
      </w:r>
      <w:r>
        <w:rPr>
          <w:rFonts w:eastAsia="Calibri" w:cs="Arial"/>
          <w:szCs w:val="20"/>
        </w:rPr>
        <w:t xml:space="preserve"> je iz prve točke prvega odstavka 126. člena ZDT-1 sklepati, da je usposabljanje obvezno tudi za namestnika vodje </w:t>
      </w:r>
      <w:r w:rsidR="00A419B3">
        <w:rPr>
          <w:rFonts w:eastAsia="Calibri" w:cs="Arial"/>
          <w:szCs w:val="20"/>
        </w:rPr>
        <w:t>o</w:t>
      </w:r>
      <w:r>
        <w:rPr>
          <w:rFonts w:eastAsia="Calibri" w:cs="Arial"/>
          <w:szCs w:val="20"/>
        </w:rPr>
        <w:t xml:space="preserve">krožnega državnega tožilstva, se zaradi jasnosti urejanja te materije predlaga dopolnitev tudi glede usposabljanja namestnika. </w:t>
      </w:r>
    </w:p>
    <w:p w:rsidR="00AE2155" w:rsidRDefault="00AE2155" w:rsidP="00B644CC">
      <w:pPr>
        <w:spacing w:line="288" w:lineRule="auto"/>
        <w:jc w:val="both"/>
        <w:rPr>
          <w:rFonts w:eastAsia="Calibri" w:cs="Arial"/>
          <w:szCs w:val="20"/>
        </w:rPr>
      </w:pPr>
    </w:p>
    <w:p w:rsidR="00AE2155" w:rsidRPr="00385201" w:rsidRDefault="00AE2155" w:rsidP="00B644CC">
      <w:pPr>
        <w:spacing w:line="288" w:lineRule="auto"/>
        <w:jc w:val="both"/>
        <w:rPr>
          <w:rFonts w:eastAsia="Calibri" w:cs="Arial"/>
          <w:b/>
          <w:szCs w:val="20"/>
        </w:rPr>
      </w:pPr>
      <w:r w:rsidRPr="00385201">
        <w:rPr>
          <w:rFonts w:eastAsia="Calibri" w:cs="Arial"/>
          <w:b/>
          <w:szCs w:val="20"/>
        </w:rPr>
        <w:t>K 1</w:t>
      </w:r>
      <w:r w:rsidR="00665575">
        <w:rPr>
          <w:rFonts w:eastAsia="Calibri" w:cs="Arial"/>
          <w:b/>
          <w:szCs w:val="20"/>
        </w:rPr>
        <w:t>8</w:t>
      </w:r>
      <w:r w:rsidRPr="00385201">
        <w:rPr>
          <w:rFonts w:eastAsia="Calibri" w:cs="Arial"/>
          <w:b/>
          <w:szCs w:val="20"/>
        </w:rPr>
        <w:t>. členu</w:t>
      </w:r>
    </w:p>
    <w:p w:rsidR="00AE2155" w:rsidRPr="000E09C5" w:rsidRDefault="00AE2155" w:rsidP="00B644CC">
      <w:pPr>
        <w:spacing w:line="288" w:lineRule="auto"/>
        <w:jc w:val="both"/>
        <w:rPr>
          <w:rFonts w:eastAsia="Calibri" w:cs="Arial"/>
          <w:szCs w:val="20"/>
        </w:rPr>
      </w:pPr>
      <w:r w:rsidRPr="000E09C5">
        <w:rPr>
          <w:rFonts w:eastAsia="Calibri" w:cs="Arial"/>
          <w:szCs w:val="20"/>
        </w:rPr>
        <w:t xml:space="preserve">V postopkih imenovanj nastopajo različni organi oziroma imajo le ti v postopkih različne pristojnosti. Tako je za imenovanje namestnika generalnega državnega tožilca pristojna vlada, ki ga imenuje na podlagi obrazloženega predloga generalnega državnega tožilca RS po predhodnem mnenju Državnotožilskega sveta, za imenovanje namestnika vodje okrožnega državnega tožilca pa je na obrazložen predlog vodje in po predhodnem mnenju generalnega državnega tožilca pristojen Državnotožilski svet. Glede na navedene pristojnosti generalnega državnega tožilca, Državnotožilskega sveta in vlade v postopku imenovanja namestnika generalnega državnega tožilca in namestnika vodje okrožnega državnega tožilstva je sklicevanje na smiselno uporabo določb zakona, ki se nanašajo  na razrešitev generalnega državnega tožilca oziroma vodje državnega tožilstva neustrezna. O razrešitvi generalnega državnega tožilca namreč odloča Državni zbor RS na predlog Državnotožilskega sveta, o razrešitvi vodje okrožnega državnega tožilstva pa Državnotožilski svet na predlog ministra.  </w:t>
      </w:r>
    </w:p>
    <w:p w:rsidR="00AE2155" w:rsidRPr="000E09C5" w:rsidRDefault="00AE2155" w:rsidP="00B644CC">
      <w:pPr>
        <w:spacing w:line="288" w:lineRule="auto"/>
        <w:jc w:val="both"/>
        <w:rPr>
          <w:rFonts w:eastAsia="Calibri" w:cs="Arial"/>
          <w:szCs w:val="20"/>
        </w:rPr>
      </w:pPr>
    </w:p>
    <w:p w:rsidR="00AE2155" w:rsidRPr="000E2C9A" w:rsidRDefault="00AE2155" w:rsidP="00B644CC">
      <w:pPr>
        <w:spacing w:line="288" w:lineRule="auto"/>
        <w:jc w:val="both"/>
        <w:rPr>
          <w:rFonts w:eastAsia="Calibri" w:cs="Arial"/>
          <w:color w:val="00B050"/>
          <w:szCs w:val="20"/>
        </w:rPr>
      </w:pPr>
      <w:r w:rsidRPr="000E09C5">
        <w:rPr>
          <w:rFonts w:eastAsia="Calibri" w:cs="Arial"/>
          <w:szCs w:val="20"/>
        </w:rPr>
        <w:t>S predlagano določbo se sledi načelu, da o imenovanju in razrešitvi odloča isti organ, zato se celovito določa pristojnost za primer razrešitve namestnika generalnega državnega tožilca in namestnika  vodje okrožnega državnega tožilstva</w:t>
      </w:r>
    </w:p>
    <w:p w:rsidR="00AE2155" w:rsidRPr="000E2C9A" w:rsidRDefault="00AE2155" w:rsidP="00B644CC">
      <w:pPr>
        <w:spacing w:line="288" w:lineRule="auto"/>
        <w:jc w:val="both"/>
        <w:rPr>
          <w:rFonts w:eastAsia="Calibri" w:cs="Arial"/>
          <w:color w:val="00B050"/>
          <w:szCs w:val="20"/>
          <w:highlight w:val="yellow"/>
        </w:rPr>
      </w:pPr>
    </w:p>
    <w:p w:rsidR="00EC749E" w:rsidRDefault="00EC749E" w:rsidP="00B644CC">
      <w:pPr>
        <w:spacing w:line="288" w:lineRule="auto"/>
        <w:jc w:val="both"/>
        <w:rPr>
          <w:rFonts w:eastAsia="Calibri" w:cs="Arial"/>
          <w:b/>
          <w:szCs w:val="20"/>
        </w:rPr>
      </w:pPr>
    </w:p>
    <w:p w:rsidR="00EC749E" w:rsidRDefault="00EC749E" w:rsidP="00B644CC">
      <w:pPr>
        <w:spacing w:line="288" w:lineRule="auto"/>
        <w:jc w:val="both"/>
        <w:rPr>
          <w:rFonts w:eastAsia="Calibri" w:cs="Arial"/>
          <w:b/>
          <w:szCs w:val="20"/>
        </w:rPr>
      </w:pPr>
    </w:p>
    <w:p w:rsidR="00EC749E" w:rsidRDefault="00EC749E" w:rsidP="00B644CC">
      <w:pPr>
        <w:spacing w:line="288" w:lineRule="auto"/>
        <w:jc w:val="both"/>
        <w:rPr>
          <w:rFonts w:eastAsia="Calibri" w:cs="Arial"/>
          <w:b/>
          <w:szCs w:val="20"/>
        </w:rPr>
      </w:pPr>
    </w:p>
    <w:p w:rsidR="00AE2155" w:rsidRPr="00930071" w:rsidRDefault="00AE2155" w:rsidP="00B644CC">
      <w:pPr>
        <w:spacing w:line="288" w:lineRule="auto"/>
        <w:jc w:val="both"/>
        <w:rPr>
          <w:rFonts w:eastAsia="Calibri" w:cs="Arial"/>
          <w:b/>
          <w:szCs w:val="20"/>
        </w:rPr>
      </w:pPr>
      <w:r w:rsidRPr="00930071">
        <w:rPr>
          <w:rFonts w:eastAsia="Calibri" w:cs="Arial"/>
          <w:b/>
          <w:szCs w:val="20"/>
        </w:rPr>
        <w:t>K 1</w:t>
      </w:r>
      <w:r w:rsidR="00665575">
        <w:rPr>
          <w:rFonts w:eastAsia="Calibri" w:cs="Arial"/>
          <w:b/>
          <w:szCs w:val="20"/>
        </w:rPr>
        <w:t>9</w:t>
      </w:r>
      <w:r w:rsidRPr="00930071">
        <w:rPr>
          <w:rFonts w:eastAsia="Calibri" w:cs="Arial"/>
          <w:b/>
          <w:szCs w:val="20"/>
        </w:rPr>
        <w:t>. členu</w:t>
      </w:r>
    </w:p>
    <w:p w:rsidR="00AE2155" w:rsidRDefault="00AE2155" w:rsidP="00B644CC">
      <w:pPr>
        <w:spacing w:line="288" w:lineRule="auto"/>
        <w:jc w:val="both"/>
        <w:rPr>
          <w:rFonts w:eastAsia="Calibri" w:cs="Arial"/>
          <w:szCs w:val="20"/>
        </w:rPr>
      </w:pPr>
      <w:r>
        <w:rPr>
          <w:rFonts w:eastAsia="Calibri" w:cs="Arial"/>
          <w:szCs w:val="20"/>
        </w:rPr>
        <w:t>Predlagana sprememba je redakcijske narave. Po vzoru predlagane ureditve v 133. členu pri sodelovanju na kolegiju državnega tožilstva se na prvem mestu navaja direktor šele nato strokovni sodelavec.</w:t>
      </w:r>
    </w:p>
    <w:p w:rsidR="00AE2155" w:rsidRDefault="00AE2155" w:rsidP="00B644CC">
      <w:pPr>
        <w:spacing w:line="288" w:lineRule="auto"/>
        <w:jc w:val="both"/>
        <w:rPr>
          <w:rFonts w:eastAsia="Calibri" w:cs="Arial"/>
          <w:szCs w:val="20"/>
        </w:rPr>
      </w:pPr>
    </w:p>
    <w:p w:rsidR="00AE2155" w:rsidRPr="004170ED" w:rsidRDefault="00AE2155" w:rsidP="00B644CC">
      <w:pPr>
        <w:spacing w:line="288" w:lineRule="auto"/>
        <w:jc w:val="both"/>
        <w:rPr>
          <w:rFonts w:eastAsia="Calibri" w:cs="Arial"/>
          <w:b/>
          <w:szCs w:val="20"/>
        </w:rPr>
      </w:pPr>
      <w:r w:rsidRPr="004170ED">
        <w:rPr>
          <w:rFonts w:eastAsia="Calibri" w:cs="Arial"/>
          <w:b/>
          <w:szCs w:val="20"/>
        </w:rPr>
        <w:t xml:space="preserve">K </w:t>
      </w:r>
      <w:r w:rsidR="00665575">
        <w:rPr>
          <w:rFonts w:eastAsia="Calibri" w:cs="Arial"/>
          <w:b/>
          <w:szCs w:val="20"/>
        </w:rPr>
        <w:t>20</w:t>
      </w:r>
      <w:r w:rsidRPr="004170ED">
        <w:rPr>
          <w:rFonts w:eastAsia="Calibri" w:cs="Arial"/>
          <w:b/>
          <w:szCs w:val="20"/>
        </w:rPr>
        <w:t>. členu</w:t>
      </w:r>
    </w:p>
    <w:p w:rsidR="00AE2155" w:rsidRDefault="00AE2155" w:rsidP="00B644CC">
      <w:pPr>
        <w:spacing w:line="288" w:lineRule="auto"/>
        <w:jc w:val="both"/>
        <w:rPr>
          <w:rFonts w:eastAsia="Arial Unicode MS"/>
          <w:color w:val="000000"/>
          <w:u w:color="000000"/>
          <w:bdr w:val="nil"/>
          <w:lang w:eastAsia="sl-SI"/>
        </w:rPr>
      </w:pPr>
      <w:r>
        <w:rPr>
          <w:rFonts w:eastAsia="Calibri" w:cs="Arial"/>
          <w:szCs w:val="20"/>
        </w:rPr>
        <w:t>S predlagano dopolnitvijo se po vzoru ureditve kot velja za kolegij državnega tožilstva (132. člen</w:t>
      </w:r>
      <w:r w:rsidR="00665575">
        <w:rPr>
          <w:rFonts w:eastAsia="Calibri" w:cs="Arial"/>
          <w:szCs w:val="20"/>
        </w:rPr>
        <w:t xml:space="preserve"> ZDT-1</w:t>
      </w:r>
      <w:r>
        <w:rPr>
          <w:rFonts w:eastAsia="Calibri" w:cs="Arial"/>
          <w:szCs w:val="20"/>
        </w:rPr>
        <w:t>) določa možnost udeležbe generalnega direktorja na razširjenem kolegiju V</w:t>
      </w:r>
      <w:r w:rsidR="00665575">
        <w:rPr>
          <w:rFonts w:eastAsia="Calibri" w:cs="Arial"/>
          <w:szCs w:val="20"/>
        </w:rPr>
        <w:t>rhovnega državnega tožilstva</w:t>
      </w:r>
      <w:r>
        <w:rPr>
          <w:rFonts w:eastAsia="Calibri" w:cs="Arial"/>
          <w:szCs w:val="20"/>
        </w:rPr>
        <w:t xml:space="preserve"> zlasti upoštevaje vsebino, ki se na tem kolegiju obravnava. </w:t>
      </w:r>
      <w:r w:rsidRPr="0028190A">
        <w:rPr>
          <w:rFonts w:eastAsia="Arial Unicode MS"/>
          <w:color w:val="000000"/>
          <w:u w:color="000000"/>
          <w:bdr w:val="nil"/>
          <w:lang w:eastAsia="sl-SI"/>
        </w:rPr>
        <w:t xml:space="preserve">Glede na to, da razširjeni kolegij </w:t>
      </w:r>
      <w:r w:rsidR="00665575">
        <w:rPr>
          <w:rFonts w:eastAsia="Calibri" w:cs="Arial"/>
          <w:szCs w:val="20"/>
        </w:rPr>
        <w:t xml:space="preserve">Vrhovnega državnega tožilstva </w:t>
      </w:r>
      <w:r w:rsidRPr="0028190A">
        <w:rPr>
          <w:rFonts w:eastAsia="Arial Unicode MS"/>
          <w:color w:val="000000"/>
          <w:u w:color="000000"/>
          <w:bdr w:val="nil"/>
          <w:lang w:eastAsia="sl-SI"/>
        </w:rPr>
        <w:t>daje mnenje o predlogih splošnih navodil, ki se lahko</w:t>
      </w:r>
      <w:r>
        <w:rPr>
          <w:rFonts w:eastAsia="Arial Unicode MS"/>
          <w:color w:val="000000"/>
          <w:u w:color="000000"/>
          <w:bdr w:val="nil"/>
          <w:lang w:eastAsia="sl-SI"/>
        </w:rPr>
        <w:t xml:space="preserve"> nanašajo </w:t>
      </w:r>
      <w:r w:rsidRPr="0028190A">
        <w:rPr>
          <w:rFonts w:eastAsia="Arial Unicode MS"/>
          <w:color w:val="000000"/>
          <w:u w:color="000000"/>
          <w:bdr w:val="nil"/>
          <w:lang w:eastAsia="sl-SI"/>
        </w:rPr>
        <w:t xml:space="preserve">tudi </w:t>
      </w:r>
      <w:r>
        <w:rPr>
          <w:rFonts w:eastAsia="Arial Unicode MS"/>
          <w:color w:val="000000"/>
          <w:u w:color="000000"/>
          <w:bdr w:val="nil"/>
          <w:lang w:eastAsia="sl-SI"/>
        </w:rPr>
        <w:t xml:space="preserve">na zadeve </w:t>
      </w:r>
      <w:r w:rsidRPr="0028190A">
        <w:rPr>
          <w:rFonts w:eastAsia="Arial Unicode MS"/>
          <w:color w:val="000000"/>
          <w:u w:color="000000"/>
          <w:bdr w:val="nil"/>
          <w:lang w:eastAsia="sl-SI"/>
        </w:rPr>
        <w:t xml:space="preserve">državnotožilske uprave, </w:t>
      </w:r>
      <w:r>
        <w:rPr>
          <w:rFonts w:eastAsia="Arial Unicode MS"/>
          <w:color w:val="000000"/>
          <w:u w:color="000000"/>
          <w:bdr w:val="nil"/>
          <w:lang w:eastAsia="sl-SI"/>
        </w:rPr>
        <w:t xml:space="preserve">se s predlagano določbo določa možnost </w:t>
      </w:r>
      <w:r w:rsidRPr="0028190A">
        <w:rPr>
          <w:rFonts w:eastAsia="Arial Unicode MS"/>
          <w:color w:val="000000"/>
          <w:u w:color="000000"/>
          <w:bdr w:val="nil"/>
          <w:lang w:eastAsia="sl-SI"/>
        </w:rPr>
        <w:t>sodelovanja generalnega direktorja po predhodni odločitvi generalnega državnega tožilca RS</w:t>
      </w:r>
      <w:r>
        <w:rPr>
          <w:rFonts w:eastAsia="Arial Unicode MS"/>
          <w:color w:val="000000"/>
          <w:u w:color="000000"/>
          <w:bdr w:val="nil"/>
          <w:lang w:eastAsia="sl-SI"/>
        </w:rPr>
        <w:t>.</w:t>
      </w:r>
    </w:p>
    <w:p w:rsidR="00AE2155" w:rsidRPr="006E178C" w:rsidRDefault="00AE2155" w:rsidP="00B644CC">
      <w:pPr>
        <w:spacing w:line="288" w:lineRule="auto"/>
        <w:jc w:val="both"/>
        <w:rPr>
          <w:rFonts w:eastAsia="Calibri" w:cs="Arial"/>
          <w:szCs w:val="20"/>
        </w:rPr>
      </w:pPr>
    </w:p>
    <w:p w:rsidR="00AE2155" w:rsidRPr="00DF33B2" w:rsidRDefault="00AE2155" w:rsidP="00B644CC">
      <w:pPr>
        <w:spacing w:line="288" w:lineRule="auto"/>
        <w:jc w:val="both"/>
        <w:rPr>
          <w:b/>
          <w:szCs w:val="20"/>
        </w:rPr>
      </w:pPr>
      <w:r w:rsidRPr="00DF33B2">
        <w:rPr>
          <w:b/>
          <w:szCs w:val="20"/>
        </w:rPr>
        <w:t xml:space="preserve">K </w:t>
      </w:r>
      <w:r w:rsidR="00665575">
        <w:rPr>
          <w:b/>
          <w:szCs w:val="20"/>
        </w:rPr>
        <w:t>21</w:t>
      </w:r>
      <w:r w:rsidRPr="00DF33B2">
        <w:rPr>
          <w:b/>
          <w:szCs w:val="20"/>
        </w:rPr>
        <w:t>. členu</w:t>
      </w:r>
    </w:p>
    <w:p w:rsidR="00AE2155" w:rsidRPr="00E032C9" w:rsidRDefault="00665575" w:rsidP="00B644CC">
      <w:pPr>
        <w:spacing w:line="288" w:lineRule="auto"/>
        <w:jc w:val="both"/>
        <w:rPr>
          <w:rFonts w:cs="Arial"/>
          <w:szCs w:val="20"/>
          <w:lang w:eastAsia="ar-SA"/>
        </w:rPr>
      </w:pPr>
      <w:r>
        <w:rPr>
          <w:rFonts w:cs="Arial"/>
          <w:szCs w:val="20"/>
          <w:lang w:eastAsia="ar-SA"/>
        </w:rPr>
        <w:t xml:space="preserve">S predlagano novo določbo 137.a člena se </w:t>
      </w:r>
      <w:r w:rsidR="00AE2155" w:rsidRPr="00E032C9">
        <w:rPr>
          <w:rFonts w:cs="Arial"/>
          <w:szCs w:val="20"/>
          <w:lang w:eastAsia="ar-SA"/>
        </w:rPr>
        <w:t>določa zakonsk</w:t>
      </w:r>
      <w:r>
        <w:rPr>
          <w:rFonts w:cs="Arial"/>
          <w:szCs w:val="20"/>
          <w:lang w:eastAsia="ar-SA"/>
        </w:rPr>
        <w:t>a</w:t>
      </w:r>
      <w:r w:rsidR="00AE2155" w:rsidRPr="00E032C9">
        <w:rPr>
          <w:rFonts w:cs="Arial"/>
          <w:szCs w:val="20"/>
          <w:lang w:eastAsia="ar-SA"/>
        </w:rPr>
        <w:t xml:space="preserve"> podlag</w:t>
      </w:r>
      <w:r>
        <w:rPr>
          <w:rFonts w:cs="Arial"/>
          <w:szCs w:val="20"/>
          <w:lang w:eastAsia="ar-SA"/>
        </w:rPr>
        <w:t>a</w:t>
      </w:r>
      <w:r w:rsidR="00AE2155" w:rsidRPr="00E032C9">
        <w:rPr>
          <w:rFonts w:cs="Arial"/>
          <w:szCs w:val="20"/>
          <w:lang w:eastAsia="ar-SA"/>
        </w:rPr>
        <w:t xml:space="preserve"> za sodelovanje </w:t>
      </w:r>
      <w:r w:rsidR="00AE2155">
        <w:rPr>
          <w:rFonts w:cs="Arial"/>
          <w:szCs w:val="20"/>
          <w:lang w:eastAsia="ar-SA"/>
        </w:rPr>
        <w:t>državnotožilskega</w:t>
      </w:r>
      <w:r>
        <w:rPr>
          <w:rFonts w:cs="Arial"/>
          <w:szCs w:val="20"/>
          <w:lang w:eastAsia="ar-SA"/>
        </w:rPr>
        <w:t xml:space="preserve"> </w:t>
      </w:r>
      <w:r w:rsidR="00AE2155" w:rsidRPr="00E032C9">
        <w:rPr>
          <w:rFonts w:cs="Arial"/>
          <w:szCs w:val="20"/>
          <w:lang w:eastAsia="ar-SA"/>
        </w:rPr>
        <w:t>osebja pri opravljanju nujnih procesnih dejanj</w:t>
      </w:r>
      <w:r w:rsidR="00AE2155">
        <w:rPr>
          <w:rFonts w:cs="Arial"/>
          <w:szCs w:val="20"/>
          <w:lang w:eastAsia="ar-SA"/>
        </w:rPr>
        <w:t xml:space="preserve"> (aktivnostih, ki se predlagajo z novim prvim odstavkom 45. člena ZDT-1)</w:t>
      </w:r>
      <w:r w:rsidR="00AE2155" w:rsidRPr="00E032C9">
        <w:rPr>
          <w:rFonts w:cs="Arial"/>
          <w:szCs w:val="20"/>
          <w:lang w:eastAsia="ar-SA"/>
        </w:rPr>
        <w:t xml:space="preserve"> in ustrezno plačilo za opravljeno delo z navezavo na Zakon o sistemu plač v javnem sektorju</w:t>
      </w:r>
      <w:r w:rsidR="00AE2155">
        <w:rPr>
          <w:rFonts w:cs="Arial"/>
          <w:szCs w:val="20"/>
          <w:lang w:eastAsia="ar-SA"/>
        </w:rPr>
        <w:t xml:space="preserve"> (ZSPJS)</w:t>
      </w:r>
      <w:r w:rsidR="00AE2155" w:rsidRPr="00E032C9">
        <w:rPr>
          <w:rFonts w:cs="Arial"/>
          <w:szCs w:val="20"/>
          <w:lang w:eastAsia="ar-SA"/>
        </w:rPr>
        <w:t xml:space="preserve">. </w:t>
      </w:r>
      <w:r w:rsidR="00AE2155">
        <w:rPr>
          <w:rFonts w:cs="Arial"/>
          <w:szCs w:val="20"/>
          <w:lang w:eastAsia="ar-SA"/>
        </w:rPr>
        <w:t>Državnotožilsko</w:t>
      </w:r>
      <w:r>
        <w:rPr>
          <w:rFonts w:cs="Arial"/>
          <w:szCs w:val="20"/>
          <w:lang w:eastAsia="ar-SA"/>
        </w:rPr>
        <w:t xml:space="preserve"> </w:t>
      </w:r>
      <w:r w:rsidR="00AE2155" w:rsidRPr="00E032C9">
        <w:rPr>
          <w:rFonts w:cs="Arial"/>
          <w:szCs w:val="20"/>
          <w:lang w:eastAsia="ar-SA"/>
        </w:rPr>
        <w:t xml:space="preserve">osebje zaradi sodelovanja pri opravljanju nujnih procesnih dejanj izven delovnega časa opravlja delo v manj ugodnem delovnem času, pri čemer je treba razlikovati efektivno delo, ko se delo dejansko izvaja, in čas pripravljenosti. Določa se, da se </w:t>
      </w:r>
      <w:r w:rsidR="00AE2155">
        <w:rPr>
          <w:rFonts w:cs="Arial"/>
          <w:szCs w:val="20"/>
          <w:lang w:eastAsia="ar-SA"/>
        </w:rPr>
        <w:t>državnotožilskemu</w:t>
      </w:r>
      <w:r>
        <w:rPr>
          <w:rFonts w:cs="Arial"/>
          <w:szCs w:val="20"/>
          <w:lang w:eastAsia="ar-SA"/>
        </w:rPr>
        <w:t xml:space="preserve"> </w:t>
      </w:r>
      <w:r w:rsidR="00AE2155" w:rsidRPr="00E032C9">
        <w:rPr>
          <w:rFonts w:cs="Arial"/>
          <w:szCs w:val="20"/>
          <w:lang w:eastAsia="ar-SA"/>
        </w:rPr>
        <w:t xml:space="preserve">osebju, ki sodeluje pri opravljanju nujnih procesnih dejanj izven delovnega časa, lahko odredi opravljanje dela v manj ugodnem delovnem času. Kot delo v manj ugodnem delovnem času se šteje pripravljenost na delo, delo v neenakomerno razporejenem delovnem času, delo preko polnega delovnega časa in delo ponoči, ob nedeljah, praznikih in na dan, ki je z zakonom določen kot dela prost dan. </w:t>
      </w:r>
    </w:p>
    <w:p w:rsidR="00AE2155" w:rsidRPr="00E032C9" w:rsidRDefault="00AE2155" w:rsidP="00B644CC">
      <w:pPr>
        <w:spacing w:line="288" w:lineRule="auto"/>
        <w:rPr>
          <w:rFonts w:cs="Arial"/>
          <w:szCs w:val="20"/>
          <w:lang w:eastAsia="ar-SA"/>
        </w:rPr>
      </w:pPr>
    </w:p>
    <w:p w:rsidR="00AE2155" w:rsidRDefault="00AE2155" w:rsidP="00B644CC">
      <w:pPr>
        <w:tabs>
          <w:tab w:val="left" w:pos="1701"/>
        </w:tabs>
        <w:spacing w:line="288" w:lineRule="auto"/>
        <w:jc w:val="both"/>
        <w:rPr>
          <w:rFonts w:cs="Arial"/>
          <w:szCs w:val="20"/>
          <w:lang w:eastAsia="sl-SI"/>
        </w:rPr>
      </w:pPr>
      <w:r w:rsidRPr="00E032C9">
        <w:rPr>
          <w:rFonts w:cs="Arial"/>
          <w:szCs w:val="20"/>
          <w:lang w:eastAsia="sl-SI"/>
        </w:rPr>
        <w:t>Pripravljenost za delo je pose</w:t>
      </w:r>
      <w:r w:rsidR="00665575">
        <w:rPr>
          <w:rFonts w:cs="Arial"/>
          <w:szCs w:val="20"/>
          <w:lang w:eastAsia="sl-SI"/>
        </w:rPr>
        <w:t>ben delovni pogoj, kot</w:t>
      </w:r>
      <w:r w:rsidRPr="00E032C9">
        <w:rPr>
          <w:rFonts w:cs="Arial"/>
          <w:szCs w:val="20"/>
          <w:lang w:eastAsia="sl-SI"/>
        </w:rPr>
        <w:t xml:space="preserve"> oblika dela in je vezana na naravo in organizacijo dela na </w:t>
      </w:r>
      <w:r>
        <w:rPr>
          <w:rFonts w:cs="Arial"/>
          <w:szCs w:val="20"/>
          <w:lang w:eastAsia="sl-SI"/>
        </w:rPr>
        <w:t>državnih tožilstvih</w:t>
      </w:r>
      <w:r w:rsidRPr="00E032C9">
        <w:rPr>
          <w:rFonts w:cs="Arial"/>
          <w:szCs w:val="20"/>
          <w:lang w:eastAsia="sl-SI"/>
        </w:rPr>
        <w:t xml:space="preserve">, kar utemeljuje tudi različno plačilo v primerjavi z rednim delom, ki ga </w:t>
      </w:r>
      <w:r>
        <w:rPr>
          <w:rFonts w:cs="Arial"/>
          <w:szCs w:val="20"/>
          <w:lang w:eastAsia="sl-SI"/>
        </w:rPr>
        <w:t>državnotožilsko</w:t>
      </w:r>
      <w:r w:rsidRPr="00E032C9">
        <w:rPr>
          <w:rFonts w:cs="Arial"/>
          <w:szCs w:val="20"/>
          <w:lang w:eastAsia="sl-SI"/>
        </w:rPr>
        <w:t xml:space="preserve"> osebje opravlja v okviru svojih rednih delovnih zadolžitev. V času pripravljenosti mora biti </w:t>
      </w:r>
      <w:r>
        <w:rPr>
          <w:rFonts w:cs="Arial"/>
          <w:szCs w:val="20"/>
          <w:lang w:eastAsia="sl-SI"/>
        </w:rPr>
        <w:t>državnotožilsko os</w:t>
      </w:r>
      <w:r w:rsidRPr="00E032C9">
        <w:rPr>
          <w:rFonts w:cs="Arial"/>
          <w:szCs w:val="20"/>
          <w:lang w:eastAsia="sl-SI"/>
        </w:rPr>
        <w:t xml:space="preserve">ebje dosegljivo po telefonu ali drugih komunikacijskih sredstvih za potrebe prihoda na delovno mesto ali kraj, kjer se opravlja nujno procesno dejanje. </w:t>
      </w:r>
      <w:r>
        <w:rPr>
          <w:rFonts w:cs="Arial"/>
          <w:szCs w:val="20"/>
          <w:lang w:eastAsia="sl-SI"/>
        </w:rPr>
        <w:t>Državnotožilsko</w:t>
      </w:r>
      <w:r w:rsidR="00665575">
        <w:rPr>
          <w:rFonts w:cs="Arial"/>
          <w:szCs w:val="20"/>
          <w:lang w:eastAsia="sl-SI"/>
        </w:rPr>
        <w:t xml:space="preserve"> </w:t>
      </w:r>
      <w:r w:rsidRPr="00E032C9">
        <w:rPr>
          <w:rFonts w:cs="Arial"/>
          <w:szCs w:val="20"/>
          <w:lang w:eastAsia="sl-SI"/>
        </w:rPr>
        <w:t>osebje je v času pripravljenosti v vsakem trenutku na razpolago delodajalcu, da ga pozove na opravljanje obveznosti, zaradi česar je njegova pravica do odmora in počitka v tem času bistveno okrnjena. Čas pripravljenosti se ne šteje v delovni čas.</w:t>
      </w:r>
    </w:p>
    <w:p w:rsidR="00AE2155" w:rsidRDefault="00AE2155" w:rsidP="00B644CC">
      <w:pPr>
        <w:tabs>
          <w:tab w:val="left" w:pos="1701"/>
        </w:tabs>
        <w:spacing w:line="288" w:lineRule="auto"/>
        <w:jc w:val="both"/>
        <w:rPr>
          <w:rFonts w:cs="Arial"/>
          <w:szCs w:val="20"/>
          <w:lang w:eastAsia="sl-SI"/>
        </w:rPr>
      </w:pPr>
    </w:p>
    <w:p w:rsidR="00AE2155" w:rsidRDefault="00AE2155" w:rsidP="00B644CC">
      <w:pPr>
        <w:pStyle w:val="datumtevilka"/>
        <w:spacing w:line="288" w:lineRule="auto"/>
        <w:jc w:val="both"/>
        <w:rPr>
          <w:rFonts w:cs="Arial"/>
        </w:rPr>
      </w:pPr>
      <w:r w:rsidRPr="00E032C9">
        <w:rPr>
          <w:rFonts w:cs="Arial"/>
        </w:rPr>
        <w:t xml:space="preserve">ZSPJS v tretjem odstavku 32. člena opredeljuje dodatek za stalno pripravljenost, ki pa je v KPJS razdelan na dodatek za pripravljenost in dodatek za stalno pripravljenost. </w:t>
      </w:r>
      <w:r>
        <w:rPr>
          <w:rFonts w:cs="Arial"/>
        </w:rPr>
        <w:t>Kadar je državnotožilsko osebje v pripravljenosti zaradi sodelovanja pri opravljanju nujnih procesnih dejanj, pripada dodatek za pripravljenost, ki se obračuna v višini 20% urne postavke plače (prvi odstavek 46. člena KPJS). Razlikovanje med pripravljenostjo in stalno pripravljenostjo je bilo uveljavljeno leta 2017 z Aneksom št. 9 h Kolektivni pogodbi za javni sektor.</w:t>
      </w:r>
    </w:p>
    <w:p w:rsidR="00AE2155" w:rsidRDefault="00AE2155" w:rsidP="00B644CC">
      <w:pPr>
        <w:suppressAutoHyphens/>
        <w:spacing w:line="288" w:lineRule="auto"/>
        <w:jc w:val="both"/>
        <w:rPr>
          <w:rFonts w:cs="Arial"/>
          <w:szCs w:val="20"/>
          <w:lang w:eastAsia="sl-SI"/>
        </w:rPr>
      </w:pPr>
    </w:p>
    <w:p w:rsidR="00AE2155" w:rsidRDefault="00AE2155" w:rsidP="00B644CC">
      <w:pPr>
        <w:suppressAutoHyphens/>
        <w:spacing w:line="288" w:lineRule="auto"/>
        <w:jc w:val="both"/>
        <w:rPr>
          <w:rFonts w:cs="Arial"/>
          <w:szCs w:val="20"/>
          <w:lang w:eastAsia="ar-SA"/>
        </w:rPr>
      </w:pPr>
      <w:r w:rsidRPr="00E032C9">
        <w:rPr>
          <w:rFonts w:cs="Arial"/>
          <w:szCs w:val="20"/>
          <w:lang w:eastAsia="ar-SA"/>
        </w:rPr>
        <w:t>Predlaga se tudi ureditev, skladno s katero se čas, porabljen za pot, šte</w:t>
      </w:r>
      <w:r>
        <w:rPr>
          <w:rFonts w:cs="Arial"/>
          <w:szCs w:val="20"/>
          <w:lang w:eastAsia="ar-SA"/>
        </w:rPr>
        <w:t>je</w:t>
      </w:r>
      <w:r w:rsidRPr="00E032C9">
        <w:rPr>
          <w:rFonts w:cs="Arial"/>
          <w:szCs w:val="20"/>
          <w:lang w:eastAsia="ar-SA"/>
        </w:rPr>
        <w:t xml:space="preserve"> kot čas, ki se všteva v delovni čas, pri čemer se navedeno vprašanje ureja enotno tako za </w:t>
      </w:r>
      <w:r>
        <w:rPr>
          <w:rFonts w:cs="Arial"/>
          <w:szCs w:val="20"/>
          <w:lang w:eastAsia="ar-SA"/>
        </w:rPr>
        <w:t>državnotožilsko</w:t>
      </w:r>
      <w:r w:rsidR="00665575">
        <w:rPr>
          <w:rFonts w:cs="Arial"/>
          <w:szCs w:val="20"/>
          <w:lang w:eastAsia="ar-SA"/>
        </w:rPr>
        <w:t xml:space="preserve"> </w:t>
      </w:r>
      <w:r w:rsidRPr="00E032C9">
        <w:rPr>
          <w:rFonts w:cs="Arial"/>
          <w:szCs w:val="20"/>
          <w:lang w:eastAsia="ar-SA"/>
        </w:rPr>
        <w:t xml:space="preserve">osebje, ki sodeluje pri izvajanju nujnih procesnih dejanj, kot tudi za </w:t>
      </w:r>
      <w:r>
        <w:rPr>
          <w:rFonts w:cs="Arial"/>
          <w:szCs w:val="20"/>
          <w:lang w:eastAsia="ar-SA"/>
        </w:rPr>
        <w:t>državne tožilce</w:t>
      </w:r>
      <w:r w:rsidRPr="00E032C9">
        <w:rPr>
          <w:rFonts w:cs="Arial"/>
          <w:szCs w:val="20"/>
          <w:lang w:eastAsia="ar-SA"/>
        </w:rPr>
        <w:t>, ki opravljajo dežurno službo</w:t>
      </w:r>
      <w:r>
        <w:rPr>
          <w:rFonts w:cs="Arial"/>
          <w:szCs w:val="20"/>
          <w:lang w:eastAsia="ar-SA"/>
        </w:rPr>
        <w:t xml:space="preserve"> (3. člen predloga zakona). </w:t>
      </w:r>
    </w:p>
    <w:p w:rsidR="00AE2155" w:rsidRDefault="00AE2155" w:rsidP="00B644CC">
      <w:pPr>
        <w:spacing w:line="288" w:lineRule="auto"/>
        <w:jc w:val="both"/>
        <w:rPr>
          <w:rFonts w:cs="Arial"/>
          <w:szCs w:val="20"/>
        </w:rPr>
      </w:pPr>
    </w:p>
    <w:p w:rsidR="00AE2155" w:rsidRDefault="00AE2155" w:rsidP="00B644CC">
      <w:pPr>
        <w:spacing w:line="288" w:lineRule="auto"/>
        <w:jc w:val="both"/>
        <w:rPr>
          <w:rFonts w:cs="Arial"/>
          <w:szCs w:val="20"/>
        </w:rPr>
      </w:pPr>
      <w:r>
        <w:rPr>
          <w:rFonts w:cs="Arial"/>
          <w:szCs w:val="20"/>
        </w:rPr>
        <w:t>K</w:t>
      </w:r>
      <w:r w:rsidRPr="00210151">
        <w:rPr>
          <w:rFonts w:cs="Arial"/>
          <w:szCs w:val="20"/>
        </w:rPr>
        <w:t xml:space="preserve">o mora </w:t>
      </w:r>
      <w:r>
        <w:rPr>
          <w:rFonts w:cs="Arial"/>
          <w:szCs w:val="20"/>
        </w:rPr>
        <w:t xml:space="preserve">državnotožilsko osebje </w:t>
      </w:r>
      <w:r w:rsidRPr="00210151">
        <w:rPr>
          <w:rFonts w:cs="Arial"/>
          <w:szCs w:val="20"/>
        </w:rPr>
        <w:t xml:space="preserve">v času odrejene pripravljenosti opravljati delo, se čas odrejene pripravljenosti prekine, čas </w:t>
      </w:r>
      <w:r>
        <w:rPr>
          <w:rFonts w:cs="Arial"/>
          <w:szCs w:val="20"/>
        </w:rPr>
        <w:t xml:space="preserve">dejanskega </w:t>
      </w:r>
      <w:r w:rsidRPr="00210151">
        <w:rPr>
          <w:rFonts w:cs="Arial"/>
          <w:szCs w:val="20"/>
        </w:rPr>
        <w:t xml:space="preserve">opravljanja dela pa se šteje v delovni čas, za katerega </w:t>
      </w:r>
      <w:r>
        <w:rPr>
          <w:rFonts w:cs="Arial"/>
          <w:szCs w:val="20"/>
        </w:rPr>
        <w:t xml:space="preserve">se </w:t>
      </w:r>
      <w:r>
        <w:rPr>
          <w:rFonts w:cs="Arial"/>
          <w:szCs w:val="20"/>
        </w:rPr>
        <w:lastRenderedPageBreak/>
        <w:t>prejme</w:t>
      </w:r>
      <w:r w:rsidRPr="00210151">
        <w:rPr>
          <w:rFonts w:cs="Arial"/>
          <w:szCs w:val="20"/>
        </w:rPr>
        <w:t xml:space="preserve"> tudi ustrezno plačilo</w:t>
      </w:r>
      <w:r>
        <w:rPr>
          <w:rFonts w:cs="Arial"/>
          <w:szCs w:val="20"/>
        </w:rPr>
        <w:t>. Višina dodatka je odvisna od časa, v katerem se delo opravlja, vedno pa gre za delo v manj ugodnem delovnem času. Državnotožilskemu osebju pripada</w:t>
      </w:r>
      <w:r w:rsidR="00665575">
        <w:rPr>
          <w:rFonts w:cs="Arial"/>
          <w:szCs w:val="20"/>
        </w:rPr>
        <w:t xml:space="preserve"> </w:t>
      </w:r>
      <w:r>
        <w:rPr>
          <w:rFonts w:cs="Arial"/>
          <w:szCs w:val="20"/>
        </w:rPr>
        <w:t>dodatek, če gre za delo v neenakomerno razporejenem delovnem času, delo preko polnega delovnega časa in delo ponoči, ob nedeljah, praznikih in na dan, ki je z zakonom določen kot dela prost dan. ZSPJS glede višine dodatkov napotuje na kolektivno pogodbo za javni sektor, ki v določbah od 44. do 46. člena opredeljuje odstotek dodatka od urne postavke osnovne plače javnega uslužbenca.</w:t>
      </w:r>
    </w:p>
    <w:p w:rsidR="005D5FE1" w:rsidRDefault="005D5FE1" w:rsidP="00B644CC">
      <w:pPr>
        <w:suppressAutoHyphens/>
        <w:spacing w:line="288" w:lineRule="auto"/>
        <w:jc w:val="both"/>
        <w:rPr>
          <w:rFonts w:ascii="Times New Roman" w:hAnsi="Times New Roman" w:cs="Arial"/>
          <w:sz w:val="24"/>
          <w:szCs w:val="20"/>
          <w:lang w:eastAsia="ar-SA"/>
        </w:rPr>
      </w:pPr>
    </w:p>
    <w:p w:rsidR="00AE2155" w:rsidRPr="005D5FE1" w:rsidRDefault="005D5FE1" w:rsidP="00B644CC">
      <w:pPr>
        <w:suppressAutoHyphens/>
        <w:spacing w:line="288" w:lineRule="auto"/>
        <w:jc w:val="both"/>
        <w:rPr>
          <w:rFonts w:cs="Arial"/>
          <w:b/>
          <w:bCs/>
          <w:szCs w:val="20"/>
          <w:lang w:eastAsia="ar-SA"/>
        </w:rPr>
      </w:pPr>
      <w:r w:rsidRPr="005D5FE1">
        <w:rPr>
          <w:rFonts w:cs="Arial"/>
          <w:b/>
          <w:bCs/>
          <w:szCs w:val="20"/>
          <w:lang w:eastAsia="ar-SA"/>
        </w:rPr>
        <w:t xml:space="preserve">K 22. členu </w:t>
      </w:r>
    </w:p>
    <w:p w:rsidR="005D5FE1" w:rsidRDefault="005D5FE1" w:rsidP="005D5FE1">
      <w:pPr>
        <w:spacing w:line="288" w:lineRule="auto"/>
        <w:jc w:val="both"/>
        <w:rPr>
          <w:rFonts w:eastAsia="Calibri" w:cs="Arial"/>
          <w:szCs w:val="20"/>
          <w:highlight w:val="green"/>
        </w:rPr>
      </w:pPr>
      <w:r w:rsidRPr="00C825C3">
        <w:rPr>
          <w:rFonts w:eastAsia="Calibri" w:cs="Arial"/>
          <w:szCs w:val="20"/>
        </w:rPr>
        <w:t xml:space="preserve">Predlagana sprememba </w:t>
      </w:r>
      <w:r w:rsidRPr="00785F2E">
        <w:t xml:space="preserve">v drugi alineji, </w:t>
      </w:r>
      <w:r w:rsidR="001963C8">
        <w:t>drugega odstavka</w:t>
      </w:r>
      <w:r w:rsidRPr="00785F2E">
        <w:t xml:space="preserve"> 138. člen</w:t>
      </w:r>
      <w:r>
        <w:t>a,</w:t>
      </w:r>
      <w:r w:rsidRPr="00785F2E">
        <w:t xml:space="preserve"> v drugem odstavku</w:t>
      </w:r>
      <w:r>
        <w:t xml:space="preserve"> </w:t>
      </w:r>
      <w:r w:rsidRPr="00785F2E">
        <w:t>147. člen</w:t>
      </w:r>
      <w:r>
        <w:t>a</w:t>
      </w:r>
      <w:r w:rsidRPr="00785F2E">
        <w:t>, v drugi alineji</w:t>
      </w:r>
      <w:r>
        <w:t xml:space="preserve"> </w:t>
      </w:r>
      <w:r w:rsidRPr="005D5FE1">
        <w:t xml:space="preserve"> </w:t>
      </w:r>
      <w:r w:rsidR="001963C8">
        <w:t>prvega odstavka</w:t>
      </w:r>
      <w:r>
        <w:t xml:space="preserve"> </w:t>
      </w:r>
      <w:r w:rsidRPr="00785F2E">
        <w:t>149. člen</w:t>
      </w:r>
      <w:r>
        <w:t>a</w:t>
      </w:r>
      <w:r w:rsidRPr="00785F2E">
        <w:t>, v tretji alineji</w:t>
      </w:r>
      <w:r w:rsidRPr="005D5FE1">
        <w:t xml:space="preserve"> </w:t>
      </w:r>
      <w:r w:rsidR="001963C8">
        <w:t>tretjega odstavka</w:t>
      </w:r>
      <w:r w:rsidRPr="00785F2E">
        <w:t xml:space="preserve"> 150. člen</w:t>
      </w:r>
      <w:r>
        <w:t>a</w:t>
      </w:r>
      <w:r w:rsidRPr="00785F2E">
        <w:t>, v osmi alineji</w:t>
      </w:r>
      <w:r w:rsidRPr="005D5FE1">
        <w:t xml:space="preserve"> </w:t>
      </w:r>
      <w:r w:rsidR="001963C8">
        <w:t>drugega odstavka</w:t>
      </w:r>
      <w:r>
        <w:t xml:space="preserve"> </w:t>
      </w:r>
      <w:r w:rsidRPr="00785F2E">
        <w:t>151. člen</w:t>
      </w:r>
      <w:r>
        <w:t>a</w:t>
      </w:r>
      <w:r w:rsidR="006E6DDF">
        <w:t xml:space="preserve"> in </w:t>
      </w:r>
      <w:r w:rsidRPr="00785F2E">
        <w:t xml:space="preserve">v prvi alineji </w:t>
      </w:r>
      <w:r w:rsidR="001963C8">
        <w:t>prvega odstavka</w:t>
      </w:r>
      <w:r w:rsidRPr="00785F2E">
        <w:t xml:space="preserve"> 158. člen</w:t>
      </w:r>
      <w:r>
        <w:t>a</w:t>
      </w:r>
      <w:r w:rsidR="00FD6BFD">
        <w:t xml:space="preserve"> </w:t>
      </w:r>
      <w:r>
        <w:rPr>
          <w:rFonts w:eastAsia="Calibri" w:cs="Arial"/>
          <w:szCs w:val="20"/>
        </w:rPr>
        <w:t>ZDT-1</w:t>
      </w:r>
      <w:r w:rsidRPr="00C825C3">
        <w:rPr>
          <w:rFonts w:eastAsia="Calibri" w:cs="Arial"/>
          <w:szCs w:val="20"/>
        </w:rPr>
        <w:t xml:space="preserve"> je redakcijske narave, saj se za javne uslužbence državnih tožilstev skladno z določbo 11. člena ZDT-1 uporablja izraz »državnotožilsko osebje«.</w:t>
      </w:r>
    </w:p>
    <w:p w:rsidR="005D5FE1" w:rsidRPr="00E032C9" w:rsidRDefault="005D5FE1" w:rsidP="00B644CC">
      <w:pPr>
        <w:suppressAutoHyphens/>
        <w:spacing w:line="288" w:lineRule="auto"/>
        <w:jc w:val="both"/>
        <w:rPr>
          <w:rFonts w:ascii="Times New Roman" w:hAnsi="Times New Roman" w:cs="Arial"/>
          <w:sz w:val="24"/>
          <w:szCs w:val="20"/>
          <w:lang w:eastAsia="ar-SA"/>
        </w:rPr>
      </w:pPr>
    </w:p>
    <w:p w:rsidR="00AE2155" w:rsidRDefault="00AE2155" w:rsidP="00B644CC">
      <w:pPr>
        <w:spacing w:line="288" w:lineRule="auto"/>
        <w:jc w:val="both"/>
        <w:rPr>
          <w:b/>
          <w:szCs w:val="20"/>
        </w:rPr>
      </w:pPr>
      <w:r>
        <w:rPr>
          <w:b/>
          <w:szCs w:val="20"/>
        </w:rPr>
        <w:t xml:space="preserve">K </w:t>
      </w:r>
      <w:r w:rsidR="00665575">
        <w:rPr>
          <w:b/>
          <w:szCs w:val="20"/>
        </w:rPr>
        <w:t>2</w:t>
      </w:r>
      <w:r w:rsidR="00FD6BFD">
        <w:rPr>
          <w:b/>
          <w:szCs w:val="20"/>
        </w:rPr>
        <w:t>3</w:t>
      </w:r>
      <w:r>
        <w:rPr>
          <w:b/>
          <w:szCs w:val="20"/>
        </w:rPr>
        <w:t xml:space="preserve">. členu </w:t>
      </w:r>
    </w:p>
    <w:p w:rsidR="00AE2155" w:rsidRDefault="00AE2155" w:rsidP="00B644CC">
      <w:pPr>
        <w:spacing w:line="288" w:lineRule="auto"/>
        <w:jc w:val="both"/>
        <w:rPr>
          <w:szCs w:val="20"/>
        </w:rPr>
      </w:pPr>
      <w:r>
        <w:rPr>
          <w:szCs w:val="20"/>
        </w:rPr>
        <w:t xml:space="preserve">S predlagano spremembo </w:t>
      </w:r>
      <w:r w:rsidR="005D5FE1">
        <w:rPr>
          <w:szCs w:val="20"/>
        </w:rPr>
        <w:t xml:space="preserve">142. člena </w:t>
      </w:r>
      <w:r>
        <w:rPr>
          <w:szCs w:val="20"/>
        </w:rPr>
        <w:t xml:space="preserve">se odpravlja nedoslednost letnega razporeda v delu, ki določa, da vodja državnega tožilstva z letnim razporedom določi tudi razpored dežurstva in čas izrabe letnih dopustov. </w:t>
      </w:r>
    </w:p>
    <w:p w:rsidR="00AE2155" w:rsidRDefault="00AE2155" w:rsidP="00B644CC">
      <w:pPr>
        <w:spacing w:line="288" w:lineRule="auto"/>
        <w:jc w:val="both"/>
        <w:rPr>
          <w:szCs w:val="20"/>
        </w:rPr>
      </w:pPr>
    </w:p>
    <w:p w:rsidR="00AE2155" w:rsidRPr="006A6EA0" w:rsidRDefault="00AE2155" w:rsidP="00B644CC">
      <w:pPr>
        <w:spacing w:line="288" w:lineRule="auto"/>
        <w:jc w:val="both"/>
        <w:rPr>
          <w:szCs w:val="20"/>
        </w:rPr>
      </w:pPr>
      <w:r>
        <w:rPr>
          <w:szCs w:val="20"/>
        </w:rPr>
        <w:t xml:space="preserve">Izvajanje dežurstva, pogoje in način odrejanja določa Državnotožilski red. Tako v skladu s prvim odstavkom 76. člena Državnotožilskega reda vodja državnega tožilstva izda razpored dežurstva za vsak mesec najmanj sedem dni, v času sodnih počitnic pa 14 dni pred začetkom tega obdobja. </w:t>
      </w:r>
      <w:r w:rsidRPr="006A6EA0">
        <w:rPr>
          <w:szCs w:val="20"/>
        </w:rPr>
        <w:t>V letnem razporedu se lahko določijo le izhodišča in okvirni način odrejanja razporeda dežurstev in časa izrabe letnih dopustov.</w:t>
      </w:r>
    </w:p>
    <w:p w:rsidR="00AE2155" w:rsidRDefault="00AE2155" w:rsidP="00B644CC">
      <w:pPr>
        <w:spacing w:line="288" w:lineRule="auto"/>
        <w:jc w:val="both"/>
        <w:rPr>
          <w:b/>
          <w:szCs w:val="20"/>
        </w:rPr>
      </w:pPr>
    </w:p>
    <w:p w:rsidR="005D5FE1" w:rsidRDefault="005D5FE1" w:rsidP="005D5FE1">
      <w:pPr>
        <w:spacing w:line="288" w:lineRule="auto"/>
        <w:jc w:val="both"/>
        <w:rPr>
          <w:rFonts w:cs="Arial"/>
          <w:szCs w:val="20"/>
        </w:rPr>
      </w:pPr>
      <w:r w:rsidRPr="00796EB1">
        <w:rPr>
          <w:rFonts w:cs="Arial"/>
          <w:b/>
          <w:bCs/>
          <w:szCs w:val="20"/>
        </w:rPr>
        <w:t>K 2</w:t>
      </w:r>
      <w:r w:rsidR="00FD6BFD">
        <w:rPr>
          <w:rFonts w:cs="Arial"/>
          <w:b/>
          <w:bCs/>
          <w:szCs w:val="20"/>
        </w:rPr>
        <w:t>4</w:t>
      </w:r>
      <w:r w:rsidRPr="00796EB1">
        <w:rPr>
          <w:rFonts w:cs="Arial"/>
          <w:b/>
          <w:bCs/>
          <w:szCs w:val="20"/>
        </w:rPr>
        <w:t>. členu</w:t>
      </w:r>
      <w:r>
        <w:rPr>
          <w:rFonts w:cs="Arial"/>
          <w:szCs w:val="20"/>
        </w:rPr>
        <w:t xml:space="preserve"> </w:t>
      </w:r>
    </w:p>
    <w:p w:rsidR="00613494" w:rsidRPr="00497F1C" w:rsidRDefault="00613494" w:rsidP="00613494">
      <w:pPr>
        <w:spacing w:line="288" w:lineRule="auto"/>
        <w:jc w:val="both"/>
        <w:rPr>
          <w:rFonts w:eastAsia="Calibri" w:cs="Arial"/>
          <w:szCs w:val="20"/>
          <w:lang w:eastAsia="sl-SI"/>
        </w:rPr>
      </w:pPr>
      <w:bookmarkStart w:id="48" w:name="_Hlk43217030"/>
      <w:r w:rsidRPr="00497F1C">
        <w:rPr>
          <w:rFonts w:eastAsia="Calibri" w:cs="Arial"/>
          <w:szCs w:val="20"/>
          <w:lang w:eastAsia="sl-SI"/>
        </w:rPr>
        <w:t xml:space="preserve">Določba 169. člena ZDT-1 je ob sprejemu ZDT-1 (2011) uvedla novost, ki dotlej v zakonu ni bila poznana. Gre za določitev načinov zagotavljanja učinkovitosti in enotnosti pregona. Z določbo 169. člena se je v povezavi z določbo o prevzemu zadeve (170. člen ZDT-1) uredilo postopanje vodje državnega tožilstva v zadevah, v katerih si bo vodja pridržal predhodno seznanitev z odločitvijo državnega tožilca. Vodja državnega tožilstva naj bi tako najprej (tj. vnaprej) določil vrsto zadev in način obveščanja o zadevah, v katerih mu morajo državni tožilci pred odločitvijo predložiti na vpogled osnutek svojega akta zaradi zagotavljanja enotnosti pregona. Z novim ZDT-1 je bila namreč poudarjena vloga vodje tožilstva, ki je sicer ohranil vlogo organizacijskega in izvedbenega usklajevanja in zagotavljanja enotnosti pregona, vendar pa je zakon njegovo vlogo odločanja v posameznih zadevah omejil. Ohranil je institut prevzema zadeve oziroma evokacijo, ki upravičuje, da vodja poleg strokovnega usmerjanja izenačuje funkcijo pregona z neposrednim posegom, vendar ob večjem zagotovilu naknadnega preizkusa pravilnosti odločitve na podlagi zahteve državnega tožilca, ki mu je bila zadeva odvzeta. Izvajanje določbe 169. člena ZDT-1 v praksi je pokazalo, da navedena določba pri večini državnih tožilstev ni bila razumljena na način, kot je bila ob sprejemu ZDT-1 oblikovana. </w:t>
      </w:r>
    </w:p>
    <w:p w:rsidR="00613494" w:rsidRPr="00497F1C" w:rsidRDefault="00613494" w:rsidP="00613494">
      <w:pPr>
        <w:spacing w:line="288" w:lineRule="auto"/>
        <w:jc w:val="both"/>
        <w:rPr>
          <w:rFonts w:eastAsia="Calibri" w:cs="Arial"/>
          <w:szCs w:val="20"/>
          <w:lang w:eastAsia="sl-SI"/>
        </w:rPr>
      </w:pPr>
    </w:p>
    <w:p w:rsidR="00613494" w:rsidRPr="00497F1C" w:rsidRDefault="00613494" w:rsidP="00613494">
      <w:pPr>
        <w:spacing w:line="288" w:lineRule="auto"/>
        <w:jc w:val="both"/>
        <w:rPr>
          <w:rFonts w:eastAsia="Calibri" w:cs="Arial"/>
          <w:szCs w:val="20"/>
          <w:lang w:eastAsia="sl-SI"/>
        </w:rPr>
      </w:pPr>
      <w:r w:rsidRPr="00497F1C">
        <w:rPr>
          <w:rFonts w:eastAsia="Calibri" w:cs="Arial"/>
          <w:szCs w:val="20"/>
          <w:lang w:eastAsia="sl-SI"/>
        </w:rPr>
        <w:t xml:space="preserve">Svojo odločitev, da ne bo začel kazenskega pregona, državni tožilec izrazi z zavrženjem kazenske ovadbe, pri čemer so v prvem odstavku 161. členu Zakona o kazenskem postopku navedeni materialnopravni in procesnopravni razlogi, zaradi katerih sme državni tožilec zavreči ovadbo. Takšna odločitev državnega tožilca ima za posledico praviloma zaključek predkazenskega postopka in torej pomembno vpliva na politiko pregona že v njeni najbolj zgodnji fazi. Zaradi navedenega je temu institutu poleg kazensko procesne ureditve dodatna pozornost namenjena tudi v osrednjem strateškem dokumentu generalnega državnega tožilca RS »Politika pregona </w:t>
      </w:r>
      <w:r w:rsidRPr="00497F1C">
        <w:rPr>
          <w:rFonts w:eastAsia="Calibri" w:cs="Arial"/>
          <w:szCs w:val="20"/>
          <w:lang w:eastAsia="sl-SI"/>
        </w:rPr>
        <w:lastRenderedPageBreak/>
        <w:t>državnega tožilstva Republike Slovenije</w:t>
      </w:r>
      <w:r w:rsidRPr="00497F1C">
        <w:rPr>
          <w:rStyle w:val="Sprotnaopomba-sklic"/>
          <w:rFonts w:eastAsia="Calibri" w:cs="Arial"/>
          <w:szCs w:val="20"/>
          <w:lang w:eastAsia="sl-SI"/>
        </w:rPr>
        <w:footnoteReference w:id="35"/>
      </w:r>
      <w:r w:rsidRPr="00497F1C">
        <w:rPr>
          <w:rFonts w:eastAsia="Calibri" w:cs="Arial"/>
          <w:szCs w:val="20"/>
          <w:lang w:eastAsia="sl-SI"/>
        </w:rPr>
        <w:t>«. Nadalje iz statističnih podatkov Skupnega poročila o delu državnih tožilstev za leto 2019</w:t>
      </w:r>
      <w:r w:rsidRPr="00497F1C">
        <w:rPr>
          <w:rStyle w:val="Sprotnaopomba-sklic"/>
          <w:rFonts w:eastAsia="Calibri" w:cs="Arial"/>
          <w:szCs w:val="20"/>
          <w:lang w:eastAsia="sl-SI"/>
        </w:rPr>
        <w:footnoteReference w:id="36"/>
      </w:r>
      <w:r w:rsidRPr="00497F1C">
        <w:rPr>
          <w:rFonts w:eastAsia="Calibri" w:cs="Arial"/>
          <w:szCs w:val="20"/>
          <w:lang w:eastAsia="sl-SI"/>
        </w:rPr>
        <w:t xml:space="preserve"> izhaja, da največji delež (61%) od skupno 16.554 zavrženih ovadb zoper polnoletne storilce predstavlja zavrženje iz drugih razlogov, kar so zlasti zavrženja v primerih, v katerih niso podane dokazno</w:t>
      </w:r>
      <w:r w:rsidR="009539C1">
        <w:rPr>
          <w:rFonts w:eastAsia="Calibri" w:cs="Arial"/>
          <w:szCs w:val="20"/>
          <w:lang w:eastAsia="sl-SI"/>
        </w:rPr>
        <w:t>-</w:t>
      </w:r>
      <w:r w:rsidRPr="00497F1C">
        <w:rPr>
          <w:rFonts w:eastAsia="Calibri" w:cs="Arial"/>
          <w:szCs w:val="20"/>
          <w:lang w:eastAsia="sl-SI"/>
        </w:rPr>
        <w:t>pravne (dejanske) in materialnopravne predpostavke za pregon.</w:t>
      </w:r>
    </w:p>
    <w:p w:rsidR="00613494" w:rsidRPr="00497F1C" w:rsidRDefault="00613494" w:rsidP="00613494">
      <w:pPr>
        <w:spacing w:line="288" w:lineRule="auto"/>
        <w:jc w:val="both"/>
        <w:rPr>
          <w:rFonts w:eastAsia="Calibri" w:cs="Arial"/>
          <w:szCs w:val="20"/>
          <w:lang w:eastAsia="sl-SI"/>
        </w:rPr>
      </w:pPr>
    </w:p>
    <w:p w:rsidR="00A419B3" w:rsidRPr="00497F1C" w:rsidRDefault="00613494" w:rsidP="00A419B3">
      <w:pPr>
        <w:spacing w:line="288" w:lineRule="auto"/>
        <w:jc w:val="both"/>
        <w:rPr>
          <w:rFonts w:eastAsia="Calibri" w:cs="Arial"/>
          <w:szCs w:val="20"/>
          <w:lang w:eastAsia="sl-SI"/>
        </w:rPr>
      </w:pPr>
      <w:r w:rsidRPr="00497F1C">
        <w:rPr>
          <w:rFonts w:eastAsia="Calibri" w:cs="Arial"/>
          <w:szCs w:val="20"/>
          <w:lang w:eastAsia="sl-SI"/>
        </w:rPr>
        <w:t>Upoštevaje vsebino in pomen odločitve državnega tožilca o zavrženju ovadbe</w:t>
      </w:r>
      <w:r w:rsidR="00806A01">
        <w:rPr>
          <w:rFonts w:eastAsia="Calibri" w:cs="Arial"/>
          <w:szCs w:val="20"/>
          <w:lang w:eastAsia="sl-SI"/>
        </w:rPr>
        <w:t xml:space="preserve"> v težjih zadevah </w:t>
      </w:r>
      <w:r w:rsidRPr="00497F1C">
        <w:rPr>
          <w:rFonts w:eastAsia="Calibri" w:cs="Arial"/>
          <w:szCs w:val="20"/>
          <w:lang w:eastAsia="sl-SI"/>
        </w:rPr>
        <w:t>se z namenom zagotovitve dodatnih orodij in vzvodov vodjem državnih tožilstev pri zagotavljanju enotnosti pregona ter širše krepitvi ugleda pravosodja v javnosti, predlaga predhodna predložitev osnutka akta o zavrženju ovadbe v sopodpis vodji državnega tožilstva ne le v zadevah posebnega pomena kot to izhaja iz veljavne določbe 90. člena Državnotožilskega reda, temveč tudi v primerih zavrženja ovadb za kazniva dejanja, za katera je v Kazenskem zakoniku predpisana kazen zapora več kot tri</w:t>
      </w:r>
      <w:r w:rsidR="00806A01">
        <w:rPr>
          <w:rFonts w:eastAsia="Calibri" w:cs="Arial"/>
          <w:szCs w:val="20"/>
          <w:lang w:eastAsia="sl-SI"/>
        </w:rPr>
        <w:t xml:space="preserve"> oziroma osem let</w:t>
      </w:r>
      <w:r w:rsidRPr="00497F1C">
        <w:rPr>
          <w:rFonts w:eastAsia="Calibri" w:cs="Arial"/>
          <w:szCs w:val="20"/>
          <w:lang w:eastAsia="sl-SI"/>
        </w:rPr>
        <w:t>.</w:t>
      </w:r>
      <w:r w:rsidR="00FD5779">
        <w:rPr>
          <w:rFonts w:eastAsia="Calibri" w:cs="Arial"/>
          <w:szCs w:val="20"/>
          <w:lang w:eastAsia="sl-SI"/>
        </w:rPr>
        <w:t xml:space="preserve"> </w:t>
      </w:r>
      <w:r w:rsidR="00FD5779" w:rsidRPr="00A419B3">
        <w:rPr>
          <w:rFonts w:eastAsia="Calibri" w:cs="Arial"/>
          <w:szCs w:val="20"/>
          <w:lang w:eastAsia="sl-SI"/>
        </w:rPr>
        <w:t xml:space="preserve">V teh primerih bo državni tožilec akt o zavrženju ovadbe izdal šele potem, ko bo vodja državnega tožilstva s podpisom na osnutku in v internem opomniku označil, da je osnutek oziroma odredbo pregledal in ji ne nasprotuje. </w:t>
      </w:r>
      <w:r w:rsidR="00821193" w:rsidRPr="00A419B3">
        <w:rPr>
          <w:rFonts w:eastAsia="Calibri" w:cs="Arial"/>
          <w:szCs w:val="20"/>
          <w:lang w:eastAsia="sl-SI"/>
        </w:rPr>
        <w:t>Na podpis vodje na osnutku akta in v internem opomniku bo moral paziti tudi vpisničar</w:t>
      </w:r>
      <w:r w:rsidR="00A419B3">
        <w:rPr>
          <w:rFonts w:eastAsia="Calibri" w:cs="Arial"/>
          <w:szCs w:val="20"/>
          <w:lang w:eastAsia="sl-SI"/>
        </w:rPr>
        <w:t>,</w:t>
      </w:r>
      <w:r w:rsidR="00821193" w:rsidRPr="00A419B3">
        <w:rPr>
          <w:rFonts w:eastAsia="Calibri" w:cs="Arial"/>
          <w:szCs w:val="20"/>
          <w:lang w:eastAsia="sl-SI"/>
        </w:rPr>
        <w:t xml:space="preserve"> preden bo odpremil akt o zavrženju ovadbe. </w:t>
      </w:r>
      <w:r w:rsidRPr="00A419B3">
        <w:rPr>
          <w:rFonts w:eastAsia="Calibri" w:cs="Arial"/>
          <w:szCs w:val="20"/>
          <w:lang w:eastAsia="sl-SI"/>
        </w:rPr>
        <w:t>Predlagan institut je usmerjen k poenotenju poslovanja državnega tožilstva in ohranja vlogo vodje</w:t>
      </w:r>
      <w:r w:rsidRPr="00497F1C">
        <w:rPr>
          <w:rFonts w:eastAsia="Calibri" w:cs="Arial"/>
          <w:szCs w:val="20"/>
          <w:lang w:eastAsia="sl-SI"/>
        </w:rPr>
        <w:t xml:space="preserve"> tožilstva pri organizacijskem in operativnem usklajevanju ter zagotavljanju enotnosti pregona. Zaradi ohranjanja zaupanja v pravo je potrebno zasledovati predvidljivost in zanesljivost pri enotnem izvajanju pregona, v skladu z zakonom in enako v bistveno podobnih primerih. Če se vodja državnega tožilstva ne bo strinjal z odločitvijo državnega tožilca, ker bo ta odstopala od uveljavljene politike pregona, bo vodja lahko postopal le po določbah tega zakona, ki veljajo za prevzem zadeve. </w:t>
      </w:r>
      <w:r w:rsidR="00A419B3" w:rsidRPr="00497F1C">
        <w:rPr>
          <w:rFonts w:eastAsia="Calibri" w:cs="Arial"/>
          <w:szCs w:val="20"/>
          <w:lang w:eastAsia="sl-SI"/>
        </w:rPr>
        <w:t xml:space="preserve">Na ta način se daje vodji vzvod </w:t>
      </w:r>
      <w:r w:rsidR="00A419B3">
        <w:rPr>
          <w:rFonts w:eastAsia="Calibri" w:cs="Arial"/>
          <w:szCs w:val="20"/>
          <w:lang w:eastAsia="sl-SI"/>
        </w:rPr>
        <w:t xml:space="preserve">(obligatornega) instančnega </w:t>
      </w:r>
      <w:r w:rsidR="00A419B3" w:rsidRPr="00497F1C">
        <w:rPr>
          <w:rFonts w:eastAsia="Calibri" w:cs="Arial"/>
          <w:szCs w:val="20"/>
          <w:lang w:eastAsia="sl-SI"/>
        </w:rPr>
        <w:t>nadzora nad zakonitostjo</w:t>
      </w:r>
      <w:r w:rsidR="00A419B3">
        <w:rPr>
          <w:rFonts w:eastAsia="Calibri" w:cs="Arial"/>
          <w:szCs w:val="20"/>
          <w:lang w:eastAsia="sl-SI"/>
        </w:rPr>
        <w:t xml:space="preserve"> in</w:t>
      </w:r>
      <w:r w:rsidR="00A419B3" w:rsidRPr="00497F1C">
        <w:rPr>
          <w:rFonts w:eastAsia="Calibri" w:cs="Arial"/>
          <w:szCs w:val="20"/>
          <w:lang w:eastAsia="sl-SI"/>
        </w:rPr>
        <w:t xml:space="preserve"> strokovno pravilnostjo dela državnega tožilca</w:t>
      </w:r>
      <w:r w:rsidR="00A419B3">
        <w:rPr>
          <w:rFonts w:eastAsia="Calibri" w:cs="Arial"/>
          <w:szCs w:val="20"/>
          <w:lang w:eastAsia="sl-SI"/>
        </w:rPr>
        <w:t xml:space="preserve"> v primerih zavrženj ovadb za kazniva dejanja, za katera je v zakonu predpisana kazen zapora več kot tri leta</w:t>
      </w:r>
      <w:r w:rsidR="00A419B3" w:rsidRPr="00497F1C">
        <w:rPr>
          <w:rFonts w:eastAsia="Calibri" w:cs="Arial"/>
          <w:szCs w:val="20"/>
          <w:lang w:eastAsia="sl-SI"/>
        </w:rPr>
        <w:t>.</w:t>
      </w:r>
    </w:p>
    <w:p w:rsidR="00A419B3" w:rsidRPr="00497F1C" w:rsidRDefault="00A419B3" w:rsidP="00A419B3">
      <w:pPr>
        <w:spacing w:line="288" w:lineRule="auto"/>
        <w:jc w:val="both"/>
        <w:rPr>
          <w:rFonts w:eastAsia="Calibri" w:cs="Arial"/>
          <w:szCs w:val="20"/>
          <w:lang w:eastAsia="sl-SI"/>
        </w:rPr>
      </w:pPr>
    </w:p>
    <w:p w:rsidR="00613494" w:rsidRPr="00497F1C" w:rsidRDefault="00613494" w:rsidP="00613494">
      <w:pPr>
        <w:spacing w:line="288" w:lineRule="auto"/>
        <w:jc w:val="both"/>
        <w:rPr>
          <w:rFonts w:eastAsia="Calibri" w:cs="Arial"/>
          <w:szCs w:val="20"/>
          <w:lang w:eastAsia="sl-SI"/>
        </w:rPr>
      </w:pPr>
    </w:p>
    <w:p w:rsidR="00613494" w:rsidRDefault="00613494" w:rsidP="00613494">
      <w:pPr>
        <w:spacing w:line="288" w:lineRule="auto"/>
        <w:jc w:val="both"/>
        <w:rPr>
          <w:rFonts w:eastAsia="Calibri" w:cs="Arial"/>
          <w:szCs w:val="20"/>
          <w:lang w:eastAsia="sl-SI"/>
        </w:rPr>
      </w:pPr>
      <w:r w:rsidRPr="00497F1C">
        <w:rPr>
          <w:rFonts w:eastAsia="Calibri" w:cs="Arial"/>
          <w:szCs w:val="20"/>
          <w:lang w:eastAsia="sl-SI"/>
        </w:rPr>
        <w:t>S predlagano ureditvijo, ki ureja sopodpis vodje državnega tožilstva (v primerih zavrženja ovadb za kazniva dejanja, za katera je v Kazenskem zakoniku predpisana kazen zapora več kot osem let, po predhodni pridobitvi mnenja dveh državnih tožilcev državnega tožilstva</w:t>
      </w:r>
      <w:r w:rsidR="00A419B3">
        <w:rPr>
          <w:rFonts w:eastAsia="Calibri" w:cs="Arial"/>
          <w:szCs w:val="20"/>
          <w:lang w:eastAsia="sl-SI"/>
        </w:rPr>
        <w:t>,</w:t>
      </w:r>
      <w:r w:rsidRPr="00497F1C">
        <w:rPr>
          <w:rFonts w:eastAsia="Calibri" w:cs="Arial"/>
          <w:szCs w:val="20"/>
          <w:lang w:eastAsia="sl-SI"/>
        </w:rPr>
        <w:t xml:space="preserve"> na katerem se zadeva obravnava, upoštevaje specifiko organizacije posameznega državnega tožilstva), se nadgrajujejo tudi že sprejete rešitve v Zakonu o spremembah in dopolnitvah Zakona o kazenskem postopku (ZKP-N), saj se vnaša dodatna varovalka, ki preprečuje neutemeljeno oziroma prezgodnje zavrženje ovadb</w:t>
      </w:r>
      <w:r w:rsidR="00677461">
        <w:rPr>
          <w:rFonts w:eastAsia="Calibri" w:cs="Arial"/>
          <w:szCs w:val="20"/>
          <w:lang w:eastAsia="sl-SI"/>
        </w:rPr>
        <w:t>,</w:t>
      </w:r>
      <w:r w:rsidRPr="00497F1C">
        <w:rPr>
          <w:rFonts w:eastAsia="Calibri" w:cs="Arial"/>
          <w:szCs w:val="20"/>
          <w:lang w:eastAsia="sl-SI"/>
        </w:rPr>
        <w:t xml:space="preserve"> in ki omogoča bolj kakovostne utemeljene odločitve državnega tožilca v primerih, kjer je glede na višino predpisane kazni še posebej izražen javni interes za nadaljevanje pregona.</w:t>
      </w:r>
    </w:p>
    <w:bookmarkEnd w:id="48"/>
    <w:p w:rsidR="00BC0DA5" w:rsidRDefault="00BC0DA5" w:rsidP="00BC0DA5">
      <w:pPr>
        <w:spacing w:line="288" w:lineRule="auto"/>
        <w:jc w:val="both"/>
        <w:rPr>
          <w:rFonts w:eastAsia="Calibri" w:cs="Arial"/>
          <w:szCs w:val="20"/>
          <w:lang w:eastAsia="sl-SI"/>
        </w:rPr>
      </w:pPr>
    </w:p>
    <w:p w:rsidR="00AE2155" w:rsidRDefault="00AE2155" w:rsidP="00B644CC">
      <w:pPr>
        <w:spacing w:line="288" w:lineRule="auto"/>
        <w:jc w:val="both"/>
        <w:rPr>
          <w:b/>
          <w:szCs w:val="20"/>
        </w:rPr>
      </w:pPr>
      <w:r>
        <w:rPr>
          <w:b/>
          <w:szCs w:val="20"/>
        </w:rPr>
        <w:t xml:space="preserve">K </w:t>
      </w:r>
      <w:r w:rsidR="005D5FE1">
        <w:rPr>
          <w:b/>
          <w:szCs w:val="20"/>
        </w:rPr>
        <w:t>2</w:t>
      </w:r>
      <w:r w:rsidR="00FD6BFD">
        <w:rPr>
          <w:b/>
          <w:szCs w:val="20"/>
        </w:rPr>
        <w:t>5</w:t>
      </w:r>
      <w:r>
        <w:rPr>
          <w:b/>
          <w:szCs w:val="20"/>
        </w:rPr>
        <w:t>. členu</w:t>
      </w:r>
    </w:p>
    <w:p w:rsidR="001963C8" w:rsidRDefault="00FD6BFD" w:rsidP="001963C8">
      <w:pPr>
        <w:spacing w:line="288" w:lineRule="auto"/>
        <w:jc w:val="both"/>
        <w:rPr>
          <w:rFonts w:eastAsia="Calibri" w:cs="Arial"/>
          <w:szCs w:val="20"/>
          <w:highlight w:val="green"/>
        </w:rPr>
      </w:pPr>
      <w:r>
        <w:rPr>
          <w:rFonts w:eastAsia="Calibri" w:cs="Arial"/>
          <w:szCs w:val="20"/>
        </w:rPr>
        <w:t>S predlagano določbo se v petem odstavku 173. člena z</w:t>
      </w:r>
      <w:r w:rsidR="00AE2155" w:rsidRPr="00AE5BFA">
        <w:rPr>
          <w:rFonts w:eastAsia="Calibri" w:cs="Arial"/>
          <w:szCs w:val="20"/>
        </w:rPr>
        <w:t xml:space="preserve">a posredovanje pojasnil oziroma vložitev ugovora v </w:t>
      </w:r>
      <w:r w:rsidR="00AE2155">
        <w:rPr>
          <w:rFonts w:eastAsia="Calibri" w:cs="Arial"/>
          <w:szCs w:val="20"/>
        </w:rPr>
        <w:t xml:space="preserve">fazi oprave </w:t>
      </w:r>
      <w:r w:rsidR="00AE2155" w:rsidRPr="00AE5BFA">
        <w:rPr>
          <w:rFonts w:eastAsia="Calibri" w:cs="Arial"/>
          <w:szCs w:val="20"/>
        </w:rPr>
        <w:t>strokovne</w:t>
      </w:r>
      <w:r w:rsidR="00AE2155">
        <w:rPr>
          <w:rFonts w:eastAsia="Calibri" w:cs="Arial"/>
          <w:szCs w:val="20"/>
        </w:rPr>
        <w:t xml:space="preserve">ga </w:t>
      </w:r>
      <w:r w:rsidR="00AE2155" w:rsidRPr="00AE5BFA">
        <w:rPr>
          <w:rFonts w:eastAsia="Calibri" w:cs="Arial"/>
          <w:szCs w:val="20"/>
        </w:rPr>
        <w:t>nadzor</w:t>
      </w:r>
      <w:r w:rsidR="00AE2155">
        <w:rPr>
          <w:rFonts w:eastAsia="Calibri" w:cs="Arial"/>
          <w:szCs w:val="20"/>
        </w:rPr>
        <w:t>a nad delom okrožnih državnih tožilstev</w:t>
      </w:r>
      <w:r w:rsidR="00AE2155" w:rsidRPr="00AE5BFA">
        <w:rPr>
          <w:rFonts w:eastAsia="Calibri" w:cs="Arial"/>
          <w:szCs w:val="20"/>
        </w:rPr>
        <w:t xml:space="preserve"> predlaga krajšanje roka na osem dni</w:t>
      </w:r>
      <w:r w:rsidR="001963C8">
        <w:rPr>
          <w:rFonts w:eastAsia="Calibri" w:cs="Arial"/>
          <w:szCs w:val="20"/>
        </w:rPr>
        <w:t xml:space="preserve"> ter redakcijsko nadomešča izraz </w:t>
      </w:r>
      <w:r w:rsidR="001963C8" w:rsidRPr="00C825C3">
        <w:rPr>
          <w:rFonts w:eastAsia="Calibri" w:cs="Arial"/>
          <w:szCs w:val="20"/>
        </w:rPr>
        <w:t>za javne uslužbence državnih tožilstev</w:t>
      </w:r>
      <w:r w:rsidR="001963C8">
        <w:rPr>
          <w:rFonts w:eastAsia="Calibri" w:cs="Arial"/>
          <w:szCs w:val="20"/>
        </w:rPr>
        <w:t xml:space="preserve">, za katere je uveljavljen izraz </w:t>
      </w:r>
      <w:r w:rsidR="001963C8" w:rsidRPr="00C825C3">
        <w:rPr>
          <w:rFonts w:eastAsia="Calibri" w:cs="Arial"/>
          <w:szCs w:val="20"/>
        </w:rPr>
        <w:t>skladno z določbo 11. člena ZDT-1 »državnotožilsko osebje«.</w:t>
      </w:r>
    </w:p>
    <w:p w:rsidR="00AE2155" w:rsidRPr="006E178C" w:rsidRDefault="00AE2155" w:rsidP="00B644CC">
      <w:pPr>
        <w:spacing w:line="288" w:lineRule="auto"/>
        <w:jc w:val="both"/>
        <w:rPr>
          <w:rFonts w:eastAsia="Calibri" w:cs="Arial"/>
          <w:szCs w:val="20"/>
        </w:rPr>
      </w:pPr>
    </w:p>
    <w:p w:rsidR="00613494" w:rsidRDefault="00AE2155" w:rsidP="00B644CC">
      <w:pPr>
        <w:spacing w:line="288" w:lineRule="auto"/>
        <w:jc w:val="both"/>
        <w:rPr>
          <w:b/>
          <w:szCs w:val="20"/>
        </w:rPr>
      </w:pPr>
      <w:r>
        <w:rPr>
          <w:b/>
          <w:szCs w:val="20"/>
        </w:rPr>
        <w:t xml:space="preserve">K </w:t>
      </w:r>
      <w:r w:rsidR="00FD6BFD">
        <w:rPr>
          <w:b/>
          <w:szCs w:val="20"/>
        </w:rPr>
        <w:t>26</w:t>
      </w:r>
      <w:r>
        <w:rPr>
          <w:b/>
          <w:szCs w:val="20"/>
        </w:rPr>
        <w:t>. členu</w:t>
      </w:r>
    </w:p>
    <w:p w:rsidR="00AE2155" w:rsidRPr="00613494" w:rsidRDefault="00AE2155" w:rsidP="00B644CC">
      <w:pPr>
        <w:spacing w:line="288" w:lineRule="auto"/>
        <w:jc w:val="both"/>
        <w:rPr>
          <w:b/>
          <w:szCs w:val="20"/>
        </w:rPr>
      </w:pPr>
      <w:r w:rsidRPr="00155219">
        <w:rPr>
          <w:szCs w:val="20"/>
        </w:rPr>
        <w:t>S predlagano ureditvijo se poimenovanje Oddelka za preiskovanje in pregon uradnih oseb s posebnimi pooblastili (v nadaljnjem besedilu: Posebni oddelek) usklajuje s poimenovanje</w:t>
      </w:r>
      <w:r w:rsidR="00A419B3">
        <w:rPr>
          <w:szCs w:val="20"/>
        </w:rPr>
        <w:t>m</w:t>
      </w:r>
      <w:r w:rsidRPr="00155219">
        <w:rPr>
          <w:szCs w:val="20"/>
        </w:rPr>
        <w:t xml:space="preserve"> kot izhaja iz 3. poglavja </w:t>
      </w:r>
      <w:r w:rsidR="00A419B3">
        <w:rPr>
          <w:szCs w:val="20"/>
        </w:rPr>
        <w:t xml:space="preserve">5. dela </w:t>
      </w:r>
      <w:r w:rsidRPr="00155219">
        <w:rPr>
          <w:szCs w:val="20"/>
        </w:rPr>
        <w:t xml:space="preserve">veljavnega zakona, ki ureja delovanje Posebnega oddelka. </w:t>
      </w:r>
    </w:p>
    <w:p w:rsidR="00AE2155" w:rsidRDefault="00AE2155" w:rsidP="00B644CC">
      <w:pPr>
        <w:spacing w:line="288" w:lineRule="auto"/>
        <w:jc w:val="both"/>
        <w:rPr>
          <w:b/>
          <w:szCs w:val="20"/>
        </w:rPr>
      </w:pPr>
    </w:p>
    <w:p w:rsidR="00AE2155" w:rsidRDefault="00AE2155" w:rsidP="00B644CC">
      <w:pPr>
        <w:spacing w:line="288" w:lineRule="auto"/>
        <w:jc w:val="both"/>
        <w:rPr>
          <w:b/>
          <w:szCs w:val="20"/>
        </w:rPr>
      </w:pPr>
      <w:bookmarkStart w:id="49" w:name="_Hlk42251119"/>
      <w:r>
        <w:rPr>
          <w:b/>
          <w:szCs w:val="20"/>
        </w:rPr>
        <w:lastRenderedPageBreak/>
        <w:t>K 2</w:t>
      </w:r>
      <w:r w:rsidR="00FD6BFD">
        <w:rPr>
          <w:b/>
          <w:szCs w:val="20"/>
        </w:rPr>
        <w:t>7</w:t>
      </w:r>
      <w:r>
        <w:rPr>
          <w:b/>
          <w:szCs w:val="20"/>
        </w:rPr>
        <w:t>. členu</w:t>
      </w:r>
    </w:p>
    <w:p w:rsidR="00DE75D4" w:rsidRDefault="00DE75D4" w:rsidP="00DE75D4">
      <w:pPr>
        <w:spacing w:line="288" w:lineRule="auto"/>
        <w:jc w:val="both"/>
        <w:rPr>
          <w:szCs w:val="20"/>
        </w:rPr>
      </w:pPr>
      <w:r w:rsidRPr="00353C37">
        <w:rPr>
          <w:szCs w:val="20"/>
        </w:rPr>
        <w:t xml:space="preserve">S predlagano spremembo prvega in drugega odstavka se urejajo situacije v praksi, ko je vrhovni državni tožilec </w:t>
      </w:r>
      <w:r>
        <w:rPr>
          <w:szCs w:val="20"/>
        </w:rPr>
        <w:t xml:space="preserve">imenovan ali </w:t>
      </w:r>
      <w:r w:rsidRPr="00353C37">
        <w:rPr>
          <w:szCs w:val="20"/>
        </w:rPr>
        <w:t>dodeljen na S</w:t>
      </w:r>
      <w:r>
        <w:rPr>
          <w:szCs w:val="20"/>
        </w:rPr>
        <w:t xml:space="preserve">pecializirano državno tožilstvo (SDT). </w:t>
      </w:r>
    </w:p>
    <w:p w:rsidR="00DE75D4" w:rsidRDefault="00DE75D4" w:rsidP="00DE75D4">
      <w:pPr>
        <w:spacing w:line="288" w:lineRule="auto"/>
        <w:jc w:val="both"/>
        <w:rPr>
          <w:szCs w:val="20"/>
        </w:rPr>
      </w:pPr>
    </w:p>
    <w:p w:rsidR="00FC0F01" w:rsidRDefault="00DE75D4" w:rsidP="00FC0F01">
      <w:pPr>
        <w:spacing w:line="288" w:lineRule="auto"/>
        <w:jc w:val="both"/>
        <w:rPr>
          <w:szCs w:val="20"/>
        </w:rPr>
      </w:pPr>
      <w:r>
        <w:rPr>
          <w:szCs w:val="20"/>
        </w:rPr>
        <w:t xml:space="preserve">Veljavni četrti odstavek določa višino plačnega razreda državnega tožilca, ki je imenovan na SDT. Ker do situacije, ki jo določa drugi stavek četrtega odstavka 169. člena ZDT-1 ne more priti, se predlaga črtanje tega stavka. Plača višjega državnega tožilca namreč pripada dodeljenemu okrajnemu državnemu tožilcu, pri čemer je ta funkcija v skladu s Prilogo 3 ZSPJS uvrščena v 47-51 plačni razred, funkcija višjega državnega tožilca pa v 55-57 plačni razred. </w:t>
      </w:r>
      <w:bookmarkEnd w:id="49"/>
    </w:p>
    <w:p w:rsidR="00FC0F01" w:rsidRDefault="00FC0F01" w:rsidP="00B644CC">
      <w:pPr>
        <w:spacing w:line="288" w:lineRule="auto"/>
        <w:jc w:val="both"/>
        <w:rPr>
          <w:b/>
          <w:szCs w:val="20"/>
        </w:rPr>
      </w:pPr>
    </w:p>
    <w:p w:rsidR="00AE2155" w:rsidRDefault="00AE2155" w:rsidP="00B644CC">
      <w:pPr>
        <w:spacing w:line="288" w:lineRule="auto"/>
        <w:jc w:val="both"/>
        <w:rPr>
          <w:b/>
          <w:szCs w:val="20"/>
        </w:rPr>
      </w:pPr>
      <w:r>
        <w:rPr>
          <w:b/>
          <w:szCs w:val="20"/>
        </w:rPr>
        <w:t>K 2</w:t>
      </w:r>
      <w:r w:rsidR="00FD6BFD">
        <w:rPr>
          <w:b/>
          <w:szCs w:val="20"/>
        </w:rPr>
        <w:t>8</w:t>
      </w:r>
      <w:r>
        <w:rPr>
          <w:b/>
          <w:szCs w:val="20"/>
        </w:rPr>
        <w:t xml:space="preserve">. členu </w:t>
      </w:r>
    </w:p>
    <w:p w:rsidR="00AE2155" w:rsidRPr="00DC70A4" w:rsidRDefault="00AE2155" w:rsidP="00B644CC">
      <w:pPr>
        <w:spacing w:line="288" w:lineRule="auto"/>
        <w:jc w:val="both"/>
        <w:rPr>
          <w:szCs w:val="20"/>
        </w:rPr>
      </w:pPr>
      <w:bookmarkStart w:id="50" w:name="_Hlk41034250"/>
      <w:r w:rsidRPr="00DC70A4">
        <w:rPr>
          <w:szCs w:val="20"/>
        </w:rPr>
        <w:t>Posledično razlogu hitrejšega reševanja obsežnih in strokovno najzahtevnejših zadev se predlaga sprememba 198. člena z dodano možnostjo, da vodja SDT generalnemu državnemu tožilcu po potrebi dodatno pojasni razloge za dodelitev zadeve krajevno pristojnemu okrožnemu državnemu tožilstvu</w:t>
      </w:r>
      <w:bookmarkEnd w:id="50"/>
      <w:r w:rsidRPr="00DC70A4">
        <w:rPr>
          <w:szCs w:val="20"/>
        </w:rPr>
        <w:t xml:space="preserve">. </w:t>
      </w:r>
    </w:p>
    <w:p w:rsidR="00AE2155" w:rsidRPr="00DC70A4" w:rsidRDefault="00AE2155" w:rsidP="00B644CC">
      <w:pPr>
        <w:spacing w:line="288" w:lineRule="auto"/>
        <w:jc w:val="both"/>
        <w:rPr>
          <w:szCs w:val="20"/>
        </w:rPr>
      </w:pPr>
    </w:p>
    <w:p w:rsidR="00AE2155" w:rsidRDefault="00AE2155" w:rsidP="00B644CC">
      <w:pPr>
        <w:spacing w:line="288" w:lineRule="auto"/>
        <w:jc w:val="both"/>
        <w:rPr>
          <w:szCs w:val="20"/>
        </w:rPr>
      </w:pPr>
      <w:r w:rsidRPr="00DC70A4">
        <w:rPr>
          <w:szCs w:val="20"/>
        </w:rPr>
        <w:t>Če se vodja krajevno pristojnega okrožnega državnega tožilstva ne strinja z dodelitvijo, lahko ta predlaga, da o utemeljenosti predloga odloči generalni državni tožilec. V tem primeru pa bo vodja SDT lahko še dodatno pojasnil razloge za dodelitev.</w:t>
      </w:r>
    </w:p>
    <w:p w:rsidR="004C2482" w:rsidRDefault="004C2482" w:rsidP="00B644CC">
      <w:pPr>
        <w:spacing w:line="288" w:lineRule="auto"/>
        <w:jc w:val="both"/>
        <w:rPr>
          <w:szCs w:val="20"/>
        </w:rPr>
      </w:pPr>
    </w:p>
    <w:p w:rsidR="004C2482" w:rsidRPr="00DC70A4" w:rsidRDefault="004C2482" w:rsidP="00B644CC">
      <w:pPr>
        <w:spacing w:line="288" w:lineRule="auto"/>
        <w:jc w:val="both"/>
        <w:rPr>
          <w:szCs w:val="20"/>
        </w:rPr>
      </w:pPr>
      <w:r>
        <w:rPr>
          <w:szCs w:val="20"/>
        </w:rPr>
        <w:t>N</w:t>
      </w:r>
      <w:r w:rsidRPr="004C2482">
        <w:rPr>
          <w:szCs w:val="20"/>
        </w:rPr>
        <w:t>a podlagi opredelitve kaznivih dejanj, ki škodijo finančnim interesom EU</w:t>
      </w:r>
      <w:r w:rsidR="00A419B3">
        <w:rPr>
          <w:szCs w:val="20"/>
        </w:rPr>
        <w:t>,</w:t>
      </w:r>
      <w:r w:rsidRPr="004C2482">
        <w:rPr>
          <w:szCs w:val="20"/>
        </w:rPr>
        <w:t xml:space="preserve"> </w:t>
      </w:r>
      <w:r>
        <w:rPr>
          <w:szCs w:val="20"/>
        </w:rPr>
        <w:t xml:space="preserve">so </w:t>
      </w:r>
      <w:r w:rsidRPr="004C2482">
        <w:rPr>
          <w:szCs w:val="20"/>
        </w:rPr>
        <w:t xml:space="preserve">kataloško opredeljena tudi druga kazniva dejanja, ki škodijo finančnim interesom EU po </w:t>
      </w:r>
      <w:r w:rsidRPr="00456B1F">
        <w:rPr>
          <w:rFonts w:cs="Arial"/>
          <w:szCs w:val="20"/>
        </w:rPr>
        <w:t>Direktiv</w:t>
      </w:r>
      <w:r>
        <w:rPr>
          <w:rFonts w:cs="Arial"/>
          <w:szCs w:val="20"/>
        </w:rPr>
        <w:t>i</w:t>
      </w:r>
      <w:r w:rsidRPr="00456B1F">
        <w:rPr>
          <w:rFonts w:cs="Arial"/>
          <w:szCs w:val="20"/>
        </w:rPr>
        <w:t xml:space="preserve"> (EU) 2017/1371 Evropskega parlamenta in Sveta z dne 5. julija 2017 o boju proti goljufijam, ki škodijo finančnim interesom Unije, z uporabo kazenskega prava</w:t>
      </w:r>
      <w:r>
        <w:rPr>
          <w:rFonts w:cs="Arial"/>
          <w:szCs w:val="20"/>
        </w:rPr>
        <w:t xml:space="preserve"> (v nadaljevanju: PIF direktiva), </w:t>
      </w:r>
      <w:r w:rsidRPr="004C2482">
        <w:rPr>
          <w:szCs w:val="20"/>
        </w:rPr>
        <w:t>vendar ne gre za kazniva dejanja skladno s pogoji iz 22. in 25. člena Uredbe EJT. Glede na navedeno bo SDT RS po petem odstavku 192. člena ZDT-1 (do prevzema pristojnosti EJT in po odstopu zadeve in prenosu pristojnosti na nacionalne organe v RS) pristojno tudi za pregon kataloških kaznivih dejanj,</w:t>
      </w:r>
      <w:r>
        <w:rPr>
          <w:szCs w:val="20"/>
        </w:rPr>
        <w:t xml:space="preserve"> </w:t>
      </w:r>
      <w:r w:rsidRPr="004C2482">
        <w:rPr>
          <w:szCs w:val="20"/>
        </w:rPr>
        <w:t>po PIF direktivi.</w:t>
      </w:r>
    </w:p>
    <w:p w:rsidR="00AE2155" w:rsidRDefault="00AE2155" w:rsidP="00B644CC">
      <w:pPr>
        <w:spacing w:line="288" w:lineRule="auto"/>
        <w:jc w:val="both"/>
        <w:rPr>
          <w:szCs w:val="20"/>
        </w:rPr>
      </w:pPr>
    </w:p>
    <w:p w:rsidR="00F4086C" w:rsidRDefault="004C2482" w:rsidP="004C2482">
      <w:pPr>
        <w:spacing w:line="288" w:lineRule="auto"/>
        <w:jc w:val="both"/>
        <w:rPr>
          <w:szCs w:val="20"/>
        </w:rPr>
      </w:pPr>
      <w:r>
        <w:rPr>
          <w:szCs w:val="20"/>
        </w:rPr>
        <w:t>S</w:t>
      </w:r>
      <w:r w:rsidRPr="004C2482">
        <w:rPr>
          <w:szCs w:val="20"/>
        </w:rPr>
        <w:t xml:space="preserve"> predlagano dopolnitvijo drugega odstavka 198. člena ZDT-1 </w:t>
      </w:r>
      <w:r>
        <w:rPr>
          <w:szCs w:val="20"/>
        </w:rPr>
        <w:t xml:space="preserve">se veljavna ureditev dopolnjuje v delu, ki se nanaša na obveščanje in sicer </w:t>
      </w:r>
      <w:r w:rsidRPr="004C2482">
        <w:rPr>
          <w:szCs w:val="20"/>
        </w:rPr>
        <w:t>tako, da morata vodja krajevno pristojnega okrožnega državnega tožilstva oziroma vodja pristojne uprave oziroma enote Policije nemudoma obvestiti vodjo SDT (tudi) o zadevah, glede katerih je podana pristojnost SDT po petem odstavku 192. člena ZDT-1.</w:t>
      </w:r>
      <w:r>
        <w:rPr>
          <w:szCs w:val="20"/>
        </w:rPr>
        <w:t xml:space="preserve"> </w:t>
      </w:r>
      <w:r w:rsidRPr="004C2482">
        <w:rPr>
          <w:szCs w:val="20"/>
        </w:rPr>
        <w:t>Upoštevaje drugo alinejo petega odstavka 192. člena ZDT-1 je SDT pristojno tudi za pregon storilcev kaznivih dejanj v zadevah, ki jih bo EJT odstopil</w:t>
      </w:r>
      <w:r w:rsidR="00F4086C">
        <w:rPr>
          <w:szCs w:val="20"/>
        </w:rPr>
        <w:t>o</w:t>
      </w:r>
      <w:r w:rsidRPr="004C2482">
        <w:rPr>
          <w:szCs w:val="20"/>
        </w:rPr>
        <w:t xml:space="preserve"> (in prenes</w:t>
      </w:r>
      <w:r w:rsidR="00F4086C">
        <w:rPr>
          <w:szCs w:val="20"/>
        </w:rPr>
        <w:t xml:space="preserve">lo </w:t>
      </w:r>
      <w:r w:rsidRPr="004C2482">
        <w:rPr>
          <w:szCs w:val="20"/>
        </w:rPr>
        <w:t xml:space="preserve">pristojnost) na SDT (v skladu s 34. členom Uredbe EJT). Glede na navedeno </w:t>
      </w:r>
      <w:r>
        <w:rPr>
          <w:szCs w:val="20"/>
        </w:rPr>
        <w:t xml:space="preserve">se </w:t>
      </w:r>
      <w:r w:rsidR="00F4086C">
        <w:rPr>
          <w:szCs w:val="20"/>
        </w:rPr>
        <w:t xml:space="preserve">s predlogom zakona evropskemu delegiranemu tožilcu nalaga dolžnost, da </w:t>
      </w:r>
      <w:r w:rsidR="00F4086C" w:rsidRPr="004C2482">
        <w:rPr>
          <w:szCs w:val="20"/>
        </w:rPr>
        <w:t xml:space="preserve">nemudoma obvestil vodjo SDT o zadevah, glede katerih je podana pristojnost SDT po </w:t>
      </w:r>
      <w:r w:rsidR="00F4086C">
        <w:rPr>
          <w:szCs w:val="20"/>
        </w:rPr>
        <w:t xml:space="preserve">drugi alineji </w:t>
      </w:r>
      <w:r w:rsidR="00F4086C" w:rsidRPr="004C2482">
        <w:rPr>
          <w:szCs w:val="20"/>
        </w:rPr>
        <w:t>pete</w:t>
      </w:r>
      <w:r w:rsidR="00F4086C">
        <w:rPr>
          <w:szCs w:val="20"/>
        </w:rPr>
        <w:t>ga</w:t>
      </w:r>
      <w:r w:rsidR="00F4086C" w:rsidRPr="004C2482">
        <w:rPr>
          <w:szCs w:val="20"/>
        </w:rPr>
        <w:t xml:space="preserve"> odstavk</w:t>
      </w:r>
      <w:r w:rsidR="00F4086C">
        <w:rPr>
          <w:szCs w:val="20"/>
        </w:rPr>
        <w:t>a</w:t>
      </w:r>
      <w:r w:rsidR="00F4086C" w:rsidRPr="004C2482">
        <w:rPr>
          <w:szCs w:val="20"/>
        </w:rPr>
        <w:t xml:space="preserve"> 192. člena</w:t>
      </w:r>
      <w:r w:rsidR="00F4086C">
        <w:rPr>
          <w:szCs w:val="20"/>
        </w:rPr>
        <w:t xml:space="preserve"> ZDT-1</w:t>
      </w:r>
      <w:r w:rsidR="00F4086C" w:rsidRPr="004C2482">
        <w:rPr>
          <w:szCs w:val="20"/>
        </w:rPr>
        <w:t>.</w:t>
      </w:r>
    </w:p>
    <w:p w:rsidR="00F4086C" w:rsidRDefault="00F4086C" w:rsidP="004C2482">
      <w:pPr>
        <w:spacing w:line="288" w:lineRule="auto"/>
        <w:jc w:val="both"/>
        <w:rPr>
          <w:szCs w:val="20"/>
        </w:rPr>
      </w:pPr>
    </w:p>
    <w:p w:rsidR="00AE2155" w:rsidRPr="00DC70A4" w:rsidRDefault="00AE2155" w:rsidP="00B644CC">
      <w:pPr>
        <w:spacing w:line="288" w:lineRule="auto"/>
        <w:jc w:val="both"/>
        <w:rPr>
          <w:szCs w:val="20"/>
        </w:rPr>
      </w:pPr>
      <w:r w:rsidRPr="00DC70A4">
        <w:rPr>
          <w:szCs w:val="20"/>
        </w:rPr>
        <w:t xml:space="preserve">S črtanjem šestega odstavka se redakcijsko popravlja situacijo, do katere v praksi dejansko ne more priti, saj je SDT izključno pristojen za vlaganje tožb in njenega zastopanja v postopku za odvzem premoženja nezakonitega izvora ali v zvezi z njim, zato se morajo </w:t>
      </w:r>
      <w:r>
        <w:rPr>
          <w:szCs w:val="20"/>
        </w:rPr>
        <w:t xml:space="preserve">okrožna državna tožilstva </w:t>
      </w:r>
      <w:r w:rsidRPr="00DC70A4">
        <w:rPr>
          <w:szCs w:val="20"/>
        </w:rPr>
        <w:t xml:space="preserve">izreči za nepristojne. </w:t>
      </w:r>
    </w:p>
    <w:p w:rsidR="00AE2155" w:rsidRDefault="00AE2155" w:rsidP="00B644CC">
      <w:pPr>
        <w:spacing w:line="288" w:lineRule="auto"/>
        <w:jc w:val="both"/>
        <w:rPr>
          <w:b/>
          <w:szCs w:val="20"/>
        </w:rPr>
      </w:pPr>
    </w:p>
    <w:p w:rsidR="00AE2155" w:rsidRDefault="00AE2155" w:rsidP="00B644CC">
      <w:pPr>
        <w:spacing w:line="288" w:lineRule="auto"/>
        <w:jc w:val="both"/>
        <w:rPr>
          <w:b/>
          <w:szCs w:val="20"/>
        </w:rPr>
      </w:pPr>
      <w:r>
        <w:rPr>
          <w:b/>
          <w:szCs w:val="20"/>
        </w:rPr>
        <w:t>K 2</w:t>
      </w:r>
      <w:r w:rsidR="00FD6BFD">
        <w:rPr>
          <w:b/>
          <w:szCs w:val="20"/>
        </w:rPr>
        <w:t>9</w:t>
      </w:r>
      <w:r>
        <w:rPr>
          <w:b/>
          <w:szCs w:val="20"/>
        </w:rPr>
        <w:t>. členu</w:t>
      </w:r>
    </w:p>
    <w:p w:rsidR="00AE2155" w:rsidRDefault="00AE2155" w:rsidP="00B644CC">
      <w:pPr>
        <w:spacing w:line="288" w:lineRule="auto"/>
        <w:jc w:val="both"/>
        <w:rPr>
          <w:szCs w:val="20"/>
        </w:rPr>
      </w:pPr>
      <w:r w:rsidRPr="00F53C43">
        <w:rPr>
          <w:szCs w:val="20"/>
        </w:rPr>
        <w:t>Z dnem začetka delovanja Državnega odvetništva Republike Slovenije v skladu z Zakonom o državnem odvetništvu</w:t>
      </w:r>
      <w:r>
        <w:rPr>
          <w:szCs w:val="20"/>
        </w:rPr>
        <w:t xml:space="preserve"> (Uradni list RS, št.23/17; ZDOdv)</w:t>
      </w:r>
      <w:r w:rsidRPr="00F53C43">
        <w:rPr>
          <w:szCs w:val="20"/>
        </w:rPr>
        <w:t xml:space="preserve">je z delovanjem prenehalo Državno pravobranilstvo Republike Slovenije. </w:t>
      </w:r>
      <w:r>
        <w:rPr>
          <w:szCs w:val="20"/>
        </w:rPr>
        <w:t xml:space="preserve">Naloge državnega odvetništva opravljajo </w:t>
      </w:r>
      <w:r w:rsidRPr="00F53C43">
        <w:rPr>
          <w:szCs w:val="20"/>
        </w:rPr>
        <w:t>višji državni odvetnik</w:t>
      </w:r>
      <w:r>
        <w:rPr>
          <w:szCs w:val="20"/>
        </w:rPr>
        <w:t>i</w:t>
      </w:r>
      <w:r w:rsidRPr="00F53C43">
        <w:rPr>
          <w:szCs w:val="20"/>
        </w:rPr>
        <w:t>, državni odvetnik</w:t>
      </w:r>
      <w:r>
        <w:rPr>
          <w:szCs w:val="20"/>
        </w:rPr>
        <w:t>i</w:t>
      </w:r>
      <w:r w:rsidRPr="00F53C43">
        <w:rPr>
          <w:szCs w:val="20"/>
        </w:rPr>
        <w:t xml:space="preserve"> in kandidat</w:t>
      </w:r>
      <w:r>
        <w:rPr>
          <w:szCs w:val="20"/>
        </w:rPr>
        <w:t>i</w:t>
      </w:r>
      <w:r w:rsidRPr="00F53C43">
        <w:rPr>
          <w:szCs w:val="20"/>
        </w:rPr>
        <w:t xml:space="preserve"> za državnega odvetnika</w:t>
      </w:r>
      <w:r>
        <w:rPr>
          <w:szCs w:val="20"/>
        </w:rPr>
        <w:t xml:space="preserve">. </w:t>
      </w:r>
      <w:r w:rsidRPr="005F3F3F">
        <w:rPr>
          <w:szCs w:val="20"/>
        </w:rPr>
        <w:t xml:space="preserve">Za sklenitev, trajanje in prenehanje delovnega razmerja državnih odvetnikov in kandidatov za državne odvetnike ter za </w:t>
      </w:r>
      <w:r w:rsidRPr="005F3F3F">
        <w:rPr>
          <w:szCs w:val="20"/>
        </w:rPr>
        <w:lastRenderedPageBreak/>
        <w:t>njihove pravice in dolžnosti iz delovnega razmerja se uporabljajo predpisi, ki urejajo delovna razmerja in sistem javnih uslužbencev</w:t>
      </w:r>
      <w:r>
        <w:rPr>
          <w:szCs w:val="20"/>
        </w:rPr>
        <w:t>. Ker gre za javne uslužbence, je d</w:t>
      </w:r>
      <w:r w:rsidRPr="005D0ECA">
        <w:rPr>
          <w:szCs w:val="20"/>
        </w:rPr>
        <w:t xml:space="preserve">ržavni odvetnik </w:t>
      </w:r>
      <w:r>
        <w:rPr>
          <w:szCs w:val="20"/>
        </w:rPr>
        <w:t>lahko z</w:t>
      </w:r>
      <w:r w:rsidRPr="005D0ECA">
        <w:rPr>
          <w:szCs w:val="20"/>
        </w:rPr>
        <w:t>a opravljanje zahtevnejših strokovnih nalog napoten na delo v drug državni organ</w:t>
      </w:r>
      <w:r>
        <w:rPr>
          <w:szCs w:val="20"/>
        </w:rPr>
        <w:t xml:space="preserve"> (74. člen ZDOdv). </w:t>
      </w:r>
    </w:p>
    <w:p w:rsidR="00AE2155" w:rsidRDefault="00AE2155" w:rsidP="00B644CC">
      <w:pPr>
        <w:spacing w:line="288" w:lineRule="auto"/>
        <w:jc w:val="both"/>
        <w:rPr>
          <w:szCs w:val="20"/>
        </w:rPr>
      </w:pPr>
    </w:p>
    <w:p w:rsidR="00AE2155" w:rsidRPr="00F53C43" w:rsidRDefault="00AE2155" w:rsidP="00B644CC">
      <w:pPr>
        <w:spacing w:line="288" w:lineRule="auto"/>
        <w:jc w:val="both"/>
        <w:rPr>
          <w:szCs w:val="20"/>
        </w:rPr>
      </w:pPr>
      <w:r>
        <w:rPr>
          <w:szCs w:val="20"/>
        </w:rPr>
        <w:t xml:space="preserve">Ne glede na določbo 100. člena ZDOdv, ki sicer določa uporabo izrazov v drugih zakonih, da </w:t>
      </w:r>
      <w:r w:rsidRPr="00EC506D">
        <w:rPr>
          <w:szCs w:val="20"/>
        </w:rPr>
        <w:t>izraz »državno pravobranilstvo« ali »pravobranilstvo« v kateremkoli sklonu, pomeni ta izraz državno odvetništvo v uporabljenem sklonu</w:t>
      </w:r>
      <w:r>
        <w:rPr>
          <w:szCs w:val="20"/>
        </w:rPr>
        <w:t>, je treba določbe ZDT-1 uskladiti z novo ureditvijo državnega odvetništva in črtati določbe tretjega do šestega odstavka 203.a člena ZDT-1, ki določajo dodelitev državnih pravobranilcev v Civilno finančni oddelek. Sistem javnih uslužbencev namreč ne ureja dodelitve</w:t>
      </w:r>
      <w:r w:rsidR="00A419B3">
        <w:rPr>
          <w:szCs w:val="20"/>
        </w:rPr>
        <w:t>,</w:t>
      </w:r>
      <w:r>
        <w:rPr>
          <w:szCs w:val="20"/>
        </w:rPr>
        <w:t xml:space="preserve"> temveč napotitev na delo v drug državni organ. </w:t>
      </w:r>
    </w:p>
    <w:p w:rsidR="00AE2155" w:rsidRDefault="00AE2155" w:rsidP="00B644CC">
      <w:pPr>
        <w:spacing w:line="288" w:lineRule="auto"/>
        <w:jc w:val="both"/>
        <w:rPr>
          <w:b/>
          <w:szCs w:val="20"/>
        </w:rPr>
      </w:pPr>
    </w:p>
    <w:p w:rsidR="00AE2155" w:rsidRPr="00DB5CCB" w:rsidRDefault="00AE2155" w:rsidP="00B644CC">
      <w:pPr>
        <w:spacing w:line="288" w:lineRule="auto"/>
        <w:jc w:val="both"/>
        <w:rPr>
          <w:b/>
          <w:szCs w:val="20"/>
        </w:rPr>
      </w:pPr>
      <w:r w:rsidRPr="00DB5CCB">
        <w:rPr>
          <w:b/>
          <w:szCs w:val="20"/>
        </w:rPr>
        <w:t xml:space="preserve">K </w:t>
      </w:r>
      <w:r w:rsidR="00FD6BFD">
        <w:rPr>
          <w:b/>
          <w:szCs w:val="20"/>
        </w:rPr>
        <w:t>30</w:t>
      </w:r>
      <w:r w:rsidRPr="00DB5CCB">
        <w:rPr>
          <w:b/>
          <w:szCs w:val="20"/>
        </w:rPr>
        <w:t>. členu</w:t>
      </w:r>
    </w:p>
    <w:p w:rsidR="00AE2155" w:rsidRDefault="00AE2155" w:rsidP="00B644CC">
      <w:pPr>
        <w:spacing w:line="288" w:lineRule="auto"/>
        <w:jc w:val="both"/>
        <w:rPr>
          <w:rFonts w:cs="Arial"/>
          <w:szCs w:val="20"/>
        </w:rPr>
      </w:pPr>
      <w:r>
        <w:rPr>
          <w:rFonts w:cs="Arial"/>
          <w:szCs w:val="20"/>
        </w:rPr>
        <w:t>Strokovno informacijski center  je notranja organizacijska enota Vrhovnega državnega tožilstva RS in kot taka nima lastnega proračuna. Sredstva za delo Strokovno informacijskega centra se tako kot za ostale notranje organizacijske enote zagotavlja v proračunu Vrhovnega državnega tožilstva RS, slednjemu pa v okviru proračuna Republike Slovenije (glej tudi 14. člen ZDT-1). Glede na navedeno se predlaga črtanje četrtega odstavka</w:t>
      </w:r>
      <w:r w:rsidR="001963C8">
        <w:rPr>
          <w:rFonts w:cs="Arial"/>
          <w:szCs w:val="20"/>
        </w:rPr>
        <w:t xml:space="preserve">. V tretjem odstavku se </w:t>
      </w:r>
      <w:r w:rsidR="001963C8">
        <w:rPr>
          <w:rFonts w:eastAsia="Calibri" w:cs="Arial"/>
          <w:szCs w:val="20"/>
        </w:rPr>
        <w:t xml:space="preserve">redakcijsko nadomešča izraz </w:t>
      </w:r>
      <w:r w:rsidR="001963C8" w:rsidRPr="00C825C3">
        <w:rPr>
          <w:rFonts w:eastAsia="Calibri" w:cs="Arial"/>
          <w:szCs w:val="20"/>
        </w:rPr>
        <w:t>za javne uslužbence državnih tožilstev</w:t>
      </w:r>
      <w:r w:rsidR="001963C8">
        <w:rPr>
          <w:rFonts w:eastAsia="Calibri" w:cs="Arial"/>
          <w:szCs w:val="20"/>
        </w:rPr>
        <w:t xml:space="preserve">, za katere je uveljavljen izraz </w:t>
      </w:r>
      <w:r w:rsidR="001963C8" w:rsidRPr="00C825C3">
        <w:rPr>
          <w:rFonts w:eastAsia="Calibri" w:cs="Arial"/>
          <w:szCs w:val="20"/>
        </w:rPr>
        <w:t>skladno z določbo 11. člena ZDT-1 »državnotožilsko osebje«.</w:t>
      </w:r>
    </w:p>
    <w:p w:rsidR="00AE2155" w:rsidRDefault="00AE2155" w:rsidP="00B644CC">
      <w:pPr>
        <w:spacing w:line="288" w:lineRule="auto"/>
        <w:jc w:val="both"/>
        <w:rPr>
          <w:rFonts w:cs="Arial"/>
          <w:szCs w:val="20"/>
        </w:rPr>
      </w:pPr>
    </w:p>
    <w:p w:rsidR="00AE2155" w:rsidRPr="001A1B8C" w:rsidRDefault="00AE2155" w:rsidP="00B644CC">
      <w:pPr>
        <w:spacing w:line="288" w:lineRule="auto"/>
        <w:jc w:val="both"/>
        <w:rPr>
          <w:rFonts w:cs="Arial"/>
          <w:b/>
          <w:szCs w:val="20"/>
        </w:rPr>
      </w:pPr>
      <w:r w:rsidRPr="001A1B8C">
        <w:rPr>
          <w:rFonts w:cs="Arial"/>
          <w:b/>
          <w:szCs w:val="20"/>
        </w:rPr>
        <w:t xml:space="preserve">K </w:t>
      </w:r>
      <w:r w:rsidR="00FD6BFD">
        <w:rPr>
          <w:rFonts w:cs="Arial"/>
          <w:b/>
          <w:szCs w:val="20"/>
        </w:rPr>
        <w:t>31</w:t>
      </w:r>
      <w:r w:rsidRPr="001A1B8C">
        <w:rPr>
          <w:rFonts w:cs="Arial"/>
          <w:b/>
          <w:szCs w:val="20"/>
        </w:rPr>
        <w:t>. členu</w:t>
      </w:r>
    </w:p>
    <w:p w:rsidR="00AE2155" w:rsidRDefault="00AE2155" w:rsidP="00B644CC">
      <w:pPr>
        <w:autoSpaceDE w:val="0"/>
        <w:autoSpaceDN w:val="0"/>
        <w:adjustRightInd w:val="0"/>
        <w:spacing w:line="288" w:lineRule="auto"/>
        <w:jc w:val="both"/>
        <w:rPr>
          <w:rFonts w:cs="Arial"/>
          <w:szCs w:val="20"/>
          <w:shd w:val="clear" w:color="auto" w:fill="FFFFFF"/>
        </w:rPr>
      </w:pPr>
      <w:r w:rsidRPr="00155219">
        <w:rPr>
          <w:rFonts w:cs="Arial"/>
          <w:szCs w:val="20"/>
        </w:rPr>
        <w:t xml:space="preserve">Ker se z Uredbo </w:t>
      </w:r>
      <w:r w:rsidRPr="00155219">
        <w:rPr>
          <w:rFonts w:eastAsia="Calibri" w:cs="Arial"/>
          <w:szCs w:val="20"/>
        </w:rPr>
        <w:t xml:space="preserve">2018/1727/EU določa tudi </w:t>
      </w:r>
      <w:r w:rsidRPr="00155219">
        <w:rPr>
          <w:rFonts w:cs="Arial"/>
          <w:szCs w:val="20"/>
        </w:rPr>
        <w:t xml:space="preserve">Nacionalni sistem za usklajevanje dejavnosti Eurojusta, ki v svojem bistvu ne odstopa od uveljavljene ureditve v ZDT-1, vendar pa določa nekoliko drugačno sestavo, se določa šestmesečno obdobje za njegovo uskladitev </w:t>
      </w:r>
      <w:r w:rsidRPr="00155219">
        <w:rPr>
          <w:rFonts w:cs="Arial"/>
          <w:szCs w:val="20"/>
          <w:shd w:val="clear" w:color="auto" w:fill="FFFFFF"/>
        </w:rPr>
        <w:t>z Uredbo 2018/1727/EU.</w:t>
      </w:r>
    </w:p>
    <w:p w:rsidR="001C7A64" w:rsidRPr="00155219" w:rsidRDefault="001C7A64" w:rsidP="00B644CC">
      <w:pPr>
        <w:autoSpaceDE w:val="0"/>
        <w:autoSpaceDN w:val="0"/>
        <w:adjustRightInd w:val="0"/>
        <w:spacing w:line="288" w:lineRule="auto"/>
        <w:jc w:val="both"/>
        <w:rPr>
          <w:rFonts w:cs="Arial"/>
          <w:szCs w:val="20"/>
        </w:rPr>
      </w:pPr>
    </w:p>
    <w:p w:rsidR="001C7A64" w:rsidRPr="00155219" w:rsidRDefault="001C7A64" w:rsidP="001C7A64">
      <w:pPr>
        <w:spacing w:line="288" w:lineRule="auto"/>
        <w:jc w:val="both"/>
        <w:rPr>
          <w:rFonts w:cs="Arial"/>
          <w:szCs w:val="20"/>
        </w:rPr>
      </w:pPr>
      <w:r w:rsidRPr="00155219">
        <w:rPr>
          <w:rFonts w:cs="Arial"/>
          <w:szCs w:val="20"/>
        </w:rPr>
        <w:t>Letne razporede</w:t>
      </w:r>
      <w:r>
        <w:rPr>
          <w:rFonts w:cs="Arial"/>
          <w:szCs w:val="20"/>
        </w:rPr>
        <w:t xml:space="preserve"> bodo</w:t>
      </w:r>
      <w:r w:rsidRPr="00155219">
        <w:rPr>
          <w:rFonts w:cs="Arial"/>
          <w:szCs w:val="20"/>
        </w:rPr>
        <w:t xml:space="preserve"> posamezna državna tožilstva uskladi</w:t>
      </w:r>
      <w:r>
        <w:rPr>
          <w:rFonts w:cs="Arial"/>
          <w:szCs w:val="20"/>
        </w:rPr>
        <w:t>la</w:t>
      </w:r>
      <w:r w:rsidRPr="00155219">
        <w:rPr>
          <w:rFonts w:cs="Arial"/>
          <w:szCs w:val="20"/>
        </w:rPr>
        <w:t xml:space="preserve"> ob prvi </w:t>
      </w:r>
      <w:r>
        <w:rPr>
          <w:rFonts w:cs="Arial"/>
          <w:szCs w:val="20"/>
        </w:rPr>
        <w:t xml:space="preserve">njihovi </w:t>
      </w:r>
      <w:r w:rsidRPr="00155219">
        <w:rPr>
          <w:rFonts w:cs="Arial"/>
          <w:szCs w:val="20"/>
        </w:rPr>
        <w:t>spremembi oziroma ob pripravi letnih razporedov za naslednje koledarsko leto.</w:t>
      </w:r>
    </w:p>
    <w:p w:rsidR="00AE2155" w:rsidRPr="00155219" w:rsidRDefault="00AE2155" w:rsidP="00B644CC">
      <w:pPr>
        <w:spacing w:line="288" w:lineRule="auto"/>
        <w:jc w:val="both"/>
        <w:rPr>
          <w:rFonts w:cs="Arial"/>
          <w:b/>
          <w:szCs w:val="20"/>
        </w:rPr>
      </w:pPr>
    </w:p>
    <w:p w:rsidR="00AE2155" w:rsidRPr="00155219" w:rsidRDefault="00AE2155" w:rsidP="00B644CC">
      <w:pPr>
        <w:spacing w:line="288" w:lineRule="auto"/>
        <w:jc w:val="both"/>
        <w:rPr>
          <w:rFonts w:cs="Arial"/>
          <w:b/>
          <w:szCs w:val="20"/>
        </w:rPr>
      </w:pPr>
      <w:r w:rsidRPr="00155219">
        <w:rPr>
          <w:rFonts w:cs="Arial"/>
          <w:b/>
          <w:szCs w:val="20"/>
        </w:rPr>
        <w:t xml:space="preserve">K </w:t>
      </w:r>
      <w:r w:rsidR="00FD6BFD">
        <w:rPr>
          <w:rFonts w:cs="Arial"/>
          <w:b/>
          <w:szCs w:val="20"/>
        </w:rPr>
        <w:t>32</w:t>
      </w:r>
      <w:r w:rsidRPr="00155219">
        <w:rPr>
          <w:rFonts w:cs="Arial"/>
          <w:b/>
          <w:szCs w:val="20"/>
        </w:rPr>
        <w:t>. členu</w:t>
      </w:r>
    </w:p>
    <w:p w:rsidR="00AE2155" w:rsidRDefault="00AE2155" w:rsidP="00B644CC">
      <w:pPr>
        <w:spacing w:line="288" w:lineRule="auto"/>
        <w:jc w:val="both"/>
        <w:rPr>
          <w:rFonts w:cs="Arial"/>
          <w:szCs w:val="20"/>
        </w:rPr>
      </w:pPr>
      <w:r w:rsidRPr="00155219">
        <w:rPr>
          <w:rFonts w:cs="Arial"/>
          <w:szCs w:val="20"/>
        </w:rPr>
        <w:t>Postopki imenovanja, ki so se začeli pred začetkom uporabe tega zakona, se nadaljujejo in dokončajo po dosedanjih predpisih.</w:t>
      </w:r>
    </w:p>
    <w:p w:rsidR="00AE2155" w:rsidRPr="00155219" w:rsidRDefault="00AE2155" w:rsidP="00B644CC">
      <w:pPr>
        <w:spacing w:line="288" w:lineRule="auto"/>
        <w:jc w:val="both"/>
        <w:rPr>
          <w:rFonts w:cs="Arial"/>
          <w:szCs w:val="20"/>
        </w:rPr>
      </w:pPr>
    </w:p>
    <w:p w:rsidR="00AE2155" w:rsidRDefault="00AE2155" w:rsidP="00B644CC">
      <w:pPr>
        <w:spacing w:line="288" w:lineRule="auto"/>
        <w:jc w:val="both"/>
        <w:rPr>
          <w:rFonts w:cs="Arial"/>
          <w:b/>
          <w:szCs w:val="20"/>
        </w:rPr>
      </w:pPr>
      <w:r>
        <w:rPr>
          <w:rFonts w:cs="Arial"/>
          <w:b/>
          <w:szCs w:val="20"/>
        </w:rPr>
        <w:t xml:space="preserve">K </w:t>
      </w:r>
      <w:r w:rsidR="00FD6BFD">
        <w:rPr>
          <w:rFonts w:cs="Arial"/>
          <w:b/>
          <w:szCs w:val="20"/>
        </w:rPr>
        <w:t>33</w:t>
      </w:r>
      <w:r>
        <w:rPr>
          <w:rFonts w:cs="Arial"/>
          <w:b/>
          <w:szCs w:val="20"/>
        </w:rPr>
        <w:t>. členu</w:t>
      </w:r>
    </w:p>
    <w:p w:rsidR="00AE2155" w:rsidRPr="00445279" w:rsidRDefault="00AE2155" w:rsidP="00B644CC">
      <w:pPr>
        <w:spacing w:line="288" w:lineRule="auto"/>
        <w:jc w:val="both"/>
        <w:rPr>
          <w:rFonts w:cs="Arial"/>
          <w:szCs w:val="20"/>
        </w:rPr>
      </w:pPr>
      <w:r w:rsidRPr="00445279">
        <w:rPr>
          <w:rFonts w:cs="Arial"/>
          <w:szCs w:val="20"/>
        </w:rPr>
        <w:t xml:space="preserve">Določa se </w:t>
      </w:r>
      <w:r>
        <w:rPr>
          <w:rFonts w:cs="Arial"/>
          <w:szCs w:val="20"/>
        </w:rPr>
        <w:t xml:space="preserve">splošni </w:t>
      </w:r>
      <w:r w:rsidRPr="00445279">
        <w:rPr>
          <w:rFonts w:cs="Arial"/>
          <w:szCs w:val="20"/>
        </w:rPr>
        <w:t>petnajst</w:t>
      </w:r>
      <w:r>
        <w:rPr>
          <w:rFonts w:cs="Arial"/>
          <w:szCs w:val="20"/>
        </w:rPr>
        <w:t>d</w:t>
      </w:r>
      <w:r w:rsidRPr="00445279">
        <w:rPr>
          <w:rFonts w:cs="Arial"/>
          <w:szCs w:val="20"/>
        </w:rPr>
        <w:t>nevni rok za uveljavitev zakona.</w:t>
      </w:r>
    </w:p>
    <w:p w:rsidR="00AE2155" w:rsidRPr="001A1B8C" w:rsidRDefault="00AE2155" w:rsidP="00B644CC">
      <w:pPr>
        <w:spacing w:line="288" w:lineRule="auto"/>
        <w:jc w:val="both"/>
        <w:rPr>
          <w:rFonts w:cs="Arial"/>
          <w:b/>
          <w:szCs w:val="20"/>
        </w:rPr>
      </w:pPr>
    </w:p>
    <w:p w:rsidR="00AE2155" w:rsidRPr="00B46B94" w:rsidRDefault="00AE2155" w:rsidP="00B644CC">
      <w:pPr>
        <w:rPr>
          <w:rFonts w:cs="Arial"/>
          <w:b/>
          <w:szCs w:val="20"/>
        </w:rPr>
      </w:pPr>
      <w:r>
        <w:rPr>
          <w:rFonts w:cs="Arial"/>
          <w:b/>
          <w:szCs w:val="20"/>
        </w:rPr>
        <w:br w:type="page"/>
      </w:r>
      <w:r w:rsidRPr="00B46B94">
        <w:rPr>
          <w:rFonts w:cs="Arial"/>
          <w:b/>
          <w:szCs w:val="20"/>
        </w:rPr>
        <w:lastRenderedPageBreak/>
        <w:t>IV. BESEDILO ČLENOV, KI SE SPREMINJAJO</w:t>
      </w:r>
    </w:p>
    <w:p w:rsidR="00AE2155" w:rsidRDefault="00AE2155" w:rsidP="00B644CC">
      <w:pPr>
        <w:spacing w:line="288" w:lineRule="auto"/>
        <w:jc w:val="both"/>
        <w:rPr>
          <w:szCs w:val="20"/>
        </w:rPr>
      </w:pPr>
    </w:p>
    <w:p w:rsidR="00AE2155" w:rsidRPr="00B04D02" w:rsidRDefault="00AE2155" w:rsidP="00B644CC">
      <w:pPr>
        <w:spacing w:line="288" w:lineRule="auto"/>
        <w:jc w:val="center"/>
        <w:rPr>
          <w:szCs w:val="20"/>
        </w:rPr>
      </w:pPr>
      <w:r w:rsidRPr="00B04D02">
        <w:rPr>
          <w:szCs w:val="20"/>
        </w:rPr>
        <w:t>1.a člen</w:t>
      </w:r>
    </w:p>
    <w:p w:rsidR="00AE2155" w:rsidRPr="00B04D02" w:rsidRDefault="00AE2155" w:rsidP="00B644CC">
      <w:pPr>
        <w:spacing w:line="288" w:lineRule="auto"/>
        <w:jc w:val="center"/>
        <w:rPr>
          <w:szCs w:val="20"/>
        </w:rPr>
      </w:pPr>
      <w:r w:rsidRPr="00B04D02">
        <w:rPr>
          <w:szCs w:val="20"/>
        </w:rPr>
        <w:t>(izvajanje pravnih aktov Evropske unije)</w:t>
      </w:r>
    </w:p>
    <w:p w:rsidR="00AE2155" w:rsidRPr="00B04D02" w:rsidRDefault="00AE2155" w:rsidP="00B644CC">
      <w:pPr>
        <w:spacing w:line="288" w:lineRule="auto"/>
        <w:jc w:val="both"/>
        <w:rPr>
          <w:szCs w:val="20"/>
        </w:rPr>
      </w:pPr>
    </w:p>
    <w:p w:rsidR="00AE2155" w:rsidRPr="00B04D02" w:rsidRDefault="00AE2155" w:rsidP="00B644CC">
      <w:pPr>
        <w:spacing w:line="288" w:lineRule="auto"/>
        <w:jc w:val="both"/>
        <w:rPr>
          <w:szCs w:val="20"/>
        </w:rPr>
      </w:pPr>
      <w:r w:rsidRPr="00B04D02">
        <w:rPr>
          <w:szCs w:val="20"/>
        </w:rPr>
        <w:t>Ta zakon določa postopek in pogoje za imenovanje nacionalnega predstavnika, njegovega namestnika in pomočnika v Uradu za evropsko pravosodno sodelovanje ter kandidacijski postopek in pogoje za uvrstitev na listo kandidatov za imenovanje evropskega tožilca in evropskih delegiranih tožilcev v Evropskem javnem tožilstvu ter zagotavlja izvajanje drugih določb:</w:t>
      </w:r>
    </w:p>
    <w:p w:rsidR="00AE2155" w:rsidRPr="00B04D02" w:rsidRDefault="00AE2155" w:rsidP="00B644CC">
      <w:pPr>
        <w:spacing w:line="288" w:lineRule="auto"/>
        <w:jc w:val="both"/>
        <w:rPr>
          <w:szCs w:val="20"/>
        </w:rPr>
      </w:pPr>
    </w:p>
    <w:p w:rsidR="00AE2155" w:rsidRPr="00B04D02" w:rsidRDefault="00AE2155" w:rsidP="00B644CC">
      <w:pPr>
        <w:spacing w:line="288" w:lineRule="auto"/>
        <w:jc w:val="both"/>
        <w:rPr>
          <w:szCs w:val="20"/>
        </w:rPr>
      </w:pPr>
      <w:r w:rsidRPr="00B04D02">
        <w:rPr>
          <w:szCs w:val="20"/>
        </w:rPr>
        <w:t>1.     Sklepa Sveta 2002/187/PNZ o ustanovitvi Eurojusta za okrepitev boja proti težjim oblikam kriminala (UL L št. 63 z dne 6. 3. 2002, str. 1),</w:t>
      </w:r>
    </w:p>
    <w:p w:rsidR="00AE2155" w:rsidRPr="00B04D02" w:rsidRDefault="00AE2155" w:rsidP="00B644CC">
      <w:pPr>
        <w:spacing w:line="288" w:lineRule="auto"/>
        <w:jc w:val="both"/>
        <w:rPr>
          <w:szCs w:val="20"/>
        </w:rPr>
      </w:pPr>
    </w:p>
    <w:p w:rsidR="00AE2155" w:rsidRPr="00B04D02" w:rsidRDefault="00AE2155" w:rsidP="00B644CC">
      <w:pPr>
        <w:spacing w:line="288" w:lineRule="auto"/>
        <w:jc w:val="both"/>
        <w:rPr>
          <w:szCs w:val="20"/>
        </w:rPr>
      </w:pPr>
      <w:r w:rsidRPr="00B04D02">
        <w:rPr>
          <w:szCs w:val="20"/>
        </w:rPr>
        <w:t>2.     Sklepa Sveta 2009/426/PNZ z dne 16. decembra 2008 o okrepitvi Eurojusta in spremembi Sklepa 2002/187/PNZ o ustanovitvi Eurojusta za okrepitev boja proti težjim oblikam kriminala (UL L št. 138 z dne 4. 6. 2009, str. 14) in</w:t>
      </w:r>
    </w:p>
    <w:p w:rsidR="00AE2155" w:rsidRPr="00B04D02" w:rsidRDefault="00AE2155" w:rsidP="00B644CC">
      <w:pPr>
        <w:spacing w:line="288" w:lineRule="auto"/>
        <w:jc w:val="both"/>
        <w:rPr>
          <w:szCs w:val="20"/>
        </w:rPr>
      </w:pPr>
    </w:p>
    <w:p w:rsidR="00AE2155" w:rsidRPr="00B04D02" w:rsidRDefault="00AE2155" w:rsidP="00B644CC">
      <w:pPr>
        <w:spacing w:line="288" w:lineRule="auto"/>
        <w:jc w:val="both"/>
        <w:rPr>
          <w:szCs w:val="20"/>
        </w:rPr>
      </w:pPr>
      <w:r w:rsidRPr="00B04D02">
        <w:rPr>
          <w:szCs w:val="20"/>
        </w:rPr>
        <w:t>3.     Uredbe Sveta (EU) 2017/1939 z dne 12. oktobra 2017 o izvajanju okrepljenega sodelovanja v zvezi z ustanovitvijo Evropskega javnega tožilstva (UL L št. 283 z dne 31. 10. 2017, str. 1; v nadaljnjem besedilu: Uredba 2017/1939/EU).</w:t>
      </w:r>
    </w:p>
    <w:p w:rsidR="00AE2155" w:rsidRDefault="00AE2155" w:rsidP="00B644CC">
      <w:pPr>
        <w:spacing w:line="288" w:lineRule="auto"/>
        <w:rPr>
          <w:b/>
          <w:bCs/>
          <w:szCs w:val="20"/>
        </w:rPr>
      </w:pPr>
    </w:p>
    <w:p w:rsidR="00AE2155" w:rsidRPr="00155219" w:rsidRDefault="00AE2155" w:rsidP="00B644CC">
      <w:pPr>
        <w:spacing w:line="288" w:lineRule="auto"/>
        <w:jc w:val="center"/>
        <w:rPr>
          <w:szCs w:val="20"/>
        </w:rPr>
      </w:pPr>
      <w:r w:rsidRPr="00155219">
        <w:rPr>
          <w:szCs w:val="20"/>
        </w:rPr>
        <w:t>30. člen</w:t>
      </w:r>
    </w:p>
    <w:p w:rsidR="00AE2155" w:rsidRPr="00155219" w:rsidRDefault="00AE2155" w:rsidP="00B644CC">
      <w:pPr>
        <w:spacing w:line="288" w:lineRule="auto"/>
        <w:jc w:val="center"/>
        <w:rPr>
          <w:szCs w:val="20"/>
        </w:rPr>
      </w:pPr>
      <w:r w:rsidRPr="00155219">
        <w:rPr>
          <w:szCs w:val="20"/>
        </w:rPr>
        <w:t>(razpisno gradivo)</w:t>
      </w:r>
    </w:p>
    <w:p w:rsidR="00AE2155" w:rsidRPr="00155219" w:rsidRDefault="00AE2155" w:rsidP="00B644CC">
      <w:pPr>
        <w:spacing w:line="288" w:lineRule="auto"/>
        <w:rPr>
          <w:szCs w:val="20"/>
        </w:rPr>
      </w:pPr>
    </w:p>
    <w:p w:rsidR="00AE2155" w:rsidRPr="00155219" w:rsidRDefault="00AE2155" w:rsidP="00B644CC">
      <w:pPr>
        <w:spacing w:line="288" w:lineRule="auto"/>
        <w:rPr>
          <w:szCs w:val="20"/>
        </w:rPr>
      </w:pPr>
      <w:r w:rsidRPr="00155219">
        <w:rPr>
          <w:szCs w:val="20"/>
        </w:rPr>
        <w:t>(1) Ministrstvo najpozneje v petih dneh od prejema podatkov iz naslednjega odstavka pošlje vodji državnega tožilstva, pri katerem je razpisano prosto mesto, vse prijave, ki jih ni zavrglo (razpisno gradivo).</w:t>
      </w:r>
    </w:p>
    <w:p w:rsidR="00AE2155" w:rsidRPr="00155219" w:rsidRDefault="00AE2155" w:rsidP="00B644CC">
      <w:pPr>
        <w:spacing w:line="288" w:lineRule="auto"/>
        <w:rPr>
          <w:szCs w:val="20"/>
        </w:rPr>
      </w:pPr>
    </w:p>
    <w:p w:rsidR="00AE2155" w:rsidRPr="00155219" w:rsidRDefault="00AE2155" w:rsidP="00B644CC">
      <w:pPr>
        <w:spacing w:line="288" w:lineRule="auto"/>
        <w:rPr>
          <w:szCs w:val="20"/>
        </w:rPr>
      </w:pPr>
      <w:r w:rsidRPr="00155219">
        <w:rPr>
          <w:szCs w:val="20"/>
        </w:rPr>
        <w:t>(2) Prijavam kandidatov ministrstvo priloži te podatke o usposabljanju, delu, ocenah službe, priznanjih ali morebitnih pravnomočno izrečenih disciplinskih sankcijah kandidatov:</w:t>
      </w:r>
    </w:p>
    <w:p w:rsidR="00AE2155" w:rsidRPr="00155219" w:rsidRDefault="00AE2155" w:rsidP="00B644CC">
      <w:pPr>
        <w:spacing w:line="288" w:lineRule="auto"/>
        <w:rPr>
          <w:szCs w:val="20"/>
        </w:rPr>
      </w:pPr>
    </w:p>
    <w:p w:rsidR="00AE2155" w:rsidRPr="00545590" w:rsidRDefault="00AE2155" w:rsidP="00B644CC">
      <w:pPr>
        <w:pStyle w:val="Odstavekseznama"/>
        <w:numPr>
          <w:ilvl w:val="0"/>
          <w:numId w:val="19"/>
        </w:numPr>
        <w:spacing w:line="288" w:lineRule="auto"/>
        <w:ind w:left="0"/>
        <w:rPr>
          <w:szCs w:val="20"/>
        </w:rPr>
      </w:pPr>
      <w:r w:rsidRPr="00545590">
        <w:rPr>
          <w:szCs w:val="20"/>
        </w:rPr>
        <w:t>pripravništvu, če je bilo opravljeno v pravosodju;</w:t>
      </w:r>
    </w:p>
    <w:p w:rsidR="00AE2155" w:rsidRPr="00545590" w:rsidRDefault="00AE2155" w:rsidP="00B644CC">
      <w:pPr>
        <w:pStyle w:val="Odstavekseznama"/>
        <w:numPr>
          <w:ilvl w:val="0"/>
          <w:numId w:val="19"/>
        </w:numPr>
        <w:spacing w:line="288" w:lineRule="auto"/>
        <w:ind w:left="0"/>
        <w:rPr>
          <w:szCs w:val="20"/>
        </w:rPr>
      </w:pPr>
      <w:r w:rsidRPr="00545590">
        <w:rPr>
          <w:szCs w:val="20"/>
        </w:rPr>
        <w:t>pravniškem državnem izpitu;</w:t>
      </w:r>
    </w:p>
    <w:p w:rsidR="00AE2155" w:rsidRPr="00545590" w:rsidRDefault="00AE2155" w:rsidP="00B644CC">
      <w:pPr>
        <w:pStyle w:val="Odstavekseznama"/>
        <w:numPr>
          <w:ilvl w:val="0"/>
          <w:numId w:val="19"/>
        </w:numPr>
        <w:spacing w:line="288" w:lineRule="auto"/>
        <w:ind w:left="0"/>
        <w:rPr>
          <w:szCs w:val="20"/>
        </w:rPr>
      </w:pPr>
      <w:r w:rsidRPr="00545590">
        <w:rPr>
          <w:szCs w:val="20"/>
        </w:rPr>
        <w:t>iz osebne evidence in osebnega spisa kandidatov, ki so že opravljali službo ali delo na državnem tožilstvu, sodišču ali državnem pravobranilstvu;</w:t>
      </w:r>
    </w:p>
    <w:p w:rsidR="00AE2155" w:rsidRPr="00545590" w:rsidRDefault="00AE2155" w:rsidP="00B644CC">
      <w:pPr>
        <w:pStyle w:val="Odstavekseznama"/>
        <w:numPr>
          <w:ilvl w:val="0"/>
          <w:numId w:val="19"/>
        </w:numPr>
        <w:spacing w:line="288" w:lineRule="auto"/>
        <w:ind w:left="0"/>
        <w:rPr>
          <w:szCs w:val="20"/>
        </w:rPr>
      </w:pPr>
      <w:r w:rsidRPr="00545590">
        <w:rPr>
          <w:szCs w:val="20"/>
        </w:rPr>
        <w:t>za kandidata, ki je opravljal poklic odvetnika, notarja, izvršitelja ali stečajnega upravitelja oziroma za kandidata, ki je bil javni uslužbenec, podatke, navedene v prejšnjih alinejah, iz evidenc, ki se vodijo pri pristojnih organih.</w:t>
      </w:r>
    </w:p>
    <w:p w:rsidR="00AE2155" w:rsidRPr="00155219" w:rsidRDefault="00AE2155" w:rsidP="00B644CC">
      <w:pPr>
        <w:spacing w:line="288" w:lineRule="auto"/>
        <w:rPr>
          <w:szCs w:val="20"/>
        </w:rPr>
      </w:pPr>
    </w:p>
    <w:p w:rsidR="00AE2155" w:rsidRPr="00155219" w:rsidRDefault="00AE2155" w:rsidP="00B644CC">
      <w:pPr>
        <w:spacing w:line="288" w:lineRule="auto"/>
        <w:rPr>
          <w:szCs w:val="20"/>
        </w:rPr>
      </w:pPr>
      <w:r w:rsidRPr="00155219">
        <w:rPr>
          <w:szCs w:val="20"/>
        </w:rPr>
        <w:t>(3) Državni organi, organi samoupravnih lokalnih skupnosti in nosilci javnih pooblastil morajo na zahtevo ministrstva brezplačno predložiti podatke o kandidatih iz prejšnjega odstavka, če z njimi razpolagajo.</w:t>
      </w:r>
    </w:p>
    <w:p w:rsidR="00AE2155" w:rsidRPr="00155219" w:rsidRDefault="00AE2155" w:rsidP="00B644CC">
      <w:pPr>
        <w:spacing w:line="288" w:lineRule="auto"/>
        <w:rPr>
          <w:szCs w:val="20"/>
        </w:rPr>
      </w:pPr>
    </w:p>
    <w:p w:rsidR="00AE2155" w:rsidRPr="00155219" w:rsidRDefault="00AE2155" w:rsidP="00B644CC">
      <w:pPr>
        <w:spacing w:line="288" w:lineRule="auto"/>
        <w:rPr>
          <w:szCs w:val="20"/>
        </w:rPr>
      </w:pPr>
      <w:r w:rsidRPr="00155219">
        <w:rPr>
          <w:szCs w:val="20"/>
        </w:rPr>
        <w:t>(4) Podatke, ki jih ni mogoče pridobiti na način iz prejšnjih odstavkov, predloži kandidat sam najpozneje v 15 dneh od prejema poziva ministrstva.</w:t>
      </w:r>
    </w:p>
    <w:p w:rsidR="00AE2155" w:rsidRPr="00155219" w:rsidRDefault="00AE2155" w:rsidP="00B644CC">
      <w:pPr>
        <w:spacing w:line="288" w:lineRule="auto"/>
        <w:rPr>
          <w:szCs w:val="20"/>
        </w:rPr>
      </w:pPr>
    </w:p>
    <w:p w:rsidR="00AE2155" w:rsidRDefault="00AE2155" w:rsidP="00B644CC">
      <w:pPr>
        <w:spacing w:line="288" w:lineRule="auto"/>
        <w:rPr>
          <w:szCs w:val="20"/>
        </w:rPr>
      </w:pPr>
      <w:r w:rsidRPr="00155219">
        <w:rPr>
          <w:szCs w:val="20"/>
        </w:rPr>
        <w:t>(5) Ministrstvo pridobi podatke iz prejšnjih odstavkov za namene oblikovanja mnenja o ustreznosti kandidatov za razpisano mesto.</w:t>
      </w:r>
    </w:p>
    <w:p w:rsidR="00AE2155" w:rsidRPr="00155219" w:rsidRDefault="00AE2155" w:rsidP="00B644CC">
      <w:pPr>
        <w:spacing w:line="288" w:lineRule="auto"/>
        <w:rPr>
          <w:szCs w:val="20"/>
        </w:rPr>
      </w:pPr>
    </w:p>
    <w:p w:rsidR="00AE2155" w:rsidRPr="00155219" w:rsidRDefault="00AE2155" w:rsidP="00B644CC">
      <w:pPr>
        <w:spacing w:line="288" w:lineRule="auto"/>
        <w:jc w:val="center"/>
        <w:rPr>
          <w:szCs w:val="20"/>
        </w:rPr>
      </w:pPr>
      <w:r w:rsidRPr="00155219">
        <w:rPr>
          <w:szCs w:val="20"/>
        </w:rPr>
        <w:lastRenderedPageBreak/>
        <w:t>44. člen</w:t>
      </w:r>
    </w:p>
    <w:p w:rsidR="00AE2155" w:rsidRPr="00155219" w:rsidRDefault="00AE2155" w:rsidP="00B644CC">
      <w:pPr>
        <w:spacing w:line="288" w:lineRule="auto"/>
        <w:jc w:val="center"/>
        <w:rPr>
          <w:szCs w:val="20"/>
        </w:rPr>
      </w:pPr>
      <w:r w:rsidRPr="00155219">
        <w:rPr>
          <w:szCs w:val="20"/>
        </w:rPr>
        <w:t>(opravljanje in evidenca službe)</w:t>
      </w:r>
    </w:p>
    <w:p w:rsidR="00AE2155" w:rsidRPr="00155219" w:rsidRDefault="00AE2155" w:rsidP="00B644CC">
      <w:pPr>
        <w:spacing w:line="288" w:lineRule="auto"/>
        <w:jc w:val="both"/>
        <w:rPr>
          <w:szCs w:val="20"/>
        </w:rPr>
      </w:pPr>
    </w:p>
    <w:p w:rsidR="00AE2155" w:rsidRPr="00155219" w:rsidRDefault="00AE2155" w:rsidP="00B644CC">
      <w:pPr>
        <w:spacing w:line="288" w:lineRule="auto"/>
        <w:jc w:val="both"/>
        <w:rPr>
          <w:szCs w:val="20"/>
        </w:rPr>
      </w:pPr>
      <w:r w:rsidRPr="00155219">
        <w:rPr>
          <w:szCs w:val="20"/>
        </w:rPr>
        <w:t>(1) Državni tožilci opravljajo državnotožilsko službo v poslovnem času državnega tožilstva, določenem v Državnotožilskem redu, v dežurstvu in pripravljenosti.</w:t>
      </w:r>
    </w:p>
    <w:p w:rsidR="00AE2155" w:rsidRPr="00155219" w:rsidRDefault="00AE2155" w:rsidP="00B644CC">
      <w:pPr>
        <w:spacing w:line="288" w:lineRule="auto"/>
        <w:jc w:val="both"/>
        <w:rPr>
          <w:szCs w:val="20"/>
        </w:rPr>
      </w:pPr>
    </w:p>
    <w:p w:rsidR="00AE2155" w:rsidRPr="00155219" w:rsidRDefault="00AE2155" w:rsidP="00B644CC">
      <w:pPr>
        <w:spacing w:line="288" w:lineRule="auto"/>
        <w:jc w:val="both"/>
        <w:rPr>
          <w:szCs w:val="20"/>
        </w:rPr>
      </w:pPr>
      <w:r w:rsidRPr="00155219">
        <w:rPr>
          <w:szCs w:val="20"/>
        </w:rPr>
        <w:t>(2) V izjemnih primerih lahko državni tožilec pisno soglaša, da bo opravljanje državnotožilske službe preseglo omejitve, ki izhajajo iz pravice do dnevnega in tedenskega počitka.</w:t>
      </w:r>
    </w:p>
    <w:p w:rsidR="00AE2155" w:rsidRPr="00155219" w:rsidRDefault="00AE2155" w:rsidP="00B644CC">
      <w:pPr>
        <w:spacing w:line="288" w:lineRule="auto"/>
        <w:jc w:val="both"/>
        <w:rPr>
          <w:szCs w:val="20"/>
        </w:rPr>
      </w:pPr>
    </w:p>
    <w:p w:rsidR="00AE2155" w:rsidRPr="00155219" w:rsidRDefault="00AE2155" w:rsidP="00B644CC">
      <w:pPr>
        <w:spacing w:line="288" w:lineRule="auto"/>
        <w:jc w:val="both"/>
        <w:rPr>
          <w:szCs w:val="20"/>
        </w:rPr>
      </w:pPr>
      <w:r w:rsidRPr="00155219">
        <w:rPr>
          <w:szCs w:val="20"/>
        </w:rPr>
        <w:t>(3) Državno tožilstvo vodi posebno evidenco o opravljanju pripravljenosti in dežurstva ter evidenco delovnega časa državnih tožilcev, ki so dali soglasje po prejšnjem odstavku.</w:t>
      </w:r>
    </w:p>
    <w:p w:rsidR="00AE2155" w:rsidRPr="00155219" w:rsidRDefault="00AE2155" w:rsidP="00B644CC">
      <w:pPr>
        <w:spacing w:line="288" w:lineRule="auto"/>
        <w:jc w:val="both"/>
        <w:rPr>
          <w:szCs w:val="20"/>
        </w:rPr>
      </w:pPr>
    </w:p>
    <w:p w:rsidR="00AE2155" w:rsidRPr="00155219" w:rsidRDefault="00AE2155" w:rsidP="00B644CC">
      <w:pPr>
        <w:spacing w:line="288" w:lineRule="auto"/>
        <w:jc w:val="both"/>
        <w:rPr>
          <w:szCs w:val="20"/>
        </w:rPr>
      </w:pPr>
      <w:r w:rsidRPr="00155219">
        <w:rPr>
          <w:szCs w:val="20"/>
        </w:rPr>
        <w:t>(4) Evidenca o opravljanju pripravljenosti in dežurstva vsebuje osebno ime državnega tožilca, trajanje pripravljenosti oziroma dežurstva, opravljeno dejanje oziroma usmerjanje. Evidenca delovnega časa državnih tožilcev, ki so dali soglasje, vsebuje osebno ime državnega tožilca in vsebino soglasja.</w:t>
      </w:r>
    </w:p>
    <w:p w:rsidR="00AE2155" w:rsidRPr="00155219" w:rsidRDefault="00AE2155" w:rsidP="00B644CC">
      <w:pPr>
        <w:spacing w:line="288" w:lineRule="auto"/>
        <w:jc w:val="both"/>
        <w:rPr>
          <w:szCs w:val="20"/>
        </w:rPr>
      </w:pPr>
    </w:p>
    <w:p w:rsidR="00AE2155" w:rsidRDefault="00AE2155" w:rsidP="00B644CC">
      <w:pPr>
        <w:spacing w:line="288" w:lineRule="auto"/>
        <w:jc w:val="both"/>
        <w:rPr>
          <w:b/>
          <w:bCs/>
          <w:szCs w:val="20"/>
        </w:rPr>
      </w:pPr>
      <w:r w:rsidRPr="00155219">
        <w:rPr>
          <w:szCs w:val="20"/>
        </w:rPr>
        <w:t>(5) Vodja državnega tožilstva mora evidenco na podlagi zahteve predložiti generalnemu državnemu tožilcu ali ministrstvu.</w:t>
      </w:r>
    </w:p>
    <w:p w:rsidR="00AE2155" w:rsidRDefault="00AE2155" w:rsidP="00B644CC">
      <w:pPr>
        <w:spacing w:line="288" w:lineRule="auto"/>
        <w:jc w:val="both"/>
        <w:rPr>
          <w:bCs/>
          <w:szCs w:val="20"/>
        </w:rPr>
      </w:pPr>
    </w:p>
    <w:p w:rsidR="00AE2155" w:rsidRPr="00155219" w:rsidRDefault="00AE2155" w:rsidP="00B644CC">
      <w:pPr>
        <w:spacing w:line="288" w:lineRule="auto"/>
        <w:jc w:val="center"/>
        <w:rPr>
          <w:bCs/>
          <w:szCs w:val="20"/>
        </w:rPr>
      </w:pPr>
      <w:r w:rsidRPr="00155219">
        <w:rPr>
          <w:bCs/>
          <w:szCs w:val="20"/>
        </w:rPr>
        <w:t>45. člen</w:t>
      </w:r>
    </w:p>
    <w:p w:rsidR="00AE2155" w:rsidRPr="00155219" w:rsidRDefault="00AE2155" w:rsidP="00B644CC">
      <w:pPr>
        <w:spacing w:line="288" w:lineRule="auto"/>
        <w:jc w:val="center"/>
        <w:rPr>
          <w:bCs/>
          <w:szCs w:val="20"/>
        </w:rPr>
      </w:pPr>
      <w:r w:rsidRPr="00155219">
        <w:rPr>
          <w:bCs/>
          <w:szCs w:val="20"/>
        </w:rPr>
        <w:t>(pripravljenost in dežurstvo)</w:t>
      </w:r>
    </w:p>
    <w:p w:rsidR="00AE2155" w:rsidRPr="00155219" w:rsidRDefault="00AE2155" w:rsidP="00B644CC">
      <w:pPr>
        <w:spacing w:line="288" w:lineRule="auto"/>
        <w:jc w:val="both"/>
        <w:rPr>
          <w:bCs/>
          <w:szCs w:val="20"/>
        </w:rPr>
      </w:pPr>
    </w:p>
    <w:p w:rsidR="00AE2155" w:rsidRPr="00155219" w:rsidRDefault="00AE2155" w:rsidP="00B644CC">
      <w:pPr>
        <w:spacing w:line="288" w:lineRule="auto"/>
        <w:jc w:val="both"/>
        <w:rPr>
          <w:bCs/>
          <w:szCs w:val="20"/>
        </w:rPr>
      </w:pPr>
      <w:r w:rsidRPr="00155219">
        <w:rPr>
          <w:bCs/>
          <w:szCs w:val="20"/>
        </w:rPr>
        <w:t>(1) S pripravljenostjo in dežurstvom se zunaj poslovnega časa državnega tožilstva zagotavlja opravljanje nujnih procesnih dejanj, določenih v zakonu, ter usmerjanje policije in drugih pristojnih organov v predkazenskem postopku (usmerjanje).</w:t>
      </w:r>
    </w:p>
    <w:p w:rsidR="00AE2155" w:rsidRPr="00155219" w:rsidRDefault="00AE2155" w:rsidP="00B644CC">
      <w:pPr>
        <w:spacing w:line="288" w:lineRule="auto"/>
        <w:jc w:val="both"/>
        <w:rPr>
          <w:bCs/>
          <w:szCs w:val="20"/>
        </w:rPr>
      </w:pPr>
    </w:p>
    <w:p w:rsidR="00AE2155" w:rsidRPr="00155219" w:rsidRDefault="00AE2155" w:rsidP="00B644CC">
      <w:pPr>
        <w:spacing w:line="288" w:lineRule="auto"/>
        <w:jc w:val="both"/>
        <w:rPr>
          <w:bCs/>
          <w:szCs w:val="20"/>
        </w:rPr>
      </w:pPr>
      <w:r w:rsidRPr="00155219">
        <w:rPr>
          <w:bCs/>
          <w:szCs w:val="20"/>
        </w:rPr>
        <w:t>(2) Pripravljenost pomeni dosegljivost državnega tožilca po telefonu ali z uporabo drugih sredstev za potrebe opravljanja nujnih procesnih dejanj oziroma usmerjanja. Ure pripravljenosti se ne štejejo v delovni čas.</w:t>
      </w:r>
    </w:p>
    <w:p w:rsidR="00AE2155" w:rsidRPr="00155219" w:rsidRDefault="00AE2155" w:rsidP="00B644CC">
      <w:pPr>
        <w:spacing w:line="288" w:lineRule="auto"/>
        <w:jc w:val="both"/>
        <w:rPr>
          <w:bCs/>
          <w:szCs w:val="20"/>
        </w:rPr>
      </w:pPr>
    </w:p>
    <w:p w:rsidR="00AE2155" w:rsidRPr="00155219" w:rsidRDefault="00AE2155" w:rsidP="00B644CC">
      <w:pPr>
        <w:spacing w:line="288" w:lineRule="auto"/>
        <w:jc w:val="both"/>
        <w:rPr>
          <w:bCs/>
          <w:szCs w:val="20"/>
        </w:rPr>
      </w:pPr>
      <w:r w:rsidRPr="00155219">
        <w:rPr>
          <w:bCs/>
          <w:szCs w:val="20"/>
        </w:rPr>
        <w:t>(3) V času dežurstva državni tožilec opravlja nujna procesna dejanja oziroma usmerjanje na delovnem mestu ali na drugem kraju, kjer je to potrebno. Ure dežurstva se štejejo v delovni čas.</w:t>
      </w:r>
    </w:p>
    <w:p w:rsidR="00AE2155" w:rsidRPr="00155219" w:rsidRDefault="00AE2155" w:rsidP="00B644CC">
      <w:pPr>
        <w:spacing w:line="288" w:lineRule="auto"/>
        <w:jc w:val="both"/>
        <w:rPr>
          <w:bCs/>
          <w:szCs w:val="20"/>
        </w:rPr>
      </w:pPr>
    </w:p>
    <w:p w:rsidR="00AE2155" w:rsidRPr="00155219" w:rsidRDefault="00AE2155" w:rsidP="00B644CC">
      <w:pPr>
        <w:spacing w:line="288" w:lineRule="auto"/>
        <w:jc w:val="both"/>
        <w:rPr>
          <w:bCs/>
          <w:szCs w:val="20"/>
        </w:rPr>
      </w:pPr>
      <w:r w:rsidRPr="00155219">
        <w:rPr>
          <w:bCs/>
          <w:szCs w:val="20"/>
        </w:rPr>
        <w:t>(4) Vodja državnega tožilstva lahko zaradi njihove pogostosti odredi opravljanje nujnih procesnih dejanj oziroma usmerjanje izključno z dežurstvom. Načrt opravljanja dežurstva mora predhodno odobriti generalni državni tožilec na podlagi obrazloženega pisnega predloga vodje državnega tožilstva in o tem obvestiti ministrstvo.</w:t>
      </w:r>
    </w:p>
    <w:p w:rsidR="00AE2155" w:rsidRPr="00155219" w:rsidRDefault="00AE2155" w:rsidP="00B644CC">
      <w:pPr>
        <w:spacing w:line="288" w:lineRule="auto"/>
        <w:jc w:val="both"/>
        <w:rPr>
          <w:bCs/>
          <w:szCs w:val="20"/>
        </w:rPr>
      </w:pPr>
    </w:p>
    <w:p w:rsidR="00AE2155" w:rsidRPr="00155219" w:rsidRDefault="00AE2155" w:rsidP="00B644CC">
      <w:pPr>
        <w:spacing w:line="288" w:lineRule="auto"/>
        <w:jc w:val="both"/>
        <w:rPr>
          <w:bCs/>
          <w:szCs w:val="20"/>
        </w:rPr>
      </w:pPr>
      <w:r w:rsidRPr="00155219">
        <w:rPr>
          <w:bCs/>
          <w:szCs w:val="20"/>
        </w:rPr>
        <w:t>(5) Ko državni tožilec v času dežurstva ne opravlja nujnih procesnih dejanj, mora biti dosegljiv na delovnem mestu.</w:t>
      </w:r>
    </w:p>
    <w:p w:rsidR="00AE2155" w:rsidRPr="00155219" w:rsidRDefault="00AE2155" w:rsidP="00B644CC">
      <w:pPr>
        <w:spacing w:line="288" w:lineRule="auto"/>
        <w:jc w:val="both"/>
        <w:rPr>
          <w:bCs/>
          <w:szCs w:val="20"/>
        </w:rPr>
      </w:pPr>
    </w:p>
    <w:p w:rsidR="00AE2155" w:rsidRPr="00155219" w:rsidRDefault="00AE2155" w:rsidP="00B644CC">
      <w:pPr>
        <w:spacing w:line="288" w:lineRule="auto"/>
        <w:jc w:val="both"/>
        <w:rPr>
          <w:bCs/>
          <w:szCs w:val="20"/>
        </w:rPr>
      </w:pPr>
      <w:r w:rsidRPr="00155219">
        <w:rPr>
          <w:bCs/>
          <w:szCs w:val="20"/>
        </w:rPr>
        <w:t>(6) Izvajanje pripravljenosti in dežurstva, pogoji in način odrejanja se natančneje določijo z Državnotožilskim redom.</w:t>
      </w:r>
    </w:p>
    <w:p w:rsidR="00AE2155" w:rsidRPr="00155219" w:rsidRDefault="00AE2155" w:rsidP="00B644CC">
      <w:pPr>
        <w:spacing w:line="288" w:lineRule="auto"/>
        <w:jc w:val="both"/>
        <w:rPr>
          <w:bCs/>
          <w:szCs w:val="20"/>
        </w:rPr>
      </w:pPr>
    </w:p>
    <w:p w:rsidR="00AE2155" w:rsidRPr="00155219" w:rsidRDefault="00AE2155" w:rsidP="00B644CC">
      <w:pPr>
        <w:spacing w:line="288" w:lineRule="auto"/>
        <w:jc w:val="center"/>
        <w:rPr>
          <w:bCs/>
          <w:szCs w:val="20"/>
        </w:rPr>
      </w:pPr>
      <w:r w:rsidRPr="00155219">
        <w:rPr>
          <w:bCs/>
          <w:szCs w:val="20"/>
        </w:rPr>
        <w:t>46. člen</w:t>
      </w:r>
    </w:p>
    <w:p w:rsidR="00AE2155" w:rsidRPr="00155219" w:rsidRDefault="00AE2155" w:rsidP="00B644CC">
      <w:pPr>
        <w:spacing w:line="288" w:lineRule="auto"/>
        <w:jc w:val="center"/>
        <w:rPr>
          <w:bCs/>
          <w:szCs w:val="20"/>
        </w:rPr>
      </w:pPr>
      <w:r w:rsidRPr="00155219">
        <w:rPr>
          <w:bCs/>
          <w:szCs w:val="20"/>
        </w:rPr>
        <w:t>(mirovanje funkcije)</w:t>
      </w:r>
    </w:p>
    <w:p w:rsidR="00AE2155" w:rsidRPr="00155219" w:rsidRDefault="00AE2155" w:rsidP="00B644CC">
      <w:pPr>
        <w:spacing w:line="288" w:lineRule="auto"/>
        <w:jc w:val="both"/>
        <w:rPr>
          <w:bCs/>
          <w:szCs w:val="20"/>
        </w:rPr>
      </w:pPr>
    </w:p>
    <w:p w:rsidR="00AE2155" w:rsidRPr="00155219" w:rsidRDefault="00AE2155" w:rsidP="00B644CC">
      <w:pPr>
        <w:spacing w:line="288" w:lineRule="auto"/>
        <w:jc w:val="both"/>
        <w:rPr>
          <w:bCs/>
          <w:szCs w:val="20"/>
        </w:rPr>
      </w:pPr>
      <w:r w:rsidRPr="00155219">
        <w:rPr>
          <w:bCs/>
          <w:szCs w:val="20"/>
        </w:rPr>
        <w:t xml:space="preserve">(1) Če je državni tožilec izvoljen za predsednika republike, poslanca Državnega zbora Republike Slovenije, sodnika ustavnega sodišča, sodnika mednarodnega sodišča ali na drugo mednarodno </w:t>
      </w:r>
      <w:r w:rsidRPr="00155219">
        <w:rPr>
          <w:bCs/>
          <w:szCs w:val="20"/>
        </w:rPr>
        <w:lastRenderedPageBreak/>
        <w:t>pravosodno funkcijo, predsednika Vlade Republike Slovenije, varuha človekovih pravic oziroma njegovega namestnika, imenovan na ministrsko funkcijo ali funkcijo državnega sekretarja, predsednika ali namestnika predsednika komisije za preprečevanje korupcije, mu državnotožilska funkcija ter vse pravice in dolžnosti iz državnotožilske službe mirujejo.</w:t>
      </w:r>
    </w:p>
    <w:p w:rsidR="00AE2155" w:rsidRPr="00155219" w:rsidRDefault="00AE2155" w:rsidP="00B644CC">
      <w:pPr>
        <w:spacing w:line="288" w:lineRule="auto"/>
        <w:jc w:val="both"/>
        <w:rPr>
          <w:bCs/>
          <w:szCs w:val="20"/>
        </w:rPr>
      </w:pPr>
    </w:p>
    <w:p w:rsidR="00AE2155" w:rsidRDefault="00AE2155" w:rsidP="00B644CC">
      <w:pPr>
        <w:spacing w:line="288" w:lineRule="auto"/>
        <w:jc w:val="both"/>
        <w:rPr>
          <w:bCs/>
          <w:szCs w:val="20"/>
        </w:rPr>
      </w:pPr>
      <w:r w:rsidRPr="00155219">
        <w:rPr>
          <w:bCs/>
          <w:szCs w:val="20"/>
        </w:rPr>
        <w:t>(2) Določba prejšnjega odstavka se uporablja tudi, če je državni tožilec izvoljen za poslanca evropskega parlamenta ali evropskega varuha človekovih pravic ali imenovan za člana Evropske komisije ali mednarodne civilne misije ali imenovan za evropskega glavnega tožilca.</w:t>
      </w:r>
    </w:p>
    <w:p w:rsidR="00AE2155" w:rsidRDefault="00AE2155" w:rsidP="00B644CC">
      <w:pPr>
        <w:spacing w:line="288" w:lineRule="auto"/>
        <w:jc w:val="both"/>
        <w:rPr>
          <w:szCs w:val="20"/>
        </w:rPr>
      </w:pPr>
    </w:p>
    <w:p w:rsidR="00AE2155" w:rsidRPr="00CC2432" w:rsidRDefault="00AE2155" w:rsidP="00B644CC">
      <w:pPr>
        <w:spacing w:line="288" w:lineRule="auto"/>
        <w:jc w:val="center"/>
        <w:rPr>
          <w:szCs w:val="20"/>
        </w:rPr>
      </w:pPr>
      <w:r w:rsidRPr="00CC2432">
        <w:rPr>
          <w:szCs w:val="20"/>
        </w:rPr>
        <w:t>50. člen</w:t>
      </w:r>
    </w:p>
    <w:p w:rsidR="00AE2155" w:rsidRPr="00CC2432" w:rsidRDefault="00AE2155" w:rsidP="00B644CC">
      <w:pPr>
        <w:spacing w:line="288" w:lineRule="auto"/>
        <w:jc w:val="center"/>
        <w:rPr>
          <w:szCs w:val="20"/>
        </w:rPr>
      </w:pPr>
      <w:r w:rsidRPr="00CC2432">
        <w:rPr>
          <w:szCs w:val="20"/>
        </w:rPr>
        <w:t>(dodatek za pripravljenost in delo prek polnega delovnega časa)</w:t>
      </w:r>
    </w:p>
    <w:p w:rsidR="00AE2155" w:rsidRPr="00CC2432" w:rsidRDefault="00AE2155" w:rsidP="00B644CC">
      <w:pPr>
        <w:spacing w:line="288" w:lineRule="auto"/>
        <w:jc w:val="both"/>
        <w:rPr>
          <w:szCs w:val="20"/>
        </w:rPr>
      </w:pPr>
    </w:p>
    <w:p w:rsidR="00AE2155" w:rsidRPr="00CC2432" w:rsidRDefault="00AE2155" w:rsidP="00B644CC">
      <w:pPr>
        <w:spacing w:line="288" w:lineRule="auto"/>
        <w:jc w:val="both"/>
        <w:rPr>
          <w:szCs w:val="20"/>
        </w:rPr>
      </w:pPr>
      <w:r w:rsidRPr="00CC2432">
        <w:rPr>
          <w:szCs w:val="20"/>
        </w:rPr>
        <w:t>(1) Za ure pripravljenosti pripada državnemu tožilcu dodatek za pripravljenost v višini, kakršno določa zakon, ki ureja sistem plač v javnem sektorju.</w:t>
      </w:r>
    </w:p>
    <w:p w:rsidR="00AE2155" w:rsidRPr="00CC2432" w:rsidRDefault="00AE2155" w:rsidP="00B644CC">
      <w:pPr>
        <w:spacing w:line="288" w:lineRule="auto"/>
        <w:jc w:val="both"/>
        <w:rPr>
          <w:szCs w:val="20"/>
        </w:rPr>
      </w:pPr>
    </w:p>
    <w:p w:rsidR="00AE2155" w:rsidRPr="00CC2432" w:rsidRDefault="00AE2155" w:rsidP="00B644CC">
      <w:pPr>
        <w:spacing w:line="288" w:lineRule="auto"/>
        <w:jc w:val="both"/>
        <w:rPr>
          <w:szCs w:val="20"/>
        </w:rPr>
      </w:pPr>
      <w:r w:rsidRPr="00CC2432">
        <w:rPr>
          <w:szCs w:val="20"/>
        </w:rPr>
        <w:t>(2) Če državni tožilec med pripravljenostjo prevzame opravljanje nujnih procesnih dejanj oziroma usmerjanje, se ta čas evidentira in vrednoti kot ure med dežurstvom.</w:t>
      </w:r>
    </w:p>
    <w:p w:rsidR="00AE2155" w:rsidRPr="00CC2432" w:rsidRDefault="00AE2155" w:rsidP="00B644CC">
      <w:pPr>
        <w:spacing w:line="288" w:lineRule="auto"/>
        <w:jc w:val="both"/>
        <w:rPr>
          <w:szCs w:val="20"/>
        </w:rPr>
      </w:pPr>
    </w:p>
    <w:p w:rsidR="00AE2155" w:rsidRDefault="00AE2155" w:rsidP="00B644CC">
      <w:pPr>
        <w:spacing w:line="288" w:lineRule="auto"/>
        <w:jc w:val="both"/>
        <w:rPr>
          <w:szCs w:val="20"/>
        </w:rPr>
      </w:pPr>
      <w:r w:rsidRPr="00CC2432">
        <w:rPr>
          <w:szCs w:val="20"/>
        </w:rPr>
        <w:t>(3) Za ure dežurstva, ki presegajo polni delovni čas, pripada državnemu tožilcu dodatek za delo prek polnega delovnega časa v skladu z zakonom, ki ureja sistem plač v javnem sektorju.</w:t>
      </w:r>
    </w:p>
    <w:p w:rsidR="00AE2155" w:rsidRDefault="00AE2155" w:rsidP="00B644CC">
      <w:pPr>
        <w:spacing w:line="288" w:lineRule="auto"/>
        <w:jc w:val="both"/>
        <w:rPr>
          <w:szCs w:val="20"/>
        </w:rPr>
      </w:pPr>
    </w:p>
    <w:p w:rsidR="00AE2155" w:rsidRPr="00293E99" w:rsidRDefault="00AE2155" w:rsidP="00B644CC">
      <w:pPr>
        <w:spacing w:line="288" w:lineRule="auto"/>
        <w:jc w:val="center"/>
        <w:rPr>
          <w:szCs w:val="20"/>
        </w:rPr>
      </w:pPr>
      <w:r w:rsidRPr="00293E99">
        <w:rPr>
          <w:szCs w:val="20"/>
        </w:rPr>
        <w:t>62. člen</w:t>
      </w:r>
    </w:p>
    <w:p w:rsidR="00AE2155" w:rsidRPr="00293E99" w:rsidRDefault="00AE2155" w:rsidP="00B644CC">
      <w:pPr>
        <w:spacing w:line="288" w:lineRule="auto"/>
        <w:jc w:val="center"/>
        <w:rPr>
          <w:szCs w:val="20"/>
        </w:rPr>
      </w:pPr>
      <w:r w:rsidRPr="00293E99">
        <w:rPr>
          <w:szCs w:val="20"/>
        </w:rPr>
        <w:t>(dodelitev v organ)</w:t>
      </w:r>
    </w:p>
    <w:p w:rsidR="00AE2155" w:rsidRPr="00293E99" w:rsidRDefault="00AE2155" w:rsidP="00B644CC">
      <w:pPr>
        <w:spacing w:line="288" w:lineRule="auto"/>
        <w:jc w:val="both"/>
        <w:rPr>
          <w:szCs w:val="20"/>
        </w:rPr>
      </w:pPr>
    </w:p>
    <w:p w:rsidR="00AE2155" w:rsidRPr="00293E99" w:rsidRDefault="00AE2155" w:rsidP="00B644CC">
      <w:pPr>
        <w:spacing w:line="288" w:lineRule="auto"/>
        <w:jc w:val="both"/>
        <w:rPr>
          <w:szCs w:val="20"/>
        </w:rPr>
      </w:pPr>
      <w:r w:rsidRPr="00293E99">
        <w:rPr>
          <w:szCs w:val="20"/>
        </w:rPr>
        <w:t>(1) Državni tožilec je lahko dodeljen za opravljanje zahtevnejših strokovnih nalog ali za opravljanje nalog generalnega direktorja na Vrhovno državno tožilstvo Republike Slovenije (v nadaljnjem besedilu: Vrhovno državno tožilstvo), ter za opravljanje zahtevnejših strokovnih nalog v strokovno službo Državnotožilskega sveta in v ministrstvo.</w:t>
      </w:r>
    </w:p>
    <w:p w:rsidR="00AE2155" w:rsidRPr="00293E99" w:rsidRDefault="00AE2155" w:rsidP="00B644CC">
      <w:pPr>
        <w:spacing w:line="288" w:lineRule="auto"/>
        <w:jc w:val="both"/>
        <w:rPr>
          <w:szCs w:val="20"/>
        </w:rPr>
      </w:pPr>
    </w:p>
    <w:p w:rsidR="00AE2155" w:rsidRPr="00293E99" w:rsidRDefault="00AE2155" w:rsidP="00B644CC">
      <w:pPr>
        <w:spacing w:line="288" w:lineRule="auto"/>
        <w:jc w:val="both"/>
        <w:rPr>
          <w:szCs w:val="20"/>
        </w:rPr>
      </w:pPr>
      <w:r w:rsidRPr="00293E99">
        <w:rPr>
          <w:szCs w:val="20"/>
        </w:rPr>
        <w:t>(2) Državni tožilec je lahko dodeljen za vodenje Nacionalnega preiskovalnega urada ali za opravljanje zahtevnejših strokovnih nalog v tem uradu, v Komisiji za preprečevanje korupcije ali v Uradu za preprečevanje pranja denarja.</w:t>
      </w:r>
    </w:p>
    <w:p w:rsidR="00AE2155" w:rsidRPr="00293E99" w:rsidRDefault="00AE2155" w:rsidP="00B644CC">
      <w:pPr>
        <w:spacing w:line="288" w:lineRule="auto"/>
        <w:jc w:val="both"/>
        <w:rPr>
          <w:szCs w:val="20"/>
        </w:rPr>
      </w:pPr>
    </w:p>
    <w:p w:rsidR="00AE2155" w:rsidRPr="00293E99" w:rsidRDefault="00AE2155" w:rsidP="00B644CC">
      <w:pPr>
        <w:spacing w:line="288" w:lineRule="auto"/>
        <w:jc w:val="both"/>
        <w:rPr>
          <w:szCs w:val="20"/>
        </w:rPr>
      </w:pPr>
      <w:r w:rsidRPr="00293E99">
        <w:rPr>
          <w:szCs w:val="20"/>
        </w:rPr>
        <w:t>(3) Poziv k prijavam za dodelitev in predvideni čas dodelitve objavi ministrstvo v 15 dneh od prejema predloga predstojnika organa iz prvega in drugega odstavka tega člena.</w:t>
      </w:r>
    </w:p>
    <w:p w:rsidR="00AE2155" w:rsidRPr="00293E99" w:rsidRDefault="00AE2155" w:rsidP="00B644CC">
      <w:pPr>
        <w:spacing w:line="288" w:lineRule="auto"/>
        <w:jc w:val="both"/>
        <w:rPr>
          <w:szCs w:val="20"/>
        </w:rPr>
      </w:pPr>
    </w:p>
    <w:p w:rsidR="00AE2155" w:rsidRPr="00293E99" w:rsidRDefault="00AE2155" w:rsidP="00B644CC">
      <w:pPr>
        <w:spacing w:line="288" w:lineRule="auto"/>
        <w:jc w:val="both"/>
        <w:rPr>
          <w:szCs w:val="20"/>
        </w:rPr>
      </w:pPr>
      <w:r w:rsidRPr="00293E99">
        <w:rPr>
          <w:szCs w:val="20"/>
        </w:rPr>
        <w:t>(4) O dodelitvi odloča Državnotožilski svet na predlog predstojnika organa, ki mu bo državni tožilec dodeljen. Državnotožilski svet pred odločitvijo pridobi pisno soglasje državnega tožilca in mnenje vodje državnega tožilstva, na katerem opravlja državnotožilsko službo. Prijava državnega tožilca na poziv k prijavam za dodelitev šteje za pisno soglasje.</w:t>
      </w:r>
    </w:p>
    <w:p w:rsidR="00AE2155" w:rsidRPr="00293E99" w:rsidRDefault="00AE2155" w:rsidP="00B644CC">
      <w:pPr>
        <w:spacing w:line="288" w:lineRule="auto"/>
        <w:jc w:val="both"/>
        <w:rPr>
          <w:szCs w:val="20"/>
        </w:rPr>
      </w:pPr>
    </w:p>
    <w:p w:rsidR="00AE2155" w:rsidRPr="00293E99" w:rsidRDefault="00AE2155" w:rsidP="00B644CC">
      <w:pPr>
        <w:spacing w:line="288" w:lineRule="auto"/>
        <w:jc w:val="both"/>
        <w:rPr>
          <w:szCs w:val="20"/>
        </w:rPr>
      </w:pPr>
      <w:r w:rsidRPr="00293E99">
        <w:rPr>
          <w:szCs w:val="20"/>
        </w:rPr>
        <w:t>(5) Dodelitev po tem členu lahko, glede na potrebe, traja največ tri leta, s soglasjem državnega tožilca pa se lahko enkrat podaljša za največ tri leta.</w:t>
      </w:r>
    </w:p>
    <w:p w:rsidR="00AE2155" w:rsidRPr="00293E99" w:rsidRDefault="00AE2155" w:rsidP="00B644CC">
      <w:pPr>
        <w:spacing w:line="288" w:lineRule="auto"/>
        <w:jc w:val="both"/>
        <w:rPr>
          <w:szCs w:val="20"/>
        </w:rPr>
      </w:pPr>
    </w:p>
    <w:p w:rsidR="00AE2155" w:rsidRDefault="00AE2155" w:rsidP="00B644CC">
      <w:pPr>
        <w:spacing w:line="288" w:lineRule="auto"/>
        <w:jc w:val="both"/>
        <w:rPr>
          <w:szCs w:val="20"/>
        </w:rPr>
      </w:pPr>
      <w:r w:rsidRPr="00293E99">
        <w:rPr>
          <w:szCs w:val="20"/>
        </w:rPr>
        <w:t>(6) Če s tem ali drugim zakonom ni določeno drugače, se s smiselno uporabo tega člena ureja tudi dodelitev državnega tožilca za opravljanje državnotožilske službe ali strokovnih nalog v mednarodnih civilnih misijah in mednarodnih organizacijah, kamor jih na podlagi povabila ali razpisa mednarodne organizacije napoti državni ali drug organ za določen čas.</w:t>
      </w:r>
    </w:p>
    <w:p w:rsidR="00AE2155" w:rsidRDefault="00AE2155" w:rsidP="00B644CC">
      <w:pPr>
        <w:spacing w:line="288" w:lineRule="auto"/>
        <w:jc w:val="both"/>
        <w:rPr>
          <w:szCs w:val="20"/>
        </w:rPr>
      </w:pPr>
    </w:p>
    <w:p w:rsidR="00AE2155" w:rsidRDefault="00AE2155" w:rsidP="00B644CC">
      <w:pPr>
        <w:spacing w:line="288" w:lineRule="auto"/>
        <w:jc w:val="center"/>
        <w:rPr>
          <w:szCs w:val="20"/>
        </w:rPr>
      </w:pPr>
    </w:p>
    <w:p w:rsidR="00AE2155" w:rsidRPr="00293E99" w:rsidRDefault="00AE2155" w:rsidP="00B644CC">
      <w:pPr>
        <w:spacing w:line="288" w:lineRule="auto"/>
        <w:jc w:val="center"/>
        <w:rPr>
          <w:szCs w:val="20"/>
        </w:rPr>
      </w:pPr>
      <w:r w:rsidRPr="00293E99">
        <w:rPr>
          <w:szCs w:val="20"/>
        </w:rPr>
        <w:lastRenderedPageBreak/>
        <w:t>65. člen</w:t>
      </w:r>
    </w:p>
    <w:p w:rsidR="00AE2155" w:rsidRPr="00293E99" w:rsidRDefault="00AE2155" w:rsidP="00B644CC">
      <w:pPr>
        <w:spacing w:line="288" w:lineRule="auto"/>
        <w:jc w:val="center"/>
        <w:rPr>
          <w:szCs w:val="20"/>
        </w:rPr>
      </w:pPr>
      <w:r w:rsidRPr="00293E99">
        <w:rPr>
          <w:szCs w:val="20"/>
        </w:rPr>
        <w:t>(pravice pri dodelitvi v organ)</w:t>
      </w:r>
    </w:p>
    <w:p w:rsidR="00AE2155" w:rsidRPr="00293E99" w:rsidRDefault="00AE2155" w:rsidP="00B644CC">
      <w:pPr>
        <w:spacing w:line="288" w:lineRule="auto"/>
        <w:jc w:val="both"/>
        <w:rPr>
          <w:szCs w:val="20"/>
        </w:rPr>
      </w:pPr>
    </w:p>
    <w:p w:rsidR="00AE2155" w:rsidRPr="00293E99" w:rsidRDefault="00AE2155" w:rsidP="00B644CC">
      <w:pPr>
        <w:spacing w:line="288" w:lineRule="auto"/>
        <w:jc w:val="both"/>
        <w:rPr>
          <w:szCs w:val="20"/>
        </w:rPr>
      </w:pPr>
      <w:r w:rsidRPr="00293E99">
        <w:rPr>
          <w:szCs w:val="20"/>
        </w:rPr>
        <w:t>(1) Državni tožilec, ki je dodeljen v organ, obdrži pravico uporabljati državnotožilski naziv in položaj, vendar ne more hkrati opravljati državnotožilske službe in mu obveznosti iz nje mirujejo. Med dodelitvijo lahko kandidira in je imenovan za vodjo državnega tožilstva, namestnika vodje državnega tožilstva ali na druga vodstvena mesta na državnem tožilstvu pod pogoji in po postopku, ki jih določa ta zakon.</w:t>
      </w:r>
    </w:p>
    <w:p w:rsidR="00AE2155" w:rsidRPr="00293E99" w:rsidRDefault="00AE2155" w:rsidP="00B644CC">
      <w:pPr>
        <w:spacing w:line="288" w:lineRule="auto"/>
        <w:jc w:val="both"/>
        <w:rPr>
          <w:szCs w:val="20"/>
        </w:rPr>
      </w:pPr>
    </w:p>
    <w:p w:rsidR="00AE2155" w:rsidRPr="00293E99" w:rsidRDefault="00AE2155" w:rsidP="00B644CC">
      <w:pPr>
        <w:spacing w:line="288" w:lineRule="auto"/>
        <w:jc w:val="both"/>
        <w:rPr>
          <w:szCs w:val="20"/>
        </w:rPr>
      </w:pPr>
      <w:r w:rsidRPr="00293E99">
        <w:rPr>
          <w:szCs w:val="20"/>
        </w:rPr>
        <w:t>(2) Državnemu tožilcu iz prejšnjega odstavka tega člena pripada najmanj takšna plača, kakršno bi prejemal, če bi opravljal državnotožilsko službo, varovane pa so tudi vse njegove pravice do napredovanja v skladu s tem zakonom po izteku dodelitve.</w:t>
      </w:r>
    </w:p>
    <w:p w:rsidR="00AE2155" w:rsidRPr="00293E99" w:rsidRDefault="00AE2155" w:rsidP="00B644CC">
      <w:pPr>
        <w:spacing w:line="288" w:lineRule="auto"/>
        <w:jc w:val="both"/>
        <w:rPr>
          <w:szCs w:val="20"/>
        </w:rPr>
      </w:pPr>
    </w:p>
    <w:p w:rsidR="00AE2155" w:rsidRPr="00293E99" w:rsidRDefault="00AE2155" w:rsidP="00B644CC">
      <w:pPr>
        <w:spacing w:line="288" w:lineRule="auto"/>
        <w:jc w:val="both"/>
        <w:rPr>
          <w:szCs w:val="20"/>
        </w:rPr>
      </w:pPr>
      <w:r w:rsidRPr="00293E99">
        <w:rPr>
          <w:szCs w:val="20"/>
        </w:rPr>
        <w:t>(3) Državni tožilec iz prvega odstavka ima na podlagi dodelitve pravico do dodatkov, določenih z zakonom ali drugimi predpisi.</w:t>
      </w:r>
    </w:p>
    <w:p w:rsidR="00AE2155" w:rsidRPr="00293E99" w:rsidRDefault="00AE2155" w:rsidP="00B644CC">
      <w:pPr>
        <w:spacing w:line="288" w:lineRule="auto"/>
        <w:jc w:val="both"/>
        <w:rPr>
          <w:szCs w:val="20"/>
        </w:rPr>
      </w:pPr>
    </w:p>
    <w:p w:rsidR="00AE2155" w:rsidRDefault="00AE2155" w:rsidP="00B644CC">
      <w:pPr>
        <w:spacing w:line="288" w:lineRule="auto"/>
        <w:jc w:val="both"/>
        <w:rPr>
          <w:szCs w:val="20"/>
        </w:rPr>
      </w:pPr>
      <w:r w:rsidRPr="00293E99">
        <w:rPr>
          <w:szCs w:val="20"/>
        </w:rPr>
        <w:t>(4) Vodja državnega tožilstva, predstojnik organa in dodeljeni državni tožilec sklenejo pisni sporazum o načinu povračila plače, nadomestila plače in drugih osebnih prejemkov ter povračil dodeljenega državnega tožilca iz prejšnjega odstavka, pa tudi o uresničevanju drugih pravic in izpolnjevanju obveznosti v zvezi z dodelitvijo.</w:t>
      </w:r>
    </w:p>
    <w:p w:rsidR="00AE2155" w:rsidRDefault="00AE2155" w:rsidP="00B644CC">
      <w:pPr>
        <w:spacing w:line="288" w:lineRule="auto"/>
        <w:jc w:val="both"/>
        <w:rPr>
          <w:szCs w:val="20"/>
        </w:rPr>
      </w:pPr>
    </w:p>
    <w:p w:rsidR="00AE2155" w:rsidRPr="00293E99" w:rsidRDefault="00AE2155" w:rsidP="00B644CC">
      <w:pPr>
        <w:spacing w:line="288" w:lineRule="auto"/>
        <w:jc w:val="center"/>
        <w:rPr>
          <w:szCs w:val="20"/>
        </w:rPr>
      </w:pPr>
      <w:r w:rsidRPr="00293E99">
        <w:rPr>
          <w:szCs w:val="20"/>
        </w:rPr>
        <w:t>8. oddelek</w:t>
      </w:r>
    </w:p>
    <w:p w:rsidR="00AE2155" w:rsidRPr="00293E99" w:rsidRDefault="00AE2155" w:rsidP="00B644CC">
      <w:pPr>
        <w:spacing w:line="288" w:lineRule="auto"/>
        <w:jc w:val="center"/>
        <w:rPr>
          <w:szCs w:val="20"/>
        </w:rPr>
      </w:pPr>
      <w:r w:rsidRPr="00293E99">
        <w:rPr>
          <w:szCs w:val="20"/>
        </w:rPr>
        <w:t>Nacionalni predstavnik v Eurojustu</w:t>
      </w:r>
    </w:p>
    <w:p w:rsidR="00AE2155" w:rsidRPr="00293E99" w:rsidRDefault="00AE2155" w:rsidP="00B644CC">
      <w:pPr>
        <w:spacing w:line="288" w:lineRule="auto"/>
        <w:jc w:val="center"/>
        <w:rPr>
          <w:szCs w:val="20"/>
        </w:rPr>
      </w:pPr>
    </w:p>
    <w:p w:rsidR="00AE2155" w:rsidRPr="00293E99" w:rsidRDefault="00AE2155" w:rsidP="00B644CC">
      <w:pPr>
        <w:spacing w:line="288" w:lineRule="auto"/>
        <w:jc w:val="center"/>
        <w:rPr>
          <w:szCs w:val="20"/>
        </w:rPr>
      </w:pPr>
      <w:r w:rsidRPr="00293E99">
        <w:rPr>
          <w:szCs w:val="20"/>
        </w:rPr>
        <w:t>68. člen</w:t>
      </w:r>
    </w:p>
    <w:p w:rsidR="00AE2155" w:rsidRPr="00293E99" w:rsidRDefault="00AE2155" w:rsidP="00B644CC">
      <w:pPr>
        <w:spacing w:line="288" w:lineRule="auto"/>
        <w:jc w:val="center"/>
        <w:rPr>
          <w:szCs w:val="20"/>
        </w:rPr>
      </w:pPr>
      <w:r w:rsidRPr="00293E99">
        <w:rPr>
          <w:szCs w:val="20"/>
        </w:rPr>
        <w:t>(pogoji in postopek za imenovanje)</w:t>
      </w:r>
    </w:p>
    <w:p w:rsidR="00AE2155" w:rsidRPr="00293E99" w:rsidRDefault="00AE2155" w:rsidP="00B644CC">
      <w:pPr>
        <w:spacing w:line="288" w:lineRule="auto"/>
        <w:jc w:val="both"/>
        <w:rPr>
          <w:szCs w:val="20"/>
        </w:rPr>
      </w:pPr>
    </w:p>
    <w:p w:rsidR="00AE2155" w:rsidRPr="00293E99" w:rsidRDefault="00AE2155" w:rsidP="00B644CC">
      <w:pPr>
        <w:spacing w:line="288" w:lineRule="auto"/>
        <w:jc w:val="both"/>
        <w:rPr>
          <w:szCs w:val="20"/>
        </w:rPr>
      </w:pPr>
      <w:r w:rsidRPr="00293E99">
        <w:rPr>
          <w:szCs w:val="20"/>
        </w:rPr>
        <w:t>(1) Za nacionalnega predstavnika v Uradu za evropsko pravosodno sodelovanje (v nadaljnjem besedilu: Eurojust) in njegovega namestnika se lahko imenuje vrhovni ali višji državni tožilec ali okrožni državni tožilec, ki izpolnjuje pogoje za imenovanje v višjega državnega tožilca in izkaže z javno priznanim preizkusom potrjeno višjo raven znanja najmanj enega uradnega jezika Evropske unije, ki je delovni jezik v Eurojustu. Okrožni državni tožilec iz prejšnjega stavka z imenovanjem pridobi naziv višjega državnega tožilca.</w:t>
      </w:r>
    </w:p>
    <w:p w:rsidR="00AE2155" w:rsidRPr="00293E99" w:rsidRDefault="00AE2155" w:rsidP="00B644CC">
      <w:pPr>
        <w:spacing w:line="288" w:lineRule="auto"/>
        <w:jc w:val="both"/>
        <w:rPr>
          <w:szCs w:val="20"/>
        </w:rPr>
      </w:pPr>
    </w:p>
    <w:p w:rsidR="00AE2155" w:rsidRPr="00293E99" w:rsidRDefault="00AE2155" w:rsidP="00B644CC">
      <w:pPr>
        <w:spacing w:line="288" w:lineRule="auto"/>
        <w:jc w:val="both"/>
        <w:rPr>
          <w:szCs w:val="20"/>
        </w:rPr>
      </w:pPr>
      <w:r w:rsidRPr="00293E99">
        <w:rPr>
          <w:szCs w:val="20"/>
        </w:rPr>
        <w:t>(2) Za pomočnika nacionalnega predstavnika je lahko imenovan okrožni državni tožilec ali okrajni državni tožilec, ki izpolnjuje pogoje za imenovanje v okrožnega državnega tožilca in izkaže z javno priznanim preizkusom potrjeno višjo raven znanja najmanj enega uradnega jezika Evropske unije, ki je delovni jezik v Eurojustu. Okrajni državni tožilec iz prejšnjega stavka z imenovanjem pridobi naziv okrožnega državnega tožilca.</w:t>
      </w:r>
    </w:p>
    <w:p w:rsidR="00AE2155" w:rsidRPr="00293E99" w:rsidRDefault="00AE2155" w:rsidP="00B644CC">
      <w:pPr>
        <w:spacing w:line="288" w:lineRule="auto"/>
        <w:jc w:val="both"/>
        <w:rPr>
          <w:szCs w:val="20"/>
        </w:rPr>
      </w:pPr>
    </w:p>
    <w:p w:rsidR="00AE2155" w:rsidRPr="00293E99" w:rsidRDefault="00AE2155" w:rsidP="00B644CC">
      <w:pPr>
        <w:spacing w:line="288" w:lineRule="auto"/>
        <w:jc w:val="both"/>
        <w:rPr>
          <w:szCs w:val="20"/>
        </w:rPr>
      </w:pPr>
      <w:r w:rsidRPr="00293E99">
        <w:rPr>
          <w:szCs w:val="20"/>
        </w:rPr>
        <w:t>(3) Za postopek imenovanja se smiselno uporabljajo določbe tega zakona o dodelitvi državnega tožilca v organ.</w:t>
      </w:r>
    </w:p>
    <w:p w:rsidR="00AE2155" w:rsidRPr="00293E99" w:rsidRDefault="00AE2155" w:rsidP="00B644CC">
      <w:pPr>
        <w:spacing w:line="288" w:lineRule="auto"/>
        <w:jc w:val="both"/>
        <w:rPr>
          <w:szCs w:val="20"/>
        </w:rPr>
      </w:pPr>
    </w:p>
    <w:p w:rsidR="00AE2155" w:rsidRPr="00293E99" w:rsidRDefault="00AE2155" w:rsidP="00B644CC">
      <w:pPr>
        <w:spacing w:line="288" w:lineRule="auto"/>
        <w:jc w:val="both"/>
        <w:rPr>
          <w:szCs w:val="20"/>
        </w:rPr>
      </w:pPr>
      <w:r w:rsidRPr="00293E99">
        <w:rPr>
          <w:szCs w:val="20"/>
        </w:rPr>
        <w:t>(4) Nacionalnega predstavnika in njegovega namestnika imenuje Vlada Republike Slovenije na predlog Državnotožilskega sveta. Pomočnika nacionalnega predstavnika imenuje Državnotožilski svet na predlog nacionalnega predstavnika.</w:t>
      </w:r>
    </w:p>
    <w:p w:rsidR="00AE2155" w:rsidRPr="00293E99" w:rsidRDefault="00AE2155" w:rsidP="00B644CC">
      <w:pPr>
        <w:spacing w:line="288" w:lineRule="auto"/>
        <w:jc w:val="both"/>
        <w:rPr>
          <w:szCs w:val="20"/>
        </w:rPr>
      </w:pPr>
    </w:p>
    <w:p w:rsidR="00AE2155" w:rsidRPr="00293E99" w:rsidRDefault="00AE2155" w:rsidP="00B644CC">
      <w:pPr>
        <w:spacing w:line="288" w:lineRule="auto"/>
        <w:jc w:val="center"/>
        <w:rPr>
          <w:szCs w:val="20"/>
        </w:rPr>
      </w:pPr>
      <w:r w:rsidRPr="00293E99">
        <w:rPr>
          <w:szCs w:val="20"/>
        </w:rPr>
        <w:t>69. člen</w:t>
      </w:r>
    </w:p>
    <w:p w:rsidR="00AE2155" w:rsidRPr="00293E99" w:rsidRDefault="00AE2155" w:rsidP="00B644CC">
      <w:pPr>
        <w:spacing w:line="288" w:lineRule="auto"/>
        <w:jc w:val="center"/>
        <w:rPr>
          <w:szCs w:val="20"/>
        </w:rPr>
      </w:pPr>
      <w:r w:rsidRPr="00293E99">
        <w:rPr>
          <w:szCs w:val="20"/>
        </w:rPr>
        <w:t>(doba imenovanja)</w:t>
      </w:r>
    </w:p>
    <w:p w:rsidR="00AE2155" w:rsidRPr="00293E99" w:rsidRDefault="00AE2155" w:rsidP="00B644CC">
      <w:pPr>
        <w:spacing w:line="288" w:lineRule="auto"/>
        <w:jc w:val="both"/>
        <w:rPr>
          <w:szCs w:val="20"/>
        </w:rPr>
      </w:pPr>
    </w:p>
    <w:p w:rsidR="00AE2155" w:rsidRPr="00293E99" w:rsidRDefault="00AE2155" w:rsidP="00B644CC">
      <w:pPr>
        <w:spacing w:line="288" w:lineRule="auto"/>
        <w:jc w:val="both"/>
        <w:rPr>
          <w:szCs w:val="20"/>
        </w:rPr>
      </w:pPr>
      <w:r w:rsidRPr="00293E99">
        <w:rPr>
          <w:szCs w:val="20"/>
        </w:rPr>
        <w:lastRenderedPageBreak/>
        <w:t>(1) Nacionalni predstavnik, namestnik in pomočnik nacionalnega predstavnika za izvajanje pooblastil in strokovnih nalog Eurojusta se imenujejo za štiri leta ter so po poteku navedene dobe lahko ponovno imenovani.</w:t>
      </w:r>
    </w:p>
    <w:p w:rsidR="00AE2155" w:rsidRPr="00293E99" w:rsidRDefault="00AE2155" w:rsidP="00B644CC">
      <w:pPr>
        <w:spacing w:line="288" w:lineRule="auto"/>
        <w:jc w:val="both"/>
        <w:rPr>
          <w:szCs w:val="20"/>
        </w:rPr>
      </w:pPr>
    </w:p>
    <w:p w:rsidR="00AE2155" w:rsidRPr="00293E99" w:rsidRDefault="00AE2155" w:rsidP="00B644CC">
      <w:pPr>
        <w:spacing w:line="288" w:lineRule="auto"/>
        <w:jc w:val="both"/>
        <w:rPr>
          <w:szCs w:val="20"/>
        </w:rPr>
      </w:pPr>
      <w:r w:rsidRPr="00293E99">
        <w:rPr>
          <w:szCs w:val="20"/>
        </w:rPr>
        <w:t>(2) Odpoklic (predčasno prenehanje izvajanja pooblastil in strokovnih nalog Eurojusta) nacionalnega predstavnika pred potekom dobe, za katero je imenovan, je mogoč samo pod pogoji, ki jih določajo sklepi Sveta Evropske unije o vzpostavitvi in delovanju Eurojusta.</w:t>
      </w:r>
    </w:p>
    <w:p w:rsidR="00AE2155" w:rsidRPr="00293E99" w:rsidRDefault="00AE2155" w:rsidP="00B644CC">
      <w:pPr>
        <w:spacing w:line="288" w:lineRule="auto"/>
        <w:jc w:val="both"/>
        <w:rPr>
          <w:szCs w:val="20"/>
        </w:rPr>
      </w:pPr>
    </w:p>
    <w:p w:rsidR="00AE2155" w:rsidRPr="00293E99" w:rsidRDefault="00AE2155" w:rsidP="00B644CC">
      <w:pPr>
        <w:spacing w:line="288" w:lineRule="auto"/>
        <w:jc w:val="center"/>
        <w:rPr>
          <w:szCs w:val="20"/>
        </w:rPr>
      </w:pPr>
      <w:r w:rsidRPr="00293E99">
        <w:rPr>
          <w:szCs w:val="20"/>
        </w:rPr>
        <w:t>70. člen</w:t>
      </w:r>
    </w:p>
    <w:p w:rsidR="00AE2155" w:rsidRPr="00293E99" w:rsidRDefault="00AE2155" w:rsidP="00B644CC">
      <w:pPr>
        <w:spacing w:line="288" w:lineRule="auto"/>
        <w:jc w:val="center"/>
        <w:rPr>
          <w:szCs w:val="20"/>
        </w:rPr>
      </w:pPr>
      <w:r w:rsidRPr="00293E99">
        <w:rPr>
          <w:szCs w:val="20"/>
        </w:rPr>
        <w:t>(pooblastila in pravice)</w:t>
      </w:r>
    </w:p>
    <w:p w:rsidR="00AE2155" w:rsidRPr="00293E99" w:rsidRDefault="00AE2155" w:rsidP="00B644CC">
      <w:pPr>
        <w:spacing w:line="288" w:lineRule="auto"/>
        <w:jc w:val="both"/>
        <w:rPr>
          <w:szCs w:val="20"/>
        </w:rPr>
      </w:pPr>
    </w:p>
    <w:p w:rsidR="00AE2155" w:rsidRPr="00293E99" w:rsidRDefault="00AE2155" w:rsidP="00B644CC">
      <w:pPr>
        <w:spacing w:line="288" w:lineRule="auto"/>
        <w:jc w:val="both"/>
        <w:rPr>
          <w:szCs w:val="20"/>
        </w:rPr>
      </w:pPr>
      <w:r w:rsidRPr="00293E99">
        <w:rPr>
          <w:szCs w:val="20"/>
        </w:rPr>
        <w:t>(1) Nacionalni predstavnik je v obsegu, ki je potreben za opravljanje njegove funkcije, pristojen usmerjati odkrivanje storilcev kaznivih dejanj ter opravljati druga procesna dajanja upravičenega tožilca v predkazenskem in kazenskem postopku pred okrajnimi, okrožnimi in višjimi sodišči na celotnem ozemlju Republike Slovenije. Če je to potrebno zaradi učinkovitega postopanja, lahko generalnemu državnemu tožilcu predlaga izdajo odredbe o prevzemu zadeve, ki je že dodeljena v obravnavo drugemu državnemu tožilcu.</w:t>
      </w:r>
    </w:p>
    <w:p w:rsidR="00AE2155" w:rsidRPr="00293E99" w:rsidRDefault="00AE2155" w:rsidP="00B644CC">
      <w:pPr>
        <w:spacing w:line="288" w:lineRule="auto"/>
        <w:jc w:val="both"/>
        <w:rPr>
          <w:szCs w:val="20"/>
        </w:rPr>
      </w:pPr>
    </w:p>
    <w:p w:rsidR="00AE2155" w:rsidRPr="00293E99" w:rsidRDefault="00AE2155" w:rsidP="00B644CC">
      <w:pPr>
        <w:spacing w:line="288" w:lineRule="auto"/>
        <w:jc w:val="both"/>
        <w:rPr>
          <w:szCs w:val="20"/>
        </w:rPr>
      </w:pPr>
      <w:r w:rsidRPr="00293E99">
        <w:rPr>
          <w:szCs w:val="20"/>
        </w:rPr>
        <w:t>(2) Namestnik in pomočnik nacionalnega predstavnika v Eurojustu imata pooblastila, ki jih v skladu s predpisi, ki urejajo delo v Eurojustu, nanju prenese nacionalni predstavnik.</w:t>
      </w:r>
    </w:p>
    <w:p w:rsidR="00AE2155" w:rsidRPr="00293E99" w:rsidRDefault="00AE2155" w:rsidP="00B644CC">
      <w:pPr>
        <w:spacing w:line="288" w:lineRule="auto"/>
        <w:jc w:val="both"/>
        <w:rPr>
          <w:szCs w:val="20"/>
        </w:rPr>
      </w:pPr>
    </w:p>
    <w:p w:rsidR="00AE2155" w:rsidRPr="00293E99" w:rsidRDefault="00AE2155" w:rsidP="00B644CC">
      <w:pPr>
        <w:spacing w:line="288" w:lineRule="auto"/>
        <w:jc w:val="both"/>
        <w:rPr>
          <w:szCs w:val="20"/>
        </w:rPr>
      </w:pPr>
      <w:r w:rsidRPr="00293E99">
        <w:rPr>
          <w:szCs w:val="20"/>
        </w:rPr>
        <w:t>(3) Državnemu tožilcu z imenovanjem za nacionalnega predstavnika v Eurojustu pravice in obveznosti po tem zakonu mirujejo, varovane so vse njegove pravice do napredovanja v skladu s tem zakonom po izteku imenovanja in obdrži pravico uporabljati doseženi naziv ter opravljati funkcijo državnega tožilca s pooblastili, ki jih ima član Eurojusta iz Republike Slovenije, v skladu z zakonom, ki ureja sodelovanje z Eurojustom, v skladu s sklepi Sveta Evropske unije o vzpostavitvi in delovanju Eurojusta, pa tudi v skladu s tem zakonom.</w:t>
      </w:r>
    </w:p>
    <w:p w:rsidR="00AE2155" w:rsidRPr="00293E99" w:rsidRDefault="00AE2155" w:rsidP="00B644CC">
      <w:pPr>
        <w:spacing w:line="288" w:lineRule="auto"/>
        <w:jc w:val="both"/>
        <w:rPr>
          <w:szCs w:val="20"/>
        </w:rPr>
      </w:pPr>
    </w:p>
    <w:p w:rsidR="00AE2155" w:rsidRPr="00293E99" w:rsidRDefault="00AE2155" w:rsidP="00B644CC">
      <w:pPr>
        <w:spacing w:line="288" w:lineRule="auto"/>
        <w:jc w:val="both"/>
        <w:rPr>
          <w:szCs w:val="20"/>
        </w:rPr>
      </w:pPr>
      <w:r w:rsidRPr="00293E99">
        <w:rPr>
          <w:szCs w:val="20"/>
        </w:rPr>
        <w:t>(4) Namestnik in pomočnik nacionalnega predstavnika v Eurojustu imata pravice iz prejšnjega odstavka, lahko pa med imenovanjem na podlagi odredbe generalnega državnega tožilca ter v skladu s pravili Eurojusta opravljata naloge na državnem tožilstvu v Republiki Sloveniji ali na sedežu Eurojusta.</w:t>
      </w:r>
    </w:p>
    <w:p w:rsidR="00AE2155" w:rsidRPr="00293E99" w:rsidRDefault="00AE2155" w:rsidP="00B644CC">
      <w:pPr>
        <w:spacing w:line="288" w:lineRule="auto"/>
        <w:jc w:val="both"/>
        <w:rPr>
          <w:szCs w:val="20"/>
        </w:rPr>
      </w:pPr>
    </w:p>
    <w:p w:rsidR="00AE2155" w:rsidRDefault="00AE2155" w:rsidP="00B644CC">
      <w:pPr>
        <w:spacing w:line="288" w:lineRule="auto"/>
        <w:jc w:val="both"/>
        <w:rPr>
          <w:szCs w:val="20"/>
        </w:rPr>
      </w:pPr>
      <w:r w:rsidRPr="00293E99">
        <w:rPr>
          <w:szCs w:val="20"/>
        </w:rPr>
        <w:t>(5) Plačo nacionalnega predstavnika v Eurojustu, namestnika in pomočnika nacionalnega predstavnika uredi vlada z uredbo na način, kot jo ureja zakon, ki ureja plače v javnem sektorju za funkcionarje, ki so napoteni na delo v tujino ter jim v skladu z zakonom v času napotitve funkcija miruje. Namestniku in pomočniku nacionalnega predstavnika pripada plača v skladu s prejšnjim stavkom, kadar opravljata naloge v tujini. Ne glede na prvi stavek tega odstavka nacionalnemu predstavniku v Eurojustu, namestniku in pomočniku nacionalnega predstavnika pripada najmanj takšna plača, kakršno bi prejemal, če bi opravljal državnotožilsko službo, če je ta plača višja od plače, določene v prvem stavku.</w:t>
      </w:r>
    </w:p>
    <w:p w:rsidR="00AE2155" w:rsidRDefault="00AE2155" w:rsidP="00B644CC">
      <w:pPr>
        <w:spacing w:line="288" w:lineRule="auto"/>
        <w:jc w:val="both"/>
        <w:rPr>
          <w:szCs w:val="20"/>
        </w:rPr>
      </w:pPr>
    </w:p>
    <w:p w:rsidR="00B644CC" w:rsidRPr="00B644CC" w:rsidRDefault="00B644CC" w:rsidP="00B644CC">
      <w:pPr>
        <w:spacing w:line="288" w:lineRule="auto"/>
        <w:jc w:val="center"/>
        <w:rPr>
          <w:szCs w:val="20"/>
        </w:rPr>
      </w:pPr>
      <w:r w:rsidRPr="00B644CC">
        <w:rPr>
          <w:szCs w:val="20"/>
        </w:rPr>
        <w:t>71.b člen</w:t>
      </w:r>
    </w:p>
    <w:p w:rsidR="00B644CC" w:rsidRPr="00B644CC" w:rsidRDefault="00B644CC" w:rsidP="00B644CC">
      <w:pPr>
        <w:spacing w:line="288" w:lineRule="auto"/>
        <w:jc w:val="center"/>
        <w:rPr>
          <w:szCs w:val="20"/>
        </w:rPr>
      </w:pPr>
      <w:r w:rsidRPr="00B644CC">
        <w:rPr>
          <w:szCs w:val="20"/>
        </w:rPr>
        <w:t>(položaj in pravice)</w:t>
      </w:r>
    </w:p>
    <w:p w:rsidR="00B644CC" w:rsidRPr="00B644CC" w:rsidRDefault="00B644CC" w:rsidP="00B644CC">
      <w:pPr>
        <w:spacing w:line="288" w:lineRule="auto"/>
        <w:jc w:val="both"/>
        <w:rPr>
          <w:szCs w:val="20"/>
        </w:rPr>
      </w:pPr>
    </w:p>
    <w:p w:rsidR="00B644CC" w:rsidRPr="00B644CC" w:rsidRDefault="00B644CC" w:rsidP="00B644CC">
      <w:pPr>
        <w:spacing w:line="288" w:lineRule="auto"/>
        <w:jc w:val="both"/>
        <w:rPr>
          <w:szCs w:val="20"/>
        </w:rPr>
      </w:pPr>
      <w:r w:rsidRPr="00B644CC">
        <w:rPr>
          <w:szCs w:val="20"/>
        </w:rPr>
        <w:t>(1) Evropski tožilec in evropski delegirani tožilec opravljata funkcijo pregona v skladu z zakonom, ki ureja kazenski postopek, in Uredbo 2017/1939/EU.</w:t>
      </w:r>
    </w:p>
    <w:p w:rsidR="00B644CC" w:rsidRPr="00B644CC" w:rsidRDefault="00B644CC" w:rsidP="00B644CC">
      <w:pPr>
        <w:spacing w:line="288" w:lineRule="auto"/>
        <w:jc w:val="both"/>
        <w:rPr>
          <w:szCs w:val="20"/>
        </w:rPr>
      </w:pPr>
    </w:p>
    <w:p w:rsidR="00B644CC" w:rsidRPr="00B644CC" w:rsidRDefault="00B644CC" w:rsidP="00B644CC">
      <w:pPr>
        <w:spacing w:line="288" w:lineRule="auto"/>
        <w:jc w:val="both"/>
        <w:rPr>
          <w:szCs w:val="20"/>
        </w:rPr>
      </w:pPr>
      <w:r w:rsidRPr="00B644CC">
        <w:rPr>
          <w:szCs w:val="20"/>
        </w:rPr>
        <w:t xml:space="preserve">(2) Državnemu tožilcu z imenovanjem za evropskega tožilca mirujejo pravice in dolžnosti iz državnotožilske službe, razen državnotožilska funkcija, varovane so vse njegove pravice do </w:t>
      </w:r>
      <w:r w:rsidRPr="00B644CC">
        <w:rPr>
          <w:szCs w:val="20"/>
        </w:rPr>
        <w:lastRenderedPageBreak/>
        <w:t>napredovanja v skladu s tem zakonom po izteku imenovanja. Državni tožilec obdrži pravico uporabljati doseženi naziv.</w:t>
      </w:r>
    </w:p>
    <w:p w:rsidR="00B644CC" w:rsidRPr="00B644CC" w:rsidRDefault="00B644CC" w:rsidP="00B644CC">
      <w:pPr>
        <w:spacing w:line="288" w:lineRule="auto"/>
        <w:jc w:val="both"/>
        <w:rPr>
          <w:szCs w:val="20"/>
        </w:rPr>
      </w:pPr>
    </w:p>
    <w:p w:rsidR="00B644CC" w:rsidRPr="00B644CC" w:rsidRDefault="00B644CC" w:rsidP="00B644CC">
      <w:pPr>
        <w:spacing w:line="288" w:lineRule="auto"/>
        <w:jc w:val="both"/>
        <w:rPr>
          <w:szCs w:val="20"/>
        </w:rPr>
      </w:pPr>
      <w:r w:rsidRPr="00B644CC">
        <w:rPr>
          <w:szCs w:val="20"/>
        </w:rPr>
        <w:t>(3) Z imenovanjem za evropskega delegiranega tožilca je državni tožilec za čas mandata dodeljen na Specializirano državno tožilstvo Republike Slovenije in opravlja delo v zadevah iz pristojnosti Evropskega javnega tožilstva (v nadaljnjem besedilu: EJT). Državnotožilsko službo iz pristojnosti Specializiranega državnega tožilstva Republike Slovenije lahko opravlja, če in kolikor to ne preprečuje izpolnjevanja njegovih obveznosti, ki jih ima na podlagi Uredbe 2017/1939/EU.</w:t>
      </w:r>
    </w:p>
    <w:p w:rsidR="00B644CC" w:rsidRPr="00B644CC" w:rsidRDefault="00B644CC" w:rsidP="00B644CC">
      <w:pPr>
        <w:spacing w:line="288" w:lineRule="auto"/>
        <w:jc w:val="both"/>
        <w:rPr>
          <w:szCs w:val="20"/>
        </w:rPr>
      </w:pPr>
    </w:p>
    <w:p w:rsidR="00B644CC" w:rsidRPr="00B644CC" w:rsidRDefault="00B644CC" w:rsidP="00B644CC">
      <w:pPr>
        <w:spacing w:line="288" w:lineRule="auto"/>
        <w:jc w:val="both"/>
        <w:rPr>
          <w:szCs w:val="20"/>
        </w:rPr>
      </w:pPr>
      <w:r w:rsidRPr="00B644CC">
        <w:rPr>
          <w:szCs w:val="20"/>
        </w:rPr>
        <w:t>(4) Evropskemu delegiranemu tožilcu z imenovanjem pripada plača, kot jo določa drugi odstavek 196. člena tega zakona v sorazmernem delu glede na opravljeno delo v zadevah iz pristojnosti Specializiranega državnega tožilstva Republike Slovenije.</w:t>
      </w:r>
    </w:p>
    <w:p w:rsidR="00B644CC" w:rsidRPr="00B644CC" w:rsidRDefault="00B644CC" w:rsidP="00B644CC">
      <w:pPr>
        <w:spacing w:line="288" w:lineRule="auto"/>
        <w:jc w:val="both"/>
        <w:rPr>
          <w:szCs w:val="20"/>
        </w:rPr>
      </w:pPr>
    </w:p>
    <w:p w:rsidR="00B644CC" w:rsidRPr="00B644CC" w:rsidRDefault="00B644CC" w:rsidP="00B644CC">
      <w:pPr>
        <w:spacing w:line="288" w:lineRule="auto"/>
        <w:jc w:val="both"/>
        <w:rPr>
          <w:szCs w:val="20"/>
        </w:rPr>
      </w:pPr>
      <w:r w:rsidRPr="00B644CC">
        <w:rPr>
          <w:szCs w:val="20"/>
        </w:rPr>
        <w:t>(5) Če skupni prejemki evropskega delegiranega tožilca za opravljeno delo v zadevah iz pristojnosti EJT in iz pristojnosti Specializiranega državnega tožilstva Republike Slovenije ne dosegajo plače iz drugega odstavka 196. člena tega zakona, mu pripada plačilo v višini razlike, ki se izplača v breme proračuna Republike Slovenije.</w:t>
      </w:r>
    </w:p>
    <w:p w:rsidR="00B644CC" w:rsidRPr="00B644CC" w:rsidRDefault="00B644CC" w:rsidP="00B644CC">
      <w:pPr>
        <w:spacing w:line="288" w:lineRule="auto"/>
        <w:jc w:val="both"/>
        <w:rPr>
          <w:szCs w:val="20"/>
        </w:rPr>
      </w:pPr>
    </w:p>
    <w:p w:rsidR="00B644CC" w:rsidRPr="00B644CC" w:rsidRDefault="00B644CC" w:rsidP="00B644CC">
      <w:pPr>
        <w:spacing w:line="288" w:lineRule="auto"/>
        <w:jc w:val="both"/>
        <w:rPr>
          <w:szCs w:val="20"/>
        </w:rPr>
      </w:pPr>
      <w:r w:rsidRPr="00B644CC">
        <w:rPr>
          <w:szCs w:val="20"/>
        </w:rPr>
        <w:t>(6) Podatke, potrebne za izračun razlike iz prejšnjega odstavka, mora evropski delegirani tožilec mesečno sporočati pristojni službi Specializiranega državnega tožilstva Republike Slovenije.</w:t>
      </w:r>
    </w:p>
    <w:p w:rsidR="00B644CC" w:rsidRPr="00B644CC" w:rsidRDefault="00B644CC" w:rsidP="00B644CC">
      <w:pPr>
        <w:spacing w:line="288" w:lineRule="auto"/>
        <w:jc w:val="both"/>
        <w:rPr>
          <w:szCs w:val="20"/>
        </w:rPr>
      </w:pPr>
    </w:p>
    <w:p w:rsidR="00B644CC" w:rsidRPr="00B644CC" w:rsidRDefault="00B644CC" w:rsidP="00B644CC">
      <w:pPr>
        <w:spacing w:line="288" w:lineRule="auto"/>
        <w:jc w:val="both"/>
        <w:rPr>
          <w:szCs w:val="20"/>
        </w:rPr>
      </w:pPr>
      <w:r w:rsidRPr="00B644CC">
        <w:rPr>
          <w:szCs w:val="20"/>
        </w:rPr>
        <w:t>(7) Za čas, v katerem evropski delegirani tožilec rešuje zadeve iz pristojnosti Specializiranega državnega tožilstva Republike Slovenije, se šteje čas, v katerem opravlja delo v zadevah iz pristojnosti tega državnega tožilstva. Čas se evidentira v delovnih dneh.</w:t>
      </w:r>
    </w:p>
    <w:p w:rsidR="00B644CC" w:rsidRPr="00B644CC" w:rsidRDefault="00B644CC" w:rsidP="00B644CC">
      <w:pPr>
        <w:spacing w:line="288" w:lineRule="auto"/>
        <w:jc w:val="both"/>
        <w:rPr>
          <w:szCs w:val="20"/>
        </w:rPr>
      </w:pPr>
    </w:p>
    <w:p w:rsidR="00B644CC" w:rsidRDefault="00B644CC" w:rsidP="00B644CC">
      <w:pPr>
        <w:spacing w:line="288" w:lineRule="auto"/>
        <w:jc w:val="both"/>
        <w:rPr>
          <w:szCs w:val="20"/>
        </w:rPr>
      </w:pPr>
      <w:r w:rsidRPr="00B644CC">
        <w:rPr>
          <w:szCs w:val="20"/>
        </w:rPr>
        <w:t>(8) Evidenco, ki je podlaga za obračun časa iz prejšnjega odstavka in za izračun plače iz petega odstavka tega člena, vodi Specializirano državno tožilstvo Republike Slovenije.</w:t>
      </w:r>
    </w:p>
    <w:p w:rsidR="00B644CC" w:rsidRDefault="00B644CC" w:rsidP="00B644CC">
      <w:pPr>
        <w:spacing w:line="288" w:lineRule="auto"/>
        <w:jc w:val="both"/>
        <w:rPr>
          <w:szCs w:val="20"/>
        </w:rPr>
      </w:pPr>
    </w:p>
    <w:p w:rsidR="00AE2155" w:rsidRPr="00545590" w:rsidRDefault="00AE2155" w:rsidP="00B644CC">
      <w:pPr>
        <w:spacing w:line="288" w:lineRule="auto"/>
        <w:jc w:val="center"/>
        <w:rPr>
          <w:szCs w:val="20"/>
        </w:rPr>
      </w:pPr>
      <w:r w:rsidRPr="00545590">
        <w:rPr>
          <w:szCs w:val="20"/>
        </w:rPr>
        <w:t>77. člen</w:t>
      </w:r>
    </w:p>
    <w:p w:rsidR="00AE2155" w:rsidRPr="00545590" w:rsidRDefault="00AE2155" w:rsidP="00B644CC">
      <w:pPr>
        <w:spacing w:line="288" w:lineRule="auto"/>
        <w:jc w:val="center"/>
        <w:rPr>
          <w:szCs w:val="20"/>
        </w:rPr>
      </w:pPr>
      <w:r w:rsidRPr="00545590">
        <w:rPr>
          <w:szCs w:val="20"/>
        </w:rPr>
        <w:t>(osebna evidenca državnih tožilcev)</w:t>
      </w:r>
    </w:p>
    <w:p w:rsidR="00AE2155" w:rsidRPr="00545590" w:rsidRDefault="00AE2155" w:rsidP="00B644CC">
      <w:pPr>
        <w:spacing w:line="288" w:lineRule="auto"/>
        <w:jc w:val="both"/>
        <w:rPr>
          <w:szCs w:val="20"/>
        </w:rPr>
      </w:pPr>
    </w:p>
    <w:p w:rsidR="00AE2155" w:rsidRPr="00545590" w:rsidRDefault="00AE2155" w:rsidP="00B644CC">
      <w:pPr>
        <w:spacing w:line="288" w:lineRule="auto"/>
        <w:jc w:val="both"/>
        <w:rPr>
          <w:szCs w:val="20"/>
        </w:rPr>
      </w:pPr>
      <w:r w:rsidRPr="00545590">
        <w:rPr>
          <w:szCs w:val="20"/>
        </w:rPr>
        <w:t>(1) Za urejanja položaja, pravic, dolžnosti in odgovornosti državnih tožilcev ter omogočanje opravljanja zadev pravosodne in državnotožilske uprave, ministrstvo upravlja osebno evidenco državnih tožilcev ter obdeluje podatke v njej.</w:t>
      </w:r>
    </w:p>
    <w:p w:rsidR="00AE2155" w:rsidRPr="00545590" w:rsidRDefault="00AE2155" w:rsidP="00B644CC">
      <w:pPr>
        <w:spacing w:line="288" w:lineRule="auto"/>
        <w:jc w:val="both"/>
        <w:rPr>
          <w:szCs w:val="20"/>
        </w:rPr>
      </w:pPr>
    </w:p>
    <w:p w:rsidR="00AE2155" w:rsidRPr="00545590" w:rsidRDefault="00AE2155" w:rsidP="00B644CC">
      <w:pPr>
        <w:spacing w:line="288" w:lineRule="auto"/>
        <w:jc w:val="both"/>
        <w:rPr>
          <w:szCs w:val="20"/>
        </w:rPr>
      </w:pPr>
      <w:r w:rsidRPr="00545590">
        <w:rPr>
          <w:szCs w:val="20"/>
        </w:rPr>
        <w:t>(2) Ministrstvo lahko za opravljanje nalog pravosodne uprave in nadzora nad pravilnostjo vpisanih podatkov, ki jih vsebuje osebna evidenca, v slednjo vpogleduje ter podatke izpiše, kopira, prepiše ali jih v skladu z zakonitimi pristojnostmi posreduje drugim organom oziroma uporabi v drugih postopkih.</w:t>
      </w:r>
    </w:p>
    <w:p w:rsidR="00AE2155" w:rsidRPr="00545590" w:rsidRDefault="00AE2155" w:rsidP="00B644CC">
      <w:pPr>
        <w:spacing w:line="288" w:lineRule="auto"/>
        <w:jc w:val="both"/>
        <w:rPr>
          <w:szCs w:val="20"/>
        </w:rPr>
      </w:pPr>
    </w:p>
    <w:p w:rsidR="00AE2155" w:rsidRPr="00545590" w:rsidRDefault="00AE2155" w:rsidP="00B644CC">
      <w:pPr>
        <w:spacing w:line="288" w:lineRule="auto"/>
        <w:jc w:val="both"/>
        <w:rPr>
          <w:szCs w:val="20"/>
        </w:rPr>
      </w:pPr>
      <w:r w:rsidRPr="00545590">
        <w:rPr>
          <w:szCs w:val="20"/>
        </w:rPr>
        <w:t>(3) Osebna evidenca se lahko upravlja z uporabo informacijske tehnologije.</w:t>
      </w:r>
    </w:p>
    <w:p w:rsidR="00AE2155" w:rsidRPr="00545590" w:rsidRDefault="00AE2155" w:rsidP="00B644CC">
      <w:pPr>
        <w:spacing w:line="288" w:lineRule="auto"/>
        <w:jc w:val="both"/>
        <w:rPr>
          <w:szCs w:val="20"/>
        </w:rPr>
      </w:pPr>
    </w:p>
    <w:p w:rsidR="00AE2155" w:rsidRPr="00545590" w:rsidRDefault="00AE2155" w:rsidP="00B644CC">
      <w:pPr>
        <w:spacing w:line="288" w:lineRule="auto"/>
        <w:jc w:val="both"/>
        <w:rPr>
          <w:szCs w:val="20"/>
        </w:rPr>
      </w:pPr>
      <w:r w:rsidRPr="00545590">
        <w:rPr>
          <w:szCs w:val="20"/>
        </w:rPr>
        <w:t>(4) V osebni evidenci se obdelujejo naslednji osebni in drugi podatki:</w:t>
      </w:r>
    </w:p>
    <w:p w:rsidR="00AE2155" w:rsidRPr="00545590" w:rsidRDefault="00AE2155" w:rsidP="00B644CC">
      <w:pPr>
        <w:spacing w:line="288" w:lineRule="auto"/>
        <w:jc w:val="both"/>
        <w:rPr>
          <w:szCs w:val="20"/>
        </w:rPr>
      </w:pPr>
    </w:p>
    <w:p w:rsidR="00AE2155" w:rsidRPr="00545590" w:rsidRDefault="00AE2155" w:rsidP="00B644CC">
      <w:pPr>
        <w:pStyle w:val="Odstavekseznama"/>
        <w:numPr>
          <w:ilvl w:val="0"/>
          <w:numId w:val="20"/>
        </w:numPr>
        <w:spacing w:line="288" w:lineRule="auto"/>
        <w:ind w:left="0"/>
        <w:jc w:val="both"/>
        <w:rPr>
          <w:szCs w:val="20"/>
        </w:rPr>
      </w:pPr>
      <w:r w:rsidRPr="00545590">
        <w:rPr>
          <w:szCs w:val="20"/>
        </w:rPr>
        <w:t>ime in priimek, datum rojstva, EMŠO, stalno prebivališče, šolanje, izobraževanje in znanje tujih jezikov;</w:t>
      </w:r>
    </w:p>
    <w:p w:rsidR="00AE2155" w:rsidRPr="00545590" w:rsidRDefault="00AE2155" w:rsidP="00B644CC">
      <w:pPr>
        <w:pStyle w:val="Odstavekseznama"/>
        <w:numPr>
          <w:ilvl w:val="0"/>
          <w:numId w:val="20"/>
        </w:numPr>
        <w:spacing w:line="288" w:lineRule="auto"/>
        <w:ind w:left="0"/>
        <w:jc w:val="both"/>
        <w:rPr>
          <w:szCs w:val="20"/>
        </w:rPr>
      </w:pPr>
      <w:r w:rsidRPr="00545590">
        <w:rPr>
          <w:szCs w:val="20"/>
        </w:rPr>
        <w:t>odločbe o imenovanju državnega tožilca;</w:t>
      </w:r>
    </w:p>
    <w:p w:rsidR="00AE2155" w:rsidRPr="00545590" w:rsidRDefault="00AE2155" w:rsidP="00B644CC">
      <w:pPr>
        <w:pStyle w:val="Odstavekseznama"/>
        <w:numPr>
          <w:ilvl w:val="0"/>
          <w:numId w:val="20"/>
        </w:numPr>
        <w:spacing w:line="288" w:lineRule="auto"/>
        <w:ind w:left="0"/>
        <w:jc w:val="both"/>
        <w:rPr>
          <w:szCs w:val="20"/>
        </w:rPr>
      </w:pPr>
      <w:r w:rsidRPr="00545590">
        <w:rPr>
          <w:szCs w:val="20"/>
        </w:rPr>
        <w:t>podatki o uspešnosti v času študija;</w:t>
      </w:r>
    </w:p>
    <w:p w:rsidR="00AE2155" w:rsidRPr="00545590" w:rsidRDefault="00AE2155" w:rsidP="00B644CC">
      <w:pPr>
        <w:pStyle w:val="Odstavekseznama"/>
        <w:numPr>
          <w:ilvl w:val="0"/>
          <w:numId w:val="20"/>
        </w:numPr>
        <w:spacing w:line="288" w:lineRule="auto"/>
        <w:ind w:left="0"/>
        <w:jc w:val="both"/>
        <w:rPr>
          <w:szCs w:val="20"/>
        </w:rPr>
      </w:pPr>
      <w:r w:rsidRPr="00545590">
        <w:rPr>
          <w:szCs w:val="20"/>
        </w:rPr>
        <w:t>podatki o pripravništvu;</w:t>
      </w:r>
    </w:p>
    <w:p w:rsidR="00AE2155" w:rsidRPr="00545590" w:rsidRDefault="00AE2155" w:rsidP="00B644CC">
      <w:pPr>
        <w:pStyle w:val="Odstavekseznama"/>
        <w:numPr>
          <w:ilvl w:val="0"/>
          <w:numId w:val="20"/>
        </w:numPr>
        <w:spacing w:line="288" w:lineRule="auto"/>
        <w:ind w:left="0"/>
        <w:jc w:val="both"/>
        <w:rPr>
          <w:szCs w:val="20"/>
        </w:rPr>
      </w:pPr>
      <w:r w:rsidRPr="00545590">
        <w:rPr>
          <w:szCs w:val="20"/>
        </w:rPr>
        <w:t>ocene državnotožilske službe in podatki o učinkovitosti državnotožilskega dela;</w:t>
      </w:r>
    </w:p>
    <w:p w:rsidR="00AE2155" w:rsidRPr="00545590" w:rsidRDefault="00AE2155" w:rsidP="00B644CC">
      <w:pPr>
        <w:pStyle w:val="Odstavekseznama"/>
        <w:numPr>
          <w:ilvl w:val="0"/>
          <w:numId w:val="20"/>
        </w:numPr>
        <w:spacing w:line="288" w:lineRule="auto"/>
        <w:ind w:left="0"/>
        <w:jc w:val="both"/>
        <w:rPr>
          <w:szCs w:val="20"/>
        </w:rPr>
      </w:pPr>
      <w:r w:rsidRPr="00545590">
        <w:rPr>
          <w:szCs w:val="20"/>
        </w:rPr>
        <w:lastRenderedPageBreak/>
        <w:t>evidenco napredovanj;</w:t>
      </w:r>
    </w:p>
    <w:p w:rsidR="00AE2155" w:rsidRPr="00545590" w:rsidRDefault="00AE2155" w:rsidP="00B644CC">
      <w:pPr>
        <w:pStyle w:val="Odstavekseznama"/>
        <w:numPr>
          <w:ilvl w:val="0"/>
          <w:numId w:val="20"/>
        </w:numPr>
        <w:spacing w:line="288" w:lineRule="auto"/>
        <w:ind w:left="0"/>
        <w:jc w:val="both"/>
        <w:rPr>
          <w:szCs w:val="20"/>
        </w:rPr>
      </w:pPr>
      <w:r w:rsidRPr="00545590">
        <w:rPr>
          <w:szCs w:val="20"/>
        </w:rPr>
        <w:t>odločitve disciplinskih organov;</w:t>
      </w:r>
    </w:p>
    <w:p w:rsidR="00AE2155" w:rsidRPr="00545590" w:rsidRDefault="00AE2155" w:rsidP="00B644CC">
      <w:pPr>
        <w:pStyle w:val="Odstavekseznama"/>
        <w:numPr>
          <w:ilvl w:val="0"/>
          <w:numId w:val="20"/>
        </w:numPr>
        <w:spacing w:line="288" w:lineRule="auto"/>
        <w:ind w:left="0"/>
        <w:jc w:val="both"/>
        <w:rPr>
          <w:szCs w:val="20"/>
        </w:rPr>
      </w:pPr>
      <w:r w:rsidRPr="00545590">
        <w:rPr>
          <w:szCs w:val="20"/>
        </w:rPr>
        <w:t>podatki o vloženih nadzorstvenih pritožbah in rokovnih predlogih državnega tožilca pred sodiščem;</w:t>
      </w:r>
    </w:p>
    <w:p w:rsidR="00AE2155" w:rsidRPr="00545590" w:rsidRDefault="00AE2155" w:rsidP="00B644CC">
      <w:pPr>
        <w:pStyle w:val="Odstavekseznama"/>
        <w:numPr>
          <w:ilvl w:val="0"/>
          <w:numId w:val="20"/>
        </w:numPr>
        <w:spacing w:line="288" w:lineRule="auto"/>
        <w:ind w:left="0"/>
        <w:jc w:val="both"/>
        <w:rPr>
          <w:szCs w:val="20"/>
        </w:rPr>
      </w:pPr>
      <w:r w:rsidRPr="00545590">
        <w:rPr>
          <w:szCs w:val="20"/>
        </w:rPr>
        <w:t>podatke o nadzorstvenih pritožbah po določbah tega zakona, ki niso bile očitno neutemeljene ter o ukrepih v zvezi z njimi;</w:t>
      </w:r>
    </w:p>
    <w:p w:rsidR="00AE2155" w:rsidRPr="00545590" w:rsidRDefault="00AE2155" w:rsidP="00B644CC">
      <w:pPr>
        <w:pStyle w:val="Odstavekseznama"/>
        <w:numPr>
          <w:ilvl w:val="0"/>
          <w:numId w:val="20"/>
        </w:numPr>
        <w:spacing w:line="288" w:lineRule="auto"/>
        <w:ind w:left="0"/>
        <w:jc w:val="both"/>
        <w:rPr>
          <w:szCs w:val="20"/>
        </w:rPr>
      </w:pPr>
      <w:r w:rsidRPr="00545590">
        <w:rPr>
          <w:szCs w:val="20"/>
        </w:rPr>
        <w:t>podatke o zadevah, ki jih je reševal oziroma jih rešuje državni tožilec, v katerih je Evropsko sodišče za človekove pravice dokončno odločilo, da je do kršitve pravice ali svoboščine stranke prišlo zaradi postopanja državnega tožilca, ali je zaradi take kršitve bila sklenjena poravnava v postopku pred navedenim sodiščem.</w:t>
      </w:r>
    </w:p>
    <w:p w:rsidR="00AE2155" w:rsidRPr="00545590" w:rsidRDefault="00AE2155" w:rsidP="00B644CC">
      <w:pPr>
        <w:spacing w:line="288" w:lineRule="auto"/>
        <w:jc w:val="both"/>
        <w:rPr>
          <w:szCs w:val="20"/>
        </w:rPr>
      </w:pPr>
    </w:p>
    <w:p w:rsidR="00AE2155" w:rsidRPr="00545590" w:rsidRDefault="00AE2155" w:rsidP="00B644CC">
      <w:pPr>
        <w:spacing w:line="288" w:lineRule="auto"/>
        <w:jc w:val="both"/>
        <w:rPr>
          <w:szCs w:val="20"/>
        </w:rPr>
      </w:pPr>
      <w:r w:rsidRPr="00545590">
        <w:rPr>
          <w:szCs w:val="20"/>
        </w:rPr>
        <w:t>(5) Podatki iz osebne evidence so tajni, razen podatkov iz 2. in 6. točke prejšnjega odstavka. Organi, ki so pristojni sprejemati odločitve, glede katerih se po določbi prejšnjega odstavka vodi osebna evidenca in organi, ki upravljajo zbirke osebnih podatkov oziroma evidence, ki vsebujejo te podatke, morajo podatke brezplačno posredovati ministrstvu, če podatki niso javno dostopni. Vodje državnih tožilstev morajo ministrstvu dvakrat letno posredovati podatke o obsegu državnotožilskega dela, ki jih ministrstvo lahko uporablja za izvajanje nalog pravosodne uprave, ki jih določa zakon. Državno pravobranilstvo posreduje ministrstvu podatke iz 10. točke prejšnjega odstavka.</w:t>
      </w:r>
    </w:p>
    <w:p w:rsidR="00AE2155" w:rsidRPr="00545590" w:rsidRDefault="00AE2155" w:rsidP="00B644CC">
      <w:pPr>
        <w:spacing w:line="288" w:lineRule="auto"/>
        <w:jc w:val="both"/>
        <w:rPr>
          <w:szCs w:val="20"/>
        </w:rPr>
      </w:pPr>
    </w:p>
    <w:p w:rsidR="00AE2155" w:rsidRPr="00545590" w:rsidRDefault="00AE2155" w:rsidP="00B644CC">
      <w:pPr>
        <w:spacing w:line="288" w:lineRule="auto"/>
        <w:jc w:val="both"/>
        <w:rPr>
          <w:szCs w:val="20"/>
        </w:rPr>
      </w:pPr>
      <w:r w:rsidRPr="00545590">
        <w:rPr>
          <w:szCs w:val="20"/>
        </w:rPr>
        <w:t>(6) Podatki iz osebne evidence se lahko uporabijo le za izvajanje tega zakona, zlasti glede urejanja položaja, pravic, dolžnosti in odgovornosti državnih tožilcev ter opravljanja zadev pravosodne in državnotožilske uprave.</w:t>
      </w:r>
    </w:p>
    <w:p w:rsidR="00AE2155" w:rsidRPr="00545590" w:rsidRDefault="00AE2155" w:rsidP="00B644CC">
      <w:pPr>
        <w:spacing w:line="288" w:lineRule="auto"/>
        <w:jc w:val="both"/>
        <w:rPr>
          <w:szCs w:val="20"/>
        </w:rPr>
      </w:pPr>
    </w:p>
    <w:p w:rsidR="00AE2155" w:rsidRPr="00545590" w:rsidRDefault="00AE2155" w:rsidP="00B644CC">
      <w:pPr>
        <w:spacing w:line="288" w:lineRule="auto"/>
        <w:jc w:val="both"/>
        <w:rPr>
          <w:szCs w:val="20"/>
        </w:rPr>
      </w:pPr>
      <w:r w:rsidRPr="00545590">
        <w:rPr>
          <w:szCs w:val="20"/>
        </w:rPr>
        <w:t>(7) Pravico do brezplačnega vpogleda v podatke osebne evidence ima državni tožilec, na katerega se podatki nanašajo, Državnotožilski svet, disciplinsko sodišče, disciplinski tožilec in vodja državnega tožilstva, zaradi izvajanja pooblastil po tem zakonu. Podatki iz 1., 5. in 7. točke prvega odstavka se pošiljajo in vračajo v zapečateni pisemski ovojnici z oznako »zaupno«.</w:t>
      </w:r>
    </w:p>
    <w:p w:rsidR="00AE2155" w:rsidRPr="00545590" w:rsidRDefault="00AE2155" w:rsidP="00B644CC">
      <w:pPr>
        <w:spacing w:line="288" w:lineRule="auto"/>
        <w:jc w:val="both"/>
        <w:rPr>
          <w:szCs w:val="20"/>
        </w:rPr>
      </w:pPr>
    </w:p>
    <w:p w:rsidR="00AE2155" w:rsidRDefault="00AE2155" w:rsidP="00B644CC">
      <w:pPr>
        <w:spacing w:line="288" w:lineRule="auto"/>
        <w:jc w:val="both"/>
        <w:rPr>
          <w:szCs w:val="20"/>
        </w:rPr>
      </w:pPr>
      <w:r w:rsidRPr="00545590">
        <w:rPr>
          <w:szCs w:val="20"/>
        </w:rPr>
        <w:t>(8) Podatki iz osebne evidence se hranijo še deset let po prenehanju službenega razmerja državnega tožilca. Po poteku teh rokov se podatki arhivirajo v skladu s predpisi, ki urejajo arhivsko gradivo in arhive.</w:t>
      </w:r>
    </w:p>
    <w:p w:rsidR="00AE2155" w:rsidRDefault="00AE2155" w:rsidP="00B644CC">
      <w:pPr>
        <w:spacing w:line="288" w:lineRule="auto"/>
        <w:jc w:val="both"/>
        <w:rPr>
          <w:szCs w:val="20"/>
        </w:rPr>
      </w:pPr>
    </w:p>
    <w:p w:rsidR="00AE2155" w:rsidRDefault="00AE2155" w:rsidP="00B644CC">
      <w:pPr>
        <w:spacing w:line="288" w:lineRule="auto"/>
        <w:jc w:val="both"/>
        <w:rPr>
          <w:szCs w:val="20"/>
        </w:rPr>
      </w:pPr>
    </w:p>
    <w:p w:rsidR="00AE2155" w:rsidRDefault="00AE2155" w:rsidP="00B644CC">
      <w:pPr>
        <w:spacing w:line="288" w:lineRule="auto"/>
        <w:jc w:val="both"/>
        <w:rPr>
          <w:szCs w:val="20"/>
        </w:rPr>
      </w:pPr>
    </w:p>
    <w:p w:rsidR="00AE2155" w:rsidRPr="00545590" w:rsidRDefault="00AE2155" w:rsidP="00B644CC">
      <w:pPr>
        <w:spacing w:line="288" w:lineRule="auto"/>
        <w:jc w:val="center"/>
        <w:rPr>
          <w:szCs w:val="20"/>
        </w:rPr>
      </w:pPr>
      <w:r w:rsidRPr="00545590">
        <w:rPr>
          <w:szCs w:val="20"/>
        </w:rPr>
        <w:t>102. člen</w:t>
      </w:r>
    </w:p>
    <w:p w:rsidR="00AE2155" w:rsidRPr="00545590" w:rsidRDefault="00AE2155" w:rsidP="00B644CC">
      <w:pPr>
        <w:spacing w:line="288" w:lineRule="auto"/>
        <w:jc w:val="center"/>
        <w:rPr>
          <w:szCs w:val="20"/>
        </w:rPr>
      </w:pPr>
      <w:r w:rsidRPr="00545590">
        <w:rPr>
          <w:szCs w:val="20"/>
        </w:rPr>
        <w:t>(pristojnosti Državnotožilskega sveta)</w:t>
      </w:r>
    </w:p>
    <w:p w:rsidR="00AE2155" w:rsidRPr="00545590" w:rsidRDefault="00AE2155" w:rsidP="00B644CC">
      <w:pPr>
        <w:spacing w:line="288" w:lineRule="auto"/>
        <w:jc w:val="both"/>
        <w:rPr>
          <w:szCs w:val="20"/>
        </w:rPr>
      </w:pPr>
    </w:p>
    <w:p w:rsidR="00AE2155" w:rsidRPr="00545590" w:rsidRDefault="00AE2155" w:rsidP="00B644CC">
      <w:pPr>
        <w:spacing w:line="288" w:lineRule="auto"/>
        <w:jc w:val="both"/>
        <w:rPr>
          <w:szCs w:val="20"/>
        </w:rPr>
      </w:pPr>
      <w:r w:rsidRPr="00545590">
        <w:rPr>
          <w:szCs w:val="20"/>
        </w:rPr>
        <w:t>(1) Državnotožilski svet ima te pristojnosti:</w:t>
      </w:r>
    </w:p>
    <w:p w:rsidR="00AE2155" w:rsidRPr="00545590" w:rsidRDefault="00AE2155" w:rsidP="00B644CC">
      <w:pPr>
        <w:spacing w:line="288" w:lineRule="auto"/>
        <w:jc w:val="both"/>
        <w:rPr>
          <w:szCs w:val="20"/>
        </w:rPr>
      </w:pPr>
    </w:p>
    <w:p w:rsidR="00AE2155" w:rsidRPr="00545590" w:rsidRDefault="00AE2155" w:rsidP="00B644CC">
      <w:pPr>
        <w:pStyle w:val="Odstavekseznama"/>
        <w:numPr>
          <w:ilvl w:val="0"/>
          <w:numId w:val="21"/>
        </w:numPr>
        <w:spacing w:line="288" w:lineRule="auto"/>
        <w:ind w:left="0"/>
        <w:jc w:val="both"/>
        <w:rPr>
          <w:szCs w:val="20"/>
        </w:rPr>
      </w:pPr>
      <w:r w:rsidRPr="00545590">
        <w:rPr>
          <w:szCs w:val="20"/>
        </w:rPr>
        <w:t>daje mnenje k politiki pregona državnega tožilstva;</w:t>
      </w:r>
    </w:p>
    <w:p w:rsidR="00AE2155" w:rsidRPr="00545590" w:rsidRDefault="00AE2155" w:rsidP="00B644CC">
      <w:pPr>
        <w:pStyle w:val="Odstavekseznama"/>
        <w:numPr>
          <w:ilvl w:val="0"/>
          <w:numId w:val="21"/>
        </w:numPr>
        <w:spacing w:line="288" w:lineRule="auto"/>
        <w:ind w:left="0"/>
        <w:jc w:val="both"/>
        <w:rPr>
          <w:szCs w:val="20"/>
        </w:rPr>
      </w:pPr>
      <w:r w:rsidRPr="00545590">
        <w:rPr>
          <w:szCs w:val="20"/>
        </w:rPr>
        <w:t>daje pobude za sprejetje ali spremembo splošnih navodil;</w:t>
      </w:r>
    </w:p>
    <w:p w:rsidR="00AE2155" w:rsidRPr="00545590" w:rsidRDefault="00AE2155" w:rsidP="00B644CC">
      <w:pPr>
        <w:pStyle w:val="Odstavekseznama"/>
        <w:numPr>
          <w:ilvl w:val="0"/>
          <w:numId w:val="21"/>
        </w:numPr>
        <w:spacing w:line="288" w:lineRule="auto"/>
        <w:ind w:left="0"/>
        <w:jc w:val="both"/>
        <w:rPr>
          <w:szCs w:val="20"/>
        </w:rPr>
      </w:pPr>
      <w:r w:rsidRPr="00545590">
        <w:rPr>
          <w:szCs w:val="20"/>
        </w:rPr>
        <w:t>podaja mnenja o predlogih za imenovanje državnih tožilcev;</w:t>
      </w:r>
    </w:p>
    <w:p w:rsidR="00AE2155" w:rsidRPr="00545590" w:rsidRDefault="00AE2155" w:rsidP="00B644CC">
      <w:pPr>
        <w:pStyle w:val="Odstavekseznama"/>
        <w:numPr>
          <w:ilvl w:val="0"/>
          <w:numId w:val="21"/>
        </w:numPr>
        <w:spacing w:line="288" w:lineRule="auto"/>
        <w:ind w:left="0"/>
        <w:jc w:val="both"/>
        <w:rPr>
          <w:szCs w:val="20"/>
        </w:rPr>
      </w:pPr>
      <w:r w:rsidRPr="00545590">
        <w:rPr>
          <w:szCs w:val="20"/>
        </w:rPr>
        <w:t>izdeluje ocene državnotožilske službe in odloča o napredovanju državnih tožilcev v skladu s tem zakonom;</w:t>
      </w:r>
    </w:p>
    <w:p w:rsidR="00AE2155" w:rsidRPr="00545590" w:rsidRDefault="00AE2155" w:rsidP="00B644CC">
      <w:pPr>
        <w:pStyle w:val="Odstavekseznama"/>
        <w:numPr>
          <w:ilvl w:val="0"/>
          <w:numId w:val="21"/>
        </w:numPr>
        <w:spacing w:line="288" w:lineRule="auto"/>
        <w:ind w:left="0"/>
        <w:jc w:val="both"/>
        <w:rPr>
          <w:szCs w:val="20"/>
        </w:rPr>
      </w:pPr>
      <w:r w:rsidRPr="00545590">
        <w:rPr>
          <w:szCs w:val="20"/>
        </w:rPr>
        <w:t>podaja predlog za imenovanje generalnega državnega tožilca in mnenje k imenovanju njegovega namestnika ter imenuje vodje okrožnih državnih tožilstev in njihove namestnike;</w:t>
      </w:r>
    </w:p>
    <w:p w:rsidR="00AE2155" w:rsidRPr="00545590" w:rsidRDefault="00AE2155" w:rsidP="00B644CC">
      <w:pPr>
        <w:pStyle w:val="Odstavekseznama"/>
        <w:numPr>
          <w:ilvl w:val="0"/>
          <w:numId w:val="21"/>
        </w:numPr>
        <w:spacing w:line="288" w:lineRule="auto"/>
        <w:ind w:left="0"/>
        <w:jc w:val="both"/>
        <w:rPr>
          <w:szCs w:val="20"/>
        </w:rPr>
      </w:pPr>
      <w:r w:rsidRPr="00545590">
        <w:rPr>
          <w:szCs w:val="20"/>
        </w:rPr>
        <w:t>odloča o premestitvah in dodelitvah državnih tožilcev v skladu s tem zakonom;</w:t>
      </w:r>
    </w:p>
    <w:p w:rsidR="00AE2155" w:rsidRPr="00545590" w:rsidRDefault="00AE2155" w:rsidP="00B644CC">
      <w:pPr>
        <w:pStyle w:val="Odstavekseznama"/>
        <w:numPr>
          <w:ilvl w:val="0"/>
          <w:numId w:val="21"/>
        </w:numPr>
        <w:spacing w:line="288" w:lineRule="auto"/>
        <w:ind w:left="0"/>
        <w:jc w:val="both"/>
        <w:rPr>
          <w:szCs w:val="20"/>
        </w:rPr>
      </w:pPr>
      <w:r w:rsidRPr="00545590">
        <w:rPr>
          <w:szCs w:val="20"/>
        </w:rPr>
        <w:t>odloča o nezdružljivosti funkcije državnega tožilca;</w:t>
      </w:r>
    </w:p>
    <w:p w:rsidR="00AE2155" w:rsidRPr="00545590" w:rsidRDefault="00AE2155" w:rsidP="00B644CC">
      <w:pPr>
        <w:pStyle w:val="Odstavekseznama"/>
        <w:numPr>
          <w:ilvl w:val="0"/>
          <w:numId w:val="21"/>
        </w:numPr>
        <w:spacing w:line="288" w:lineRule="auto"/>
        <w:ind w:left="0"/>
        <w:jc w:val="both"/>
        <w:rPr>
          <w:szCs w:val="20"/>
        </w:rPr>
      </w:pPr>
      <w:r w:rsidRPr="00545590">
        <w:rPr>
          <w:szCs w:val="20"/>
        </w:rPr>
        <w:lastRenderedPageBreak/>
        <w:t>daje mnenje k predlogu skupnega finančnega načrta za državna tožilstva in mnenje Državnemu zboru Republike Slovenije o zakonih, ki urejajo položaj, pravice in dolžnosti državnih tožilcev;</w:t>
      </w:r>
    </w:p>
    <w:p w:rsidR="00AE2155" w:rsidRPr="00545590" w:rsidRDefault="00AE2155" w:rsidP="00B644CC">
      <w:pPr>
        <w:pStyle w:val="Odstavekseznama"/>
        <w:numPr>
          <w:ilvl w:val="0"/>
          <w:numId w:val="21"/>
        </w:numPr>
        <w:spacing w:line="288" w:lineRule="auto"/>
        <w:ind w:left="0"/>
        <w:jc w:val="both"/>
        <w:rPr>
          <w:szCs w:val="20"/>
        </w:rPr>
      </w:pPr>
      <w:r w:rsidRPr="00545590">
        <w:rPr>
          <w:szCs w:val="20"/>
        </w:rPr>
        <w:t>sprejme merila za kakovost dela državnih tožilcev za oceno državnotožilske službe in merila za uspešnost pregona državnih tožilstev;</w:t>
      </w:r>
    </w:p>
    <w:p w:rsidR="00AE2155" w:rsidRPr="00545590" w:rsidRDefault="00AE2155" w:rsidP="00B644CC">
      <w:pPr>
        <w:pStyle w:val="Odstavekseznama"/>
        <w:numPr>
          <w:ilvl w:val="0"/>
          <w:numId w:val="21"/>
        </w:numPr>
        <w:spacing w:line="288" w:lineRule="auto"/>
        <w:ind w:left="0"/>
        <w:jc w:val="both"/>
        <w:rPr>
          <w:szCs w:val="20"/>
        </w:rPr>
      </w:pPr>
      <w:r w:rsidRPr="00545590">
        <w:rPr>
          <w:szCs w:val="20"/>
        </w:rPr>
        <w:t>daje mnenje k številu mest državnih tožilcev na državnih tožilstvih;</w:t>
      </w:r>
    </w:p>
    <w:p w:rsidR="00AE2155" w:rsidRPr="00545590" w:rsidRDefault="00AE2155" w:rsidP="00B644CC">
      <w:pPr>
        <w:pStyle w:val="Odstavekseznama"/>
        <w:numPr>
          <w:ilvl w:val="0"/>
          <w:numId w:val="21"/>
        </w:numPr>
        <w:spacing w:line="288" w:lineRule="auto"/>
        <w:ind w:left="0"/>
        <w:jc w:val="both"/>
        <w:rPr>
          <w:szCs w:val="20"/>
        </w:rPr>
      </w:pPr>
      <w:r w:rsidRPr="00545590">
        <w:rPr>
          <w:szCs w:val="20"/>
        </w:rPr>
        <w:t>daje mnenje k skupnemu letnemu poročilu o delu državnih tožilstev;</w:t>
      </w:r>
    </w:p>
    <w:p w:rsidR="00AE2155" w:rsidRPr="00545590" w:rsidRDefault="00AE2155" w:rsidP="00B644CC">
      <w:pPr>
        <w:pStyle w:val="Odstavekseznama"/>
        <w:numPr>
          <w:ilvl w:val="0"/>
          <w:numId w:val="21"/>
        </w:numPr>
        <w:spacing w:line="288" w:lineRule="auto"/>
        <w:ind w:left="0"/>
        <w:jc w:val="both"/>
        <w:rPr>
          <w:szCs w:val="20"/>
        </w:rPr>
      </w:pPr>
      <w:r w:rsidRPr="00545590">
        <w:rPr>
          <w:szCs w:val="20"/>
        </w:rPr>
        <w:t>daje mnenje o izvedbi pravosodnega nadzora;</w:t>
      </w:r>
    </w:p>
    <w:p w:rsidR="00AE2155" w:rsidRPr="00545590" w:rsidRDefault="00AE2155" w:rsidP="00B644CC">
      <w:pPr>
        <w:pStyle w:val="Odstavekseznama"/>
        <w:numPr>
          <w:ilvl w:val="0"/>
          <w:numId w:val="21"/>
        </w:numPr>
        <w:spacing w:line="288" w:lineRule="auto"/>
        <w:ind w:left="0"/>
        <w:jc w:val="both"/>
        <w:rPr>
          <w:szCs w:val="20"/>
        </w:rPr>
      </w:pPr>
      <w:r w:rsidRPr="00545590">
        <w:rPr>
          <w:szCs w:val="20"/>
        </w:rPr>
        <w:t>predlaga ali zahteva odpravo kršitve oziroma odpravi kršitev, s katero je bila prizadeta samostojnost državnega tožilca, in po potrebi objavi svojo ugotovitev;</w:t>
      </w:r>
    </w:p>
    <w:p w:rsidR="00AE2155" w:rsidRPr="00545590" w:rsidRDefault="00AE2155" w:rsidP="00B644CC">
      <w:pPr>
        <w:pStyle w:val="Odstavekseznama"/>
        <w:numPr>
          <w:ilvl w:val="0"/>
          <w:numId w:val="21"/>
        </w:numPr>
        <w:spacing w:line="288" w:lineRule="auto"/>
        <w:ind w:left="0"/>
        <w:jc w:val="both"/>
        <w:rPr>
          <w:szCs w:val="20"/>
        </w:rPr>
      </w:pPr>
      <w:r w:rsidRPr="00545590">
        <w:rPr>
          <w:szCs w:val="20"/>
        </w:rPr>
        <w:t>imenuje in razrešuje disciplinske organe po tem zakonu;</w:t>
      </w:r>
    </w:p>
    <w:p w:rsidR="00AE2155" w:rsidRPr="00545590" w:rsidRDefault="00AE2155" w:rsidP="00B644CC">
      <w:pPr>
        <w:pStyle w:val="Odstavekseznama"/>
        <w:numPr>
          <w:ilvl w:val="0"/>
          <w:numId w:val="21"/>
        </w:numPr>
        <w:spacing w:line="288" w:lineRule="auto"/>
        <w:ind w:left="0"/>
        <w:jc w:val="both"/>
        <w:rPr>
          <w:szCs w:val="20"/>
        </w:rPr>
      </w:pPr>
      <w:r w:rsidRPr="00545590">
        <w:rPr>
          <w:szCs w:val="20"/>
        </w:rPr>
        <w:t>sprejme merila in metode za preizkus strokovne usposobljenosti in drugih sposobnosti kandidatov;</w:t>
      </w:r>
    </w:p>
    <w:p w:rsidR="00AE2155" w:rsidRPr="00545590" w:rsidRDefault="00AE2155" w:rsidP="00B644CC">
      <w:pPr>
        <w:pStyle w:val="Odstavekseznama"/>
        <w:numPr>
          <w:ilvl w:val="0"/>
          <w:numId w:val="21"/>
        </w:numPr>
        <w:spacing w:line="288" w:lineRule="auto"/>
        <w:ind w:left="0"/>
        <w:jc w:val="both"/>
        <w:rPr>
          <w:szCs w:val="20"/>
        </w:rPr>
      </w:pPr>
      <w:r w:rsidRPr="00545590">
        <w:rPr>
          <w:szCs w:val="20"/>
        </w:rPr>
        <w:t>na predlog vodje Specializiranega državnega tožilstva Republike Slovenije odloča o predlogu za dodelitev državnega pravobranilca za opravljanje zahtevnejših strokovnih del na Specializirano državno tožilstvo Republike Slovenije;</w:t>
      </w:r>
    </w:p>
    <w:p w:rsidR="00AE2155" w:rsidRPr="00545590" w:rsidRDefault="00AE2155" w:rsidP="00B644CC">
      <w:pPr>
        <w:pStyle w:val="Odstavekseznama"/>
        <w:numPr>
          <w:ilvl w:val="0"/>
          <w:numId w:val="21"/>
        </w:numPr>
        <w:spacing w:line="288" w:lineRule="auto"/>
        <w:ind w:left="0"/>
        <w:jc w:val="both"/>
        <w:rPr>
          <w:szCs w:val="20"/>
        </w:rPr>
      </w:pPr>
      <w:r w:rsidRPr="00545590">
        <w:rPr>
          <w:szCs w:val="20"/>
        </w:rPr>
        <w:t>sprejme Kodeks državnotožilske etike;</w:t>
      </w:r>
    </w:p>
    <w:p w:rsidR="00AE2155" w:rsidRPr="00545590" w:rsidRDefault="00AE2155" w:rsidP="00B644CC">
      <w:pPr>
        <w:pStyle w:val="Odstavekseznama"/>
        <w:numPr>
          <w:ilvl w:val="0"/>
          <w:numId w:val="21"/>
        </w:numPr>
        <w:spacing w:line="288" w:lineRule="auto"/>
        <w:ind w:left="0"/>
        <w:jc w:val="both"/>
        <w:rPr>
          <w:szCs w:val="20"/>
        </w:rPr>
      </w:pPr>
      <w:r w:rsidRPr="00545590">
        <w:rPr>
          <w:szCs w:val="20"/>
        </w:rPr>
        <w:t>imenuje Komisijo za etiko in integriteto;</w:t>
      </w:r>
    </w:p>
    <w:p w:rsidR="00AE2155" w:rsidRPr="00545590" w:rsidRDefault="00AE2155" w:rsidP="00B644CC">
      <w:pPr>
        <w:pStyle w:val="Odstavekseznama"/>
        <w:numPr>
          <w:ilvl w:val="0"/>
          <w:numId w:val="21"/>
        </w:numPr>
        <w:spacing w:line="288" w:lineRule="auto"/>
        <w:ind w:left="0"/>
        <w:jc w:val="both"/>
        <w:rPr>
          <w:szCs w:val="20"/>
        </w:rPr>
      </w:pPr>
      <w:r w:rsidRPr="00545590">
        <w:rPr>
          <w:szCs w:val="20"/>
        </w:rPr>
        <w:t>daje soglasje k politiki zaznavanja in obvladovanja korupcijskih tveganj ter izpostavljenosti državnih tožilstev in spremlja njeno uresničevanje;</w:t>
      </w:r>
    </w:p>
    <w:p w:rsidR="00AE2155" w:rsidRPr="00545590" w:rsidRDefault="00AE2155" w:rsidP="00B644CC">
      <w:pPr>
        <w:pStyle w:val="Odstavekseznama"/>
        <w:numPr>
          <w:ilvl w:val="0"/>
          <w:numId w:val="21"/>
        </w:numPr>
        <w:spacing w:line="288" w:lineRule="auto"/>
        <w:ind w:left="0"/>
        <w:jc w:val="both"/>
        <w:rPr>
          <w:szCs w:val="20"/>
        </w:rPr>
      </w:pPr>
      <w:r w:rsidRPr="00545590">
        <w:rPr>
          <w:szCs w:val="20"/>
        </w:rPr>
        <w:t>predlaga spremembe ali dopolnitve politike zaznavanja in obvladovanja korupcijskih tveganj ter izpostavljenosti državnih tožilstev.</w:t>
      </w:r>
    </w:p>
    <w:p w:rsidR="00AE2155" w:rsidRPr="00545590" w:rsidRDefault="00AE2155" w:rsidP="00B644CC">
      <w:pPr>
        <w:pStyle w:val="Odstavekseznama"/>
        <w:numPr>
          <w:ilvl w:val="0"/>
          <w:numId w:val="21"/>
        </w:numPr>
        <w:spacing w:line="288" w:lineRule="auto"/>
        <w:ind w:left="0"/>
        <w:jc w:val="both"/>
        <w:rPr>
          <w:szCs w:val="20"/>
        </w:rPr>
      </w:pPr>
      <w:r w:rsidRPr="00545590">
        <w:rPr>
          <w:szCs w:val="20"/>
        </w:rPr>
        <w:t>odloča o drugih zadevah, če zakon tako določa.</w:t>
      </w:r>
    </w:p>
    <w:p w:rsidR="00AE2155" w:rsidRPr="00545590" w:rsidRDefault="00AE2155" w:rsidP="00B644CC">
      <w:pPr>
        <w:spacing w:line="288" w:lineRule="auto"/>
        <w:jc w:val="both"/>
        <w:rPr>
          <w:szCs w:val="20"/>
        </w:rPr>
      </w:pPr>
    </w:p>
    <w:p w:rsidR="00AE2155" w:rsidRDefault="00AE2155" w:rsidP="00B644CC">
      <w:pPr>
        <w:spacing w:line="288" w:lineRule="auto"/>
        <w:jc w:val="both"/>
        <w:rPr>
          <w:szCs w:val="20"/>
        </w:rPr>
      </w:pPr>
      <w:r w:rsidRPr="00545590">
        <w:rPr>
          <w:szCs w:val="20"/>
        </w:rPr>
        <w:t>(2) Podatke, ki se nanašajo na posameznika, Državnotožilski svet hrani 15 let po dnevu prenehanja funkcije oziroma razrešitve, nato se arhivirajo v skladu z zakonom, ki ureja arhivska gradiva in arhive</w:t>
      </w:r>
    </w:p>
    <w:p w:rsidR="00AE2155" w:rsidRPr="00F06469" w:rsidRDefault="00AE2155" w:rsidP="00B644CC">
      <w:pPr>
        <w:spacing w:line="288" w:lineRule="auto"/>
        <w:jc w:val="center"/>
        <w:rPr>
          <w:szCs w:val="20"/>
        </w:rPr>
      </w:pPr>
      <w:r w:rsidRPr="00F06469">
        <w:rPr>
          <w:szCs w:val="20"/>
        </w:rPr>
        <w:t>124. člen</w:t>
      </w:r>
    </w:p>
    <w:p w:rsidR="00AE2155" w:rsidRPr="00F06469" w:rsidRDefault="00AE2155" w:rsidP="00B644CC">
      <w:pPr>
        <w:spacing w:line="288" w:lineRule="auto"/>
        <w:jc w:val="center"/>
        <w:rPr>
          <w:szCs w:val="20"/>
        </w:rPr>
      </w:pPr>
      <w:r w:rsidRPr="00F06469">
        <w:rPr>
          <w:szCs w:val="20"/>
        </w:rPr>
        <w:t>(namestnik vodje okrožnega državnega tožilstva)</w:t>
      </w:r>
    </w:p>
    <w:p w:rsidR="00AE2155" w:rsidRPr="00F06469" w:rsidRDefault="00AE2155" w:rsidP="00B644CC">
      <w:pPr>
        <w:spacing w:line="288" w:lineRule="auto"/>
        <w:jc w:val="both"/>
        <w:rPr>
          <w:szCs w:val="20"/>
        </w:rPr>
      </w:pPr>
    </w:p>
    <w:p w:rsidR="00AE2155" w:rsidRPr="00F06469" w:rsidRDefault="00AE2155" w:rsidP="00B644CC">
      <w:pPr>
        <w:spacing w:line="288" w:lineRule="auto"/>
        <w:jc w:val="both"/>
        <w:rPr>
          <w:szCs w:val="20"/>
        </w:rPr>
      </w:pPr>
      <w:r w:rsidRPr="00F06469">
        <w:rPr>
          <w:szCs w:val="20"/>
        </w:rPr>
        <w:t>(1) Vodja okrožnega državnega tožilstva ima namestnika, ki ga na obrazložen predlog vodje, po predhodnem mnenju generalnega državnega tožilca, imenuje Državnotožilski svet za šest let z možnostjo ponovnega imenovanja.</w:t>
      </w:r>
    </w:p>
    <w:p w:rsidR="00AE2155" w:rsidRPr="00F06469" w:rsidRDefault="00AE2155" w:rsidP="00B644CC">
      <w:pPr>
        <w:spacing w:line="288" w:lineRule="auto"/>
        <w:jc w:val="both"/>
        <w:rPr>
          <w:szCs w:val="20"/>
        </w:rPr>
      </w:pPr>
    </w:p>
    <w:p w:rsidR="00AE2155" w:rsidRPr="00F06469" w:rsidRDefault="00AE2155" w:rsidP="00B644CC">
      <w:pPr>
        <w:spacing w:line="288" w:lineRule="auto"/>
        <w:jc w:val="both"/>
        <w:rPr>
          <w:szCs w:val="20"/>
        </w:rPr>
      </w:pPr>
      <w:r w:rsidRPr="00F06469">
        <w:rPr>
          <w:szCs w:val="20"/>
        </w:rPr>
        <w:t>(2) Namestnik vodje državnega tožilstva opravlja funkcije in naloge iz pristojnosti vodje državnega tožilstva, če je ta odsoten ali zadržan, v drugih primerih pa na podlagi in v okviru pooblastila, ki ga za obravnavanje posameznih zadev državnotožilske uprave lahko izda vodja okrožnega državnega tožilstva.</w:t>
      </w:r>
    </w:p>
    <w:p w:rsidR="00AE2155" w:rsidRPr="00F06469" w:rsidRDefault="00AE2155" w:rsidP="00B644CC">
      <w:pPr>
        <w:spacing w:line="288" w:lineRule="auto"/>
        <w:jc w:val="both"/>
        <w:rPr>
          <w:szCs w:val="20"/>
        </w:rPr>
      </w:pPr>
    </w:p>
    <w:p w:rsidR="00AE2155" w:rsidRPr="00F06469" w:rsidRDefault="00AE2155" w:rsidP="00B644CC">
      <w:pPr>
        <w:spacing w:line="288" w:lineRule="auto"/>
        <w:jc w:val="both"/>
        <w:rPr>
          <w:szCs w:val="20"/>
        </w:rPr>
      </w:pPr>
      <w:r w:rsidRPr="00F06469">
        <w:rPr>
          <w:szCs w:val="20"/>
        </w:rPr>
        <w:t>(3) Okrožno državno tožilstvo, pri katerem je določeno najmanj 50 državnotožilskih mest, ima lahko dva namestnika vodje okrožnega državnega tožilstva.</w:t>
      </w:r>
    </w:p>
    <w:p w:rsidR="00AE2155" w:rsidRPr="00F06469" w:rsidRDefault="00AE2155" w:rsidP="00B644CC">
      <w:pPr>
        <w:spacing w:line="288" w:lineRule="auto"/>
        <w:jc w:val="both"/>
        <w:rPr>
          <w:szCs w:val="20"/>
        </w:rPr>
      </w:pPr>
    </w:p>
    <w:p w:rsidR="00AE2155" w:rsidRPr="00F06469" w:rsidRDefault="00AE2155" w:rsidP="00B644CC">
      <w:pPr>
        <w:spacing w:line="288" w:lineRule="auto"/>
        <w:jc w:val="both"/>
        <w:rPr>
          <w:szCs w:val="20"/>
        </w:rPr>
      </w:pPr>
      <w:r w:rsidRPr="00F06469">
        <w:rPr>
          <w:szCs w:val="20"/>
        </w:rPr>
        <w:t>(4) Za namestnika vodje okrožnega državnega tožilstva je lahko imenovan državni tožilec, ki izpolnjuje pogoje za višjega državnega tožilca. Državni tožilec, ki ni imel naziva višji državni tožilec, ga pridobi z imenovanjem.</w:t>
      </w:r>
    </w:p>
    <w:p w:rsidR="00AE2155" w:rsidRPr="00F06469" w:rsidRDefault="00AE2155" w:rsidP="00B644CC">
      <w:pPr>
        <w:spacing w:line="288" w:lineRule="auto"/>
        <w:jc w:val="both"/>
        <w:rPr>
          <w:szCs w:val="20"/>
        </w:rPr>
      </w:pPr>
    </w:p>
    <w:p w:rsidR="00AE2155" w:rsidRDefault="00AE2155" w:rsidP="00B644CC">
      <w:pPr>
        <w:spacing w:line="288" w:lineRule="auto"/>
        <w:jc w:val="both"/>
        <w:rPr>
          <w:szCs w:val="20"/>
        </w:rPr>
      </w:pPr>
      <w:r w:rsidRPr="00F06469">
        <w:rPr>
          <w:szCs w:val="20"/>
        </w:rPr>
        <w:t>(5) V preostalem se za imenovanje namestnika vodje državnega tožilstva uporabljajo določbe tega zakona o vodji državnega tožilstva.</w:t>
      </w:r>
    </w:p>
    <w:p w:rsidR="00AE2155" w:rsidRDefault="00AE2155" w:rsidP="00B644CC">
      <w:pPr>
        <w:spacing w:line="288" w:lineRule="auto"/>
        <w:jc w:val="both"/>
        <w:rPr>
          <w:szCs w:val="20"/>
        </w:rPr>
      </w:pPr>
    </w:p>
    <w:p w:rsidR="00AE2155" w:rsidRPr="00F06469" w:rsidRDefault="00AE2155" w:rsidP="00B644CC">
      <w:pPr>
        <w:spacing w:line="288" w:lineRule="auto"/>
        <w:jc w:val="center"/>
        <w:rPr>
          <w:szCs w:val="20"/>
        </w:rPr>
      </w:pPr>
      <w:r w:rsidRPr="00F06469">
        <w:rPr>
          <w:szCs w:val="20"/>
        </w:rPr>
        <w:lastRenderedPageBreak/>
        <w:t>129. člen</w:t>
      </w:r>
    </w:p>
    <w:p w:rsidR="00AE2155" w:rsidRPr="00F06469" w:rsidRDefault="00AE2155" w:rsidP="00B644CC">
      <w:pPr>
        <w:spacing w:line="288" w:lineRule="auto"/>
        <w:jc w:val="center"/>
        <w:rPr>
          <w:szCs w:val="20"/>
        </w:rPr>
      </w:pPr>
      <w:r w:rsidRPr="00F06469">
        <w:rPr>
          <w:szCs w:val="20"/>
        </w:rPr>
        <w:t>(razrešitev funkcije namestnika)</w:t>
      </w:r>
    </w:p>
    <w:p w:rsidR="00AE2155" w:rsidRPr="00F06469" w:rsidRDefault="00AE2155" w:rsidP="00B644CC">
      <w:pPr>
        <w:spacing w:line="288" w:lineRule="auto"/>
        <w:jc w:val="both"/>
        <w:rPr>
          <w:szCs w:val="20"/>
        </w:rPr>
      </w:pPr>
    </w:p>
    <w:p w:rsidR="00AE2155" w:rsidRPr="00F06469" w:rsidRDefault="00AE2155" w:rsidP="00B644CC">
      <w:pPr>
        <w:spacing w:line="288" w:lineRule="auto"/>
        <w:jc w:val="both"/>
        <w:rPr>
          <w:szCs w:val="20"/>
        </w:rPr>
      </w:pPr>
      <w:r w:rsidRPr="00F06469">
        <w:rPr>
          <w:szCs w:val="20"/>
        </w:rPr>
        <w:t>(1) Za razrešitev funkcije namestnika generalnega državnega tožilca se smiselno uporabljajo določbe tega zakona, ki urejajo razrešitev generalnega državnega tožilca.</w:t>
      </w:r>
    </w:p>
    <w:p w:rsidR="00AE2155" w:rsidRPr="00F06469" w:rsidRDefault="00AE2155" w:rsidP="00B644CC">
      <w:pPr>
        <w:spacing w:line="288" w:lineRule="auto"/>
        <w:jc w:val="both"/>
        <w:rPr>
          <w:szCs w:val="20"/>
        </w:rPr>
      </w:pPr>
    </w:p>
    <w:p w:rsidR="00AE2155" w:rsidRDefault="00AE2155" w:rsidP="00B644CC">
      <w:pPr>
        <w:spacing w:line="288" w:lineRule="auto"/>
        <w:jc w:val="both"/>
        <w:rPr>
          <w:szCs w:val="20"/>
        </w:rPr>
      </w:pPr>
      <w:r w:rsidRPr="00F06469">
        <w:rPr>
          <w:szCs w:val="20"/>
        </w:rPr>
        <w:t>(2) Za razrešitev funkcije namestnika vodje okrožnega državnega tožilstva se smiselno uporabljajo določbe tega zakona, ki urejajo razrešitev vodje okrožnega državnega tožilstva.</w:t>
      </w:r>
    </w:p>
    <w:p w:rsidR="00AE2155" w:rsidRDefault="00AE2155" w:rsidP="00B644CC">
      <w:pPr>
        <w:spacing w:line="288" w:lineRule="auto"/>
        <w:jc w:val="center"/>
        <w:rPr>
          <w:szCs w:val="20"/>
        </w:rPr>
      </w:pPr>
    </w:p>
    <w:p w:rsidR="00AE2155" w:rsidRPr="00F06469" w:rsidRDefault="00AE2155" w:rsidP="00B644CC">
      <w:pPr>
        <w:spacing w:line="288" w:lineRule="auto"/>
        <w:jc w:val="center"/>
        <w:rPr>
          <w:szCs w:val="20"/>
        </w:rPr>
      </w:pPr>
      <w:r w:rsidRPr="00F06469">
        <w:rPr>
          <w:szCs w:val="20"/>
        </w:rPr>
        <w:t>132. člen</w:t>
      </w:r>
    </w:p>
    <w:p w:rsidR="00AE2155" w:rsidRPr="00F06469" w:rsidRDefault="00AE2155" w:rsidP="00B644CC">
      <w:pPr>
        <w:spacing w:line="288" w:lineRule="auto"/>
        <w:jc w:val="center"/>
        <w:rPr>
          <w:szCs w:val="20"/>
        </w:rPr>
      </w:pPr>
      <w:r w:rsidRPr="00F06469">
        <w:rPr>
          <w:szCs w:val="20"/>
        </w:rPr>
        <w:t>(kolegij državnega tožilstva)</w:t>
      </w:r>
    </w:p>
    <w:p w:rsidR="00AE2155" w:rsidRPr="00F06469" w:rsidRDefault="00AE2155" w:rsidP="00B644CC">
      <w:pPr>
        <w:spacing w:line="288" w:lineRule="auto"/>
        <w:jc w:val="both"/>
        <w:rPr>
          <w:szCs w:val="20"/>
        </w:rPr>
      </w:pPr>
    </w:p>
    <w:p w:rsidR="00AE2155" w:rsidRPr="00F06469" w:rsidRDefault="00AE2155" w:rsidP="00B644CC">
      <w:pPr>
        <w:spacing w:line="288" w:lineRule="auto"/>
        <w:jc w:val="both"/>
        <w:rPr>
          <w:szCs w:val="20"/>
        </w:rPr>
      </w:pPr>
      <w:r w:rsidRPr="00F06469">
        <w:rPr>
          <w:szCs w:val="20"/>
        </w:rPr>
        <w:t>(1) Člani kolegija posameznega državnega tožilstva so vodja državnega tožilstva in vsi državni tožilci, ki opravljajo državnotožilsko službo na tem državnem tožilstvu. Pri delu kolegija lahko sodelujejo strokovni sodelavci in direktor, če tako odloči vodja državnega tožilstva.</w:t>
      </w:r>
    </w:p>
    <w:p w:rsidR="00AE2155" w:rsidRPr="00F06469" w:rsidRDefault="00AE2155" w:rsidP="00B644CC">
      <w:pPr>
        <w:spacing w:line="288" w:lineRule="auto"/>
        <w:jc w:val="both"/>
        <w:rPr>
          <w:szCs w:val="20"/>
        </w:rPr>
      </w:pPr>
    </w:p>
    <w:p w:rsidR="00AE2155" w:rsidRPr="00F06469" w:rsidRDefault="00AE2155" w:rsidP="00B644CC">
      <w:pPr>
        <w:spacing w:line="288" w:lineRule="auto"/>
        <w:jc w:val="both"/>
        <w:rPr>
          <w:szCs w:val="20"/>
        </w:rPr>
      </w:pPr>
      <w:r w:rsidRPr="00F06469">
        <w:rPr>
          <w:szCs w:val="20"/>
        </w:rPr>
        <w:t>(2) Kolegij državnega tožilstva:</w:t>
      </w:r>
    </w:p>
    <w:p w:rsidR="00AE2155" w:rsidRPr="00F06469" w:rsidRDefault="00AE2155" w:rsidP="00B644CC">
      <w:pPr>
        <w:spacing w:line="288" w:lineRule="auto"/>
        <w:jc w:val="both"/>
        <w:rPr>
          <w:szCs w:val="20"/>
        </w:rPr>
      </w:pPr>
    </w:p>
    <w:p w:rsidR="00AE2155" w:rsidRPr="00F06469" w:rsidRDefault="00AE2155" w:rsidP="00B644CC">
      <w:pPr>
        <w:spacing w:line="288" w:lineRule="auto"/>
        <w:jc w:val="both"/>
        <w:rPr>
          <w:szCs w:val="20"/>
        </w:rPr>
      </w:pPr>
      <w:r w:rsidRPr="00F06469">
        <w:rPr>
          <w:szCs w:val="20"/>
        </w:rPr>
        <w:t>-       (črtana);</w:t>
      </w:r>
    </w:p>
    <w:p w:rsidR="00AE2155" w:rsidRPr="00F06469" w:rsidRDefault="00AE2155" w:rsidP="00B644CC">
      <w:pPr>
        <w:spacing w:line="288" w:lineRule="auto"/>
        <w:jc w:val="both"/>
        <w:rPr>
          <w:szCs w:val="20"/>
        </w:rPr>
      </w:pPr>
      <w:r w:rsidRPr="00F06469">
        <w:rPr>
          <w:szCs w:val="20"/>
        </w:rPr>
        <w:t>-       daje predhodno mnenje o predlogu splošnih navodil;</w:t>
      </w:r>
    </w:p>
    <w:p w:rsidR="00AE2155" w:rsidRPr="00F06469" w:rsidRDefault="00AE2155" w:rsidP="00B644CC">
      <w:pPr>
        <w:spacing w:line="288" w:lineRule="auto"/>
        <w:jc w:val="both"/>
        <w:rPr>
          <w:szCs w:val="20"/>
        </w:rPr>
      </w:pPr>
      <w:r w:rsidRPr="00F06469">
        <w:rPr>
          <w:szCs w:val="20"/>
        </w:rPr>
        <w:t>-       daje predhodno mnenje o predlogu letnega razporeda dela državnih tožilcev;</w:t>
      </w:r>
    </w:p>
    <w:p w:rsidR="00AE2155" w:rsidRPr="00F06469" w:rsidRDefault="00AE2155" w:rsidP="00B644CC">
      <w:pPr>
        <w:spacing w:line="288" w:lineRule="auto"/>
        <w:jc w:val="both"/>
        <w:rPr>
          <w:szCs w:val="20"/>
        </w:rPr>
      </w:pPr>
      <w:r w:rsidRPr="00F06469">
        <w:rPr>
          <w:szCs w:val="20"/>
        </w:rPr>
        <w:t>-       obravnava pomembnejša vprašanja državnotožilske prakse;</w:t>
      </w:r>
    </w:p>
    <w:p w:rsidR="00AE2155" w:rsidRPr="00F06469" w:rsidRDefault="00AE2155" w:rsidP="00B644CC">
      <w:pPr>
        <w:spacing w:line="288" w:lineRule="auto"/>
        <w:jc w:val="both"/>
        <w:rPr>
          <w:szCs w:val="20"/>
        </w:rPr>
      </w:pPr>
      <w:r w:rsidRPr="00F06469">
        <w:rPr>
          <w:szCs w:val="20"/>
        </w:rPr>
        <w:t>-       na predlog vodje obravnava vprašanja državnotožilske uprave, ki so splošne narave;</w:t>
      </w:r>
    </w:p>
    <w:p w:rsidR="00AE2155" w:rsidRPr="00F06469" w:rsidRDefault="00AE2155" w:rsidP="00B644CC">
      <w:pPr>
        <w:spacing w:line="288" w:lineRule="auto"/>
        <w:jc w:val="both"/>
        <w:rPr>
          <w:szCs w:val="20"/>
        </w:rPr>
      </w:pPr>
      <w:r w:rsidRPr="00F06469">
        <w:rPr>
          <w:szCs w:val="20"/>
        </w:rPr>
        <w:t>-       obravnava druge zadeve, določene s tem zakonom ali Državnotožilskim redom.</w:t>
      </w:r>
    </w:p>
    <w:p w:rsidR="00AE2155" w:rsidRPr="00F06469" w:rsidRDefault="00AE2155" w:rsidP="00B644CC">
      <w:pPr>
        <w:spacing w:line="288" w:lineRule="auto"/>
        <w:jc w:val="both"/>
        <w:rPr>
          <w:szCs w:val="20"/>
        </w:rPr>
      </w:pPr>
    </w:p>
    <w:p w:rsidR="00AE2155" w:rsidRPr="00F06469" w:rsidRDefault="00AE2155" w:rsidP="00B644CC">
      <w:pPr>
        <w:spacing w:line="288" w:lineRule="auto"/>
        <w:jc w:val="both"/>
        <w:rPr>
          <w:szCs w:val="20"/>
        </w:rPr>
      </w:pPr>
      <w:r w:rsidRPr="00F06469">
        <w:rPr>
          <w:szCs w:val="20"/>
        </w:rPr>
        <w:t>(3) Vodja državnega tožilstva sestavo kolegija oziroma način kolegijskega dela za obravnavanje drugih vprašanj določi v skladu z njihovo naravo.</w:t>
      </w:r>
    </w:p>
    <w:p w:rsidR="00AE2155" w:rsidRPr="00F06469" w:rsidRDefault="00AE2155" w:rsidP="00B644CC">
      <w:pPr>
        <w:spacing w:line="288" w:lineRule="auto"/>
        <w:jc w:val="both"/>
        <w:rPr>
          <w:szCs w:val="20"/>
        </w:rPr>
      </w:pPr>
    </w:p>
    <w:p w:rsidR="00AE2155" w:rsidRPr="00F06469" w:rsidRDefault="00AE2155" w:rsidP="00B644CC">
      <w:pPr>
        <w:spacing w:line="288" w:lineRule="auto"/>
        <w:jc w:val="center"/>
        <w:rPr>
          <w:szCs w:val="20"/>
        </w:rPr>
      </w:pPr>
      <w:r w:rsidRPr="00F06469">
        <w:rPr>
          <w:szCs w:val="20"/>
        </w:rPr>
        <w:t>133. člen</w:t>
      </w:r>
    </w:p>
    <w:p w:rsidR="00AE2155" w:rsidRPr="00F06469" w:rsidRDefault="00AE2155" w:rsidP="00B644CC">
      <w:pPr>
        <w:spacing w:line="288" w:lineRule="auto"/>
        <w:jc w:val="center"/>
        <w:rPr>
          <w:szCs w:val="20"/>
        </w:rPr>
      </w:pPr>
      <w:r w:rsidRPr="00F06469">
        <w:rPr>
          <w:szCs w:val="20"/>
        </w:rPr>
        <w:t>(razširjeni kolegij Vrhovnega državnega tožilstva)</w:t>
      </w:r>
    </w:p>
    <w:p w:rsidR="00AE2155" w:rsidRPr="00F06469" w:rsidRDefault="00AE2155" w:rsidP="00B644CC">
      <w:pPr>
        <w:spacing w:line="288" w:lineRule="auto"/>
        <w:jc w:val="center"/>
        <w:rPr>
          <w:szCs w:val="20"/>
        </w:rPr>
      </w:pPr>
    </w:p>
    <w:p w:rsidR="00AE2155" w:rsidRPr="00F06469" w:rsidRDefault="00AE2155" w:rsidP="00B644CC">
      <w:pPr>
        <w:spacing w:line="288" w:lineRule="auto"/>
        <w:jc w:val="both"/>
        <w:rPr>
          <w:szCs w:val="20"/>
        </w:rPr>
      </w:pPr>
      <w:r w:rsidRPr="00F06469">
        <w:rPr>
          <w:szCs w:val="20"/>
        </w:rPr>
        <w:t>(1) Člani razširjenega kolegija Vrhovnega državnega tožilstva so vsi državni tožilci, ki opravljajo državnotožilsko službo na tem državnem tožilstvu, in vodje okrožnih državnih tožilstev.</w:t>
      </w:r>
    </w:p>
    <w:p w:rsidR="00AE2155" w:rsidRPr="00F06469" w:rsidRDefault="00AE2155" w:rsidP="00B644CC">
      <w:pPr>
        <w:spacing w:line="288" w:lineRule="auto"/>
        <w:jc w:val="both"/>
        <w:rPr>
          <w:szCs w:val="20"/>
        </w:rPr>
      </w:pPr>
    </w:p>
    <w:p w:rsidR="00AE2155" w:rsidRPr="00F06469" w:rsidRDefault="00AE2155" w:rsidP="00B644CC">
      <w:pPr>
        <w:spacing w:line="288" w:lineRule="auto"/>
        <w:jc w:val="both"/>
        <w:rPr>
          <w:szCs w:val="20"/>
        </w:rPr>
      </w:pPr>
      <w:r w:rsidRPr="00F06469">
        <w:rPr>
          <w:szCs w:val="20"/>
        </w:rPr>
        <w:t>(2) Pri delu razširjenega kolegija lahko sodelujejo strokovni sodelavci, če tako odloči generalni državni tožilec.</w:t>
      </w:r>
    </w:p>
    <w:p w:rsidR="00AE2155" w:rsidRPr="00F06469" w:rsidRDefault="00AE2155" w:rsidP="00B644CC">
      <w:pPr>
        <w:spacing w:line="288" w:lineRule="auto"/>
        <w:jc w:val="both"/>
        <w:rPr>
          <w:szCs w:val="20"/>
        </w:rPr>
      </w:pPr>
    </w:p>
    <w:p w:rsidR="00AE2155" w:rsidRPr="00F06469" w:rsidRDefault="00AE2155" w:rsidP="00B644CC">
      <w:pPr>
        <w:spacing w:line="288" w:lineRule="auto"/>
        <w:jc w:val="both"/>
        <w:rPr>
          <w:szCs w:val="20"/>
        </w:rPr>
      </w:pPr>
      <w:r w:rsidRPr="00F06469">
        <w:rPr>
          <w:szCs w:val="20"/>
        </w:rPr>
        <w:t>(3) Razširjeni kolegij Vrhovnega državnega tožilstva:</w:t>
      </w:r>
    </w:p>
    <w:p w:rsidR="00AE2155" w:rsidRPr="00F06469" w:rsidRDefault="00AE2155" w:rsidP="00B644CC">
      <w:pPr>
        <w:spacing w:line="288" w:lineRule="auto"/>
        <w:jc w:val="both"/>
        <w:rPr>
          <w:szCs w:val="20"/>
        </w:rPr>
      </w:pPr>
    </w:p>
    <w:p w:rsidR="00AE2155" w:rsidRPr="00F06469" w:rsidRDefault="00AE2155" w:rsidP="00B644CC">
      <w:pPr>
        <w:spacing w:line="288" w:lineRule="auto"/>
        <w:jc w:val="both"/>
        <w:rPr>
          <w:szCs w:val="20"/>
        </w:rPr>
      </w:pPr>
      <w:r w:rsidRPr="00F06469">
        <w:rPr>
          <w:szCs w:val="20"/>
        </w:rPr>
        <w:t>-       sprejema načelna stališča o vprašanjih, ki so pomembna za enotno uporabo zakonov;</w:t>
      </w:r>
    </w:p>
    <w:p w:rsidR="00AE2155" w:rsidRPr="00F06469" w:rsidRDefault="00AE2155" w:rsidP="00B644CC">
      <w:pPr>
        <w:spacing w:line="288" w:lineRule="auto"/>
        <w:jc w:val="both"/>
        <w:rPr>
          <w:szCs w:val="20"/>
        </w:rPr>
      </w:pPr>
      <w:r w:rsidRPr="00F06469">
        <w:rPr>
          <w:szCs w:val="20"/>
        </w:rPr>
        <w:t>-       sprejema pravna mnenja o vprašanjih državnotožilske prakse;</w:t>
      </w:r>
    </w:p>
    <w:p w:rsidR="00AE2155" w:rsidRPr="00F06469" w:rsidRDefault="00AE2155" w:rsidP="00B644CC">
      <w:pPr>
        <w:spacing w:line="288" w:lineRule="auto"/>
        <w:jc w:val="both"/>
        <w:rPr>
          <w:szCs w:val="20"/>
        </w:rPr>
      </w:pPr>
      <w:r w:rsidRPr="00F06469">
        <w:rPr>
          <w:szCs w:val="20"/>
        </w:rPr>
        <w:t>-       daje mnenje o predlogih zakonov in podzakonskih aktov;</w:t>
      </w:r>
    </w:p>
    <w:p w:rsidR="00AE2155" w:rsidRPr="00F06469" w:rsidRDefault="00AE2155" w:rsidP="00B644CC">
      <w:pPr>
        <w:spacing w:line="288" w:lineRule="auto"/>
        <w:jc w:val="both"/>
        <w:rPr>
          <w:szCs w:val="20"/>
        </w:rPr>
      </w:pPr>
      <w:r w:rsidRPr="00F06469">
        <w:rPr>
          <w:szCs w:val="20"/>
        </w:rPr>
        <w:t>-       daje mnenje o predlogih splošnih navodil;</w:t>
      </w:r>
    </w:p>
    <w:p w:rsidR="00AE2155" w:rsidRPr="00F06469" w:rsidRDefault="00AE2155" w:rsidP="00B644CC">
      <w:pPr>
        <w:spacing w:line="288" w:lineRule="auto"/>
        <w:jc w:val="both"/>
        <w:rPr>
          <w:szCs w:val="20"/>
        </w:rPr>
      </w:pPr>
      <w:r w:rsidRPr="00F06469">
        <w:rPr>
          <w:szCs w:val="20"/>
        </w:rPr>
        <w:t>-       določa način spremljanja in evidentiranja državnotožilske prakse na državnih tožilstvih;</w:t>
      </w:r>
    </w:p>
    <w:p w:rsidR="00AE2155" w:rsidRPr="00F06469" w:rsidRDefault="00AE2155" w:rsidP="00B644CC">
      <w:pPr>
        <w:spacing w:line="288" w:lineRule="auto"/>
        <w:jc w:val="both"/>
        <w:rPr>
          <w:szCs w:val="20"/>
        </w:rPr>
      </w:pPr>
      <w:r w:rsidRPr="00F06469">
        <w:rPr>
          <w:szCs w:val="20"/>
        </w:rPr>
        <w:t>-       opravlja druge zadeve na podlagi zakona ali Državnotožilskega reda.</w:t>
      </w:r>
    </w:p>
    <w:p w:rsidR="00AE2155" w:rsidRPr="00F06469" w:rsidRDefault="00AE2155" w:rsidP="00B644CC">
      <w:pPr>
        <w:spacing w:line="288" w:lineRule="auto"/>
        <w:jc w:val="both"/>
        <w:rPr>
          <w:szCs w:val="20"/>
        </w:rPr>
      </w:pPr>
    </w:p>
    <w:p w:rsidR="00AE2155" w:rsidRPr="00F06469" w:rsidRDefault="00AE2155" w:rsidP="00B644CC">
      <w:pPr>
        <w:spacing w:line="288" w:lineRule="auto"/>
        <w:jc w:val="both"/>
        <w:rPr>
          <w:szCs w:val="20"/>
        </w:rPr>
      </w:pPr>
      <w:r w:rsidRPr="00F06469">
        <w:rPr>
          <w:szCs w:val="20"/>
        </w:rPr>
        <w:t>(4) Na podlagi sprejetih načelnih stališč ali pravnih mnenj morajo generalni državni tožilec in vodje okrožnih državnih tožilstev preučiti potrebo po izdaji splošnih navodil.</w:t>
      </w:r>
    </w:p>
    <w:p w:rsidR="00AE2155" w:rsidRPr="00F06469" w:rsidRDefault="00AE2155" w:rsidP="00B644CC">
      <w:pPr>
        <w:spacing w:line="288" w:lineRule="auto"/>
        <w:jc w:val="both"/>
        <w:rPr>
          <w:szCs w:val="20"/>
        </w:rPr>
      </w:pPr>
    </w:p>
    <w:p w:rsidR="00AE2155" w:rsidRDefault="00AE2155" w:rsidP="00B644CC">
      <w:pPr>
        <w:spacing w:line="288" w:lineRule="auto"/>
        <w:jc w:val="both"/>
        <w:rPr>
          <w:szCs w:val="20"/>
        </w:rPr>
      </w:pPr>
      <w:r w:rsidRPr="00F06469">
        <w:rPr>
          <w:szCs w:val="20"/>
        </w:rPr>
        <w:lastRenderedPageBreak/>
        <w:t>(5) Razširjeni kolegij Vrhovnega državnega tožilstva sklepa, če je navzoča več kakor polovica članov kolegija.</w:t>
      </w:r>
    </w:p>
    <w:p w:rsidR="000069B6" w:rsidRDefault="000069B6" w:rsidP="00B644CC">
      <w:pPr>
        <w:spacing w:line="288" w:lineRule="auto"/>
        <w:jc w:val="both"/>
        <w:rPr>
          <w:szCs w:val="20"/>
        </w:rPr>
      </w:pPr>
    </w:p>
    <w:p w:rsidR="000069B6" w:rsidRPr="000069B6" w:rsidRDefault="000069B6" w:rsidP="000069B6">
      <w:pPr>
        <w:spacing w:line="288" w:lineRule="auto"/>
        <w:jc w:val="center"/>
        <w:rPr>
          <w:szCs w:val="20"/>
        </w:rPr>
      </w:pPr>
      <w:r w:rsidRPr="000069B6">
        <w:rPr>
          <w:szCs w:val="20"/>
        </w:rPr>
        <w:t>138. člen</w:t>
      </w:r>
    </w:p>
    <w:p w:rsidR="000069B6" w:rsidRPr="000069B6" w:rsidRDefault="000069B6" w:rsidP="000069B6">
      <w:pPr>
        <w:spacing w:line="288" w:lineRule="auto"/>
        <w:jc w:val="center"/>
        <w:rPr>
          <w:szCs w:val="20"/>
        </w:rPr>
      </w:pPr>
      <w:r w:rsidRPr="000069B6">
        <w:rPr>
          <w:szCs w:val="20"/>
        </w:rPr>
        <w:t>(direktor državnega tožilstva)</w:t>
      </w:r>
    </w:p>
    <w:p w:rsidR="000069B6" w:rsidRPr="000069B6" w:rsidRDefault="000069B6" w:rsidP="000069B6">
      <w:pPr>
        <w:spacing w:line="288" w:lineRule="auto"/>
        <w:jc w:val="both"/>
        <w:rPr>
          <w:szCs w:val="20"/>
        </w:rPr>
      </w:pPr>
    </w:p>
    <w:p w:rsidR="000069B6" w:rsidRPr="000069B6" w:rsidRDefault="000069B6" w:rsidP="000069B6">
      <w:pPr>
        <w:spacing w:line="288" w:lineRule="auto"/>
        <w:jc w:val="both"/>
        <w:rPr>
          <w:szCs w:val="20"/>
        </w:rPr>
      </w:pPr>
      <w:r w:rsidRPr="000069B6">
        <w:rPr>
          <w:szCs w:val="20"/>
        </w:rPr>
        <w:t>(1) Določene naloge državnotožilske uprave lahko samostojno opravljajo direktorji, imenovani za eno ali več okrožnih državnih tožilstev.</w:t>
      </w:r>
    </w:p>
    <w:p w:rsidR="000069B6" w:rsidRPr="000069B6" w:rsidRDefault="000069B6" w:rsidP="000069B6">
      <w:pPr>
        <w:spacing w:line="288" w:lineRule="auto"/>
        <w:jc w:val="both"/>
        <w:rPr>
          <w:szCs w:val="20"/>
        </w:rPr>
      </w:pPr>
    </w:p>
    <w:p w:rsidR="000069B6" w:rsidRPr="000069B6" w:rsidRDefault="000069B6" w:rsidP="000069B6">
      <w:pPr>
        <w:spacing w:line="288" w:lineRule="auto"/>
        <w:jc w:val="both"/>
        <w:rPr>
          <w:szCs w:val="20"/>
        </w:rPr>
      </w:pPr>
      <w:r w:rsidRPr="000069B6">
        <w:rPr>
          <w:szCs w:val="20"/>
        </w:rPr>
        <w:t>(2) Direktor samostojno opravlja naloge državnotožilske uprave, ki se nanašajo na:</w:t>
      </w:r>
    </w:p>
    <w:p w:rsidR="000069B6" w:rsidRPr="000069B6" w:rsidRDefault="000069B6" w:rsidP="000069B6">
      <w:pPr>
        <w:spacing w:line="288" w:lineRule="auto"/>
        <w:jc w:val="both"/>
        <w:rPr>
          <w:szCs w:val="20"/>
        </w:rPr>
      </w:pPr>
    </w:p>
    <w:p w:rsidR="000069B6" w:rsidRPr="000069B6" w:rsidRDefault="000069B6" w:rsidP="000069B6">
      <w:pPr>
        <w:pStyle w:val="Odstavekseznama"/>
        <w:numPr>
          <w:ilvl w:val="0"/>
          <w:numId w:val="21"/>
        </w:numPr>
        <w:spacing w:line="288" w:lineRule="auto"/>
        <w:ind w:left="360"/>
        <w:jc w:val="both"/>
        <w:rPr>
          <w:szCs w:val="20"/>
        </w:rPr>
      </w:pPr>
      <w:r w:rsidRPr="000069B6">
        <w:rPr>
          <w:szCs w:val="20"/>
        </w:rPr>
        <w:t>kadrovsko poslovanje državnotožilskega osebja ter izvajanje predpisov o varnosti in zdravju pri delu;</w:t>
      </w:r>
    </w:p>
    <w:p w:rsidR="000069B6" w:rsidRPr="000069B6" w:rsidRDefault="000069B6" w:rsidP="000069B6">
      <w:pPr>
        <w:pStyle w:val="Odstavekseznama"/>
        <w:numPr>
          <w:ilvl w:val="0"/>
          <w:numId w:val="21"/>
        </w:numPr>
        <w:spacing w:line="288" w:lineRule="auto"/>
        <w:ind w:left="360"/>
        <w:jc w:val="both"/>
        <w:rPr>
          <w:szCs w:val="20"/>
        </w:rPr>
      </w:pPr>
      <w:r w:rsidRPr="000069B6">
        <w:rPr>
          <w:szCs w:val="20"/>
        </w:rPr>
        <w:t>odločanje o pravicah, obveznostih in odgovornostih tožilskega osebja;</w:t>
      </w:r>
    </w:p>
    <w:p w:rsidR="000069B6" w:rsidRPr="000069B6" w:rsidRDefault="000069B6" w:rsidP="000069B6">
      <w:pPr>
        <w:pStyle w:val="Odstavekseznama"/>
        <w:numPr>
          <w:ilvl w:val="0"/>
          <w:numId w:val="21"/>
        </w:numPr>
        <w:spacing w:line="288" w:lineRule="auto"/>
        <w:ind w:left="360"/>
        <w:jc w:val="both"/>
        <w:rPr>
          <w:szCs w:val="20"/>
        </w:rPr>
      </w:pPr>
      <w:r w:rsidRPr="000069B6">
        <w:rPr>
          <w:szCs w:val="20"/>
        </w:rPr>
        <w:t>finančno, računovodsko in materialno poslovanje ter vodenje postopkov javnih naročil.</w:t>
      </w:r>
    </w:p>
    <w:p w:rsidR="000069B6" w:rsidRPr="000069B6" w:rsidRDefault="000069B6" w:rsidP="000069B6">
      <w:pPr>
        <w:spacing w:line="288" w:lineRule="auto"/>
        <w:jc w:val="both"/>
        <w:rPr>
          <w:szCs w:val="20"/>
        </w:rPr>
      </w:pPr>
    </w:p>
    <w:p w:rsidR="000069B6" w:rsidRPr="000069B6" w:rsidRDefault="000069B6" w:rsidP="000069B6">
      <w:pPr>
        <w:spacing w:line="288" w:lineRule="auto"/>
        <w:jc w:val="both"/>
        <w:rPr>
          <w:szCs w:val="20"/>
        </w:rPr>
      </w:pPr>
      <w:r w:rsidRPr="000069B6">
        <w:rPr>
          <w:szCs w:val="20"/>
        </w:rPr>
        <w:t>(3) Na podlagi pooblastila vodje okrožnega državnega tožilstva direktor lahko samostojno opravlja naloge državnotožilske uprave, ki se nanašajo na:</w:t>
      </w:r>
    </w:p>
    <w:p w:rsidR="000069B6" w:rsidRPr="000069B6" w:rsidRDefault="000069B6" w:rsidP="000069B6">
      <w:pPr>
        <w:spacing w:line="288" w:lineRule="auto"/>
        <w:jc w:val="both"/>
        <w:rPr>
          <w:szCs w:val="20"/>
        </w:rPr>
      </w:pPr>
    </w:p>
    <w:p w:rsidR="000069B6" w:rsidRPr="000069B6" w:rsidRDefault="000069B6" w:rsidP="000069B6">
      <w:pPr>
        <w:pStyle w:val="Odstavekseznama"/>
        <w:numPr>
          <w:ilvl w:val="0"/>
          <w:numId w:val="21"/>
        </w:numPr>
        <w:spacing w:line="288" w:lineRule="auto"/>
        <w:ind w:left="360"/>
        <w:jc w:val="both"/>
        <w:rPr>
          <w:szCs w:val="20"/>
        </w:rPr>
      </w:pPr>
      <w:r w:rsidRPr="000069B6">
        <w:rPr>
          <w:szCs w:val="20"/>
        </w:rPr>
        <w:t>vpisovanje, evidentiranje in statistično spremljanje zadev;</w:t>
      </w:r>
    </w:p>
    <w:p w:rsidR="000069B6" w:rsidRPr="000069B6" w:rsidRDefault="000069B6" w:rsidP="000069B6">
      <w:pPr>
        <w:pStyle w:val="Odstavekseznama"/>
        <w:numPr>
          <w:ilvl w:val="0"/>
          <w:numId w:val="21"/>
        </w:numPr>
        <w:spacing w:line="288" w:lineRule="auto"/>
        <w:ind w:left="360"/>
        <w:jc w:val="both"/>
        <w:rPr>
          <w:szCs w:val="20"/>
        </w:rPr>
      </w:pPr>
      <w:r w:rsidRPr="000069B6">
        <w:rPr>
          <w:szCs w:val="20"/>
        </w:rPr>
        <w:t>pisarniško in tehnično poslovanje;</w:t>
      </w:r>
    </w:p>
    <w:p w:rsidR="000069B6" w:rsidRPr="000069B6" w:rsidRDefault="000069B6" w:rsidP="000069B6">
      <w:pPr>
        <w:pStyle w:val="Odstavekseznama"/>
        <w:numPr>
          <w:ilvl w:val="0"/>
          <w:numId w:val="21"/>
        </w:numPr>
        <w:spacing w:line="288" w:lineRule="auto"/>
        <w:ind w:left="360"/>
        <w:jc w:val="both"/>
        <w:rPr>
          <w:szCs w:val="20"/>
        </w:rPr>
      </w:pPr>
      <w:r w:rsidRPr="000069B6">
        <w:rPr>
          <w:szCs w:val="20"/>
        </w:rPr>
        <w:t>dejavnosti, povezane s stvarnim premoženjem, ki ga ima državno tožilstvo neposredno v uporabi;</w:t>
      </w:r>
    </w:p>
    <w:p w:rsidR="000069B6" w:rsidRPr="000069B6" w:rsidRDefault="000069B6" w:rsidP="000069B6">
      <w:pPr>
        <w:pStyle w:val="Odstavekseznama"/>
        <w:numPr>
          <w:ilvl w:val="0"/>
          <w:numId w:val="21"/>
        </w:numPr>
        <w:spacing w:line="288" w:lineRule="auto"/>
        <w:ind w:left="360"/>
        <w:jc w:val="both"/>
        <w:rPr>
          <w:szCs w:val="20"/>
        </w:rPr>
      </w:pPr>
      <w:r w:rsidRPr="000069B6">
        <w:rPr>
          <w:szCs w:val="20"/>
        </w:rPr>
        <w:t>skrb in ukrepe za varnost oseb, dokumentacije in premoženja na državnem tožilstvu in</w:t>
      </w:r>
    </w:p>
    <w:p w:rsidR="00AE2155" w:rsidRPr="000069B6" w:rsidRDefault="000069B6" w:rsidP="000069B6">
      <w:pPr>
        <w:pStyle w:val="Odstavekseznama"/>
        <w:numPr>
          <w:ilvl w:val="0"/>
          <w:numId w:val="21"/>
        </w:numPr>
        <w:spacing w:line="288" w:lineRule="auto"/>
        <w:ind w:left="360"/>
        <w:jc w:val="both"/>
        <w:rPr>
          <w:szCs w:val="20"/>
        </w:rPr>
      </w:pPr>
      <w:r w:rsidRPr="000069B6">
        <w:rPr>
          <w:szCs w:val="20"/>
        </w:rPr>
        <w:t>druge naloge državnotožilske uprave, razen tistih, ki se nanašajo na opravljanje državnotožilske službe.</w:t>
      </w:r>
    </w:p>
    <w:p w:rsidR="00AE2155" w:rsidRPr="00193853" w:rsidRDefault="00AE2155" w:rsidP="00B644CC">
      <w:pPr>
        <w:spacing w:line="288" w:lineRule="auto"/>
        <w:jc w:val="center"/>
        <w:rPr>
          <w:szCs w:val="20"/>
        </w:rPr>
      </w:pPr>
      <w:r w:rsidRPr="00193853">
        <w:rPr>
          <w:szCs w:val="20"/>
        </w:rPr>
        <w:t>142. člen</w:t>
      </w:r>
    </w:p>
    <w:p w:rsidR="00AE2155" w:rsidRPr="00193853" w:rsidRDefault="00AE2155" w:rsidP="00B644CC">
      <w:pPr>
        <w:spacing w:line="288" w:lineRule="auto"/>
        <w:jc w:val="center"/>
        <w:rPr>
          <w:szCs w:val="20"/>
        </w:rPr>
      </w:pPr>
      <w:r w:rsidRPr="00193853">
        <w:rPr>
          <w:szCs w:val="20"/>
        </w:rPr>
        <w:t>(letni razpored)</w:t>
      </w:r>
    </w:p>
    <w:p w:rsidR="00AE2155" w:rsidRPr="00193853" w:rsidRDefault="00AE2155" w:rsidP="00B644CC">
      <w:pPr>
        <w:spacing w:line="288" w:lineRule="auto"/>
        <w:jc w:val="both"/>
        <w:rPr>
          <w:szCs w:val="20"/>
        </w:rPr>
      </w:pPr>
    </w:p>
    <w:p w:rsidR="00AE2155" w:rsidRPr="00193853" w:rsidRDefault="00AE2155" w:rsidP="00B644CC">
      <w:pPr>
        <w:spacing w:line="288" w:lineRule="auto"/>
        <w:jc w:val="both"/>
        <w:rPr>
          <w:szCs w:val="20"/>
        </w:rPr>
      </w:pPr>
      <w:r w:rsidRPr="00193853">
        <w:rPr>
          <w:szCs w:val="20"/>
        </w:rPr>
        <w:t>(1) Vodja državnega tožilstva z letnim razporedom dela določi razporeditev državnih tožilcev v oddelke oziroma notranje organizacijske enote, njihovo pravno področje dela, vodje oddelkov oziroma notranjih organizacijskih enot, nadomeščanje, razpored dežurstev in čas izrabe letnih dopustov.</w:t>
      </w:r>
    </w:p>
    <w:p w:rsidR="00AE2155" w:rsidRPr="00193853" w:rsidRDefault="00AE2155" w:rsidP="00B644CC">
      <w:pPr>
        <w:spacing w:line="288" w:lineRule="auto"/>
        <w:jc w:val="both"/>
        <w:rPr>
          <w:szCs w:val="20"/>
        </w:rPr>
      </w:pPr>
    </w:p>
    <w:p w:rsidR="00AE2155" w:rsidRPr="00193853" w:rsidRDefault="00AE2155" w:rsidP="00B644CC">
      <w:pPr>
        <w:spacing w:line="288" w:lineRule="auto"/>
        <w:jc w:val="both"/>
        <w:rPr>
          <w:szCs w:val="20"/>
        </w:rPr>
      </w:pPr>
      <w:r w:rsidRPr="00193853">
        <w:rPr>
          <w:szCs w:val="20"/>
        </w:rPr>
        <w:t>(2) Letni razpored dela mora vsebovati poimensko navedbo vseh državnih tožilcev, ki se jim zadeve dodeljujejo v delo, ne glede na njihov naziv, položaj ali vodstveno funkcijo.</w:t>
      </w:r>
    </w:p>
    <w:p w:rsidR="00AE2155" w:rsidRPr="00193853" w:rsidRDefault="00AE2155" w:rsidP="00B644CC">
      <w:pPr>
        <w:spacing w:line="288" w:lineRule="auto"/>
        <w:jc w:val="both"/>
        <w:rPr>
          <w:szCs w:val="20"/>
        </w:rPr>
      </w:pPr>
    </w:p>
    <w:p w:rsidR="00AE2155" w:rsidRPr="00193853" w:rsidRDefault="00AE2155" w:rsidP="00B644CC">
      <w:pPr>
        <w:spacing w:line="288" w:lineRule="auto"/>
        <w:jc w:val="both"/>
        <w:rPr>
          <w:szCs w:val="20"/>
        </w:rPr>
      </w:pPr>
      <w:r w:rsidRPr="00193853">
        <w:rPr>
          <w:szCs w:val="20"/>
        </w:rPr>
        <w:t>(3) Zoper razporeditev na določeno pravno področje dela lahko razporejeni državni tožilec v treh dneh po objavi letnega razporeda na oglasni deski državnega tožilstva napove pritožbo vodji državnega tožilstva, ki določa letni razpored, ta pa mora v nadaljnjih treh dneh obrazložiti svojo odločitev. Državni tožilec lahko v osmih dneh od prejema obrazložitve vloži pritožbo, ki ne zadrži izvršitve. O pritožbi v 30 dneh odloči Državnotožilski svet po predhodnem mnenju generalnega državnega tožilca.</w:t>
      </w:r>
    </w:p>
    <w:p w:rsidR="00AE2155" w:rsidRPr="00193853" w:rsidRDefault="00AE2155" w:rsidP="00B644CC">
      <w:pPr>
        <w:spacing w:line="288" w:lineRule="auto"/>
        <w:jc w:val="both"/>
        <w:rPr>
          <w:szCs w:val="20"/>
        </w:rPr>
      </w:pPr>
    </w:p>
    <w:p w:rsidR="00AE2155" w:rsidRDefault="00AE2155" w:rsidP="00B644CC">
      <w:pPr>
        <w:spacing w:line="288" w:lineRule="auto"/>
        <w:jc w:val="both"/>
        <w:rPr>
          <w:szCs w:val="20"/>
        </w:rPr>
      </w:pPr>
      <w:r w:rsidRPr="00193853">
        <w:rPr>
          <w:szCs w:val="20"/>
        </w:rPr>
        <w:t>(4) Letni razpored mora biti določen in objavljen najpozneje do 15. decembra za naslednje koledarsko leto.</w:t>
      </w:r>
      <w:r w:rsidR="000069B6">
        <w:rPr>
          <w:szCs w:val="20"/>
        </w:rPr>
        <w:t>ž</w:t>
      </w:r>
    </w:p>
    <w:p w:rsidR="000069B6" w:rsidRDefault="000069B6" w:rsidP="00B644CC">
      <w:pPr>
        <w:spacing w:line="288" w:lineRule="auto"/>
        <w:jc w:val="both"/>
        <w:rPr>
          <w:szCs w:val="20"/>
        </w:rPr>
      </w:pPr>
    </w:p>
    <w:p w:rsidR="000069B6" w:rsidRDefault="000069B6" w:rsidP="000069B6">
      <w:pPr>
        <w:spacing w:line="288" w:lineRule="auto"/>
        <w:jc w:val="both"/>
        <w:rPr>
          <w:szCs w:val="20"/>
        </w:rPr>
      </w:pPr>
    </w:p>
    <w:p w:rsidR="000069B6" w:rsidRPr="000069B6" w:rsidRDefault="000069B6" w:rsidP="000069B6">
      <w:pPr>
        <w:spacing w:line="288" w:lineRule="auto"/>
        <w:jc w:val="center"/>
        <w:rPr>
          <w:szCs w:val="20"/>
        </w:rPr>
      </w:pPr>
      <w:r w:rsidRPr="000069B6">
        <w:rPr>
          <w:szCs w:val="20"/>
        </w:rPr>
        <w:lastRenderedPageBreak/>
        <w:t>147. člen</w:t>
      </w:r>
    </w:p>
    <w:p w:rsidR="000069B6" w:rsidRPr="000069B6" w:rsidRDefault="000069B6" w:rsidP="000069B6">
      <w:pPr>
        <w:spacing w:line="288" w:lineRule="auto"/>
        <w:jc w:val="center"/>
        <w:rPr>
          <w:szCs w:val="20"/>
        </w:rPr>
      </w:pPr>
      <w:r w:rsidRPr="000069B6">
        <w:rPr>
          <w:szCs w:val="20"/>
        </w:rPr>
        <w:t>(vsebina programa)</w:t>
      </w:r>
    </w:p>
    <w:p w:rsidR="000069B6" w:rsidRPr="000069B6" w:rsidRDefault="000069B6" w:rsidP="000069B6">
      <w:pPr>
        <w:spacing w:line="288" w:lineRule="auto"/>
        <w:jc w:val="both"/>
        <w:rPr>
          <w:szCs w:val="20"/>
        </w:rPr>
      </w:pPr>
    </w:p>
    <w:p w:rsidR="000069B6" w:rsidRPr="000069B6" w:rsidRDefault="000069B6" w:rsidP="000069B6">
      <w:pPr>
        <w:spacing w:line="288" w:lineRule="auto"/>
        <w:jc w:val="both"/>
        <w:rPr>
          <w:szCs w:val="20"/>
        </w:rPr>
      </w:pPr>
      <w:r w:rsidRPr="000069B6">
        <w:rPr>
          <w:szCs w:val="20"/>
        </w:rPr>
        <w:t>(1) Z letnim programom dela se predvidijo pričakovani pripad zadev, obseg rešenih zadev, časovna merila za tipična procesna dejanja, časovna merila reševanja zadev ter kazalce učinkovitosti, uspešnosti in gospodarnosti.</w:t>
      </w:r>
    </w:p>
    <w:p w:rsidR="000069B6" w:rsidRPr="000069B6" w:rsidRDefault="000069B6" w:rsidP="000069B6">
      <w:pPr>
        <w:spacing w:line="288" w:lineRule="auto"/>
        <w:jc w:val="both"/>
        <w:rPr>
          <w:szCs w:val="20"/>
        </w:rPr>
      </w:pPr>
    </w:p>
    <w:p w:rsidR="000069B6" w:rsidRPr="000069B6" w:rsidRDefault="000069B6" w:rsidP="000069B6">
      <w:pPr>
        <w:spacing w:line="288" w:lineRule="auto"/>
        <w:jc w:val="both"/>
        <w:rPr>
          <w:szCs w:val="20"/>
        </w:rPr>
      </w:pPr>
      <w:r w:rsidRPr="000069B6">
        <w:rPr>
          <w:szCs w:val="20"/>
        </w:rPr>
        <w:t>(2) Učinkovitost se izkaže tako, da se število načrtovanih rešenih zadev deli s številom državnih tožilcev in številom tožilskega osebja; uspešnost tako, da se načrtovani čas trajanja reševanja tožilskih zadev izrazi v mesecih od časa pripada do rešitve zadeve in gospodarnost tako, da se znesek proračunskih sredstev za delo tožilstva deli s številom načrtovanih rešenih zadev.</w:t>
      </w:r>
    </w:p>
    <w:p w:rsidR="000069B6" w:rsidRPr="000069B6" w:rsidRDefault="000069B6" w:rsidP="000069B6">
      <w:pPr>
        <w:spacing w:line="288" w:lineRule="auto"/>
        <w:jc w:val="both"/>
        <w:rPr>
          <w:szCs w:val="20"/>
        </w:rPr>
      </w:pPr>
    </w:p>
    <w:p w:rsidR="000069B6" w:rsidRPr="000069B6" w:rsidRDefault="000069B6" w:rsidP="000069B6">
      <w:pPr>
        <w:spacing w:line="288" w:lineRule="auto"/>
        <w:jc w:val="both"/>
        <w:rPr>
          <w:szCs w:val="20"/>
        </w:rPr>
      </w:pPr>
      <w:r w:rsidRPr="000069B6">
        <w:rPr>
          <w:szCs w:val="20"/>
        </w:rPr>
        <w:t>(3) Z letnim programom dela se natančneje določi izvajanje politike pregona.</w:t>
      </w:r>
    </w:p>
    <w:p w:rsidR="000069B6" w:rsidRPr="000069B6" w:rsidRDefault="000069B6" w:rsidP="000069B6">
      <w:pPr>
        <w:spacing w:line="288" w:lineRule="auto"/>
        <w:jc w:val="both"/>
        <w:rPr>
          <w:szCs w:val="20"/>
        </w:rPr>
      </w:pPr>
    </w:p>
    <w:p w:rsidR="000069B6" w:rsidRPr="000069B6" w:rsidRDefault="000069B6" w:rsidP="000069B6">
      <w:pPr>
        <w:spacing w:line="288" w:lineRule="auto"/>
        <w:jc w:val="both"/>
        <w:rPr>
          <w:szCs w:val="20"/>
        </w:rPr>
      </w:pPr>
      <w:r w:rsidRPr="000069B6">
        <w:rPr>
          <w:szCs w:val="20"/>
        </w:rPr>
        <w:t>(4) Letni program dela je sestavni del obrazložitve finančnega načrta državnega tožilstva.</w:t>
      </w:r>
    </w:p>
    <w:p w:rsidR="000069B6" w:rsidRPr="000069B6" w:rsidRDefault="000069B6" w:rsidP="000069B6">
      <w:pPr>
        <w:spacing w:line="288" w:lineRule="auto"/>
        <w:jc w:val="both"/>
        <w:rPr>
          <w:szCs w:val="20"/>
        </w:rPr>
      </w:pPr>
    </w:p>
    <w:p w:rsidR="000069B6" w:rsidRDefault="000069B6" w:rsidP="000069B6">
      <w:pPr>
        <w:spacing w:line="288" w:lineRule="auto"/>
        <w:jc w:val="both"/>
        <w:rPr>
          <w:szCs w:val="20"/>
        </w:rPr>
      </w:pPr>
      <w:r w:rsidRPr="000069B6">
        <w:rPr>
          <w:szCs w:val="20"/>
        </w:rPr>
        <w:t>(5) Obliko in navodilo za pripravo letnega programa dela s podzakonskim predpisom predpiše minister.</w:t>
      </w:r>
    </w:p>
    <w:p w:rsidR="00D92A18" w:rsidRDefault="00D92A18" w:rsidP="00B644CC">
      <w:pPr>
        <w:spacing w:line="288" w:lineRule="auto"/>
        <w:jc w:val="both"/>
        <w:rPr>
          <w:szCs w:val="20"/>
        </w:rPr>
      </w:pPr>
    </w:p>
    <w:p w:rsidR="000069B6" w:rsidRPr="000069B6" w:rsidRDefault="000069B6" w:rsidP="000069B6">
      <w:pPr>
        <w:spacing w:line="288" w:lineRule="auto"/>
        <w:jc w:val="center"/>
        <w:rPr>
          <w:szCs w:val="20"/>
        </w:rPr>
      </w:pPr>
      <w:r w:rsidRPr="000069B6">
        <w:rPr>
          <w:szCs w:val="20"/>
        </w:rPr>
        <w:t>149. člen</w:t>
      </w:r>
    </w:p>
    <w:p w:rsidR="000069B6" w:rsidRPr="000069B6" w:rsidRDefault="000069B6" w:rsidP="000069B6">
      <w:pPr>
        <w:spacing w:line="288" w:lineRule="auto"/>
        <w:jc w:val="center"/>
        <w:rPr>
          <w:szCs w:val="20"/>
        </w:rPr>
      </w:pPr>
      <w:r w:rsidRPr="000069B6">
        <w:rPr>
          <w:szCs w:val="20"/>
        </w:rPr>
        <w:t>(vsebina letnega poročila)</w:t>
      </w:r>
    </w:p>
    <w:p w:rsidR="000069B6" w:rsidRPr="000069B6" w:rsidRDefault="000069B6" w:rsidP="000069B6">
      <w:pPr>
        <w:spacing w:line="288" w:lineRule="auto"/>
        <w:jc w:val="both"/>
        <w:rPr>
          <w:szCs w:val="20"/>
        </w:rPr>
      </w:pPr>
    </w:p>
    <w:p w:rsidR="000069B6" w:rsidRPr="000069B6" w:rsidRDefault="000069B6" w:rsidP="000069B6">
      <w:pPr>
        <w:spacing w:line="288" w:lineRule="auto"/>
        <w:jc w:val="both"/>
        <w:rPr>
          <w:szCs w:val="20"/>
        </w:rPr>
      </w:pPr>
      <w:r w:rsidRPr="000069B6">
        <w:rPr>
          <w:szCs w:val="20"/>
        </w:rPr>
        <w:t>(1) Letna poročila o poslovanju državnega tožilstva vsebujejo:</w:t>
      </w:r>
    </w:p>
    <w:p w:rsidR="000069B6" w:rsidRPr="000069B6" w:rsidRDefault="000069B6" w:rsidP="000069B6">
      <w:pPr>
        <w:spacing w:line="288" w:lineRule="auto"/>
        <w:jc w:val="both"/>
        <w:rPr>
          <w:szCs w:val="20"/>
        </w:rPr>
      </w:pPr>
    </w:p>
    <w:p w:rsidR="000069B6" w:rsidRPr="000069B6" w:rsidRDefault="000069B6" w:rsidP="000069B6">
      <w:pPr>
        <w:spacing w:line="288" w:lineRule="auto"/>
        <w:jc w:val="both"/>
        <w:rPr>
          <w:szCs w:val="20"/>
        </w:rPr>
      </w:pPr>
      <w:r w:rsidRPr="000069B6">
        <w:rPr>
          <w:szCs w:val="20"/>
        </w:rPr>
        <w:t>1.     navedbo podatkov o organizaciji državnega tožilstva:</w:t>
      </w:r>
    </w:p>
    <w:p w:rsidR="000069B6" w:rsidRPr="000069B6" w:rsidRDefault="000069B6" w:rsidP="000069B6">
      <w:pPr>
        <w:spacing w:line="288" w:lineRule="auto"/>
        <w:jc w:val="both"/>
        <w:rPr>
          <w:szCs w:val="20"/>
        </w:rPr>
      </w:pPr>
    </w:p>
    <w:p w:rsidR="000069B6" w:rsidRPr="000069B6" w:rsidRDefault="000069B6" w:rsidP="000069B6">
      <w:pPr>
        <w:pStyle w:val="Odstavekseznama"/>
        <w:numPr>
          <w:ilvl w:val="0"/>
          <w:numId w:val="21"/>
        </w:numPr>
        <w:spacing w:line="288" w:lineRule="auto"/>
        <w:ind w:left="426" w:hanging="426"/>
        <w:jc w:val="both"/>
        <w:rPr>
          <w:szCs w:val="20"/>
        </w:rPr>
      </w:pPr>
      <w:r w:rsidRPr="000069B6">
        <w:rPr>
          <w:szCs w:val="20"/>
        </w:rPr>
        <w:t>podatek o številu državnih tožilcev, ki so dejansko opravljali državnotožilsko službo v preteklem letu;</w:t>
      </w:r>
    </w:p>
    <w:p w:rsidR="000069B6" w:rsidRPr="000069B6" w:rsidRDefault="000069B6" w:rsidP="000069B6">
      <w:pPr>
        <w:pStyle w:val="Odstavekseznama"/>
        <w:numPr>
          <w:ilvl w:val="0"/>
          <w:numId w:val="21"/>
        </w:numPr>
        <w:spacing w:line="288" w:lineRule="auto"/>
        <w:ind w:left="426" w:hanging="426"/>
        <w:jc w:val="both"/>
        <w:rPr>
          <w:szCs w:val="20"/>
        </w:rPr>
      </w:pPr>
      <w:r w:rsidRPr="000069B6">
        <w:rPr>
          <w:szCs w:val="20"/>
        </w:rPr>
        <w:t>podatek o številu tožilskega osebja, ki so dejansko opravljali delo v preteklem letu;</w:t>
      </w:r>
    </w:p>
    <w:p w:rsidR="000069B6" w:rsidRPr="000069B6" w:rsidRDefault="000069B6" w:rsidP="000069B6">
      <w:pPr>
        <w:spacing w:line="288" w:lineRule="auto"/>
        <w:jc w:val="both"/>
        <w:rPr>
          <w:szCs w:val="20"/>
        </w:rPr>
      </w:pPr>
    </w:p>
    <w:p w:rsidR="000069B6" w:rsidRPr="000069B6" w:rsidRDefault="000069B6" w:rsidP="000069B6">
      <w:pPr>
        <w:spacing w:line="288" w:lineRule="auto"/>
        <w:jc w:val="both"/>
        <w:rPr>
          <w:szCs w:val="20"/>
        </w:rPr>
      </w:pPr>
      <w:r w:rsidRPr="000069B6">
        <w:rPr>
          <w:szCs w:val="20"/>
        </w:rPr>
        <w:t>2.     navedbo naslednjih podatkov:</w:t>
      </w:r>
    </w:p>
    <w:p w:rsidR="000069B6" w:rsidRPr="000069B6" w:rsidRDefault="000069B6" w:rsidP="000069B6">
      <w:pPr>
        <w:spacing w:line="288" w:lineRule="auto"/>
        <w:jc w:val="both"/>
        <w:rPr>
          <w:szCs w:val="20"/>
        </w:rPr>
      </w:pPr>
    </w:p>
    <w:p w:rsidR="000069B6" w:rsidRPr="000069B6" w:rsidRDefault="000069B6" w:rsidP="000069B6">
      <w:pPr>
        <w:pStyle w:val="Odstavekseznama"/>
        <w:numPr>
          <w:ilvl w:val="0"/>
          <w:numId w:val="21"/>
        </w:numPr>
        <w:spacing w:line="288" w:lineRule="auto"/>
        <w:ind w:left="426" w:hanging="426"/>
        <w:jc w:val="both"/>
        <w:rPr>
          <w:szCs w:val="20"/>
        </w:rPr>
      </w:pPr>
      <w:r w:rsidRPr="000069B6">
        <w:rPr>
          <w:szCs w:val="20"/>
        </w:rPr>
        <w:t>podatek o številu prenesenih nerešenih zadev iz prejšnjih let;</w:t>
      </w:r>
    </w:p>
    <w:p w:rsidR="000069B6" w:rsidRPr="000069B6" w:rsidRDefault="000069B6" w:rsidP="000069B6">
      <w:pPr>
        <w:pStyle w:val="Odstavekseznama"/>
        <w:numPr>
          <w:ilvl w:val="0"/>
          <w:numId w:val="21"/>
        </w:numPr>
        <w:spacing w:line="288" w:lineRule="auto"/>
        <w:ind w:left="426" w:hanging="426"/>
        <w:jc w:val="both"/>
        <w:rPr>
          <w:szCs w:val="20"/>
        </w:rPr>
      </w:pPr>
      <w:r w:rsidRPr="000069B6">
        <w:rPr>
          <w:szCs w:val="20"/>
        </w:rPr>
        <w:t>podatek o številu zadev, ki predstavljajo letni pripad;</w:t>
      </w:r>
    </w:p>
    <w:p w:rsidR="000069B6" w:rsidRPr="000069B6" w:rsidRDefault="000069B6" w:rsidP="000069B6">
      <w:pPr>
        <w:pStyle w:val="Odstavekseznama"/>
        <w:numPr>
          <w:ilvl w:val="0"/>
          <w:numId w:val="21"/>
        </w:numPr>
        <w:spacing w:line="288" w:lineRule="auto"/>
        <w:ind w:left="426" w:hanging="426"/>
        <w:jc w:val="both"/>
        <w:rPr>
          <w:szCs w:val="20"/>
        </w:rPr>
      </w:pPr>
      <w:r w:rsidRPr="000069B6">
        <w:rPr>
          <w:szCs w:val="20"/>
        </w:rPr>
        <w:t>podatek o skupnem številu zadev v delu;</w:t>
      </w:r>
    </w:p>
    <w:p w:rsidR="000069B6" w:rsidRPr="000069B6" w:rsidRDefault="000069B6" w:rsidP="000069B6">
      <w:pPr>
        <w:pStyle w:val="Odstavekseznama"/>
        <w:numPr>
          <w:ilvl w:val="0"/>
          <w:numId w:val="21"/>
        </w:numPr>
        <w:spacing w:line="288" w:lineRule="auto"/>
        <w:ind w:left="426" w:hanging="426"/>
        <w:jc w:val="both"/>
        <w:rPr>
          <w:szCs w:val="20"/>
        </w:rPr>
      </w:pPr>
      <w:r w:rsidRPr="000069B6">
        <w:rPr>
          <w:szCs w:val="20"/>
        </w:rPr>
        <w:t>podatek o številu rešenih zadev in načinu rešitve;</w:t>
      </w:r>
    </w:p>
    <w:p w:rsidR="000069B6" w:rsidRPr="000069B6" w:rsidRDefault="000069B6" w:rsidP="000069B6">
      <w:pPr>
        <w:pStyle w:val="Odstavekseznama"/>
        <w:numPr>
          <w:ilvl w:val="0"/>
          <w:numId w:val="21"/>
        </w:numPr>
        <w:spacing w:line="288" w:lineRule="auto"/>
        <w:ind w:left="426" w:hanging="426"/>
        <w:jc w:val="both"/>
        <w:rPr>
          <w:szCs w:val="20"/>
        </w:rPr>
      </w:pPr>
      <w:r w:rsidRPr="000069B6">
        <w:rPr>
          <w:szCs w:val="20"/>
        </w:rPr>
        <w:t>podatek o številu nerešenih zadev;</w:t>
      </w:r>
    </w:p>
    <w:p w:rsidR="000069B6" w:rsidRPr="000069B6" w:rsidRDefault="000069B6" w:rsidP="000069B6">
      <w:pPr>
        <w:pStyle w:val="Odstavekseznama"/>
        <w:numPr>
          <w:ilvl w:val="0"/>
          <w:numId w:val="21"/>
        </w:numPr>
        <w:spacing w:line="288" w:lineRule="auto"/>
        <w:ind w:left="426" w:hanging="426"/>
        <w:jc w:val="both"/>
        <w:rPr>
          <w:szCs w:val="20"/>
        </w:rPr>
      </w:pPr>
      <w:r w:rsidRPr="000069B6">
        <w:rPr>
          <w:szCs w:val="20"/>
        </w:rPr>
        <w:t>podatke o udeležbi državnih tožilcev na narokih in obravnavah;</w:t>
      </w:r>
    </w:p>
    <w:p w:rsidR="000069B6" w:rsidRPr="000069B6" w:rsidRDefault="000069B6" w:rsidP="000069B6">
      <w:pPr>
        <w:pStyle w:val="Odstavekseznama"/>
        <w:numPr>
          <w:ilvl w:val="0"/>
          <w:numId w:val="21"/>
        </w:numPr>
        <w:spacing w:line="288" w:lineRule="auto"/>
        <w:ind w:left="426" w:hanging="426"/>
        <w:jc w:val="both"/>
        <w:rPr>
          <w:szCs w:val="20"/>
        </w:rPr>
      </w:pPr>
      <w:r w:rsidRPr="000069B6">
        <w:rPr>
          <w:szCs w:val="20"/>
        </w:rPr>
        <w:t>podatke o opravljenih procesnih dejanjih in vloženih predlogih, ki niso zajeti med rešenimi zadevami;</w:t>
      </w:r>
    </w:p>
    <w:p w:rsidR="000069B6" w:rsidRPr="000069B6" w:rsidRDefault="000069B6" w:rsidP="000069B6">
      <w:pPr>
        <w:pStyle w:val="Odstavekseznama"/>
        <w:numPr>
          <w:ilvl w:val="0"/>
          <w:numId w:val="21"/>
        </w:numPr>
        <w:spacing w:line="288" w:lineRule="auto"/>
        <w:ind w:left="426" w:hanging="426"/>
        <w:jc w:val="both"/>
        <w:rPr>
          <w:szCs w:val="20"/>
        </w:rPr>
      </w:pPr>
      <w:r w:rsidRPr="000069B6">
        <w:rPr>
          <w:szCs w:val="20"/>
        </w:rPr>
        <w:t>podatke o izidu obtoževanja po vrsti odločitve in izrečeni kazenski sankciji;</w:t>
      </w:r>
    </w:p>
    <w:p w:rsidR="000069B6" w:rsidRPr="000069B6" w:rsidRDefault="000069B6" w:rsidP="000069B6">
      <w:pPr>
        <w:pStyle w:val="Odstavekseznama"/>
        <w:numPr>
          <w:ilvl w:val="0"/>
          <w:numId w:val="21"/>
        </w:numPr>
        <w:spacing w:line="288" w:lineRule="auto"/>
        <w:ind w:left="426" w:hanging="426"/>
        <w:jc w:val="both"/>
        <w:rPr>
          <w:szCs w:val="20"/>
        </w:rPr>
      </w:pPr>
      <w:r w:rsidRPr="000069B6">
        <w:rPr>
          <w:szCs w:val="20"/>
        </w:rPr>
        <w:t>število zadev, v katerih je bilo vloženo pravno sredstvo, in odločitev o pravnem sredstvu;</w:t>
      </w:r>
    </w:p>
    <w:p w:rsidR="000069B6" w:rsidRPr="000069B6" w:rsidRDefault="000069B6" w:rsidP="000069B6">
      <w:pPr>
        <w:pStyle w:val="Odstavekseznama"/>
        <w:numPr>
          <w:ilvl w:val="0"/>
          <w:numId w:val="21"/>
        </w:numPr>
        <w:spacing w:line="288" w:lineRule="auto"/>
        <w:ind w:left="426" w:hanging="426"/>
        <w:jc w:val="both"/>
        <w:rPr>
          <w:szCs w:val="20"/>
        </w:rPr>
      </w:pPr>
      <w:r w:rsidRPr="000069B6">
        <w:rPr>
          <w:szCs w:val="20"/>
        </w:rPr>
        <w:t>podatke o številu dni prisotnosti državnega tožilca na delovnem mestu;</w:t>
      </w:r>
    </w:p>
    <w:p w:rsidR="000069B6" w:rsidRPr="000069B6" w:rsidRDefault="000069B6" w:rsidP="000069B6">
      <w:pPr>
        <w:pStyle w:val="Odstavekseznama"/>
        <w:numPr>
          <w:ilvl w:val="0"/>
          <w:numId w:val="21"/>
        </w:numPr>
        <w:spacing w:line="288" w:lineRule="auto"/>
        <w:ind w:left="426" w:hanging="426"/>
        <w:jc w:val="both"/>
        <w:rPr>
          <w:szCs w:val="20"/>
        </w:rPr>
      </w:pPr>
      <w:r w:rsidRPr="000069B6">
        <w:rPr>
          <w:szCs w:val="20"/>
        </w:rPr>
        <w:t>druge podatke, ki pripomorejo k določitvi njegove učinkovitosti;</w:t>
      </w:r>
    </w:p>
    <w:p w:rsidR="000069B6" w:rsidRPr="000069B6" w:rsidRDefault="000069B6" w:rsidP="000069B6">
      <w:pPr>
        <w:pStyle w:val="Odstavekseznama"/>
        <w:numPr>
          <w:ilvl w:val="0"/>
          <w:numId w:val="21"/>
        </w:numPr>
        <w:spacing w:line="288" w:lineRule="auto"/>
        <w:ind w:left="426" w:hanging="426"/>
        <w:jc w:val="both"/>
        <w:rPr>
          <w:szCs w:val="20"/>
        </w:rPr>
      </w:pPr>
      <w:r w:rsidRPr="000069B6">
        <w:rPr>
          <w:szCs w:val="20"/>
        </w:rPr>
        <w:t>podatek o številu zadev, ki niso bile rešene v predvidenem času;</w:t>
      </w:r>
    </w:p>
    <w:p w:rsidR="000069B6" w:rsidRPr="000069B6" w:rsidRDefault="000069B6" w:rsidP="000069B6">
      <w:pPr>
        <w:pStyle w:val="Odstavekseznama"/>
        <w:numPr>
          <w:ilvl w:val="0"/>
          <w:numId w:val="21"/>
        </w:numPr>
        <w:spacing w:line="288" w:lineRule="auto"/>
        <w:ind w:left="426" w:hanging="426"/>
        <w:jc w:val="both"/>
        <w:rPr>
          <w:szCs w:val="20"/>
        </w:rPr>
      </w:pPr>
      <w:r w:rsidRPr="000069B6">
        <w:rPr>
          <w:szCs w:val="20"/>
        </w:rPr>
        <w:t>vse zgoraj navedene podatke za vsakega posameznega državnega tožilca;</w:t>
      </w:r>
    </w:p>
    <w:p w:rsidR="000069B6" w:rsidRPr="000069B6" w:rsidRDefault="000069B6" w:rsidP="000069B6">
      <w:pPr>
        <w:pStyle w:val="Odstavekseznama"/>
        <w:numPr>
          <w:ilvl w:val="0"/>
          <w:numId w:val="21"/>
        </w:numPr>
        <w:spacing w:line="288" w:lineRule="auto"/>
        <w:ind w:left="426" w:hanging="426"/>
        <w:jc w:val="both"/>
        <w:rPr>
          <w:szCs w:val="20"/>
        </w:rPr>
      </w:pPr>
      <w:r w:rsidRPr="000069B6">
        <w:rPr>
          <w:szCs w:val="20"/>
        </w:rPr>
        <w:t>dejanski čas trajanja postopkov;</w:t>
      </w:r>
    </w:p>
    <w:p w:rsidR="000069B6" w:rsidRPr="000069B6" w:rsidRDefault="000069B6" w:rsidP="000069B6">
      <w:pPr>
        <w:spacing w:line="288" w:lineRule="auto"/>
        <w:jc w:val="both"/>
        <w:rPr>
          <w:szCs w:val="20"/>
        </w:rPr>
      </w:pPr>
      <w:r w:rsidRPr="000069B6">
        <w:rPr>
          <w:szCs w:val="20"/>
        </w:rPr>
        <w:lastRenderedPageBreak/>
        <w:t>-  podatke o številu zadev, v katerih je prišlo do odveze nadaljnjega dela in prevzema zadeve;</w:t>
      </w:r>
    </w:p>
    <w:p w:rsidR="000069B6" w:rsidRPr="000069B6" w:rsidRDefault="000069B6" w:rsidP="000069B6">
      <w:pPr>
        <w:spacing w:line="288" w:lineRule="auto"/>
        <w:jc w:val="both"/>
        <w:rPr>
          <w:szCs w:val="20"/>
        </w:rPr>
      </w:pPr>
    </w:p>
    <w:p w:rsidR="000069B6" w:rsidRPr="000069B6" w:rsidRDefault="000069B6" w:rsidP="000069B6">
      <w:pPr>
        <w:spacing w:line="288" w:lineRule="auto"/>
        <w:jc w:val="both"/>
        <w:rPr>
          <w:szCs w:val="20"/>
        </w:rPr>
      </w:pPr>
      <w:r w:rsidRPr="000069B6">
        <w:rPr>
          <w:szCs w:val="20"/>
        </w:rPr>
        <w:t>3.     primerjavo med podatki o številu in načinu rešitve ter dejanskem času trajanja postopkov za vse državne tožilce za zadeve iste vrste;</w:t>
      </w:r>
    </w:p>
    <w:p w:rsidR="000069B6" w:rsidRPr="000069B6" w:rsidRDefault="000069B6" w:rsidP="000069B6">
      <w:pPr>
        <w:spacing w:line="288" w:lineRule="auto"/>
        <w:jc w:val="both"/>
        <w:rPr>
          <w:szCs w:val="20"/>
        </w:rPr>
      </w:pPr>
    </w:p>
    <w:p w:rsidR="000069B6" w:rsidRPr="000069B6" w:rsidRDefault="000069B6" w:rsidP="000069B6">
      <w:pPr>
        <w:spacing w:line="288" w:lineRule="auto"/>
        <w:jc w:val="both"/>
        <w:rPr>
          <w:szCs w:val="20"/>
        </w:rPr>
      </w:pPr>
      <w:r w:rsidRPr="000069B6">
        <w:rPr>
          <w:szCs w:val="20"/>
        </w:rPr>
        <w:t>4.     analizo vzrokov za morebitne razlike glede primerjave deležev iz prejšnje točke;</w:t>
      </w:r>
    </w:p>
    <w:p w:rsidR="000069B6" w:rsidRPr="000069B6" w:rsidRDefault="000069B6" w:rsidP="000069B6">
      <w:pPr>
        <w:spacing w:line="288" w:lineRule="auto"/>
        <w:jc w:val="both"/>
        <w:rPr>
          <w:szCs w:val="20"/>
        </w:rPr>
      </w:pPr>
    </w:p>
    <w:p w:rsidR="000069B6" w:rsidRPr="000069B6" w:rsidRDefault="000069B6" w:rsidP="000069B6">
      <w:pPr>
        <w:spacing w:line="288" w:lineRule="auto"/>
        <w:jc w:val="both"/>
        <w:rPr>
          <w:szCs w:val="20"/>
        </w:rPr>
      </w:pPr>
      <w:r w:rsidRPr="000069B6">
        <w:rPr>
          <w:szCs w:val="20"/>
        </w:rPr>
        <w:t>5.     oceno doseganja ciljev iz sprejetega letnega programa dela za preteklo leto in oceno izvajanja politike pregona za posamezna področja ter glede na sprejeta merila za kakovost dela državnih tožilcev in uspešnost pregona državnih tožilcev.</w:t>
      </w:r>
    </w:p>
    <w:p w:rsidR="000069B6" w:rsidRPr="000069B6" w:rsidRDefault="000069B6" w:rsidP="000069B6">
      <w:pPr>
        <w:spacing w:line="288" w:lineRule="auto"/>
        <w:jc w:val="both"/>
        <w:rPr>
          <w:szCs w:val="20"/>
        </w:rPr>
      </w:pPr>
    </w:p>
    <w:p w:rsidR="000069B6" w:rsidRPr="000069B6" w:rsidRDefault="000069B6" w:rsidP="000069B6">
      <w:pPr>
        <w:spacing w:line="288" w:lineRule="auto"/>
        <w:jc w:val="both"/>
        <w:rPr>
          <w:szCs w:val="20"/>
        </w:rPr>
      </w:pPr>
      <w:r w:rsidRPr="000069B6">
        <w:rPr>
          <w:szCs w:val="20"/>
        </w:rPr>
        <w:t>(2) Letno poročilo o poslovanju posameznega državnega tožilstva pripravi vodja državnega tožilstva.</w:t>
      </w:r>
    </w:p>
    <w:p w:rsidR="000069B6" w:rsidRPr="000069B6" w:rsidRDefault="000069B6" w:rsidP="000069B6">
      <w:pPr>
        <w:spacing w:line="288" w:lineRule="auto"/>
        <w:jc w:val="both"/>
        <w:rPr>
          <w:szCs w:val="20"/>
        </w:rPr>
      </w:pPr>
    </w:p>
    <w:p w:rsidR="000069B6" w:rsidRDefault="000069B6" w:rsidP="000069B6">
      <w:pPr>
        <w:spacing w:line="288" w:lineRule="auto"/>
        <w:jc w:val="both"/>
        <w:rPr>
          <w:szCs w:val="20"/>
        </w:rPr>
      </w:pPr>
      <w:r w:rsidRPr="000069B6">
        <w:rPr>
          <w:szCs w:val="20"/>
        </w:rPr>
        <w:t>(3) Podrobnejšo obliko letnega poročila o poslovanju državnega tožilstva predpiše s podzakonskim aktom minister.</w:t>
      </w:r>
    </w:p>
    <w:p w:rsidR="000069B6" w:rsidRDefault="000069B6" w:rsidP="000069B6">
      <w:pPr>
        <w:spacing w:line="288" w:lineRule="auto"/>
        <w:jc w:val="both"/>
        <w:rPr>
          <w:szCs w:val="20"/>
        </w:rPr>
      </w:pPr>
    </w:p>
    <w:p w:rsidR="000069B6" w:rsidRPr="000069B6" w:rsidRDefault="000069B6" w:rsidP="000069B6">
      <w:pPr>
        <w:spacing w:line="288" w:lineRule="auto"/>
        <w:jc w:val="center"/>
        <w:rPr>
          <w:szCs w:val="20"/>
        </w:rPr>
      </w:pPr>
      <w:r w:rsidRPr="000069B6">
        <w:rPr>
          <w:szCs w:val="20"/>
        </w:rPr>
        <w:t>150. člen</w:t>
      </w:r>
    </w:p>
    <w:p w:rsidR="000069B6" w:rsidRPr="000069B6" w:rsidRDefault="000069B6" w:rsidP="000069B6">
      <w:pPr>
        <w:spacing w:line="288" w:lineRule="auto"/>
        <w:jc w:val="center"/>
        <w:rPr>
          <w:szCs w:val="20"/>
        </w:rPr>
      </w:pPr>
      <w:r w:rsidRPr="000069B6">
        <w:rPr>
          <w:szCs w:val="20"/>
        </w:rPr>
        <w:t>(skupno letno poročilo)</w:t>
      </w:r>
    </w:p>
    <w:p w:rsidR="000069B6" w:rsidRPr="000069B6" w:rsidRDefault="000069B6" w:rsidP="000069B6">
      <w:pPr>
        <w:spacing w:line="288" w:lineRule="auto"/>
        <w:jc w:val="both"/>
        <w:rPr>
          <w:szCs w:val="20"/>
        </w:rPr>
      </w:pPr>
    </w:p>
    <w:p w:rsidR="000069B6" w:rsidRPr="000069B6" w:rsidRDefault="000069B6" w:rsidP="000069B6">
      <w:pPr>
        <w:spacing w:line="288" w:lineRule="auto"/>
        <w:jc w:val="both"/>
        <w:rPr>
          <w:szCs w:val="20"/>
        </w:rPr>
      </w:pPr>
      <w:r w:rsidRPr="000069B6">
        <w:rPr>
          <w:szCs w:val="20"/>
        </w:rPr>
        <w:t>(1) Generalni državni tožilec pripravi skupno letno poročilo o delu državnih tožilstev za preteklo leto ter ga do 15. aprila pošlje ministru, Državnemu zboru Republike Slovenije in Državnotožilskemu svetu.</w:t>
      </w:r>
    </w:p>
    <w:p w:rsidR="000069B6" w:rsidRPr="000069B6" w:rsidRDefault="000069B6" w:rsidP="000069B6">
      <w:pPr>
        <w:spacing w:line="288" w:lineRule="auto"/>
        <w:jc w:val="both"/>
        <w:rPr>
          <w:szCs w:val="20"/>
        </w:rPr>
      </w:pPr>
    </w:p>
    <w:p w:rsidR="000069B6" w:rsidRPr="000069B6" w:rsidRDefault="000069B6" w:rsidP="000069B6">
      <w:pPr>
        <w:spacing w:line="288" w:lineRule="auto"/>
        <w:jc w:val="both"/>
        <w:rPr>
          <w:szCs w:val="20"/>
        </w:rPr>
      </w:pPr>
      <w:r w:rsidRPr="000069B6">
        <w:rPr>
          <w:szCs w:val="20"/>
        </w:rPr>
        <w:t>(2) Skupno letno poročilo mora vsebovati skupne podatke iz prejšnjega člena in analizo vzrokov za morebitne razlike glede primerjave odstopanj posameznih državnih tožilstev od državnega povprečja ter oceno doseganja načrtovanih ciljev politike pregona.</w:t>
      </w:r>
    </w:p>
    <w:p w:rsidR="000069B6" w:rsidRPr="000069B6" w:rsidRDefault="000069B6" w:rsidP="000069B6">
      <w:pPr>
        <w:spacing w:line="288" w:lineRule="auto"/>
        <w:jc w:val="both"/>
        <w:rPr>
          <w:szCs w:val="20"/>
        </w:rPr>
      </w:pPr>
    </w:p>
    <w:p w:rsidR="000069B6" w:rsidRPr="000069B6" w:rsidRDefault="000069B6" w:rsidP="000069B6">
      <w:pPr>
        <w:spacing w:line="288" w:lineRule="auto"/>
        <w:jc w:val="both"/>
        <w:rPr>
          <w:szCs w:val="20"/>
        </w:rPr>
      </w:pPr>
      <w:r w:rsidRPr="000069B6">
        <w:rPr>
          <w:szCs w:val="20"/>
        </w:rPr>
        <w:t>(3) Skupno letno poročilo mora na podlagi podatkov in analize iz prejšnjega odstavka obsegati:</w:t>
      </w:r>
    </w:p>
    <w:p w:rsidR="000069B6" w:rsidRPr="000069B6" w:rsidRDefault="000069B6" w:rsidP="000069B6">
      <w:pPr>
        <w:spacing w:line="288" w:lineRule="auto"/>
        <w:jc w:val="both"/>
        <w:rPr>
          <w:szCs w:val="20"/>
        </w:rPr>
      </w:pPr>
    </w:p>
    <w:p w:rsidR="000069B6" w:rsidRPr="000069B6" w:rsidRDefault="000069B6" w:rsidP="000069B6">
      <w:pPr>
        <w:spacing w:line="288" w:lineRule="auto"/>
        <w:jc w:val="both"/>
        <w:rPr>
          <w:szCs w:val="20"/>
        </w:rPr>
      </w:pPr>
      <w:r w:rsidRPr="000069B6">
        <w:rPr>
          <w:szCs w:val="20"/>
        </w:rPr>
        <w:t>- ukrepe za izboljšanje učinkovitosti, uspešnosti in gospodarnosti dela ter izvajanja politike pregona za posamezna in za vsa državna tožilstva skupaj;</w:t>
      </w:r>
    </w:p>
    <w:p w:rsidR="000069B6" w:rsidRPr="000069B6" w:rsidRDefault="000069B6" w:rsidP="000069B6">
      <w:pPr>
        <w:spacing w:line="288" w:lineRule="auto"/>
        <w:jc w:val="both"/>
        <w:rPr>
          <w:szCs w:val="20"/>
        </w:rPr>
      </w:pPr>
    </w:p>
    <w:p w:rsidR="000069B6" w:rsidRPr="000069B6" w:rsidRDefault="000069B6" w:rsidP="000069B6">
      <w:pPr>
        <w:spacing w:line="288" w:lineRule="auto"/>
        <w:jc w:val="both"/>
        <w:rPr>
          <w:szCs w:val="20"/>
        </w:rPr>
      </w:pPr>
      <w:r w:rsidRPr="000069B6">
        <w:rPr>
          <w:szCs w:val="20"/>
        </w:rPr>
        <w:t>- ukrepe za izboljšanje učinkovitosti za državna tožilstva, pri katerih dosežki bistveno odstopajo od načrtovanih;</w:t>
      </w:r>
    </w:p>
    <w:p w:rsidR="000069B6" w:rsidRPr="000069B6" w:rsidRDefault="000069B6" w:rsidP="000069B6">
      <w:pPr>
        <w:spacing w:line="288" w:lineRule="auto"/>
        <w:jc w:val="both"/>
        <w:rPr>
          <w:szCs w:val="20"/>
        </w:rPr>
      </w:pPr>
    </w:p>
    <w:p w:rsidR="000069B6" w:rsidRPr="000069B6" w:rsidRDefault="000069B6" w:rsidP="000069B6">
      <w:pPr>
        <w:spacing w:line="288" w:lineRule="auto"/>
        <w:jc w:val="both"/>
        <w:rPr>
          <w:szCs w:val="20"/>
        </w:rPr>
      </w:pPr>
      <w:r w:rsidRPr="000069B6">
        <w:rPr>
          <w:szCs w:val="20"/>
        </w:rPr>
        <w:t>- oceno primernosti števila državnotožilskih mest in tožilskega osebja ter drugih pogojev za delo državnih tožilstev z ustreznimi predlogi za njihovo izboljšanje.</w:t>
      </w:r>
    </w:p>
    <w:p w:rsidR="000069B6" w:rsidRPr="000069B6" w:rsidRDefault="000069B6" w:rsidP="000069B6">
      <w:pPr>
        <w:spacing w:line="288" w:lineRule="auto"/>
        <w:jc w:val="both"/>
        <w:rPr>
          <w:szCs w:val="20"/>
        </w:rPr>
      </w:pPr>
    </w:p>
    <w:p w:rsidR="000069B6" w:rsidRPr="000069B6" w:rsidRDefault="000069B6" w:rsidP="000069B6">
      <w:pPr>
        <w:spacing w:line="288" w:lineRule="auto"/>
        <w:jc w:val="both"/>
        <w:rPr>
          <w:szCs w:val="20"/>
        </w:rPr>
      </w:pPr>
      <w:r w:rsidRPr="000069B6">
        <w:rPr>
          <w:szCs w:val="20"/>
        </w:rPr>
        <w:t>(4) V skupnem letnem poročilu se na podlagi ugotovitev pri spremljanju državnotožilske prakse lahko opozori na vzroke in okoliščine za nastanek, povečevanje, spreminjanje ali razvoj kriminalitete na določenem področju in na možne zakonske in druge ustrezne ukrepe za njihovo odpravo ali zmanjševanje.</w:t>
      </w:r>
    </w:p>
    <w:p w:rsidR="000069B6" w:rsidRPr="000069B6" w:rsidRDefault="000069B6" w:rsidP="000069B6">
      <w:pPr>
        <w:spacing w:line="288" w:lineRule="auto"/>
        <w:jc w:val="both"/>
        <w:rPr>
          <w:szCs w:val="20"/>
        </w:rPr>
      </w:pPr>
    </w:p>
    <w:p w:rsidR="000069B6" w:rsidRPr="000069B6" w:rsidRDefault="000069B6" w:rsidP="000069B6">
      <w:pPr>
        <w:spacing w:line="288" w:lineRule="auto"/>
        <w:jc w:val="both"/>
        <w:rPr>
          <w:szCs w:val="20"/>
        </w:rPr>
      </w:pPr>
      <w:r w:rsidRPr="000069B6">
        <w:rPr>
          <w:szCs w:val="20"/>
        </w:rPr>
        <w:t>(5) Pri obravnavanju v Državnem zboru Republike Slovenije ali na njegovih delovnih telesih lahko podata stališča do skupnega letnega poročila tudi Državnotožilski svet in minister.</w:t>
      </w:r>
    </w:p>
    <w:p w:rsidR="000069B6" w:rsidRPr="000069B6" w:rsidRDefault="000069B6" w:rsidP="000069B6">
      <w:pPr>
        <w:spacing w:line="288" w:lineRule="auto"/>
        <w:jc w:val="both"/>
        <w:rPr>
          <w:szCs w:val="20"/>
        </w:rPr>
      </w:pPr>
    </w:p>
    <w:p w:rsidR="000069B6" w:rsidRPr="000069B6" w:rsidRDefault="000069B6" w:rsidP="000069B6">
      <w:pPr>
        <w:spacing w:line="288" w:lineRule="auto"/>
        <w:jc w:val="both"/>
        <w:rPr>
          <w:szCs w:val="20"/>
        </w:rPr>
      </w:pPr>
    </w:p>
    <w:p w:rsidR="000069B6" w:rsidRPr="000069B6" w:rsidRDefault="000069B6" w:rsidP="000069B6">
      <w:pPr>
        <w:spacing w:line="288" w:lineRule="auto"/>
        <w:jc w:val="center"/>
        <w:rPr>
          <w:szCs w:val="20"/>
        </w:rPr>
      </w:pPr>
      <w:r w:rsidRPr="000069B6">
        <w:rPr>
          <w:szCs w:val="20"/>
        </w:rPr>
        <w:t>151. člen</w:t>
      </w:r>
    </w:p>
    <w:p w:rsidR="000069B6" w:rsidRPr="000069B6" w:rsidRDefault="000069B6" w:rsidP="000069B6">
      <w:pPr>
        <w:spacing w:line="288" w:lineRule="auto"/>
        <w:jc w:val="center"/>
        <w:rPr>
          <w:szCs w:val="20"/>
        </w:rPr>
      </w:pPr>
      <w:r w:rsidRPr="000069B6">
        <w:rPr>
          <w:szCs w:val="20"/>
        </w:rPr>
        <w:t>(državnotožilska uprava)</w:t>
      </w:r>
    </w:p>
    <w:p w:rsidR="000069B6" w:rsidRPr="000069B6" w:rsidRDefault="000069B6" w:rsidP="000069B6">
      <w:pPr>
        <w:spacing w:line="288" w:lineRule="auto"/>
        <w:jc w:val="both"/>
        <w:rPr>
          <w:szCs w:val="20"/>
        </w:rPr>
      </w:pPr>
    </w:p>
    <w:p w:rsidR="000069B6" w:rsidRPr="000069B6" w:rsidRDefault="000069B6" w:rsidP="000069B6">
      <w:pPr>
        <w:spacing w:line="288" w:lineRule="auto"/>
        <w:jc w:val="both"/>
        <w:rPr>
          <w:szCs w:val="20"/>
        </w:rPr>
      </w:pPr>
      <w:r w:rsidRPr="000069B6">
        <w:rPr>
          <w:szCs w:val="20"/>
        </w:rPr>
        <w:t>(1) Državnotožilska uprava obsega odločanje in druga opravila, s katerimi so na podlagi zakona, Državnotožilskega reda in drugih podzakonskih aktov zagotovljeni pogoji za redno, pravilno, vestno in učinkovito delovanje državnega tožilstva.</w:t>
      </w:r>
    </w:p>
    <w:p w:rsidR="000069B6" w:rsidRPr="000069B6" w:rsidRDefault="000069B6" w:rsidP="000069B6">
      <w:pPr>
        <w:spacing w:line="288" w:lineRule="auto"/>
        <w:jc w:val="both"/>
        <w:rPr>
          <w:szCs w:val="20"/>
        </w:rPr>
      </w:pPr>
    </w:p>
    <w:p w:rsidR="000069B6" w:rsidRPr="000069B6" w:rsidRDefault="000069B6" w:rsidP="000069B6">
      <w:pPr>
        <w:spacing w:line="288" w:lineRule="auto"/>
        <w:jc w:val="both"/>
        <w:rPr>
          <w:szCs w:val="20"/>
        </w:rPr>
      </w:pPr>
      <w:r w:rsidRPr="000069B6">
        <w:rPr>
          <w:szCs w:val="20"/>
        </w:rPr>
        <w:t>(2) Zadeve državnotožilske uprave obsegajo zlasti:</w:t>
      </w:r>
    </w:p>
    <w:p w:rsidR="000069B6" w:rsidRPr="000069B6" w:rsidRDefault="000069B6" w:rsidP="000069B6">
      <w:pPr>
        <w:spacing w:line="288" w:lineRule="auto"/>
        <w:jc w:val="both"/>
        <w:rPr>
          <w:szCs w:val="20"/>
        </w:rPr>
      </w:pPr>
    </w:p>
    <w:p w:rsidR="000069B6" w:rsidRPr="000069B6" w:rsidRDefault="000069B6" w:rsidP="000069B6">
      <w:pPr>
        <w:pStyle w:val="Odstavekseznama"/>
        <w:numPr>
          <w:ilvl w:val="0"/>
          <w:numId w:val="21"/>
        </w:numPr>
        <w:spacing w:line="288" w:lineRule="auto"/>
        <w:ind w:left="360"/>
        <w:jc w:val="both"/>
        <w:rPr>
          <w:szCs w:val="20"/>
        </w:rPr>
      </w:pPr>
      <w:r w:rsidRPr="000069B6">
        <w:rPr>
          <w:szCs w:val="20"/>
        </w:rPr>
        <w:t>notranjo organizacijo in organizacijo poslovanja državnih tožilstev;</w:t>
      </w:r>
    </w:p>
    <w:p w:rsidR="000069B6" w:rsidRPr="000069B6" w:rsidRDefault="000069B6" w:rsidP="000069B6">
      <w:pPr>
        <w:pStyle w:val="Odstavekseznama"/>
        <w:numPr>
          <w:ilvl w:val="0"/>
          <w:numId w:val="21"/>
        </w:numPr>
        <w:spacing w:line="288" w:lineRule="auto"/>
        <w:ind w:left="360"/>
        <w:jc w:val="both"/>
        <w:rPr>
          <w:szCs w:val="20"/>
        </w:rPr>
      </w:pPr>
      <w:r w:rsidRPr="000069B6">
        <w:rPr>
          <w:szCs w:val="20"/>
        </w:rPr>
        <w:t>pripravo letnih programov in letnih poročil;</w:t>
      </w:r>
    </w:p>
    <w:p w:rsidR="000069B6" w:rsidRPr="000069B6" w:rsidRDefault="000069B6" w:rsidP="000069B6">
      <w:pPr>
        <w:pStyle w:val="Odstavekseznama"/>
        <w:numPr>
          <w:ilvl w:val="0"/>
          <w:numId w:val="21"/>
        </w:numPr>
        <w:spacing w:line="288" w:lineRule="auto"/>
        <w:ind w:left="360"/>
        <w:jc w:val="both"/>
        <w:rPr>
          <w:szCs w:val="20"/>
        </w:rPr>
      </w:pPr>
      <w:r w:rsidRPr="000069B6">
        <w:rPr>
          <w:szCs w:val="20"/>
        </w:rPr>
        <w:t>organizacija udeležbe na glavnih obravnavah, narokih in drugih dejanjih;</w:t>
      </w:r>
    </w:p>
    <w:p w:rsidR="000069B6" w:rsidRPr="000069B6" w:rsidRDefault="000069B6" w:rsidP="000069B6">
      <w:pPr>
        <w:pStyle w:val="Odstavekseznama"/>
        <w:numPr>
          <w:ilvl w:val="0"/>
          <w:numId w:val="21"/>
        </w:numPr>
        <w:spacing w:line="288" w:lineRule="auto"/>
        <w:ind w:left="360"/>
        <w:jc w:val="both"/>
        <w:rPr>
          <w:szCs w:val="20"/>
        </w:rPr>
      </w:pPr>
      <w:r w:rsidRPr="000069B6">
        <w:rPr>
          <w:szCs w:val="20"/>
        </w:rPr>
        <w:t>zagotavljanje in nadzor nad zakonitostjo, strokovno pravilnostjo in pravočasnostjo poslovanja državnega tožilstva v zadevah državnotožilske uprave;</w:t>
      </w:r>
    </w:p>
    <w:p w:rsidR="000069B6" w:rsidRPr="000069B6" w:rsidRDefault="000069B6" w:rsidP="000069B6">
      <w:pPr>
        <w:pStyle w:val="Odstavekseznama"/>
        <w:numPr>
          <w:ilvl w:val="0"/>
          <w:numId w:val="21"/>
        </w:numPr>
        <w:spacing w:line="288" w:lineRule="auto"/>
        <w:ind w:left="360"/>
        <w:jc w:val="both"/>
        <w:rPr>
          <w:szCs w:val="20"/>
        </w:rPr>
      </w:pPr>
      <w:r w:rsidRPr="000069B6">
        <w:rPr>
          <w:szCs w:val="20"/>
        </w:rPr>
        <w:t>izdajanje in izpolnjevanje splošnih navodil;</w:t>
      </w:r>
    </w:p>
    <w:p w:rsidR="000069B6" w:rsidRPr="000069B6" w:rsidRDefault="000069B6" w:rsidP="000069B6">
      <w:pPr>
        <w:pStyle w:val="Odstavekseznama"/>
        <w:numPr>
          <w:ilvl w:val="0"/>
          <w:numId w:val="21"/>
        </w:numPr>
        <w:spacing w:line="288" w:lineRule="auto"/>
        <w:ind w:left="360"/>
        <w:jc w:val="both"/>
        <w:rPr>
          <w:szCs w:val="20"/>
        </w:rPr>
      </w:pPr>
      <w:r w:rsidRPr="000069B6">
        <w:rPr>
          <w:szCs w:val="20"/>
        </w:rPr>
        <w:t>obravnavanje nadzorstvenih pritožb;</w:t>
      </w:r>
    </w:p>
    <w:p w:rsidR="000069B6" w:rsidRPr="000069B6" w:rsidRDefault="000069B6" w:rsidP="000069B6">
      <w:pPr>
        <w:pStyle w:val="Odstavekseznama"/>
        <w:numPr>
          <w:ilvl w:val="0"/>
          <w:numId w:val="21"/>
        </w:numPr>
        <w:spacing w:line="288" w:lineRule="auto"/>
        <w:ind w:left="360"/>
        <w:jc w:val="both"/>
        <w:rPr>
          <w:szCs w:val="20"/>
        </w:rPr>
      </w:pPr>
      <w:r w:rsidRPr="000069B6">
        <w:rPr>
          <w:szCs w:val="20"/>
        </w:rPr>
        <w:t>kadrovsko poslovanje ter izvajanje predpisov o varnosti in zdravju pri delu;</w:t>
      </w:r>
    </w:p>
    <w:p w:rsidR="000069B6" w:rsidRPr="000069B6" w:rsidRDefault="000069B6" w:rsidP="000069B6">
      <w:pPr>
        <w:pStyle w:val="Odstavekseznama"/>
        <w:numPr>
          <w:ilvl w:val="0"/>
          <w:numId w:val="21"/>
        </w:numPr>
        <w:spacing w:line="288" w:lineRule="auto"/>
        <w:ind w:left="360"/>
        <w:jc w:val="both"/>
        <w:rPr>
          <w:szCs w:val="20"/>
        </w:rPr>
      </w:pPr>
      <w:r w:rsidRPr="000069B6">
        <w:rPr>
          <w:szCs w:val="20"/>
        </w:rPr>
        <w:t>odločanje o pravicah, obveznostih in odgovornostih državnih tožilcev in tožilskega osebja;</w:t>
      </w:r>
    </w:p>
    <w:p w:rsidR="000069B6" w:rsidRPr="000069B6" w:rsidRDefault="000069B6" w:rsidP="000069B6">
      <w:pPr>
        <w:pStyle w:val="Odstavekseznama"/>
        <w:numPr>
          <w:ilvl w:val="0"/>
          <w:numId w:val="21"/>
        </w:numPr>
        <w:spacing w:line="288" w:lineRule="auto"/>
        <w:ind w:left="360"/>
        <w:jc w:val="both"/>
        <w:rPr>
          <w:szCs w:val="20"/>
        </w:rPr>
      </w:pPr>
      <w:r w:rsidRPr="000069B6">
        <w:rPr>
          <w:szCs w:val="20"/>
        </w:rPr>
        <w:t>poročanje o delu državnega tožilstva;</w:t>
      </w:r>
    </w:p>
    <w:p w:rsidR="000069B6" w:rsidRPr="000069B6" w:rsidRDefault="000069B6" w:rsidP="000069B6">
      <w:pPr>
        <w:pStyle w:val="Odstavekseznama"/>
        <w:numPr>
          <w:ilvl w:val="0"/>
          <w:numId w:val="21"/>
        </w:numPr>
        <w:spacing w:line="288" w:lineRule="auto"/>
        <w:ind w:left="360"/>
        <w:jc w:val="both"/>
        <w:rPr>
          <w:szCs w:val="20"/>
        </w:rPr>
      </w:pPr>
      <w:r w:rsidRPr="000069B6">
        <w:rPr>
          <w:szCs w:val="20"/>
        </w:rPr>
        <w:t>oblikovanje pobud in mnenj o zakonih in podzakonskih aktih;</w:t>
      </w:r>
    </w:p>
    <w:p w:rsidR="000069B6" w:rsidRPr="000069B6" w:rsidRDefault="000069B6" w:rsidP="000069B6">
      <w:pPr>
        <w:pStyle w:val="Odstavekseznama"/>
        <w:numPr>
          <w:ilvl w:val="0"/>
          <w:numId w:val="21"/>
        </w:numPr>
        <w:spacing w:line="288" w:lineRule="auto"/>
        <w:ind w:left="360"/>
        <w:jc w:val="both"/>
        <w:rPr>
          <w:szCs w:val="20"/>
        </w:rPr>
      </w:pPr>
      <w:r w:rsidRPr="000069B6">
        <w:rPr>
          <w:szCs w:val="20"/>
        </w:rPr>
        <w:t>izobraževanje ter spremljanje sodne in državnotožilske prakse;</w:t>
      </w:r>
    </w:p>
    <w:p w:rsidR="000069B6" w:rsidRPr="000069B6" w:rsidRDefault="000069B6" w:rsidP="000069B6">
      <w:pPr>
        <w:pStyle w:val="Odstavekseznama"/>
        <w:numPr>
          <w:ilvl w:val="0"/>
          <w:numId w:val="21"/>
        </w:numPr>
        <w:spacing w:line="288" w:lineRule="auto"/>
        <w:ind w:left="360"/>
        <w:jc w:val="both"/>
        <w:rPr>
          <w:szCs w:val="20"/>
        </w:rPr>
      </w:pPr>
      <w:r w:rsidRPr="000069B6">
        <w:rPr>
          <w:szCs w:val="20"/>
        </w:rPr>
        <w:t>vpisovanje, evidentiranje in statistično spremljanje zadev;</w:t>
      </w:r>
    </w:p>
    <w:p w:rsidR="000069B6" w:rsidRPr="000069B6" w:rsidRDefault="000069B6" w:rsidP="000069B6">
      <w:pPr>
        <w:pStyle w:val="Odstavekseznama"/>
        <w:numPr>
          <w:ilvl w:val="0"/>
          <w:numId w:val="21"/>
        </w:numPr>
        <w:spacing w:line="288" w:lineRule="auto"/>
        <w:ind w:left="360"/>
        <w:jc w:val="both"/>
        <w:rPr>
          <w:szCs w:val="20"/>
        </w:rPr>
      </w:pPr>
      <w:r w:rsidRPr="000069B6">
        <w:rPr>
          <w:szCs w:val="20"/>
        </w:rPr>
        <w:t>pisarniško in tehnično poslovanje;</w:t>
      </w:r>
    </w:p>
    <w:p w:rsidR="000069B6" w:rsidRPr="000069B6" w:rsidRDefault="000069B6" w:rsidP="000069B6">
      <w:pPr>
        <w:pStyle w:val="Odstavekseznama"/>
        <w:numPr>
          <w:ilvl w:val="0"/>
          <w:numId w:val="21"/>
        </w:numPr>
        <w:spacing w:line="288" w:lineRule="auto"/>
        <w:ind w:left="360"/>
        <w:jc w:val="both"/>
        <w:rPr>
          <w:szCs w:val="20"/>
        </w:rPr>
      </w:pPr>
      <w:r w:rsidRPr="000069B6">
        <w:rPr>
          <w:szCs w:val="20"/>
        </w:rPr>
        <w:t>finančno, računovodsko in materialno poslovanje ter vodenje postopkov javnih naročil;</w:t>
      </w:r>
    </w:p>
    <w:p w:rsidR="000069B6" w:rsidRPr="000069B6" w:rsidRDefault="000069B6" w:rsidP="000069B6">
      <w:pPr>
        <w:pStyle w:val="Odstavekseznama"/>
        <w:numPr>
          <w:ilvl w:val="0"/>
          <w:numId w:val="21"/>
        </w:numPr>
        <w:spacing w:line="288" w:lineRule="auto"/>
        <w:ind w:left="360"/>
        <w:jc w:val="both"/>
        <w:rPr>
          <w:szCs w:val="20"/>
        </w:rPr>
      </w:pPr>
      <w:r w:rsidRPr="000069B6">
        <w:rPr>
          <w:szCs w:val="20"/>
        </w:rPr>
        <w:t>dejavnosti, povezane s stvarnim premoženjem, ki ga ima državno tožilstvo neposredno v uporabi;</w:t>
      </w:r>
    </w:p>
    <w:p w:rsidR="000069B6" w:rsidRPr="000069B6" w:rsidRDefault="000069B6" w:rsidP="000069B6">
      <w:pPr>
        <w:pStyle w:val="Odstavekseznama"/>
        <w:numPr>
          <w:ilvl w:val="0"/>
          <w:numId w:val="21"/>
        </w:numPr>
        <w:spacing w:line="288" w:lineRule="auto"/>
        <w:ind w:left="360"/>
        <w:jc w:val="both"/>
        <w:rPr>
          <w:szCs w:val="20"/>
        </w:rPr>
      </w:pPr>
      <w:r w:rsidRPr="000069B6">
        <w:rPr>
          <w:szCs w:val="20"/>
        </w:rPr>
        <w:t>skrb in ukrepe za varnost oseb, dokumentacije in premoženja na državnem tožilstvu;</w:t>
      </w:r>
    </w:p>
    <w:p w:rsidR="000069B6" w:rsidRPr="000069B6" w:rsidRDefault="000069B6" w:rsidP="000069B6">
      <w:pPr>
        <w:pStyle w:val="Odstavekseznama"/>
        <w:numPr>
          <w:ilvl w:val="0"/>
          <w:numId w:val="21"/>
        </w:numPr>
        <w:spacing w:line="288" w:lineRule="auto"/>
        <w:ind w:left="360"/>
        <w:jc w:val="both"/>
        <w:rPr>
          <w:szCs w:val="20"/>
        </w:rPr>
      </w:pPr>
      <w:r w:rsidRPr="000069B6">
        <w:rPr>
          <w:szCs w:val="20"/>
        </w:rPr>
        <w:t>druge zadeve, ki so določene v predpisih iz prejšnjega odstavka.</w:t>
      </w:r>
    </w:p>
    <w:p w:rsidR="000069B6" w:rsidRPr="000069B6" w:rsidRDefault="000069B6" w:rsidP="000069B6">
      <w:pPr>
        <w:spacing w:line="288" w:lineRule="auto"/>
        <w:jc w:val="both"/>
        <w:rPr>
          <w:szCs w:val="20"/>
        </w:rPr>
      </w:pPr>
    </w:p>
    <w:p w:rsidR="000069B6" w:rsidRDefault="000069B6" w:rsidP="000069B6">
      <w:pPr>
        <w:spacing w:line="288" w:lineRule="auto"/>
        <w:jc w:val="both"/>
        <w:rPr>
          <w:szCs w:val="20"/>
        </w:rPr>
      </w:pPr>
      <w:r w:rsidRPr="000069B6">
        <w:rPr>
          <w:szCs w:val="20"/>
        </w:rPr>
        <w:t>(3) Zagotavljanje in nadzor nad zakonitostjo, strokovno pravilnostjo in pravočasnostjo dela državnega tožilca se izvaja po določbah tega zakona o strokovnem nadzoru.</w:t>
      </w:r>
    </w:p>
    <w:p w:rsidR="000069B6" w:rsidRDefault="000069B6" w:rsidP="000069B6">
      <w:pPr>
        <w:spacing w:line="288" w:lineRule="auto"/>
        <w:jc w:val="both"/>
        <w:rPr>
          <w:szCs w:val="20"/>
        </w:rPr>
      </w:pPr>
    </w:p>
    <w:p w:rsidR="000069B6" w:rsidRPr="000069B6" w:rsidRDefault="000069B6" w:rsidP="000069B6">
      <w:pPr>
        <w:spacing w:line="288" w:lineRule="auto"/>
        <w:jc w:val="center"/>
        <w:rPr>
          <w:szCs w:val="20"/>
        </w:rPr>
      </w:pPr>
      <w:r w:rsidRPr="000069B6">
        <w:rPr>
          <w:szCs w:val="20"/>
        </w:rPr>
        <w:t>158. člen</w:t>
      </w:r>
    </w:p>
    <w:p w:rsidR="000069B6" w:rsidRPr="000069B6" w:rsidRDefault="000069B6" w:rsidP="000069B6">
      <w:pPr>
        <w:spacing w:line="288" w:lineRule="auto"/>
        <w:jc w:val="center"/>
        <w:rPr>
          <w:szCs w:val="20"/>
        </w:rPr>
      </w:pPr>
      <w:r w:rsidRPr="000069B6">
        <w:rPr>
          <w:szCs w:val="20"/>
        </w:rPr>
        <w:t>(pravosodna uprava)</w:t>
      </w:r>
    </w:p>
    <w:p w:rsidR="000069B6" w:rsidRPr="000069B6" w:rsidRDefault="000069B6" w:rsidP="000069B6">
      <w:pPr>
        <w:spacing w:line="288" w:lineRule="auto"/>
        <w:jc w:val="both"/>
        <w:rPr>
          <w:szCs w:val="20"/>
        </w:rPr>
      </w:pPr>
    </w:p>
    <w:p w:rsidR="000069B6" w:rsidRPr="000069B6" w:rsidRDefault="000069B6" w:rsidP="000069B6">
      <w:pPr>
        <w:spacing w:line="288" w:lineRule="auto"/>
        <w:jc w:val="both"/>
        <w:rPr>
          <w:szCs w:val="20"/>
        </w:rPr>
      </w:pPr>
      <w:r w:rsidRPr="000069B6">
        <w:rPr>
          <w:szCs w:val="20"/>
        </w:rPr>
        <w:t>(1) V zadeve pravosodne uprave sodi zagotavljanje splošnih pogojev za uspešno izvajanje državnotožilske funkcije, zlasti:</w:t>
      </w:r>
    </w:p>
    <w:p w:rsidR="000069B6" w:rsidRPr="000069B6" w:rsidRDefault="000069B6" w:rsidP="000069B6">
      <w:pPr>
        <w:spacing w:line="288" w:lineRule="auto"/>
        <w:jc w:val="both"/>
        <w:rPr>
          <w:szCs w:val="20"/>
        </w:rPr>
      </w:pPr>
    </w:p>
    <w:p w:rsidR="000069B6" w:rsidRPr="000069B6" w:rsidRDefault="000069B6" w:rsidP="000069B6">
      <w:pPr>
        <w:pStyle w:val="Odstavekseznama"/>
        <w:numPr>
          <w:ilvl w:val="0"/>
          <w:numId w:val="21"/>
        </w:numPr>
        <w:spacing w:line="288" w:lineRule="auto"/>
        <w:ind w:left="426" w:hanging="426"/>
        <w:jc w:val="both"/>
        <w:rPr>
          <w:szCs w:val="20"/>
        </w:rPr>
      </w:pPr>
      <w:r w:rsidRPr="000069B6">
        <w:rPr>
          <w:szCs w:val="20"/>
        </w:rPr>
        <w:t>priprava zakonov in drugih predpisov s področja organizacije in poslovanja državnih tožilstev, položaja, pravic in obveznosti državnih tožilcev in tožilskega osebja;</w:t>
      </w:r>
    </w:p>
    <w:p w:rsidR="000069B6" w:rsidRPr="000069B6" w:rsidRDefault="000069B6" w:rsidP="000069B6">
      <w:pPr>
        <w:pStyle w:val="Odstavekseznama"/>
        <w:numPr>
          <w:ilvl w:val="0"/>
          <w:numId w:val="21"/>
        </w:numPr>
        <w:spacing w:line="288" w:lineRule="auto"/>
        <w:ind w:left="426" w:hanging="426"/>
        <w:jc w:val="both"/>
        <w:rPr>
          <w:szCs w:val="20"/>
        </w:rPr>
      </w:pPr>
      <w:r w:rsidRPr="000069B6">
        <w:rPr>
          <w:szCs w:val="20"/>
        </w:rPr>
        <w:t>skrb za izobraževanje in strokovno usposabljanje;</w:t>
      </w:r>
    </w:p>
    <w:p w:rsidR="000069B6" w:rsidRPr="000069B6" w:rsidRDefault="000069B6" w:rsidP="000069B6">
      <w:pPr>
        <w:pStyle w:val="Odstavekseznama"/>
        <w:numPr>
          <w:ilvl w:val="0"/>
          <w:numId w:val="21"/>
        </w:numPr>
        <w:spacing w:line="288" w:lineRule="auto"/>
        <w:ind w:left="426" w:hanging="426"/>
        <w:jc w:val="both"/>
        <w:rPr>
          <w:szCs w:val="20"/>
        </w:rPr>
      </w:pPr>
      <w:r w:rsidRPr="000069B6">
        <w:rPr>
          <w:szCs w:val="20"/>
        </w:rPr>
        <w:t>zagotavljanje kadrovskih, materialnih in tehničnih pogojev;</w:t>
      </w:r>
    </w:p>
    <w:p w:rsidR="000069B6" w:rsidRPr="000069B6" w:rsidRDefault="000069B6" w:rsidP="000069B6">
      <w:pPr>
        <w:pStyle w:val="Odstavekseznama"/>
        <w:numPr>
          <w:ilvl w:val="0"/>
          <w:numId w:val="21"/>
        </w:numPr>
        <w:spacing w:line="288" w:lineRule="auto"/>
        <w:ind w:left="426" w:hanging="426"/>
        <w:jc w:val="both"/>
        <w:rPr>
          <w:szCs w:val="20"/>
        </w:rPr>
      </w:pPr>
      <w:r w:rsidRPr="000069B6">
        <w:rPr>
          <w:szCs w:val="20"/>
        </w:rPr>
        <w:t>obravnavanje nadzorstvenih pritožb;</w:t>
      </w:r>
    </w:p>
    <w:p w:rsidR="000069B6" w:rsidRPr="000069B6" w:rsidRDefault="000069B6" w:rsidP="000069B6">
      <w:pPr>
        <w:pStyle w:val="Odstavekseznama"/>
        <w:numPr>
          <w:ilvl w:val="0"/>
          <w:numId w:val="21"/>
        </w:numPr>
        <w:spacing w:line="288" w:lineRule="auto"/>
        <w:ind w:left="426" w:hanging="426"/>
        <w:jc w:val="both"/>
        <w:rPr>
          <w:szCs w:val="20"/>
        </w:rPr>
      </w:pPr>
      <w:r w:rsidRPr="000069B6">
        <w:rPr>
          <w:szCs w:val="20"/>
        </w:rPr>
        <w:t>zbiranje statističnih in drugih podatkov o delovanju državnih tožilstev in</w:t>
      </w:r>
    </w:p>
    <w:p w:rsidR="000069B6" w:rsidRPr="000069B6" w:rsidRDefault="000069B6" w:rsidP="000069B6">
      <w:pPr>
        <w:pStyle w:val="Odstavekseznama"/>
        <w:numPr>
          <w:ilvl w:val="0"/>
          <w:numId w:val="21"/>
        </w:numPr>
        <w:spacing w:line="288" w:lineRule="auto"/>
        <w:ind w:left="426" w:hanging="426"/>
        <w:jc w:val="both"/>
        <w:rPr>
          <w:szCs w:val="20"/>
        </w:rPr>
      </w:pPr>
      <w:r w:rsidRPr="000069B6">
        <w:rPr>
          <w:szCs w:val="20"/>
        </w:rPr>
        <w:t>opravljanje drugih upravnih nalog, kadar tako določa zakon.</w:t>
      </w:r>
    </w:p>
    <w:p w:rsidR="000069B6" w:rsidRPr="000069B6" w:rsidRDefault="000069B6" w:rsidP="000069B6">
      <w:pPr>
        <w:spacing w:line="288" w:lineRule="auto"/>
        <w:jc w:val="both"/>
        <w:rPr>
          <w:szCs w:val="20"/>
        </w:rPr>
      </w:pPr>
    </w:p>
    <w:p w:rsidR="000069B6" w:rsidRPr="000069B6" w:rsidRDefault="000069B6" w:rsidP="000069B6">
      <w:pPr>
        <w:spacing w:line="288" w:lineRule="auto"/>
        <w:jc w:val="both"/>
        <w:rPr>
          <w:szCs w:val="20"/>
        </w:rPr>
      </w:pPr>
      <w:r w:rsidRPr="000069B6">
        <w:rPr>
          <w:szCs w:val="20"/>
        </w:rPr>
        <w:t>(2) Če zakon ne določa drugače, sodi v zadeve pravosodne uprave tudi zagotavljanje prostorskih pogojev, vključno z zagotavljanjem sredstev za najemnine za najete prostore državnih tožilstev.</w:t>
      </w:r>
    </w:p>
    <w:p w:rsidR="000069B6" w:rsidRPr="000069B6" w:rsidRDefault="000069B6" w:rsidP="000069B6">
      <w:pPr>
        <w:spacing w:line="288" w:lineRule="auto"/>
        <w:jc w:val="both"/>
        <w:rPr>
          <w:szCs w:val="20"/>
        </w:rPr>
      </w:pPr>
    </w:p>
    <w:p w:rsidR="000069B6" w:rsidRPr="000069B6" w:rsidRDefault="000069B6" w:rsidP="000069B6">
      <w:pPr>
        <w:spacing w:line="288" w:lineRule="auto"/>
        <w:jc w:val="both"/>
        <w:rPr>
          <w:szCs w:val="20"/>
        </w:rPr>
      </w:pPr>
      <w:r w:rsidRPr="000069B6">
        <w:rPr>
          <w:szCs w:val="20"/>
        </w:rPr>
        <w:t>(3) Ministrstvo lahko za namene izvrševanja pristojnosti po tem zakonu zahteva od državnih tožilstev pojasnila, podatke, poročila, v prostorih državnega tožilstva lahko vpogleda v spise ter od državnih tožilstev zahteva izpise iz vpisnikov in drugo dokumentacijo, ki se nanaša na izvrševanje posamezne zadeve ali vrste zadev državnotožilske uprave.</w:t>
      </w:r>
    </w:p>
    <w:p w:rsidR="000069B6" w:rsidRPr="000069B6" w:rsidRDefault="000069B6" w:rsidP="000069B6">
      <w:pPr>
        <w:spacing w:line="288" w:lineRule="auto"/>
        <w:jc w:val="both"/>
        <w:rPr>
          <w:szCs w:val="20"/>
        </w:rPr>
      </w:pPr>
    </w:p>
    <w:p w:rsidR="000069B6" w:rsidRPr="000069B6" w:rsidRDefault="000069B6" w:rsidP="000069B6">
      <w:pPr>
        <w:spacing w:line="288" w:lineRule="auto"/>
        <w:jc w:val="both"/>
        <w:rPr>
          <w:szCs w:val="20"/>
        </w:rPr>
      </w:pPr>
      <w:r w:rsidRPr="000069B6">
        <w:rPr>
          <w:szCs w:val="20"/>
        </w:rPr>
        <w:t>(4) Če vodja državnega tožilstva zavrne zahtevo iz prejšnjega odstavka, ker meni, da gre za nedovoljen poseg v samostojnost državnega tožilca, se postopa po določbah o zavrnitvi pravosodnega nadzora.</w:t>
      </w:r>
    </w:p>
    <w:p w:rsidR="000069B6" w:rsidRPr="000069B6" w:rsidRDefault="000069B6" w:rsidP="000069B6">
      <w:pPr>
        <w:spacing w:line="288" w:lineRule="auto"/>
        <w:jc w:val="both"/>
        <w:rPr>
          <w:szCs w:val="20"/>
        </w:rPr>
      </w:pPr>
    </w:p>
    <w:p w:rsidR="000069B6" w:rsidRPr="000069B6" w:rsidRDefault="000069B6" w:rsidP="000069B6">
      <w:pPr>
        <w:spacing w:line="288" w:lineRule="auto"/>
        <w:jc w:val="both"/>
        <w:rPr>
          <w:szCs w:val="20"/>
        </w:rPr>
      </w:pPr>
      <w:r w:rsidRPr="000069B6">
        <w:rPr>
          <w:szCs w:val="20"/>
        </w:rPr>
        <w:t>(5) Izobraževanje in strokovno usposabljanje državnih tožilcev izvaja Center za izobraževanje v pravosodju.</w:t>
      </w:r>
    </w:p>
    <w:p w:rsidR="000069B6" w:rsidRPr="000069B6" w:rsidRDefault="000069B6" w:rsidP="000069B6">
      <w:pPr>
        <w:spacing w:line="288" w:lineRule="auto"/>
        <w:jc w:val="both"/>
        <w:rPr>
          <w:szCs w:val="20"/>
        </w:rPr>
      </w:pPr>
    </w:p>
    <w:p w:rsidR="000069B6" w:rsidRDefault="000069B6" w:rsidP="000069B6">
      <w:pPr>
        <w:spacing w:line="288" w:lineRule="auto"/>
        <w:jc w:val="both"/>
        <w:rPr>
          <w:szCs w:val="20"/>
        </w:rPr>
      </w:pPr>
      <w:r w:rsidRPr="000069B6">
        <w:rPr>
          <w:szCs w:val="20"/>
        </w:rPr>
        <w:t>(6) Posamezna izobraževanja in strokovna usposabljanja državnih tožilcev se lahko izvedejo v okviru državnega tožilstva.</w:t>
      </w:r>
    </w:p>
    <w:p w:rsidR="000069B6" w:rsidRDefault="000069B6" w:rsidP="000069B6">
      <w:pPr>
        <w:spacing w:line="288" w:lineRule="auto"/>
        <w:rPr>
          <w:szCs w:val="20"/>
        </w:rPr>
      </w:pPr>
    </w:p>
    <w:p w:rsidR="00D92A18" w:rsidRPr="00D92A18" w:rsidRDefault="00D92A18" w:rsidP="00D92A18">
      <w:pPr>
        <w:spacing w:line="288" w:lineRule="auto"/>
        <w:jc w:val="center"/>
        <w:rPr>
          <w:szCs w:val="20"/>
        </w:rPr>
      </w:pPr>
      <w:r w:rsidRPr="00D92A18">
        <w:rPr>
          <w:szCs w:val="20"/>
        </w:rPr>
        <w:t>169. člen</w:t>
      </w:r>
    </w:p>
    <w:p w:rsidR="00D92A18" w:rsidRPr="00D92A18" w:rsidRDefault="00D92A18" w:rsidP="00D92A18">
      <w:pPr>
        <w:spacing w:line="288" w:lineRule="auto"/>
        <w:jc w:val="center"/>
        <w:rPr>
          <w:szCs w:val="20"/>
        </w:rPr>
      </w:pPr>
      <w:r w:rsidRPr="00D92A18">
        <w:rPr>
          <w:szCs w:val="20"/>
        </w:rPr>
        <w:t>(učinkovitost in enotnost pregona)</w:t>
      </w:r>
    </w:p>
    <w:p w:rsidR="00D92A18" w:rsidRPr="00D92A18" w:rsidRDefault="00D92A18" w:rsidP="00D92A18">
      <w:pPr>
        <w:spacing w:line="288" w:lineRule="auto"/>
        <w:jc w:val="both"/>
        <w:rPr>
          <w:szCs w:val="20"/>
        </w:rPr>
      </w:pPr>
    </w:p>
    <w:p w:rsidR="00D92A18" w:rsidRPr="00D92A18" w:rsidRDefault="00D92A18" w:rsidP="00D92A18">
      <w:pPr>
        <w:spacing w:line="288" w:lineRule="auto"/>
        <w:jc w:val="both"/>
        <w:rPr>
          <w:szCs w:val="20"/>
        </w:rPr>
      </w:pPr>
      <w:r w:rsidRPr="00D92A18">
        <w:rPr>
          <w:szCs w:val="20"/>
        </w:rPr>
        <w:t>(1) Vodja državnega tožilstva v skladu z Državnotožilskim redom in splošnimi navodili določi vrsto zadev in način obveščanja o zadevah, v katerih mu morajo državni tožilci pred odločitvijo predložiti na vpogled osnutek svojega akta zaradi zagotavljanja učinkovitosti in enotnosti pregona.</w:t>
      </w:r>
    </w:p>
    <w:p w:rsidR="00D92A18" w:rsidRPr="00D92A18" w:rsidRDefault="00D92A18" w:rsidP="00D92A18">
      <w:pPr>
        <w:spacing w:line="288" w:lineRule="auto"/>
        <w:jc w:val="both"/>
        <w:rPr>
          <w:szCs w:val="20"/>
        </w:rPr>
      </w:pPr>
    </w:p>
    <w:p w:rsidR="00D92A18" w:rsidRPr="00D92A18" w:rsidRDefault="00D92A18" w:rsidP="00D92A18">
      <w:pPr>
        <w:spacing w:line="288" w:lineRule="auto"/>
        <w:jc w:val="both"/>
        <w:rPr>
          <w:szCs w:val="20"/>
        </w:rPr>
      </w:pPr>
      <w:r w:rsidRPr="00D92A18">
        <w:rPr>
          <w:szCs w:val="20"/>
        </w:rPr>
        <w:t>(2) Če vodja državnega tožilstva ob predložitvi osnutka iz prejšnjega odstavka meni, da je osnutek pomanjkljiv ali nerazumljiv, lahko o tem obvesti državnega tožilca in mu predlaga možen način odprave pomanjkljivosti ali nerazumljivosti. Obvestilo je lahko pisno ali zaznamovano na osnutku.</w:t>
      </w:r>
    </w:p>
    <w:p w:rsidR="00D92A18" w:rsidRPr="00D92A18" w:rsidRDefault="00D92A18" w:rsidP="00D92A18">
      <w:pPr>
        <w:spacing w:line="288" w:lineRule="auto"/>
        <w:jc w:val="both"/>
        <w:rPr>
          <w:szCs w:val="20"/>
        </w:rPr>
      </w:pPr>
    </w:p>
    <w:p w:rsidR="00D92A18" w:rsidRDefault="00D92A18" w:rsidP="00D92A18">
      <w:pPr>
        <w:spacing w:line="288" w:lineRule="auto"/>
        <w:jc w:val="both"/>
        <w:rPr>
          <w:szCs w:val="20"/>
        </w:rPr>
      </w:pPr>
      <w:r w:rsidRPr="00D92A18">
        <w:rPr>
          <w:szCs w:val="20"/>
        </w:rPr>
        <w:t>(3) Če se vodja državnega tožilstva ob predložitvi osnutka iz prvega odstavka tega člena ne strinja z odločitvijo državnega tožilca, sme postopati le po določbah tega zakona, ki veljajo za prevzem zadeve.</w:t>
      </w:r>
    </w:p>
    <w:p w:rsidR="00AE2155" w:rsidRDefault="00AE2155" w:rsidP="00B644CC">
      <w:pPr>
        <w:spacing w:line="288" w:lineRule="auto"/>
        <w:jc w:val="both"/>
        <w:rPr>
          <w:szCs w:val="20"/>
        </w:rPr>
      </w:pPr>
    </w:p>
    <w:p w:rsidR="00AE2155" w:rsidRPr="00162F8F" w:rsidRDefault="00AE2155" w:rsidP="00B644CC">
      <w:pPr>
        <w:spacing w:line="288" w:lineRule="auto"/>
        <w:jc w:val="center"/>
        <w:rPr>
          <w:szCs w:val="20"/>
        </w:rPr>
      </w:pPr>
      <w:r w:rsidRPr="00162F8F">
        <w:rPr>
          <w:szCs w:val="20"/>
        </w:rPr>
        <w:t>173. člen</w:t>
      </w:r>
    </w:p>
    <w:p w:rsidR="00AE2155" w:rsidRPr="00162F8F" w:rsidRDefault="00AE2155" w:rsidP="00B644CC">
      <w:pPr>
        <w:spacing w:line="288" w:lineRule="auto"/>
        <w:jc w:val="center"/>
        <w:rPr>
          <w:szCs w:val="20"/>
        </w:rPr>
      </w:pPr>
      <w:r w:rsidRPr="00162F8F">
        <w:rPr>
          <w:szCs w:val="20"/>
        </w:rPr>
        <w:t>(strokovni nadzor)</w:t>
      </w:r>
    </w:p>
    <w:p w:rsidR="00AE2155" w:rsidRPr="00162F8F" w:rsidRDefault="00AE2155" w:rsidP="00B644CC">
      <w:pPr>
        <w:spacing w:line="288" w:lineRule="auto"/>
        <w:jc w:val="both"/>
        <w:rPr>
          <w:szCs w:val="20"/>
        </w:rPr>
      </w:pPr>
    </w:p>
    <w:p w:rsidR="00AE2155" w:rsidRPr="00162F8F" w:rsidRDefault="00AE2155" w:rsidP="00B644CC">
      <w:pPr>
        <w:spacing w:line="288" w:lineRule="auto"/>
        <w:jc w:val="both"/>
        <w:rPr>
          <w:szCs w:val="20"/>
        </w:rPr>
      </w:pPr>
      <w:r w:rsidRPr="00162F8F">
        <w:rPr>
          <w:szCs w:val="20"/>
        </w:rPr>
        <w:t>(1) Strokovni nadzor nad delom okrožnih državnih tožilstev izvaja Vrhovno državno tožilstvo s splošnim, delnim ali posamičnim strokovnim pregledom dela državnih tožilstev in državnih tožilcev ter tožilskega osebja, s pregledovanjem spisov, vpisnikov in druge dokumentacije ter na drug primeren način.</w:t>
      </w:r>
    </w:p>
    <w:p w:rsidR="00AE2155" w:rsidRPr="00162F8F" w:rsidRDefault="00AE2155" w:rsidP="00B644CC">
      <w:pPr>
        <w:spacing w:line="288" w:lineRule="auto"/>
        <w:jc w:val="both"/>
        <w:rPr>
          <w:szCs w:val="20"/>
        </w:rPr>
      </w:pPr>
    </w:p>
    <w:p w:rsidR="00AE2155" w:rsidRPr="00162F8F" w:rsidRDefault="00AE2155" w:rsidP="00B644CC">
      <w:pPr>
        <w:spacing w:line="288" w:lineRule="auto"/>
        <w:jc w:val="both"/>
        <w:rPr>
          <w:szCs w:val="20"/>
        </w:rPr>
      </w:pPr>
      <w:r w:rsidRPr="00162F8F">
        <w:rPr>
          <w:szCs w:val="20"/>
        </w:rPr>
        <w:t>(2) Izvedbo strokovnega nadzora pripravi, usklajuje in evidentira oddelek za izobraževanje in strokovni nadzor pri Vrhovnem državnem tožilstvu.</w:t>
      </w:r>
    </w:p>
    <w:p w:rsidR="00AE2155" w:rsidRPr="00162F8F" w:rsidRDefault="00AE2155" w:rsidP="00B644CC">
      <w:pPr>
        <w:spacing w:line="288" w:lineRule="auto"/>
        <w:jc w:val="both"/>
        <w:rPr>
          <w:szCs w:val="20"/>
        </w:rPr>
      </w:pPr>
    </w:p>
    <w:p w:rsidR="00AE2155" w:rsidRPr="00162F8F" w:rsidRDefault="00AE2155" w:rsidP="00B644CC">
      <w:pPr>
        <w:spacing w:line="288" w:lineRule="auto"/>
        <w:jc w:val="both"/>
        <w:rPr>
          <w:szCs w:val="20"/>
        </w:rPr>
      </w:pPr>
      <w:r w:rsidRPr="00162F8F">
        <w:rPr>
          <w:szCs w:val="20"/>
        </w:rPr>
        <w:t>(3) Spise lahko pregledujejo le vrhovni ali višji državni tožilci, vpisnike in drugo dokumentacijo pa tožilsko osebje Vrhovnega državnega tožilstva, po pisnem pooblastilu generalnega državnega tožilca, ki je sestavni del odredbe o nadzoru.</w:t>
      </w:r>
    </w:p>
    <w:p w:rsidR="00AE2155" w:rsidRPr="00162F8F" w:rsidRDefault="00AE2155" w:rsidP="00B644CC">
      <w:pPr>
        <w:spacing w:line="288" w:lineRule="auto"/>
        <w:jc w:val="both"/>
        <w:rPr>
          <w:szCs w:val="20"/>
        </w:rPr>
      </w:pPr>
    </w:p>
    <w:p w:rsidR="00AE2155" w:rsidRPr="00162F8F" w:rsidRDefault="00AE2155" w:rsidP="00B644CC">
      <w:pPr>
        <w:spacing w:line="288" w:lineRule="auto"/>
        <w:jc w:val="both"/>
        <w:rPr>
          <w:szCs w:val="20"/>
        </w:rPr>
      </w:pPr>
      <w:r w:rsidRPr="00162F8F">
        <w:rPr>
          <w:szCs w:val="20"/>
        </w:rPr>
        <w:t>(4) V okviru strokovnega nadzora se pregleduje in ocenjuje zakonitost in pravočasnost dela, smotrnost uporabe procesnih pooblastil in možnosti ter pravilnost strokovnih odločitev glede na uveljavljeno politiko pregona in izdana splošna navodila. Ugotovljene pomanjkljivosti ali napake se obrazložijo z navedbo konkretnih primerov.</w:t>
      </w:r>
    </w:p>
    <w:p w:rsidR="00AE2155" w:rsidRPr="00162F8F" w:rsidRDefault="00AE2155" w:rsidP="00B644CC">
      <w:pPr>
        <w:spacing w:line="288" w:lineRule="auto"/>
        <w:jc w:val="both"/>
        <w:rPr>
          <w:szCs w:val="20"/>
        </w:rPr>
      </w:pPr>
    </w:p>
    <w:p w:rsidR="00AE2155" w:rsidRPr="00162F8F" w:rsidRDefault="00AE2155" w:rsidP="00B644CC">
      <w:pPr>
        <w:spacing w:line="288" w:lineRule="auto"/>
        <w:jc w:val="both"/>
        <w:rPr>
          <w:szCs w:val="20"/>
        </w:rPr>
      </w:pPr>
      <w:r w:rsidRPr="00162F8F">
        <w:rPr>
          <w:szCs w:val="20"/>
        </w:rPr>
        <w:t>(5) Državni tožilci in tožilsko osebje pri okrožnem državnem tožilstvu, katerih delo oziroma poslovanje je bilo pregledano, morajo biti seznanjeni z ugotovitvami pregleda in imajo pravico posredovati pojasnila ali vložiti ugovor pri Vrhovnemu državnemu tožilstvu v 15 dneh od prejema poročila o pregledu.</w:t>
      </w:r>
    </w:p>
    <w:p w:rsidR="00AE2155" w:rsidRPr="00162F8F" w:rsidRDefault="00AE2155" w:rsidP="00B644CC">
      <w:pPr>
        <w:spacing w:line="288" w:lineRule="auto"/>
        <w:jc w:val="both"/>
        <w:rPr>
          <w:szCs w:val="20"/>
        </w:rPr>
      </w:pPr>
    </w:p>
    <w:p w:rsidR="00AE2155" w:rsidRDefault="00AE2155" w:rsidP="00B644CC">
      <w:pPr>
        <w:spacing w:line="288" w:lineRule="auto"/>
        <w:jc w:val="both"/>
        <w:rPr>
          <w:szCs w:val="20"/>
        </w:rPr>
      </w:pPr>
      <w:r w:rsidRPr="00162F8F">
        <w:rPr>
          <w:szCs w:val="20"/>
        </w:rPr>
        <w:t>(6) O ugovoru iz prejšnjega odstavka odloča vrhovni državni tožilec, ki ni opravljal pregleda in ki ga posebej določi generalni državni tožilec. Odločitev o ugovoru mora biti obrazložena in je dokončna.</w:t>
      </w:r>
    </w:p>
    <w:p w:rsidR="00AE2155" w:rsidRDefault="00AE2155" w:rsidP="00B644CC">
      <w:pPr>
        <w:spacing w:line="288" w:lineRule="auto"/>
        <w:jc w:val="both"/>
        <w:rPr>
          <w:szCs w:val="20"/>
        </w:rPr>
      </w:pPr>
    </w:p>
    <w:p w:rsidR="00AE2155" w:rsidRPr="00162F8F" w:rsidRDefault="00AE2155" w:rsidP="00B644CC">
      <w:pPr>
        <w:spacing w:line="288" w:lineRule="auto"/>
        <w:jc w:val="center"/>
        <w:rPr>
          <w:szCs w:val="20"/>
        </w:rPr>
      </w:pPr>
      <w:r w:rsidRPr="00162F8F">
        <w:rPr>
          <w:szCs w:val="20"/>
        </w:rPr>
        <w:t>188. člen</w:t>
      </w:r>
    </w:p>
    <w:p w:rsidR="00AE2155" w:rsidRPr="00162F8F" w:rsidRDefault="00AE2155" w:rsidP="00B644CC">
      <w:pPr>
        <w:spacing w:line="288" w:lineRule="auto"/>
        <w:jc w:val="center"/>
        <w:rPr>
          <w:szCs w:val="20"/>
        </w:rPr>
      </w:pPr>
      <w:r w:rsidRPr="00162F8F">
        <w:rPr>
          <w:szCs w:val="20"/>
        </w:rPr>
        <w:t>(prenos pristojnosti)</w:t>
      </w:r>
    </w:p>
    <w:p w:rsidR="00AE2155" w:rsidRPr="00162F8F" w:rsidRDefault="00AE2155" w:rsidP="00B644CC">
      <w:pPr>
        <w:spacing w:line="288" w:lineRule="auto"/>
        <w:jc w:val="both"/>
        <w:rPr>
          <w:szCs w:val="20"/>
        </w:rPr>
      </w:pPr>
    </w:p>
    <w:p w:rsidR="00AE2155" w:rsidRPr="00162F8F" w:rsidRDefault="00AE2155" w:rsidP="00B644CC">
      <w:pPr>
        <w:spacing w:line="288" w:lineRule="auto"/>
        <w:jc w:val="both"/>
        <w:rPr>
          <w:szCs w:val="20"/>
        </w:rPr>
      </w:pPr>
      <w:r w:rsidRPr="00162F8F">
        <w:rPr>
          <w:szCs w:val="20"/>
        </w:rPr>
        <w:t>(1) Generalni državni tožilec lahko za postopanje v posamezni zadevi določi drugo krajevno pristojno državno tožilstvo, če je očitno, da se bo tako lažje izvedel postopek, ali če obstajajo za to drugi tehtni razlogi, zlasti varovanje nepristranskosti, samostojnega delovanja ali ugleda državnega tožilstva.</w:t>
      </w:r>
    </w:p>
    <w:p w:rsidR="00AE2155" w:rsidRPr="00162F8F" w:rsidRDefault="00AE2155" w:rsidP="00B644CC">
      <w:pPr>
        <w:spacing w:line="288" w:lineRule="auto"/>
        <w:jc w:val="both"/>
        <w:rPr>
          <w:szCs w:val="20"/>
        </w:rPr>
      </w:pPr>
    </w:p>
    <w:p w:rsidR="00AE2155" w:rsidRPr="00162F8F" w:rsidRDefault="00AE2155" w:rsidP="00B644CC">
      <w:pPr>
        <w:spacing w:line="288" w:lineRule="auto"/>
        <w:jc w:val="both"/>
        <w:rPr>
          <w:szCs w:val="20"/>
        </w:rPr>
      </w:pPr>
      <w:r w:rsidRPr="00162F8F">
        <w:rPr>
          <w:szCs w:val="20"/>
        </w:rPr>
        <w:t>(2) O določitvi drugega pristojnega državnega tožilstva odloči z odločbo generalni državni tožilec na lastno pobudo ali na podlagi obrazloženega predloga pristojnega državnega tožilca, vodje okrožnega državnega tožilstva, vodje Specializiranega državnega tožilstva ali vodje Oddelka za preiskovanje in pregon zlorabe policijskih pooblastil. Odločba se vroči državnemu tožilstvu, ki je bilo krajevno pristojno v posamezni zadevi, in državnemu tožilstvu, ki mu je določena krajevna pristojnost v posamezni zadevi.</w:t>
      </w:r>
    </w:p>
    <w:p w:rsidR="00AE2155" w:rsidRPr="00162F8F" w:rsidRDefault="00AE2155" w:rsidP="00B644CC">
      <w:pPr>
        <w:spacing w:line="288" w:lineRule="auto"/>
        <w:jc w:val="both"/>
        <w:rPr>
          <w:szCs w:val="20"/>
        </w:rPr>
      </w:pPr>
    </w:p>
    <w:p w:rsidR="00AE2155" w:rsidRDefault="00AE2155" w:rsidP="00B644CC">
      <w:pPr>
        <w:spacing w:line="288" w:lineRule="auto"/>
        <w:jc w:val="both"/>
        <w:rPr>
          <w:szCs w:val="20"/>
        </w:rPr>
      </w:pPr>
      <w:r w:rsidRPr="00162F8F">
        <w:rPr>
          <w:szCs w:val="20"/>
        </w:rPr>
        <w:t>(3) Če državno tožilstvo zaradi posebnih okoliščin, ki onemogočajo izvajanje njegovih funkcij, ne more delovati na sedežu, lahko generalni državni tožilec po predhodno pridobljenem soglasju ministra z odločbo določi začasni sedež državnega tožilstva.</w:t>
      </w:r>
    </w:p>
    <w:p w:rsidR="00AE2155" w:rsidRDefault="00AE2155" w:rsidP="00B644CC">
      <w:pPr>
        <w:spacing w:line="288" w:lineRule="auto"/>
        <w:jc w:val="both"/>
        <w:rPr>
          <w:szCs w:val="20"/>
        </w:rPr>
      </w:pPr>
    </w:p>
    <w:p w:rsidR="00AE2155" w:rsidRPr="00162F8F" w:rsidRDefault="00AE2155" w:rsidP="00B644CC">
      <w:pPr>
        <w:spacing w:line="288" w:lineRule="auto"/>
        <w:jc w:val="center"/>
        <w:rPr>
          <w:szCs w:val="20"/>
        </w:rPr>
      </w:pPr>
      <w:r w:rsidRPr="00162F8F">
        <w:rPr>
          <w:szCs w:val="20"/>
        </w:rPr>
        <w:t>196. člen</w:t>
      </w:r>
    </w:p>
    <w:p w:rsidR="00AE2155" w:rsidRPr="00162F8F" w:rsidRDefault="00AE2155" w:rsidP="00B644CC">
      <w:pPr>
        <w:spacing w:line="288" w:lineRule="auto"/>
        <w:jc w:val="center"/>
        <w:rPr>
          <w:szCs w:val="20"/>
        </w:rPr>
      </w:pPr>
      <w:r w:rsidRPr="00162F8F">
        <w:rPr>
          <w:szCs w:val="20"/>
        </w:rPr>
        <w:t>(pravice državnega tožilca na SDT)</w:t>
      </w:r>
    </w:p>
    <w:p w:rsidR="00AE2155" w:rsidRPr="00162F8F" w:rsidRDefault="00AE2155" w:rsidP="00B644CC">
      <w:pPr>
        <w:spacing w:line="288" w:lineRule="auto"/>
        <w:jc w:val="both"/>
        <w:rPr>
          <w:szCs w:val="20"/>
        </w:rPr>
      </w:pPr>
    </w:p>
    <w:p w:rsidR="00AE2155" w:rsidRPr="00162F8F" w:rsidRDefault="00AE2155" w:rsidP="00B644CC">
      <w:pPr>
        <w:spacing w:line="288" w:lineRule="auto"/>
        <w:jc w:val="both"/>
        <w:rPr>
          <w:szCs w:val="20"/>
        </w:rPr>
      </w:pPr>
      <w:r w:rsidRPr="00162F8F">
        <w:rPr>
          <w:szCs w:val="20"/>
        </w:rPr>
        <w:t>(1) Državnemu tožilcu, ki je imenovan na SDT, pripada:</w:t>
      </w:r>
    </w:p>
    <w:p w:rsidR="00AE2155" w:rsidRPr="00162F8F" w:rsidRDefault="00AE2155" w:rsidP="00B644CC">
      <w:pPr>
        <w:spacing w:line="288" w:lineRule="auto"/>
        <w:jc w:val="both"/>
        <w:rPr>
          <w:szCs w:val="20"/>
        </w:rPr>
      </w:pPr>
    </w:p>
    <w:p w:rsidR="00AE2155" w:rsidRPr="00162F8F" w:rsidRDefault="00AE2155" w:rsidP="00B644CC">
      <w:pPr>
        <w:spacing w:line="288" w:lineRule="auto"/>
        <w:jc w:val="both"/>
        <w:rPr>
          <w:szCs w:val="20"/>
        </w:rPr>
      </w:pPr>
      <w:r w:rsidRPr="00162F8F">
        <w:rPr>
          <w:szCs w:val="20"/>
        </w:rPr>
        <w:t>- okrajnemu državnemu tožilcu plača višjega državnega tožilca;</w:t>
      </w:r>
    </w:p>
    <w:p w:rsidR="00AE2155" w:rsidRPr="00162F8F" w:rsidRDefault="00AE2155" w:rsidP="00B644CC">
      <w:pPr>
        <w:spacing w:line="288" w:lineRule="auto"/>
        <w:jc w:val="both"/>
        <w:rPr>
          <w:szCs w:val="20"/>
        </w:rPr>
      </w:pPr>
      <w:r w:rsidRPr="00162F8F">
        <w:rPr>
          <w:szCs w:val="20"/>
        </w:rPr>
        <w:t>- okrajnemu državnemu tožilcu svetniku plača višjega državnega tožilca svetnika;</w:t>
      </w:r>
    </w:p>
    <w:p w:rsidR="00AE2155" w:rsidRPr="00162F8F" w:rsidRDefault="00AE2155" w:rsidP="00B644CC">
      <w:pPr>
        <w:spacing w:line="288" w:lineRule="auto"/>
        <w:jc w:val="both"/>
        <w:rPr>
          <w:szCs w:val="20"/>
        </w:rPr>
      </w:pPr>
      <w:r w:rsidRPr="00162F8F">
        <w:rPr>
          <w:szCs w:val="20"/>
        </w:rPr>
        <w:t>- okrožnemu državnemu tožilcu plača vrhovnega državnega tožilca in</w:t>
      </w:r>
    </w:p>
    <w:p w:rsidR="00AE2155" w:rsidRPr="00162F8F" w:rsidRDefault="00AE2155" w:rsidP="00B644CC">
      <w:pPr>
        <w:spacing w:line="288" w:lineRule="auto"/>
        <w:jc w:val="both"/>
        <w:rPr>
          <w:szCs w:val="20"/>
        </w:rPr>
      </w:pPr>
      <w:r w:rsidRPr="00162F8F">
        <w:rPr>
          <w:szCs w:val="20"/>
        </w:rPr>
        <w:t>-</w:t>
      </w:r>
      <w:r>
        <w:rPr>
          <w:szCs w:val="20"/>
        </w:rPr>
        <w:t xml:space="preserve"> o</w:t>
      </w:r>
      <w:r w:rsidRPr="00162F8F">
        <w:rPr>
          <w:szCs w:val="20"/>
        </w:rPr>
        <w:t>krožnemu državnemu tožilcu svetniku ter višjemu državnemu tožilcu plača vrhovnega državnega tožilca svetnika.</w:t>
      </w:r>
    </w:p>
    <w:p w:rsidR="00AE2155" w:rsidRPr="00162F8F" w:rsidRDefault="00AE2155" w:rsidP="00B644CC">
      <w:pPr>
        <w:spacing w:line="288" w:lineRule="auto"/>
        <w:jc w:val="both"/>
        <w:rPr>
          <w:szCs w:val="20"/>
        </w:rPr>
      </w:pPr>
    </w:p>
    <w:p w:rsidR="00AE2155" w:rsidRPr="00162F8F" w:rsidRDefault="00AE2155" w:rsidP="00B644CC">
      <w:pPr>
        <w:spacing w:line="288" w:lineRule="auto"/>
        <w:jc w:val="both"/>
        <w:rPr>
          <w:szCs w:val="20"/>
        </w:rPr>
      </w:pPr>
      <w:r w:rsidRPr="00162F8F">
        <w:rPr>
          <w:szCs w:val="20"/>
        </w:rPr>
        <w:t>(2) Dodeljenemu državnemu tožilcu pripada za čas, v katerem rešuje zadeve iz pristojnosti SDT:</w:t>
      </w:r>
    </w:p>
    <w:p w:rsidR="00AE2155" w:rsidRPr="00162F8F" w:rsidRDefault="00AE2155" w:rsidP="00B644CC">
      <w:pPr>
        <w:spacing w:line="288" w:lineRule="auto"/>
        <w:jc w:val="both"/>
        <w:rPr>
          <w:szCs w:val="20"/>
        </w:rPr>
      </w:pPr>
    </w:p>
    <w:p w:rsidR="00AE2155" w:rsidRPr="00162F8F" w:rsidRDefault="00AE2155" w:rsidP="00B644CC">
      <w:pPr>
        <w:spacing w:line="288" w:lineRule="auto"/>
        <w:jc w:val="both"/>
        <w:rPr>
          <w:szCs w:val="20"/>
        </w:rPr>
      </w:pPr>
      <w:r w:rsidRPr="00162F8F">
        <w:rPr>
          <w:szCs w:val="20"/>
        </w:rPr>
        <w:t>- okrajnemu državnemu tožilcu plača višjega državnega tožilca;</w:t>
      </w:r>
    </w:p>
    <w:p w:rsidR="00AE2155" w:rsidRPr="00162F8F" w:rsidRDefault="00AE2155" w:rsidP="00B644CC">
      <w:pPr>
        <w:spacing w:line="288" w:lineRule="auto"/>
        <w:jc w:val="both"/>
        <w:rPr>
          <w:szCs w:val="20"/>
        </w:rPr>
      </w:pPr>
      <w:r w:rsidRPr="00162F8F">
        <w:rPr>
          <w:szCs w:val="20"/>
        </w:rPr>
        <w:t>- okrajnemu državnemu tožilcu svetniku plača višjega državnega tožilca svetnika;</w:t>
      </w:r>
    </w:p>
    <w:p w:rsidR="00AE2155" w:rsidRPr="00162F8F" w:rsidRDefault="00AE2155" w:rsidP="00B644CC">
      <w:pPr>
        <w:spacing w:line="288" w:lineRule="auto"/>
        <w:jc w:val="both"/>
        <w:rPr>
          <w:szCs w:val="20"/>
        </w:rPr>
      </w:pPr>
      <w:r w:rsidRPr="00162F8F">
        <w:rPr>
          <w:szCs w:val="20"/>
        </w:rPr>
        <w:t>- okrožnemu državnemu tožilcu plača vrhovnega državnega tožilca in</w:t>
      </w:r>
    </w:p>
    <w:p w:rsidR="00AE2155" w:rsidRPr="00162F8F" w:rsidRDefault="00AE2155" w:rsidP="00B644CC">
      <w:pPr>
        <w:spacing w:line="288" w:lineRule="auto"/>
        <w:jc w:val="both"/>
        <w:rPr>
          <w:szCs w:val="20"/>
        </w:rPr>
      </w:pPr>
      <w:r>
        <w:rPr>
          <w:szCs w:val="20"/>
        </w:rPr>
        <w:t xml:space="preserve">- </w:t>
      </w:r>
      <w:r w:rsidRPr="00162F8F">
        <w:rPr>
          <w:szCs w:val="20"/>
        </w:rPr>
        <w:t>okrožnemu državnemu tožilcu svetniku ter višjemu državnemu tožilcu plača vrhovnega državnega tožilca svetnika.</w:t>
      </w:r>
    </w:p>
    <w:p w:rsidR="00AE2155" w:rsidRPr="00162F8F" w:rsidRDefault="00AE2155" w:rsidP="00B644CC">
      <w:pPr>
        <w:spacing w:line="288" w:lineRule="auto"/>
        <w:jc w:val="both"/>
        <w:rPr>
          <w:szCs w:val="20"/>
        </w:rPr>
      </w:pPr>
    </w:p>
    <w:p w:rsidR="00AE2155" w:rsidRPr="00162F8F" w:rsidRDefault="00AE2155" w:rsidP="00B644CC">
      <w:pPr>
        <w:spacing w:line="288" w:lineRule="auto"/>
        <w:jc w:val="both"/>
        <w:rPr>
          <w:szCs w:val="20"/>
        </w:rPr>
      </w:pPr>
      <w:r w:rsidRPr="00162F8F">
        <w:rPr>
          <w:szCs w:val="20"/>
        </w:rPr>
        <w:t>(3) Način evidentiranja in obračunavanje časa iz prejšnjega odstavka se določi z Državnotožilskim redom.</w:t>
      </w:r>
    </w:p>
    <w:p w:rsidR="00AE2155" w:rsidRPr="00162F8F" w:rsidRDefault="00AE2155" w:rsidP="00B644CC">
      <w:pPr>
        <w:spacing w:line="288" w:lineRule="auto"/>
        <w:jc w:val="both"/>
        <w:rPr>
          <w:szCs w:val="20"/>
        </w:rPr>
      </w:pPr>
    </w:p>
    <w:p w:rsidR="00AE2155" w:rsidRPr="00162F8F" w:rsidRDefault="00AE2155" w:rsidP="00B644CC">
      <w:pPr>
        <w:spacing w:line="288" w:lineRule="auto"/>
        <w:jc w:val="both"/>
        <w:rPr>
          <w:szCs w:val="20"/>
        </w:rPr>
      </w:pPr>
      <w:r w:rsidRPr="00162F8F">
        <w:rPr>
          <w:szCs w:val="20"/>
        </w:rPr>
        <w:lastRenderedPageBreak/>
        <w:t>(4) Državnemu tožilcu, ki mu v skladu s prvim in drugim odstavkom tega člena pripada plača višjega državnega tožilca, mu ta pripada v višini plačnega razreda, v katerega je v skladu z zakonom, ki ureja sistem plač v javnem sektorju, uvrščena funkcija, ki jo zaseda višji državni tožilec ob uvrstitvi. Če je ta razred pred imenovanjem na SDT oziroma dodelitvijo na SDT že dosegel ali ga je presegel, se uvrsti za en plačni razred višje.</w:t>
      </w:r>
    </w:p>
    <w:p w:rsidR="00AE2155" w:rsidRPr="00162F8F" w:rsidRDefault="00AE2155" w:rsidP="00B644CC">
      <w:pPr>
        <w:spacing w:line="288" w:lineRule="auto"/>
        <w:jc w:val="both"/>
        <w:rPr>
          <w:szCs w:val="20"/>
        </w:rPr>
      </w:pPr>
    </w:p>
    <w:p w:rsidR="00AE2155" w:rsidRPr="00162F8F" w:rsidRDefault="00AE2155" w:rsidP="00B644CC">
      <w:pPr>
        <w:spacing w:line="288" w:lineRule="auto"/>
        <w:jc w:val="both"/>
        <w:rPr>
          <w:szCs w:val="20"/>
        </w:rPr>
      </w:pPr>
      <w:r w:rsidRPr="00162F8F">
        <w:rPr>
          <w:szCs w:val="20"/>
        </w:rPr>
        <w:t>(5) Če državni tožilec, ki je imenovan ali dodeljen na SDT, po prenehanju takšnega imenovanja ali dodelitve, nadaljuje z delom v posameznih zadevah iz pristojnosti SDT, se višina njegove plače določi po drugem odstavku tega člena.</w:t>
      </w:r>
    </w:p>
    <w:p w:rsidR="00AE2155" w:rsidRPr="00162F8F" w:rsidRDefault="00AE2155" w:rsidP="00B644CC">
      <w:pPr>
        <w:spacing w:line="288" w:lineRule="auto"/>
        <w:jc w:val="both"/>
        <w:rPr>
          <w:szCs w:val="20"/>
        </w:rPr>
      </w:pPr>
    </w:p>
    <w:p w:rsidR="00AE2155" w:rsidRPr="00162F8F" w:rsidRDefault="00AE2155" w:rsidP="00B644CC">
      <w:pPr>
        <w:spacing w:line="288" w:lineRule="auto"/>
        <w:jc w:val="both"/>
        <w:rPr>
          <w:szCs w:val="20"/>
        </w:rPr>
      </w:pPr>
      <w:r w:rsidRPr="00162F8F">
        <w:rPr>
          <w:szCs w:val="20"/>
        </w:rPr>
        <w:t>(6) Premestitev in dodelitev državnega tožilca na SDT ne posegata v njegov naziv in položaj.</w:t>
      </w:r>
    </w:p>
    <w:p w:rsidR="00AE2155" w:rsidRPr="00162F8F" w:rsidRDefault="00AE2155" w:rsidP="00B644CC">
      <w:pPr>
        <w:spacing w:line="288" w:lineRule="auto"/>
        <w:jc w:val="both"/>
        <w:rPr>
          <w:szCs w:val="20"/>
        </w:rPr>
      </w:pPr>
    </w:p>
    <w:p w:rsidR="00AE2155" w:rsidRPr="00162F8F" w:rsidRDefault="00AE2155" w:rsidP="00B644CC">
      <w:pPr>
        <w:spacing w:line="288" w:lineRule="auto"/>
        <w:jc w:val="both"/>
        <w:rPr>
          <w:szCs w:val="20"/>
        </w:rPr>
      </w:pPr>
      <w:r w:rsidRPr="00162F8F">
        <w:rPr>
          <w:szCs w:val="20"/>
        </w:rPr>
        <w:t>(7) Glede položaja in napredovanja državnega tožilca se za čas trajanja dodelitve na SDT smiselno uporabljajo določbe tega zakona, ki urejajo dodelitev državnega tožilca na drugo državno tožilstvo.</w:t>
      </w:r>
    </w:p>
    <w:p w:rsidR="00AE2155" w:rsidRPr="00162F8F" w:rsidRDefault="00AE2155" w:rsidP="00B644CC">
      <w:pPr>
        <w:spacing w:line="288" w:lineRule="auto"/>
        <w:jc w:val="both"/>
        <w:rPr>
          <w:szCs w:val="20"/>
        </w:rPr>
      </w:pPr>
    </w:p>
    <w:p w:rsidR="00AE2155" w:rsidRDefault="00AE2155" w:rsidP="00B644CC">
      <w:pPr>
        <w:spacing w:line="288" w:lineRule="auto"/>
        <w:jc w:val="both"/>
        <w:rPr>
          <w:szCs w:val="20"/>
        </w:rPr>
      </w:pPr>
      <w:r w:rsidRPr="00162F8F">
        <w:rPr>
          <w:szCs w:val="20"/>
        </w:rPr>
        <w:t>(8) Državnemu tožilcu, ki je dodeljen na SDT, se lahko izjemoma dodelijo v delo zadeve iz pristojnosti državnega tožilstva, pri katerem je imenovan, ob upoštevanju obsega dela, ki ga državni tožilec opravlja pri SDT.</w:t>
      </w:r>
    </w:p>
    <w:p w:rsidR="00AE2155" w:rsidRDefault="00AE2155" w:rsidP="00B644CC">
      <w:pPr>
        <w:spacing w:line="288" w:lineRule="auto"/>
        <w:jc w:val="both"/>
        <w:rPr>
          <w:szCs w:val="20"/>
        </w:rPr>
      </w:pPr>
    </w:p>
    <w:p w:rsidR="00AE2155" w:rsidRPr="00162F8F" w:rsidRDefault="00AE2155" w:rsidP="00B644CC">
      <w:pPr>
        <w:spacing w:line="288" w:lineRule="auto"/>
        <w:jc w:val="center"/>
        <w:rPr>
          <w:szCs w:val="20"/>
        </w:rPr>
      </w:pPr>
      <w:r w:rsidRPr="00162F8F">
        <w:rPr>
          <w:szCs w:val="20"/>
        </w:rPr>
        <w:t>198. člen</w:t>
      </w:r>
    </w:p>
    <w:p w:rsidR="00AE2155" w:rsidRPr="00162F8F" w:rsidRDefault="00AE2155" w:rsidP="00B644CC">
      <w:pPr>
        <w:spacing w:line="288" w:lineRule="auto"/>
        <w:jc w:val="center"/>
        <w:rPr>
          <w:szCs w:val="20"/>
        </w:rPr>
      </w:pPr>
      <w:r w:rsidRPr="00162F8F">
        <w:rPr>
          <w:szCs w:val="20"/>
        </w:rPr>
        <w:t>(obveščanje, dodelitev in prenos zadev)</w:t>
      </w:r>
    </w:p>
    <w:p w:rsidR="00AE2155" w:rsidRPr="00162F8F" w:rsidRDefault="00AE2155" w:rsidP="00B644CC">
      <w:pPr>
        <w:spacing w:line="288" w:lineRule="auto"/>
        <w:jc w:val="both"/>
        <w:rPr>
          <w:szCs w:val="20"/>
        </w:rPr>
      </w:pPr>
    </w:p>
    <w:p w:rsidR="00AE2155" w:rsidRPr="00162F8F" w:rsidRDefault="00AE2155" w:rsidP="00B644CC">
      <w:pPr>
        <w:spacing w:line="288" w:lineRule="auto"/>
        <w:jc w:val="both"/>
        <w:rPr>
          <w:szCs w:val="20"/>
        </w:rPr>
      </w:pPr>
      <w:r w:rsidRPr="00162F8F">
        <w:rPr>
          <w:szCs w:val="20"/>
        </w:rPr>
        <w:t>(1) SDT obravnava vse zadeve iz drugega in četrtega odstavka 192. člena tega zakona, druge zadeve pa le, če so podani pogoji iz tretjega odstavka 192. člena tega zakona.</w:t>
      </w:r>
    </w:p>
    <w:p w:rsidR="00AE2155" w:rsidRPr="00162F8F" w:rsidRDefault="00AE2155" w:rsidP="00B644CC">
      <w:pPr>
        <w:spacing w:line="288" w:lineRule="auto"/>
        <w:jc w:val="both"/>
        <w:rPr>
          <w:szCs w:val="20"/>
        </w:rPr>
      </w:pPr>
    </w:p>
    <w:p w:rsidR="00AE2155" w:rsidRPr="00162F8F" w:rsidRDefault="00AE2155" w:rsidP="00B644CC">
      <w:pPr>
        <w:spacing w:line="288" w:lineRule="auto"/>
        <w:jc w:val="both"/>
        <w:rPr>
          <w:szCs w:val="20"/>
        </w:rPr>
      </w:pPr>
      <w:r w:rsidRPr="00162F8F">
        <w:rPr>
          <w:szCs w:val="20"/>
        </w:rPr>
        <w:t>(2) Vodja krajevno pristojnega okrožnega državnega tožilstva oziroma vodja pristojne uprave oziroma enote Policije morata nemudoma obvestiti vodjo SDT o zadevah, glede katerih je podana pristojnost SDT po drugem odstavku 192. člena, in mu brez odlašanja posredovati spise zadeve z vsemi zbranimi dokazi.</w:t>
      </w:r>
    </w:p>
    <w:p w:rsidR="00AE2155" w:rsidRPr="00162F8F" w:rsidRDefault="00AE2155" w:rsidP="00B644CC">
      <w:pPr>
        <w:spacing w:line="288" w:lineRule="auto"/>
        <w:jc w:val="both"/>
        <w:rPr>
          <w:szCs w:val="20"/>
        </w:rPr>
      </w:pPr>
    </w:p>
    <w:p w:rsidR="00AE2155" w:rsidRPr="00162F8F" w:rsidRDefault="00AE2155" w:rsidP="00B644CC">
      <w:pPr>
        <w:spacing w:line="288" w:lineRule="auto"/>
        <w:jc w:val="both"/>
        <w:rPr>
          <w:szCs w:val="20"/>
        </w:rPr>
      </w:pPr>
      <w:r w:rsidRPr="00162F8F">
        <w:rPr>
          <w:szCs w:val="20"/>
        </w:rPr>
        <w:t>(3) Vodja SDT lahko odredi, da se zadeva, za katero je pristojno SDT, dodeli krajevno pristojnemu okrožnemu državnemu tožilstvu, če ugotovi, da niso več izpolnjeni pogoji za dodelitev zadeve SDT ali iz razlogov smotrnosti. Če se vodja krajevno pristojnega okrožnega državnega tožilstva ne strinja z dodelitvijo, lahko ta predlaga, da o utemeljenosti predloga odloči generalni državni tožilec.</w:t>
      </w:r>
    </w:p>
    <w:p w:rsidR="00AE2155" w:rsidRPr="00162F8F" w:rsidRDefault="00AE2155" w:rsidP="00B644CC">
      <w:pPr>
        <w:spacing w:line="288" w:lineRule="auto"/>
        <w:jc w:val="both"/>
        <w:rPr>
          <w:szCs w:val="20"/>
        </w:rPr>
      </w:pPr>
    </w:p>
    <w:p w:rsidR="00AE2155" w:rsidRPr="00162F8F" w:rsidRDefault="00AE2155" w:rsidP="00B644CC">
      <w:pPr>
        <w:spacing w:line="288" w:lineRule="auto"/>
        <w:jc w:val="both"/>
        <w:rPr>
          <w:szCs w:val="20"/>
        </w:rPr>
      </w:pPr>
      <w:r w:rsidRPr="00162F8F">
        <w:rPr>
          <w:szCs w:val="20"/>
        </w:rPr>
        <w:t>(4) Če je zadeva v skladu s prejšnjim odstavkom dodeljena krajevno pristojnemu okrožnemu državnemu tožilstvu, se mu odstopijo spisi zadeve in o tem obvesti pristojnega vodjo uprave oziroma enote Policije.</w:t>
      </w:r>
    </w:p>
    <w:p w:rsidR="00AE2155" w:rsidRPr="00162F8F" w:rsidRDefault="00AE2155" w:rsidP="00B644CC">
      <w:pPr>
        <w:spacing w:line="288" w:lineRule="auto"/>
        <w:jc w:val="both"/>
        <w:rPr>
          <w:szCs w:val="20"/>
        </w:rPr>
      </w:pPr>
    </w:p>
    <w:p w:rsidR="00AE2155" w:rsidRPr="00162F8F" w:rsidRDefault="00AE2155" w:rsidP="00B644CC">
      <w:pPr>
        <w:spacing w:line="288" w:lineRule="auto"/>
        <w:jc w:val="both"/>
        <w:rPr>
          <w:szCs w:val="20"/>
        </w:rPr>
      </w:pPr>
      <w:r w:rsidRPr="00162F8F">
        <w:rPr>
          <w:szCs w:val="20"/>
        </w:rPr>
        <w:t>(5) Če krajevno pristojno državno tožilstvo obravnava zadevo iz tretjega odstavka 192. člena tega zakona, lahko vodja SDT na lastno pobudo ali na pobudo državnega tožilca, kateremu je zadeva dodeljena, z obrazloženim predlogom zaprosi vodjo krajevno pristojnega okrožnega državnega tožilstva, da se zadeva dodeli v obravnavo SDT. Če se vodja krajevno pristojnega okrožnega državnega tožilstva ne strinja s predlogom, lahko vodja SDT predlaga, da o utemeljenosti predloga odloči generalni državni tožilec. Če je zadeva dodeljena SDT, se mu odstopijo spisi zadeve in o tem obvesti pristojnega vodjo uprave oziroma enote Policije.</w:t>
      </w:r>
    </w:p>
    <w:p w:rsidR="00AE2155" w:rsidRPr="00162F8F" w:rsidRDefault="00AE2155" w:rsidP="00B644CC">
      <w:pPr>
        <w:spacing w:line="288" w:lineRule="auto"/>
        <w:jc w:val="both"/>
        <w:rPr>
          <w:szCs w:val="20"/>
        </w:rPr>
      </w:pPr>
    </w:p>
    <w:p w:rsidR="00AE2155" w:rsidRPr="00162F8F" w:rsidRDefault="00AE2155" w:rsidP="00B644CC">
      <w:pPr>
        <w:spacing w:line="288" w:lineRule="auto"/>
        <w:jc w:val="both"/>
        <w:rPr>
          <w:szCs w:val="20"/>
        </w:rPr>
      </w:pPr>
      <w:r w:rsidRPr="00162F8F">
        <w:rPr>
          <w:szCs w:val="20"/>
        </w:rPr>
        <w:t xml:space="preserve">(6) Če krajevno pristojno državno tožilstvo obravnava zadevo, za katero meni, da so izpolnjeni pogoji iz četrtega odstavka 192. člena tega zakona za dodelitev zadeve SDT, lahko vodja krajevno pristojnega okrožnega državnega tožilstva na lastno pobudo ali na pobudo državnega tožilca, </w:t>
      </w:r>
      <w:r w:rsidRPr="00162F8F">
        <w:rPr>
          <w:szCs w:val="20"/>
        </w:rPr>
        <w:lastRenderedPageBreak/>
        <w:t>kateremu je zadeva dodeljena, vodji SDT poda obrazložen predlog, da se zadeva obravnava pri SDT, lahko pa tudi predlaga, da jo obravnava državni tožilec pristojnega okrožnega državnega tožilstva na podlagi dodatne dodelitve v SDT (četrti odstavek 193. člena tega zakona). Če se vodja SDT ne strinja s predlogom, lahko vodja krajevno pristojnega okrožnega državnega tožilstva predlaga, da o utemeljenosti predloga odloči generalni državni tožilec. Če je zadeva dodeljena SDT, se mu odstopijo spisi zadeve in o tem obvesti pristojnega vodjo uprave oziroma enote Policije.</w:t>
      </w:r>
    </w:p>
    <w:p w:rsidR="00AE2155" w:rsidRPr="00162F8F" w:rsidRDefault="00AE2155" w:rsidP="00B644CC">
      <w:pPr>
        <w:spacing w:line="288" w:lineRule="auto"/>
        <w:jc w:val="both"/>
        <w:rPr>
          <w:szCs w:val="20"/>
        </w:rPr>
      </w:pPr>
    </w:p>
    <w:p w:rsidR="00AE2155" w:rsidRPr="00162F8F" w:rsidRDefault="00AE2155" w:rsidP="00B644CC">
      <w:pPr>
        <w:spacing w:line="288" w:lineRule="auto"/>
        <w:jc w:val="both"/>
        <w:rPr>
          <w:szCs w:val="20"/>
        </w:rPr>
      </w:pPr>
      <w:r w:rsidRPr="00162F8F">
        <w:rPr>
          <w:szCs w:val="20"/>
        </w:rPr>
        <w:t>(7) Podrobnejša navodila o dodeljevanju zadev in o organiziranju dela na SDT določa Državnotožilski red.</w:t>
      </w:r>
    </w:p>
    <w:p w:rsidR="00AE2155" w:rsidRPr="00162F8F" w:rsidRDefault="00AE2155" w:rsidP="00B644CC">
      <w:pPr>
        <w:spacing w:line="288" w:lineRule="auto"/>
        <w:jc w:val="both"/>
        <w:rPr>
          <w:szCs w:val="20"/>
        </w:rPr>
      </w:pPr>
    </w:p>
    <w:p w:rsidR="00AE2155" w:rsidRDefault="00AE2155" w:rsidP="00B644CC">
      <w:pPr>
        <w:spacing w:line="288" w:lineRule="auto"/>
        <w:jc w:val="both"/>
        <w:rPr>
          <w:szCs w:val="20"/>
        </w:rPr>
      </w:pPr>
      <w:r w:rsidRPr="00162F8F">
        <w:rPr>
          <w:szCs w:val="20"/>
        </w:rPr>
        <w:t>(8) Okrožno državno tožilstvo, ki bi bilo krajevno pristojno za obravnavanje zadeve, mora sodelovati s SDT pri opravljanju njegovih nalog, zagotavljati potrebno administrativno in tehnično pomoč ter druge pogoje za delo.</w:t>
      </w:r>
    </w:p>
    <w:p w:rsidR="00AE2155" w:rsidRPr="00162F8F" w:rsidRDefault="00AE2155" w:rsidP="00B644CC">
      <w:pPr>
        <w:spacing w:line="288" w:lineRule="auto"/>
        <w:jc w:val="center"/>
        <w:rPr>
          <w:szCs w:val="20"/>
        </w:rPr>
      </w:pPr>
      <w:r w:rsidRPr="00162F8F">
        <w:rPr>
          <w:szCs w:val="20"/>
        </w:rPr>
        <w:t>203.a člen</w:t>
      </w:r>
    </w:p>
    <w:p w:rsidR="00AE2155" w:rsidRPr="00162F8F" w:rsidRDefault="00AE2155" w:rsidP="00B644CC">
      <w:pPr>
        <w:spacing w:line="288" w:lineRule="auto"/>
        <w:jc w:val="center"/>
        <w:rPr>
          <w:szCs w:val="20"/>
        </w:rPr>
      </w:pPr>
      <w:r w:rsidRPr="00162F8F">
        <w:rPr>
          <w:szCs w:val="20"/>
        </w:rPr>
        <w:t>(pristojnost in dodelitev)</w:t>
      </w:r>
    </w:p>
    <w:p w:rsidR="00AE2155" w:rsidRPr="00162F8F" w:rsidRDefault="00AE2155" w:rsidP="00B644CC">
      <w:pPr>
        <w:spacing w:line="288" w:lineRule="auto"/>
        <w:jc w:val="both"/>
        <w:rPr>
          <w:szCs w:val="20"/>
        </w:rPr>
      </w:pPr>
    </w:p>
    <w:p w:rsidR="00AE2155" w:rsidRPr="00162F8F" w:rsidRDefault="00AE2155" w:rsidP="00B644CC">
      <w:pPr>
        <w:spacing w:line="288" w:lineRule="auto"/>
        <w:jc w:val="both"/>
        <w:rPr>
          <w:szCs w:val="20"/>
        </w:rPr>
      </w:pPr>
      <w:r w:rsidRPr="00162F8F">
        <w:rPr>
          <w:szCs w:val="20"/>
        </w:rPr>
        <w:t>(1) Pri SDT deluje oddelek za postopke v zvezi z odvzemom premoženja nezakonitega izvora (v nadaljnjem besedilu: Civilno finančni oddelek).</w:t>
      </w:r>
    </w:p>
    <w:p w:rsidR="00AE2155" w:rsidRPr="00162F8F" w:rsidRDefault="00AE2155" w:rsidP="00B644CC">
      <w:pPr>
        <w:spacing w:line="288" w:lineRule="auto"/>
        <w:jc w:val="both"/>
        <w:rPr>
          <w:szCs w:val="20"/>
        </w:rPr>
      </w:pPr>
    </w:p>
    <w:p w:rsidR="00AE2155" w:rsidRPr="00162F8F" w:rsidRDefault="00AE2155" w:rsidP="00B644CC">
      <w:pPr>
        <w:spacing w:line="288" w:lineRule="auto"/>
        <w:jc w:val="both"/>
        <w:rPr>
          <w:szCs w:val="20"/>
        </w:rPr>
      </w:pPr>
      <w:r w:rsidRPr="00162F8F">
        <w:rPr>
          <w:szCs w:val="20"/>
        </w:rPr>
        <w:t>(2) V skladu z določbami zakona, ki ureja odvzem premoženja nezakonitega izvora, Civilno finančni oddelek sodeluje s krajevno in stvarno pristojnimi državnimi tožilstvi, ki vodijo predkazenske ali kazenske postopke, povezane s sumom obstoja premoženja nezakonitega izvora, oziroma finančne preiskave po zakonu, ki ureja odvzem premoženja nezakonitega izvora.</w:t>
      </w:r>
    </w:p>
    <w:p w:rsidR="00AE2155" w:rsidRPr="00162F8F" w:rsidRDefault="00AE2155" w:rsidP="00B644CC">
      <w:pPr>
        <w:spacing w:line="288" w:lineRule="auto"/>
        <w:jc w:val="both"/>
        <w:rPr>
          <w:szCs w:val="20"/>
        </w:rPr>
      </w:pPr>
    </w:p>
    <w:p w:rsidR="00AE2155" w:rsidRPr="00162F8F" w:rsidRDefault="00AE2155" w:rsidP="00B644CC">
      <w:pPr>
        <w:spacing w:line="288" w:lineRule="auto"/>
        <w:jc w:val="both"/>
        <w:rPr>
          <w:szCs w:val="20"/>
        </w:rPr>
      </w:pPr>
      <w:r w:rsidRPr="00162F8F">
        <w:rPr>
          <w:szCs w:val="20"/>
        </w:rPr>
        <w:t>(3) Za opravljanje zahtevnejših strokovnih del s področja obravnavanja zadev iz pristojnosti Civilno finančnega oddelka se na SDT lahko dodeli državni pravobranilec.</w:t>
      </w:r>
    </w:p>
    <w:p w:rsidR="00AE2155" w:rsidRPr="00162F8F" w:rsidRDefault="00AE2155" w:rsidP="00B644CC">
      <w:pPr>
        <w:spacing w:line="288" w:lineRule="auto"/>
        <w:jc w:val="both"/>
        <w:rPr>
          <w:szCs w:val="20"/>
        </w:rPr>
      </w:pPr>
    </w:p>
    <w:p w:rsidR="00AE2155" w:rsidRPr="00162F8F" w:rsidRDefault="00AE2155" w:rsidP="00B644CC">
      <w:pPr>
        <w:spacing w:line="288" w:lineRule="auto"/>
        <w:jc w:val="both"/>
        <w:rPr>
          <w:szCs w:val="20"/>
        </w:rPr>
      </w:pPr>
      <w:r w:rsidRPr="00162F8F">
        <w:rPr>
          <w:szCs w:val="20"/>
        </w:rPr>
        <w:t>(4) O predlogu za dodelitev državnega pravobranilca odloča Državnotožilski svet na predlog vodje SDT. Odločitev o predlogu vodje SDT skupaj s predlogom za dodelitev državnega pravobranilca pošlje Državnotožilski svet generalnemu državnemu pravobranilcu. O dodelitvi državnega pravobranilca na SDT odloča generalni državni pravobranilec v skladu z določbami zakona, ki ureja sodniško službo v delu, ki se nanaša na premestitev in dodelitev sodnika. Generalni državni pravobranilec pred odločitvijo pridobi pisno soglasje državnega pravobranilca in mnenje vodje oddelka, na katerem opravlja naloge. Prijava državnega pravobranilca na poziv k prijavam za dodelitev šteje za pisno soglasje.</w:t>
      </w:r>
    </w:p>
    <w:p w:rsidR="00AE2155" w:rsidRPr="00162F8F" w:rsidRDefault="00AE2155" w:rsidP="00B644CC">
      <w:pPr>
        <w:spacing w:line="288" w:lineRule="auto"/>
        <w:jc w:val="both"/>
        <w:rPr>
          <w:szCs w:val="20"/>
        </w:rPr>
      </w:pPr>
    </w:p>
    <w:p w:rsidR="00AE2155" w:rsidRPr="00162F8F" w:rsidRDefault="00AE2155" w:rsidP="00B644CC">
      <w:pPr>
        <w:spacing w:line="288" w:lineRule="auto"/>
        <w:jc w:val="both"/>
        <w:rPr>
          <w:szCs w:val="20"/>
        </w:rPr>
      </w:pPr>
      <w:r w:rsidRPr="00162F8F">
        <w:rPr>
          <w:szCs w:val="20"/>
        </w:rPr>
        <w:t>(5) Državni pravobranilec, ki je za opravljanje zahtevnejših strokovnih nalog s področja obravnavanja zadev iz pristojnosti Civilno finančnega oddelka dodeljen na SDT, obdrži pravico uporabljati naziv državni pravobranilec in mu obveznosti, ki izhajajo iz njegovih nalog, ne mirujejo.</w:t>
      </w:r>
    </w:p>
    <w:p w:rsidR="00AE2155" w:rsidRPr="00162F8F" w:rsidRDefault="00AE2155" w:rsidP="00B644CC">
      <w:pPr>
        <w:spacing w:line="288" w:lineRule="auto"/>
        <w:jc w:val="both"/>
        <w:rPr>
          <w:szCs w:val="20"/>
        </w:rPr>
      </w:pPr>
    </w:p>
    <w:p w:rsidR="00AE2155" w:rsidRDefault="00AE2155" w:rsidP="00B644CC">
      <w:pPr>
        <w:spacing w:line="288" w:lineRule="auto"/>
        <w:jc w:val="both"/>
        <w:rPr>
          <w:szCs w:val="20"/>
        </w:rPr>
      </w:pPr>
      <w:r w:rsidRPr="00162F8F">
        <w:rPr>
          <w:szCs w:val="20"/>
        </w:rPr>
        <w:t>(6) Državni pravobranilec, ki je za opravljanje zahtevnejših strokovnih nalog s področja obravnavanja zadev iz pristojnosti Civilno finančnega oddelka dodeljen na SDT, je lahko v tem času v celoti ali deloma oproščen opravljanja nalog državnega pravobranilstva. O oprostitvi opravljanja nalog državnega pravobranilstva odloča generalni državni pravobranilec.</w:t>
      </w:r>
    </w:p>
    <w:p w:rsidR="00AE2155" w:rsidRDefault="00AE2155" w:rsidP="00B644CC">
      <w:pPr>
        <w:spacing w:line="288" w:lineRule="auto"/>
        <w:jc w:val="both"/>
        <w:rPr>
          <w:szCs w:val="20"/>
        </w:rPr>
      </w:pPr>
    </w:p>
    <w:p w:rsidR="00AE2155" w:rsidRPr="00162F8F" w:rsidRDefault="00AE2155" w:rsidP="00B644CC">
      <w:pPr>
        <w:spacing w:line="288" w:lineRule="auto"/>
        <w:jc w:val="center"/>
        <w:rPr>
          <w:szCs w:val="20"/>
        </w:rPr>
      </w:pPr>
      <w:r w:rsidRPr="00162F8F">
        <w:rPr>
          <w:szCs w:val="20"/>
        </w:rPr>
        <w:t>204. člen</w:t>
      </w:r>
    </w:p>
    <w:p w:rsidR="00AE2155" w:rsidRPr="00162F8F" w:rsidRDefault="00AE2155" w:rsidP="00B644CC">
      <w:pPr>
        <w:spacing w:line="288" w:lineRule="auto"/>
        <w:jc w:val="center"/>
        <w:rPr>
          <w:szCs w:val="20"/>
        </w:rPr>
      </w:pPr>
      <w:r w:rsidRPr="00162F8F">
        <w:rPr>
          <w:szCs w:val="20"/>
        </w:rPr>
        <w:t>(organizacija in vodenje)</w:t>
      </w:r>
    </w:p>
    <w:p w:rsidR="00AE2155" w:rsidRPr="00162F8F" w:rsidRDefault="00AE2155" w:rsidP="00B644CC">
      <w:pPr>
        <w:spacing w:line="288" w:lineRule="auto"/>
        <w:jc w:val="both"/>
        <w:rPr>
          <w:szCs w:val="20"/>
        </w:rPr>
      </w:pPr>
    </w:p>
    <w:p w:rsidR="00AE2155" w:rsidRPr="00162F8F" w:rsidRDefault="00AE2155" w:rsidP="00B644CC">
      <w:pPr>
        <w:spacing w:line="288" w:lineRule="auto"/>
        <w:jc w:val="both"/>
        <w:rPr>
          <w:szCs w:val="20"/>
        </w:rPr>
      </w:pPr>
      <w:r w:rsidRPr="00162F8F">
        <w:rPr>
          <w:szCs w:val="20"/>
        </w:rPr>
        <w:t>(1) Pri Vrhovnem državnem tožilstvu kot notranja organizacijska enota Vrhovnega državnega tožilstva deluje Strokovno informacijski center (v nadaljnjem besedilu: SIC).</w:t>
      </w:r>
    </w:p>
    <w:p w:rsidR="00AE2155" w:rsidRPr="00162F8F" w:rsidRDefault="00AE2155" w:rsidP="00B644CC">
      <w:pPr>
        <w:spacing w:line="288" w:lineRule="auto"/>
        <w:jc w:val="both"/>
        <w:rPr>
          <w:szCs w:val="20"/>
        </w:rPr>
      </w:pPr>
    </w:p>
    <w:p w:rsidR="00AE2155" w:rsidRPr="00162F8F" w:rsidRDefault="00AE2155" w:rsidP="00B644CC">
      <w:pPr>
        <w:spacing w:line="288" w:lineRule="auto"/>
        <w:jc w:val="both"/>
        <w:rPr>
          <w:szCs w:val="20"/>
        </w:rPr>
      </w:pPr>
      <w:r w:rsidRPr="00162F8F">
        <w:rPr>
          <w:szCs w:val="20"/>
        </w:rPr>
        <w:t>(2) SIC vodi državni tožilec, ki ga z letnim razporedom imenuje generalni državni tožilec.</w:t>
      </w:r>
    </w:p>
    <w:p w:rsidR="00AE2155" w:rsidRPr="00162F8F" w:rsidRDefault="00AE2155" w:rsidP="00B644CC">
      <w:pPr>
        <w:spacing w:line="288" w:lineRule="auto"/>
        <w:jc w:val="both"/>
        <w:rPr>
          <w:szCs w:val="20"/>
        </w:rPr>
      </w:pPr>
    </w:p>
    <w:p w:rsidR="00AE2155" w:rsidRPr="00162F8F" w:rsidRDefault="00AE2155" w:rsidP="00B644CC">
      <w:pPr>
        <w:spacing w:line="288" w:lineRule="auto"/>
        <w:jc w:val="both"/>
        <w:rPr>
          <w:szCs w:val="20"/>
        </w:rPr>
      </w:pPr>
      <w:r w:rsidRPr="00162F8F">
        <w:rPr>
          <w:szCs w:val="20"/>
        </w:rPr>
        <w:t>(3) Naloge iz pristojnosti SIC opravljajo vsi vrhovni, višji in dodeljeni državni tožilci na Vrhovnem državnem tožilstvu ter tožilsko osebje.</w:t>
      </w:r>
    </w:p>
    <w:p w:rsidR="00AE2155" w:rsidRPr="00162F8F" w:rsidRDefault="00AE2155" w:rsidP="00B644CC">
      <w:pPr>
        <w:spacing w:line="288" w:lineRule="auto"/>
        <w:jc w:val="both"/>
        <w:rPr>
          <w:szCs w:val="20"/>
        </w:rPr>
      </w:pPr>
    </w:p>
    <w:p w:rsidR="00AE2155" w:rsidRPr="00B04D02" w:rsidRDefault="00AE2155" w:rsidP="00B644CC">
      <w:pPr>
        <w:spacing w:line="288" w:lineRule="auto"/>
        <w:jc w:val="both"/>
        <w:rPr>
          <w:szCs w:val="20"/>
        </w:rPr>
      </w:pPr>
      <w:r w:rsidRPr="00162F8F">
        <w:rPr>
          <w:szCs w:val="20"/>
        </w:rPr>
        <w:t>(4) Sredstva za delovanje centra se zagotavljajo iz proračuna Republike Slovenije.</w:t>
      </w:r>
    </w:p>
    <w:p w:rsidR="002E10B1" w:rsidRDefault="002E10B1" w:rsidP="00B644CC">
      <w:pPr>
        <w:pStyle w:val="Naslovpredpisa"/>
        <w:spacing w:before="0" w:after="0" w:line="260" w:lineRule="exact"/>
        <w:jc w:val="right"/>
        <w:rPr>
          <w:szCs w:val="20"/>
        </w:rPr>
      </w:pPr>
    </w:p>
    <w:sectPr w:rsidR="002E10B1" w:rsidSect="00C756F2">
      <w:headerReference w:type="default" r:id="rId14"/>
      <w:footerReference w:type="default" r:id="rId15"/>
      <w:headerReference w:type="first" r:id="rId16"/>
      <w:pgSz w:w="11900" w:h="16840" w:code="9"/>
      <w:pgMar w:top="1418" w:right="1552" w:bottom="993"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375" w:rsidRDefault="00547375">
      <w:r>
        <w:separator/>
      </w:r>
    </w:p>
  </w:endnote>
  <w:endnote w:type="continuationSeparator" w:id="0">
    <w:p w:rsidR="00547375" w:rsidRDefault="00547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sans-serif">
    <w:altName w:val="Arial"/>
    <w:panose1 w:val="00000000000000000000"/>
    <w:charset w:val="00"/>
    <w:family w:val="roman"/>
    <w:notTrueType/>
    <w:pitch w:val="default"/>
  </w:font>
  <w:font w:name="Arial Unicode MS">
    <w:panose1 w:val="020B0604020202020204"/>
    <w:charset w:val="00"/>
    <w:family w:val="roman"/>
    <w:pitch w:val="default"/>
    <w:sig w:usb0="00000000"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375" w:rsidRPr="00972570" w:rsidRDefault="00547375">
    <w:pPr>
      <w:pStyle w:val="Noga"/>
      <w:jc w:val="right"/>
      <w:rPr>
        <w:sz w:val="16"/>
        <w:szCs w:val="16"/>
      </w:rPr>
    </w:pPr>
    <w:r w:rsidRPr="00972570">
      <w:rPr>
        <w:sz w:val="16"/>
        <w:szCs w:val="16"/>
      </w:rPr>
      <w:fldChar w:fldCharType="begin"/>
    </w:r>
    <w:r w:rsidRPr="00972570">
      <w:rPr>
        <w:sz w:val="16"/>
        <w:szCs w:val="16"/>
      </w:rPr>
      <w:instrText xml:space="preserve"> PAGE   \* MERGEFORMAT </w:instrText>
    </w:r>
    <w:r w:rsidRPr="00972570">
      <w:rPr>
        <w:sz w:val="16"/>
        <w:szCs w:val="16"/>
      </w:rPr>
      <w:fldChar w:fldCharType="separate"/>
    </w:r>
    <w:r>
      <w:rPr>
        <w:noProof/>
        <w:sz w:val="16"/>
        <w:szCs w:val="16"/>
      </w:rPr>
      <w:t>53</w:t>
    </w:r>
    <w:r w:rsidRPr="00972570">
      <w:rPr>
        <w:noProof/>
        <w:sz w:val="16"/>
        <w:szCs w:val="16"/>
      </w:rPr>
      <w:fldChar w:fldCharType="end"/>
    </w:r>
  </w:p>
  <w:p w:rsidR="00547375" w:rsidRDefault="0054737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375" w:rsidRDefault="00547375">
      <w:r>
        <w:separator/>
      </w:r>
    </w:p>
  </w:footnote>
  <w:footnote w:type="continuationSeparator" w:id="0">
    <w:p w:rsidR="00547375" w:rsidRDefault="00547375">
      <w:r>
        <w:continuationSeparator/>
      </w:r>
    </w:p>
  </w:footnote>
  <w:footnote w:id="1">
    <w:p w:rsidR="00547375" w:rsidRPr="00AF4E51" w:rsidRDefault="00547375" w:rsidP="00AE2155">
      <w:pPr>
        <w:pStyle w:val="Sprotnaopomba-besedilo"/>
        <w:spacing w:line="288" w:lineRule="auto"/>
        <w:jc w:val="both"/>
        <w:rPr>
          <w:rFonts w:ascii="Arial" w:hAnsi="Arial" w:cs="Arial"/>
          <w:sz w:val="18"/>
          <w:szCs w:val="18"/>
        </w:rPr>
      </w:pPr>
      <w:r w:rsidRPr="00AF4E51">
        <w:rPr>
          <w:rStyle w:val="Sprotnaopomba-sklic"/>
          <w:rFonts w:ascii="Arial" w:hAnsi="Arial" w:cs="Arial"/>
          <w:sz w:val="18"/>
          <w:szCs w:val="18"/>
        </w:rPr>
        <w:footnoteRef/>
      </w:r>
      <w:r w:rsidRPr="00AF4E51">
        <w:rPr>
          <w:rFonts w:ascii="Arial" w:hAnsi="Arial" w:cs="Arial"/>
          <w:sz w:val="18"/>
          <w:szCs w:val="18"/>
        </w:rPr>
        <w:t xml:space="preserve"> Sklep Sveta z dne 28. februarja 2002 o ustanovitvi Eurojusta za okrepitev boja proti težjim oblikam kriminala, spremenjen s Sklepom 2003/659/PNZ in Sklepom Sveta 2009/426/PNZ z dne 16. decembra 2008 o okrepitvi Eurojusta</w:t>
      </w:r>
      <w:r>
        <w:rPr>
          <w:rFonts w:ascii="Arial" w:hAnsi="Arial" w:cs="Arial"/>
          <w:sz w:val="18"/>
          <w:szCs w:val="18"/>
        </w:rPr>
        <w:t xml:space="preserve">; </w:t>
      </w:r>
      <w:r w:rsidRPr="00AF4E51">
        <w:rPr>
          <w:rFonts w:ascii="Arial" w:hAnsi="Arial" w:cs="Arial"/>
          <w:sz w:val="18"/>
          <w:szCs w:val="18"/>
        </w:rPr>
        <w:t>UL L 63, 6.3.2002, str. 1</w:t>
      </w:r>
      <w:r>
        <w:rPr>
          <w:rFonts w:ascii="Arial" w:hAnsi="Arial" w:cs="Arial"/>
          <w:sz w:val="18"/>
          <w:szCs w:val="18"/>
        </w:rPr>
        <w:t>.</w:t>
      </w:r>
    </w:p>
  </w:footnote>
  <w:footnote w:id="2">
    <w:p w:rsidR="00547375" w:rsidRPr="00591CBB" w:rsidRDefault="00547375" w:rsidP="00AE2155">
      <w:pPr>
        <w:pStyle w:val="Sprotnaopomba-besedilo"/>
        <w:spacing w:line="288" w:lineRule="auto"/>
        <w:rPr>
          <w:rFonts w:ascii="Arial" w:hAnsi="Arial" w:cs="Arial"/>
          <w:sz w:val="18"/>
          <w:szCs w:val="18"/>
        </w:rPr>
      </w:pPr>
      <w:r w:rsidRPr="00591CBB">
        <w:rPr>
          <w:rStyle w:val="Sprotnaopomba-sklic"/>
          <w:rFonts w:ascii="Arial" w:hAnsi="Arial" w:cs="Arial"/>
          <w:sz w:val="18"/>
          <w:szCs w:val="18"/>
        </w:rPr>
        <w:footnoteRef/>
      </w:r>
      <w:r w:rsidRPr="00591CBB">
        <w:rPr>
          <w:rFonts w:ascii="Arial" w:hAnsi="Arial" w:cs="Arial"/>
          <w:sz w:val="18"/>
          <w:szCs w:val="18"/>
        </w:rPr>
        <w:t xml:space="preserve"> Letno poročilo Eurojusta za leto 2018, dostopno na povezavi: http://www.eurojust.europa.eu/doclibrary/corporate/Pages/annual-reports.aspx</w:t>
      </w:r>
    </w:p>
  </w:footnote>
  <w:footnote w:id="3">
    <w:p w:rsidR="00547375" w:rsidRPr="00902947" w:rsidRDefault="00547375" w:rsidP="00AE2155">
      <w:pPr>
        <w:pStyle w:val="Sprotnaopomba-besedilo"/>
        <w:jc w:val="both"/>
        <w:rPr>
          <w:rFonts w:ascii="Arial" w:eastAsia="Times New Roman" w:hAnsi="Arial" w:cs="Arial"/>
          <w:sz w:val="18"/>
          <w:szCs w:val="18"/>
          <w:lang w:eastAsia="ar-SA"/>
        </w:rPr>
      </w:pPr>
      <w:r>
        <w:rPr>
          <w:rStyle w:val="Sprotnaopomba-sklic"/>
        </w:rPr>
        <w:footnoteRef/>
      </w:r>
      <w:r w:rsidRPr="00902947">
        <w:rPr>
          <w:rFonts w:ascii="Arial" w:eastAsia="Times New Roman" w:hAnsi="Arial" w:cs="Arial"/>
          <w:sz w:val="18"/>
          <w:szCs w:val="18"/>
          <w:lang w:eastAsia="ar-SA"/>
        </w:rPr>
        <w:t xml:space="preserve">Uradni list RS, št. </w:t>
      </w:r>
      <w:hyperlink r:id="rId1" w:tgtFrame="_blank" w:tooltip="Zakon o sistemu plač v javnem sektorju (uradno prečiščeno besedilo)" w:history="1">
        <w:r w:rsidRPr="00902947">
          <w:rPr>
            <w:rFonts w:ascii="Arial" w:eastAsia="Times New Roman" w:hAnsi="Arial" w:cs="Arial"/>
            <w:sz w:val="18"/>
            <w:szCs w:val="18"/>
            <w:lang w:eastAsia="ar-SA"/>
          </w:rPr>
          <w:t>108/09</w:t>
        </w:r>
      </w:hyperlink>
      <w:r w:rsidRPr="00902947">
        <w:rPr>
          <w:rFonts w:ascii="Arial" w:eastAsia="Times New Roman" w:hAnsi="Arial" w:cs="Arial"/>
          <w:sz w:val="18"/>
          <w:szCs w:val="18"/>
          <w:lang w:eastAsia="ar-SA"/>
        </w:rPr>
        <w:t xml:space="preserve"> – uradno prečiščeno besedilo, </w:t>
      </w:r>
      <w:hyperlink r:id="rId2" w:tgtFrame="_blank" w:tooltip="Zakon o spremembah Zakona o sistemu plač v javnem sektorju" w:history="1">
        <w:r w:rsidRPr="00902947">
          <w:rPr>
            <w:rFonts w:ascii="Arial" w:eastAsia="Times New Roman" w:hAnsi="Arial" w:cs="Arial"/>
            <w:sz w:val="18"/>
            <w:szCs w:val="18"/>
            <w:lang w:eastAsia="ar-SA"/>
          </w:rPr>
          <w:t>13/10</w:t>
        </w:r>
      </w:hyperlink>
      <w:r w:rsidRPr="00902947">
        <w:rPr>
          <w:rFonts w:ascii="Arial" w:eastAsia="Times New Roman" w:hAnsi="Arial" w:cs="Arial"/>
          <w:sz w:val="18"/>
          <w:szCs w:val="18"/>
          <w:lang w:eastAsia="ar-SA"/>
        </w:rPr>
        <w:t xml:space="preserve">, </w:t>
      </w:r>
      <w:hyperlink r:id="rId3" w:tgtFrame="_blank" w:tooltip="Zakon o spremembah in dopolnitvah Zakona o sistemu plač v javnem sektorju" w:history="1">
        <w:r w:rsidRPr="00902947">
          <w:rPr>
            <w:rFonts w:ascii="Arial" w:eastAsia="Times New Roman" w:hAnsi="Arial" w:cs="Arial"/>
            <w:sz w:val="18"/>
            <w:szCs w:val="18"/>
            <w:lang w:eastAsia="ar-SA"/>
          </w:rPr>
          <w:t>59/10</w:t>
        </w:r>
      </w:hyperlink>
      <w:r w:rsidRPr="00902947">
        <w:rPr>
          <w:rFonts w:ascii="Arial" w:eastAsia="Times New Roman" w:hAnsi="Arial" w:cs="Arial"/>
          <w:sz w:val="18"/>
          <w:szCs w:val="18"/>
          <w:lang w:eastAsia="ar-SA"/>
        </w:rPr>
        <w:t xml:space="preserve">, </w:t>
      </w:r>
      <w:hyperlink r:id="rId4" w:tgtFrame="_blank" w:tooltip="Zakon o spremembi Zakona o sistemu plač v javnem sektorju" w:history="1">
        <w:r w:rsidRPr="00902947">
          <w:rPr>
            <w:rFonts w:ascii="Arial" w:eastAsia="Times New Roman" w:hAnsi="Arial" w:cs="Arial"/>
            <w:sz w:val="18"/>
            <w:szCs w:val="18"/>
            <w:lang w:eastAsia="ar-SA"/>
          </w:rPr>
          <w:t>85/10</w:t>
        </w:r>
      </w:hyperlink>
      <w:r w:rsidRPr="00902947">
        <w:rPr>
          <w:rFonts w:ascii="Arial" w:eastAsia="Times New Roman" w:hAnsi="Arial" w:cs="Arial"/>
          <w:sz w:val="18"/>
          <w:szCs w:val="18"/>
          <w:lang w:eastAsia="ar-SA"/>
        </w:rPr>
        <w:t xml:space="preserve">, </w:t>
      </w:r>
      <w:hyperlink r:id="rId5" w:tgtFrame="_blank" w:tooltip="Zakon o spremembi Zakona o sistemu plač v javnem sektorju" w:history="1">
        <w:r w:rsidRPr="00902947">
          <w:rPr>
            <w:rFonts w:ascii="Arial" w:eastAsia="Times New Roman" w:hAnsi="Arial" w:cs="Arial"/>
            <w:sz w:val="18"/>
            <w:szCs w:val="18"/>
            <w:lang w:eastAsia="ar-SA"/>
          </w:rPr>
          <w:t>107/10</w:t>
        </w:r>
      </w:hyperlink>
      <w:r w:rsidRPr="00902947">
        <w:rPr>
          <w:rFonts w:ascii="Arial" w:eastAsia="Times New Roman" w:hAnsi="Arial" w:cs="Arial"/>
          <w:sz w:val="18"/>
          <w:szCs w:val="18"/>
          <w:lang w:eastAsia="ar-SA"/>
        </w:rPr>
        <w:t xml:space="preserve">, </w:t>
      </w:r>
      <w:hyperlink r:id="rId6" w:tgtFrame="_blank" w:tooltip="Avtentična razlaga 49.a člena Zakona o sistemu plač v javnem sektorju" w:history="1">
        <w:r w:rsidRPr="00902947">
          <w:rPr>
            <w:rFonts w:ascii="Arial" w:eastAsia="Times New Roman" w:hAnsi="Arial" w:cs="Arial"/>
            <w:sz w:val="18"/>
            <w:szCs w:val="18"/>
            <w:lang w:eastAsia="ar-SA"/>
          </w:rPr>
          <w:t>35/11</w:t>
        </w:r>
      </w:hyperlink>
      <w:r w:rsidRPr="00902947">
        <w:rPr>
          <w:rFonts w:ascii="Arial" w:eastAsia="Times New Roman" w:hAnsi="Arial" w:cs="Arial"/>
          <w:sz w:val="18"/>
          <w:szCs w:val="18"/>
          <w:lang w:eastAsia="ar-SA"/>
        </w:rPr>
        <w:t xml:space="preserve"> – ORZSPJS49a, </w:t>
      </w:r>
      <w:hyperlink r:id="rId7" w:tgtFrame="_blank" w:tooltip="Odločba o ugotovitvi, da so prvi do deseti odstavek 42. člena Zakona o sistemu plač v javnem sektorju in 2. člen Zakona o spremembi Zakona o sistemu plač v javnem sektorju, kolikor se nanaša na navedene določbe, v neskladju z Ustavo" w:history="1">
        <w:r w:rsidRPr="00902947">
          <w:rPr>
            <w:rFonts w:ascii="Arial" w:eastAsia="Times New Roman" w:hAnsi="Arial" w:cs="Arial"/>
            <w:sz w:val="18"/>
            <w:szCs w:val="18"/>
            <w:lang w:eastAsia="ar-SA"/>
          </w:rPr>
          <w:t>27/12</w:t>
        </w:r>
      </w:hyperlink>
      <w:r w:rsidRPr="00902947">
        <w:rPr>
          <w:rFonts w:ascii="Arial" w:eastAsia="Times New Roman" w:hAnsi="Arial" w:cs="Arial"/>
          <w:sz w:val="18"/>
          <w:szCs w:val="18"/>
          <w:lang w:eastAsia="ar-SA"/>
        </w:rPr>
        <w:t xml:space="preserve"> – odl. US, </w:t>
      </w:r>
      <w:hyperlink r:id="rId8" w:tgtFrame="_blank" w:tooltip="Zakon za uravnoteženje javnih financ" w:history="1">
        <w:r w:rsidRPr="00902947">
          <w:rPr>
            <w:rFonts w:ascii="Arial" w:eastAsia="Times New Roman" w:hAnsi="Arial" w:cs="Arial"/>
            <w:sz w:val="18"/>
            <w:szCs w:val="18"/>
            <w:lang w:eastAsia="ar-SA"/>
          </w:rPr>
          <w:t>40/12</w:t>
        </w:r>
      </w:hyperlink>
      <w:r w:rsidRPr="00902947">
        <w:rPr>
          <w:rFonts w:ascii="Arial" w:eastAsia="Times New Roman" w:hAnsi="Arial" w:cs="Arial"/>
          <w:sz w:val="18"/>
          <w:szCs w:val="18"/>
          <w:lang w:eastAsia="ar-SA"/>
        </w:rPr>
        <w:t xml:space="preserve"> – ZUJF, </w:t>
      </w:r>
      <w:hyperlink r:id="rId9" w:tgtFrame="_blank" w:tooltip="Zakon o spremembi in dopolnitvah Zakona o sistemu plač v javnem sektorju" w:history="1">
        <w:r w:rsidRPr="00902947">
          <w:rPr>
            <w:rFonts w:ascii="Arial" w:eastAsia="Times New Roman" w:hAnsi="Arial" w:cs="Arial"/>
            <w:sz w:val="18"/>
            <w:szCs w:val="18"/>
            <w:lang w:eastAsia="ar-SA"/>
          </w:rPr>
          <w:t>46/13</w:t>
        </w:r>
      </w:hyperlink>
      <w:r w:rsidRPr="00902947">
        <w:rPr>
          <w:rFonts w:ascii="Arial" w:eastAsia="Times New Roman" w:hAnsi="Arial" w:cs="Arial"/>
          <w:sz w:val="18"/>
          <w:szCs w:val="18"/>
          <w:lang w:eastAsia="ar-SA"/>
        </w:rPr>
        <w:t xml:space="preserve">, </w:t>
      </w:r>
      <w:hyperlink r:id="rId10" w:tgtFrame="_blank" w:tooltip="Zakon o finančni upravi" w:history="1">
        <w:r w:rsidRPr="00902947">
          <w:rPr>
            <w:rFonts w:ascii="Arial" w:eastAsia="Times New Roman" w:hAnsi="Arial" w:cs="Arial"/>
            <w:sz w:val="18"/>
            <w:szCs w:val="18"/>
            <w:lang w:eastAsia="ar-SA"/>
          </w:rPr>
          <w:t>25/14</w:t>
        </w:r>
      </w:hyperlink>
      <w:r w:rsidRPr="00902947">
        <w:rPr>
          <w:rFonts w:ascii="Arial" w:eastAsia="Times New Roman" w:hAnsi="Arial" w:cs="Arial"/>
          <w:sz w:val="18"/>
          <w:szCs w:val="18"/>
          <w:lang w:eastAsia="ar-SA"/>
        </w:rPr>
        <w:t xml:space="preserve"> – ZFU, </w:t>
      </w:r>
      <w:hyperlink r:id="rId11" w:tgtFrame="_blank" w:tooltip="Zakon o spremembah Zakona o sistemu plač v javnem sektorju" w:history="1">
        <w:r w:rsidRPr="00902947">
          <w:rPr>
            <w:rFonts w:ascii="Arial" w:eastAsia="Times New Roman" w:hAnsi="Arial" w:cs="Arial"/>
            <w:sz w:val="18"/>
            <w:szCs w:val="18"/>
            <w:lang w:eastAsia="ar-SA"/>
          </w:rPr>
          <w:t>50/14</w:t>
        </w:r>
      </w:hyperlink>
      <w:r w:rsidRPr="00902947">
        <w:rPr>
          <w:rFonts w:ascii="Arial" w:eastAsia="Times New Roman" w:hAnsi="Arial" w:cs="Arial"/>
          <w:sz w:val="18"/>
          <w:szCs w:val="18"/>
          <w:lang w:eastAsia="ar-SA"/>
        </w:rPr>
        <w:t xml:space="preserve">, </w:t>
      </w:r>
      <w:hyperlink r:id="rId12" w:tgtFrame="_blank" w:tooltip="Zakon o ukrepih na področju plač in drugih stroškov dela v javnem sektorju za leto 2015" w:history="1">
        <w:r w:rsidRPr="00902947">
          <w:rPr>
            <w:rFonts w:ascii="Arial" w:eastAsia="Times New Roman" w:hAnsi="Arial" w:cs="Arial"/>
            <w:sz w:val="18"/>
            <w:szCs w:val="18"/>
            <w:lang w:eastAsia="ar-SA"/>
          </w:rPr>
          <w:t>95/14</w:t>
        </w:r>
      </w:hyperlink>
      <w:r w:rsidRPr="00902947">
        <w:rPr>
          <w:rFonts w:ascii="Arial" w:eastAsia="Times New Roman" w:hAnsi="Arial" w:cs="Arial"/>
          <w:sz w:val="18"/>
          <w:szCs w:val="18"/>
          <w:lang w:eastAsia="ar-SA"/>
        </w:rPr>
        <w:t xml:space="preserve"> – ZUPPJS15, </w:t>
      </w:r>
      <w:hyperlink r:id="rId13" w:tgtFrame="_blank" w:tooltip="Zakon o dopolnitvi Zakona o sistemu plač v javnem sektorju" w:history="1">
        <w:r w:rsidRPr="00902947">
          <w:rPr>
            <w:rFonts w:ascii="Arial" w:eastAsia="Times New Roman" w:hAnsi="Arial" w:cs="Arial"/>
            <w:sz w:val="18"/>
            <w:szCs w:val="18"/>
            <w:lang w:eastAsia="ar-SA"/>
          </w:rPr>
          <w:t>82/15</w:t>
        </w:r>
      </w:hyperlink>
      <w:r w:rsidRPr="00902947">
        <w:rPr>
          <w:rFonts w:ascii="Arial" w:eastAsia="Times New Roman" w:hAnsi="Arial" w:cs="Arial"/>
          <w:sz w:val="18"/>
          <w:szCs w:val="18"/>
          <w:lang w:eastAsia="ar-SA"/>
        </w:rPr>
        <w:t xml:space="preserve">, </w:t>
      </w:r>
      <w:hyperlink r:id="rId14" w:tgtFrame="_blank" w:tooltip="Zakon o državnem odvetništvu" w:history="1">
        <w:r w:rsidRPr="00902947">
          <w:rPr>
            <w:rFonts w:ascii="Arial" w:eastAsia="Times New Roman" w:hAnsi="Arial" w:cs="Arial"/>
            <w:sz w:val="18"/>
            <w:szCs w:val="18"/>
            <w:lang w:eastAsia="ar-SA"/>
          </w:rPr>
          <w:t>23/17</w:t>
        </w:r>
      </w:hyperlink>
      <w:r w:rsidRPr="00902947">
        <w:rPr>
          <w:rFonts w:ascii="Arial" w:eastAsia="Times New Roman" w:hAnsi="Arial" w:cs="Arial"/>
          <w:sz w:val="18"/>
          <w:szCs w:val="18"/>
          <w:lang w:eastAsia="ar-SA"/>
        </w:rPr>
        <w:t xml:space="preserve"> – ZDOdv, </w:t>
      </w:r>
      <w:hyperlink r:id="rId15" w:tgtFrame="_blank" w:tooltip="Zakon o spremembah Zakona o sistemu plač v javnem sektorju" w:history="1">
        <w:r w:rsidRPr="00902947">
          <w:rPr>
            <w:rFonts w:ascii="Arial" w:eastAsia="Times New Roman" w:hAnsi="Arial" w:cs="Arial"/>
            <w:sz w:val="18"/>
            <w:szCs w:val="18"/>
            <w:lang w:eastAsia="ar-SA"/>
          </w:rPr>
          <w:t>67/17</w:t>
        </w:r>
      </w:hyperlink>
      <w:r w:rsidRPr="00902947">
        <w:rPr>
          <w:rFonts w:ascii="Arial" w:eastAsia="Times New Roman" w:hAnsi="Arial" w:cs="Arial"/>
          <w:sz w:val="18"/>
          <w:szCs w:val="18"/>
          <w:lang w:eastAsia="ar-SA"/>
        </w:rPr>
        <w:t xml:space="preserve"> in </w:t>
      </w:r>
      <w:hyperlink r:id="rId16" w:tgtFrame="_blank" w:tooltip="Zakon o spremembi in dopolnitvah Zakona o sistemu plač v javnem sektorju" w:history="1">
        <w:r w:rsidRPr="00902947">
          <w:rPr>
            <w:rFonts w:ascii="Arial" w:eastAsia="Times New Roman" w:hAnsi="Arial" w:cs="Arial"/>
            <w:sz w:val="18"/>
            <w:szCs w:val="18"/>
            <w:lang w:eastAsia="ar-SA"/>
          </w:rPr>
          <w:t>84/18</w:t>
        </w:r>
      </w:hyperlink>
      <w:r>
        <w:rPr>
          <w:rFonts w:ascii="Arial" w:eastAsia="Times New Roman" w:hAnsi="Arial" w:cs="Arial"/>
          <w:sz w:val="18"/>
          <w:szCs w:val="18"/>
          <w:lang w:eastAsia="ar-SA"/>
        </w:rPr>
        <w:t>.</w:t>
      </w:r>
    </w:p>
  </w:footnote>
  <w:footnote w:id="4">
    <w:p w:rsidR="00547375" w:rsidRPr="00364C0F" w:rsidRDefault="00547375" w:rsidP="00AE2155">
      <w:pPr>
        <w:pStyle w:val="Sprotnaopomba-besedilo"/>
        <w:jc w:val="both"/>
        <w:rPr>
          <w:rFonts w:ascii="Arial" w:hAnsi="Arial" w:cs="Arial"/>
          <w:sz w:val="18"/>
          <w:szCs w:val="18"/>
        </w:rPr>
      </w:pPr>
      <w:r w:rsidRPr="00364C0F">
        <w:rPr>
          <w:rStyle w:val="Sprotnaopomba-sklic"/>
          <w:rFonts w:ascii="Arial" w:hAnsi="Arial" w:cs="Arial"/>
          <w:sz w:val="18"/>
          <w:szCs w:val="18"/>
        </w:rPr>
        <w:footnoteRef/>
      </w:r>
      <w:r w:rsidRPr="00364C0F">
        <w:rPr>
          <w:rFonts w:ascii="Arial" w:hAnsi="Arial" w:cs="Arial"/>
          <w:sz w:val="18"/>
          <w:szCs w:val="18"/>
        </w:rPr>
        <w:t xml:space="preserve"> Uradni list RS, št. 63/07 – uradno prečiščeno besedilo, 65/08, 69/08 – ZTFI-A, 69/08 – ZZavar-E in 40/12 – ZUJF.</w:t>
      </w:r>
    </w:p>
  </w:footnote>
  <w:footnote w:id="5">
    <w:p w:rsidR="00547375" w:rsidRDefault="00547375" w:rsidP="0055102A">
      <w:pPr>
        <w:pStyle w:val="Sprotnaopomba-besedilo"/>
        <w:jc w:val="both"/>
        <w:rPr>
          <w:rFonts w:ascii="Arial" w:hAnsi="Arial" w:cs="Arial"/>
          <w:sz w:val="18"/>
          <w:szCs w:val="18"/>
        </w:rPr>
      </w:pPr>
      <w:r w:rsidRPr="00A60B78">
        <w:rPr>
          <w:rStyle w:val="Sprotnaopomba-sklic"/>
          <w:rFonts w:ascii="Arial" w:hAnsi="Arial" w:cs="Arial"/>
          <w:sz w:val="18"/>
          <w:szCs w:val="18"/>
        </w:rPr>
        <w:footnoteRef/>
      </w:r>
      <w:r w:rsidRPr="00A60B78">
        <w:rPr>
          <w:rFonts w:ascii="Arial" w:hAnsi="Arial" w:cs="Arial"/>
          <w:sz w:val="18"/>
          <w:szCs w:val="18"/>
        </w:rPr>
        <w:t xml:space="preserve"> Uradni list RS, št. </w:t>
      </w:r>
      <w:hyperlink r:id="rId17" w:tgtFrame="_blank" w:tooltip="Zakon o delovnih razmerjih (ZDR-1)" w:history="1">
        <w:r w:rsidRPr="00A60B78">
          <w:rPr>
            <w:rFonts w:ascii="Arial" w:hAnsi="Arial" w:cs="Arial"/>
            <w:sz w:val="18"/>
            <w:szCs w:val="18"/>
          </w:rPr>
          <w:t>21/13</w:t>
        </w:r>
      </w:hyperlink>
      <w:r w:rsidRPr="00A60B78">
        <w:rPr>
          <w:rFonts w:ascii="Arial" w:hAnsi="Arial" w:cs="Arial"/>
          <w:sz w:val="18"/>
          <w:szCs w:val="18"/>
        </w:rPr>
        <w:t xml:space="preserve">, </w:t>
      </w:r>
      <w:hyperlink r:id="rId18" w:tgtFrame="_blank" w:tooltip="Popravek Zakona o delovnih razmerjih" w:history="1">
        <w:r w:rsidRPr="00A60B78">
          <w:rPr>
            <w:rFonts w:ascii="Arial" w:hAnsi="Arial" w:cs="Arial"/>
            <w:sz w:val="18"/>
            <w:szCs w:val="18"/>
          </w:rPr>
          <w:t>78/13 – popr.</w:t>
        </w:r>
      </w:hyperlink>
      <w:r w:rsidRPr="00A60B78">
        <w:rPr>
          <w:rFonts w:ascii="Arial" w:hAnsi="Arial" w:cs="Arial"/>
          <w:sz w:val="18"/>
          <w:szCs w:val="18"/>
        </w:rPr>
        <w:t xml:space="preserve">, </w:t>
      </w:r>
      <w:hyperlink r:id="rId19" w:tgtFrame="_blank" w:tooltip="Zakon o zaposlovanju, samozaposlovanju in delu tujcev" w:history="1">
        <w:r w:rsidRPr="00A60B78">
          <w:rPr>
            <w:rFonts w:ascii="Arial" w:hAnsi="Arial" w:cs="Arial"/>
            <w:sz w:val="18"/>
            <w:szCs w:val="18"/>
          </w:rPr>
          <w:t>47/15</w:t>
        </w:r>
      </w:hyperlink>
      <w:r w:rsidRPr="00A60B78">
        <w:rPr>
          <w:rFonts w:ascii="Arial" w:hAnsi="Arial" w:cs="Arial"/>
          <w:sz w:val="18"/>
          <w:szCs w:val="18"/>
        </w:rPr>
        <w:t xml:space="preserve"> – ZZSDT, </w:t>
      </w:r>
      <w:hyperlink r:id="rId20" w:tgtFrame="_blank" w:tooltip="Zakon o spremembah in dopolnitvah Pomorskega zakonika" w:history="1">
        <w:r w:rsidRPr="00A60B78">
          <w:rPr>
            <w:rFonts w:ascii="Arial" w:hAnsi="Arial" w:cs="Arial"/>
            <w:sz w:val="18"/>
            <w:szCs w:val="18"/>
          </w:rPr>
          <w:t>33/16</w:t>
        </w:r>
      </w:hyperlink>
      <w:r w:rsidRPr="00A60B78">
        <w:rPr>
          <w:rFonts w:ascii="Arial" w:hAnsi="Arial" w:cs="Arial"/>
          <w:sz w:val="18"/>
          <w:szCs w:val="18"/>
        </w:rPr>
        <w:t xml:space="preserve"> – PZ-F, </w:t>
      </w:r>
      <w:hyperlink r:id="rId21" w:tgtFrame="_blank" w:tooltip="Zakon o dopolnitvah Zakona o delovnih razmerjih" w:history="1">
        <w:r w:rsidRPr="00A60B78">
          <w:rPr>
            <w:rFonts w:ascii="Arial" w:hAnsi="Arial" w:cs="Arial"/>
            <w:sz w:val="18"/>
            <w:szCs w:val="18"/>
          </w:rPr>
          <w:t>52/16</w:t>
        </w:r>
      </w:hyperlink>
      <w:r w:rsidRPr="00A60B78">
        <w:rPr>
          <w:rFonts w:ascii="Arial" w:hAnsi="Arial" w:cs="Arial"/>
          <w:sz w:val="18"/>
          <w:szCs w:val="18"/>
        </w:rPr>
        <w:t xml:space="preserve">, </w:t>
      </w:r>
      <w:hyperlink r:id="rId22" w:tgtFrame="_blank" w:tooltip="Odločba o razveljavitvi četrtega odstavka 88. člena Zakona o delovnih razmerjih in delni razveljavitvi sklepa Vrhovnega sodišča, sklepa Višjega delovnega in socialnega sodišča in sklepa Delovnega sodišča v Mariboru" w:history="1">
        <w:r w:rsidRPr="00A60B78">
          <w:rPr>
            <w:rFonts w:ascii="Arial" w:hAnsi="Arial" w:cs="Arial"/>
            <w:sz w:val="18"/>
            <w:szCs w:val="18"/>
          </w:rPr>
          <w:t>15/17</w:t>
        </w:r>
      </w:hyperlink>
      <w:r w:rsidRPr="00A60B78">
        <w:rPr>
          <w:rFonts w:ascii="Arial" w:hAnsi="Arial" w:cs="Arial"/>
          <w:sz w:val="18"/>
          <w:szCs w:val="18"/>
        </w:rPr>
        <w:t xml:space="preserve"> – odl. US, </w:t>
      </w:r>
      <w:hyperlink r:id="rId23" w:tgtFrame="_blank" w:tooltip="Zakon o poslovni skrivnosti" w:history="1">
        <w:r w:rsidRPr="00A60B78">
          <w:rPr>
            <w:rFonts w:ascii="Arial" w:hAnsi="Arial" w:cs="Arial"/>
            <w:sz w:val="18"/>
            <w:szCs w:val="18"/>
          </w:rPr>
          <w:t>22/19</w:t>
        </w:r>
      </w:hyperlink>
      <w:r w:rsidRPr="00A60B78">
        <w:rPr>
          <w:rFonts w:ascii="Arial" w:hAnsi="Arial" w:cs="Arial"/>
          <w:sz w:val="18"/>
          <w:szCs w:val="18"/>
        </w:rPr>
        <w:t xml:space="preserve"> –</w:t>
      </w:r>
    </w:p>
    <w:p w:rsidR="00547375" w:rsidRPr="00A60B78" w:rsidRDefault="00547375" w:rsidP="0055102A">
      <w:pPr>
        <w:pStyle w:val="Sprotnaopomba-besedilo"/>
        <w:jc w:val="both"/>
        <w:rPr>
          <w:rFonts w:ascii="Arial" w:hAnsi="Arial" w:cs="Arial"/>
          <w:sz w:val="18"/>
          <w:szCs w:val="18"/>
        </w:rPr>
      </w:pPr>
      <w:r w:rsidRPr="00A60B78">
        <w:rPr>
          <w:rFonts w:ascii="Arial" w:hAnsi="Arial" w:cs="Arial"/>
          <w:sz w:val="18"/>
          <w:szCs w:val="18"/>
        </w:rPr>
        <w:t xml:space="preserve">ZPosS in </w:t>
      </w:r>
      <w:hyperlink r:id="rId24" w:tgtFrame="_blank" w:tooltip="Zakon o dopolnitvi Zakona o delovnih razmerjih" w:history="1">
        <w:r w:rsidRPr="00A60B78">
          <w:rPr>
            <w:rFonts w:ascii="Arial" w:hAnsi="Arial" w:cs="Arial"/>
            <w:sz w:val="18"/>
            <w:szCs w:val="18"/>
          </w:rPr>
          <w:t>81/19</w:t>
        </w:r>
      </w:hyperlink>
      <w:r w:rsidRPr="00A60B78">
        <w:rPr>
          <w:rFonts w:ascii="Arial" w:hAnsi="Arial" w:cs="Arial"/>
          <w:sz w:val="18"/>
          <w:szCs w:val="18"/>
        </w:rPr>
        <w:t>.</w:t>
      </w:r>
    </w:p>
  </w:footnote>
  <w:footnote w:id="6">
    <w:p w:rsidR="00547375" w:rsidRDefault="00547375" w:rsidP="00E762CA">
      <w:pPr>
        <w:pStyle w:val="Sprotnaopomba-besedilo"/>
        <w:spacing w:line="288" w:lineRule="auto"/>
        <w:jc w:val="both"/>
        <w:rPr>
          <w:rFonts w:ascii="Arial" w:hAnsi="Arial" w:cs="Arial"/>
          <w:sz w:val="18"/>
          <w:szCs w:val="18"/>
        </w:rPr>
      </w:pPr>
      <w:r w:rsidRPr="0034293D">
        <w:rPr>
          <w:rStyle w:val="Sprotnaopomba-sklic"/>
        </w:rPr>
        <w:footnoteRef/>
      </w:r>
      <w:r w:rsidRPr="0034293D">
        <w:rPr>
          <w:rStyle w:val="Sprotnaopomba-sklic"/>
        </w:rPr>
        <w:t xml:space="preserve"> </w:t>
      </w:r>
      <w:r>
        <w:rPr>
          <w:rFonts w:ascii="Arial" w:hAnsi="Arial" w:cs="Arial"/>
          <w:sz w:val="18"/>
          <w:szCs w:val="18"/>
        </w:rPr>
        <w:t>Uradni list RS, št. 15/13, 11/14, 86/15, 77/16, 77/17, 36/19 in 66/19 – ZDZ.</w:t>
      </w:r>
    </w:p>
  </w:footnote>
  <w:footnote w:id="7">
    <w:p w:rsidR="00547375" w:rsidRDefault="00547375" w:rsidP="00E762CA">
      <w:pPr>
        <w:pStyle w:val="Sprotnaopomba-besedilo"/>
      </w:pPr>
      <w:r w:rsidRPr="0034293D">
        <w:rPr>
          <w:rStyle w:val="Sprotnaopomba-sklic"/>
        </w:rPr>
        <w:footnoteRef/>
      </w:r>
      <w:r>
        <w:rPr>
          <w:rFonts w:ascii="Arial" w:hAnsi="Arial"/>
          <w:color w:val="000000"/>
          <w:sz w:val="18"/>
          <w:szCs w:val="18"/>
        </w:rPr>
        <w:t xml:space="preserve"> Uradni list RS, št. </w:t>
      </w:r>
      <w:hyperlink r:id="rId25" w:tgtFrame="_blank">
        <w:r>
          <w:rPr>
            <w:rStyle w:val="Spletnapovezava"/>
            <w:rFonts w:ascii="Arial" w:hAnsi="Arial"/>
            <w:color w:val="000000"/>
            <w:sz w:val="18"/>
            <w:szCs w:val="18"/>
          </w:rPr>
          <w:t>41/12</w:t>
        </w:r>
      </w:hyperlink>
      <w:r>
        <w:rPr>
          <w:rFonts w:ascii="Arial" w:hAnsi="Arial"/>
          <w:color w:val="000000"/>
          <w:sz w:val="18"/>
          <w:szCs w:val="18"/>
        </w:rPr>
        <w:t xml:space="preserve">, </w:t>
      </w:r>
      <w:hyperlink r:id="rId26" w:tgtFrame="_blank">
        <w:r>
          <w:rPr>
            <w:rStyle w:val="Spletnapovezava"/>
            <w:rFonts w:ascii="Arial" w:hAnsi="Arial"/>
            <w:color w:val="000000"/>
            <w:sz w:val="18"/>
            <w:szCs w:val="18"/>
          </w:rPr>
          <w:t>97/12</w:t>
        </w:r>
      </w:hyperlink>
      <w:r>
        <w:rPr>
          <w:rFonts w:ascii="Arial" w:hAnsi="Arial"/>
          <w:color w:val="000000"/>
          <w:sz w:val="18"/>
          <w:szCs w:val="18"/>
        </w:rPr>
        <w:t xml:space="preserve">, 41/14 in 22/16. </w:t>
      </w:r>
    </w:p>
  </w:footnote>
  <w:footnote w:id="8">
    <w:p w:rsidR="00547375" w:rsidRDefault="00547375" w:rsidP="00E762CA">
      <w:pPr>
        <w:pStyle w:val="Sprotnaopomba-besedilo"/>
        <w:spacing w:line="288" w:lineRule="auto"/>
        <w:jc w:val="both"/>
        <w:rPr>
          <w:rFonts w:ascii="Arial" w:hAnsi="Arial" w:cs="Arial"/>
          <w:sz w:val="18"/>
          <w:szCs w:val="18"/>
        </w:rPr>
      </w:pPr>
      <w:r w:rsidRPr="0034293D">
        <w:rPr>
          <w:rStyle w:val="Sprotnaopomba-sklic"/>
        </w:rPr>
        <w:footnoteRef/>
      </w:r>
      <w:r>
        <w:rPr>
          <w:rFonts w:ascii="Arial" w:hAnsi="Arial" w:cs="Arial"/>
          <w:sz w:val="18"/>
          <w:szCs w:val="18"/>
        </w:rPr>
        <w:t xml:space="preserve"> U</w:t>
      </w:r>
      <w:r>
        <w:rPr>
          <w:rFonts w:ascii="Arial" w:hAnsi="Arial" w:cs="Arial"/>
          <w:bCs/>
          <w:sz w:val="18"/>
          <w:szCs w:val="18"/>
          <w:shd w:val="clear" w:color="auto" w:fill="FFFFFF"/>
        </w:rPr>
        <w:t>radni list RS, št. </w:t>
      </w:r>
      <w:hyperlink r:id="rId27" w:tgtFrame="Zakon o finančni upravi (ZFU)">
        <w:r>
          <w:rPr>
            <w:rStyle w:val="Spletnapovezava"/>
            <w:rFonts w:ascii="Arial" w:hAnsi="Arial" w:cs="Arial"/>
            <w:bCs/>
            <w:color w:val="000000"/>
            <w:sz w:val="18"/>
            <w:szCs w:val="18"/>
            <w:highlight w:val="white"/>
          </w:rPr>
          <w:t>25/14</w:t>
        </w:r>
      </w:hyperlink>
      <w:r>
        <w:rPr>
          <w:rFonts w:ascii="Arial" w:hAnsi="Arial" w:cs="Arial"/>
          <w:sz w:val="18"/>
          <w:szCs w:val="18"/>
        </w:rPr>
        <w:t>.</w:t>
      </w:r>
    </w:p>
  </w:footnote>
  <w:footnote w:id="9">
    <w:p w:rsidR="00547375" w:rsidRDefault="00547375" w:rsidP="00E762CA">
      <w:pPr>
        <w:pStyle w:val="Sprotnaopomba-besedilo"/>
        <w:rPr>
          <w:rFonts w:ascii="Arial" w:hAnsi="Arial"/>
        </w:rPr>
      </w:pPr>
      <w:r w:rsidRPr="0034293D">
        <w:rPr>
          <w:rStyle w:val="Sprotnaopomba-sklic"/>
        </w:rPr>
        <w:footnoteRef/>
      </w:r>
      <w:r>
        <w:rPr>
          <w:rFonts w:ascii="Arial" w:hAnsi="Arial"/>
          <w:color w:val="000000"/>
          <w:sz w:val="18"/>
          <w:szCs w:val="18"/>
        </w:rPr>
        <w:t xml:space="preserve"> Uradni list RS, št. 103/0 – uradno prečiščeno besedilo in 95/15.</w:t>
      </w:r>
      <w:r>
        <w:rPr>
          <w:rFonts w:ascii="Arial" w:hAnsi="Arial"/>
          <w:color w:val="000000"/>
          <w:sz w:val="16"/>
          <w:szCs w:val="16"/>
        </w:rPr>
        <w:t xml:space="preserve">  </w:t>
      </w:r>
    </w:p>
  </w:footnote>
  <w:footnote w:id="10">
    <w:p w:rsidR="00547375" w:rsidRPr="006933AF" w:rsidRDefault="00547375" w:rsidP="00AE2155">
      <w:pPr>
        <w:pStyle w:val="Sprotnaopomba-besedilo"/>
        <w:spacing w:line="288" w:lineRule="auto"/>
        <w:jc w:val="both"/>
        <w:rPr>
          <w:rFonts w:ascii="Arial" w:hAnsi="Arial" w:cs="Arial"/>
          <w:sz w:val="18"/>
          <w:szCs w:val="18"/>
        </w:rPr>
      </w:pPr>
      <w:r>
        <w:rPr>
          <w:rStyle w:val="Sprotnaopomba-sklic"/>
        </w:rPr>
        <w:footnoteRef/>
      </w:r>
      <w:r>
        <w:t xml:space="preserve"> </w:t>
      </w:r>
      <w:r w:rsidRPr="006933AF">
        <w:rPr>
          <w:rFonts w:ascii="Arial" w:hAnsi="Arial" w:cs="Arial"/>
          <w:sz w:val="18"/>
          <w:szCs w:val="18"/>
        </w:rPr>
        <w:t>Uradni list RS, št. 14/09, 16/09 – popr., 23/09, 51/10, 67/10, 80/10 – ZUTD, 41/12, 68/12, 47/13, 96/14, 39/15, 57/15, 73/15, 98/15, 6/16, 38/16, 62/16, 4/17, 26/17, 35/17, 54/17, 5/18, 35/18, 43/18, 64/18, 6/19, 35/19, 59/19, 78/19 in 7/20.</w:t>
      </w:r>
    </w:p>
  </w:footnote>
  <w:footnote w:id="11">
    <w:p w:rsidR="00547375" w:rsidRPr="006066C0" w:rsidRDefault="00547375" w:rsidP="00AE2155">
      <w:pPr>
        <w:pStyle w:val="Sprotnaopomba-besedilo"/>
        <w:jc w:val="both"/>
        <w:rPr>
          <w:rFonts w:ascii="Arial" w:hAnsi="Arial" w:cs="Arial"/>
          <w:sz w:val="18"/>
          <w:szCs w:val="18"/>
        </w:rPr>
      </w:pPr>
      <w:r>
        <w:rPr>
          <w:rStyle w:val="Sprotnaopomba-sklic"/>
        </w:rPr>
        <w:footnoteRef/>
      </w:r>
      <w:r w:rsidRPr="006066C0">
        <w:rPr>
          <w:rFonts w:ascii="Arial" w:hAnsi="Arial" w:cs="Arial"/>
          <w:sz w:val="18"/>
          <w:szCs w:val="18"/>
        </w:rPr>
        <w:t xml:space="preserve">Uradni list RS, št. 32/12 – uradno prečiščeno besedilo, 47/13, 87/14, 8/16 – odl. US, 64/16 – odl. US, 65/16 – odl. US, 66/17 – ORZKP153,154 in 22/1. </w:t>
      </w:r>
    </w:p>
  </w:footnote>
  <w:footnote w:id="12">
    <w:p w:rsidR="00547375" w:rsidRPr="00A263D9" w:rsidRDefault="00547375" w:rsidP="00AE2155">
      <w:pPr>
        <w:pStyle w:val="Sprotnaopomba-besedilo"/>
        <w:jc w:val="both"/>
        <w:rPr>
          <w:rFonts w:ascii="Arial" w:hAnsi="Arial" w:cs="Arial"/>
          <w:sz w:val="18"/>
          <w:szCs w:val="18"/>
        </w:rPr>
      </w:pPr>
      <w:r w:rsidRPr="00A263D9">
        <w:rPr>
          <w:rStyle w:val="Sprotnaopomba-sklic"/>
          <w:rFonts w:ascii="Arial" w:hAnsi="Arial" w:cs="Arial"/>
          <w:sz w:val="18"/>
          <w:szCs w:val="18"/>
        </w:rPr>
        <w:footnoteRef/>
      </w:r>
      <w:r w:rsidRPr="00A263D9">
        <w:rPr>
          <w:rFonts w:ascii="Arial" w:hAnsi="Arial" w:cs="Arial"/>
          <w:sz w:val="18"/>
          <w:szCs w:val="18"/>
        </w:rPr>
        <w:t xml:space="preserve"> Uradni list RS, št. 83/10. </w:t>
      </w:r>
    </w:p>
  </w:footnote>
  <w:footnote w:id="13">
    <w:p w:rsidR="00547375" w:rsidRPr="00A60B78" w:rsidRDefault="00547375" w:rsidP="00052C7C">
      <w:pPr>
        <w:pStyle w:val="Sprotnaopomba-besedilo"/>
        <w:rPr>
          <w:rFonts w:ascii="Arial" w:hAnsi="Arial" w:cs="Arial"/>
          <w:sz w:val="18"/>
          <w:szCs w:val="18"/>
        </w:rPr>
      </w:pPr>
      <w:r w:rsidRPr="00A60B78">
        <w:rPr>
          <w:rStyle w:val="Sprotnaopomba-sklic"/>
          <w:rFonts w:ascii="Arial" w:hAnsi="Arial" w:cs="Arial"/>
          <w:sz w:val="18"/>
          <w:szCs w:val="18"/>
        </w:rPr>
        <w:footnoteRef/>
      </w:r>
      <w:r w:rsidRPr="00A60B78">
        <w:rPr>
          <w:rFonts w:ascii="Arial" w:hAnsi="Arial" w:cs="Arial"/>
          <w:sz w:val="18"/>
          <w:szCs w:val="18"/>
        </w:rPr>
        <w:t xml:space="preserve"> Uradni list RS, št. 7/12, 29/12, 45/16 in 64/19</w:t>
      </w:r>
      <w:r>
        <w:rPr>
          <w:rFonts w:ascii="Arial" w:hAnsi="Arial" w:cs="Arial"/>
          <w:sz w:val="18"/>
          <w:szCs w:val="18"/>
        </w:rPr>
        <w:t>.</w:t>
      </w:r>
    </w:p>
  </w:footnote>
  <w:footnote w:id="14">
    <w:p w:rsidR="00547375" w:rsidRPr="00A60B78" w:rsidRDefault="00547375" w:rsidP="00AE2155">
      <w:pPr>
        <w:pStyle w:val="Sprotnaopomba-besedilo"/>
        <w:spacing w:line="288" w:lineRule="auto"/>
        <w:jc w:val="both"/>
        <w:rPr>
          <w:rFonts w:ascii="Arial" w:hAnsi="Arial" w:cs="Arial"/>
          <w:sz w:val="18"/>
          <w:szCs w:val="18"/>
        </w:rPr>
      </w:pPr>
      <w:r w:rsidRPr="00A60B78">
        <w:rPr>
          <w:rStyle w:val="Sprotnaopomba-sklic"/>
          <w:rFonts w:ascii="Arial" w:hAnsi="Arial" w:cs="Arial"/>
          <w:sz w:val="18"/>
          <w:szCs w:val="18"/>
        </w:rPr>
        <w:footnoteRef/>
      </w:r>
      <w:r w:rsidRPr="00A60B78">
        <w:rPr>
          <w:rFonts w:ascii="Arial" w:hAnsi="Arial" w:cs="Arial"/>
          <w:sz w:val="18"/>
          <w:szCs w:val="18"/>
        </w:rPr>
        <w:t xml:space="preserve"> Uradni list RS, št. 15/13, 11/14, 86/15, 77/16, 77/17, 36/19 in 66/19 – ZDZ</w:t>
      </w:r>
      <w:r>
        <w:rPr>
          <w:rFonts w:ascii="Arial" w:hAnsi="Arial" w:cs="Arial"/>
          <w:sz w:val="18"/>
          <w:szCs w:val="18"/>
        </w:rPr>
        <w:t xml:space="preserve">. </w:t>
      </w:r>
    </w:p>
  </w:footnote>
  <w:footnote w:id="15">
    <w:p w:rsidR="00547375" w:rsidRDefault="00547375" w:rsidP="00AE2155">
      <w:pPr>
        <w:pStyle w:val="Sprotnaopomba-besedilo"/>
        <w:spacing w:line="288" w:lineRule="auto"/>
        <w:jc w:val="both"/>
        <w:rPr>
          <w:rFonts w:ascii="Arial" w:hAnsi="Arial" w:cs="Arial"/>
          <w:sz w:val="18"/>
          <w:szCs w:val="18"/>
        </w:rPr>
      </w:pPr>
      <w:r>
        <w:rPr>
          <w:rStyle w:val="Sprotnaopomba-sklic"/>
        </w:rPr>
        <w:footnoteRef/>
      </w:r>
      <w:r w:rsidRPr="00710B60">
        <w:rPr>
          <w:rFonts w:ascii="Arial" w:hAnsi="Arial" w:cs="Arial"/>
          <w:sz w:val="18"/>
          <w:szCs w:val="18"/>
        </w:rPr>
        <w:t>Uradni list RS, št. 110/06 – uradno prečiščeno besedilo, 76/08, 40/09, 9/11 – ZP-1G, 96/12 – ZPIZ-2,</w:t>
      </w:r>
    </w:p>
    <w:p w:rsidR="00547375" w:rsidRPr="00710B60" w:rsidRDefault="00547375" w:rsidP="00AE2155">
      <w:pPr>
        <w:pStyle w:val="Sprotnaopomba-besedilo"/>
        <w:spacing w:line="288" w:lineRule="auto"/>
        <w:jc w:val="both"/>
        <w:rPr>
          <w:rFonts w:ascii="Arial" w:hAnsi="Arial" w:cs="Arial"/>
          <w:sz w:val="18"/>
          <w:szCs w:val="18"/>
        </w:rPr>
      </w:pPr>
      <w:r w:rsidRPr="00710B60">
        <w:rPr>
          <w:rFonts w:ascii="Arial" w:hAnsi="Arial" w:cs="Arial"/>
          <w:sz w:val="18"/>
          <w:szCs w:val="18"/>
        </w:rPr>
        <w:t xml:space="preserve"> 109/12, 54/15 in 11/18</w:t>
      </w:r>
      <w:r>
        <w:rPr>
          <w:rFonts w:ascii="Arial" w:hAnsi="Arial" w:cs="Arial"/>
          <w:sz w:val="18"/>
          <w:szCs w:val="18"/>
        </w:rPr>
        <w:t>.</w:t>
      </w:r>
    </w:p>
  </w:footnote>
  <w:footnote w:id="16">
    <w:p w:rsidR="00547375" w:rsidRPr="00C913CB" w:rsidRDefault="00547375" w:rsidP="00AE2155">
      <w:pPr>
        <w:pStyle w:val="Sprotnaopomba-besedilo"/>
        <w:spacing w:line="288" w:lineRule="auto"/>
        <w:rPr>
          <w:rFonts w:ascii="Arial" w:hAnsi="Arial" w:cs="Arial"/>
          <w:sz w:val="18"/>
          <w:szCs w:val="18"/>
        </w:rPr>
      </w:pPr>
      <w:r w:rsidRPr="00C913CB">
        <w:rPr>
          <w:rStyle w:val="Sprotnaopomba-sklic"/>
          <w:rFonts w:ascii="Arial" w:hAnsi="Arial" w:cs="Arial"/>
          <w:sz w:val="18"/>
          <w:szCs w:val="18"/>
        </w:rPr>
        <w:footnoteRef/>
      </w:r>
      <w:r w:rsidRPr="00C913CB">
        <w:rPr>
          <w:rFonts w:ascii="Arial" w:hAnsi="Arial" w:cs="Arial"/>
          <w:sz w:val="18"/>
          <w:szCs w:val="18"/>
        </w:rPr>
        <w:t xml:space="preserve"> Uradni list RS, št. </w:t>
      </w:r>
      <w:r>
        <w:rPr>
          <w:rFonts w:ascii="Arial" w:hAnsi="Arial" w:cs="Arial"/>
          <w:sz w:val="18"/>
          <w:szCs w:val="18"/>
        </w:rPr>
        <w:t>25/14.</w:t>
      </w:r>
    </w:p>
  </w:footnote>
  <w:footnote w:id="17">
    <w:p w:rsidR="00547375" w:rsidRPr="00F177DE" w:rsidRDefault="00547375" w:rsidP="00C671C8">
      <w:pPr>
        <w:pStyle w:val="Sprotnaopomba-besedilo"/>
        <w:spacing w:line="288" w:lineRule="auto"/>
        <w:jc w:val="both"/>
        <w:rPr>
          <w:rFonts w:ascii="Arial" w:hAnsi="Arial" w:cs="Arial"/>
          <w:sz w:val="18"/>
          <w:szCs w:val="18"/>
        </w:rPr>
      </w:pPr>
      <w:r w:rsidRPr="00F177DE">
        <w:rPr>
          <w:rStyle w:val="Sprotnaopomba-sklic"/>
          <w:rFonts w:ascii="Arial" w:hAnsi="Arial" w:cs="Arial"/>
          <w:sz w:val="18"/>
          <w:szCs w:val="18"/>
        </w:rPr>
        <w:footnoteRef/>
      </w:r>
      <w:r w:rsidRPr="00F177DE">
        <w:rPr>
          <w:rFonts w:ascii="Arial" w:hAnsi="Arial" w:cs="Arial"/>
          <w:sz w:val="18"/>
          <w:szCs w:val="18"/>
        </w:rPr>
        <w:t xml:space="preserve"> Uradni list RS, št. 21/17.</w:t>
      </w:r>
    </w:p>
  </w:footnote>
  <w:footnote w:id="18">
    <w:p w:rsidR="00547375" w:rsidRPr="00F177DE" w:rsidRDefault="00547375" w:rsidP="00A63720">
      <w:pPr>
        <w:pStyle w:val="Sprotnaopomba-besedilo"/>
        <w:spacing w:line="288" w:lineRule="auto"/>
        <w:jc w:val="both"/>
        <w:rPr>
          <w:rFonts w:ascii="Arial" w:hAnsi="Arial" w:cs="Arial"/>
          <w:sz w:val="18"/>
          <w:szCs w:val="18"/>
        </w:rPr>
      </w:pPr>
      <w:r w:rsidRPr="00F177DE">
        <w:rPr>
          <w:rStyle w:val="Sprotnaopomba-sklic"/>
          <w:rFonts w:ascii="Arial" w:hAnsi="Arial" w:cs="Arial"/>
          <w:sz w:val="18"/>
          <w:szCs w:val="18"/>
        </w:rPr>
        <w:footnoteRef/>
      </w:r>
      <w:r w:rsidRPr="00F177DE">
        <w:rPr>
          <w:rFonts w:ascii="Arial" w:hAnsi="Arial" w:cs="Arial"/>
          <w:sz w:val="18"/>
          <w:szCs w:val="18"/>
        </w:rPr>
        <w:t xml:space="preserve"> UL L 299/9 z dne 18. 11. 2003, str. 381.</w:t>
      </w:r>
    </w:p>
  </w:footnote>
  <w:footnote w:id="19">
    <w:p w:rsidR="00547375" w:rsidRPr="00A63720" w:rsidRDefault="00547375" w:rsidP="00A63720">
      <w:pPr>
        <w:pStyle w:val="Sprotnaopomba-besedilo"/>
        <w:spacing w:line="288" w:lineRule="auto"/>
        <w:rPr>
          <w:rFonts w:ascii="Arial" w:hAnsi="Arial" w:cs="Arial"/>
          <w:sz w:val="18"/>
          <w:szCs w:val="18"/>
        </w:rPr>
      </w:pPr>
      <w:r w:rsidRPr="00A63720">
        <w:rPr>
          <w:rStyle w:val="Sprotnaopomba-sklic"/>
          <w:rFonts w:ascii="Arial" w:hAnsi="Arial" w:cs="Arial"/>
          <w:sz w:val="18"/>
          <w:szCs w:val="18"/>
        </w:rPr>
        <w:footnoteRef/>
      </w:r>
      <w:r w:rsidRPr="00A63720">
        <w:rPr>
          <w:rFonts w:ascii="Arial" w:hAnsi="Arial" w:cs="Arial"/>
          <w:sz w:val="18"/>
          <w:szCs w:val="18"/>
        </w:rPr>
        <w:t xml:space="preserve"> Uradni list RS, št. 21/13, 78/13-popr., 47/15 - ZZSDT, 33/16 - PZ-F, 52/16 in 15/17 – odl. US, 22/19 – ZPosS in 81/19.</w:t>
      </w:r>
    </w:p>
  </w:footnote>
  <w:footnote w:id="20">
    <w:p w:rsidR="00547375" w:rsidRPr="00F177DE" w:rsidRDefault="00547375" w:rsidP="00F177DE">
      <w:pPr>
        <w:pStyle w:val="Sprotnaopomba-besedilo"/>
        <w:spacing w:line="288" w:lineRule="auto"/>
        <w:jc w:val="both"/>
        <w:rPr>
          <w:rFonts w:ascii="Arial" w:hAnsi="Arial" w:cs="Arial"/>
          <w:sz w:val="18"/>
          <w:szCs w:val="18"/>
        </w:rPr>
      </w:pPr>
      <w:r w:rsidRPr="00F177DE">
        <w:rPr>
          <w:rStyle w:val="Sprotnaopomba-sklic"/>
          <w:rFonts w:ascii="Arial" w:hAnsi="Arial" w:cs="Arial"/>
          <w:sz w:val="18"/>
          <w:szCs w:val="18"/>
        </w:rPr>
        <w:footnoteRef/>
      </w:r>
      <w:r w:rsidRPr="00F177DE">
        <w:rPr>
          <w:rFonts w:ascii="Arial" w:hAnsi="Arial" w:cs="Arial"/>
          <w:sz w:val="18"/>
          <w:szCs w:val="18"/>
        </w:rPr>
        <w:t xml:space="preserve"> Podobna izhodišča so bila upoštevana tudi v Uredbi o spremembah Uredbe o delovnem času v organih državne uprave (Uradni list RS, št. 40/17).</w:t>
      </w:r>
    </w:p>
  </w:footnote>
  <w:footnote w:id="21">
    <w:p w:rsidR="00547375" w:rsidRPr="00F177DE" w:rsidRDefault="00547375" w:rsidP="00F177DE">
      <w:pPr>
        <w:spacing w:line="288" w:lineRule="auto"/>
        <w:rPr>
          <w:rFonts w:cs="Arial"/>
          <w:sz w:val="18"/>
          <w:szCs w:val="18"/>
        </w:rPr>
      </w:pPr>
      <w:r w:rsidRPr="00F177DE">
        <w:rPr>
          <w:rStyle w:val="Sprotnaopomba-sklic"/>
          <w:rFonts w:cs="Arial"/>
          <w:sz w:val="18"/>
          <w:szCs w:val="18"/>
        </w:rPr>
        <w:footnoteRef/>
      </w:r>
      <w:r w:rsidRPr="00F177DE">
        <w:rPr>
          <w:rFonts w:cs="Arial"/>
          <w:sz w:val="18"/>
          <w:szCs w:val="18"/>
        </w:rPr>
        <w:t xml:space="preserve"> </w:t>
      </w:r>
      <w:hyperlink r:id="rId28">
        <w:r w:rsidRPr="00F177DE">
          <w:rPr>
            <w:rStyle w:val="Spletnapovezava"/>
            <w:rFonts w:cs="Arial"/>
            <w:color w:val="00000A"/>
            <w:sz w:val="18"/>
            <w:szCs w:val="18"/>
            <w:u w:val="none"/>
          </w:rPr>
          <w:t>https://eur-lex.europa.eu/legal-content/SL/TXT/PDF/?uri=CELEX:52017XC0524(01)&amp;from=ES</w:t>
        </w:r>
      </w:hyperlink>
    </w:p>
  </w:footnote>
  <w:footnote w:id="22">
    <w:p w:rsidR="00547375" w:rsidRPr="00115F14" w:rsidRDefault="00547375" w:rsidP="00AE2155">
      <w:pPr>
        <w:pStyle w:val="Oddelek"/>
        <w:numPr>
          <w:ilvl w:val="0"/>
          <w:numId w:val="0"/>
        </w:numPr>
        <w:spacing w:before="0" w:after="0" w:line="288" w:lineRule="auto"/>
        <w:ind w:left="-105"/>
        <w:jc w:val="both"/>
        <w:rPr>
          <w:b w:val="0"/>
          <w:bCs/>
          <w:sz w:val="18"/>
          <w:szCs w:val="18"/>
        </w:rPr>
      </w:pPr>
      <w:r w:rsidRPr="00115F14">
        <w:rPr>
          <w:rStyle w:val="Sprotnaopomba-sklic"/>
        </w:rPr>
        <w:footnoteRef/>
      </w:r>
      <w:r>
        <w:rPr>
          <w:b w:val="0"/>
          <w:bCs/>
          <w:sz w:val="18"/>
          <w:szCs w:val="18"/>
        </w:rPr>
        <w:t xml:space="preserve"> </w:t>
      </w:r>
      <w:r w:rsidRPr="00115F14">
        <w:rPr>
          <w:b w:val="0"/>
          <w:bCs/>
          <w:sz w:val="18"/>
          <w:szCs w:val="18"/>
        </w:rPr>
        <w:t>https://data.consilium.europa.eu/doc/document/ST-11351-2013-REV-1-DCL-1/de/pdf</w:t>
      </w:r>
    </w:p>
  </w:footnote>
  <w:footnote w:id="23">
    <w:p w:rsidR="00547375" w:rsidRPr="00C908C0" w:rsidRDefault="00547375" w:rsidP="00AE2155">
      <w:pPr>
        <w:pStyle w:val="Sprotnaopomba-besedilo"/>
      </w:pPr>
      <w:r>
        <w:rPr>
          <w:rStyle w:val="Sprotnaopomba-sklic"/>
        </w:rPr>
        <w:footnoteRef/>
      </w:r>
      <w:r>
        <w:t xml:space="preserve"> </w:t>
      </w:r>
      <w:r>
        <w:rPr>
          <w:rFonts w:ascii="Arial" w:hAnsi="Arial" w:cs="Arial"/>
          <w:sz w:val="18"/>
          <w:szCs w:val="18"/>
        </w:rPr>
        <w:t>https://e-justice.europa.eu.</w:t>
      </w:r>
    </w:p>
  </w:footnote>
  <w:footnote w:id="24">
    <w:p w:rsidR="00547375" w:rsidRPr="00115F14" w:rsidRDefault="00547375" w:rsidP="00AE2155">
      <w:pPr>
        <w:pStyle w:val="Sprotnaopomba-besedilo"/>
        <w:spacing w:line="288" w:lineRule="auto"/>
        <w:rPr>
          <w:sz w:val="18"/>
          <w:szCs w:val="18"/>
        </w:rPr>
      </w:pPr>
      <w:r w:rsidRPr="00115F14">
        <w:rPr>
          <w:rStyle w:val="Sprotnaopomba-sklic"/>
          <w:sz w:val="18"/>
          <w:szCs w:val="18"/>
        </w:rPr>
        <w:footnoteRef/>
      </w:r>
      <w:r w:rsidRPr="00115F14">
        <w:rPr>
          <w:sz w:val="18"/>
          <w:szCs w:val="18"/>
        </w:rPr>
        <w:t xml:space="preserve"> Spletna stran Državnega tožilstva Republike Hrvaške, http://www.dorh.hr/ODrzavnomOdvjetnistvu</w:t>
      </w:r>
    </w:p>
  </w:footnote>
  <w:footnote w:id="25">
    <w:p w:rsidR="00547375" w:rsidRPr="00115F14" w:rsidRDefault="00547375" w:rsidP="00AE2155">
      <w:pPr>
        <w:pStyle w:val="Sprotnaopomba-besedilo"/>
        <w:spacing w:line="288" w:lineRule="auto"/>
        <w:rPr>
          <w:rFonts w:ascii="Arial" w:hAnsi="Arial" w:cs="Arial"/>
          <w:sz w:val="18"/>
          <w:szCs w:val="18"/>
        </w:rPr>
      </w:pPr>
      <w:r w:rsidRPr="00115F14">
        <w:rPr>
          <w:rStyle w:val="Sprotnaopomba-sklic"/>
          <w:rFonts w:ascii="Arial" w:hAnsi="Arial" w:cs="Arial"/>
          <w:sz w:val="18"/>
          <w:szCs w:val="18"/>
        </w:rPr>
        <w:footnoteRef/>
      </w:r>
      <w:r w:rsidRPr="00115F14">
        <w:rPr>
          <w:rFonts w:ascii="Arial" w:hAnsi="Arial" w:cs="Arial"/>
          <w:sz w:val="18"/>
          <w:szCs w:val="18"/>
        </w:rPr>
        <w:t xml:space="preserve"> Zakon o Državnoodvjetničkom</w:t>
      </w:r>
      <w:r>
        <w:rPr>
          <w:rFonts w:ascii="Arial" w:hAnsi="Arial" w:cs="Arial"/>
          <w:sz w:val="18"/>
          <w:szCs w:val="18"/>
        </w:rPr>
        <w:t xml:space="preserve"> </w:t>
      </w:r>
      <w:r w:rsidRPr="00115F14">
        <w:rPr>
          <w:rFonts w:ascii="Arial" w:hAnsi="Arial" w:cs="Arial"/>
          <w:sz w:val="18"/>
          <w:szCs w:val="18"/>
        </w:rPr>
        <w:t>vijeću, Narodne novine 67/2018.</w:t>
      </w:r>
    </w:p>
  </w:footnote>
  <w:footnote w:id="26">
    <w:p w:rsidR="00547375" w:rsidRPr="00FF1CDE" w:rsidRDefault="00547375" w:rsidP="00AE2155">
      <w:pPr>
        <w:pStyle w:val="Sprotnaopomba-besedilo"/>
        <w:spacing w:line="288" w:lineRule="auto"/>
        <w:rPr>
          <w:rFonts w:ascii="Arial" w:hAnsi="Arial" w:cs="Arial"/>
        </w:rPr>
      </w:pPr>
      <w:r w:rsidRPr="00115F14">
        <w:rPr>
          <w:rStyle w:val="Sprotnaopomba-sklic"/>
          <w:rFonts w:ascii="Arial" w:hAnsi="Arial" w:cs="Arial"/>
          <w:sz w:val="18"/>
          <w:szCs w:val="18"/>
        </w:rPr>
        <w:footnoteRef/>
      </w:r>
      <w:r w:rsidRPr="00115F14">
        <w:rPr>
          <w:rFonts w:ascii="Arial" w:hAnsi="Arial" w:cs="Arial"/>
          <w:sz w:val="18"/>
          <w:szCs w:val="18"/>
        </w:rPr>
        <w:t xml:space="preserve"> Zakon o državnomodvjetništvu, Narodne novine 67/18.</w:t>
      </w:r>
    </w:p>
  </w:footnote>
  <w:footnote w:id="27">
    <w:p w:rsidR="00547375" w:rsidRPr="00C908C0" w:rsidRDefault="00547375" w:rsidP="00AE2155">
      <w:pPr>
        <w:pStyle w:val="Sprotnaopomba-besedilo"/>
      </w:pPr>
      <w:r>
        <w:rPr>
          <w:rStyle w:val="Sprotnaopomba-sklic"/>
        </w:rPr>
        <w:footnoteRef/>
      </w:r>
      <w:r>
        <w:t xml:space="preserve"> </w:t>
      </w:r>
      <w:r>
        <w:rPr>
          <w:rFonts w:ascii="Arial" w:hAnsi="Arial" w:cs="Arial"/>
          <w:sz w:val="18"/>
          <w:szCs w:val="18"/>
        </w:rPr>
        <w:t>https://e-justice.europa.eu.</w:t>
      </w:r>
    </w:p>
  </w:footnote>
  <w:footnote w:id="28">
    <w:p w:rsidR="00547375" w:rsidRPr="00115F14" w:rsidRDefault="00547375" w:rsidP="00AE2155">
      <w:pPr>
        <w:pStyle w:val="Sprotnaopomba-besedilo"/>
        <w:rPr>
          <w:rFonts w:ascii="Arial" w:hAnsi="Arial" w:cs="Arial"/>
          <w:sz w:val="18"/>
          <w:szCs w:val="18"/>
        </w:rPr>
      </w:pPr>
      <w:r w:rsidRPr="00115F14">
        <w:rPr>
          <w:rStyle w:val="Sprotnaopomba-sklic"/>
          <w:rFonts w:ascii="Arial" w:hAnsi="Arial" w:cs="Arial"/>
          <w:sz w:val="18"/>
          <w:szCs w:val="18"/>
        </w:rPr>
        <w:footnoteRef/>
      </w:r>
      <w:r w:rsidRPr="00115F14">
        <w:rPr>
          <w:rFonts w:ascii="Arial" w:hAnsi="Arial" w:cs="Arial"/>
          <w:sz w:val="18"/>
          <w:szCs w:val="18"/>
        </w:rPr>
        <w:t xml:space="preserve"> http://www.justiceservices.gov.mt/DownloadDocument.aspx?app=lom&amp;itemid=8634&amp;l=1</w:t>
      </w:r>
    </w:p>
  </w:footnote>
  <w:footnote w:id="29">
    <w:p w:rsidR="00547375" w:rsidRPr="00115F14" w:rsidRDefault="00547375" w:rsidP="00AE2155">
      <w:pPr>
        <w:pStyle w:val="Sprotnaopomba-besedilo"/>
        <w:rPr>
          <w:rFonts w:ascii="Arial" w:hAnsi="Arial" w:cs="Arial"/>
          <w:sz w:val="18"/>
          <w:szCs w:val="18"/>
        </w:rPr>
      </w:pPr>
      <w:r w:rsidRPr="00115F14">
        <w:rPr>
          <w:rStyle w:val="Sprotnaopomba-sklic"/>
          <w:rFonts w:ascii="Arial" w:hAnsi="Arial" w:cs="Arial"/>
          <w:sz w:val="18"/>
          <w:szCs w:val="18"/>
        </w:rPr>
        <w:footnoteRef/>
      </w:r>
      <w:r w:rsidRPr="00115F14">
        <w:rPr>
          <w:rFonts w:ascii="Arial" w:hAnsi="Arial" w:cs="Arial"/>
          <w:sz w:val="18"/>
          <w:szCs w:val="18"/>
        </w:rPr>
        <w:t xml:space="preserve"> http://www.nsz.cz/index.php/en/about/public-prosecution-system</w:t>
      </w:r>
    </w:p>
  </w:footnote>
  <w:footnote w:id="30">
    <w:p w:rsidR="00547375" w:rsidRPr="00115F14" w:rsidRDefault="00547375" w:rsidP="00AE2155">
      <w:pPr>
        <w:pStyle w:val="Sprotnaopomba-besedilo"/>
        <w:rPr>
          <w:rFonts w:ascii="Arial" w:hAnsi="Arial" w:cs="Arial"/>
          <w:sz w:val="18"/>
          <w:szCs w:val="18"/>
        </w:rPr>
      </w:pPr>
      <w:r w:rsidRPr="00115F14">
        <w:rPr>
          <w:rStyle w:val="Sprotnaopomba-sklic"/>
          <w:rFonts w:ascii="Arial" w:hAnsi="Arial" w:cs="Arial"/>
          <w:sz w:val="18"/>
          <w:szCs w:val="18"/>
        </w:rPr>
        <w:footnoteRef/>
      </w:r>
      <w:r w:rsidRPr="00115F14">
        <w:rPr>
          <w:rFonts w:ascii="Arial" w:hAnsi="Arial" w:cs="Arial"/>
          <w:sz w:val="18"/>
          <w:szCs w:val="18"/>
        </w:rPr>
        <w:t xml:space="preserve"> https://e-justice.europa.eu.</w:t>
      </w:r>
    </w:p>
  </w:footnote>
  <w:footnote w:id="31">
    <w:p w:rsidR="00547375" w:rsidRPr="00115F14" w:rsidRDefault="00547375" w:rsidP="00AE2155">
      <w:pPr>
        <w:pStyle w:val="Sprotnaopomba-besedilo"/>
        <w:spacing w:line="288" w:lineRule="auto"/>
        <w:rPr>
          <w:rFonts w:ascii="Arial" w:hAnsi="Arial" w:cs="Arial"/>
          <w:sz w:val="18"/>
          <w:szCs w:val="18"/>
        </w:rPr>
      </w:pPr>
      <w:r w:rsidRPr="00115F14">
        <w:rPr>
          <w:rStyle w:val="Sprotnaopomba-sklic"/>
          <w:rFonts w:ascii="Arial" w:hAnsi="Arial" w:cs="Arial"/>
          <w:sz w:val="18"/>
          <w:szCs w:val="18"/>
        </w:rPr>
        <w:footnoteRef/>
      </w:r>
      <w:r w:rsidRPr="00115F14">
        <w:rPr>
          <w:rFonts w:ascii="Arial" w:hAnsi="Arial" w:cs="Arial"/>
          <w:sz w:val="18"/>
          <w:szCs w:val="18"/>
        </w:rPr>
        <w:t xml:space="preserve"> Primerjalni pregled – Državna tožilstva, Raziskovalno-dokumentacijski sektor Državnega zbora, številka 14/2012.</w:t>
      </w:r>
    </w:p>
  </w:footnote>
  <w:footnote w:id="32">
    <w:p w:rsidR="00547375" w:rsidRPr="00C908C0" w:rsidRDefault="00547375" w:rsidP="00AE2155">
      <w:pPr>
        <w:pStyle w:val="Sprotnaopomba-besedilo"/>
      </w:pPr>
      <w:r>
        <w:rPr>
          <w:rStyle w:val="Sprotnaopomba-sklic"/>
        </w:rPr>
        <w:footnoteRef/>
      </w:r>
      <w:r>
        <w:t xml:space="preserve"> </w:t>
      </w:r>
      <w:r>
        <w:rPr>
          <w:rFonts w:ascii="Arial" w:hAnsi="Arial" w:cs="Arial"/>
          <w:sz w:val="18"/>
          <w:szCs w:val="18"/>
        </w:rPr>
        <w:t>https://e-justice.europa.eu.</w:t>
      </w:r>
    </w:p>
  </w:footnote>
  <w:footnote w:id="33">
    <w:p w:rsidR="00547375" w:rsidRPr="00C908C0" w:rsidRDefault="00547375" w:rsidP="00AE2155">
      <w:pPr>
        <w:pStyle w:val="Sprotnaopomba-besedilo"/>
      </w:pPr>
      <w:r>
        <w:rPr>
          <w:rStyle w:val="Sprotnaopomba-sklic"/>
        </w:rPr>
        <w:footnoteRef/>
      </w:r>
      <w:r>
        <w:t xml:space="preserve"> Mreža </w:t>
      </w:r>
      <w:r w:rsidRPr="00C908C0">
        <w:t>Legicoop, pojasnilo latvijskega Ministrstva za pravosodje.</w:t>
      </w:r>
    </w:p>
  </w:footnote>
  <w:footnote w:id="34">
    <w:p w:rsidR="00547375" w:rsidRPr="007124F3" w:rsidRDefault="00547375" w:rsidP="00AE2155">
      <w:pPr>
        <w:pStyle w:val="Sprotnaopomba-besedilo"/>
        <w:spacing w:line="288" w:lineRule="auto"/>
        <w:jc w:val="both"/>
        <w:rPr>
          <w:rFonts w:ascii="Arial" w:hAnsi="Arial" w:cs="Arial"/>
          <w:sz w:val="18"/>
          <w:szCs w:val="18"/>
        </w:rPr>
      </w:pPr>
      <w:r w:rsidRPr="007124F3">
        <w:rPr>
          <w:rStyle w:val="Sprotnaopomba-sklic"/>
          <w:rFonts w:ascii="Arial" w:hAnsi="Arial" w:cs="Arial"/>
          <w:sz w:val="18"/>
          <w:szCs w:val="18"/>
        </w:rPr>
        <w:footnoteRef/>
      </w:r>
      <w:r w:rsidRPr="007124F3">
        <w:rPr>
          <w:rFonts w:ascii="Arial" w:hAnsi="Arial" w:cs="Arial"/>
          <w:sz w:val="18"/>
          <w:szCs w:val="18"/>
        </w:rPr>
        <w:t xml:space="preserve"> Zakon o delovnih razmerjih (ZDR-1) s komentarjem, Založba GV, Ljubljana 2016, str. 885. Tako Sodišče EU v 37. točki obrazložitve sodbe v zadevi C-266/14 Tyco.</w:t>
      </w:r>
    </w:p>
  </w:footnote>
  <w:footnote w:id="35">
    <w:p w:rsidR="00547375" w:rsidRPr="005D0B34" w:rsidRDefault="00547375" w:rsidP="00613494">
      <w:pPr>
        <w:pStyle w:val="Sprotnaopomba-besedilo"/>
        <w:rPr>
          <w:rFonts w:ascii="Arial" w:hAnsi="Arial" w:cs="Arial"/>
          <w:sz w:val="16"/>
          <w:szCs w:val="16"/>
          <w:lang w:eastAsia="sl-SI"/>
        </w:rPr>
      </w:pPr>
      <w:r>
        <w:rPr>
          <w:rStyle w:val="Sprotnaopomba-sklic"/>
        </w:rPr>
        <w:footnoteRef/>
      </w:r>
      <w:r>
        <w:t xml:space="preserve"> </w:t>
      </w:r>
      <w:hyperlink r:id="rId29" w:history="1">
        <w:r w:rsidRPr="005D0B34">
          <w:rPr>
            <w:rFonts w:ascii="Arial" w:hAnsi="Arial" w:cs="Arial"/>
            <w:sz w:val="16"/>
            <w:szCs w:val="16"/>
            <w:lang w:eastAsia="sl-SI"/>
          </w:rPr>
          <w:t>https://www.dt-rs.si/files/documents/PP.pdf</w:t>
        </w:r>
      </w:hyperlink>
      <w:r w:rsidRPr="005D0B34">
        <w:rPr>
          <w:rFonts w:ascii="Arial" w:hAnsi="Arial" w:cs="Arial"/>
          <w:sz w:val="16"/>
          <w:szCs w:val="16"/>
          <w:lang w:eastAsia="sl-SI"/>
        </w:rPr>
        <w:t>.</w:t>
      </w:r>
    </w:p>
  </w:footnote>
  <w:footnote w:id="36">
    <w:p w:rsidR="00547375" w:rsidRPr="005D0B34" w:rsidRDefault="00547375" w:rsidP="00613494">
      <w:pPr>
        <w:pStyle w:val="Sprotnaopomba-besedilo"/>
        <w:rPr>
          <w:rFonts w:ascii="Arial" w:hAnsi="Arial" w:cs="Arial"/>
          <w:sz w:val="16"/>
          <w:szCs w:val="16"/>
          <w:lang w:eastAsia="sl-SI"/>
        </w:rPr>
      </w:pPr>
      <w:r>
        <w:rPr>
          <w:rStyle w:val="Sprotnaopomba-sklic"/>
        </w:rPr>
        <w:footnoteRef/>
      </w:r>
      <w:r>
        <w:t xml:space="preserve"> </w:t>
      </w:r>
      <w:hyperlink r:id="rId30" w:history="1">
        <w:r w:rsidRPr="005D0B34">
          <w:rPr>
            <w:rFonts w:ascii="Arial" w:hAnsi="Arial" w:cs="Arial"/>
            <w:sz w:val="16"/>
            <w:szCs w:val="16"/>
            <w:lang w:eastAsia="sl-SI"/>
          </w:rPr>
          <w:t>https://www.dt-rs.si/novica/vrhovno-drzavno-tozilstvo-je-izdalo-skupno-letno-porocilo-za-leto-2019</w:t>
        </w:r>
      </w:hyperlink>
      <w:r w:rsidRPr="005D0B34">
        <w:rPr>
          <w:rFonts w:ascii="Arial" w:hAnsi="Arial" w:cs="Arial"/>
          <w:sz w:val="16"/>
          <w:szCs w:val="16"/>
          <w:lang w:eastAsia="sl-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375" w:rsidRPr="00110CBD" w:rsidRDefault="00547375"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547375" w:rsidRPr="008F3500">
      <w:trPr>
        <w:cantSplit/>
        <w:trHeight w:hRule="exact" w:val="847"/>
      </w:trPr>
      <w:tc>
        <w:tcPr>
          <w:tcW w:w="567" w:type="dxa"/>
        </w:tcPr>
        <w:p w:rsidR="00547375" w:rsidRPr="008F3500" w:rsidRDefault="00547375"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4294967295" distB="4294967295" distL="114300" distR="114300" simplePos="0" relativeHeight="251657216" behindDoc="0" locked="0" layoutInCell="0" allowOverlap="1">
                    <wp:simplePos x="0" y="0"/>
                    <wp:positionH relativeFrom="column">
                      <wp:posOffset>29845</wp:posOffset>
                    </wp:positionH>
                    <wp:positionV relativeFrom="page">
                      <wp:posOffset>3600449</wp:posOffset>
                    </wp:positionV>
                    <wp:extent cx="215900" cy="0"/>
                    <wp:effectExtent l="0" t="0" r="0" b="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3144CE"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547375" w:rsidRPr="009D359D" w:rsidRDefault="00547375" w:rsidP="00D34769">
    <w:pPr>
      <w:pStyle w:val="Glava"/>
      <w:tabs>
        <w:tab w:val="clear" w:pos="4320"/>
        <w:tab w:val="clear" w:pos="8640"/>
        <w:tab w:val="left" w:pos="5112"/>
      </w:tabs>
      <w:spacing w:line="240" w:lineRule="exact"/>
      <w:rPr>
        <w:sz w:val="16"/>
        <w:szCs w:val="16"/>
        <w:lang w:val="de-DE"/>
      </w:rPr>
    </w:pPr>
    <w:r>
      <w:rPr>
        <w:noProof/>
        <w:lang w:eastAsia="sl-SI"/>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4321810" cy="972185"/>
          <wp:effectExtent l="0" t="0" r="0" b="0"/>
          <wp:wrapSquare wrapText="bothSides"/>
          <wp:docPr id="10" name="Slika 10"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6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anchor>
      </w:drawing>
    </w:r>
    <w:r>
      <w:rPr>
        <w:rFonts w:cs="Arial"/>
        <w:sz w:val="16"/>
      </w:rPr>
      <w:t>Župančičeva 3</w:t>
    </w:r>
    <w:r w:rsidRPr="008F3500">
      <w:rPr>
        <w:rFonts w:cs="Arial"/>
        <w:sz w:val="16"/>
      </w:rPr>
      <w:t xml:space="preserve">, </w:t>
    </w:r>
    <w:r>
      <w:rPr>
        <w:rFonts w:cs="Arial"/>
        <w:sz w:val="16"/>
      </w:rPr>
      <w:t>1000 Ljubljana</w:t>
    </w:r>
    <w:r w:rsidRPr="008F3500">
      <w:rPr>
        <w:rFonts w:cs="Arial"/>
        <w:sz w:val="16"/>
      </w:rPr>
      <w:tab/>
    </w:r>
    <w:r w:rsidRPr="009D359D">
      <w:rPr>
        <w:sz w:val="16"/>
        <w:szCs w:val="16"/>
        <w:lang w:val="de-DE"/>
      </w:rPr>
      <w:t xml:space="preserve">T: (01) </w:t>
    </w:r>
    <w:r w:rsidRPr="00D34769">
      <w:rPr>
        <w:rFonts w:cs="Arial"/>
        <w:sz w:val="16"/>
      </w:rPr>
      <w:t>369</w:t>
    </w:r>
    <w:r w:rsidRPr="009D359D">
      <w:rPr>
        <w:sz w:val="16"/>
        <w:szCs w:val="16"/>
        <w:lang w:val="de-DE"/>
      </w:rPr>
      <w:t xml:space="preserve"> 5342</w:t>
    </w:r>
  </w:p>
  <w:p w:rsidR="00547375" w:rsidRPr="00D34769" w:rsidRDefault="00547375" w:rsidP="00D34769">
    <w:pPr>
      <w:pStyle w:val="Glava"/>
      <w:tabs>
        <w:tab w:val="clear" w:pos="4320"/>
        <w:tab w:val="clear" w:pos="8640"/>
        <w:tab w:val="left" w:pos="5112"/>
      </w:tabs>
      <w:spacing w:line="240" w:lineRule="exact"/>
      <w:rPr>
        <w:rFonts w:cs="Arial"/>
        <w:sz w:val="16"/>
        <w:szCs w:val="16"/>
      </w:rPr>
    </w:pPr>
    <w:r w:rsidRPr="00D34769">
      <w:rPr>
        <w:rFonts w:cs="Arial"/>
        <w:sz w:val="16"/>
        <w:szCs w:val="16"/>
      </w:rPr>
      <w:tab/>
    </w:r>
    <w:r w:rsidRPr="009D359D">
      <w:rPr>
        <w:sz w:val="16"/>
        <w:szCs w:val="16"/>
        <w:lang w:val="de-DE"/>
      </w:rPr>
      <w:t>F: (01) 369 5783</w:t>
    </w:r>
  </w:p>
  <w:p w:rsidR="00547375" w:rsidRPr="008F3500" w:rsidRDefault="00547375"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gp.mp@gov.si</w:t>
    </w:r>
  </w:p>
  <w:p w:rsidR="00547375" w:rsidRDefault="00547375" w:rsidP="00F622D9">
    <w:pPr>
      <w:pStyle w:val="Glava"/>
      <w:tabs>
        <w:tab w:val="clear" w:pos="4320"/>
        <w:tab w:val="clear" w:pos="8640"/>
        <w:tab w:val="left" w:pos="546"/>
        <w:tab w:val="left" w:pos="5112"/>
      </w:tabs>
      <w:spacing w:line="240" w:lineRule="exact"/>
      <w:rPr>
        <w:rFonts w:cs="Arial"/>
        <w:sz w:val="16"/>
      </w:rPr>
    </w:pPr>
    <w:r w:rsidRPr="008F3500">
      <w:rPr>
        <w:rFonts w:cs="Arial"/>
        <w:sz w:val="16"/>
      </w:rPr>
      <w:tab/>
    </w:r>
    <w:r>
      <w:rPr>
        <w:rFonts w:cs="Arial"/>
        <w:sz w:val="16"/>
      </w:rPr>
      <w:tab/>
    </w:r>
    <w:hyperlink r:id="rId2" w:history="1">
      <w:r w:rsidRPr="003518CE">
        <w:rPr>
          <w:rStyle w:val="Hiperpovezava"/>
          <w:rFonts w:cs="Arial"/>
          <w:sz w:val="16"/>
        </w:rPr>
        <w:t>www.mp.gov.si</w:t>
      </w:r>
    </w:hyperlink>
  </w:p>
  <w:p w:rsidR="00547375" w:rsidRDefault="00547375" w:rsidP="00F622D9">
    <w:pPr>
      <w:pStyle w:val="Glava"/>
      <w:tabs>
        <w:tab w:val="clear" w:pos="4320"/>
        <w:tab w:val="clear" w:pos="8640"/>
        <w:tab w:val="left" w:pos="546"/>
        <w:tab w:val="left" w:pos="5112"/>
      </w:tabs>
      <w:spacing w:line="240" w:lineRule="exact"/>
      <w:rPr>
        <w:rFonts w:cs="Arial"/>
        <w:sz w:val="16"/>
      </w:rPr>
    </w:pPr>
  </w:p>
  <w:p w:rsidR="00547375" w:rsidRDefault="00547375" w:rsidP="00F622D9">
    <w:pPr>
      <w:pStyle w:val="Glava"/>
      <w:tabs>
        <w:tab w:val="clear" w:pos="4320"/>
        <w:tab w:val="clear" w:pos="8640"/>
        <w:tab w:val="left" w:pos="546"/>
        <w:tab w:val="left" w:pos="5112"/>
      </w:tabs>
      <w:spacing w:line="240" w:lineRule="exact"/>
      <w:rPr>
        <w:rFonts w:cs="Arial"/>
        <w:sz w:val="16"/>
      </w:rPr>
    </w:pPr>
  </w:p>
  <w:p w:rsidR="00547375" w:rsidRDefault="00547375" w:rsidP="00F622D9">
    <w:pPr>
      <w:pStyle w:val="Glava"/>
      <w:tabs>
        <w:tab w:val="clear" w:pos="4320"/>
        <w:tab w:val="clear" w:pos="8640"/>
        <w:tab w:val="left" w:pos="546"/>
        <w:tab w:val="left" w:pos="5112"/>
      </w:tabs>
      <w:spacing w:line="240" w:lineRule="exact"/>
      <w:rPr>
        <w:rFonts w:cs="Arial"/>
        <w:sz w:val="16"/>
      </w:rPr>
    </w:pPr>
  </w:p>
  <w:p w:rsidR="00547375" w:rsidRDefault="00547375" w:rsidP="00F622D9">
    <w:pPr>
      <w:pStyle w:val="Glava"/>
      <w:tabs>
        <w:tab w:val="clear" w:pos="4320"/>
        <w:tab w:val="clear" w:pos="8640"/>
        <w:tab w:val="left" w:pos="546"/>
        <w:tab w:val="left" w:pos="5112"/>
      </w:tabs>
      <w:spacing w:line="240" w:lineRule="exact"/>
      <w:rPr>
        <w:rFonts w:cs="Arial"/>
        <w:sz w:val="16"/>
      </w:rPr>
    </w:pPr>
  </w:p>
  <w:p w:rsidR="00547375" w:rsidRDefault="00547375" w:rsidP="00F622D9">
    <w:pPr>
      <w:pStyle w:val="Glava"/>
      <w:tabs>
        <w:tab w:val="clear" w:pos="4320"/>
        <w:tab w:val="clear" w:pos="8640"/>
        <w:tab w:val="left" w:pos="546"/>
        <w:tab w:val="left" w:pos="5112"/>
      </w:tabs>
      <w:spacing w:line="240" w:lineRule="exact"/>
      <w:rPr>
        <w:rFonts w:cs="Arial"/>
        <w:sz w:val="16"/>
      </w:rPr>
    </w:pPr>
  </w:p>
  <w:p w:rsidR="00547375" w:rsidRDefault="00547375" w:rsidP="00F622D9">
    <w:pPr>
      <w:pStyle w:val="Glava"/>
      <w:tabs>
        <w:tab w:val="clear" w:pos="4320"/>
        <w:tab w:val="clear" w:pos="8640"/>
        <w:tab w:val="left" w:pos="546"/>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E0249"/>
    <w:multiLevelType w:val="hybridMultilevel"/>
    <w:tmpl w:val="A4281936"/>
    <w:lvl w:ilvl="0" w:tplc="0F92C7BA">
      <w:start w:val="1"/>
      <w:numFmt w:val="bullet"/>
      <w:lvlText w:val="−"/>
      <w:lvlJc w:val="left"/>
      <w:pPr>
        <w:ind w:left="360" w:hanging="360"/>
      </w:pPr>
      <w:rPr>
        <w:rFonts w:ascii="Calibri" w:hAnsi="Calibri"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 w15:restartNumberingAfterBreak="0">
    <w:nsid w:val="042D5E4E"/>
    <w:multiLevelType w:val="multilevel"/>
    <w:tmpl w:val="40508854"/>
    <w:lvl w:ilvl="0">
      <w:start w:val="1"/>
      <w:numFmt w:val="decimal"/>
      <w:lvlText w:val="%1"/>
      <w:lvlJc w:val="left"/>
      <w:pPr>
        <w:ind w:left="360" w:hanging="360"/>
      </w:pPr>
      <w:rPr>
        <w:rFonts w:eastAsia="Calibri" w:hint="default"/>
        <w:color w:val="auto"/>
      </w:rPr>
    </w:lvl>
    <w:lvl w:ilvl="1">
      <w:start w:val="1"/>
      <w:numFmt w:val="decimal"/>
      <w:lvlText w:val="%1.%2"/>
      <w:lvlJc w:val="left"/>
      <w:pPr>
        <w:ind w:left="2726" w:hanging="360"/>
      </w:pPr>
      <w:rPr>
        <w:rFonts w:eastAsia="Calibri" w:hint="default"/>
        <w:color w:val="auto"/>
      </w:rPr>
    </w:lvl>
    <w:lvl w:ilvl="2">
      <w:start w:val="1"/>
      <w:numFmt w:val="decimal"/>
      <w:lvlText w:val="%1.%2.%3"/>
      <w:lvlJc w:val="left"/>
      <w:pPr>
        <w:ind w:left="5452" w:hanging="720"/>
      </w:pPr>
      <w:rPr>
        <w:rFonts w:eastAsia="Calibri" w:hint="default"/>
        <w:color w:val="auto"/>
      </w:rPr>
    </w:lvl>
    <w:lvl w:ilvl="3">
      <w:start w:val="1"/>
      <w:numFmt w:val="decimal"/>
      <w:lvlText w:val="%1.%2.%3.%4"/>
      <w:lvlJc w:val="left"/>
      <w:pPr>
        <w:ind w:left="7818" w:hanging="720"/>
      </w:pPr>
      <w:rPr>
        <w:rFonts w:eastAsia="Calibri" w:hint="default"/>
        <w:color w:val="auto"/>
      </w:rPr>
    </w:lvl>
    <w:lvl w:ilvl="4">
      <w:start w:val="1"/>
      <w:numFmt w:val="decimal"/>
      <w:lvlText w:val="%1.%2.%3.%4.%5"/>
      <w:lvlJc w:val="left"/>
      <w:pPr>
        <w:ind w:left="10544" w:hanging="1080"/>
      </w:pPr>
      <w:rPr>
        <w:rFonts w:eastAsia="Calibri" w:hint="default"/>
        <w:color w:val="auto"/>
      </w:rPr>
    </w:lvl>
    <w:lvl w:ilvl="5">
      <w:start w:val="1"/>
      <w:numFmt w:val="decimal"/>
      <w:lvlText w:val="%1.%2.%3.%4.%5.%6"/>
      <w:lvlJc w:val="left"/>
      <w:pPr>
        <w:ind w:left="12910" w:hanging="1080"/>
      </w:pPr>
      <w:rPr>
        <w:rFonts w:eastAsia="Calibri" w:hint="default"/>
        <w:color w:val="auto"/>
      </w:rPr>
    </w:lvl>
    <w:lvl w:ilvl="6">
      <w:start w:val="1"/>
      <w:numFmt w:val="decimal"/>
      <w:lvlText w:val="%1.%2.%3.%4.%5.%6.%7"/>
      <w:lvlJc w:val="left"/>
      <w:pPr>
        <w:ind w:left="15636" w:hanging="1440"/>
      </w:pPr>
      <w:rPr>
        <w:rFonts w:eastAsia="Calibri" w:hint="default"/>
        <w:color w:val="auto"/>
      </w:rPr>
    </w:lvl>
    <w:lvl w:ilvl="7">
      <w:start w:val="1"/>
      <w:numFmt w:val="decimal"/>
      <w:lvlText w:val="%1.%2.%3.%4.%5.%6.%7.%8"/>
      <w:lvlJc w:val="left"/>
      <w:pPr>
        <w:ind w:left="18002" w:hanging="1440"/>
      </w:pPr>
      <w:rPr>
        <w:rFonts w:eastAsia="Calibri" w:hint="default"/>
        <w:color w:val="auto"/>
      </w:rPr>
    </w:lvl>
    <w:lvl w:ilvl="8">
      <w:start w:val="1"/>
      <w:numFmt w:val="decimal"/>
      <w:lvlText w:val="%1.%2.%3.%4.%5.%6.%7.%8.%9"/>
      <w:lvlJc w:val="left"/>
      <w:pPr>
        <w:ind w:left="20728" w:hanging="1800"/>
      </w:pPr>
      <w:rPr>
        <w:rFonts w:eastAsia="Calibri" w:hint="default"/>
        <w:color w:val="auto"/>
      </w:rPr>
    </w:lvl>
  </w:abstractNum>
  <w:abstractNum w:abstractNumId="2" w15:restartNumberingAfterBreak="0">
    <w:nsid w:val="05F66813"/>
    <w:multiLevelType w:val="hybridMultilevel"/>
    <w:tmpl w:val="C67ACB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5FA7C08"/>
    <w:multiLevelType w:val="hybridMultilevel"/>
    <w:tmpl w:val="3C44523C"/>
    <w:lvl w:ilvl="0" w:tplc="71CABCEE">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74B7E36"/>
    <w:multiLevelType w:val="hybridMultilevel"/>
    <w:tmpl w:val="DAA0C418"/>
    <w:lvl w:ilvl="0" w:tplc="6C86D4B6">
      <w:start w:val="1"/>
      <w:numFmt w:val="decimal"/>
      <w:lvlText w:val="(%1)"/>
      <w:lvlJc w:val="left"/>
      <w:pPr>
        <w:ind w:left="750" w:hanging="39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BD22CBE"/>
    <w:multiLevelType w:val="hybridMultilevel"/>
    <w:tmpl w:val="5254F518"/>
    <w:lvl w:ilvl="0" w:tplc="0F92C7BA">
      <w:start w:val="1"/>
      <w:numFmt w:val="bullet"/>
      <w:lvlText w:val="−"/>
      <w:lvlJc w:val="left"/>
      <w:pPr>
        <w:ind w:left="255" w:hanging="360"/>
      </w:pPr>
      <w:rPr>
        <w:rFonts w:ascii="Calibri" w:hAnsi="Calibri" w:hint="default"/>
        <w:color w:val="000000"/>
      </w:rPr>
    </w:lvl>
    <w:lvl w:ilvl="1" w:tplc="04240003" w:tentative="1">
      <w:start w:val="1"/>
      <w:numFmt w:val="bullet"/>
      <w:lvlText w:val="o"/>
      <w:lvlJc w:val="left"/>
      <w:pPr>
        <w:ind w:left="975" w:hanging="360"/>
      </w:pPr>
      <w:rPr>
        <w:rFonts w:ascii="Courier New" w:hAnsi="Courier New" w:cs="Courier New" w:hint="default"/>
      </w:rPr>
    </w:lvl>
    <w:lvl w:ilvl="2" w:tplc="04240005" w:tentative="1">
      <w:start w:val="1"/>
      <w:numFmt w:val="bullet"/>
      <w:lvlText w:val=""/>
      <w:lvlJc w:val="left"/>
      <w:pPr>
        <w:ind w:left="1695" w:hanging="360"/>
      </w:pPr>
      <w:rPr>
        <w:rFonts w:ascii="Wingdings" w:hAnsi="Wingdings" w:hint="default"/>
      </w:rPr>
    </w:lvl>
    <w:lvl w:ilvl="3" w:tplc="04240001" w:tentative="1">
      <w:start w:val="1"/>
      <w:numFmt w:val="bullet"/>
      <w:lvlText w:val=""/>
      <w:lvlJc w:val="left"/>
      <w:pPr>
        <w:ind w:left="2415" w:hanging="360"/>
      </w:pPr>
      <w:rPr>
        <w:rFonts w:ascii="Symbol" w:hAnsi="Symbol" w:hint="default"/>
      </w:rPr>
    </w:lvl>
    <w:lvl w:ilvl="4" w:tplc="04240003" w:tentative="1">
      <w:start w:val="1"/>
      <w:numFmt w:val="bullet"/>
      <w:lvlText w:val="o"/>
      <w:lvlJc w:val="left"/>
      <w:pPr>
        <w:ind w:left="3135" w:hanging="360"/>
      </w:pPr>
      <w:rPr>
        <w:rFonts w:ascii="Courier New" w:hAnsi="Courier New" w:cs="Courier New" w:hint="default"/>
      </w:rPr>
    </w:lvl>
    <w:lvl w:ilvl="5" w:tplc="04240005" w:tentative="1">
      <w:start w:val="1"/>
      <w:numFmt w:val="bullet"/>
      <w:lvlText w:val=""/>
      <w:lvlJc w:val="left"/>
      <w:pPr>
        <w:ind w:left="3855" w:hanging="360"/>
      </w:pPr>
      <w:rPr>
        <w:rFonts w:ascii="Wingdings" w:hAnsi="Wingdings" w:hint="default"/>
      </w:rPr>
    </w:lvl>
    <w:lvl w:ilvl="6" w:tplc="04240001" w:tentative="1">
      <w:start w:val="1"/>
      <w:numFmt w:val="bullet"/>
      <w:lvlText w:val=""/>
      <w:lvlJc w:val="left"/>
      <w:pPr>
        <w:ind w:left="4575" w:hanging="360"/>
      </w:pPr>
      <w:rPr>
        <w:rFonts w:ascii="Symbol" w:hAnsi="Symbol" w:hint="default"/>
      </w:rPr>
    </w:lvl>
    <w:lvl w:ilvl="7" w:tplc="04240003" w:tentative="1">
      <w:start w:val="1"/>
      <w:numFmt w:val="bullet"/>
      <w:lvlText w:val="o"/>
      <w:lvlJc w:val="left"/>
      <w:pPr>
        <w:ind w:left="5295" w:hanging="360"/>
      </w:pPr>
      <w:rPr>
        <w:rFonts w:ascii="Courier New" w:hAnsi="Courier New" w:cs="Courier New" w:hint="default"/>
      </w:rPr>
    </w:lvl>
    <w:lvl w:ilvl="8" w:tplc="04240005" w:tentative="1">
      <w:start w:val="1"/>
      <w:numFmt w:val="bullet"/>
      <w:lvlText w:val=""/>
      <w:lvlJc w:val="left"/>
      <w:pPr>
        <w:ind w:left="6015" w:hanging="360"/>
      </w:pPr>
      <w:rPr>
        <w:rFonts w:ascii="Wingdings" w:hAnsi="Wingdings" w:hint="default"/>
      </w:rPr>
    </w:lvl>
  </w:abstractNum>
  <w:abstractNum w:abstractNumId="6" w15:restartNumberingAfterBreak="0">
    <w:nsid w:val="0DC74E64"/>
    <w:multiLevelType w:val="multilevel"/>
    <w:tmpl w:val="3B84B2A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12532CCC"/>
    <w:multiLevelType w:val="hybridMultilevel"/>
    <w:tmpl w:val="67E07CBE"/>
    <w:lvl w:ilvl="0" w:tplc="0F92C7BA">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6D930F6"/>
    <w:multiLevelType w:val="hybridMultilevel"/>
    <w:tmpl w:val="275EC646"/>
    <w:lvl w:ilvl="0" w:tplc="71CABCEE">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7071A61"/>
    <w:multiLevelType w:val="hybridMultilevel"/>
    <w:tmpl w:val="53FC782A"/>
    <w:lvl w:ilvl="0" w:tplc="0F92C7BA">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A381F9B"/>
    <w:multiLevelType w:val="hybridMultilevel"/>
    <w:tmpl w:val="2A8A533E"/>
    <w:lvl w:ilvl="0" w:tplc="AECA1B6A">
      <w:numFmt w:val="bullet"/>
      <w:lvlText w:val="-"/>
      <w:lvlJc w:val="left"/>
      <w:pPr>
        <w:ind w:left="255" w:hanging="360"/>
      </w:pPr>
      <w:rPr>
        <w:rFonts w:ascii="Arial" w:eastAsia="Times New Roman" w:hAnsi="Arial" w:cs="Arial" w:hint="default"/>
        <w:color w:val="000000"/>
      </w:rPr>
    </w:lvl>
    <w:lvl w:ilvl="1" w:tplc="04240003" w:tentative="1">
      <w:start w:val="1"/>
      <w:numFmt w:val="bullet"/>
      <w:lvlText w:val="o"/>
      <w:lvlJc w:val="left"/>
      <w:pPr>
        <w:ind w:left="975" w:hanging="360"/>
      </w:pPr>
      <w:rPr>
        <w:rFonts w:ascii="Courier New" w:hAnsi="Courier New" w:cs="Courier New" w:hint="default"/>
      </w:rPr>
    </w:lvl>
    <w:lvl w:ilvl="2" w:tplc="04240005" w:tentative="1">
      <w:start w:val="1"/>
      <w:numFmt w:val="bullet"/>
      <w:lvlText w:val=""/>
      <w:lvlJc w:val="left"/>
      <w:pPr>
        <w:ind w:left="1695" w:hanging="360"/>
      </w:pPr>
      <w:rPr>
        <w:rFonts w:ascii="Wingdings" w:hAnsi="Wingdings" w:hint="default"/>
      </w:rPr>
    </w:lvl>
    <w:lvl w:ilvl="3" w:tplc="04240001" w:tentative="1">
      <w:start w:val="1"/>
      <w:numFmt w:val="bullet"/>
      <w:lvlText w:val=""/>
      <w:lvlJc w:val="left"/>
      <w:pPr>
        <w:ind w:left="2415" w:hanging="360"/>
      </w:pPr>
      <w:rPr>
        <w:rFonts w:ascii="Symbol" w:hAnsi="Symbol" w:hint="default"/>
      </w:rPr>
    </w:lvl>
    <w:lvl w:ilvl="4" w:tplc="04240003" w:tentative="1">
      <w:start w:val="1"/>
      <w:numFmt w:val="bullet"/>
      <w:lvlText w:val="o"/>
      <w:lvlJc w:val="left"/>
      <w:pPr>
        <w:ind w:left="3135" w:hanging="360"/>
      </w:pPr>
      <w:rPr>
        <w:rFonts w:ascii="Courier New" w:hAnsi="Courier New" w:cs="Courier New" w:hint="default"/>
      </w:rPr>
    </w:lvl>
    <w:lvl w:ilvl="5" w:tplc="04240005" w:tentative="1">
      <w:start w:val="1"/>
      <w:numFmt w:val="bullet"/>
      <w:lvlText w:val=""/>
      <w:lvlJc w:val="left"/>
      <w:pPr>
        <w:ind w:left="3855" w:hanging="360"/>
      </w:pPr>
      <w:rPr>
        <w:rFonts w:ascii="Wingdings" w:hAnsi="Wingdings" w:hint="default"/>
      </w:rPr>
    </w:lvl>
    <w:lvl w:ilvl="6" w:tplc="04240001" w:tentative="1">
      <w:start w:val="1"/>
      <w:numFmt w:val="bullet"/>
      <w:lvlText w:val=""/>
      <w:lvlJc w:val="left"/>
      <w:pPr>
        <w:ind w:left="4575" w:hanging="360"/>
      </w:pPr>
      <w:rPr>
        <w:rFonts w:ascii="Symbol" w:hAnsi="Symbol" w:hint="default"/>
      </w:rPr>
    </w:lvl>
    <w:lvl w:ilvl="7" w:tplc="04240003" w:tentative="1">
      <w:start w:val="1"/>
      <w:numFmt w:val="bullet"/>
      <w:lvlText w:val="o"/>
      <w:lvlJc w:val="left"/>
      <w:pPr>
        <w:ind w:left="5295" w:hanging="360"/>
      </w:pPr>
      <w:rPr>
        <w:rFonts w:ascii="Courier New" w:hAnsi="Courier New" w:cs="Courier New" w:hint="default"/>
      </w:rPr>
    </w:lvl>
    <w:lvl w:ilvl="8" w:tplc="04240005" w:tentative="1">
      <w:start w:val="1"/>
      <w:numFmt w:val="bullet"/>
      <w:lvlText w:val=""/>
      <w:lvlJc w:val="left"/>
      <w:pPr>
        <w:ind w:left="6015" w:hanging="360"/>
      </w:pPr>
      <w:rPr>
        <w:rFonts w:ascii="Wingdings" w:hAnsi="Wingdings" w:hint="default"/>
      </w:rPr>
    </w:lvl>
  </w:abstractNum>
  <w:abstractNum w:abstractNumId="11"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EA31519"/>
    <w:multiLevelType w:val="hybridMultilevel"/>
    <w:tmpl w:val="3F423E64"/>
    <w:lvl w:ilvl="0" w:tplc="71CABCEE">
      <w:start w:val="1"/>
      <w:numFmt w:val="bullet"/>
      <w:lvlText w:val="-"/>
      <w:lvlJc w:val="left"/>
      <w:pPr>
        <w:ind w:left="36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1F44298C"/>
    <w:multiLevelType w:val="hybridMultilevel"/>
    <w:tmpl w:val="31028D8A"/>
    <w:lvl w:ilvl="0" w:tplc="71CABCEE">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2B760F13"/>
    <w:multiLevelType w:val="multilevel"/>
    <w:tmpl w:val="1E9A4EC2"/>
    <w:lvl w:ilvl="0">
      <w:start w:val="1"/>
      <w:numFmt w:val="decimal"/>
      <w:lvlText w:val="%1."/>
      <w:lvlJc w:val="left"/>
      <w:pPr>
        <w:ind w:left="360" w:hanging="360"/>
      </w:pPr>
      <w:rPr>
        <w:rFonts w:eastAsia="Calibri" w:hint="default"/>
        <w:color w:val="auto"/>
      </w:rPr>
    </w:lvl>
    <w:lvl w:ilvl="1">
      <w:start w:val="1"/>
      <w:numFmt w:val="decimal"/>
      <w:lvlText w:val="%1.%2."/>
      <w:lvlJc w:val="left"/>
      <w:pPr>
        <w:ind w:left="360" w:hanging="36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16" w15:restartNumberingAfterBreak="0">
    <w:nsid w:val="2BAB0834"/>
    <w:multiLevelType w:val="hybridMultilevel"/>
    <w:tmpl w:val="C49E56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C6F54C7"/>
    <w:multiLevelType w:val="hybridMultilevel"/>
    <w:tmpl w:val="4F4A192C"/>
    <w:lvl w:ilvl="0" w:tplc="71CABCEE">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3F75A85"/>
    <w:multiLevelType w:val="hybridMultilevel"/>
    <w:tmpl w:val="5DB8F78A"/>
    <w:lvl w:ilvl="0" w:tplc="B67E8B2E">
      <w:numFmt w:val="bullet"/>
      <w:lvlText w:val="–"/>
      <w:lvlJc w:val="left"/>
      <w:pPr>
        <w:ind w:left="720" w:hanging="360"/>
      </w:pPr>
      <w:rPr>
        <w:rFonts w:ascii="Arial" w:eastAsia="Times New Roman" w:hAnsi="Arial" w:cs="Arial" w:hint="default"/>
      </w:rPr>
    </w:lvl>
    <w:lvl w:ilvl="1" w:tplc="FB28D302">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437661D"/>
    <w:multiLevelType w:val="hybridMultilevel"/>
    <w:tmpl w:val="0BBA5D66"/>
    <w:lvl w:ilvl="0" w:tplc="0424000F">
      <w:start w:val="1"/>
      <w:numFmt w:val="decimal"/>
      <w:pStyle w:val="Alineazaodstavkom"/>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0" w15:restartNumberingAfterBreak="0">
    <w:nsid w:val="343F118D"/>
    <w:multiLevelType w:val="hybridMultilevel"/>
    <w:tmpl w:val="13A4C0B2"/>
    <w:lvl w:ilvl="0" w:tplc="71CABCEE">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4CA68F5"/>
    <w:multiLevelType w:val="hybridMultilevel"/>
    <w:tmpl w:val="10D4FE2A"/>
    <w:lvl w:ilvl="0" w:tplc="0F92C7BA">
      <w:start w:val="1"/>
      <w:numFmt w:val="bullet"/>
      <w:lvlText w:val="−"/>
      <w:lvlJc w:val="left"/>
      <w:pPr>
        <w:ind w:left="360" w:hanging="360"/>
      </w:pPr>
      <w:rPr>
        <w:rFonts w:ascii="Calibri" w:hAnsi="Calibri"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2" w15:restartNumberingAfterBreak="0">
    <w:nsid w:val="354A144A"/>
    <w:multiLevelType w:val="hybridMultilevel"/>
    <w:tmpl w:val="F962BD42"/>
    <w:lvl w:ilvl="0" w:tplc="1EE22AA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4" w15:restartNumberingAfterBreak="0">
    <w:nsid w:val="39745F03"/>
    <w:multiLevelType w:val="hybridMultilevel"/>
    <w:tmpl w:val="EB62CE50"/>
    <w:lvl w:ilvl="0" w:tplc="85E2B9C4">
      <w:start w:val="1"/>
      <w:numFmt w:val="lowerLetter"/>
      <w:pStyle w:val="rkovnatokazaodstavkom"/>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15:restartNumberingAfterBreak="0">
    <w:nsid w:val="3FAE47DC"/>
    <w:multiLevelType w:val="hybridMultilevel"/>
    <w:tmpl w:val="50B8FE0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15:restartNumberingAfterBreak="0">
    <w:nsid w:val="3FFD124E"/>
    <w:multiLevelType w:val="hybridMultilevel"/>
    <w:tmpl w:val="FE0EF1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44122572"/>
    <w:multiLevelType w:val="hybridMultilevel"/>
    <w:tmpl w:val="FC68C60A"/>
    <w:lvl w:ilvl="0" w:tplc="F4AE5908">
      <w:start w:val="1"/>
      <w:numFmt w:val="lowerLetter"/>
      <w:lvlText w:val="%1)"/>
      <w:lvlJc w:val="left"/>
      <w:pPr>
        <w:ind w:left="218" w:hanging="360"/>
      </w:pPr>
      <w:rPr>
        <w:rFonts w:hint="default"/>
      </w:rPr>
    </w:lvl>
    <w:lvl w:ilvl="1" w:tplc="04240019" w:tentative="1">
      <w:start w:val="1"/>
      <w:numFmt w:val="lowerLetter"/>
      <w:lvlText w:val="%2."/>
      <w:lvlJc w:val="left"/>
      <w:pPr>
        <w:ind w:left="938" w:hanging="360"/>
      </w:pPr>
    </w:lvl>
    <w:lvl w:ilvl="2" w:tplc="0424001B" w:tentative="1">
      <w:start w:val="1"/>
      <w:numFmt w:val="lowerRoman"/>
      <w:lvlText w:val="%3."/>
      <w:lvlJc w:val="right"/>
      <w:pPr>
        <w:ind w:left="1658" w:hanging="180"/>
      </w:pPr>
    </w:lvl>
    <w:lvl w:ilvl="3" w:tplc="0424000F" w:tentative="1">
      <w:start w:val="1"/>
      <w:numFmt w:val="decimal"/>
      <w:lvlText w:val="%4."/>
      <w:lvlJc w:val="left"/>
      <w:pPr>
        <w:ind w:left="2378" w:hanging="360"/>
      </w:pPr>
    </w:lvl>
    <w:lvl w:ilvl="4" w:tplc="04240019" w:tentative="1">
      <w:start w:val="1"/>
      <w:numFmt w:val="lowerLetter"/>
      <w:lvlText w:val="%5."/>
      <w:lvlJc w:val="left"/>
      <w:pPr>
        <w:ind w:left="3098" w:hanging="360"/>
      </w:pPr>
    </w:lvl>
    <w:lvl w:ilvl="5" w:tplc="0424001B" w:tentative="1">
      <w:start w:val="1"/>
      <w:numFmt w:val="lowerRoman"/>
      <w:lvlText w:val="%6."/>
      <w:lvlJc w:val="right"/>
      <w:pPr>
        <w:ind w:left="3818" w:hanging="180"/>
      </w:pPr>
    </w:lvl>
    <w:lvl w:ilvl="6" w:tplc="0424000F" w:tentative="1">
      <w:start w:val="1"/>
      <w:numFmt w:val="decimal"/>
      <w:lvlText w:val="%7."/>
      <w:lvlJc w:val="left"/>
      <w:pPr>
        <w:ind w:left="4538" w:hanging="360"/>
      </w:pPr>
    </w:lvl>
    <w:lvl w:ilvl="7" w:tplc="04240019" w:tentative="1">
      <w:start w:val="1"/>
      <w:numFmt w:val="lowerLetter"/>
      <w:lvlText w:val="%8."/>
      <w:lvlJc w:val="left"/>
      <w:pPr>
        <w:ind w:left="5258" w:hanging="360"/>
      </w:pPr>
    </w:lvl>
    <w:lvl w:ilvl="8" w:tplc="0424001B" w:tentative="1">
      <w:start w:val="1"/>
      <w:numFmt w:val="lowerRoman"/>
      <w:lvlText w:val="%9."/>
      <w:lvlJc w:val="right"/>
      <w:pPr>
        <w:ind w:left="5978" w:hanging="180"/>
      </w:pPr>
    </w:lvl>
  </w:abstractNum>
  <w:abstractNum w:abstractNumId="29" w15:restartNumberingAfterBreak="0">
    <w:nsid w:val="4656200E"/>
    <w:multiLevelType w:val="multilevel"/>
    <w:tmpl w:val="93DA8AB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6881B5E"/>
    <w:multiLevelType w:val="hybridMultilevel"/>
    <w:tmpl w:val="586A6C52"/>
    <w:lvl w:ilvl="0" w:tplc="AECA1B6A">
      <w:numFmt w:val="bullet"/>
      <w:lvlText w:val="-"/>
      <w:lvlJc w:val="left"/>
      <w:pPr>
        <w:ind w:left="255" w:hanging="360"/>
      </w:pPr>
      <w:rPr>
        <w:rFonts w:ascii="Arial" w:eastAsia="Times New Roman" w:hAnsi="Arial" w:cs="Aria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6890D37"/>
    <w:multiLevelType w:val="multilevel"/>
    <w:tmpl w:val="0424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2" w15:restartNumberingAfterBreak="0">
    <w:nsid w:val="5A872997"/>
    <w:multiLevelType w:val="hybridMultilevel"/>
    <w:tmpl w:val="6D4C729A"/>
    <w:lvl w:ilvl="0" w:tplc="F1BC82DA">
      <w:start w:val="1"/>
      <w:numFmt w:val="decimal"/>
      <w:lvlText w:val="%1."/>
      <w:lvlJc w:val="left"/>
      <w:pPr>
        <w:ind w:left="540" w:hanging="54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CED491D"/>
    <w:multiLevelType w:val="multilevel"/>
    <w:tmpl w:val="A5F8906C"/>
    <w:lvl w:ilvl="0">
      <w:start w:val="1"/>
      <w:numFmt w:val="upperRoman"/>
      <w:lvlText w:val="%1."/>
      <w:lvlJc w:val="left"/>
      <w:pPr>
        <w:ind w:left="3086" w:hanging="720"/>
      </w:pPr>
      <w:rPr>
        <w:rFonts w:hint="default"/>
      </w:rPr>
    </w:lvl>
    <w:lvl w:ilvl="1">
      <w:start w:val="1"/>
      <w:numFmt w:val="decimal"/>
      <w:isLgl/>
      <w:lvlText w:val="%1.%2."/>
      <w:lvlJc w:val="left"/>
      <w:pPr>
        <w:ind w:left="2786" w:hanging="420"/>
      </w:pPr>
      <w:rPr>
        <w:rFonts w:hint="default"/>
      </w:rPr>
    </w:lvl>
    <w:lvl w:ilvl="2">
      <w:start w:val="1"/>
      <w:numFmt w:val="decimal"/>
      <w:isLgl/>
      <w:lvlText w:val="%1.%2.%3."/>
      <w:lvlJc w:val="left"/>
      <w:pPr>
        <w:ind w:left="3086" w:hanging="720"/>
      </w:pPr>
      <w:rPr>
        <w:rFonts w:hint="default"/>
      </w:rPr>
    </w:lvl>
    <w:lvl w:ilvl="3">
      <w:start w:val="1"/>
      <w:numFmt w:val="decimal"/>
      <w:isLgl/>
      <w:lvlText w:val="%1.%2.%3.%4."/>
      <w:lvlJc w:val="left"/>
      <w:pPr>
        <w:ind w:left="3086" w:hanging="720"/>
      </w:pPr>
      <w:rPr>
        <w:rFonts w:hint="default"/>
      </w:rPr>
    </w:lvl>
    <w:lvl w:ilvl="4">
      <w:start w:val="1"/>
      <w:numFmt w:val="decimal"/>
      <w:isLgl/>
      <w:lvlText w:val="%1.%2.%3.%4.%5."/>
      <w:lvlJc w:val="left"/>
      <w:pPr>
        <w:ind w:left="3446" w:hanging="1080"/>
      </w:pPr>
      <w:rPr>
        <w:rFonts w:hint="default"/>
      </w:rPr>
    </w:lvl>
    <w:lvl w:ilvl="5">
      <w:start w:val="1"/>
      <w:numFmt w:val="decimal"/>
      <w:isLgl/>
      <w:lvlText w:val="%1.%2.%3.%4.%5.%6."/>
      <w:lvlJc w:val="left"/>
      <w:pPr>
        <w:ind w:left="3446" w:hanging="1080"/>
      </w:pPr>
      <w:rPr>
        <w:rFonts w:hint="default"/>
      </w:rPr>
    </w:lvl>
    <w:lvl w:ilvl="6">
      <w:start w:val="1"/>
      <w:numFmt w:val="decimal"/>
      <w:isLgl/>
      <w:lvlText w:val="%1.%2.%3.%4.%5.%6.%7."/>
      <w:lvlJc w:val="left"/>
      <w:pPr>
        <w:ind w:left="3806" w:hanging="1440"/>
      </w:pPr>
      <w:rPr>
        <w:rFonts w:hint="default"/>
      </w:rPr>
    </w:lvl>
    <w:lvl w:ilvl="7">
      <w:start w:val="1"/>
      <w:numFmt w:val="decimal"/>
      <w:isLgl/>
      <w:lvlText w:val="%1.%2.%3.%4.%5.%6.%7.%8."/>
      <w:lvlJc w:val="left"/>
      <w:pPr>
        <w:ind w:left="3806" w:hanging="1440"/>
      </w:pPr>
      <w:rPr>
        <w:rFonts w:hint="default"/>
      </w:rPr>
    </w:lvl>
    <w:lvl w:ilvl="8">
      <w:start w:val="1"/>
      <w:numFmt w:val="decimal"/>
      <w:isLgl/>
      <w:lvlText w:val="%1.%2.%3.%4.%5.%6.%7.%8.%9."/>
      <w:lvlJc w:val="left"/>
      <w:pPr>
        <w:ind w:left="4166" w:hanging="1800"/>
      </w:pPr>
      <w:rPr>
        <w:rFonts w:hint="default"/>
      </w:rPr>
    </w:lvl>
  </w:abstractNum>
  <w:abstractNum w:abstractNumId="35" w15:restartNumberingAfterBreak="0">
    <w:nsid w:val="5D5712CA"/>
    <w:multiLevelType w:val="multilevel"/>
    <w:tmpl w:val="FE102E9A"/>
    <w:lvl w:ilvl="0">
      <w:start w:val="1"/>
      <w:numFmt w:val="decimal"/>
      <w:lvlText w:val="%1"/>
      <w:lvlJc w:val="left"/>
      <w:pPr>
        <w:ind w:left="360" w:hanging="360"/>
      </w:pPr>
      <w:rPr>
        <w:rFonts w:eastAsia="Calibri" w:hint="default"/>
        <w:color w:val="auto"/>
      </w:rPr>
    </w:lvl>
    <w:lvl w:ilvl="1">
      <w:start w:val="1"/>
      <w:numFmt w:val="decimal"/>
      <w:lvlText w:val="%1.%2"/>
      <w:lvlJc w:val="left"/>
      <w:pPr>
        <w:ind w:left="360" w:hanging="36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36" w15:restartNumberingAfterBreak="0">
    <w:nsid w:val="5FD82850"/>
    <w:multiLevelType w:val="hybridMultilevel"/>
    <w:tmpl w:val="A71EBB3C"/>
    <w:lvl w:ilvl="0" w:tplc="0F92C7BA">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63AA4C44"/>
    <w:multiLevelType w:val="hybridMultilevel"/>
    <w:tmpl w:val="092E92F6"/>
    <w:lvl w:ilvl="0" w:tplc="000F0409">
      <w:start w:val="1"/>
      <w:numFmt w:val="decimal"/>
      <w:pStyle w:val="Odsek"/>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8"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C781588"/>
    <w:multiLevelType w:val="hybridMultilevel"/>
    <w:tmpl w:val="76C0219E"/>
    <w:lvl w:ilvl="0" w:tplc="637607EE">
      <w:start w:val="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15:restartNumberingAfterBreak="0">
    <w:nsid w:val="6E212CCC"/>
    <w:multiLevelType w:val="hybridMultilevel"/>
    <w:tmpl w:val="7F462D0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1" w15:restartNumberingAfterBreak="0">
    <w:nsid w:val="7547711A"/>
    <w:multiLevelType w:val="hybridMultilevel"/>
    <w:tmpl w:val="6C2C5F56"/>
    <w:lvl w:ilvl="0" w:tplc="F44C9B4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77E673F7"/>
    <w:multiLevelType w:val="hybridMultilevel"/>
    <w:tmpl w:val="33E664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82A2ED0"/>
    <w:multiLevelType w:val="hybridMultilevel"/>
    <w:tmpl w:val="497C759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4" w15:restartNumberingAfterBreak="0">
    <w:nsid w:val="7F164896"/>
    <w:multiLevelType w:val="hybridMultilevel"/>
    <w:tmpl w:val="ED8CD0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7"/>
  </w:num>
  <w:num w:numId="2">
    <w:abstractNumId w:val="23"/>
  </w:num>
  <w:num w:numId="3">
    <w:abstractNumId w:val="33"/>
  </w:num>
  <w:num w:numId="4">
    <w:abstractNumId w:val="38"/>
  </w:num>
  <w:num w:numId="5">
    <w:abstractNumId w:val="27"/>
  </w:num>
  <w:num w:numId="6">
    <w:abstractNumId w:val="14"/>
  </w:num>
  <w:num w:numId="7">
    <w:abstractNumId w:val="19"/>
  </w:num>
  <w:num w:numId="8">
    <w:abstractNumId w:val="34"/>
  </w:num>
  <w:num w:numId="9">
    <w:abstractNumId w:val="24"/>
  </w:num>
  <w:num w:numId="10">
    <w:abstractNumId w:val="41"/>
  </w:num>
  <w:num w:numId="11">
    <w:abstractNumId w:val="11"/>
  </w:num>
  <w:num w:numId="12">
    <w:abstractNumId w:val="18"/>
  </w:num>
  <w:num w:numId="13">
    <w:abstractNumId w:val="43"/>
  </w:num>
  <w:num w:numId="14">
    <w:abstractNumId w:val="1"/>
  </w:num>
  <w:num w:numId="15">
    <w:abstractNumId w:val="29"/>
  </w:num>
  <w:num w:numId="16">
    <w:abstractNumId w:val="21"/>
  </w:num>
  <w:num w:numId="17">
    <w:abstractNumId w:val="10"/>
  </w:num>
  <w:num w:numId="18">
    <w:abstractNumId w:val="30"/>
  </w:num>
  <w:num w:numId="19">
    <w:abstractNumId w:val="12"/>
  </w:num>
  <w:num w:numId="20">
    <w:abstractNumId w:val="32"/>
  </w:num>
  <w:num w:numId="21">
    <w:abstractNumId w:val="20"/>
  </w:num>
  <w:num w:numId="22">
    <w:abstractNumId w:val="36"/>
  </w:num>
  <w:num w:numId="23">
    <w:abstractNumId w:val="5"/>
  </w:num>
  <w:num w:numId="24">
    <w:abstractNumId w:val="0"/>
  </w:num>
  <w:num w:numId="25">
    <w:abstractNumId w:val="31"/>
  </w:num>
  <w:num w:numId="26">
    <w:abstractNumId w:val="22"/>
  </w:num>
  <w:num w:numId="27">
    <w:abstractNumId w:val="39"/>
  </w:num>
  <w:num w:numId="28">
    <w:abstractNumId w:val="6"/>
  </w:num>
  <w:num w:numId="29">
    <w:abstractNumId w:val="7"/>
  </w:num>
  <w:num w:numId="30">
    <w:abstractNumId w:val="15"/>
  </w:num>
  <w:num w:numId="31">
    <w:abstractNumId w:val="35"/>
  </w:num>
  <w:num w:numId="32">
    <w:abstractNumId w:val="16"/>
  </w:num>
  <w:num w:numId="33">
    <w:abstractNumId w:val="25"/>
  </w:num>
  <w:num w:numId="34">
    <w:abstractNumId w:val="44"/>
  </w:num>
  <w:num w:numId="35">
    <w:abstractNumId w:val="4"/>
  </w:num>
  <w:num w:numId="36">
    <w:abstractNumId w:val="40"/>
  </w:num>
  <w:num w:numId="37">
    <w:abstractNumId w:val="2"/>
  </w:num>
  <w:num w:numId="38">
    <w:abstractNumId w:val="9"/>
  </w:num>
  <w:num w:numId="39">
    <w:abstractNumId w:val="28"/>
  </w:num>
  <w:num w:numId="40">
    <w:abstractNumId w:val="26"/>
  </w:num>
  <w:num w:numId="41">
    <w:abstractNumId w:val="42"/>
  </w:num>
  <w:num w:numId="42">
    <w:abstractNumId w:val="8"/>
  </w:num>
  <w:num w:numId="43">
    <w:abstractNumId w:val="17"/>
  </w:num>
  <w:num w:numId="44">
    <w:abstractNumId w:val="13"/>
  </w:num>
  <w:num w:numId="45">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57345">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769"/>
    <w:rsid w:val="00000359"/>
    <w:rsid w:val="00001A56"/>
    <w:rsid w:val="000030C5"/>
    <w:rsid w:val="000046E9"/>
    <w:rsid w:val="000069B6"/>
    <w:rsid w:val="00006DB8"/>
    <w:rsid w:val="00007356"/>
    <w:rsid w:val="00007A6D"/>
    <w:rsid w:val="000122CC"/>
    <w:rsid w:val="00013AC2"/>
    <w:rsid w:val="00013D13"/>
    <w:rsid w:val="000144A9"/>
    <w:rsid w:val="00015C57"/>
    <w:rsid w:val="000167AB"/>
    <w:rsid w:val="00021BBD"/>
    <w:rsid w:val="0002247E"/>
    <w:rsid w:val="00023962"/>
    <w:rsid w:val="00023A88"/>
    <w:rsid w:val="00024BA7"/>
    <w:rsid w:val="00025CD3"/>
    <w:rsid w:val="00026310"/>
    <w:rsid w:val="00030F8B"/>
    <w:rsid w:val="00031B5F"/>
    <w:rsid w:val="000359C3"/>
    <w:rsid w:val="00036F05"/>
    <w:rsid w:val="000402FA"/>
    <w:rsid w:val="000419AF"/>
    <w:rsid w:val="00041B39"/>
    <w:rsid w:val="000424EA"/>
    <w:rsid w:val="00042B7F"/>
    <w:rsid w:val="0004317E"/>
    <w:rsid w:val="0004416D"/>
    <w:rsid w:val="00046787"/>
    <w:rsid w:val="00046D5C"/>
    <w:rsid w:val="00050A71"/>
    <w:rsid w:val="00050E5F"/>
    <w:rsid w:val="00051F2B"/>
    <w:rsid w:val="00051F76"/>
    <w:rsid w:val="00052C7C"/>
    <w:rsid w:val="0005354E"/>
    <w:rsid w:val="000539AD"/>
    <w:rsid w:val="000551D5"/>
    <w:rsid w:val="0006005C"/>
    <w:rsid w:val="000633DC"/>
    <w:rsid w:val="00063B37"/>
    <w:rsid w:val="000644E4"/>
    <w:rsid w:val="000653AD"/>
    <w:rsid w:val="00065EC9"/>
    <w:rsid w:val="00067ADF"/>
    <w:rsid w:val="000719C3"/>
    <w:rsid w:val="00073CEE"/>
    <w:rsid w:val="00074D87"/>
    <w:rsid w:val="00076657"/>
    <w:rsid w:val="00080BF1"/>
    <w:rsid w:val="00083264"/>
    <w:rsid w:val="00083437"/>
    <w:rsid w:val="000840E7"/>
    <w:rsid w:val="00087019"/>
    <w:rsid w:val="00093826"/>
    <w:rsid w:val="0009516F"/>
    <w:rsid w:val="000953D4"/>
    <w:rsid w:val="00097603"/>
    <w:rsid w:val="0009790F"/>
    <w:rsid w:val="00097ED6"/>
    <w:rsid w:val="000A6077"/>
    <w:rsid w:val="000A7238"/>
    <w:rsid w:val="000A7E49"/>
    <w:rsid w:val="000B505B"/>
    <w:rsid w:val="000B66A9"/>
    <w:rsid w:val="000C102E"/>
    <w:rsid w:val="000C1DEE"/>
    <w:rsid w:val="000C34B2"/>
    <w:rsid w:val="000C5D05"/>
    <w:rsid w:val="000D3E80"/>
    <w:rsid w:val="000D3EFF"/>
    <w:rsid w:val="000D3FDE"/>
    <w:rsid w:val="000D588B"/>
    <w:rsid w:val="000D7515"/>
    <w:rsid w:val="000D79FD"/>
    <w:rsid w:val="000E05FF"/>
    <w:rsid w:val="000E0CD4"/>
    <w:rsid w:val="000E1911"/>
    <w:rsid w:val="000E2782"/>
    <w:rsid w:val="000E329C"/>
    <w:rsid w:val="000E3AFF"/>
    <w:rsid w:val="000E49B8"/>
    <w:rsid w:val="000E62F4"/>
    <w:rsid w:val="000E6ADA"/>
    <w:rsid w:val="000F2AF2"/>
    <w:rsid w:val="000F3EB9"/>
    <w:rsid w:val="000F437C"/>
    <w:rsid w:val="000F4BF2"/>
    <w:rsid w:val="000F6DD5"/>
    <w:rsid w:val="00101D6A"/>
    <w:rsid w:val="00102955"/>
    <w:rsid w:val="001057A3"/>
    <w:rsid w:val="00106F2F"/>
    <w:rsid w:val="001078E5"/>
    <w:rsid w:val="00110B03"/>
    <w:rsid w:val="0011486F"/>
    <w:rsid w:val="00115297"/>
    <w:rsid w:val="001237AE"/>
    <w:rsid w:val="00127C95"/>
    <w:rsid w:val="00130D77"/>
    <w:rsid w:val="00132EC7"/>
    <w:rsid w:val="001346A6"/>
    <w:rsid w:val="00134E4C"/>
    <w:rsid w:val="001357B2"/>
    <w:rsid w:val="0013655C"/>
    <w:rsid w:val="00137D76"/>
    <w:rsid w:val="00137FC2"/>
    <w:rsid w:val="00140101"/>
    <w:rsid w:val="00140B43"/>
    <w:rsid w:val="0014672E"/>
    <w:rsid w:val="00146A02"/>
    <w:rsid w:val="00147B15"/>
    <w:rsid w:val="0015453C"/>
    <w:rsid w:val="001546F8"/>
    <w:rsid w:val="001553AF"/>
    <w:rsid w:val="0015610F"/>
    <w:rsid w:val="00157424"/>
    <w:rsid w:val="00161436"/>
    <w:rsid w:val="00163D88"/>
    <w:rsid w:val="00165185"/>
    <w:rsid w:val="00166A29"/>
    <w:rsid w:val="00173111"/>
    <w:rsid w:val="0017478F"/>
    <w:rsid w:val="00176120"/>
    <w:rsid w:val="00180313"/>
    <w:rsid w:val="0018258E"/>
    <w:rsid w:val="001865D7"/>
    <w:rsid w:val="00186C9B"/>
    <w:rsid w:val="00190F63"/>
    <w:rsid w:val="001918B7"/>
    <w:rsid w:val="00191B56"/>
    <w:rsid w:val="00192D9A"/>
    <w:rsid w:val="00195766"/>
    <w:rsid w:val="00195A59"/>
    <w:rsid w:val="001963C8"/>
    <w:rsid w:val="00196CFE"/>
    <w:rsid w:val="001A41C7"/>
    <w:rsid w:val="001A4880"/>
    <w:rsid w:val="001A51AB"/>
    <w:rsid w:val="001A5BA3"/>
    <w:rsid w:val="001A7A90"/>
    <w:rsid w:val="001B1343"/>
    <w:rsid w:val="001B1CC9"/>
    <w:rsid w:val="001B3115"/>
    <w:rsid w:val="001B3156"/>
    <w:rsid w:val="001B33DD"/>
    <w:rsid w:val="001B351D"/>
    <w:rsid w:val="001B429E"/>
    <w:rsid w:val="001C497B"/>
    <w:rsid w:val="001C7A64"/>
    <w:rsid w:val="001D0674"/>
    <w:rsid w:val="001D39C1"/>
    <w:rsid w:val="001D4237"/>
    <w:rsid w:val="001D4F61"/>
    <w:rsid w:val="001D5AC6"/>
    <w:rsid w:val="001D749D"/>
    <w:rsid w:val="001D7C48"/>
    <w:rsid w:val="001E0D84"/>
    <w:rsid w:val="001E1915"/>
    <w:rsid w:val="001E1A45"/>
    <w:rsid w:val="001E28FB"/>
    <w:rsid w:val="001E2B17"/>
    <w:rsid w:val="001E2C48"/>
    <w:rsid w:val="001E3678"/>
    <w:rsid w:val="001E6672"/>
    <w:rsid w:val="001E6B7A"/>
    <w:rsid w:val="001F0385"/>
    <w:rsid w:val="001F0776"/>
    <w:rsid w:val="001F173D"/>
    <w:rsid w:val="001F2DED"/>
    <w:rsid w:val="001F3192"/>
    <w:rsid w:val="001F31FC"/>
    <w:rsid w:val="001F498C"/>
    <w:rsid w:val="001F69F1"/>
    <w:rsid w:val="001F7815"/>
    <w:rsid w:val="002029F4"/>
    <w:rsid w:val="00202A77"/>
    <w:rsid w:val="0020615E"/>
    <w:rsid w:val="00206BC6"/>
    <w:rsid w:val="0020771E"/>
    <w:rsid w:val="00212AFF"/>
    <w:rsid w:val="00212C75"/>
    <w:rsid w:val="002134EC"/>
    <w:rsid w:val="002143E3"/>
    <w:rsid w:val="00215A0A"/>
    <w:rsid w:val="00217F5F"/>
    <w:rsid w:val="00217F64"/>
    <w:rsid w:val="00221465"/>
    <w:rsid w:val="0022185B"/>
    <w:rsid w:val="0022230A"/>
    <w:rsid w:val="00223430"/>
    <w:rsid w:val="00223F78"/>
    <w:rsid w:val="00224472"/>
    <w:rsid w:val="00224FB9"/>
    <w:rsid w:val="00225947"/>
    <w:rsid w:val="00226B4D"/>
    <w:rsid w:val="00227986"/>
    <w:rsid w:val="0023133B"/>
    <w:rsid w:val="00231857"/>
    <w:rsid w:val="00234210"/>
    <w:rsid w:val="0023445E"/>
    <w:rsid w:val="00236D7C"/>
    <w:rsid w:val="00241007"/>
    <w:rsid w:val="002413F3"/>
    <w:rsid w:val="002434B7"/>
    <w:rsid w:val="00243AED"/>
    <w:rsid w:val="00244B04"/>
    <w:rsid w:val="00246715"/>
    <w:rsid w:val="00252372"/>
    <w:rsid w:val="00252DA1"/>
    <w:rsid w:val="002532E0"/>
    <w:rsid w:val="00253E41"/>
    <w:rsid w:val="002545A3"/>
    <w:rsid w:val="00260C51"/>
    <w:rsid w:val="00263D97"/>
    <w:rsid w:val="00264E44"/>
    <w:rsid w:val="002655D3"/>
    <w:rsid w:val="002659B2"/>
    <w:rsid w:val="00266588"/>
    <w:rsid w:val="002701C1"/>
    <w:rsid w:val="00270AB4"/>
    <w:rsid w:val="00271CE5"/>
    <w:rsid w:val="002738C7"/>
    <w:rsid w:val="00274C9D"/>
    <w:rsid w:val="00275DD0"/>
    <w:rsid w:val="002809BE"/>
    <w:rsid w:val="00282020"/>
    <w:rsid w:val="00282AF9"/>
    <w:rsid w:val="00282D26"/>
    <w:rsid w:val="002837F0"/>
    <w:rsid w:val="00292897"/>
    <w:rsid w:val="002931E0"/>
    <w:rsid w:val="00293EBB"/>
    <w:rsid w:val="00294DBE"/>
    <w:rsid w:val="002952A0"/>
    <w:rsid w:val="002A2B69"/>
    <w:rsid w:val="002A445D"/>
    <w:rsid w:val="002A4D3B"/>
    <w:rsid w:val="002A732F"/>
    <w:rsid w:val="002B089C"/>
    <w:rsid w:val="002B523E"/>
    <w:rsid w:val="002C1C2C"/>
    <w:rsid w:val="002C1C2F"/>
    <w:rsid w:val="002C26BD"/>
    <w:rsid w:val="002C397C"/>
    <w:rsid w:val="002C7150"/>
    <w:rsid w:val="002D0C4E"/>
    <w:rsid w:val="002D2075"/>
    <w:rsid w:val="002D5B62"/>
    <w:rsid w:val="002D660A"/>
    <w:rsid w:val="002D7B39"/>
    <w:rsid w:val="002E10B1"/>
    <w:rsid w:val="002E142F"/>
    <w:rsid w:val="002E4E74"/>
    <w:rsid w:val="002E6031"/>
    <w:rsid w:val="002F1A85"/>
    <w:rsid w:val="002F3ADC"/>
    <w:rsid w:val="002F3D6B"/>
    <w:rsid w:val="002F47BF"/>
    <w:rsid w:val="002F74F1"/>
    <w:rsid w:val="002F7B3A"/>
    <w:rsid w:val="00302674"/>
    <w:rsid w:val="0030360D"/>
    <w:rsid w:val="00305602"/>
    <w:rsid w:val="003078D5"/>
    <w:rsid w:val="00307C05"/>
    <w:rsid w:val="003109E2"/>
    <w:rsid w:val="00310C5D"/>
    <w:rsid w:val="00311862"/>
    <w:rsid w:val="00311E69"/>
    <w:rsid w:val="00312898"/>
    <w:rsid w:val="0031368A"/>
    <w:rsid w:val="00313CB9"/>
    <w:rsid w:val="003160D9"/>
    <w:rsid w:val="00317204"/>
    <w:rsid w:val="00322A13"/>
    <w:rsid w:val="003234D9"/>
    <w:rsid w:val="003264A3"/>
    <w:rsid w:val="00333F93"/>
    <w:rsid w:val="0033458E"/>
    <w:rsid w:val="0033668C"/>
    <w:rsid w:val="00337E3E"/>
    <w:rsid w:val="00343309"/>
    <w:rsid w:val="00343D3E"/>
    <w:rsid w:val="003449C5"/>
    <w:rsid w:val="00351085"/>
    <w:rsid w:val="003547C9"/>
    <w:rsid w:val="00355D7F"/>
    <w:rsid w:val="00360579"/>
    <w:rsid w:val="00360D56"/>
    <w:rsid w:val="00361B56"/>
    <w:rsid w:val="00363506"/>
    <w:rsid w:val="003636BF"/>
    <w:rsid w:val="00371442"/>
    <w:rsid w:val="00376433"/>
    <w:rsid w:val="00376690"/>
    <w:rsid w:val="00376932"/>
    <w:rsid w:val="00381510"/>
    <w:rsid w:val="003822FD"/>
    <w:rsid w:val="00382709"/>
    <w:rsid w:val="003827DB"/>
    <w:rsid w:val="00383058"/>
    <w:rsid w:val="003845B4"/>
    <w:rsid w:val="00385599"/>
    <w:rsid w:val="003861FE"/>
    <w:rsid w:val="00387B1A"/>
    <w:rsid w:val="0039011D"/>
    <w:rsid w:val="003907C3"/>
    <w:rsid w:val="00392E73"/>
    <w:rsid w:val="00394573"/>
    <w:rsid w:val="00397C6D"/>
    <w:rsid w:val="003A0332"/>
    <w:rsid w:val="003A594C"/>
    <w:rsid w:val="003B1BCF"/>
    <w:rsid w:val="003B1DC1"/>
    <w:rsid w:val="003B2038"/>
    <w:rsid w:val="003B4205"/>
    <w:rsid w:val="003B4DC3"/>
    <w:rsid w:val="003B5B71"/>
    <w:rsid w:val="003B6437"/>
    <w:rsid w:val="003C2AAA"/>
    <w:rsid w:val="003C5EE5"/>
    <w:rsid w:val="003D0C14"/>
    <w:rsid w:val="003D2A1D"/>
    <w:rsid w:val="003D2F0E"/>
    <w:rsid w:val="003D5D0C"/>
    <w:rsid w:val="003D6A0B"/>
    <w:rsid w:val="003D7F20"/>
    <w:rsid w:val="003E1C74"/>
    <w:rsid w:val="003E2288"/>
    <w:rsid w:val="003E44E3"/>
    <w:rsid w:val="003E741A"/>
    <w:rsid w:val="003E74F5"/>
    <w:rsid w:val="003E7BE7"/>
    <w:rsid w:val="003F2698"/>
    <w:rsid w:val="003F27C9"/>
    <w:rsid w:val="003F2CA4"/>
    <w:rsid w:val="003F2F5D"/>
    <w:rsid w:val="003F33D6"/>
    <w:rsid w:val="003F5288"/>
    <w:rsid w:val="003F5852"/>
    <w:rsid w:val="003F63F0"/>
    <w:rsid w:val="003F7762"/>
    <w:rsid w:val="00402BA3"/>
    <w:rsid w:val="00404BF8"/>
    <w:rsid w:val="00406FE0"/>
    <w:rsid w:val="00407733"/>
    <w:rsid w:val="00407CFC"/>
    <w:rsid w:val="004105C9"/>
    <w:rsid w:val="00410BB5"/>
    <w:rsid w:val="00411B97"/>
    <w:rsid w:val="004167EE"/>
    <w:rsid w:val="0042288C"/>
    <w:rsid w:val="0042598A"/>
    <w:rsid w:val="00425FF2"/>
    <w:rsid w:val="004263C6"/>
    <w:rsid w:val="00426A7B"/>
    <w:rsid w:val="00427223"/>
    <w:rsid w:val="00430397"/>
    <w:rsid w:val="004316F3"/>
    <w:rsid w:val="0043210E"/>
    <w:rsid w:val="004331B6"/>
    <w:rsid w:val="00433FBC"/>
    <w:rsid w:val="004345E5"/>
    <w:rsid w:val="004355D3"/>
    <w:rsid w:val="00436200"/>
    <w:rsid w:val="00436D35"/>
    <w:rsid w:val="004370B6"/>
    <w:rsid w:val="00437CE0"/>
    <w:rsid w:val="00437F81"/>
    <w:rsid w:val="0044175C"/>
    <w:rsid w:val="00442EF2"/>
    <w:rsid w:val="00443A1D"/>
    <w:rsid w:val="00443E77"/>
    <w:rsid w:val="00444A81"/>
    <w:rsid w:val="004453CE"/>
    <w:rsid w:val="00445AF0"/>
    <w:rsid w:val="00451F51"/>
    <w:rsid w:val="00453406"/>
    <w:rsid w:val="0045384C"/>
    <w:rsid w:val="00456775"/>
    <w:rsid w:val="00461FB1"/>
    <w:rsid w:val="00461FFE"/>
    <w:rsid w:val="00462697"/>
    <w:rsid w:val="004657EE"/>
    <w:rsid w:val="00466432"/>
    <w:rsid w:val="00471613"/>
    <w:rsid w:val="004761A4"/>
    <w:rsid w:val="00476A1E"/>
    <w:rsid w:val="004801D4"/>
    <w:rsid w:val="0048048B"/>
    <w:rsid w:val="004818EC"/>
    <w:rsid w:val="004839EF"/>
    <w:rsid w:val="00484DB8"/>
    <w:rsid w:val="004853C2"/>
    <w:rsid w:val="004869BB"/>
    <w:rsid w:val="00490F22"/>
    <w:rsid w:val="004939F1"/>
    <w:rsid w:val="00493FDB"/>
    <w:rsid w:val="00496086"/>
    <w:rsid w:val="004A2B42"/>
    <w:rsid w:val="004A436A"/>
    <w:rsid w:val="004A619C"/>
    <w:rsid w:val="004B3C11"/>
    <w:rsid w:val="004B43DD"/>
    <w:rsid w:val="004B70EF"/>
    <w:rsid w:val="004B767B"/>
    <w:rsid w:val="004C2482"/>
    <w:rsid w:val="004C2821"/>
    <w:rsid w:val="004C3011"/>
    <w:rsid w:val="004C3C07"/>
    <w:rsid w:val="004D1C19"/>
    <w:rsid w:val="004D2DAD"/>
    <w:rsid w:val="004D34E4"/>
    <w:rsid w:val="004D4CD2"/>
    <w:rsid w:val="004D57EE"/>
    <w:rsid w:val="004D6951"/>
    <w:rsid w:val="004E106F"/>
    <w:rsid w:val="004E2AAD"/>
    <w:rsid w:val="004F0A74"/>
    <w:rsid w:val="004F1924"/>
    <w:rsid w:val="004F1D99"/>
    <w:rsid w:val="004F6B4A"/>
    <w:rsid w:val="004F6C18"/>
    <w:rsid w:val="004F6EE9"/>
    <w:rsid w:val="004F704B"/>
    <w:rsid w:val="004F7C19"/>
    <w:rsid w:val="0050050A"/>
    <w:rsid w:val="00503ED9"/>
    <w:rsid w:val="00503F6A"/>
    <w:rsid w:val="005058AA"/>
    <w:rsid w:val="00507310"/>
    <w:rsid w:val="005078EE"/>
    <w:rsid w:val="00507A34"/>
    <w:rsid w:val="005157CF"/>
    <w:rsid w:val="00516F20"/>
    <w:rsid w:val="00517020"/>
    <w:rsid w:val="0052020E"/>
    <w:rsid w:val="005214B2"/>
    <w:rsid w:val="00521DFE"/>
    <w:rsid w:val="00521E5D"/>
    <w:rsid w:val="00522477"/>
    <w:rsid w:val="00523C99"/>
    <w:rsid w:val="0052444D"/>
    <w:rsid w:val="00526246"/>
    <w:rsid w:val="00532A9F"/>
    <w:rsid w:val="005330C1"/>
    <w:rsid w:val="005360B7"/>
    <w:rsid w:val="005363D0"/>
    <w:rsid w:val="00537E64"/>
    <w:rsid w:val="00540D6F"/>
    <w:rsid w:val="00541F85"/>
    <w:rsid w:val="00542D1C"/>
    <w:rsid w:val="00543BF2"/>
    <w:rsid w:val="00543C81"/>
    <w:rsid w:val="005447FB"/>
    <w:rsid w:val="00546EB4"/>
    <w:rsid w:val="00547375"/>
    <w:rsid w:val="005507A7"/>
    <w:rsid w:val="00550D5D"/>
    <w:rsid w:val="0055102A"/>
    <w:rsid w:val="005518E5"/>
    <w:rsid w:val="00551C5A"/>
    <w:rsid w:val="00553DDA"/>
    <w:rsid w:val="00554F86"/>
    <w:rsid w:val="00555F5E"/>
    <w:rsid w:val="00556D65"/>
    <w:rsid w:val="00556E7F"/>
    <w:rsid w:val="00557053"/>
    <w:rsid w:val="005601C5"/>
    <w:rsid w:val="0056161C"/>
    <w:rsid w:val="0056212E"/>
    <w:rsid w:val="00565B86"/>
    <w:rsid w:val="00567106"/>
    <w:rsid w:val="00573F81"/>
    <w:rsid w:val="00574AD1"/>
    <w:rsid w:val="00574BE6"/>
    <w:rsid w:val="0057695E"/>
    <w:rsid w:val="005771B0"/>
    <w:rsid w:val="0058290D"/>
    <w:rsid w:val="00583886"/>
    <w:rsid w:val="0058647F"/>
    <w:rsid w:val="005908EC"/>
    <w:rsid w:val="00593194"/>
    <w:rsid w:val="005934BF"/>
    <w:rsid w:val="0059452C"/>
    <w:rsid w:val="005948D4"/>
    <w:rsid w:val="005979F7"/>
    <w:rsid w:val="005A016D"/>
    <w:rsid w:val="005A2A80"/>
    <w:rsid w:val="005A4723"/>
    <w:rsid w:val="005A6353"/>
    <w:rsid w:val="005A6CC7"/>
    <w:rsid w:val="005A7D79"/>
    <w:rsid w:val="005B2094"/>
    <w:rsid w:val="005B5D4D"/>
    <w:rsid w:val="005B7893"/>
    <w:rsid w:val="005C0506"/>
    <w:rsid w:val="005C0F46"/>
    <w:rsid w:val="005C3358"/>
    <w:rsid w:val="005C5CDF"/>
    <w:rsid w:val="005C7800"/>
    <w:rsid w:val="005D0644"/>
    <w:rsid w:val="005D0D6C"/>
    <w:rsid w:val="005D5FE1"/>
    <w:rsid w:val="005D6B12"/>
    <w:rsid w:val="005E00EF"/>
    <w:rsid w:val="005E1D3C"/>
    <w:rsid w:val="005E4449"/>
    <w:rsid w:val="005E60DB"/>
    <w:rsid w:val="005E6308"/>
    <w:rsid w:val="005E6332"/>
    <w:rsid w:val="005E63C2"/>
    <w:rsid w:val="005E70FF"/>
    <w:rsid w:val="005E7A87"/>
    <w:rsid w:val="005F0452"/>
    <w:rsid w:val="005F27B0"/>
    <w:rsid w:val="005F35E0"/>
    <w:rsid w:val="005F3775"/>
    <w:rsid w:val="005F5E3C"/>
    <w:rsid w:val="005F6D1A"/>
    <w:rsid w:val="00600577"/>
    <w:rsid w:val="00601108"/>
    <w:rsid w:val="00601948"/>
    <w:rsid w:val="0060201D"/>
    <w:rsid w:val="00604522"/>
    <w:rsid w:val="0060472C"/>
    <w:rsid w:val="00604D9B"/>
    <w:rsid w:val="006060F2"/>
    <w:rsid w:val="00606BB9"/>
    <w:rsid w:val="00607753"/>
    <w:rsid w:val="00611AE9"/>
    <w:rsid w:val="00612510"/>
    <w:rsid w:val="00613494"/>
    <w:rsid w:val="00614A59"/>
    <w:rsid w:val="0061520E"/>
    <w:rsid w:val="006213C8"/>
    <w:rsid w:val="00621612"/>
    <w:rsid w:val="00621664"/>
    <w:rsid w:val="00622AB0"/>
    <w:rsid w:val="00622B2A"/>
    <w:rsid w:val="00622D70"/>
    <w:rsid w:val="006230A4"/>
    <w:rsid w:val="00623B38"/>
    <w:rsid w:val="00624E38"/>
    <w:rsid w:val="00625AE6"/>
    <w:rsid w:val="00627D7D"/>
    <w:rsid w:val="006300D7"/>
    <w:rsid w:val="00630B16"/>
    <w:rsid w:val="00630B59"/>
    <w:rsid w:val="00632253"/>
    <w:rsid w:val="0063431B"/>
    <w:rsid w:val="006348AE"/>
    <w:rsid w:val="006378D7"/>
    <w:rsid w:val="00640AC6"/>
    <w:rsid w:val="00642714"/>
    <w:rsid w:val="00643B9E"/>
    <w:rsid w:val="006455CE"/>
    <w:rsid w:val="00645F39"/>
    <w:rsid w:val="006473C8"/>
    <w:rsid w:val="00650197"/>
    <w:rsid w:val="00650710"/>
    <w:rsid w:val="00655841"/>
    <w:rsid w:val="006612B4"/>
    <w:rsid w:val="00661822"/>
    <w:rsid w:val="00661CEF"/>
    <w:rsid w:val="00662D1A"/>
    <w:rsid w:val="00665575"/>
    <w:rsid w:val="00666729"/>
    <w:rsid w:val="006676B9"/>
    <w:rsid w:val="0067206F"/>
    <w:rsid w:val="00672D16"/>
    <w:rsid w:val="00672FA1"/>
    <w:rsid w:val="00674506"/>
    <w:rsid w:val="00674708"/>
    <w:rsid w:val="00674D8E"/>
    <w:rsid w:val="00675BEE"/>
    <w:rsid w:val="00676A25"/>
    <w:rsid w:val="00676CF2"/>
    <w:rsid w:val="006772E5"/>
    <w:rsid w:val="00677461"/>
    <w:rsid w:val="00681C3F"/>
    <w:rsid w:val="00681DA3"/>
    <w:rsid w:val="0068628B"/>
    <w:rsid w:val="00687C57"/>
    <w:rsid w:val="00692A17"/>
    <w:rsid w:val="00693AF6"/>
    <w:rsid w:val="0069543B"/>
    <w:rsid w:val="00696BEC"/>
    <w:rsid w:val="006A0E93"/>
    <w:rsid w:val="006A2CEE"/>
    <w:rsid w:val="006A34DD"/>
    <w:rsid w:val="006A6AAA"/>
    <w:rsid w:val="006B00AC"/>
    <w:rsid w:val="006B0380"/>
    <w:rsid w:val="006B0ABE"/>
    <w:rsid w:val="006B297D"/>
    <w:rsid w:val="006B4D55"/>
    <w:rsid w:val="006B5F33"/>
    <w:rsid w:val="006B6B99"/>
    <w:rsid w:val="006B7A62"/>
    <w:rsid w:val="006C0451"/>
    <w:rsid w:val="006C1AC9"/>
    <w:rsid w:val="006C33A1"/>
    <w:rsid w:val="006C4C4F"/>
    <w:rsid w:val="006D1CAD"/>
    <w:rsid w:val="006D3300"/>
    <w:rsid w:val="006D46F4"/>
    <w:rsid w:val="006D500E"/>
    <w:rsid w:val="006D6066"/>
    <w:rsid w:val="006D679E"/>
    <w:rsid w:val="006E14C4"/>
    <w:rsid w:val="006E1875"/>
    <w:rsid w:val="006E1F7C"/>
    <w:rsid w:val="006E2C88"/>
    <w:rsid w:val="006E6427"/>
    <w:rsid w:val="006E6DDF"/>
    <w:rsid w:val="006E7236"/>
    <w:rsid w:val="006E75C4"/>
    <w:rsid w:val="006E793C"/>
    <w:rsid w:val="006F2E7F"/>
    <w:rsid w:val="006F4150"/>
    <w:rsid w:val="006F5D0A"/>
    <w:rsid w:val="006F6C14"/>
    <w:rsid w:val="006F6D2D"/>
    <w:rsid w:val="00701079"/>
    <w:rsid w:val="00702E65"/>
    <w:rsid w:val="0070382B"/>
    <w:rsid w:val="00703CD9"/>
    <w:rsid w:val="00704424"/>
    <w:rsid w:val="00704F09"/>
    <w:rsid w:val="00705EA6"/>
    <w:rsid w:val="0071087F"/>
    <w:rsid w:val="00711996"/>
    <w:rsid w:val="007121E4"/>
    <w:rsid w:val="00713D82"/>
    <w:rsid w:val="00716D73"/>
    <w:rsid w:val="00721396"/>
    <w:rsid w:val="007224AB"/>
    <w:rsid w:val="00725079"/>
    <w:rsid w:val="00726B3A"/>
    <w:rsid w:val="00730ABF"/>
    <w:rsid w:val="00730C80"/>
    <w:rsid w:val="00731330"/>
    <w:rsid w:val="00733017"/>
    <w:rsid w:val="00733E77"/>
    <w:rsid w:val="00734392"/>
    <w:rsid w:val="00734E01"/>
    <w:rsid w:val="007353BA"/>
    <w:rsid w:val="00740F9E"/>
    <w:rsid w:val="0074250D"/>
    <w:rsid w:val="00743E0E"/>
    <w:rsid w:val="007442F2"/>
    <w:rsid w:val="00746B88"/>
    <w:rsid w:val="00747446"/>
    <w:rsid w:val="0075214F"/>
    <w:rsid w:val="0075277C"/>
    <w:rsid w:val="0075600C"/>
    <w:rsid w:val="007607CA"/>
    <w:rsid w:val="00761ED5"/>
    <w:rsid w:val="00766B2F"/>
    <w:rsid w:val="00767A7B"/>
    <w:rsid w:val="00772BB3"/>
    <w:rsid w:val="00774D7F"/>
    <w:rsid w:val="00777D9D"/>
    <w:rsid w:val="00783310"/>
    <w:rsid w:val="00785FA7"/>
    <w:rsid w:val="0079008A"/>
    <w:rsid w:val="00796EB1"/>
    <w:rsid w:val="007A2BFD"/>
    <w:rsid w:val="007A4A6D"/>
    <w:rsid w:val="007A4B3B"/>
    <w:rsid w:val="007A77FE"/>
    <w:rsid w:val="007A7B30"/>
    <w:rsid w:val="007B2469"/>
    <w:rsid w:val="007B525D"/>
    <w:rsid w:val="007B5893"/>
    <w:rsid w:val="007B58B8"/>
    <w:rsid w:val="007B782E"/>
    <w:rsid w:val="007C548F"/>
    <w:rsid w:val="007C554D"/>
    <w:rsid w:val="007C6C66"/>
    <w:rsid w:val="007C7142"/>
    <w:rsid w:val="007D1BCF"/>
    <w:rsid w:val="007D2E8B"/>
    <w:rsid w:val="007D4385"/>
    <w:rsid w:val="007D4F71"/>
    <w:rsid w:val="007D5184"/>
    <w:rsid w:val="007D54C1"/>
    <w:rsid w:val="007D75CF"/>
    <w:rsid w:val="007D78B5"/>
    <w:rsid w:val="007E0440"/>
    <w:rsid w:val="007E06FF"/>
    <w:rsid w:val="007E1C1A"/>
    <w:rsid w:val="007E1DFA"/>
    <w:rsid w:val="007E36A7"/>
    <w:rsid w:val="007E36EC"/>
    <w:rsid w:val="007E6DC5"/>
    <w:rsid w:val="007E70BB"/>
    <w:rsid w:val="007F1BD1"/>
    <w:rsid w:val="007F2A0A"/>
    <w:rsid w:val="007F2F09"/>
    <w:rsid w:val="007F4BAB"/>
    <w:rsid w:val="007F5441"/>
    <w:rsid w:val="0080285F"/>
    <w:rsid w:val="008028F5"/>
    <w:rsid w:val="00804BDF"/>
    <w:rsid w:val="008050FD"/>
    <w:rsid w:val="00806A01"/>
    <w:rsid w:val="00807D07"/>
    <w:rsid w:val="00811817"/>
    <w:rsid w:val="00811C3B"/>
    <w:rsid w:val="008120B8"/>
    <w:rsid w:val="008138F8"/>
    <w:rsid w:val="008176BB"/>
    <w:rsid w:val="00820758"/>
    <w:rsid w:val="00821193"/>
    <w:rsid w:val="00822AED"/>
    <w:rsid w:val="00822DD6"/>
    <w:rsid w:val="0082351A"/>
    <w:rsid w:val="00826DD0"/>
    <w:rsid w:val="008316DB"/>
    <w:rsid w:val="00831732"/>
    <w:rsid w:val="00832899"/>
    <w:rsid w:val="008330B6"/>
    <w:rsid w:val="008370FC"/>
    <w:rsid w:val="00840361"/>
    <w:rsid w:val="00840475"/>
    <w:rsid w:val="00842817"/>
    <w:rsid w:val="00842921"/>
    <w:rsid w:val="00845994"/>
    <w:rsid w:val="00845F11"/>
    <w:rsid w:val="00851522"/>
    <w:rsid w:val="0085335D"/>
    <w:rsid w:val="00855761"/>
    <w:rsid w:val="00863752"/>
    <w:rsid w:val="00863792"/>
    <w:rsid w:val="008647C7"/>
    <w:rsid w:val="00864A30"/>
    <w:rsid w:val="008651D8"/>
    <w:rsid w:val="00866A35"/>
    <w:rsid w:val="00870806"/>
    <w:rsid w:val="00872098"/>
    <w:rsid w:val="00873A7F"/>
    <w:rsid w:val="00877409"/>
    <w:rsid w:val="0088043C"/>
    <w:rsid w:val="00880C6C"/>
    <w:rsid w:val="00884889"/>
    <w:rsid w:val="00886D8B"/>
    <w:rsid w:val="008872EF"/>
    <w:rsid w:val="00887634"/>
    <w:rsid w:val="008906C9"/>
    <w:rsid w:val="00891FC4"/>
    <w:rsid w:val="00894268"/>
    <w:rsid w:val="008944B5"/>
    <w:rsid w:val="00894A7F"/>
    <w:rsid w:val="00897861"/>
    <w:rsid w:val="008A116B"/>
    <w:rsid w:val="008A4A93"/>
    <w:rsid w:val="008A4B1B"/>
    <w:rsid w:val="008A55D0"/>
    <w:rsid w:val="008A6A2B"/>
    <w:rsid w:val="008B113D"/>
    <w:rsid w:val="008B1B82"/>
    <w:rsid w:val="008B2746"/>
    <w:rsid w:val="008B39C1"/>
    <w:rsid w:val="008B5D59"/>
    <w:rsid w:val="008B7D8D"/>
    <w:rsid w:val="008C0FA4"/>
    <w:rsid w:val="008C1661"/>
    <w:rsid w:val="008C24ED"/>
    <w:rsid w:val="008C280B"/>
    <w:rsid w:val="008C2C01"/>
    <w:rsid w:val="008C3988"/>
    <w:rsid w:val="008C4D0E"/>
    <w:rsid w:val="008C5738"/>
    <w:rsid w:val="008C5E9E"/>
    <w:rsid w:val="008C6674"/>
    <w:rsid w:val="008C76EE"/>
    <w:rsid w:val="008D04F0"/>
    <w:rsid w:val="008D1560"/>
    <w:rsid w:val="008D3301"/>
    <w:rsid w:val="008D340F"/>
    <w:rsid w:val="008D35C2"/>
    <w:rsid w:val="008D41C2"/>
    <w:rsid w:val="008D44AA"/>
    <w:rsid w:val="008D57C1"/>
    <w:rsid w:val="008D5B2D"/>
    <w:rsid w:val="008E1019"/>
    <w:rsid w:val="008E115A"/>
    <w:rsid w:val="008E14A1"/>
    <w:rsid w:val="008E36DC"/>
    <w:rsid w:val="008E3A29"/>
    <w:rsid w:val="008E4305"/>
    <w:rsid w:val="008E46D9"/>
    <w:rsid w:val="008E4B3A"/>
    <w:rsid w:val="008E6732"/>
    <w:rsid w:val="008F31D0"/>
    <w:rsid w:val="008F3500"/>
    <w:rsid w:val="008F4642"/>
    <w:rsid w:val="008F77DD"/>
    <w:rsid w:val="008F7902"/>
    <w:rsid w:val="009016AB"/>
    <w:rsid w:val="00904596"/>
    <w:rsid w:val="00906322"/>
    <w:rsid w:val="009109A5"/>
    <w:rsid w:val="00912DD8"/>
    <w:rsid w:val="00913879"/>
    <w:rsid w:val="00915538"/>
    <w:rsid w:val="00915F4F"/>
    <w:rsid w:val="00917A10"/>
    <w:rsid w:val="009208A1"/>
    <w:rsid w:val="00922416"/>
    <w:rsid w:val="00922B73"/>
    <w:rsid w:val="00923CD7"/>
    <w:rsid w:val="009245C8"/>
    <w:rsid w:val="009249B9"/>
    <w:rsid w:val="00924E3C"/>
    <w:rsid w:val="00925AFB"/>
    <w:rsid w:val="00925C24"/>
    <w:rsid w:val="00926C59"/>
    <w:rsid w:val="009310B7"/>
    <w:rsid w:val="0093158D"/>
    <w:rsid w:val="009316AB"/>
    <w:rsid w:val="00932AE2"/>
    <w:rsid w:val="0093366C"/>
    <w:rsid w:val="0093681F"/>
    <w:rsid w:val="0093781B"/>
    <w:rsid w:val="009413E5"/>
    <w:rsid w:val="00941A5F"/>
    <w:rsid w:val="00947156"/>
    <w:rsid w:val="00947765"/>
    <w:rsid w:val="00947DEF"/>
    <w:rsid w:val="009501A9"/>
    <w:rsid w:val="00951E44"/>
    <w:rsid w:val="00952421"/>
    <w:rsid w:val="009527AC"/>
    <w:rsid w:val="009539C1"/>
    <w:rsid w:val="00955211"/>
    <w:rsid w:val="009557BF"/>
    <w:rsid w:val="00955FA5"/>
    <w:rsid w:val="00957574"/>
    <w:rsid w:val="00960A18"/>
    <w:rsid w:val="00960A36"/>
    <w:rsid w:val="00961249"/>
    <w:rsid w:val="009612BB"/>
    <w:rsid w:val="00972570"/>
    <w:rsid w:val="00972E5D"/>
    <w:rsid w:val="00974272"/>
    <w:rsid w:val="00975497"/>
    <w:rsid w:val="009771FD"/>
    <w:rsid w:val="0097765D"/>
    <w:rsid w:val="00977900"/>
    <w:rsid w:val="009800AE"/>
    <w:rsid w:val="00980167"/>
    <w:rsid w:val="009809C0"/>
    <w:rsid w:val="00982B17"/>
    <w:rsid w:val="0098402A"/>
    <w:rsid w:val="00984C48"/>
    <w:rsid w:val="0098711C"/>
    <w:rsid w:val="00987305"/>
    <w:rsid w:val="00987637"/>
    <w:rsid w:val="00993CC9"/>
    <w:rsid w:val="00997C47"/>
    <w:rsid w:val="009A06BD"/>
    <w:rsid w:val="009A1E53"/>
    <w:rsid w:val="009A57DF"/>
    <w:rsid w:val="009A76D7"/>
    <w:rsid w:val="009A7974"/>
    <w:rsid w:val="009B02FE"/>
    <w:rsid w:val="009B1994"/>
    <w:rsid w:val="009B44F3"/>
    <w:rsid w:val="009B450D"/>
    <w:rsid w:val="009B4D00"/>
    <w:rsid w:val="009B4D52"/>
    <w:rsid w:val="009B5194"/>
    <w:rsid w:val="009B583B"/>
    <w:rsid w:val="009B5C48"/>
    <w:rsid w:val="009C09DE"/>
    <w:rsid w:val="009C139B"/>
    <w:rsid w:val="009C1CCD"/>
    <w:rsid w:val="009C740A"/>
    <w:rsid w:val="009D137B"/>
    <w:rsid w:val="009D342B"/>
    <w:rsid w:val="009D359D"/>
    <w:rsid w:val="009D497B"/>
    <w:rsid w:val="009D54E5"/>
    <w:rsid w:val="009E0880"/>
    <w:rsid w:val="009E173A"/>
    <w:rsid w:val="009E5C07"/>
    <w:rsid w:val="009E6BE6"/>
    <w:rsid w:val="009F130F"/>
    <w:rsid w:val="009F3EB2"/>
    <w:rsid w:val="009F48B1"/>
    <w:rsid w:val="00A013CC"/>
    <w:rsid w:val="00A05687"/>
    <w:rsid w:val="00A066EB"/>
    <w:rsid w:val="00A07460"/>
    <w:rsid w:val="00A125C5"/>
    <w:rsid w:val="00A13645"/>
    <w:rsid w:val="00A138F9"/>
    <w:rsid w:val="00A148F6"/>
    <w:rsid w:val="00A14C38"/>
    <w:rsid w:val="00A1571A"/>
    <w:rsid w:val="00A1576B"/>
    <w:rsid w:val="00A15FA0"/>
    <w:rsid w:val="00A1627A"/>
    <w:rsid w:val="00A200CC"/>
    <w:rsid w:val="00A2138B"/>
    <w:rsid w:val="00A23AF6"/>
    <w:rsid w:val="00A2451C"/>
    <w:rsid w:val="00A2704D"/>
    <w:rsid w:val="00A34593"/>
    <w:rsid w:val="00A34671"/>
    <w:rsid w:val="00A34AED"/>
    <w:rsid w:val="00A35F78"/>
    <w:rsid w:val="00A40B40"/>
    <w:rsid w:val="00A419B3"/>
    <w:rsid w:val="00A4420C"/>
    <w:rsid w:val="00A470E5"/>
    <w:rsid w:val="00A4715E"/>
    <w:rsid w:val="00A4789C"/>
    <w:rsid w:val="00A47C96"/>
    <w:rsid w:val="00A51254"/>
    <w:rsid w:val="00A51BCB"/>
    <w:rsid w:val="00A5265A"/>
    <w:rsid w:val="00A52DD7"/>
    <w:rsid w:val="00A54208"/>
    <w:rsid w:val="00A5454E"/>
    <w:rsid w:val="00A559D8"/>
    <w:rsid w:val="00A562B8"/>
    <w:rsid w:val="00A601A5"/>
    <w:rsid w:val="00A60ADD"/>
    <w:rsid w:val="00A63720"/>
    <w:rsid w:val="00A6468D"/>
    <w:rsid w:val="00A64F1C"/>
    <w:rsid w:val="00A65BC7"/>
    <w:rsid w:val="00A65EE7"/>
    <w:rsid w:val="00A6716A"/>
    <w:rsid w:val="00A70133"/>
    <w:rsid w:val="00A73888"/>
    <w:rsid w:val="00A74B8B"/>
    <w:rsid w:val="00A74E31"/>
    <w:rsid w:val="00A770A6"/>
    <w:rsid w:val="00A809C0"/>
    <w:rsid w:val="00A813B1"/>
    <w:rsid w:val="00A827B3"/>
    <w:rsid w:val="00A840AF"/>
    <w:rsid w:val="00A92849"/>
    <w:rsid w:val="00A94190"/>
    <w:rsid w:val="00A95049"/>
    <w:rsid w:val="00A9538A"/>
    <w:rsid w:val="00A95964"/>
    <w:rsid w:val="00A965B0"/>
    <w:rsid w:val="00A96C48"/>
    <w:rsid w:val="00A97280"/>
    <w:rsid w:val="00A97BA6"/>
    <w:rsid w:val="00A97DCC"/>
    <w:rsid w:val="00AA0CF6"/>
    <w:rsid w:val="00AA1BAD"/>
    <w:rsid w:val="00AA1CCE"/>
    <w:rsid w:val="00AA2C2B"/>
    <w:rsid w:val="00AA3EE7"/>
    <w:rsid w:val="00AA6CB5"/>
    <w:rsid w:val="00AB0804"/>
    <w:rsid w:val="00AB3019"/>
    <w:rsid w:val="00AB36C4"/>
    <w:rsid w:val="00AB3A5B"/>
    <w:rsid w:val="00AB4D05"/>
    <w:rsid w:val="00AB77EA"/>
    <w:rsid w:val="00AC32B2"/>
    <w:rsid w:val="00AC3422"/>
    <w:rsid w:val="00AC48AF"/>
    <w:rsid w:val="00AC7206"/>
    <w:rsid w:val="00AD36B4"/>
    <w:rsid w:val="00AD5FFF"/>
    <w:rsid w:val="00AE1012"/>
    <w:rsid w:val="00AE1032"/>
    <w:rsid w:val="00AE2155"/>
    <w:rsid w:val="00AE2915"/>
    <w:rsid w:val="00AE3B9B"/>
    <w:rsid w:val="00AE6AA8"/>
    <w:rsid w:val="00AF4D95"/>
    <w:rsid w:val="00AF4E51"/>
    <w:rsid w:val="00AF4EA1"/>
    <w:rsid w:val="00B0119F"/>
    <w:rsid w:val="00B014E7"/>
    <w:rsid w:val="00B0153C"/>
    <w:rsid w:val="00B02B9C"/>
    <w:rsid w:val="00B04A1F"/>
    <w:rsid w:val="00B10EC6"/>
    <w:rsid w:val="00B10F76"/>
    <w:rsid w:val="00B119C6"/>
    <w:rsid w:val="00B131F4"/>
    <w:rsid w:val="00B144C7"/>
    <w:rsid w:val="00B1519D"/>
    <w:rsid w:val="00B15D25"/>
    <w:rsid w:val="00B17141"/>
    <w:rsid w:val="00B20CE7"/>
    <w:rsid w:val="00B21C6B"/>
    <w:rsid w:val="00B2201F"/>
    <w:rsid w:val="00B22723"/>
    <w:rsid w:val="00B239E1"/>
    <w:rsid w:val="00B24032"/>
    <w:rsid w:val="00B2604F"/>
    <w:rsid w:val="00B30DEC"/>
    <w:rsid w:val="00B31575"/>
    <w:rsid w:val="00B31E87"/>
    <w:rsid w:val="00B33795"/>
    <w:rsid w:val="00B343AC"/>
    <w:rsid w:val="00B34F4C"/>
    <w:rsid w:val="00B355EF"/>
    <w:rsid w:val="00B372B1"/>
    <w:rsid w:val="00B373B0"/>
    <w:rsid w:val="00B40EA4"/>
    <w:rsid w:val="00B44EED"/>
    <w:rsid w:val="00B45263"/>
    <w:rsid w:val="00B46024"/>
    <w:rsid w:val="00B46D70"/>
    <w:rsid w:val="00B520D0"/>
    <w:rsid w:val="00B54077"/>
    <w:rsid w:val="00B5516B"/>
    <w:rsid w:val="00B60397"/>
    <w:rsid w:val="00B60A68"/>
    <w:rsid w:val="00B618C3"/>
    <w:rsid w:val="00B644CC"/>
    <w:rsid w:val="00B64D5C"/>
    <w:rsid w:val="00B6607A"/>
    <w:rsid w:val="00B72496"/>
    <w:rsid w:val="00B73A38"/>
    <w:rsid w:val="00B73FBD"/>
    <w:rsid w:val="00B77673"/>
    <w:rsid w:val="00B8049E"/>
    <w:rsid w:val="00B8078D"/>
    <w:rsid w:val="00B80CEC"/>
    <w:rsid w:val="00B80F6C"/>
    <w:rsid w:val="00B81962"/>
    <w:rsid w:val="00B82654"/>
    <w:rsid w:val="00B84573"/>
    <w:rsid w:val="00B8547D"/>
    <w:rsid w:val="00B85884"/>
    <w:rsid w:val="00B873AF"/>
    <w:rsid w:val="00B9464D"/>
    <w:rsid w:val="00B948A2"/>
    <w:rsid w:val="00B95884"/>
    <w:rsid w:val="00BA0AE8"/>
    <w:rsid w:val="00BA2CBB"/>
    <w:rsid w:val="00BA5E76"/>
    <w:rsid w:val="00BB10C3"/>
    <w:rsid w:val="00BB3E31"/>
    <w:rsid w:val="00BB4556"/>
    <w:rsid w:val="00BB4D17"/>
    <w:rsid w:val="00BB5192"/>
    <w:rsid w:val="00BB7956"/>
    <w:rsid w:val="00BB7CB5"/>
    <w:rsid w:val="00BB7DA9"/>
    <w:rsid w:val="00BC0AC0"/>
    <w:rsid w:val="00BC0DA5"/>
    <w:rsid w:val="00BC0E53"/>
    <w:rsid w:val="00BC2554"/>
    <w:rsid w:val="00BC25A3"/>
    <w:rsid w:val="00BC3C6D"/>
    <w:rsid w:val="00BC40CC"/>
    <w:rsid w:val="00BC4ACA"/>
    <w:rsid w:val="00BC5053"/>
    <w:rsid w:val="00BC7776"/>
    <w:rsid w:val="00BC7D49"/>
    <w:rsid w:val="00BD340B"/>
    <w:rsid w:val="00BD49B4"/>
    <w:rsid w:val="00BD5754"/>
    <w:rsid w:val="00BD7385"/>
    <w:rsid w:val="00BD7B17"/>
    <w:rsid w:val="00BE08AE"/>
    <w:rsid w:val="00BE297C"/>
    <w:rsid w:val="00BE34F8"/>
    <w:rsid w:val="00BE3B8D"/>
    <w:rsid w:val="00BE3FEA"/>
    <w:rsid w:val="00BE4767"/>
    <w:rsid w:val="00BF5EAC"/>
    <w:rsid w:val="00C02962"/>
    <w:rsid w:val="00C03860"/>
    <w:rsid w:val="00C03C4B"/>
    <w:rsid w:val="00C03E39"/>
    <w:rsid w:val="00C06C70"/>
    <w:rsid w:val="00C06CA6"/>
    <w:rsid w:val="00C06FB6"/>
    <w:rsid w:val="00C10C2C"/>
    <w:rsid w:val="00C116D1"/>
    <w:rsid w:val="00C15754"/>
    <w:rsid w:val="00C17600"/>
    <w:rsid w:val="00C20D0A"/>
    <w:rsid w:val="00C237B7"/>
    <w:rsid w:val="00C24CF7"/>
    <w:rsid w:val="00C250D5"/>
    <w:rsid w:val="00C27D58"/>
    <w:rsid w:val="00C32B67"/>
    <w:rsid w:val="00C35666"/>
    <w:rsid w:val="00C36FCF"/>
    <w:rsid w:val="00C40177"/>
    <w:rsid w:val="00C4491C"/>
    <w:rsid w:val="00C44AED"/>
    <w:rsid w:val="00C47294"/>
    <w:rsid w:val="00C5009C"/>
    <w:rsid w:val="00C5077E"/>
    <w:rsid w:val="00C508AD"/>
    <w:rsid w:val="00C52295"/>
    <w:rsid w:val="00C5284C"/>
    <w:rsid w:val="00C52F0D"/>
    <w:rsid w:val="00C53F30"/>
    <w:rsid w:val="00C54695"/>
    <w:rsid w:val="00C5599A"/>
    <w:rsid w:val="00C5607B"/>
    <w:rsid w:val="00C607A7"/>
    <w:rsid w:val="00C60979"/>
    <w:rsid w:val="00C662D9"/>
    <w:rsid w:val="00C6664A"/>
    <w:rsid w:val="00C66C87"/>
    <w:rsid w:val="00C671C8"/>
    <w:rsid w:val="00C67794"/>
    <w:rsid w:val="00C677C6"/>
    <w:rsid w:val="00C67B42"/>
    <w:rsid w:val="00C70B41"/>
    <w:rsid w:val="00C756F2"/>
    <w:rsid w:val="00C76EC0"/>
    <w:rsid w:val="00C8037E"/>
    <w:rsid w:val="00C83073"/>
    <w:rsid w:val="00C84C71"/>
    <w:rsid w:val="00C8638B"/>
    <w:rsid w:val="00C876E7"/>
    <w:rsid w:val="00C912BB"/>
    <w:rsid w:val="00C91832"/>
    <w:rsid w:val="00C92218"/>
    <w:rsid w:val="00C923FF"/>
    <w:rsid w:val="00C925FF"/>
    <w:rsid w:val="00C92898"/>
    <w:rsid w:val="00C96663"/>
    <w:rsid w:val="00C974DA"/>
    <w:rsid w:val="00CA0776"/>
    <w:rsid w:val="00CA195B"/>
    <w:rsid w:val="00CA1F83"/>
    <w:rsid w:val="00CA4340"/>
    <w:rsid w:val="00CA4BE6"/>
    <w:rsid w:val="00CA4C2C"/>
    <w:rsid w:val="00CA4FFC"/>
    <w:rsid w:val="00CA56C1"/>
    <w:rsid w:val="00CA5C22"/>
    <w:rsid w:val="00CA6989"/>
    <w:rsid w:val="00CA7A1E"/>
    <w:rsid w:val="00CB007B"/>
    <w:rsid w:val="00CB0A1D"/>
    <w:rsid w:val="00CB0CC4"/>
    <w:rsid w:val="00CB140D"/>
    <w:rsid w:val="00CB32AF"/>
    <w:rsid w:val="00CB623C"/>
    <w:rsid w:val="00CC22E2"/>
    <w:rsid w:val="00CC33F8"/>
    <w:rsid w:val="00CC346B"/>
    <w:rsid w:val="00CC4927"/>
    <w:rsid w:val="00CD4260"/>
    <w:rsid w:val="00CD485B"/>
    <w:rsid w:val="00CD4F29"/>
    <w:rsid w:val="00CD5A79"/>
    <w:rsid w:val="00CD7003"/>
    <w:rsid w:val="00CD73B4"/>
    <w:rsid w:val="00CE02D0"/>
    <w:rsid w:val="00CE41BC"/>
    <w:rsid w:val="00CE5238"/>
    <w:rsid w:val="00CE5D91"/>
    <w:rsid w:val="00CE7514"/>
    <w:rsid w:val="00CF0B25"/>
    <w:rsid w:val="00CF26DA"/>
    <w:rsid w:val="00CF3018"/>
    <w:rsid w:val="00CF4691"/>
    <w:rsid w:val="00D00563"/>
    <w:rsid w:val="00D00EBE"/>
    <w:rsid w:val="00D02098"/>
    <w:rsid w:val="00D042F8"/>
    <w:rsid w:val="00D14E32"/>
    <w:rsid w:val="00D15384"/>
    <w:rsid w:val="00D178ED"/>
    <w:rsid w:val="00D17C46"/>
    <w:rsid w:val="00D20D57"/>
    <w:rsid w:val="00D22718"/>
    <w:rsid w:val="00D2336C"/>
    <w:rsid w:val="00D248DE"/>
    <w:rsid w:val="00D25460"/>
    <w:rsid w:val="00D2548F"/>
    <w:rsid w:val="00D32226"/>
    <w:rsid w:val="00D33206"/>
    <w:rsid w:val="00D33C13"/>
    <w:rsid w:val="00D34769"/>
    <w:rsid w:val="00D358FA"/>
    <w:rsid w:val="00D403DB"/>
    <w:rsid w:val="00D40AAD"/>
    <w:rsid w:val="00D430D9"/>
    <w:rsid w:val="00D46531"/>
    <w:rsid w:val="00D47751"/>
    <w:rsid w:val="00D5002A"/>
    <w:rsid w:val="00D50EA6"/>
    <w:rsid w:val="00D5123E"/>
    <w:rsid w:val="00D54F23"/>
    <w:rsid w:val="00D55A71"/>
    <w:rsid w:val="00D60244"/>
    <w:rsid w:val="00D615B8"/>
    <w:rsid w:val="00D63769"/>
    <w:rsid w:val="00D67269"/>
    <w:rsid w:val="00D74870"/>
    <w:rsid w:val="00D7625E"/>
    <w:rsid w:val="00D774C8"/>
    <w:rsid w:val="00D7750C"/>
    <w:rsid w:val="00D77756"/>
    <w:rsid w:val="00D82CC8"/>
    <w:rsid w:val="00D847AB"/>
    <w:rsid w:val="00D85127"/>
    <w:rsid w:val="00D8542D"/>
    <w:rsid w:val="00D85BD9"/>
    <w:rsid w:val="00D86186"/>
    <w:rsid w:val="00D87A23"/>
    <w:rsid w:val="00D904B8"/>
    <w:rsid w:val="00D9136E"/>
    <w:rsid w:val="00D91E56"/>
    <w:rsid w:val="00D92A18"/>
    <w:rsid w:val="00D9536E"/>
    <w:rsid w:val="00DA3F0D"/>
    <w:rsid w:val="00DA3FEC"/>
    <w:rsid w:val="00DB198D"/>
    <w:rsid w:val="00DB2ACE"/>
    <w:rsid w:val="00DB2BAC"/>
    <w:rsid w:val="00DB4329"/>
    <w:rsid w:val="00DC0D3F"/>
    <w:rsid w:val="00DC35BE"/>
    <w:rsid w:val="00DC463A"/>
    <w:rsid w:val="00DC6A71"/>
    <w:rsid w:val="00DC7E97"/>
    <w:rsid w:val="00DC7F22"/>
    <w:rsid w:val="00DD1FA1"/>
    <w:rsid w:val="00DD3035"/>
    <w:rsid w:val="00DD34B7"/>
    <w:rsid w:val="00DD5B11"/>
    <w:rsid w:val="00DD7583"/>
    <w:rsid w:val="00DE0C1B"/>
    <w:rsid w:val="00DE1D6A"/>
    <w:rsid w:val="00DE75D4"/>
    <w:rsid w:val="00DE7FC4"/>
    <w:rsid w:val="00DF29E0"/>
    <w:rsid w:val="00DF44CD"/>
    <w:rsid w:val="00DF4F17"/>
    <w:rsid w:val="00DF611D"/>
    <w:rsid w:val="00DF6380"/>
    <w:rsid w:val="00DF7070"/>
    <w:rsid w:val="00E00911"/>
    <w:rsid w:val="00E00CB6"/>
    <w:rsid w:val="00E012C3"/>
    <w:rsid w:val="00E01576"/>
    <w:rsid w:val="00E0357D"/>
    <w:rsid w:val="00E05E3A"/>
    <w:rsid w:val="00E06FC7"/>
    <w:rsid w:val="00E12F67"/>
    <w:rsid w:val="00E13533"/>
    <w:rsid w:val="00E1382E"/>
    <w:rsid w:val="00E17585"/>
    <w:rsid w:val="00E201A3"/>
    <w:rsid w:val="00E210B5"/>
    <w:rsid w:val="00E21D2C"/>
    <w:rsid w:val="00E23FF4"/>
    <w:rsid w:val="00E25A13"/>
    <w:rsid w:val="00E26AA9"/>
    <w:rsid w:val="00E26B51"/>
    <w:rsid w:val="00E26CE3"/>
    <w:rsid w:val="00E27525"/>
    <w:rsid w:val="00E3202B"/>
    <w:rsid w:val="00E3433B"/>
    <w:rsid w:val="00E3530A"/>
    <w:rsid w:val="00E4148D"/>
    <w:rsid w:val="00E43E92"/>
    <w:rsid w:val="00E43EE7"/>
    <w:rsid w:val="00E51860"/>
    <w:rsid w:val="00E6136A"/>
    <w:rsid w:val="00E6465D"/>
    <w:rsid w:val="00E64BC2"/>
    <w:rsid w:val="00E6664A"/>
    <w:rsid w:val="00E71D90"/>
    <w:rsid w:val="00E72090"/>
    <w:rsid w:val="00E721A5"/>
    <w:rsid w:val="00E7396C"/>
    <w:rsid w:val="00E74ACC"/>
    <w:rsid w:val="00E762CA"/>
    <w:rsid w:val="00E76566"/>
    <w:rsid w:val="00E7688C"/>
    <w:rsid w:val="00E777D3"/>
    <w:rsid w:val="00E77F66"/>
    <w:rsid w:val="00E8160A"/>
    <w:rsid w:val="00E81E77"/>
    <w:rsid w:val="00E8274E"/>
    <w:rsid w:val="00E829EE"/>
    <w:rsid w:val="00E85B7D"/>
    <w:rsid w:val="00E85E23"/>
    <w:rsid w:val="00E97E56"/>
    <w:rsid w:val="00EA1F72"/>
    <w:rsid w:val="00EA3EA9"/>
    <w:rsid w:val="00EA46EF"/>
    <w:rsid w:val="00EA7CF2"/>
    <w:rsid w:val="00EB2843"/>
    <w:rsid w:val="00EB6771"/>
    <w:rsid w:val="00EC6E02"/>
    <w:rsid w:val="00EC73BB"/>
    <w:rsid w:val="00EC749E"/>
    <w:rsid w:val="00EC7B1C"/>
    <w:rsid w:val="00ED1076"/>
    <w:rsid w:val="00ED1C3E"/>
    <w:rsid w:val="00ED21FE"/>
    <w:rsid w:val="00ED4E21"/>
    <w:rsid w:val="00ED6452"/>
    <w:rsid w:val="00ED7EC8"/>
    <w:rsid w:val="00EE134E"/>
    <w:rsid w:val="00EE3259"/>
    <w:rsid w:val="00EE5A04"/>
    <w:rsid w:val="00EE5F05"/>
    <w:rsid w:val="00EE73DB"/>
    <w:rsid w:val="00EE79F1"/>
    <w:rsid w:val="00EF0159"/>
    <w:rsid w:val="00EF0732"/>
    <w:rsid w:val="00EF21AF"/>
    <w:rsid w:val="00EF49A2"/>
    <w:rsid w:val="00EF76BE"/>
    <w:rsid w:val="00F00781"/>
    <w:rsid w:val="00F0272D"/>
    <w:rsid w:val="00F03A06"/>
    <w:rsid w:val="00F03F58"/>
    <w:rsid w:val="00F03FBA"/>
    <w:rsid w:val="00F0412C"/>
    <w:rsid w:val="00F04540"/>
    <w:rsid w:val="00F066EA"/>
    <w:rsid w:val="00F10F23"/>
    <w:rsid w:val="00F11112"/>
    <w:rsid w:val="00F132ED"/>
    <w:rsid w:val="00F140EC"/>
    <w:rsid w:val="00F17488"/>
    <w:rsid w:val="00F177DE"/>
    <w:rsid w:val="00F207A4"/>
    <w:rsid w:val="00F238DC"/>
    <w:rsid w:val="00F23A7A"/>
    <w:rsid w:val="00F23BC5"/>
    <w:rsid w:val="00F23FD4"/>
    <w:rsid w:val="00F240BB"/>
    <w:rsid w:val="00F243F8"/>
    <w:rsid w:val="00F24669"/>
    <w:rsid w:val="00F25413"/>
    <w:rsid w:val="00F272D1"/>
    <w:rsid w:val="00F2770A"/>
    <w:rsid w:val="00F30755"/>
    <w:rsid w:val="00F31611"/>
    <w:rsid w:val="00F35529"/>
    <w:rsid w:val="00F37841"/>
    <w:rsid w:val="00F402A4"/>
    <w:rsid w:val="00F4086C"/>
    <w:rsid w:val="00F413AE"/>
    <w:rsid w:val="00F41ED4"/>
    <w:rsid w:val="00F41FCE"/>
    <w:rsid w:val="00F43D23"/>
    <w:rsid w:val="00F45249"/>
    <w:rsid w:val="00F46219"/>
    <w:rsid w:val="00F4770D"/>
    <w:rsid w:val="00F4779E"/>
    <w:rsid w:val="00F50578"/>
    <w:rsid w:val="00F508A2"/>
    <w:rsid w:val="00F53949"/>
    <w:rsid w:val="00F56509"/>
    <w:rsid w:val="00F57475"/>
    <w:rsid w:val="00F57FED"/>
    <w:rsid w:val="00F622D9"/>
    <w:rsid w:val="00F6517C"/>
    <w:rsid w:val="00F65D79"/>
    <w:rsid w:val="00F71631"/>
    <w:rsid w:val="00F72335"/>
    <w:rsid w:val="00F72AB0"/>
    <w:rsid w:val="00F74131"/>
    <w:rsid w:val="00F754F5"/>
    <w:rsid w:val="00F7775B"/>
    <w:rsid w:val="00F80974"/>
    <w:rsid w:val="00F810C4"/>
    <w:rsid w:val="00F817D4"/>
    <w:rsid w:val="00F82F0E"/>
    <w:rsid w:val="00F84ABA"/>
    <w:rsid w:val="00F8591D"/>
    <w:rsid w:val="00F91E0F"/>
    <w:rsid w:val="00F91FE4"/>
    <w:rsid w:val="00F93359"/>
    <w:rsid w:val="00F95329"/>
    <w:rsid w:val="00F95568"/>
    <w:rsid w:val="00F960FB"/>
    <w:rsid w:val="00FA1C91"/>
    <w:rsid w:val="00FA4272"/>
    <w:rsid w:val="00FA5B09"/>
    <w:rsid w:val="00FB0C59"/>
    <w:rsid w:val="00FB3B70"/>
    <w:rsid w:val="00FB78FD"/>
    <w:rsid w:val="00FC0F01"/>
    <w:rsid w:val="00FC1713"/>
    <w:rsid w:val="00FC1AFA"/>
    <w:rsid w:val="00FC36E5"/>
    <w:rsid w:val="00FC3746"/>
    <w:rsid w:val="00FC3F89"/>
    <w:rsid w:val="00FC4E26"/>
    <w:rsid w:val="00FC5186"/>
    <w:rsid w:val="00FC61F7"/>
    <w:rsid w:val="00FC6629"/>
    <w:rsid w:val="00FC7415"/>
    <w:rsid w:val="00FD069D"/>
    <w:rsid w:val="00FD1F7A"/>
    <w:rsid w:val="00FD2102"/>
    <w:rsid w:val="00FD5779"/>
    <w:rsid w:val="00FD5A74"/>
    <w:rsid w:val="00FD6AFE"/>
    <w:rsid w:val="00FD6BFD"/>
    <w:rsid w:val="00FD73EA"/>
    <w:rsid w:val="00FE1EAC"/>
    <w:rsid w:val="00FE2D8F"/>
    <w:rsid w:val="00FE4991"/>
    <w:rsid w:val="00FE5A4F"/>
    <w:rsid w:val="00FE5F20"/>
    <w:rsid w:val="00FE5F88"/>
    <w:rsid w:val="00FE7586"/>
    <w:rsid w:val="00FF035A"/>
    <w:rsid w:val="00FF1AAA"/>
    <w:rsid w:val="00FF49C1"/>
    <w:rsid w:val="00FF57CF"/>
    <w:rsid w:val="00FF6019"/>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colormru v:ext="edit" colors="#428299,#529dba"/>
    </o:shapedefaults>
    <o:shapelayout v:ext="edit">
      <o:idmap v:ext="edit" data="1"/>
    </o:shapelayout>
  </w:shapeDefaults>
  <w:doNotEmbedSmartTags/>
  <w:decimalSymbol w:val=","/>
  <w:listSeparator w:val=";"/>
  <w14:docId w14:val="21C4A562"/>
  <w15:docId w15:val="{8BBA851A-307B-4FB9-8EDF-F11DDCFDD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3B5B71"/>
    <w:pPr>
      <w:spacing w:line="260" w:lineRule="atLeast"/>
    </w:pPr>
    <w:rPr>
      <w:rFonts w:ascii="Arial" w:hAnsi="Arial"/>
      <w:szCs w:val="24"/>
      <w:lang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eastAsia="sl-SI"/>
    </w:rPr>
  </w:style>
  <w:style w:type="paragraph" w:styleId="Naslov2">
    <w:name w:val="heading 2"/>
    <w:basedOn w:val="Navaden"/>
    <w:next w:val="Navaden"/>
    <w:link w:val="Naslov2Znak"/>
    <w:uiPriority w:val="9"/>
    <w:semiHidden/>
    <w:unhideWhenUsed/>
    <w:qFormat/>
    <w:rsid w:val="00AE2155"/>
    <w:pPr>
      <w:keepNext/>
      <w:spacing w:before="240" w:after="60"/>
      <w:outlineLvl w:val="1"/>
    </w:pPr>
    <w:rPr>
      <w:rFonts w:ascii="Calibri Light" w:hAnsi="Calibri Light"/>
      <w:b/>
      <w:bCs/>
      <w:i/>
      <w:iCs/>
      <w:sz w:val="28"/>
      <w:szCs w:val="28"/>
    </w:rPr>
  </w:style>
  <w:style w:type="paragraph" w:styleId="Naslov3">
    <w:name w:val="heading 3"/>
    <w:basedOn w:val="Navaden"/>
    <w:next w:val="Navaden"/>
    <w:link w:val="Naslov3Znak"/>
    <w:uiPriority w:val="9"/>
    <w:semiHidden/>
    <w:unhideWhenUsed/>
    <w:qFormat/>
    <w:rsid w:val="002143E3"/>
    <w:pPr>
      <w:keepNext/>
      <w:spacing w:before="240" w:after="60"/>
      <w:outlineLvl w:val="2"/>
    </w:pPr>
    <w:rPr>
      <w:rFonts w:ascii="Calibri Light" w:hAnsi="Calibri Light"/>
      <w:b/>
      <w:bCs/>
      <w:sz w:val="26"/>
      <w:szCs w:val="26"/>
    </w:rPr>
  </w:style>
  <w:style w:type="paragraph" w:styleId="Naslov5">
    <w:name w:val="heading 5"/>
    <w:basedOn w:val="Navaden"/>
    <w:qFormat/>
    <w:rsid w:val="003B1BCF"/>
    <w:pPr>
      <w:spacing w:before="100" w:beforeAutospacing="1" w:after="100" w:afterAutospacing="1" w:line="212" w:lineRule="atLeast"/>
      <w:outlineLvl w:val="4"/>
    </w:pPr>
    <w:rPr>
      <w:rFonts w:ascii="Times New Roman" w:hAnsi="Times New Roman"/>
      <w:b/>
      <w:bCs/>
      <w:sz w:val="18"/>
      <w:szCs w:val="1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3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rsid w:val="00E71D90"/>
    <w:pPr>
      <w:spacing w:line="240" w:lineRule="auto"/>
    </w:pPr>
    <w:rPr>
      <w:rFonts w:ascii="Tahoma" w:hAnsi="Tahoma" w:cs="Tahoma"/>
      <w:sz w:val="16"/>
      <w:szCs w:val="16"/>
    </w:rPr>
  </w:style>
  <w:style w:type="character" w:customStyle="1" w:styleId="BesedilooblakaZnak">
    <w:name w:val="Besedilo oblačka Znak"/>
    <w:link w:val="Besedilooblaka"/>
    <w:uiPriority w:val="99"/>
    <w:rsid w:val="00E71D90"/>
    <w:rPr>
      <w:rFonts w:ascii="Tahoma" w:hAnsi="Tahoma" w:cs="Tahoma"/>
      <w:sz w:val="16"/>
      <w:szCs w:val="16"/>
      <w:lang w:val="en-US" w:eastAsia="en-US"/>
    </w:rPr>
  </w:style>
  <w:style w:type="character" w:customStyle="1" w:styleId="NogaZnak">
    <w:name w:val="Noga Znak"/>
    <w:link w:val="Noga"/>
    <w:uiPriority w:val="99"/>
    <w:rsid w:val="00F72335"/>
    <w:rPr>
      <w:rFonts w:ascii="Arial" w:hAnsi="Arial"/>
      <w:szCs w:val="24"/>
      <w:lang w:val="en-US" w:eastAsia="en-US"/>
    </w:rPr>
  </w:style>
  <w:style w:type="character" w:styleId="SledenaHiperpovezava">
    <w:name w:val="FollowedHyperlink"/>
    <w:rsid w:val="00F622D9"/>
    <w:rPr>
      <w:color w:val="800080"/>
      <w:u w:val="single"/>
    </w:rPr>
  </w:style>
  <w:style w:type="character" w:customStyle="1" w:styleId="Naslov1Znak">
    <w:name w:val="Naslov 1 Znak"/>
    <w:aliases w:val="NASLOV Znak"/>
    <w:link w:val="Naslov1"/>
    <w:rsid w:val="009D359D"/>
    <w:rPr>
      <w:rFonts w:ascii="Arial" w:hAnsi="Arial"/>
      <w:b/>
      <w:kern w:val="32"/>
      <w:sz w:val="28"/>
      <w:szCs w:val="32"/>
      <w:lang w:val="sl-SI" w:eastAsia="sl-SI" w:bidi="ar-SA"/>
    </w:rPr>
  </w:style>
  <w:style w:type="paragraph" w:customStyle="1" w:styleId="Vrstapredpisa">
    <w:name w:val="Vrsta predpisa"/>
    <w:basedOn w:val="Navaden"/>
    <w:link w:val="VrstapredpisaZnak"/>
    <w:qFormat/>
    <w:rsid w:val="009D359D"/>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rPr>
  </w:style>
  <w:style w:type="character" w:customStyle="1" w:styleId="VrstapredpisaZnak">
    <w:name w:val="Vrsta predpisa Znak"/>
    <w:link w:val="Vrstapredpisa"/>
    <w:rsid w:val="009D359D"/>
    <w:rPr>
      <w:rFonts w:ascii="Arial" w:hAnsi="Arial" w:cs="Arial"/>
      <w:b/>
      <w:bCs/>
      <w:color w:val="000000"/>
      <w:spacing w:val="40"/>
      <w:sz w:val="22"/>
      <w:szCs w:val="22"/>
      <w:lang w:val="en-US" w:eastAsia="en-US" w:bidi="ar-SA"/>
    </w:rPr>
  </w:style>
  <w:style w:type="paragraph" w:customStyle="1" w:styleId="Poglavje">
    <w:name w:val="Poglavje"/>
    <w:basedOn w:val="Navaden"/>
    <w:qFormat/>
    <w:rsid w:val="009D359D"/>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9D359D"/>
    <w:pPr>
      <w:overflowPunct w:val="0"/>
      <w:autoSpaceDE w:val="0"/>
      <w:autoSpaceDN w:val="0"/>
      <w:adjustRightInd w:val="0"/>
      <w:spacing w:before="60" w:after="60" w:line="200" w:lineRule="exact"/>
      <w:jc w:val="both"/>
      <w:textAlignment w:val="baseline"/>
    </w:pPr>
    <w:rPr>
      <w:rFonts w:cs="Arial"/>
      <w:sz w:val="22"/>
      <w:szCs w:val="22"/>
    </w:rPr>
  </w:style>
  <w:style w:type="character" w:customStyle="1" w:styleId="NeotevilenodstavekZnak">
    <w:name w:val="Neoštevilčen odstavek Znak"/>
    <w:link w:val="Neotevilenodstavek"/>
    <w:rsid w:val="009D359D"/>
    <w:rPr>
      <w:rFonts w:ascii="Arial" w:hAnsi="Arial" w:cs="Arial"/>
      <w:sz w:val="22"/>
      <w:szCs w:val="22"/>
      <w:lang w:val="en-US" w:eastAsia="en-US" w:bidi="ar-SA"/>
    </w:rPr>
  </w:style>
  <w:style w:type="paragraph" w:customStyle="1" w:styleId="Oddelek">
    <w:name w:val="Oddelek"/>
    <w:basedOn w:val="Navaden"/>
    <w:link w:val="OddelekZnak1"/>
    <w:qFormat/>
    <w:rsid w:val="009D359D"/>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rPr>
  </w:style>
  <w:style w:type="character" w:customStyle="1" w:styleId="OddelekZnak1">
    <w:name w:val="Oddelek Znak1"/>
    <w:link w:val="Oddelek"/>
    <w:rsid w:val="009D359D"/>
    <w:rPr>
      <w:rFonts w:ascii="Arial" w:hAnsi="Arial" w:cs="Arial"/>
      <w:b/>
      <w:sz w:val="22"/>
      <w:szCs w:val="22"/>
      <w:lang w:eastAsia="en-US"/>
    </w:rPr>
  </w:style>
  <w:style w:type="paragraph" w:customStyle="1" w:styleId="CharChar1">
    <w:name w:val="Char Char1"/>
    <w:basedOn w:val="Navaden"/>
    <w:rsid w:val="009D359D"/>
    <w:pPr>
      <w:spacing w:after="160" w:line="240" w:lineRule="exact"/>
    </w:pPr>
    <w:rPr>
      <w:rFonts w:ascii="Tahoma" w:hAnsi="Tahoma"/>
      <w:szCs w:val="20"/>
    </w:rPr>
  </w:style>
  <w:style w:type="character" w:styleId="Krepko">
    <w:name w:val="Strong"/>
    <w:uiPriority w:val="22"/>
    <w:qFormat/>
    <w:rsid w:val="009D359D"/>
    <w:rPr>
      <w:b/>
      <w:bCs/>
    </w:rPr>
  </w:style>
  <w:style w:type="paragraph" w:styleId="Navadensplet">
    <w:name w:val="Normal (Web)"/>
    <w:basedOn w:val="Navaden"/>
    <w:qFormat/>
    <w:rsid w:val="009D359D"/>
    <w:pPr>
      <w:spacing w:before="100" w:beforeAutospacing="1" w:after="100" w:afterAutospacing="1" w:line="240" w:lineRule="auto"/>
    </w:pPr>
    <w:rPr>
      <w:rFonts w:ascii="Times New Roman" w:hAnsi="Times New Roman"/>
      <w:sz w:val="24"/>
      <w:lang w:eastAsia="sl-SI"/>
    </w:rPr>
  </w:style>
  <w:style w:type="paragraph" w:customStyle="1" w:styleId="Naslovpredpisa">
    <w:name w:val="Naslov_predpisa"/>
    <w:basedOn w:val="Navaden"/>
    <w:link w:val="NaslovpredpisaZnak"/>
    <w:qFormat/>
    <w:rsid w:val="00130D77"/>
    <w:pPr>
      <w:suppressAutoHyphens/>
      <w:overflowPunct w:val="0"/>
      <w:autoSpaceDE w:val="0"/>
      <w:autoSpaceDN w:val="0"/>
      <w:adjustRightInd w:val="0"/>
      <w:spacing w:before="120" w:after="160" w:line="200" w:lineRule="exact"/>
      <w:jc w:val="center"/>
      <w:textAlignment w:val="baseline"/>
    </w:pPr>
    <w:rPr>
      <w:rFonts w:cs="Arial"/>
      <w:b/>
      <w:sz w:val="22"/>
      <w:szCs w:val="22"/>
    </w:rPr>
  </w:style>
  <w:style w:type="character" w:customStyle="1" w:styleId="NaslovpredpisaZnak">
    <w:name w:val="Naslov_predpisa Znak"/>
    <w:link w:val="Naslovpredpisa"/>
    <w:rsid w:val="00130D77"/>
    <w:rPr>
      <w:rFonts w:ascii="Arial" w:hAnsi="Arial" w:cs="Arial"/>
      <w:b/>
      <w:sz w:val="22"/>
      <w:szCs w:val="22"/>
      <w:lang w:val="en-US" w:eastAsia="en-US" w:bidi="ar-SA"/>
    </w:rPr>
  </w:style>
  <w:style w:type="paragraph" w:customStyle="1" w:styleId="Alineazaodstavkom">
    <w:name w:val="Alinea za odstavkom"/>
    <w:basedOn w:val="Navaden"/>
    <w:link w:val="AlineazaodstavkomZnak"/>
    <w:qFormat/>
    <w:rsid w:val="00130D77"/>
    <w:pPr>
      <w:numPr>
        <w:numId w:val="7"/>
      </w:numPr>
      <w:overflowPunct w:val="0"/>
      <w:autoSpaceDE w:val="0"/>
      <w:autoSpaceDN w:val="0"/>
      <w:adjustRightInd w:val="0"/>
      <w:spacing w:line="200" w:lineRule="exact"/>
      <w:ind w:left="709" w:hanging="284"/>
      <w:jc w:val="both"/>
      <w:textAlignment w:val="baseline"/>
    </w:pPr>
    <w:rPr>
      <w:rFonts w:cs="Arial"/>
      <w:sz w:val="22"/>
      <w:szCs w:val="22"/>
    </w:rPr>
  </w:style>
  <w:style w:type="character" w:customStyle="1" w:styleId="AlineazaodstavkomZnak">
    <w:name w:val="Alinea za odstavkom Znak"/>
    <w:link w:val="Alineazaodstavkom"/>
    <w:rsid w:val="00130D77"/>
    <w:rPr>
      <w:rFonts w:ascii="Arial" w:hAnsi="Arial" w:cs="Arial"/>
      <w:sz w:val="22"/>
      <w:szCs w:val="22"/>
      <w:lang w:eastAsia="en-US"/>
    </w:rPr>
  </w:style>
  <w:style w:type="character" w:customStyle="1" w:styleId="GlavaZnak">
    <w:name w:val="Glava Znak"/>
    <w:link w:val="Glava"/>
    <w:uiPriority w:val="99"/>
    <w:locked/>
    <w:rsid w:val="00DE7FC4"/>
    <w:rPr>
      <w:rFonts w:ascii="Arial" w:hAnsi="Arial"/>
      <w:szCs w:val="24"/>
      <w:lang w:val="en-US" w:eastAsia="en-US" w:bidi="ar-SA"/>
    </w:rPr>
  </w:style>
  <w:style w:type="paragraph" w:customStyle="1" w:styleId="Odstavekseznama1">
    <w:name w:val="Odstavek seznama1"/>
    <w:basedOn w:val="Navaden"/>
    <w:rsid w:val="00DE7FC4"/>
    <w:pPr>
      <w:autoSpaceDE w:val="0"/>
      <w:autoSpaceDN w:val="0"/>
      <w:adjustRightInd w:val="0"/>
      <w:spacing w:line="320" w:lineRule="exact"/>
      <w:ind w:left="720"/>
      <w:contextualSpacing/>
      <w:jc w:val="both"/>
    </w:pPr>
    <w:rPr>
      <w:rFonts w:ascii="Times New Roman" w:hAnsi="Times New Roman"/>
      <w:sz w:val="22"/>
      <w:szCs w:val="22"/>
    </w:rPr>
  </w:style>
  <w:style w:type="paragraph" w:customStyle="1" w:styleId="bodytext">
    <w:name w:val="bodytext"/>
    <w:basedOn w:val="Navaden"/>
    <w:rsid w:val="003B1BCF"/>
    <w:pPr>
      <w:spacing w:before="100" w:beforeAutospacing="1" w:after="100" w:afterAutospacing="1" w:line="240" w:lineRule="auto"/>
    </w:pPr>
    <w:rPr>
      <w:rFonts w:ascii="Times New Roman" w:hAnsi="Times New Roman"/>
      <w:sz w:val="24"/>
      <w:lang w:eastAsia="sl-SI"/>
    </w:rPr>
  </w:style>
  <w:style w:type="paragraph" w:styleId="Sprotnaopomba-besedilo">
    <w:name w:val="footnote text"/>
    <w:aliases w:val="Footnote Text Char,Sprotna opomba - besedilo Znak1 Char,Sprotna opomba - besedilo Znak Znak Char,Znak Znak Znak Char,Znak Znak Znak Znak Znak Znak Znak Char,Znak Znak1 Char,Znak Znak Znak Znak Znak Znak1 Char"/>
    <w:basedOn w:val="Navaden"/>
    <w:link w:val="Sprotnaopomba-besediloZnak"/>
    <w:uiPriority w:val="99"/>
    <w:unhideWhenUsed/>
    <w:qFormat/>
    <w:rsid w:val="00AB3A5B"/>
    <w:pPr>
      <w:spacing w:line="240" w:lineRule="auto"/>
    </w:pPr>
    <w:rPr>
      <w:rFonts w:ascii="Calibri" w:eastAsia="Calibri" w:hAnsi="Calibri"/>
      <w:szCs w:val="20"/>
    </w:rPr>
  </w:style>
  <w:style w:type="character" w:customStyle="1" w:styleId="Sprotnaopomba-besediloZnak">
    <w:name w:val="Sprotna opomba - besedilo Znak"/>
    <w:aliases w:val="Footnote Text Char Znak,Sprotna opomba - besedilo Znak1 Char Znak,Sprotna opomba - besedilo Znak Znak Char Znak,Znak Znak Znak Char Znak,Znak Znak Znak Znak Znak Znak Znak Char Znak,Znak Znak1 Char Znak"/>
    <w:link w:val="Sprotnaopomba-besedilo"/>
    <w:uiPriority w:val="99"/>
    <w:rsid w:val="00AB3A5B"/>
    <w:rPr>
      <w:rFonts w:ascii="Calibri" w:eastAsia="Calibri" w:hAnsi="Calibri"/>
      <w:lang w:eastAsia="en-US"/>
    </w:rPr>
  </w:style>
  <w:style w:type="character" w:styleId="Sprotnaopomba-sklic">
    <w:name w:val="footnote reference"/>
    <w:uiPriority w:val="99"/>
    <w:unhideWhenUsed/>
    <w:qFormat/>
    <w:rsid w:val="00AB3A5B"/>
    <w:rPr>
      <w:vertAlign w:val="superscript"/>
    </w:rPr>
  </w:style>
  <w:style w:type="paragraph" w:customStyle="1" w:styleId="Odstavek">
    <w:name w:val="Odstavek"/>
    <w:basedOn w:val="Navaden"/>
    <w:link w:val="OdstavekZnak"/>
    <w:qFormat/>
    <w:rsid w:val="00AB3A5B"/>
    <w:pPr>
      <w:overflowPunct w:val="0"/>
      <w:autoSpaceDE w:val="0"/>
      <w:autoSpaceDN w:val="0"/>
      <w:adjustRightInd w:val="0"/>
      <w:spacing w:before="240" w:line="240" w:lineRule="auto"/>
      <w:ind w:firstLine="1021"/>
      <w:jc w:val="both"/>
      <w:textAlignment w:val="baseline"/>
    </w:pPr>
    <w:rPr>
      <w:sz w:val="22"/>
      <w:szCs w:val="22"/>
    </w:rPr>
  </w:style>
  <w:style w:type="character" w:customStyle="1" w:styleId="OdstavekZnak">
    <w:name w:val="Odstavek Znak"/>
    <w:link w:val="Odstavek"/>
    <w:rsid w:val="00AB3A5B"/>
    <w:rPr>
      <w:rFonts w:ascii="Arial" w:hAnsi="Arial"/>
      <w:sz w:val="22"/>
      <w:szCs w:val="22"/>
    </w:rPr>
  </w:style>
  <w:style w:type="character" w:customStyle="1" w:styleId="apple-converted-space">
    <w:name w:val="apple-converted-space"/>
    <w:rsid w:val="00522477"/>
  </w:style>
  <w:style w:type="paragraph" w:customStyle="1" w:styleId="CharChar">
    <w:name w:val="Char Char"/>
    <w:basedOn w:val="Navaden"/>
    <w:rsid w:val="001F173D"/>
    <w:pPr>
      <w:spacing w:after="160" w:line="240" w:lineRule="exact"/>
    </w:pPr>
    <w:rPr>
      <w:rFonts w:ascii="Tahoma" w:hAnsi="Tahoma"/>
      <w:szCs w:val="20"/>
      <w:lang w:val="en-US"/>
    </w:rPr>
  </w:style>
  <w:style w:type="paragraph" w:customStyle="1" w:styleId="Alineazatoko">
    <w:name w:val="Alinea za točko"/>
    <w:basedOn w:val="Navaden"/>
    <w:link w:val="AlineazatokoZnak"/>
    <w:qFormat/>
    <w:rsid w:val="00BB3E31"/>
    <w:pPr>
      <w:overflowPunct w:val="0"/>
      <w:autoSpaceDE w:val="0"/>
      <w:autoSpaceDN w:val="0"/>
      <w:adjustRightInd w:val="0"/>
      <w:spacing w:line="200" w:lineRule="exact"/>
      <w:ind w:left="360" w:hanging="360"/>
      <w:jc w:val="both"/>
      <w:textAlignment w:val="baseline"/>
    </w:pPr>
    <w:rPr>
      <w:sz w:val="22"/>
      <w:szCs w:val="22"/>
    </w:rPr>
  </w:style>
  <w:style w:type="paragraph" w:customStyle="1" w:styleId="CharChar3">
    <w:name w:val="Char Char3"/>
    <w:basedOn w:val="Navaden"/>
    <w:rsid w:val="008A6A2B"/>
    <w:pPr>
      <w:spacing w:line="240" w:lineRule="auto"/>
    </w:pPr>
    <w:rPr>
      <w:rFonts w:ascii="Times New Roman" w:hAnsi="Times New Roman"/>
      <w:sz w:val="24"/>
      <w:lang w:val="pl-PL" w:eastAsia="pl-PL"/>
    </w:rPr>
  </w:style>
  <w:style w:type="character" w:styleId="Konnaopomba-sklic">
    <w:name w:val="endnote reference"/>
    <w:uiPriority w:val="99"/>
    <w:rsid w:val="00553DDA"/>
    <w:rPr>
      <w:vertAlign w:val="superscript"/>
    </w:rPr>
  </w:style>
  <w:style w:type="paragraph" w:styleId="Brezrazmikov">
    <w:name w:val="No Spacing"/>
    <w:uiPriority w:val="99"/>
    <w:qFormat/>
    <w:rsid w:val="006D3300"/>
    <w:rPr>
      <w:rFonts w:ascii="Calibri" w:eastAsia="Calibri" w:hAnsi="Calibri" w:cs="Calibri"/>
      <w:sz w:val="22"/>
      <w:szCs w:val="22"/>
      <w:lang w:eastAsia="en-US"/>
    </w:rPr>
  </w:style>
  <w:style w:type="character" w:styleId="Poudarek">
    <w:name w:val="Emphasis"/>
    <w:uiPriority w:val="20"/>
    <w:qFormat/>
    <w:rsid w:val="00A23AF6"/>
    <w:rPr>
      <w:i/>
      <w:iCs/>
    </w:rPr>
  </w:style>
  <w:style w:type="paragraph" w:customStyle="1" w:styleId="Odsek">
    <w:name w:val="Odsek"/>
    <w:basedOn w:val="Oddelek"/>
    <w:link w:val="OdsekZnak"/>
    <w:qFormat/>
    <w:rsid w:val="00C923FF"/>
    <w:pPr>
      <w:numPr>
        <w:numId w:val="1"/>
      </w:numPr>
      <w:ind w:left="0" w:firstLine="0"/>
    </w:pPr>
    <w:rPr>
      <w:lang w:eastAsia="sl-SI"/>
    </w:rPr>
  </w:style>
  <w:style w:type="character" w:customStyle="1" w:styleId="OdsekZnak">
    <w:name w:val="Odsek Znak"/>
    <w:link w:val="Odsek"/>
    <w:rsid w:val="00C923FF"/>
    <w:rPr>
      <w:rFonts w:ascii="Arial" w:hAnsi="Arial" w:cs="Arial"/>
      <w:b/>
      <w:sz w:val="22"/>
      <w:szCs w:val="22"/>
    </w:rPr>
  </w:style>
  <w:style w:type="paragraph" w:styleId="Odstavekseznama">
    <w:name w:val="List Paragraph"/>
    <w:basedOn w:val="Navaden"/>
    <w:link w:val="OdstavekseznamaZnak"/>
    <w:uiPriority w:val="34"/>
    <w:qFormat/>
    <w:rsid w:val="00C923FF"/>
    <w:pPr>
      <w:spacing w:line="260" w:lineRule="exact"/>
      <w:ind w:left="720"/>
      <w:contextualSpacing/>
    </w:pPr>
  </w:style>
  <w:style w:type="paragraph" w:styleId="Telobesedila">
    <w:name w:val="Body Text"/>
    <w:basedOn w:val="Navaden"/>
    <w:link w:val="TelobesedilaZnak"/>
    <w:rsid w:val="00C923FF"/>
    <w:pPr>
      <w:suppressAutoHyphens/>
      <w:spacing w:after="120" w:line="240" w:lineRule="auto"/>
    </w:pPr>
    <w:rPr>
      <w:rFonts w:ascii="Times New Roman" w:hAnsi="Times New Roman"/>
      <w:sz w:val="24"/>
      <w:lang w:eastAsia="ar-SA"/>
    </w:rPr>
  </w:style>
  <w:style w:type="character" w:customStyle="1" w:styleId="TelobesedilaZnak">
    <w:name w:val="Telo besedila Znak"/>
    <w:link w:val="Telobesedila"/>
    <w:rsid w:val="00C923FF"/>
    <w:rPr>
      <w:sz w:val="24"/>
      <w:szCs w:val="24"/>
      <w:lang w:eastAsia="ar-SA"/>
    </w:rPr>
  </w:style>
  <w:style w:type="character" w:customStyle="1" w:styleId="rkovnatokazaodstavkomZnak">
    <w:name w:val="Črkovna točka_za odstavkom Znak"/>
    <w:link w:val="rkovnatokazaodstavkom"/>
    <w:rsid w:val="00C923FF"/>
    <w:rPr>
      <w:rFonts w:ascii="Arial" w:hAnsi="Arial"/>
    </w:rPr>
  </w:style>
  <w:style w:type="paragraph" w:customStyle="1" w:styleId="rkovnatokazaodstavkom">
    <w:name w:val="Črkovna točka_za odstavkom"/>
    <w:basedOn w:val="Navaden"/>
    <w:link w:val="rkovnatokazaodstavkomZnak"/>
    <w:qFormat/>
    <w:rsid w:val="00C923FF"/>
    <w:pPr>
      <w:numPr>
        <w:numId w:val="9"/>
      </w:numPr>
      <w:overflowPunct w:val="0"/>
      <w:autoSpaceDE w:val="0"/>
      <w:autoSpaceDN w:val="0"/>
      <w:adjustRightInd w:val="0"/>
      <w:spacing w:line="200" w:lineRule="exact"/>
      <w:jc w:val="both"/>
      <w:textAlignment w:val="baseline"/>
    </w:pPr>
    <w:rPr>
      <w:szCs w:val="20"/>
      <w:lang w:eastAsia="sl-SI"/>
    </w:rPr>
  </w:style>
  <w:style w:type="character" w:customStyle="1" w:styleId="AlineazatokoZnak">
    <w:name w:val="Alinea za točko Znak"/>
    <w:link w:val="Alineazatoko"/>
    <w:rsid w:val="00C923FF"/>
    <w:rPr>
      <w:rFonts w:ascii="Arial" w:hAnsi="Arial"/>
      <w:sz w:val="22"/>
      <w:szCs w:val="22"/>
      <w:lang w:eastAsia="en-US"/>
    </w:rPr>
  </w:style>
  <w:style w:type="paragraph" w:styleId="Konnaopomba-besedilo">
    <w:name w:val="endnote text"/>
    <w:basedOn w:val="Navaden"/>
    <w:link w:val="Konnaopomba-besediloZnak"/>
    <w:uiPriority w:val="99"/>
    <w:rsid w:val="00AA0CF6"/>
    <w:pPr>
      <w:spacing w:line="240" w:lineRule="auto"/>
    </w:pPr>
    <w:rPr>
      <w:rFonts w:ascii="Calibri" w:eastAsia="Calibri" w:hAnsi="Calibri" w:cs="Calibri"/>
      <w:szCs w:val="20"/>
    </w:rPr>
  </w:style>
  <w:style w:type="character" w:customStyle="1" w:styleId="Konnaopomba-besediloZnak">
    <w:name w:val="Končna opomba - besedilo Znak"/>
    <w:link w:val="Konnaopomba-besedilo"/>
    <w:uiPriority w:val="99"/>
    <w:rsid w:val="00AA0CF6"/>
    <w:rPr>
      <w:rFonts w:ascii="Calibri" w:eastAsia="Calibri" w:hAnsi="Calibri" w:cs="Calibri"/>
      <w:lang w:eastAsia="en-US"/>
    </w:rPr>
  </w:style>
  <w:style w:type="paragraph" w:customStyle="1" w:styleId="sti-art">
    <w:name w:val="sti-art"/>
    <w:basedOn w:val="Navaden"/>
    <w:uiPriority w:val="99"/>
    <w:rsid w:val="00AA0CF6"/>
    <w:pPr>
      <w:spacing w:before="100" w:beforeAutospacing="1" w:after="100" w:afterAutospacing="1" w:line="240" w:lineRule="auto"/>
    </w:pPr>
    <w:rPr>
      <w:rFonts w:ascii="Times New Roman" w:hAnsi="Times New Roman"/>
      <w:sz w:val="24"/>
      <w:lang w:eastAsia="sl-SI"/>
    </w:rPr>
  </w:style>
  <w:style w:type="paragraph" w:customStyle="1" w:styleId="Navaden2">
    <w:name w:val="Navaden2"/>
    <w:basedOn w:val="Navaden"/>
    <w:uiPriority w:val="99"/>
    <w:rsid w:val="00AA0CF6"/>
    <w:pPr>
      <w:spacing w:before="100" w:beforeAutospacing="1" w:after="100" w:afterAutospacing="1" w:line="240" w:lineRule="auto"/>
    </w:pPr>
    <w:rPr>
      <w:rFonts w:ascii="Times New Roman" w:hAnsi="Times New Roman"/>
      <w:sz w:val="24"/>
      <w:lang w:eastAsia="sl-SI"/>
    </w:rPr>
  </w:style>
  <w:style w:type="character" w:styleId="Pripombasklic">
    <w:name w:val="annotation reference"/>
    <w:uiPriority w:val="99"/>
    <w:semiHidden/>
    <w:unhideWhenUsed/>
    <w:rsid w:val="004331B6"/>
    <w:rPr>
      <w:sz w:val="16"/>
      <w:szCs w:val="16"/>
    </w:rPr>
  </w:style>
  <w:style w:type="paragraph" w:styleId="Pripombabesedilo">
    <w:name w:val="annotation text"/>
    <w:basedOn w:val="Navaden"/>
    <w:link w:val="PripombabesediloZnak"/>
    <w:uiPriority w:val="99"/>
    <w:unhideWhenUsed/>
    <w:rsid w:val="004331B6"/>
    <w:rPr>
      <w:szCs w:val="20"/>
    </w:rPr>
  </w:style>
  <w:style w:type="character" w:customStyle="1" w:styleId="PripombabesediloZnak">
    <w:name w:val="Pripomba – besedilo Znak"/>
    <w:link w:val="Pripombabesedilo"/>
    <w:uiPriority w:val="99"/>
    <w:rsid w:val="004331B6"/>
    <w:rPr>
      <w:rFonts w:ascii="Arial" w:hAnsi="Arial"/>
      <w:lang w:eastAsia="en-US"/>
    </w:rPr>
  </w:style>
  <w:style w:type="paragraph" w:styleId="Zadevapripombe">
    <w:name w:val="annotation subject"/>
    <w:basedOn w:val="Pripombabesedilo"/>
    <w:next w:val="Pripombabesedilo"/>
    <w:link w:val="ZadevapripombeZnak"/>
    <w:uiPriority w:val="99"/>
    <w:semiHidden/>
    <w:unhideWhenUsed/>
    <w:rsid w:val="004331B6"/>
    <w:rPr>
      <w:b/>
      <w:bCs/>
    </w:rPr>
  </w:style>
  <w:style w:type="character" w:customStyle="1" w:styleId="ZadevapripombeZnak">
    <w:name w:val="Zadeva pripombe Znak"/>
    <w:link w:val="Zadevapripombe"/>
    <w:uiPriority w:val="99"/>
    <w:semiHidden/>
    <w:rsid w:val="004331B6"/>
    <w:rPr>
      <w:rFonts w:ascii="Arial" w:hAnsi="Arial"/>
      <w:b/>
      <w:bCs/>
      <w:lang w:eastAsia="en-US"/>
    </w:rPr>
  </w:style>
  <w:style w:type="character" w:styleId="Besedilooznabemesta">
    <w:name w:val="Placeholder Text"/>
    <w:uiPriority w:val="99"/>
    <w:semiHidden/>
    <w:rsid w:val="00484DB8"/>
    <w:rPr>
      <w:color w:val="808080"/>
    </w:rPr>
  </w:style>
  <w:style w:type="paragraph" w:styleId="Golobesedilo">
    <w:name w:val="Plain Text"/>
    <w:basedOn w:val="Navaden"/>
    <w:link w:val="GolobesediloZnak"/>
    <w:uiPriority w:val="99"/>
    <w:unhideWhenUsed/>
    <w:rsid w:val="00484DB8"/>
    <w:pPr>
      <w:spacing w:line="240" w:lineRule="auto"/>
    </w:pPr>
    <w:rPr>
      <w:rFonts w:ascii="Calibri" w:eastAsia="Calibri" w:hAnsi="Calibri"/>
      <w:sz w:val="22"/>
      <w:szCs w:val="21"/>
    </w:rPr>
  </w:style>
  <w:style w:type="character" w:customStyle="1" w:styleId="GolobesediloZnak">
    <w:name w:val="Golo besedilo Znak"/>
    <w:link w:val="Golobesedilo"/>
    <w:uiPriority w:val="99"/>
    <w:rsid w:val="00484DB8"/>
    <w:rPr>
      <w:rFonts w:ascii="Calibri" w:eastAsia="Calibri" w:hAnsi="Calibri"/>
      <w:sz w:val="22"/>
      <w:szCs w:val="21"/>
      <w:lang w:eastAsia="en-US"/>
    </w:rPr>
  </w:style>
  <w:style w:type="paragraph" w:customStyle="1" w:styleId="CharChar30">
    <w:name w:val="Char Char3"/>
    <w:basedOn w:val="Navaden"/>
    <w:rsid w:val="00484DB8"/>
    <w:pPr>
      <w:spacing w:line="240" w:lineRule="auto"/>
    </w:pPr>
    <w:rPr>
      <w:rFonts w:ascii="Times New Roman" w:hAnsi="Times New Roman"/>
      <w:sz w:val="24"/>
      <w:lang w:val="pl-PL" w:eastAsia="pl-PL"/>
    </w:rPr>
  </w:style>
  <w:style w:type="paragraph" w:customStyle="1" w:styleId="len">
    <w:name w:val="len"/>
    <w:basedOn w:val="Navaden"/>
    <w:rsid w:val="00484DB8"/>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484DB8"/>
    <w:pPr>
      <w:spacing w:before="100" w:beforeAutospacing="1" w:after="100" w:afterAutospacing="1" w:line="240" w:lineRule="auto"/>
    </w:pPr>
    <w:rPr>
      <w:rFonts w:ascii="Times New Roman" w:hAnsi="Times New Roman"/>
      <w:sz w:val="24"/>
      <w:lang w:eastAsia="sl-SI"/>
    </w:rPr>
  </w:style>
  <w:style w:type="character" w:customStyle="1" w:styleId="Nerazreenaomemba1">
    <w:name w:val="Nerazrešena omemba1"/>
    <w:uiPriority w:val="99"/>
    <w:semiHidden/>
    <w:unhideWhenUsed/>
    <w:rsid w:val="00484DB8"/>
    <w:rPr>
      <w:color w:val="808080"/>
      <w:shd w:val="clear" w:color="auto" w:fill="E6E6E6"/>
    </w:rPr>
  </w:style>
  <w:style w:type="paragraph" w:customStyle="1" w:styleId="Slog1">
    <w:name w:val="Slog1"/>
    <w:basedOn w:val="Sprotnaopomba-besedilo"/>
    <w:link w:val="Slog1Znak"/>
    <w:qFormat/>
    <w:rsid w:val="00A013CC"/>
    <w:rPr>
      <w:rFonts w:ascii="Arial" w:hAnsi="Arial" w:cs="Arial"/>
      <w:sz w:val="18"/>
      <w:szCs w:val="18"/>
    </w:rPr>
  </w:style>
  <w:style w:type="character" w:customStyle="1" w:styleId="Slog1Znak">
    <w:name w:val="Slog1 Znak"/>
    <w:link w:val="Slog1"/>
    <w:rsid w:val="00A013CC"/>
    <w:rPr>
      <w:rFonts w:ascii="Arial" w:eastAsia="Calibri" w:hAnsi="Arial" w:cs="Arial"/>
      <w:sz w:val="18"/>
      <w:szCs w:val="18"/>
      <w:lang w:eastAsia="en-US"/>
    </w:rPr>
  </w:style>
  <w:style w:type="paragraph" w:styleId="HTML-oblikovano">
    <w:name w:val="HTML Preformatted"/>
    <w:basedOn w:val="Navaden"/>
    <w:link w:val="HTML-oblikovanoZnak"/>
    <w:uiPriority w:val="99"/>
    <w:unhideWhenUsed/>
    <w:rsid w:val="00A67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character" w:customStyle="1" w:styleId="HTML-oblikovanoZnak">
    <w:name w:val="HTML-oblikovano Znak"/>
    <w:link w:val="HTML-oblikovano"/>
    <w:uiPriority w:val="99"/>
    <w:rsid w:val="00A6716A"/>
    <w:rPr>
      <w:rFonts w:ascii="Courier New" w:hAnsi="Courier New" w:cs="Courier New"/>
    </w:rPr>
  </w:style>
  <w:style w:type="character" w:customStyle="1" w:styleId="Naslov3Znak">
    <w:name w:val="Naslov 3 Znak"/>
    <w:link w:val="Naslov3"/>
    <w:uiPriority w:val="9"/>
    <w:semiHidden/>
    <w:rsid w:val="002143E3"/>
    <w:rPr>
      <w:rFonts w:ascii="Calibri Light" w:eastAsia="Times New Roman" w:hAnsi="Calibri Light" w:cs="Times New Roman"/>
      <w:b/>
      <w:bCs/>
      <w:sz w:val="26"/>
      <w:szCs w:val="26"/>
      <w:lang w:eastAsia="en-US"/>
    </w:rPr>
  </w:style>
  <w:style w:type="character" w:customStyle="1" w:styleId="Naslov2Znak">
    <w:name w:val="Naslov 2 Znak"/>
    <w:link w:val="Naslov2"/>
    <w:uiPriority w:val="9"/>
    <w:semiHidden/>
    <w:rsid w:val="00AE2155"/>
    <w:rPr>
      <w:rFonts w:ascii="Calibri Light" w:hAnsi="Calibri Light"/>
      <w:b/>
      <w:bCs/>
      <w:i/>
      <w:iCs/>
      <w:sz w:val="28"/>
      <w:szCs w:val="28"/>
      <w:lang w:eastAsia="en-US"/>
    </w:rPr>
  </w:style>
  <w:style w:type="paragraph" w:customStyle="1" w:styleId="CharChar10">
    <w:name w:val="Char Char1"/>
    <w:basedOn w:val="Navaden"/>
    <w:rsid w:val="00AE2155"/>
    <w:pPr>
      <w:spacing w:after="160" w:line="240" w:lineRule="exact"/>
    </w:pPr>
    <w:rPr>
      <w:rFonts w:ascii="Tahoma" w:hAnsi="Tahoma"/>
      <w:szCs w:val="20"/>
    </w:rPr>
  </w:style>
  <w:style w:type="paragraph" w:customStyle="1" w:styleId="Odstavekseznama10">
    <w:name w:val="Odstavek seznama1"/>
    <w:basedOn w:val="Navaden"/>
    <w:rsid w:val="00AE2155"/>
    <w:pPr>
      <w:autoSpaceDE w:val="0"/>
      <w:autoSpaceDN w:val="0"/>
      <w:adjustRightInd w:val="0"/>
      <w:spacing w:line="320" w:lineRule="exact"/>
      <w:ind w:left="720"/>
      <w:contextualSpacing/>
      <w:jc w:val="both"/>
    </w:pPr>
    <w:rPr>
      <w:rFonts w:ascii="Times New Roman" w:hAnsi="Times New Roman"/>
      <w:sz w:val="22"/>
      <w:szCs w:val="22"/>
    </w:rPr>
  </w:style>
  <w:style w:type="paragraph" w:customStyle="1" w:styleId="CharChar0">
    <w:name w:val="Char Char"/>
    <w:basedOn w:val="Navaden"/>
    <w:rsid w:val="00AE2155"/>
    <w:pPr>
      <w:spacing w:after="160" w:line="240" w:lineRule="exact"/>
    </w:pPr>
    <w:rPr>
      <w:rFonts w:ascii="Tahoma" w:hAnsi="Tahoma"/>
      <w:szCs w:val="20"/>
      <w:lang w:val="en-US"/>
    </w:rPr>
  </w:style>
  <w:style w:type="character" w:customStyle="1" w:styleId="Nerazreenaomemba10">
    <w:name w:val="Nerazrešena omemba1"/>
    <w:uiPriority w:val="99"/>
    <w:semiHidden/>
    <w:unhideWhenUsed/>
    <w:rsid w:val="00AE2155"/>
    <w:rPr>
      <w:color w:val="808080"/>
      <w:shd w:val="clear" w:color="auto" w:fill="E6E6E6"/>
    </w:rPr>
  </w:style>
  <w:style w:type="table" w:customStyle="1" w:styleId="TableGrid">
    <w:name w:val="TableGrid"/>
    <w:rsid w:val="00AE2155"/>
    <w:rPr>
      <w:rFonts w:ascii="Calibri" w:hAnsi="Calibri"/>
      <w:sz w:val="22"/>
      <w:szCs w:val="22"/>
    </w:rPr>
    <w:tblPr>
      <w:tblCellMar>
        <w:top w:w="0" w:type="dxa"/>
        <w:left w:w="0" w:type="dxa"/>
        <w:bottom w:w="0" w:type="dxa"/>
        <w:right w:w="0" w:type="dxa"/>
      </w:tblCellMar>
    </w:tblPr>
  </w:style>
  <w:style w:type="paragraph" w:customStyle="1" w:styleId="odstavek0">
    <w:name w:val="odstavek"/>
    <w:basedOn w:val="Navaden"/>
    <w:rsid w:val="00AE2155"/>
    <w:pPr>
      <w:spacing w:before="100" w:beforeAutospacing="1" w:after="100" w:afterAutospacing="1" w:line="240" w:lineRule="auto"/>
    </w:pPr>
    <w:rPr>
      <w:rFonts w:ascii="Times New Roman" w:hAnsi="Times New Roman"/>
      <w:sz w:val="24"/>
      <w:lang w:eastAsia="sl-SI"/>
    </w:rPr>
  </w:style>
  <w:style w:type="paragraph" w:customStyle="1" w:styleId="Default">
    <w:name w:val="Default"/>
    <w:rsid w:val="00AE2155"/>
    <w:pPr>
      <w:autoSpaceDE w:val="0"/>
      <w:autoSpaceDN w:val="0"/>
      <w:adjustRightInd w:val="0"/>
    </w:pPr>
    <w:rPr>
      <w:rFonts w:ascii="Arial" w:hAnsi="Arial" w:cs="Arial"/>
      <w:color w:val="000000"/>
      <w:sz w:val="24"/>
      <w:szCs w:val="24"/>
    </w:rPr>
  </w:style>
  <w:style w:type="paragraph" w:customStyle="1" w:styleId="alineazaodstavkom0">
    <w:name w:val="alineazaodstavkom"/>
    <w:basedOn w:val="Navaden"/>
    <w:rsid w:val="00AE2155"/>
    <w:pPr>
      <w:spacing w:before="100" w:beforeAutospacing="1" w:after="100" w:afterAutospacing="1" w:line="240" w:lineRule="auto"/>
    </w:pPr>
    <w:rPr>
      <w:rFonts w:ascii="Times New Roman" w:hAnsi="Times New Roman"/>
      <w:sz w:val="24"/>
      <w:lang w:eastAsia="sl-SI"/>
    </w:rPr>
  </w:style>
  <w:style w:type="paragraph" w:customStyle="1" w:styleId="Tabela-naslov">
    <w:name w:val="Tabela - naslov"/>
    <w:basedOn w:val="Navaden"/>
    <w:next w:val="Navaden"/>
    <w:qFormat/>
    <w:rsid w:val="000E3AFF"/>
    <w:pPr>
      <w:keepNext/>
      <w:spacing w:line="288" w:lineRule="auto"/>
      <w:jc w:val="both"/>
    </w:pPr>
    <w:rPr>
      <w:rFonts w:ascii="Calibri" w:hAnsi="Calibri"/>
      <w:b/>
      <w:szCs w:val="20"/>
    </w:rPr>
  </w:style>
  <w:style w:type="paragraph" w:customStyle="1" w:styleId="Tabela-vsebina-bold-center">
    <w:name w:val="Tabela - vsebina - bold - center"/>
    <w:basedOn w:val="Navaden"/>
    <w:qFormat/>
    <w:rsid w:val="000E3AFF"/>
    <w:pPr>
      <w:spacing w:line="240" w:lineRule="auto"/>
      <w:jc w:val="center"/>
    </w:pPr>
    <w:rPr>
      <w:rFonts w:ascii="Calibri" w:hAnsi="Calibri"/>
      <w:b/>
      <w:sz w:val="16"/>
      <w:szCs w:val="16"/>
    </w:rPr>
  </w:style>
  <w:style w:type="paragraph" w:customStyle="1" w:styleId="Tabela-vsebina-bold-left">
    <w:name w:val="Tabela - vsebina - bold - left"/>
    <w:basedOn w:val="Tabela-vsebina-bold-center"/>
    <w:qFormat/>
    <w:rsid w:val="000E3AFF"/>
    <w:pPr>
      <w:jc w:val="left"/>
    </w:pPr>
  </w:style>
  <w:style w:type="paragraph" w:customStyle="1" w:styleId="Tabela-vsebina-vrednosti">
    <w:name w:val="Tabela - vsebina - vrednosti"/>
    <w:basedOn w:val="Navaden"/>
    <w:qFormat/>
    <w:rsid w:val="000E3AFF"/>
    <w:pPr>
      <w:spacing w:line="240" w:lineRule="auto"/>
      <w:jc w:val="center"/>
    </w:pPr>
    <w:rPr>
      <w:rFonts w:ascii="Calibri" w:hAnsi="Calibri"/>
      <w:sz w:val="16"/>
      <w:szCs w:val="16"/>
    </w:rPr>
  </w:style>
  <w:style w:type="numbering" w:styleId="111111">
    <w:name w:val="Outline List 2"/>
    <w:basedOn w:val="Brezseznama"/>
    <w:rsid w:val="000E3AFF"/>
    <w:pPr>
      <w:numPr>
        <w:numId w:val="25"/>
      </w:numPr>
    </w:pPr>
  </w:style>
  <w:style w:type="character" w:customStyle="1" w:styleId="OdstavekseznamaZnak">
    <w:name w:val="Odstavek seznama Znak"/>
    <w:link w:val="Odstavekseznama"/>
    <w:uiPriority w:val="99"/>
    <w:rsid w:val="000E3AFF"/>
    <w:rPr>
      <w:rFonts w:ascii="Arial" w:hAnsi="Arial"/>
      <w:szCs w:val="24"/>
      <w:lang w:eastAsia="en-US"/>
    </w:rPr>
  </w:style>
  <w:style w:type="paragraph" w:customStyle="1" w:styleId="Zatabelo">
    <w:name w:val="Za tabelo"/>
    <w:basedOn w:val="Navaden"/>
    <w:link w:val="ZatabeloChar"/>
    <w:qFormat/>
    <w:rsid w:val="000E3AFF"/>
    <w:pPr>
      <w:spacing w:line="288" w:lineRule="auto"/>
      <w:jc w:val="both"/>
    </w:pPr>
    <w:rPr>
      <w:rFonts w:ascii="Calibri" w:eastAsia="Calibri" w:hAnsi="Calibri"/>
      <w:sz w:val="24"/>
    </w:rPr>
  </w:style>
  <w:style w:type="character" w:customStyle="1" w:styleId="ZatabeloChar">
    <w:name w:val="Za tabelo Char"/>
    <w:link w:val="Zatabelo"/>
    <w:rsid w:val="000E3AFF"/>
    <w:rPr>
      <w:rFonts w:ascii="Calibri" w:eastAsia="Calibri" w:hAnsi="Calibri"/>
      <w:sz w:val="24"/>
      <w:szCs w:val="24"/>
      <w:lang w:eastAsia="en-US"/>
    </w:rPr>
  </w:style>
  <w:style w:type="character" w:customStyle="1" w:styleId="Sidrosprotneopombe">
    <w:name w:val="Sidro sprotne opombe"/>
    <w:rsid w:val="00313CB9"/>
    <w:rPr>
      <w:vertAlign w:val="superscript"/>
    </w:rPr>
  </w:style>
  <w:style w:type="character" w:customStyle="1" w:styleId="Spletnapovezava">
    <w:name w:val="Spletna povezava"/>
    <w:uiPriority w:val="99"/>
    <w:unhideWhenUsed/>
    <w:rsid w:val="00313C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6737">
      <w:bodyDiv w:val="1"/>
      <w:marLeft w:val="0"/>
      <w:marRight w:val="0"/>
      <w:marTop w:val="0"/>
      <w:marBottom w:val="0"/>
      <w:divBdr>
        <w:top w:val="none" w:sz="0" w:space="0" w:color="auto"/>
        <w:left w:val="none" w:sz="0" w:space="0" w:color="auto"/>
        <w:bottom w:val="none" w:sz="0" w:space="0" w:color="auto"/>
        <w:right w:val="none" w:sz="0" w:space="0" w:color="auto"/>
      </w:divBdr>
    </w:div>
    <w:div w:id="57096163">
      <w:bodyDiv w:val="1"/>
      <w:marLeft w:val="0"/>
      <w:marRight w:val="0"/>
      <w:marTop w:val="0"/>
      <w:marBottom w:val="0"/>
      <w:divBdr>
        <w:top w:val="none" w:sz="0" w:space="0" w:color="auto"/>
        <w:left w:val="none" w:sz="0" w:space="0" w:color="auto"/>
        <w:bottom w:val="none" w:sz="0" w:space="0" w:color="auto"/>
        <w:right w:val="none" w:sz="0" w:space="0" w:color="auto"/>
      </w:divBdr>
      <w:divsChild>
        <w:div w:id="117846074">
          <w:marLeft w:val="0"/>
          <w:marRight w:val="0"/>
          <w:marTop w:val="0"/>
          <w:marBottom w:val="0"/>
          <w:divBdr>
            <w:top w:val="none" w:sz="0" w:space="0" w:color="auto"/>
            <w:left w:val="none" w:sz="0" w:space="0" w:color="auto"/>
            <w:bottom w:val="none" w:sz="0" w:space="0" w:color="auto"/>
            <w:right w:val="none" w:sz="0" w:space="0" w:color="auto"/>
          </w:divBdr>
        </w:div>
        <w:div w:id="205869672">
          <w:marLeft w:val="0"/>
          <w:marRight w:val="0"/>
          <w:marTop w:val="0"/>
          <w:marBottom w:val="0"/>
          <w:divBdr>
            <w:top w:val="none" w:sz="0" w:space="0" w:color="auto"/>
            <w:left w:val="none" w:sz="0" w:space="0" w:color="auto"/>
            <w:bottom w:val="none" w:sz="0" w:space="0" w:color="auto"/>
            <w:right w:val="none" w:sz="0" w:space="0" w:color="auto"/>
          </w:divBdr>
        </w:div>
        <w:div w:id="658070974">
          <w:marLeft w:val="0"/>
          <w:marRight w:val="0"/>
          <w:marTop w:val="0"/>
          <w:marBottom w:val="0"/>
          <w:divBdr>
            <w:top w:val="none" w:sz="0" w:space="0" w:color="auto"/>
            <w:left w:val="none" w:sz="0" w:space="0" w:color="auto"/>
            <w:bottom w:val="none" w:sz="0" w:space="0" w:color="auto"/>
            <w:right w:val="none" w:sz="0" w:space="0" w:color="auto"/>
          </w:divBdr>
        </w:div>
        <w:div w:id="791483304">
          <w:marLeft w:val="0"/>
          <w:marRight w:val="0"/>
          <w:marTop w:val="0"/>
          <w:marBottom w:val="0"/>
          <w:divBdr>
            <w:top w:val="none" w:sz="0" w:space="0" w:color="auto"/>
            <w:left w:val="none" w:sz="0" w:space="0" w:color="auto"/>
            <w:bottom w:val="none" w:sz="0" w:space="0" w:color="auto"/>
            <w:right w:val="none" w:sz="0" w:space="0" w:color="auto"/>
          </w:divBdr>
        </w:div>
        <w:div w:id="902983131">
          <w:marLeft w:val="0"/>
          <w:marRight w:val="0"/>
          <w:marTop w:val="0"/>
          <w:marBottom w:val="0"/>
          <w:divBdr>
            <w:top w:val="none" w:sz="0" w:space="0" w:color="auto"/>
            <w:left w:val="none" w:sz="0" w:space="0" w:color="auto"/>
            <w:bottom w:val="none" w:sz="0" w:space="0" w:color="auto"/>
            <w:right w:val="none" w:sz="0" w:space="0" w:color="auto"/>
          </w:divBdr>
        </w:div>
        <w:div w:id="1226377303">
          <w:marLeft w:val="0"/>
          <w:marRight w:val="0"/>
          <w:marTop w:val="0"/>
          <w:marBottom w:val="0"/>
          <w:divBdr>
            <w:top w:val="none" w:sz="0" w:space="0" w:color="auto"/>
            <w:left w:val="none" w:sz="0" w:space="0" w:color="auto"/>
            <w:bottom w:val="none" w:sz="0" w:space="0" w:color="auto"/>
            <w:right w:val="none" w:sz="0" w:space="0" w:color="auto"/>
          </w:divBdr>
        </w:div>
        <w:div w:id="1604218696">
          <w:marLeft w:val="0"/>
          <w:marRight w:val="0"/>
          <w:marTop w:val="0"/>
          <w:marBottom w:val="0"/>
          <w:divBdr>
            <w:top w:val="none" w:sz="0" w:space="0" w:color="auto"/>
            <w:left w:val="none" w:sz="0" w:space="0" w:color="auto"/>
            <w:bottom w:val="none" w:sz="0" w:space="0" w:color="auto"/>
            <w:right w:val="none" w:sz="0" w:space="0" w:color="auto"/>
          </w:divBdr>
        </w:div>
        <w:div w:id="1871213532">
          <w:marLeft w:val="0"/>
          <w:marRight w:val="0"/>
          <w:marTop w:val="0"/>
          <w:marBottom w:val="0"/>
          <w:divBdr>
            <w:top w:val="none" w:sz="0" w:space="0" w:color="auto"/>
            <w:left w:val="none" w:sz="0" w:space="0" w:color="auto"/>
            <w:bottom w:val="none" w:sz="0" w:space="0" w:color="auto"/>
            <w:right w:val="none" w:sz="0" w:space="0" w:color="auto"/>
          </w:divBdr>
        </w:div>
        <w:div w:id="1886062603">
          <w:marLeft w:val="0"/>
          <w:marRight w:val="0"/>
          <w:marTop w:val="0"/>
          <w:marBottom w:val="0"/>
          <w:divBdr>
            <w:top w:val="none" w:sz="0" w:space="0" w:color="auto"/>
            <w:left w:val="none" w:sz="0" w:space="0" w:color="auto"/>
            <w:bottom w:val="none" w:sz="0" w:space="0" w:color="auto"/>
            <w:right w:val="none" w:sz="0" w:space="0" w:color="auto"/>
          </w:divBdr>
        </w:div>
      </w:divsChild>
    </w:div>
    <w:div w:id="66074696">
      <w:bodyDiv w:val="1"/>
      <w:marLeft w:val="0"/>
      <w:marRight w:val="0"/>
      <w:marTop w:val="0"/>
      <w:marBottom w:val="0"/>
      <w:divBdr>
        <w:top w:val="none" w:sz="0" w:space="0" w:color="auto"/>
        <w:left w:val="none" w:sz="0" w:space="0" w:color="auto"/>
        <w:bottom w:val="none" w:sz="0" w:space="0" w:color="auto"/>
        <w:right w:val="none" w:sz="0" w:space="0" w:color="auto"/>
      </w:divBdr>
    </w:div>
    <w:div w:id="75711328">
      <w:bodyDiv w:val="1"/>
      <w:marLeft w:val="0"/>
      <w:marRight w:val="0"/>
      <w:marTop w:val="0"/>
      <w:marBottom w:val="0"/>
      <w:divBdr>
        <w:top w:val="none" w:sz="0" w:space="0" w:color="auto"/>
        <w:left w:val="none" w:sz="0" w:space="0" w:color="auto"/>
        <w:bottom w:val="none" w:sz="0" w:space="0" w:color="auto"/>
        <w:right w:val="none" w:sz="0" w:space="0" w:color="auto"/>
      </w:divBdr>
    </w:div>
    <w:div w:id="156001811">
      <w:bodyDiv w:val="1"/>
      <w:marLeft w:val="0"/>
      <w:marRight w:val="0"/>
      <w:marTop w:val="0"/>
      <w:marBottom w:val="0"/>
      <w:divBdr>
        <w:top w:val="none" w:sz="0" w:space="0" w:color="auto"/>
        <w:left w:val="none" w:sz="0" w:space="0" w:color="auto"/>
        <w:bottom w:val="none" w:sz="0" w:space="0" w:color="auto"/>
        <w:right w:val="none" w:sz="0" w:space="0" w:color="auto"/>
      </w:divBdr>
    </w:div>
    <w:div w:id="162160101">
      <w:bodyDiv w:val="1"/>
      <w:marLeft w:val="0"/>
      <w:marRight w:val="0"/>
      <w:marTop w:val="0"/>
      <w:marBottom w:val="0"/>
      <w:divBdr>
        <w:top w:val="none" w:sz="0" w:space="0" w:color="auto"/>
        <w:left w:val="none" w:sz="0" w:space="0" w:color="auto"/>
        <w:bottom w:val="none" w:sz="0" w:space="0" w:color="auto"/>
        <w:right w:val="none" w:sz="0" w:space="0" w:color="auto"/>
      </w:divBdr>
    </w:div>
    <w:div w:id="208542982">
      <w:bodyDiv w:val="1"/>
      <w:marLeft w:val="0"/>
      <w:marRight w:val="0"/>
      <w:marTop w:val="0"/>
      <w:marBottom w:val="0"/>
      <w:divBdr>
        <w:top w:val="none" w:sz="0" w:space="0" w:color="auto"/>
        <w:left w:val="none" w:sz="0" w:space="0" w:color="auto"/>
        <w:bottom w:val="none" w:sz="0" w:space="0" w:color="auto"/>
        <w:right w:val="none" w:sz="0" w:space="0" w:color="auto"/>
      </w:divBdr>
    </w:div>
    <w:div w:id="215048773">
      <w:bodyDiv w:val="1"/>
      <w:marLeft w:val="0"/>
      <w:marRight w:val="0"/>
      <w:marTop w:val="0"/>
      <w:marBottom w:val="0"/>
      <w:divBdr>
        <w:top w:val="none" w:sz="0" w:space="0" w:color="auto"/>
        <w:left w:val="none" w:sz="0" w:space="0" w:color="auto"/>
        <w:bottom w:val="none" w:sz="0" w:space="0" w:color="auto"/>
        <w:right w:val="none" w:sz="0" w:space="0" w:color="auto"/>
      </w:divBdr>
    </w:div>
    <w:div w:id="223688046">
      <w:bodyDiv w:val="1"/>
      <w:marLeft w:val="0"/>
      <w:marRight w:val="0"/>
      <w:marTop w:val="0"/>
      <w:marBottom w:val="0"/>
      <w:divBdr>
        <w:top w:val="none" w:sz="0" w:space="0" w:color="auto"/>
        <w:left w:val="none" w:sz="0" w:space="0" w:color="auto"/>
        <w:bottom w:val="none" w:sz="0" w:space="0" w:color="auto"/>
        <w:right w:val="none" w:sz="0" w:space="0" w:color="auto"/>
      </w:divBdr>
    </w:div>
    <w:div w:id="246038887">
      <w:bodyDiv w:val="1"/>
      <w:marLeft w:val="0"/>
      <w:marRight w:val="0"/>
      <w:marTop w:val="0"/>
      <w:marBottom w:val="0"/>
      <w:divBdr>
        <w:top w:val="none" w:sz="0" w:space="0" w:color="auto"/>
        <w:left w:val="none" w:sz="0" w:space="0" w:color="auto"/>
        <w:bottom w:val="none" w:sz="0" w:space="0" w:color="auto"/>
        <w:right w:val="none" w:sz="0" w:space="0" w:color="auto"/>
      </w:divBdr>
    </w:div>
    <w:div w:id="264389866">
      <w:bodyDiv w:val="1"/>
      <w:marLeft w:val="0"/>
      <w:marRight w:val="0"/>
      <w:marTop w:val="0"/>
      <w:marBottom w:val="0"/>
      <w:divBdr>
        <w:top w:val="none" w:sz="0" w:space="0" w:color="auto"/>
        <w:left w:val="none" w:sz="0" w:space="0" w:color="auto"/>
        <w:bottom w:val="none" w:sz="0" w:space="0" w:color="auto"/>
        <w:right w:val="none" w:sz="0" w:space="0" w:color="auto"/>
      </w:divBdr>
      <w:divsChild>
        <w:div w:id="325477020">
          <w:marLeft w:val="0"/>
          <w:marRight w:val="0"/>
          <w:marTop w:val="0"/>
          <w:marBottom w:val="0"/>
          <w:divBdr>
            <w:top w:val="none" w:sz="0" w:space="0" w:color="auto"/>
            <w:left w:val="none" w:sz="0" w:space="0" w:color="auto"/>
            <w:bottom w:val="none" w:sz="0" w:space="0" w:color="auto"/>
            <w:right w:val="none" w:sz="0" w:space="0" w:color="auto"/>
          </w:divBdr>
        </w:div>
        <w:div w:id="539830162">
          <w:marLeft w:val="0"/>
          <w:marRight w:val="0"/>
          <w:marTop w:val="0"/>
          <w:marBottom w:val="0"/>
          <w:divBdr>
            <w:top w:val="none" w:sz="0" w:space="0" w:color="auto"/>
            <w:left w:val="none" w:sz="0" w:space="0" w:color="auto"/>
            <w:bottom w:val="none" w:sz="0" w:space="0" w:color="auto"/>
            <w:right w:val="none" w:sz="0" w:space="0" w:color="auto"/>
          </w:divBdr>
        </w:div>
        <w:div w:id="582758271">
          <w:marLeft w:val="0"/>
          <w:marRight w:val="0"/>
          <w:marTop w:val="0"/>
          <w:marBottom w:val="0"/>
          <w:divBdr>
            <w:top w:val="none" w:sz="0" w:space="0" w:color="auto"/>
            <w:left w:val="none" w:sz="0" w:space="0" w:color="auto"/>
            <w:bottom w:val="none" w:sz="0" w:space="0" w:color="auto"/>
            <w:right w:val="none" w:sz="0" w:space="0" w:color="auto"/>
          </w:divBdr>
        </w:div>
        <w:div w:id="791561414">
          <w:marLeft w:val="0"/>
          <w:marRight w:val="0"/>
          <w:marTop w:val="0"/>
          <w:marBottom w:val="0"/>
          <w:divBdr>
            <w:top w:val="none" w:sz="0" w:space="0" w:color="auto"/>
            <w:left w:val="none" w:sz="0" w:space="0" w:color="auto"/>
            <w:bottom w:val="none" w:sz="0" w:space="0" w:color="auto"/>
            <w:right w:val="none" w:sz="0" w:space="0" w:color="auto"/>
          </w:divBdr>
        </w:div>
        <w:div w:id="830874428">
          <w:marLeft w:val="0"/>
          <w:marRight w:val="0"/>
          <w:marTop w:val="0"/>
          <w:marBottom w:val="0"/>
          <w:divBdr>
            <w:top w:val="none" w:sz="0" w:space="0" w:color="auto"/>
            <w:left w:val="none" w:sz="0" w:space="0" w:color="auto"/>
            <w:bottom w:val="none" w:sz="0" w:space="0" w:color="auto"/>
            <w:right w:val="none" w:sz="0" w:space="0" w:color="auto"/>
          </w:divBdr>
        </w:div>
        <w:div w:id="848913457">
          <w:marLeft w:val="0"/>
          <w:marRight w:val="0"/>
          <w:marTop w:val="0"/>
          <w:marBottom w:val="0"/>
          <w:divBdr>
            <w:top w:val="none" w:sz="0" w:space="0" w:color="auto"/>
            <w:left w:val="none" w:sz="0" w:space="0" w:color="auto"/>
            <w:bottom w:val="none" w:sz="0" w:space="0" w:color="auto"/>
            <w:right w:val="none" w:sz="0" w:space="0" w:color="auto"/>
          </w:divBdr>
        </w:div>
        <w:div w:id="918175998">
          <w:marLeft w:val="0"/>
          <w:marRight w:val="0"/>
          <w:marTop w:val="0"/>
          <w:marBottom w:val="0"/>
          <w:divBdr>
            <w:top w:val="none" w:sz="0" w:space="0" w:color="auto"/>
            <w:left w:val="none" w:sz="0" w:space="0" w:color="auto"/>
            <w:bottom w:val="none" w:sz="0" w:space="0" w:color="auto"/>
            <w:right w:val="none" w:sz="0" w:space="0" w:color="auto"/>
          </w:divBdr>
        </w:div>
        <w:div w:id="1028681894">
          <w:marLeft w:val="0"/>
          <w:marRight w:val="0"/>
          <w:marTop w:val="0"/>
          <w:marBottom w:val="0"/>
          <w:divBdr>
            <w:top w:val="none" w:sz="0" w:space="0" w:color="auto"/>
            <w:left w:val="none" w:sz="0" w:space="0" w:color="auto"/>
            <w:bottom w:val="none" w:sz="0" w:space="0" w:color="auto"/>
            <w:right w:val="none" w:sz="0" w:space="0" w:color="auto"/>
          </w:divBdr>
        </w:div>
        <w:div w:id="1030960088">
          <w:marLeft w:val="0"/>
          <w:marRight w:val="0"/>
          <w:marTop w:val="0"/>
          <w:marBottom w:val="0"/>
          <w:divBdr>
            <w:top w:val="none" w:sz="0" w:space="0" w:color="auto"/>
            <w:left w:val="none" w:sz="0" w:space="0" w:color="auto"/>
            <w:bottom w:val="none" w:sz="0" w:space="0" w:color="auto"/>
            <w:right w:val="none" w:sz="0" w:space="0" w:color="auto"/>
          </w:divBdr>
        </w:div>
        <w:div w:id="1050692444">
          <w:marLeft w:val="0"/>
          <w:marRight w:val="0"/>
          <w:marTop w:val="0"/>
          <w:marBottom w:val="0"/>
          <w:divBdr>
            <w:top w:val="none" w:sz="0" w:space="0" w:color="auto"/>
            <w:left w:val="none" w:sz="0" w:space="0" w:color="auto"/>
            <w:bottom w:val="none" w:sz="0" w:space="0" w:color="auto"/>
            <w:right w:val="none" w:sz="0" w:space="0" w:color="auto"/>
          </w:divBdr>
        </w:div>
        <w:div w:id="1054231455">
          <w:marLeft w:val="0"/>
          <w:marRight w:val="0"/>
          <w:marTop w:val="0"/>
          <w:marBottom w:val="0"/>
          <w:divBdr>
            <w:top w:val="none" w:sz="0" w:space="0" w:color="auto"/>
            <w:left w:val="none" w:sz="0" w:space="0" w:color="auto"/>
            <w:bottom w:val="none" w:sz="0" w:space="0" w:color="auto"/>
            <w:right w:val="none" w:sz="0" w:space="0" w:color="auto"/>
          </w:divBdr>
        </w:div>
        <w:div w:id="1061753178">
          <w:marLeft w:val="0"/>
          <w:marRight w:val="0"/>
          <w:marTop w:val="0"/>
          <w:marBottom w:val="0"/>
          <w:divBdr>
            <w:top w:val="none" w:sz="0" w:space="0" w:color="auto"/>
            <w:left w:val="none" w:sz="0" w:space="0" w:color="auto"/>
            <w:bottom w:val="none" w:sz="0" w:space="0" w:color="auto"/>
            <w:right w:val="none" w:sz="0" w:space="0" w:color="auto"/>
          </w:divBdr>
        </w:div>
        <w:div w:id="1098254375">
          <w:marLeft w:val="0"/>
          <w:marRight w:val="0"/>
          <w:marTop w:val="0"/>
          <w:marBottom w:val="0"/>
          <w:divBdr>
            <w:top w:val="none" w:sz="0" w:space="0" w:color="auto"/>
            <w:left w:val="none" w:sz="0" w:space="0" w:color="auto"/>
            <w:bottom w:val="none" w:sz="0" w:space="0" w:color="auto"/>
            <w:right w:val="none" w:sz="0" w:space="0" w:color="auto"/>
          </w:divBdr>
        </w:div>
        <w:div w:id="1267928550">
          <w:marLeft w:val="0"/>
          <w:marRight w:val="0"/>
          <w:marTop w:val="0"/>
          <w:marBottom w:val="0"/>
          <w:divBdr>
            <w:top w:val="none" w:sz="0" w:space="0" w:color="auto"/>
            <w:left w:val="none" w:sz="0" w:space="0" w:color="auto"/>
            <w:bottom w:val="none" w:sz="0" w:space="0" w:color="auto"/>
            <w:right w:val="none" w:sz="0" w:space="0" w:color="auto"/>
          </w:divBdr>
        </w:div>
        <w:div w:id="1337657356">
          <w:marLeft w:val="0"/>
          <w:marRight w:val="0"/>
          <w:marTop w:val="0"/>
          <w:marBottom w:val="0"/>
          <w:divBdr>
            <w:top w:val="none" w:sz="0" w:space="0" w:color="auto"/>
            <w:left w:val="none" w:sz="0" w:space="0" w:color="auto"/>
            <w:bottom w:val="none" w:sz="0" w:space="0" w:color="auto"/>
            <w:right w:val="none" w:sz="0" w:space="0" w:color="auto"/>
          </w:divBdr>
        </w:div>
        <w:div w:id="1364671307">
          <w:marLeft w:val="0"/>
          <w:marRight w:val="0"/>
          <w:marTop w:val="0"/>
          <w:marBottom w:val="0"/>
          <w:divBdr>
            <w:top w:val="none" w:sz="0" w:space="0" w:color="auto"/>
            <w:left w:val="none" w:sz="0" w:space="0" w:color="auto"/>
            <w:bottom w:val="none" w:sz="0" w:space="0" w:color="auto"/>
            <w:right w:val="none" w:sz="0" w:space="0" w:color="auto"/>
          </w:divBdr>
        </w:div>
        <w:div w:id="1579552546">
          <w:marLeft w:val="0"/>
          <w:marRight w:val="0"/>
          <w:marTop w:val="0"/>
          <w:marBottom w:val="0"/>
          <w:divBdr>
            <w:top w:val="none" w:sz="0" w:space="0" w:color="auto"/>
            <w:left w:val="none" w:sz="0" w:space="0" w:color="auto"/>
            <w:bottom w:val="none" w:sz="0" w:space="0" w:color="auto"/>
            <w:right w:val="none" w:sz="0" w:space="0" w:color="auto"/>
          </w:divBdr>
        </w:div>
        <w:div w:id="1895266999">
          <w:marLeft w:val="0"/>
          <w:marRight w:val="0"/>
          <w:marTop w:val="0"/>
          <w:marBottom w:val="0"/>
          <w:divBdr>
            <w:top w:val="none" w:sz="0" w:space="0" w:color="auto"/>
            <w:left w:val="none" w:sz="0" w:space="0" w:color="auto"/>
            <w:bottom w:val="none" w:sz="0" w:space="0" w:color="auto"/>
            <w:right w:val="none" w:sz="0" w:space="0" w:color="auto"/>
          </w:divBdr>
        </w:div>
        <w:div w:id="1955943128">
          <w:marLeft w:val="0"/>
          <w:marRight w:val="0"/>
          <w:marTop w:val="0"/>
          <w:marBottom w:val="0"/>
          <w:divBdr>
            <w:top w:val="none" w:sz="0" w:space="0" w:color="auto"/>
            <w:left w:val="none" w:sz="0" w:space="0" w:color="auto"/>
            <w:bottom w:val="none" w:sz="0" w:space="0" w:color="auto"/>
            <w:right w:val="none" w:sz="0" w:space="0" w:color="auto"/>
          </w:divBdr>
        </w:div>
        <w:div w:id="1960993951">
          <w:marLeft w:val="0"/>
          <w:marRight w:val="0"/>
          <w:marTop w:val="0"/>
          <w:marBottom w:val="0"/>
          <w:divBdr>
            <w:top w:val="none" w:sz="0" w:space="0" w:color="auto"/>
            <w:left w:val="none" w:sz="0" w:space="0" w:color="auto"/>
            <w:bottom w:val="none" w:sz="0" w:space="0" w:color="auto"/>
            <w:right w:val="none" w:sz="0" w:space="0" w:color="auto"/>
          </w:divBdr>
        </w:div>
      </w:divsChild>
    </w:div>
    <w:div w:id="330832643">
      <w:bodyDiv w:val="1"/>
      <w:marLeft w:val="0"/>
      <w:marRight w:val="0"/>
      <w:marTop w:val="0"/>
      <w:marBottom w:val="0"/>
      <w:divBdr>
        <w:top w:val="none" w:sz="0" w:space="0" w:color="auto"/>
        <w:left w:val="none" w:sz="0" w:space="0" w:color="auto"/>
        <w:bottom w:val="none" w:sz="0" w:space="0" w:color="auto"/>
        <w:right w:val="none" w:sz="0" w:space="0" w:color="auto"/>
      </w:divBdr>
    </w:div>
    <w:div w:id="373122625">
      <w:bodyDiv w:val="1"/>
      <w:marLeft w:val="0"/>
      <w:marRight w:val="0"/>
      <w:marTop w:val="0"/>
      <w:marBottom w:val="0"/>
      <w:divBdr>
        <w:top w:val="none" w:sz="0" w:space="0" w:color="auto"/>
        <w:left w:val="none" w:sz="0" w:space="0" w:color="auto"/>
        <w:bottom w:val="none" w:sz="0" w:space="0" w:color="auto"/>
        <w:right w:val="none" w:sz="0" w:space="0" w:color="auto"/>
      </w:divBdr>
    </w:div>
    <w:div w:id="433521586">
      <w:bodyDiv w:val="1"/>
      <w:marLeft w:val="0"/>
      <w:marRight w:val="0"/>
      <w:marTop w:val="0"/>
      <w:marBottom w:val="0"/>
      <w:divBdr>
        <w:top w:val="none" w:sz="0" w:space="0" w:color="auto"/>
        <w:left w:val="none" w:sz="0" w:space="0" w:color="auto"/>
        <w:bottom w:val="none" w:sz="0" w:space="0" w:color="auto"/>
        <w:right w:val="none" w:sz="0" w:space="0" w:color="auto"/>
      </w:divBdr>
    </w:div>
    <w:div w:id="545603474">
      <w:bodyDiv w:val="1"/>
      <w:marLeft w:val="0"/>
      <w:marRight w:val="0"/>
      <w:marTop w:val="0"/>
      <w:marBottom w:val="0"/>
      <w:divBdr>
        <w:top w:val="none" w:sz="0" w:space="0" w:color="auto"/>
        <w:left w:val="none" w:sz="0" w:space="0" w:color="auto"/>
        <w:bottom w:val="none" w:sz="0" w:space="0" w:color="auto"/>
        <w:right w:val="none" w:sz="0" w:space="0" w:color="auto"/>
      </w:divBdr>
    </w:div>
    <w:div w:id="548078396">
      <w:bodyDiv w:val="1"/>
      <w:marLeft w:val="0"/>
      <w:marRight w:val="0"/>
      <w:marTop w:val="0"/>
      <w:marBottom w:val="0"/>
      <w:divBdr>
        <w:top w:val="none" w:sz="0" w:space="0" w:color="auto"/>
        <w:left w:val="none" w:sz="0" w:space="0" w:color="auto"/>
        <w:bottom w:val="none" w:sz="0" w:space="0" w:color="auto"/>
        <w:right w:val="none" w:sz="0" w:space="0" w:color="auto"/>
      </w:divBdr>
    </w:div>
    <w:div w:id="571694196">
      <w:bodyDiv w:val="1"/>
      <w:marLeft w:val="0"/>
      <w:marRight w:val="0"/>
      <w:marTop w:val="0"/>
      <w:marBottom w:val="0"/>
      <w:divBdr>
        <w:top w:val="none" w:sz="0" w:space="0" w:color="auto"/>
        <w:left w:val="none" w:sz="0" w:space="0" w:color="auto"/>
        <w:bottom w:val="none" w:sz="0" w:space="0" w:color="auto"/>
        <w:right w:val="none" w:sz="0" w:space="0" w:color="auto"/>
      </w:divBdr>
    </w:div>
    <w:div w:id="608585229">
      <w:bodyDiv w:val="1"/>
      <w:marLeft w:val="0"/>
      <w:marRight w:val="0"/>
      <w:marTop w:val="0"/>
      <w:marBottom w:val="0"/>
      <w:divBdr>
        <w:top w:val="none" w:sz="0" w:space="0" w:color="auto"/>
        <w:left w:val="none" w:sz="0" w:space="0" w:color="auto"/>
        <w:bottom w:val="none" w:sz="0" w:space="0" w:color="auto"/>
        <w:right w:val="none" w:sz="0" w:space="0" w:color="auto"/>
      </w:divBdr>
    </w:div>
    <w:div w:id="665598654">
      <w:bodyDiv w:val="1"/>
      <w:marLeft w:val="0"/>
      <w:marRight w:val="0"/>
      <w:marTop w:val="0"/>
      <w:marBottom w:val="0"/>
      <w:divBdr>
        <w:top w:val="none" w:sz="0" w:space="0" w:color="auto"/>
        <w:left w:val="none" w:sz="0" w:space="0" w:color="auto"/>
        <w:bottom w:val="none" w:sz="0" w:space="0" w:color="auto"/>
        <w:right w:val="none" w:sz="0" w:space="0" w:color="auto"/>
      </w:divBdr>
    </w:div>
    <w:div w:id="712579606">
      <w:bodyDiv w:val="1"/>
      <w:marLeft w:val="0"/>
      <w:marRight w:val="0"/>
      <w:marTop w:val="0"/>
      <w:marBottom w:val="0"/>
      <w:divBdr>
        <w:top w:val="none" w:sz="0" w:space="0" w:color="auto"/>
        <w:left w:val="none" w:sz="0" w:space="0" w:color="auto"/>
        <w:bottom w:val="none" w:sz="0" w:space="0" w:color="auto"/>
        <w:right w:val="none" w:sz="0" w:space="0" w:color="auto"/>
      </w:divBdr>
    </w:div>
    <w:div w:id="715928893">
      <w:bodyDiv w:val="1"/>
      <w:marLeft w:val="0"/>
      <w:marRight w:val="0"/>
      <w:marTop w:val="0"/>
      <w:marBottom w:val="0"/>
      <w:divBdr>
        <w:top w:val="none" w:sz="0" w:space="0" w:color="auto"/>
        <w:left w:val="none" w:sz="0" w:space="0" w:color="auto"/>
        <w:bottom w:val="none" w:sz="0" w:space="0" w:color="auto"/>
        <w:right w:val="none" w:sz="0" w:space="0" w:color="auto"/>
      </w:divBdr>
    </w:div>
    <w:div w:id="718625665">
      <w:bodyDiv w:val="1"/>
      <w:marLeft w:val="0"/>
      <w:marRight w:val="0"/>
      <w:marTop w:val="0"/>
      <w:marBottom w:val="0"/>
      <w:divBdr>
        <w:top w:val="none" w:sz="0" w:space="0" w:color="auto"/>
        <w:left w:val="none" w:sz="0" w:space="0" w:color="auto"/>
        <w:bottom w:val="none" w:sz="0" w:space="0" w:color="auto"/>
        <w:right w:val="none" w:sz="0" w:space="0" w:color="auto"/>
      </w:divBdr>
    </w:div>
    <w:div w:id="778795691">
      <w:bodyDiv w:val="1"/>
      <w:marLeft w:val="0"/>
      <w:marRight w:val="0"/>
      <w:marTop w:val="0"/>
      <w:marBottom w:val="0"/>
      <w:divBdr>
        <w:top w:val="none" w:sz="0" w:space="0" w:color="auto"/>
        <w:left w:val="none" w:sz="0" w:space="0" w:color="auto"/>
        <w:bottom w:val="none" w:sz="0" w:space="0" w:color="auto"/>
        <w:right w:val="none" w:sz="0" w:space="0" w:color="auto"/>
      </w:divBdr>
    </w:div>
    <w:div w:id="788821847">
      <w:bodyDiv w:val="1"/>
      <w:marLeft w:val="0"/>
      <w:marRight w:val="0"/>
      <w:marTop w:val="0"/>
      <w:marBottom w:val="0"/>
      <w:divBdr>
        <w:top w:val="none" w:sz="0" w:space="0" w:color="auto"/>
        <w:left w:val="none" w:sz="0" w:space="0" w:color="auto"/>
        <w:bottom w:val="none" w:sz="0" w:space="0" w:color="auto"/>
        <w:right w:val="none" w:sz="0" w:space="0" w:color="auto"/>
      </w:divBdr>
      <w:divsChild>
        <w:div w:id="617956735">
          <w:marLeft w:val="1541"/>
          <w:marRight w:val="0"/>
          <w:marTop w:val="0"/>
          <w:marBottom w:val="0"/>
          <w:divBdr>
            <w:top w:val="none" w:sz="0" w:space="0" w:color="auto"/>
            <w:left w:val="none" w:sz="0" w:space="0" w:color="auto"/>
            <w:bottom w:val="none" w:sz="0" w:space="0" w:color="auto"/>
            <w:right w:val="none" w:sz="0" w:space="0" w:color="auto"/>
          </w:divBdr>
        </w:div>
        <w:div w:id="1297182986">
          <w:marLeft w:val="922"/>
          <w:marRight w:val="0"/>
          <w:marTop w:val="0"/>
          <w:marBottom w:val="0"/>
          <w:divBdr>
            <w:top w:val="none" w:sz="0" w:space="0" w:color="auto"/>
            <w:left w:val="none" w:sz="0" w:space="0" w:color="auto"/>
            <w:bottom w:val="none" w:sz="0" w:space="0" w:color="auto"/>
            <w:right w:val="none" w:sz="0" w:space="0" w:color="auto"/>
          </w:divBdr>
        </w:div>
        <w:div w:id="1774399952">
          <w:marLeft w:val="1541"/>
          <w:marRight w:val="0"/>
          <w:marTop w:val="0"/>
          <w:marBottom w:val="0"/>
          <w:divBdr>
            <w:top w:val="none" w:sz="0" w:space="0" w:color="auto"/>
            <w:left w:val="none" w:sz="0" w:space="0" w:color="auto"/>
            <w:bottom w:val="none" w:sz="0" w:space="0" w:color="auto"/>
            <w:right w:val="none" w:sz="0" w:space="0" w:color="auto"/>
          </w:divBdr>
        </w:div>
      </w:divsChild>
    </w:div>
    <w:div w:id="794904384">
      <w:bodyDiv w:val="1"/>
      <w:marLeft w:val="0"/>
      <w:marRight w:val="0"/>
      <w:marTop w:val="0"/>
      <w:marBottom w:val="0"/>
      <w:divBdr>
        <w:top w:val="none" w:sz="0" w:space="0" w:color="auto"/>
        <w:left w:val="none" w:sz="0" w:space="0" w:color="auto"/>
        <w:bottom w:val="none" w:sz="0" w:space="0" w:color="auto"/>
        <w:right w:val="none" w:sz="0" w:space="0" w:color="auto"/>
      </w:divBdr>
    </w:div>
    <w:div w:id="908616952">
      <w:bodyDiv w:val="1"/>
      <w:marLeft w:val="0"/>
      <w:marRight w:val="0"/>
      <w:marTop w:val="0"/>
      <w:marBottom w:val="0"/>
      <w:divBdr>
        <w:top w:val="none" w:sz="0" w:space="0" w:color="auto"/>
        <w:left w:val="none" w:sz="0" w:space="0" w:color="auto"/>
        <w:bottom w:val="none" w:sz="0" w:space="0" w:color="auto"/>
        <w:right w:val="none" w:sz="0" w:space="0" w:color="auto"/>
      </w:divBdr>
    </w:div>
    <w:div w:id="910384816">
      <w:bodyDiv w:val="1"/>
      <w:marLeft w:val="0"/>
      <w:marRight w:val="0"/>
      <w:marTop w:val="0"/>
      <w:marBottom w:val="0"/>
      <w:divBdr>
        <w:top w:val="none" w:sz="0" w:space="0" w:color="auto"/>
        <w:left w:val="none" w:sz="0" w:space="0" w:color="auto"/>
        <w:bottom w:val="none" w:sz="0" w:space="0" w:color="auto"/>
        <w:right w:val="none" w:sz="0" w:space="0" w:color="auto"/>
      </w:divBdr>
    </w:div>
    <w:div w:id="911474802">
      <w:bodyDiv w:val="1"/>
      <w:marLeft w:val="0"/>
      <w:marRight w:val="0"/>
      <w:marTop w:val="0"/>
      <w:marBottom w:val="0"/>
      <w:divBdr>
        <w:top w:val="none" w:sz="0" w:space="0" w:color="auto"/>
        <w:left w:val="none" w:sz="0" w:space="0" w:color="auto"/>
        <w:bottom w:val="none" w:sz="0" w:space="0" w:color="auto"/>
        <w:right w:val="none" w:sz="0" w:space="0" w:color="auto"/>
      </w:divBdr>
    </w:div>
    <w:div w:id="925575246">
      <w:bodyDiv w:val="1"/>
      <w:marLeft w:val="0"/>
      <w:marRight w:val="0"/>
      <w:marTop w:val="0"/>
      <w:marBottom w:val="0"/>
      <w:divBdr>
        <w:top w:val="none" w:sz="0" w:space="0" w:color="auto"/>
        <w:left w:val="none" w:sz="0" w:space="0" w:color="auto"/>
        <w:bottom w:val="none" w:sz="0" w:space="0" w:color="auto"/>
        <w:right w:val="none" w:sz="0" w:space="0" w:color="auto"/>
      </w:divBdr>
    </w:div>
    <w:div w:id="965043530">
      <w:bodyDiv w:val="1"/>
      <w:marLeft w:val="0"/>
      <w:marRight w:val="0"/>
      <w:marTop w:val="0"/>
      <w:marBottom w:val="0"/>
      <w:divBdr>
        <w:top w:val="none" w:sz="0" w:space="0" w:color="auto"/>
        <w:left w:val="none" w:sz="0" w:space="0" w:color="auto"/>
        <w:bottom w:val="none" w:sz="0" w:space="0" w:color="auto"/>
        <w:right w:val="none" w:sz="0" w:space="0" w:color="auto"/>
      </w:divBdr>
    </w:div>
    <w:div w:id="966159282">
      <w:bodyDiv w:val="1"/>
      <w:marLeft w:val="0"/>
      <w:marRight w:val="0"/>
      <w:marTop w:val="0"/>
      <w:marBottom w:val="0"/>
      <w:divBdr>
        <w:top w:val="none" w:sz="0" w:space="0" w:color="auto"/>
        <w:left w:val="none" w:sz="0" w:space="0" w:color="auto"/>
        <w:bottom w:val="none" w:sz="0" w:space="0" w:color="auto"/>
        <w:right w:val="none" w:sz="0" w:space="0" w:color="auto"/>
      </w:divBdr>
      <w:divsChild>
        <w:div w:id="437484411">
          <w:marLeft w:val="0"/>
          <w:marRight w:val="0"/>
          <w:marTop w:val="0"/>
          <w:marBottom w:val="0"/>
          <w:divBdr>
            <w:top w:val="none" w:sz="0" w:space="0" w:color="auto"/>
            <w:left w:val="none" w:sz="0" w:space="0" w:color="auto"/>
            <w:bottom w:val="none" w:sz="0" w:space="0" w:color="auto"/>
            <w:right w:val="none" w:sz="0" w:space="0" w:color="auto"/>
          </w:divBdr>
          <w:divsChild>
            <w:div w:id="1375499686">
              <w:marLeft w:val="0"/>
              <w:marRight w:val="0"/>
              <w:marTop w:val="0"/>
              <w:marBottom w:val="0"/>
              <w:divBdr>
                <w:top w:val="none" w:sz="0" w:space="0" w:color="auto"/>
                <w:left w:val="none" w:sz="0" w:space="0" w:color="auto"/>
                <w:bottom w:val="none" w:sz="0" w:space="0" w:color="auto"/>
                <w:right w:val="none" w:sz="0" w:space="0" w:color="auto"/>
              </w:divBdr>
              <w:divsChild>
                <w:div w:id="2092191044">
                  <w:marLeft w:val="0"/>
                  <w:marRight w:val="0"/>
                  <w:marTop w:val="0"/>
                  <w:marBottom w:val="0"/>
                  <w:divBdr>
                    <w:top w:val="none" w:sz="0" w:space="0" w:color="auto"/>
                    <w:left w:val="none" w:sz="0" w:space="0" w:color="auto"/>
                    <w:bottom w:val="none" w:sz="0" w:space="0" w:color="auto"/>
                    <w:right w:val="none" w:sz="0" w:space="0" w:color="auto"/>
                  </w:divBdr>
                  <w:divsChild>
                    <w:div w:id="1205944241">
                      <w:marLeft w:val="0"/>
                      <w:marRight w:val="303"/>
                      <w:marTop w:val="0"/>
                      <w:marBottom w:val="0"/>
                      <w:divBdr>
                        <w:top w:val="single" w:sz="36" w:space="0" w:color="61A2B4"/>
                        <w:left w:val="none" w:sz="0" w:space="0" w:color="auto"/>
                        <w:bottom w:val="none" w:sz="0" w:space="0" w:color="auto"/>
                        <w:right w:val="none" w:sz="0" w:space="0" w:color="auto"/>
                      </w:divBdr>
                      <w:divsChild>
                        <w:div w:id="1833450916">
                          <w:marLeft w:val="0"/>
                          <w:marRight w:val="303"/>
                          <w:marTop w:val="0"/>
                          <w:marBottom w:val="0"/>
                          <w:divBdr>
                            <w:top w:val="single" w:sz="36" w:space="0" w:color="61A2B4"/>
                            <w:left w:val="none" w:sz="0" w:space="0" w:color="auto"/>
                            <w:bottom w:val="none" w:sz="0" w:space="0" w:color="auto"/>
                            <w:right w:val="none" w:sz="0" w:space="0" w:color="auto"/>
                          </w:divBdr>
                          <w:divsChild>
                            <w:div w:id="3169162">
                              <w:marLeft w:val="0"/>
                              <w:marRight w:val="303"/>
                              <w:marTop w:val="0"/>
                              <w:marBottom w:val="0"/>
                              <w:divBdr>
                                <w:top w:val="single" w:sz="36" w:space="0" w:color="61A2B4"/>
                                <w:left w:val="none" w:sz="0" w:space="0" w:color="auto"/>
                                <w:bottom w:val="none" w:sz="0" w:space="0" w:color="auto"/>
                                <w:right w:val="none" w:sz="0" w:space="0" w:color="auto"/>
                              </w:divBdr>
                              <w:divsChild>
                                <w:div w:id="169642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267669">
      <w:bodyDiv w:val="1"/>
      <w:marLeft w:val="0"/>
      <w:marRight w:val="0"/>
      <w:marTop w:val="0"/>
      <w:marBottom w:val="0"/>
      <w:divBdr>
        <w:top w:val="none" w:sz="0" w:space="0" w:color="auto"/>
        <w:left w:val="none" w:sz="0" w:space="0" w:color="auto"/>
        <w:bottom w:val="none" w:sz="0" w:space="0" w:color="auto"/>
        <w:right w:val="none" w:sz="0" w:space="0" w:color="auto"/>
      </w:divBdr>
      <w:divsChild>
        <w:div w:id="276956113">
          <w:marLeft w:val="0"/>
          <w:marRight w:val="0"/>
          <w:marTop w:val="0"/>
          <w:marBottom w:val="0"/>
          <w:divBdr>
            <w:top w:val="none" w:sz="0" w:space="0" w:color="auto"/>
            <w:left w:val="none" w:sz="0" w:space="0" w:color="auto"/>
            <w:bottom w:val="none" w:sz="0" w:space="0" w:color="auto"/>
            <w:right w:val="none" w:sz="0" w:space="0" w:color="auto"/>
          </w:divBdr>
        </w:div>
        <w:div w:id="607539981">
          <w:marLeft w:val="0"/>
          <w:marRight w:val="0"/>
          <w:marTop w:val="0"/>
          <w:marBottom w:val="0"/>
          <w:divBdr>
            <w:top w:val="none" w:sz="0" w:space="0" w:color="auto"/>
            <w:left w:val="none" w:sz="0" w:space="0" w:color="auto"/>
            <w:bottom w:val="none" w:sz="0" w:space="0" w:color="auto"/>
            <w:right w:val="none" w:sz="0" w:space="0" w:color="auto"/>
          </w:divBdr>
        </w:div>
        <w:div w:id="994802025">
          <w:marLeft w:val="0"/>
          <w:marRight w:val="0"/>
          <w:marTop w:val="0"/>
          <w:marBottom w:val="0"/>
          <w:divBdr>
            <w:top w:val="none" w:sz="0" w:space="0" w:color="auto"/>
            <w:left w:val="none" w:sz="0" w:space="0" w:color="auto"/>
            <w:bottom w:val="none" w:sz="0" w:space="0" w:color="auto"/>
            <w:right w:val="none" w:sz="0" w:space="0" w:color="auto"/>
          </w:divBdr>
        </w:div>
        <w:div w:id="1148786634">
          <w:marLeft w:val="0"/>
          <w:marRight w:val="0"/>
          <w:marTop w:val="0"/>
          <w:marBottom w:val="0"/>
          <w:divBdr>
            <w:top w:val="none" w:sz="0" w:space="0" w:color="auto"/>
            <w:left w:val="none" w:sz="0" w:space="0" w:color="auto"/>
            <w:bottom w:val="none" w:sz="0" w:space="0" w:color="auto"/>
            <w:right w:val="none" w:sz="0" w:space="0" w:color="auto"/>
          </w:divBdr>
        </w:div>
        <w:div w:id="1167793663">
          <w:marLeft w:val="0"/>
          <w:marRight w:val="0"/>
          <w:marTop w:val="0"/>
          <w:marBottom w:val="0"/>
          <w:divBdr>
            <w:top w:val="none" w:sz="0" w:space="0" w:color="auto"/>
            <w:left w:val="none" w:sz="0" w:space="0" w:color="auto"/>
            <w:bottom w:val="none" w:sz="0" w:space="0" w:color="auto"/>
            <w:right w:val="none" w:sz="0" w:space="0" w:color="auto"/>
          </w:divBdr>
        </w:div>
        <w:div w:id="1549142930">
          <w:marLeft w:val="0"/>
          <w:marRight w:val="0"/>
          <w:marTop w:val="0"/>
          <w:marBottom w:val="0"/>
          <w:divBdr>
            <w:top w:val="none" w:sz="0" w:space="0" w:color="auto"/>
            <w:left w:val="none" w:sz="0" w:space="0" w:color="auto"/>
            <w:bottom w:val="none" w:sz="0" w:space="0" w:color="auto"/>
            <w:right w:val="none" w:sz="0" w:space="0" w:color="auto"/>
          </w:divBdr>
        </w:div>
        <w:div w:id="1622033372">
          <w:marLeft w:val="0"/>
          <w:marRight w:val="0"/>
          <w:marTop w:val="0"/>
          <w:marBottom w:val="0"/>
          <w:divBdr>
            <w:top w:val="none" w:sz="0" w:space="0" w:color="auto"/>
            <w:left w:val="none" w:sz="0" w:space="0" w:color="auto"/>
            <w:bottom w:val="none" w:sz="0" w:space="0" w:color="auto"/>
            <w:right w:val="none" w:sz="0" w:space="0" w:color="auto"/>
          </w:divBdr>
        </w:div>
        <w:div w:id="1677032435">
          <w:marLeft w:val="0"/>
          <w:marRight w:val="0"/>
          <w:marTop w:val="0"/>
          <w:marBottom w:val="0"/>
          <w:divBdr>
            <w:top w:val="none" w:sz="0" w:space="0" w:color="auto"/>
            <w:left w:val="none" w:sz="0" w:space="0" w:color="auto"/>
            <w:bottom w:val="none" w:sz="0" w:space="0" w:color="auto"/>
            <w:right w:val="none" w:sz="0" w:space="0" w:color="auto"/>
          </w:divBdr>
        </w:div>
        <w:div w:id="1837723483">
          <w:marLeft w:val="0"/>
          <w:marRight w:val="0"/>
          <w:marTop w:val="0"/>
          <w:marBottom w:val="0"/>
          <w:divBdr>
            <w:top w:val="none" w:sz="0" w:space="0" w:color="auto"/>
            <w:left w:val="none" w:sz="0" w:space="0" w:color="auto"/>
            <w:bottom w:val="none" w:sz="0" w:space="0" w:color="auto"/>
            <w:right w:val="none" w:sz="0" w:space="0" w:color="auto"/>
          </w:divBdr>
        </w:div>
        <w:div w:id="1911429724">
          <w:marLeft w:val="0"/>
          <w:marRight w:val="0"/>
          <w:marTop w:val="0"/>
          <w:marBottom w:val="0"/>
          <w:divBdr>
            <w:top w:val="none" w:sz="0" w:space="0" w:color="auto"/>
            <w:left w:val="none" w:sz="0" w:space="0" w:color="auto"/>
            <w:bottom w:val="none" w:sz="0" w:space="0" w:color="auto"/>
            <w:right w:val="none" w:sz="0" w:space="0" w:color="auto"/>
          </w:divBdr>
        </w:div>
      </w:divsChild>
    </w:div>
    <w:div w:id="1007252082">
      <w:bodyDiv w:val="1"/>
      <w:marLeft w:val="0"/>
      <w:marRight w:val="0"/>
      <w:marTop w:val="0"/>
      <w:marBottom w:val="0"/>
      <w:divBdr>
        <w:top w:val="none" w:sz="0" w:space="0" w:color="auto"/>
        <w:left w:val="none" w:sz="0" w:space="0" w:color="auto"/>
        <w:bottom w:val="none" w:sz="0" w:space="0" w:color="auto"/>
        <w:right w:val="none" w:sz="0" w:space="0" w:color="auto"/>
      </w:divBdr>
      <w:divsChild>
        <w:div w:id="9962132">
          <w:marLeft w:val="0"/>
          <w:marRight w:val="0"/>
          <w:marTop w:val="0"/>
          <w:marBottom w:val="0"/>
          <w:divBdr>
            <w:top w:val="none" w:sz="0" w:space="0" w:color="auto"/>
            <w:left w:val="none" w:sz="0" w:space="0" w:color="auto"/>
            <w:bottom w:val="none" w:sz="0" w:space="0" w:color="auto"/>
            <w:right w:val="none" w:sz="0" w:space="0" w:color="auto"/>
          </w:divBdr>
        </w:div>
        <w:div w:id="600190404">
          <w:marLeft w:val="0"/>
          <w:marRight w:val="0"/>
          <w:marTop w:val="0"/>
          <w:marBottom w:val="0"/>
          <w:divBdr>
            <w:top w:val="none" w:sz="0" w:space="0" w:color="auto"/>
            <w:left w:val="none" w:sz="0" w:space="0" w:color="auto"/>
            <w:bottom w:val="none" w:sz="0" w:space="0" w:color="auto"/>
            <w:right w:val="none" w:sz="0" w:space="0" w:color="auto"/>
          </w:divBdr>
        </w:div>
        <w:div w:id="653681017">
          <w:marLeft w:val="0"/>
          <w:marRight w:val="0"/>
          <w:marTop w:val="0"/>
          <w:marBottom w:val="0"/>
          <w:divBdr>
            <w:top w:val="none" w:sz="0" w:space="0" w:color="auto"/>
            <w:left w:val="none" w:sz="0" w:space="0" w:color="auto"/>
            <w:bottom w:val="none" w:sz="0" w:space="0" w:color="auto"/>
            <w:right w:val="none" w:sz="0" w:space="0" w:color="auto"/>
          </w:divBdr>
        </w:div>
        <w:div w:id="762729158">
          <w:marLeft w:val="0"/>
          <w:marRight w:val="0"/>
          <w:marTop w:val="0"/>
          <w:marBottom w:val="0"/>
          <w:divBdr>
            <w:top w:val="none" w:sz="0" w:space="0" w:color="auto"/>
            <w:left w:val="none" w:sz="0" w:space="0" w:color="auto"/>
            <w:bottom w:val="none" w:sz="0" w:space="0" w:color="auto"/>
            <w:right w:val="none" w:sz="0" w:space="0" w:color="auto"/>
          </w:divBdr>
        </w:div>
        <w:div w:id="1586960386">
          <w:marLeft w:val="0"/>
          <w:marRight w:val="0"/>
          <w:marTop w:val="0"/>
          <w:marBottom w:val="0"/>
          <w:divBdr>
            <w:top w:val="none" w:sz="0" w:space="0" w:color="auto"/>
            <w:left w:val="none" w:sz="0" w:space="0" w:color="auto"/>
            <w:bottom w:val="none" w:sz="0" w:space="0" w:color="auto"/>
            <w:right w:val="none" w:sz="0" w:space="0" w:color="auto"/>
          </w:divBdr>
        </w:div>
        <w:div w:id="1769502015">
          <w:marLeft w:val="0"/>
          <w:marRight w:val="0"/>
          <w:marTop w:val="0"/>
          <w:marBottom w:val="0"/>
          <w:divBdr>
            <w:top w:val="none" w:sz="0" w:space="0" w:color="auto"/>
            <w:left w:val="none" w:sz="0" w:space="0" w:color="auto"/>
            <w:bottom w:val="none" w:sz="0" w:space="0" w:color="auto"/>
            <w:right w:val="none" w:sz="0" w:space="0" w:color="auto"/>
          </w:divBdr>
        </w:div>
        <w:div w:id="2108035737">
          <w:marLeft w:val="0"/>
          <w:marRight w:val="0"/>
          <w:marTop w:val="0"/>
          <w:marBottom w:val="0"/>
          <w:divBdr>
            <w:top w:val="none" w:sz="0" w:space="0" w:color="auto"/>
            <w:left w:val="none" w:sz="0" w:space="0" w:color="auto"/>
            <w:bottom w:val="none" w:sz="0" w:space="0" w:color="auto"/>
            <w:right w:val="none" w:sz="0" w:space="0" w:color="auto"/>
          </w:divBdr>
        </w:div>
      </w:divsChild>
    </w:div>
    <w:div w:id="1007321047">
      <w:bodyDiv w:val="1"/>
      <w:marLeft w:val="0"/>
      <w:marRight w:val="0"/>
      <w:marTop w:val="0"/>
      <w:marBottom w:val="0"/>
      <w:divBdr>
        <w:top w:val="none" w:sz="0" w:space="0" w:color="auto"/>
        <w:left w:val="none" w:sz="0" w:space="0" w:color="auto"/>
        <w:bottom w:val="none" w:sz="0" w:space="0" w:color="auto"/>
        <w:right w:val="none" w:sz="0" w:space="0" w:color="auto"/>
      </w:divBdr>
    </w:div>
    <w:div w:id="1013412430">
      <w:bodyDiv w:val="1"/>
      <w:marLeft w:val="0"/>
      <w:marRight w:val="0"/>
      <w:marTop w:val="0"/>
      <w:marBottom w:val="0"/>
      <w:divBdr>
        <w:top w:val="none" w:sz="0" w:space="0" w:color="auto"/>
        <w:left w:val="none" w:sz="0" w:space="0" w:color="auto"/>
        <w:bottom w:val="none" w:sz="0" w:space="0" w:color="auto"/>
        <w:right w:val="none" w:sz="0" w:space="0" w:color="auto"/>
      </w:divBdr>
    </w:div>
    <w:div w:id="1031342755">
      <w:bodyDiv w:val="1"/>
      <w:marLeft w:val="0"/>
      <w:marRight w:val="0"/>
      <w:marTop w:val="0"/>
      <w:marBottom w:val="0"/>
      <w:divBdr>
        <w:top w:val="none" w:sz="0" w:space="0" w:color="auto"/>
        <w:left w:val="none" w:sz="0" w:space="0" w:color="auto"/>
        <w:bottom w:val="none" w:sz="0" w:space="0" w:color="auto"/>
        <w:right w:val="none" w:sz="0" w:space="0" w:color="auto"/>
      </w:divBdr>
    </w:div>
    <w:div w:id="1070468439">
      <w:bodyDiv w:val="1"/>
      <w:marLeft w:val="0"/>
      <w:marRight w:val="0"/>
      <w:marTop w:val="0"/>
      <w:marBottom w:val="0"/>
      <w:divBdr>
        <w:top w:val="none" w:sz="0" w:space="0" w:color="auto"/>
        <w:left w:val="none" w:sz="0" w:space="0" w:color="auto"/>
        <w:bottom w:val="none" w:sz="0" w:space="0" w:color="auto"/>
        <w:right w:val="none" w:sz="0" w:space="0" w:color="auto"/>
      </w:divBdr>
    </w:div>
    <w:div w:id="1090202780">
      <w:bodyDiv w:val="1"/>
      <w:marLeft w:val="0"/>
      <w:marRight w:val="0"/>
      <w:marTop w:val="0"/>
      <w:marBottom w:val="0"/>
      <w:divBdr>
        <w:top w:val="none" w:sz="0" w:space="0" w:color="auto"/>
        <w:left w:val="none" w:sz="0" w:space="0" w:color="auto"/>
        <w:bottom w:val="none" w:sz="0" w:space="0" w:color="auto"/>
        <w:right w:val="none" w:sz="0" w:space="0" w:color="auto"/>
      </w:divBdr>
      <w:divsChild>
        <w:div w:id="15278806">
          <w:marLeft w:val="0"/>
          <w:marRight w:val="0"/>
          <w:marTop w:val="0"/>
          <w:marBottom w:val="0"/>
          <w:divBdr>
            <w:top w:val="none" w:sz="0" w:space="0" w:color="auto"/>
            <w:left w:val="none" w:sz="0" w:space="0" w:color="auto"/>
            <w:bottom w:val="none" w:sz="0" w:space="0" w:color="auto"/>
            <w:right w:val="none" w:sz="0" w:space="0" w:color="auto"/>
          </w:divBdr>
        </w:div>
        <w:div w:id="166137393">
          <w:marLeft w:val="0"/>
          <w:marRight w:val="0"/>
          <w:marTop w:val="0"/>
          <w:marBottom w:val="0"/>
          <w:divBdr>
            <w:top w:val="none" w:sz="0" w:space="0" w:color="auto"/>
            <w:left w:val="none" w:sz="0" w:space="0" w:color="auto"/>
            <w:bottom w:val="none" w:sz="0" w:space="0" w:color="auto"/>
            <w:right w:val="none" w:sz="0" w:space="0" w:color="auto"/>
          </w:divBdr>
        </w:div>
        <w:div w:id="171454951">
          <w:marLeft w:val="0"/>
          <w:marRight w:val="0"/>
          <w:marTop w:val="0"/>
          <w:marBottom w:val="0"/>
          <w:divBdr>
            <w:top w:val="none" w:sz="0" w:space="0" w:color="auto"/>
            <w:left w:val="none" w:sz="0" w:space="0" w:color="auto"/>
            <w:bottom w:val="none" w:sz="0" w:space="0" w:color="auto"/>
            <w:right w:val="none" w:sz="0" w:space="0" w:color="auto"/>
          </w:divBdr>
        </w:div>
        <w:div w:id="213583791">
          <w:marLeft w:val="0"/>
          <w:marRight w:val="0"/>
          <w:marTop w:val="0"/>
          <w:marBottom w:val="0"/>
          <w:divBdr>
            <w:top w:val="none" w:sz="0" w:space="0" w:color="auto"/>
            <w:left w:val="none" w:sz="0" w:space="0" w:color="auto"/>
            <w:bottom w:val="none" w:sz="0" w:space="0" w:color="auto"/>
            <w:right w:val="none" w:sz="0" w:space="0" w:color="auto"/>
          </w:divBdr>
        </w:div>
        <w:div w:id="286736648">
          <w:marLeft w:val="0"/>
          <w:marRight w:val="0"/>
          <w:marTop w:val="0"/>
          <w:marBottom w:val="0"/>
          <w:divBdr>
            <w:top w:val="none" w:sz="0" w:space="0" w:color="auto"/>
            <w:left w:val="none" w:sz="0" w:space="0" w:color="auto"/>
            <w:bottom w:val="none" w:sz="0" w:space="0" w:color="auto"/>
            <w:right w:val="none" w:sz="0" w:space="0" w:color="auto"/>
          </w:divBdr>
        </w:div>
        <w:div w:id="379482388">
          <w:marLeft w:val="0"/>
          <w:marRight w:val="0"/>
          <w:marTop w:val="0"/>
          <w:marBottom w:val="0"/>
          <w:divBdr>
            <w:top w:val="none" w:sz="0" w:space="0" w:color="auto"/>
            <w:left w:val="none" w:sz="0" w:space="0" w:color="auto"/>
            <w:bottom w:val="none" w:sz="0" w:space="0" w:color="auto"/>
            <w:right w:val="none" w:sz="0" w:space="0" w:color="auto"/>
          </w:divBdr>
        </w:div>
        <w:div w:id="398484634">
          <w:marLeft w:val="0"/>
          <w:marRight w:val="0"/>
          <w:marTop w:val="0"/>
          <w:marBottom w:val="0"/>
          <w:divBdr>
            <w:top w:val="none" w:sz="0" w:space="0" w:color="auto"/>
            <w:left w:val="none" w:sz="0" w:space="0" w:color="auto"/>
            <w:bottom w:val="none" w:sz="0" w:space="0" w:color="auto"/>
            <w:right w:val="none" w:sz="0" w:space="0" w:color="auto"/>
          </w:divBdr>
        </w:div>
        <w:div w:id="507330906">
          <w:marLeft w:val="0"/>
          <w:marRight w:val="0"/>
          <w:marTop w:val="0"/>
          <w:marBottom w:val="0"/>
          <w:divBdr>
            <w:top w:val="none" w:sz="0" w:space="0" w:color="auto"/>
            <w:left w:val="none" w:sz="0" w:space="0" w:color="auto"/>
            <w:bottom w:val="none" w:sz="0" w:space="0" w:color="auto"/>
            <w:right w:val="none" w:sz="0" w:space="0" w:color="auto"/>
          </w:divBdr>
        </w:div>
        <w:div w:id="680861253">
          <w:marLeft w:val="0"/>
          <w:marRight w:val="0"/>
          <w:marTop w:val="0"/>
          <w:marBottom w:val="0"/>
          <w:divBdr>
            <w:top w:val="none" w:sz="0" w:space="0" w:color="auto"/>
            <w:left w:val="none" w:sz="0" w:space="0" w:color="auto"/>
            <w:bottom w:val="none" w:sz="0" w:space="0" w:color="auto"/>
            <w:right w:val="none" w:sz="0" w:space="0" w:color="auto"/>
          </w:divBdr>
        </w:div>
        <w:div w:id="719716672">
          <w:marLeft w:val="0"/>
          <w:marRight w:val="0"/>
          <w:marTop w:val="0"/>
          <w:marBottom w:val="0"/>
          <w:divBdr>
            <w:top w:val="none" w:sz="0" w:space="0" w:color="auto"/>
            <w:left w:val="none" w:sz="0" w:space="0" w:color="auto"/>
            <w:bottom w:val="none" w:sz="0" w:space="0" w:color="auto"/>
            <w:right w:val="none" w:sz="0" w:space="0" w:color="auto"/>
          </w:divBdr>
        </w:div>
        <w:div w:id="791051860">
          <w:marLeft w:val="0"/>
          <w:marRight w:val="0"/>
          <w:marTop w:val="0"/>
          <w:marBottom w:val="0"/>
          <w:divBdr>
            <w:top w:val="none" w:sz="0" w:space="0" w:color="auto"/>
            <w:left w:val="none" w:sz="0" w:space="0" w:color="auto"/>
            <w:bottom w:val="none" w:sz="0" w:space="0" w:color="auto"/>
            <w:right w:val="none" w:sz="0" w:space="0" w:color="auto"/>
          </w:divBdr>
        </w:div>
        <w:div w:id="799491410">
          <w:marLeft w:val="0"/>
          <w:marRight w:val="0"/>
          <w:marTop w:val="0"/>
          <w:marBottom w:val="0"/>
          <w:divBdr>
            <w:top w:val="none" w:sz="0" w:space="0" w:color="auto"/>
            <w:left w:val="none" w:sz="0" w:space="0" w:color="auto"/>
            <w:bottom w:val="none" w:sz="0" w:space="0" w:color="auto"/>
            <w:right w:val="none" w:sz="0" w:space="0" w:color="auto"/>
          </w:divBdr>
        </w:div>
        <w:div w:id="913780869">
          <w:marLeft w:val="0"/>
          <w:marRight w:val="0"/>
          <w:marTop w:val="0"/>
          <w:marBottom w:val="0"/>
          <w:divBdr>
            <w:top w:val="none" w:sz="0" w:space="0" w:color="auto"/>
            <w:left w:val="none" w:sz="0" w:space="0" w:color="auto"/>
            <w:bottom w:val="none" w:sz="0" w:space="0" w:color="auto"/>
            <w:right w:val="none" w:sz="0" w:space="0" w:color="auto"/>
          </w:divBdr>
        </w:div>
        <w:div w:id="951866947">
          <w:marLeft w:val="0"/>
          <w:marRight w:val="0"/>
          <w:marTop w:val="0"/>
          <w:marBottom w:val="0"/>
          <w:divBdr>
            <w:top w:val="none" w:sz="0" w:space="0" w:color="auto"/>
            <w:left w:val="none" w:sz="0" w:space="0" w:color="auto"/>
            <w:bottom w:val="none" w:sz="0" w:space="0" w:color="auto"/>
            <w:right w:val="none" w:sz="0" w:space="0" w:color="auto"/>
          </w:divBdr>
        </w:div>
        <w:div w:id="1036542985">
          <w:marLeft w:val="0"/>
          <w:marRight w:val="0"/>
          <w:marTop w:val="0"/>
          <w:marBottom w:val="0"/>
          <w:divBdr>
            <w:top w:val="none" w:sz="0" w:space="0" w:color="auto"/>
            <w:left w:val="none" w:sz="0" w:space="0" w:color="auto"/>
            <w:bottom w:val="none" w:sz="0" w:space="0" w:color="auto"/>
            <w:right w:val="none" w:sz="0" w:space="0" w:color="auto"/>
          </w:divBdr>
        </w:div>
        <w:div w:id="1160854188">
          <w:marLeft w:val="0"/>
          <w:marRight w:val="0"/>
          <w:marTop w:val="0"/>
          <w:marBottom w:val="0"/>
          <w:divBdr>
            <w:top w:val="none" w:sz="0" w:space="0" w:color="auto"/>
            <w:left w:val="none" w:sz="0" w:space="0" w:color="auto"/>
            <w:bottom w:val="none" w:sz="0" w:space="0" w:color="auto"/>
            <w:right w:val="none" w:sz="0" w:space="0" w:color="auto"/>
          </w:divBdr>
        </w:div>
        <w:div w:id="1173378578">
          <w:marLeft w:val="0"/>
          <w:marRight w:val="0"/>
          <w:marTop w:val="0"/>
          <w:marBottom w:val="0"/>
          <w:divBdr>
            <w:top w:val="none" w:sz="0" w:space="0" w:color="auto"/>
            <w:left w:val="none" w:sz="0" w:space="0" w:color="auto"/>
            <w:bottom w:val="none" w:sz="0" w:space="0" w:color="auto"/>
            <w:right w:val="none" w:sz="0" w:space="0" w:color="auto"/>
          </w:divBdr>
        </w:div>
        <w:div w:id="1382099778">
          <w:marLeft w:val="0"/>
          <w:marRight w:val="0"/>
          <w:marTop w:val="0"/>
          <w:marBottom w:val="0"/>
          <w:divBdr>
            <w:top w:val="none" w:sz="0" w:space="0" w:color="auto"/>
            <w:left w:val="none" w:sz="0" w:space="0" w:color="auto"/>
            <w:bottom w:val="none" w:sz="0" w:space="0" w:color="auto"/>
            <w:right w:val="none" w:sz="0" w:space="0" w:color="auto"/>
          </w:divBdr>
        </w:div>
        <w:div w:id="1531334539">
          <w:marLeft w:val="0"/>
          <w:marRight w:val="0"/>
          <w:marTop w:val="0"/>
          <w:marBottom w:val="0"/>
          <w:divBdr>
            <w:top w:val="none" w:sz="0" w:space="0" w:color="auto"/>
            <w:left w:val="none" w:sz="0" w:space="0" w:color="auto"/>
            <w:bottom w:val="none" w:sz="0" w:space="0" w:color="auto"/>
            <w:right w:val="none" w:sz="0" w:space="0" w:color="auto"/>
          </w:divBdr>
        </w:div>
        <w:div w:id="1708406479">
          <w:marLeft w:val="0"/>
          <w:marRight w:val="0"/>
          <w:marTop w:val="0"/>
          <w:marBottom w:val="0"/>
          <w:divBdr>
            <w:top w:val="none" w:sz="0" w:space="0" w:color="auto"/>
            <w:left w:val="none" w:sz="0" w:space="0" w:color="auto"/>
            <w:bottom w:val="none" w:sz="0" w:space="0" w:color="auto"/>
            <w:right w:val="none" w:sz="0" w:space="0" w:color="auto"/>
          </w:divBdr>
        </w:div>
        <w:div w:id="1821117630">
          <w:marLeft w:val="0"/>
          <w:marRight w:val="0"/>
          <w:marTop w:val="0"/>
          <w:marBottom w:val="0"/>
          <w:divBdr>
            <w:top w:val="none" w:sz="0" w:space="0" w:color="auto"/>
            <w:left w:val="none" w:sz="0" w:space="0" w:color="auto"/>
            <w:bottom w:val="none" w:sz="0" w:space="0" w:color="auto"/>
            <w:right w:val="none" w:sz="0" w:space="0" w:color="auto"/>
          </w:divBdr>
        </w:div>
        <w:div w:id="1874295915">
          <w:marLeft w:val="0"/>
          <w:marRight w:val="0"/>
          <w:marTop w:val="0"/>
          <w:marBottom w:val="0"/>
          <w:divBdr>
            <w:top w:val="none" w:sz="0" w:space="0" w:color="auto"/>
            <w:left w:val="none" w:sz="0" w:space="0" w:color="auto"/>
            <w:bottom w:val="none" w:sz="0" w:space="0" w:color="auto"/>
            <w:right w:val="none" w:sz="0" w:space="0" w:color="auto"/>
          </w:divBdr>
        </w:div>
        <w:div w:id="1918592545">
          <w:marLeft w:val="0"/>
          <w:marRight w:val="0"/>
          <w:marTop w:val="0"/>
          <w:marBottom w:val="0"/>
          <w:divBdr>
            <w:top w:val="none" w:sz="0" w:space="0" w:color="auto"/>
            <w:left w:val="none" w:sz="0" w:space="0" w:color="auto"/>
            <w:bottom w:val="none" w:sz="0" w:space="0" w:color="auto"/>
            <w:right w:val="none" w:sz="0" w:space="0" w:color="auto"/>
          </w:divBdr>
        </w:div>
        <w:div w:id="1980068079">
          <w:marLeft w:val="0"/>
          <w:marRight w:val="0"/>
          <w:marTop w:val="0"/>
          <w:marBottom w:val="0"/>
          <w:divBdr>
            <w:top w:val="none" w:sz="0" w:space="0" w:color="auto"/>
            <w:left w:val="none" w:sz="0" w:space="0" w:color="auto"/>
            <w:bottom w:val="none" w:sz="0" w:space="0" w:color="auto"/>
            <w:right w:val="none" w:sz="0" w:space="0" w:color="auto"/>
          </w:divBdr>
        </w:div>
        <w:div w:id="2064676196">
          <w:marLeft w:val="0"/>
          <w:marRight w:val="0"/>
          <w:marTop w:val="0"/>
          <w:marBottom w:val="0"/>
          <w:divBdr>
            <w:top w:val="none" w:sz="0" w:space="0" w:color="auto"/>
            <w:left w:val="none" w:sz="0" w:space="0" w:color="auto"/>
            <w:bottom w:val="none" w:sz="0" w:space="0" w:color="auto"/>
            <w:right w:val="none" w:sz="0" w:space="0" w:color="auto"/>
          </w:divBdr>
        </w:div>
        <w:div w:id="2079087675">
          <w:marLeft w:val="0"/>
          <w:marRight w:val="0"/>
          <w:marTop w:val="0"/>
          <w:marBottom w:val="0"/>
          <w:divBdr>
            <w:top w:val="none" w:sz="0" w:space="0" w:color="auto"/>
            <w:left w:val="none" w:sz="0" w:space="0" w:color="auto"/>
            <w:bottom w:val="none" w:sz="0" w:space="0" w:color="auto"/>
            <w:right w:val="none" w:sz="0" w:space="0" w:color="auto"/>
          </w:divBdr>
        </w:div>
        <w:div w:id="2146312688">
          <w:marLeft w:val="0"/>
          <w:marRight w:val="0"/>
          <w:marTop w:val="0"/>
          <w:marBottom w:val="0"/>
          <w:divBdr>
            <w:top w:val="none" w:sz="0" w:space="0" w:color="auto"/>
            <w:left w:val="none" w:sz="0" w:space="0" w:color="auto"/>
            <w:bottom w:val="none" w:sz="0" w:space="0" w:color="auto"/>
            <w:right w:val="none" w:sz="0" w:space="0" w:color="auto"/>
          </w:divBdr>
        </w:div>
      </w:divsChild>
    </w:div>
    <w:div w:id="1095399189">
      <w:bodyDiv w:val="1"/>
      <w:marLeft w:val="0"/>
      <w:marRight w:val="0"/>
      <w:marTop w:val="0"/>
      <w:marBottom w:val="0"/>
      <w:divBdr>
        <w:top w:val="none" w:sz="0" w:space="0" w:color="auto"/>
        <w:left w:val="none" w:sz="0" w:space="0" w:color="auto"/>
        <w:bottom w:val="none" w:sz="0" w:space="0" w:color="auto"/>
        <w:right w:val="none" w:sz="0" w:space="0" w:color="auto"/>
      </w:divBdr>
    </w:div>
    <w:div w:id="1095632846">
      <w:bodyDiv w:val="1"/>
      <w:marLeft w:val="0"/>
      <w:marRight w:val="0"/>
      <w:marTop w:val="0"/>
      <w:marBottom w:val="0"/>
      <w:divBdr>
        <w:top w:val="none" w:sz="0" w:space="0" w:color="auto"/>
        <w:left w:val="none" w:sz="0" w:space="0" w:color="auto"/>
        <w:bottom w:val="none" w:sz="0" w:space="0" w:color="auto"/>
        <w:right w:val="none" w:sz="0" w:space="0" w:color="auto"/>
      </w:divBdr>
      <w:divsChild>
        <w:div w:id="439647635">
          <w:marLeft w:val="0"/>
          <w:marRight w:val="0"/>
          <w:marTop w:val="0"/>
          <w:marBottom w:val="0"/>
          <w:divBdr>
            <w:top w:val="none" w:sz="0" w:space="0" w:color="auto"/>
            <w:left w:val="none" w:sz="0" w:space="0" w:color="auto"/>
            <w:bottom w:val="none" w:sz="0" w:space="0" w:color="auto"/>
            <w:right w:val="none" w:sz="0" w:space="0" w:color="auto"/>
          </w:divBdr>
        </w:div>
        <w:div w:id="567346809">
          <w:marLeft w:val="0"/>
          <w:marRight w:val="0"/>
          <w:marTop w:val="0"/>
          <w:marBottom w:val="0"/>
          <w:divBdr>
            <w:top w:val="none" w:sz="0" w:space="0" w:color="auto"/>
            <w:left w:val="none" w:sz="0" w:space="0" w:color="auto"/>
            <w:bottom w:val="none" w:sz="0" w:space="0" w:color="auto"/>
            <w:right w:val="none" w:sz="0" w:space="0" w:color="auto"/>
          </w:divBdr>
        </w:div>
        <w:div w:id="1478572011">
          <w:marLeft w:val="0"/>
          <w:marRight w:val="0"/>
          <w:marTop w:val="0"/>
          <w:marBottom w:val="0"/>
          <w:divBdr>
            <w:top w:val="none" w:sz="0" w:space="0" w:color="auto"/>
            <w:left w:val="none" w:sz="0" w:space="0" w:color="auto"/>
            <w:bottom w:val="none" w:sz="0" w:space="0" w:color="auto"/>
            <w:right w:val="none" w:sz="0" w:space="0" w:color="auto"/>
          </w:divBdr>
        </w:div>
      </w:divsChild>
    </w:div>
    <w:div w:id="1104808388">
      <w:bodyDiv w:val="1"/>
      <w:marLeft w:val="0"/>
      <w:marRight w:val="0"/>
      <w:marTop w:val="0"/>
      <w:marBottom w:val="0"/>
      <w:divBdr>
        <w:top w:val="none" w:sz="0" w:space="0" w:color="auto"/>
        <w:left w:val="none" w:sz="0" w:space="0" w:color="auto"/>
        <w:bottom w:val="none" w:sz="0" w:space="0" w:color="auto"/>
        <w:right w:val="none" w:sz="0" w:space="0" w:color="auto"/>
      </w:divBdr>
    </w:div>
    <w:div w:id="1123426831">
      <w:bodyDiv w:val="1"/>
      <w:marLeft w:val="0"/>
      <w:marRight w:val="0"/>
      <w:marTop w:val="0"/>
      <w:marBottom w:val="0"/>
      <w:divBdr>
        <w:top w:val="none" w:sz="0" w:space="0" w:color="auto"/>
        <w:left w:val="none" w:sz="0" w:space="0" w:color="auto"/>
        <w:bottom w:val="none" w:sz="0" w:space="0" w:color="auto"/>
        <w:right w:val="none" w:sz="0" w:space="0" w:color="auto"/>
      </w:divBdr>
    </w:div>
    <w:div w:id="1163816788">
      <w:bodyDiv w:val="1"/>
      <w:marLeft w:val="0"/>
      <w:marRight w:val="0"/>
      <w:marTop w:val="0"/>
      <w:marBottom w:val="0"/>
      <w:divBdr>
        <w:top w:val="none" w:sz="0" w:space="0" w:color="auto"/>
        <w:left w:val="none" w:sz="0" w:space="0" w:color="auto"/>
        <w:bottom w:val="none" w:sz="0" w:space="0" w:color="auto"/>
        <w:right w:val="none" w:sz="0" w:space="0" w:color="auto"/>
      </w:divBdr>
    </w:div>
    <w:div w:id="1189026081">
      <w:bodyDiv w:val="1"/>
      <w:marLeft w:val="0"/>
      <w:marRight w:val="0"/>
      <w:marTop w:val="0"/>
      <w:marBottom w:val="0"/>
      <w:divBdr>
        <w:top w:val="none" w:sz="0" w:space="0" w:color="auto"/>
        <w:left w:val="none" w:sz="0" w:space="0" w:color="auto"/>
        <w:bottom w:val="none" w:sz="0" w:space="0" w:color="auto"/>
        <w:right w:val="none" w:sz="0" w:space="0" w:color="auto"/>
      </w:divBdr>
      <w:divsChild>
        <w:div w:id="306056080">
          <w:marLeft w:val="0"/>
          <w:marRight w:val="0"/>
          <w:marTop w:val="0"/>
          <w:marBottom w:val="0"/>
          <w:divBdr>
            <w:top w:val="none" w:sz="0" w:space="0" w:color="auto"/>
            <w:left w:val="none" w:sz="0" w:space="0" w:color="auto"/>
            <w:bottom w:val="none" w:sz="0" w:space="0" w:color="auto"/>
            <w:right w:val="none" w:sz="0" w:space="0" w:color="auto"/>
          </w:divBdr>
        </w:div>
        <w:div w:id="756749440">
          <w:marLeft w:val="0"/>
          <w:marRight w:val="0"/>
          <w:marTop w:val="0"/>
          <w:marBottom w:val="0"/>
          <w:divBdr>
            <w:top w:val="none" w:sz="0" w:space="0" w:color="auto"/>
            <w:left w:val="none" w:sz="0" w:space="0" w:color="auto"/>
            <w:bottom w:val="none" w:sz="0" w:space="0" w:color="auto"/>
            <w:right w:val="none" w:sz="0" w:space="0" w:color="auto"/>
          </w:divBdr>
        </w:div>
        <w:div w:id="1019114446">
          <w:marLeft w:val="0"/>
          <w:marRight w:val="0"/>
          <w:marTop w:val="0"/>
          <w:marBottom w:val="0"/>
          <w:divBdr>
            <w:top w:val="none" w:sz="0" w:space="0" w:color="auto"/>
            <w:left w:val="none" w:sz="0" w:space="0" w:color="auto"/>
            <w:bottom w:val="none" w:sz="0" w:space="0" w:color="auto"/>
            <w:right w:val="none" w:sz="0" w:space="0" w:color="auto"/>
          </w:divBdr>
        </w:div>
        <w:div w:id="1229806732">
          <w:marLeft w:val="0"/>
          <w:marRight w:val="0"/>
          <w:marTop w:val="0"/>
          <w:marBottom w:val="0"/>
          <w:divBdr>
            <w:top w:val="none" w:sz="0" w:space="0" w:color="auto"/>
            <w:left w:val="none" w:sz="0" w:space="0" w:color="auto"/>
            <w:bottom w:val="none" w:sz="0" w:space="0" w:color="auto"/>
            <w:right w:val="none" w:sz="0" w:space="0" w:color="auto"/>
          </w:divBdr>
        </w:div>
        <w:div w:id="1863008799">
          <w:marLeft w:val="0"/>
          <w:marRight w:val="0"/>
          <w:marTop w:val="0"/>
          <w:marBottom w:val="0"/>
          <w:divBdr>
            <w:top w:val="none" w:sz="0" w:space="0" w:color="auto"/>
            <w:left w:val="none" w:sz="0" w:space="0" w:color="auto"/>
            <w:bottom w:val="none" w:sz="0" w:space="0" w:color="auto"/>
            <w:right w:val="none" w:sz="0" w:space="0" w:color="auto"/>
          </w:divBdr>
        </w:div>
      </w:divsChild>
    </w:div>
    <w:div w:id="1256786606">
      <w:bodyDiv w:val="1"/>
      <w:marLeft w:val="0"/>
      <w:marRight w:val="0"/>
      <w:marTop w:val="0"/>
      <w:marBottom w:val="0"/>
      <w:divBdr>
        <w:top w:val="none" w:sz="0" w:space="0" w:color="auto"/>
        <w:left w:val="none" w:sz="0" w:space="0" w:color="auto"/>
        <w:bottom w:val="none" w:sz="0" w:space="0" w:color="auto"/>
        <w:right w:val="none" w:sz="0" w:space="0" w:color="auto"/>
      </w:divBdr>
      <w:divsChild>
        <w:div w:id="54010524">
          <w:marLeft w:val="0"/>
          <w:marRight w:val="0"/>
          <w:marTop w:val="0"/>
          <w:marBottom w:val="0"/>
          <w:divBdr>
            <w:top w:val="none" w:sz="0" w:space="0" w:color="auto"/>
            <w:left w:val="none" w:sz="0" w:space="0" w:color="auto"/>
            <w:bottom w:val="none" w:sz="0" w:space="0" w:color="auto"/>
            <w:right w:val="none" w:sz="0" w:space="0" w:color="auto"/>
          </w:divBdr>
          <w:divsChild>
            <w:div w:id="151220761">
              <w:marLeft w:val="0"/>
              <w:marRight w:val="0"/>
              <w:marTop w:val="0"/>
              <w:marBottom w:val="0"/>
              <w:divBdr>
                <w:top w:val="none" w:sz="0" w:space="0" w:color="auto"/>
                <w:left w:val="none" w:sz="0" w:space="0" w:color="auto"/>
                <w:bottom w:val="none" w:sz="0" w:space="0" w:color="auto"/>
                <w:right w:val="none" w:sz="0" w:space="0" w:color="auto"/>
              </w:divBdr>
            </w:div>
            <w:div w:id="159349070">
              <w:marLeft w:val="0"/>
              <w:marRight w:val="0"/>
              <w:marTop w:val="0"/>
              <w:marBottom w:val="0"/>
              <w:divBdr>
                <w:top w:val="none" w:sz="0" w:space="0" w:color="auto"/>
                <w:left w:val="none" w:sz="0" w:space="0" w:color="auto"/>
                <w:bottom w:val="none" w:sz="0" w:space="0" w:color="auto"/>
                <w:right w:val="none" w:sz="0" w:space="0" w:color="auto"/>
              </w:divBdr>
            </w:div>
            <w:div w:id="364138697">
              <w:marLeft w:val="0"/>
              <w:marRight w:val="0"/>
              <w:marTop w:val="0"/>
              <w:marBottom w:val="0"/>
              <w:divBdr>
                <w:top w:val="none" w:sz="0" w:space="0" w:color="auto"/>
                <w:left w:val="none" w:sz="0" w:space="0" w:color="auto"/>
                <w:bottom w:val="none" w:sz="0" w:space="0" w:color="auto"/>
                <w:right w:val="none" w:sz="0" w:space="0" w:color="auto"/>
              </w:divBdr>
            </w:div>
            <w:div w:id="591667399">
              <w:marLeft w:val="0"/>
              <w:marRight w:val="0"/>
              <w:marTop w:val="0"/>
              <w:marBottom w:val="0"/>
              <w:divBdr>
                <w:top w:val="none" w:sz="0" w:space="0" w:color="auto"/>
                <w:left w:val="none" w:sz="0" w:space="0" w:color="auto"/>
                <w:bottom w:val="none" w:sz="0" w:space="0" w:color="auto"/>
                <w:right w:val="none" w:sz="0" w:space="0" w:color="auto"/>
              </w:divBdr>
            </w:div>
            <w:div w:id="1278416031">
              <w:marLeft w:val="0"/>
              <w:marRight w:val="0"/>
              <w:marTop w:val="0"/>
              <w:marBottom w:val="0"/>
              <w:divBdr>
                <w:top w:val="none" w:sz="0" w:space="0" w:color="auto"/>
                <w:left w:val="none" w:sz="0" w:space="0" w:color="auto"/>
                <w:bottom w:val="none" w:sz="0" w:space="0" w:color="auto"/>
                <w:right w:val="none" w:sz="0" w:space="0" w:color="auto"/>
              </w:divBdr>
            </w:div>
            <w:div w:id="1485707159">
              <w:marLeft w:val="0"/>
              <w:marRight w:val="0"/>
              <w:marTop w:val="0"/>
              <w:marBottom w:val="0"/>
              <w:divBdr>
                <w:top w:val="none" w:sz="0" w:space="0" w:color="auto"/>
                <w:left w:val="none" w:sz="0" w:space="0" w:color="auto"/>
                <w:bottom w:val="none" w:sz="0" w:space="0" w:color="auto"/>
                <w:right w:val="none" w:sz="0" w:space="0" w:color="auto"/>
              </w:divBdr>
            </w:div>
            <w:div w:id="1644693330">
              <w:marLeft w:val="0"/>
              <w:marRight w:val="0"/>
              <w:marTop w:val="0"/>
              <w:marBottom w:val="0"/>
              <w:divBdr>
                <w:top w:val="none" w:sz="0" w:space="0" w:color="auto"/>
                <w:left w:val="none" w:sz="0" w:space="0" w:color="auto"/>
                <w:bottom w:val="none" w:sz="0" w:space="0" w:color="auto"/>
                <w:right w:val="none" w:sz="0" w:space="0" w:color="auto"/>
              </w:divBdr>
            </w:div>
            <w:div w:id="1713964672">
              <w:marLeft w:val="0"/>
              <w:marRight w:val="0"/>
              <w:marTop w:val="0"/>
              <w:marBottom w:val="0"/>
              <w:divBdr>
                <w:top w:val="none" w:sz="0" w:space="0" w:color="auto"/>
                <w:left w:val="none" w:sz="0" w:space="0" w:color="auto"/>
                <w:bottom w:val="none" w:sz="0" w:space="0" w:color="auto"/>
                <w:right w:val="none" w:sz="0" w:space="0" w:color="auto"/>
              </w:divBdr>
            </w:div>
            <w:div w:id="1761482246">
              <w:marLeft w:val="0"/>
              <w:marRight w:val="0"/>
              <w:marTop w:val="0"/>
              <w:marBottom w:val="0"/>
              <w:divBdr>
                <w:top w:val="none" w:sz="0" w:space="0" w:color="auto"/>
                <w:left w:val="none" w:sz="0" w:space="0" w:color="auto"/>
                <w:bottom w:val="none" w:sz="0" w:space="0" w:color="auto"/>
                <w:right w:val="none" w:sz="0" w:space="0" w:color="auto"/>
              </w:divBdr>
            </w:div>
            <w:div w:id="19293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58999">
      <w:bodyDiv w:val="1"/>
      <w:marLeft w:val="0"/>
      <w:marRight w:val="0"/>
      <w:marTop w:val="0"/>
      <w:marBottom w:val="0"/>
      <w:divBdr>
        <w:top w:val="none" w:sz="0" w:space="0" w:color="auto"/>
        <w:left w:val="none" w:sz="0" w:space="0" w:color="auto"/>
        <w:bottom w:val="none" w:sz="0" w:space="0" w:color="auto"/>
        <w:right w:val="none" w:sz="0" w:space="0" w:color="auto"/>
      </w:divBdr>
    </w:div>
    <w:div w:id="1266882966">
      <w:bodyDiv w:val="1"/>
      <w:marLeft w:val="0"/>
      <w:marRight w:val="0"/>
      <w:marTop w:val="0"/>
      <w:marBottom w:val="0"/>
      <w:divBdr>
        <w:top w:val="none" w:sz="0" w:space="0" w:color="auto"/>
        <w:left w:val="none" w:sz="0" w:space="0" w:color="auto"/>
        <w:bottom w:val="none" w:sz="0" w:space="0" w:color="auto"/>
        <w:right w:val="none" w:sz="0" w:space="0" w:color="auto"/>
      </w:divBdr>
    </w:div>
    <w:div w:id="1275481704">
      <w:bodyDiv w:val="1"/>
      <w:marLeft w:val="0"/>
      <w:marRight w:val="0"/>
      <w:marTop w:val="0"/>
      <w:marBottom w:val="0"/>
      <w:divBdr>
        <w:top w:val="none" w:sz="0" w:space="0" w:color="auto"/>
        <w:left w:val="none" w:sz="0" w:space="0" w:color="auto"/>
        <w:bottom w:val="none" w:sz="0" w:space="0" w:color="auto"/>
        <w:right w:val="none" w:sz="0" w:space="0" w:color="auto"/>
      </w:divBdr>
    </w:div>
    <w:div w:id="1295210181">
      <w:bodyDiv w:val="1"/>
      <w:marLeft w:val="0"/>
      <w:marRight w:val="0"/>
      <w:marTop w:val="0"/>
      <w:marBottom w:val="0"/>
      <w:divBdr>
        <w:top w:val="none" w:sz="0" w:space="0" w:color="auto"/>
        <w:left w:val="none" w:sz="0" w:space="0" w:color="auto"/>
        <w:bottom w:val="none" w:sz="0" w:space="0" w:color="auto"/>
        <w:right w:val="none" w:sz="0" w:space="0" w:color="auto"/>
      </w:divBdr>
      <w:divsChild>
        <w:div w:id="164051995">
          <w:marLeft w:val="0"/>
          <w:marRight w:val="0"/>
          <w:marTop w:val="0"/>
          <w:marBottom w:val="0"/>
          <w:divBdr>
            <w:top w:val="none" w:sz="0" w:space="0" w:color="auto"/>
            <w:left w:val="none" w:sz="0" w:space="0" w:color="auto"/>
            <w:bottom w:val="none" w:sz="0" w:space="0" w:color="auto"/>
            <w:right w:val="none" w:sz="0" w:space="0" w:color="auto"/>
          </w:divBdr>
        </w:div>
        <w:div w:id="348146045">
          <w:marLeft w:val="0"/>
          <w:marRight w:val="0"/>
          <w:marTop w:val="0"/>
          <w:marBottom w:val="0"/>
          <w:divBdr>
            <w:top w:val="none" w:sz="0" w:space="0" w:color="auto"/>
            <w:left w:val="none" w:sz="0" w:space="0" w:color="auto"/>
            <w:bottom w:val="none" w:sz="0" w:space="0" w:color="auto"/>
            <w:right w:val="none" w:sz="0" w:space="0" w:color="auto"/>
          </w:divBdr>
        </w:div>
        <w:div w:id="573394024">
          <w:marLeft w:val="0"/>
          <w:marRight w:val="0"/>
          <w:marTop w:val="0"/>
          <w:marBottom w:val="0"/>
          <w:divBdr>
            <w:top w:val="none" w:sz="0" w:space="0" w:color="auto"/>
            <w:left w:val="none" w:sz="0" w:space="0" w:color="auto"/>
            <w:bottom w:val="none" w:sz="0" w:space="0" w:color="auto"/>
            <w:right w:val="none" w:sz="0" w:space="0" w:color="auto"/>
          </w:divBdr>
        </w:div>
        <w:div w:id="912080215">
          <w:marLeft w:val="0"/>
          <w:marRight w:val="0"/>
          <w:marTop w:val="0"/>
          <w:marBottom w:val="0"/>
          <w:divBdr>
            <w:top w:val="none" w:sz="0" w:space="0" w:color="auto"/>
            <w:left w:val="none" w:sz="0" w:space="0" w:color="auto"/>
            <w:bottom w:val="none" w:sz="0" w:space="0" w:color="auto"/>
            <w:right w:val="none" w:sz="0" w:space="0" w:color="auto"/>
          </w:divBdr>
        </w:div>
        <w:div w:id="1148402900">
          <w:marLeft w:val="0"/>
          <w:marRight w:val="0"/>
          <w:marTop w:val="0"/>
          <w:marBottom w:val="0"/>
          <w:divBdr>
            <w:top w:val="none" w:sz="0" w:space="0" w:color="auto"/>
            <w:left w:val="none" w:sz="0" w:space="0" w:color="auto"/>
            <w:bottom w:val="none" w:sz="0" w:space="0" w:color="auto"/>
            <w:right w:val="none" w:sz="0" w:space="0" w:color="auto"/>
          </w:divBdr>
        </w:div>
        <w:div w:id="1177885767">
          <w:marLeft w:val="0"/>
          <w:marRight w:val="0"/>
          <w:marTop w:val="0"/>
          <w:marBottom w:val="0"/>
          <w:divBdr>
            <w:top w:val="none" w:sz="0" w:space="0" w:color="auto"/>
            <w:left w:val="none" w:sz="0" w:space="0" w:color="auto"/>
            <w:bottom w:val="none" w:sz="0" w:space="0" w:color="auto"/>
            <w:right w:val="none" w:sz="0" w:space="0" w:color="auto"/>
          </w:divBdr>
        </w:div>
        <w:div w:id="1191648561">
          <w:marLeft w:val="0"/>
          <w:marRight w:val="0"/>
          <w:marTop w:val="0"/>
          <w:marBottom w:val="0"/>
          <w:divBdr>
            <w:top w:val="none" w:sz="0" w:space="0" w:color="auto"/>
            <w:left w:val="none" w:sz="0" w:space="0" w:color="auto"/>
            <w:bottom w:val="none" w:sz="0" w:space="0" w:color="auto"/>
            <w:right w:val="none" w:sz="0" w:space="0" w:color="auto"/>
          </w:divBdr>
        </w:div>
        <w:div w:id="1366635851">
          <w:marLeft w:val="0"/>
          <w:marRight w:val="0"/>
          <w:marTop w:val="0"/>
          <w:marBottom w:val="0"/>
          <w:divBdr>
            <w:top w:val="none" w:sz="0" w:space="0" w:color="auto"/>
            <w:left w:val="none" w:sz="0" w:space="0" w:color="auto"/>
            <w:bottom w:val="none" w:sz="0" w:space="0" w:color="auto"/>
            <w:right w:val="none" w:sz="0" w:space="0" w:color="auto"/>
          </w:divBdr>
        </w:div>
        <w:div w:id="1442264096">
          <w:marLeft w:val="0"/>
          <w:marRight w:val="0"/>
          <w:marTop w:val="0"/>
          <w:marBottom w:val="0"/>
          <w:divBdr>
            <w:top w:val="none" w:sz="0" w:space="0" w:color="auto"/>
            <w:left w:val="none" w:sz="0" w:space="0" w:color="auto"/>
            <w:bottom w:val="none" w:sz="0" w:space="0" w:color="auto"/>
            <w:right w:val="none" w:sz="0" w:space="0" w:color="auto"/>
          </w:divBdr>
        </w:div>
        <w:div w:id="1661496150">
          <w:marLeft w:val="0"/>
          <w:marRight w:val="0"/>
          <w:marTop w:val="0"/>
          <w:marBottom w:val="0"/>
          <w:divBdr>
            <w:top w:val="none" w:sz="0" w:space="0" w:color="auto"/>
            <w:left w:val="none" w:sz="0" w:space="0" w:color="auto"/>
            <w:bottom w:val="none" w:sz="0" w:space="0" w:color="auto"/>
            <w:right w:val="none" w:sz="0" w:space="0" w:color="auto"/>
          </w:divBdr>
        </w:div>
        <w:div w:id="1662195042">
          <w:marLeft w:val="0"/>
          <w:marRight w:val="0"/>
          <w:marTop w:val="0"/>
          <w:marBottom w:val="0"/>
          <w:divBdr>
            <w:top w:val="none" w:sz="0" w:space="0" w:color="auto"/>
            <w:left w:val="none" w:sz="0" w:space="0" w:color="auto"/>
            <w:bottom w:val="none" w:sz="0" w:space="0" w:color="auto"/>
            <w:right w:val="none" w:sz="0" w:space="0" w:color="auto"/>
          </w:divBdr>
        </w:div>
        <w:div w:id="1708679938">
          <w:marLeft w:val="0"/>
          <w:marRight w:val="0"/>
          <w:marTop w:val="0"/>
          <w:marBottom w:val="0"/>
          <w:divBdr>
            <w:top w:val="none" w:sz="0" w:space="0" w:color="auto"/>
            <w:left w:val="none" w:sz="0" w:space="0" w:color="auto"/>
            <w:bottom w:val="none" w:sz="0" w:space="0" w:color="auto"/>
            <w:right w:val="none" w:sz="0" w:space="0" w:color="auto"/>
          </w:divBdr>
        </w:div>
        <w:div w:id="1779376508">
          <w:marLeft w:val="0"/>
          <w:marRight w:val="0"/>
          <w:marTop w:val="0"/>
          <w:marBottom w:val="0"/>
          <w:divBdr>
            <w:top w:val="none" w:sz="0" w:space="0" w:color="auto"/>
            <w:left w:val="none" w:sz="0" w:space="0" w:color="auto"/>
            <w:bottom w:val="none" w:sz="0" w:space="0" w:color="auto"/>
            <w:right w:val="none" w:sz="0" w:space="0" w:color="auto"/>
          </w:divBdr>
        </w:div>
        <w:div w:id="1831940378">
          <w:marLeft w:val="0"/>
          <w:marRight w:val="0"/>
          <w:marTop w:val="0"/>
          <w:marBottom w:val="0"/>
          <w:divBdr>
            <w:top w:val="none" w:sz="0" w:space="0" w:color="auto"/>
            <w:left w:val="none" w:sz="0" w:space="0" w:color="auto"/>
            <w:bottom w:val="none" w:sz="0" w:space="0" w:color="auto"/>
            <w:right w:val="none" w:sz="0" w:space="0" w:color="auto"/>
          </w:divBdr>
        </w:div>
        <w:div w:id="2011791094">
          <w:marLeft w:val="0"/>
          <w:marRight w:val="0"/>
          <w:marTop w:val="0"/>
          <w:marBottom w:val="0"/>
          <w:divBdr>
            <w:top w:val="none" w:sz="0" w:space="0" w:color="auto"/>
            <w:left w:val="none" w:sz="0" w:space="0" w:color="auto"/>
            <w:bottom w:val="none" w:sz="0" w:space="0" w:color="auto"/>
            <w:right w:val="none" w:sz="0" w:space="0" w:color="auto"/>
          </w:divBdr>
        </w:div>
        <w:div w:id="2038386540">
          <w:marLeft w:val="0"/>
          <w:marRight w:val="0"/>
          <w:marTop w:val="0"/>
          <w:marBottom w:val="0"/>
          <w:divBdr>
            <w:top w:val="none" w:sz="0" w:space="0" w:color="auto"/>
            <w:left w:val="none" w:sz="0" w:space="0" w:color="auto"/>
            <w:bottom w:val="none" w:sz="0" w:space="0" w:color="auto"/>
            <w:right w:val="none" w:sz="0" w:space="0" w:color="auto"/>
          </w:divBdr>
        </w:div>
        <w:div w:id="2051412421">
          <w:marLeft w:val="0"/>
          <w:marRight w:val="0"/>
          <w:marTop w:val="0"/>
          <w:marBottom w:val="0"/>
          <w:divBdr>
            <w:top w:val="none" w:sz="0" w:space="0" w:color="auto"/>
            <w:left w:val="none" w:sz="0" w:space="0" w:color="auto"/>
            <w:bottom w:val="none" w:sz="0" w:space="0" w:color="auto"/>
            <w:right w:val="none" w:sz="0" w:space="0" w:color="auto"/>
          </w:divBdr>
        </w:div>
        <w:div w:id="2145152147">
          <w:marLeft w:val="0"/>
          <w:marRight w:val="0"/>
          <w:marTop w:val="0"/>
          <w:marBottom w:val="0"/>
          <w:divBdr>
            <w:top w:val="none" w:sz="0" w:space="0" w:color="auto"/>
            <w:left w:val="none" w:sz="0" w:space="0" w:color="auto"/>
            <w:bottom w:val="none" w:sz="0" w:space="0" w:color="auto"/>
            <w:right w:val="none" w:sz="0" w:space="0" w:color="auto"/>
          </w:divBdr>
        </w:div>
      </w:divsChild>
    </w:div>
    <w:div w:id="1298489065">
      <w:bodyDiv w:val="1"/>
      <w:marLeft w:val="0"/>
      <w:marRight w:val="0"/>
      <w:marTop w:val="0"/>
      <w:marBottom w:val="0"/>
      <w:divBdr>
        <w:top w:val="none" w:sz="0" w:space="0" w:color="auto"/>
        <w:left w:val="none" w:sz="0" w:space="0" w:color="auto"/>
        <w:bottom w:val="none" w:sz="0" w:space="0" w:color="auto"/>
        <w:right w:val="none" w:sz="0" w:space="0" w:color="auto"/>
      </w:divBdr>
    </w:div>
    <w:div w:id="1308822118">
      <w:bodyDiv w:val="1"/>
      <w:marLeft w:val="0"/>
      <w:marRight w:val="0"/>
      <w:marTop w:val="0"/>
      <w:marBottom w:val="0"/>
      <w:divBdr>
        <w:top w:val="none" w:sz="0" w:space="0" w:color="auto"/>
        <w:left w:val="none" w:sz="0" w:space="0" w:color="auto"/>
        <w:bottom w:val="none" w:sz="0" w:space="0" w:color="auto"/>
        <w:right w:val="none" w:sz="0" w:space="0" w:color="auto"/>
      </w:divBdr>
      <w:divsChild>
        <w:div w:id="7954339">
          <w:marLeft w:val="0"/>
          <w:marRight w:val="0"/>
          <w:marTop w:val="0"/>
          <w:marBottom w:val="0"/>
          <w:divBdr>
            <w:top w:val="none" w:sz="0" w:space="0" w:color="auto"/>
            <w:left w:val="none" w:sz="0" w:space="0" w:color="auto"/>
            <w:bottom w:val="none" w:sz="0" w:space="0" w:color="auto"/>
            <w:right w:val="none" w:sz="0" w:space="0" w:color="auto"/>
          </w:divBdr>
        </w:div>
        <w:div w:id="42677514">
          <w:marLeft w:val="0"/>
          <w:marRight w:val="0"/>
          <w:marTop w:val="0"/>
          <w:marBottom w:val="0"/>
          <w:divBdr>
            <w:top w:val="none" w:sz="0" w:space="0" w:color="auto"/>
            <w:left w:val="none" w:sz="0" w:space="0" w:color="auto"/>
            <w:bottom w:val="none" w:sz="0" w:space="0" w:color="auto"/>
            <w:right w:val="none" w:sz="0" w:space="0" w:color="auto"/>
          </w:divBdr>
        </w:div>
        <w:div w:id="49962367">
          <w:marLeft w:val="0"/>
          <w:marRight w:val="0"/>
          <w:marTop w:val="0"/>
          <w:marBottom w:val="0"/>
          <w:divBdr>
            <w:top w:val="none" w:sz="0" w:space="0" w:color="auto"/>
            <w:left w:val="none" w:sz="0" w:space="0" w:color="auto"/>
            <w:bottom w:val="none" w:sz="0" w:space="0" w:color="auto"/>
            <w:right w:val="none" w:sz="0" w:space="0" w:color="auto"/>
          </w:divBdr>
        </w:div>
        <w:div w:id="102766820">
          <w:marLeft w:val="0"/>
          <w:marRight w:val="0"/>
          <w:marTop w:val="0"/>
          <w:marBottom w:val="0"/>
          <w:divBdr>
            <w:top w:val="none" w:sz="0" w:space="0" w:color="auto"/>
            <w:left w:val="none" w:sz="0" w:space="0" w:color="auto"/>
            <w:bottom w:val="none" w:sz="0" w:space="0" w:color="auto"/>
            <w:right w:val="none" w:sz="0" w:space="0" w:color="auto"/>
          </w:divBdr>
        </w:div>
        <w:div w:id="148834246">
          <w:marLeft w:val="0"/>
          <w:marRight w:val="0"/>
          <w:marTop w:val="0"/>
          <w:marBottom w:val="0"/>
          <w:divBdr>
            <w:top w:val="none" w:sz="0" w:space="0" w:color="auto"/>
            <w:left w:val="none" w:sz="0" w:space="0" w:color="auto"/>
            <w:bottom w:val="none" w:sz="0" w:space="0" w:color="auto"/>
            <w:right w:val="none" w:sz="0" w:space="0" w:color="auto"/>
          </w:divBdr>
        </w:div>
        <w:div w:id="169101943">
          <w:marLeft w:val="0"/>
          <w:marRight w:val="0"/>
          <w:marTop w:val="0"/>
          <w:marBottom w:val="0"/>
          <w:divBdr>
            <w:top w:val="none" w:sz="0" w:space="0" w:color="auto"/>
            <w:left w:val="none" w:sz="0" w:space="0" w:color="auto"/>
            <w:bottom w:val="none" w:sz="0" w:space="0" w:color="auto"/>
            <w:right w:val="none" w:sz="0" w:space="0" w:color="auto"/>
          </w:divBdr>
        </w:div>
        <w:div w:id="177626204">
          <w:marLeft w:val="0"/>
          <w:marRight w:val="0"/>
          <w:marTop w:val="0"/>
          <w:marBottom w:val="0"/>
          <w:divBdr>
            <w:top w:val="none" w:sz="0" w:space="0" w:color="auto"/>
            <w:left w:val="none" w:sz="0" w:space="0" w:color="auto"/>
            <w:bottom w:val="none" w:sz="0" w:space="0" w:color="auto"/>
            <w:right w:val="none" w:sz="0" w:space="0" w:color="auto"/>
          </w:divBdr>
        </w:div>
        <w:div w:id="189148974">
          <w:marLeft w:val="0"/>
          <w:marRight w:val="0"/>
          <w:marTop w:val="0"/>
          <w:marBottom w:val="0"/>
          <w:divBdr>
            <w:top w:val="none" w:sz="0" w:space="0" w:color="auto"/>
            <w:left w:val="none" w:sz="0" w:space="0" w:color="auto"/>
            <w:bottom w:val="none" w:sz="0" w:space="0" w:color="auto"/>
            <w:right w:val="none" w:sz="0" w:space="0" w:color="auto"/>
          </w:divBdr>
        </w:div>
        <w:div w:id="213468607">
          <w:marLeft w:val="0"/>
          <w:marRight w:val="0"/>
          <w:marTop w:val="0"/>
          <w:marBottom w:val="0"/>
          <w:divBdr>
            <w:top w:val="none" w:sz="0" w:space="0" w:color="auto"/>
            <w:left w:val="none" w:sz="0" w:space="0" w:color="auto"/>
            <w:bottom w:val="none" w:sz="0" w:space="0" w:color="auto"/>
            <w:right w:val="none" w:sz="0" w:space="0" w:color="auto"/>
          </w:divBdr>
        </w:div>
        <w:div w:id="214120883">
          <w:marLeft w:val="0"/>
          <w:marRight w:val="0"/>
          <w:marTop w:val="0"/>
          <w:marBottom w:val="0"/>
          <w:divBdr>
            <w:top w:val="none" w:sz="0" w:space="0" w:color="auto"/>
            <w:left w:val="none" w:sz="0" w:space="0" w:color="auto"/>
            <w:bottom w:val="none" w:sz="0" w:space="0" w:color="auto"/>
            <w:right w:val="none" w:sz="0" w:space="0" w:color="auto"/>
          </w:divBdr>
        </w:div>
        <w:div w:id="255942940">
          <w:marLeft w:val="0"/>
          <w:marRight w:val="0"/>
          <w:marTop w:val="0"/>
          <w:marBottom w:val="0"/>
          <w:divBdr>
            <w:top w:val="none" w:sz="0" w:space="0" w:color="auto"/>
            <w:left w:val="none" w:sz="0" w:space="0" w:color="auto"/>
            <w:bottom w:val="none" w:sz="0" w:space="0" w:color="auto"/>
            <w:right w:val="none" w:sz="0" w:space="0" w:color="auto"/>
          </w:divBdr>
        </w:div>
        <w:div w:id="299728756">
          <w:marLeft w:val="0"/>
          <w:marRight w:val="0"/>
          <w:marTop w:val="0"/>
          <w:marBottom w:val="0"/>
          <w:divBdr>
            <w:top w:val="none" w:sz="0" w:space="0" w:color="auto"/>
            <w:left w:val="none" w:sz="0" w:space="0" w:color="auto"/>
            <w:bottom w:val="none" w:sz="0" w:space="0" w:color="auto"/>
            <w:right w:val="none" w:sz="0" w:space="0" w:color="auto"/>
          </w:divBdr>
        </w:div>
        <w:div w:id="302273107">
          <w:marLeft w:val="0"/>
          <w:marRight w:val="0"/>
          <w:marTop w:val="0"/>
          <w:marBottom w:val="0"/>
          <w:divBdr>
            <w:top w:val="none" w:sz="0" w:space="0" w:color="auto"/>
            <w:left w:val="none" w:sz="0" w:space="0" w:color="auto"/>
            <w:bottom w:val="none" w:sz="0" w:space="0" w:color="auto"/>
            <w:right w:val="none" w:sz="0" w:space="0" w:color="auto"/>
          </w:divBdr>
        </w:div>
        <w:div w:id="310016370">
          <w:marLeft w:val="0"/>
          <w:marRight w:val="0"/>
          <w:marTop w:val="0"/>
          <w:marBottom w:val="0"/>
          <w:divBdr>
            <w:top w:val="none" w:sz="0" w:space="0" w:color="auto"/>
            <w:left w:val="none" w:sz="0" w:space="0" w:color="auto"/>
            <w:bottom w:val="none" w:sz="0" w:space="0" w:color="auto"/>
            <w:right w:val="none" w:sz="0" w:space="0" w:color="auto"/>
          </w:divBdr>
        </w:div>
        <w:div w:id="354774788">
          <w:marLeft w:val="0"/>
          <w:marRight w:val="0"/>
          <w:marTop w:val="0"/>
          <w:marBottom w:val="0"/>
          <w:divBdr>
            <w:top w:val="none" w:sz="0" w:space="0" w:color="auto"/>
            <w:left w:val="none" w:sz="0" w:space="0" w:color="auto"/>
            <w:bottom w:val="none" w:sz="0" w:space="0" w:color="auto"/>
            <w:right w:val="none" w:sz="0" w:space="0" w:color="auto"/>
          </w:divBdr>
        </w:div>
        <w:div w:id="358161487">
          <w:marLeft w:val="0"/>
          <w:marRight w:val="0"/>
          <w:marTop w:val="0"/>
          <w:marBottom w:val="0"/>
          <w:divBdr>
            <w:top w:val="none" w:sz="0" w:space="0" w:color="auto"/>
            <w:left w:val="none" w:sz="0" w:space="0" w:color="auto"/>
            <w:bottom w:val="none" w:sz="0" w:space="0" w:color="auto"/>
            <w:right w:val="none" w:sz="0" w:space="0" w:color="auto"/>
          </w:divBdr>
        </w:div>
        <w:div w:id="380833434">
          <w:marLeft w:val="0"/>
          <w:marRight w:val="0"/>
          <w:marTop w:val="0"/>
          <w:marBottom w:val="0"/>
          <w:divBdr>
            <w:top w:val="none" w:sz="0" w:space="0" w:color="auto"/>
            <w:left w:val="none" w:sz="0" w:space="0" w:color="auto"/>
            <w:bottom w:val="none" w:sz="0" w:space="0" w:color="auto"/>
            <w:right w:val="none" w:sz="0" w:space="0" w:color="auto"/>
          </w:divBdr>
        </w:div>
        <w:div w:id="436221033">
          <w:marLeft w:val="0"/>
          <w:marRight w:val="0"/>
          <w:marTop w:val="0"/>
          <w:marBottom w:val="0"/>
          <w:divBdr>
            <w:top w:val="none" w:sz="0" w:space="0" w:color="auto"/>
            <w:left w:val="none" w:sz="0" w:space="0" w:color="auto"/>
            <w:bottom w:val="none" w:sz="0" w:space="0" w:color="auto"/>
            <w:right w:val="none" w:sz="0" w:space="0" w:color="auto"/>
          </w:divBdr>
        </w:div>
        <w:div w:id="439229575">
          <w:marLeft w:val="0"/>
          <w:marRight w:val="0"/>
          <w:marTop w:val="0"/>
          <w:marBottom w:val="0"/>
          <w:divBdr>
            <w:top w:val="none" w:sz="0" w:space="0" w:color="auto"/>
            <w:left w:val="none" w:sz="0" w:space="0" w:color="auto"/>
            <w:bottom w:val="none" w:sz="0" w:space="0" w:color="auto"/>
            <w:right w:val="none" w:sz="0" w:space="0" w:color="auto"/>
          </w:divBdr>
        </w:div>
        <w:div w:id="495072558">
          <w:marLeft w:val="0"/>
          <w:marRight w:val="0"/>
          <w:marTop w:val="0"/>
          <w:marBottom w:val="0"/>
          <w:divBdr>
            <w:top w:val="none" w:sz="0" w:space="0" w:color="auto"/>
            <w:left w:val="none" w:sz="0" w:space="0" w:color="auto"/>
            <w:bottom w:val="none" w:sz="0" w:space="0" w:color="auto"/>
            <w:right w:val="none" w:sz="0" w:space="0" w:color="auto"/>
          </w:divBdr>
        </w:div>
        <w:div w:id="504589525">
          <w:marLeft w:val="0"/>
          <w:marRight w:val="0"/>
          <w:marTop w:val="0"/>
          <w:marBottom w:val="0"/>
          <w:divBdr>
            <w:top w:val="none" w:sz="0" w:space="0" w:color="auto"/>
            <w:left w:val="none" w:sz="0" w:space="0" w:color="auto"/>
            <w:bottom w:val="none" w:sz="0" w:space="0" w:color="auto"/>
            <w:right w:val="none" w:sz="0" w:space="0" w:color="auto"/>
          </w:divBdr>
        </w:div>
        <w:div w:id="519977719">
          <w:marLeft w:val="0"/>
          <w:marRight w:val="0"/>
          <w:marTop w:val="0"/>
          <w:marBottom w:val="0"/>
          <w:divBdr>
            <w:top w:val="none" w:sz="0" w:space="0" w:color="auto"/>
            <w:left w:val="none" w:sz="0" w:space="0" w:color="auto"/>
            <w:bottom w:val="none" w:sz="0" w:space="0" w:color="auto"/>
            <w:right w:val="none" w:sz="0" w:space="0" w:color="auto"/>
          </w:divBdr>
        </w:div>
        <w:div w:id="524484700">
          <w:marLeft w:val="0"/>
          <w:marRight w:val="0"/>
          <w:marTop w:val="0"/>
          <w:marBottom w:val="0"/>
          <w:divBdr>
            <w:top w:val="none" w:sz="0" w:space="0" w:color="auto"/>
            <w:left w:val="none" w:sz="0" w:space="0" w:color="auto"/>
            <w:bottom w:val="none" w:sz="0" w:space="0" w:color="auto"/>
            <w:right w:val="none" w:sz="0" w:space="0" w:color="auto"/>
          </w:divBdr>
        </w:div>
        <w:div w:id="532573792">
          <w:marLeft w:val="0"/>
          <w:marRight w:val="0"/>
          <w:marTop w:val="0"/>
          <w:marBottom w:val="0"/>
          <w:divBdr>
            <w:top w:val="none" w:sz="0" w:space="0" w:color="auto"/>
            <w:left w:val="none" w:sz="0" w:space="0" w:color="auto"/>
            <w:bottom w:val="none" w:sz="0" w:space="0" w:color="auto"/>
            <w:right w:val="none" w:sz="0" w:space="0" w:color="auto"/>
          </w:divBdr>
        </w:div>
        <w:div w:id="537788640">
          <w:marLeft w:val="0"/>
          <w:marRight w:val="0"/>
          <w:marTop w:val="0"/>
          <w:marBottom w:val="0"/>
          <w:divBdr>
            <w:top w:val="none" w:sz="0" w:space="0" w:color="auto"/>
            <w:left w:val="none" w:sz="0" w:space="0" w:color="auto"/>
            <w:bottom w:val="none" w:sz="0" w:space="0" w:color="auto"/>
            <w:right w:val="none" w:sz="0" w:space="0" w:color="auto"/>
          </w:divBdr>
        </w:div>
        <w:div w:id="539784245">
          <w:marLeft w:val="0"/>
          <w:marRight w:val="0"/>
          <w:marTop w:val="0"/>
          <w:marBottom w:val="0"/>
          <w:divBdr>
            <w:top w:val="none" w:sz="0" w:space="0" w:color="auto"/>
            <w:left w:val="none" w:sz="0" w:space="0" w:color="auto"/>
            <w:bottom w:val="none" w:sz="0" w:space="0" w:color="auto"/>
            <w:right w:val="none" w:sz="0" w:space="0" w:color="auto"/>
          </w:divBdr>
        </w:div>
        <w:div w:id="556740220">
          <w:marLeft w:val="0"/>
          <w:marRight w:val="0"/>
          <w:marTop w:val="0"/>
          <w:marBottom w:val="0"/>
          <w:divBdr>
            <w:top w:val="none" w:sz="0" w:space="0" w:color="auto"/>
            <w:left w:val="none" w:sz="0" w:space="0" w:color="auto"/>
            <w:bottom w:val="none" w:sz="0" w:space="0" w:color="auto"/>
            <w:right w:val="none" w:sz="0" w:space="0" w:color="auto"/>
          </w:divBdr>
        </w:div>
        <w:div w:id="561597463">
          <w:marLeft w:val="0"/>
          <w:marRight w:val="0"/>
          <w:marTop w:val="0"/>
          <w:marBottom w:val="0"/>
          <w:divBdr>
            <w:top w:val="none" w:sz="0" w:space="0" w:color="auto"/>
            <w:left w:val="none" w:sz="0" w:space="0" w:color="auto"/>
            <w:bottom w:val="none" w:sz="0" w:space="0" w:color="auto"/>
            <w:right w:val="none" w:sz="0" w:space="0" w:color="auto"/>
          </w:divBdr>
        </w:div>
        <w:div w:id="579759421">
          <w:marLeft w:val="0"/>
          <w:marRight w:val="0"/>
          <w:marTop w:val="0"/>
          <w:marBottom w:val="0"/>
          <w:divBdr>
            <w:top w:val="none" w:sz="0" w:space="0" w:color="auto"/>
            <w:left w:val="none" w:sz="0" w:space="0" w:color="auto"/>
            <w:bottom w:val="none" w:sz="0" w:space="0" w:color="auto"/>
            <w:right w:val="none" w:sz="0" w:space="0" w:color="auto"/>
          </w:divBdr>
        </w:div>
        <w:div w:id="601378845">
          <w:marLeft w:val="0"/>
          <w:marRight w:val="0"/>
          <w:marTop w:val="0"/>
          <w:marBottom w:val="0"/>
          <w:divBdr>
            <w:top w:val="none" w:sz="0" w:space="0" w:color="auto"/>
            <w:left w:val="none" w:sz="0" w:space="0" w:color="auto"/>
            <w:bottom w:val="none" w:sz="0" w:space="0" w:color="auto"/>
            <w:right w:val="none" w:sz="0" w:space="0" w:color="auto"/>
          </w:divBdr>
        </w:div>
        <w:div w:id="636765576">
          <w:marLeft w:val="0"/>
          <w:marRight w:val="0"/>
          <w:marTop w:val="0"/>
          <w:marBottom w:val="0"/>
          <w:divBdr>
            <w:top w:val="none" w:sz="0" w:space="0" w:color="auto"/>
            <w:left w:val="none" w:sz="0" w:space="0" w:color="auto"/>
            <w:bottom w:val="none" w:sz="0" w:space="0" w:color="auto"/>
            <w:right w:val="none" w:sz="0" w:space="0" w:color="auto"/>
          </w:divBdr>
        </w:div>
        <w:div w:id="641158379">
          <w:marLeft w:val="0"/>
          <w:marRight w:val="0"/>
          <w:marTop w:val="0"/>
          <w:marBottom w:val="0"/>
          <w:divBdr>
            <w:top w:val="none" w:sz="0" w:space="0" w:color="auto"/>
            <w:left w:val="none" w:sz="0" w:space="0" w:color="auto"/>
            <w:bottom w:val="none" w:sz="0" w:space="0" w:color="auto"/>
            <w:right w:val="none" w:sz="0" w:space="0" w:color="auto"/>
          </w:divBdr>
        </w:div>
        <w:div w:id="652486878">
          <w:marLeft w:val="0"/>
          <w:marRight w:val="0"/>
          <w:marTop w:val="0"/>
          <w:marBottom w:val="0"/>
          <w:divBdr>
            <w:top w:val="none" w:sz="0" w:space="0" w:color="auto"/>
            <w:left w:val="none" w:sz="0" w:space="0" w:color="auto"/>
            <w:bottom w:val="none" w:sz="0" w:space="0" w:color="auto"/>
            <w:right w:val="none" w:sz="0" w:space="0" w:color="auto"/>
          </w:divBdr>
        </w:div>
        <w:div w:id="657685494">
          <w:marLeft w:val="0"/>
          <w:marRight w:val="0"/>
          <w:marTop w:val="0"/>
          <w:marBottom w:val="0"/>
          <w:divBdr>
            <w:top w:val="none" w:sz="0" w:space="0" w:color="auto"/>
            <w:left w:val="none" w:sz="0" w:space="0" w:color="auto"/>
            <w:bottom w:val="none" w:sz="0" w:space="0" w:color="auto"/>
            <w:right w:val="none" w:sz="0" w:space="0" w:color="auto"/>
          </w:divBdr>
        </w:div>
        <w:div w:id="666711748">
          <w:marLeft w:val="0"/>
          <w:marRight w:val="0"/>
          <w:marTop w:val="0"/>
          <w:marBottom w:val="0"/>
          <w:divBdr>
            <w:top w:val="none" w:sz="0" w:space="0" w:color="auto"/>
            <w:left w:val="none" w:sz="0" w:space="0" w:color="auto"/>
            <w:bottom w:val="none" w:sz="0" w:space="0" w:color="auto"/>
            <w:right w:val="none" w:sz="0" w:space="0" w:color="auto"/>
          </w:divBdr>
        </w:div>
        <w:div w:id="672729049">
          <w:marLeft w:val="0"/>
          <w:marRight w:val="0"/>
          <w:marTop w:val="0"/>
          <w:marBottom w:val="0"/>
          <w:divBdr>
            <w:top w:val="none" w:sz="0" w:space="0" w:color="auto"/>
            <w:left w:val="none" w:sz="0" w:space="0" w:color="auto"/>
            <w:bottom w:val="none" w:sz="0" w:space="0" w:color="auto"/>
            <w:right w:val="none" w:sz="0" w:space="0" w:color="auto"/>
          </w:divBdr>
        </w:div>
        <w:div w:id="683289023">
          <w:marLeft w:val="0"/>
          <w:marRight w:val="0"/>
          <w:marTop w:val="0"/>
          <w:marBottom w:val="0"/>
          <w:divBdr>
            <w:top w:val="none" w:sz="0" w:space="0" w:color="auto"/>
            <w:left w:val="none" w:sz="0" w:space="0" w:color="auto"/>
            <w:bottom w:val="none" w:sz="0" w:space="0" w:color="auto"/>
            <w:right w:val="none" w:sz="0" w:space="0" w:color="auto"/>
          </w:divBdr>
        </w:div>
        <w:div w:id="692535113">
          <w:marLeft w:val="0"/>
          <w:marRight w:val="0"/>
          <w:marTop w:val="0"/>
          <w:marBottom w:val="0"/>
          <w:divBdr>
            <w:top w:val="none" w:sz="0" w:space="0" w:color="auto"/>
            <w:left w:val="none" w:sz="0" w:space="0" w:color="auto"/>
            <w:bottom w:val="none" w:sz="0" w:space="0" w:color="auto"/>
            <w:right w:val="none" w:sz="0" w:space="0" w:color="auto"/>
          </w:divBdr>
        </w:div>
        <w:div w:id="713700771">
          <w:marLeft w:val="0"/>
          <w:marRight w:val="0"/>
          <w:marTop w:val="0"/>
          <w:marBottom w:val="0"/>
          <w:divBdr>
            <w:top w:val="none" w:sz="0" w:space="0" w:color="auto"/>
            <w:left w:val="none" w:sz="0" w:space="0" w:color="auto"/>
            <w:bottom w:val="none" w:sz="0" w:space="0" w:color="auto"/>
            <w:right w:val="none" w:sz="0" w:space="0" w:color="auto"/>
          </w:divBdr>
        </w:div>
        <w:div w:id="798570127">
          <w:marLeft w:val="0"/>
          <w:marRight w:val="0"/>
          <w:marTop w:val="0"/>
          <w:marBottom w:val="0"/>
          <w:divBdr>
            <w:top w:val="none" w:sz="0" w:space="0" w:color="auto"/>
            <w:left w:val="none" w:sz="0" w:space="0" w:color="auto"/>
            <w:bottom w:val="none" w:sz="0" w:space="0" w:color="auto"/>
            <w:right w:val="none" w:sz="0" w:space="0" w:color="auto"/>
          </w:divBdr>
        </w:div>
        <w:div w:id="817382635">
          <w:marLeft w:val="0"/>
          <w:marRight w:val="0"/>
          <w:marTop w:val="0"/>
          <w:marBottom w:val="0"/>
          <w:divBdr>
            <w:top w:val="none" w:sz="0" w:space="0" w:color="auto"/>
            <w:left w:val="none" w:sz="0" w:space="0" w:color="auto"/>
            <w:bottom w:val="none" w:sz="0" w:space="0" w:color="auto"/>
            <w:right w:val="none" w:sz="0" w:space="0" w:color="auto"/>
          </w:divBdr>
        </w:div>
        <w:div w:id="830096460">
          <w:marLeft w:val="0"/>
          <w:marRight w:val="0"/>
          <w:marTop w:val="0"/>
          <w:marBottom w:val="0"/>
          <w:divBdr>
            <w:top w:val="none" w:sz="0" w:space="0" w:color="auto"/>
            <w:left w:val="none" w:sz="0" w:space="0" w:color="auto"/>
            <w:bottom w:val="none" w:sz="0" w:space="0" w:color="auto"/>
            <w:right w:val="none" w:sz="0" w:space="0" w:color="auto"/>
          </w:divBdr>
        </w:div>
        <w:div w:id="840967207">
          <w:marLeft w:val="0"/>
          <w:marRight w:val="0"/>
          <w:marTop w:val="0"/>
          <w:marBottom w:val="0"/>
          <w:divBdr>
            <w:top w:val="none" w:sz="0" w:space="0" w:color="auto"/>
            <w:left w:val="none" w:sz="0" w:space="0" w:color="auto"/>
            <w:bottom w:val="none" w:sz="0" w:space="0" w:color="auto"/>
            <w:right w:val="none" w:sz="0" w:space="0" w:color="auto"/>
          </w:divBdr>
        </w:div>
        <w:div w:id="841314729">
          <w:marLeft w:val="0"/>
          <w:marRight w:val="0"/>
          <w:marTop w:val="0"/>
          <w:marBottom w:val="0"/>
          <w:divBdr>
            <w:top w:val="none" w:sz="0" w:space="0" w:color="auto"/>
            <w:left w:val="none" w:sz="0" w:space="0" w:color="auto"/>
            <w:bottom w:val="none" w:sz="0" w:space="0" w:color="auto"/>
            <w:right w:val="none" w:sz="0" w:space="0" w:color="auto"/>
          </w:divBdr>
        </w:div>
        <w:div w:id="842087226">
          <w:marLeft w:val="0"/>
          <w:marRight w:val="0"/>
          <w:marTop w:val="0"/>
          <w:marBottom w:val="0"/>
          <w:divBdr>
            <w:top w:val="none" w:sz="0" w:space="0" w:color="auto"/>
            <w:left w:val="none" w:sz="0" w:space="0" w:color="auto"/>
            <w:bottom w:val="none" w:sz="0" w:space="0" w:color="auto"/>
            <w:right w:val="none" w:sz="0" w:space="0" w:color="auto"/>
          </w:divBdr>
        </w:div>
        <w:div w:id="852374999">
          <w:marLeft w:val="0"/>
          <w:marRight w:val="0"/>
          <w:marTop w:val="0"/>
          <w:marBottom w:val="0"/>
          <w:divBdr>
            <w:top w:val="none" w:sz="0" w:space="0" w:color="auto"/>
            <w:left w:val="none" w:sz="0" w:space="0" w:color="auto"/>
            <w:bottom w:val="none" w:sz="0" w:space="0" w:color="auto"/>
            <w:right w:val="none" w:sz="0" w:space="0" w:color="auto"/>
          </w:divBdr>
        </w:div>
        <w:div w:id="859582355">
          <w:marLeft w:val="0"/>
          <w:marRight w:val="0"/>
          <w:marTop w:val="0"/>
          <w:marBottom w:val="0"/>
          <w:divBdr>
            <w:top w:val="none" w:sz="0" w:space="0" w:color="auto"/>
            <w:left w:val="none" w:sz="0" w:space="0" w:color="auto"/>
            <w:bottom w:val="none" w:sz="0" w:space="0" w:color="auto"/>
            <w:right w:val="none" w:sz="0" w:space="0" w:color="auto"/>
          </w:divBdr>
        </w:div>
        <w:div w:id="862741802">
          <w:marLeft w:val="0"/>
          <w:marRight w:val="0"/>
          <w:marTop w:val="0"/>
          <w:marBottom w:val="0"/>
          <w:divBdr>
            <w:top w:val="none" w:sz="0" w:space="0" w:color="auto"/>
            <w:left w:val="none" w:sz="0" w:space="0" w:color="auto"/>
            <w:bottom w:val="none" w:sz="0" w:space="0" w:color="auto"/>
            <w:right w:val="none" w:sz="0" w:space="0" w:color="auto"/>
          </w:divBdr>
        </w:div>
        <w:div w:id="878392818">
          <w:marLeft w:val="0"/>
          <w:marRight w:val="0"/>
          <w:marTop w:val="0"/>
          <w:marBottom w:val="0"/>
          <w:divBdr>
            <w:top w:val="none" w:sz="0" w:space="0" w:color="auto"/>
            <w:left w:val="none" w:sz="0" w:space="0" w:color="auto"/>
            <w:bottom w:val="none" w:sz="0" w:space="0" w:color="auto"/>
            <w:right w:val="none" w:sz="0" w:space="0" w:color="auto"/>
          </w:divBdr>
        </w:div>
        <w:div w:id="926578250">
          <w:marLeft w:val="0"/>
          <w:marRight w:val="0"/>
          <w:marTop w:val="0"/>
          <w:marBottom w:val="0"/>
          <w:divBdr>
            <w:top w:val="none" w:sz="0" w:space="0" w:color="auto"/>
            <w:left w:val="none" w:sz="0" w:space="0" w:color="auto"/>
            <w:bottom w:val="none" w:sz="0" w:space="0" w:color="auto"/>
            <w:right w:val="none" w:sz="0" w:space="0" w:color="auto"/>
          </w:divBdr>
        </w:div>
        <w:div w:id="970019272">
          <w:marLeft w:val="0"/>
          <w:marRight w:val="0"/>
          <w:marTop w:val="0"/>
          <w:marBottom w:val="0"/>
          <w:divBdr>
            <w:top w:val="none" w:sz="0" w:space="0" w:color="auto"/>
            <w:left w:val="none" w:sz="0" w:space="0" w:color="auto"/>
            <w:bottom w:val="none" w:sz="0" w:space="0" w:color="auto"/>
            <w:right w:val="none" w:sz="0" w:space="0" w:color="auto"/>
          </w:divBdr>
        </w:div>
        <w:div w:id="1002853231">
          <w:marLeft w:val="0"/>
          <w:marRight w:val="0"/>
          <w:marTop w:val="0"/>
          <w:marBottom w:val="0"/>
          <w:divBdr>
            <w:top w:val="none" w:sz="0" w:space="0" w:color="auto"/>
            <w:left w:val="none" w:sz="0" w:space="0" w:color="auto"/>
            <w:bottom w:val="none" w:sz="0" w:space="0" w:color="auto"/>
            <w:right w:val="none" w:sz="0" w:space="0" w:color="auto"/>
          </w:divBdr>
        </w:div>
        <w:div w:id="1019308689">
          <w:marLeft w:val="0"/>
          <w:marRight w:val="0"/>
          <w:marTop w:val="0"/>
          <w:marBottom w:val="0"/>
          <w:divBdr>
            <w:top w:val="none" w:sz="0" w:space="0" w:color="auto"/>
            <w:left w:val="none" w:sz="0" w:space="0" w:color="auto"/>
            <w:bottom w:val="none" w:sz="0" w:space="0" w:color="auto"/>
            <w:right w:val="none" w:sz="0" w:space="0" w:color="auto"/>
          </w:divBdr>
        </w:div>
        <w:div w:id="1046369908">
          <w:marLeft w:val="0"/>
          <w:marRight w:val="0"/>
          <w:marTop w:val="0"/>
          <w:marBottom w:val="0"/>
          <w:divBdr>
            <w:top w:val="none" w:sz="0" w:space="0" w:color="auto"/>
            <w:left w:val="none" w:sz="0" w:space="0" w:color="auto"/>
            <w:bottom w:val="none" w:sz="0" w:space="0" w:color="auto"/>
            <w:right w:val="none" w:sz="0" w:space="0" w:color="auto"/>
          </w:divBdr>
        </w:div>
        <w:div w:id="1052923752">
          <w:marLeft w:val="0"/>
          <w:marRight w:val="0"/>
          <w:marTop w:val="0"/>
          <w:marBottom w:val="0"/>
          <w:divBdr>
            <w:top w:val="none" w:sz="0" w:space="0" w:color="auto"/>
            <w:left w:val="none" w:sz="0" w:space="0" w:color="auto"/>
            <w:bottom w:val="none" w:sz="0" w:space="0" w:color="auto"/>
            <w:right w:val="none" w:sz="0" w:space="0" w:color="auto"/>
          </w:divBdr>
        </w:div>
        <w:div w:id="1073627851">
          <w:marLeft w:val="0"/>
          <w:marRight w:val="0"/>
          <w:marTop w:val="0"/>
          <w:marBottom w:val="0"/>
          <w:divBdr>
            <w:top w:val="none" w:sz="0" w:space="0" w:color="auto"/>
            <w:left w:val="none" w:sz="0" w:space="0" w:color="auto"/>
            <w:bottom w:val="none" w:sz="0" w:space="0" w:color="auto"/>
            <w:right w:val="none" w:sz="0" w:space="0" w:color="auto"/>
          </w:divBdr>
        </w:div>
        <w:div w:id="1122840084">
          <w:marLeft w:val="0"/>
          <w:marRight w:val="0"/>
          <w:marTop w:val="0"/>
          <w:marBottom w:val="0"/>
          <w:divBdr>
            <w:top w:val="none" w:sz="0" w:space="0" w:color="auto"/>
            <w:left w:val="none" w:sz="0" w:space="0" w:color="auto"/>
            <w:bottom w:val="none" w:sz="0" w:space="0" w:color="auto"/>
            <w:right w:val="none" w:sz="0" w:space="0" w:color="auto"/>
          </w:divBdr>
        </w:div>
        <w:div w:id="1130513253">
          <w:marLeft w:val="0"/>
          <w:marRight w:val="0"/>
          <w:marTop w:val="0"/>
          <w:marBottom w:val="0"/>
          <w:divBdr>
            <w:top w:val="none" w:sz="0" w:space="0" w:color="auto"/>
            <w:left w:val="none" w:sz="0" w:space="0" w:color="auto"/>
            <w:bottom w:val="none" w:sz="0" w:space="0" w:color="auto"/>
            <w:right w:val="none" w:sz="0" w:space="0" w:color="auto"/>
          </w:divBdr>
        </w:div>
        <w:div w:id="1157840979">
          <w:marLeft w:val="0"/>
          <w:marRight w:val="0"/>
          <w:marTop w:val="0"/>
          <w:marBottom w:val="0"/>
          <w:divBdr>
            <w:top w:val="none" w:sz="0" w:space="0" w:color="auto"/>
            <w:left w:val="none" w:sz="0" w:space="0" w:color="auto"/>
            <w:bottom w:val="none" w:sz="0" w:space="0" w:color="auto"/>
            <w:right w:val="none" w:sz="0" w:space="0" w:color="auto"/>
          </w:divBdr>
        </w:div>
        <w:div w:id="1161852661">
          <w:marLeft w:val="0"/>
          <w:marRight w:val="0"/>
          <w:marTop w:val="0"/>
          <w:marBottom w:val="0"/>
          <w:divBdr>
            <w:top w:val="none" w:sz="0" w:space="0" w:color="auto"/>
            <w:left w:val="none" w:sz="0" w:space="0" w:color="auto"/>
            <w:bottom w:val="none" w:sz="0" w:space="0" w:color="auto"/>
            <w:right w:val="none" w:sz="0" w:space="0" w:color="auto"/>
          </w:divBdr>
        </w:div>
        <w:div w:id="1166358851">
          <w:marLeft w:val="0"/>
          <w:marRight w:val="0"/>
          <w:marTop w:val="0"/>
          <w:marBottom w:val="0"/>
          <w:divBdr>
            <w:top w:val="none" w:sz="0" w:space="0" w:color="auto"/>
            <w:left w:val="none" w:sz="0" w:space="0" w:color="auto"/>
            <w:bottom w:val="none" w:sz="0" w:space="0" w:color="auto"/>
            <w:right w:val="none" w:sz="0" w:space="0" w:color="auto"/>
          </w:divBdr>
        </w:div>
        <w:div w:id="1170028398">
          <w:marLeft w:val="0"/>
          <w:marRight w:val="0"/>
          <w:marTop w:val="0"/>
          <w:marBottom w:val="0"/>
          <w:divBdr>
            <w:top w:val="none" w:sz="0" w:space="0" w:color="auto"/>
            <w:left w:val="none" w:sz="0" w:space="0" w:color="auto"/>
            <w:bottom w:val="none" w:sz="0" w:space="0" w:color="auto"/>
            <w:right w:val="none" w:sz="0" w:space="0" w:color="auto"/>
          </w:divBdr>
        </w:div>
        <w:div w:id="1267888199">
          <w:marLeft w:val="0"/>
          <w:marRight w:val="0"/>
          <w:marTop w:val="0"/>
          <w:marBottom w:val="0"/>
          <w:divBdr>
            <w:top w:val="none" w:sz="0" w:space="0" w:color="auto"/>
            <w:left w:val="none" w:sz="0" w:space="0" w:color="auto"/>
            <w:bottom w:val="none" w:sz="0" w:space="0" w:color="auto"/>
            <w:right w:val="none" w:sz="0" w:space="0" w:color="auto"/>
          </w:divBdr>
        </w:div>
        <w:div w:id="1274049225">
          <w:marLeft w:val="0"/>
          <w:marRight w:val="0"/>
          <w:marTop w:val="0"/>
          <w:marBottom w:val="0"/>
          <w:divBdr>
            <w:top w:val="none" w:sz="0" w:space="0" w:color="auto"/>
            <w:left w:val="none" w:sz="0" w:space="0" w:color="auto"/>
            <w:bottom w:val="none" w:sz="0" w:space="0" w:color="auto"/>
            <w:right w:val="none" w:sz="0" w:space="0" w:color="auto"/>
          </w:divBdr>
        </w:div>
        <w:div w:id="1276668685">
          <w:marLeft w:val="0"/>
          <w:marRight w:val="0"/>
          <w:marTop w:val="0"/>
          <w:marBottom w:val="0"/>
          <w:divBdr>
            <w:top w:val="none" w:sz="0" w:space="0" w:color="auto"/>
            <w:left w:val="none" w:sz="0" w:space="0" w:color="auto"/>
            <w:bottom w:val="none" w:sz="0" w:space="0" w:color="auto"/>
            <w:right w:val="none" w:sz="0" w:space="0" w:color="auto"/>
          </w:divBdr>
        </w:div>
        <w:div w:id="1314870071">
          <w:marLeft w:val="0"/>
          <w:marRight w:val="0"/>
          <w:marTop w:val="0"/>
          <w:marBottom w:val="0"/>
          <w:divBdr>
            <w:top w:val="none" w:sz="0" w:space="0" w:color="auto"/>
            <w:left w:val="none" w:sz="0" w:space="0" w:color="auto"/>
            <w:bottom w:val="none" w:sz="0" w:space="0" w:color="auto"/>
            <w:right w:val="none" w:sz="0" w:space="0" w:color="auto"/>
          </w:divBdr>
        </w:div>
        <w:div w:id="1317300038">
          <w:marLeft w:val="0"/>
          <w:marRight w:val="0"/>
          <w:marTop w:val="0"/>
          <w:marBottom w:val="0"/>
          <w:divBdr>
            <w:top w:val="none" w:sz="0" w:space="0" w:color="auto"/>
            <w:left w:val="none" w:sz="0" w:space="0" w:color="auto"/>
            <w:bottom w:val="none" w:sz="0" w:space="0" w:color="auto"/>
            <w:right w:val="none" w:sz="0" w:space="0" w:color="auto"/>
          </w:divBdr>
        </w:div>
        <w:div w:id="1329283817">
          <w:marLeft w:val="0"/>
          <w:marRight w:val="0"/>
          <w:marTop w:val="0"/>
          <w:marBottom w:val="0"/>
          <w:divBdr>
            <w:top w:val="none" w:sz="0" w:space="0" w:color="auto"/>
            <w:left w:val="none" w:sz="0" w:space="0" w:color="auto"/>
            <w:bottom w:val="none" w:sz="0" w:space="0" w:color="auto"/>
            <w:right w:val="none" w:sz="0" w:space="0" w:color="auto"/>
          </w:divBdr>
        </w:div>
        <w:div w:id="1353726287">
          <w:marLeft w:val="0"/>
          <w:marRight w:val="0"/>
          <w:marTop w:val="0"/>
          <w:marBottom w:val="0"/>
          <w:divBdr>
            <w:top w:val="none" w:sz="0" w:space="0" w:color="auto"/>
            <w:left w:val="none" w:sz="0" w:space="0" w:color="auto"/>
            <w:bottom w:val="none" w:sz="0" w:space="0" w:color="auto"/>
            <w:right w:val="none" w:sz="0" w:space="0" w:color="auto"/>
          </w:divBdr>
        </w:div>
        <w:div w:id="1368028018">
          <w:marLeft w:val="0"/>
          <w:marRight w:val="0"/>
          <w:marTop w:val="0"/>
          <w:marBottom w:val="0"/>
          <w:divBdr>
            <w:top w:val="none" w:sz="0" w:space="0" w:color="auto"/>
            <w:left w:val="none" w:sz="0" w:space="0" w:color="auto"/>
            <w:bottom w:val="none" w:sz="0" w:space="0" w:color="auto"/>
            <w:right w:val="none" w:sz="0" w:space="0" w:color="auto"/>
          </w:divBdr>
        </w:div>
        <w:div w:id="1394618327">
          <w:marLeft w:val="0"/>
          <w:marRight w:val="0"/>
          <w:marTop w:val="0"/>
          <w:marBottom w:val="0"/>
          <w:divBdr>
            <w:top w:val="none" w:sz="0" w:space="0" w:color="auto"/>
            <w:left w:val="none" w:sz="0" w:space="0" w:color="auto"/>
            <w:bottom w:val="none" w:sz="0" w:space="0" w:color="auto"/>
            <w:right w:val="none" w:sz="0" w:space="0" w:color="auto"/>
          </w:divBdr>
        </w:div>
        <w:div w:id="1408724739">
          <w:marLeft w:val="0"/>
          <w:marRight w:val="0"/>
          <w:marTop w:val="0"/>
          <w:marBottom w:val="0"/>
          <w:divBdr>
            <w:top w:val="none" w:sz="0" w:space="0" w:color="auto"/>
            <w:left w:val="none" w:sz="0" w:space="0" w:color="auto"/>
            <w:bottom w:val="none" w:sz="0" w:space="0" w:color="auto"/>
            <w:right w:val="none" w:sz="0" w:space="0" w:color="auto"/>
          </w:divBdr>
        </w:div>
        <w:div w:id="1420297554">
          <w:marLeft w:val="0"/>
          <w:marRight w:val="0"/>
          <w:marTop w:val="0"/>
          <w:marBottom w:val="0"/>
          <w:divBdr>
            <w:top w:val="none" w:sz="0" w:space="0" w:color="auto"/>
            <w:left w:val="none" w:sz="0" w:space="0" w:color="auto"/>
            <w:bottom w:val="none" w:sz="0" w:space="0" w:color="auto"/>
            <w:right w:val="none" w:sz="0" w:space="0" w:color="auto"/>
          </w:divBdr>
        </w:div>
        <w:div w:id="1433433372">
          <w:marLeft w:val="0"/>
          <w:marRight w:val="0"/>
          <w:marTop w:val="0"/>
          <w:marBottom w:val="0"/>
          <w:divBdr>
            <w:top w:val="none" w:sz="0" w:space="0" w:color="auto"/>
            <w:left w:val="none" w:sz="0" w:space="0" w:color="auto"/>
            <w:bottom w:val="none" w:sz="0" w:space="0" w:color="auto"/>
            <w:right w:val="none" w:sz="0" w:space="0" w:color="auto"/>
          </w:divBdr>
        </w:div>
        <w:div w:id="1452164643">
          <w:marLeft w:val="0"/>
          <w:marRight w:val="0"/>
          <w:marTop w:val="0"/>
          <w:marBottom w:val="0"/>
          <w:divBdr>
            <w:top w:val="none" w:sz="0" w:space="0" w:color="auto"/>
            <w:left w:val="none" w:sz="0" w:space="0" w:color="auto"/>
            <w:bottom w:val="none" w:sz="0" w:space="0" w:color="auto"/>
            <w:right w:val="none" w:sz="0" w:space="0" w:color="auto"/>
          </w:divBdr>
        </w:div>
        <w:div w:id="1461915395">
          <w:marLeft w:val="0"/>
          <w:marRight w:val="0"/>
          <w:marTop w:val="0"/>
          <w:marBottom w:val="0"/>
          <w:divBdr>
            <w:top w:val="none" w:sz="0" w:space="0" w:color="auto"/>
            <w:left w:val="none" w:sz="0" w:space="0" w:color="auto"/>
            <w:bottom w:val="none" w:sz="0" w:space="0" w:color="auto"/>
            <w:right w:val="none" w:sz="0" w:space="0" w:color="auto"/>
          </w:divBdr>
        </w:div>
        <w:div w:id="1515992416">
          <w:marLeft w:val="0"/>
          <w:marRight w:val="0"/>
          <w:marTop w:val="0"/>
          <w:marBottom w:val="0"/>
          <w:divBdr>
            <w:top w:val="none" w:sz="0" w:space="0" w:color="auto"/>
            <w:left w:val="none" w:sz="0" w:space="0" w:color="auto"/>
            <w:bottom w:val="none" w:sz="0" w:space="0" w:color="auto"/>
            <w:right w:val="none" w:sz="0" w:space="0" w:color="auto"/>
          </w:divBdr>
        </w:div>
        <w:div w:id="1540121020">
          <w:marLeft w:val="0"/>
          <w:marRight w:val="0"/>
          <w:marTop w:val="0"/>
          <w:marBottom w:val="0"/>
          <w:divBdr>
            <w:top w:val="none" w:sz="0" w:space="0" w:color="auto"/>
            <w:left w:val="none" w:sz="0" w:space="0" w:color="auto"/>
            <w:bottom w:val="none" w:sz="0" w:space="0" w:color="auto"/>
            <w:right w:val="none" w:sz="0" w:space="0" w:color="auto"/>
          </w:divBdr>
        </w:div>
        <w:div w:id="1594511013">
          <w:marLeft w:val="0"/>
          <w:marRight w:val="0"/>
          <w:marTop w:val="0"/>
          <w:marBottom w:val="0"/>
          <w:divBdr>
            <w:top w:val="none" w:sz="0" w:space="0" w:color="auto"/>
            <w:left w:val="none" w:sz="0" w:space="0" w:color="auto"/>
            <w:bottom w:val="none" w:sz="0" w:space="0" w:color="auto"/>
            <w:right w:val="none" w:sz="0" w:space="0" w:color="auto"/>
          </w:divBdr>
        </w:div>
        <w:div w:id="1609123960">
          <w:marLeft w:val="0"/>
          <w:marRight w:val="0"/>
          <w:marTop w:val="0"/>
          <w:marBottom w:val="0"/>
          <w:divBdr>
            <w:top w:val="none" w:sz="0" w:space="0" w:color="auto"/>
            <w:left w:val="none" w:sz="0" w:space="0" w:color="auto"/>
            <w:bottom w:val="none" w:sz="0" w:space="0" w:color="auto"/>
            <w:right w:val="none" w:sz="0" w:space="0" w:color="auto"/>
          </w:divBdr>
        </w:div>
        <w:div w:id="1620602774">
          <w:marLeft w:val="0"/>
          <w:marRight w:val="0"/>
          <w:marTop w:val="0"/>
          <w:marBottom w:val="0"/>
          <w:divBdr>
            <w:top w:val="none" w:sz="0" w:space="0" w:color="auto"/>
            <w:left w:val="none" w:sz="0" w:space="0" w:color="auto"/>
            <w:bottom w:val="none" w:sz="0" w:space="0" w:color="auto"/>
            <w:right w:val="none" w:sz="0" w:space="0" w:color="auto"/>
          </w:divBdr>
        </w:div>
        <w:div w:id="1674381740">
          <w:marLeft w:val="0"/>
          <w:marRight w:val="0"/>
          <w:marTop w:val="0"/>
          <w:marBottom w:val="0"/>
          <w:divBdr>
            <w:top w:val="none" w:sz="0" w:space="0" w:color="auto"/>
            <w:left w:val="none" w:sz="0" w:space="0" w:color="auto"/>
            <w:bottom w:val="none" w:sz="0" w:space="0" w:color="auto"/>
            <w:right w:val="none" w:sz="0" w:space="0" w:color="auto"/>
          </w:divBdr>
        </w:div>
        <w:div w:id="1676298970">
          <w:marLeft w:val="0"/>
          <w:marRight w:val="0"/>
          <w:marTop w:val="0"/>
          <w:marBottom w:val="0"/>
          <w:divBdr>
            <w:top w:val="none" w:sz="0" w:space="0" w:color="auto"/>
            <w:left w:val="none" w:sz="0" w:space="0" w:color="auto"/>
            <w:bottom w:val="none" w:sz="0" w:space="0" w:color="auto"/>
            <w:right w:val="none" w:sz="0" w:space="0" w:color="auto"/>
          </w:divBdr>
        </w:div>
        <w:div w:id="1735395234">
          <w:marLeft w:val="0"/>
          <w:marRight w:val="0"/>
          <w:marTop w:val="0"/>
          <w:marBottom w:val="0"/>
          <w:divBdr>
            <w:top w:val="none" w:sz="0" w:space="0" w:color="auto"/>
            <w:left w:val="none" w:sz="0" w:space="0" w:color="auto"/>
            <w:bottom w:val="none" w:sz="0" w:space="0" w:color="auto"/>
            <w:right w:val="none" w:sz="0" w:space="0" w:color="auto"/>
          </w:divBdr>
        </w:div>
        <w:div w:id="1736051891">
          <w:marLeft w:val="0"/>
          <w:marRight w:val="0"/>
          <w:marTop w:val="0"/>
          <w:marBottom w:val="0"/>
          <w:divBdr>
            <w:top w:val="none" w:sz="0" w:space="0" w:color="auto"/>
            <w:left w:val="none" w:sz="0" w:space="0" w:color="auto"/>
            <w:bottom w:val="none" w:sz="0" w:space="0" w:color="auto"/>
            <w:right w:val="none" w:sz="0" w:space="0" w:color="auto"/>
          </w:divBdr>
        </w:div>
        <w:div w:id="1777676659">
          <w:marLeft w:val="0"/>
          <w:marRight w:val="0"/>
          <w:marTop w:val="0"/>
          <w:marBottom w:val="0"/>
          <w:divBdr>
            <w:top w:val="none" w:sz="0" w:space="0" w:color="auto"/>
            <w:left w:val="none" w:sz="0" w:space="0" w:color="auto"/>
            <w:bottom w:val="none" w:sz="0" w:space="0" w:color="auto"/>
            <w:right w:val="none" w:sz="0" w:space="0" w:color="auto"/>
          </w:divBdr>
        </w:div>
        <w:div w:id="1805930061">
          <w:marLeft w:val="0"/>
          <w:marRight w:val="0"/>
          <w:marTop w:val="0"/>
          <w:marBottom w:val="0"/>
          <w:divBdr>
            <w:top w:val="none" w:sz="0" w:space="0" w:color="auto"/>
            <w:left w:val="none" w:sz="0" w:space="0" w:color="auto"/>
            <w:bottom w:val="none" w:sz="0" w:space="0" w:color="auto"/>
            <w:right w:val="none" w:sz="0" w:space="0" w:color="auto"/>
          </w:divBdr>
        </w:div>
        <w:div w:id="1816603812">
          <w:marLeft w:val="0"/>
          <w:marRight w:val="0"/>
          <w:marTop w:val="0"/>
          <w:marBottom w:val="0"/>
          <w:divBdr>
            <w:top w:val="none" w:sz="0" w:space="0" w:color="auto"/>
            <w:left w:val="none" w:sz="0" w:space="0" w:color="auto"/>
            <w:bottom w:val="none" w:sz="0" w:space="0" w:color="auto"/>
            <w:right w:val="none" w:sz="0" w:space="0" w:color="auto"/>
          </w:divBdr>
        </w:div>
        <w:div w:id="1835994697">
          <w:marLeft w:val="0"/>
          <w:marRight w:val="0"/>
          <w:marTop w:val="0"/>
          <w:marBottom w:val="0"/>
          <w:divBdr>
            <w:top w:val="none" w:sz="0" w:space="0" w:color="auto"/>
            <w:left w:val="none" w:sz="0" w:space="0" w:color="auto"/>
            <w:bottom w:val="none" w:sz="0" w:space="0" w:color="auto"/>
            <w:right w:val="none" w:sz="0" w:space="0" w:color="auto"/>
          </w:divBdr>
        </w:div>
        <w:div w:id="1860459975">
          <w:marLeft w:val="0"/>
          <w:marRight w:val="0"/>
          <w:marTop w:val="0"/>
          <w:marBottom w:val="0"/>
          <w:divBdr>
            <w:top w:val="none" w:sz="0" w:space="0" w:color="auto"/>
            <w:left w:val="none" w:sz="0" w:space="0" w:color="auto"/>
            <w:bottom w:val="none" w:sz="0" w:space="0" w:color="auto"/>
            <w:right w:val="none" w:sz="0" w:space="0" w:color="auto"/>
          </w:divBdr>
        </w:div>
        <w:div w:id="1864855604">
          <w:marLeft w:val="0"/>
          <w:marRight w:val="0"/>
          <w:marTop w:val="0"/>
          <w:marBottom w:val="0"/>
          <w:divBdr>
            <w:top w:val="none" w:sz="0" w:space="0" w:color="auto"/>
            <w:left w:val="none" w:sz="0" w:space="0" w:color="auto"/>
            <w:bottom w:val="none" w:sz="0" w:space="0" w:color="auto"/>
            <w:right w:val="none" w:sz="0" w:space="0" w:color="auto"/>
          </w:divBdr>
        </w:div>
        <w:div w:id="1915620901">
          <w:marLeft w:val="0"/>
          <w:marRight w:val="0"/>
          <w:marTop w:val="0"/>
          <w:marBottom w:val="0"/>
          <w:divBdr>
            <w:top w:val="none" w:sz="0" w:space="0" w:color="auto"/>
            <w:left w:val="none" w:sz="0" w:space="0" w:color="auto"/>
            <w:bottom w:val="none" w:sz="0" w:space="0" w:color="auto"/>
            <w:right w:val="none" w:sz="0" w:space="0" w:color="auto"/>
          </w:divBdr>
        </w:div>
        <w:div w:id="1931500065">
          <w:marLeft w:val="0"/>
          <w:marRight w:val="0"/>
          <w:marTop w:val="0"/>
          <w:marBottom w:val="0"/>
          <w:divBdr>
            <w:top w:val="none" w:sz="0" w:space="0" w:color="auto"/>
            <w:left w:val="none" w:sz="0" w:space="0" w:color="auto"/>
            <w:bottom w:val="none" w:sz="0" w:space="0" w:color="auto"/>
            <w:right w:val="none" w:sz="0" w:space="0" w:color="auto"/>
          </w:divBdr>
        </w:div>
        <w:div w:id="2004698153">
          <w:marLeft w:val="0"/>
          <w:marRight w:val="0"/>
          <w:marTop w:val="0"/>
          <w:marBottom w:val="0"/>
          <w:divBdr>
            <w:top w:val="none" w:sz="0" w:space="0" w:color="auto"/>
            <w:left w:val="none" w:sz="0" w:space="0" w:color="auto"/>
            <w:bottom w:val="none" w:sz="0" w:space="0" w:color="auto"/>
            <w:right w:val="none" w:sz="0" w:space="0" w:color="auto"/>
          </w:divBdr>
        </w:div>
        <w:div w:id="2006469880">
          <w:marLeft w:val="0"/>
          <w:marRight w:val="0"/>
          <w:marTop w:val="0"/>
          <w:marBottom w:val="0"/>
          <w:divBdr>
            <w:top w:val="none" w:sz="0" w:space="0" w:color="auto"/>
            <w:left w:val="none" w:sz="0" w:space="0" w:color="auto"/>
            <w:bottom w:val="none" w:sz="0" w:space="0" w:color="auto"/>
            <w:right w:val="none" w:sz="0" w:space="0" w:color="auto"/>
          </w:divBdr>
        </w:div>
        <w:div w:id="2037997775">
          <w:marLeft w:val="0"/>
          <w:marRight w:val="0"/>
          <w:marTop w:val="0"/>
          <w:marBottom w:val="0"/>
          <w:divBdr>
            <w:top w:val="none" w:sz="0" w:space="0" w:color="auto"/>
            <w:left w:val="none" w:sz="0" w:space="0" w:color="auto"/>
            <w:bottom w:val="none" w:sz="0" w:space="0" w:color="auto"/>
            <w:right w:val="none" w:sz="0" w:space="0" w:color="auto"/>
          </w:divBdr>
        </w:div>
        <w:div w:id="2082635426">
          <w:marLeft w:val="0"/>
          <w:marRight w:val="0"/>
          <w:marTop w:val="0"/>
          <w:marBottom w:val="0"/>
          <w:divBdr>
            <w:top w:val="none" w:sz="0" w:space="0" w:color="auto"/>
            <w:left w:val="none" w:sz="0" w:space="0" w:color="auto"/>
            <w:bottom w:val="none" w:sz="0" w:space="0" w:color="auto"/>
            <w:right w:val="none" w:sz="0" w:space="0" w:color="auto"/>
          </w:divBdr>
        </w:div>
        <w:div w:id="2113159635">
          <w:marLeft w:val="0"/>
          <w:marRight w:val="0"/>
          <w:marTop w:val="0"/>
          <w:marBottom w:val="0"/>
          <w:divBdr>
            <w:top w:val="none" w:sz="0" w:space="0" w:color="auto"/>
            <w:left w:val="none" w:sz="0" w:space="0" w:color="auto"/>
            <w:bottom w:val="none" w:sz="0" w:space="0" w:color="auto"/>
            <w:right w:val="none" w:sz="0" w:space="0" w:color="auto"/>
          </w:divBdr>
        </w:div>
        <w:div w:id="2139448737">
          <w:marLeft w:val="0"/>
          <w:marRight w:val="0"/>
          <w:marTop w:val="0"/>
          <w:marBottom w:val="0"/>
          <w:divBdr>
            <w:top w:val="none" w:sz="0" w:space="0" w:color="auto"/>
            <w:left w:val="none" w:sz="0" w:space="0" w:color="auto"/>
            <w:bottom w:val="none" w:sz="0" w:space="0" w:color="auto"/>
            <w:right w:val="none" w:sz="0" w:space="0" w:color="auto"/>
          </w:divBdr>
        </w:div>
      </w:divsChild>
    </w:div>
    <w:div w:id="1390616297">
      <w:bodyDiv w:val="1"/>
      <w:marLeft w:val="0"/>
      <w:marRight w:val="0"/>
      <w:marTop w:val="0"/>
      <w:marBottom w:val="0"/>
      <w:divBdr>
        <w:top w:val="none" w:sz="0" w:space="0" w:color="auto"/>
        <w:left w:val="none" w:sz="0" w:space="0" w:color="auto"/>
        <w:bottom w:val="none" w:sz="0" w:space="0" w:color="auto"/>
        <w:right w:val="none" w:sz="0" w:space="0" w:color="auto"/>
      </w:divBdr>
    </w:div>
    <w:div w:id="1400516683">
      <w:bodyDiv w:val="1"/>
      <w:marLeft w:val="0"/>
      <w:marRight w:val="0"/>
      <w:marTop w:val="0"/>
      <w:marBottom w:val="0"/>
      <w:divBdr>
        <w:top w:val="none" w:sz="0" w:space="0" w:color="auto"/>
        <w:left w:val="none" w:sz="0" w:space="0" w:color="auto"/>
        <w:bottom w:val="none" w:sz="0" w:space="0" w:color="auto"/>
        <w:right w:val="none" w:sz="0" w:space="0" w:color="auto"/>
      </w:divBdr>
    </w:div>
    <w:div w:id="1405838792">
      <w:bodyDiv w:val="1"/>
      <w:marLeft w:val="0"/>
      <w:marRight w:val="0"/>
      <w:marTop w:val="0"/>
      <w:marBottom w:val="0"/>
      <w:divBdr>
        <w:top w:val="none" w:sz="0" w:space="0" w:color="auto"/>
        <w:left w:val="none" w:sz="0" w:space="0" w:color="auto"/>
        <w:bottom w:val="none" w:sz="0" w:space="0" w:color="auto"/>
        <w:right w:val="none" w:sz="0" w:space="0" w:color="auto"/>
      </w:divBdr>
    </w:div>
    <w:div w:id="1413163030">
      <w:bodyDiv w:val="1"/>
      <w:marLeft w:val="0"/>
      <w:marRight w:val="0"/>
      <w:marTop w:val="0"/>
      <w:marBottom w:val="0"/>
      <w:divBdr>
        <w:top w:val="none" w:sz="0" w:space="0" w:color="auto"/>
        <w:left w:val="none" w:sz="0" w:space="0" w:color="auto"/>
        <w:bottom w:val="none" w:sz="0" w:space="0" w:color="auto"/>
        <w:right w:val="none" w:sz="0" w:space="0" w:color="auto"/>
      </w:divBdr>
    </w:div>
    <w:div w:id="1428309041">
      <w:bodyDiv w:val="1"/>
      <w:marLeft w:val="0"/>
      <w:marRight w:val="0"/>
      <w:marTop w:val="0"/>
      <w:marBottom w:val="0"/>
      <w:divBdr>
        <w:top w:val="none" w:sz="0" w:space="0" w:color="auto"/>
        <w:left w:val="none" w:sz="0" w:space="0" w:color="auto"/>
        <w:bottom w:val="none" w:sz="0" w:space="0" w:color="auto"/>
        <w:right w:val="none" w:sz="0" w:space="0" w:color="auto"/>
      </w:divBdr>
    </w:div>
    <w:div w:id="1539928560">
      <w:bodyDiv w:val="1"/>
      <w:marLeft w:val="0"/>
      <w:marRight w:val="0"/>
      <w:marTop w:val="0"/>
      <w:marBottom w:val="0"/>
      <w:divBdr>
        <w:top w:val="none" w:sz="0" w:space="0" w:color="auto"/>
        <w:left w:val="none" w:sz="0" w:space="0" w:color="auto"/>
        <w:bottom w:val="none" w:sz="0" w:space="0" w:color="auto"/>
        <w:right w:val="none" w:sz="0" w:space="0" w:color="auto"/>
      </w:divBdr>
    </w:div>
    <w:div w:id="1570842977">
      <w:bodyDiv w:val="1"/>
      <w:marLeft w:val="0"/>
      <w:marRight w:val="0"/>
      <w:marTop w:val="0"/>
      <w:marBottom w:val="0"/>
      <w:divBdr>
        <w:top w:val="none" w:sz="0" w:space="0" w:color="auto"/>
        <w:left w:val="none" w:sz="0" w:space="0" w:color="auto"/>
        <w:bottom w:val="none" w:sz="0" w:space="0" w:color="auto"/>
        <w:right w:val="none" w:sz="0" w:space="0" w:color="auto"/>
      </w:divBdr>
    </w:div>
    <w:div w:id="1586187659">
      <w:bodyDiv w:val="1"/>
      <w:marLeft w:val="0"/>
      <w:marRight w:val="0"/>
      <w:marTop w:val="0"/>
      <w:marBottom w:val="0"/>
      <w:divBdr>
        <w:top w:val="none" w:sz="0" w:space="0" w:color="auto"/>
        <w:left w:val="none" w:sz="0" w:space="0" w:color="auto"/>
        <w:bottom w:val="none" w:sz="0" w:space="0" w:color="auto"/>
        <w:right w:val="none" w:sz="0" w:space="0" w:color="auto"/>
      </w:divBdr>
    </w:div>
    <w:div w:id="1628462557">
      <w:bodyDiv w:val="1"/>
      <w:marLeft w:val="0"/>
      <w:marRight w:val="0"/>
      <w:marTop w:val="0"/>
      <w:marBottom w:val="0"/>
      <w:divBdr>
        <w:top w:val="none" w:sz="0" w:space="0" w:color="auto"/>
        <w:left w:val="none" w:sz="0" w:space="0" w:color="auto"/>
        <w:bottom w:val="none" w:sz="0" w:space="0" w:color="auto"/>
        <w:right w:val="none" w:sz="0" w:space="0" w:color="auto"/>
      </w:divBdr>
    </w:div>
    <w:div w:id="1651596743">
      <w:bodyDiv w:val="1"/>
      <w:marLeft w:val="0"/>
      <w:marRight w:val="0"/>
      <w:marTop w:val="0"/>
      <w:marBottom w:val="0"/>
      <w:divBdr>
        <w:top w:val="none" w:sz="0" w:space="0" w:color="auto"/>
        <w:left w:val="none" w:sz="0" w:space="0" w:color="auto"/>
        <w:bottom w:val="none" w:sz="0" w:space="0" w:color="auto"/>
        <w:right w:val="none" w:sz="0" w:space="0" w:color="auto"/>
      </w:divBdr>
    </w:div>
    <w:div w:id="1661421485">
      <w:bodyDiv w:val="1"/>
      <w:marLeft w:val="0"/>
      <w:marRight w:val="0"/>
      <w:marTop w:val="0"/>
      <w:marBottom w:val="0"/>
      <w:divBdr>
        <w:top w:val="none" w:sz="0" w:space="0" w:color="auto"/>
        <w:left w:val="none" w:sz="0" w:space="0" w:color="auto"/>
        <w:bottom w:val="none" w:sz="0" w:space="0" w:color="auto"/>
        <w:right w:val="none" w:sz="0" w:space="0" w:color="auto"/>
      </w:divBdr>
      <w:divsChild>
        <w:div w:id="96870256">
          <w:marLeft w:val="0"/>
          <w:marRight w:val="0"/>
          <w:marTop w:val="0"/>
          <w:marBottom w:val="0"/>
          <w:divBdr>
            <w:top w:val="none" w:sz="0" w:space="0" w:color="auto"/>
            <w:left w:val="none" w:sz="0" w:space="0" w:color="auto"/>
            <w:bottom w:val="none" w:sz="0" w:space="0" w:color="auto"/>
            <w:right w:val="none" w:sz="0" w:space="0" w:color="auto"/>
          </w:divBdr>
        </w:div>
        <w:div w:id="98180850">
          <w:marLeft w:val="0"/>
          <w:marRight w:val="0"/>
          <w:marTop w:val="0"/>
          <w:marBottom w:val="0"/>
          <w:divBdr>
            <w:top w:val="none" w:sz="0" w:space="0" w:color="auto"/>
            <w:left w:val="none" w:sz="0" w:space="0" w:color="auto"/>
            <w:bottom w:val="none" w:sz="0" w:space="0" w:color="auto"/>
            <w:right w:val="none" w:sz="0" w:space="0" w:color="auto"/>
          </w:divBdr>
        </w:div>
        <w:div w:id="169031351">
          <w:marLeft w:val="0"/>
          <w:marRight w:val="0"/>
          <w:marTop w:val="0"/>
          <w:marBottom w:val="0"/>
          <w:divBdr>
            <w:top w:val="none" w:sz="0" w:space="0" w:color="auto"/>
            <w:left w:val="none" w:sz="0" w:space="0" w:color="auto"/>
            <w:bottom w:val="none" w:sz="0" w:space="0" w:color="auto"/>
            <w:right w:val="none" w:sz="0" w:space="0" w:color="auto"/>
          </w:divBdr>
        </w:div>
        <w:div w:id="264578481">
          <w:marLeft w:val="0"/>
          <w:marRight w:val="0"/>
          <w:marTop w:val="0"/>
          <w:marBottom w:val="0"/>
          <w:divBdr>
            <w:top w:val="none" w:sz="0" w:space="0" w:color="auto"/>
            <w:left w:val="none" w:sz="0" w:space="0" w:color="auto"/>
            <w:bottom w:val="none" w:sz="0" w:space="0" w:color="auto"/>
            <w:right w:val="none" w:sz="0" w:space="0" w:color="auto"/>
          </w:divBdr>
        </w:div>
        <w:div w:id="318733082">
          <w:marLeft w:val="0"/>
          <w:marRight w:val="0"/>
          <w:marTop w:val="0"/>
          <w:marBottom w:val="0"/>
          <w:divBdr>
            <w:top w:val="none" w:sz="0" w:space="0" w:color="auto"/>
            <w:left w:val="none" w:sz="0" w:space="0" w:color="auto"/>
            <w:bottom w:val="none" w:sz="0" w:space="0" w:color="auto"/>
            <w:right w:val="none" w:sz="0" w:space="0" w:color="auto"/>
          </w:divBdr>
        </w:div>
        <w:div w:id="325328987">
          <w:marLeft w:val="0"/>
          <w:marRight w:val="0"/>
          <w:marTop w:val="0"/>
          <w:marBottom w:val="0"/>
          <w:divBdr>
            <w:top w:val="none" w:sz="0" w:space="0" w:color="auto"/>
            <w:left w:val="none" w:sz="0" w:space="0" w:color="auto"/>
            <w:bottom w:val="none" w:sz="0" w:space="0" w:color="auto"/>
            <w:right w:val="none" w:sz="0" w:space="0" w:color="auto"/>
          </w:divBdr>
        </w:div>
        <w:div w:id="450824317">
          <w:marLeft w:val="0"/>
          <w:marRight w:val="0"/>
          <w:marTop w:val="0"/>
          <w:marBottom w:val="0"/>
          <w:divBdr>
            <w:top w:val="none" w:sz="0" w:space="0" w:color="auto"/>
            <w:left w:val="none" w:sz="0" w:space="0" w:color="auto"/>
            <w:bottom w:val="none" w:sz="0" w:space="0" w:color="auto"/>
            <w:right w:val="none" w:sz="0" w:space="0" w:color="auto"/>
          </w:divBdr>
        </w:div>
        <w:div w:id="511382979">
          <w:marLeft w:val="0"/>
          <w:marRight w:val="0"/>
          <w:marTop w:val="0"/>
          <w:marBottom w:val="0"/>
          <w:divBdr>
            <w:top w:val="none" w:sz="0" w:space="0" w:color="auto"/>
            <w:left w:val="none" w:sz="0" w:space="0" w:color="auto"/>
            <w:bottom w:val="none" w:sz="0" w:space="0" w:color="auto"/>
            <w:right w:val="none" w:sz="0" w:space="0" w:color="auto"/>
          </w:divBdr>
        </w:div>
        <w:div w:id="568735011">
          <w:marLeft w:val="0"/>
          <w:marRight w:val="0"/>
          <w:marTop w:val="0"/>
          <w:marBottom w:val="0"/>
          <w:divBdr>
            <w:top w:val="none" w:sz="0" w:space="0" w:color="auto"/>
            <w:left w:val="none" w:sz="0" w:space="0" w:color="auto"/>
            <w:bottom w:val="none" w:sz="0" w:space="0" w:color="auto"/>
            <w:right w:val="none" w:sz="0" w:space="0" w:color="auto"/>
          </w:divBdr>
        </w:div>
        <w:div w:id="617222839">
          <w:marLeft w:val="0"/>
          <w:marRight w:val="0"/>
          <w:marTop w:val="0"/>
          <w:marBottom w:val="0"/>
          <w:divBdr>
            <w:top w:val="none" w:sz="0" w:space="0" w:color="auto"/>
            <w:left w:val="none" w:sz="0" w:space="0" w:color="auto"/>
            <w:bottom w:val="none" w:sz="0" w:space="0" w:color="auto"/>
            <w:right w:val="none" w:sz="0" w:space="0" w:color="auto"/>
          </w:divBdr>
        </w:div>
        <w:div w:id="624581299">
          <w:marLeft w:val="0"/>
          <w:marRight w:val="0"/>
          <w:marTop w:val="0"/>
          <w:marBottom w:val="0"/>
          <w:divBdr>
            <w:top w:val="none" w:sz="0" w:space="0" w:color="auto"/>
            <w:left w:val="none" w:sz="0" w:space="0" w:color="auto"/>
            <w:bottom w:val="none" w:sz="0" w:space="0" w:color="auto"/>
            <w:right w:val="none" w:sz="0" w:space="0" w:color="auto"/>
          </w:divBdr>
        </w:div>
        <w:div w:id="647823480">
          <w:marLeft w:val="0"/>
          <w:marRight w:val="0"/>
          <w:marTop w:val="0"/>
          <w:marBottom w:val="0"/>
          <w:divBdr>
            <w:top w:val="none" w:sz="0" w:space="0" w:color="auto"/>
            <w:left w:val="none" w:sz="0" w:space="0" w:color="auto"/>
            <w:bottom w:val="none" w:sz="0" w:space="0" w:color="auto"/>
            <w:right w:val="none" w:sz="0" w:space="0" w:color="auto"/>
          </w:divBdr>
        </w:div>
        <w:div w:id="650983403">
          <w:marLeft w:val="0"/>
          <w:marRight w:val="0"/>
          <w:marTop w:val="0"/>
          <w:marBottom w:val="0"/>
          <w:divBdr>
            <w:top w:val="none" w:sz="0" w:space="0" w:color="auto"/>
            <w:left w:val="none" w:sz="0" w:space="0" w:color="auto"/>
            <w:bottom w:val="none" w:sz="0" w:space="0" w:color="auto"/>
            <w:right w:val="none" w:sz="0" w:space="0" w:color="auto"/>
          </w:divBdr>
        </w:div>
        <w:div w:id="673725138">
          <w:marLeft w:val="0"/>
          <w:marRight w:val="0"/>
          <w:marTop w:val="0"/>
          <w:marBottom w:val="0"/>
          <w:divBdr>
            <w:top w:val="none" w:sz="0" w:space="0" w:color="auto"/>
            <w:left w:val="none" w:sz="0" w:space="0" w:color="auto"/>
            <w:bottom w:val="none" w:sz="0" w:space="0" w:color="auto"/>
            <w:right w:val="none" w:sz="0" w:space="0" w:color="auto"/>
          </w:divBdr>
        </w:div>
        <w:div w:id="947784118">
          <w:marLeft w:val="0"/>
          <w:marRight w:val="0"/>
          <w:marTop w:val="0"/>
          <w:marBottom w:val="0"/>
          <w:divBdr>
            <w:top w:val="none" w:sz="0" w:space="0" w:color="auto"/>
            <w:left w:val="none" w:sz="0" w:space="0" w:color="auto"/>
            <w:bottom w:val="none" w:sz="0" w:space="0" w:color="auto"/>
            <w:right w:val="none" w:sz="0" w:space="0" w:color="auto"/>
          </w:divBdr>
        </w:div>
        <w:div w:id="952441556">
          <w:marLeft w:val="0"/>
          <w:marRight w:val="0"/>
          <w:marTop w:val="0"/>
          <w:marBottom w:val="0"/>
          <w:divBdr>
            <w:top w:val="none" w:sz="0" w:space="0" w:color="auto"/>
            <w:left w:val="none" w:sz="0" w:space="0" w:color="auto"/>
            <w:bottom w:val="none" w:sz="0" w:space="0" w:color="auto"/>
            <w:right w:val="none" w:sz="0" w:space="0" w:color="auto"/>
          </w:divBdr>
        </w:div>
        <w:div w:id="1010066976">
          <w:marLeft w:val="0"/>
          <w:marRight w:val="0"/>
          <w:marTop w:val="0"/>
          <w:marBottom w:val="0"/>
          <w:divBdr>
            <w:top w:val="none" w:sz="0" w:space="0" w:color="auto"/>
            <w:left w:val="none" w:sz="0" w:space="0" w:color="auto"/>
            <w:bottom w:val="none" w:sz="0" w:space="0" w:color="auto"/>
            <w:right w:val="none" w:sz="0" w:space="0" w:color="auto"/>
          </w:divBdr>
        </w:div>
        <w:div w:id="1096369800">
          <w:marLeft w:val="0"/>
          <w:marRight w:val="0"/>
          <w:marTop w:val="0"/>
          <w:marBottom w:val="0"/>
          <w:divBdr>
            <w:top w:val="none" w:sz="0" w:space="0" w:color="auto"/>
            <w:left w:val="none" w:sz="0" w:space="0" w:color="auto"/>
            <w:bottom w:val="none" w:sz="0" w:space="0" w:color="auto"/>
            <w:right w:val="none" w:sz="0" w:space="0" w:color="auto"/>
          </w:divBdr>
        </w:div>
        <w:div w:id="1214654273">
          <w:marLeft w:val="0"/>
          <w:marRight w:val="0"/>
          <w:marTop w:val="0"/>
          <w:marBottom w:val="0"/>
          <w:divBdr>
            <w:top w:val="none" w:sz="0" w:space="0" w:color="auto"/>
            <w:left w:val="none" w:sz="0" w:space="0" w:color="auto"/>
            <w:bottom w:val="none" w:sz="0" w:space="0" w:color="auto"/>
            <w:right w:val="none" w:sz="0" w:space="0" w:color="auto"/>
          </w:divBdr>
        </w:div>
        <w:div w:id="1418399673">
          <w:marLeft w:val="0"/>
          <w:marRight w:val="0"/>
          <w:marTop w:val="0"/>
          <w:marBottom w:val="0"/>
          <w:divBdr>
            <w:top w:val="none" w:sz="0" w:space="0" w:color="auto"/>
            <w:left w:val="none" w:sz="0" w:space="0" w:color="auto"/>
            <w:bottom w:val="none" w:sz="0" w:space="0" w:color="auto"/>
            <w:right w:val="none" w:sz="0" w:space="0" w:color="auto"/>
          </w:divBdr>
        </w:div>
        <w:div w:id="1479835114">
          <w:marLeft w:val="0"/>
          <w:marRight w:val="0"/>
          <w:marTop w:val="0"/>
          <w:marBottom w:val="0"/>
          <w:divBdr>
            <w:top w:val="none" w:sz="0" w:space="0" w:color="auto"/>
            <w:left w:val="none" w:sz="0" w:space="0" w:color="auto"/>
            <w:bottom w:val="none" w:sz="0" w:space="0" w:color="auto"/>
            <w:right w:val="none" w:sz="0" w:space="0" w:color="auto"/>
          </w:divBdr>
        </w:div>
        <w:div w:id="1639646224">
          <w:marLeft w:val="0"/>
          <w:marRight w:val="0"/>
          <w:marTop w:val="0"/>
          <w:marBottom w:val="0"/>
          <w:divBdr>
            <w:top w:val="none" w:sz="0" w:space="0" w:color="auto"/>
            <w:left w:val="none" w:sz="0" w:space="0" w:color="auto"/>
            <w:bottom w:val="none" w:sz="0" w:space="0" w:color="auto"/>
            <w:right w:val="none" w:sz="0" w:space="0" w:color="auto"/>
          </w:divBdr>
        </w:div>
        <w:div w:id="1659919925">
          <w:marLeft w:val="0"/>
          <w:marRight w:val="0"/>
          <w:marTop w:val="0"/>
          <w:marBottom w:val="0"/>
          <w:divBdr>
            <w:top w:val="none" w:sz="0" w:space="0" w:color="auto"/>
            <w:left w:val="none" w:sz="0" w:space="0" w:color="auto"/>
            <w:bottom w:val="none" w:sz="0" w:space="0" w:color="auto"/>
            <w:right w:val="none" w:sz="0" w:space="0" w:color="auto"/>
          </w:divBdr>
        </w:div>
        <w:div w:id="1817138158">
          <w:marLeft w:val="0"/>
          <w:marRight w:val="0"/>
          <w:marTop w:val="0"/>
          <w:marBottom w:val="0"/>
          <w:divBdr>
            <w:top w:val="none" w:sz="0" w:space="0" w:color="auto"/>
            <w:left w:val="none" w:sz="0" w:space="0" w:color="auto"/>
            <w:bottom w:val="none" w:sz="0" w:space="0" w:color="auto"/>
            <w:right w:val="none" w:sz="0" w:space="0" w:color="auto"/>
          </w:divBdr>
        </w:div>
        <w:div w:id="1855726922">
          <w:marLeft w:val="0"/>
          <w:marRight w:val="0"/>
          <w:marTop w:val="0"/>
          <w:marBottom w:val="0"/>
          <w:divBdr>
            <w:top w:val="none" w:sz="0" w:space="0" w:color="auto"/>
            <w:left w:val="none" w:sz="0" w:space="0" w:color="auto"/>
            <w:bottom w:val="none" w:sz="0" w:space="0" w:color="auto"/>
            <w:right w:val="none" w:sz="0" w:space="0" w:color="auto"/>
          </w:divBdr>
        </w:div>
        <w:div w:id="1856380649">
          <w:marLeft w:val="0"/>
          <w:marRight w:val="0"/>
          <w:marTop w:val="0"/>
          <w:marBottom w:val="0"/>
          <w:divBdr>
            <w:top w:val="none" w:sz="0" w:space="0" w:color="auto"/>
            <w:left w:val="none" w:sz="0" w:space="0" w:color="auto"/>
            <w:bottom w:val="none" w:sz="0" w:space="0" w:color="auto"/>
            <w:right w:val="none" w:sz="0" w:space="0" w:color="auto"/>
          </w:divBdr>
        </w:div>
        <w:div w:id="1961452814">
          <w:marLeft w:val="0"/>
          <w:marRight w:val="0"/>
          <w:marTop w:val="0"/>
          <w:marBottom w:val="0"/>
          <w:divBdr>
            <w:top w:val="none" w:sz="0" w:space="0" w:color="auto"/>
            <w:left w:val="none" w:sz="0" w:space="0" w:color="auto"/>
            <w:bottom w:val="none" w:sz="0" w:space="0" w:color="auto"/>
            <w:right w:val="none" w:sz="0" w:space="0" w:color="auto"/>
          </w:divBdr>
        </w:div>
        <w:div w:id="1978073661">
          <w:marLeft w:val="0"/>
          <w:marRight w:val="0"/>
          <w:marTop w:val="0"/>
          <w:marBottom w:val="0"/>
          <w:divBdr>
            <w:top w:val="none" w:sz="0" w:space="0" w:color="auto"/>
            <w:left w:val="none" w:sz="0" w:space="0" w:color="auto"/>
            <w:bottom w:val="none" w:sz="0" w:space="0" w:color="auto"/>
            <w:right w:val="none" w:sz="0" w:space="0" w:color="auto"/>
          </w:divBdr>
        </w:div>
        <w:div w:id="1981377080">
          <w:marLeft w:val="0"/>
          <w:marRight w:val="0"/>
          <w:marTop w:val="0"/>
          <w:marBottom w:val="0"/>
          <w:divBdr>
            <w:top w:val="none" w:sz="0" w:space="0" w:color="auto"/>
            <w:left w:val="none" w:sz="0" w:space="0" w:color="auto"/>
            <w:bottom w:val="none" w:sz="0" w:space="0" w:color="auto"/>
            <w:right w:val="none" w:sz="0" w:space="0" w:color="auto"/>
          </w:divBdr>
        </w:div>
        <w:div w:id="2032536566">
          <w:marLeft w:val="0"/>
          <w:marRight w:val="0"/>
          <w:marTop w:val="0"/>
          <w:marBottom w:val="0"/>
          <w:divBdr>
            <w:top w:val="none" w:sz="0" w:space="0" w:color="auto"/>
            <w:left w:val="none" w:sz="0" w:space="0" w:color="auto"/>
            <w:bottom w:val="none" w:sz="0" w:space="0" w:color="auto"/>
            <w:right w:val="none" w:sz="0" w:space="0" w:color="auto"/>
          </w:divBdr>
        </w:div>
        <w:div w:id="2087720681">
          <w:marLeft w:val="0"/>
          <w:marRight w:val="0"/>
          <w:marTop w:val="0"/>
          <w:marBottom w:val="0"/>
          <w:divBdr>
            <w:top w:val="none" w:sz="0" w:space="0" w:color="auto"/>
            <w:left w:val="none" w:sz="0" w:space="0" w:color="auto"/>
            <w:bottom w:val="none" w:sz="0" w:space="0" w:color="auto"/>
            <w:right w:val="none" w:sz="0" w:space="0" w:color="auto"/>
          </w:divBdr>
        </w:div>
        <w:div w:id="2109963887">
          <w:marLeft w:val="0"/>
          <w:marRight w:val="0"/>
          <w:marTop w:val="0"/>
          <w:marBottom w:val="0"/>
          <w:divBdr>
            <w:top w:val="none" w:sz="0" w:space="0" w:color="auto"/>
            <w:left w:val="none" w:sz="0" w:space="0" w:color="auto"/>
            <w:bottom w:val="none" w:sz="0" w:space="0" w:color="auto"/>
            <w:right w:val="none" w:sz="0" w:space="0" w:color="auto"/>
          </w:divBdr>
        </w:div>
      </w:divsChild>
    </w:div>
    <w:div w:id="1670252981">
      <w:bodyDiv w:val="1"/>
      <w:marLeft w:val="0"/>
      <w:marRight w:val="0"/>
      <w:marTop w:val="0"/>
      <w:marBottom w:val="0"/>
      <w:divBdr>
        <w:top w:val="none" w:sz="0" w:space="0" w:color="auto"/>
        <w:left w:val="none" w:sz="0" w:space="0" w:color="auto"/>
        <w:bottom w:val="none" w:sz="0" w:space="0" w:color="auto"/>
        <w:right w:val="none" w:sz="0" w:space="0" w:color="auto"/>
      </w:divBdr>
    </w:div>
    <w:div w:id="1676228965">
      <w:bodyDiv w:val="1"/>
      <w:marLeft w:val="0"/>
      <w:marRight w:val="0"/>
      <w:marTop w:val="0"/>
      <w:marBottom w:val="0"/>
      <w:divBdr>
        <w:top w:val="none" w:sz="0" w:space="0" w:color="auto"/>
        <w:left w:val="none" w:sz="0" w:space="0" w:color="auto"/>
        <w:bottom w:val="none" w:sz="0" w:space="0" w:color="auto"/>
        <w:right w:val="none" w:sz="0" w:space="0" w:color="auto"/>
      </w:divBdr>
    </w:div>
    <w:div w:id="1699314029">
      <w:bodyDiv w:val="1"/>
      <w:marLeft w:val="0"/>
      <w:marRight w:val="0"/>
      <w:marTop w:val="0"/>
      <w:marBottom w:val="0"/>
      <w:divBdr>
        <w:top w:val="none" w:sz="0" w:space="0" w:color="auto"/>
        <w:left w:val="none" w:sz="0" w:space="0" w:color="auto"/>
        <w:bottom w:val="none" w:sz="0" w:space="0" w:color="auto"/>
        <w:right w:val="none" w:sz="0" w:space="0" w:color="auto"/>
      </w:divBdr>
    </w:div>
    <w:div w:id="1701316115">
      <w:bodyDiv w:val="1"/>
      <w:marLeft w:val="0"/>
      <w:marRight w:val="0"/>
      <w:marTop w:val="0"/>
      <w:marBottom w:val="0"/>
      <w:divBdr>
        <w:top w:val="none" w:sz="0" w:space="0" w:color="auto"/>
        <w:left w:val="none" w:sz="0" w:space="0" w:color="auto"/>
        <w:bottom w:val="none" w:sz="0" w:space="0" w:color="auto"/>
        <w:right w:val="none" w:sz="0" w:space="0" w:color="auto"/>
      </w:divBdr>
    </w:div>
    <w:div w:id="1738477926">
      <w:bodyDiv w:val="1"/>
      <w:marLeft w:val="0"/>
      <w:marRight w:val="0"/>
      <w:marTop w:val="0"/>
      <w:marBottom w:val="0"/>
      <w:divBdr>
        <w:top w:val="none" w:sz="0" w:space="0" w:color="auto"/>
        <w:left w:val="none" w:sz="0" w:space="0" w:color="auto"/>
        <w:bottom w:val="none" w:sz="0" w:space="0" w:color="auto"/>
        <w:right w:val="none" w:sz="0" w:space="0" w:color="auto"/>
      </w:divBdr>
    </w:div>
    <w:div w:id="1766417175">
      <w:bodyDiv w:val="1"/>
      <w:marLeft w:val="0"/>
      <w:marRight w:val="0"/>
      <w:marTop w:val="0"/>
      <w:marBottom w:val="0"/>
      <w:divBdr>
        <w:top w:val="none" w:sz="0" w:space="0" w:color="auto"/>
        <w:left w:val="none" w:sz="0" w:space="0" w:color="auto"/>
        <w:bottom w:val="none" w:sz="0" w:space="0" w:color="auto"/>
        <w:right w:val="none" w:sz="0" w:space="0" w:color="auto"/>
      </w:divBdr>
    </w:div>
    <w:div w:id="1814979921">
      <w:bodyDiv w:val="1"/>
      <w:marLeft w:val="0"/>
      <w:marRight w:val="0"/>
      <w:marTop w:val="0"/>
      <w:marBottom w:val="0"/>
      <w:divBdr>
        <w:top w:val="none" w:sz="0" w:space="0" w:color="auto"/>
        <w:left w:val="none" w:sz="0" w:space="0" w:color="auto"/>
        <w:bottom w:val="none" w:sz="0" w:space="0" w:color="auto"/>
        <w:right w:val="none" w:sz="0" w:space="0" w:color="auto"/>
      </w:divBdr>
    </w:div>
    <w:div w:id="1832090292">
      <w:bodyDiv w:val="1"/>
      <w:marLeft w:val="0"/>
      <w:marRight w:val="0"/>
      <w:marTop w:val="0"/>
      <w:marBottom w:val="0"/>
      <w:divBdr>
        <w:top w:val="none" w:sz="0" w:space="0" w:color="auto"/>
        <w:left w:val="none" w:sz="0" w:space="0" w:color="auto"/>
        <w:bottom w:val="none" w:sz="0" w:space="0" w:color="auto"/>
        <w:right w:val="none" w:sz="0" w:space="0" w:color="auto"/>
      </w:divBdr>
    </w:div>
    <w:div w:id="1985894439">
      <w:bodyDiv w:val="1"/>
      <w:marLeft w:val="0"/>
      <w:marRight w:val="0"/>
      <w:marTop w:val="0"/>
      <w:marBottom w:val="0"/>
      <w:divBdr>
        <w:top w:val="none" w:sz="0" w:space="0" w:color="auto"/>
        <w:left w:val="none" w:sz="0" w:space="0" w:color="auto"/>
        <w:bottom w:val="none" w:sz="0" w:space="0" w:color="auto"/>
        <w:right w:val="none" w:sz="0" w:space="0" w:color="auto"/>
      </w:divBdr>
    </w:div>
    <w:div w:id="2004234693">
      <w:bodyDiv w:val="1"/>
      <w:marLeft w:val="0"/>
      <w:marRight w:val="0"/>
      <w:marTop w:val="0"/>
      <w:marBottom w:val="0"/>
      <w:divBdr>
        <w:top w:val="none" w:sz="0" w:space="0" w:color="auto"/>
        <w:left w:val="none" w:sz="0" w:space="0" w:color="auto"/>
        <w:bottom w:val="none" w:sz="0" w:space="0" w:color="auto"/>
        <w:right w:val="none" w:sz="0" w:space="0" w:color="auto"/>
      </w:divBdr>
    </w:div>
    <w:div w:id="2025085833">
      <w:bodyDiv w:val="1"/>
      <w:marLeft w:val="0"/>
      <w:marRight w:val="0"/>
      <w:marTop w:val="0"/>
      <w:marBottom w:val="0"/>
      <w:divBdr>
        <w:top w:val="none" w:sz="0" w:space="0" w:color="auto"/>
        <w:left w:val="none" w:sz="0" w:space="0" w:color="auto"/>
        <w:bottom w:val="none" w:sz="0" w:space="0" w:color="auto"/>
        <w:right w:val="none" w:sz="0" w:space="0" w:color="auto"/>
      </w:divBdr>
      <w:divsChild>
        <w:div w:id="1437554427">
          <w:marLeft w:val="0"/>
          <w:marRight w:val="0"/>
          <w:marTop w:val="0"/>
          <w:marBottom w:val="0"/>
          <w:divBdr>
            <w:top w:val="none" w:sz="0" w:space="0" w:color="auto"/>
            <w:left w:val="none" w:sz="0" w:space="0" w:color="auto"/>
            <w:bottom w:val="none" w:sz="0" w:space="0" w:color="auto"/>
            <w:right w:val="none" w:sz="0" w:space="0" w:color="auto"/>
          </w:divBdr>
        </w:div>
      </w:divsChild>
    </w:div>
    <w:div w:id="2059041912">
      <w:bodyDiv w:val="1"/>
      <w:marLeft w:val="0"/>
      <w:marRight w:val="0"/>
      <w:marTop w:val="0"/>
      <w:marBottom w:val="0"/>
      <w:divBdr>
        <w:top w:val="none" w:sz="0" w:space="0" w:color="auto"/>
        <w:left w:val="none" w:sz="0" w:space="0" w:color="auto"/>
        <w:bottom w:val="none" w:sz="0" w:space="0" w:color="auto"/>
        <w:right w:val="none" w:sz="0" w:space="0" w:color="auto"/>
      </w:divBdr>
    </w:div>
    <w:div w:id="2068527559">
      <w:bodyDiv w:val="1"/>
      <w:marLeft w:val="0"/>
      <w:marRight w:val="0"/>
      <w:marTop w:val="0"/>
      <w:marBottom w:val="0"/>
      <w:divBdr>
        <w:top w:val="none" w:sz="0" w:space="0" w:color="auto"/>
        <w:left w:val="none" w:sz="0" w:space="0" w:color="auto"/>
        <w:bottom w:val="none" w:sz="0" w:space="0" w:color="auto"/>
        <w:right w:val="none" w:sz="0" w:space="0" w:color="auto"/>
      </w:divBdr>
    </w:div>
    <w:div w:id="2102409485">
      <w:bodyDiv w:val="1"/>
      <w:marLeft w:val="0"/>
      <w:marRight w:val="0"/>
      <w:marTop w:val="0"/>
      <w:marBottom w:val="0"/>
      <w:divBdr>
        <w:top w:val="none" w:sz="0" w:space="0" w:color="auto"/>
        <w:left w:val="none" w:sz="0" w:space="0" w:color="auto"/>
        <w:bottom w:val="none" w:sz="0" w:space="0" w:color="auto"/>
        <w:right w:val="none" w:sz="0" w:space="0" w:color="auto"/>
      </w:divBdr>
    </w:div>
    <w:div w:id="2114007675">
      <w:bodyDiv w:val="1"/>
      <w:marLeft w:val="0"/>
      <w:marRight w:val="0"/>
      <w:marTop w:val="0"/>
      <w:marBottom w:val="0"/>
      <w:divBdr>
        <w:top w:val="none" w:sz="0" w:space="0" w:color="auto"/>
        <w:left w:val="none" w:sz="0" w:space="0" w:color="auto"/>
        <w:bottom w:val="none" w:sz="0" w:space="0" w:color="auto"/>
        <w:right w:val="none" w:sz="0" w:space="0" w:color="auto"/>
      </w:divBdr>
      <w:divsChild>
        <w:div w:id="1045910976">
          <w:marLeft w:val="0"/>
          <w:marRight w:val="0"/>
          <w:marTop w:val="0"/>
          <w:marBottom w:val="0"/>
          <w:divBdr>
            <w:top w:val="none" w:sz="0" w:space="0" w:color="auto"/>
            <w:left w:val="none" w:sz="0" w:space="0" w:color="auto"/>
            <w:bottom w:val="none" w:sz="0" w:space="0" w:color="auto"/>
            <w:right w:val="none" w:sz="0" w:space="0" w:color="auto"/>
          </w:divBdr>
        </w:div>
        <w:div w:id="1357195143">
          <w:marLeft w:val="0"/>
          <w:marRight w:val="0"/>
          <w:marTop w:val="0"/>
          <w:marBottom w:val="0"/>
          <w:divBdr>
            <w:top w:val="none" w:sz="0" w:space="0" w:color="auto"/>
            <w:left w:val="none" w:sz="0" w:space="0" w:color="auto"/>
            <w:bottom w:val="none" w:sz="0" w:space="0" w:color="auto"/>
            <w:right w:val="none" w:sz="0" w:space="0" w:color="auto"/>
          </w:divBdr>
        </w:div>
      </w:divsChild>
    </w:div>
    <w:div w:id="21302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rp.gov.lv/?sadala=12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rp.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12-01-1700" TargetMode="External"/><Relationship Id="rId13" Type="http://schemas.openxmlformats.org/officeDocument/2006/relationships/hyperlink" Target="http://www.uradni-list.si/1/objava.jsp?sop=2015-01-3254" TargetMode="External"/><Relationship Id="rId18" Type="http://schemas.openxmlformats.org/officeDocument/2006/relationships/hyperlink" Target="http://www.uradni-list.si/1/objava.jsp?sop=2013-21-2826" TargetMode="External"/><Relationship Id="rId26" Type="http://schemas.openxmlformats.org/officeDocument/2006/relationships/hyperlink" Target="http://www.uradni-list.si/1/objava.jsp?sop=2012-01-3776" TargetMode="External"/><Relationship Id="rId3" Type="http://schemas.openxmlformats.org/officeDocument/2006/relationships/hyperlink" Target="http://www.uradni-list.si/1/objava.jsp?sop=2010-01-3273" TargetMode="External"/><Relationship Id="rId21" Type="http://schemas.openxmlformats.org/officeDocument/2006/relationships/hyperlink" Target="http://www.uradni-list.si/1/objava.jsp?sop=2016-01-2296" TargetMode="External"/><Relationship Id="rId7" Type="http://schemas.openxmlformats.org/officeDocument/2006/relationships/hyperlink" Target="http://www.uradni-list.si/1/objava.jsp?sop=2012-01-1121" TargetMode="External"/><Relationship Id="rId12" Type="http://schemas.openxmlformats.org/officeDocument/2006/relationships/hyperlink" Target="http://www.uradni-list.si/1/objava.jsp?sop=2014-01-3949" TargetMode="External"/><Relationship Id="rId17" Type="http://schemas.openxmlformats.org/officeDocument/2006/relationships/hyperlink" Target="http://www.uradni-list.si/1/objava.jsp?sop=2013-01-0784" TargetMode="External"/><Relationship Id="rId25" Type="http://schemas.openxmlformats.org/officeDocument/2006/relationships/hyperlink" Target="http://www.uradni-list.si/1/objava.jsp?sop=2012-01-1732" TargetMode="External"/><Relationship Id="rId2" Type="http://schemas.openxmlformats.org/officeDocument/2006/relationships/hyperlink" Target="http://www.uradni-list.si/1/objava.jsp?sop=2010-01-0520" TargetMode="External"/><Relationship Id="rId16" Type="http://schemas.openxmlformats.org/officeDocument/2006/relationships/hyperlink" Target="http://www.uradni-list.si/1/objava.jsp?sop=2018-01-4122" TargetMode="External"/><Relationship Id="rId20" Type="http://schemas.openxmlformats.org/officeDocument/2006/relationships/hyperlink" Target="http://www.uradni-list.si/1/objava.jsp?sop=2016-01-1428" TargetMode="External"/><Relationship Id="rId29" Type="http://schemas.openxmlformats.org/officeDocument/2006/relationships/hyperlink" Target="https://www.dt-rs.si/files/documents/PP.pdf" TargetMode="External"/><Relationship Id="rId1" Type="http://schemas.openxmlformats.org/officeDocument/2006/relationships/hyperlink" Target="http://www.uradni-list.si/1/objava.jsp?sop=2009-01-4891" TargetMode="External"/><Relationship Id="rId6" Type="http://schemas.openxmlformats.org/officeDocument/2006/relationships/hyperlink" Target="http://www.uradni-list.si/1/objava.jsp?sop=2011-01-1743" TargetMode="External"/><Relationship Id="rId11" Type="http://schemas.openxmlformats.org/officeDocument/2006/relationships/hyperlink" Target="http://www.uradni-list.si/1/objava.jsp?sop=2014-01-2074" TargetMode="External"/><Relationship Id="rId24" Type="http://schemas.openxmlformats.org/officeDocument/2006/relationships/hyperlink" Target="http://www.uradni-list.si/1/objava.jsp?sop=2019-01-3722" TargetMode="External"/><Relationship Id="rId5" Type="http://schemas.openxmlformats.org/officeDocument/2006/relationships/hyperlink" Target="http://www.uradni-list.si/1/objava.jsp?sop=2010-01-5583" TargetMode="External"/><Relationship Id="rId15" Type="http://schemas.openxmlformats.org/officeDocument/2006/relationships/hyperlink" Target="http://www.uradni-list.si/1/objava.jsp?sop=2017-01-3165" TargetMode="External"/><Relationship Id="rId23" Type="http://schemas.openxmlformats.org/officeDocument/2006/relationships/hyperlink" Target="http://www.uradni-list.si/1/objava.jsp?sop=2019-01-0914" TargetMode="External"/><Relationship Id="rId28" Type="http://schemas.openxmlformats.org/officeDocument/2006/relationships/hyperlink" Target="https://eur-lex.europa.eu/legal-content/SL/TXT/PDF/?uri=CELEX:52017XC0524(01)&amp;from=ES" TargetMode="External"/><Relationship Id="rId10" Type="http://schemas.openxmlformats.org/officeDocument/2006/relationships/hyperlink" Target="http://www.uradni-list.si/1/objava.jsp?sop=2014-01-0961" TargetMode="External"/><Relationship Id="rId19" Type="http://schemas.openxmlformats.org/officeDocument/2006/relationships/hyperlink" Target="http://www.uradni-list.si/1/objava.jsp?sop=2015-01-1930" TargetMode="External"/><Relationship Id="rId4" Type="http://schemas.openxmlformats.org/officeDocument/2006/relationships/hyperlink" Target="http://www.uradni-list.si/1/objava.jsp?sop=2010-01-4554" TargetMode="External"/><Relationship Id="rId9" Type="http://schemas.openxmlformats.org/officeDocument/2006/relationships/hyperlink" Target="http://www.uradni-list.si/1/objava.jsp?sop=2013-01-1753" TargetMode="External"/><Relationship Id="rId14" Type="http://schemas.openxmlformats.org/officeDocument/2006/relationships/hyperlink" Target="http://www.uradni-list.si/1/objava.jsp?sop=2017-01-1206" TargetMode="External"/><Relationship Id="rId22" Type="http://schemas.openxmlformats.org/officeDocument/2006/relationships/hyperlink" Target="http://www.uradni-list.si/1/objava.jsp?sop=2017-01-0741" TargetMode="External"/><Relationship Id="rId27" Type="http://schemas.openxmlformats.org/officeDocument/2006/relationships/hyperlink" Target="http://www.uradni-list.si/1/objava.jsp?sop=2014-01-0961" TargetMode="External"/><Relationship Id="rId30" Type="http://schemas.openxmlformats.org/officeDocument/2006/relationships/hyperlink" Target="https://www.dt-rs.si/novica/vrhovno-drzavno-tozilstvo-je-izdalo-skupno-letno-porocilo-za-leto-2019"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mp.gov.si" TargetMode="External"/><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J:\ORODJA\PREDLOGE\Glave%20ministrstva\1_0_MP.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C3B0690-4016-4505-ABE9-B72D68A54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1_0_MP</Template>
  <TotalTime>70</TotalTime>
  <Pages>87</Pages>
  <Words>33347</Words>
  <Characters>202726</Characters>
  <Application>Microsoft Office Word</Application>
  <DocSecurity>0</DocSecurity>
  <Lines>1689</Lines>
  <Paragraphs>471</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235602</CharactersWithSpaces>
  <SharedDoc>false</SharedDoc>
  <HLinks>
    <vt:vector size="204" baseType="variant">
      <vt:variant>
        <vt:i4>1114196</vt:i4>
      </vt:variant>
      <vt:variant>
        <vt:i4>6</vt:i4>
      </vt:variant>
      <vt:variant>
        <vt:i4>0</vt:i4>
      </vt:variant>
      <vt:variant>
        <vt:i4>5</vt:i4>
      </vt:variant>
      <vt:variant>
        <vt:lpwstr>http://www.lrp.gov.lv/?sadala=125</vt:lpwstr>
      </vt:variant>
      <vt:variant>
        <vt:lpwstr/>
      </vt:variant>
      <vt:variant>
        <vt:i4>6619195</vt:i4>
      </vt:variant>
      <vt:variant>
        <vt:i4>3</vt:i4>
      </vt:variant>
      <vt:variant>
        <vt:i4>0</vt:i4>
      </vt:variant>
      <vt:variant>
        <vt:i4>5</vt:i4>
      </vt:variant>
      <vt:variant>
        <vt:lpwstr>http://www.lrp.gov.lv/</vt:lpwstr>
      </vt:variant>
      <vt:variant>
        <vt:lpwstr/>
      </vt:variant>
      <vt:variant>
        <vt:i4>3801180</vt:i4>
      </vt:variant>
      <vt:variant>
        <vt:i4>0</vt:i4>
      </vt:variant>
      <vt:variant>
        <vt:i4>0</vt:i4>
      </vt:variant>
      <vt:variant>
        <vt:i4>5</vt:i4>
      </vt:variant>
      <vt:variant>
        <vt:lpwstr>mailto:Gp.gs@gov.si</vt:lpwstr>
      </vt:variant>
      <vt:variant>
        <vt:lpwstr/>
      </vt:variant>
      <vt:variant>
        <vt:i4>2752560</vt:i4>
      </vt:variant>
      <vt:variant>
        <vt:i4>87</vt:i4>
      </vt:variant>
      <vt:variant>
        <vt:i4>0</vt:i4>
      </vt:variant>
      <vt:variant>
        <vt:i4>5</vt:i4>
      </vt:variant>
      <vt:variant>
        <vt:lpwstr>https://www.dt-rs.si/novica/vrhovno-drzavno-tozilstvo-je-izdalo-skupno-letno-porocilo-za-leto-2019</vt:lpwstr>
      </vt:variant>
      <vt:variant>
        <vt:lpwstr/>
      </vt:variant>
      <vt:variant>
        <vt:i4>3997729</vt:i4>
      </vt:variant>
      <vt:variant>
        <vt:i4>84</vt:i4>
      </vt:variant>
      <vt:variant>
        <vt:i4>0</vt:i4>
      </vt:variant>
      <vt:variant>
        <vt:i4>5</vt:i4>
      </vt:variant>
      <vt:variant>
        <vt:lpwstr>https://www.dt-rs.si/files/documents/PP.pdf</vt:lpwstr>
      </vt:variant>
      <vt:variant>
        <vt:lpwstr/>
      </vt:variant>
      <vt:variant>
        <vt:i4>4980818</vt:i4>
      </vt:variant>
      <vt:variant>
        <vt:i4>81</vt:i4>
      </vt:variant>
      <vt:variant>
        <vt:i4>0</vt:i4>
      </vt:variant>
      <vt:variant>
        <vt:i4>5</vt:i4>
      </vt:variant>
      <vt:variant>
        <vt:lpwstr>https://eur-lex.europa.eu/legal-content/SL/TXT/PDF/?uri=CELEX:52017XC0524(01)&amp;from=ES</vt:lpwstr>
      </vt:variant>
      <vt:variant>
        <vt:lpwstr/>
      </vt:variant>
      <vt:variant>
        <vt:i4>7340069</vt:i4>
      </vt:variant>
      <vt:variant>
        <vt:i4>78</vt:i4>
      </vt:variant>
      <vt:variant>
        <vt:i4>0</vt:i4>
      </vt:variant>
      <vt:variant>
        <vt:i4>5</vt:i4>
      </vt:variant>
      <vt:variant>
        <vt:lpwstr>http://www.uradni-list.si/1/objava.jsp?sop=2014-01-0961</vt:lpwstr>
      </vt:variant>
      <vt:variant>
        <vt:lpwstr/>
      </vt:variant>
      <vt:variant>
        <vt:i4>7471149</vt:i4>
      </vt:variant>
      <vt:variant>
        <vt:i4>75</vt:i4>
      </vt:variant>
      <vt:variant>
        <vt:i4>0</vt:i4>
      </vt:variant>
      <vt:variant>
        <vt:i4>5</vt:i4>
      </vt:variant>
      <vt:variant>
        <vt:lpwstr>http://www.uradni-list.si/1/objava.jsp?sop=2012-01-3776</vt:lpwstr>
      </vt:variant>
      <vt:variant>
        <vt:lpwstr/>
      </vt:variant>
      <vt:variant>
        <vt:i4>7602221</vt:i4>
      </vt:variant>
      <vt:variant>
        <vt:i4>72</vt:i4>
      </vt:variant>
      <vt:variant>
        <vt:i4>0</vt:i4>
      </vt:variant>
      <vt:variant>
        <vt:i4>5</vt:i4>
      </vt:variant>
      <vt:variant>
        <vt:lpwstr>http://www.uradni-list.si/1/objava.jsp?sop=2012-01-1732</vt:lpwstr>
      </vt:variant>
      <vt:variant>
        <vt:lpwstr/>
      </vt:variant>
      <vt:variant>
        <vt:i4>7798822</vt:i4>
      </vt:variant>
      <vt:variant>
        <vt:i4>69</vt:i4>
      </vt:variant>
      <vt:variant>
        <vt:i4>0</vt:i4>
      </vt:variant>
      <vt:variant>
        <vt:i4>5</vt:i4>
      </vt:variant>
      <vt:variant>
        <vt:lpwstr>http://www.uradni-list.si/1/objava.jsp?sop=2019-01-3722</vt:lpwstr>
      </vt:variant>
      <vt:variant>
        <vt:lpwstr/>
      </vt:variant>
      <vt:variant>
        <vt:i4>7798824</vt:i4>
      </vt:variant>
      <vt:variant>
        <vt:i4>66</vt:i4>
      </vt:variant>
      <vt:variant>
        <vt:i4>0</vt:i4>
      </vt:variant>
      <vt:variant>
        <vt:i4>5</vt:i4>
      </vt:variant>
      <vt:variant>
        <vt:lpwstr>http://www.uradni-list.si/1/objava.jsp?sop=2019-01-0914</vt:lpwstr>
      </vt:variant>
      <vt:variant>
        <vt:lpwstr/>
      </vt:variant>
      <vt:variant>
        <vt:i4>7471144</vt:i4>
      </vt:variant>
      <vt:variant>
        <vt:i4>63</vt:i4>
      </vt:variant>
      <vt:variant>
        <vt:i4>0</vt:i4>
      </vt:variant>
      <vt:variant>
        <vt:i4>5</vt:i4>
      </vt:variant>
      <vt:variant>
        <vt:lpwstr>http://www.uradni-list.si/1/objava.jsp?sop=2017-01-0741</vt:lpwstr>
      </vt:variant>
      <vt:variant>
        <vt:lpwstr/>
      </vt:variant>
      <vt:variant>
        <vt:i4>8192044</vt:i4>
      </vt:variant>
      <vt:variant>
        <vt:i4>60</vt:i4>
      </vt:variant>
      <vt:variant>
        <vt:i4>0</vt:i4>
      </vt:variant>
      <vt:variant>
        <vt:i4>5</vt:i4>
      </vt:variant>
      <vt:variant>
        <vt:lpwstr>http://www.uradni-list.si/1/objava.jsp?sop=2016-01-2296</vt:lpwstr>
      </vt:variant>
      <vt:variant>
        <vt:lpwstr/>
      </vt:variant>
      <vt:variant>
        <vt:i4>7667754</vt:i4>
      </vt:variant>
      <vt:variant>
        <vt:i4>57</vt:i4>
      </vt:variant>
      <vt:variant>
        <vt:i4>0</vt:i4>
      </vt:variant>
      <vt:variant>
        <vt:i4>5</vt:i4>
      </vt:variant>
      <vt:variant>
        <vt:lpwstr>http://www.uradni-list.si/1/objava.jsp?sop=2016-01-1428</vt:lpwstr>
      </vt:variant>
      <vt:variant>
        <vt:lpwstr/>
      </vt:variant>
      <vt:variant>
        <vt:i4>7602212</vt:i4>
      </vt:variant>
      <vt:variant>
        <vt:i4>54</vt:i4>
      </vt:variant>
      <vt:variant>
        <vt:i4>0</vt:i4>
      </vt:variant>
      <vt:variant>
        <vt:i4>5</vt:i4>
      </vt:variant>
      <vt:variant>
        <vt:lpwstr>http://www.uradni-list.si/1/objava.jsp?sop=2015-01-1930</vt:lpwstr>
      </vt:variant>
      <vt:variant>
        <vt:lpwstr/>
      </vt:variant>
      <vt:variant>
        <vt:i4>7733281</vt:i4>
      </vt:variant>
      <vt:variant>
        <vt:i4>51</vt:i4>
      </vt:variant>
      <vt:variant>
        <vt:i4>0</vt:i4>
      </vt:variant>
      <vt:variant>
        <vt:i4>5</vt:i4>
      </vt:variant>
      <vt:variant>
        <vt:lpwstr>http://www.uradni-list.si/1/objava.jsp?sop=2013-21-2826</vt:lpwstr>
      </vt:variant>
      <vt:variant>
        <vt:lpwstr/>
      </vt:variant>
      <vt:variant>
        <vt:i4>8257580</vt:i4>
      </vt:variant>
      <vt:variant>
        <vt:i4>48</vt:i4>
      </vt:variant>
      <vt:variant>
        <vt:i4>0</vt:i4>
      </vt:variant>
      <vt:variant>
        <vt:i4>5</vt:i4>
      </vt:variant>
      <vt:variant>
        <vt:lpwstr>http://www.uradni-list.si/1/objava.jsp?sop=2013-01-0784</vt:lpwstr>
      </vt:variant>
      <vt:variant>
        <vt:lpwstr/>
      </vt:variant>
      <vt:variant>
        <vt:i4>7340065</vt:i4>
      </vt:variant>
      <vt:variant>
        <vt:i4>45</vt:i4>
      </vt:variant>
      <vt:variant>
        <vt:i4>0</vt:i4>
      </vt:variant>
      <vt:variant>
        <vt:i4>5</vt:i4>
      </vt:variant>
      <vt:variant>
        <vt:lpwstr>http://www.uradni-list.si/1/objava.jsp?sop=2018-01-4122</vt:lpwstr>
      </vt:variant>
      <vt:variant>
        <vt:lpwstr/>
      </vt:variant>
      <vt:variant>
        <vt:i4>7536686</vt:i4>
      </vt:variant>
      <vt:variant>
        <vt:i4>42</vt:i4>
      </vt:variant>
      <vt:variant>
        <vt:i4>0</vt:i4>
      </vt:variant>
      <vt:variant>
        <vt:i4>5</vt:i4>
      </vt:variant>
      <vt:variant>
        <vt:lpwstr>http://www.uradni-list.si/1/objava.jsp?sop=2017-01-3165</vt:lpwstr>
      </vt:variant>
      <vt:variant>
        <vt:lpwstr/>
      </vt:variant>
      <vt:variant>
        <vt:i4>7798829</vt:i4>
      </vt:variant>
      <vt:variant>
        <vt:i4>39</vt:i4>
      </vt:variant>
      <vt:variant>
        <vt:i4>0</vt:i4>
      </vt:variant>
      <vt:variant>
        <vt:i4>5</vt:i4>
      </vt:variant>
      <vt:variant>
        <vt:lpwstr>http://www.uradni-list.si/1/objava.jsp?sop=2017-01-1206</vt:lpwstr>
      </vt:variant>
      <vt:variant>
        <vt:lpwstr/>
      </vt:variant>
      <vt:variant>
        <vt:i4>7340079</vt:i4>
      </vt:variant>
      <vt:variant>
        <vt:i4>36</vt:i4>
      </vt:variant>
      <vt:variant>
        <vt:i4>0</vt:i4>
      </vt:variant>
      <vt:variant>
        <vt:i4>5</vt:i4>
      </vt:variant>
      <vt:variant>
        <vt:lpwstr>http://www.uradni-list.si/1/objava.jsp?sop=2015-01-3254</vt:lpwstr>
      </vt:variant>
      <vt:variant>
        <vt:lpwstr/>
      </vt:variant>
      <vt:variant>
        <vt:i4>7405605</vt:i4>
      </vt:variant>
      <vt:variant>
        <vt:i4>33</vt:i4>
      </vt:variant>
      <vt:variant>
        <vt:i4>0</vt:i4>
      </vt:variant>
      <vt:variant>
        <vt:i4>5</vt:i4>
      </vt:variant>
      <vt:variant>
        <vt:lpwstr>http://www.uradni-list.si/1/objava.jsp?sop=2014-01-3949</vt:lpwstr>
      </vt:variant>
      <vt:variant>
        <vt:lpwstr/>
      </vt:variant>
      <vt:variant>
        <vt:i4>7536684</vt:i4>
      </vt:variant>
      <vt:variant>
        <vt:i4>30</vt:i4>
      </vt:variant>
      <vt:variant>
        <vt:i4>0</vt:i4>
      </vt:variant>
      <vt:variant>
        <vt:i4>5</vt:i4>
      </vt:variant>
      <vt:variant>
        <vt:lpwstr>http://www.uradni-list.si/1/objava.jsp?sop=2014-01-2074</vt:lpwstr>
      </vt:variant>
      <vt:variant>
        <vt:lpwstr/>
      </vt:variant>
      <vt:variant>
        <vt:i4>7340069</vt:i4>
      </vt:variant>
      <vt:variant>
        <vt:i4>27</vt:i4>
      </vt:variant>
      <vt:variant>
        <vt:i4>0</vt:i4>
      </vt:variant>
      <vt:variant>
        <vt:i4>5</vt:i4>
      </vt:variant>
      <vt:variant>
        <vt:lpwstr>http://www.uradni-list.si/1/objava.jsp?sop=2014-01-0961</vt:lpwstr>
      </vt:variant>
      <vt:variant>
        <vt:lpwstr/>
      </vt:variant>
      <vt:variant>
        <vt:i4>7471148</vt:i4>
      </vt:variant>
      <vt:variant>
        <vt:i4>24</vt:i4>
      </vt:variant>
      <vt:variant>
        <vt:i4>0</vt:i4>
      </vt:variant>
      <vt:variant>
        <vt:i4>5</vt:i4>
      </vt:variant>
      <vt:variant>
        <vt:lpwstr>http://www.uradni-list.si/1/objava.jsp?sop=2013-01-1753</vt:lpwstr>
      </vt:variant>
      <vt:variant>
        <vt:lpwstr/>
      </vt:variant>
      <vt:variant>
        <vt:i4>7798829</vt:i4>
      </vt:variant>
      <vt:variant>
        <vt:i4>21</vt:i4>
      </vt:variant>
      <vt:variant>
        <vt:i4>0</vt:i4>
      </vt:variant>
      <vt:variant>
        <vt:i4>5</vt:i4>
      </vt:variant>
      <vt:variant>
        <vt:lpwstr>http://www.uradni-list.si/1/objava.jsp?sop=2012-01-1700</vt:lpwstr>
      </vt:variant>
      <vt:variant>
        <vt:lpwstr/>
      </vt:variant>
      <vt:variant>
        <vt:i4>7667755</vt:i4>
      </vt:variant>
      <vt:variant>
        <vt:i4>18</vt:i4>
      </vt:variant>
      <vt:variant>
        <vt:i4>0</vt:i4>
      </vt:variant>
      <vt:variant>
        <vt:i4>5</vt:i4>
      </vt:variant>
      <vt:variant>
        <vt:lpwstr>http://www.uradni-list.si/1/objava.jsp?sop=2012-01-1121</vt:lpwstr>
      </vt:variant>
      <vt:variant>
        <vt:lpwstr/>
      </vt:variant>
      <vt:variant>
        <vt:i4>7536686</vt:i4>
      </vt:variant>
      <vt:variant>
        <vt:i4>15</vt:i4>
      </vt:variant>
      <vt:variant>
        <vt:i4>0</vt:i4>
      </vt:variant>
      <vt:variant>
        <vt:i4>5</vt:i4>
      </vt:variant>
      <vt:variant>
        <vt:lpwstr>http://www.uradni-list.si/1/objava.jsp?sop=2011-01-1743</vt:lpwstr>
      </vt:variant>
      <vt:variant>
        <vt:lpwstr/>
      </vt:variant>
      <vt:variant>
        <vt:i4>8060973</vt:i4>
      </vt:variant>
      <vt:variant>
        <vt:i4>12</vt:i4>
      </vt:variant>
      <vt:variant>
        <vt:i4>0</vt:i4>
      </vt:variant>
      <vt:variant>
        <vt:i4>5</vt:i4>
      </vt:variant>
      <vt:variant>
        <vt:lpwstr>http://www.uradni-list.si/1/objava.jsp?sop=2010-01-5583</vt:lpwstr>
      </vt:variant>
      <vt:variant>
        <vt:lpwstr/>
      </vt:variant>
      <vt:variant>
        <vt:i4>7798829</vt:i4>
      </vt:variant>
      <vt:variant>
        <vt:i4>9</vt:i4>
      </vt:variant>
      <vt:variant>
        <vt:i4>0</vt:i4>
      </vt:variant>
      <vt:variant>
        <vt:i4>5</vt:i4>
      </vt:variant>
      <vt:variant>
        <vt:lpwstr>http://www.uradni-list.si/1/objava.jsp?sop=2010-01-4554</vt:lpwstr>
      </vt:variant>
      <vt:variant>
        <vt:lpwstr/>
      </vt:variant>
      <vt:variant>
        <vt:i4>7471146</vt:i4>
      </vt:variant>
      <vt:variant>
        <vt:i4>6</vt:i4>
      </vt:variant>
      <vt:variant>
        <vt:i4>0</vt:i4>
      </vt:variant>
      <vt:variant>
        <vt:i4>5</vt:i4>
      </vt:variant>
      <vt:variant>
        <vt:lpwstr>http://www.uradni-list.si/1/objava.jsp?sop=2010-01-3273</vt:lpwstr>
      </vt:variant>
      <vt:variant>
        <vt:lpwstr/>
      </vt:variant>
      <vt:variant>
        <vt:i4>7602221</vt:i4>
      </vt:variant>
      <vt:variant>
        <vt:i4>3</vt:i4>
      </vt:variant>
      <vt:variant>
        <vt:i4>0</vt:i4>
      </vt:variant>
      <vt:variant>
        <vt:i4>5</vt:i4>
      </vt:variant>
      <vt:variant>
        <vt:lpwstr>http://www.uradni-list.si/1/objava.jsp?sop=2010-01-0520</vt:lpwstr>
      </vt:variant>
      <vt:variant>
        <vt:lpwstr/>
      </vt:variant>
      <vt:variant>
        <vt:i4>7995433</vt:i4>
      </vt:variant>
      <vt:variant>
        <vt:i4>0</vt:i4>
      </vt:variant>
      <vt:variant>
        <vt:i4>0</vt:i4>
      </vt:variant>
      <vt:variant>
        <vt:i4>5</vt:i4>
      </vt:variant>
      <vt:variant>
        <vt:lpwstr>http://www.uradni-list.si/1/objava.jsp?sop=2009-01-4891</vt:lpwstr>
      </vt:variant>
      <vt:variant>
        <vt:lpwstr/>
      </vt:variant>
      <vt:variant>
        <vt:i4>4194370</vt:i4>
      </vt:variant>
      <vt:variant>
        <vt:i4>3</vt:i4>
      </vt:variant>
      <vt:variant>
        <vt:i4>0</vt:i4>
      </vt:variant>
      <vt:variant>
        <vt:i4>5</vt:i4>
      </vt:variant>
      <vt:variant>
        <vt:lpwstr>http://www.mp.gov.si/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test</dc:creator>
  <cp:lastModifiedBy>Bojana Vogrinec</cp:lastModifiedBy>
  <cp:revision>10</cp:revision>
  <cp:lastPrinted>2020-06-19T11:06:00Z</cp:lastPrinted>
  <dcterms:created xsi:type="dcterms:W3CDTF">2020-06-22T08:07:00Z</dcterms:created>
  <dcterms:modified xsi:type="dcterms:W3CDTF">2020-06-23T10:34:00Z</dcterms:modified>
</cp:coreProperties>
</file>