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AD" w:rsidRDefault="00D102FE" w:rsidP="008E4AAD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ument Cover Page.&#10;Document Number: 11418/20 ADD 1.&#10;Subject Codes: PECHE 285.&#10;Heading: SPREMNI DOPIS.&#10;Originator: za generalno sekretarko Evropske komisije: direktorica Martine DEPREZ.&#10;Recipient: generalni sekretar Sveta Evropske unije Jeppe TRANHOLM-MIKKELSEN.&#10;Subject: PRILOGA k Priporočilu za SKLEP SVETA o pooblastitvi Komisije, da v imenu Evropske unije začne pogajanja za sklenitev sporazuma o ribolovu z Združenim kraljestvom Velika Britanija in Severna Irska ter Kraljevino Norveško.&#10;Commission Document Number: COM(2020) 637 final - ANNEX.&#10;Preceeding Document Number: Not Set.&#10;Location: Bruselj.&#10;Date: 7. oktober 2020.&#10;Interinstitutional Files: Not Set.&#10;Institutional Framework: Svet Evropske unije.&#10;Language: SL.&#10;Distribution Code: LIMITE.&#10;GUID: 5672624975738527498_0" style="width:568.8pt;height:409.2pt">
            <v:imagedata r:id="rId7" o:title=""/>
          </v:shape>
        </w:pict>
      </w:r>
      <w:bookmarkEnd w:id="0"/>
    </w:p>
    <w:p w:rsidR="008E4AAD" w:rsidRDefault="008E4AAD" w:rsidP="008E4AAD">
      <w:pPr>
        <w:pStyle w:val="EntText"/>
        <w:spacing w:before="480"/>
      </w:pPr>
      <w:bookmarkStart w:id="1" w:name="_GoBack"/>
      <w:bookmarkEnd w:id="1"/>
      <w:r w:rsidRPr="008E4AAD">
        <w:t xml:space="preserve">Delegacije prejmejo priloženi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8E4AAD">
        <w:instrText>COM(2020) 637 final - ANNEX</w:instrText>
      </w:r>
      <w:r>
        <w:instrText xml:space="preserve">" </w:instrText>
      </w:r>
      <w:r>
        <w:fldChar w:fldCharType="separate"/>
      </w:r>
      <w:r w:rsidRPr="008E4AAD">
        <w:t>COM(2020) 637 final - ANNEX</w:t>
      </w:r>
      <w:r>
        <w:fldChar w:fldCharType="end"/>
      </w:r>
      <w:r w:rsidRPr="008E4AAD">
        <w:t>.</w:t>
      </w:r>
    </w:p>
    <w:p w:rsidR="008E4AAD" w:rsidRDefault="008E4AAD" w:rsidP="008E4AAD">
      <w:pPr>
        <w:pStyle w:val="Lignefinal"/>
      </w:pPr>
    </w:p>
    <w:p w:rsidR="008E4AAD" w:rsidRDefault="008E4AAD" w:rsidP="008E4AAD">
      <w:pPr>
        <w:pStyle w:val="pj"/>
        <w:spacing w:before="120"/>
      </w:pPr>
      <w:r w:rsidRPr="008E4AAD">
        <w:t xml:space="preserve">Priloga: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8E4AAD">
        <w:instrText>COM(2020) 637 final - ANNEX</w:instrText>
      </w:r>
      <w:r>
        <w:instrText xml:space="preserve">" </w:instrText>
      </w:r>
      <w:r>
        <w:fldChar w:fldCharType="separate"/>
      </w:r>
      <w:r w:rsidRPr="008E4AAD">
        <w:t>COM(2020) 637 final - ANNEX</w:t>
      </w:r>
      <w:r>
        <w:fldChar w:fldCharType="end"/>
      </w:r>
    </w:p>
    <w:p w:rsidR="008E4AAD" w:rsidRDefault="008E4AAD" w:rsidP="008E4AAD">
      <w:pPr>
        <w:rPr>
          <w:noProof/>
        </w:rPr>
        <w:sectPr w:rsidR="008E4AAD" w:rsidSect="008E4A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DD796F" w:rsidRDefault="00D102FE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04029277-8E9F-4888-9FC8-5AC0359FCEE1" style="width:450pt;height:438pt">
            <v:imagedata r:id="rId14" o:title=""/>
          </v:shape>
        </w:pict>
      </w:r>
    </w:p>
    <w:p w:rsidR="00DD796F" w:rsidRDefault="00DD796F">
      <w:pPr>
        <w:rPr>
          <w:noProof/>
        </w:rPr>
        <w:sectPr w:rsidR="00DD796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DD796F" w:rsidRDefault="008E4AAD">
      <w:pPr>
        <w:pStyle w:val="Annexetitre"/>
        <w:rPr>
          <w:caps/>
          <w:noProof/>
          <w:szCs w:val="24"/>
          <w:u w:val="none"/>
        </w:rPr>
      </w:pPr>
      <w:r>
        <w:rPr>
          <w:noProof/>
        </w:rPr>
        <w:lastRenderedPageBreak/>
        <w:t xml:space="preserve">PRILOGA </w:t>
      </w:r>
      <w:r>
        <w:rPr>
          <w:noProof/>
        </w:rPr>
        <w:br/>
        <w:t xml:space="preserve"> </w:t>
      </w:r>
      <w:r>
        <w:rPr>
          <w:noProof/>
        </w:rPr>
        <w:br/>
      </w:r>
      <w:r>
        <w:rPr>
          <w:noProof/>
          <w:u w:val="none"/>
        </w:rPr>
        <w:t>Pogajalske smernice za sklenitev sporazuma o ribolovu z Združenim kraljestvom Velika Britanija in Severna Irska ter Kraljevino Norveško</w:t>
      </w:r>
      <w:r>
        <w:rPr>
          <w:caps/>
          <w:noProof/>
          <w:szCs w:val="24"/>
          <w:u w:val="none"/>
        </w:rPr>
        <w:t xml:space="preserve"> </w:t>
      </w:r>
    </w:p>
    <w:p w:rsidR="00DD796F" w:rsidRDefault="008E4AAD">
      <w:pPr>
        <w:pStyle w:val="ManualHeading1"/>
        <w:rPr>
          <w:noProof/>
          <w:szCs w:val="24"/>
        </w:rPr>
      </w:pPr>
      <w:r>
        <w:rPr>
          <w:noProof/>
        </w:rPr>
        <w:t>I.</w:t>
      </w:r>
      <w:r>
        <w:rPr>
          <w:noProof/>
        </w:rPr>
        <w:tab/>
        <w:t>Splošni okvir IN NAMEN SPORAZUMA O RIBOLOVU</w:t>
      </w:r>
    </w:p>
    <w:p w:rsidR="00DD796F" w:rsidRDefault="008E4AAD">
      <w:pPr>
        <w:spacing w:before="0" w:after="0"/>
        <w:ind w:left="850"/>
        <w:rPr>
          <w:noProof/>
          <w:szCs w:val="24"/>
        </w:rPr>
      </w:pPr>
      <w:r>
        <w:rPr>
          <w:noProof/>
        </w:rPr>
        <w:t xml:space="preserve">Po izstopu Združenega kraljestva Velika Britanija in Severna Irska (v nadaljnjem besedilu: Združeno kraljestvo) iz Evropske unije številni ribji staleži v Severnem morju ne morejo več šteti kot staleži, ki si jih dvostransko delita le Evropska unija in Kraljevina Norveška. Ti staleži se pojavljajo v vodah Unije ter vodah pod suverenostjo in jurisdikcijo Združenega kraljestva in Kraljevine Norveške. </w:t>
      </w:r>
    </w:p>
    <w:p w:rsidR="00DD796F" w:rsidRDefault="00DD796F">
      <w:pPr>
        <w:spacing w:before="0" w:after="0"/>
        <w:ind w:left="850"/>
        <w:rPr>
          <w:noProof/>
          <w:szCs w:val="24"/>
        </w:rPr>
      </w:pPr>
    </w:p>
    <w:p w:rsidR="00DD796F" w:rsidRDefault="008E4AAD">
      <w:pPr>
        <w:spacing w:before="0" w:after="0"/>
        <w:ind w:left="850"/>
        <w:rPr>
          <w:noProof/>
          <w:szCs w:val="24"/>
        </w:rPr>
      </w:pPr>
      <w:r>
        <w:rPr>
          <w:noProof/>
        </w:rPr>
        <w:t>V skladu s členom 63(1) Konvencije Združenih narodov o pomorskem mednarodnem pravu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 xml:space="preserve"> bi se Evropska unija, Združeno kraljestvo in Kraljevina Norveška morali sporazumeti glede ukrepov, potrebnih za usklajevanje ter zagotavljanje ohranjanja in razvoja zadevnih staležev v Severnem morju. </w:t>
      </w:r>
    </w:p>
    <w:p w:rsidR="00DD796F" w:rsidRDefault="00DD796F">
      <w:pPr>
        <w:spacing w:before="0" w:after="0"/>
        <w:ind w:left="850"/>
        <w:rPr>
          <w:noProof/>
          <w:szCs w:val="24"/>
        </w:rPr>
      </w:pPr>
    </w:p>
    <w:p w:rsidR="00DD796F" w:rsidRDefault="008E4AAD">
      <w:pPr>
        <w:spacing w:before="0" w:after="0"/>
        <w:ind w:left="850"/>
        <w:rPr>
          <w:noProof/>
          <w:szCs w:val="24"/>
        </w:rPr>
      </w:pPr>
      <w:r>
        <w:rPr>
          <w:noProof/>
        </w:rPr>
        <w:t xml:space="preserve">Evropska unija želi v ta namen skleniti sporazum o ribolovu (v nadaljnjem besedilu: Sporazum) z Združenim kraljestvom in Kraljevino Norveško.  </w:t>
      </w:r>
    </w:p>
    <w:p w:rsidR="00DD796F" w:rsidRDefault="008E4AAD">
      <w:pPr>
        <w:pStyle w:val="ManualHeading1"/>
        <w:rPr>
          <w:noProof/>
          <w:szCs w:val="24"/>
        </w:rPr>
      </w:pPr>
      <w:r>
        <w:rPr>
          <w:noProof/>
        </w:rPr>
        <w:t>II.</w:t>
      </w:r>
      <w:r>
        <w:rPr>
          <w:noProof/>
        </w:rPr>
        <w:tab/>
        <w:t>VSEBINA SPORAZUMA O RIBOLOVU</w:t>
      </w:r>
    </w:p>
    <w:p w:rsidR="00DD796F" w:rsidRDefault="008E4AAD">
      <w:pPr>
        <w:pStyle w:val="NumPar1"/>
        <w:numPr>
          <w:ilvl w:val="0"/>
          <w:numId w:val="3"/>
        </w:numPr>
        <w:rPr>
          <w:noProof/>
          <w:szCs w:val="24"/>
        </w:rPr>
      </w:pPr>
      <w:r>
        <w:rPr>
          <w:noProof/>
        </w:rPr>
        <w:t xml:space="preserve">V Sporazumu bi bilo treba določiti okvir za upravljanje skupnih ribjih staležev ter pogoje za dostop do voda in virov. Zagotoviti bi moral nadaljevanje odgovornega ribolova, s čimer se v skladu z zadevnimi načeli mednarodnega prava zagotovi dolgoročno ohranjanje in trajnostno izkoriščanje živih morskih virov. </w:t>
      </w:r>
    </w:p>
    <w:p w:rsidR="00DD796F" w:rsidRDefault="008E4AAD">
      <w:pPr>
        <w:pStyle w:val="NumPar1"/>
        <w:rPr>
          <w:noProof/>
          <w:szCs w:val="24"/>
        </w:rPr>
      </w:pPr>
      <w:r>
        <w:rPr>
          <w:noProof/>
        </w:rPr>
        <w:t xml:space="preserve">Določbe o ribolovu bi morale zajemati sodelovanje pri razvoju ukrepov za trajnostno izkoriščanje in ohranjanje virov, vključno z izogibanjem zavržkom. Taki ukrepi bi morali biti nediskriminatorni in temeljiti na znanstveno utemeljenem pristopu, usklajenem s ciljem doseganja največjega trajnostnega donosa za zadevne staleže. Sporazum bi moral vključevati določbe o sodelovanju pri nadzoru in izvrševanju, zbiranju podatkov in znanstvenem svetovanju. </w:t>
      </w:r>
    </w:p>
    <w:p w:rsidR="00DD796F" w:rsidRDefault="008E4AAD">
      <w:pPr>
        <w:pStyle w:val="NumPar1"/>
        <w:rPr>
          <w:noProof/>
          <w:szCs w:val="24"/>
        </w:rPr>
      </w:pPr>
      <w:r>
        <w:rPr>
          <w:noProof/>
        </w:rPr>
        <w:t xml:space="preserve">Sporazum bi moral vključevati ureditve za ohranjanje ribolovnih dejavnosti Unije in preprečevanje gospodarskih motenj ribolovnih dejavnosti pogodbenic Sporazuma. </w:t>
      </w:r>
    </w:p>
    <w:p w:rsidR="00DD796F" w:rsidRDefault="008E4AAD">
      <w:pPr>
        <w:pStyle w:val="NumPar1"/>
        <w:rPr>
          <w:noProof/>
          <w:szCs w:val="24"/>
        </w:rPr>
      </w:pPr>
      <w:r>
        <w:rPr>
          <w:noProof/>
        </w:rPr>
        <w:t>Določbe Sporazuma bi morale ohraniti obstoječe vzajemne pogoje dostopa in deleže kvot, ki temeljijo na tradicionalni dejavnosti flote Unije, kot je določena v okvirnem sporazumu o ribolovu med Evropsko unijo in Kraljevino Norveško</w:t>
      </w:r>
      <w:r>
        <w:rPr>
          <w:rStyle w:val="FootnoteReference"/>
          <w:noProof/>
          <w:szCs w:val="24"/>
        </w:rPr>
        <w:footnoteReference w:id="2"/>
      </w:r>
      <w:r>
        <w:rPr>
          <w:noProof/>
        </w:rPr>
        <w:t>, ter zato:</w:t>
      </w:r>
    </w:p>
    <w:p w:rsidR="00DD796F" w:rsidRDefault="008E4AAD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ohraniti neprekinjen vzajemni dostop plovil Unije, Združenega kraljestva in Norveške do voda Unije, Združenega kraljestva in Kraljevine Norveške;</w:t>
      </w:r>
    </w:p>
    <w:p w:rsidR="00DD796F" w:rsidRDefault="008E4AAD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ohraniti stabilne deleže kvot, ki se lahko prilagodijo le s soglasjem neposredno vpletenih pogodbenic;</w:t>
      </w:r>
    </w:p>
    <w:p w:rsidR="00DD796F" w:rsidRDefault="008E4AAD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vključiti podrobnosti o prenosu in izmenjavi kvot ter določitvi letnih ali večletnih celotnih dovoljenih ulovov ali omejitev ribolovnega napora na podlagi dolgoročnih strategij upravljanja;</w:t>
      </w:r>
    </w:p>
    <w:p w:rsidR="00DD796F" w:rsidRDefault="008E4AAD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urediti podrobnosti glede pridobitve dovoljenj za ribolov in določb, ki zagotavljajo enako obravnavo in skladnost, vključno s skupnimi dejavnostmi nadzora in inšpekcijskih pregledov;</w:t>
      </w:r>
    </w:p>
    <w:p w:rsidR="00DD796F" w:rsidRDefault="008E4AAD"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vzpostaviti ustrezen institucionalni okvir za sodelovanje pri ohranjanju in upravljanju skupnih ribjih staležev.</w:t>
      </w:r>
    </w:p>
    <w:p w:rsidR="00DD796F" w:rsidRDefault="008E4AAD">
      <w:pPr>
        <w:pStyle w:val="NumPar1"/>
        <w:rPr>
          <w:noProof/>
        </w:rPr>
      </w:pPr>
      <w:r>
        <w:rPr>
          <w:noProof/>
        </w:rPr>
        <w:t xml:space="preserve">Sporazum bi bilo treba skleniti pravočasno, da bi se lahko uporabljal za določanje ribolovnih možnosti za prvo leto po koncu prehodnega obdobja v skladu s sporazumom o izstopu. </w:t>
      </w:r>
    </w:p>
    <w:sectPr w:rsidR="00DD796F">
      <w:footerReference w:type="defaul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6F" w:rsidRDefault="008E4AAD">
      <w:pPr>
        <w:spacing w:before="0" w:after="0"/>
      </w:pPr>
      <w:r>
        <w:separator/>
      </w:r>
    </w:p>
  </w:endnote>
  <w:endnote w:type="continuationSeparator" w:id="0">
    <w:p w:rsidR="00DD796F" w:rsidRDefault="008E4A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6F" w:rsidRPr="008E4AAD" w:rsidRDefault="00DD796F" w:rsidP="008E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8E4AAD" w:rsidRPr="00D94637" w:rsidTr="008E4AAD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8E4AAD" w:rsidRPr="00D94637" w:rsidRDefault="008E4AAD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8E4AAD" w:rsidRPr="00B310DC" w:rsidTr="008E4AAD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8E4AAD" w:rsidRPr="00AD7BF2" w:rsidRDefault="008E4AAD" w:rsidP="004F54B2">
          <w:pPr>
            <w:pStyle w:val="FooterText"/>
          </w:pPr>
          <w:r>
            <w:t>11418/20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8E4AAD" w:rsidRPr="00AD7BF2" w:rsidRDefault="008E4AAD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8E4AAD" w:rsidRPr="002511D8" w:rsidRDefault="008E4AAD" w:rsidP="00D94637">
          <w:pPr>
            <w:pStyle w:val="FooterText"/>
            <w:jc w:val="center"/>
          </w:pPr>
          <w:r>
            <w:t>ako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8E4AAD" w:rsidRPr="00B310DC" w:rsidRDefault="008E4AAD" w:rsidP="008E4AAD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102FE">
            <w:rPr>
              <w:noProof/>
            </w:rPr>
            <w:t>0</w:t>
          </w:r>
          <w:r>
            <w:fldChar w:fldCharType="end"/>
          </w:r>
        </w:p>
      </w:tc>
    </w:tr>
    <w:tr w:rsidR="008E4AAD" w:rsidRPr="00D94637" w:rsidTr="008E4AAD">
      <w:trPr>
        <w:jc w:val="center"/>
      </w:trPr>
      <w:tc>
        <w:tcPr>
          <w:tcW w:w="1774" w:type="pct"/>
          <w:shd w:val="clear" w:color="auto" w:fill="auto"/>
        </w:tcPr>
        <w:p w:rsidR="008E4AAD" w:rsidRPr="00AD7BF2" w:rsidRDefault="008E4AAD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8E4AAD" w:rsidRPr="00AD7BF2" w:rsidRDefault="008E4AAD" w:rsidP="00D204D6">
          <w:pPr>
            <w:pStyle w:val="FooterText"/>
            <w:spacing w:before="40"/>
            <w:jc w:val="center"/>
          </w:pPr>
          <w:r>
            <w:t>LIFE.2</w:t>
          </w:r>
        </w:p>
      </w:tc>
      <w:tc>
        <w:tcPr>
          <w:tcW w:w="742" w:type="pct"/>
          <w:shd w:val="clear" w:color="auto" w:fill="auto"/>
        </w:tcPr>
        <w:p w:rsidR="008E4AAD" w:rsidRPr="00D94637" w:rsidRDefault="008E4AAD" w:rsidP="002F0099">
          <w:pPr>
            <w:pStyle w:val="FooterText"/>
            <w:jc w:val="center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1029" w:type="pct"/>
          <w:gridSpan w:val="2"/>
          <w:shd w:val="clear" w:color="auto" w:fill="auto"/>
        </w:tcPr>
        <w:p w:rsidR="008E4AAD" w:rsidRPr="000310C2" w:rsidRDefault="008E4AAD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  <w:bookmarkEnd w:id="2"/>
  </w:tbl>
  <w:p w:rsidR="00DD796F" w:rsidRPr="008E4AAD" w:rsidRDefault="00DD796F" w:rsidP="008E4AAD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8E4AAD" w:rsidRPr="00D94637" w:rsidTr="008E4AAD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8E4AAD" w:rsidRPr="00D94637" w:rsidRDefault="008E4AAD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8E4AAD" w:rsidRPr="00B310DC" w:rsidTr="008E4AAD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8E4AAD" w:rsidRPr="00AD7BF2" w:rsidRDefault="008E4AAD" w:rsidP="004F54B2">
          <w:pPr>
            <w:pStyle w:val="FooterText"/>
          </w:pPr>
          <w:r>
            <w:t>11418/20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8E4AAD" w:rsidRPr="00AD7BF2" w:rsidRDefault="008E4AAD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8E4AAD" w:rsidRPr="002511D8" w:rsidRDefault="008E4AAD" w:rsidP="00D94637">
          <w:pPr>
            <w:pStyle w:val="FooterText"/>
            <w:jc w:val="center"/>
          </w:pPr>
          <w:r>
            <w:t>ako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8E4AAD" w:rsidRPr="00B310DC" w:rsidRDefault="008E4AAD" w:rsidP="00D94637">
          <w:pPr>
            <w:pStyle w:val="FooterText"/>
            <w:jc w:val="right"/>
          </w:pPr>
        </w:p>
      </w:tc>
    </w:tr>
    <w:tr w:rsidR="008E4AAD" w:rsidRPr="00D94637" w:rsidTr="008E4AAD">
      <w:trPr>
        <w:jc w:val="center"/>
      </w:trPr>
      <w:tc>
        <w:tcPr>
          <w:tcW w:w="1774" w:type="pct"/>
          <w:shd w:val="clear" w:color="auto" w:fill="auto"/>
        </w:tcPr>
        <w:p w:rsidR="008E4AAD" w:rsidRPr="00AD7BF2" w:rsidRDefault="008E4AAD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8E4AAD" w:rsidRPr="00AD7BF2" w:rsidRDefault="008E4AAD" w:rsidP="00D204D6">
          <w:pPr>
            <w:pStyle w:val="FooterText"/>
            <w:spacing w:before="40"/>
            <w:jc w:val="center"/>
          </w:pPr>
          <w:r>
            <w:t>LIFE.2</w:t>
          </w:r>
        </w:p>
      </w:tc>
      <w:tc>
        <w:tcPr>
          <w:tcW w:w="742" w:type="pct"/>
          <w:shd w:val="clear" w:color="auto" w:fill="auto"/>
        </w:tcPr>
        <w:p w:rsidR="008E4AAD" w:rsidRPr="00D94637" w:rsidRDefault="008E4AAD" w:rsidP="002F0099">
          <w:pPr>
            <w:pStyle w:val="FooterText"/>
            <w:jc w:val="center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1029" w:type="pct"/>
          <w:gridSpan w:val="2"/>
          <w:shd w:val="clear" w:color="auto" w:fill="auto"/>
        </w:tcPr>
        <w:p w:rsidR="008E4AAD" w:rsidRPr="000310C2" w:rsidRDefault="008E4AAD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</w:tbl>
  <w:p w:rsidR="00DD796F" w:rsidRPr="008E4AAD" w:rsidRDefault="00DD796F" w:rsidP="008E4AAD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AD" w:rsidRDefault="008E4AA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AD" w:rsidRDefault="008E4AAD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AD" w:rsidRDefault="008E4AA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6F" w:rsidRDefault="008E4AAD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D102FE"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6F" w:rsidRDefault="00DD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6F" w:rsidRDefault="008E4AAD">
      <w:pPr>
        <w:spacing w:before="0" w:after="0"/>
      </w:pPr>
      <w:r>
        <w:separator/>
      </w:r>
    </w:p>
  </w:footnote>
  <w:footnote w:type="continuationSeparator" w:id="0">
    <w:p w:rsidR="00DD796F" w:rsidRDefault="008E4AAD">
      <w:pPr>
        <w:spacing w:before="0" w:after="0"/>
      </w:pPr>
      <w:r>
        <w:continuationSeparator/>
      </w:r>
    </w:p>
  </w:footnote>
  <w:footnote w:id="1">
    <w:p w:rsidR="00DD796F" w:rsidRDefault="008E4AAD">
      <w:pPr>
        <w:pStyle w:val="FootnoteText"/>
      </w:pPr>
      <w:r>
        <w:rPr>
          <w:rStyle w:val="FootnoteReference"/>
        </w:rPr>
        <w:footnoteRef/>
      </w:r>
      <w:r>
        <w:tab/>
        <w:t xml:space="preserve">Konvencija Združenih narodov o pomorskem mednarodnem pravu, </w:t>
      </w:r>
      <w:r>
        <w:rPr>
          <w:rStyle w:val="Emphasis"/>
        </w:rPr>
        <w:t>UL L 179, 23.6.1998, str. 3.</w:t>
      </w:r>
    </w:p>
  </w:footnote>
  <w:footnote w:id="2">
    <w:p w:rsidR="00DD796F" w:rsidRDefault="008E4AAD">
      <w:pPr>
        <w:pStyle w:val="FootnoteText"/>
      </w:pPr>
      <w:r>
        <w:rPr>
          <w:rStyle w:val="FootnoteReference"/>
        </w:rPr>
        <w:footnoteRef/>
      </w:r>
      <w:r>
        <w:tab/>
        <w:t>UL L 226 z dne 29. avgusta 1980, stran 47.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6F" w:rsidRPr="008E4AAD" w:rsidRDefault="00DD796F" w:rsidP="008E4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6F" w:rsidRPr="008E4AAD" w:rsidRDefault="008E4AAD" w:rsidP="008E4AAD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6F" w:rsidRPr="008E4AAD" w:rsidRDefault="008E4AAD" w:rsidP="008E4AAD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AD" w:rsidRDefault="008E4AA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AD" w:rsidRDefault="008E4AA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AD" w:rsidRDefault="008E4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101EAA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BD4E5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D78FF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FC54C3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FC679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E36E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962EE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A34C4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overPageOnWordDoc" w:val="false"/>
    <w:docVar w:name="CR_RefLast" w:val="0"/>
    <w:docVar w:name="DocuWriteMetaData" w:val="&lt;metadataset docuwriteversion=&quot;4.4.1&quot; technicalblockguid=&quot;5672624975738527498&quot;&gt;_x000d__x000a_  &lt;metadata key=&quot;md_DocumentLanguages&quot;&gt;_x000d__x000a_    &lt;basicdatatypelist&gt;_x000d__x000a_      &lt;language key=&quot;SL&quot; text=&quot;S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4&quot; text=&quot;SPREMNI DOPIS&quot; /&gt;_x000d__x000a_    &lt;/basicdatatype&gt;_x000d__x000a_  &lt;/metadata&gt;_x000d__x000a_  &lt;metadata key=&quot;md_HeadingText&quot;&gt;_x000d__x000a_    &lt;headingtext text=&quot;SPREMNI DOPIS&quot;&gt;_x000d__x000a_      &lt;formattedtext&gt;_x000d__x000a_        &lt;xaml text=&quot;SPREMNI DOPIS&quot;&gt;&amp;lt;FlowDocument xmlns=&quot;http://schemas.microsoft.com/winfx/2006/xaml/presentation&quot;&amp;gt;&amp;lt;Paragraph&amp;gt;SPREMNI DOPI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Svet Evropske unij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j&quot; /&gt;_x000d__x000a_    &lt;/basicdatatype&gt;_x000d__x000a_  &lt;/metadata&gt;_x000d__x000a_  &lt;metadata key=&quot;md_DocumentDate&quot;&gt;_x000d__x000a_    &lt;text&gt;2020-10-07&lt;/text&gt;_x000d__x000a_  &lt;/metadata&gt;_x000d__x000a_  &lt;metadata key=&quot;md_Prefix&quot;&gt;_x000d__x000a_    &lt;text&gt;&lt;/text&gt;_x000d__x000a_  &lt;/metadata&gt;_x000d__x000a_  &lt;metadata key=&quot;md_DocumentNumber&quot;&gt;_x000d__x000a_    &lt;text&gt;11418&lt;/text&gt;_x000d__x000a_  &lt;/metadata&gt;_x000d__x000a_  &lt;metadata key=&quot;md_YearDocumentNumber&quot;&gt;_x000d__x000a_    &lt;text&gt;2020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2&quot; text=&quot;LIMITE&quot; /&gt;_x000d__x000a_    &lt;/basicdatatype&gt;_x000d__x000a_  &lt;/metadata&gt;_x000d__x000a_  &lt;metadata key=&quot;md_SubjectCodes&quot;&gt;_x000d__x000a_    &lt;textlist&gt;_x000d__x000a_      &lt;text&gt;PECHE 285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33&quot; text=&quot;za generalno sekretarko Evropske komisije: direktorica Martine DEPREZ&quot; /&gt;_x000d__x000a_    &lt;/basicdatatype&gt;_x000d__x000a_  &lt;/metadata&gt;_x000d__x000a_  &lt;metadata key=&quot;md_Recipient&quot;&gt;_x000d__x000a_    &lt;basicdatatype&gt;_x000d__x000a_      &lt;recipient key=&quot;re_02&quot; text=&quot;generalni sekretar Sveta Evropske unije Jeppe TRANHOLM-MIKKELSEN&quot; /&gt;_x000d__x000a_    &lt;/basicdatatype&gt;_x000d__x000a_  &lt;/metadata&gt;_x000d__x000a_  &lt;metadata key=&quot;md_DateOfReceipt&quot;&gt;_x000d__x000a_    &lt;text&gt;2020-10-07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20) 637 final - ANNEX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PRILOGA k Priporo&amp;#269;ilu za SKLEP SVETA o pooblastitvi Komisije, da v imenu Evropske unije za&amp;#269;ne pogajanja za sklenitev sporazuma o ribolovu z Zdru&amp;#382;enim kraljestvom Velika Britanija in Severna Irska ter Kraljevino Norve&amp;#353;ko&quot;&gt;&amp;lt;FlowDocument FontFamily=&quot;Segoe UI&quot; FontSize=&quot;12&quot; LineHeight=&quot;6&quot; PageWidth=&quot;329&quot; PagePadding=&quot;2,2,2,2&quot; AllowDrop=&quot;False&quot; xmlns=&quot;http://schemas.microsoft.com/winfx/2006/xaml/presentation&quot;&amp;gt;&amp;lt;Paragraph&amp;gt;PRILOGA k Priporo&amp;#269;ilu za SKLEP SVETA o pooblastitvi Komisije, da v imenu Evropske unije za&amp;#269;ne pogajanja za sklenitev sporazuma o ribolovu z Zdru&amp;#382;enim kraljestvom Velika Britanija in Severna Irska ter Kraljevino Norve&amp;#353;ko&amp;lt;/Paragraph&amp;gt;&amp;lt;/FlowDocument&amp;gt;&lt;/xaml&gt;_x000d__x000a_  &lt;/metadata&gt;_x000d__x000a_  &lt;metadata key=&quot;md_SubjectFootnote&quot; /&gt;_x000d__x000a_  &lt;metadata key=&quot;md_DG&quot;&gt;_x000d__x000a_    &lt;text&gt;LIFE.2&lt;/text&gt;_x000d__x000a_  &lt;/metadata&gt;_x000d__x000a_  &lt;metadata key=&quot;md_Initials&quot;&gt;_x000d__x000a_    &lt;text&gt;ako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20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20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SL&lt;/text&gt;_x000d__x000a_  &lt;/metadata&gt;_x000d__x000a_  &lt;metadata key=&quot;md_SourceDocType&quot;&gt;_x000d__x000a_    &lt;text&gt;PRILOGA&lt;/text&gt;_x000d__x000a_  &lt;/metadata&gt;_x000d__x000a_  &lt;metadata key=&quot;md_SourceDocTitle&quot;&gt;_x000d__x000a_    &lt;text&gt;k _x000d__x000a_Priporo&amp;#269;ilu za_x000d__x000a__x000d__x000a_SKLEP SVETA _x000d__x000a_o pooblastitvi Komisije, da v imenu Evropske unije za&amp;#269;ne pogajanja za sklenitev sporazuma o ribolovu z Zdru&amp;#382;enim kraljestvom Velika Britanija in Severna Irska ter Kraljevino Norve&amp;#353;ko_x000d__x000a__x000d__x000a__x000d__x000a__x000d__x000a_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CustomNB&quot; /&gt;_x000d__x000a_  &lt;metadata key=&quot;md_Meetings&quot; /&gt;_x000d__x000a_  &lt;metadata key=&quot;md_VisualRepresentation&quot;&gt;_x000d__x000a_    &lt;basicdatatype&gt;_x000d__x000a_      &lt;originator key=&quot;visrep_02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 /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QCDateTime" w:val="2020-09-30 15:56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4029277-8E9F-4888-9FC8-5AC0359FCEE1"/>
    <w:docVar w:name="LW_COVERPAGE_TYPE" w:val="1"/>
    <w:docVar w:name="LW_CROSSREFERENCE" w:val="&lt;UNUSED&gt;"/>
    <w:docVar w:name="LW_DocType" w:val="ANNEX"/>
    <w:docVar w:name="LW_EMISSION" w:val="7.10.2020"/>
    <w:docVar w:name="LW_EMISSION_ISODATE" w:val="2020-10-07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pooblastitvi Komisije, da v imenu Evropske unije za\u269?ne pogajanja za sklenitev sporazuma o ribolovu z Zdru\u382?enim kraljestvom Velika Britanija in Severna Irska ter Kraljevino Norve\u353?ko_x000d__x000d__x000d__x000b_"/>
    <w:docVar w:name="LW_OBJETACTEPRINCIPAL.CP" w:val="o pooblastitvi Komisije, da v imenu Evropske unije za\u269?ne pogajanja za sklenitev sporazuma o ribolovu z Zdru\u382?enim kraljestvom Velika Britanija in Severna Irska ter Kraljevino Norve\u353?ko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6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A"/>
    <w:docVar w:name="LW_TYPE.DOC.CP" w:val="PRILOGA"/>
    <w:docVar w:name="LW_TYPEACTEPRINCIPAL" w:val="Priporo\u269?ilu za_x000b__x000b_SKLEP SVETA"/>
    <w:docVar w:name="LW_TYPEACTEPRINCIPAL.CP" w:val="Priporo\u269?ilu za_x000b__x000b_SKLEP SVETA"/>
  </w:docVars>
  <w:rsids>
    <w:rsidRoot w:val="00DD796F"/>
    <w:rsid w:val="008E4AAD"/>
    <w:rsid w:val="00D102FE"/>
    <w:rsid w:val="00D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E3F5041-B3FE-47BC-8AA8-E4B34575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8E4AAD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8E4AAD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8E4AAD"/>
    <w:rPr>
      <w:rFonts w:ascii="Times New Roman" w:hAnsi="Times New Roman" w:cs="Times New Roman"/>
      <w:sz w:val="24"/>
      <w:lang w:val="sl-SI"/>
    </w:rPr>
  </w:style>
  <w:style w:type="paragraph" w:customStyle="1" w:styleId="EntText">
    <w:name w:val="EntText"/>
    <w:basedOn w:val="Normal"/>
    <w:rsid w:val="008E4AAD"/>
    <w:pPr>
      <w:spacing w:line="360" w:lineRule="auto"/>
      <w:jc w:val="left"/>
    </w:pPr>
  </w:style>
  <w:style w:type="paragraph" w:customStyle="1" w:styleId="Lignefinal">
    <w:name w:val="Ligne final"/>
    <w:basedOn w:val="Normal"/>
    <w:next w:val="Normal"/>
    <w:rsid w:val="008E4AAD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</w:rPr>
  </w:style>
  <w:style w:type="paragraph" w:customStyle="1" w:styleId="pj">
    <w:name w:val="p.j."/>
    <w:basedOn w:val="Normal"/>
    <w:link w:val="pjChar"/>
    <w:rsid w:val="008E4AAD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8E4AAD"/>
    <w:rPr>
      <w:rFonts w:ascii="Times New Roman" w:hAnsi="Times New Roman" w:cs="Times New Roman"/>
      <w:sz w:val="24"/>
      <w:lang w:val="sl-SI"/>
    </w:rPr>
  </w:style>
  <w:style w:type="paragraph" w:customStyle="1" w:styleId="nbbordered">
    <w:name w:val="nb bordered"/>
    <w:basedOn w:val="Normal"/>
    <w:link w:val="nbborderedChar"/>
    <w:rsid w:val="008E4A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spacing w:after="160"/>
      <w:ind w:left="480" w:hanging="480"/>
    </w:pPr>
    <w:rPr>
      <w:b/>
    </w:rPr>
  </w:style>
  <w:style w:type="character" w:customStyle="1" w:styleId="nbborderedChar">
    <w:name w:val="nb bordered Char"/>
    <w:basedOn w:val="TechnicalBlockChar"/>
    <w:link w:val="nbbordered"/>
    <w:rsid w:val="008E4AAD"/>
    <w:rPr>
      <w:rFonts w:ascii="Times New Roman" w:hAnsi="Times New Roman" w:cs="Times New Roman"/>
      <w:b/>
      <w:sz w:val="24"/>
      <w:lang w:val="sl-SI"/>
    </w:rPr>
  </w:style>
  <w:style w:type="paragraph" w:customStyle="1" w:styleId="HeaderCouncil">
    <w:name w:val="Header Council"/>
    <w:basedOn w:val="Normal"/>
    <w:link w:val="HeaderCouncilChar"/>
    <w:rsid w:val="008E4AAD"/>
    <w:pPr>
      <w:spacing w:before="0" w:after="0"/>
    </w:pPr>
    <w:rPr>
      <w:noProof/>
      <w:sz w:val="2"/>
    </w:rPr>
  </w:style>
  <w:style w:type="character" w:customStyle="1" w:styleId="HeaderCouncilChar">
    <w:name w:val="Header Council Char"/>
    <w:basedOn w:val="DefaultParagraphFont"/>
    <w:link w:val="HeaderCouncil"/>
    <w:rsid w:val="008E4AAD"/>
    <w:rPr>
      <w:rFonts w:ascii="Times New Roman" w:hAnsi="Times New Roman" w:cs="Times New Roman"/>
      <w:noProof/>
      <w:sz w:val="2"/>
      <w:lang w:val="sl-SI"/>
    </w:rPr>
  </w:style>
  <w:style w:type="paragraph" w:customStyle="1" w:styleId="HeaderCouncilLarge">
    <w:name w:val="Header Council Large"/>
    <w:basedOn w:val="Normal"/>
    <w:link w:val="HeaderCouncilLargeChar"/>
    <w:rsid w:val="008E4AAD"/>
    <w:pPr>
      <w:spacing w:before="0" w:after="440"/>
    </w:pPr>
    <w:rPr>
      <w:noProof/>
      <w:sz w:val="2"/>
    </w:rPr>
  </w:style>
  <w:style w:type="character" w:customStyle="1" w:styleId="HeaderCouncilLargeChar">
    <w:name w:val="Header Council Large Char"/>
    <w:basedOn w:val="DefaultParagraphFont"/>
    <w:link w:val="HeaderCouncilLarge"/>
    <w:rsid w:val="008E4AAD"/>
    <w:rPr>
      <w:rFonts w:ascii="Times New Roman" w:hAnsi="Times New Roman" w:cs="Times New Roman"/>
      <w:noProof/>
      <w:sz w:val="2"/>
      <w:lang w:val="sl-SI"/>
    </w:rPr>
  </w:style>
  <w:style w:type="paragraph" w:customStyle="1" w:styleId="FooterCouncil">
    <w:name w:val="Footer Council"/>
    <w:basedOn w:val="Normal"/>
    <w:link w:val="FooterCouncilChar"/>
    <w:rsid w:val="008E4AAD"/>
    <w:pPr>
      <w:spacing w:before="0" w:after="0"/>
    </w:pPr>
    <w:rPr>
      <w:noProof/>
      <w:sz w:val="2"/>
    </w:rPr>
  </w:style>
  <w:style w:type="character" w:customStyle="1" w:styleId="FooterCouncilChar">
    <w:name w:val="Footer Council Char"/>
    <w:basedOn w:val="DefaultParagraphFont"/>
    <w:link w:val="FooterCouncil"/>
    <w:rsid w:val="008E4AAD"/>
    <w:rPr>
      <w:rFonts w:ascii="Times New Roman" w:hAnsi="Times New Roman" w:cs="Times New Roman"/>
      <w:noProof/>
      <w:sz w:val="2"/>
      <w:lang w:val="sl-SI"/>
    </w:rPr>
  </w:style>
  <w:style w:type="paragraph" w:customStyle="1" w:styleId="FooterText">
    <w:name w:val="Footer Text"/>
    <w:basedOn w:val="Normal"/>
    <w:rsid w:val="008E4AAD"/>
    <w:pPr>
      <w:spacing w:before="0" w:after="0"/>
      <w:jc w:val="left"/>
    </w:pPr>
    <w:rPr>
      <w:rFonts w:eastAsia="Times New Roman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E4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ALELUIA Lucia Maria (MARE)</dc:creator>
  <cp:keywords/>
  <dc:description/>
  <cp:lastModifiedBy>KOZELNIK Alenka</cp:lastModifiedBy>
  <cp:revision>3</cp:revision>
  <dcterms:created xsi:type="dcterms:W3CDTF">2020-10-08T06:59:00Z</dcterms:created>
  <dcterms:modified xsi:type="dcterms:W3CDTF">2020-10-08T06:59:00Z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DocuWrite 4.4.1, Build 20200729</vt:lpwstr>
  </property>
  <property fmtid="{D5CDD505-2E9C-101B-9397-08002B2CF9AE}" pid="5" name="Created using">
    <vt:lpwstr>DocuWrite 4.4.1, Build 20200729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